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D6B2BAB">
      <w:pPr>
        <w:bidi w:val="0"/>
        <w:rPr>
          <w:rFonts w:hint="eastAsia" w:eastAsia="宋体"/>
          <w:color w:val="auto"/>
          <w:highlight w:val="none"/>
          <w:lang w:val="en-US" w:eastAsia="zh-CN"/>
        </w:rPr>
      </w:pPr>
      <w:r>
        <w:rPr>
          <w:rFonts w:hint="eastAsia"/>
          <w:color w:val="auto"/>
          <w:highlight w:val="none"/>
          <w:lang w:val="en-US" w:eastAsia="zh-CN"/>
        </w:rPr>
        <w:t xml:space="preserve"> </w:t>
      </w:r>
    </w:p>
    <w:p w14:paraId="3E3FE2D5">
      <w:pPr>
        <w:pStyle w:val="27"/>
        <w:ind w:left="0" w:leftChars="0" w:firstLine="0" w:firstLineChars="0"/>
        <w:jc w:val="center"/>
        <w:rPr>
          <w:rFonts w:hint="default"/>
          <w:color w:val="auto"/>
          <w:sz w:val="21"/>
          <w:szCs w:val="24"/>
          <w:highlight w:val="none"/>
          <w:lang w:val="en-US" w:eastAsia="zh-CN"/>
        </w:rPr>
      </w:pPr>
      <w:r>
        <w:rPr>
          <w:rFonts w:hint="eastAsia" w:ascii="宋体" w:hAnsi="宋体" w:cs="宋体"/>
          <w:b/>
          <w:bCs/>
          <w:color w:val="auto"/>
          <w:sz w:val="44"/>
          <w:szCs w:val="44"/>
          <w:highlight w:val="none"/>
          <w:lang w:val="en-US" w:eastAsia="zh-CN"/>
        </w:rPr>
        <w:t xml:space="preserve"> 阿图什市防灾减灾能力补短板-地震预警终端项目    </w:t>
      </w:r>
    </w:p>
    <w:p w14:paraId="0158B6E2">
      <w:pPr>
        <w:pStyle w:val="53"/>
        <w:rPr>
          <w:rFonts w:hint="default"/>
          <w:color w:val="auto"/>
          <w:highlight w:val="none"/>
          <w:lang w:val="en-US" w:eastAsia="zh-CN"/>
        </w:rPr>
      </w:pPr>
    </w:p>
    <w:p w14:paraId="4D4FBF7F">
      <w:pPr>
        <w:widowControl/>
        <w:tabs>
          <w:tab w:val="left" w:pos="6013"/>
        </w:tabs>
        <w:autoSpaceDE w:val="0"/>
        <w:autoSpaceDN w:val="0"/>
        <w:ind w:right="-26"/>
        <w:jc w:val="center"/>
        <w:textAlignment w:val="bottom"/>
        <w:rPr>
          <w:rFonts w:hint="default" w:ascii="宋体" w:hAnsi="宋体" w:cs="宋体"/>
          <w:b/>
          <w:bCs/>
          <w:color w:val="auto"/>
          <w:kern w:val="0"/>
          <w:sz w:val="32"/>
          <w:szCs w:val="32"/>
          <w:highlight w:val="none"/>
          <w:shd w:val="clear" w:color="auto" w:fill="FFFFFF"/>
          <w:lang w:val="en-US"/>
        </w:rPr>
      </w:pPr>
      <w:r>
        <w:rPr>
          <w:rFonts w:hint="eastAsia" w:ascii="宋体" w:hAnsi="宋体" w:cs="宋体"/>
          <w:b/>
          <w:bCs/>
          <w:color w:val="auto"/>
          <w:kern w:val="0"/>
          <w:sz w:val="32"/>
          <w:szCs w:val="32"/>
          <w:highlight w:val="none"/>
          <w:shd w:val="clear" w:color="auto" w:fill="FFFFFF"/>
          <w:lang w:val="en-US" w:eastAsia="zh-CN"/>
        </w:rPr>
        <w:t>项目编号：ATSJYZX-CG-2026113</w:t>
      </w:r>
    </w:p>
    <w:p w14:paraId="4EDA7AE1">
      <w:pPr>
        <w:pStyle w:val="21"/>
        <w:rPr>
          <w:rFonts w:hint="default"/>
          <w:color w:val="auto"/>
          <w:highlight w:val="none"/>
          <w:lang w:val="en-US" w:eastAsia="zh-CN"/>
        </w:rPr>
      </w:pPr>
    </w:p>
    <w:p w14:paraId="62E21379">
      <w:pPr>
        <w:widowControl/>
        <w:tabs>
          <w:tab w:val="left" w:pos="6013"/>
        </w:tabs>
        <w:autoSpaceDE w:val="0"/>
        <w:autoSpaceDN w:val="0"/>
        <w:ind w:right="-26"/>
        <w:jc w:val="center"/>
        <w:textAlignment w:val="bottom"/>
        <w:rPr>
          <w:rFonts w:hint="eastAsia" w:ascii="宋体" w:hAnsi="宋体"/>
          <w:b/>
          <w:color w:val="auto"/>
          <w:sz w:val="84"/>
          <w:szCs w:val="84"/>
          <w:highlight w:val="none"/>
          <w:lang w:val="en-US" w:eastAsia="zh-CN"/>
        </w:rPr>
      </w:pPr>
      <w:r>
        <w:rPr>
          <w:rFonts w:hint="eastAsia" w:ascii="宋体" w:hAnsi="宋体"/>
          <w:b/>
          <w:color w:val="auto"/>
          <w:sz w:val="84"/>
          <w:szCs w:val="84"/>
          <w:highlight w:val="none"/>
          <w:lang w:val="en-US" w:eastAsia="zh-CN"/>
        </w:rPr>
        <w:t>招</w:t>
      </w:r>
    </w:p>
    <w:p w14:paraId="0EA6A1AA">
      <w:pPr>
        <w:widowControl/>
        <w:tabs>
          <w:tab w:val="left" w:pos="6013"/>
        </w:tabs>
        <w:autoSpaceDE w:val="0"/>
        <w:autoSpaceDN w:val="0"/>
        <w:ind w:right="-26"/>
        <w:jc w:val="center"/>
        <w:textAlignment w:val="bottom"/>
        <w:rPr>
          <w:rFonts w:hint="default" w:ascii="宋体" w:hAnsi="宋体" w:eastAsia="宋体"/>
          <w:b/>
          <w:color w:val="auto"/>
          <w:sz w:val="84"/>
          <w:szCs w:val="84"/>
          <w:highlight w:val="none"/>
          <w:lang w:val="en-US" w:eastAsia="zh-CN"/>
        </w:rPr>
      </w:pPr>
      <w:r>
        <w:rPr>
          <w:rFonts w:hint="eastAsia" w:ascii="宋体" w:hAnsi="宋体"/>
          <w:b/>
          <w:color w:val="auto"/>
          <w:sz w:val="84"/>
          <w:szCs w:val="84"/>
          <w:highlight w:val="none"/>
          <w:lang w:val="en-US" w:eastAsia="zh-CN"/>
        </w:rPr>
        <w:t>标</w:t>
      </w:r>
    </w:p>
    <w:p w14:paraId="076A6C26">
      <w:pPr>
        <w:widowControl/>
        <w:tabs>
          <w:tab w:val="left" w:pos="4502"/>
          <w:tab w:val="center" w:pos="4832"/>
        </w:tabs>
        <w:autoSpaceDE w:val="0"/>
        <w:autoSpaceDN w:val="0"/>
        <w:ind w:right="-26"/>
        <w:jc w:val="center"/>
        <w:textAlignment w:val="bottom"/>
        <w:rPr>
          <w:rFonts w:hint="eastAsia" w:ascii="宋体" w:hAnsi="宋体"/>
          <w:b/>
          <w:color w:val="auto"/>
          <w:sz w:val="84"/>
          <w:szCs w:val="84"/>
          <w:highlight w:val="none"/>
        </w:rPr>
      </w:pPr>
      <w:r>
        <w:rPr>
          <w:rFonts w:hint="eastAsia" w:ascii="宋体" w:hAnsi="宋体"/>
          <w:b/>
          <w:color w:val="auto"/>
          <w:sz w:val="84"/>
          <w:szCs w:val="84"/>
          <w:highlight w:val="none"/>
        </w:rPr>
        <w:t>文</w:t>
      </w:r>
    </w:p>
    <w:p w14:paraId="581CCFC1">
      <w:pPr>
        <w:widowControl/>
        <w:autoSpaceDE w:val="0"/>
        <w:autoSpaceDN w:val="0"/>
        <w:ind w:right="-26"/>
        <w:jc w:val="center"/>
        <w:textAlignment w:val="bottom"/>
        <w:rPr>
          <w:rFonts w:hint="eastAsia" w:ascii="宋体" w:hAnsi="宋体"/>
          <w:b/>
          <w:color w:val="auto"/>
          <w:sz w:val="52"/>
          <w:szCs w:val="52"/>
          <w:highlight w:val="none"/>
        </w:rPr>
      </w:pPr>
      <w:r>
        <w:rPr>
          <w:rFonts w:hint="eastAsia" w:ascii="宋体" w:hAnsi="宋体"/>
          <w:b/>
          <w:color w:val="auto"/>
          <w:sz w:val="84"/>
          <w:szCs w:val="84"/>
          <w:highlight w:val="none"/>
        </w:rPr>
        <w:t>件</w:t>
      </w:r>
    </w:p>
    <w:p w14:paraId="3FAAD3B4">
      <w:pPr>
        <w:pStyle w:val="69"/>
        <w:rPr>
          <w:rFonts w:hint="eastAsia"/>
          <w:color w:val="auto"/>
          <w:highlight w:val="none"/>
        </w:rPr>
      </w:pPr>
    </w:p>
    <w:p w14:paraId="068C3755">
      <w:pPr>
        <w:pStyle w:val="69"/>
        <w:rPr>
          <w:rFonts w:hint="eastAsia"/>
          <w:color w:val="auto"/>
          <w:highlight w:val="none"/>
        </w:rPr>
      </w:pPr>
    </w:p>
    <w:p w14:paraId="02160C2D">
      <w:pPr>
        <w:keepNext w:val="0"/>
        <w:keepLines w:val="0"/>
        <w:pageBreakBefore w:val="0"/>
        <w:widowControl/>
        <w:kinsoku/>
        <w:wordWrap/>
        <w:overflowPunct/>
        <w:topLinePunct w:val="0"/>
        <w:autoSpaceDE w:val="0"/>
        <w:autoSpaceDN w:val="0"/>
        <w:bidi w:val="0"/>
        <w:adjustRightInd/>
        <w:snapToGrid/>
        <w:spacing w:line="740" w:lineRule="exact"/>
        <w:ind w:right="-26" w:firstLine="553" w:firstLineChars="196"/>
        <w:textAlignment w:val="bottom"/>
        <w:rPr>
          <w:rFonts w:hint="eastAsia" w:ascii="宋体" w:hAnsi="宋体"/>
          <w:b/>
          <w:color w:val="auto"/>
          <w:sz w:val="28"/>
          <w:szCs w:val="28"/>
          <w:highlight w:val="none"/>
          <w:lang w:val="en-US" w:eastAsia="zh-CN"/>
        </w:rPr>
      </w:pPr>
      <w:r>
        <w:rPr>
          <w:rFonts w:hint="eastAsia" w:ascii="宋体" w:hAnsi="宋体"/>
          <w:b/>
          <w:color w:val="auto"/>
          <w:sz w:val="28"/>
          <w:szCs w:val="28"/>
          <w:highlight w:val="none"/>
          <w:lang w:val="en-US" w:eastAsia="zh-CN"/>
        </w:rPr>
        <w:t>采 购 人：阿图什市应急管理局（盖章）</w:t>
      </w:r>
    </w:p>
    <w:p w14:paraId="0AE119E2">
      <w:pPr>
        <w:keepNext w:val="0"/>
        <w:keepLines w:val="0"/>
        <w:pageBreakBefore w:val="0"/>
        <w:widowControl/>
        <w:kinsoku/>
        <w:wordWrap/>
        <w:overflowPunct/>
        <w:topLinePunct w:val="0"/>
        <w:autoSpaceDE w:val="0"/>
        <w:autoSpaceDN w:val="0"/>
        <w:bidi w:val="0"/>
        <w:adjustRightInd/>
        <w:snapToGrid/>
        <w:spacing w:line="740" w:lineRule="exact"/>
        <w:ind w:right="-26" w:firstLine="553" w:firstLineChars="196"/>
        <w:textAlignment w:val="bottom"/>
        <w:rPr>
          <w:rFonts w:hint="eastAsia" w:ascii="宋体" w:hAnsi="宋体"/>
          <w:b/>
          <w:color w:val="auto"/>
          <w:sz w:val="28"/>
          <w:szCs w:val="28"/>
          <w:highlight w:val="none"/>
          <w:lang w:val="en-US" w:eastAsia="zh-CN"/>
        </w:rPr>
      </w:pPr>
      <w:r>
        <w:rPr>
          <w:rFonts w:hint="eastAsia" w:ascii="宋体" w:hAnsi="宋体"/>
          <w:b/>
          <w:color w:val="auto"/>
          <w:sz w:val="28"/>
          <w:szCs w:val="28"/>
          <w:highlight w:val="none"/>
          <w:lang w:val="en-US" w:eastAsia="zh-CN"/>
        </w:rPr>
        <w:t>联 系 人：刘先生     联系电话：13369080816</w:t>
      </w:r>
    </w:p>
    <w:p w14:paraId="4D0FADE6">
      <w:pPr>
        <w:pStyle w:val="21"/>
        <w:rPr>
          <w:rFonts w:hint="eastAsia"/>
          <w:highlight w:val="none"/>
          <w:lang w:val="en-US" w:eastAsia="zh-CN"/>
        </w:rPr>
      </w:pPr>
    </w:p>
    <w:p w14:paraId="1AC82F90">
      <w:pPr>
        <w:keepNext w:val="0"/>
        <w:keepLines w:val="0"/>
        <w:pageBreakBefore w:val="0"/>
        <w:widowControl/>
        <w:kinsoku/>
        <w:wordWrap/>
        <w:overflowPunct/>
        <w:topLinePunct w:val="0"/>
        <w:autoSpaceDE w:val="0"/>
        <w:autoSpaceDN w:val="0"/>
        <w:bidi w:val="0"/>
        <w:adjustRightInd/>
        <w:snapToGrid/>
        <w:spacing w:line="740" w:lineRule="exact"/>
        <w:ind w:right="-26" w:firstLine="553" w:firstLineChars="196"/>
        <w:textAlignment w:val="bottom"/>
        <w:rPr>
          <w:rFonts w:hint="eastAsia" w:ascii="宋体" w:hAnsi="宋体"/>
          <w:b/>
          <w:color w:val="auto"/>
          <w:sz w:val="28"/>
          <w:szCs w:val="28"/>
          <w:highlight w:val="none"/>
          <w:lang w:eastAsia="zh-CN"/>
        </w:rPr>
      </w:pPr>
      <w:r>
        <w:rPr>
          <w:rFonts w:hint="eastAsia" w:ascii="宋体" w:hAnsi="宋体"/>
          <w:b/>
          <w:color w:val="auto"/>
          <w:sz w:val="28"/>
          <w:szCs w:val="28"/>
          <w:highlight w:val="none"/>
          <w:lang w:eastAsia="zh-CN"/>
        </w:rPr>
        <w:t>代理机构：新疆大成瑞祥建设项目管理咨询有限公司</w:t>
      </w:r>
      <w:r>
        <w:rPr>
          <w:rFonts w:hint="eastAsia" w:ascii="宋体" w:hAnsi="宋体"/>
          <w:b/>
          <w:color w:val="auto"/>
          <w:sz w:val="28"/>
          <w:szCs w:val="28"/>
          <w:highlight w:val="none"/>
          <w:lang w:val="en-US" w:eastAsia="zh-CN"/>
        </w:rPr>
        <w:t>（盖章）</w:t>
      </w:r>
    </w:p>
    <w:p w14:paraId="63FD9B7A">
      <w:pPr>
        <w:keepNext w:val="0"/>
        <w:keepLines w:val="0"/>
        <w:pageBreakBefore w:val="0"/>
        <w:widowControl/>
        <w:kinsoku/>
        <w:wordWrap/>
        <w:overflowPunct/>
        <w:topLinePunct w:val="0"/>
        <w:autoSpaceDE w:val="0"/>
        <w:autoSpaceDN w:val="0"/>
        <w:bidi w:val="0"/>
        <w:adjustRightInd/>
        <w:snapToGrid/>
        <w:spacing w:line="740" w:lineRule="exact"/>
        <w:ind w:right="-28" w:firstLine="553" w:firstLineChars="196"/>
        <w:textAlignment w:val="bottom"/>
        <w:rPr>
          <w:rFonts w:hint="eastAsia"/>
          <w:b/>
          <w:color w:val="auto"/>
          <w:sz w:val="36"/>
          <w:highlight w:val="none"/>
        </w:rPr>
      </w:pPr>
      <w:r>
        <w:rPr>
          <w:rFonts w:hint="eastAsia" w:ascii="宋体" w:hAnsi="宋体"/>
          <w:b/>
          <w:color w:val="auto"/>
          <w:sz w:val="28"/>
          <w:szCs w:val="28"/>
          <w:highlight w:val="none"/>
          <w:lang w:eastAsia="zh-CN"/>
        </w:rPr>
        <w:t>联</w:t>
      </w:r>
      <w:r>
        <w:rPr>
          <w:rFonts w:hint="eastAsia" w:ascii="宋体" w:hAnsi="宋体"/>
          <w:b/>
          <w:color w:val="auto"/>
          <w:sz w:val="28"/>
          <w:szCs w:val="28"/>
          <w:highlight w:val="none"/>
          <w:lang w:val="en-US" w:eastAsia="zh-CN"/>
        </w:rPr>
        <w:t xml:space="preserve"> </w:t>
      </w:r>
      <w:r>
        <w:rPr>
          <w:rFonts w:hint="eastAsia" w:ascii="宋体" w:hAnsi="宋体"/>
          <w:b/>
          <w:color w:val="auto"/>
          <w:sz w:val="28"/>
          <w:szCs w:val="28"/>
          <w:highlight w:val="none"/>
          <w:lang w:eastAsia="zh-CN"/>
        </w:rPr>
        <w:t>系</w:t>
      </w:r>
      <w:r>
        <w:rPr>
          <w:rFonts w:hint="eastAsia" w:ascii="宋体" w:hAnsi="宋体"/>
          <w:b/>
          <w:color w:val="auto"/>
          <w:sz w:val="28"/>
          <w:szCs w:val="28"/>
          <w:highlight w:val="none"/>
          <w:lang w:val="en-US" w:eastAsia="zh-CN"/>
        </w:rPr>
        <w:t xml:space="preserve"> </w:t>
      </w:r>
      <w:r>
        <w:rPr>
          <w:rFonts w:hint="eastAsia" w:ascii="宋体" w:hAnsi="宋体"/>
          <w:b/>
          <w:color w:val="auto"/>
          <w:sz w:val="28"/>
          <w:szCs w:val="28"/>
          <w:highlight w:val="none"/>
          <w:lang w:eastAsia="zh-CN"/>
        </w:rPr>
        <w:t>人：</w:t>
      </w:r>
      <w:r>
        <w:rPr>
          <w:rFonts w:hint="eastAsia" w:ascii="宋体" w:hAnsi="宋体"/>
          <w:b/>
          <w:color w:val="auto"/>
          <w:sz w:val="28"/>
          <w:szCs w:val="28"/>
          <w:highlight w:val="none"/>
          <w:lang w:val="en-US" w:eastAsia="zh-CN"/>
        </w:rPr>
        <w:t xml:space="preserve">刘女士     </w:t>
      </w:r>
      <w:r>
        <w:rPr>
          <w:rFonts w:hint="eastAsia" w:ascii="宋体" w:hAnsi="宋体"/>
          <w:b/>
          <w:color w:val="auto"/>
          <w:sz w:val="28"/>
          <w:szCs w:val="28"/>
          <w:highlight w:val="none"/>
          <w:lang w:eastAsia="zh-CN"/>
        </w:rPr>
        <w:t xml:space="preserve">联系电话: </w:t>
      </w:r>
      <w:r>
        <w:rPr>
          <w:rFonts w:hint="eastAsia" w:ascii="宋体" w:hAnsi="宋体"/>
          <w:b/>
          <w:color w:val="auto"/>
          <w:sz w:val="28"/>
          <w:szCs w:val="28"/>
          <w:highlight w:val="none"/>
          <w:lang w:val="en-US" w:eastAsia="zh-CN"/>
        </w:rPr>
        <w:t>18094994613</w:t>
      </w:r>
      <w:r>
        <w:rPr>
          <w:rFonts w:hint="eastAsia" w:ascii="宋体" w:hAnsi="宋体"/>
          <w:b/>
          <w:color w:val="auto"/>
          <w:sz w:val="28"/>
          <w:szCs w:val="28"/>
          <w:highlight w:val="none"/>
          <w:lang w:eastAsia="zh-CN"/>
        </w:rPr>
        <w:t xml:space="preserve"> </w:t>
      </w:r>
      <w:bookmarkStart w:id="0" w:name="_Hlt10524029"/>
      <w:bookmarkEnd w:id="0"/>
      <w:bookmarkStart w:id="1" w:name="_Hlt10524010"/>
      <w:bookmarkEnd w:id="1"/>
      <w:bookmarkStart w:id="2" w:name="_Hlt10523642"/>
      <w:bookmarkEnd w:id="2"/>
      <w:bookmarkStart w:id="3" w:name="_Hlt10519329"/>
      <w:bookmarkEnd w:id="3"/>
      <w:bookmarkStart w:id="4" w:name="_Hlt42956360"/>
      <w:bookmarkEnd w:id="4"/>
      <w:bookmarkStart w:id="5" w:name="_Hlt10529670"/>
      <w:bookmarkEnd w:id="5"/>
      <w:bookmarkStart w:id="6" w:name="_Hlt10524018"/>
      <w:bookmarkEnd w:id="6"/>
      <w:bookmarkStart w:id="7" w:name="_Hlt42956379"/>
      <w:bookmarkEnd w:id="7"/>
      <w:bookmarkStart w:id="8" w:name="_Hlt10462525"/>
      <w:bookmarkEnd w:id="8"/>
      <w:bookmarkStart w:id="9" w:name="_Hlt10567911"/>
      <w:bookmarkEnd w:id="9"/>
    </w:p>
    <w:p w14:paraId="66DCF1D8">
      <w:pPr>
        <w:shd w:val="clear" w:color="auto" w:fill="auto"/>
        <w:jc w:val="center"/>
        <w:rPr>
          <w:rFonts w:hint="eastAsia"/>
          <w:b/>
          <w:color w:val="auto"/>
          <w:sz w:val="36"/>
          <w:highlight w:val="none"/>
        </w:rPr>
        <w:sectPr>
          <w:headerReference r:id="rId3" w:type="default"/>
          <w:footerReference r:id="rId4" w:type="default"/>
          <w:pgSz w:w="11905" w:h="16838"/>
          <w:pgMar w:top="1440" w:right="1797" w:bottom="1440" w:left="1797" w:header="850" w:footer="992" w:gutter="0"/>
          <w:pgNumType w:fmt="decimal"/>
          <w:cols w:space="720" w:num="1"/>
          <w:rtlGutter w:val="0"/>
          <w:docGrid w:type="linesAndChars" w:linePitch="325" w:charSpace="635"/>
        </w:sectPr>
      </w:pPr>
    </w:p>
    <w:p w14:paraId="76020A22">
      <w:pPr>
        <w:shd w:val="clear" w:color="auto" w:fill="auto"/>
        <w:jc w:val="center"/>
        <w:rPr>
          <w:rFonts w:hint="eastAsia"/>
          <w:b/>
          <w:color w:val="auto"/>
          <w:sz w:val="36"/>
          <w:highlight w:val="none"/>
        </w:rPr>
      </w:pPr>
      <w:r>
        <w:rPr>
          <w:rFonts w:hint="eastAsia"/>
          <w:b/>
          <w:color w:val="auto"/>
          <w:sz w:val="36"/>
          <w:highlight w:val="none"/>
        </w:rPr>
        <w:t>目  录</w:t>
      </w:r>
    </w:p>
    <w:p w14:paraId="5C9B2885">
      <w:pPr>
        <w:pStyle w:val="19"/>
        <w:tabs>
          <w:tab w:val="right" w:leader="dot" w:pos="8311"/>
        </w:tabs>
        <w:rPr>
          <w:rFonts w:hint="eastAsia" w:asciiTheme="minorEastAsia" w:hAnsiTheme="minorEastAsia" w:eastAsiaTheme="minorEastAsia" w:cstheme="minorEastAsia"/>
          <w:color w:val="auto"/>
          <w:highlight w:val="none"/>
        </w:rPr>
      </w:pP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TOC \o "1-3" \h \z \u </w:instrText>
      </w:r>
      <w:r>
        <w:rPr>
          <w:rFonts w:hint="eastAsia" w:ascii="宋体" w:hAnsi="宋体" w:cs="宋体"/>
          <w:color w:val="auto"/>
          <w:sz w:val="24"/>
          <w:highlight w:val="none"/>
        </w:rPr>
        <w:fldChar w:fldCharType="separate"/>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_Toc26119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32"/>
          <w:highlight w:val="none"/>
        </w:rPr>
        <w:t>第二章 投标人须知</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_Toc26119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4</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528573EA">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_Toc20189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 xml:space="preserve">一、 </w:t>
      </w:r>
      <w:r>
        <w:rPr>
          <w:rFonts w:hint="eastAsia" w:asciiTheme="minorEastAsia" w:hAnsiTheme="minorEastAsia" w:eastAsiaTheme="minorEastAsia" w:cstheme="minorEastAsia"/>
          <w:color w:val="auto"/>
          <w:szCs w:val="28"/>
          <w:highlight w:val="none"/>
        </w:rPr>
        <w:t>投标人须知前附表</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_Toc20189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4</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79DF6CD4">
      <w:pPr>
        <w:pStyle w:val="23"/>
        <w:tabs>
          <w:tab w:val="right" w:leader="dot" w:pos="8311"/>
        </w:tabs>
        <w:ind w:left="0" w:leftChars="0" w:firstLine="0" w:firstLineChars="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_Toc31866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28"/>
          <w:highlight w:val="none"/>
        </w:rPr>
        <w:t>二、投标人须知</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_Toc31866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12</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047F1689">
      <w:pPr>
        <w:pStyle w:val="12"/>
        <w:tabs>
          <w:tab w:val="right" w:leader="dot" w:pos="8311"/>
          <w:tab w:val="clear" w:pos="9288"/>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_Toc29178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28"/>
          <w:highlight w:val="none"/>
        </w:rPr>
        <w:t>（一）</w:t>
      </w:r>
      <w:r>
        <w:rPr>
          <w:rFonts w:hint="eastAsia" w:asciiTheme="minorEastAsia" w:hAnsiTheme="minorEastAsia" w:eastAsiaTheme="minorEastAsia" w:cstheme="minorEastAsia"/>
          <w:color w:val="auto"/>
          <w:szCs w:val="32"/>
          <w:highlight w:val="none"/>
        </w:rPr>
        <w:t>总  则</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_Toc29178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12</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672073AC">
      <w:pPr>
        <w:pStyle w:val="12"/>
        <w:tabs>
          <w:tab w:val="right" w:leader="dot" w:pos="8311"/>
          <w:tab w:val="clear" w:pos="9288"/>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_Toc12903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28"/>
          <w:highlight w:val="none"/>
        </w:rPr>
        <w:t>（二）</w:t>
      </w:r>
      <w:r>
        <w:rPr>
          <w:rFonts w:hint="eastAsia" w:asciiTheme="minorEastAsia" w:hAnsiTheme="minorEastAsia" w:eastAsiaTheme="minorEastAsia" w:cstheme="minorEastAsia"/>
          <w:color w:val="auto"/>
          <w:szCs w:val="28"/>
          <w:highlight w:val="none"/>
          <w:lang w:eastAsia="zh-CN"/>
        </w:rPr>
        <w:t>招标文件</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_Toc12903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14</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2EC3121F">
      <w:pPr>
        <w:pStyle w:val="12"/>
        <w:tabs>
          <w:tab w:val="right" w:leader="dot" w:pos="8311"/>
          <w:tab w:val="clear" w:pos="9288"/>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_Toc31366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28"/>
          <w:highlight w:val="none"/>
        </w:rPr>
        <w:t>（三）投标文件的编制</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_Toc31366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16</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44CFD820">
      <w:pPr>
        <w:pStyle w:val="19"/>
        <w:tabs>
          <w:tab w:val="right" w:leader="dot" w:pos="8311"/>
        </w:tabs>
        <w:ind w:firstLine="852" w:firstLineChars="4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_Toc352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28"/>
          <w:highlight w:val="none"/>
        </w:rPr>
        <w:t>（四）投标文件的制作、上传及递交要求</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_Toc352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19</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2A8B93A1">
      <w:pPr>
        <w:pStyle w:val="12"/>
        <w:tabs>
          <w:tab w:val="right" w:leader="dot" w:pos="8311"/>
          <w:tab w:val="clear" w:pos="9288"/>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_Toc7387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28"/>
          <w:highlight w:val="none"/>
        </w:rPr>
        <w:t>（五）开 标、评标和定标</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_Toc7387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20</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1D1A9550">
      <w:pPr>
        <w:pStyle w:val="12"/>
        <w:tabs>
          <w:tab w:val="right" w:leader="dot" w:pos="8311"/>
          <w:tab w:val="clear" w:pos="9288"/>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_Toc9389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28"/>
          <w:highlight w:val="none"/>
        </w:rPr>
        <w:t>（六）合同的授予</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lang w:val="en-US" w:eastAsia="zh-CN"/>
        </w:rPr>
        <w:t>...</w:t>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_Toc9389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27</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132C5D7E">
      <w:pPr>
        <w:pStyle w:val="12"/>
        <w:tabs>
          <w:tab w:val="right" w:leader="dot" w:pos="8311"/>
          <w:tab w:val="clear" w:pos="9288"/>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_Toc12698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28"/>
          <w:highlight w:val="none"/>
        </w:rPr>
        <w:t>（七）纪律和监督</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_Toc12698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28</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76604282">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_Toc29063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kern w:val="0"/>
          <w:szCs w:val="24"/>
          <w:highlight w:val="none"/>
          <w:lang w:eastAsia="zh-CN"/>
        </w:rPr>
        <w:t>一、投诉相关主体基本情况</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_Toc29063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30</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2DABA1B0">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_Toc3856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kern w:val="0"/>
          <w:szCs w:val="24"/>
          <w:highlight w:val="none"/>
          <w:lang w:eastAsia="zh-CN"/>
        </w:rPr>
        <w:t>二、投诉项目基本情况</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_Toc3856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30</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25F4B900">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_Toc10808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kern w:val="0"/>
          <w:szCs w:val="24"/>
          <w:highlight w:val="none"/>
          <w:lang w:val="en-US" w:eastAsia="zh-CN"/>
        </w:rPr>
        <w:t>三、质疑基本情况</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_Toc10808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31</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4F649855">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_Toc6760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kern w:val="0"/>
          <w:szCs w:val="24"/>
          <w:highlight w:val="none"/>
          <w:lang w:val="en-US" w:eastAsia="zh-CN"/>
        </w:rPr>
        <w:t>四、投诉事项具体内容</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_Toc6760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31</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13CFA512">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_Toc28176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kern w:val="0"/>
          <w:szCs w:val="24"/>
          <w:highlight w:val="none"/>
          <w:lang w:eastAsia="zh-CN"/>
        </w:rPr>
        <w:t>五、与投诉事项相关的投诉请求</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_Toc28176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31</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70AAF697">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_Toc2789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bCs/>
          <w:color w:val="auto"/>
          <w:kern w:val="0"/>
          <w:szCs w:val="24"/>
          <w:highlight w:val="none"/>
          <w:lang w:eastAsia="zh-CN"/>
        </w:rPr>
        <w:t>投诉书制作说明：</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_Toc2789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32</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081C2302">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_Toc8110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bCs/>
          <w:color w:val="auto"/>
          <w:szCs w:val="32"/>
          <w:highlight w:val="none"/>
        </w:rPr>
        <w:t>投诉相关说明</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_Toc8110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33</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730A80A2">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_Toc18279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bCs/>
          <w:color w:val="auto"/>
          <w:szCs w:val="21"/>
          <w:highlight w:val="none"/>
        </w:rPr>
        <w:t>一、 质疑前置及时间要求</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_Toc18279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33</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24964ECA">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_Toc26158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bCs/>
          <w:color w:val="auto"/>
          <w:szCs w:val="21"/>
          <w:highlight w:val="none"/>
        </w:rPr>
        <w:t>二、书面方式</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_Toc26158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33</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1DE6B25B">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_Toc12143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bCs/>
          <w:color w:val="auto"/>
          <w:szCs w:val="21"/>
          <w:highlight w:val="none"/>
        </w:rPr>
        <w:t>三、虚假、恶意投诉法律责任</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_Toc12143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34</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444E77F1">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_Toc27801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bCs/>
          <w:color w:val="auto"/>
          <w:szCs w:val="32"/>
          <w:highlight w:val="none"/>
        </w:rPr>
        <w:t>质疑函范本</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_Toc27801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35</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757ACBE1">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_Toc3401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bCs/>
          <w:color w:val="auto"/>
          <w:szCs w:val="21"/>
          <w:highlight w:val="none"/>
        </w:rPr>
        <w:t>一、质疑供应商基本信息</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_Toc3401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35</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110A81CC">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_Toc31203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bCs/>
          <w:color w:val="auto"/>
          <w:szCs w:val="21"/>
          <w:highlight w:val="none"/>
        </w:rPr>
        <w:t>二、质疑项目基本情况</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_Toc31203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35</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559EAE70">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_Toc642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bCs/>
          <w:color w:val="auto"/>
          <w:szCs w:val="21"/>
          <w:highlight w:val="none"/>
        </w:rPr>
        <w:t>三、质疑事项具体内容</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_Toc642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35</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74CC8E17">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_Toc3601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bCs/>
          <w:color w:val="auto"/>
          <w:szCs w:val="21"/>
          <w:highlight w:val="none"/>
        </w:rPr>
        <w:t>四、与质疑事项相关的质疑请求</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_Toc3601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35</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097BB7EC">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_Toc2323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30"/>
          <w:highlight w:val="none"/>
        </w:rPr>
        <w:t>第三章  评标办法</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_Toc2323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37</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707626BB">
      <w:pPr>
        <w:pStyle w:val="23"/>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_Toc21805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28"/>
          <w:highlight w:val="none"/>
        </w:rPr>
        <w:t>一</w:t>
      </w:r>
      <w:r>
        <w:rPr>
          <w:rFonts w:hint="eastAsia" w:asciiTheme="minorEastAsia" w:hAnsiTheme="minorEastAsia" w:eastAsiaTheme="minorEastAsia" w:cstheme="minorEastAsia"/>
          <w:color w:val="auto"/>
          <w:szCs w:val="28"/>
          <w:highlight w:val="none"/>
          <w:lang w:val="en-US" w:eastAsia="zh-CN"/>
        </w:rPr>
        <w:t xml:space="preserve">  </w:t>
      </w:r>
      <w:r>
        <w:rPr>
          <w:rFonts w:hint="eastAsia" w:asciiTheme="minorEastAsia" w:hAnsiTheme="minorEastAsia" w:eastAsiaTheme="minorEastAsia" w:cstheme="minorEastAsia"/>
          <w:color w:val="auto"/>
          <w:szCs w:val="28"/>
          <w:highlight w:val="none"/>
        </w:rPr>
        <w:t>总  则</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_Toc21805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37</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05E02EE3">
      <w:pPr>
        <w:pStyle w:val="23"/>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_Toc14061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28"/>
          <w:highlight w:val="none"/>
        </w:rPr>
        <w:t>二  投标文件初审</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_Toc14061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39</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4E731524">
      <w:pPr>
        <w:pStyle w:val="23"/>
        <w:tabs>
          <w:tab w:val="right" w:leader="dot" w:pos="8311"/>
        </w:tabs>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三  投标文件的澄清和补正</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lang w:val="en-US" w:eastAsia="zh-CN"/>
        </w:rPr>
        <w:t>43</w:t>
      </w:r>
    </w:p>
    <w:p w14:paraId="484F54A3">
      <w:pPr>
        <w:pStyle w:val="23"/>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_Toc1842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四 比较与评价</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_Toc1842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42</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24A8CFEC">
      <w:pPr>
        <w:pStyle w:val="23"/>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_Toc17440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bCs/>
          <w:color w:val="auto"/>
          <w:highlight w:val="none"/>
        </w:rPr>
        <w:t>五</w:t>
      </w:r>
      <w:r>
        <w:rPr>
          <w:rFonts w:hint="eastAsia" w:asciiTheme="minorEastAsia" w:hAnsiTheme="minorEastAsia" w:eastAsiaTheme="minorEastAsia" w:cstheme="minorEastAsia"/>
          <w:bCs/>
          <w:color w:val="auto"/>
          <w:highlight w:val="none"/>
          <w:lang w:eastAsia="zh-CN"/>
        </w:rPr>
        <w:t>、</w:t>
      </w:r>
      <w:r>
        <w:rPr>
          <w:rFonts w:hint="eastAsia" w:asciiTheme="minorEastAsia" w:hAnsiTheme="minorEastAsia" w:eastAsiaTheme="minorEastAsia" w:cstheme="minorEastAsia"/>
          <w:bCs/>
          <w:color w:val="auto"/>
          <w:highlight w:val="none"/>
        </w:rPr>
        <w:t>推荐中标候选人</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_Toc17440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44</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193D8D34">
      <w:pPr>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_Toc2323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30"/>
          <w:highlight w:val="none"/>
        </w:rPr>
        <w:t>第</w:t>
      </w:r>
      <w:r>
        <w:rPr>
          <w:rFonts w:hint="eastAsia" w:asciiTheme="minorEastAsia" w:hAnsiTheme="minorEastAsia" w:eastAsiaTheme="minorEastAsia" w:cstheme="minorEastAsia"/>
          <w:color w:val="auto"/>
          <w:szCs w:val="30"/>
          <w:highlight w:val="none"/>
          <w:lang w:val="en-US" w:eastAsia="zh-CN"/>
        </w:rPr>
        <w:t>四</w:t>
      </w:r>
      <w:r>
        <w:rPr>
          <w:rFonts w:hint="eastAsia" w:asciiTheme="minorEastAsia" w:hAnsiTheme="minorEastAsia" w:eastAsiaTheme="minorEastAsia" w:cstheme="minorEastAsia"/>
          <w:color w:val="auto"/>
          <w:szCs w:val="30"/>
          <w:highlight w:val="none"/>
        </w:rPr>
        <w:t xml:space="preserve">章  </w:t>
      </w:r>
      <w:r>
        <w:rPr>
          <w:rFonts w:hint="eastAsia" w:asciiTheme="minorEastAsia" w:hAnsiTheme="minorEastAsia" w:eastAsiaTheme="minorEastAsia" w:cstheme="minorEastAsia"/>
          <w:color w:val="auto"/>
          <w:szCs w:val="30"/>
          <w:highlight w:val="none"/>
          <w:lang w:val="en-US" w:eastAsia="zh-CN"/>
        </w:rPr>
        <w:t>采购内容及技术要求..................................................</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lang w:val="en-US" w:eastAsia="zh-CN"/>
        </w:rPr>
        <w:t>50</w:t>
      </w:r>
    </w:p>
    <w:p w14:paraId="5AC69786">
      <w:pPr>
        <w:pStyle w:val="23"/>
        <w:tabs>
          <w:tab w:val="right" w:leader="dot" w:pos="8311"/>
        </w:tabs>
        <w:ind w:left="0" w:leftChars="0" w:firstLine="0" w:firstLineChars="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_Toc16455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kern w:val="2"/>
          <w:sz w:val="21"/>
          <w:szCs w:val="30"/>
          <w:highlight w:val="none"/>
          <w:lang w:val="en-US" w:eastAsia="zh-CN" w:bidi="ar-SA"/>
        </w:rPr>
        <w:t>第五章  合同条款及格式</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_Toc16455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58</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1548860D">
      <w:pPr>
        <w:pStyle w:val="23"/>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_Toc13773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21"/>
          <w:highlight w:val="none"/>
        </w:rPr>
        <w:t>（本合同为合同样稿，最终稿由供需双方协商后确定）</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_Toc13773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58</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0EC05738">
      <w:pPr>
        <w:pStyle w:val="19"/>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_Toc21484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30"/>
          <w:highlight w:val="none"/>
        </w:rPr>
        <w:t>第六章  投标文件格式</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_Toc21484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64</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3C3BA6EA">
      <w:pPr>
        <w:pStyle w:val="23"/>
        <w:tabs>
          <w:tab w:val="right" w:leader="dot" w:pos="8311"/>
        </w:tabs>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_Toc24414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bCs/>
          <w:color w:val="auto"/>
          <w:highlight w:val="none"/>
        </w:rPr>
        <w:t>第一部分 资格证明文件</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_Toc24414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65</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20CB6620">
      <w:pPr>
        <w:pStyle w:val="19"/>
        <w:tabs>
          <w:tab w:val="right" w:leader="dot" w:pos="8311"/>
        </w:tabs>
        <w:ind w:firstLine="426"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HYPERLINK \l _Toc5510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szCs w:val="32"/>
          <w:highlight w:val="none"/>
        </w:rPr>
        <w:t>第二部分  商务及技术文件</w:t>
      </w:r>
      <w:r>
        <w:rPr>
          <w:rFonts w:hint="eastAsia" w:asciiTheme="minorEastAsia" w:hAnsiTheme="minorEastAsia" w:eastAsiaTheme="minorEastAsia" w:cstheme="minorEastAsia"/>
          <w:color w:val="auto"/>
          <w:highlight w:val="none"/>
        </w:rPr>
        <w:tab/>
      </w:r>
      <w:r>
        <w:rPr>
          <w:rFonts w:hint="eastAsia" w:asciiTheme="minorEastAsia" w:hAnsiTheme="minorEastAsia" w:eastAsiaTheme="minorEastAsia" w:cstheme="minorEastAsia"/>
          <w:color w:val="auto"/>
          <w:highlight w:val="none"/>
        </w:rPr>
        <w:fldChar w:fldCharType="begin"/>
      </w:r>
      <w:r>
        <w:rPr>
          <w:rFonts w:hint="eastAsia" w:asciiTheme="minorEastAsia" w:hAnsiTheme="minorEastAsia" w:eastAsiaTheme="minorEastAsia" w:cstheme="minorEastAsia"/>
          <w:color w:val="auto"/>
          <w:highlight w:val="none"/>
        </w:rPr>
        <w:instrText xml:space="preserve"> PAGEREF _Toc5510 \h </w:instrText>
      </w:r>
      <w:r>
        <w:rPr>
          <w:rFonts w:hint="eastAsia" w:asciiTheme="minorEastAsia" w:hAnsiTheme="minorEastAsia" w:eastAsiaTheme="minorEastAsia" w:cstheme="minorEastAsia"/>
          <w:color w:val="auto"/>
          <w:highlight w:val="none"/>
        </w:rPr>
        <w:fldChar w:fldCharType="separate"/>
      </w:r>
      <w:r>
        <w:rPr>
          <w:rFonts w:hint="eastAsia" w:asciiTheme="minorEastAsia" w:hAnsiTheme="minorEastAsia" w:eastAsiaTheme="minorEastAsia" w:cstheme="minorEastAsia"/>
          <w:color w:val="auto"/>
          <w:highlight w:val="none"/>
        </w:rPr>
        <w:t>71</w:t>
      </w:r>
      <w:r>
        <w:rPr>
          <w:rFonts w:hint="eastAsia" w:asciiTheme="minorEastAsia" w:hAnsiTheme="minorEastAsia" w:eastAsiaTheme="minorEastAsia" w:cstheme="minorEastAsia"/>
          <w:color w:val="auto"/>
          <w:highlight w:val="none"/>
        </w:rPr>
        <w:fldChar w:fldCharType="end"/>
      </w:r>
      <w:r>
        <w:rPr>
          <w:rFonts w:hint="eastAsia" w:asciiTheme="minorEastAsia" w:hAnsiTheme="minorEastAsia" w:eastAsiaTheme="minorEastAsia" w:cstheme="minorEastAsia"/>
          <w:color w:val="auto"/>
          <w:highlight w:val="none"/>
        </w:rPr>
        <w:fldChar w:fldCharType="end"/>
      </w:r>
    </w:p>
    <w:p w14:paraId="149DDAB1">
      <w:pPr>
        <w:pStyle w:val="23"/>
        <w:tabs>
          <w:tab w:val="right" w:leader="dot" w:pos="8311"/>
        </w:tabs>
        <w:rPr>
          <w:color w:val="auto"/>
          <w:highlight w:val="none"/>
        </w:rPr>
      </w:pPr>
    </w:p>
    <w:p w14:paraId="16747EDF">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426" w:firstLineChars="200"/>
        <w:jc w:val="distribute"/>
        <w:textAlignment w:val="auto"/>
        <w:rPr>
          <w:rFonts w:hint="eastAsia" w:ascii="宋体" w:hAnsi="宋体" w:cs="宋体"/>
          <w:color w:val="auto"/>
          <w:sz w:val="24"/>
          <w:highlight w:val="none"/>
        </w:rPr>
      </w:pPr>
      <w:r>
        <w:rPr>
          <w:rFonts w:hint="eastAsia" w:ascii="宋体" w:hAnsi="宋体" w:cs="宋体"/>
          <w:color w:val="auto"/>
          <w:highlight w:val="none"/>
        </w:rPr>
        <w:fldChar w:fldCharType="end"/>
      </w:r>
    </w:p>
    <w:p w14:paraId="7395C46A">
      <w:pPr>
        <w:spacing w:line="240" w:lineRule="auto"/>
        <w:jc w:val="center"/>
        <w:rPr>
          <w:rFonts w:ascii="宋体" w:hAnsi="宋体" w:cs="宋体"/>
          <w:b/>
          <w:bCs/>
          <w:color w:val="auto"/>
          <w:kern w:val="36"/>
          <w:sz w:val="36"/>
          <w:szCs w:val="36"/>
          <w:highlight w:val="none"/>
        </w:rPr>
        <w:sectPr>
          <w:footerReference r:id="rId5" w:type="default"/>
          <w:pgSz w:w="11905" w:h="16838"/>
          <w:pgMar w:top="1440" w:right="1797" w:bottom="1440" w:left="1797" w:header="850" w:footer="992" w:gutter="0"/>
          <w:pgNumType w:fmt="decimal" w:start="1"/>
          <w:cols w:space="720" w:num="1"/>
          <w:rtlGutter w:val="0"/>
          <w:docGrid w:type="linesAndChars" w:linePitch="325" w:charSpace="635"/>
        </w:sectPr>
      </w:pPr>
    </w:p>
    <w:p w14:paraId="59608D6B">
      <w:pPr>
        <w:spacing w:line="240" w:lineRule="auto"/>
        <w:jc w:val="center"/>
        <w:rPr>
          <w:rFonts w:ascii="宋体" w:hAnsi="宋体" w:cs="宋体"/>
          <w:b/>
          <w:bCs/>
          <w:color w:val="auto"/>
          <w:kern w:val="36"/>
          <w:sz w:val="36"/>
          <w:szCs w:val="36"/>
          <w:highlight w:val="none"/>
        </w:rPr>
      </w:pPr>
      <w:r>
        <w:rPr>
          <w:rFonts w:ascii="宋体" w:hAnsi="宋体" w:cs="宋体"/>
          <w:b/>
          <w:bCs/>
          <w:color w:val="auto"/>
          <w:kern w:val="36"/>
          <w:sz w:val="36"/>
          <w:szCs w:val="36"/>
          <w:highlight w:val="none"/>
        </w:rPr>
        <w:t>第一部分 招标公告</w:t>
      </w:r>
    </w:p>
    <w:p w14:paraId="36083888">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600" w:lineRule="exact"/>
        <w:ind w:right="0"/>
        <w:jc w:val="center"/>
        <w:textAlignment w:val="auto"/>
        <w:rPr>
          <w:rFonts w:hint="default" w:ascii="新宋体" w:hAnsi="新宋体" w:eastAsia="新宋体" w:cs="新宋体"/>
          <w:b/>
          <w:bCs/>
          <w:color w:val="auto"/>
          <w:kern w:val="0"/>
          <w:sz w:val="44"/>
          <w:szCs w:val="44"/>
          <w:highlight w:val="none"/>
          <w:u w:val="none"/>
          <w:lang w:val="en-US" w:eastAsia="zh-CN" w:bidi="ar"/>
        </w:rPr>
      </w:pPr>
      <w:r>
        <w:rPr>
          <w:rFonts w:hint="eastAsia" w:ascii="新宋体" w:hAnsi="新宋体" w:eastAsia="新宋体" w:cs="新宋体"/>
          <w:b/>
          <w:bCs/>
          <w:color w:val="auto"/>
          <w:kern w:val="0"/>
          <w:sz w:val="40"/>
          <w:szCs w:val="40"/>
          <w:highlight w:val="none"/>
          <w:u w:val="none"/>
          <w:lang w:val="en-US" w:eastAsia="zh-CN" w:bidi="ar"/>
        </w:rPr>
        <w:t xml:space="preserve"> </w:t>
      </w:r>
      <w:r>
        <w:rPr>
          <w:rFonts w:hint="eastAsia" w:ascii="新宋体" w:hAnsi="新宋体" w:eastAsia="新宋体" w:cs="新宋体"/>
          <w:b/>
          <w:bCs/>
          <w:color w:val="auto"/>
          <w:kern w:val="0"/>
          <w:sz w:val="32"/>
          <w:szCs w:val="32"/>
          <w:highlight w:val="none"/>
          <w:u w:val="none"/>
          <w:lang w:val="en-US" w:eastAsia="zh-CN" w:bidi="ar"/>
        </w:rPr>
        <w:t>阿图什市防灾减灾能力补短板-地震预警终端项目公开招标公告</w:t>
      </w:r>
    </w:p>
    <w:p w14:paraId="6BD22C06">
      <w:pPr>
        <w:pStyle w:val="25"/>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80" w:lineRule="exact"/>
        <w:ind w:left="0" w:right="0" w:firstLine="422" w:firstLineChars="200"/>
        <w:jc w:val="both"/>
        <w:textAlignment w:val="auto"/>
        <w:rPr>
          <w:rFonts w:hint="eastAsia" w:ascii="新宋体" w:hAnsi="新宋体" w:eastAsia="新宋体" w:cs="新宋体"/>
          <w:b/>
          <w:bCs/>
          <w:i w:val="0"/>
          <w:caps w:val="0"/>
          <w:color w:val="auto"/>
          <w:spacing w:val="0"/>
          <w:sz w:val="21"/>
          <w:szCs w:val="21"/>
          <w:highlight w:val="none"/>
        </w:rPr>
      </w:pPr>
      <w:r>
        <w:rPr>
          <w:rFonts w:hint="eastAsia" w:ascii="新宋体" w:hAnsi="新宋体" w:eastAsia="新宋体" w:cs="新宋体"/>
          <w:b/>
          <w:bCs/>
          <w:i w:val="0"/>
          <w:caps w:val="0"/>
          <w:color w:val="auto"/>
          <w:spacing w:val="0"/>
          <w:sz w:val="21"/>
          <w:szCs w:val="21"/>
          <w:highlight w:val="none"/>
        </w:rPr>
        <w:t>项目概况</w:t>
      </w:r>
    </w:p>
    <w:p w14:paraId="7EE683C7">
      <w:pPr>
        <w:pStyle w:val="28"/>
        <w:keepNext w:val="0"/>
        <w:keepLines w:val="0"/>
        <w:pageBreakBefore w:val="0"/>
        <w:pBdr>
          <w:top w:val="single" w:color="auto" w:sz="4" w:space="0"/>
          <w:left w:val="single" w:color="auto" w:sz="4" w:space="0"/>
          <w:bottom w:val="single" w:color="auto" w:sz="4" w:space="0"/>
          <w:right w:val="single" w:color="auto" w:sz="4" w:space="0"/>
        </w:pBdr>
        <w:kinsoku/>
        <w:wordWrap/>
        <w:overflowPunct/>
        <w:topLinePunct w:val="0"/>
        <w:autoSpaceDN/>
        <w:bidi w:val="0"/>
        <w:adjustRightInd/>
        <w:snapToGrid/>
        <w:spacing w:line="380" w:lineRule="exact"/>
        <w:ind w:left="0" w:leftChars="0" w:firstLine="420" w:firstLineChars="200"/>
        <w:textAlignment w:val="auto"/>
        <w:rPr>
          <w:rFonts w:hint="eastAsia"/>
          <w:color w:val="auto"/>
          <w:sz w:val="21"/>
          <w:szCs w:val="21"/>
          <w:highlight w:val="none"/>
          <w:lang w:val="en-US" w:eastAsia="zh-CN"/>
        </w:rPr>
      </w:pPr>
      <w:r>
        <w:rPr>
          <w:rFonts w:hint="eastAsia"/>
          <w:color w:val="auto"/>
          <w:sz w:val="21"/>
          <w:szCs w:val="21"/>
          <w:highlight w:val="none"/>
          <w:lang w:val="en-US" w:eastAsia="zh-CN"/>
        </w:rPr>
        <w:t>阿图什市防灾减灾能力补短板-地震预警终端项目招标项目的潜在投标人应在供应商登陆政采云平台http://www.zcygov.cn/，在线申请获取招标文件（登录政府采购云平台 → 项目采购 → 获取招标文件，如有操作性问题，可与政采云在线客服进行咨询，咨询电话：95763）。获取招标文件，并于2026年10月8日 10:15（北京时间）前递交投标文件。</w:t>
      </w:r>
    </w:p>
    <w:p w14:paraId="3C0DF588">
      <w:pPr>
        <w:pStyle w:val="25"/>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80" w:lineRule="exact"/>
        <w:ind w:left="0" w:right="0" w:firstLine="422" w:firstLineChars="200"/>
        <w:jc w:val="both"/>
        <w:textAlignment w:val="auto"/>
        <w:rPr>
          <w:rFonts w:hint="eastAsia" w:ascii="新宋体" w:hAnsi="新宋体" w:eastAsia="新宋体" w:cs="新宋体"/>
          <w:b/>
          <w:bCs/>
          <w:color w:val="auto"/>
          <w:sz w:val="21"/>
          <w:szCs w:val="21"/>
          <w:highlight w:val="none"/>
        </w:rPr>
      </w:pPr>
      <w:r>
        <w:rPr>
          <w:rFonts w:hint="eastAsia" w:ascii="新宋体" w:hAnsi="新宋体" w:eastAsia="新宋体" w:cs="新宋体"/>
          <w:b/>
          <w:bCs/>
          <w:i w:val="0"/>
          <w:caps w:val="0"/>
          <w:color w:val="auto"/>
          <w:spacing w:val="0"/>
          <w:sz w:val="21"/>
          <w:szCs w:val="21"/>
          <w:highlight w:val="none"/>
        </w:rPr>
        <w:t>一、项目基本情况</w:t>
      </w:r>
    </w:p>
    <w:p w14:paraId="731F2F34">
      <w:pPr>
        <w:keepNext w:val="0"/>
        <w:keepLines w:val="0"/>
        <w:pageBreakBefore w:val="0"/>
        <w:widowControl/>
        <w:numPr>
          <w:ilvl w:val="0"/>
          <w:numId w:val="0"/>
        </w:numPr>
        <w:suppressLineNumbers w:val="0"/>
        <w:kinsoku/>
        <w:wordWrap/>
        <w:overflowPunct/>
        <w:topLinePunct w:val="0"/>
        <w:autoSpaceDN/>
        <w:bidi w:val="0"/>
        <w:adjustRightInd/>
        <w:snapToGrid/>
        <w:spacing w:before="75" w:beforeAutospacing="0" w:after="75" w:afterAutospacing="0" w:line="380" w:lineRule="exact"/>
        <w:ind w:leftChars="0" w:right="0" w:rightChars="0" w:firstLine="480"/>
        <w:jc w:val="left"/>
        <w:textAlignment w:val="auto"/>
        <w:rPr>
          <w:rFonts w:hint="default" w:ascii="宋体" w:hAnsi="宋体" w:eastAsia="宋体" w:cs="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项目编号：ATSJYZX-CG-2026113</w:t>
      </w:r>
    </w:p>
    <w:p w14:paraId="00F82966">
      <w:pPr>
        <w:keepNext w:val="0"/>
        <w:keepLines w:val="0"/>
        <w:pageBreakBefore w:val="0"/>
        <w:widowControl/>
        <w:numPr>
          <w:ilvl w:val="0"/>
          <w:numId w:val="0"/>
        </w:numPr>
        <w:suppressLineNumbers w:val="0"/>
        <w:kinsoku/>
        <w:wordWrap/>
        <w:overflowPunct/>
        <w:topLinePunct w:val="0"/>
        <w:autoSpaceDN/>
        <w:bidi w:val="0"/>
        <w:adjustRightInd/>
        <w:snapToGrid/>
        <w:spacing w:before="75" w:beforeAutospacing="0" w:after="75" w:afterAutospacing="0" w:line="380" w:lineRule="exact"/>
        <w:ind w:leftChars="0" w:right="0" w:rightChars="0" w:firstLine="480"/>
        <w:jc w:val="left"/>
        <w:textAlignment w:val="auto"/>
        <w:rPr>
          <w:rFonts w:hint="default"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项目名称：</w:t>
      </w:r>
      <w:r>
        <w:rPr>
          <w:rFonts w:hint="eastAsia" w:ascii="新宋体" w:hAnsi="新宋体" w:eastAsia="新宋体" w:cs="新宋体"/>
          <w:i w:val="0"/>
          <w:caps w:val="0"/>
          <w:color w:val="auto"/>
          <w:spacing w:val="0"/>
          <w:kern w:val="0"/>
          <w:sz w:val="21"/>
          <w:szCs w:val="21"/>
          <w:highlight w:val="none"/>
          <w:lang w:val="en-US" w:eastAsia="zh-CN"/>
        </w:rPr>
        <w:t>阿图什市防灾减灾能力补短板-地震预警终端项目</w:t>
      </w:r>
    </w:p>
    <w:p w14:paraId="2C54E0B0">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采购方式：公开招标</w:t>
      </w:r>
    </w:p>
    <w:p w14:paraId="720542BA">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jc w:val="left"/>
        <w:textAlignment w:val="auto"/>
        <w:rPr>
          <w:rFonts w:hint="default"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i w:val="0"/>
          <w:caps w:val="0"/>
          <w:color w:val="auto"/>
          <w:spacing w:val="0"/>
          <w:kern w:val="0"/>
          <w:sz w:val="21"/>
          <w:szCs w:val="21"/>
          <w:highlight w:val="none"/>
        </w:rPr>
        <w:t xml:space="preserve">    </w:t>
      </w:r>
      <w:r>
        <w:rPr>
          <w:rFonts w:hint="eastAsia" w:ascii="新宋体" w:hAnsi="新宋体" w:eastAsia="新宋体" w:cs="新宋体"/>
          <w:i w:val="0"/>
          <w:caps w:val="0"/>
          <w:color w:val="auto"/>
          <w:spacing w:val="0"/>
          <w:kern w:val="0"/>
          <w:sz w:val="21"/>
          <w:szCs w:val="21"/>
          <w:highlight w:val="none"/>
          <w:lang w:val="en-US" w:eastAsia="zh-CN"/>
        </w:rPr>
        <w:t>预算金额</w:t>
      </w:r>
      <w:r>
        <w:rPr>
          <w:rFonts w:hint="eastAsia" w:ascii="新宋体" w:hAnsi="新宋体" w:eastAsia="新宋体" w:cs="新宋体"/>
          <w:i w:val="0"/>
          <w:caps w:val="0"/>
          <w:color w:val="auto"/>
          <w:spacing w:val="0"/>
          <w:kern w:val="0"/>
          <w:sz w:val="21"/>
          <w:szCs w:val="21"/>
          <w:highlight w:val="none"/>
        </w:rPr>
        <w:t>（元）</w:t>
      </w:r>
      <w:r>
        <w:rPr>
          <w:rFonts w:hint="eastAsia" w:ascii="新宋体" w:hAnsi="新宋体" w:eastAsia="新宋体" w:cs="新宋体"/>
          <w:color w:val="auto"/>
          <w:kern w:val="0"/>
          <w:sz w:val="21"/>
          <w:szCs w:val="21"/>
          <w:highlight w:val="none"/>
          <w:u w:val="none"/>
          <w:lang w:val="en-US" w:eastAsia="zh-CN" w:bidi="ar"/>
        </w:rPr>
        <w:t>：2050000</w:t>
      </w:r>
    </w:p>
    <w:p w14:paraId="48960FE8">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jc w:val="left"/>
        <w:textAlignment w:val="auto"/>
        <w:rPr>
          <w:rFonts w:hint="default"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 xml:space="preserve">    最高限价（元）：2050000</w:t>
      </w:r>
    </w:p>
    <w:p w14:paraId="739F60EB">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80"/>
        <w:jc w:val="left"/>
        <w:textAlignment w:val="auto"/>
        <w:rPr>
          <w:rFonts w:hint="eastAsia" w:ascii="新宋体" w:hAnsi="新宋体" w:eastAsia="新宋体" w:cs="新宋体"/>
          <w:i w:val="0"/>
          <w:caps w:val="0"/>
          <w:color w:val="auto"/>
          <w:spacing w:val="0"/>
          <w:kern w:val="0"/>
          <w:sz w:val="21"/>
          <w:szCs w:val="21"/>
          <w:highlight w:val="none"/>
        </w:rPr>
      </w:pPr>
      <w:r>
        <w:rPr>
          <w:rFonts w:hint="eastAsia" w:ascii="新宋体" w:hAnsi="新宋体" w:eastAsia="新宋体" w:cs="新宋体"/>
          <w:i w:val="0"/>
          <w:caps w:val="0"/>
          <w:color w:val="auto"/>
          <w:spacing w:val="0"/>
          <w:kern w:val="0"/>
          <w:sz w:val="21"/>
          <w:szCs w:val="21"/>
          <w:highlight w:val="none"/>
        </w:rPr>
        <w:t>采购需求：</w:t>
      </w:r>
    </w:p>
    <w:p w14:paraId="58B5B2FD">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420" w:leftChars="200" w:right="0" w:firstLine="0" w:firstLineChars="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rPr>
        <w:t>标项名称:</w:t>
      </w:r>
      <w:r>
        <w:rPr>
          <w:rFonts w:hint="eastAsia" w:ascii="新宋体" w:hAnsi="新宋体" w:eastAsia="新宋体" w:cs="新宋体"/>
          <w:i w:val="0"/>
          <w:caps w:val="0"/>
          <w:color w:val="auto"/>
          <w:spacing w:val="0"/>
          <w:kern w:val="0"/>
          <w:sz w:val="21"/>
          <w:szCs w:val="21"/>
          <w:highlight w:val="none"/>
          <w:lang w:val="en-US" w:eastAsia="zh-CN"/>
        </w:rPr>
        <w:t>阿图什市防灾减灾能力补短板-地震预警终端项目</w:t>
      </w:r>
      <w:r>
        <w:rPr>
          <w:rFonts w:hint="eastAsia" w:ascii="新宋体" w:hAnsi="新宋体" w:eastAsia="新宋体" w:cs="新宋体"/>
          <w:i w:val="0"/>
          <w:caps w:val="0"/>
          <w:color w:val="auto"/>
          <w:spacing w:val="0"/>
          <w:kern w:val="0"/>
          <w:sz w:val="21"/>
          <w:szCs w:val="21"/>
          <w:highlight w:val="none"/>
        </w:rPr>
        <w:br w:type="textWrapping"/>
      </w:r>
      <w:r>
        <w:rPr>
          <w:rFonts w:hint="eastAsia" w:ascii="新宋体" w:hAnsi="新宋体" w:eastAsia="新宋体" w:cs="新宋体"/>
          <w:i w:val="0"/>
          <w:caps w:val="0"/>
          <w:color w:val="auto"/>
          <w:spacing w:val="0"/>
          <w:kern w:val="0"/>
          <w:sz w:val="21"/>
          <w:szCs w:val="21"/>
          <w:highlight w:val="none"/>
        </w:rPr>
        <w:t>数量</w:t>
      </w:r>
      <w:r>
        <w:rPr>
          <w:rFonts w:hint="eastAsia" w:ascii="新宋体" w:hAnsi="新宋体" w:eastAsia="新宋体" w:cs="新宋体"/>
          <w:i w:val="0"/>
          <w:caps w:val="0"/>
          <w:color w:val="auto"/>
          <w:spacing w:val="0"/>
          <w:kern w:val="0"/>
          <w:sz w:val="21"/>
          <w:szCs w:val="21"/>
          <w:highlight w:val="none"/>
          <w:lang w:eastAsia="zh-CN"/>
        </w:rPr>
        <w:t>：</w:t>
      </w:r>
      <w:r>
        <w:rPr>
          <w:rFonts w:hint="eastAsia" w:ascii="新宋体" w:hAnsi="新宋体" w:eastAsia="新宋体" w:cs="新宋体"/>
          <w:i w:val="0"/>
          <w:caps w:val="0"/>
          <w:color w:val="auto"/>
          <w:spacing w:val="0"/>
          <w:kern w:val="0"/>
          <w:sz w:val="21"/>
          <w:szCs w:val="21"/>
          <w:highlight w:val="none"/>
        </w:rPr>
        <w:t>1</w:t>
      </w:r>
      <w:r>
        <w:rPr>
          <w:rFonts w:hint="eastAsia" w:ascii="新宋体" w:hAnsi="新宋体" w:eastAsia="新宋体" w:cs="新宋体"/>
          <w:i w:val="0"/>
          <w:caps w:val="0"/>
          <w:color w:val="auto"/>
          <w:spacing w:val="0"/>
          <w:kern w:val="0"/>
          <w:sz w:val="21"/>
          <w:szCs w:val="21"/>
          <w:highlight w:val="none"/>
        </w:rPr>
        <w:br w:type="textWrapping"/>
      </w:r>
      <w:r>
        <w:rPr>
          <w:rFonts w:hint="eastAsia" w:ascii="新宋体" w:hAnsi="新宋体" w:eastAsia="新宋体" w:cs="新宋体"/>
          <w:i w:val="0"/>
          <w:caps w:val="0"/>
          <w:color w:val="auto"/>
          <w:spacing w:val="0"/>
          <w:kern w:val="0"/>
          <w:sz w:val="21"/>
          <w:szCs w:val="21"/>
          <w:highlight w:val="none"/>
          <w:lang w:val="en-US" w:eastAsia="zh-CN"/>
        </w:rPr>
        <w:t>预算金额</w:t>
      </w:r>
      <w:r>
        <w:rPr>
          <w:rFonts w:hint="eastAsia" w:ascii="新宋体" w:hAnsi="新宋体" w:eastAsia="新宋体" w:cs="新宋体"/>
          <w:i w:val="0"/>
          <w:caps w:val="0"/>
          <w:color w:val="auto"/>
          <w:spacing w:val="0"/>
          <w:kern w:val="0"/>
          <w:sz w:val="21"/>
          <w:szCs w:val="21"/>
          <w:highlight w:val="none"/>
        </w:rPr>
        <w:t>（元）</w:t>
      </w:r>
      <w:r>
        <w:rPr>
          <w:rFonts w:hint="eastAsia" w:ascii="新宋体" w:hAnsi="新宋体" w:eastAsia="新宋体" w:cs="新宋体"/>
          <w:color w:val="auto"/>
          <w:kern w:val="0"/>
          <w:sz w:val="21"/>
          <w:szCs w:val="21"/>
          <w:highlight w:val="none"/>
          <w:u w:val="none"/>
          <w:lang w:val="en-US" w:eastAsia="zh-CN" w:bidi="ar"/>
        </w:rPr>
        <w:t>：2050000</w:t>
      </w:r>
      <w:r>
        <w:rPr>
          <w:rFonts w:hint="eastAsia" w:ascii="新宋体" w:hAnsi="新宋体" w:eastAsia="新宋体" w:cs="新宋体"/>
          <w:i w:val="0"/>
          <w:caps w:val="0"/>
          <w:color w:val="auto"/>
          <w:spacing w:val="0"/>
          <w:kern w:val="0"/>
          <w:sz w:val="21"/>
          <w:szCs w:val="21"/>
          <w:highlight w:val="none"/>
        </w:rPr>
        <w:br w:type="textWrapping"/>
      </w:r>
      <w:r>
        <w:rPr>
          <w:rFonts w:hint="eastAsia" w:ascii="新宋体" w:hAnsi="新宋体" w:eastAsia="新宋体" w:cs="新宋体"/>
          <w:i w:val="0"/>
          <w:caps w:val="0"/>
          <w:color w:val="auto"/>
          <w:spacing w:val="0"/>
          <w:kern w:val="0"/>
          <w:sz w:val="21"/>
          <w:szCs w:val="21"/>
          <w:highlight w:val="none"/>
        </w:rPr>
        <w:t>单位</w:t>
      </w:r>
      <w:r>
        <w:rPr>
          <w:rFonts w:hint="eastAsia" w:ascii="新宋体" w:hAnsi="新宋体" w:eastAsia="新宋体" w:cs="新宋体"/>
          <w:i w:val="0"/>
          <w:caps w:val="0"/>
          <w:color w:val="auto"/>
          <w:spacing w:val="0"/>
          <w:kern w:val="0"/>
          <w:sz w:val="21"/>
          <w:szCs w:val="21"/>
          <w:highlight w:val="none"/>
          <w:lang w:eastAsia="zh-CN"/>
        </w:rPr>
        <w:t>：</w:t>
      </w:r>
      <w:r>
        <w:rPr>
          <w:rFonts w:hint="eastAsia" w:ascii="新宋体" w:hAnsi="新宋体" w:eastAsia="新宋体" w:cs="新宋体"/>
          <w:i w:val="0"/>
          <w:caps w:val="0"/>
          <w:color w:val="auto"/>
          <w:spacing w:val="0"/>
          <w:kern w:val="0"/>
          <w:sz w:val="21"/>
          <w:szCs w:val="21"/>
          <w:highlight w:val="none"/>
        </w:rPr>
        <w:t>批 </w:t>
      </w:r>
      <w:r>
        <w:rPr>
          <w:rFonts w:hint="eastAsia" w:ascii="新宋体" w:hAnsi="新宋体" w:eastAsia="新宋体" w:cs="新宋体"/>
          <w:i w:val="0"/>
          <w:caps w:val="0"/>
          <w:color w:val="auto"/>
          <w:spacing w:val="0"/>
          <w:kern w:val="0"/>
          <w:sz w:val="21"/>
          <w:szCs w:val="21"/>
          <w:highlight w:val="none"/>
        </w:rPr>
        <w:br w:type="textWrapping"/>
      </w:r>
      <w:r>
        <w:rPr>
          <w:rFonts w:hint="eastAsia" w:ascii="新宋体" w:hAnsi="新宋体" w:eastAsia="新宋体" w:cs="新宋体"/>
          <w:i w:val="0"/>
          <w:caps w:val="0"/>
          <w:color w:val="auto"/>
          <w:spacing w:val="0"/>
          <w:kern w:val="0"/>
          <w:sz w:val="21"/>
          <w:szCs w:val="21"/>
          <w:highlight w:val="none"/>
        </w:rPr>
        <w:t>简要规格描述或项目基本概况介绍、用途：为学校、商超、福利院、养老院等人员密集场所安装地震预警终端。</w:t>
      </w:r>
      <w:r>
        <w:rPr>
          <w:rFonts w:hint="eastAsia" w:ascii="新宋体" w:hAnsi="新宋体" w:eastAsia="新宋体" w:cs="新宋体"/>
          <w:i w:val="0"/>
          <w:caps w:val="0"/>
          <w:color w:val="auto"/>
          <w:spacing w:val="0"/>
          <w:kern w:val="0"/>
          <w:sz w:val="21"/>
          <w:szCs w:val="21"/>
          <w:highlight w:val="none"/>
        </w:rPr>
        <w:br w:type="textWrapping"/>
      </w:r>
      <w:r>
        <w:rPr>
          <w:rFonts w:hint="eastAsia" w:ascii="新宋体" w:hAnsi="新宋体" w:eastAsia="新宋体" w:cs="新宋体"/>
          <w:i w:val="0"/>
          <w:caps w:val="0"/>
          <w:color w:val="auto"/>
          <w:spacing w:val="0"/>
          <w:kern w:val="0"/>
          <w:sz w:val="21"/>
          <w:szCs w:val="21"/>
          <w:highlight w:val="none"/>
        </w:rPr>
        <w:t>备注：</w:t>
      </w:r>
      <w:r>
        <w:rPr>
          <w:rFonts w:hint="eastAsia" w:ascii="新宋体" w:hAnsi="新宋体" w:eastAsia="新宋体" w:cs="新宋体"/>
          <w:i w:val="0"/>
          <w:caps w:val="0"/>
          <w:color w:val="auto"/>
          <w:spacing w:val="0"/>
          <w:kern w:val="0"/>
          <w:sz w:val="21"/>
          <w:szCs w:val="21"/>
          <w:highlight w:val="none"/>
          <w:lang w:val="en-US" w:eastAsia="zh-CN"/>
        </w:rPr>
        <w:t>具体详见招标文件采购内容及参数要求。</w:t>
      </w:r>
    </w:p>
    <w:p w14:paraId="68751F14">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20" w:firstLineChars="200"/>
        <w:jc w:val="left"/>
        <w:textAlignment w:val="auto"/>
        <w:rPr>
          <w:rFonts w:hint="eastAsia" w:ascii="新宋体" w:hAnsi="新宋体" w:eastAsia="新宋体" w:cs="新宋体"/>
          <w:i w:val="0"/>
          <w:caps w:val="0"/>
          <w:color w:val="auto"/>
          <w:spacing w:val="0"/>
          <w:kern w:val="0"/>
          <w:sz w:val="21"/>
          <w:szCs w:val="21"/>
          <w:highlight w:val="none"/>
          <w:u w:val="none"/>
          <w:lang w:val="en-US" w:eastAsia="zh-CN"/>
        </w:rPr>
      </w:pPr>
      <w:r>
        <w:rPr>
          <w:rFonts w:hint="eastAsia" w:ascii="新宋体" w:hAnsi="新宋体" w:eastAsia="新宋体" w:cs="新宋体"/>
          <w:i w:val="0"/>
          <w:caps w:val="0"/>
          <w:color w:val="auto"/>
          <w:spacing w:val="0"/>
          <w:kern w:val="0"/>
          <w:sz w:val="21"/>
          <w:szCs w:val="21"/>
          <w:highlight w:val="none"/>
        </w:rPr>
        <w:t>合同履行期限：</w:t>
      </w:r>
      <w:r>
        <w:rPr>
          <w:rFonts w:hint="eastAsia" w:ascii="新宋体" w:hAnsi="新宋体" w:eastAsia="新宋体" w:cs="新宋体"/>
          <w:i w:val="0"/>
          <w:caps w:val="0"/>
          <w:color w:val="auto"/>
          <w:spacing w:val="0"/>
          <w:kern w:val="0"/>
          <w:sz w:val="21"/>
          <w:szCs w:val="21"/>
          <w:highlight w:val="none"/>
          <w:lang w:eastAsia="zh-CN"/>
        </w:rPr>
        <w:t>标项</w:t>
      </w:r>
      <w:r>
        <w:rPr>
          <w:rFonts w:hint="eastAsia" w:ascii="新宋体" w:hAnsi="新宋体" w:eastAsia="新宋体" w:cs="新宋体"/>
          <w:i w:val="0"/>
          <w:caps w:val="0"/>
          <w:color w:val="auto"/>
          <w:spacing w:val="0"/>
          <w:kern w:val="0"/>
          <w:sz w:val="21"/>
          <w:szCs w:val="21"/>
          <w:highlight w:val="none"/>
          <w:lang w:val="en-US" w:eastAsia="zh-CN"/>
        </w:rPr>
        <w:t>1，以签订合同为准。</w:t>
      </w:r>
      <w:r>
        <w:rPr>
          <w:rFonts w:hint="eastAsia" w:ascii="新宋体" w:hAnsi="新宋体" w:eastAsia="新宋体" w:cs="新宋体"/>
          <w:i w:val="0"/>
          <w:caps w:val="0"/>
          <w:color w:val="auto"/>
          <w:spacing w:val="0"/>
          <w:kern w:val="0"/>
          <w:sz w:val="21"/>
          <w:szCs w:val="21"/>
          <w:highlight w:val="none"/>
        </w:rPr>
        <w:t xml:space="preserve"> </w:t>
      </w:r>
    </w:p>
    <w:p w14:paraId="6084E4F8">
      <w:pPr>
        <w:pStyle w:val="10"/>
        <w:keepNext w:val="0"/>
        <w:keepLines w:val="0"/>
        <w:pageBreakBefore w:val="0"/>
        <w:tabs>
          <w:tab w:val="left" w:pos="562"/>
          <w:tab w:val="left" w:pos="3372"/>
          <w:tab w:val="left" w:pos="3653"/>
        </w:tabs>
        <w:kinsoku/>
        <w:wordWrap/>
        <w:overflowPunct/>
        <w:topLinePunct w:val="0"/>
        <w:autoSpaceDN/>
        <w:bidi w:val="0"/>
        <w:adjustRightInd/>
        <w:snapToGrid/>
        <w:spacing w:line="380" w:lineRule="exact"/>
        <w:ind w:firstLine="420" w:firstLineChars="200"/>
        <w:textAlignment w:val="auto"/>
        <w:rPr>
          <w:rFonts w:hint="eastAsia" w:ascii="新宋体" w:hAnsi="新宋体" w:eastAsia="新宋体" w:cs="新宋体"/>
          <w:i w:val="0"/>
          <w:caps w:val="0"/>
          <w:color w:val="auto"/>
          <w:spacing w:val="0"/>
          <w:kern w:val="0"/>
          <w:sz w:val="21"/>
          <w:szCs w:val="21"/>
          <w:highlight w:val="none"/>
          <w:lang w:val="en-US" w:eastAsia="zh-CN" w:bidi="ar-SA"/>
        </w:rPr>
      </w:pPr>
      <w:r>
        <w:rPr>
          <w:rFonts w:hint="eastAsia" w:ascii="新宋体" w:hAnsi="新宋体" w:eastAsia="新宋体" w:cs="新宋体"/>
          <w:i w:val="0"/>
          <w:caps w:val="0"/>
          <w:color w:val="auto"/>
          <w:spacing w:val="0"/>
          <w:kern w:val="0"/>
          <w:sz w:val="21"/>
          <w:szCs w:val="21"/>
          <w:highlight w:val="none"/>
          <w:lang w:val="en-US" w:eastAsia="zh-CN" w:bidi="ar-SA"/>
        </w:rPr>
        <w:t>本项目（否）接受联合体投标</w:t>
      </w:r>
    </w:p>
    <w:p w14:paraId="6E17D36B">
      <w:pPr>
        <w:pStyle w:val="25"/>
        <w:keepNext w:val="0"/>
        <w:keepLines w:val="0"/>
        <w:pageBreakBefore w:val="0"/>
        <w:kinsoku/>
        <w:wordWrap/>
        <w:overflowPunct/>
        <w:topLinePunct w:val="0"/>
        <w:autoSpaceDE w:val="0"/>
        <w:autoSpaceDN/>
        <w:bidi w:val="0"/>
        <w:adjustRightInd/>
        <w:snapToGrid/>
        <w:spacing w:before="255" w:beforeAutospacing="0" w:after="255" w:afterAutospacing="0" w:line="380" w:lineRule="exact"/>
        <w:ind w:firstLine="422" w:firstLineChars="200"/>
        <w:jc w:val="both"/>
        <w:textAlignment w:val="auto"/>
        <w:rPr>
          <w:rFonts w:hint="eastAsia" w:ascii="新宋体" w:hAnsi="新宋体" w:eastAsia="新宋体" w:cs="新宋体"/>
          <w:b/>
          <w:color w:val="auto"/>
          <w:sz w:val="21"/>
          <w:szCs w:val="21"/>
          <w:highlight w:val="none"/>
        </w:rPr>
      </w:pPr>
      <w:r>
        <w:rPr>
          <w:rFonts w:hint="eastAsia" w:ascii="新宋体" w:hAnsi="新宋体" w:eastAsia="新宋体" w:cs="新宋体"/>
          <w:b/>
          <w:color w:val="auto"/>
          <w:sz w:val="21"/>
          <w:szCs w:val="21"/>
          <w:highlight w:val="none"/>
        </w:rPr>
        <w:t>二、申请人的资格要求：</w:t>
      </w:r>
    </w:p>
    <w:p w14:paraId="223F41BA">
      <w:pPr>
        <w:pStyle w:val="25"/>
        <w:keepNext w:val="0"/>
        <w:keepLines w:val="0"/>
        <w:pageBreakBefore w:val="0"/>
        <w:kinsoku/>
        <w:wordWrap/>
        <w:overflowPunct/>
        <w:topLinePunct w:val="0"/>
        <w:autoSpaceDE w:val="0"/>
        <w:autoSpaceDN/>
        <w:bidi w:val="0"/>
        <w:adjustRightInd/>
        <w:snapToGrid/>
        <w:spacing w:before="255" w:beforeAutospacing="0" w:after="255" w:afterAutospacing="0" w:line="380" w:lineRule="exact"/>
        <w:ind w:firstLine="420" w:firstLineChars="200"/>
        <w:jc w:val="both"/>
        <w:textAlignment w:val="auto"/>
        <w:rPr>
          <w:rFonts w:hint="eastAsia" w:ascii="新宋体" w:hAnsi="新宋体" w:eastAsia="新宋体" w:cs="新宋体"/>
          <w:bCs/>
          <w:color w:val="auto"/>
          <w:sz w:val="21"/>
          <w:szCs w:val="21"/>
          <w:highlight w:val="none"/>
        </w:rPr>
      </w:pPr>
      <w:r>
        <w:rPr>
          <w:rFonts w:hint="eastAsia" w:ascii="新宋体" w:hAnsi="新宋体" w:eastAsia="新宋体" w:cs="新宋体"/>
          <w:bCs/>
          <w:color w:val="auto"/>
          <w:sz w:val="21"/>
          <w:szCs w:val="21"/>
          <w:highlight w:val="none"/>
        </w:rPr>
        <w:t>1.满足《中华人民共和国政府采购法》第二十二条规定；</w:t>
      </w:r>
    </w:p>
    <w:p w14:paraId="364E65FA">
      <w:pPr>
        <w:pStyle w:val="25"/>
        <w:keepNext w:val="0"/>
        <w:keepLines w:val="0"/>
        <w:pageBreakBefore w:val="0"/>
        <w:kinsoku/>
        <w:wordWrap/>
        <w:overflowPunct/>
        <w:topLinePunct w:val="0"/>
        <w:autoSpaceDE w:val="0"/>
        <w:autoSpaceDN/>
        <w:bidi w:val="0"/>
        <w:adjustRightInd/>
        <w:snapToGrid/>
        <w:spacing w:before="75" w:beforeAutospacing="0" w:after="75" w:afterAutospacing="0" w:line="380" w:lineRule="exact"/>
        <w:ind w:firstLine="420" w:firstLineChars="200"/>
        <w:textAlignment w:val="auto"/>
        <w:rPr>
          <w:rFonts w:hint="default" w:ascii="新宋体" w:hAnsi="新宋体" w:eastAsia="新宋体" w:cs="新宋体"/>
          <w:color w:val="auto"/>
          <w:sz w:val="21"/>
          <w:szCs w:val="21"/>
          <w:highlight w:val="none"/>
          <w:lang w:val="en-US" w:eastAsia="zh-CN" w:bidi="ar"/>
        </w:rPr>
      </w:pPr>
      <w:r>
        <w:rPr>
          <w:rFonts w:hint="eastAsia" w:ascii="新宋体" w:hAnsi="新宋体" w:eastAsia="新宋体" w:cs="新宋体"/>
          <w:color w:val="auto"/>
          <w:sz w:val="21"/>
          <w:szCs w:val="21"/>
          <w:highlight w:val="none"/>
          <w:lang w:bidi="ar"/>
        </w:rPr>
        <w:t>2.落实政府采购政策需满足的资格要求：</w:t>
      </w:r>
      <w:r>
        <w:rPr>
          <w:rFonts w:hint="eastAsia" w:ascii="新宋体" w:hAnsi="新宋体" w:eastAsia="新宋体" w:cs="新宋体"/>
          <w:color w:val="auto"/>
          <w:sz w:val="21"/>
          <w:szCs w:val="21"/>
          <w:highlight w:val="none"/>
          <w:lang w:val="en-US" w:eastAsia="zh-CN" w:bidi="ar"/>
        </w:rPr>
        <w:t>标项1：本项目为非专门面向中小企业，根据《政府采购促进中小企业发展管理办法》（财库【2020】46号）及（财库[2022]19号）的规定，评标时将给予此类企业进行价格扣除10%的优惠，用优惠后的价格参与评审。</w:t>
      </w:r>
    </w:p>
    <w:p w14:paraId="4FC89E5C">
      <w:pPr>
        <w:pStyle w:val="25"/>
        <w:keepNext w:val="0"/>
        <w:keepLines w:val="0"/>
        <w:pageBreakBefore w:val="0"/>
        <w:kinsoku/>
        <w:wordWrap/>
        <w:overflowPunct/>
        <w:topLinePunct w:val="0"/>
        <w:autoSpaceDE w:val="0"/>
        <w:autoSpaceDN/>
        <w:bidi w:val="0"/>
        <w:adjustRightInd/>
        <w:snapToGrid/>
        <w:spacing w:before="75" w:beforeAutospacing="0" w:after="75" w:afterAutospacing="0" w:line="380" w:lineRule="exact"/>
        <w:ind w:firstLine="420" w:firstLineChars="200"/>
        <w:textAlignment w:val="auto"/>
        <w:rPr>
          <w:rFonts w:hint="eastAsia" w:ascii="新宋体" w:hAnsi="新宋体" w:eastAsia="新宋体" w:cs="新宋体"/>
          <w:color w:val="auto"/>
          <w:sz w:val="21"/>
          <w:szCs w:val="21"/>
          <w:highlight w:val="none"/>
          <w:lang w:bidi="ar"/>
        </w:rPr>
      </w:pPr>
      <w:r>
        <w:rPr>
          <w:rFonts w:hint="eastAsia" w:ascii="新宋体" w:hAnsi="新宋体" w:eastAsia="新宋体" w:cs="新宋体"/>
          <w:color w:val="auto"/>
          <w:sz w:val="21"/>
          <w:szCs w:val="21"/>
          <w:highlight w:val="none"/>
          <w:lang w:bidi="ar"/>
        </w:rPr>
        <w:t>3.本项目的特定资格要求：</w:t>
      </w:r>
    </w:p>
    <w:p w14:paraId="2F177776">
      <w:pPr>
        <w:pStyle w:val="25"/>
        <w:keepNext w:val="0"/>
        <w:keepLines w:val="0"/>
        <w:pageBreakBefore w:val="0"/>
        <w:kinsoku/>
        <w:wordWrap/>
        <w:overflowPunct/>
        <w:topLinePunct w:val="0"/>
        <w:autoSpaceDE w:val="0"/>
        <w:autoSpaceDN/>
        <w:bidi w:val="0"/>
        <w:adjustRightInd/>
        <w:snapToGrid/>
        <w:spacing w:before="75" w:beforeAutospacing="0" w:after="75" w:afterAutospacing="0" w:line="380" w:lineRule="exact"/>
        <w:ind w:firstLine="420" w:firstLineChars="200"/>
        <w:textAlignment w:val="auto"/>
        <w:rPr>
          <w:rFonts w:hint="eastAsia" w:ascii="新宋体" w:hAnsi="新宋体" w:eastAsia="新宋体" w:cs="新宋体"/>
          <w:color w:val="auto"/>
          <w:sz w:val="21"/>
          <w:szCs w:val="21"/>
          <w:highlight w:val="none"/>
          <w:lang w:val="en-US" w:eastAsia="zh-CN" w:bidi="ar"/>
        </w:rPr>
      </w:pPr>
      <w:r>
        <w:rPr>
          <w:rFonts w:hint="eastAsia" w:ascii="新宋体" w:hAnsi="新宋体" w:eastAsia="新宋体" w:cs="新宋体"/>
          <w:color w:val="auto"/>
          <w:sz w:val="21"/>
          <w:szCs w:val="21"/>
          <w:highlight w:val="none"/>
          <w:lang w:bidi="ar"/>
        </w:rPr>
        <w:t>【标项</w:t>
      </w:r>
      <w:r>
        <w:rPr>
          <w:rFonts w:hint="eastAsia" w:ascii="新宋体" w:hAnsi="新宋体" w:eastAsia="新宋体" w:cs="新宋体"/>
          <w:color w:val="auto"/>
          <w:sz w:val="21"/>
          <w:szCs w:val="21"/>
          <w:highlight w:val="none"/>
          <w:lang w:val="en-US" w:eastAsia="zh-CN" w:bidi="ar"/>
        </w:rPr>
        <w:t>1</w:t>
      </w:r>
      <w:r>
        <w:rPr>
          <w:rFonts w:hint="eastAsia" w:ascii="新宋体" w:hAnsi="新宋体" w:eastAsia="新宋体" w:cs="新宋体"/>
          <w:color w:val="auto"/>
          <w:sz w:val="21"/>
          <w:szCs w:val="21"/>
          <w:highlight w:val="none"/>
          <w:lang w:bidi="ar"/>
        </w:rPr>
        <w:t>】</w:t>
      </w:r>
      <w:r>
        <w:rPr>
          <w:rFonts w:hint="eastAsia" w:ascii="新宋体" w:hAnsi="新宋体" w:eastAsia="新宋体" w:cs="新宋体"/>
          <w:color w:val="auto"/>
          <w:sz w:val="21"/>
          <w:szCs w:val="21"/>
          <w:highlight w:val="none"/>
          <w:lang w:val="en-US" w:eastAsia="zh-CN" w:bidi="ar"/>
        </w:rPr>
        <w:t xml:space="preserve">  </w:t>
      </w:r>
    </w:p>
    <w:p w14:paraId="7A617AFC">
      <w:pPr>
        <w:pStyle w:val="25"/>
        <w:keepNext w:val="0"/>
        <w:keepLines w:val="0"/>
        <w:pageBreakBefore w:val="0"/>
        <w:kinsoku/>
        <w:wordWrap/>
        <w:overflowPunct/>
        <w:topLinePunct w:val="0"/>
        <w:autoSpaceDE w:val="0"/>
        <w:autoSpaceDN/>
        <w:bidi w:val="0"/>
        <w:adjustRightInd/>
        <w:snapToGrid/>
        <w:spacing w:before="75" w:beforeAutospacing="0" w:after="75" w:afterAutospacing="0" w:line="380" w:lineRule="exact"/>
        <w:ind w:firstLine="420" w:firstLineChars="200"/>
        <w:textAlignment w:val="auto"/>
        <w:rPr>
          <w:rFonts w:hint="default" w:ascii="新宋体" w:hAnsi="新宋体" w:eastAsia="新宋体" w:cs="新宋体"/>
          <w:color w:val="auto"/>
          <w:sz w:val="21"/>
          <w:szCs w:val="21"/>
          <w:highlight w:val="none"/>
          <w:lang w:val="en-US" w:eastAsia="zh-CN" w:bidi="ar"/>
        </w:rPr>
      </w:pPr>
      <w:r>
        <w:rPr>
          <w:rFonts w:hint="default" w:ascii="新宋体" w:hAnsi="新宋体" w:eastAsia="新宋体" w:cs="新宋体"/>
          <w:color w:val="auto"/>
          <w:sz w:val="21"/>
          <w:szCs w:val="21"/>
          <w:highlight w:val="none"/>
          <w:lang w:val="en-US" w:eastAsia="zh-CN" w:bidi="ar"/>
        </w:rPr>
        <w:t>1).具备三证合一营业执照副本；</w:t>
      </w:r>
    </w:p>
    <w:p w14:paraId="74D7775B">
      <w:pPr>
        <w:pStyle w:val="25"/>
        <w:keepNext w:val="0"/>
        <w:keepLines w:val="0"/>
        <w:pageBreakBefore w:val="0"/>
        <w:kinsoku/>
        <w:wordWrap/>
        <w:overflowPunct/>
        <w:topLinePunct w:val="0"/>
        <w:autoSpaceDE w:val="0"/>
        <w:autoSpaceDN/>
        <w:bidi w:val="0"/>
        <w:adjustRightInd/>
        <w:snapToGrid/>
        <w:spacing w:before="75" w:beforeAutospacing="0" w:after="75" w:afterAutospacing="0" w:line="380" w:lineRule="exact"/>
        <w:ind w:firstLine="420" w:firstLineChars="200"/>
        <w:textAlignment w:val="auto"/>
        <w:rPr>
          <w:rFonts w:hint="default" w:ascii="新宋体" w:hAnsi="新宋体" w:eastAsia="新宋体" w:cs="新宋体"/>
          <w:color w:val="auto"/>
          <w:sz w:val="21"/>
          <w:szCs w:val="21"/>
          <w:highlight w:val="none"/>
          <w:lang w:val="en-US" w:eastAsia="zh-CN" w:bidi="ar"/>
        </w:rPr>
      </w:pPr>
      <w:r>
        <w:rPr>
          <w:rFonts w:hint="default" w:ascii="新宋体" w:hAnsi="新宋体" w:eastAsia="新宋体" w:cs="新宋体"/>
          <w:color w:val="auto"/>
          <w:sz w:val="21"/>
          <w:szCs w:val="21"/>
          <w:highlight w:val="none"/>
          <w:lang w:val="en-US" w:eastAsia="zh-CN" w:bidi="ar"/>
        </w:rPr>
        <w:t>2).法定代表人投标需提供法定代表人资格证明书，委托代理人投标需提供法定代表人授权委托书；</w:t>
      </w:r>
    </w:p>
    <w:p w14:paraId="5680DA2B">
      <w:pPr>
        <w:pStyle w:val="25"/>
        <w:keepNext w:val="0"/>
        <w:keepLines w:val="0"/>
        <w:pageBreakBefore w:val="0"/>
        <w:kinsoku/>
        <w:wordWrap/>
        <w:overflowPunct/>
        <w:topLinePunct w:val="0"/>
        <w:autoSpaceDE w:val="0"/>
        <w:autoSpaceDN/>
        <w:bidi w:val="0"/>
        <w:adjustRightInd/>
        <w:snapToGrid/>
        <w:spacing w:before="75" w:beforeAutospacing="0" w:after="75" w:afterAutospacing="0" w:line="380" w:lineRule="exact"/>
        <w:ind w:firstLine="420" w:firstLineChars="200"/>
        <w:textAlignment w:val="auto"/>
        <w:rPr>
          <w:rFonts w:hint="default" w:ascii="新宋体" w:hAnsi="新宋体" w:eastAsia="新宋体" w:cs="新宋体"/>
          <w:color w:val="auto"/>
          <w:sz w:val="21"/>
          <w:szCs w:val="21"/>
          <w:highlight w:val="none"/>
          <w:lang w:val="en-US" w:eastAsia="zh-CN" w:bidi="ar"/>
        </w:rPr>
      </w:pPr>
      <w:r>
        <w:rPr>
          <w:rFonts w:hint="default" w:ascii="新宋体" w:hAnsi="新宋体" w:eastAsia="新宋体" w:cs="新宋体"/>
          <w:color w:val="auto"/>
          <w:sz w:val="21"/>
          <w:szCs w:val="21"/>
          <w:highlight w:val="none"/>
          <w:lang w:val="en-US" w:eastAsia="zh-CN" w:bidi="ar"/>
        </w:rPr>
        <w:t>3).投标企业须提供投标人（被授权在职人员）近六个月内任意一个月社保证明；</w:t>
      </w:r>
    </w:p>
    <w:p w14:paraId="749C54D6">
      <w:pPr>
        <w:pStyle w:val="13"/>
        <w:keepNext w:val="0"/>
        <w:keepLines w:val="0"/>
        <w:pageBreakBefore w:val="0"/>
        <w:shd w:val="clear" w:color="auto" w:fill="auto"/>
        <w:kinsoku/>
        <w:wordWrap/>
        <w:overflowPunct/>
        <w:topLinePunct w:val="0"/>
        <w:autoSpaceDE/>
        <w:autoSpaceDN/>
        <w:bidi w:val="0"/>
        <w:adjustRightInd/>
        <w:snapToGrid w:val="0"/>
        <w:spacing w:line="380" w:lineRule="exact"/>
        <w:ind w:firstLine="420" w:firstLineChars="200"/>
        <w:jc w:val="left"/>
        <w:textAlignment w:val="auto"/>
        <w:outlineLvl w:val="9"/>
        <w:rPr>
          <w:rFonts w:hint="default" w:ascii="新宋体" w:hAnsi="新宋体" w:eastAsia="新宋体" w:cs="新宋体"/>
          <w:color w:val="auto"/>
          <w:sz w:val="21"/>
          <w:szCs w:val="21"/>
          <w:highlight w:val="none"/>
          <w:lang w:val="en-US" w:eastAsia="zh-CN" w:bidi="ar"/>
        </w:rPr>
      </w:pPr>
      <w:r>
        <w:rPr>
          <w:rFonts w:hint="default" w:ascii="新宋体" w:hAnsi="新宋体" w:eastAsia="新宋体" w:cs="新宋体"/>
          <w:color w:val="auto"/>
          <w:sz w:val="21"/>
          <w:szCs w:val="21"/>
          <w:highlight w:val="none"/>
          <w:lang w:val="en-US" w:eastAsia="zh-CN" w:bidi="ar"/>
        </w:rPr>
        <w:t>4).</w:t>
      </w:r>
      <w:r>
        <w:rPr>
          <w:rFonts w:hint="eastAsia" w:ascii="新宋体" w:hAnsi="新宋体" w:eastAsia="新宋体" w:cs="新宋体"/>
          <w:color w:val="auto"/>
          <w:sz w:val="21"/>
          <w:szCs w:val="21"/>
          <w:highlight w:val="none"/>
          <w:lang w:val="en-US" w:eastAsia="zh-CN" w:bidi="ar"/>
        </w:rPr>
        <w:t>参加政府采购活动前三年内，在经营活动中没有重大违法记录；未被“信用中国”（www.creditchina.gov.cn）及中国政府采购网 (www.ccgp.gov.cn）列入失信被执行人名单、重大税收违法失信主体、政府采购严重违法失信行为记录名单</w:t>
      </w:r>
      <w:r>
        <w:rPr>
          <w:rFonts w:hint="default" w:ascii="新宋体" w:hAnsi="新宋体" w:eastAsia="新宋体" w:cs="新宋体"/>
          <w:color w:val="auto"/>
          <w:sz w:val="21"/>
          <w:szCs w:val="21"/>
          <w:highlight w:val="none"/>
          <w:lang w:val="en-US" w:eastAsia="zh-CN" w:bidi="ar"/>
        </w:rPr>
        <w:t>。</w:t>
      </w:r>
    </w:p>
    <w:p w14:paraId="37CE312B">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22"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b/>
          <w:bCs/>
          <w:color w:val="auto"/>
          <w:kern w:val="0"/>
          <w:sz w:val="21"/>
          <w:szCs w:val="21"/>
          <w:highlight w:val="none"/>
          <w:u w:val="none"/>
          <w:lang w:val="en-US" w:eastAsia="zh-CN" w:bidi="ar"/>
        </w:rPr>
        <w:t>三、获取招标文件</w:t>
      </w:r>
    </w:p>
    <w:p w14:paraId="27535F36">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时间：2026年9月14日至2026年9月20日，每天上午10:00至14:00，下午16:00至20:00（北京时间，法定节假日除外）</w:t>
      </w:r>
    </w:p>
    <w:p w14:paraId="1131BE06">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地点：供应商登陆政采云平台http://www.zcygov.cn/，在线申请获取招标文件（登录政府采购云平台 → 项目采购 → 获取招标文件，如有操作性问题，可与政采云在线客服进行咨询，咨询电话：95763）。</w:t>
      </w:r>
    </w:p>
    <w:p w14:paraId="20FC77FC">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方式：（1）线上获取（登录政府采购云平台 → 项目采购 → 获取招标文件）。本次招标不提供纸质版招标文件。</w:t>
      </w:r>
    </w:p>
    <w:p w14:paraId="5863C139">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（2）供应商获取招标文件前应注册成为政府采购云平台正式供应商。</w:t>
      </w:r>
    </w:p>
    <w:p w14:paraId="1231ADEA">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售价（元）：0</w:t>
      </w:r>
    </w:p>
    <w:p w14:paraId="07F9F379">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22" w:firstLineChars="200"/>
        <w:jc w:val="left"/>
        <w:textAlignment w:val="auto"/>
        <w:rPr>
          <w:rFonts w:hint="eastAsia" w:ascii="新宋体" w:hAnsi="新宋体" w:eastAsia="新宋体" w:cs="新宋体"/>
          <w:b/>
          <w:bCs/>
          <w:color w:val="auto"/>
          <w:kern w:val="0"/>
          <w:sz w:val="21"/>
          <w:szCs w:val="21"/>
          <w:highlight w:val="none"/>
          <w:u w:val="none"/>
          <w:lang w:val="en-US" w:eastAsia="zh-CN" w:bidi="ar"/>
        </w:rPr>
      </w:pPr>
      <w:r>
        <w:rPr>
          <w:rFonts w:hint="eastAsia" w:ascii="新宋体" w:hAnsi="新宋体" w:eastAsia="新宋体" w:cs="新宋体"/>
          <w:b/>
          <w:bCs/>
          <w:color w:val="auto"/>
          <w:kern w:val="0"/>
          <w:sz w:val="21"/>
          <w:szCs w:val="21"/>
          <w:highlight w:val="none"/>
          <w:u w:val="none"/>
          <w:lang w:val="en-US" w:eastAsia="zh-CN" w:bidi="ar"/>
        </w:rPr>
        <w:t>四、提交投标文件截止时间、开标时间和地点</w:t>
      </w:r>
    </w:p>
    <w:p w14:paraId="5C20F191">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提交投标文件截止时间：2026年10月8日 10：15 （北京时间）</w:t>
      </w:r>
    </w:p>
    <w:p w14:paraId="42C7ACD8">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投标地点：请登录政采云投标客户端投标</w:t>
      </w:r>
    </w:p>
    <w:p w14:paraId="7C34AF04">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开标时间：2026年10月8日 10：15 （北京时间）</w:t>
      </w:r>
    </w:p>
    <w:p w14:paraId="09821E36">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开标地点：投标人登录政采云平台https://www.zcygov.cn/，进入“项目采购-开标评标-右边选择对应项目点击“进入项目”进入开标大厅</w:t>
      </w:r>
    </w:p>
    <w:p w14:paraId="3C3324D5">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22" w:firstLineChars="200"/>
        <w:jc w:val="left"/>
        <w:textAlignment w:val="auto"/>
        <w:rPr>
          <w:rFonts w:hint="eastAsia" w:ascii="新宋体" w:hAnsi="新宋体" w:eastAsia="新宋体" w:cs="新宋体"/>
          <w:b/>
          <w:bCs/>
          <w:color w:val="auto"/>
          <w:kern w:val="0"/>
          <w:sz w:val="21"/>
          <w:szCs w:val="21"/>
          <w:highlight w:val="none"/>
          <w:u w:val="none"/>
          <w:lang w:val="en-US" w:eastAsia="zh-CN" w:bidi="ar"/>
        </w:rPr>
      </w:pPr>
      <w:r>
        <w:rPr>
          <w:rFonts w:hint="eastAsia" w:ascii="新宋体" w:hAnsi="新宋体" w:eastAsia="新宋体" w:cs="新宋体"/>
          <w:b/>
          <w:bCs/>
          <w:color w:val="auto"/>
          <w:kern w:val="0"/>
          <w:sz w:val="21"/>
          <w:szCs w:val="21"/>
          <w:highlight w:val="none"/>
          <w:u w:val="none"/>
          <w:lang w:val="en-US" w:eastAsia="zh-CN" w:bidi="ar"/>
        </w:rPr>
        <w:t>五、公告期限</w:t>
      </w:r>
    </w:p>
    <w:p w14:paraId="4440F43B">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自本公告发布之日起5个工作日</w:t>
      </w:r>
    </w:p>
    <w:p w14:paraId="552FCBE1">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22" w:firstLineChars="200"/>
        <w:jc w:val="left"/>
        <w:textAlignment w:val="auto"/>
        <w:rPr>
          <w:rFonts w:hint="eastAsia" w:ascii="新宋体" w:hAnsi="新宋体" w:eastAsia="新宋体" w:cs="新宋体"/>
          <w:b/>
          <w:bCs/>
          <w:color w:val="auto"/>
          <w:kern w:val="0"/>
          <w:sz w:val="21"/>
          <w:szCs w:val="21"/>
          <w:highlight w:val="none"/>
          <w:u w:val="none"/>
          <w:lang w:val="en-US" w:eastAsia="zh-CN" w:bidi="ar"/>
        </w:rPr>
      </w:pPr>
      <w:r>
        <w:rPr>
          <w:rFonts w:hint="eastAsia" w:ascii="新宋体" w:hAnsi="新宋体" w:eastAsia="新宋体" w:cs="新宋体"/>
          <w:b/>
          <w:bCs/>
          <w:color w:val="auto"/>
          <w:kern w:val="0"/>
          <w:sz w:val="21"/>
          <w:szCs w:val="21"/>
          <w:highlight w:val="none"/>
          <w:u w:val="none"/>
          <w:lang w:val="en-US" w:eastAsia="zh-CN" w:bidi="ar"/>
        </w:rPr>
        <w:t>六、其他补充事宜</w:t>
      </w:r>
    </w:p>
    <w:p w14:paraId="15A95778">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0" w:firstLineChars="200"/>
        <w:jc w:val="left"/>
        <w:textAlignment w:val="auto"/>
        <w:rPr>
          <w:rFonts w:hint="default"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1、本项目实行网上投标，采用电子投标文件。</w:t>
      </w:r>
    </w:p>
    <w:p w14:paraId="277C526D">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0" w:firstLineChars="200"/>
        <w:jc w:val="left"/>
        <w:textAlignment w:val="auto"/>
        <w:rPr>
          <w:rFonts w:hint="default"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2、各供应商应在开标前确保成为正式注册入库供应商，并完成CA数字证书(符合国密标准)申领。因未注册入库、未办理CA数字证书等原因造成无法投标或投标失败等后果由供应商自行承担。如需咨询，请联系新疆-安信CA服务热线18399999326；翔晟CA服务热线025-66085508；新疆CA服务热线4000921999。</w:t>
      </w:r>
    </w:p>
    <w:p w14:paraId="639422C3">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0" w:firstLineChars="200"/>
        <w:jc w:val="left"/>
        <w:textAlignment w:val="auto"/>
        <w:rPr>
          <w:rFonts w:hint="default"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3、供应商将政采云电子交易客户端下载、安装完成后，可通过账号密码或CA登录客户端进行投标文件的制作。在使用政采云投标客户端时，建议使用WIN7及以上操作系统。</w:t>
      </w:r>
    </w:p>
    <w:p w14:paraId="5A4D455F">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0" w:firstLineChars="200"/>
        <w:jc w:val="left"/>
        <w:textAlignment w:val="auto"/>
        <w:rPr>
          <w:rFonts w:hint="default" w:ascii="仿宋" w:hAnsi="仿宋" w:eastAsia="仿宋" w:cs="仿宋"/>
          <w:b/>
          <w:bCs/>
          <w:i w:val="0"/>
          <w:iCs w:val="0"/>
          <w:caps w:val="0"/>
          <w:color w:val="auto"/>
          <w:spacing w:val="0"/>
          <w:kern w:val="0"/>
          <w:sz w:val="21"/>
          <w:szCs w:val="21"/>
          <w:highlight w:val="none"/>
          <w:lang w:val="en-US" w:eastAsia="zh-CN" w:bidi="ar"/>
        </w:rPr>
      </w:pPr>
      <w:r>
        <w:rPr>
          <w:rFonts w:hint="eastAsia" w:ascii="新宋体" w:hAnsi="新宋体" w:eastAsia="新宋体" w:cs="新宋体"/>
          <w:i w:val="0"/>
          <w:caps w:val="0"/>
          <w:color w:val="auto"/>
          <w:spacing w:val="0"/>
          <w:kern w:val="0"/>
          <w:sz w:val="21"/>
          <w:szCs w:val="21"/>
          <w:highlight w:val="none"/>
          <w:lang w:val="en-US" w:eastAsia="zh-CN"/>
        </w:rPr>
        <w:t>4、其他事项：/</w:t>
      </w:r>
    </w:p>
    <w:p w14:paraId="7ED0A53A">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380" w:lineRule="exact"/>
        <w:ind w:left="420" w:leftChars="200" w:right="0" w:firstLine="0" w:firstLineChars="0"/>
        <w:jc w:val="left"/>
        <w:textAlignment w:val="auto"/>
        <w:rPr>
          <w:rFonts w:ascii="仿宋" w:hAnsi="仿宋" w:eastAsia="仿宋" w:cs="仿宋"/>
          <w:b/>
          <w:bCs/>
          <w:i w:val="0"/>
          <w:iCs w:val="0"/>
          <w:caps w:val="0"/>
          <w:color w:val="auto"/>
          <w:spacing w:val="0"/>
          <w:kern w:val="0"/>
          <w:sz w:val="21"/>
          <w:szCs w:val="21"/>
          <w:highlight w:val="none"/>
          <w:lang w:val="en-US" w:eastAsia="zh-CN" w:bidi="ar"/>
        </w:rPr>
      </w:pPr>
      <w:r>
        <w:rPr>
          <w:rFonts w:ascii="仿宋" w:hAnsi="仿宋" w:eastAsia="仿宋" w:cs="仿宋"/>
          <w:b/>
          <w:bCs/>
          <w:i w:val="0"/>
          <w:iCs w:val="0"/>
          <w:caps w:val="0"/>
          <w:color w:val="auto"/>
          <w:spacing w:val="0"/>
          <w:kern w:val="0"/>
          <w:sz w:val="21"/>
          <w:szCs w:val="21"/>
          <w:highlight w:val="none"/>
          <w:lang w:val="en-US" w:eastAsia="zh-CN" w:bidi="ar"/>
        </w:rPr>
        <w:t>特别提示：</w:t>
      </w:r>
    </w:p>
    <w:p w14:paraId="1782D5CD">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380" w:lineRule="exact"/>
        <w:ind w:left="420" w:leftChars="200" w:right="0" w:firstLine="0" w:firstLineChars="0"/>
        <w:jc w:val="left"/>
        <w:textAlignment w:val="auto"/>
        <w:rPr>
          <w:rFonts w:ascii="仿宋" w:hAnsi="仿宋" w:eastAsia="仿宋" w:cs="仿宋"/>
          <w:i w:val="0"/>
          <w:iCs w:val="0"/>
          <w:caps w:val="0"/>
          <w:color w:val="auto"/>
          <w:spacing w:val="0"/>
          <w:kern w:val="0"/>
          <w:sz w:val="21"/>
          <w:szCs w:val="21"/>
          <w:highlight w:val="none"/>
          <w:lang w:val="en-US" w:eastAsia="zh-CN" w:bidi="ar"/>
        </w:rPr>
      </w:pPr>
      <w:r>
        <w:rPr>
          <w:rFonts w:hint="eastAsia" w:ascii="仿宋" w:hAnsi="仿宋" w:eastAsia="仿宋" w:cs="仿宋"/>
          <w:i w:val="0"/>
          <w:iCs w:val="0"/>
          <w:caps w:val="0"/>
          <w:color w:val="auto"/>
          <w:spacing w:val="0"/>
          <w:kern w:val="0"/>
          <w:sz w:val="21"/>
          <w:szCs w:val="21"/>
          <w:highlight w:val="none"/>
          <w:lang w:val="en-US" w:eastAsia="zh-CN" w:bidi="ar"/>
        </w:rPr>
        <w:t>1、采购限额标准以上，200万元以下的货物和服务采购项目、400万元以下的工程采购项目，适宜由中小企业提供的，采购人应当专门面向中小企业采购。</w:t>
      </w:r>
    </w:p>
    <w:p w14:paraId="463A25D8">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380" w:lineRule="exact"/>
        <w:ind w:left="420" w:leftChars="200" w:right="0" w:firstLine="0" w:firstLineChars="0"/>
        <w:jc w:val="left"/>
        <w:textAlignment w:val="auto"/>
        <w:rPr>
          <w:rFonts w:hint="eastAsia" w:ascii="仿宋" w:hAnsi="仿宋" w:eastAsia="仿宋" w:cs="仿宋"/>
          <w:i w:val="0"/>
          <w:iCs w:val="0"/>
          <w:caps w:val="0"/>
          <w:color w:val="auto"/>
          <w:spacing w:val="0"/>
          <w:kern w:val="0"/>
          <w:sz w:val="21"/>
          <w:szCs w:val="21"/>
          <w:highlight w:val="none"/>
          <w:lang w:val="en-US" w:eastAsia="zh-CN" w:bidi="ar"/>
        </w:rPr>
      </w:pPr>
      <w:r>
        <w:rPr>
          <w:rFonts w:hint="eastAsia" w:ascii="仿宋" w:hAnsi="仿宋" w:eastAsia="仿宋" w:cs="仿宋"/>
          <w:i w:val="0"/>
          <w:iCs w:val="0"/>
          <w:caps w:val="0"/>
          <w:color w:val="auto"/>
          <w:spacing w:val="0"/>
          <w:kern w:val="0"/>
          <w:sz w:val="21"/>
          <w:szCs w:val="21"/>
          <w:highlight w:val="none"/>
          <w:lang w:val="en-US" w:eastAsia="zh-CN" w:bidi="ar"/>
        </w:rPr>
        <w:t>2、超过200万元的货物和服务采购项目，预留该部分采购项目预算总额的30%以上专门面向中小企业采购，其中预留给小微企业的比例不低于60%。</w:t>
      </w:r>
    </w:p>
    <w:p w14:paraId="45FD9801">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380" w:lineRule="exact"/>
        <w:ind w:left="420" w:leftChars="200" w:right="0" w:firstLine="0" w:firstLineChars="0"/>
        <w:jc w:val="left"/>
        <w:textAlignment w:val="auto"/>
        <w:rPr>
          <w:rFonts w:hint="eastAsia" w:ascii="仿宋" w:hAnsi="仿宋" w:eastAsia="仿宋" w:cs="仿宋"/>
          <w:i w:val="0"/>
          <w:iCs w:val="0"/>
          <w:caps w:val="0"/>
          <w:color w:val="auto"/>
          <w:spacing w:val="0"/>
          <w:kern w:val="0"/>
          <w:sz w:val="21"/>
          <w:szCs w:val="21"/>
          <w:highlight w:val="none"/>
          <w:lang w:val="en-US" w:eastAsia="zh-CN" w:bidi="ar"/>
        </w:rPr>
      </w:pPr>
      <w:r>
        <w:rPr>
          <w:rFonts w:hint="eastAsia" w:ascii="仿宋" w:hAnsi="仿宋" w:eastAsia="仿宋" w:cs="仿宋"/>
          <w:i w:val="0"/>
          <w:iCs w:val="0"/>
          <w:caps w:val="0"/>
          <w:color w:val="auto"/>
          <w:spacing w:val="0"/>
          <w:kern w:val="0"/>
          <w:sz w:val="21"/>
          <w:szCs w:val="21"/>
          <w:highlight w:val="none"/>
          <w:lang w:val="en-US" w:eastAsia="zh-CN" w:bidi="ar"/>
        </w:rPr>
        <w:t>3、超过400万元的工程采购项目中适宜由中小企业提供的，预留该部分采购项目预算总额的40%以上专门面向中小企业采购，其中预留给小微企业的比例不低于60%。</w:t>
      </w:r>
    </w:p>
    <w:p w14:paraId="2162E815">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380" w:lineRule="exact"/>
        <w:ind w:left="420" w:leftChars="200" w:right="0" w:firstLine="0" w:firstLineChars="0"/>
        <w:jc w:val="left"/>
        <w:textAlignment w:val="auto"/>
        <w:rPr>
          <w:rFonts w:hint="eastAsia" w:ascii="仿宋" w:hAnsi="仿宋" w:eastAsia="仿宋" w:cs="仿宋"/>
          <w:i w:val="0"/>
          <w:iCs w:val="0"/>
          <w:caps w:val="0"/>
          <w:color w:val="auto"/>
          <w:spacing w:val="0"/>
          <w:kern w:val="0"/>
          <w:sz w:val="21"/>
          <w:szCs w:val="21"/>
          <w:highlight w:val="none"/>
          <w:lang w:val="en-US" w:eastAsia="zh-CN" w:bidi="ar"/>
        </w:rPr>
      </w:pPr>
      <w:r>
        <w:rPr>
          <w:rFonts w:hint="eastAsia" w:ascii="仿宋" w:hAnsi="仿宋" w:eastAsia="仿宋" w:cs="仿宋"/>
          <w:i w:val="0"/>
          <w:iCs w:val="0"/>
          <w:caps w:val="0"/>
          <w:color w:val="auto"/>
          <w:spacing w:val="0"/>
          <w:kern w:val="0"/>
          <w:sz w:val="21"/>
          <w:szCs w:val="21"/>
          <w:highlight w:val="none"/>
          <w:lang w:val="en-US" w:eastAsia="zh-CN" w:bidi="ar"/>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2A67F00D">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380" w:lineRule="exact"/>
        <w:ind w:left="420" w:leftChars="200" w:right="0" w:firstLine="0" w:firstLineChars="0"/>
        <w:jc w:val="left"/>
        <w:textAlignment w:val="auto"/>
        <w:rPr>
          <w:rFonts w:hint="eastAsia" w:ascii="仿宋" w:hAnsi="仿宋" w:eastAsia="仿宋" w:cs="仿宋"/>
          <w:i w:val="0"/>
          <w:iCs w:val="0"/>
          <w:caps w:val="0"/>
          <w:color w:val="auto"/>
          <w:spacing w:val="0"/>
          <w:kern w:val="0"/>
          <w:sz w:val="21"/>
          <w:szCs w:val="21"/>
          <w:highlight w:val="none"/>
          <w:lang w:val="en-US" w:eastAsia="zh-CN" w:bidi="ar"/>
        </w:rPr>
      </w:pPr>
      <w:r>
        <w:rPr>
          <w:rFonts w:hint="eastAsia" w:ascii="仿宋" w:hAnsi="仿宋" w:eastAsia="仿宋" w:cs="仿宋"/>
          <w:i w:val="0"/>
          <w:iCs w:val="0"/>
          <w:caps w:val="0"/>
          <w:color w:val="auto"/>
          <w:spacing w:val="0"/>
          <w:kern w:val="0"/>
          <w:sz w:val="21"/>
          <w:szCs w:val="21"/>
          <w:highlight w:val="none"/>
          <w:lang w:val="en-US" w:eastAsia="zh-CN" w:bidi="ar"/>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3CBD8DA5">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22"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b/>
          <w:bCs/>
          <w:color w:val="auto"/>
          <w:kern w:val="0"/>
          <w:sz w:val="21"/>
          <w:szCs w:val="21"/>
          <w:highlight w:val="none"/>
          <w:u w:val="none"/>
          <w:lang w:val="en-US" w:eastAsia="zh-CN" w:bidi="ar"/>
        </w:rPr>
        <w:t xml:space="preserve">七、对本次采购提出询问，请按以下方式联系 </w:t>
      </w:r>
      <w:r>
        <w:rPr>
          <w:rFonts w:hint="eastAsia" w:ascii="新宋体" w:hAnsi="新宋体" w:eastAsia="新宋体" w:cs="新宋体"/>
          <w:color w:val="auto"/>
          <w:kern w:val="0"/>
          <w:sz w:val="21"/>
          <w:szCs w:val="21"/>
          <w:highlight w:val="none"/>
          <w:u w:val="none"/>
          <w:lang w:val="en-US" w:eastAsia="zh-CN" w:bidi="ar"/>
        </w:rPr>
        <w:t xml:space="preserve">        </w:t>
      </w:r>
    </w:p>
    <w:p w14:paraId="55073549">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1.采购人信息</w:t>
      </w:r>
    </w:p>
    <w:p w14:paraId="33A42837">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0" w:firstLineChars="200"/>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 xml:space="preserve">名    称：阿图什市应急管理局          </w:t>
      </w:r>
    </w:p>
    <w:p w14:paraId="71133A4C">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0" w:firstLineChars="200"/>
        <w:jc w:val="left"/>
        <w:textAlignment w:val="auto"/>
        <w:rPr>
          <w:rFonts w:hint="default"/>
          <w:color w:val="auto"/>
          <w:sz w:val="21"/>
          <w:szCs w:val="21"/>
          <w:highlight w:val="none"/>
          <w:lang w:val="en-US" w:eastAsia="zh-CN"/>
        </w:rPr>
      </w:pPr>
      <w:r>
        <w:rPr>
          <w:rFonts w:hint="eastAsia"/>
          <w:color w:val="auto"/>
          <w:sz w:val="21"/>
          <w:szCs w:val="21"/>
          <w:highlight w:val="none"/>
          <w:lang w:val="en-US" w:eastAsia="zh-CN"/>
        </w:rPr>
        <w:t>地    址：阿图什市帕尔米西路109号</w:t>
      </w:r>
    </w:p>
    <w:p w14:paraId="08F76209">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0" w:firstLineChars="200"/>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 xml:space="preserve">联系方式：13369080816 </w:t>
      </w:r>
    </w:p>
    <w:p w14:paraId="367F01CA">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0" w:firstLineChars="200"/>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2.采购代理机构信息</w:t>
      </w:r>
    </w:p>
    <w:p w14:paraId="73BE5419">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0" w:firstLineChars="200"/>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 xml:space="preserve">名    称：新疆大成瑞祥建设项目管理咨询有限公司    </w:t>
      </w:r>
    </w:p>
    <w:p w14:paraId="4B32468C">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0" w:firstLineChars="200"/>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 xml:space="preserve">地    址：阿图什市阿扎克镇提坚村沙依路43号三楼         </w:t>
      </w:r>
    </w:p>
    <w:p w14:paraId="28BE7750">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0" w:firstLineChars="200"/>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 xml:space="preserve">联系方式：18094994613 </w:t>
      </w:r>
    </w:p>
    <w:p w14:paraId="70A06C4D">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0" w:firstLineChars="200"/>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3.项目联系方式</w:t>
      </w:r>
    </w:p>
    <w:p w14:paraId="6C337A15">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0" w:firstLineChars="200"/>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项目联系人：刘女士</w:t>
      </w:r>
    </w:p>
    <w:p w14:paraId="63FBD1D1">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20" w:firstLineChars="200"/>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电 话：18094994613</w:t>
      </w:r>
    </w:p>
    <w:p w14:paraId="4EA8B39D">
      <w:pPr>
        <w:pStyle w:val="2"/>
        <w:keepNext w:val="0"/>
        <w:keepLines w:val="0"/>
        <w:widowControl/>
        <w:suppressLineNumbers w:val="0"/>
        <w:jc w:val="center"/>
        <w:rPr>
          <w:rFonts w:hint="eastAsia"/>
          <w:sz w:val="36"/>
          <w:szCs w:val="36"/>
          <w:lang w:eastAsia="zh-CN"/>
        </w:rPr>
      </w:pPr>
      <w:r>
        <w:rPr>
          <w:rFonts w:hint="eastAsia"/>
          <w:sz w:val="36"/>
          <w:szCs w:val="36"/>
          <w:lang w:eastAsia="zh-CN"/>
        </w:rPr>
        <w:t>阿图什市防灾减灾能力补短板-地震预警终端项目</w:t>
      </w:r>
    </w:p>
    <w:p w14:paraId="19554B11">
      <w:pPr>
        <w:pStyle w:val="2"/>
        <w:keepNext w:val="0"/>
        <w:keepLines w:val="0"/>
        <w:widowControl/>
        <w:suppressLineNumbers w:val="0"/>
        <w:jc w:val="center"/>
      </w:pPr>
      <w:r>
        <w:rPr>
          <w:sz w:val="36"/>
          <w:szCs w:val="36"/>
        </w:rPr>
        <w:t>更正公告</w:t>
      </w:r>
    </w:p>
    <w:p w14:paraId="192B4C0C">
      <w:pPr>
        <w:pStyle w:val="3"/>
        <w:keepNext w:val="0"/>
        <w:keepLines w:val="0"/>
        <w:pageBreakBefore w:val="0"/>
        <w:widowControl/>
        <w:numPr>
          <w:numId w:val="0"/>
        </w:numPr>
        <w:suppressLineNumbers w:val="0"/>
        <w:kinsoku/>
        <w:wordWrap/>
        <w:overflowPunct/>
        <w:topLinePunct w:val="0"/>
        <w:autoSpaceDE/>
        <w:autoSpaceDN/>
        <w:bidi w:val="0"/>
        <w:adjustRightInd/>
        <w:snapToGrid/>
        <w:spacing w:beforeAutospacing="0" w:afterAutospacing="0" w:line="360" w:lineRule="auto"/>
        <w:ind w:leftChars="200"/>
        <w:textAlignment w:val="auto"/>
        <w:rPr>
          <w:rFonts w:hint="eastAsia" w:ascii="宋体" w:hAnsi="宋体" w:eastAsia="宋体" w:cs="宋体"/>
          <w:sz w:val="24"/>
          <w:szCs w:val="24"/>
        </w:rPr>
      </w:pPr>
      <w:r>
        <w:rPr>
          <w:rFonts w:hint="eastAsia" w:ascii="宋体" w:hAnsi="宋体" w:eastAsia="宋体" w:cs="宋体"/>
          <w:sz w:val="24"/>
          <w:szCs w:val="24"/>
        </w:rPr>
        <w:t>一、项目基本情况</w:t>
      </w:r>
    </w:p>
    <w:p w14:paraId="1DB73C4F">
      <w:pPr>
        <w:pStyle w:val="2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原公告采购项目名称：阿图什市防灾减灾能力补短板-地震预警终端项目 </w:t>
      </w:r>
    </w:p>
    <w:p w14:paraId="253CB43B">
      <w:pPr>
        <w:pStyle w:val="2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原公告采购项目编号：ATSJYZX-CG-2026</w:t>
      </w:r>
      <w:r>
        <w:rPr>
          <w:rFonts w:hint="eastAsia" w:ascii="宋体" w:hAnsi="宋体" w:cs="宋体"/>
          <w:sz w:val="24"/>
          <w:szCs w:val="24"/>
          <w:lang w:val="en-US" w:eastAsia="zh-CN"/>
        </w:rPr>
        <w:t>113</w:t>
      </w:r>
      <w:r>
        <w:rPr>
          <w:rFonts w:hint="eastAsia" w:ascii="宋体" w:hAnsi="宋体" w:eastAsia="宋体" w:cs="宋体"/>
          <w:sz w:val="24"/>
          <w:szCs w:val="24"/>
        </w:rPr>
        <w:t xml:space="preserve"> </w:t>
      </w:r>
    </w:p>
    <w:p w14:paraId="343A1C96">
      <w:pPr>
        <w:pStyle w:val="2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首次公告日期：2026 年 </w:t>
      </w:r>
      <w:r>
        <w:rPr>
          <w:rFonts w:hint="eastAsia" w:ascii="宋体" w:hAnsi="宋体" w:cs="宋体"/>
          <w:sz w:val="24"/>
          <w:szCs w:val="24"/>
          <w:lang w:val="en-US" w:eastAsia="zh-CN"/>
        </w:rPr>
        <w:t>9</w:t>
      </w:r>
      <w:r>
        <w:rPr>
          <w:rFonts w:hint="eastAsia" w:ascii="宋体" w:hAnsi="宋体" w:eastAsia="宋体" w:cs="宋体"/>
          <w:sz w:val="24"/>
          <w:szCs w:val="24"/>
        </w:rPr>
        <w:t xml:space="preserve">月 </w:t>
      </w:r>
      <w:r>
        <w:rPr>
          <w:rFonts w:hint="eastAsia" w:ascii="宋体" w:hAnsi="宋体" w:cs="宋体"/>
          <w:sz w:val="24"/>
          <w:szCs w:val="24"/>
          <w:lang w:val="en-US" w:eastAsia="zh-CN"/>
        </w:rPr>
        <w:t>15</w:t>
      </w:r>
      <w:r>
        <w:rPr>
          <w:rFonts w:hint="eastAsia" w:ascii="宋体" w:hAnsi="宋体" w:eastAsia="宋体" w:cs="宋体"/>
          <w:sz w:val="24"/>
          <w:szCs w:val="24"/>
        </w:rPr>
        <w:t>日</w:t>
      </w:r>
    </w:p>
    <w:p w14:paraId="401C82F8">
      <w:pPr>
        <w:pStyle w:val="3"/>
        <w:keepNext w:val="0"/>
        <w:keepLines w:val="0"/>
        <w:pageBreakBefore w:val="0"/>
        <w:widowControl/>
        <w:numPr>
          <w:numId w:val="0"/>
        </w:numPr>
        <w:suppressLineNumbers w:val="0"/>
        <w:kinsoku/>
        <w:wordWrap/>
        <w:overflowPunct/>
        <w:topLinePunct w:val="0"/>
        <w:autoSpaceDE/>
        <w:autoSpaceDN/>
        <w:bidi w:val="0"/>
        <w:adjustRightInd/>
        <w:snapToGrid/>
        <w:spacing w:beforeAutospacing="0" w:afterAutospacing="0" w:line="360" w:lineRule="auto"/>
        <w:ind w:leftChars="200"/>
        <w:textAlignment w:val="auto"/>
        <w:rPr>
          <w:rFonts w:hint="eastAsia" w:ascii="宋体" w:hAnsi="宋体" w:eastAsia="宋体" w:cs="宋体"/>
          <w:sz w:val="24"/>
          <w:szCs w:val="24"/>
        </w:rPr>
      </w:pPr>
      <w:r>
        <w:rPr>
          <w:rFonts w:hint="eastAsia" w:ascii="宋体" w:hAnsi="宋体" w:eastAsia="宋体" w:cs="宋体"/>
          <w:sz w:val="24"/>
          <w:szCs w:val="24"/>
        </w:rPr>
        <w:t>二、更正信息</w:t>
      </w:r>
    </w:p>
    <w:p w14:paraId="4DC52B9A">
      <w:pPr>
        <w:pStyle w:val="2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更正事项：</w:t>
      </w:r>
      <w:r>
        <w:rPr>
          <w:rFonts w:hint="eastAsia" w:ascii="宋体" w:hAnsi="宋体" w:cs="宋体"/>
          <w:sz w:val="24"/>
          <w:szCs w:val="24"/>
          <w:lang w:val="en-US" w:eastAsia="zh-CN"/>
        </w:rPr>
        <w:t>招标文件</w:t>
      </w:r>
      <w:r>
        <w:rPr>
          <w:rFonts w:hint="eastAsia" w:ascii="宋体" w:hAnsi="宋体" w:eastAsia="宋体" w:cs="宋体"/>
          <w:sz w:val="24"/>
          <w:szCs w:val="24"/>
        </w:rPr>
        <w:t>全文</w:t>
      </w:r>
    </w:p>
    <w:tbl>
      <w:tblPr>
        <w:tblStyle w:val="29"/>
        <w:tblW w:w="5255"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15" w:type="dxa"/>
          <w:left w:w="15" w:type="dxa"/>
          <w:bottom w:w="15" w:type="dxa"/>
          <w:right w:w="15" w:type="dxa"/>
        </w:tblCellMar>
      </w:tblPr>
      <w:tblGrid>
        <w:gridCol w:w="556"/>
        <w:gridCol w:w="873"/>
        <w:gridCol w:w="4113"/>
        <w:gridCol w:w="3314"/>
      </w:tblGrid>
      <w:tr w14:paraId="06AFEFA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blHeader/>
        </w:trPr>
        <w:tc>
          <w:tcPr>
            <w:tcW w:w="0" w:type="auto"/>
            <w:tcBorders>
              <w:tl2br w:val="nil"/>
              <w:tr2bl w:val="nil"/>
            </w:tcBorders>
            <w:noWrap w:val="0"/>
            <w:tcMar>
              <w:top w:w="60" w:type="dxa"/>
              <w:left w:w="60" w:type="dxa"/>
              <w:bottom w:w="60" w:type="dxa"/>
              <w:right w:w="60" w:type="dxa"/>
            </w:tcMar>
            <w:vAlign w:val="center"/>
          </w:tcPr>
          <w:p w14:paraId="5226C061">
            <w:pPr>
              <w:keepNext w:val="0"/>
              <w:keepLines w:val="0"/>
              <w:pageBreakBefore w:val="0"/>
              <w:widowControl/>
              <w:suppressLineNumbers w:val="0"/>
              <w:kinsoku/>
              <w:wordWrap/>
              <w:overflowPunct/>
              <w:topLinePunct w:val="0"/>
              <w:autoSpaceDE/>
              <w:autoSpaceDN/>
              <w:bidi w:val="0"/>
              <w:adjustRightInd/>
              <w:snapToGrid/>
              <w:jc w:val="left"/>
              <w:textAlignment w:val="auto"/>
              <w:rPr>
                <w:rFonts w:hint="eastAsia" w:ascii="宋体" w:hAnsi="宋体" w:eastAsia="宋体" w:cs="宋体"/>
                <w:b/>
                <w:bCs/>
                <w:i w:val="0"/>
                <w:iCs w:val="0"/>
                <w:sz w:val="24"/>
                <w:szCs w:val="24"/>
              </w:rPr>
            </w:pPr>
            <w:r>
              <w:rPr>
                <w:rFonts w:hint="eastAsia" w:ascii="宋体" w:hAnsi="宋体" w:eastAsia="宋体" w:cs="宋体"/>
                <w:b/>
                <w:bCs/>
                <w:i w:val="0"/>
                <w:iCs w:val="0"/>
                <w:kern w:val="0"/>
                <w:sz w:val="24"/>
                <w:szCs w:val="24"/>
                <w:lang w:val="en-US" w:eastAsia="zh-CN" w:bidi="ar"/>
              </w:rPr>
              <w:t>序号</w:t>
            </w:r>
          </w:p>
        </w:tc>
        <w:tc>
          <w:tcPr>
            <w:tcW w:w="493" w:type="pct"/>
            <w:tcBorders>
              <w:tl2br w:val="nil"/>
              <w:tr2bl w:val="nil"/>
            </w:tcBorders>
            <w:noWrap w:val="0"/>
            <w:tcMar>
              <w:top w:w="60" w:type="dxa"/>
              <w:left w:w="60" w:type="dxa"/>
              <w:bottom w:w="60" w:type="dxa"/>
              <w:right w:w="60" w:type="dxa"/>
            </w:tcMar>
            <w:vAlign w:val="center"/>
          </w:tcPr>
          <w:p w14:paraId="456C5392">
            <w:pPr>
              <w:keepNext w:val="0"/>
              <w:keepLines w:val="0"/>
              <w:pageBreakBefore w:val="0"/>
              <w:widowControl/>
              <w:suppressLineNumbers w:val="0"/>
              <w:kinsoku/>
              <w:wordWrap/>
              <w:overflowPunct/>
              <w:topLinePunct w:val="0"/>
              <w:autoSpaceDE/>
              <w:autoSpaceDN/>
              <w:bidi w:val="0"/>
              <w:adjustRightInd/>
              <w:snapToGrid/>
              <w:jc w:val="left"/>
              <w:textAlignment w:val="auto"/>
              <w:rPr>
                <w:rFonts w:hint="eastAsia" w:ascii="宋体" w:hAnsi="宋体" w:eastAsia="宋体" w:cs="宋体"/>
                <w:b/>
                <w:bCs/>
                <w:i w:val="0"/>
                <w:iCs w:val="0"/>
                <w:sz w:val="24"/>
                <w:szCs w:val="24"/>
              </w:rPr>
            </w:pPr>
            <w:r>
              <w:rPr>
                <w:rFonts w:hint="eastAsia" w:ascii="宋体" w:hAnsi="宋体" w:eastAsia="宋体" w:cs="宋体"/>
                <w:b/>
                <w:bCs/>
                <w:i w:val="0"/>
                <w:iCs w:val="0"/>
                <w:kern w:val="0"/>
                <w:sz w:val="24"/>
                <w:szCs w:val="24"/>
                <w:lang w:val="en-US" w:eastAsia="zh-CN" w:bidi="ar"/>
              </w:rPr>
              <w:t>更正项</w:t>
            </w:r>
          </w:p>
        </w:tc>
        <w:tc>
          <w:tcPr>
            <w:tcW w:w="2322" w:type="pct"/>
            <w:tcBorders>
              <w:tl2br w:val="nil"/>
              <w:tr2bl w:val="nil"/>
            </w:tcBorders>
            <w:noWrap w:val="0"/>
            <w:tcMar>
              <w:top w:w="60" w:type="dxa"/>
              <w:left w:w="60" w:type="dxa"/>
              <w:bottom w:w="60" w:type="dxa"/>
              <w:right w:w="60" w:type="dxa"/>
            </w:tcMar>
            <w:vAlign w:val="center"/>
          </w:tcPr>
          <w:p w14:paraId="2252BF3F">
            <w:pPr>
              <w:keepNext w:val="0"/>
              <w:keepLines w:val="0"/>
              <w:pageBreakBefore w:val="0"/>
              <w:widowControl/>
              <w:suppressLineNumbers w:val="0"/>
              <w:kinsoku/>
              <w:wordWrap/>
              <w:overflowPunct/>
              <w:topLinePunct w:val="0"/>
              <w:autoSpaceDE/>
              <w:autoSpaceDN/>
              <w:bidi w:val="0"/>
              <w:adjustRightInd/>
              <w:snapToGrid/>
              <w:jc w:val="left"/>
              <w:textAlignment w:val="auto"/>
              <w:rPr>
                <w:rFonts w:hint="eastAsia" w:ascii="宋体" w:hAnsi="宋体" w:eastAsia="宋体" w:cs="宋体"/>
                <w:b/>
                <w:bCs/>
                <w:i w:val="0"/>
                <w:iCs w:val="0"/>
                <w:sz w:val="24"/>
                <w:szCs w:val="24"/>
              </w:rPr>
            </w:pPr>
            <w:r>
              <w:rPr>
                <w:rFonts w:hint="eastAsia" w:ascii="宋体" w:hAnsi="宋体" w:eastAsia="宋体" w:cs="宋体"/>
                <w:b/>
                <w:bCs/>
                <w:i w:val="0"/>
                <w:iCs w:val="0"/>
                <w:kern w:val="0"/>
                <w:sz w:val="24"/>
                <w:szCs w:val="24"/>
                <w:lang w:val="en-US" w:eastAsia="zh-CN" w:bidi="ar"/>
              </w:rPr>
              <w:t>更正前内容</w:t>
            </w:r>
          </w:p>
        </w:tc>
        <w:tc>
          <w:tcPr>
            <w:tcW w:w="1871" w:type="pct"/>
            <w:tcBorders>
              <w:tl2br w:val="nil"/>
              <w:tr2bl w:val="nil"/>
            </w:tcBorders>
            <w:noWrap w:val="0"/>
            <w:tcMar>
              <w:top w:w="60" w:type="dxa"/>
              <w:left w:w="60" w:type="dxa"/>
              <w:bottom w:w="60" w:type="dxa"/>
              <w:right w:w="60" w:type="dxa"/>
            </w:tcMar>
            <w:vAlign w:val="center"/>
          </w:tcPr>
          <w:p w14:paraId="3515CF82">
            <w:pPr>
              <w:keepNext w:val="0"/>
              <w:keepLines w:val="0"/>
              <w:pageBreakBefore w:val="0"/>
              <w:widowControl/>
              <w:suppressLineNumbers w:val="0"/>
              <w:kinsoku/>
              <w:wordWrap/>
              <w:overflowPunct/>
              <w:topLinePunct w:val="0"/>
              <w:autoSpaceDE/>
              <w:autoSpaceDN/>
              <w:bidi w:val="0"/>
              <w:adjustRightInd/>
              <w:snapToGrid/>
              <w:jc w:val="left"/>
              <w:textAlignment w:val="auto"/>
              <w:rPr>
                <w:rFonts w:hint="eastAsia" w:ascii="宋体" w:hAnsi="宋体" w:eastAsia="宋体" w:cs="宋体"/>
                <w:b/>
                <w:bCs/>
                <w:i w:val="0"/>
                <w:iCs w:val="0"/>
                <w:sz w:val="24"/>
                <w:szCs w:val="24"/>
              </w:rPr>
            </w:pPr>
            <w:r>
              <w:rPr>
                <w:rFonts w:hint="eastAsia" w:ascii="宋体" w:hAnsi="宋体" w:eastAsia="宋体" w:cs="宋体"/>
                <w:b/>
                <w:bCs/>
                <w:i w:val="0"/>
                <w:iCs w:val="0"/>
                <w:kern w:val="0"/>
                <w:sz w:val="24"/>
                <w:szCs w:val="24"/>
                <w:lang w:val="en-US" w:eastAsia="zh-CN" w:bidi="ar"/>
              </w:rPr>
              <w:t>更正后内容</w:t>
            </w:r>
          </w:p>
        </w:tc>
      </w:tr>
      <w:tr w14:paraId="7C2B29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15" w:type="dxa"/>
            <w:left w:w="15" w:type="dxa"/>
            <w:bottom w:w="15" w:type="dxa"/>
            <w:right w:w="15" w:type="dxa"/>
          </w:tblCellMar>
        </w:tblPrEx>
        <w:tc>
          <w:tcPr>
            <w:tcW w:w="0" w:type="auto"/>
            <w:tcBorders>
              <w:tl2br w:val="nil"/>
              <w:tr2bl w:val="nil"/>
            </w:tcBorders>
            <w:noWrap w:val="0"/>
            <w:tcMar>
              <w:top w:w="60" w:type="dxa"/>
              <w:left w:w="60" w:type="dxa"/>
              <w:bottom w:w="60" w:type="dxa"/>
              <w:right w:w="60" w:type="dxa"/>
            </w:tcMar>
            <w:vAlign w:val="center"/>
          </w:tcPr>
          <w:p w14:paraId="28F70A9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sz w:val="22"/>
                <w:szCs w:val="22"/>
              </w:rPr>
            </w:pPr>
            <w:r>
              <w:rPr>
                <w:rFonts w:hint="eastAsia" w:ascii="宋体" w:hAnsi="宋体" w:eastAsia="宋体" w:cs="宋体"/>
                <w:i w:val="0"/>
                <w:iCs w:val="0"/>
                <w:kern w:val="0"/>
                <w:sz w:val="22"/>
                <w:szCs w:val="22"/>
                <w:lang w:val="en-US" w:eastAsia="zh-CN" w:bidi="ar"/>
              </w:rPr>
              <w:t>1</w:t>
            </w:r>
          </w:p>
        </w:tc>
        <w:tc>
          <w:tcPr>
            <w:tcW w:w="493" w:type="pct"/>
            <w:tcBorders>
              <w:tl2br w:val="nil"/>
              <w:tr2bl w:val="nil"/>
            </w:tcBorders>
            <w:noWrap w:val="0"/>
            <w:tcMar>
              <w:top w:w="60" w:type="dxa"/>
              <w:left w:w="60" w:type="dxa"/>
              <w:bottom w:w="60" w:type="dxa"/>
              <w:right w:w="60" w:type="dxa"/>
            </w:tcMar>
            <w:vAlign w:val="center"/>
          </w:tcPr>
          <w:p w14:paraId="6C979B5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eastAsia" w:ascii="宋体" w:hAnsi="宋体" w:eastAsia="宋体" w:cs="宋体"/>
                <w:i w:val="0"/>
                <w:iCs w:val="0"/>
                <w:sz w:val="22"/>
                <w:szCs w:val="22"/>
              </w:rPr>
            </w:pPr>
            <w:r>
              <w:rPr>
                <w:rFonts w:hint="eastAsia" w:ascii="宋体" w:hAnsi="宋体" w:eastAsia="宋体" w:cs="宋体"/>
                <w:i w:val="0"/>
                <w:iCs w:val="0"/>
                <w:sz w:val="22"/>
                <w:szCs w:val="22"/>
              </w:rPr>
              <w:t>技术参数</w:t>
            </w:r>
            <w:r>
              <w:rPr>
                <w:rFonts w:hint="eastAsia" w:ascii="宋体" w:hAnsi="宋体" w:cs="宋体"/>
                <w:i w:val="0"/>
                <w:iCs w:val="0"/>
                <w:sz w:val="22"/>
                <w:szCs w:val="22"/>
                <w:lang w:val="en-US" w:eastAsia="zh-CN"/>
              </w:rPr>
              <w:t>-</w:t>
            </w:r>
            <w:r>
              <w:rPr>
                <w:rFonts w:hint="eastAsia" w:ascii="宋体" w:hAnsi="宋体" w:eastAsia="宋体" w:cs="宋体"/>
                <w:i w:val="0"/>
                <w:iCs w:val="0"/>
                <w:sz w:val="22"/>
                <w:szCs w:val="22"/>
              </w:rPr>
              <w:t>阿图什地震预警专用物联网喇叭参数与性能指标要求</w:t>
            </w:r>
          </w:p>
        </w:tc>
        <w:tc>
          <w:tcPr>
            <w:tcW w:w="2322" w:type="pct"/>
            <w:tcBorders>
              <w:tl2br w:val="nil"/>
              <w:tr2bl w:val="nil"/>
            </w:tcBorders>
            <w:noWrap w:val="0"/>
            <w:tcMar>
              <w:top w:w="60" w:type="dxa"/>
              <w:left w:w="60" w:type="dxa"/>
              <w:bottom w:w="60" w:type="dxa"/>
              <w:right w:w="60" w:type="dxa"/>
            </w:tcMar>
            <w:vAlign w:val="center"/>
          </w:tcPr>
          <w:p w14:paraId="21EF0375">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宋体" w:hAnsi="宋体" w:eastAsia="宋体" w:cs="宋体"/>
                <w:i w:val="0"/>
                <w:iCs w:val="0"/>
                <w:sz w:val="22"/>
                <w:szCs w:val="22"/>
                <w:lang w:val="en-US" w:eastAsia="zh-CN"/>
              </w:rPr>
            </w:pPr>
            <w:r>
              <w:rPr>
                <w:rFonts w:hint="default" w:ascii="宋体" w:hAnsi="宋体" w:eastAsia="宋体" w:cs="宋体"/>
                <w:i w:val="0"/>
                <w:iCs w:val="0"/>
                <w:sz w:val="22"/>
                <w:szCs w:val="22"/>
                <w:lang w:val="en-US" w:eastAsia="zh-CN"/>
              </w:rPr>
              <w:t>1、地震预警专用物联网喇叭具备与地震预警信息服务终端有线连接同步发布预警，当终端设备处于预警响应状态下时，预警相关服务优先级最高，预警服务所声音、通讯等资源不得被其他应用占用；</w:t>
            </w:r>
          </w:p>
          <w:p w14:paraId="6E549FEE">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宋体" w:hAnsi="宋体" w:eastAsia="宋体" w:cs="宋体"/>
                <w:i w:val="0"/>
                <w:iCs w:val="0"/>
                <w:sz w:val="22"/>
                <w:szCs w:val="22"/>
                <w:lang w:val="en-US" w:eastAsia="zh-CN"/>
              </w:rPr>
            </w:pPr>
            <w:r>
              <w:rPr>
                <w:rFonts w:hint="default" w:ascii="宋体" w:hAnsi="宋体" w:eastAsia="宋体" w:cs="宋体"/>
                <w:i w:val="0"/>
                <w:iCs w:val="0"/>
                <w:sz w:val="22"/>
                <w:szCs w:val="22"/>
                <w:lang w:val="en-US" w:eastAsia="zh-CN"/>
              </w:rPr>
              <w:t>2、支持地震预警报警声的音量可调节，可根据不同地震预警等级进行声音开关设备，并具备独立进行不同地震预警等级的报警功能；</w:t>
            </w:r>
          </w:p>
          <w:p w14:paraId="3371B54D">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宋体" w:hAnsi="宋体" w:eastAsia="宋体" w:cs="宋体"/>
                <w:i w:val="0"/>
                <w:iCs w:val="0"/>
                <w:sz w:val="22"/>
                <w:szCs w:val="22"/>
                <w:lang w:val="en-US" w:eastAsia="zh-CN"/>
              </w:rPr>
            </w:pPr>
            <w:r>
              <w:rPr>
                <w:rFonts w:hint="default" w:ascii="宋体" w:hAnsi="宋体" w:eastAsia="宋体" w:cs="宋体"/>
                <w:i w:val="0"/>
                <w:iCs w:val="0"/>
                <w:sz w:val="22"/>
                <w:szCs w:val="22"/>
                <w:lang w:val="en-US" w:eastAsia="zh-CN"/>
              </w:rPr>
              <w:t>3、传输距离：有效预警声音信号传送距离≥400米。</w:t>
            </w:r>
          </w:p>
          <w:p w14:paraId="42A9A9DF">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宋体" w:hAnsi="宋体" w:eastAsia="宋体" w:cs="宋体"/>
                <w:i w:val="0"/>
                <w:iCs w:val="0"/>
                <w:sz w:val="22"/>
                <w:szCs w:val="22"/>
                <w:lang w:val="en-US" w:eastAsia="zh-CN"/>
              </w:rPr>
            </w:pPr>
            <w:r>
              <w:rPr>
                <w:rFonts w:hint="default" w:ascii="宋体" w:hAnsi="宋体" w:eastAsia="宋体" w:cs="宋体"/>
                <w:i w:val="0"/>
                <w:iCs w:val="0"/>
                <w:sz w:val="22"/>
                <w:szCs w:val="22"/>
                <w:lang w:val="en-US" w:eastAsia="zh-CN"/>
              </w:rPr>
              <w:t>4、远程管理功能：可通过移动端及PC端对终端进行远程管理，查看终端状态，配置和管理等远程控制；</w:t>
            </w:r>
          </w:p>
          <w:p w14:paraId="7355E555">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宋体" w:hAnsi="宋体" w:eastAsia="宋体" w:cs="宋体"/>
                <w:i w:val="0"/>
                <w:iCs w:val="0"/>
                <w:sz w:val="22"/>
                <w:szCs w:val="22"/>
                <w:lang w:val="en-US" w:eastAsia="zh-CN"/>
              </w:rPr>
            </w:pPr>
            <w:r>
              <w:rPr>
                <w:rFonts w:hint="default" w:ascii="宋体" w:hAnsi="宋体" w:eastAsia="宋体" w:cs="宋体"/>
                <w:i w:val="0"/>
                <w:iCs w:val="0"/>
                <w:sz w:val="22"/>
                <w:szCs w:val="22"/>
                <w:lang w:val="en-US" w:eastAsia="zh-CN"/>
              </w:rPr>
              <w:t>5、数量：1套含2个喇叭。</w:t>
            </w:r>
          </w:p>
        </w:tc>
        <w:tc>
          <w:tcPr>
            <w:tcW w:w="1871" w:type="pct"/>
            <w:tcBorders>
              <w:tl2br w:val="nil"/>
              <w:tr2bl w:val="nil"/>
            </w:tcBorders>
            <w:noWrap w:val="0"/>
            <w:tcMar>
              <w:top w:w="60" w:type="dxa"/>
              <w:left w:w="60" w:type="dxa"/>
              <w:bottom w:w="60" w:type="dxa"/>
              <w:right w:w="60" w:type="dxa"/>
            </w:tcMar>
            <w:vAlign w:val="center"/>
          </w:tcPr>
          <w:p w14:paraId="3BACCEF8">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宋体" w:hAnsi="宋体" w:eastAsia="宋体" w:cs="宋体"/>
                <w:i w:val="0"/>
                <w:iCs w:val="0"/>
                <w:sz w:val="22"/>
                <w:szCs w:val="22"/>
                <w:lang w:val="en-US" w:eastAsia="zh-CN"/>
              </w:rPr>
            </w:pPr>
            <w:r>
              <w:rPr>
                <w:rFonts w:hint="default" w:ascii="宋体" w:hAnsi="宋体" w:eastAsia="宋体" w:cs="宋体"/>
                <w:i w:val="0"/>
                <w:iCs w:val="0"/>
                <w:sz w:val="22"/>
                <w:szCs w:val="22"/>
                <w:lang w:val="en-US" w:eastAsia="zh-CN"/>
              </w:rPr>
              <w:t>1、地震预警专用物联网喇叭具备与地震预警信息服务终端有线连接同步发布预警，当终端设备处于预警响应状态下时，预警相关服务优先级最高，预警服务所</w:t>
            </w:r>
            <w:r>
              <w:rPr>
                <w:rFonts w:hint="eastAsia" w:ascii="宋体" w:hAnsi="宋体" w:cs="宋体"/>
                <w:i w:val="0"/>
                <w:iCs w:val="0"/>
                <w:sz w:val="22"/>
                <w:szCs w:val="22"/>
                <w:lang w:val="en-US" w:eastAsia="zh-CN"/>
              </w:rPr>
              <w:t>有</w:t>
            </w:r>
            <w:r>
              <w:rPr>
                <w:rFonts w:hint="default" w:ascii="宋体" w:hAnsi="宋体" w:eastAsia="宋体" w:cs="宋体"/>
                <w:i w:val="0"/>
                <w:iCs w:val="0"/>
                <w:sz w:val="22"/>
                <w:szCs w:val="22"/>
                <w:lang w:val="en-US" w:eastAsia="zh-CN"/>
              </w:rPr>
              <w:t>声音、通讯等资源不得被其他应用占用；日常工作状态下外接喇叭处于静音状态。</w:t>
            </w:r>
          </w:p>
          <w:p w14:paraId="4A7B5D79">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宋体" w:hAnsi="宋体" w:eastAsia="宋体" w:cs="宋体"/>
                <w:i w:val="0"/>
                <w:iCs w:val="0"/>
                <w:sz w:val="22"/>
                <w:szCs w:val="22"/>
                <w:lang w:val="en-US" w:eastAsia="zh-CN"/>
              </w:rPr>
            </w:pPr>
            <w:r>
              <w:rPr>
                <w:rFonts w:hint="default" w:ascii="宋体" w:hAnsi="宋体" w:eastAsia="宋体" w:cs="宋体"/>
                <w:i w:val="0"/>
                <w:iCs w:val="0"/>
                <w:sz w:val="22"/>
                <w:szCs w:val="22"/>
                <w:lang w:val="en-US" w:eastAsia="zh-CN"/>
              </w:rPr>
              <w:t>2、传输距离：有效预警声音信号传送距离≥400米。</w:t>
            </w:r>
          </w:p>
          <w:p w14:paraId="61F25B8A">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宋体" w:hAnsi="宋体" w:eastAsia="宋体" w:cs="宋体"/>
                <w:i w:val="0"/>
                <w:iCs w:val="0"/>
                <w:sz w:val="22"/>
                <w:szCs w:val="22"/>
                <w:lang w:val="en-US" w:eastAsia="zh-CN"/>
              </w:rPr>
            </w:pPr>
            <w:r>
              <w:rPr>
                <w:rFonts w:hint="default" w:ascii="宋体" w:hAnsi="宋体" w:eastAsia="宋体" w:cs="宋体"/>
                <w:i w:val="0"/>
                <w:iCs w:val="0"/>
                <w:sz w:val="22"/>
                <w:szCs w:val="22"/>
                <w:lang w:val="en-US" w:eastAsia="zh-CN"/>
              </w:rPr>
              <w:t>3、远程管理功能：可通过移动端及PC端对终端进行远程管理，查看终端状态，配置和管理等远程控制；</w:t>
            </w:r>
          </w:p>
          <w:p w14:paraId="7DD1B8B0">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宋体" w:hAnsi="宋体" w:eastAsia="宋体" w:cs="宋体"/>
                <w:i w:val="0"/>
                <w:iCs w:val="0"/>
                <w:sz w:val="22"/>
                <w:szCs w:val="22"/>
                <w:lang w:val="en-US" w:eastAsia="zh-CN"/>
              </w:rPr>
            </w:pPr>
            <w:r>
              <w:rPr>
                <w:rFonts w:hint="default" w:ascii="宋体" w:hAnsi="宋体" w:eastAsia="宋体" w:cs="宋体"/>
                <w:i w:val="0"/>
                <w:iCs w:val="0"/>
                <w:sz w:val="22"/>
                <w:szCs w:val="22"/>
                <w:lang w:val="en-US" w:eastAsia="zh-CN"/>
              </w:rPr>
              <w:t>4、数量：1套含2个喇叭，每个喇叭功率≥100W</w:t>
            </w:r>
          </w:p>
        </w:tc>
      </w:tr>
    </w:tbl>
    <w:p w14:paraId="736C0B63">
      <w:pPr>
        <w:pStyle w:val="3"/>
        <w:keepNext w:val="0"/>
        <w:keepLines w:val="0"/>
        <w:pageBreakBefore w:val="0"/>
        <w:widowControl/>
        <w:numPr>
          <w:numId w:val="0"/>
        </w:numPr>
        <w:suppressLineNumbers w:val="0"/>
        <w:kinsoku/>
        <w:wordWrap/>
        <w:overflowPunct/>
        <w:topLinePunct w:val="0"/>
        <w:autoSpaceDE/>
        <w:autoSpaceDN/>
        <w:bidi w:val="0"/>
        <w:adjustRightInd/>
        <w:snapToGrid/>
        <w:spacing w:beforeAutospacing="0" w:afterAutospacing="0" w:line="360" w:lineRule="auto"/>
        <w:ind w:leftChars="200"/>
        <w:textAlignment w:val="auto"/>
        <w:rPr>
          <w:rFonts w:hint="eastAsia" w:ascii="宋体" w:hAnsi="宋体" w:eastAsia="宋体" w:cs="宋体"/>
          <w:sz w:val="24"/>
          <w:szCs w:val="24"/>
        </w:rPr>
      </w:pPr>
      <w:r>
        <w:rPr>
          <w:rFonts w:hint="eastAsia" w:ascii="宋体" w:hAnsi="宋体" w:eastAsia="宋体" w:cs="宋体"/>
          <w:sz w:val="24"/>
          <w:szCs w:val="24"/>
        </w:rPr>
        <w:t>三、其他说明</w:t>
      </w:r>
    </w:p>
    <w:p w14:paraId="0613D674">
      <w:pPr>
        <w:pStyle w:val="2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其他内容详见澄清文件。</w:t>
      </w:r>
    </w:p>
    <w:p w14:paraId="509F9A83">
      <w:pPr>
        <w:pStyle w:val="3"/>
        <w:keepNext w:val="0"/>
        <w:keepLines w:val="0"/>
        <w:pageBreakBefore w:val="0"/>
        <w:widowControl/>
        <w:numPr>
          <w:numId w:val="0"/>
        </w:numPr>
        <w:suppressLineNumbers w:val="0"/>
        <w:kinsoku/>
        <w:wordWrap/>
        <w:overflowPunct/>
        <w:topLinePunct w:val="0"/>
        <w:autoSpaceDE/>
        <w:autoSpaceDN/>
        <w:bidi w:val="0"/>
        <w:adjustRightInd/>
        <w:snapToGrid/>
        <w:spacing w:beforeAutospacing="0" w:afterAutospacing="0" w:line="360" w:lineRule="auto"/>
        <w:ind w:leftChars="200"/>
        <w:textAlignment w:val="auto"/>
        <w:rPr>
          <w:rFonts w:hint="eastAsia" w:ascii="宋体" w:hAnsi="宋体" w:eastAsia="宋体" w:cs="宋体"/>
          <w:sz w:val="24"/>
          <w:szCs w:val="24"/>
        </w:rPr>
      </w:pPr>
      <w:r>
        <w:rPr>
          <w:rFonts w:hint="eastAsia" w:ascii="宋体" w:hAnsi="宋体" w:eastAsia="宋体" w:cs="宋体"/>
          <w:sz w:val="24"/>
          <w:szCs w:val="24"/>
        </w:rPr>
        <w:t>四、凡对本次公告内容提出询问，请按以下方式联系</w:t>
      </w:r>
    </w:p>
    <w:p w14:paraId="301D72A1">
      <w:pPr>
        <w:pStyle w:val="2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1. 采购人信息 </w:t>
      </w:r>
    </w:p>
    <w:p w14:paraId="1DA0B4B4">
      <w:pPr>
        <w:pStyle w:val="2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名  称：阿图什市应急管理局 </w:t>
      </w:r>
    </w:p>
    <w:p w14:paraId="52EDE5A2">
      <w:pPr>
        <w:pStyle w:val="2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地  址：阿图什市 </w:t>
      </w:r>
    </w:p>
    <w:p w14:paraId="08E7BEC4">
      <w:pPr>
        <w:pStyle w:val="2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联系方式：</w:t>
      </w:r>
      <w:r>
        <w:rPr>
          <w:rFonts w:hint="eastAsia" w:ascii="宋体" w:hAnsi="宋体" w:cs="宋体"/>
          <w:sz w:val="24"/>
          <w:szCs w:val="24"/>
          <w:lang w:val="en-US" w:eastAsia="zh-CN"/>
        </w:rPr>
        <w:t>刘</w:t>
      </w:r>
      <w:r>
        <w:rPr>
          <w:rFonts w:hint="eastAsia" w:ascii="宋体" w:hAnsi="宋体" w:eastAsia="宋体" w:cs="宋体"/>
          <w:sz w:val="24"/>
          <w:szCs w:val="24"/>
        </w:rPr>
        <w:t>先生 13369080816</w:t>
      </w:r>
    </w:p>
    <w:p w14:paraId="17C10D31">
      <w:pPr>
        <w:pStyle w:val="25"/>
        <w:keepNext w:val="0"/>
        <w:keepLines w:val="0"/>
        <w:pageBreakBefore w:val="0"/>
        <w:widowControl/>
        <w:numPr>
          <w:ilvl w:val="0"/>
          <w:numId w:val="3"/>
        </w:numPr>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采购代理机构信息 </w:t>
      </w:r>
    </w:p>
    <w:p w14:paraId="0F6F421A">
      <w:pPr>
        <w:pStyle w:val="25"/>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Chars="200" w:right="0" w:rightChars="0"/>
        <w:textAlignment w:val="auto"/>
        <w:rPr>
          <w:rFonts w:hint="eastAsia" w:ascii="宋体" w:hAnsi="宋体" w:eastAsia="宋体" w:cs="宋体"/>
          <w:sz w:val="24"/>
          <w:szCs w:val="24"/>
        </w:rPr>
      </w:pPr>
      <w:r>
        <w:rPr>
          <w:rFonts w:hint="eastAsia" w:ascii="宋体" w:hAnsi="宋体" w:eastAsia="宋体" w:cs="宋体"/>
          <w:sz w:val="24"/>
          <w:szCs w:val="24"/>
        </w:rPr>
        <w:t>名  称：新疆大成瑞祥建设项目管理咨询有限公司</w:t>
      </w:r>
    </w:p>
    <w:p w14:paraId="4406E157">
      <w:pPr>
        <w:pStyle w:val="25"/>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Chars="200" w:right="0" w:rightChars="0"/>
        <w:textAlignment w:val="auto"/>
        <w:rPr>
          <w:rFonts w:hint="eastAsia" w:ascii="宋体" w:hAnsi="宋体" w:eastAsia="宋体" w:cs="宋体"/>
          <w:sz w:val="24"/>
          <w:szCs w:val="24"/>
        </w:rPr>
      </w:pPr>
      <w:r>
        <w:rPr>
          <w:rFonts w:hint="eastAsia" w:ascii="宋体" w:hAnsi="宋体" w:eastAsia="宋体" w:cs="宋体"/>
          <w:sz w:val="24"/>
          <w:szCs w:val="24"/>
        </w:rPr>
        <w:t xml:space="preserve">地  址：阿图什市阿扎克镇提坚村沙依路43号三楼    </w:t>
      </w:r>
    </w:p>
    <w:p w14:paraId="1694A915">
      <w:pPr>
        <w:pStyle w:val="25"/>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Chars="200" w:right="0" w:rightChars="0"/>
        <w:textAlignment w:val="auto"/>
        <w:rPr>
          <w:rFonts w:hint="eastAsia" w:ascii="宋体" w:hAnsi="宋体" w:eastAsia="宋体" w:cs="宋体"/>
          <w:sz w:val="24"/>
          <w:szCs w:val="24"/>
        </w:rPr>
      </w:pPr>
      <w:r>
        <w:rPr>
          <w:rFonts w:hint="eastAsia" w:ascii="宋体" w:hAnsi="宋体" w:eastAsia="宋体" w:cs="宋体"/>
          <w:sz w:val="24"/>
          <w:szCs w:val="24"/>
        </w:rPr>
        <w:t>联系方式：</w:t>
      </w:r>
      <w:r>
        <w:rPr>
          <w:rFonts w:hint="eastAsia" w:ascii="宋体" w:hAnsi="宋体" w:cs="宋体"/>
          <w:sz w:val="24"/>
          <w:szCs w:val="24"/>
          <w:lang w:val="en-US" w:eastAsia="zh-CN"/>
        </w:rPr>
        <w:t>刘女士</w:t>
      </w:r>
      <w:r>
        <w:rPr>
          <w:rFonts w:hint="eastAsia" w:ascii="宋体" w:hAnsi="宋体" w:eastAsia="宋体" w:cs="宋体"/>
          <w:sz w:val="24"/>
          <w:szCs w:val="24"/>
        </w:rPr>
        <w:t xml:space="preserve"> 18094994613</w:t>
      </w:r>
    </w:p>
    <w:p w14:paraId="767DF82F">
      <w:pPr>
        <w:pStyle w:val="25"/>
        <w:keepNext w:val="0"/>
        <w:keepLines w:val="0"/>
        <w:pageBreakBefore w:val="0"/>
        <w:widowControl/>
        <w:numPr>
          <w:ilvl w:val="0"/>
          <w:numId w:val="3"/>
        </w:numPr>
        <w:suppressLineNumbers w:val="0"/>
        <w:kinsoku/>
        <w:wordWrap/>
        <w:overflowPunct/>
        <w:topLinePunct w:val="0"/>
        <w:autoSpaceDE/>
        <w:autoSpaceDN/>
        <w:bidi w:val="0"/>
        <w:adjustRightInd/>
        <w:snapToGrid/>
        <w:spacing w:beforeAutospacing="0" w:afterAutospacing="0"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项目联系方式 </w:t>
      </w:r>
    </w:p>
    <w:p w14:paraId="3F749C70">
      <w:pPr>
        <w:pStyle w:val="25"/>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Chars="200" w:right="0" w:rightChars="0"/>
        <w:textAlignment w:val="auto"/>
        <w:rPr>
          <w:rFonts w:hint="eastAsia" w:ascii="宋体" w:hAnsi="宋体" w:eastAsia="宋体" w:cs="宋体"/>
          <w:sz w:val="24"/>
          <w:szCs w:val="24"/>
        </w:rPr>
      </w:pPr>
      <w:r>
        <w:rPr>
          <w:rFonts w:hint="eastAsia" w:ascii="宋体" w:hAnsi="宋体" w:eastAsia="宋体" w:cs="宋体"/>
          <w:sz w:val="24"/>
          <w:szCs w:val="24"/>
        </w:rPr>
        <w:t>项目联系人：</w:t>
      </w:r>
      <w:r>
        <w:rPr>
          <w:rFonts w:hint="eastAsia" w:ascii="宋体" w:hAnsi="宋体" w:cs="宋体"/>
          <w:sz w:val="24"/>
          <w:szCs w:val="24"/>
          <w:lang w:val="en-US" w:eastAsia="zh-CN"/>
        </w:rPr>
        <w:t>刘女士</w:t>
      </w:r>
      <w:r>
        <w:rPr>
          <w:rFonts w:hint="eastAsia" w:ascii="宋体" w:hAnsi="宋体" w:eastAsia="宋体" w:cs="宋体"/>
          <w:sz w:val="24"/>
          <w:szCs w:val="24"/>
        </w:rPr>
        <w:t xml:space="preserve"> </w:t>
      </w:r>
    </w:p>
    <w:p w14:paraId="15E36213">
      <w:pPr>
        <w:pStyle w:val="25"/>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Chars="200" w:right="0" w:rightChars="0"/>
        <w:textAlignment w:val="auto"/>
        <w:rPr>
          <w:rFonts w:hint="default" w:ascii="仿宋" w:hAnsi="仿宋" w:eastAsia="宋体" w:cs="仿宋"/>
          <w:b/>
          <w:bCs/>
          <w:color w:val="000000"/>
          <w:highlight w:val="none"/>
          <w:lang w:val="en-US" w:eastAsia="zh-CN"/>
        </w:rPr>
        <w:sectPr>
          <w:pgSz w:w="11906" w:h="16838"/>
          <w:pgMar w:top="1440" w:right="1800" w:bottom="1440" w:left="1800" w:header="851" w:footer="992" w:gutter="0"/>
          <w:pgBorders w:offsetFrom="page">
            <w:top w:val="none" w:sz="0" w:space="0"/>
            <w:left w:val="none" w:sz="0" w:space="0"/>
            <w:bottom w:val="none" w:sz="0" w:space="0"/>
            <w:right w:val="none" w:sz="0" w:space="0"/>
          </w:pgBorders>
          <w:cols w:space="720" w:num="1"/>
          <w:docGrid w:type="lines" w:linePitch="312" w:charSpace="0"/>
        </w:sectPr>
      </w:pPr>
      <w:r>
        <w:rPr>
          <w:rFonts w:hint="eastAsia" w:ascii="宋体" w:hAnsi="宋体" w:eastAsia="宋体" w:cs="宋体"/>
          <w:sz w:val="24"/>
          <w:szCs w:val="24"/>
        </w:rPr>
        <w:t>电  话：</w:t>
      </w:r>
      <w:r>
        <w:rPr>
          <w:rFonts w:hint="eastAsia" w:ascii="宋体" w:hAnsi="宋体" w:eastAsia="宋体" w:cs="宋体"/>
          <w:sz w:val="24"/>
          <w:szCs w:val="24"/>
          <w:lang w:val="en-US" w:eastAsia="zh-CN"/>
        </w:rPr>
        <w:t>18094994613</w:t>
      </w:r>
      <w:bookmarkStart w:id="237" w:name="_GoBack"/>
      <w:bookmarkEnd w:id="237"/>
    </w:p>
    <w:p w14:paraId="7640F451">
      <w:pPr>
        <w:pStyle w:val="25"/>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jc w:val="left"/>
        <w:textAlignment w:val="auto"/>
        <w:rPr>
          <w:rFonts w:hint="eastAsia"/>
          <w:color w:val="auto"/>
          <w:sz w:val="21"/>
          <w:szCs w:val="21"/>
          <w:highlight w:val="none"/>
          <w:lang w:val="en-US" w:eastAsia="zh-CN"/>
        </w:rPr>
      </w:pPr>
    </w:p>
    <w:p w14:paraId="1659D80F">
      <w:pPr>
        <w:numPr>
          <w:ilvl w:val="0"/>
          <w:numId w:val="4"/>
        </w:numPr>
        <w:shd w:val="clear" w:color="auto" w:fill="auto"/>
        <w:spacing w:line="500" w:lineRule="exact"/>
        <w:ind w:left="-1816" w:leftChars="0" w:firstLine="3520" w:firstLineChars="0"/>
        <w:jc w:val="center"/>
        <w:outlineLvl w:val="0"/>
        <w:rPr>
          <w:rFonts w:hint="eastAsia" w:ascii="宋体"/>
          <w:b/>
          <w:color w:val="auto"/>
          <w:sz w:val="32"/>
          <w:szCs w:val="32"/>
          <w:highlight w:val="none"/>
        </w:rPr>
      </w:pPr>
      <w:bookmarkStart w:id="10" w:name="_Toc26119"/>
      <w:r>
        <w:rPr>
          <w:rFonts w:hint="eastAsia" w:ascii="宋体"/>
          <w:b/>
          <w:color w:val="auto"/>
          <w:sz w:val="32"/>
          <w:szCs w:val="32"/>
          <w:highlight w:val="none"/>
        </w:rPr>
        <w:t>投标人须知</w:t>
      </w:r>
      <w:bookmarkEnd w:id="10"/>
    </w:p>
    <w:p w14:paraId="23F06BF2">
      <w:pPr>
        <w:numPr>
          <w:ilvl w:val="0"/>
          <w:numId w:val="5"/>
        </w:numPr>
        <w:shd w:val="clear" w:color="auto" w:fill="auto"/>
        <w:spacing w:line="500" w:lineRule="exact"/>
        <w:ind w:left="0" w:leftChars="0" w:firstLine="3520" w:firstLineChars="0"/>
        <w:jc w:val="both"/>
        <w:outlineLvl w:val="0"/>
        <w:rPr>
          <w:rFonts w:hint="eastAsia"/>
          <w:color w:val="auto"/>
          <w:highlight w:val="none"/>
        </w:rPr>
      </w:pPr>
      <w:bookmarkStart w:id="11" w:name="_Toc20189"/>
      <w:r>
        <w:rPr>
          <w:rFonts w:hint="eastAsia" w:ascii="宋体"/>
          <w:b/>
          <w:color w:val="auto"/>
          <w:sz w:val="28"/>
          <w:szCs w:val="28"/>
          <w:highlight w:val="none"/>
        </w:rPr>
        <w:t>投标人须知前附表</w:t>
      </w:r>
      <w:bookmarkEnd w:id="11"/>
    </w:p>
    <w:tbl>
      <w:tblPr>
        <w:tblStyle w:val="29"/>
        <w:tblW w:w="9941"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012"/>
        <w:gridCol w:w="1536"/>
        <w:gridCol w:w="7393"/>
      </w:tblGrid>
      <w:tr w14:paraId="440F78A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9" w:hRule="atLeast"/>
          <w:jc w:val="center"/>
        </w:trPr>
        <w:tc>
          <w:tcPr>
            <w:tcW w:w="1012" w:type="dxa"/>
            <w:vAlign w:val="center"/>
          </w:tcPr>
          <w:p w14:paraId="762BA893">
            <w:pPr>
              <w:pStyle w:val="13"/>
              <w:keepNext w:val="0"/>
              <w:keepLines w:val="0"/>
              <w:pageBreakBefore w:val="0"/>
              <w:shd w:val="clear" w:color="auto" w:fill="auto"/>
              <w:kinsoku/>
              <w:wordWrap/>
              <w:overflowPunct/>
              <w:topLinePunct w:val="0"/>
              <w:autoSpaceDE/>
              <w:autoSpaceDN/>
              <w:bidi w:val="0"/>
              <w:adjustRightInd/>
              <w:snapToGrid w:val="0"/>
              <w:spacing w:line="290" w:lineRule="exact"/>
              <w:ind w:left="-95" w:leftChars="-45" w:right="-82" w:rightChars="-39"/>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条款号</w:t>
            </w:r>
          </w:p>
        </w:tc>
        <w:tc>
          <w:tcPr>
            <w:tcW w:w="1536" w:type="dxa"/>
            <w:vAlign w:val="center"/>
          </w:tcPr>
          <w:p w14:paraId="744D248D">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内容</w:t>
            </w:r>
          </w:p>
        </w:tc>
        <w:tc>
          <w:tcPr>
            <w:tcW w:w="7393" w:type="dxa"/>
            <w:vAlign w:val="center"/>
          </w:tcPr>
          <w:p w14:paraId="742114D7">
            <w:pPr>
              <w:pStyle w:val="13"/>
              <w:keepNext w:val="0"/>
              <w:keepLines w:val="0"/>
              <w:pageBreakBefore w:val="0"/>
              <w:shd w:val="clear" w:color="auto" w:fill="auto"/>
              <w:kinsoku/>
              <w:wordWrap/>
              <w:overflowPunct/>
              <w:topLinePunct w:val="0"/>
              <w:autoSpaceDE/>
              <w:autoSpaceDN/>
              <w:bidi w:val="0"/>
              <w:adjustRightInd/>
              <w:snapToGrid w:val="0"/>
              <w:spacing w:line="290" w:lineRule="exact"/>
              <w:ind w:firstLine="2120" w:firstLineChars="1000"/>
              <w:jc w:val="both"/>
              <w:textAlignment w:val="auto"/>
              <w:outlineLvl w:val="9"/>
              <w:rPr>
                <w:b w:val="0"/>
                <w:bCs/>
                <w:color w:val="auto"/>
                <w:sz w:val="21"/>
                <w:szCs w:val="21"/>
                <w:highlight w:val="none"/>
                <w:lang w:val="en-US" w:eastAsia="zh-CN"/>
              </w:rPr>
            </w:pPr>
            <w:r>
              <w:rPr>
                <w:rFonts w:hint="eastAsia"/>
                <w:b w:val="0"/>
                <w:bCs/>
                <w:color w:val="auto"/>
                <w:sz w:val="21"/>
                <w:szCs w:val="21"/>
                <w:highlight w:val="none"/>
                <w:lang w:val="en-US" w:eastAsia="zh-CN"/>
              </w:rPr>
              <w:t>说明与要求</w:t>
            </w:r>
          </w:p>
        </w:tc>
      </w:tr>
      <w:tr w14:paraId="7A3B720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39" w:hRule="atLeast"/>
          <w:jc w:val="center"/>
        </w:trPr>
        <w:tc>
          <w:tcPr>
            <w:tcW w:w="1012" w:type="dxa"/>
            <w:vAlign w:val="center"/>
          </w:tcPr>
          <w:p w14:paraId="3EE1D206">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1</w:t>
            </w:r>
          </w:p>
        </w:tc>
        <w:tc>
          <w:tcPr>
            <w:tcW w:w="1536" w:type="dxa"/>
            <w:vAlign w:val="center"/>
          </w:tcPr>
          <w:p w14:paraId="0E14B561">
            <w:pPr>
              <w:keepNext w:val="0"/>
              <w:keepLines w:val="0"/>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采购人</w:t>
            </w:r>
            <w:r>
              <w:rPr>
                <w:rFonts w:hint="eastAsia" w:ascii="宋体" w:hAnsi="宋体" w:eastAsia="宋体" w:cs="宋体"/>
                <w:b/>
                <w:bCs w:val="0"/>
                <w:color w:val="auto"/>
                <w:sz w:val="21"/>
                <w:szCs w:val="21"/>
                <w:highlight w:val="none"/>
                <w:lang w:eastAsia="zh-CN"/>
              </w:rPr>
              <w:t>信</w:t>
            </w:r>
            <w:r>
              <w:rPr>
                <w:rFonts w:hint="eastAsia" w:ascii="宋体" w:hAnsi="宋体" w:eastAsia="宋体" w:cs="宋体"/>
                <w:b/>
                <w:bCs w:val="0"/>
                <w:color w:val="auto"/>
                <w:sz w:val="21"/>
                <w:szCs w:val="21"/>
                <w:highlight w:val="none"/>
              </w:rPr>
              <w:t>息</w:t>
            </w:r>
          </w:p>
        </w:tc>
        <w:tc>
          <w:tcPr>
            <w:tcW w:w="7393" w:type="dxa"/>
            <w:vAlign w:val="center"/>
          </w:tcPr>
          <w:p w14:paraId="454B11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eastAsia="宋体"/>
                <w:b w:val="0"/>
                <w:bCs/>
                <w:color w:val="auto"/>
                <w:sz w:val="21"/>
                <w:szCs w:val="21"/>
                <w:highlight w:val="none"/>
                <w:lang w:val="en-US" w:eastAsia="zh-CN"/>
              </w:rPr>
            </w:pPr>
            <w:r>
              <w:rPr>
                <w:rFonts w:hint="default" w:eastAsia="宋体"/>
                <w:b w:val="0"/>
                <w:bCs/>
                <w:color w:val="auto"/>
                <w:sz w:val="21"/>
                <w:szCs w:val="21"/>
                <w:highlight w:val="none"/>
                <w:lang w:val="en-US" w:eastAsia="zh-CN"/>
              </w:rPr>
              <w:t>单位名称：</w:t>
            </w:r>
            <w:r>
              <w:rPr>
                <w:rFonts w:hint="eastAsia"/>
                <w:b w:val="0"/>
                <w:bCs/>
                <w:color w:val="auto"/>
                <w:sz w:val="21"/>
                <w:szCs w:val="21"/>
                <w:highlight w:val="none"/>
                <w:lang w:val="en-US" w:eastAsia="zh-CN"/>
              </w:rPr>
              <w:t>阿图什市应急管理局</w:t>
            </w:r>
          </w:p>
          <w:p w14:paraId="6F969B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eastAsia="宋体"/>
                <w:b w:val="0"/>
                <w:bCs/>
                <w:color w:val="auto"/>
                <w:sz w:val="21"/>
                <w:szCs w:val="21"/>
                <w:highlight w:val="none"/>
                <w:lang w:val="en-US" w:eastAsia="zh-CN"/>
              </w:rPr>
            </w:pPr>
            <w:r>
              <w:rPr>
                <w:rFonts w:hint="default" w:eastAsia="宋体"/>
                <w:b w:val="0"/>
                <w:bCs/>
                <w:color w:val="auto"/>
                <w:sz w:val="21"/>
                <w:szCs w:val="21"/>
                <w:highlight w:val="none"/>
                <w:lang w:val="en-US" w:eastAsia="zh-CN"/>
              </w:rPr>
              <w:t>单位地址：阿图什市</w:t>
            </w:r>
          </w:p>
          <w:p w14:paraId="2CA9C9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eastAsia="宋体"/>
                <w:b w:val="0"/>
                <w:bCs/>
                <w:color w:val="auto"/>
                <w:sz w:val="21"/>
                <w:szCs w:val="21"/>
                <w:highlight w:val="none"/>
                <w:lang w:val="en-US" w:eastAsia="zh-CN"/>
              </w:rPr>
            </w:pPr>
            <w:r>
              <w:rPr>
                <w:rFonts w:hint="default" w:eastAsia="宋体"/>
                <w:b w:val="0"/>
                <w:bCs/>
                <w:color w:val="auto"/>
                <w:sz w:val="21"/>
                <w:szCs w:val="21"/>
                <w:highlight w:val="none"/>
                <w:lang w:val="en-US" w:eastAsia="zh-CN"/>
              </w:rPr>
              <w:t>联 系 人：</w:t>
            </w:r>
            <w:r>
              <w:rPr>
                <w:rFonts w:hint="eastAsia"/>
                <w:b w:val="0"/>
                <w:bCs/>
                <w:color w:val="auto"/>
                <w:sz w:val="21"/>
                <w:szCs w:val="21"/>
                <w:highlight w:val="none"/>
                <w:lang w:val="en-US" w:eastAsia="zh-CN"/>
              </w:rPr>
              <w:t>刘先生</w:t>
            </w:r>
            <w:r>
              <w:rPr>
                <w:rFonts w:hint="default" w:eastAsia="宋体"/>
                <w:b w:val="0"/>
                <w:bCs/>
                <w:color w:val="auto"/>
                <w:sz w:val="21"/>
                <w:szCs w:val="21"/>
                <w:highlight w:val="none"/>
                <w:lang w:val="en-US" w:eastAsia="zh-CN"/>
              </w:rPr>
              <w:t xml:space="preserve">   联系电话：</w:t>
            </w:r>
            <w:r>
              <w:rPr>
                <w:rFonts w:hint="eastAsia"/>
                <w:b w:val="0"/>
                <w:bCs/>
                <w:color w:val="auto"/>
                <w:sz w:val="21"/>
                <w:szCs w:val="21"/>
                <w:highlight w:val="none"/>
                <w:lang w:val="en-US" w:eastAsia="zh-CN"/>
              </w:rPr>
              <w:t>13369080816</w:t>
            </w:r>
            <w:r>
              <w:rPr>
                <w:rFonts w:hint="default" w:eastAsia="宋体"/>
                <w:b w:val="0"/>
                <w:bCs/>
                <w:color w:val="auto"/>
                <w:sz w:val="21"/>
                <w:szCs w:val="21"/>
                <w:highlight w:val="none"/>
                <w:lang w:val="en-US" w:eastAsia="zh-CN"/>
              </w:rPr>
              <w:t xml:space="preserve">    </w:t>
            </w:r>
          </w:p>
        </w:tc>
      </w:tr>
      <w:tr w14:paraId="338CB81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359" w:hRule="atLeast"/>
          <w:jc w:val="center"/>
        </w:trPr>
        <w:tc>
          <w:tcPr>
            <w:tcW w:w="1012" w:type="dxa"/>
            <w:vAlign w:val="center"/>
          </w:tcPr>
          <w:p w14:paraId="3935AEEB">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b/>
                <w:bCs w:val="0"/>
                <w:color w:val="auto"/>
                <w:sz w:val="21"/>
                <w:szCs w:val="21"/>
                <w:highlight w:val="none"/>
                <w:lang w:val="en-US" w:eastAsia="zh-CN"/>
              </w:rPr>
            </w:pPr>
            <w:r>
              <w:rPr>
                <w:rFonts w:hint="default"/>
                <w:b/>
                <w:bCs w:val="0"/>
                <w:color w:val="auto"/>
                <w:sz w:val="21"/>
                <w:szCs w:val="21"/>
                <w:highlight w:val="none"/>
                <w:lang w:val="en-US" w:eastAsia="zh-CN"/>
              </w:rPr>
              <w:t>2</w:t>
            </w:r>
          </w:p>
        </w:tc>
        <w:tc>
          <w:tcPr>
            <w:tcW w:w="1536" w:type="dxa"/>
            <w:vAlign w:val="center"/>
          </w:tcPr>
          <w:p w14:paraId="36651620">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rPr>
                <w:rFonts w:hint="eastAsia"/>
                <w:b/>
                <w:bCs w:val="0"/>
                <w:color w:val="auto"/>
                <w:sz w:val="21"/>
                <w:szCs w:val="21"/>
                <w:highlight w:val="none"/>
                <w:lang w:val="en-US" w:eastAsia="zh-CN"/>
              </w:rPr>
            </w:pPr>
            <w:r>
              <w:rPr>
                <w:rFonts w:hint="eastAsia" w:ascii="宋体" w:hAnsi="宋体" w:eastAsia="宋体" w:cs="宋体"/>
                <w:b/>
                <w:bCs w:val="0"/>
                <w:color w:val="auto"/>
                <w:sz w:val="21"/>
                <w:szCs w:val="21"/>
                <w:highlight w:val="none"/>
              </w:rPr>
              <w:t>采购代理机构</w:t>
            </w:r>
          </w:p>
        </w:tc>
        <w:tc>
          <w:tcPr>
            <w:tcW w:w="7393" w:type="dxa"/>
            <w:vAlign w:val="center"/>
          </w:tcPr>
          <w:p w14:paraId="01DFB208">
            <w:pPr>
              <w:keepNext w:val="0"/>
              <w:keepLines w:val="0"/>
              <w:pageBreakBefore w:val="0"/>
              <w:widowControl/>
              <w:shd w:val="clear" w:color="auto" w:fill="auto"/>
              <w:kinsoku/>
              <w:wordWrap/>
              <w:overflowPunct/>
              <w:topLinePunct w:val="0"/>
              <w:autoSpaceDE/>
              <w:autoSpaceDN/>
              <w:bidi w:val="0"/>
              <w:adjustRightInd/>
              <w:snapToGrid/>
              <w:spacing w:line="530" w:lineRule="exac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名  称：</w:t>
            </w:r>
            <w:r>
              <w:rPr>
                <w:rFonts w:hint="eastAsia" w:ascii="宋体" w:hAnsi="宋体" w:cs="宋体"/>
                <w:color w:val="auto"/>
                <w:kern w:val="0"/>
                <w:sz w:val="21"/>
                <w:szCs w:val="21"/>
                <w:highlight w:val="none"/>
                <w:lang w:eastAsia="zh-CN"/>
              </w:rPr>
              <w:t>新疆大成瑞祥建设项目管理咨询有限公司</w:t>
            </w:r>
          </w:p>
          <w:p w14:paraId="217D724B">
            <w:pPr>
              <w:keepNext w:val="0"/>
              <w:keepLines w:val="0"/>
              <w:pageBreakBefore w:val="0"/>
              <w:widowControl/>
              <w:shd w:val="clear" w:color="auto" w:fill="auto"/>
              <w:kinsoku/>
              <w:wordWrap/>
              <w:overflowPunct/>
              <w:topLinePunct w:val="0"/>
              <w:autoSpaceDE/>
              <w:autoSpaceDN/>
              <w:bidi w:val="0"/>
              <w:adjustRightInd/>
              <w:snapToGrid/>
              <w:spacing w:line="53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地  址：</w:t>
            </w:r>
            <w:r>
              <w:rPr>
                <w:rFonts w:hint="eastAsia" w:ascii="宋体" w:hAnsi="宋体" w:eastAsia="宋体" w:cs="宋体"/>
                <w:color w:val="auto"/>
                <w:kern w:val="0"/>
                <w:sz w:val="21"/>
                <w:szCs w:val="21"/>
                <w:highlight w:val="none"/>
                <w:lang w:val="en-US" w:eastAsia="zh-CN"/>
              </w:rPr>
              <w:t xml:space="preserve">阿图什市阿扎克镇提坚村沙依路43号三楼 </w:t>
            </w:r>
          </w:p>
          <w:p w14:paraId="71413101">
            <w:pPr>
              <w:keepNext w:val="0"/>
              <w:keepLines w:val="0"/>
              <w:pageBreakBefore w:val="0"/>
              <w:widowControl/>
              <w:shd w:val="clear" w:color="auto" w:fill="auto"/>
              <w:kinsoku/>
              <w:wordWrap/>
              <w:overflowPunct/>
              <w:topLinePunct w:val="0"/>
              <w:autoSpaceDE/>
              <w:autoSpaceDN/>
              <w:bidi w:val="0"/>
              <w:adjustRightInd/>
              <w:snapToGrid/>
              <w:spacing w:line="530" w:lineRule="exact"/>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宋体" w:hAnsi="宋体" w:eastAsia="宋体" w:cs="宋体"/>
                <w:color w:val="auto"/>
                <w:kern w:val="0"/>
                <w:sz w:val="21"/>
                <w:szCs w:val="21"/>
                <w:highlight w:val="none"/>
              </w:rPr>
              <w:t>联系人：</w:t>
            </w:r>
            <w:r>
              <w:rPr>
                <w:rFonts w:hint="eastAsia" w:ascii="宋体" w:hAnsi="宋体" w:cs="宋体"/>
                <w:color w:val="auto"/>
                <w:kern w:val="0"/>
                <w:sz w:val="21"/>
                <w:szCs w:val="21"/>
                <w:highlight w:val="none"/>
                <w:lang w:val="en-US" w:eastAsia="zh-CN"/>
              </w:rPr>
              <w:t>刘女士</w:t>
            </w: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sz w:val="21"/>
                <w:szCs w:val="21"/>
                <w:highlight w:val="none"/>
                <w:shd w:val="clear" w:color="auto" w:fill="FFFFFF"/>
              </w:rPr>
              <w:t>联系</w:t>
            </w:r>
            <w:r>
              <w:rPr>
                <w:rFonts w:hint="eastAsia" w:ascii="宋体" w:hAnsi="宋体" w:eastAsia="宋体" w:cs="宋体"/>
                <w:color w:val="auto"/>
                <w:kern w:val="0"/>
                <w:sz w:val="21"/>
                <w:szCs w:val="21"/>
                <w:highlight w:val="none"/>
              </w:rPr>
              <w:t>电话：</w:t>
            </w:r>
            <w:r>
              <w:rPr>
                <w:rFonts w:hint="eastAsia" w:ascii="宋体" w:hAnsi="宋体" w:cs="宋体"/>
                <w:color w:val="auto"/>
                <w:kern w:val="2"/>
                <w:sz w:val="21"/>
                <w:szCs w:val="21"/>
                <w:highlight w:val="none"/>
                <w:lang w:val="en-US" w:eastAsia="zh-CN" w:bidi="ar"/>
              </w:rPr>
              <w:t>18094994613</w:t>
            </w:r>
          </w:p>
        </w:tc>
      </w:tr>
      <w:tr w14:paraId="126860F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392" w:hRule="atLeast"/>
          <w:jc w:val="center"/>
        </w:trPr>
        <w:tc>
          <w:tcPr>
            <w:tcW w:w="1012" w:type="dxa"/>
            <w:vAlign w:val="center"/>
          </w:tcPr>
          <w:p w14:paraId="75183445">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b/>
                <w:bCs w:val="0"/>
                <w:color w:val="auto"/>
                <w:sz w:val="21"/>
                <w:szCs w:val="21"/>
                <w:highlight w:val="none"/>
                <w:lang w:val="en-US" w:eastAsia="zh-CN"/>
              </w:rPr>
            </w:pPr>
            <w:r>
              <w:rPr>
                <w:rFonts w:hint="eastAsia"/>
                <w:b/>
                <w:bCs w:val="0"/>
                <w:color w:val="auto"/>
                <w:sz w:val="21"/>
                <w:szCs w:val="21"/>
                <w:highlight w:val="none"/>
                <w:lang w:val="en-US" w:eastAsia="zh-CN"/>
              </w:rPr>
              <w:t>3</w:t>
            </w:r>
          </w:p>
        </w:tc>
        <w:tc>
          <w:tcPr>
            <w:tcW w:w="1536" w:type="dxa"/>
            <w:vAlign w:val="center"/>
          </w:tcPr>
          <w:p w14:paraId="48219997">
            <w:pPr>
              <w:pStyle w:val="25"/>
              <w:keepNext w:val="0"/>
              <w:keepLines w:val="0"/>
              <w:widowControl/>
              <w:suppressLineNumbers w:val="0"/>
              <w:spacing w:before="0" w:beforeAutospacing="0" w:after="0" w:afterAutospacing="0" w:line="510" w:lineRule="atLeast"/>
              <w:ind w:right="0"/>
              <w:jc w:val="center"/>
              <w:rPr>
                <w:rFonts w:hint="eastAsia" w:ascii="Times New Roman" w:hAnsi="Times New Roman" w:eastAsia="宋体" w:cs="Times New Roman"/>
                <w:b/>
                <w:bCs w:val="0"/>
                <w:color w:val="auto"/>
                <w:kern w:val="2"/>
                <w:sz w:val="21"/>
                <w:szCs w:val="21"/>
                <w:highlight w:val="none"/>
                <w:lang w:val="en-US" w:eastAsia="zh-CN" w:bidi="ar-SA"/>
              </w:rPr>
            </w:pPr>
            <w:r>
              <w:rPr>
                <w:rFonts w:hint="eastAsia" w:ascii="Times New Roman" w:hAnsi="Times New Roman" w:eastAsia="宋体" w:cs="Times New Roman"/>
                <w:b/>
                <w:bCs w:val="0"/>
                <w:color w:val="auto"/>
                <w:kern w:val="2"/>
                <w:sz w:val="21"/>
                <w:szCs w:val="21"/>
                <w:highlight w:val="none"/>
                <w:lang w:val="en-US" w:eastAsia="zh-CN" w:bidi="ar-SA"/>
              </w:rPr>
              <w:t>项目名称</w:t>
            </w:r>
          </w:p>
          <w:p w14:paraId="1220C019">
            <w:pPr>
              <w:pStyle w:val="25"/>
              <w:keepNext w:val="0"/>
              <w:keepLines w:val="0"/>
              <w:widowControl/>
              <w:suppressLineNumbers w:val="0"/>
              <w:spacing w:before="0" w:beforeAutospacing="0" w:after="0" w:afterAutospacing="0" w:line="510" w:lineRule="atLeast"/>
              <w:ind w:right="0"/>
              <w:jc w:val="center"/>
              <w:rPr>
                <w:rFonts w:hint="eastAsia" w:ascii="Times New Roman" w:hAnsi="Times New Roman" w:eastAsia="宋体" w:cs="Times New Roman"/>
                <w:b/>
                <w:bCs w:val="0"/>
                <w:color w:val="auto"/>
                <w:kern w:val="2"/>
                <w:sz w:val="21"/>
                <w:szCs w:val="21"/>
                <w:highlight w:val="none"/>
                <w:lang w:val="en-US" w:eastAsia="zh-CN" w:bidi="ar-SA"/>
              </w:rPr>
            </w:pPr>
            <w:r>
              <w:rPr>
                <w:rFonts w:hint="eastAsia" w:ascii="Times New Roman" w:hAnsi="Times New Roman" w:eastAsia="宋体" w:cs="Times New Roman"/>
                <w:b/>
                <w:bCs w:val="0"/>
                <w:color w:val="auto"/>
                <w:kern w:val="2"/>
                <w:sz w:val="21"/>
                <w:szCs w:val="21"/>
                <w:highlight w:val="none"/>
                <w:lang w:val="en-US" w:eastAsia="zh-CN" w:bidi="ar-SA"/>
              </w:rPr>
              <w:t>项目编号</w:t>
            </w:r>
          </w:p>
          <w:p w14:paraId="75D619FB">
            <w:pPr>
              <w:pStyle w:val="25"/>
              <w:keepNext w:val="0"/>
              <w:keepLines w:val="0"/>
              <w:widowControl/>
              <w:suppressLineNumbers w:val="0"/>
              <w:spacing w:before="0" w:beforeAutospacing="0" w:after="0" w:afterAutospacing="0" w:line="510" w:lineRule="atLeast"/>
              <w:ind w:right="0"/>
              <w:jc w:val="center"/>
              <w:rPr>
                <w:rFonts w:hint="default" w:ascii="Times New Roman" w:hAnsi="Times New Roman" w:eastAsia="宋体" w:cs="Times New Roman"/>
                <w:b/>
                <w:bCs w:val="0"/>
                <w:color w:val="auto"/>
                <w:kern w:val="2"/>
                <w:sz w:val="21"/>
                <w:szCs w:val="21"/>
                <w:highlight w:val="none"/>
                <w:lang w:val="en-US" w:eastAsia="zh-CN" w:bidi="ar-SA"/>
              </w:rPr>
            </w:pPr>
            <w:r>
              <w:rPr>
                <w:rFonts w:hint="eastAsia" w:ascii="Times New Roman" w:hAnsi="Times New Roman" w:eastAsia="宋体" w:cs="Times New Roman"/>
                <w:b/>
                <w:bCs w:val="0"/>
                <w:color w:val="auto"/>
                <w:kern w:val="2"/>
                <w:sz w:val="21"/>
                <w:szCs w:val="21"/>
                <w:highlight w:val="none"/>
                <w:lang w:val="en-US" w:eastAsia="zh-CN" w:bidi="ar-SA"/>
              </w:rPr>
              <w:t>采购内容</w:t>
            </w:r>
          </w:p>
        </w:tc>
        <w:tc>
          <w:tcPr>
            <w:tcW w:w="7393" w:type="dxa"/>
            <w:vAlign w:val="center"/>
          </w:tcPr>
          <w:p w14:paraId="66FD9106">
            <w:pPr>
              <w:pStyle w:val="25"/>
              <w:keepNext w:val="0"/>
              <w:keepLines w:val="0"/>
              <w:widowControl/>
              <w:suppressLineNumbers w:val="0"/>
              <w:spacing w:before="0" w:beforeAutospacing="0" w:after="0" w:afterAutospacing="0" w:line="510" w:lineRule="atLeast"/>
              <w:ind w:right="0"/>
              <w:jc w:val="both"/>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项目名称</w:t>
            </w:r>
            <w:r>
              <w:rPr>
                <w:rFonts w:hint="eastAsia" w:ascii="Times New Roman" w:hAnsi="Times New Roman" w:eastAsia="宋体" w:cs="Times New Roman"/>
                <w:b/>
                <w:bCs w:val="0"/>
                <w:color w:val="auto"/>
                <w:kern w:val="2"/>
                <w:sz w:val="21"/>
                <w:szCs w:val="21"/>
                <w:highlight w:val="none"/>
                <w:lang w:val="en-US" w:eastAsia="zh-CN" w:bidi="ar-SA"/>
              </w:rPr>
              <w:t>：</w:t>
            </w:r>
            <w:r>
              <w:rPr>
                <w:rFonts w:hint="eastAsia" w:ascii="Times New Roman" w:hAnsi="Times New Roman" w:cs="Times New Roman"/>
                <w:b w:val="0"/>
                <w:bCs/>
                <w:color w:val="auto"/>
                <w:kern w:val="2"/>
                <w:sz w:val="21"/>
                <w:szCs w:val="21"/>
                <w:highlight w:val="none"/>
                <w:lang w:val="en-US" w:eastAsia="zh-CN" w:bidi="ar-SA"/>
              </w:rPr>
              <w:t>阿图什市防灾减灾能力补短板-地震预警终端项目</w:t>
            </w:r>
            <w:r>
              <w:rPr>
                <w:rFonts w:hint="eastAsia" w:ascii="Times New Roman" w:hAnsi="Times New Roman" w:eastAsia="宋体" w:cs="Times New Roman"/>
                <w:b w:val="0"/>
                <w:bCs/>
                <w:color w:val="auto"/>
                <w:kern w:val="2"/>
                <w:sz w:val="21"/>
                <w:szCs w:val="21"/>
                <w:highlight w:val="none"/>
                <w:lang w:val="en-US" w:eastAsia="zh-CN" w:bidi="ar-SA"/>
              </w:rPr>
              <w:t xml:space="preserve">  </w:t>
            </w:r>
          </w:p>
          <w:p w14:paraId="6ECC41DA">
            <w:pPr>
              <w:pStyle w:val="25"/>
              <w:keepNext w:val="0"/>
              <w:keepLines w:val="0"/>
              <w:widowControl/>
              <w:suppressLineNumbers w:val="0"/>
              <w:spacing w:before="0" w:beforeAutospacing="0" w:after="0" w:afterAutospacing="0" w:line="510" w:lineRule="atLeast"/>
              <w:ind w:right="0"/>
              <w:jc w:val="both"/>
              <w:rPr>
                <w:rFonts w:hint="default"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项目编号：ATSJYZX-CG-2026</w:t>
            </w:r>
            <w:r>
              <w:rPr>
                <w:rFonts w:hint="eastAsia" w:ascii="Times New Roman" w:hAnsi="Times New Roman" w:cs="Times New Roman"/>
                <w:b w:val="0"/>
                <w:bCs/>
                <w:color w:val="auto"/>
                <w:kern w:val="2"/>
                <w:sz w:val="21"/>
                <w:szCs w:val="21"/>
                <w:highlight w:val="none"/>
                <w:lang w:val="en-US" w:eastAsia="zh-CN" w:bidi="ar-SA"/>
              </w:rPr>
              <w:t>113</w:t>
            </w:r>
          </w:p>
          <w:p w14:paraId="28E28928">
            <w:pPr>
              <w:pStyle w:val="25"/>
              <w:keepNext w:val="0"/>
              <w:keepLines w:val="0"/>
              <w:widowControl/>
              <w:suppressLineNumbers w:val="0"/>
              <w:spacing w:before="0" w:beforeAutospacing="0" w:after="0" w:afterAutospacing="0" w:line="510" w:lineRule="atLeast"/>
              <w:ind w:right="0"/>
              <w:jc w:val="both"/>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标项名称：</w:t>
            </w:r>
            <w:r>
              <w:rPr>
                <w:rFonts w:hint="eastAsia" w:ascii="Times New Roman" w:hAnsi="Times New Roman" w:cs="Times New Roman"/>
                <w:b w:val="0"/>
                <w:bCs/>
                <w:color w:val="auto"/>
                <w:kern w:val="2"/>
                <w:sz w:val="21"/>
                <w:szCs w:val="21"/>
                <w:highlight w:val="none"/>
                <w:lang w:val="en-US" w:eastAsia="zh-CN" w:bidi="ar-SA"/>
              </w:rPr>
              <w:t>阿图什市防灾减灾能力补短板-地震预警终端项目</w:t>
            </w:r>
          </w:p>
          <w:p w14:paraId="1DCB1839">
            <w:pPr>
              <w:pStyle w:val="25"/>
              <w:keepNext w:val="0"/>
              <w:keepLines w:val="0"/>
              <w:widowControl/>
              <w:suppressLineNumbers w:val="0"/>
              <w:spacing w:before="0" w:beforeAutospacing="0" w:after="0" w:afterAutospacing="0" w:line="510" w:lineRule="atLeast"/>
              <w:ind w:right="0"/>
              <w:jc w:val="both"/>
              <w:rPr>
                <w:rFonts w:hint="eastAsia" w:ascii="Times New Roman" w:hAnsi="Times New Roman" w:cs="Times New Roman"/>
                <w:b w:val="0"/>
                <w:bCs/>
                <w:color w:val="auto"/>
                <w:kern w:val="2"/>
                <w:sz w:val="21"/>
                <w:szCs w:val="21"/>
                <w:highlight w:val="none"/>
                <w:lang w:val="en-US" w:eastAsia="zh-CN" w:bidi="ar-SA"/>
              </w:rPr>
            </w:pPr>
            <w:r>
              <w:rPr>
                <w:rFonts w:hint="eastAsia" w:ascii="Times New Roman" w:hAnsi="Times New Roman" w:cs="Times New Roman"/>
                <w:b w:val="0"/>
                <w:bCs/>
                <w:color w:val="auto"/>
                <w:kern w:val="2"/>
                <w:sz w:val="21"/>
                <w:szCs w:val="21"/>
                <w:highlight w:val="none"/>
                <w:lang w:val="en-US" w:eastAsia="zh-CN" w:bidi="ar-SA"/>
              </w:rPr>
              <w:t>采购内容：为学校、商超、福利院、养老院等人员密集场所安装地震预警终端。</w:t>
            </w:r>
          </w:p>
          <w:p w14:paraId="79612FEB">
            <w:pPr>
              <w:pStyle w:val="25"/>
              <w:keepNext w:val="0"/>
              <w:keepLines w:val="0"/>
              <w:widowControl/>
              <w:suppressLineNumbers w:val="0"/>
              <w:spacing w:before="0" w:beforeAutospacing="0" w:after="0" w:afterAutospacing="0" w:line="510" w:lineRule="atLeast"/>
              <w:ind w:right="0"/>
              <w:jc w:val="both"/>
              <w:rPr>
                <w:rFonts w:hint="default" w:ascii="Times New Roman" w:hAnsi="Times New Roman" w:cs="Times New Roman"/>
                <w:b w:val="0"/>
                <w:bCs/>
                <w:color w:val="auto"/>
                <w:kern w:val="2"/>
                <w:sz w:val="21"/>
                <w:szCs w:val="21"/>
                <w:highlight w:val="none"/>
                <w:lang w:val="en-US" w:eastAsia="zh-CN" w:bidi="ar-SA"/>
              </w:rPr>
            </w:pPr>
            <w:r>
              <w:rPr>
                <w:rFonts w:hint="eastAsia" w:ascii="Times New Roman" w:hAnsi="Times New Roman" w:cs="Times New Roman"/>
                <w:b w:val="0"/>
                <w:bCs/>
                <w:color w:val="auto"/>
                <w:kern w:val="2"/>
                <w:sz w:val="21"/>
                <w:szCs w:val="21"/>
                <w:highlight w:val="none"/>
                <w:lang w:val="en-US" w:eastAsia="zh-CN" w:bidi="ar-SA"/>
              </w:rPr>
              <w:t>（具体详见招标文件采购内容及参数要求）</w:t>
            </w:r>
          </w:p>
        </w:tc>
      </w:tr>
      <w:tr w14:paraId="1A4753A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12" w:type="dxa"/>
            <w:vAlign w:val="center"/>
          </w:tcPr>
          <w:p w14:paraId="2E35F4D3">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4</w:t>
            </w:r>
          </w:p>
        </w:tc>
        <w:tc>
          <w:tcPr>
            <w:tcW w:w="1536" w:type="dxa"/>
            <w:vAlign w:val="center"/>
          </w:tcPr>
          <w:p w14:paraId="765D6901">
            <w:pPr>
              <w:pStyle w:val="25"/>
              <w:keepNext w:val="0"/>
              <w:keepLines w:val="0"/>
              <w:widowControl/>
              <w:suppressLineNumbers w:val="0"/>
              <w:spacing w:before="0" w:beforeAutospacing="0" w:after="0" w:afterAutospacing="0" w:line="510" w:lineRule="atLeast"/>
              <w:ind w:right="0"/>
              <w:jc w:val="center"/>
              <w:rPr>
                <w:rFonts w:hint="default" w:ascii="Times New Roman" w:hAnsi="Times New Roman" w:eastAsia="宋体" w:cs="Times New Roman"/>
                <w:b/>
                <w:bCs w:val="0"/>
                <w:color w:val="auto"/>
                <w:kern w:val="2"/>
                <w:sz w:val="21"/>
                <w:szCs w:val="21"/>
                <w:highlight w:val="none"/>
                <w:lang w:val="en-US" w:eastAsia="zh-CN" w:bidi="ar-SA"/>
              </w:rPr>
            </w:pPr>
            <w:r>
              <w:rPr>
                <w:rFonts w:hint="eastAsia" w:ascii="Times New Roman" w:hAnsi="Times New Roman" w:eastAsia="宋体" w:cs="Times New Roman"/>
                <w:b/>
                <w:bCs w:val="0"/>
                <w:color w:val="auto"/>
                <w:kern w:val="2"/>
                <w:sz w:val="21"/>
                <w:szCs w:val="21"/>
                <w:highlight w:val="none"/>
                <w:lang w:val="en-US" w:eastAsia="zh-CN" w:bidi="ar-SA"/>
              </w:rPr>
              <w:t>采购预算</w:t>
            </w:r>
          </w:p>
          <w:p w14:paraId="5A8C4424">
            <w:pPr>
              <w:pStyle w:val="25"/>
              <w:keepNext w:val="0"/>
              <w:keepLines w:val="0"/>
              <w:widowControl/>
              <w:suppressLineNumbers w:val="0"/>
              <w:spacing w:before="0" w:beforeAutospacing="0" w:after="0" w:afterAutospacing="0" w:line="510" w:lineRule="atLeast"/>
              <w:ind w:right="0"/>
              <w:jc w:val="center"/>
              <w:rPr>
                <w:rFonts w:hint="eastAsia" w:ascii="Times New Roman" w:hAnsi="Times New Roman" w:eastAsia="宋体" w:cs="Times New Roman"/>
                <w:b/>
                <w:bCs w:val="0"/>
                <w:color w:val="auto"/>
                <w:kern w:val="2"/>
                <w:sz w:val="21"/>
                <w:szCs w:val="21"/>
                <w:highlight w:val="none"/>
                <w:lang w:val="en-US" w:eastAsia="zh-CN" w:bidi="ar-SA"/>
              </w:rPr>
            </w:pPr>
            <w:r>
              <w:rPr>
                <w:rFonts w:hint="eastAsia" w:ascii="Times New Roman" w:hAnsi="Times New Roman" w:eastAsia="宋体" w:cs="Times New Roman"/>
                <w:b/>
                <w:bCs w:val="0"/>
                <w:color w:val="auto"/>
                <w:kern w:val="2"/>
                <w:sz w:val="21"/>
                <w:szCs w:val="21"/>
                <w:highlight w:val="none"/>
                <w:lang w:val="en-US" w:eastAsia="zh-CN" w:bidi="ar-SA"/>
              </w:rPr>
              <w:t>最高投标限价</w:t>
            </w:r>
          </w:p>
        </w:tc>
        <w:tc>
          <w:tcPr>
            <w:tcW w:w="7393" w:type="dxa"/>
            <w:vAlign w:val="center"/>
          </w:tcPr>
          <w:p w14:paraId="67EE2AA1">
            <w:pPr>
              <w:pStyle w:val="25"/>
              <w:keepNext w:val="0"/>
              <w:keepLines w:val="0"/>
              <w:widowControl/>
              <w:suppressLineNumbers w:val="0"/>
              <w:spacing w:before="0" w:beforeAutospacing="0" w:after="0" w:afterAutospacing="0" w:line="510" w:lineRule="atLeast"/>
              <w:ind w:right="0"/>
              <w:jc w:val="left"/>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最高投标限价：</w:t>
            </w:r>
            <w:r>
              <w:rPr>
                <w:rFonts w:hint="eastAsia" w:ascii="Times New Roman" w:hAnsi="Times New Roman" w:cs="Times New Roman"/>
                <w:b/>
                <w:bCs/>
                <w:color w:val="auto"/>
                <w:kern w:val="2"/>
                <w:sz w:val="21"/>
                <w:szCs w:val="21"/>
                <w:highlight w:val="none"/>
                <w:lang w:val="en-US" w:eastAsia="zh-CN" w:bidi="ar-SA"/>
              </w:rPr>
              <w:t>205</w:t>
            </w:r>
            <w:r>
              <w:rPr>
                <w:rFonts w:hint="eastAsia" w:ascii="Times New Roman" w:hAnsi="Times New Roman" w:eastAsia="宋体" w:cs="Times New Roman"/>
                <w:b/>
                <w:bCs/>
                <w:color w:val="auto"/>
                <w:kern w:val="2"/>
                <w:sz w:val="21"/>
                <w:szCs w:val="21"/>
                <w:highlight w:val="none"/>
                <w:lang w:val="en-US" w:eastAsia="zh-CN" w:bidi="ar-SA"/>
              </w:rPr>
              <w:t>0000元；投标人的投标报价不得高于最高投标限价，否则其投标将被否决。</w:t>
            </w:r>
          </w:p>
        </w:tc>
      </w:tr>
      <w:tr w14:paraId="6AA91D6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83" w:hRule="atLeast"/>
          <w:jc w:val="center"/>
        </w:trPr>
        <w:tc>
          <w:tcPr>
            <w:tcW w:w="1012" w:type="dxa"/>
            <w:vAlign w:val="center"/>
          </w:tcPr>
          <w:p w14:paraId="1A0794E0">
            <w:pPr>
              <w:pStyle w:val="13"/>
              <w:keepNext w:val="0"/>
              <w:keepLines w:val="0"/>
              <w:pageBreakBefore w:val="0"/>
              <w:shd w:val="clear" w:color="auto" w:fill="auto"/>
              <w:kinsoku/>
              <w:wordWrap/>
              <w:overflowPunct/>
              <w:topLinePunct w:val="0"/>
              <w:autoSpaceDE/>
              <w:autoSpaceDN/>
              <w:bidi w:val="0"/>
              <w:adjustRightInd/>
              <w:snapToGrid w:val="0"/>
              <w:spacing w:line="240" w:lineRule="auto"/>
              <w:jc w:val="center"/>
              <w:textAlignment w:val="auto"/>
              <w:outlineLvl w:val="9"/>
              <w:rPr>
                <w:rFonts w:hint="default"/>
                <w:b/>
                <w:bCs w:val="0"/>
                <w:color w:val="auto"/>
                <w:sz w:val="21"/>
                <w:szCs w:val="21"/>
                <w:highlight w:val="none"/>
                <w:lang w:val="en-US" w:eastAsia="zh-CN"/>
              </w:rPr>
            </w:pPr>
            <w:r>
              <w:rPr>
                <w:rFonts w:hint="eastAsia"/>
                <w:b/>
                <w:bCs w:val="0"/>
                <w:color w:val="auto"/>
                <w:sz w:val="21"/>
                <w:szCs w:val="21"/>
                <w:highlight w:val="none"/>
                <w:lang w:val="en-US" w:eastAsia="zh-CN"/>
              </w:rPr>
              <w:t>5</w:t>
            </w:r>
          </w:p>
        </w:tc>
        <w:tc>
          <w:tcPr>
            <w:tcW w:w="1536" w:type="dxa"/>
            <w:vAlign w:val="center"/>
          </w:tcPr>
          <w:p w14:paraId="3EEE3420">
            <w:pPr>
              <w:keepNext w:val="0"/>
              <w:keepLines w:val="0"/>
              <w:pageBreakBefore w:val="0"/>
              <w:widowControl/>
              <w:shd w:val="clear" w:color="auto" w:fill="auto"/>
              <w:kinsoku/>
              <w:wordWrap/>
              <w:overflowPunct/>
              <w:topLinePunct w:val="0"/>
              <w:autoSpaceDE/>
              <w:autoSpaceDN/>
              <w:bidi w:val="0"/>
              <w:adjustRightInd/>
              <w:snapToGrid/>
              <w:spacing w:line="240" w:lineRule="auto"/>
              <w:jc w:val="center"/>
              <w:textAlignment w:val="auto"/>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资金来源</w:t>
            </w:r>
          </w:p>
        </w:tc>
        <w:tc>
          <w:tcPr>
            <w:tcW w:w="7393" w:type="dxa"/>
            <w:vAlign w:val="center"/>
          </w:tcPr>
          <w:p w14:paraId="58657019">
            <w:pPr>
              <w:keepNext w:val="0"/>
              <w:keepLines w:val="0"/>
              <w:pageBreakBefore w:val="0"/>
              <w:widowControl/>
              <w:shd w:val="clear" w:color="auto" w:fill="auto"/>
              <w:kinsoku/>
              <w:wordWrap/>
              <w:overflowPunct/>
              <w:topLinePunct w:val="0"/>
              <w:autoSpaceDE/>
              <w:autoSpaceDN/>
              <w:bidi w:val="0"/>
              <w:adjustRightInd/>
              <w:snapToGrid/>
              <w:spacing w:line="240" w:lineRule="auto"/>
              <w:textAlignment w:val="auto"/>
              <w:rPr>
                <w:rFonts w:hint="default" w:ascii="宋体" w:hAnsi="宋体" w:eastAsia="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江苏援疆资金</w:t>
            </w:r>
          </w:p>
        </w:tc>
      </w:tr>
      <w:tr w14:paraId="2C2D710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47" w:hRule="atLeast"/>
          <w:jc w:val="center"/>
        </w:trPr>
        <w:tc>
          <w:tcPr>
            <w:tcW w:w="1012" w:type="dxa"/>
            <w:vAlign w:val="center"/>
          </w:tcPr>
          <w:p w14:paraId="2E92278E">
            <w:pPr>
              <w:pStyle w:val="13"/>
              <w:keepNext w:val="0"/>
              <w:keepLines w:val="0"/>
              <w:pageBreakBefore w:val="0"/>
              <w:shd w:val="clear" w:color="auto" w:fill="auto"/>
              <w:kinsoku/>
              <w:wordWrap/>
              <w:overflowPunct/>
              <w:topLinePunct w:val="0"/>
              <w:autoSpaceDE/>
              <w:autoSpaceDN/>
              <w:bidi w:val="0"/>
              <w:adjustRightInd/>
              <w:snapToGrid w:val="0"/>
              <w:spacing w:line="240" w:lineRule="auto"/>
              <w:jc w:val="center"/>
              <w:textAlignment w:val="auto"/>
              <w:outlineLvl w:val="9"/>
              <w:rPr>
                <w:rFonts w:hint="default"/>
                <w:b/>
                <w:bCs w:val="0"/>
                <w:color w:val="auto"/>
                <w:sz w:val="21"/>
                <w:szCs w:val="21"/>
                <w:highlight w:val="none"/>
                <w:lang w:val="en-US" w:eastAsia="zh-CN"/>
              </w:rPr>
            </w:pPr>
            <w:r>
              <w:rPr>
                <w:rFonts w:hint="eastAsia"/>
                <w:b/>
                <w:bCs w:val="0"/>
                <w:color w:val="auto"/>
                <w:sz w:val="21"/>
                <w:szCs w:val="21"/>
                <w:highlight w:val="none"/>
                <w:lang w:val="en-US" w:eastAsia="zh-CN"/>
              </w:rPr>
              <w:t>6</w:t>
            </w:r>
          </w:p>
        </w:tc>
        <w:tc>
          <w:tcPr>
            <w:tcW w:w="1536" w:type="dxa"/>
            <w:vAlign w:val="center"/>
          </w:tcPr>
          <w:p w14:paraId="39314626">
            <w:pPr>
              <w:keepNext w:val="0"/>
              <w:keepLines w:val="0"/>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bCs w:val="0"/>
                <w:color w:val="auto"/>
                <w:kern w:val="2"/>
                <w:sz w:val="21"/>
                <w:szCs w:val="21"/>
                <w:highlight w:val="none"/>
                <w:lang w:val="en-US" w:eastAsia="zh-CN" w:bidi="ar-SA"/>
              </w:rPr>
            </w:pPr>
            <w:r>
              <w:rPr>
                <w:rFonts w:hint="eastAsia" w:ascii="Times New Roman" w:hAnsi="Times New Roman" w:eastAsia="宋体" w:cs="Times New Roman"/>
                <w:b/>
                <w:bCs w:val="0"/>
                <w:color w:val="auto"/>
                <w:kern w:val="2"/>
                <w:sz w:val="21"/>
                <w:szCs w:val="21"/>
                <w:highlight w:val="none"/>
                <w:lang w:val="en-US" w:eastAsia="zh-CN" w:bidi="ar-SA"/>
              </w:rPr>
              <w:t>供货时间</w:t>
            </w:r>
          </w:p>
        </w:tc>
        <w:tc>
          <w:tcPr>
            <w:tcW w:w="7393" w:type="dxa"/>
            <w:vAlign w:val="center"/>
          </w:tcPr>
          <w:p w14:paraId="13D15DEF">
            <w:pPr>
              <w:pStyle w:val="25"/>
              <w:keepNext w:val="0"/>
              <w:keepLines w:val="0"/>
              <w:pageBreakBefore w:val="0"/>
              <w:widowControl/>
              <w:suppressLineNumbers w:val="0"/>
              <w:kinsoku/>
              <w:wordWrap/>
              <w:overflowPunct/>
              <w:topLinePunct w:val="0"/>
              <w:autoSpaceDE/>
              <w:autoSpaceDN/>
              <w:bidi w:val="0"/>
              <w:adjustRightInd/>
              <w:snapToGrid/>
              <w:spacing w:before="256" w:beforeAutospacing="0" w:after="256" w:afterAutospacing="0" w:line="300" w:lineRule="exact"/>
              <w:ind w:left="0" w:leftChars="0" w:right="0" w:rightChars="0"/>
              <w:jc w:val="both"/>
              <w:textAlignment w:val="auto"/>
              <w:rPr>
                <w:rFonts w:hint="default" w:ascii="宋体" w:hAnsi="宋体" w:eastAsia="宋体" w:cs="宋体"/>
                <w:b w:val="0"/>
                <w:bCs/>
                <w:color w:val="auto"/>
                <w:kern w:val="0"/>
                <w:sz w:val="21"/>
                <w:szCs w:val="21"/>
                <w:highlight w:val="none"/>
                <w:lang w:val="en-US" w:eastAsia="zh-CN" w:bidi="ar-SA"/>
              </w:rPr>
            </w:pPr>
            <w:r>
              <w:rPr>
                <w:rFonts w:hint="eastAsia" w:cs="宋体"/>
                <w:b w:val="0"/>
                <w:bCs/>
                <w:color w:val="auto"/>
                <w:kern w:val="0"/>
                <w:sz w:val="21"/>
                <w:szCs w:val="21"/>
                <w:highlight w:val="none"/>
                <w:lang w:val="en-US" w:eastAsia="zh-CN" w:bidi="ar-SA"/>
              </w:rPr>
              <w:t>以签订合同为准</w:t>
            </w:r>
          </w:p>
        </w:tc>
      </w:tr>
      <w:tr w14:paraId="6F22229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67" w:hRule="atLeast"/>
          <w:jc w:val="center"/>
        </w:trPr>
        <w:tc>
          <w:tcPr>
            <w:tcW w:w="1012" w:type="dxa"/>
            <w:vAlign w:val="center"/>
          </w:tcPr>
          <w:p w14:paraId="01275AB4">
            <w:pPr>
              <w:pStyle w:val="13"/>
              <w:keepNext w:val="0"/>
              <w:keepLines w:val="0"/>
              <w:pageBreakBefore w:val="0"/>
              <w:shd w:val="clear" w:color="auto" w:fill="auto"/>
              <w:kinsoku/>
              <w:wordWrap/>
              <w:overflowPunct/>
              <w:topLinePunct w:val="0"/>
              <w:autoSpaceDE/>
              <w:autoSpaceDN/>
              <w:bidi w:val="0"/>
              <w:adjustRightInd/>
              <w:snapToGrid w:val="0"/>
              <w:spacing w:line="240" w:lineRule="auto"/>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7</w:t>
            </w:r>
          </w:p>
        </w:tc>
        <w:tc>
          <w:tcPr>
            <w:tcW w:w="1536" w:type="dxa"/>
            <w:vAlign w:val="center"/>
          </w:tcPr>
          <w:p w14:paraId="4800B64D">
            <w:pPr>
              <w:keepNext w:val="0"/>
              <w:keepLines w:val="0"/>
              <w:pageBreakBefore w:val="0"/>
              <w:widowControl/>
              <w:shd w:val="clear" w:color="auto" w:fill="auto"/>
              <w:kinsoku/>
              <w:wordWrap/>
              <w:overflowPunct/>
              <w:topLinePunct w:val="0"/>
              <w:autoSpaceDE/>
              <w:autoSpaceDN/>
              <w:bidi w:val="0"/>
              <w:adjustRightInd/>
              <w:snapToGrid/>
              <w:spacing w:line="240" w:lineRule="auto"/>
              <w:jc w:val="center"/>
              <w:textAlignment w:val="auto"/>
              <w:outlineLvl w:val="9"/>
              <w:rPr>
                <w:rFonts w:hint="eastAsia"/>
                <w:b/>
                <w:bCs w:val="0"/>
                <w:color w:val="auto"/>
                <w:sz w:val="21"/>
                <w:szCs w:val="21"/>
                <w:highlight w:val="none"/>
                <w:lang w:val="en-US" w:eastAsia="zh-CN"/>
              </w:rPr>
            </w:pPr>
            <w:r>
              <w:rPr>
                <w:rFonts w:hint="eastAsia" w:ascii="宋体" w:hAnsi="宋体" w:cs="宋体"/>
                <w:b/>
                <w:bCs w:val="0"/>
                <w:color w:val="auto"/>
                <w:sz w:val="21"/>
                <w:szCs w:val="21"/>
                <w:highlight w:val="none"/>
                <w:lang w:val="en-US" w:eastAsia="zh-CN"/>
              </w:rPr>
              <w:t>供货</w:t>
            </w:r>
            <w:r>
              <w:rPr>
                <w:rFonts w:hint="eastAsia" w:ascii="宋体" w:hAnsi="宋体" w:eastAsia="宋体" w:cs="宋体"/>
                <w:b/>
                <w:bCs w:val="0"/>
                <w:color w:val="auto"/>
                <w:sz w:val="21"/>
                <w:szCs w:val="21"/>
                <w:highlight w:val="none"/>
                <w:lang w:eastAsia="zh-CN"/>
              </w:rPr>
              <w:t>地点</w:t>
            </w:r>
          </w:p>
        </w:tc>
        <w:tc>
          <w:tcPr>
            <w:tcW w:w="7393" w:type="dxa"/>
            <w:vAlign w:val="center"/>
          </w:tcPr>
          <w:p w14:paraId="5AAD3D89">
            <w:pPr>
              <w:keepNext w:val="0"/>
              <w:keepLines w:val="0"/>
              <w:pageBreakBefore w:val="0"/>
              <w:widowControl/>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cs="宋体"/>
                <w:b w:val="0"/>
                <w:bCs/>
                <w:color w:val="auto"/>
                <w:kern w:val="0"/>
                <w:sz w:val="21"/>
                <w:szCs w:val="21"/>
                <w:highlight w:val="none"/>
                <w:lang w:val="en-US" w:eastAsia="zh-CN" w:bidi="ar-SA"/>
              </w:rPr>
              <w:t>甲方指定地点</w:t>
            </w:r>
            <w:r>
              <w:rPr>
                <w:rFonts w:hint="eastAsia" w:ascii="宋体" w:hAnsi="宋体" w:eastAsia="宋体" w:cs="宋体"/>
                <w:b w:val="0"/>
                <w:bCs/>
                <w:color w:val="auto"/>
                <w:kern w:val="0"/>
                <w:sz w:val="21"/>
                <w:szCs w:val="21"/>
                <w:highlight w:val="none"/>
                <w:lang w:val="en-US" w:eastAsia="zh-CN" w:bidi="ar-SA"/>
              </w:rPr>
              <w:t>。</w:t>
            </w:r>
          </w:p>
        </w:tc>
      </w:tr>
      <w:tr w14:paraId="2EB6BF7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12" w:hRule="atLeast"/>
          <w:jc w:val="center"/>
        </w:trPr>
        <w:tc>
          <w:tcPr>
            <w:tcW w:w="1012" w:type="dxa"/>
            <w:vAlign w:val="center"/>
          </w:tcPr>
          <w:p w14:paraId="75E0A4E0">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b/>
                <w:bCs w:val="0"/>
                <w:color w:val="auto"/>
                <w:sz w:val="21"/>
                <w:szCs w:val="21"/>
                <w:highlight w:val="none"/>
                <w:lang w:val="en-US" w:eastAsia="zh-CN"/>
              </w:rPr>
            </w:pPr>
            <w:r>
              <w:rPr>
                <w:rFonts w:hint="eastAsia"/>
                <w:b/>
                <w:bCs w:val="0"/>
                <w:color w:val="auto"/>
                <w:sz w:val="21"/>
                <w:szCs w:val="21"/>
                <w:highlight w:val="none"/>
                <w:lang w:val="en-US" w:eastAsia="zh-CN"/>
              </w:rPr>
              <w:t>8</w:t>
            </w:r>
          </w:p>
        </w:tc>
        <w:tc>
          <w:tcPr>
            <w:tcW w:w="1536" w:type="dxa"/>
            <w:vAlign w:val="center"/>
          </w:tcPr>
          <w:p w14:paraId="38658BCA">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outlineLvl w:val="9"/>
              <w:rPr>
                <w:rFonts w:hint="default"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质保期</w:t>
            </w:r>
          </w:p>
        </w:tc>
        <w:tc>
          <w:tcPr>
            <w:tcW w:w="7393" w:type="dxa"/>
            <w:vAlign w:val="center"/>
          </w:tcPr>
          <w:p w14:paraId="7F054C93">
            <w:pPr>
              <w:keepNext w:val="0"/>
              <w:keepLines w:val="0"/>
              <w:pageBreakBefore w:val="0"/>
              <w:widowControl/>
              <w:shd w:val="clear" w:color="auto" w:fill="auto"/>
              <w:kinsoku/>
              <w:wordWrap/>
              <w:overflowPunct/>
              <w:topLinePunct w:val="0"/>
              <w:autoSpaceDE/>
              <w:autoSpaceDN/>
              <w:bidi w:val="0"/>
              <w:adjustRightInd/>
              <w:snapToGrid/>
              <w:spacing w:line="240" w:lineRule="auto"/>
              <w:textAlignment w:val="auto"/>
              <w:rPr>
                <w:rFonts w:hint="default" w:ascii="宋体" w:hAnsi="宋体" w:eastAsia="宋体" w:cs="宋体"/>
                <w:b w:val="0"/>
                <w:bCs/>
                <w:color w:val="auto"/>
                <w:kern w:val="0"/>
                <w:sz w:val="21"/>
                <w:szCs w:val="21"/>
                <w:highlight w:val="none"/>
                <w:lang w:val="en-US" w:eastAsia="zh-CN" w:bidi="ar-SA"/>
              </w:rPr>
            </w:pPr>
            <w:r>
              <w:rPr>
                <w:rFonts w:hint="default" w:ascii="宋体" w:hAnsi="宋体" w:eastAsia="宋体" w:cs="宋体"/>
                <w:b w:val="0"/>
                <w:bCs/>
                <w:color w:val="auto"/>
                <w:kern w:val="0"/>
                <w:sz w:val="21"/>
                <w:szCs w:val="21"/>
                <w:highlight w:val="none"/>
                <w:lang w:val="en-US" w:eastAsia="zh-CN" w:bidi="ar-SA"/>
              </w:rPr>
              <w:t>具体以签订合同内容为准</w:t>
            </w:r>
            <w:r>
              <w:rPr>
                <w:rFonts w:hint="eastAsia" w:ascii="宋体" w:hAnsi="宋体" w:cs="宋体"/>
                <w:b w:val="0"/>
                <w:bCs/>
                <w:color w:val="auto"/>
                <w:kern w:val="0"/>
                <w:sz w:val="21"/>
                <w:szCs w:val="21"/>
                <w:highlight w:val="none"/>
                <w:lang w:val="en-US" w:eastAsia="zh-CN" w:bidi="ar-SA"/>
              </w:rPr>
              <w:t>。</w:t>
            </w:r>
          </w:p>
        </w:tc>
      </w:tr>
      <w:tr w14:paraId="442C23B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04" w:hRule="atLeast"/>
          <w:jc w:val="center"/>
        </w:trPr>
        <w:tc>
          <w:tcPr>
            <w:tcW w:w="1012" w:type="dxa"/>
            <w:vAlign w:val="center"/>
          </w:tcPr>
          <w:p w14:paraId="5AFC02B4">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Times New Roman" w:eastAsia="宋体" w:cs="Times New Roman"/>
                <w:b/>
                <w:bCs w:val="0"/>
                <w:color w:val="auto"/>
                <w:kern w:val="2"/>
                <w:sz w:val="21"/>
                <w:szCs w:val="21"/>
                <w:highlight w:val="none"/>
                <w:u w:val="none" w:color="000000"/>
                <w:lang w:val="en-US" w:eastAsia="zh-CN" w:bidi="ar-SA"/>
              </w:rPr>
            </w:pPr>
            <w:r>
              <w:rPr>
                <w:rFonts w:hint="eastAsia"/>
                <w:b/>
                <w:bCs w:val="0"/>
                <w:color w:val="auto"/>
                <w:sz w:val="21"/>
                <w:szCs w:val="21"/>
                <w:highlight w:val="none"/>
                <w:lang w:val="en-US" w:eastAsia="zh-CN"/>
              </w:rPr>
              <w:t>9</w:t>
            </w:r>
          </w:p>
        </w:tc>
        <w:tc>
          <w:tcPr>
            <w:tcW w:w="1536" w:type="dxa"/>
            <w:vAlign w:val="center"/>
          </w:tcPr>
          <w:p w14:paraId="0AFF9166">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outlineLvl w:val="9"/>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售后服务要求</w:t>
            </w:r>
          </w:p>
        </w:tc>
        <w:tc>
          <w:tcPr>
            <w:tcW w:w="7393" w:type="dxa"/>
            <w:vAlign w:val="center"/>
          </w:tcPr>
          <w:p w14:paraId="1496F31F">
            <w:pPr>
              <w:keepNext w:val="0"/>
              <w:keepLines w:val="0"/>
              <w:pageBreakBefore w:val="0"/>
              <w:widowControl/>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cs="宋体"/>
                <w:b w:val="0"/>
                <w:bCs/>
                <w:color w:val="auto"/>
                <w:kern w:val="0"/>
                <w:sz w:val="21"/>
                <w:szCs w:val="21"/>
                <w:highlight w:val="none"/>
                <w:lang w:val="en-US" w:eastAsia="zh-CN" w:bidi="ar-SA"/>
              </w:rPr>
              <w:t>1、</w:t>
            </w:r>
            <w:r>
              <w:rPr>
                <w:rFonts w:hint="eastAsia" w:ascii="宋体" w:hAnsi="宋体" w:eastAsia="宋体" w:cs="宋体"/>
                <w:b w:val="0"/>
                <w:bCs/>
                <w:color w:val="auto"/>
                <w:kern w:val="0"/>
                <w:sz w:val="21"/>
                <w:szCs w:val="21"/>
                <w:highlight w:val="none"/>
                <w:lang w:val="en-US" w:eastAsia="zh-CN" w:bidi="ar-SA"/>
              </w:rPr>
              <w:t>在质保期内，如国家安全法规政策有重大调整：如紧急地震信息服务平台重大升级，网络安全、平台架构重大调整，造成项目所采用技术规范与国家政策法规要求的有偏差，投标人将无偿为采购人提供技术升级解决方案，无偿提供软件升级，无偿提供必要的人员技术服务等。</w:t>
            </w:r>
          </w:p>
          <w:p w14:paraId="21E46959">
            <w:pPr>
              <w:keepNext w:val="0"/>
              <w:keepLines w:val="0"/>
              <w:pageBreakBefore w:val="0"/>
              <w:widowControl/>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cs="宋体"/>
                <w:b w:val="0"/>
                <w:bCs/>
                <w:color w:val="auto"/>
                <w:kern w:val="0"/>
                <w:sz w:val="21"/>
                <w:szCs w:val="21"/>
                <w:highlight w:val="none"/>
                <w:lang w:val="en-US" w:eastAsia="zh-CN" w:bidi="ar-SA"/>
              </w:rPr>
              <w:t>2、</w:t>
            </w:r>
            <w:r>
              <w:rPr>
                <w:rFonts w:hint="eastAsia" w:ascii="宋体" w:hAnsi="宋体" w:eastAsia="宋体" w:cs="宋体"/>
                <w:b w:val="0"/>
                <w:bCs/>
                <w:color w:val="auto"/>
                <w:kern w:val="0"/>
                <w:sz w:val="21"/>
                <w:szCs w:val="21"/>
                <w:highlight w:val="none"/>
                <w:lang w:val="en-US" w:eastAsia="zh-CN" w:bidi="ar-SA"/>
              </w:rPr>
              <w:t>提供5年免费运维服务（维护费及通讯费），电话报修后24小时采取维护措施，72小时内完成非设备故障类维护。</w:t>
            </w:r>
          </w:p>
        </w:tc>
      </w:tr>
      <w:tr w14:paraId="4AA4C87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04" w:hRule="atLeast"/>
          <w:jc w:val="center"/>
        </w:trPr>
        <w:tc>
          <w:tcPr>
            <w:tcW w:w="1012" w:type="dxa"/>
            <w:vAlign w:val="center"/>
          </w:tcPr>
          <w:p w14:paraId="74144C50">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Times New Roman" w:eastAsia="宋体" w:cs="Times New Roman"/>
                <w:b/>
                <w:bCs w:val="0"/>
                <w:color w:val="auto"/>
                <w:kern w:val="2"/>
                <w:sz w:val="21"/>
                <w:szCs w:val="21"/>
                <w:highlight w:val="none"/>
                <w:u w:val="none" w:color="000000"/>
                <w:lang w:val="en-US" w:eastAsia="zh-CN" w:bidi="ar-SA"/>
              </w:rPr>
            </w:pPr>
            <w:r>
              <w:rPr>
                <w:rFonts w:hint="eastAsia"/>
                <w:b/>
                <w:bCs w:val="0"/>
                <w:color w:val="auto"/>
                <w:sz w:val="21"/>
                <w:szCs w:val="21"/>
                <w:highlight w:val="none"/>
                <w:lang w:val="en-US" w:eastAsia="zh-CN"/>
              </w:rPr>
              <w:t>10</w:t>
            </w:r>
          </w:p>
        </w:tc>
        <w:tc>
          <w:tcPr>
            <w:tcW w:w="1536" w:type="dxa"/>
            <w:vAlign w:val="center"/>
          </w:tcPr>
          <w:p w14:paraId="6EA3E5A1">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outlineLvl w:val="9"/>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验收</w:t>
            </w:r>
          </w:p>
        </w:tc>
        <w:tc>
          <w:tcPr>
            <w:tcW w:w="7393" w:type="dxa"/>
            <w:vAlign w:val="center"/>
          </w:tcPr>
          <w:p w14:paraId="4F62F2D7">
            <w:pPr>
              <w:keepNext w:val="0"/>
              <w:keepLines w:val="0"/>
              <w:pageBreakBefore w:val="0"/>
              <w:widowControl/>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按国家统一标准所提供物品材质，参数必须与招标文件一致，在验收发现有</w:t>
            </w:r>
            <w:r>
              <w:rPr>
                <w:rFonts w:hint="eastAsia" w:ascii="宋体" w:hAnsi="宋体" w:cs="宋体"/>
                <w:b w:val="0"/>
                <w:bCs/>
                <w:color w:val="auto"/>
                <w:kern w:val="0"/>
                <w:sz w:val="21"/>
                <w:szCs w:val="21"/>
                <w:highlight w:val="none"/>
                <w:lang w:val="en-US" w:eastAsia="zh-CN" w:bidi="ar-SA"/>
              </w:rPr>
              <w:t>设备</w:t>
            </w:r>
            <w:r>
              <w:rPr>
                <w:rFonts w:hint="eastAsia" w:ascii="宋体" w:hAnsi="宋体" w:eastAsia="宋体" w:cs="宋体"/>
                <w:b w:val="0"/>
                <w:bCs/>
                <w:color w:val="auto"/>
                <w:kern w:val="0"/>
                <w:sz w:val="21"/>
                <w:szCs w:val="21"/>
                <w:highlight w:val="none"/>
                <w:lang w:val="en-US" w:eastAsia="zh-CN" w:bidi="ar-SA"/>
              </w:rPr>
              <w:t>不一致的</w:t>
            </w:r>
            <w:r>
              <w:rPr>
                <w:rFonts w:hint="eastAsia" w:ascii="宋体" w:hAnsi="宋体" w:cs="宋体"/>
                <w:b w:val="0"/>
                <w:bCs/>
                <w:color w:val="auto"/>
                <w:kern w:val="0"/>
                <w:sz w:val="21"/>
                <w:szCs w:val="21"/>
                <w:highlight w:val="none"/>
                <w:lang w:val="en-US" w:eastAsia="zh-CN" w:bidi="ar-SA"/>
              </w:rPr>
              <w:t>或软件系统不能满足功能要求的</w:t>
            </w:r>
            <w:r>
              <w:rPr>
                <w:rFonts w:hint="eastAsia" w:ascii="宋体" w:hAnsi="宋体" w:eastAsia="宋体" w:cs="宋体"/>
                <w:b w:val="0"/>
                <w:bCs/>
                <w:color w:val="auto"/>
                <w:kern w:val="0"/>
                <w:sz w:val="21"/>
                <w:szCs w:val="21"/>
                <w:highlight w:val="none"/>
                <w:lang w:val="en-US" w:eastAsia="zh-CN" w:bidi="ar-SA"/>
              </w:rPr>
              <w:t>，采购单位有权拒绝验收，一切损失由中标方负责，所有产品提供正规发票，经采购单位按招标文件中要求的参数验收，合格后出具政府采购验收报告，作为付款依据。</w:t>
            </w:r>
          </w:p>
        </w:tc>
      </w:tr>
      <w:tr w14:paraId="514D35D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45" w:hRule="atLeast"/>
          <w:jc w:val="center"/>
        </w:trPr>
        <w:tc>
          <w:tcPr>
            <w:tcW w:w="1012" w:type="dxa"/>
            <w:vAlign w:val="center"/>
          </w:tcPr>
          <w:p w14:paraId="63723BBF">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Times New Roman" w:eastAsia="宋体" w:cs="Times New Roman"/>
                <w:b/>
                <w:bCs w:val="0"/>
                <w:color w:val="auto"/>
                <w:kern w:val="2"/>
                <w:sz w:val="21"/>
                <w:szCs w:val="21"/>
                <w:highlight w:val="none"/>
                <w:u w:val="none" w:color="000000"/>
                <w:lang w:val="en-US" w:eastAsia="zh-CN" w:bidi="ar-SA"/>
              </w:rPr>
            </w:pPr>
            <w:r>
              <w:rPr>
                <w:rFonts w:hint="eastAsia"/>
                <w:b/>
                <w:bCs w:val="0"/>
                <w:color w:val="auto"/>
                <w:sz w:val="21"/>
                <w:szCs w:val="21"/>
                <w:highlight w:val="none"/>
                <w:lang w:val="en-US" w:eastAsia="zh-CN"/>
              </w:rPr>
              <w:t>11</w:t>
            </w:r>
          </w:p>
        </w:tc>
        <w:tc>
          <w:tcPr>
            <w:tcW w:w="1536" w:type="dxa"/>
            <w:vAlign w:val="center"/>
          </w:tcPr>
          <w:p w14:paraId="0D4768B8">
            <w:pPr>
              <w:keepNext w:val="0"/>
              <w:keepLines w:val="0"/>
              <w:pageBreakBefore w:val="0"/>
              <w:widowControl/>
              <w:shd w:val="clear" w:color="auto" w:fill="auto"/>
              <w:kinsoku/>
              <w:wordWrap/>
              <w:overflowPunct/>
              <w:topLinePunct w:val="0"/>
              <w:autoSpaceDE/>
              <w:autoSpaceDN/>
              <w:bidi w:val="0"/>
              <w:adjustRightInd/>
              <w:spacing w:line="290" w:lineRule="exact"/>
              <w:jc w:val="center"/>
              <w:textAlignment w:val="auto"/>
              <w:rPr>
                <w:rFonts w:hint="eastAsia"/>
                <w:b/>
                <w:bCs w:val="0"/>
                <w:color w:val="auto"/>
                <w:sz w:val="21"/>
                <w:szCs w:val="21"/>
                <w:highlight w:val="none"/>
                <w:lang w:val="en-US" w:eastAsia="zh-CN"/>
              </w:rPr>
            </w:pPr>
            <w:r>
              <w:rPr>
                <w:rFonts w:hint="eastAsia" w:ascii="宋体" w:hAnsi="宋体" w:eastAsia="宋体" w:cs="宋体"/>
                <w:b/>
                <w:bCs w:val="0"/>
                <w:color w:val="auto"/>
                <w:sz w:val="21"/>
                <w:szCs w:val="21"/>
                <w:highlight w:val="none"/>
              </w:rPr>
              <w:t>付款方式</w:t>
            </w:r>
          </w:p>
        </w:tc>
        <w:tc>
          <w:tcPr>
            <w:tcW w:w="7393" w:type="dxa"/>
            <w:vAlign w:val="center"/>
          </w:tcPr>
          <w:p w14:paraId="1A80E642">
            <w:pPr>
              <w:pStyle w:val="10"/>
              <w:spacing w:line="360" w:lineRule="auto"/>
              <w:jc w:val="left"/>
              <w:rPr>
                <w:rFonts w:hint="default"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以签订合同内容为准</w:t>
            </w:r>
          </w:p>
        </w:tc>
      </w:tr>
      <w:tr w14:paraId="3AE8348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08" w:hRule="atLeast"/>
          <w:jc w:val="center"/>
        </w:trPr>
        <w:tc>
          <w:tcPr>
            <w:tcW w:w="1012" w:type="dxa"/>
            <w:vAlign w:val="center"/>
          </w:tcPr>
          <w:p w14:paraId="27107462">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Times New Roman" w:eastAsia="宋体" w:cs="Times New Roman"/>
                <w:b/>
                <w:bCs w:val="0"/>
                <w:color w:val="auto"/>
                <w:kern w:val="2"/>
                <w:sz w:val="21"/>
                <w:szCs w:val="21"/>
                <w:highlight w:val="none"/>
                <w:u w:val="none" w:color="000000"/>
                <w:lang w:val="en-US" w:eastAsia="zh-CN" w:bidi="ar-SA"/>
              </w:rPr>
            </w:pPr>
            <w:r>
              <w:rPr>
                <w:rFonts w:hint="eastAsia"/>
                <w:b/>
                <w:bCs w:val="0"/>
                <w:color w:val="auto"/>
                <w:sz w:val="21"/>
                <w:szCs w:val="21"/>
                <w:highlight w:val="none"/>
                <w:lang w:val="en-US" w:eastAsia="zh-CN"/>
              </w:rPr>
              <w:t>12</w:t>
            </w:r>
          </w:p>
        </w:tc>
        <w:tc>
          <w:tcPr>
            <w:tcW w:w="1536" w:type="dxa"/>
            <w:vAlign w:val="center"/>
          </w:tcPr>
          <w:p w14:paraId="0EB67F82">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招标方式</w:t>
            </w:r>
          </w:p>
        </w:tc>
        <w:tc>
          <w:tcPr>
            <w:tcW w:w="7393" w:type="dxa"/>
            <w:vAlign w:val="center"/>
          </w:tcPr>
          <w:p w14:paraId="68ECE81C">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b w:val="0"/>
                <w:bCs/>
                <w:color w:val="auto"/>
                <w:sz w:val="21"/>
                <w:szCs w:val="21"/>
                <w:highlight w:val="none"/>
                <w:lang w:val="en-US" w:eastAsia="zh-CN"/>
              </w:rPr>
            </w:pPr>
            <w:r>
              <w:rPr>
                <w:rFonts w:hint="eastAsia"/>
                <w:b w:val="0"/>
                <w:bCs/>
                <w:color w:val="auto"/>
                <w:sz w:val="21"/>
                <w:szCs w:val="21"/>
                <w:highlight w:val="none"/>
                <w:lang w:val="en-US" w:eastAsia="zh-CN"/>
              </w:rPr>
              <w:t>公开招标</w:t>
            </w:r>
            <w:r>
              <w:rPr>
                <w:rFonts w:hint="eastAsia" w:hAnsi="宋体" w:cs="宋体-18030"/>
                <w:b w:val="0"/>
                <w:bCs/>
                <w:color w:val="auto"/>
                <w:sz w:val="21"/>
                <w:szCs w:val="21"/>
                <w:highlight w:val="none"/>
                <w:lang w:val="en-US" w:eastAsia="zh-CN"/>
              </w:rPr>
              <w:t>(本项目采用网上电子招投标)</w:t>
            </w:r>
            <w:r>
              <w:rPr>
                <w:rFonts w:hint="eastAsia"/>
                <w:b w:val="0"/>
                <w:bCs/>
                <w:color w:val="auto"/>
                <w:sz w:val="21"/>
                <w:szCs w:val="21"/>
                <w:highlight w:val="none"/>
                <w:lang w:val="en-US" w:eastAsia="zh-CN"/>
              </w:rPr>
              <w:t xml:space="preserve">       </w:t>
            </w:r>
          </w:p>
        </w:tc>
      </w:tr>
      <w:tr w14:paraId="2582D85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12" w:type="dxa"/>
            <w:vAlign w:val="center"/>
          </w:tcPr>
          <w:p w14:paraId="6C3E7CD3">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Times New Roman" w:eastAsia="宋体" w:cs="Times New Roman"/>
                <w:b/>
                <w:bCs w:val="0"/>
                <w:color w:val="auto"/>
                <w:kern w:val="2"/>
                <w:sz w:val="21"/>
                <w:szCs w:val="21"/>
                <w:highlight w:val="none"/>
                <w:u w:val="none" w:color="000000"/>
                <w:lang w:val="en-US" w:eastAsia="zh-CN" w:bidi="ar-SA"/>
              </w:rPr>
            </w:pPr>
            <w:r>
              <w:rPr>
                <w:rFonts w:hint="eastAsia"/>
                <w:b/>
                <w:bCs w:val="0"/>
                <w:color w:val="auto"/>
                <w:sz w:val="21"/>
                <w:szCs w:val="21"/>
                <w:highlight w:val="none"/>
                <w:lang w:val="en-US" w:eastAsia="zh-CN"/>
              </w:rPr>
              <w:t>13</w:t>
            </w:r>
          </w:p>
        </w:tc>
        <w:tc>
          <w:tcPr>
            <w:tcW w:w="1536" w:type="dxa"/>
            <w:vAlign w:val="center"/>
          </w:tcPr>
          <w:p w14:paraId="25B43780">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投标人资格条件及其他要求</w:t>
            </w:r>
          </w:p>
        </w:tc>
        <w:tc>
          <w:tcPr>
            <w:tcW w:w="7393" w:type="dxa"/>
            <w:vAlign w:val="center"/>
          </w:tcPr>
          <w:p w14:paraId="238E607B">
            <w:pPr>
              <w:pStyle w:val="13"/>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1.满足《中华人民共和国政府采购法》第二十二条规定；</w:t>
            </w:r>
          </w:p>
          <w:p w14:paraId="6213FBCE">
            <w:pPr>
              <w:pStyle w:val="13"/>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新宋体" w:hAnsi="新宋体" w:eastAsia="新宋体" w:cs="新宋体"/>
                <w:color w:val="auto"/>
                <w:sz w:val="21"/>
                <w:szCs w:val="21"/>
                <w:highlight w:val="none"/>
                <w:lang w:val="en-US" w:eastAsia="zh-CN" w:bidi="ar"/>
              </w:rPr>
            </w:pPr>
            <w:r>
              <w:rPr>
                <w:rFonts w:hint="eastAsia" w:cs="Times New Roman"/>
                <w:b w:val="0"/>
                <w:bCs/>
                <w:color w:val="auto"/>
                <w:sz w:val="21"/>
                <w:szCs w:val="21"/>
                <w:highlight w:val="none"/>
                <w:lang w:val="en-US" w:eastAsia="zh-CN"/>
              </w:rPr>
              <w:t>2.</w:t>
            </w:r>
            <w:r>
              <w:rPr>
                <w:rFonts w:hint="eastAsia" w:ascii="宋体" w:hAnsi="Times New Roman" w:eastAsia="宋体" w:cs="Times New Roman"/>
                <w:b w:val="0"/>
                <w:bCs/>
                <w:color w:val="auto"/>
                <w:kern w:val="2"/>
                <w:sz w:val="21"/>
                <w:szCs w:val="21"/>
                <w:highlight w:val="none"/>
                <w:u w:val="none" w:color="000000"/>
                <w:lang w:val="en-US" w:eastAsia="zh-CN" w:bidi="ar-SA"/>
              </w:rPr>
              <w:t>落实政府采购政策需满足的资格要求：</w:t>
            </w:r>
            <w:r>
              <w:rPr>
                <w:rFonts w:hint="eastAsia" w:ascii="新宋体" w:hAnsi="新宋体" w:eastAsia="新宋体" w:cs="新宋体"/>
                <w:color w:val="auto"/>
                <w:sz w:val="21"/>
                <w:szCs w:val="21"/>
                <w:highlight w:val="none"/>
                <w:lang w:val="en-US" w:eastAsia="zh-CN" w:bidi="ar"/>
              </w:rPr>
              <w:t>标项1：本项目为非专门面向中小企业，根据《政府采购促进中小企业发展管理办法》（财库【2020】46号）及（财库[2022]19号）的规定，评标时将给予此类企业进行价格扣除10%的优惠，用优惠后的价格参与评审。</w:t>
            </w:r>
          </w:p>
          <w:p w14:paraId="48262FD8">
            <w:pPr>
              <w:pStyle w:val="13"/>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3.本项目的特定资格要求：</w:t>
            </w:r>
          </w:p>
          <w:p w14:paraId="76CEA12B">
            <w:pPr>
              <w:pStyle w:val="13"/>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 xml:space="preserve">【标项1】  </w:t>
            </w:r>
          </w:p>
          <w:p w14:paraId="2E00D998">
            <w:pPr>
              <w:pStyle w:val="13"/>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1).具备三证合一营业执照副本；</w:t>
            </w:r>
          </w:p>
          <w:p w14:paraId="100B4A78">
            <w:pPr>
              <w:pStyle w:val="13"/>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2).法定代表人投标需提供法定代表人资格证明书，委托代理人投标需提供法定代表人授权委托书；</w:t>
            </w:r>
          </w:p>
          <w:p w14:paraId="06BB01B5">
            <w:pPr>
              <w:pStyle w:val="13"/>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3).投标企业须提供投标人（被授权在职人员）近六个月内任意一个月社保证明；</w:t>
            </w:r>
          </w:p>
          <w:p w14:paraId="083AC5BF">
            <w:pPr>
              <w:pStyle w:val="13"/>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4).参加政府采购活动前三年内，在经营活动中没有重大违法记录；未被“信用中国”（www.creditchina.gov.cn）及中国政府采购网 (www.ccgp.gov.cn）列入失信被执行人名单、重大税收违法失信主体、政府采购严重违法失信行为记录名单。</w:t>
            </w:r>
          </w:p>
          <w:p w14:paraId="6409AD86">
            <w:pPr>
              <w:pStyle w:val="13"/>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default"/>
                <w:b w:val="0"/>
                <w:bCs/>
                <w:color w:val="auto"/>
                <w:highlight w:val="none"/>
                <w:lang w:val="en-US" w:eastAsia="zh-CN"/>
              </w:rPr>
            </w:pPr>
            <w:r>
              <w:rPr>
                <w:rFonts w:hint="eastAsia" w:cs="Times New Roman"/>
                <w:b w:val="0"/>
                <w:bCs/>
                <w:color w:val="auto"/>
                <w:sz w:val="21"/>
                <w:szCs w:val="21"/>
                <w:highlight w:val="none"/>
                <w:lang w:val="en-US" w:eastAsia="zh-CN"/>
              </w:rPr>
              <w:t>5).</w:t>
            </w:r>
            <w:r>
              <w:rPr>
                <w:rFonts w:hint="eastAsia" w:hAnsi="Times New Roman" w:cs="Times New Roman"/>
                <w:b w:val="0"/>
                <w:bCs/>
                <w:color w:val="auto"/>
                <w:sz w:val="21"/>
                <w:szCs w:val="21"/>
                <w:highlight w:val="none"/>
                <w:lang w:val="en-US" w:eastAsia="zh-CN"/>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r>
              <w:rPr>
                <w:rFonts w:hint="eastAsia" w:cs="Times New Roman"/>
                <w:b w:val="0"/>
                <w:bCs/>
                <w:color w:val="auto"/>
                <w:sz w:val="21"/>
                <w:szCs w:val="21"/>
                <w:highlight w:val="none"/>
                <w:lang w:val="en-US" w:eastAsia="zh-CN"/>
              </w:rPr>
              <w:t>。</w:t>
            </w:r>
          </w:p>
        </w:tc>
      </w:tr>
      <w:tr w14:paraId="654A6A5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9" w:hRule="atLeast"/>
          <w:jc w:val="center"/>
        </w:trPr>
        <w:tc>
          <w:tcPr>
            <w:tcW w:w="1012" w:type="dxa"/>
            <w:vAlign w:val="center"/>
          </w:tcPr>
          <w:p w14:paraId="4CFE19E4">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Times New Roman" w:eastAsia="宋体" w:cs="Times New Roman"/>
                <w:b/>
                <w:bCs w:val="0"/>
                <w:color w:val="auto"/>
                <w:kern w:val="2"/>
                <w:sz w:val="21"/>
                <w:szCs w:val="21"/>
                <w:highlight w:val="none"/>
                <w:u w:val="none" w:color="000000"/>
                <w:lang w:val="en-US" w:eastAsia="zh-CN" w:bidi="ar-SA"/>
              </w:rPr>
            </w:pPr>
            <w:r>
              <w:rPr>
                <w:rFonts w:hint="eastAsia"/>
                <w:b/>
                <w:bCs w:val="0"/>
                <w:color w:val="auto"/>
                <w:sz w:val="21"/>
                <w:szCs w:val="21"/>
                <w:highlight w:val="none"/>
                <w:lang w:val="en-US" w:eastAsia="zh-CN"/>
              </w:rPr>
              <w:t>14</w:t>
            </w:r>
          </w:p>
        </w:tc>
        <w:tc>
          <w:tcPr>
            <w:tcW w:w="1536" w:type="dxa"/>
            <w:vAlign w:val="center"/>
          </w:tcPr>
          <w:p w14:paraId="25D2C465">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供应商信用</w:t>
            </w:r>
          </w:p>
          <w:p w14:paraId="7795D957">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查询</w:t>
            </w:r>
          </w:p>
        </w:tc>
        <w:tc>
          <w:tcPr>
            <w:tcW w:w="7393" w:type="dxa"/>
            <w:vAlign w:val="center"/>
          </w:tcPr>
          <w:p w14:paraId="518E476F">
            <w:pPr>
              <w:pStyle w:val="13"/>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b w:val="0"/>
                <w:bCs/>
                <w:color w:val="auto"/>
                <w:sz w:val="21"/>
                <w:szCs w:val="21"/>
                <w:highlight w:val="none"/>
                <w:lang w:val="en-US" w:eastAsia="zh-CN"/>
              </w:rPr>
            </w:pPr>
            <w:r>
              <w:rPr>
                <w:rFonts w:hint="eastAsia"/>
                <w:b w:val="0"/>
                <w:bCs/>
                <w:color w:val="auto"/>
                <w:sz w:val="21"/>
                <w:szCs w:val="21"/>
                <w:highlight w:val="none"/>
                <w:lang w:val="en-US" w:eastAsia="zh-CN"/>
              </w:rPr>
              <w:t>1、查询渠道：信用中国（网址：http://www.creditchina.gov.cn）、中国政府采购网(网址：http://www.ccgp.gov.cn）。</w:t>
            </w:r>
          </w:p>
          <w:p w14:paraId="2C8811E3">
            <w:pPr>
              <w:pStyle w:val="13"/>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b w:val="0"/>
                <w:bCs/>
                <w:color w:val="auto"/>
                <w:sz w:val="21"/>
                <w:szCs w:val="21"/>
                <w:highlight w:val="none"/>
                <w:lang w:val="en-US" w:eastAsia="zh-CN"/>
              </w:rPr>
            </w:pPr>
            <w:r>
              <w:rPr>
                <w:rFonts w:hint="eastAsia"/>
                <w:b w:val="0"/>
                <w:bCs/>
                <w:color w:val="auto"/>
                <w:sz w:val="21"/>
                <w:szCs w:val="21"/>
                <w:highlight w:val="none"/>
                <w:lang w:val="en-US" w:eastAsia="zh-CN"/>
              </w:rPr>
              <w:t>2、截止时点：开标后评标前。</w:t>
            </w:r>
          </w:p>
          <w:p w14:paraId="421B9534">
            <w:pPr>
              <w:pStyle w:val="13"/>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b w:val="0"/>
                <w:bCs/>
                <w:color w:val="auto"/>
                <w:sz w:val="21"/>
                <w:szCs w:val="21"/>
                <w:highlight w:val="none"/>
                <w:lang w:val="en-US" w:eastAsia="zh-CN"/>
              </w:rPr>
            </w:pPr>
            <w:r>
              <w:rPr>
                <w:rFonts w:hint="eastAsia"/>
                <w:b w:val="0"/>
                <w:bCs/>
                <w:color w:val="auto"/>
                <w:sz w:val="21"/>
                <w:szCs w:val="21"/>
                <w:highlight w:val="none"/>
                <w:lang w:val="en-US" w:eastAsia="zh-CN"/>
              </w:rPr>
              <w:t>3、信用信息查询记录和证据留存的具体方式：由采购组织机构在规定查询时间内打印信用信息查询记录并归入项目档案。</w:t>
            </w:r>
          </w:p>
          <w:p w14:paraId="4E7FA2AF">
            <w:pPr>
              <w:pStyle w:val="13"/>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b w:val="0"/>
                <w:bCs/>
                <w:color w:val="auto"/>
                <w:sz w:val="21"/>
                <w:szCs w:val="21"/>
                <w:highlight w:val="none"/>
                <w:lang w:val="en-US" w:eastAsia="zh-CN"/>
              </w:rPr>
            </w:pPr>
            <w:r>
              <w:rPr>
                <w:rFonts w:hint="eastAsia"/>
                <w:b w:val="0"/>
                <w:bCs/>
                <w:color w:val="auto"/>
                <w:sz w:val="21"/>
                <w:szCs w:val="21"/>
                <w:highlight w:val="none"/>
                <w:lang w:val="en-US" w:eastAsia="zh-CN"/>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3C29F26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0" w:hRule="atLeast"/>
          <w:jc w:val="center"/>
        </w:trPr>
        <w:tc>
          <w:tcPr>
            <w:tcW w:w="1012" w:type="dxa"/>
            <w:vAlign w:val="center"/>
          </w:tcPr>
          <w:p w14:paraId="0AA4FC1B">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Times New Roman" w:hAnsi="Times New Roman" w:eastAsia="宋体" w:cs="Times New Roman"/>
                <w:b/>
                <w:bCs w:val="0"/>
                <w:color w:val="auto"/>
                <w:kern w:val="2"/>
                <w:sz w:val="21"/>
                <w:szCs w:val="21"/>
                <w:highlight w:val="none"/>
                <w:lang w:val="en-US" w:eastAsia="zh-CN" w:bidi="ar-SA"/>
              </w:rPr>
            </w:pPr>
            <w:r>
              <w:rPr>
                <w:rFonts w:hint="eastAsia" w:ascii="宋体" w:cs="宋体"/>
                <w:b/>
                <w:bCs w:val="0"/>
                <w:color w:val="auto"/>
                <w:sz w:val="21"/>
                <w:szCs w:val="21"/>
                <w:highlight w:val="none"/>
                <w:lang w:val="en-US" w:eastAsia="zh-CN"/>
              </w:rPr>
              <w:t>15</w:t>
            </w:r>
          </w:p>
        </w:tc>
        <w:tc>
          <w:tcPr>
            <w:tcW w:w="1536" w:type="dxa"/>
            <w:vAlign w:val="center"/>
          </w:tcPr>
          <w:p w14:paraId="33D8F867">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b/>
                <w:bCs w:val="0"/>
                <w:color w:val="auto"/>
                <w:sz w:val="21"/>
                <w:szCs w:val="21"/>
                <w:highlight w:val="none"/>
                <w:lang w:val="en-US" w:eastAsia="zh-CN"/>
              </w:rPr>
            </w:pPr>
            <w:r>
              <w:rPr>
                <w:rFonts w:hint="eastAsia"/>
                <w:b/>
                <w:bCs w:val="0"/>
                <w:color w:val="auto"/>
                <w:sz w:val="21"/>
                <w:szCs w:val="21"/>
                <w:highlight w:val="none"/>
                <w:lang w:val="en-US" w:eastAsia="zh-CN"/>
              </w:rPr>
              <w:t>踏勘现场</w:t>
            </w:r>
          </w:p>
        </w:tc>
        <w:tc>
          <w:tcPr>
            <w:tcW w:w="7393" w:type="dxa"/>
            <w:vAlign w:val="center"/>
          </w:tcPr>
          <w:p w14:paraId="7F09348F">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b w:val="0"/>
                <w:bCs/>
                <w:color w:val="auto"/>
                <w:sz w:val="21"/>
                <w:szCs w:val="21"/>
                <w:highlight w:val="none"/>
                <w:lang w:val="en-US" w:eastAsia="zh-CN"/>
              </w:rPr>
            </w:pPr>
            <w:r>
              <w:rPr>
                <w:rFonts w:hint="eastAsia"/>
                <w:b w:val="0"/>
                <w:bCs/>
                <w:color w:val="auto"/>
                <w:sz w:val="21"/>
                <w:szCs w:val="21"/>
                <w:highlight w:val="none"/>
                <w:lang w:val="en-US" w:eastAsia="zh-CN"/>
              </w:rPr>
              <w:t>不组织,投标人自行组织踏勘现场。</w:t>
            </w:r>
          </w:p>
        </w:tc>
      </w:tr>
      <w:tr w14:paraId="6F5F50B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50" w:hRule="atLeast"/>
          <w:jc w:val="center"/>
        </w:trPr>
        <w:tc>
          <w:tcPr>
            <w:tcW w:w="1012" w:type="dxa"/>
            <w:vAlign w:val="center"/>
          </w:tcPr>
          <w:p w14:paraId="458254D7">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Times New Roman" w:eastAsia="宋体" w:cs="宋体"/>
                <w:b/>
                <w:bCs w:val="0"/>
                <w:color w:val="auto"/>
                <w:kern w:val="2"/>
                <w:sz w:val="21"/>
                <w:szCs w:val="21"/>
                <w:highlight w:val="none"/>
                <w:lang w:val="en-US" w:eastAsia="zh-CN" w:bidi="ar-SA"/>
              </w:rPr>
            </w:pPr>
            <w:r>
              <w:rPr>
                <w:rFonts w:hint="eastAsia" w:ascii="宋体" w:cs="宋体"/>
                <w:b/>
                <w:bCs w:val="0"/>
                <w:color w:val="auto"/>
                <w:sz w:val="21"/>
                <w:szCs w:val="21"/>
                <w:highlight w:val="none"/>
                <w:lang w:val="en-US" w:eastAsia="zh-CN"/>
              </w:rPr>
              <w:t>16</w:t>
            </w:r>
          </w:p>
        </w:tc>
        <w:tc>
          <w:tcPr>
            <w:tcW w:w="1536" w:type="dxa"/>
            <w:vAlign w:val="center"/>
          </w:tcPr>
          <w:p w14:paraId="563D5765">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投标预备会</w:t>
            </w:r>
          </w:p>
        </w:tc>
        <w:tc>
          <w:tcPr>
            <w:tcW w:w="7393" w:type="dxa"/>
            <w:vAlign w:val="center"/>
          </w:tcPr>
          <w:p w14:paraId="133F2128">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b w:val="0"/>
                <w:bCs/>
                <w:color w:val="auto"/>
                <w:sz w:val="21"/>
                <w:szCs w:val="21"/>
                <w:highlight w:val="none"/>
                <w:lang w:val="en-US" w:eastAsia="zh-CN"/>
              </w:rPr>
            </w:pPr>
            <w:r>
              <w:rPr>
                <w:rFonts w:hint="eastAsia"/>
                <w:b w:val="0"/>
                <w:bCs/>
                <w:color w:val="auto"/>
                <w:sz w:val="21"/>
                <w:szCs w:val="21"/>
                <w:highlight w:val="none"/>
                <w:lang w:val="en-US" w:eastAsia="zh-CN"/>
              </w:rPr>
              <w:t>不召开</w:t>
            </w:r>
          </w:p>
        </w:tc>
      </w:tr>
      <w:tr w14:paraId="3BDDE05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012" w:type="dxa"/>
            <w:vAlign w:val="center"/>
          </w:tcPr>
          <w:p w14:paraId="1395B577">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Times New Roman" w:hAnsi="Times New Roman" w:eastAsia="宋体" w:cs="Times New Roman"/>
                <w:b/>
                <w:bCs w:val="0"/>
                <w:color w:val="auto"/>
                <w:kern w:val="2"/>
                <w:sz w:val="21"/>
                <w:szCs w:val="21"/>
                <w:highlight w:val="none"/>
                <w:lang w:val="en-US" w:eastAsia="zh-CN" w:bidi="ar-SA"/>
              </w:rPr>
            </w:pPr>
            <w:r>
              <w:rPr>
                <w:rFonts w:hint="eastAsia" w:ascii="宋体" w:cs="宋体"/>
                <w:b/>
                <w:bCs w:val="0"/>
                <w:color w:val="auto"/>
                <w:sz w:val="21"/>
                <w:szCs w:val="21"/>
                <w:highlight w:val="none"/>
                <w:lang w:val="en-US" w:eastAsia="zh-CN"/>
              </w:rPr>
              <w:t>17</w:t>
            </w:r>
          </w:p>
        </w:tc>
        <w:tc>
          <w:tcPr>
            <w:tcW w:w="1536" w:type="dxa"/>
            <w:vAlign w:val="center"/>
          </w:tcPr>
          <w:p w14:paraId="0AFE92E3">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联合体投标</w:t>
            </w:r>
          </w:p>
        </w:tc>
        <w:tc>
          <w:tcPr>
            <w:tcW w:w="7393" w:type="dxa"/>
            <w:vAlign w:val="center"/>
          </w:tcPr>
          <w:p w14:paraId="1A1D92EC">
            <w:pPr>
              <w:keepNext w:val="0"/>
              <w:keepLines w:val="0"/>
              <w:pageBreakBefore w:val="0"/>
              <w:shd w:val="clear" w:color="auto" w:fill="auto"/>
              <w:kinsoku/>
              <w:wordWrap/>
              <w:overflowPunct/>
              <w:topLinePunct w:val="0"/>
              <w:autoSpaceDE/>
              <w:autoSpaceDN/>
              <w:bidi w:val="0"/>
              <w:adjustRightInd/>
              <w:spacing w:line="360" w:lineRule="auto"/>
              <w:textAlignment w:val="auto"/>
              <w:rPr>
                <w:rFonts w:hint="eastAsia" w:ascii="宋体" w:hAnsi="宋体" w:eastAsia="宋体" w:cs="宋体"/>
                <w:b w:val="0"/>
                <w:bCs/>
                <w:color w:val="auto"/>
                <w:sz w:val="21"/>
                <w:szCs w:val="21"/>
                <w:highlight w:val="none"/>
              </w:rPr>
            </w:pPr>
            <w:r>
              <w:rPr>
                <w:rFonts w:hint="eastAsia"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不接受</w:t>
            </w:r>
          </w:p>
          <w:p w14:paraId="4545DD5C">
            <w:pPr>
              <w:pStyle w:val="13"/>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b w:val="0"/>
                <w:bCs/>
                <w:color w:val="auto"/>
                <w:sz w:val="21"/>
                <w:szCs w:val="21"/>
                <w:highlight w:val="none"/>
                <w:lang w:val="en-US" w:eastAsia="zh-CN"/>
              </w:rPr>
            </w:pPr>
            <w:r>
              <w:rPr>
                <w:rFonts w:hint="eastAsia"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接受，联合体投标的须在投标文件中提供联合体协议书，联合体所有成员不得超过2家，联合体的任何一方均不得再与其他投标单位联合。</w:t>
            </w:r>
          </w:p>
        </w:tc>
      </w:tr>
      <w:tr w14:paraId="797FCEF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012" w:type="dxa"/>
            <w:vAlign w:val="center"/>
          </w:tcPr>
          <w:p w14:paraId="36164C03">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Times New Roman" w:eastAsia="宋体" w:cs="宋体"/>
                <w:b/>
                <w:bCs w:val="0"/>
                <w:color w:val="auto"/>
                <w:kern w:val="2"/>
                <w:sz w:val="21"/>
                <w:szCs w:val="21"/>
                <w:highlight w:val="none"/>
                <w:lang w:val="en-US" w:eastAsia="zh-CN" w:bidi="ar-SA"/>
              </w:rPr>
            </w:pPr>
            <w:r>
              <w:rPr>
                <w:rFonts w:hint="eastAsia" w:ascii="宋体" w:cs="宋体"/>
                <w:b/>
                <w:bCs w:val="0"/>
                <w:color w:val="auto"/>
                <w:sz w:val="21"/>
                <w:szCs w:val="21"/>
                <w:highlight w:val="none"/>
                <w:lang w:val="en-US" w:eastAsia="zh-CN"/>
              </w:rPr>
              <w:t>18</w:t>
            </w:r>
          </w:p>
        </w:tc>
        <w:tc>
          <w:tcPr>
            <w:tcW w:w="1536" w:type="dxa"/>
            <w:vAlign w:val="center"/>
          </w:tcPr>
          <w:p w14:paraId="4B6942AF">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b/>
                <w:bCs w:val="0"/>
                <w:color w:val="auto"/>
                <w:sz w:val="21"/>
                <w:szCs w:val="21"/>
                <w:highlight w:val="none"/>
              </w:rPr>
            </w:pPr>
            <w:r>
              <w:rPr>
                <w:rFonts w:hint="eastAsia" w:ascii="宋体"/>
                <w:b/>
                <w:bCs w:val="0"/>
                <w:color w:val="auto"/>
                <w:sz w:val="21"/>
                <w:szCs w:val="21"/>
                <w:highlight w:val="none"/>
              </w:rPr>
              <w:t>招标代理费</w:t>
            </w:r>
          </w:p>
        </w:tc>
        <w:tc>
          <w:tcPr>
            <w:tcW w:w="7393" w:type="dxa"/>
            <w:vAlign w:val="center"/>
          </w:tcPr>
          <w:p w14:paraId="0161FC64">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default" w:ascii="宋体" w:hAnsi="宋体" w:eastAsia="宋体"/>
                <w:b w:val="0"/>
                <w:bCs/>
                <w:color w:val="auto"/>
                <w:sz w:val="21"/>
                <w:szCs w:val="21"/>
                <w:highlight w:val="none"/>
                <w:lang w:val="en-US" w:eastAsia="zh-CN"/>
              </w:rPr>
            </w:pPr>
            <w:r>
              <w:rPr>
                <w:rFonts w:hint="default" w:ascii="宋体" w:hAnsi="宋体" w:eastAsia="宋体"/>
                <w:b w:val="0"/>
                <w:bCs/>
                <w:color w:val="auto"/>
                <w:sz w:val="21"/>
                <w:szCs w:val="21"/>
                <w:highlight w:val="none"/>
                <w:lang w:val="en-US" w:eastAsia="zh-CN"/>
              </w:rPr>
              <w:t>招标代理费根据《国家发展改革委关于进一步放开建设项目专业服务价格的通知》（发改价格【2015】299 号）文件等规定收费基准价格计取。</w:t>
            </w:r>
          </w:p>
        </w:tc>
      </w:tr>
      <w:tr w14:paraId="094C9E5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1012" w:type="dxa"/>
            <w:vAlign w:val="center"/>
          </w:tcPr>
          <w:p w14:paraId="3396C8C3">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Times New Roman" w:eastAsia="宋体" w:cs="Times New Roman"/>
                <w:b/>
                <w:bCs w:val="0"/>
                <w:color w:val="auto"/>
                <w:kern w:val="2"/>
                <w:sz w:val="21"/>
                <w:szCs w:val="21"/>
                <w:highlight w:val="none"/>
                <w:u w:val="none" w:color="000000"/>
                <w:lang w:val="en-US" w:eastAsia="zh-CN" w:bidi="ar-SA"/>
              </w:rPr>
            </w:pPr>
            <w:r>
              <w:rPr>
                <w:rFonts w:hint="eastAsia"/>
                <w:b/>
                <w:bCs w:val="0"/>
                <w:color w:val="auto"/>
                <w:sz w:val="21"/>
                <w:szCs w:val="21"/>
                <w:highlight w:val="none"/>
                <w:lang w:val="en-US" w:eastAsia="zh-CN"/>
              </w:rPr>
              <w:t>19</w:t>
            </w:r>
          </w:p>
        </w:tc>
        <w:tc>
          <w:tcPr>
            <w:tcW w:w="1536" w:type="dxa"/>
            <w:vAlign w:val="center"/>
          </w:tcPr>
          <w:p w14:paraId="02850B90">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b/>
                <w:bCs w:val="0"/>
                <w:color w:val="auto"/>
                <w:sz w:val="21"/>
                <w:szCs w:val="21"/>
                <w:highlight w:val="none"/>
                <w:lang w:val="en-US" w:eastAsia="zh-CN"/>
              </w:rPr>
              <w:t>投标有效期</w:t>
            </w:r>
          </w:p>
        </w:tc>
        <w:tc>
          <w:tcPr>
            <w:tcW w:w="7393" w:type="dxa"/>
            <w:vAlign w:val="center"/>
          </w:tcPr>
          <w:p w14:paraId="18F7C904">
            <w:pPr>
              <w:pStyle w:val="13"/>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b w:val="0"/>
                <w:bCs/>
                <w:color w:val="auto"/>
                <w:sz w:val="21"/>
                <w:szCs w:val="21"/>
                <w:highlight w:val="none"/>
                <w:lang w:val="en-US" w:eastAsia="zh-CN"/>
              </w:rPr>
            </w:pPr>
            <w:r>
              <w:rPr>
                <w:rFonts w:hint="eastAsia"/>
                <w:b/>
                <w:bCs w:val="0"/>
                <w:color w:val="auto"/>
                <w:sz w:val="21"/>
                <w:szCs w:val="21"/>
                <w:highlight w:val="none"/>
                <w:lang w:val="en-US" w:eastAsia="zh-CN"/>
              </w:rPr>
              <w:t>投标有效期为</w:t>
            </w:r>
            <w:r>
              <w:rPr>
                <w:rFonts w:hint="eastAsia" w:ascii="宋体" w:hAnsi="Times New Roman" w:eastAsia="宋体" w:cs="Times New Roman"/>
                <w:b/>
                <w:bCs w:val="0"/>
                <w:color w:val="auto"/>
                <w:sz w:val="21"/>
                <w:szCs w:val="21"/>
                <w:highlight w:val="none"/>
                <w:u w:val="single" w:color="auto"/>
                <w:lang w:val="en-US" w:eastAsia="zh-CN"/>
              </w:rPr>
              <w:t xml:space="preserve"> 60 日历</w:t>
            </w:r>
            <w:r>
              <w:rPr>
                <w:rFonts w:hint="eastAsia"/>
                <w:b/>
                <w:bCs w:val="0"/>
                <w:color w:val="auto"/>
                <w:sz w:val="21"/>
                <w:szCs w:val="21"/>
                <w:highlight w:val="none"/>
                <w:lang w:val="en-US" w:eastAsia="zh-CN"/>
              </w:rPr>
              <w:t>天（从投标截止之日算起）。在此期限内，凡符合本采购文件要求的投标文件均保持有效。</w:t>
            </w:r>
          </w:p>
        </w:tc>
      </w:tr>
      <w:tr w14:paraId="76D8A85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1012" w:type="dxa"/>
            <w:vAlign w:val="center"/>
          </w:tcPr>
          <w:p w14:paraId="08D94CC5">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Times New Roman" w:hAnsi="Times New Roman" w:eastAsia="宋体" w:cs="Times New Roman"/>
                <w:b/>
                <w:bCs w:val="0"/>
                <w:color w:val="auto"/>
                <w:kern w:val="2"/>
                <w:sz w:val="21"/>
                <w:szCs w:val="21"/>
                <w:highlight w:val="none"/>
                <w:lang w:val="en-US" w:eastAsia="zh-CN" w:bidi="ar-SA"/>
              </w:rPr>
            </w:pPr>
            <w:r>
              <w:rPr>
                <w:rFonts w:hint="eastAsia" w:ascii="宋体" w:cs="宋体"/>
                <w:b/>
                <w:bCs w:val="0"/>
                <w:color w:val="auto"/>
                <w:sz w:val="21"/>
                <w:szCs w:val="21"/>
                <w:highlight w:val="none"/>
                <w:lang w:val="en-US" w:eastAsia="zh-CN"/>
              </w:rPr>
              <w:t>20</w:t>
            </w:r>
          </w:p>
        </w:tc>
        <w:tc>
          <w:tcPr>
            <w:tcW w:w="1536" w:type="dxa"/>
            <w:vAlign w:val="center"/>
          </w:tcPr>
          <w:p w14:paraId="0E7EFC3B">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b/>
                <w:bCs w:val="0"/>
                <w:color w:val="auto"/>
                <w:szCs w:val="21"/>
                <w:highlight w:val="none"/>
              </w:rPr>
            </w:pPr>
            <w:r>
              <w:rPr>
                <w:rFonts w:hint="eastAsia" w:ascii="宋体"/>
                <w:b/>
                <w:bCs w:val="0"/>
                <w:color w:val="auto"/>
                <w:szCs w:val="21"/>
                <w:highlight w:val="none"/>
              </w:rPr>
              <w:t>投标保证金</w:t>
            </w:r>
          </w:p>
        </w:tc>
        <w:tc>
          <w:tcPr>
            <w:tcW w:w="7393" w:type="dxa"/>
            <w:vAlign w:val="center"/>
          </w:tcPr>
          <w:p w14:paraId="67EB03AF">
            <w:pPr>
              <w:pStyle w:val="13"/>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cs="宋体-18030"/>
                <w:b w:val="0"/>
                <w:bCs/>
                <w:color w:val="auto"/>
                <w:szCs w:val="21"/>
                <w:highlight w:val="none"/>
              </w:rPr>
            </w:pPr>
            <w:r>
              <w:rPr>
                <w:rFonts w:hint="eastAsia" w:ascii="宋体" w:hAnsi="宋体" w:cs="宋体-18030"/>
                <w:b w:val="0"/>
                <w:bCs/>
                <w:color w:val="auto"/>
                <w:szCs w:val="21"/>
                <w:highlight w:val="none"/>
              </w:rPr>
              <w:t>投标保证金交纳方式：投标保证金应当以支票、汇票、本票、网上银行支付或者金融机构、担保机构出具的保函等非现金形式缴纳。</w:t>
            </w:r>
          </w:p>
        </w:tc>
      </w:tr>
      <w:tr w14:paraId="31F1A60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38" w:hRule="atLeast"/>
          <w:jc w:val="center"/>
        </w:trPr>
        <w:tc>
          <w:tcPr>
            <w:tcW w:w="1012" w:type="dxa"/>
            <w:vAlign w:val="center"/>
          </w:tcPr>
          <w:p w14:paraId="6E90DABE">
            <w:pPr>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5" w:rightChars="-45"/>
              <w:jc w:val="center"/>
              <w:textAlignment w:val="auto"/>
              <w:outlineLvl w:val="9"/>
              <w:rPr>
                <w:rFonts w:hint="default" w:ascii="宋体" w:hAnsi="Times New Roman" w:eastAsia="宋体" w:cs="宋体"/>
                <w:b/>
                <w:bCs w:val="0"/>
                <w:color w:val="auto"/>
                <w:kern w:val="2"/>
                <w:sz w:val="21"/>
                <w:szCs w:val="21"/>
                <w:highlight w:val="none"/>
                <w:lang w:val="en-US" w:eastAsia="zh-CN" w:bidi="ar-SA"/>
              </w:rPr>
            </w:pPr>
            <w:r>
              <w:rPr>
                <w:rFonts w:hint="eastAsia" w:ascii="宋体" w:cs="宋体"/>
                <w:b/>
                <w:bCs w:val="0"/>
                <w:color w:val="auto"/>
                <w:sz w:val="21"/>
                <w:szCs w:val="21"/>
                <w:highlight w:val="none"/>
                <w:lang w:val="en-US" w:eastAsia="zh-CN"/>
              </w:rPr>
              <w:t>21</w:t>
            </w:r>
          </w:p>
        </w:tc>
        <w:tc>
          <w:tcPr>
            <w:tcW w:w="1536" w:type="dxa"/>
            <w:tcBorders>
              <w:bottom w:val="single" w:color="auto" w:sz="4" w:space="0"/>
            </w:tcBorders>
            <w:vAlign w:val="center"/>
          </w:tcPr>
          <w:p w14:paraId="58D4C5AC">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b/>
                <w:bCs w:val="0"/>
                <w:color w:val="auto"/>
                <w:sz w:val="21"/>
                <w:szCs w:val="21"/>
                <w:highlight w:val="none"/>
              </w:rPr>
            </w:pPr>
            <w:r>
              <w:rPr>
                <w:rFonts w:hint="eastAsia" w:ascii="宋体" w:hAnsi="宋体"/>
                <w:b/>
                <w:bCs w:val="0"/>
                <w:color w:val="auto"/>
                <w:sz w:val="21"/>
                <w:szCs w:val="21"/>
                <w:highlight w:val="none"/>
                <w:lang w:eastAsia="zh-CN"/>
              </w:rPr>
              <w:t>投标保证金</w:t>
            </w:r>
          </w:p>
        </w:tc>
        <w:tc>
          <w:tcPr>
            <w:tcW w:w="7393" w:type="dxa"/>
            <w:tcBorders>
              <w:bottom w:val="single" w:color="auto" w:sz="4" w:space="0"/>
            </w:tcBorders>
            <w:vAlign w:val="top"/>
          </w:tcPr>
          <w:p w14:paraId="12184746">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cs="宋体-18030"/>
                <w:b w:val="0"/>
                <w:bCs/>
                <w:color w:val="auto"/>
                <w:sz w:val="21"/>
                <w:szCs w:val="21"/>
                <w:highlight w:val="none"/>
                <w:lang w:val="en-US" w:eastAsia="zh-CN"/>
              </w:rPr>
            </w:pPr>
            <w:r>
              <w:rPr>
                <w:rFonts w:hint="eastAsia" w:ascii="宋体" w:hAnsi="宋体" w:cs="宋体-18030"/>
                <w:b w:val="0"/>
                <w:bCs/>
                <w:color w:val="auto"/>
                <w:sz w:val="21"/>
                <w:szCs w:val="21"/>
                <w:highlight w:val="none"/>
                <w:lang w:val="en-US" w:eastAsia="zh-CN"/>
              </w:rPr>
              <w:t>投标保证金金额：</w:t>
            </w:r>
          </w:p>
          <w:p w14:paraId="694A2440">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hAnsi="宋体" w:cs="宋体-18030"/>
                <w:b w:val="0"/>
                <w:bCs/>
                <w:color w:val="auto"/>
                <w:sz w:val="21"/>
                <w:szCs w:val="21"/>
                <w:highlight w:val="none"/>
                <w:lang w:val="en-US" w:eastAsia="zh-CN"/>
              </w:rPr>
            </w:pPr>
            <w:r>
              <w:rPr>
                <w:rFonts w:hint="eastAsia" w:hAnsi="宋体" w:cs="宋体-18030"/>
                <w:b w:val="0"/>
                <w:bCs/>
                <w:color w:val="auto"/>
                <w:sz w:val="21"/>
                <w:szCs w:val="21"/>
                <w:highlight w:val="none"/>
                <w:lang w:val="en-US" w:eastAsia="zh-CN"/>
              </w:rPr>
              <w:t>标项1：4</w:t>
            </w:r>
            <w:r>
              <w:rPr>
                <w:rFonts w:hint="eastAsia" w:ascii="宋体" w:hAnsi="宋体" w:cs="宋体-18030"/>
                <w:b w:val="0"/>
                <w:bCs/>
                <w:color w:val="auto"/>
                <w:sz w:val="21"/>
                <w:szCs w:val="21"/>
                <w:highlight w:val="none"/>
                <w:lang w:val="en-US" w:eastAsia="zh-CN"/>
              </w:rPr>
              <w:t>0000元（</w:t>
            </w:r>
            <w:r>
              <w:rPr>
                <w:rFonts w:hint="eastAsia" w:hAnsi="宋体" w:cs="宋体-18030"/>
                <w:b w:val="0"/>
                <w:bCs/>
                <w:color w:val="auto"/>
                <w:sz w:val="21"/>
                <w:szCs w:val="21"/>
                <w:highlight w:val="none"/>
                <w:lang w:val="en-US" w:eastAsia="zh-CN"/>
              </w:rPr>
              <w:t>肆</w:t>
            </w:r>
            <w:r>
              <w:rPr>
                <w:rFonts w:hint="eastAsia" w:ascii="宋体" w:hAnsi="宋体" w:cs="宋体-18030"/>
                <w:b w:val="0"/>
                <w:bCs/>
                <w:color w:val="auto"/>
                <w:sz w:val="21"/>
                <w:szCs w:val="21"/>
                <w:highlight w:val="none"/>
                <w:lang w:val="en-US" w:eastAsia="zh-CN"/>
              </w:rPr>
              <w:t>万元整）</w:t>
            </w:r>
          </w:p>
          <w:p w14:paraId="054DD7EC">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cs="宋体-18030"/>
                <w:b w:val="0"/>
                <w:bCs/>
                <w:color w:val="auto"/>
                <w:sz w:val="21"/>
                <w:szCs w:val="21"/>
                <w:highlight w:val="none"/>
                <w:lang w:val="en-US" w:eastAsia="zh-CN"/>
              </w:rPr>
            </w:pPr>
            <w:r>
              <w:rPr>
                <w:rFonts w:hint="eastAsia" w:ascii="宋体" w:hAnsi="宋体" w:cs="宋体-18030"/>
                <w:b w:val="0"/>
                <w:bCs/>
                <w:color w:val="auto"/>
                <w:sz w:val="21"/>
                <w:szCs w:val="21"/>
                <w:highlight w:val="none"/>
                <w:lang w:val="en-US" w:eastAsia="zh-CN"/>
              </w:rPr>
              <w:t>投标保证金交纳要求：</w:t>
            </w:r>
          </w:p>
          <w:p w14:paraId="50C36FCB">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cs="宋体-18030"/>
                <w:b w:val="0"/>
                <w:bCs/>
                <w:color w:val="auto"/>
                <w:sz w:val="21"/>
                <w:szCs w:val="21"/>
                <w:highlight w:val="none"/>
                <w:lang w:val="en-US" w:eastAsia="zh-CN"/>
              </w:rPr>
            </w:pPr>
            <w:r>
              <w:rPr>
                <w:rFonts w:hint="eastAsia" w:ascii="宋体" w:hAnsi="宋体" w:cs="宋体-18030"/>
                <w:b w:val="0"/>
                <w:bCs/>
                <w:color w:val="auto"/>
                <w:sz w:val="21"/>
                <w:szCs w:val="21"/>
                <w:highlight w:val="none"/>
                <w:lang w:val="en-US" w:eastAsia="zh-CN"/>
              </w:rPr>
              <w:t>方式一：电子保证金</w:t>
            </w:r>
          </w:p>
          <w:p w14:paraId="0F385E65">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cs="宋体-18030"/>
                <w:b w:val="0"/>
                <w:bCs/>
                <w:color w:val="auto"/>
                <w:sz w:val="21"/>
                <w:szCs w:val="21"/>
                <w:highlight w:val="none"/>
                <w:lang w:val="en-US" w:eastAsia="zh-CN"/>
              </w:rPr>
            </w:pPr>
            <w:r>
              <w:rPr>
                <w:rFonts w:hint="eastAsia" w:ascii="宋体" w:hAnsi="宋体" w:cs="宋体-18030"/>
                <w:b w:val="0"/>
                <w:bCs/>
                <w:color w:val="auto"/>
                <w:sz w:val="21"/>
                <w:szCs w:val="21"/>
                <w:highlight w:val="none"/>
                <w:lang w:val="en-US" w:eastAsia="zh-CN"/>
              </w:rPr>
              <w:t>账户信息：按系统自动生成的收款账号信息进行缴纳。具体操作在【保证金管理】页面，选择【电子保证金(在线获取账号)】,点击【新疆保证金平台】,自动从银行获取保证金的收款户名、收款账号、收款银行信息(开户行及行号)。供应商需将保证金转入获取到的收款账号，转账时请备注项目名称。</w:t>
            </w:r>
          </w:p>
          <w:p w14:paraId="4D495A59">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cs="宋体-18030"/>
                <w:b w:val="0"/>
                <w:bCs/>
                <w:color w:val="auto"/>
                <w:sz w:val="21"/>
                <w:szCs w:val="21"/>
                <w:highlight w:val="none"/>
                <w:lang w:val="en-US" w:eastAsia="zh-CN"/>
              </w:rPr>
            </w:pPr>
            <w:r>
              <w:rPr>
                <w:rFonts w:hint="eastAsia" w:ascii="宋体" w:hAnsi="宋体" w:cs="宋体-18030"/>
                <w:b w:val="0"/>
                <w:bCs/>
                <w:color w:val="auto"/>
                <w:sz w:val="21"/>
                <w:szCs w:val="21"/>
                <w:highlight w:val="none"/>
                <w:lang w:val="en-US" w:eastAsia="zh-CN"/>
              </w:rPr>
              <w:t>方式二：保函</w:t>
            </w:r>
          </w:p>
          <w:p w14:paraId="750BDD7B">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cs="宋体-18030"/>
                <w:b w:val="0"/>
                <w:bCs/>
                <w:color w:val="auto"/>
                <w:sz w:val="21"/>
                <w:szCs w:val="21"/>
                <w:highlight w:val="none"/>
                <w:lang w:val="en-US" w:eastAsia="zh-CN"/>
              </w:rPr>
            </w:pPr>
            <w:r>
              <w:rPr>
                <w:rFonts w:hint="eastAsia" w:ascii="宋体" w:hAnsi="宋体" w:cs="宋体-18030"/>
                <w:b w:val="0"/>
                <w:bCs/>
                <w:color w:val="auto"/>
                <w:sz w:val="21"/>
                <w:szCs w:val="21"/>
                <w:highlight w:val="none"/>
                <w:lang w:val="en-US" w:eastAsia="zh-CN"/>
              </w:rPr>
              <w:t xml:space="preserve">电子保函。(1)缴纳程序：投标人可登录新疆政府采购网“电子保函”窗口线上办理投保手续；(2)办理电子保函必须在投标截止时间(开标时间)前完成；(3)开标前，投保人须下载加密保单作并加盖公章做为保证金缴纳凭证一并上传至资格审查文件中提交；(4)技术支持电话详见新疆政府采购网电子保函服务系统。   </w:t>
            </w:r>
          </w:p>
          <w:p w14:paraId="4DCE7EE2">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cs="宋体-18030"/>
                <w:b w:val="0"/>
                <w:bCs/>
                <w:color w:val="auto"/>
                <w:sz w:val="21"/>
                <w:szCs w:val="21"/>
                <w:highlight w:val="none"/>
              </w:rPr>
            </w:pPr>
            <w:r>
              <w:rPr>
                <w:rFonts w:hint="eastAsia" w:ascii="宋体" w:hAnsi="宋体" w:cs="宋体-18030"/>
                <w:b w:val="0"/>
                <w:bCs/>
                <w:color w:val="auto"/>
                <w:sz w:val="21"/>
                <w:szCs w:val="21"/>
                <w:highlight w:val="none"/>
                <w:lang w:val="en-US" w:eastAsia="zh-CN"/>
              </w:rPr>
              <w:t>保证金退还须知：开标后，未中标</w:t>
            </w:r>
            <w:r>
              <w:rPr>
                <w:rFonts w:hint="eastAsia" w:ascii="宋体" w:hAnsi="宋体" w:cs="宋体-18030"/>
                <w:b w:val="0"/>
                <w:bCs/>
                <w:color w:val="auto"/>
                <w:sz w:val="21"/>
                <w:szCs w:val="21"/>
                <w:highlight w:val="none"/>
                <w:lang w:eastAsia="zh-CN"/>
              </w:rPr>
              <w:t>（</w:t>
            </w:r>
            <w:r>
              <w:rPr>
                <w:rFonts w:hint="eastAsia" w:ascii="宋体" w:hAnsi="宋体" w:cs="宋体-18030"/>
                <w:b w:val="0"/>
                <w:bCs/>
                <w:color w:val="auto"/>
                <w:sz w:val="21"/>
                <w:szCs w:val="21"/>
                <w:highlight w:val="none"/>
                <w:lang w:val="en-US" w:eastAsia="zh-CN"/>
              </w:rPr>
              <w:t>成交</w:t>
            </w:r>
            <w:r>
              <w:rPr>
                <w:rFonts w:hint="eastAsia" w:ascii="宋体" w:hAnsi="宋体" w:cs="宋体-18030"/>
                <w:b w:val="0"/>
                <w:bCs/>
                <w:color w:val="auto"/>
                <w:sz w:val="21"/>
                <w:szCs w:val="21"/>
                <w:highlight w:val="none"/>
                <w:lang w:eastAsia="zh-CN"/>
              </w:rPr>
              <w:t>）</w:t>
            </w:r>
            <w:r>
              <w:rPr>
                <w:rFonts w:hint="eastAsia" w:ascii="宋体" w:hAnsi="宋体" w:cs="宋体-18030"/>
                <w:b w:val="0"/>
                <w:bCs/>
                <w:color w:val="auto"/>
                <w:sz w:val="21"/>
                <w:szCs w:val="21"/>
                <w:highlight w:val="none"/>
                <w:lang w:val="en-US" w:eastAsia="zh-CN"/>
              </w:rPr>
              <w:t>企业在法定工作时间内自动退还保证金，中标</w:t>
            </w:r>
            <w:r>
              <w:rPr>
                <w:rFonts w:hint="eastAsia" w:ascii="宋体" w:hAnsi="宋体" w:cs="宋体-18030"/>
                <w:b w:val="0"/>
                <w:bCs/>
                <w:color w:val="auto"/>
                <w:sz w:val="21"/>
                <w:szCs w:val="21"/>
                <w:highlight w:val="none"/>
                <w:lang w:eastAsia="zh-CN"/>
              </w:rPr>
              <w:t>（</w:t>
            </w:r>
            <w:r>
              <w:rPr>
                <w:rFonts w:hint="eastAsia" w:ascii="宋体" w:hAnsi="宋体" w:cs="宋体-18030"/>
                <w:b w:val="0"/>
                <w:bCs/>
                <w:color w:val="auto"/>
                <w:sz w:val="21"/>
                <w:szCs w:val="21"/>
                <w:highlight w:val="none"/>
                <w:lang w:val="en-US" w:eastAsia="zh-CN"/>
              </w:rPr>
              <w:t>成交</w:t>
            </w:r>
            <w:r>
              <w:rPr>
                <w:rFonts w:hint="eastAsia" w:ascii="宋体" w:hAnsi="宋体" w:cs="宋体-18030"/>
                <w:b w:val="0"/>
                <w:bCs/>
                <w:color w:val="auto"/>
                <w:sz w:val="21"/>
                <w:szCs w:val="21"/>
                <w:highlight w:val="none"/>
                <w:lang w:eastAsia="zh-CN"/>
              </w:rPr>
              <w:t>）</w:t>
            </w:r>
            <w:r>
              <w:rPr>
                <w:rFonts w:hint="eastAsia" w:ascii="宋体" w:hAnsi="宋体" w:cs="宋体-18030"/>
                <w:b w:val="0"/>
                <w:bCs/>
                <w:color w:val="auto"/>
                <w:sz w:val="21"/>
                <w:szCs w:val="21"/>
                <w:highlight w:val="none"/>
                <w:lang w:val="en-US" w:eastAsia="zh-CN"/>
              </w:rPr>
              <w:t>企业在签订合同后自动退还保证金。</w:t>
            </w:r>
          </w:p>
        </w:tc>
      </w:tr>
      <w:tr w14:paraId="77AE8B4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24" w:hRule="atLeast"/>
          <w:jc w:val="center"/>
        </w:trPr>
        <w:tc>
          <w:tcPr>
            <w:tcW w:w="1012" w:type="dxa"/>
            <w:vAlign w:val="center"/>
          </w:tcPr>
          <w:p w14:paraId="048C5395">
            <w:pPr>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5" w:rightChars="-45"/>
              <w:jc w:val="center"/>
              <w:textAlignment w:val="auto"/>
              <w:outlineLvl w:val="9"/>
              <w:rPr>
                <w:rFonts w:hint="default" w:ascii="宋体" w:hAnsi="Times New Roman" w:eastAsia="宋体" w:cs="宋体"/>
                <w:b/>
                <w:bCs w:val="0"/>
                <w:color w:val="auto"/>
                <w:kern w:val="2"/>
                <w:sz w:val="21"/>
                <w:szCs w:val="21"/>
                <w:highlight w:val="none"/>
                <w:lang w:val="en-US" w:eastAsia="zh-CN" w:bidi="ar-SA"/>
              </w:rPr>
            </w:pPr>
            <w:r>
              <w:rPr>
                <w:rFonts w:hint="eastAsia" w:ascii="宋体" w:cs="宋体"/>
                <w:b/>
                <w:bCs w:val="0"/>
                <w:color w:val="auto"/>
                <w:sz w:val="21"/>
                <w:szCs w:val="21"/>
                <w:highlight w:val="none"/>
                <w:lang w:val="en-US" w:eastAsia="zh-CN"/>
              </w:rPr>
              <w:t>22</w:t>
            </w:r>
          </w:p>
        </w:tc>
        <w:tc>
          <w:tcPr>
            <w:tcW w:w="1536" w:type="dxa"/>
            <w:vAlign w:val="center"/>
          </w:tcPr>
          <w:p w14:paraId="62AA4DBE">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投标文件形式</w:t>
            </w:r>
          </w:p>
        </w:tc>
        <w:tc>
          <w:tcPr>
            <w:tcW w:w="7393" w:type="dxa"/>
            <w:vAlign w:val="center"/>
          </w:tcPr>
          <w:p w14:paraId="082A3C53">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电子投标文件包括“电子加密投标文件”和“备份投标文件”，在投标文件编制完成后同时生成。</w:t>
            </w:r>
          </w:p>
          <w:p w14:paraId="0043CFFF">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1、“电子加密投标文件”是指通过“政采云电子交易客户端”完成投标文件编制后生成并加密的数据电文形式的投标文件。</w:t>
            </w:r>
          </w:p>
          <w:p w14:paraId="14CA6CBA">
            <w:pPr>
              <w:pStyle w:val="14"/>
              <w:ind w:left="0" w:leftChars="0" w:firstLine="0" w:firstLineChars="0"/>
              <w:rPr>
                <w:rFonts w:hint="eastAsia"/>
                <w:color w:val="auto"/>
                <w:highlight w:val="none"/>
                <w:lang w:val="en-US" w:eastAsia="zh-CN"/>
              </w:rPr>
            </w:pPr>
            <w:r>
              <w:rPr>
                <w:rFonts w:hint="eastAsia"/>
                <w:color w:val="auto"/>
                <w:sz w:val="21"/>
                <w:szCs w:val="21"/>
                <w:highlight w:val="none"/>
                <w:lang w:val="en-US" w:eastAsia="zh-CN"/>
              </w:rPr>
              <w:t>2、“备份投标文件”是指与“电子加密投标文件”同时生成的数据电文形式的电子文件（备份标书，用于供应商标书解密异常时应急使用），其他方式编制的备份投标文件视为无效备份投标文件。</w:t>
            </w:r>
          </w:p>
        </w:tc>
      </w:tr>
      <w:tr w14:paraId="49F11C1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6" w:hRule="atLeast"/>
          <w:jc w:val="center"/>
        </w:trPr>
        <w:tc>
          <w:tcPr>
            <w:tcW w:w="1012" w:type="dxa"/>
            <w:vAlign w:val="center"/>
          </w:tcPr>
          <w:p w14:paraId="65FF5FBF">
            <w:pPr>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5" w:rightChars="-45"/>
              <w:jc w:val="center"/>
              <w:textAlignment w:val="auto"/>
              <w:outlineLvl w:val="9"/>
              <w:rPr>
                <w:rFonts w:hint="default" w:ascii="宋体" w:hAnsi="Times New Roman" w:eastAsia="宋体" w:cs="宋体"/>
                <w:b/>
                <w:bCs w:val="0"/>
                <w:color w:val="auto"/>
                <w:kern w:val="2"/>
                <w:sz w:val="21"/>
                <w:szCs w:val="21"/>
                <w:highlight w:val="none"/>
                <w:lang w:val="en-US" w:eastAsia="zh-CN" w:bidi="ar-SA"/>
              </w:rPr>
            </w:pPr>
            <w:r>
              <w:rPr>
                <w:rFonts w:hint="eastAsia" w:ascii="宋体" w:cs="宋体"/>
                <w:b/>
                <w:bCs w:val="0"/>
                <w:color w:val="auto"/>
                <w:sz w:val="21"/>
                <w:szCs w:val="21"/>
                <w:highlight w:val="none"/>
                <w:lang w:val="en-US" w:eastAsia="zh-CN"/>
              </w:rPr>
              <w:t>23</w:t>
            </w:r>
          </w:p>
        </w:tc>
        <w:tc>
          <w:tcPr>
            <w:tcW w:w="1536" w:type="dxa"/>
            <w:vAlign w:val="center"/>
          </w:tcPr>
          <w:p w14:paraId="7647450E">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投标文件份数及要求</w:t>
            </w:r>
          </w:p>
        </w:tc>
        <w:tc>
          <w:tcPr>
            <w:tcW w:w="7393" w:type="dxa"/>
            <w:vAlign w:val="center"/>
          </w:tcPr>
          <w:p w14:paraId="29AB0238">
            <w:pPr>
              <w:pStyle w:val="13"/>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default"/>
                <w:b w:val="0"/>
                <w:bCs/>
                <w:color w:val="auto"/>
                <w:sz w:val="21"/>
                <w:szCs w:val="21"/>
                <w:highlight w:val="none"/>
                <w:lang w:val="en-US" w:eastAsia="zh-CN"/>
              </w:rPr>
            </w:pPr>
            <w:r>
              <w:rPr>
                <w:rFonts w:hint="default"/>
                <w:b w:val="0"/>
                <w:bCs/>
                <w:color w:val="auto"/>
                <w:sz w:val="21"/>
                <w:szCs w:val="21"/>
                <w:highlight w:val="none"/>
                <w:lang w:val="en-US" w:eastAsia="zh-CN"/>
              </w:rPr>
              <w:t>1、一份电子加密标书（“.jmbs”格式），一份备份标书文件（“.bfbs”格式）。</w:t>
            </w:r>
          </w:p>
          <w:p w14:paraId="18158D72">
            <w:pPr>
              <w:pStyle w:val="13"/>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default"/>
                <w:b w:val="0"/>
                <w:bCs/>
                <w:color w:val="auto"/>
                <w:sz w:val="21"/>
                <w:szCs w:val="21"/>
                <w:highlight w:val="none"/>
                <w:lang w:val="en-US" w:eastAsia="zh-CN"/>
              </w:rPr>
            </w:pPr>
            <w:r>
              <w:rPr>
                <w:rFonts w:hint="default"/>
                <w:b w:val="0"/>
                <w:bCs/>
                <w:color w:val="auto"/>
                <w:sz w:val="21"/>
                <w:szCs w:val="21"/>
                <w:highlight w:val="none"/>
                <w:lang w:val="en-US" w:eastAsia="zh-CN"/>
              </w:rPr>
              <w:t>2、每份电子投标文件应包括资格证明文件和商务及技术文件两部分。</w:t>
            </w:r>
          </w:p>
        </w:tc>
      </w:tr>
      <w:tr w14:paraId="093668D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090" w:hRule="atLeast"/>
          <w:jc w:val="center"/>
        </w:trPr>
        <w:tc>
          <w:tcPr>
            <w:tcW w:w="1012" w:type="dxa"/>
            <w:vAlign w:val="center"/>
          </w:tcPr>
          <w:p w14:paraId="376D176D">
            <w:pPr>
              <w:pStyle w:val="13"/>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5" w:rightChars="-45"/>
              <w:jc w:val="center"/>
              <w:textAlignment w:val="auto"/>
              <w:outlineLvl w:val="9"/>
              <w:rPr>
                <w:rFonts w:hint="default" w:ascii="宋体" w:hAnsi="Times New Roman" w:eastAsia="宋体" w:cs="宋体"/>
                <w:b/>
                <w:bCs w:val="0"/>
                <w:color w:val="auto"/>
                <w:kern w:val="2"/>
                <w:sz w:val="21"/>
                <w:szCs w:val="21"/>
                <w:highlight w:val="none"/>
                <w:u w:val="none" w:color="000000"/>
                <w:lang w:val="en-US" w:eastAsia="zh-CN" w:bidi="ar-SA"/>
              </w:rPr>
            </w:pPr>
            <w:r>
              <w:rPr>
                <w:rFonts w:hint="eastAsia"/>
                <w:b/>
                <w:bCs w:val="0"/>
                <w:color w:val="auto"/>
                <w:sz w:val="21"/>
                <w:szCs w:val="21"/>
                <w:highlight w:val="none"/>
                <w:lang w:val="en-US" w:eastAsia="zh-CN"/>
              </w:rPr>
              <w:t>24</w:t>
            </w:r>
          </w:p>
        </w:tc>
        <w:tc>
          <w:tcPr>
            <w:tcW w:w="1536" w:type="dxa"/>
            <w:vAlign w:val="center"/>
          </w:tcPr>
          <w:p w14:paraId="1451E770">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lang w:bidi="zh-CN"/>
              </w:rPr>
              <w:t>投标文件的上传和递交</w:t>
            </w:r>
          </w:p>
        </w:tc>
        <w:tc>
          <w:tcPr>
            <w:tcW w:w="7393" w:type="dxa"/>
            <w:vAlign w:val="center"/>
          </w:tcPr>
          <w:p w14:paraId="3C186726">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highlight w:val="none"/>
                <w:lang w:val="en-US" w:eastAsia="zh-CN"/>
              </w:rPr>
            </w:pPr>
            <w:r>
              <w:rPr>
                <w:rFonts w:hint="eastAsia"/>
                <w:color w:val="auto"/>
                <w:highlight w:val="none"/>
                <w:lang w:val="en-US" w:eastAsia="zh-CN"/>
              </w:rPr>
              <w:t>1.电子加密投标文件：投标文件制作完成并生成加密标书，在投标截止时间前，供应商需将加密的投标文件上传至政采云平台，在开标时间开始后，待采购组织机构发出解密通知后30分钟内解密投标文件。</w:t>
            </w:r>
          </w:p>
          <w:p w14:paraId="04E1669C">
            <w:pPr>
              <w:pStyle w:val="13"/>
              <w:keepNext w:val="0"/>
              <w:keepLines w:val="0"/>
              <w:pageBreakBefore w:val="0"/>
              <w:numPr>
                <w:ilvl w:val="0"/>
                <w:numId w:val="6"/>
              </w:numPr>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highlight w:val="none"/>
                <w:lang w:val="en-US" w:eastAsia="zh-CN"/>
              </w:rPr>
            </w:pPr>
            <w:r>
              <w:rPr>
                <w:rFonts w:hint="eastAsia"/>
                <w:color w:val="auto"/>
                <w:highlight w:val="none"/>
                <w:lang w:val="en-US" w:eastAsia="zh-CN"/>
              </w:rPr>
              <w:t>供应商未能在投标截止时间前成功上传电子加密投标文件的投标无效。</w:t>
            </w:r>
          </w:p>
          <w:p w14:paraId="1715E1D3">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2.备份投标文件：供应商在投标截止时间前将加密的投标文件上传至政府采购云平台，还可以在投标截止时间前以电子邮件方式提供备份投标文件1份（接收人邮箱：458027111@qq.com，接收人：刘女士，电话：18094994613），“备份投标文件”由供应商自愿提供，招标文件文件不作强制性要求；如不提供或未按要求提供的，当电子投标文件无法解密时，将导致无备份投标文件而失去投标资格。</w:t>
            </w:r>
          </w:p>
          <w:p w14:paraId="582F66B1">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a.备份投标文件提供要求：供应商可以将备份投标文件打包压缩并加密，压缩包命名为“XX单位备份投标文件”，加密密码由供应商自行保管；送达时间以采购代理机构实际接收时间为准。“备份投标文件”逾期或未按要求提供的视为未提供，建议供应商提前1日办理邮件提供事宜。</w:t>
            </w:r>
          </w:p>
          <w:p w14:paraId="4A4C2C1B">
            <w:pPr>
              <w:pStyle w:val="13"/>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b w:val="0"/>
                <w:bCs/>
                <w:color w:val="auto"/>
                <w:sz w:val="21"/>
                <w:szCs w:val="21"/>
                <w:highlight w:val="none"/>
                <w:lang w:val="en-US" w:eastAsia="zh-CN"/>
              </w:rPr>
            </w:pPr>
            <w:r>
              <w:rPr>
                <w:rFonts w:hint="eastAsia"/>
                <w:color w:val="auto"/>
                <w:sz w:val="21"/>
                <w:szCs w:val="21"/>
                <w:highlight w:val="none"/>
                <w:lang w:val="en-US" w:eastAsia="zh-CN"/>
              </w:rPr>
              <w:t>b.通过“政府采购云平台”成功上传递交的“电子加密投标文件”已按时解密的，“备份投标文件”自动失效。投标截止时间前，投标供应商仅提供了“备份投标文件”而未将“电子加密投标文件”成功上传至“政府采购云平台”的，投标无效。</w:t>
            </w:r>
          </w:p>
        </w:tc>
      </w:tr>
      <w:tr w14:paraId="455E133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17" w:hRule="atLeast"/>
          <w:jc w:val="center"/>
        </w:trPr>
        <w:tc>
          <w:tcPr>
            <w:tcW w:w="1012" w:type="dxa"/>
            <w:vAlign w:val="center"/>
          </w:tcPr>
          <w:p w14:paraId="1BF14F89">
            <w:pPr>
              <w:pStyle w:val="13"/>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5" w:rightChars="-45"/>
              <w:jc w:val="center"/>
              <w:textAlignment w:val="auto"/>
              <w:outlineLvl w:val="9"/>
              <w:rPr>
                <w:rFonts w:hint="default" w:ascii="宋体" w:hAnsi="Times New Roman" w:eastAsia="宋体" w:cs="Times New Roman"/>
                <w:b/>
                <w:bCs w:val="0"/>
                <w:color w:val="auto"/>
                <w:kern w:val="2"/>
                <w:sz w:val="21"/>
                <w:szCs w:val="21"/>
                <w:highlight w:val="none"/>
                <w:u w:val="none" w:color="000000"/>
                <w:lang w:val="en-US" w:eastAsia="zh-CN" w:bidi="ar-SA"/>
              </w:rPr>
            </w:pPr>
            <w:r>
              <w:rPr>
                <w:rFonts w:hint="eastAsia"/>
                <w:b/>
                <w:bCs w:val="0"/>
                <w:color w:val="auto"/>
                <w:sz w:val="21"/>
                <w:szCs w:val="21"/>
                <w:highlight w:val="none"/>
                <w:lang w:val="en-US" w:eastAsia="zh-CN"/>
              </w:rPr>
              <w:t>25</w:t>
            </w:r>
          </w:p>
        </w:tc>
        <w:tc>
          <w:tcPr>
            <w:tcW w:w="1536" w:type="dxa"/>
            <w:vAlign w:val="center"/>
          </w:tcPr>
          <w:p w14:paraId="75C17C8F">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b/>
                <w:bCs w:val="0"/>
                <w:color w:val="auto"/>
                <w:sz w:val="21"/>
                <w:szCs w:val="21"/>
                <w:highlight w:val="none"/>
              </w:rPr>
            </w:pPr>
            <w:r>
              <w:rPr>
                <w:rFonts w:hint="eastAsia" w:ascii="宋体"/>
                <w:b/>
                <w:bCs w:val="0"/>
                <w:color w:val="auto"/>
                <w:sz w:val="21"/>
                <w:szCs w:val="21"/>
                <w:highlight w:val="none"/>
                <w:lang w:eastAsia="zh-CN"/>
              </w:rPr>
              <w:t>投标截止</w:t>
            </w:r>
            <w:r>
              <w:rPr>
                <w:rFonts w:hint="eastAsia" w:ascii="宋体"/>
                <w:b/>
                <w:bCs w:val="0"/>
                <w:color w:val="auto"/>
                <w:sz w:val="21"/>
                <w:szCs w:val="21"/>
                <w:highlight w:val="none"/>
              </w:rPr>
              <w:t>时间及地点</w:t>
            </w:r>
          </w:p>
        </w:tc>
        <w:tc>
          <w:tcPr>
            <w:tcW w:w="7393" w:type="dxa"/>
            <w:vAlign w:val="center"/>
          </w:tcPr>
          <w:p w14:paraId="1DEF7F35">
            <w:pPr>
              <w:keepNext w:val="0"/>
              <w:keepLines w:val="0"/>
              <w:pageBreakBefore w:val="0"/>
              <w:shd w:val="clear" w:color="auto" w:fill="auto"/>
              <w:kinsoku/>
              <w:wordWrap/>
              <w:overflowPunct/>
              <w:topLinePunct w:val="0"/>
              <w:autoSpaceDE/>
              <w:autoSpaceDN/>
              <w:bidi w:val="0"/>
              <w:adjustRightInd/>
              <w:snapToGrid w:val="0"/>
              <w:spacing w:line="360" w:lineRule="auto"/>
              <w:ind w:firstLine="18" w:firstLineChars="9"/>
              <w:textAlignment w:val="auto"/>
              <w:outlineLvl w:val="9"/>
              <w:rPr>
                <w:rFonts w:hint="eastAsia"/>
                <w:b w:val="0"/>
                <w:bCs/>
                <w:color w:val="auto"/>
                <w:sz w:val="21"/>
                <w:szCs w:val="21"/>
                <w:highlight w:val="none"/>
              </w:rPr>
            </w:pPr>
            <w:r>
              <w:rPr>
                <w:rFonts w:hint="eastAsia" w:ascii="Times New Roman" w:hAnsi="Times New Roman" w:cs="Times New Roman"/>
                <w:b w:val="0"/>
                <w:bCs/>
                <w:color w:val="auto"/>
                <w:sz w:val="21"/>
                <w:szCs w:val="21"/>
                <w:highlight w:val="none"/>
                <w:lang w:eastAsia="zh-CN"/>
              </w:rPr>
              <w:t>投标截止</w:t>
            </w:r>
            <w:r>
              <w:rPr>
                <w:rFonts w:hint="eastAsia" w:ascii="Times New Roman" w:hAnsi="Times New Roman" w:cs="Times New Roman"/>
                <w:b w:val="0"/>
                <w:bCs/>
                <w:color w:val="auto"/>
                <w:sz w:val="21"/>
                <w:szCs w:val="21"/>
                <w:highlight w:val="none"/>
              </w:rPr>
              <w:t>时间：</w:t>
            </w:r>
            <w:r>
              <w:rPr>
                <w:rFonts w:hint="eastAsia" w:ascii="新宋体" w:hAnsi="新宋体" w:eastAsia="新宋体" w:cs="新宋体"/>
                <w:color w:val="auto"/>
                <w:kern w:val="0"/>
                <w:sz w:val="21"/>
                <w:szCs w:val="21"/>
                <w:highlight w:val="none"/>
                <w:u w:val="none"/>
                <w:lang w:val="en-US" w:eastAsia="zh-CN" w:bidi="ar"/>
              </w:rPr>
              <w:t>2026年10月8日</w:t>
            </w:r>
            <w:r>
              <w:rPr>
                <w:rFonts w:hint="eastAsia"/>
                <w:b w:val="0"/>
                <w:bCs/>
                <w:color w:val="auto"/>
                <w:sz w:val="21"/>
                <w:szCs w:val="21"/>
                <w:highlight w:val="none"/>
                <w:lang w:val="en-US" w:eastAsia="zh-CN"/>
              </w:rPr>
              <w:t>10</w:t>
            </w:r>
            <w:r>
              <w:rPr>
                <w:rFonts w:hint="eastAsia"/>
                <w:b w:val="0"/>
                <w:bCs/>
                <w:color w:val="auto"/>
                <w:sz w:val="21"/>
                <w:szCs w:val="21"/>
                <w:highlight w:val="none"/>
              </w:rPr>
              <w:t>时</w:t>
            </w:r>
            <w:r>
              <w:rPr>
                <w:rFonts w:hint="eastAsia"/>
                <w:b w:val="0"/>
                <w:bCs/>
                <w:color w:val="auto"/>
                <w:sz w:val="21"/>
                <w:szCs w:val="21"/>
                <w:highlight w:val="none"/>
                <w:lang w:val="en-US" w:eastAsia="zh-CN"/>
              </w:rPr>
              <w:t>15</w:t>
            </w:r>
            <w:r>
              <w:rPr>
                <w:rFonts w:hint="eastAsia"/>
                <w:b w:val="0"/>
                <w:bCs/>
                <w:color w:val="auto"/>
                <w:sz w:val="21"/>
                <w:szCs w:val="21"/>
                <w:highlight w:val="none"/>
              </w:rPr>
              <w:t>分（北京时间）</w:t>
            </w:r>
          </w:p>
          <w:p w14:paraId="142F0CE2">
            <w:pPr>
              <w:keepNext w:val="0"/>
              <w:keepLines w:val="0"/>
              <w:pageBreakBefore w:val="0"/>
              <w:shd w:val="clear" w:color="auto" w:fill="auto"/>
              <w:kinsoku/>
              <w:wordWrap/>
              <w:overflowPunct/>
              <w:topLinePunct w:val="0"/>
              <w:autoSpaceDE/>
              <w:autoSpaceDN/>
              <w:bidi w:val="0"/>
              <w:adjustRightInd/>
              <w:snapToGrid w:val="0"/>
              <w:spacing w:line="360" w:lineRule="auto"/>
              <w:ind w:firstLine="18" w:firstLineChars="9"/>
              <w:textAlignment w:val="auto"/>
              <w:outlineLvl w:val="9"/>
              <w:rPr>
                <w:rFonts w:hint="eastAsia"/>
                <w:b w:val="0"/>
                <w:bCs/>
                <w:color w:val="auto"/>
                <w:sz w:val="21"/>
                <w:szCs w:val="21"/>
                <w:highlight w:val="none"/>
              </w:rPr>
            </w:pPr>
            <w:r>
              <w:rPr>
                <w:rFonts w:hint="eastAsia"/>
                <w:b w:val="0"/>
                <w:bCs/>
                <w:color w:val="auto"/>
                <w:sz w:val="21"/>
                <w:szCs w:val="21"/>
                <w:highlight w:val="none"/>
                <w:lang w:eastAsia="zh-CN"/>
              </w:rPr>
              <w:t>投标</w:t>
            </w:r>
            <w:r>
              <w:rPr>
                <w:rFonts w:hint="eastAsia"/>
                <w:b w:val="0"/>
                <w:bCs/>
                <w:color w:val="auto"/>
                <w:sz w:val="21"/>
                <w:szCs w:val="21"/>
                <w:highlight w:val="none"/>
              </w:rPr>
              <w:t>地点：</w:t>
            </w:r>
            <w:r>
              <w:rPr>
                <w:rFonts w:hint="eastAsia"/>
                <w:b/>
                <w:bCs/>
                <w:color w:val="auto"/>
                <w:szCs w:val="21"/>
                <w:highlight w:val="none"/>
                <w:lang w:val="en-US" w:eastAsia="zh-CN"/>
              </w:rPr>
              <w:t>请登录政采云投标客户端投标</w:t>
            </w:r>
          </w:p>
        </w:tc>
      </w:tr>
      <w:tr w14:paraId="600409C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57" w:hRule="atLeast"/>
          <w:jc w:val="center"/>
        </w:trPr>
        <w:tc>
          <w:tcPr>
            <w:tcW w:w="1012" w:type="dxa"/>
            <w:vAlign w:val="center"/>
          </w:tcPr>
          <w:p w14:paraId="5FEB03F5">
            <w:pPr>
              <w:pStyle w:val="13"/>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5" w:rightChars="-45"/>
              <w:jc w:val="center"/>
              <w:textAlignment w:val="auto"/>
              <w:outlineLvl w:val="9"/>
              <w:rPr>
                <w:rFonts w:hint="default" w:ascii="宋体" w:hAnsi="Times New Roman" w:eastAsia="宋体" w:cs="Times New Roman"/>
                <w:b/>
                <w:bCs w:val="0"/>
                <w:color w:val="auto"/>
                <w:kern w:val="2"/>
                <w:sz w:val="21"/>
                <w:szCs w:val="21"/>
                <w:highlight w:val="none"/>
                <w:u w:val="none" w:color="000000"/>
                <w:lang w:val="en-US" w:eastAsia="zh-CN" w:bidi="ar-SA"/>
              </w:rPr>
            </w:pPr>
            <w:r>
              <w:rPr>
                <w:rFonts w:hint="eastAsia"/>
                <w:b/>
                <w:bCs w:val="0"/>
                <w:color w:val="auto"/>
                <w:sz w:val="21"/>
                <w:szCs w:val="21"/>
                <w:highlight w:val="none"/>
                <w:lang w:val="en-US" w:eastAsia="zh-CN"/>
              </w:rPr>
              <w:t>26</w:t>
            </w:r>
          </w:p>
        </w:tc>
        <w:tc>
          <w:tcPr>
            <w:tcW w:w="1536" w:type="dxa"/>
            <w:vAlign w:val="center"/>
          </w:tcPr>
          <w:p w14:paraId="5C3C470A">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b/>
                <w:bCs w:val="0"/>
                <w:color w:val="auto"/>
                <w:sz w:val="21"/>
                <w:szCs w:val="21"/>
                <w:highlight w:val="none"/>
              </w:rPr>
            </w:pPr>
            <w:r>
              <w:rPr>
                <w:rFonts w:hint="eastAsia" w:ascii="宋体"/>
                <w:b/>
                <w:bCs w:val="0"/>
                <w:color w:val="auto"/>
                <w:sz w:val="21"/>
                <w:szCs w:val="21"/>
                <w:highlight w:val="none"/>
              </w:rPr>
              <w:t>开标时间及地点</w:t>
            </w:r>
          </w:p>
        </w:tc>
        <w:tc>
          <w:tcPr>
            <w:tcW w:w="7393" w:type="dxa"/>
            <w:vAlign w:val="center"/>
          </w:tcPr>
          <w:p w14:paraId="2148B1EC">
            <w:pPr>
              <w:keepNext w:val="0"/>
              <w:keepLines w:val="0"/>
              <w:pageBreakBefore w:val="0"/>
              <w:shd w:val="clear" w:color="auto" w:fill="auto"/>
              <w:kinsoku/>
              <w:wordWrap/>
              <w:overflowPunct/>
              <w:topLinePunct w:val="0"/>
              <w:autoSpaceDE/>
              <w:autoSpaceDN/>
              <w:bidi w:val="0"/>
              <w:adjustRightInd/>
              <w:snapToGrid w:val="0"/>
              <w:spacing w:line="360" w:lineRule="auto"/>
              <w:ind w:firstLine="18" w:firstLineChars="9"/>
              <w:textAlignment w:val="auto"/>
              <w:outlineLvl w:val="9"/>
              <w:rPr>
                <w:rFonts w:hint="eastAsia"/>
                <w:b w:val="0"/>
                <w:bCs/>
                <w:color w:val="auto"/>
                <w:sz w:val="21"/>
                <w:szCs w:val="21"/>
                <w:highlight w:val="none"/>
              </w:rPr>
            </w:pPr>
            <w:r>
              <w:rPr>
                <w:rFonts w:hint="eastAsia"/>
                <w:b w:val="0"/>
                <w:bCs/>
                <w:color w:val="auto"/>
                <w:sz w:val="21"/>
                <w:szCs w:val="21"/>
                <w:highlight w:val="none"/>
              </w:rPr>
              <w:t>开标时间：</w:t>
            </w:r>
            <w:r>
              <w:rPr>
                <w:rFonts w:hint="eastAsia" w:ascii="新宋体" w:hAnsi="新宋体" w:eastAsia="新宋体" w:cs="新宋体"/>
                <w:color w:val="auto"/>
                <w:kern w:val="0"/>
                <w:sz w:val="21"/>
                <w:szCs w:val="21"/>
                <w:highlight w:val="none"/>
                <w:u w:val="none"/>
                <w:lang w:val="en-US" w:eastAsia="zh-CN" w:bidi="ar"/>
              </w:rPr>
              <w:t>2026年10月8日</w:t>
            </w:r>
            <w:r>
              <w:rPr>
                <w:rFonts w:hint="eastAsia"/>
                <w:b w:val="0"/>
                <w:bCs/>
                <w:color w:val="auto"/>
                <w:sz w:val="21"/>
                <w:szCs w:val="21"/>
                <w:highlight w:val="none"/>
                <w:lang w:val="en-US" w:eastAsia="zh-CN"/>
              </w:rPr>
              <w:t>10</w:t>
            </w:r>
            <w:r>
              <w:rPr>
                <w:rFonts w:hint="eastAsia"/>
                <w:b w:val="0"/>
                <w:bCs/>
                <w:color w:val="auto"/>
                <w:sz w:val="21"/>
                <w:szCs w:val="21"/>
                <w:highlight w:val="none"/>
              </w:rPr>
              <w:t>时</w:t>
            </w:r>
            <w:r>
              <w:rPr>
                <w:rFonts w:hint="eastAsia"/>
                <w:b w:val="0"/>
                <w:bCs/>
                <w:color w:val="auto"/>
                <w:sz w:val="21"/>
                <w:szCs w:val="21"/>
                <w:highlight w:val="none"/>
                <w:lang w:val="en-US" w:eastAsia="zh-CN"/>
              </w:rPr>
              <w:t>15</w:t>
            </w:r>
            <w:r>
              <w:rPr>
                <w:rFonts w:hint="eastAsia"/>
                <w:b w:val="0"/>
                <w:bCs/>
                <w:color w:val="auto"/>
                <w:sz w:val="21"/>
                <w:szCs w:val="21"/>
                <w:highlight w:val="none"/>
              </w:rPr>
              <w:t>分（北京时间）</w:t>
            </w:r>
          </w:p>
          <w:p w14:paraId="631E1747">
            <w:pPr>
              <w:keepNext w:val="0"/>
              <w:keepLines w:val="0"/>
              <w:pageBreakBefore w:val="0"/>
              <w:shd w:val="clear" w:color="auto" w:fill="auto"/>
              <w:kinsoku/>
              <w:wordWrap/>
              <w:overflowPunct/>
              <w:topLinePunct w:val="0"/>
              <w:autoSpaceDE/>
              <w:autoSpaceDN/>
              <w:bidi w:val="0"/>
              <w:adjustRightInd/>
              <w:snapToGrid w:val="0"/>
              <w:spacing w:line="360" w:lineRule="auto"/>
              <w:ind w:firstLine="18" w:firstLineChars="9"/>
              <w:textAlignment w:val="auto"/>
              <w:outlineLvl w:val="9"/>
              <w:rPr>
                <w:rFonts w:hint="eastAsia"/>
                <w:b w:val="0"/>
                <w:bCs/>
                <w:color w:val="auto"/>
                <w:sz w:val="21"/>
                <w:szCs w:val="21"/>
                <w:highlight w:val="none"/>
              </w:rPr>
            </w:pPr>
            <w:r>
              <w:rPr>
                <w:rFonts w:hint="eastAsia"/>
                <w:b w:val="0"/>
                <w:bCs/>
                <w:color w:val="auto"/>
                <w:sz w:val="21"/>
                <w:szCs w:val="21"/>
                <w:highlight w:val="none"/>
              </w:rPr>
              <w:t>开标地点：</w:t>
            </w:r>
            <w:r>
              <w:rPr>
                <w:rFonts w:hint="eastAsia"/>
                <w:b/>
                <w:bCs/>
                <w:color w:val="auto"/>
                <w:szCs w:val="21"/>
                <w:highlight w:val="none"/>
              </w:rPr>
              <w:t>投标人登录政采云平台https://www.zcygov.cn/，进入“项目采购-开标评标-右边选择对应项目点击“进入项目”进入开标大厅。</w:t>
            </w:r>
          </w:p>
        </w:tc>
      </w:tr>
      <w:tr w14:paraId="477E747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10" w:hRule="atLeast"/>
          <w:jc w:val="center"/>
        </w:trPr>
        <w:tc>
          <w:tcPr>
            <w:tcW w:w="1012" w:type="dxa"/>
            <w:vAlign w:val="center"/>
          </w:tcPr>
          <w:p w14:paraId="65097B48">
            <w:pPr>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5" w:rightChars="-45"/>
              <w:jc w:val="center"/>
              <w:textAlignment w:val="auto"/>
              <w:outlineLvl w:val="9"/>
              <w:rPr>
                <w:rFonts w:hint="default" w:ascii="Times New Roman" w:hAnsi="Times New Roman" w:eastAsia="宋体" w:cs="Times New Roman"/>
                <w:b/>
                <w:bCs w:val="0"/>
                <w:color w:val="auto"/>
                <w:kern w:val="2"/>
                <w:sz w:val="21"/>
                <w:szCs w:val="21"/>
                <w:highlight w:val="none"/>
                <w:lang w:val="en-US" w:eastAsia="zh-CN" w:bidi="ar-SA"/>
              </w:rPr>
            </w:pPr>
            <w:r>
              <w:rPr>
                <w:rFonts w:hint="eastAsia" w:ascii="宋体" w:cs="宋体"/>
                <w:b/>
                <w:bCs w:val="0"/>
                <w:color w:val="auto"/>
                <w:sz w:val="21"/>
                <w:szCs w:val="21"/>
                <w:highlight w:val="none"/>
                <w:lang w:val="en-US" w:eastAsia="zh-CN"/>
              </w:rPr>
              <w:t>27</w:t>
            </w:r>
          </w:p>
        </w:tc>
        <w:tc>
          <w:tcPr>
            <w:tcW w:w="1536" w:type="dxa"/>
            <w:vAlign w:val="center"/>
          </w:tcPr>
          <w:p w14:paraId="14B67D4C">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评标委员会的组建</w:t>
            </w:r>
          </w:p>
        </w:tc>
        <w:tc>
          <w:tcPr>
            <w:tcW w:w="7393" w:type="dxa"/>
            <w:vAlign w:val="top"/>
          </w:tcPr>
          <w:p w14:paraId="5DB33EDB">
            <w:pPr>
              <w:pStyle w:val="13"/>
              <w:keepNext w:val="0"/>
              <w:keepLines w:val="0"/>
              <w:pageBreakBefore w:val="0"/>
              <w:widowControl w:val="0"/>
              <w:shd w:val="clear" w:color="auto" w:fill="auto"/>
              <w:kinsoku/>
              <w:wordWrap/>
              <w:overflowPunct/>
              <w:topLinePunct w:val="0"/>
              <w:autoSpaceDE/>
              <w:autoSpaceDN/>
              <w:bidi w:val="0"/>
              <w:adjustRightInd/>
              <w:snapToGrid w:val="0"/>
              <w:spacing w:line="300" w:lineRule="exact"/>
              <w:textAlignment w:val="auto"/>
              <w:outlineLvl w:val="9"/>
              <w:rPr>
                <w:rFonts w:hint="eastAsia"/>
                <w:b w:val="0"/>
                <w:bCs/>
                <w:color w:val="auto"/>
                <w:sz w:val="21"/>
                <w:szCs w:val="21"/>
                <w:highlight w:val="none"/>
                <w:lang w:val="en-US" w:eastAsia="zh-CN"/>
              </w:rPr>
            </w:pPr>
            <w:r>
              <w:rPr>
                <w:rFonts w:hint="eastAsia"/>
                <w:b w:val="0"/>
                <w:bCs/>
                <w:color w:val="auto"/>
                <w:sz w:val="21"/>
                <w:szCs w:val="21"/>
                <w:highlight w:val="none"/>
                <w:lang w:val="en-US" w:eastAsia="zh-CN"/>
              </w:rPr>
              <w:t>评标委员会由招标人依法组建；采购人代表1人，评审专家4人，共5人。</w:t>
            </w:r>
          </w:p>
          <w:p w14:paraId="2E62F612">
            <w:pPr>
              <w:pStyle w:val="13"/>
              <w:keepNext w:val="0"/>
              <w:keepLines w:val="0"/>
              <w:pageBreakBefore w:val="0"/>
              <w:widowControl w:val="0"/>
              <w:shd w:val="clear" w:color="auto" w:fill="auto"/>
              <w:kinsoku/>
              <w:wordWrap/>
              <w:overflowPunct/>
              <w:topLinePunct w:val="0"/>
              <w:autoSpaceDE/>
              <w:autoSpaceDN/>
              <w:bidi w:val="0"/>
              <w:adjustRightInd/>
              <w:snapToGrid w:val="0"/>
              <w:spacing w:line="300" w:lineRule="exact"/>
              <w:textAlignment w:val="auto"/>
              <w:outlineLvl w:val="9"/>
              <w:rPr>
                <w:rFonts w:hint="eastAsia"/>
                <w:b w:val="0"/>
                <w:bCs/>
                <w:color w:val="auto"/>
                <w:sz w:val="21"/>
                <w:szCs w:val="21"/>
                <w:highlight w:val="none"/>
                <w:lang w:val="en-US" w:eastAsia="zh-CN"/>
              </w:rPr>
            </w:pPr>
            <w:r>
              <w:rPr>
                <w:rFonts w:hint="eastAsia"/>
                <w:b w:val="0"/>
                <w:bCs/>
                <w:color w:val="auto"/>
                <w:sz w:val="21"/>
                <w:szCs w:val="21"/>
                <w:highlight w:val="none"/>
                <w:lang w:val="en-US" w:eastAsia="zh-CN"/>
              </w:rPr>
              <w:t>评标专家确定方式：专家评委在开标前48小时内从政采云专家库中随机抽取。</w:t>
            </w:r>
          </w:p>
        </w:tc>
      </w:tr>
      <w:tr w14:paraId="731F4F4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1012" w:type="dxa"/>
            <w:vAlign w:val="center"/>
          </w:tcPr>
          <w:p w14:paraId="3A3CCB6B">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Times New Roman" w:eastAsia="宋体" w:cs="宋体"/>
                <w:b/>
                <w:bCs w:val="0"/>
                <w:color w:val="auto"/>
                <w:kern w:val="2"/>
                <w:sz w:val="21"/>
                <w:szCs w:val="21"/>
                <w:highlight w:val="none"/>
                <w:lang w:val="en-US" w:eastAsia="zh-CN" w:bidi="ar-SA"/>
              </w:rPr>
            </w:pPr>
            <w:r>
              <w:rPr>
                <w:rFonts w:hint="eastAsia" w:ascii="宋体" w:cs="宋体"/>
                <w:b/>
                <w:bCs w:val="0"/>
                <w:color w:val="auto"/>
                <w:sz w:val="21"/>
                <w:szCs w:val="21"/>
                <w:highlight w:val="none"/>
                <w:lang w:val="en-US" w:eastAsia="zh-CN"/>
              </w:rPr>
              <w:t>28</w:t>
            </w:r>
          </w:p>
        </w:tc>
        <w:tc>
          <w:tcPr>
            <w:tcW w:w="1536" w:type="dxa"/>
            <w:vAlign w:val="center"/>
          </w:tcPr>
          <w:p w14:paraId="765987B1">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是否授权评标委员会确定中标候选人</w:t>
            </w:r>
          </w:p>
        </w:tc>
        <w:tc>
          <w:tcPr>
            <w:tcW w:w="7393" w:type="dxa"/>
            <w:vAlign w:val="center"/>
          </w:tcPr>
          <w:p w14:paraId="71F03F4F">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b w:val="0"/>
                <w:bCs/>
                <w:color w:val="auto"/>
                <w:sz w:val="21"/>
                <w:szCs w:val="21"/>
                <w:highlight w:val="none"/>
                <w:lang w:val="en-US" w:eastAsia="zh-CN"/>
              </w:rPr>
            </w:pPr>
            <w:r>
              <w:rPr>
                <w:rFonts w:hint="eastAsia" w:hAnsi="宋体"/>
                <w:b w:val="0"/>
                <w:bCs/>
                <w:color w:val="auto"/>
                <w:sz w:val="21"/>
                <w:szCs w:val="21"/>
                <w:highlight w:val="none"/>
                <w:lang w:val="en-US" w:eastAsia="zh-CN"/>
              </w:rPr>
              <w:t>是。</w:t>
            </w:r>
          </w:p>
        </w:tc>
      </w:tr>
      <w:tr w14:paraId="761DF41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1012" w:type="dxa"/>
            <w:vAlign w:val="center"/>
          </w:tcPr>
          <w:p w14:paraId="118F2815">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宋体" w:eastAsia="宋体" w:cs="宋体"/>
                <w:b/>
                <w:bCs w:val="0"/>
                <w:color w:val="auto"/>
                <w:kern w:val="2"/>
                <w:sz w:val="21"/>
                <w:szCs w:val="21"/>
                <w:highlight w:val="none"/>
                <w:lang w:val="en-US" w:eastAsia="zh-CN" w:bidi="ar-SA"/>
              </w:rPr>
            </w:pPr>
            <w:r>
              <w:rPr>
                <w:rFonts w:hint="eastAsia" w:ascii="宋体" w:hAnsi="宋体" w:cs="宋体"/>
                <w:b/>
                <w:bCs w:val="0"/>
                <w:color w:val="auto"/>
                <w:sz w:val="21"/>
                <w:szCs w:val="21"/>
                <w:highlight w:val="none"/>
                <w:lang w:val="en-US" w:eastAsia="zh-CN"/>
              </w:rPr>
              <w:t>29</w:t>
            </w:r>
          </w:p>
        </w:tc>
        <w:tc>
          <w:tcPr>
            <w:tcW w:w="1536" w:type="dxa"/>
            <w:vAlign w:val="center"/>
          </w:tcPr>
          <w:p w14:paraId="31075E5F">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lang w:val="en-US" w:eastAsia="zh-CN"/>
              </w:rPr>
            </w:pPr>
            <w:r>
              <w:rPr>
                <w:rFonts w:hint="eastAsia"/>
                <w:b/>
                <w:bCs w:val="0"/>
                <w:color w:val="auto"/>
                <w:sz w:val="21"/>
                <w:szCs w:val="21"/>
                <w:highlight w:val="none"/>
                <w:lang w:val="en-US" w:eastAsia="zh-CN"/>
              </w:rPr>
              <w:t>中标候选人公示媒介</w:t>
            </w:r>
          </w:p>
        </w:tc>
        <w:tc>
          <w:tcPr>
            <w:tcW w:w="7393" w:type="dxa"/>
            <w:vAlign w:val="center"/>
          </w:tcPr>
          <w:p w14:paraId="5710CE80">
            <w:pPr>
              <w:pStyle w:val="13"/>
              <w:keepNext w:val="0"/>
              <w:keepLines w:val="0"/>
              <w:pageBreakBefore w:val="0"/>
              <w:shd w:val="clear" w:color="auto" w:fill="auto"/>
              <w:kinsoku/>
              <w:wordWrap/>
              <w:overflowPunct/>
              <w:topLinePunct w:val="0"/>
              <w:autoSpaceDE/>
              <w:autoSpaceDN/>
              <w:bidi w:val="0"/>
              <w:adjustRightInd/>
              <w:snapToGrid w:val="0"/>
              <w:spacing w:line="290" w:lineRule="exact"/>
              <w:jc w:val="both"/>
              <w:textAlignment w:val="auto"/>
              <w:outlineLvl w:val="9"/>
              <w:rPr>
                <w:rFonts w:hint="eastAsia"/>
                <w:b w:val="0"/>
                <w:bCs/>
                <w:color w:val="auto"/>
                <w:sz w:val="21"/>
                <w:szCs w:val="21"/>
                <w:highlight w:val="none"/>
                <w:lang w:val="en-US" w:eastAsia="zh-CN"/>
              </w:rPr>
            </w:pPr>
            <w:r>
              <w:rPr>
                <w:rFonts w:hint="eastAsia" w:ascii="Times New Roman" w:hAnsi="Times New Roman" w:eastAsia="宋体" w:cs="Times New Roman"/>
                <w:b w:val="0"/>
                <w:bCs/>
                <w:color w:val="auto"/>
                <w:kern w:val="2"/>
                <w:sz w:val="21"/>
                <w:szCs w:val="21"/>
                <w:highlight w:val="none"/>
                <w:u w:val="none"/>
                <w:lang w:val="en-US" w:eastAsia="zh-CN" w:bidi="ar-SA"/>
              </w:rPr>
              <w:t>新疆政府采购网</w:t>
            </w:r>
            <w:r>
              <w:rPr>
                <w:rFonts w:hint="eastAsia" w:ascii="Times New Roman" w:hAnsi="Times New Roman" w:cs="Times New Roman"/>
                <w:b w:val="0"/>
                <w:bCs/>
                <w:color w:val="auto"/>
                <w:kern w:val="2"/>
                <w:sz w:val="21"/>
                <w:szCs w:val="21"/>
                <w:highlight w:val="none"/>
                <w:u w:val="none"/>
                <w:lang w:val="en-US" w:eastAsia="zh-CN" w:bidi="ar-SA"/>
              </w:rPr>
              <w:t>、</w:t>
            </w:r>
            <w:r>
              <w:rPr>
                <w:rFonts w:hint="eastAsia" w:ascii="Times New Roman" w:hAnsi="Times New Roman" w:eastAsia="宋体" w:cs="Times New Roman"/>
                <w:b w:val="0"/>
                <w:bCs/>
                <w:color w:val="auto"/>
                <w:kern w:val="2"/>
                <w:sz w:val="21"/>
                <w:szCs w:val="21"/>
                <w:highlight w:val="none"/>
                <w:u w:val="none"/>
                <w:lang w:val="en-US" w:eastAsia="zh-CN" w:bidi="ar-SA"/>
              </w:rPr>
              <w:t>克州公共资源交易网，公示期为一个工作日。</w:t>
            </w:r>
          </w:p>
        </w:tc>
      </w:tr>
      <w:tr w14:paraId="01E0812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12" w:type="dxa"/>
            <w:vAlign w:val="center"/>
          </w:tcPr>
          <w:p w14:paraId="270DFBCD">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宋体" w:eastAsia="宋体" w:cs="Times New Roman"/>
                <w:b/>
                <w:bCs w:val="0"/>
                <w:color w:val="auto"/>
                <w:kern w:val="2"/>
                <w:sz w:val="21"/>
                <w:szCs w:val="21"/>
                <w:highlight w:val="none"/>
                <w:lang w:val="en-US" w:eastAsia="zh-CN" w:bidi="ar-SA"/>
              </w:rPr>
            </w:pPr>
            <w:r>
              <w:rPr>
                <w:rFonts w:hint="eastAsia" w:ascii="宋体" w:hAnsi="宋体"/>
                <w:b/>
                <w:bCs w:val="0"/>
                <w:color w:val="auto"/>
                <w:sz w:val="21"/>
                <w:szCs w:val="21"/>
                <w:highlight w:val="none"/>
                <w:lang w:val="en-US" w:eastAsia="zh-CN"/>
              </w:rPr>
              <w:t>30</w:t>
            </w:r>
          </w:p>
        </w:tc>
        <w:tc>
          <w:tcPr>
            <w:tcW w:w="1536" w:type="dxa"/>
            <w:vAlign w:val="center"/>
          </w:tcPr>
          <w:p w14:paraId="73473EED">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b/>
                <w:bCs w:val="0"/>
                <w:color w:val="auto"/>
                <w:sz w:val="21"/>
                <w:szCs w:val="21"/>
                <w:highlight w:val="none"/>
              </w:rPr>
            </w:pPr>
            <w:r>
              <w:rPr>
                <w:rFonts w:hint="eastAsia" w:ascii="宋体"/>
                <w:b/>
                <w:bCs w:val="0"/>
                <w:color w:val="auto"/>
                <w:sz w:val="21"/>
                <w:szCs w:val="21"/>
                <w:highlight w:val="none"/>
              </w:rPr>
              <w:t>履约担保</w:t>
            </w:r>
          </w:p>
        </w:tc>
        <w:tc>
          <w:tcPr>
            <w:tcW w:w="7393" w:type="dxa"/>
            <w:vAlign w:val="top"/>
          </w:tcPr>
          <w:p w14:paraId="0874F266">
            <w:pPr>
              <w:pStyle w:val="13"/>
              <w:keepNext w:val="0"/>
              <w:keepLines w:val="0"/>
              <w:pageBreakBefore w:val="0"/>
              <w:widowControl w:val="0"/>
              <w:shd w:val="clear" w:color="auto" w:fill="auto"/>
              <w:kinsoku/>
              <w:wordWrap/>
              <w:overflowPunct/>
              <w:topLinePunct w:val="0"/>
              <w:autoSpaceDE/>
              <w:autoSpaceDN/>
              <w:bidi w:val="0"/>
              <w:adjustRightInd/>
              <w:snapToGrid w:val="0"/>
              <w:spacing w:line="300" w:lineRule="exact"/>
              <w:textAlignment w:val="auto"/>
              <w:outlineLvl w:val="9"/>
              <w:rPr>
                <w:rFonts w:hint="eastAsia" w:ascii="宋体"/>
                <w:b w:val="0"/>
                <w:bCs/>
                <w:color w:val="auto"/>
                <w:szCs w:val="21"/>
                <w:highlight w:val="none"/>
                <w:lang w:val="en-US" w:eastAsia="zh-CN"/>
              </w:rPr>
            </w:pPr>
            <w:r>
              <w:rPr>
                <w:rFonts w:hint="eastAsia"/>
                <w:b w:val="0"/>
                <w:bCs/>
                <w:color w:val="auto"/>
                <w:highlight w:val="none"/>
                <w:lang w:val="en-US" w:eastAsia="zh-CN"/>
              </w:rPr>
              <w:t>中标供应商在合同签订后5个工作日内向采购人交纳中标价2%的履约保证金（本项目履约保证金接收保函形式；若以电汇、银行转账方式提交的，必须转到采购人的指定账户），如果中标供应商在建设期内没有涉及采购人的应付而未付金额或违约行为，采购人在项目验收合格后或提前终止合同后全额无息退还履约保证金。</w:t>
            </w:r>
          </w:p>
          <w:p w14:paraId="64729BAE">
            <w:pPr>
              <w:pStyle w:val="13"/>
              <w:keepNext w:val="0"/>
              <w:keepLines w:val="0"/>
              <w:pageBreakBefore w:val="0"/>
              <w:widowControl w:val="0"/>
              <w:shd w:val="clear" w:color="auto" w:fill="auto"/>
              <w:kinsoku/>
              <w:wordWrap/>
              <w:overflowPunct/>
              <w:topLinePunct w:val="0"/>
              <w:autoSpaceDE/>
              <w:autoSpaceDN/>
              <w:bidi w:val="0"/>
              <w:adjustRightInd/>
              <w:snapToGrid w:val="0"/>
              <w:spacing w:line="300" w:lineRule="exact"/>
              <w:textAlignment w:val="auto"/>
              <w:outlineLvl w:val="9"/>
              <w:rPr>
                <w:rFonts w:hint="eastAsia"/>
                <w:b w:val="0"/>
                <w:bCs/>
                <w:color w:val="auto"/>
                <w:highlight w:val="none"/>
                <w:lang w:val="en-US" w:eastAsia="zh-CN"/>
              </w:rPr>
            </w:pPr>
            <w:r>
              <w:rPr>
                <w:rFonts w:hint="eastAsia"/>
                <w:b w:val="0"/>
                <w:bCs/>
                <w:color w:val="auto"/>
                <w:highlight w:val="none"/>
                <w:lang w:val="en-US" w:eastAsia="zh-CN"/>
              </w:rPr>
              <w:t>2、签订合同后，如中标供应商不按合同约定履约的，履约保证金不予退还，履约保证金不足以赔偿损失的，按实际损失赔偿。</w:t>
            </w:r>
          </w:p>
          <w:p w14:paraId="771AE888">
            <w:pPr>
              <w:pStyle w:val="13"/>
              <w:keepNext w:val="0"/>
              <w:keepLines w:val="0"/>
              <w:pageBreakBefore w:val="0"/>
              <w:widowControl w:val="0"/>
              <w:shd w:val="clear" w:color="auto" w:fill="auto"/>
              <w:kinsoku/>
              <w:wordWrap/>
              <w:overflowPunct/>
              <w:topLinePunct w:val="0"/>
              <w:autoSpaceDE/>
              <w:autoSpaceDN/>
              <w:bidi w:val="0"/>
              <w:adjustRightInd/>
              <w:snapToGrid w:val="0"/>
              <w:spacing w:line="300" w:lineRule="exact"/>
              <w:textAlignment w:val="auto"/>
              <w:outlineLvl w:val="9"/>
              <w:rPr>
                <w:rFonts w:hint="eastAsia"/>
                <w:b w:val="0"/>
                <w:bCs/>
                <w:color w:val="auto"/>
                <w:highlight w:val="none"/>
                <w:lang w:val="en-US" w:eastAsia="zh-CN"/>
              </w:rPr>
            </w:pPr>
            <w:r>
              <w:rPr>
                <w:rFonts w:hint="eastAsia"/>
                <w:b w:val="0"/>
                <w:bCs/>
                <w:color w:val="auto"/>
                <w:highlight w:val="none"/>
                <w:lang w:val="en-US" w:eastAsia="zh-CN"/>
              </w:rPr>
              <w:t>3、如果中标供应商在供货期内没有涉及采购人的应付而未付金额或违约行为，采购人在项目验收合格后或提前终止合同后全额无息退还履约保证金。</w:t>
            </w:r>
          </w:p>
        </w:tc>
      </w:tr>
      <w:tr w14:paraId="2E29BFF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12" w:type="dxa"/>
            <w:vAlign w:val="center"/>
          </w:tcPr>
          <w:p w14:paraId="3A1102F2">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宋体"/>
                <w:b/>
                <w:bCs w:val="0"/>
                <w:color w:val="auto"/>
                <w:sz w:val="21"/>
                <w:szCs w:val="21"/>
                <w:highlight w:val="none"/>
                <w:lang w:val="en-US" w:eastAsia="zh-CN"/>
              </w:rPr>
            </w:pPr>
            <w:r>
              <w:rPr>
                <w:rFonts w:hint="eastAsia" w:ascii="宋体" w:hAnsi="宋体"/>
                <w:b/>
                <w:bCs w:val="0"/>
                <w:color w:val="auto"/>
                <w:sz w:val="21"/>
                <w:szCs w:val="21"/>
                <w:highlight w:val="none"/>
                <w:lang w:val="en-US" w:eastAsia="zh-CN"/>
              </w:rPr>
              <w:t>31</w:t>
            </w:r>
          </w:p>
        </w:tc>
        <w:tc>
          <w:tcPr>
            <w:tcW w:w="1536" w:type="dxa"/>
            <w:vAlign w:val="center"/>
          </w:tcPr>
          <w:p w14:paraId="60228085">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b/>
                <w:bCs w:val="0"/>
                <w:color w:val="auto"/>
                <w:sz w:val="21"/>
                <w:szCs w:val="21"/>
                <w:highlight w:val="none"/>
              </w:rPr>
            </w:pPr>
            <w:r>
              <w:rPr>
                <w:rFonts w:hint="eastAsia" w:asciiTheme="minorEastAsia" w:hAnsiTheme="minorEastAsia" w:eastAsiaTheme="minorEastAsia" w:cstheme="minorEastAsia"/>
                <w:color w:val="auto"/>
                <w:sz w:val="21"/>
                <w:szCs w:val="21"/>
                <w:highlight w:val="none"/>
                <w:lang w:val="zh-CN" w:eastAsia="zh-CN" w:bidi="en-US"/>
              </w:rPr>
              <w:t>是否有采购进口产品</w:t>
            </w:r>
          </w:p>
        </w:tc>
        <w:tc>
          <w:tcPr>
            <w:tcW w:w="7393" w:type="dxa"/>
            <w:vAlign w:val="center"/>
          </w:tcPr>
          <w:p w14:paraId="371B8EE5">
            <w:pPr>
              <w:pStyle w:val="97"/>
              <w:ind w:left="38"/>
              <w:jc w:val="left"/>
              <w:rPr>
                <w:rFonts w:hint="eastAsia" w:asciiTheme="minorEastAsia" w:hAnsiTheme="minorEastAsia" w:eastAsiaTheme="minorEastAsia" w:cstheme="minorEastAsia"/>
                <w:color w:val="auto"/>
                <w:sz w:val="21"/>
                <w:szCs w:val="21"/>
                <w:highlight w:val="none"/>
                <w:lang w:val="zh-CN" w:eastAsia="zh-CN" w:bidi="en-US"/>
              </w:rPr>
            </w:pPr>
            <w:r>
              <w:rPr>
                <w:rFonts w:hint="eastAsia" w:asciiTheme="minorEastAsia" w:hAnsiTheme="minorEastAsia" w:eastAsiaTheme="minorEastAsia" w:cstheme="minorEastAsia"/>
                <w:color w:val="auto"/>
                <w:sz w:val="21"/>
                <w:szCs w:val="21"/>
                <w:highlight w:val="none"/>
                <w:lang w:val="zh-CN" w:eastAsia="zh-CN" w:bidi="en-US"/>
              </w:rPr>
              <w:t>☑否</w:t>
            </w:r>
          </w:p>
          <w:p w14:paraId="7117F044">
            <w:pPr>
              <w:pStyle w:val="97"/>
              <w:ind w:left="38" w:leftChars="0"/>
              <w:jc w:val="left"/>
              <w:rPr>
                <w:rFonts w:hint="eastAsia"/>
                <w:b w:val="0"/>
                <w:bCs/>
                <w:color w:val="auto"/>
                <w:highlight w:val="none"/>
                <w:lang w:val="en-US" w:eastAsia="zh-CN"/>
              </w:rPr>
            </w:pPr>
            <w:r>
              <w:rPr>
                <w:rFonts w:hint="eastAsia" w:asciiTheme="minorEastAsia" w:hAnsiTheme="minorEastAsia" w:eastAsiaTheme="minorEastAsia" w:cstheme="minorEastAsia"/>
                <w:color w:val="auto"/>
                <w:sz w:val="21"/>
                <w:szCs w:val="21"/>
                <w:highlight w:val="none"/>
                <w:lang w:val="zh-CN" w:eastAsia="zh-CN" w:bidi="en-US"/>
              </w:rPr>
              <w:t>□是，不限制满足招标文件要求的国内产品参与投标竞争</w:t>
            </w:r>
          </w:p>
        </w:tc>
      </w:tr>
      <w:tr w14:paraId="5BED781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945" w:hRule="atLeast"/>
          <w:jc w:val="center"/>
        </w:trPr>
        <w:tc>
          <w:tcPr>
            <w:tcW w:w="1012" w:type="dxa"/>
            <w:vAlign w:val="center"/>
          </w:tcPr>
          <w:p w14:paraId="5FFC482C">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宋体" w:eastAsia="宋体" w:cs="Times New Roman"/>
                <w:b/>
                <w:bCs w:val="0"/>
                <w:color w:val="auto"/>
                <w:kern w:val="2"/>
                <w:sz w:val="21"/>
                <w:szCs w:val="21"/>
                <w:highlight w:val="none"/>
                <w:lang w:val="en-US" w:eastAsia="zh-CN" w:bidi="ar-SA"/>
              </w:rPr>
            </w:pPr>
            <w:r>
              <w:rPr>
                <w:rFonts w:hint="eastAsia" w:ascii="宋体" w:hAnsi="宋体"/>
                <w:b/>
                <w:bCs w:val="0"/>
                <w:color w:val="auto"/>
                <w:sz w:val="21"/>
                <w:szCs w:val="21"/>
                <w:highlight w:val="none"/>
                <w:lang w:val="en-US" w:eastAsia="zh-CN"/>
              </w:rPr>
              <w:t>32</w:t>
            </w:r>
          </w:p>
        </w:tc>
        <w:tc>
          <w:tcPr>
            <w:tcW w:w="1536" w:type="dxa"/>
            <w:vAlign w:val="center"/>
          </w:tcPr>
          <w:p w14:paraId="45936834">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cs="宋体"/>
                <w:b/>
                <w:bCs w:val="0"/>
                <w:color w:val="auto"/>
                <w:sz w:val="21"/>
                <w:szCs w:val="21"/>
                <w:highlight w:val="none"/>
                <w:lang w:eastAsia="zh-CN"/>
              </w:rPr>
            </w:pPr>
            <w:r>
              <w:rPr>
                <w:rFonts w:hint="eastAsia" w:ascii="宋体" w:hAnsi="宋体" w:cs="宋体"/>
                <w:b/>
                <w:bCs w:val="0"/>
                <w:color w:val="auto"/>
                <w:sz w:val="21"/>
                <w:szCs w:val="21"/>
                <w:highlight w:val="none"/>
                <w:lang w:eastAsia="zh-CN"/>
              </w:rPr>
              <w:t>招标</w:t>
            </w:r>
            <w:r>
              <w:rPr>
                <w:rFonts w:hint="eastAsia" w:ascii="宋体" w:hAnsi="宋体" w:cs="宋体"/>
                <w:b/>
                <w:bCs w:val="0"/>
                <w:color w:val="auto"/>
                <w:sz w:val="21"/>
                <w:szCs w:val="21"/>
                <w:highlight w:val="none"/>
              </w:rPr>
              <w:t>文件领取</w:t>
            </w:r>
          </w:p>
        </w:tc>
        <w:tc>
          <w:tcPr>
            <w:tcW w:w="7393" w:type="dxa"/>
            <w:vAlign w:val="top"/>
          </w:tcPr>
          <w:p w14:paraId="51D61AA6">
            <w:pPr>
              <w:keepNext w:val="0"/>
              <w:keepLines w:val="0"/>
              <w:pageBreakBefore w:val="0"/>
              <w:widowControl w:val="0"/>
              <w:shd w:val="clear" w:color="auto" w:fill="auto"/>
              <w:kinsoku/>
              <w:wordWrap/>
              <w:overflowPunct/>
              <w:topLinePunct w:val="0"/>
              <w:autoSpaceDE/>
              <w:autoSpaceDN/>
              <w:bidi w:val="0"/>
              <w:adjustRightInd/>
              <w:snapToGrid w:val="0"/>
              <w:spacing w:line="320" w:lineRule="exact"/>
              <w:textAlignment w:val="auto"/>
              <w:outlineLvl w:val="9"/>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时间：2026年9月14日至2026年9月20日，每天上午10:00至14:00，下午16:00至20:00（北京时间，法定节假日除外）</w:t>
            </w:r>
          </w:p>
          <w:p w14:paraId="6EEA48A7">
            <w:pPr>
              <w:keepNext w:val="0"/>
              <w:keepLines w:val="0"/>
              <w:pageBreakBefore w:val="0"/>
              <w:widowControl w:val="0"/>
              <w:shd w:val="clear" w:color="auto" w:fill="auto"/>
              <w:kinsoku/>
              <w:wordWrap/>
              <w:overflowPunct/>
              <w:topLinePunct w:val="0"/>
              <w:autoSpaceDE/>
              <w:autoSpaceDN/>
              <w:bidi w:val="0"/>
              <w:adjustRightInd/>
              <w:snapToGrid w:val="0"/>
              <w:spacing w:line="320" w:lineRule="exact"/>
              <w:textAlignment w:val="auto"/>
              <w:outlineLvl w:val="9"/>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地点：供应商登陆政采云平台http://www.zcygov.cn/，在线申请获取招标文件（登录政府采购云平台 → 项目采购 → 获取招标文件→申请，审核通过后可下载招标文件，如有操作性问题，可与政采云在线客服进行咨询，咨询电话：</w:t>
            </w:r>
            <w:r>
              <w:rPr>
                <w:rFonts w:hint="eastAsia" w:ascii="宋体" w:hAnsi="宋体" w:cs="宋体"/>
                <w:b w:val="0"/>
                <w:bCs/>
                <w:color w:val="auto"/>
                <w:sz w:val="21"/>
                <w:szCs w:val="21"/>
                <w:highlight w:val="none"/>
                <w:lang w:eastAsia="zh-CN"/>
              </w:rPr>
              <w:t>95763</w:t>
            </w:r>
            <w:r>
              <w:rPr>
                <w:rFonts w:hint="eastAsia" w:ascii="宋体" w:hAnsi="宋体" w:cs="宋体"/>
                <w:b w:val="0"/>
                <w:bCs/>
                <w:color w:val="auto"/>
                <w:sz w:val="21"/>
                <w:szCs w:val="21"/>
                <w:highlight w:val="none"/>
              </w:rPr>
              <w:t>）。</w:t>
            </w:r>
          </w:p>
          <w:p w14:paraId="48BC996D">
            <w:pPr>
              <w:keepNext w:val="0"/>
              <w:keepLines w:val="0"/>
              <w:pageBreakBefore w:val="0"/>
              <w:widowControl w:val="0"/>
              <w:shd w:val="clear" w:color="auto" w:fill="auto"/>
              <w:kinsoku/>
              <w:wordWrap/>
              <w:overflowPunct/>
              <w:topLinePunct w:val="0"/>
              <w:autoSpaceDE/>
              <w:autoSpaceDN/>
              <w:bidi w:val="0"/>
              <w:adjustRightInd/>
              <w:snapToGrid w:val="0"/>
              <w:spacing w:line="320" w:lineRule="exact"/>
              <w:textAlignment w:val="auto"/>
              <w:outlineLvl w:val="9"/>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方式：（1）线上获取（登录政府采购云平台 → 项目采购 → 获取招标文件→ 申请，审核通过后可下载招标文件）。本次招标不提供纸质版招标文件。</w:t>
            </w:r>
          </w:p>
          <w:p w14:paraId="500FA854">
            <w:pPr>
              <w:keepNext w:val="0"/>
              <w:keepLines w:val="0"/>
              <w:pageBreakBefore w:val="0"/>
              <w:widowControl w:val="0"/>
              <w:shd w:val="clear" w:color="auto" w:fill="auto"/>
              <w:kinsoku/>
              <w:wordWrap/>
              <w:overflowPunct/>
              <w:topLinePunct w:val="0"/>
              <w:autoSpaceDE/>
              <w:autoSpaceDN/>
              <w:bidi w:val="0"/>
              <w:adjustRightInd/>
              <w:snapToGrid w:val="0"/>
              <w:spacing w:line="320" w:lineRule="exact"/>
              <w:textAlignment w:val="auto"/>
              <w:outlineLvl w:val="9"/>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（2）供应商获取招标文件前应注册成为政府采购云平台正式供应商。</w:t>
            </w:r>
          </w:p>
        </w:tc>
      </w:tr>
      <w:tr w14:paraId="789F42F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76" w:hRule="atLeast"/>
          <w:jc w:val="center"/>
        </w:trPr>
        <w:tc>
          <w:tcPr>
            <w:tcW w:w="1012" w:type="dxa"/>
            <w:vAlign w:val="center"/>
          </w:tcPr>
          <w:p w14:paraId="3C606ACF">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宋体"/>
                <w:b/>
                <w:bCs w:val="0"/>
                <w:color w:val="auto"/>
                <w:sz w:val="21"/>
                <w:szCs w:val="21"/>
                <w:highlight w:val="none"/>
                <w:lang w:val="en-US" w:eastAsia="zh-CN"/>
              </w:rPr>
            </w:pPr>
            <w:r>
              <w:rPr>
                <w:rFonts w:hint="eastAsia" w:ascii="宋体" w:hAnsi="宋体"/>
                <w:b/>
                <w:bCs w:val="0"/>
                <w:color w:val="auto"/>
                <w:sz w:val="21"/>
                <w:szCs w:val="21"/>
                <w:highlight w:val="none"/>
                <w:lang w:val="en-US" w:eastAsia="zh-CN"/>
              </w:rPr>
              <w:t>33</w:t>
            </w:r>
          </w:p>
        </w:tc>
        <w:tc>
          <w:tcPr>
            <w:tcW w:w="1536" w:type="dxa"/>
            <w:vAlign w:val="center"/>
          </w:tcPr>
          <w:p w14:paraId="46AE282E">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b/>
                <w:bCs w:val="0"/>
                <w:color w:val="auto"/>
                <w:sz w:val="21"/>
                <w:szCs w:val="21"/>
                <w:highlight w:val="none"/>
                <w:lang w:eastAsia="zh-CN"/>
              </w:rPr>
            </w:pPr>
            <w:r>
              <w:rPr>
                <w:rFonts w:hint="eastAsia" w:ascii="宋体" w:hAnsi="宋体" w:eastAsia="宋体" w:cs="宋体"/>
                <w:b/>
                <w:bCs w:val="0"/>
                <w:color w:val="auto"/>
                <w:szCs w:val="21"/>
                <w:highlight w:val="none"/>
              </w:rPr>
              <w:t>中小微企业政策文件</w:t>
            </w:r>
          </w:p>
        </w:tc>
        <w:tc>
          <w:tcPr>
            <w:tcW w:w="7393" w:type="dxa"/>
            <w:vAlign w:val="top"/>
          </w:tcPr>
          <w:p w14:paraId="773BCFC9">
            <w:pPr>
              <w:keepNext w:val="0"/>
              <w:keepLines w:val="0"/>
              <w:pageBreakBefore w:val="0"/>
              <w:numPr>
                <w:ilvl w:val="0"/>
                <w:numId w:val="7"/>
              </w:numPr>
              <w:shd w:val="clear" w:color="auto" w:fill="auto"/>
              <w:kinsoku/>
              <w:wordWrap/>
              <w:overflowPunct/>
              <w:topLinePunct w:val="0"/>
              <w:autoSpaceDE/>
              <w:autoSpaceDN/>
              <w:bidi w:val="0"/>
              <w:adjustRightInd/>
              <w:snapToGrid w:val="0"/>
              <w:spacing w:line="360" w:lineRule="auto"/>
              <w:jc w:val="left"/>
              <w:textAlignment w:val="auto"/>
              <w:outlineLvl w:val="9"/>
              <w:rPr>
                <w:rFonts w:hint="eastAsia"/>
                <w:color w:val="auto"/>
                <w:highlight w:val="none"/>
              </w:rPr>
            </w:pPr>
            <w:r>
              <w:rPr>
                <w:rFonts w:hint="eastAsia" w:ascii="宋体" w:hAnsi="宋体" w:eastAsia="宋体" w:cs="宋体"/>
                <w:b w:val="0"/>
                <w:bCs/>
                <w:color w:val="auto"/>
                <w:sz w:val="21"/>
                <w:szCs w:val="21"/>
                <w:highlight w:val="none"/>
                <w:lang w:eastAsia="zh-CN"/>
              </w:rPr>
              <w:t>根据财政部、工业和信息化部关于印发《政府采购促进中小企业发展管理办法》的通知（财库[2020]46号）和</w:t>
            </w:r>
            <w:r>
              <w:rPr>
                <w:rFonts w:hint="eastAsia" w:ascii="宋体" w:hAnsi="宋体" w:eastAsia="宋体" w:cs="宋体"/>
                <w:b w:val="0"/>
                <w:bCs/>
                <w:color w:val="auto"/>
                <w:sz w:val="21"/>
                <w:szCs w:val="21"/>
                <w:highlight w:val="none"/>
                <w:lang w:val="en-US" w:eastAsia="zh-CN"/>
              </w:rPr>
              <w:t>关于进一步加大政府采购支持中小企业力度的通知-</w:t>
            </w:r>
            <w:r>
              <w:rPr>
                <w:rFonts w:hint="eastAsia" w:ascii="宋体" w:hAnsi="宋体" w:eastAsia="宋体" w:cs="宋体"/>
                <w:b w:val="0"/>
                <w:bCs/>
                <w:color w:val="auto"/>
                <w:sz w:val="21"/>
                <w:szCs w:val="21"/>
                <w:highlight w:val="none"/>
                <w:lang w:eastAsia="zh-CN"/>
              </w:rPr>
              <w:t>财库[2022]19号，供应商提供的服务属于《工业和信息化部、国家统计局、国家发展和改革委员会、财政部关于印发中小企业划型标准规定的通知》（工信部联企业[2011]300号）中规定的小型、微型企业标准的，按招标文件格式提供《中小企业声明函（</w:t>
            </w:r>
            <w:r>
              <w:rPr>
                <w:rFonts w:hint="eastAsia" w:ascii="宋体" w:hAnsi="宋体" w:cs="宋体"/>
                <w:b w:val="0"/>
                <w:bCs/>
                <w:color w:val="auto"/>
                <w:sz w:val="21"/>
                <w:szCs w:val="21"/>
                <w:highlight w:val="none"/>
                <w:lang w:val="en-US" w:eastAsia="zh-CN"/>
              </w:rPr>
              <w:t>货物</w:t>
            </w:r>
            <w:r>
              <w:rPr>
                <w:rFonts w:hint="eastAsia" w:ascii="宋体" w:hAnsi="宋体" w:eastAsia="宋体" w:cs="宋体"/>
                <w:b w:val="0"/>
                <w:bCs/>
                <w:color w:val="auto"/>
                <w:sz w:val="21"/>
                <w:szCs w:val="21"/>
                <w:highlight w:val="none"/>
                <w:lang w:eastAsia="zh-CN"/>
              </w:rPr>
              <w:t>）》。</w:t>
            </w:r>
          </w:p>
          <w:p w14:paraId="021071DB">
            <w:pPr>
              <w:keepNext w:val="0"/>
              <w:keepLines w:val="0"/>
              <w:pageBreakBefore w:val="0"/>
              <w:numPr>
                <w:ilvl w:val="0"/>
                <w:numId w:val="7"/>
              </w:numPr>
              <w:shd w:val="clear" w:color="auto" w:fill="auto"/>
              <w:kinsoku/>
              <w:wordWrap/>
              <w:overflowPunct/>
              <w:topLinePunct w:val="0"/>
              <w:autoSpaceDE/>
              <w:autoSpaceDN/>
              <w:bidi w:val="0"/>
              <w:adjustRightInd/>
              <w:snapToGrid w:val="0"/>
              <w:spacing w:line="360" w:lineRule="auto"/>
              <w:ind w:left="0" w:leftChars="0" w:firstLine="0" w:firstLineChars="0"/>
              <w:jc w:val="left"/>
              <w:textAlignment w:val="auto"/>
              <w:outlineLvl w:val="9"/>
              <w:rPr>
                <w:rFonts w:hint="eastAsia" w:ascii="宋体" w:hAnsi="宋体" w:eastAsia="宋体" w:cs="宋体"/>
                <w:b w:val="0"/>
                <w:bCs/>
                <w:color w:val="auto"/>
                <w:kern w:val="2"/>
                <w:sz w:val="21"/>
                <w:szCs w:val="21"/>
                <w:highlight w:val="none"/>
                <w:u w:val="none"/>
                <w:lang w:val="en-US" w:eastAsia="zh-CN" w:bidi="ar-SA"/>
              </w:rPr>
            </w:pPr>
            <w:r>
              <w:rPr>
                <w:rFonts w:hint="eastAsia" w:ascii="宋体" w:hAnsi="宋体" w:eastAsia="宋体" w:cs="宋体"/>
                <w:b w:val="0"/>
                <w:bCs/>
                <w:color w:val="auto"/>
                <w:kern w:val="2"/>
                <w:sz w:val="21"/>
                <w:szCs w:val="21"/>
                <w:highlight w:val="none"/>
                <w:u w:val="none"/>
                <w:lang w:val="en-US" w:eastAsia="zh-CN" w:bidi="ar-SA"/>
              </w:rPr>
              <w:t>根据财政部、司令部《关于政府采购支持监狱企业发展有关问题》的通知财库[2014]68号，监狱企业参加本项目投标时，应当提供由省级以上监狱管理局、戒毒管理局（新疆生产建设兵团）出具的属于监狱企业的证明文件。监狱企业视同小型、微型企业。</w:t>
            </w:r>
          </w:p>
          <w:p w14:paraId="7B9F1164">
            <w:pPr>
              <w:keepNext w:val="0"/>
              <w:keepLines w:val="0"/>
              <w:pageBreakBefore w:val="0"/>
              <w:numPr>
                <w:ilvl w:val="0"/>
                <w:numId w:val="0"/>
              </w:numPr>
              <w:shd w:val="clear" w:color="auto" w:fill="auto"/>
              <w:kinsoku/>
              <w:wordWrap/>
              <w:overflowPunct/>
              <w:topLinePunct w:val="0"/>
              <w:autoSpaceDE/>
              <w:autoSpaceDN/>
              <w:bidi w:val="0"/>
              <w:adjustRightInd/>
              <w:snapToGrid w:val="0"/>
              <w:spacing w:line="360" w:lineRule="auto"/>
              <w:ind w:leftChars="0"/>
              <w:jc w:val="left"/>
              <w:textAlignment w:val="auto"/>
              <w:outlineLvl w:val="9"/>
              <w:rPr>
                <w:rFonts w:hint="eastAsia"/>
                <w:color w:val="auto"/>
                <w:highlight w:val="none"/>
              </w:rPr>
            </w:pPr>
            <w:r>
              <w:rPr>
                <w:rFonts w:hint="eastAsia" w:ascii="宋体" w:hAnsi="宋体" w:eastAsia="宋体" w:cs="宋体"/>
                <w:b w:val="0"/>
                <w:bCs/>
                <w:color w:val="auto"/>
                <w:szCs w:val="21"/>
                <w:highlight w:val="none"/>
                <w:lang w:val="en-US" w:eastAsia="zh-CN"/>
              </w:rPr>
              <w:t>（3）根据财政部、民政部、中国残疾人联合会《关于促进残疾人就业政府采购政策的通知》（财库[2017]141号），在政府采购活动中，残疾人福利性单位视同小型、微型企业。投标人属于残疾人福利性单位的，按照招标文件格式提供残疾人福利性单位声明函。</w:t>
            </w:r>
          </w:p>
        </w:tc>
      </w:tr>
      <w:tr w14:paraId="314004F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06" w:hRule="atLeast"/>
          <w:jc w:val="center"/>
        </w:trPr>
        <w:tc>
          <w:tcPr>
            <w:tcW w:w="1012" w:type="dxa"/>
            <w:vMerge w:val="restart"/>
            <w:vAlign w:val="center"/>
          </w:tcPr>
          <w:p w14:paraId="662F7FED">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宋体"/>
                <w:b/>
                <w:bCs w:val="0"/>
                <w:color w:val="auto"/>
                <w:sz w:val="21"/>
                <w:szCs w:val="21"/>
                <w:highlight w:val="none"/>
                <w:lang w:val="en-US" w:eastAsia="zh-CN"/>
              </w:rPr>
            </w:pPr>
            <w:r>
              <w:rPr>
                <w:rFonts w:hint="eastAsia" w:ascii="宋体" w:hAnsi="宋体"/>
                <w:b/>
                <w:bCs w:val="0"/>
                <w:color w:val="auto"/>
                <w:sz w:val="21"/>
                <w:szCs w:val="21"/>
                <w:highlight w:val="none"/>
                <w:lang w:val="en-US" w:eastAsia="zh-CN"/>
              </w:rPr>
              <w:t>34</w:t>
            </w:r>
          </w:p>
        </w:tc>
        <w:tc>
          <w:tcPr>
            <w:tcW w:w="1536" w:type="dxa"/>
            <w:vMerge w:val="restart"/>
            <w:vAlign w:val="center"/>
          </w:tcPr>
          <w:p w14:paraId="55C16480">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b/>
                <w:bCs w:val="0"/>
                <w:color w:val="auto"/>
                <w:sz w:val="21"/>
                <w:szCs w:val="21"/>
                <w:highlight w:val="none"/>
                <w:lang w:eastAsia="zh-CN"/>
              </w:rPr>
            </w:pPr>
            <w:r>
              <w:rPr>
                <w:rFonts w:hint="eastAsia" w:ascii="宋体" w:hAnsi="宋体" w:eastAsia="宋体" w:cs="宋体"/>
                <w:b/>
                <w:bCs w:val="0"/>
                <w:color w:val="auto"/>
                <w:szCs w:val="21"/>
                <w:highlight w:val="none"/>
                <w:lang w:val="en-US" w:eastAsia="zh-CN"/>
              </w:rPr>
              <w:t>中小微企业政策文件说明</w:t>
            </w:r>
          </w:p>
        </w:tc>
        <w:tc>
          <w:tcPr>
            <w:tcW w:w="7393" w:type="dxa"/>
            <w:vAlign w:val="top"/>
          </w:tcPr>
          <w:p w14:paraId="5EE636B5">
            <w:pPr>
              <w:keepNext w:val="0"/>
              <w:keepLines w:val="0"/>
              <w:pageBreakBefore w:val="0"/>
              <w:numPr>
                <w:ilvl w:val="0"/>
                <w:numId w:val="8"/>
              </w:numPr>
              <w:shd w:val="clear" w:color="auto" w:fill="auto"/>
              <w:kinsoku/>
              <w:wordWrap/>
              <w:overflowPunct/>
              <w:topLinePunct w:val="0"/>
              <w:autoSpaceDE/>
              <w:autoSpaceDN/>
              <w:bidi w:val="0"/>
              <w:adjustRightInd/>
              <w:snapToGrid w:val="0"/>
              <w:spacing w:line="360" w:lineRule="auto"/>
              <w:jc w:val="left"/>
              <w:textAlignment w:val="auto"/>
              <w:outlineLvl w:val="9"/>
              <w:rPr>
                <w:rFonts w:hint="eastAsia"/>
                <w:color w:val="auto"/>
                <w:highlight w:val="none"/>
                <w:lang w:val="en-US" w:eastAsia="zh-CN"/>
              </w:rPr>
            </w:pPr>
            <w:r>
              <w:rPr>
                <w:rFonts w:hint="eastAsia"/>
                <w:color w:val="auto"/>
                <w:highlight w:val="none"/>
                <w:lang w:val="en-US" w:eastAsia="zh-CN"/>
              </w:rPr>
              <w:t>支持中小企业发展：给予小型和微型企业的价格10%—20%的扣除，用扣除后的价格参与评审，</w:t>
            </w:r>
            <w:r>
              <w:rPr>
                <w:rFonts w:hint="eastAsia"/>
                <w:color w:val="auto"/>
                <w:highlight w:val="none"/>
                <w:u w:val="single"/>
                <w:lang w:val="en-US" w:eastAsia="zh-CN"/>
              </w:rPr>
              <w:t>本项目具体扣除比例为10%</w:t>
            </w:r>
            <w:r>
              <w:rPr>
                <w:rFonts w:hint="eastAsia"/>
                <w:color w:val="auto"/>
                <w:highlight w:val="none"/>
                <w:lang w:val="en-US" w:eastAsia="zh-CN"/>
              </w:rPr>
              <w:t>。用扣除后的价格参与评审。残疾人福利性单位视同小型、微型企业，享受同等价格扣除，但同时属于残疾人福利性单位和小微企业的，不重复价格扣除。</w:t>
            </w:r>
          </w:p>
          <w:p w14:paraId="2AC28046">
            <w:pPr>
              <w:keepNext w:val="0"/>
              <w:keepLines w:val="0"/>
              <w:pageBreakBefore w:val="0"/>
              <w:numPr>
                <w:ilvl w:val="0"/>
                <w:numId w:val="8"/>
              </w:numPr>
              <w:shd w:val="clear" w:color="auto" w:fill="auto"/>
              <w:kinsoku/>
              <w:wordWrap/>
              <w:overflowPunct/>
              <w:topLinePunct w:val="0"/>
              <w:autoSpaceDE/>
              <w:autoSpaceDN/>
              <w:bidi w:val="0"/>
              <w:adjustRightInd/>
              <w:snapToGrid w:val="0"/>
              <w:spacing w:line="360" w:lineRule="auto"/>
              <w:jc w:val="left"/>
              <w:textAlignment w:val="auto"/>
              <w:outlineLvl w:val="9"/>
              <w:rPr>
                <w:rFonts w:hint="eastAsia"/>
                <w:color w:val="auto"/>
                <w:highlight w:val="none"/>
                <w:lang w:val="en-US" w:eastAsia="zh-CN"/>
              </w:rPr>
            </w:pPr>
            <w:r>
              <w:rPr>
                <w:rFonts w:hint="eastAsia"/>
                <w:color w:val="auto"/>
                <w:highlight w:val="none"/>
                <w:lang w:val="en-US" w:eastAsia="zh-CN"/>
              </w:rPr>
              <w:t>不符合上述适用情形的投标人无需提供上述声明函件。</w:t>
            </w:r>
          </w:p>
          <w:p w14:paraId="30B3088D">
            <w:pPr>
              <w:keepNext w:val="0"/>
              <w:keepLines w:val="0"/>
              <w:pageBreakBefore w:val="0"/>
              <w:numPr>
                <w:ilvl w:val="0"/>
                <w:numId w:val="8"/>
              </w:numPr>
              <w:shd w:val="clear" w:color="auto" w:fill="auto"/>
              <w:kinsoku/>
              <w:wordWrap/>
              <w:overflowPunct/>
              <w:topLinePunct w:val="0"/>
              <w:autoSpaceDE/>
              <w:autoSpaceDN/>
              <w:bidi w:val="0"/>
              <w:adjustRightInd/>
              <w:snapToGrid w:val="0"/>
              <w:spacing w:line="360" w:lineRule="auto"/>
              <w:ind w:left="0" w:leftChars="0" w:firstLine="0" w:firstLineChars="0"/>
              <w:jc w:val="left"/>
              <w:textAlignment w:val="auto"/>
              <w:outlineLvl w:val="9"/>
              <w:rPr>
                <w:rFonts w:hint="eastAsia"/>
                <w:color w:val="auto"/>
                <w:highlight w:val="none"/>
                <w:lang w:val="en-US" w:eastAsia="zh-CN"/>
              </w:rPr>
            </w:pPr>
            <w:r>
              <w:rPr>
                <w:rFonts w:hint="eastAsia"/>
                <w:color w:val="auto"/>
                <w:highlight w:val="none"/>
                <w:lang w:val="en-US" w:eastAsia="zh-CN"/>
              </w:rPr>
              <w:t>.本采购项目中小企业划分标准所属行业为：</w:t>
            </w:r>
            <w:r>
              <w:rPr>
                <w:rFonts w:hint="eastAsia"/>
                <w:b w:val="0"/>
                <w:bCs w:val="0"/>
                <w:color w:val="000000" w:themeColor="text1"/>
                <w:sz w:val="20"/>
                <w:szCs w:val="18"/>
                <w:highlight w:val="none"/>
                <w14:textFill>
                  <w14:solidFill>
                    <w14:schemeClr w14:val="tx1"/>
                  </w14:solidFill>
                </w14:textFill>
              </w:rPr>
              <w:t>工业</w:t>
            </w:r>
            <w:r>
              <w:rPr>
                <w:rFonts w:hint="eastAsia"/>
                <w:color w:val="auto"/>
                <w:highlight w:val="none"/>
                <w:lang w:val="en-US" w:eastAsia="zh-CN"/>
              </w:rPr>
              <w:t>。</w:t>
            </w:r>
          </w:p>
          <w:p w14:paraId="578B22D8">
            <w:pPr>
              <w:keepNext w:val="0"/>
              <w:keepLines w:val="0"/>
              <w:pageBreakBefore w:val="0"/>
              <w:numPr>
                <w:ilvl w:val="0"/>
                <w:numId w:val="0"/>
              </w:numPr>
              <w:shd w:val="clear" w:color="auto" w:fill="auto"/>
              <w:kinsoku/>
              <w:wordWrap/>
              <w:overflowPunct/>
              <w:topLinePunct w:val="0"/>
              <w:autoSpaceDE/>
              <w:autoSpaceDN/>
              <w:bidi w:val="0"/>
              <w:adjustRightInd/>
              <w:snapToGrid w:val="0"/>
              <w:spacing w:line="360" w:lineRule="auto"/>
              <w:ind w:leftChars="0"/>
              <w:jc w:val="left"/>
              <w:textAlignment w:val="auto"/>
              <w:outlineLvl w:val="9"/>
              <w:rPr>
                <w:rFonts w:hint="eastAsia"/>
                <w:color w:val="auto"/>
                <w:highlight w:val="none"/>
                <w:lang w:val="en-US" w:eastAsia="zh-CN"/>
              </w:rPr>
            </w:pPr>
            <w:r>
              <w:rPr>
                <w:rFonts w:hint="eastAsia"/>
                <w:b/>
                <w:bCs/>
                <w:color w:val="auto"/>
                <w:highlight w:val="none"/>
                <w:lang w:val="en-US" w:eastAsia="zh-CN"/>
              </w:rPr>
              <w:t>着重提醒：投标人在提供《中小企业声明函》时，必须将招标文件所列的采购标的物全部列入《中小企业声明函》，否则不享受10%价格的优惠政策。</w:t>
            </w:r>
          </w:p>
        </w:tc>
      </w:tr>
      <w:tr w14:paraId="16F7FFE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91" w:hRule="atLeast"/>
          <w:jc w:val="center"/>
        </w:trPr>
        <w:tc>
          <w:tcPr>
            <w:tcW w:w="1012" w:type="dxa"/>
            <w:vMerge w:val="continue"/>
            <w:vAlign w:val="center"/>
          </w:tcPr>
          <w:p w14:paraId="37E703BB">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b/>
                <w:bCs w:val="0"/>
                <w:color w:val="auto"/>
                <w:sz w:val="21"/>
                <w:szCs w:val="21"/>
                <w:highlight w:val="none"/>
                <w:lang w:val="en-US" w:eastAsia="zh-CN"/>
              </w:rPr>
            </w:pPr>
          </w:p>
        </w:tc>
        <w:tc>
          <w:tcPr>
            <w:tcW w:w="1536" w:type="dxa"/>
            <w:vMerge w:val="continue"/>
            <w:vAlign w:val="center"/>
          </w:tcPr>
          <w:p w14:paraId="2E8A514F">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b/>
                <w:bCs w:val="0"/>
                <w:color w:val="auto"/>
                <w:szCs w:val="21"/>
                <w:highlight w:val="none"/>
                <w:lang w:val="en-US" w:eastAsia="zh-CN"/>
              </w:rPr>
            </w:pPr>
          </w:p>
        </w:tc>
        <w:tc>
          <w:tcPr>
            <w:tcW w:w="7393" w:type="dxa"/>
            <w:vAlign w:val="top"/>
          </w:tcPr>
          <w:p w14:paraId="49AAF1DC">
            <w:pPr>
              <w:pStyle w:val="93"/>
              <w:ind w:left="0" w:firstLine="0" w:firstLineChars="0"/>
              <w:rPr>
                <w:color w:val="auto"/>
                <w:sz w:val="20"/>
                <w:szCs w:val="18"/>
                <w:highlight w:val="none"/>
              </w:rPr>
            </w:pPr>
            <w:r>
              <w:rPr>
                <w:rFonts w:hint="eastAsia"/>
                <w:color w:val="auto"/>
                <w:sz w:val="20"/>
                <w:szCs w:val="18"/>
                <w:highlight w:val="none"/>
              </w:rPr>
              <w:t>中小企业划型标准规定</w:t>
            </w:r>
          </w:p>
          <w:p w14:paraId="582F719F">
            <w:pPr>
              <w:pStyle w:val="93"/>
              <w:ind w:left="0" w:firstLine="0" w:firstLineChars="0"/>
              <w:rPr>
                <w:color w:val="auto"/>
                <w:sz w:val="20"/>
                <w:szCs w:val="18"/>
                <w:highlight w:val="none"/>
              </w:rPr>
            </w:pPr>
            <w:r>
              <w:rPr>
                <w:rFonts w:hint="eastAsia"/>
                <w:color w:val="auto"/>
                <w:sz w:val="20"/>
                <w:szCs w:val="18"/>
                <w:highlight w:val="none"/>
              </w:rPr>
              <w:t>一、根据《中华人民共和国中小企业促进法》和《国务院关于进一步促进中小企业发展的若干意见》(国发[2009]36号)，制定本规定。</w:t>
            </w:r>
          </w:p>
          <w:p w14:paraId="57774EC2">
            <w:pPr>
              <w:pStyle w:val="93"/>
              <w:ind w:left="0" w:firstLine="0" w:firstLineChars="0"/>
              <w:rPr>
                <w:color w:val="auto"/>
                <w:sz w:val="20"/>
                <w:szCs w:val="18"/>
                <w:highlight w:val="none"/>
              </w:rPr>
            </w:pPr>
            <w:r>
              <w:rPr>
                <w:rFonts w:hint="eastAsia"/>
                <w:color w:val="auto"/>
                <w:sz w:val="20"/>
                <w:szCs w:val="18"/>
                <w:highlight w:val="none"/>
              </w:rPr>
              <w:t>二、中小企业划分为中型、小型、微型三种类型，具体标准根据企业从业人员、营业收入、资产总额等指标，结合行业特点制定。</w:t>
            </w:r>
          </w:p>
          <w:p w14:paraId="33F18CE1">
            <w:pPr>
              <w:pStyle w:val="93"/>
              <w:ind w:left="0" w:firstLine="0" w:firstLineChars="0"/>
              <w:rPr>
                <w:color w:val="auto"/>
                <w:sz w:val="20"/>
                <w:szCs w:val="18"/>
                <w:highlight w:val="none"/>
              </w:rPr>
            </w:pPr>
            <w:r>
              <w:rPr>
                <w:rFonts w:hint="eastAsia"/>
                <w:color w:val="auto"/>
                <w:sz w:val="20"/>
                <w:szCs w:val="18"/>
                <w:highlight w:val="none"/>
              </w:rPr>
              <w:t>三、本规定适用的行业包括：农、林、牧、渔业，</w:t>
            </w:r>
            <w:r>
              <w:rPr>
                <w:rFonts w:hint="eastAsia"/>
                <w:b w:val="0"/>
                <w:bCs w:val="0"/>
                <w:color w:val="auto"/>
                <w:sz w:val="20"/>
                <w:szCs w:val="18"/>
                <w:highlight w:val="none"/>
              </w:rPr>
              <w:t>工业</w:t>
            </w:r>
            <w:r>
              <w:rPr>
                <w:rFonts w:hint="eastAsia"/>
                <w:color w:val="auto"/>
                <w:sz w:val="20"/>
                <w:szCs w:val="18"/>
                <w:highlight w:val="none"/>
              </w:rPr>
              <w:t>（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2F483D9C">
            <w:pPr>
              <w:pStyle w:val="93"/>
              <w:ind w:left="0" w:firstLine="0" w:firstLineChars="0"/>
              <w:rPr>
                <w:color w:val="auto"/>
                <w:sz w:val="20"/>
                <w:szCs w:val="18"/>
                <w:highlight w:val="none"/>
              </w:rPr>
            </w:pPr>
            <w:r>
              <w:rPr>
                <w:rFonts w:hint="eastAsia"/>
                <w:color w:val="auto"/>
                <w:sz w:val="20"/>
                <w:szCs w:val="18"/>
                <w:highlight w:val="none"/>
              </w:rPr>
              <w:t>四、各行业划型标准为：</w:t>
            </w:r>
          </w:p>
          <w:p w14:paraId="75A58038">
            <w:pPr>
              <w:pStyle w:val="93"/>
              <w:ind w:left="0" w:firstLine="0" w:firstLineChars="0"/>
              <w:rPr>
                <w:color w:val="auto"/>
                <w:sz w:val="20"/>
                <w:szCs w:val="18"/>
                <w:highlight w:val="none"/>
              </w:rPr>
            </w:pPr>
            <w:r>
              <w:rPr>
                <w:rFonts w:hint="eastAsia"/>
                <w:color w:val="auto"/>
                <w:sz w:val="20"/>
                <w:szCs w:val="18"/>
                <w:highlight w:val="none"/>
              </w:rPr>
              <w:t>（一）农、林、牧、渔业。营业收入20000万元以下的为中小微型企业。其中，营业收入500万元及以上的为中型企业，营业收入50万元及以上的为小型企业，营业收入50万元以下的为微型企业。</w:t>
            </w:r>
          </w:p>
          <w:p w14:paraId="3E5168AE">
            <w:pPr>
              <w:pStyle w:val="93"/>
              <w:ind w:left="0" w:firstLine="0" w:firstLineChars="0"/>
              <w:rPr>
                <w:color w:val="auto"/>
                <w:sz w:val="20"/>
                <w:szCs w:val="18"/>
                <w:highlight w:val="none"/>
              </w:rPr>
            </w:pPr>
            <w:r>
              <w:rPr>
                <w:rFonts w:hint="eastAsia"/>
                <w:color w:val="auto"/>
                <w:sz w:val="20"/>
                <w:szCs w:val="18"/>
                <w:highlight w:val="none"/>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461E544C">
            <w:pPr>
              <w:pStyle w:val="93"/>
              <w:ind w:left="0" w:firstLine="0" w:firstLineChars="0"/>
              <w:rPr>
                <w:color w:val="auto"/>
                <w:sz w:val="20"/>
                <w:szCs w:val="18"/>
                <w:highlight w:val="none"/>
              </w:rPr>
            </w:pPr>
            <w:r>
              <w:rPr>
                <w:rFonts w:hint="eastAsia"/>
                <w:color w:val="auto"/>
                <w:sz w:val="20"/>
                <w:szCs w:val="18"/>
                <w:highlight w:val="none"/>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75EFF040">
            <w:pPr>
              <w:pStyle w:val="93"/>
              <w:ind w:left="0" w:firstLine="0" w:firstLineChars="0"/>
              <w:rPr>
                <w:color w:val="auto"/>
                <w:sz w:val="20"/>
                <w:szCs w:val="18"/>
                <w:highlight w:val="none"/>
              </w:rPr>
            </w:pPr>
            <w:r>
              <w:rPr>
                <w:rFonts w:hint="eastAsia"/>
                <w:color w:val="auto"/>
                <w:sz w:val="20"/>
                <w:szCs w:val="18"/>
                <w:highlight w:val="none"/>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0D659118">
            <w:pPr>
              <w:pStyle w:val="93"/>
              <w:ind w:left="0" w:firstLine="0" w:firstLineChars="0"/>
              <w:rPr>
                <w:color w:val="auto"/>
                <w:sz w:val="20"/>
                <w:szCs w:val="18"/>
                <w:highlight w:val="none"/>
              </w:rPr>
            </w:pPr>
            <w:r>
              <w:rPr>
                <w:rFonts w:hint="eastAsia"/>
                <w:color w:val="auto"/>
                <w:sz w:val="20"/>
                <w:szCs w:val="18"/>
                <w:highlight w:val="none"/>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2D42F068">
            <w:pPr>
              <w:pStyle w:val="93"/>
              <w:ind w:left="0" w:firstLine="0" w:firstLineChars="0"/>
              <w:rPr>
                <w:color w:val="auto"/>
                <w:sz w:val="20"/>
                <w:szCs w:val="18"/>
                <w:highlight w:val="none"/>
              </w:rPr>
            </w:pPr>
            <w:r>
              <w:rPr>
                <w:rFonts w:hint="eastAsia"/>
                <w:color w:val="auto"/>
                <w:sz w:val="20"/>
                <w:szCs w:val="18"/>
                <w:highlight w:val="none"/>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73389F3F">
            <w:pPr>
              <w:pStyle w:val="93"/>
              <w:ind w:left="0" w:firstLine="0" w:firstLineChars="0"/>
              <w:rPr>
                <w:color w:val="auto"/>
                <w:sz w:val="20"/>
                <w:szCs w:val="18"/>
                <w:highlight w:val="none"/>
              </w:rPr>
            </w:pPr>
            <w:r>
              <w:rPr>
                <w:rFonts w:hint="eastAsia"/>
                <w:color w:val="auto"/>
                <w:sz w:val="20"/>
                <w:szCs w:val="18"/>
                <w:highlight w:val="none"/>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34B4D808">
            <w:pPr>
              <w:pStyle w:val="93"/>
              <w:ind w:left="0" w:firstLine="0" w:firstLineChars="0"/>
              <w:rPr>
                <w:color w:val="auto"/>
                <w:sz w:val="20"/>
                <w:szCs w:val="18"/>
                <w:highlight w:val="none"/>
              </w:rPr>
            </w:pPr>
            <w:r>
              <w:rPr>
                <w:rFonts w:hint="eastAsia"/>
                <w:color w:val="auto"/>
                <w:sz w:val="20"/>
                <w:szCs w:val="18"/>
                <w:highlight w:val="none"/>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6787444D">
            <w:pPr>
              <w:pStyle w:val="93"/>
              <w:ind w:left="0" w:firstLine="0" w:firstLineChars="0"/>
              <w:rPr>
                <w:color w:val="auto"/>
                <w:sz w:val="20"/>
                <w:szCs w:val="18"/>
                <w:highlight w:val="none"/>
              </w:rPr>
            </w:pPr>
            <w:r>
              <w:rPr>
                <w:rFonts w:hint="eastAsia"/>
                <w:color w:val="auto"/>
                <w:sz w:val="20"/>
                <w:szCs w:val="18"/>
                <w:highlight w:val="none"/>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12D6E902">
            <w:pPr>
              <w:pStyle w:val="93"/>
              <w:ind w:left="0" w:firstLine="0" w:firstLineChars="0"/>
              <w:rPr>
                <w:color w:val="auto"/>
                <w:sz w:val="20"/>
                <w:szCs w:val="18"/>
                <w:highlight w:val="none"/>
              </w:rPr>
            </w:pPr>
            <w:r>
              <w:rPr>
                <w:rFonts w:hint="eastAsia"/>
                <w:color w:val="auto"/>
                <w:sz w:val="20"/>
                <w:szCs w:val="18"/>
                <w:highlight w:val="none"/>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2ED4F39">
            <w:pPr>
              <w:pStyle w:val="93"/>
              <w:ind w:left="0" w:firstLine="0" w:firstLineChars="0"/>
              <w:rPr>
                <w:color w:val="auto"/>
                <w:sz w:val="20"/>
                <w:szCs w:val="18"/>
                <w:highlight w:val="none"/>
              </w:rPr>
            </w:pPr>
            <w:r>
              <w:rPr>
                <w:rFonts w:hint="eastAsia"/>
                <w:color w:val="auto"/>
                <w:sz w:val="20"/>
                <w:szCs w:val="18"/>
                <w:highlight w:val="none"/>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6D0C9E55">
            <w:pPr>
              <w:pStyle w:val="93"/>
              <w:ind w:left="0" w:firstLine="0" w:firstLineChars="0"/>
              <w:rPr>
                <w:color w:val="auto"/>
                <w:sz w:val="20"/>
                <w:szCs w:val="18"/>
                <w:highlight w:val="none"/>
              </w:rPr>
            </w:pPr>
            <w:r>
              <w:rPr>
                <w:rFonts w:hint="eastAsia"/>
                <w:color w:val="auto"/>
                <w:sz w:val="20"/>
                <w:szCs w:val="18"/>
                <w:highlight w:val="none"/>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77C5CFC0">
            <w:pPr>
              <w:pStyle w:val="93"/>
              <w:ind w:left="0" w:firstLine="0" w:firstLineChars="0"/>
              <w:rPr>
                <w:color w:val="auto"/>
                <w:sz w:val="20"/>
                <w:szCs w:val="18"/>
                <w:highlight w:val="none"/>
              </w:rPr>
            </w:pPr>
            <w:r>
              <w:rPr>
                <w:rFonts w:hint="eastAsia"/>
                <w:color w:val="auto"/>
                <w:sz w:val="20"/>
                <w:szCs w:val="18"/>
                <w:highlight w:val="none"/>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02B3E0CC">
            <w:pPr>
              <w:pStyle w:val="93"/>
              <w:ind w:left="0" w:firstLine="0" w:firstLineChars="0"/>
              <w:rPr>
                <w:color w:val="auto"/>
                <w:sz w:val="20"/>
                <w:szCs w:val="18"/>
                <w:highlight w:val="none"/>
              </w:rPr>
            </w:pPr>
            <w:r>
              <w:rPr>
                <w:rFonts w:hint="eastAsia"/>
                <w:color w:val="auto"/>
                <w:sz w:val="20"/>
                <w:szCs w:val="18"/>
                <w:highlight w:val="none"/>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4C67C67C">
            <w:pPr>
              <w:pStyle w:val="93"/>
              <w:ind w:left="0" w:firstLine="0" w:firstLineChars="0"/>
              <w:rPr>
                <w:color w:val="auto"/>
                <w:sz w:val="20"/>
                <w:szCs w:val="18"/>
                <w:highlight w:val="none"/>
              </w:rPr>
            </w:pPr>
            <w:r>
              <w:rPr>
                <w:rFonts w:hint="eastAsia"/>
                <w:color w:val="auto"/>
                <w:sz w:val="20"/>
                <w:szCs w:val="18"/>
                <w:highlight w:val="none"/>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32977EC5">
            <w:pPr>
              <w:pStyle w:val="93"/>
              <w:ind w:left="0" w:firstLine="0" w:firstLineChars="0"/>
              <w:rPr>
                <w:color w:val="auto"/>
                <w:sz w:val="20"/>
                <w:szCs w:val="18"/>
                <w:highlight w:val="none"/>
              </w:rPr>
            </w:pPr>
            <w:r>
              <w:rPr>
                <w:rFonts w:hint="eastAsia"/>
                <w:color w:val="auto"/>
                <w:sz w:val="20"/>
                <w:szCs w:val="18"/>
                <w:highlight w:val="none"/>
              </w:rPr>
              <w:t>（十六）其他未列明行业。从业人员300人以下的为中小微型企业。其中，从业人员100人及以上的为中型企业；从业人员10人及以上的为小型企业；从业人员10人以下的为微型企业。</w:t>
            </w:r>
          </w:p>
          <w:p w14:paraId="733CDCEF">
            <w:pPr>
              <w:pStyle w:val="93"/>
              <w:ind w:left="0" w:firstLine="0" w:firstLineChars="0"/>
              <w:rPr>
                <w:color w:val="auto"/>
                <w:sz w:val="20"/>
                <w:szCs w:val="18"/>
                <w:highlight w:val="none"/>
              </w:rPr>
            </w:pPr>
            <w:r>
              <w:rPr>
                <w:rFonts w:hint="eastAsia"/>
                <w:color w:val="auto"/>
                <w:sz w:val="20"/>
                <w:szCs w:val="18"/>
                <w:highlight w:val="none"/>
              </w:rPr>
              <w:t>五、企业类型的划分以统计部门的统计数据为依据。</w:t>
            </w:r>
          </w:p>
          <w:p w14:paraId="1EAC7E32">
            <w:pPr>
              <w:pStyle w:val="93"/>
              <w:ind w:left="0" w:firstLine="0" w:firstLineChars="0"/>
              <w:rPr>
                <w:color w:val="auto"/>
                <w:sz w:val="20"/>
                <w:szCs w:val="18"/>
                <w:highlight w:val="none"/>
              </w:rPr>
            </w:pPr>
            <w:r>
              <w:rPr>
                <w:rFonts w:hint="eastAsia"/>
                <w:color w:val="auto"/>
                <w:sz w:val="20"/>
                <w:szCs w:val="18"/>
                <w:highlight w:val="none"/>
              </w:rPr>
              <w:t>六、本规定适用于在中华人民共和国境内依法设立的各类所有制和各种组织形式的企业。个体工商户和本规定以外的行业，参照本规定进行划型。</w:t>
            </w:r>
          </w:p>
          <w:p w14:paraId="63C419E5">
            <w:pPr>
              <w:pStyle w:val="93"/>
              <w:ind w:left="0" w:firstLine="0" w:firstLineChars="0"/>
              <w:rPr>
                <w:color w:val="auto"/>
                <w:sz w:val="20"/>
                <w:szCs w:val="18"/>
                <w:highlight w:val="none"/>
              </w:rPr>
            </w:pPr>
            <w:r>
              <w:rPr>
                <w:rFonts w:hint="eastAsia"/>
                <w:color w:val="auto"/>
                <w:sz w:val="20"/>
                <w:szCs w:val="18"/>
                <w:highlight w:val="none"/>
              </w:rPr>
              <w:t>七、本规定的中型企业标准上限即为大型企业标准的下限，国家统计部门据此制定大中小微型企业的统计分类。国务院有关部门据此进行相关数据分析，不得制定与本规定不一致的企业划型标准。</w:t>
            </w:r>
          </w:p>
          <w:p w14:paraId="5DE506BB">
            <w:pPr>
              <w:pStyle w:val="93"/>
              <w:ind w:left="0" w:firstLine="0" w:firstLineChars="0"/>
              <w:rPr>
                <w:color w:val="auto"/>
                <w:sz w:val="20"/>
                <w:szCs w:val="18"/>
                <w:highlight w:val="none"/>
              </w:rPr>
            </w:pPr>
            <w:r>
              <w:rPr>
                <w:rFonts w:hint="eastAsia"/>
                <w:color w:val="auto"/>
                <w:sz w:val="20"/>
                <w:szCs w:val="18"/>
                <w:highlight w:val="none"/>
              </w:rPr>
              <w:t>八、本规定由工业和信息化部、国家统计局会同有关部门根据《国民经济行业分类》修订情况和企业发展变化情况适时修订。</w:t>
            </w:r>
          </w:p>
          <w:p w14:paraId="42DF9EFD">
            <w:pPr>
              <w:pStyle w:val="93"/>
              <w:ind w:left="0" w:firstLine="0" w:firstLineChars="0"/>
              <w:rPr>
                <w:color w:val="auto"/>
                <w:sz w:val="20"/>
                <w:szCs w:val="18"/>
                <w:highlight w:val="none"/>
              </w:rPr>
            </w:pPr>
            <w:r>
              <w:rPr>
                <w:rFonts w:hint="eastAsia"/>
                <w:color w:val="auto"/>
                <w:sz w:val="20"/>
                <w:szCs w:val="18"/>
                <w:highlight w:val="none"/>
              </w:rPr>
              <w:t>九、本规定由工业和信息化部、国家统计局会同有关部门负责解释。</w:t>
            </w:r>
          </w:p>
          <w:p w14:paraId="3C1D3E7E">
            <w:pPr>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color w:val="auto"/>
                <w:highlight w:val="none"/>
                <w:lang w:val="en-US" w:eastAsia="zh-CN"/>
              </w:rPr>
            </w:pPr>
            <w:r>
              <w:rPr>
                <w:rFonts w:hint="eastAsia"/>
                <w:color w:val="auto"/>
                <w:sz w:val="20"/>
                <w:szCs w:val="18"/>
                <w:highlight w:val="none"/>
              </w:rPr>
              <w:t>十、本规定自发布之日起执行，原国家经贸委、原国家计委、财政部和国家统计局2003年颁布的《中小企业标准暂行规定》同时废止。</w:t>
            </w:r>
          </w:p>
        </w:tc>
      </w:tr>
      <w:tr w14:paraId="17552D8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91" w:hRule="atLeast"/>
          <w:jc w:val="center"/>
        </w:trPr>
        <w:tc>
          <w:tcPr>
            <w:tcW w:w="1012" w:type="dxa"/>
            <w:vAlign w:val="center"/>
          </w:tcPr>
          <w:p w14:paraId="0BBBD156">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宋体"/>
                <w:b/>
                <w:bCs w:val="0"/>
                <w:color w:val="auto"/>
                <w:sz w:val="21"/>
                <w:szCs w:val="21"/>
                <w:highlight w:val="none"/>
                <w:lang w:val="en-US" w:eastAsia="zh-CN"/>
              </w:rPr>
            </w:pPr>
            <w:r>
              <w:rPr>
                <w:rFonts w:hint="eastAsia" w:ascii="宋体" w:hAnsi="宋体"/>
                <w:b/>
                <w:bCs w:val="0"/>
                <w:color w:val="auto"/>
                <w:sz w:val="21"/>
                <w:szCs w:val="21"/>
                <w:highlight w:val="none"/>
                <w:lang w:val="en-US" w:eastAsia="zh-CN"/>
              </w:rPr>
              <w:t>35</w:t>
            </w:r>
          </w:p>
        </w:tc>
        <w:tc>
          <w:tcPr>
            <w:tcW w:w="1536" w:type="dxa"/>
            <w:vAlign w:val="center"/>
          </w:tcPr>
          <w:p w14:paraId="0B2DF254">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宋体" w:eastAsia="宋体" w:cs="宋体"/>
                <w:b/>
                <w:bCs w:val="0"/>
                <w:color w:val="auto"/>
                <w:szCs w:val="21"/>
                <w:highlight w:val="none"/>
                <w:lang w:val="en-US" w:eastAsia="zh-CN"/>
              </w:rPr>
            </w:pPr>
            <w:r>
              <w:rPr>
                <w:rFonts w:hint="eastAsia" w:ascii="宋体" w:hAnsi="宋体" w:cs="宋体"/>
                <w:b/>
                <w:bCs w:val="0"/>
                <w:color w:val="auto"/>
                <w:szCs w:val="21"/>
                <w:highlight w:val="none"/>
                <w:lang w:val="en-US" w:eastAsia="zh-CN"/>
              </w:rPr>
              <w:t>知识产权</w:t>
            </w:r>
          </w:p>
        </w:tc>
        <w:tc>
          <w:tcPr>
            <w:tcW w:w="7393" w:type="dxa"/>
            <w:vAlign w:val="top"/>
          </w:tcPr>
          <w:p w14:paraId="43AF135D">
            <w:pPr>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default" w:eastAsia="宋体"/>
                <w:color w:val="auto"/>
                <w:sz w:val="20"/>
                <w:szCs w:val="18"/>
                <w:highlight w:val="none"/>
                <w:lang w:val="en-US" w:eastAsia="zh-CN"/>
              </w:rPr>
            </w:pPr>
            <w:r>
              <w:rPr>
                <w:rFonts w:hint="eastAsia"/>
                <w:color w:val="auto"/>
                <w:sz w:val="20"/>
                <w:szCs w:val="18"/>
                <w:highlight w:val="none"/>
                <w:lang w:val="en-US" w:eastAsia="zh-CN"/>
              </w:rPr>
              <w:t>采购人在使用货物或货物的任何部分时不受任何关于侵犯所有权和工业产权，著作权（版权）等知识产权的指控，如果任何第三方提出侵权，中标人承担一切与之有关的责任。</w:t>
            </w:r>
          </w:p>
        </w:tc>
      </w:tr>
      <w:tr w14:paraId="62FFECA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91" w:hRule="atLeast"/>
          <w:jc w:val="center"/>
        </w:trPr>
        <w:tc>
          <w:tcPr>
            <w:tcW w:w="1012" w:type="dxa"/>
            <w:vAlign w:val="center"/>
          </w:tcPr>
          <w:p w14:paraId="183B4D63">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宋体"/>
                <w:b/>
                <w:bCs w:val="0"/>
                <w:color w:val="auto"/>
                <w:sz w:val="21"/>
                <w:szCs w:val="21"/>
                <w:highlight w:val="none"/>
                <w:lang w:val="en-US" w:eastAsia="zh-CN"/>
              </w:rPr>
            </w:pPr>
            <w:r>
              <w:rPr>
                <w:rFonts w:hint="eastAsia" w:ascii="宋体" w:hAnsi="宋体"/>
                <w:b/>
                <w:bCs w:val="0"/>
                <w:color w:val="auto"/>
                <w:sz w:val="21"/>
                <w:szCs w:val="21"/>
                <w:highlight w:val="none"/>
                <w:lang w:val="en-US" w:eastAsia="zh-CN"/>
              </w:rPr>
              <w:t>36</w:t>
            </w:r>
          </w:p>
        </w:tc>
        <w:tc>
          <w:tcPr>
            <w:tcW w:w="8929" w:type="dxa"/>
            <w:gridSpan w:val="2"/>
            <w:vAlign w:val="center"/>
          </w:tcPr>
          <w:p w14:paraId="24CF47C9">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hAnsi="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低于成本价不正当竞争预防措施</w:t>
            </w:r>
            <w:r>
              <w:rPr>
                <w:rFonts w:hint="eastAsia" w:hAnsi="宋体" w:cs="宋体"/>
                <w:color w:val="auto"/>
                <w:sz w:val="21"/>
                <w:szCs w:val="21"/>
                <w:highlight w:val="none"/>
                <w:u w:val="none" w:color="000000"/>
                <w:lang w:val="en-US" w:eastAsia="zh-CN" w:bidi="en-US"/>
              </w:rPr>
              <w:t>：</w:t>
            </w:r>
          </w:p>
          <w:p w14:paraId="152FD975">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依据财库〔2026〕2号《关于推动解决政府采购异常低价问题的通知》</w:t>
            </w:r>
          </w:p>
          <w:p w14:paraId="4EC69D91">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为强化政府采购异常低价审查，在此次政府采购评审中出现下列情形之一的，评审委员会应当启动异常低价投标（响应）审查程序：</w:t>
            </w:r>
          </w:p>
          <w:p w14:paraId="188E6F2E">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1.投标（响应）报价低于全部通过符合性审查供应商投标（响应）报价平均值50%的，即投标（响应）报价&lt;全部通过符合性审查供应商投标（响应）报价平均值×50%；</w:t>
            </w:r>
          </w:p>
          <w:p w14:paraId="73E23551">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2.投标（响应）报价低于通过符合性审查的次低报价供应商投标（响应）报价50%的，即投标（响应）报价&lt;通过符合性审查的次低报价供应商投标（响应）报价×50%；</w:t>
            </w:r>
          </w:p>
          <w:p w14:paraId="697BBE52">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3.投标（响应）报价低于采购项目最高限价45%的，即投标（响应）报价&lt;采购项目最高限价×45%；</w:t>
            </w:r>
          </w:p>
          <w:p w14:paraId="27ACA8A5">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4.评审委员会基于专业判断，认为供应商报价过低，有可能影响产品质量或者不能诚信履约的其他情形。</w:t>
            </w:r>
          </w:p>
          <w:p w14:paraId="6679E3FE">
            <w:pPr>
              <w:pStyle w:val="14"/>
              <w:ind w:left="0" w:leftChars="0" w:firstLine="424" w:firstLineChars="200"/>
              <w:rPr>
                <w:rFonts w:hint="eastAsia"/>
                <w:color w:val="auto"/>
                <w:highlight w:val="none"/>
                <w:lang w:val="en-US" w:eastAsia="zh-CN"/>
              </w:rPr>
            </w:pPr>
            <w:r>
              <w:rPr>
                <w:rFonts w:hint="eastAsia"/>
                <w:color w:val="auto"/>
                <w:highlight w:val="none"/>
                <w:lang w:val="en-US" w:eastAsia="zh-CN"/>
              </w:rPr>
              <w:t>在评审过程中，评审小组应当要求其在开标现场合理的时间内提供书面说明，并提交相关证明材料，投标人不能证明其报价合理性的，评审小组应当将其作为无效处理。</w:t>
            </w:r>
          </w:p>
          <w:p w14:paraId="18B5F70D">
            <w:pPr>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color w:val="auto"/>
                <w:sz w:val="20"/>
                <w:szCs w:val="18"/>
                <w:highlight w:val="none"/>
                <w:lang w:val="en-US" w:eastAsia="zh-CN"/>
              </w:rPr>
            </w:pPr>
            <w:r>
              <w:rPr>
                <w:rFonts w:hint="eastAsia"/>
                <w:color w:val="auto"/>
                <w:highlight w:val="none"/>
                <w:lang w:val="en-US" w:eastAsia="zh-CN"/>
              </w:rPr>
              <w:t>投标人书面说明应当签字确认或者加盖公章，否则无效。书面说明的签字确认，由其法定代表人/主要负责人/本人或者其授权代表签字确认。投标人提供书面说明后，评标小组应当结合采购项目采购需求、专业实际情况、投标人财务状况报告、与其他投标人比较情况等就投标人书面说明进行审查评价。投标人拒绝或者变相拒绝提供有效书面说明或者书面说明不能证明其报价合理性的或未在规定时间内递交有效书面说明书的，评标小组应当将其响应文件作为无效处理。</w:t>
            </w:r>
          </w:p>
        </w:tc>
      </w:tr>
      <w:tr w14:paraId="00E02E7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41" w:hRule="atLeast"/>
          <w:jc w:val="center"/>
        </w:trPr>
        <w:tc>
          <w:tcPr>
            <w:tcW w:w="1012" w:type="dxa"/>
            <w:vAlign w:val="center"/>
          </w:tcPr>
          <w:p w14:paraId="1C02740E">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bCs w:val="0"/>
                <w:color w:val="auto"/>
                <w:sz w:val="21"/>
                <w:szCs w:val="21"/>
                <w:highlight w:val="none"/>
              </w:rPr>
            </w:pPr>
            <w:r>
              <w:rPr>
                <w:rFonts w:hint="eastAsia"/>
                <w:b/>
                <w:bCs w:val="0"/>
                <w:color w:val="auto"/>
                <w:sz w:val="21"/>
                <w:szCs w:val="21"/>
                <w:highlight w:val="none"/>
              </w:rPr>
              <w:t>备注</w:t>
            </w:r>
          </w:p>
        </w:tc>
        <w:tc>
          <w:tcPr>
            <w:tcW w:w="8929" w:type="dxa"/>
            <w:gridSpan w:val="2"/>
            <w:vAlign w:val="center"/>
          </w:tcPr>
          <w:p w14:paraId="03D555F0">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1、着重提醒各投标人注意，并认真查看采购文件中的每一个条款及要求，因误读采购文件而造成的后果，招标人概不负责。</w:t>
            </w:r>
          </w:p>
          <w:p w14:paraId="723ED60C">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除法律、法规和规章规定外，采购文件中用“拒绝”、“不接受”、“无效”、“不得”等文字规定，对其中任何一条的偏离，在评审时将其视为无效文件。未用上述文字规定或符号标注的条款为非实质性要求条款(即一般条款)。</w:t>
            </w:r>
          </w:p>
          <w:p w14:paraId="1DFBD02E">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除非另有特殊说明，若本采购文件中引用了某一品牌、型号或生产供应商名称，均是指参照该品牌、型号或生产供应商的产品或服务，所引用的品牌、型号或生产供应商不构成对投标的限制。若采用的外文术语与某一供应商或某一产品使用的术语相同，并非表示指定了该供应商或该产品。</w:t>
            </w:r>
          </w:p>
          <w:p w14:paraId="20016B3C">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4、采购人若发现成交候选供应商在投标过程中提供虚假证明文件，故意隐瞒公司不良信誉和财务状况，以及其他可能对合同圆满履行造成风险的因素等，则按规定取消其成交资格，监管部门依法进行处理。</w:t>
            </w:r>
          </w:p>
          <w:p w14:paraId="13372A9E">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5、投标人使用相同IP地址的，一经发现，相关部门将进一步核实，查实后按串通投标处理。</w:t>
            </w:r>
          </w:p>
          <w:p w14:paraId="2427B7C3">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6、其他：</w:t>
            </w:r>
          </w:p>
          <w:p w14:paraId="376DA58D">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（1）投标企业严格遵守国家的法律法规及招标纪律，无违法违纪及商业贿赂行为。</w:t>
            </w:r>
          </w:p>
          <w:p w14:paraId="4FF147E3">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（2）不管投标结果如何，供应商均应自行承担投标所需一切费用。</w:t>
            </w:r>
          </w:p>
          <w:p w14:paraId="37E26344">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（3）供应商应以书面形式保证成交后由本公司组织实施，不得以任何理由将项目转包给其他机构。</w:t>
            </w:r>
          </w:p>
          <w:p w14:paraId="086260F5">
            <w:pPr>
              <w:pStyle w:val="13"/>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highlight w:val="none"/>
              </w:rPr>
            </w:pPr>
            <w:r>
              <w:rPr>
                <w:rFonts w:hint="eastAsia" w:ascii="宋体" w:hAnsi="宋体" w:eastAsia="宋体" w:cs="宋体"/>
                <w:color w:val="auto"/>
                <w:sz w:val="21"/>
                <w:szCs w:val="21"/>
                <w:highlight w:val="none"/>
                <w:u w:val="none" w:color="000000"/>
                <w:lang w:val="en-US" w:eastAsia="zh-CN" w:bidi="en-US"/>
              </w:rPr>
              <w:t>（4）采购文件中如出现前后不一致情况，均以前附表内容为准。</w:t>
            </w:r>
          </w:p>
        </w:tc>
      </w:tr>
    </w:tbl>
    <w:p w14:paraId="7D6A5791">
      <w:pPr>
        <w:pageBreakBefore/>
        <w:shd w:val="clear" w:color="auto" w:fill="auto"/>
        <w:spacing w:before="312" w:beforeLines="100" w:after="312" w:afterLines="100" w:line="440" w:lineRule="exact"/>
        <w:jc w:val="center"/>
        <w:outlineLvl w:val="1"/>
        <w:rPr>
          <w:rFonts w:hint="eastAsia" w:ascii="宋体"/>
          <w:b/>
          <w:color w:val="auto"/>
          <w:sz w:val="28"/>
          <w:szCs w:val="32"/>
          <w:highlight w:val="none"/>
        </w:rPr>
      </w:pPr>
      <w:bookmarkStart w:id="12" w:name="_Toc31866"/>
      <w:r>
        <w:rPr>
          <w:rFonts w:hint="eastAsia" w:ascii="宋体"/>
          <w:b/>
          <w:color w:val="auto"/>
          <w:sz w:val="28"/>
          <w:szCs w:val="28"/>
          <w:highlight w:val="none"/>
        </w:rPr>
        <w:t>二、投标人须知</w:t>
      </w:r>
      <w:bookmarkEnd w:id="12"/>
    </w:p>
    <w:p w14:paraId="0EE0B2DC">
      <w:pPr>
        <w:shd w:val="clear" w:color="auto" w:fill="auto"/>
        <w:spacing w:line="440" w:lineRule="exact"/>
        <w:jc w:val="center"/>
        <w:outlineLvl w:val="2"/>
        <w:rPr>
          <w:rFonts w:hint="eastAsia" w:ascii="宋体"/>
          <w:color w:val="auto"/>
          <w:sz w:val="28"/>
          <w:szCs w:val="28"/>
          <w:highlight w:val="none"/>
        </w:rPr>
      </w:pPr>
      <w:bookmarkStart w:id="13" w:name="_Toc29178"/>
      <w:bookmarkStart w:id="14" w:name="_Toc469495724"/>
      <w:r>
        <w:rPr>
          <w:rFonts w:hint="eastAsia" w:ascii="宋体"/>
          <w:b/>
          <w:color w:val="auto"/>
          <w:sz w:val="28"/>
          <w:szCs w:val="28"/>
          <w:highlight w:val="none"/>
        </w:rPr>
        <w:t>（一）</w:t>
      </w:r>
      <w:r>
        <w:rPr>
          <w:rFonts w:hint="eastAsia" w:ascii="宋体"/>
          <w:b/>
          <w:color w:val="auto"/>
          <w:sz w:val="28"/>
          <w:szCs w:val="32"/>
          <w:highlight w:val="none"/>
        </w:rPr>
        <w:t>总  则</w:t>
      </w:r>
      <w:bookmarkEnd w:id="13"/>
      <w:bookmarkEnd w:id="14"/>
    </w:p>
    <w:p w14:paraId="3ED081E0">
      <w:pPr>
        <w:shd w:val="clear" w:color="auto" w:fill="auto"/>
        <w:snapToGrid w:val="0"/>
        <w:spacing w:line="440" w:lineRule="exact"/>
        <w:rPr>
          <w:rFonts w:hint="eastAsia" w:ascii="宋体"/>
          <w:b/>
          <w:color w:val="auto"/>
          <w:szCs w:val="21"/>
          <w:highlight w:val="none"/>
        </w:rPr>
      </w:pPr>
      <w:r>
        <w:rPr>
          <w:rFonts w:hint="eastAsia" w:ascii="宋体"/>
          <w:b/>
          <w:color w:val="auto"/>
          <w:szCs w:val="21"/>
          <w:highlight w:val="none"/>
        </w:rPr>
        <w:t>1.项目概况</w:t>
      </w:r>
    </w:p>
    <w:p w14:paraId="6E6282EF">
      <w:pPr>
        <w:shd w:val="clear" w:color="auto" w:fill="auto"/>
        <w:snapToGrid w:val="0"/>
        <w:spacing w:line="440" w:lineRule="exact"/>
        <w:ind w:firstLine="424" w:firstLineChars="200"/>
        <w:rPr>
          <w:rFonts w:hint="eastAsia" w:ascii="宋体"/>
          <w:color w:val="auto"/>
          <w:szCs w:val="21"/>
          <w:highlight w:val="none"/>
          <w:u w:val="single"/>
        </w:rPr>
      </w:pPr>
      <w:r>
        <w:rPr>
          <w:rFonts w:hint="eastAsia" w:ascii="宋体"/>
          <w:color w:val="auto"/>
          <w:szCs w:val="21"/>
          <w:highlight w:val="none"/>
        </w:rPr>
        <w:t>1.1本次招标采购项目名称：见投标人须知前附表。</w:t>
      </w:r>
    </w:p>
    <w:p w14:paraId="7F8C58EE">
      <w:pPr>
        <w:shd w:val="clear" w:color="auto" w:fill="auto"/>
        <w:snapToGrid w:val="0"/>
        <w:spacing w:line="440" w:lineRule="exact"/>
        <w:ind w:firstLine="848" w:firstLineChars="400"/>
        <w:rPr>
          <w:rFonts w:hint="eastAsia" w:ascii="宋体"/>
          <w:color w:val="auto"/>
          <w:szCs w:val="21"/>
          <w:highlight w:val="none"/>
          <w:u w:val="single"/>
        </w:rPr>
      </w:pPr>
      <w:r>
        <w:rPr>
          <w:rFonts w:hint="eastAsia" w:ascii="宋体"/>
          <w:color w:val="auto"/>
          <w:szCs w:val="21"/>
          <w:highlight w:val="none"/>
        </w:rPr>
        <w:t>项目编号：见投标人须知前附表。</w:t>
      </w:r>
    </w:p>
    <w:p w14:paraId="054B86F3">
      <w:pPr>
        <w:shd w:val="clear" w:color="auto" w:fill="auto"/>
        <w:snapToGrid w:val="0"/>
        <w:spacing w:line="440" w:lineRule="exact"/>
        <w:ind w:firstLine="848" w:firstLineChars="400"/>
        <w:rPr>
          <w:rFonts w:hint="eastAsia" w:ascii="宋体"/>
          <w:color w:val="auto"/>
          <w:szCs w:val="21"/>
          <w:highlight w:val="none"/>
          <w:u w:val="single"/>
        </w:rPr>
      </w:pPr>
      <w:r>
        <w:rPr>
          <w:rFonts w:hint="eastAsia" w:ascii="宋体"/>
          <w:color w:val="auto"/>
          <w:szCs w:val="21"/>
          <w:highlight w:val="none"/>
        </w:rPr>
        <w:t>招标人：见投标人须知前附表。</w:t>
      </w:r>
    </w:p>
    <w:p w14:paraId="5CCA5133">
      <w:pPr>
        <w:shd w:val="clear" w:color="auto" w:fill="auto"/>
        <w:snapToGrid w:val="0"/>
        <w:spacing w:line="440" w:lineRule="exact"/>
        <w:ind w:firstLine="848" w:firstLineChars="400"/>
        <w:rPr>
          <w:rFonts w:hint="eastAsia" w:ascii="宋体"/>
          <w:color w:val="auto"/>
          <w:szCs w:val="21"/>
          <w:highlight w:val="none"/>
          <w:u w:val="single"/>
        </w:rPr>
      </w:pPr>
      <w:r>
        <w:rPr>
          <w:rFonts w:hint="eastAsia" w:ascii="宋体"/>
          <w:color w:val="auto"/>
          <w:szCs w:val="21"/>
          <w:highlight w:val="none"/>
        </w:rPr>
        <w:t>供货期：见投标人须知前附表。</w:t>
      </w:r>
    </w:p>
    <w:p w14:paraId="13898DD2">
      <w:pPr>
        <w:shd w:val="clear" w:color="auto" w:fill="auto"/>
        <w:snapToGrid w:val="0"/>
        <w:spacing w:line="440" w:lineRule="exact"/>
        <w:ind w:firstLine="848" w:firstLineChars="400"/>
        <w:rPr>
          <w:rFonts w:hint="eastAsia" w:ascii="宋体"/>
          <w:color w:val="auto"/>
          <w:szCs w:val="21"/>
          <w:highlight w:val="none"/>
          <w:u w:val="single"/>
        </w:rPr>
      </w:pPr>
      <w:r>
        <w:rPr>
          <w:rFonts w:hint="eastAsia" w:ascii="宋体"/>
          <w:color w:val="auto"/>
          <w:szCs w:val="21"/>
          <w:highlight w:val="none"/>
        </w:rPr>
        <w:t>供货地点：见投标人须知前附表。</w:t>
      </w:r>
    </w:p>
    <w:p w14:paraId="151572C5">
      <w:pPr>
        <w:shd w:val="clear" w:color="auto" w:fill="auto"/>
        <w:snapToGrid w:val="0"/>
        <w:spacing w:line="440" w:lineRule="exact"/>
        <w:ind w:firstLine="424" w:firstLineChars="200"/>
        <w:rPr>
          <w:rFonts w:hint="eastAsia" w:ascii="宋体"/>
          <w:color w:val="auto"/>
          <w:szCs w:val="21"/>
          <w:highlight w:val="none"/>
          <w:u w:val="single"/>
        </w:rPr>
      </w:pPr>
      <w:r>
        <w:rPr>
          <w:rFonts w:hint="eastAsia" w:ascii="宋体"/>
          <w:color w:val="auto"/>
          <w:szCs w:val="21"/>
          <w:highlight w:val="none"/>
        </w:rPr>
        <w:t>1.2招标人及联系人:见投标人须知前附表。</w:t>
      </w:r>
    </w:p>
    <w:p w14:paraId="0601611F">
      <w:pPr>
        <w:shd w:val="clear" w:color="auto" w:fill="auto"/>
        <w:snapToGrid w:val="0"/>
        <w:spacing w:line="440" w:lineRule="exact"/>
        <w:ind w:firstLine="742" w:firstLineChars="350"/>
        <w:rPr>
          <w:rFonts w:hint="eastAsia" w:ascii="宋体"/>
          <w:color w:val="auto"/>
          <w:szCs w:val="21"/>
          <w:highlight w:val="none"/>
          <w:u w:val="single"/>
        </w:rPr>
      </w:pPr>
      <w:r>
        <w:rPr>
          <w:rFonts w:hint="eastAsia" w:ascii="宋体"/>
          <w:color w:val="auto"/>
          <w:szCs w:val="21"/>
          <w:highlight w:val="none"/>
        </w:rPr>
        <w:t xml:space="preserve"> 代理机构及联系人:见投标人须知前附表。</w:t>
      </w:r>
    </w:p>
    <w:p w14:paraId="43347B57">
      <w:pPr>
        <w:shd w:val="clear" w:color="auto" w:fill="auto"/>
        <w:snapToGrid w:val="0"/>
        <w:spacing w:line="440" w:lineRule="exact"/>
        <w:ind w:firstLine="424" w:firstLineChars="200"/>
        <w:rPr>
          <w:rFonts w:hint="eastAsia" w:ascii="宋体"/>
          <w:color w:val="auto"/>
          <w:szCs w:val="21"/>
          <w:highlight w:val="none"/>
        </w:rPr>
      </w:pPr>
      <w:r>
        <w:rPr>
          <w:rFonts w:hint="eastAsia" w:ascii="宋体"/>
          <w:color w:val="auto"/>
          <w:szCs w:val="21"/>
          <w:highlight w:val="none"/>
        </w:rPr>
        <w:t>1.3资金来源：见投标人须知前附表。</w:t>
      </w:r>
    </w:p>
    <w:p w14:paraId="3A1C0FE9">
      <w:pPr>
        <w:shd w:val="clear" w:color="auto" w:fill="auto"/>
        <w:snapToGrid w:val="0"/>
        <w:spacing w:line="440" w:lineRule="exact"/>
        <w:ind w:firstLine="424" w:firstLineChars="200"/>
        <w:rPr>
          <w:rFonts w:hint="eastAsia" w:ascii="宋体"/>
          <w:color w:val="auto"/>
          <w:szCs w:val="21"/>
          <w:highlight w:val="none"/>
        </w:rPr>
      </w:pPr>
      <w:r>
        <w:rPr>
          <w:rFonts w:hint="eastAsia" w:ascii="宋体"/>
          <w:color w:val="auto"/>
          <w:szCs w:val="21"/>
          <w:highlight w:val="none"/>
        </w:rPr>
        <w:t>1.4本项目预算：见投标人须知前附表。</w:t>
      </w:r>
    </w:p>
    <w:p w14:paraId="4C8EDABA">
      <w:pPr>
        <w:shd w:val="clear" w:color="auto" w:fill="auto"/>
        <w:snapToGrid w:val="0"/>
        <w:spacing w:line="440" w:lineRule="exact"/>
        <w:ind w:firstLine="424" w:firstLineChars="200"/>
        <w:rPr>
          <w:rFonts w:hint="eastAsia" w:ascii="宋体"/>
          <w:color w:val="auto"/>
          <w:szCs w:val="21"/>
          <w:highlight w:val="none"/>
        </w:rPr>
      </w:pPr>
      <w:r>
        <w:rPr>
          <w:rFonts w:hint="eastAsia" w:ascii="宋体"/>
          <w:color w:val="auto"/>
          <w:szCs w:val="21"/>
          <w:highlight w:val="none"/>
        </w:rPr>
        <w:t>1.5本项目控制价：见投标人须知前附表。</w:t>
      </w:r>
    </w:p>
    <w:p w14:paraId="67460635">
      <w:pPr>
        <w:shd w:val="clear" w:color="auto" w:fill="auto"/>
        <w:snapToGrid w:val="0"/>
        <w:spacing w:line="440" w:lineRule="exact"/>
        <w:rPr>
          <w:rFonts w:hint="eastAsia" w:ascii="宋体"/>
          <w:b/>
          <w:color w:val="auto"/>
          <w:szCs w:val="21"/>
          <w:highlight w:val="none"/>
        </w:rPr>
      </w:pPr>
      <w:r>
        <w:rPr>
          <w:rFonts w:hint="eastAsia" w:ascii="宋体"/>
          <w:b/>
          <w:color w:val="auto"/>
          <w:szCs w:val="21"/>
          <w:highlight w:val="none"/>
        </w:rPr>
        <w:t>2.招标范围：</w:t>
      </w:r>
    </w:p>
    <w:p w14:paraId="1EA847D6">
      <w:pPr>
        <w:shd w:val="clear" w:color="auto" w:fill="auto"/>
        <w:snapToGrid w:val="0"/>
        <w:spacing w:line="440" w:lineRule="exact"/>
        <w:ind w:firstLine="424" w:firstLineChars="200"/>
        <w:rPr>
          <w:rFonts w:hint="eastAsia" w:ascii="宋体"/>
          <w:color w:val="auto"/>
          <w:szCs w:val="21"/>
          <w:highlight w:val="none"/>
          <w:u w:val="single"/>
        </w:rPr>
      </w:pPr>
      <w:r>
        <w:rPr>
          <w:rFonts w:hint="eastAsia" w:ascii="宋体"/>
          <w:color w:val="auto"/>
          <w:szCs w:val="21"/>
          <w:highlight w:val="none"/>
        </w:rPr>
        <w:t>2.1 采购内容：见投标人须知前附表。</w:t>
      </w:r>
    </w:p>
    <w:p w14:paraId="71915785">
      <w:pPr>
        <w:shd w:val="clear" w:color="auto" w:fill="auto"/>
        <w:snapToGrid w:val="0"/>
        <w:spacing w:line="440" w:lineRule="exact"/>
        <w:ind w:firstLine="424" w:firstLineChars="200"/>
        <w:rPr>
          <w:rFonts w:hint="eastAsia" w:ascii="宋体"/>
          <w:color w:val="auto"/>
          <w:szCs w:val="21"/>
          <w:highlight w:val="none"/>
        </w:rPr>
      </w:pPr>
      <w:r>
        <w:rPr>
          <w:rFonts w:hint="eastAsia" w:ascii="宋体"/>
          <w:color w:val="auto"/>
          <w:szCs w:val="21"/>
          <w:highlight w:val="none"/>
        </w:rPr>
        <w:t>2.2 技术要求：详见</w:t>
      </w:r>
      <w:r>
        <w:rPr>
          <w:rFonts w:hint="eastAsia" w:ascii="宋体"/>
          <w:color w:val="auto"/>
          <w:szCs w:val="21"/>
          <w:highlight w:val="none"/>
          <w:lang w:eastAsia="zh-CN"/>
        </w:rPr>
        <w:t>采购文件</w:t>
      </w:r>
      <w:r>
        <w:rPr>
          <w:rFonts w:hint="eastAsia" w:ascii="宋体"/>
          <w:color w:val="auto"/>
          <w:szCs w:val="21"/>
          <w:highlight w:val="none"/>
        </w:rPr>
        <w:t>第四章采购内容及技术要求。</w:t>
      </w:r>
    </w:p>
    <w:p w14:paraId="48DC84DE">
      <w:pPr>
        <w:shd w:val="clear" w:color="auto" w:fill="auto"/>
        <w:snapToGrid w:val="0"/>
        <w:spacing w:line="440" w:lineRule="exact"/>
        <w:rPr>
          <w:rFonts w:hint="eastAsia" w:ascii="宋体"/>
          <w:b/>
          <w:color w:val="auto"/>
          <w:szCs w:val="21"/>
          <w:highlight w:val="none"/>
        </w:rPr>
      </w:pPr>
      <w:r>
        <w:rPr>
          <w:rFonts w:hint="eastAsia" w:ascii="宋体"/>
          <w:b/>
          <w:color w:val="auto"/>
          <w:szCs w:val="21"/>
          <w:highlight w:val="none"/>
        </w:rPr>
        <w:t>3.标包划分：</w:t>
      </w:r>
    </w:p>
    <w:p w14:paraId="2191D8F4">
      <w:pPr>
        <w:shd w:val="clear" w:color="auto" w:fill="auto"/>
        <w:snapToGrid w:val="0"/>
        <w:spacing w:line="440" w:lineRule="exact"/>
        <w:ind w:firstLine="424" w:firstLineChars="200"/>
        <w:jc w:val="left"/>
        <w:rPr>
          <w:rFonts w:hint="eastAsia" w:ascii="宋体"/>
          <w:color w:val="auto"/>
          <w:szCs w:val="21"/>
          <w:highlight w:val="none"/>
        </w:rPr>
      </w:pPr>
      <w:r>
        <w:rPr>
          <w:rFonts w:hint="eastAsia" w:ascii="宋体"/>
          <w:color w:val="auto"/>
          <w:szCs w:val="21"/>
          <w:highlight w:val="none"/>
        </w:rPr>
        <w:t>3.1本项目划分：</w:t>
      </w:r>
      <w:r>
        <w:rPr>
          <w:rFonts w:hint="eastAsia" w:ascii="宋体"/>
          <w:color w:val="auto"/>
          <w:szCs w:val="21"/>
          <w:highlight w:val="none"/>
          <w:u w:val="single"/>
        </w:rPr>
        <w:t xml:space="preserve"> </w:t>
      </w:r>
      <w:r>
        <w:rPr>
          <w:rFonts w:hint="eastAsia" w:ascii="宋体"/>
          <w:color w:val="auto"/>
          <w:szCs w:val="21"/>
          <w:highlight w:val="none"/>
          <w:u w:val="single"/>
          <w:lang w:val="en-US" w:eastAsia="zh-CN"/>
        </w:rPr>
        <w:t>1</w:t>
      </w:r>
      <w:r>
        <w:rPr>
          <w:rFonts w:hint="eastAsia" w:ascii="宋体"/>
          <w:color w:val="auto"/>
          <w:szCs w:val="21"/>
          <w:highlight w:val="none"/>
          <w:u w:val="single"/>
        </w:rPr>
        <w:t xml:space="preserve"> </w:t>
      </w:r>
      <w:r>
        <w:rPr>
          <w:rFonts w:hint="eastAsia" w:ascii="宋体"/>
          <w:color w:val="auto"/>
          <w:szCs w:val="21"/>
          <w:highlight w:val="none"/>
        </w:rPr>
        <w:t xml:space="preserve"> </w:t>
      </w:r>
      <w:r>
        <w:rPr>
          <w:rFonts w:hint="eastAsia"/>
          <w:color w:val="auto"/>
          <w:szCs w:val="21"/>
          <w:highlight w:val="none"/>
        </w:rPr>
        <w:t>个标包</w:t>
      </w:r>
      <w:r>
        <w:rPr>
          <w:rFonts w:hint="eastAsia" w:ascii="宋体" w:hAnsi="宋体" w:cs="宋体"/>
          <w:color w:val="auto"/>
          <w:kern w:val="0"/>
          <w:szCs w:val="21"/>
          <w:highlight w:val="none"/>
        </w:rPr>
        <w:t>。</w:t>
      </w:r>
    </w:p>
    <w:p w14:paraId="042982D8">
      <w:pPr>
        <w:shd w:val="clear" w:color="auto" w:fill="auto"/>
        <w:snapToGrid w:val="0"/>
        <w:spacing w:line="440" w:lineRule="exact"/>
        <w:rPr>
          <w:rFonts w:hint="eastAsia" w:ascii="宋体"/>
          <w:b/>
          <w:color w:val="auto"/>
          <w:szCs w:val="21"/>
          <w:highlight w:val="none"/>
        </w:rPr>
      </w:pPr>
      <w:r>
        <w:rPr>
          <w:rFonts w:hint="eastAsia" w:ascii="宋体"/>
          <w:b/>
          <w:color w:val="auto"/>
          <w:szCs w:val="21"/>
          <w:highlight w:val="none"/>
        </w:rPr>
        <w:t>4.招标方式：</w:t>
      </w:r>
    </w:p>
    <w:p w14:paraId="46FA272E">
      <w:pPr>
        <w:shd w:val="clear" w:color="auto" w:fill="auto"/>
        <w:snapToGrid w:val="0"/>
        <w:spacing w:line="440" w:lineRule="exact"/>
        <w:ind w:firstLine="424" w:firstLineChars="200"/>
        <w:rPr>
          <w:rFonts w:hint="eastAsia" w:ascii="宋体"/>
          <w:color w:val="auto"/>
          <w:szCs w:val="21"/>
          <w:highlight w:val="none"/>
        </w:rPr>
      </w:pPr>
      <w:r>
        <w:rPr>
          <w:rFonts w:hint="eastAsia" w:ascii="宋体"/>
          <w:color w:val="auto"/>
          <w:szCs w:val="21"/>
          <w:highlight w:val="none"/>
        </w:rPr>
        <w:t>4.1本项目招标方式：见投标人须知前附表。</w:t>
      </w:r>
    </w:p>
    <w:p w14:paraId="0462EBD8">
      <w:pPr>
        <w:shd w:val="clear" w:color="auto" w:fill="auto"/>
        <w:snapToGrid w:val="0"/>
        <w:spacing w:line="440" w:lineRule="exact"/>
        <w:rPr>
          <w:rFonts w:hint="eastAsia" w:ascii="宋体"/>
          <w:b/>
          <w:color w:val="auto"/>
          <w:szCs w:val="21"/>
          <w:highlight w:val="none"/>
        </w:rPr>
      </w:pPr>
      <w:r>
        <w:rPr>
          <w:rFonts w:hint="eastAsia" w:ascii="宋体"/>
          <w:b/>
          <w:color w:val="auto"/>
          <w:szCs w:val="21"/>
          <w:highlight w:val="none"/>
        </w:rPr>
        <w:t>5.计价方式：</w:t>
      </w:r>
    </w:p>
    <w:p w14:paraId="1FD5B60A">
      <w:pPr>
        <w:shd w:val="clear" w:color="auto" w:fill="auto"/>
        <w:snapToGrid w:val="0"/>
        <w:spacing w:line="440" w:lineRule="exact"/>
        <w:ind w:firstLine="424" w:firstLineChars="200"/>
        <w:rPr>
          <w:rFonts w:hint="eastAsia" w:ascii="宋体"/>
          <w:color w:val="auto"/>
          <w:szCs w:val="21"/>
          <w:highlight w:val="none"/>
        </w:rPr>
      </w:pPr>
      <w:r>
        <w:rPr>
          <w:rFonts w:hint="eastAsia" w:ascii="宋体"/>
          <w:color w:val="auto"/>
          <w:szCs w:val="21"/>
          <w:highlight w:val="none"/>
        </w:rPr>
        <w:t>5.1本次招标项目合同采用</w:t>
      </w:r>
      <w:r>
        <w:rPr>
          <w:rFonts w:hint="eastAsia" w:ascii="宋体"/>
          <w:color w:val="auto"/>
          <w:szCs w:val="21"/>
          <w:highlight w:val="none"/>
          <w:u w:val="single"/>
        </w:rPr>
        <w:t xml:space="preserve">   </w:t>
      </w:r>
      <w:r>
        <w:rPr>
          <w:rFonts w:hint="eastAsia" w:ascii="宋体"/>
          <w:color w:val="auto"/>
          <w:szCs w:val="21"/>
          <w:highlight w:val="none"/>
          <w:u w:val="single"/>
          <w:lang w:val="en-US" w:eastAsia="zh-CN"/>
        </w:rPr>
        <w:t>固定合价</w:t>
      </w:r>
      <w:r>
        <w:rPr>
          <w:rFonts w:hint="eastAsia" w:ascii="宋体"/>
          <w:color w:val="auto"/>
          <w:szCs w:val="21"/>
          <w:highlight w:val="none"/>
          <w:u w:val="single"/>
        </w:rPr>
        <w:t xml:space="preserve"> 。</w:t>
      </w:r>
    </w:p>
    <w:p w14:paraId="3B7F806F">
      <w:pPr>
        <w:shd w:val="clear" w:color="auto" w:fill="auto"/>
        <w:snapToGrid w:val="0"/>
        <w:spacing w:line="440" w:lineRule="exact"/>
        <w:rPr>
          <w:rFonts w:hint="eastAsia" w:ascii="宋体"/>
          <w:b/>
          <w:color w:val="auto"/>
          <w:szCs w:val="21"/>
          <w:highlight w:val="none"/>
        </w:rPr>
      </w:pPr>
      <w:r>
        <w:rPr>
          <w:rFonts w:hint="eastAsia" w:ascii="宋体"/>
          <w:b/>
          <w:color w:val="auto"/>
          <w:szCs w:val="21"/>
          <w:highlight w:val="none"/>
        </w:rPr>
        <w:t>6.评标办法：</w:t>
      </w:r>
    </w:p>
    <w:p w14:paraId="29C2240A">
      <w:pPr>
        <w:shd w:val="clear" w:color="auto" w:fill="auto"/>
        <w:snapToGrid w:val="0"/>
        <w:spacing w:line="440" w:lineRule="exact"/>
        <w:ind w:firstLine="424" w:firstLineChars="200"/>
        <w:rPr>
          <w:rFonts w:hint="eastAsia" w:ascii="宋体"/>
          <w:color w:val="auto"/>
          <w:szCs w:val="21"/>
          <w:highlight w:val="none"/>
        </w:rPr>
      </w:pPr>
      <w:r>
        <w:rPr>
          <w:rFonts w:hint="eastAsia" w:ascii="宋体"/>
          <w:color w:val="auto"/>
          <w:szCs w:val="21"/>
          <w:highlight w:val="none"/>
        </w:rPr>
        <w:t>6.1本次招标评标采用</w:t>
      </w:r>
      <w:r>
        <w:rPr>
          <w:rFonts w:hint="eastAsia" w:ascii="宋体"/>
          <w:color w:val="auto"/>
          <w:szCs w:val="21"/>
          <w:highlight w:val="none"/>
          <w:u w:val="single"/>
        </w:rPr>
        <w:t xml:space="preserve">  </w:t>
      </w:r>
      <w:r>
        <w:rPr>
          <w:rFonts w:hint="eastAsia" w:ascii="宋体"/>
          <w:b/>
          <w:bCs/>
          <w:color w:val="auto"/>
          <w:szCs w:val="21"/>
          <w:highlight w:val="none"/>
          <w:u w:val="single"/>
        </w:rPr>
        <w:t>符合</w:t>
      </w:r>
      <w:r>
        <w:rPr>
          <w:rFonts w:hint="eastAsia" w:ascii="宋体"/>
          <w:b/>
          <w:bCs/>
          <w:color w:val="auto"/>
          <w:szCs w:val="21"/>
          <w:highlight w:val="none"/>
          <w:u w:val="single"/>
          <w:lang w:val="en-US" w:eastAsia="zh-CN"/>
        </w:rPr>
        <w:t>招标</w:t>
      </w:r>
      <w:r>
        <w:rPr>
          <w:rFonts w:hint="eastAsia" w:ascii="宋体"/>
          <w:b/>
          <w:bCs/>
          <w:color w:val="auto"/>
          <w:szCs w:val="21"/>
          <w:highlight w:val="none"/>
          <w:u w:val="single"/>
          <w:lang w:eastAsia="zh-CN"/>
        </w:rPr>
        <w:t>文件</w:t>
      </w:r>
      <w:r>
        <w:rPr>
          <w:rFonts w:hint="eastAsia" w:ascii="宋体"/>
          <w:b/>
          <w:bCs/>
          <w:color w:val="auto"/>
          <w:szCs w:val="21"/>
          <w:highlight w:val="none"/>
          <w:u w:val="single"/>
        </w:rPr>
        <w:t>的综合评分法</w:t>
      </w:r>
      <w:r>
        <w:rPr>
          <w:rFonts w:hint="eastAsia" w:ascii="宋体"/>
          <w:color w:val="auto"/>
          <w:szCs w:val="21"/>
          <w:highlight w:val="none"/>
          <w:u w:val="single"/>
        </w:rPr>
        <w:t xml:space="preserve"> </w:t>
      </w:r>
      <w:r>
        <w:rPr>
          <w:rFonts w:hint="eastAsia" w:ascii="宋体"/>
          <w:color w:val="auto"/>
          <w:szCs w:val="21"/>
          <w:highlight w:val="none"/>
        </w:rPr>
        <w:t>（详见第三章评标办法）</w:t>
      </w:r>
    </w:p>
    <w:p w14:paraId="13571AD8">
      <w:pPr>
        <w:shd w:val="clear" w:color="auto" w:fill="auto"/>
        <w:snapToGrid w:val="0"/>
        <w:spacing w:line="440" w:lineRule="exact"/>
        <w:rPr>
          <w:rFonts w:hint="eastAsia" w:ascii="宋体"/>
          <w:b/>
          <w:color w:val="auto"/>
          <w:szCs w:val="21"/>
          <w:highlight w:val="none"/>
        </w:rPr>
      </w:pPr>
      <w:r>
        <w:rPr>
          <w:rFonts w:hint="eastAsia" w:ascii="宋体"/>
          <w:b/>
          <w:color w:val="auto"/>
          <w:szCs w:val="21"/>
          <w:highlight w:val="none"/>
        </w:rPr>
        <w:t>7.投标人资格：</w:t>
      </w:r>
    </w:p>
    <w:p w14:paraId="4146FFCC">
      <w:pPr>
        <w:shd w:val="clear" w:color="auto" w:fill="auto"/>
        <w:snapToGrid w:val="0"/>
        <w:spacing w:line="440" w:lineRule="exact"/>
        <w:ind w:firstLine="424" w:firstLineChars="200"/>
        <w:rPr>
          <w:rFonts w:hint="eastAsia" w:ascii="宋体"/>
          <w:color w:val="auto"/>
          <w:szCs w:val="21"/>
          <w:highlight w:val="none"/>
        </w:rPr>
      </w:pPr>
      <w:r>
        <w:rPr>
          <w:rFonts w:hint="eastAsia" w:ascii="宋体"/>
          <w:color w:val="auto"/>
          <w:szCs w:val="21"/>
          <w:highlight w:val="none"/>
        </w:rPr>
        <w:t>7.1参与采购活动的投标人必须是满足《中华人民共和国政府采购法》规定条件的法人、其他组织或者自然人：</w:t>
      </w:r>
    </w:p>
    <w:p w14:paraId="68544FF5">
      <w:pPr>
        <w:shd w:val="clear" w:color="auto" w:fill="auto"/>
        <w:snapToGrid w:val="0"/>
        <w:spacing w:line="440" w:lineRule="exact"/>
        <w:ind w:firstLine="424" w:firstLineChars="200"/>
        <w:rPr>
          <w:rFonts w:hint="eastAsia" w:ascii="宋体"/>
          <w:color w:val="auto"/>
          <w:szCs w:val="21"/>
          <w:highlight w:val="none"/>
        </w:rPr>
      </w:pPr>
      <w:r>
        <w:rPr>
          <w:rFonts w:hint="eastAsia" w:ascii="宋体"/>
          <w:color w:val="auto"/>
          <w:szCs w:val="21"/>
          <w:highlight w:val="none"/>
        </w:rPr>
        <w:t>7.2由于政府采购项目的差异性，投标人在参与具体政府采购项目活动时，应仔细阅读该项目的资质要求,具体见投标人须知前附表。</w:t>
      </w:r>
    </w:p>
    <w:p w14:paraId="192742EA">
      <w:pPr>
        <w:shd w:val="clear" w:color="auto" w:fill="auto"/>
        <w:snapToGrid w:val="0"/>
        <w:spacing w:line="440" w:lineRule="exact"/>
        <w:ind w:firstLine="424" w:firstLineChars="200"/>
        <w:rPr>
          <w:rFonts w:hint="eastAsia" w:ascii="宋体"/>
          <w:color w:val="auto"/>
          <w:szCs w:val="21"/>
          <w:highlight w:val="none"/>
        </w:rPr>
      </w:pPr>
      <w:r>
        <w:rPr>
          <w:rFonts w:hint="eastAsia" w:ascii="宋体"/>
          <w:color w:val="auto"/>
          <w:szCs w:val="21"/>
          <w:highlight w:val="none"/>
        </w:rPr>
        <w:t>7.3根据电子化政府采购的特点，各供应商在开标前应确保成为新疆维吾尔自治区政府采购网正式注册入库供应商，并完成CA数字证书申领。因未注册入库、未办理CA数字证书等原因造成无法投标或投标失败等后果由供应商自行承担。</w:t>
      </w:r>
    </w:p>
    <w:p w14:paraId="1CE24068">
      <w:pPr>
        <w:shd w:val="clear" w:color="auto" w:fill="auto"/>
        <w:snapToGrid w:val="0"/>
        <w:spacing w:line="440" w:lineRule="exact"/>
        <w:ind w:firstLine="424" w:firstLineChars="200"/>
        <w:rPr>
          <w:rFonts w:hint="eastAsia" w:ascii="宋体"/>
          <w:color w:val="auto"/>
          <w:szCs w:val="21"/>
          <w:highlight w:val="none"/>
        </w:rPr>
      </w:pPr>
      <w:r>
        <w:rPr>
          <w:rFonts w:hint="eastAsia" w:ascii="宋体"/>
          <w:color w:val="auto"/>
          <w:szCs w:val="21"/>
          <w:highlight w:val="none"/>
        </w:rPr>
        <w:t>7.4投标人必须确保自己在信息库中注册的信息真实、准确，并保证投标文件中的有关信息与库中的信息相一致。否则，投标人因此蒙受损失，招标人概不负责。</w:t>
      </w:r>
    </w:p>
    <w:p w14:paraId="6470DD8B">
      <w:pPr>
        <w:shd w:val="clear" w:color="auto" w:fill="auto"/>
        <w:spacing w:line="440" w:lineRule="exact"/>
        <w:rPr>
          <w:rFonts w:hint="eastAsia"/>
          <w:b/>
          <w:color w:val="auto"/>
          <w:szCs w:val="21"/>
          <w:highlight w:val="none"/>
        </w:rPr>
      </w:pPr>
      <w:r>
        <w:rPr>
          <w:rFonts w:hint="eastAsia"/>
          <w:b/>
          <w:color w:val="auto"/>
          <w:szCs w:val="21"/>
          <w:highlight w:val="none"/>
        </w:rPr>
        <w:t>8. 投标费用</w:t>
      </w:r>
    </w:p>
    <w:p w14:paraId="6594808B">
      <w:pPr>
        <w:shd w:val="clear" w:color="auto" w:fill="auto"/>
        <w:snapToGrid w:val="0"/>
        <w:spacing w:line="440" w:lineRule="exact"/>
        <w:ind w:firstLine="424" w:firstLineChars="200"/>
        <w:rPr>
          <w:rFonts w:hint="eastAsia" w:ascii="宋体"/>
          <w:color w:val="auto"/>
          <w:szCs w:val="21"/>
          <w:highlight w:val="none"/>
        </w:rPr>
      </w:pPr>
      <w:r>
        <w:rPr>
          <w:rFonts w:hint="eastAsia" w:ascii="宋体"/>
          <w:color w:val="auto"/>
          <w:szCs w:val="21"/>
          <w:highlight w:val="none"/>
        </w:rPr>
        <w:t>8.1投标人准备和参加投标活动发生的费用自理。</w:t>
      </w:r>
    </w:p>
    <w:p w14:paraId="359C860C">
      <w:pPr>
        <w:shd w:val="clear" w:color="auto" w:fill="auto"/>
        <w:spacing w:line="440" w:lineRule="exact"/>
        <w:rPr>
          <w:rFonts w:hint="eastAsia"/>
          <w:b/>
          <w:color w:val="auto"/>
          <w:szCs w:val="21"/>
          <w:highlight w:val="none"/>
        </w:rPr>
      </w:pPr>
      <w:r>
        <w:rPr>
          <w:rFonts w:hint="eastAsia"/>
          <w:b/>
          <w:color w:val="auto"/>
          <w:szCs w:val="21"/>
          <w:highlight w:val="none"/>
        </w:rPr>
        <w:t>9.</w:t>
      </w:r>
      <w:bookmarkStart w:id="15" w:name="_Toc247513962"/>
      <w:bookmarkStart w:id="16" w:name="_Toc152042315"/>
      <w:bookmarkStart w:id="17" w:name="_Toc247592876"/>
      <w:bookmarkStart w:id="18" w:name="_Toc247527563"/>
      <w:bookmarkStart w:id="19" w:name="_Toc152045539"/>
      <w:bookmarkStart w:id="20" w:name="_Toc296602429"/>
      <w:bookmarkStart w:id="21" w:name="_Toc144974507"/>
      <w:r>
        <w:rPr>
          <w:rFonts w:hint="eastAsia"/>
          <w:b/>
          <w:color w:val="auto"/>
          <w:szCs w:val="21"/>
          <w:highlight w:val="none"/>
        </w:rPr>
        <w:t xml:space="preserve"> 踏勘现场</w:t>
      </w:r>
      <w:bookmarkEnd w:id="15"/>
      <w:bookmarkEnd w:id="16"/>
      <w:bookmarkEnd w:id="17"/>
      <w:bookmarkEnd w:id="18"/>
      <w:bookmarkEnd w:id="19"/>
      <w:bookmarkEnd w:id="20"/>
      <w:bookmarkEnd w:id="21"/>
    </w:p>
    <w:p w14:paraId="13EE556C">
      <w:pPr>
        <w:shd w:val="clear" w:color="auto" w:fill="auto"/>
        <w:spacing w:line="440" w:lineRule="exact"/>
        <w:ind w:firstLine="412" w:firstLineChars="195"/>
        <w:rPr>
          <w:rFonts w:hint="eastAsia" w:ascii="宋体"/>
          <w:color w:val="auto"/>
          <w:szCs w:val="21"/>
          <w:highlight w:val="none"/>
        </w:rPr>
      </w:pPr>
      <w:r>
        <w:rPr>
          <w:rFonts w:hint="eastAsia" w:ascii="宋体"/>
          <w:color w:val="auto"/>
          <w:szCs w:val="21"/>
          <w:highlight w:val="none"/>
        </w:rPr>
        <w:t>9.1 投标人须知前附表规定组织踏勘现场的，招标人按投标人须知前附表规定的时间、地点组织投标人踏勘项目现场。</w:t>
      </w:r>
      <w:r>
        <w:rPr>
          <w:rFonts w:hint="eastAsia" w:ascii="宋体"/>
          <w:color w:val="auto"/>
          <w:szCs w:val="21"/>
          <w:highlight w:val="none"/>
          <w:lang w:eastAsia="zh-CN"/>
        </w:rPr>
        <w:t>如需踏勘现场，</w:t>
      </w:r>
      <w:r>
        <w:rPr>
          <w:rFonts w:hint="eastAsia"/>
          <w:color w:val="auto"/>
          <w:highlight w:val="none"/>
          <w:lang w:eastAsia="zh-CN"/>
        </w:rPr>
        <w:t>投标人自行踏勘现场的，可咨询本项目采购人或采购代理机构联系人。</w:t>
      </w:r>
      <w:r>
        <w:rPr>
          <w:rFonts w:hint="eastAsia"/>
          <w:b/>
          <w:bCs/>
          <w:color w:val="auto"/>
          <w:highlight w:val="none"/>
          <w:lang w:eastAsia="zh-CN"/>
        </w:rPr>
        <w:t>投标人自行踏勘现场的，可咨询本项目采购人或采购代理机构联系人</w:t>
      </w:r>
      <w:r>
        <w:rPr>
          <w:rFonts w:hint="eastAsia"/>
          <w:b w:val="0"/>
          <w:bCs w:val="0"/>
          <w:color w:val="auto"/>
          <w:highlight w:val="none"/>
          <w:lang w:eastAsia="zh-CN"/>
        </w:rPr>
        <w:t>。</w:t>
      </w:r>
      <w:r>
        <w:rPr>
          <w:rFonts w:hint="eastAsia" w:ascii="宋体"/>
          <w:b w:val="0"/>
          <w:bCs w:val="0"/>
          <w:color w:val="auto"/>
          <w:szCs w:val="21"/>
          <w:highlight w:val="none"/>
        </w:rPr>
        <w:t xml:space="preserve"> </w:t>
      </w:r>
    </w:p>
    <w:p w14:paraId="498BDC98">
      <w:pPr>
        <w:shd w:val="clear" w:color="auto" w:fill="auto"/>
        <w:spacing w:line="440" w:lineRule="exact"/>
        <w:ind w:firstLine="412" w:firstLineChars="195"/>
        <w:rPr>
          <w:rFonts w:hint="eastAsia" w:ascii="宋体"/>
          <w:color w:val="auto"/>
          <w:szCs w:val="21"/>
          <w:highlight w:val="none"/>
        </w:rPr>
      </w:pPr>
      <w:r>
        <w:rPr>
          <w:rFonts w:hint="eastAsia" w:ascii="宋体"/>
          <w:color w:val="auto"/>
          <w:szCs w:val="21"/>
          <w:highlight w:val="none"/>
        </w:rPr>
        <w:t>9.2 投标人踏勘现场发生的费用自理。</w:t>
      </w:r>
    </w:p>
    <w:p w14:paraId="6F655420">
      <w:pPr>
        <w:shd w:val="clear" w:color="auto" w:fill="auto"/>
        <w:spacing w:line="440" w:lineRule="exact"/>
        <w:ind w:firstLine="412" w:firstLineChars="195"/>
        <w:rPr>
          <w:rFonts w:hint="eastAsia" w:ascii="宋体"/>
          <w:color w:val="auto"/>
          <w:szCs w:val="21"/>
          <w:highlight w:val="none"/>
        </w:rPr>
      </w:pPr>
      <w:r>
        <w:rPr>
          <w:rFonts w:hint="eastAsia" w:ascii="宋体"/>
          <w:color w:val="auto"/>
          <w:szCs w:val="21"/>
          <w:highlight w:val="none"/>
        </w:rPr>
        <w:t>9.3 除招标人的原因外，投标人自行负责在踏勘现场中所发生的人员伤亡和财产损失。</w:t>
      </w:r>
    </w:p>
    <w:p w14:paraId="3D2431DE">
      <w:pPr>
        <w:shd w:val="clear" w:color="auto" w:fill="auto"/>
        <w:spacing w:line="440" w:lineRule="exact"/>
        <w:ind w:firstLine="412" w:firstLineChars="195"/>
        <w:rPr>
          <w:rFonts w:hint="eastAsia" w:ascii="宋体"/>
          <w:color w:val="auto"/>
          <w:szCs w:val="21"/>
          <w:highlight w:val="none"/>
        </w:rPr>
      </w:pPr>
      <w:r>
        <w:rPr>
          <w:rFonts w:hint="eastAsia" w:ascii="宋体"/>
          <w:color w:val="auto"/>
          <w:szCs w:val="21"/>
          <w:highlight w:val="none"/>
        </w:rPr>
        <w:t>9.4 招标人在踏勘现场中介绍的场地和相关的周边环境情况，供投标人在编制投标文件时参考，招标人不对投标人据此作出的判断和决策负责。</w:t>
      </w:r>
      <w:bookmarkStart w:id="22" w:name="_Toc296602430"/>
      <w:bookmarkStart w:id="23" w:name="_Toc247592877"/>
      <w:bookmarkStart w:id="24" w:name="_Toc152045540"/>
      <w:bookmarkStart w:id="25" w:name="_Toc247513963"/>
      <w:bookmarkStart w:id="26" w:name="_Toc152042316"/>
      <w:bookmarkStart w:id="27" w:name="_Toc144974508"/>
      <w:bookmarkStart w:id="28" w:name="_Toc247527564"/>
    </w:p>
    <w:p w14:paraId="2026A394">
      <w:pPr>
        <w:shd w:val="clear" w:color="auto" w:fill="auto"/>
        <w:spacing w:line="440" w:lineRule="exact"/>
        <w:rPr>
          <w:rFonts w:hint="eastAsia"/>
          <w:b/>
          <w:color w:val="auto"/>
          <w:szCs w:val="21"/>
          <w:highlight w:val="none"/>
        </w:rPr>
      </w:pPr>
      <w:r>
        <w:rPr>
          <w:rFonts w:hint="eastAsia"/>
          <w:b/>
          <w:color w:val="auto"/>
          <w:szCs w:val="21"/>
          <w:highlight w:val="none"/>
        </w:rPr>
        <w:t>10. 投标预备会</w:t>
      </w:r>
      <w:bookmarkEnd w:id="22"/>
      <w:bookmarkEnd w:id="23"/>
      <w:bookmarkEnd w:id="24"/>
      <w:bookmarkEnd w:id="25"/>
      <w:bookmarkEnd w:id="26"/>
      <w:bookmarkEnd w:id="27"/>
      <w:bookmarkEnd w:id="28"/>
    </w:p>
    <w:p w14:paraId="1892B362">
      <w:pPr>
        <w:shd w:val="clear" w:color="auto" w:fill="auto"/>
        <w:spacing w:line="440" w:lineRule="exact"/>
        <w:ind w:firstLine="412" w:firstLineChars="195"/>
        <w:rPr>
          <w:rFonts w:hint="eastAsia" w:ascii="宋体"/>
          <w:color w:val="auto"/>
          <w:szCs w:val="21"/>
          <w:highlight w:val="none"/>
        </w:rPr>
      </w:pPr>
      <w:r>
        <w:rPr>
          <w:rFonts w:hint="eastAsia" w:ascii="宋体"/>
          <w:color w:val="auto"/>
          <w:szCs w:val="21"/>
          <w:highlight w:val="none"/>
        </w:rPr>
        <w:t>10.1投标人须知前附表规定召开投标预备会的，招标人按投标人须知前附表规定的时间和地点召开投标预备会，澄清投标人提出的问题。</w:t>
      </w:r>
    </w:p>
    <w:p w14:paraId="02AA6812">
      <w:pPr>
        <w:shd w:val="clear" w:color="auto" w:fill="auto"/>
        <w:spacing w:line="440" w:lineRule="exact"/>
        <w:ind w:firstLine="412" w:firstLineChars="195"/>
        <w:rPr>
          <w:rFonts w:hint="eastAsia" w:ascii="宋体"/>
          <w:color w:val="auto"/>
          <w:szCs w:val="21"/>
          <w:highlight w:val="none"/>
        </w:rPr>
      </w:pPr>
      <w:r>
        <w:rPr>
          <w:rFonts w:hint="eastAsia" w:ascii="宋体"/>
          <w:color w:val="auto"/>
          <w:szCs w:val="21"/>
          <w:highlight w:val="none"/>
        </w:rPr>
        <w:t>10.2投标人应在投标人须知前附表规定的时间前，将提出的问题送达招标人，以便招标人澄清。</w:t>
      </w:r>
    </w:p>
    <w:p w14:paraId="4B7CEFB9">
      <w:pPr>
        <w:shd w:val="clear" w:color="auto" w:fill="auto"/>
        <w:spacing w:line="440" w:lineRule="exact"/>
        <w:ind w:firstLine="412" w:firstLineChars="195"/>
        <w:rPr>
          <w:rFonts w:hint="eastAsia" w:ascii="宋体"/>
          <w:color w:val="auto"/>
          <w:szCs w:val="21"/>
          <w:highlight w:val="none"/>
        </w:rPr>
      </w:pPr>
      <w:r>
        <w:rPr>
          <w:rFonts w:hint="eastAsia" w:ascii="宋体"/>
          <w:color w:val="auto"/>
          <w:szCs w:val="21"/>
          <w:highlight w:val="none"/>
        </w:rPr>
        <w:t>10.3招标人在投标人须知前附表规定的时间，将对投标人所提的问题进行澄清。该澄清内容为</w:t>
      </w:r>
      <w:r>
        <w:rPr>
          <w:rFonts w:hint="eastAsia" w:ascii="宋体"/>
          <w:color w:val="auto"/>
          <w:szCs w:val="21"/>
          <w:highlight w:val="none"/>
          <w:lang w:eastAsia="zh-CN"/>
        </w:rPr>
        <w:t>采购文件</w:t>
      </w:r>
      <w:r>
        <w:rPr>
          <w:rFonts w:hint="eastAsia" w:ascii="宋体"/>
          <w:color w:val="auto"/>
          <w:szCs w:val="21"/>
          <w:highlight w:val="none"/>
        </w:rPr>
        <w:t>的组成部分。</w:t>
      </w:r>
    </w:p>
    <w:p w14:paraId="194C1CE0">
      <w:pPr>
        <w:shd w:val="clear" w:color="auto" w:fill="auto"/>
        <w:spacing w:line="440" w:lineRule="exact"/>
        <w:rPr>
          <w:rFonts w:hint="eastAsia"/>
          <w:b/>
          <w:color w:val="auto"/>
          <w:szCs w:val="21"/>
          <w:highlight w:val="none"/>
        </w:rPr>
      </w:pPr>
      <w:r>
        <w:rPr>
          <w:rFonts w:hint="eastAsia"/>
          <w:b/>
          <w:color w:val="auto"/>
          <w:szCs w:val="21"/>
          <w:highlight w:val="none"/>
        </w:rPr>
        <w:t>11. 联合投标</w:t>
      </w:r>
    </w:p>
    <w:p w14:paraId="1F7995F6">
      <w:pPr>
        <w:shd w:val="clear" w:color="auto" w:fill="auto"/>
        <w:spacing w:line="440" w:lineRule="exact"/>
        <w:ind w:firstLine="412" w:firstLineChars="195"/>
        <w:rPr>
          <w:rFonts w:hint="eastAsia" w:ascii="宋体"/>
          <w:color w:val="auto"/>
          <w:szCs w:val="21"/>
          <w:highlight w:val="none"/>
        </w:rPr>
      </w:pPr>
      <w:r>
        <w:rPr>
          <w:rFonts w:hint="eastAsia" w:ascii="宋体"/>
          <w:color w:val="auto"/>
          <w:szCs w:val="21"/>
          <w:highlight w:val="none"/>
        </w:rPr>
        <w:t>11.1 两个以上投标人可以组成一个投标联合体，以一个投标人的身份投标。以联合体形式参加投标的，联合体各方均应当符合《政府采购法》第二十二条规定的条件。招标人根据采购项目的特殊要求规定投标人特定条件的，联合体各方中至少应当有一方符合招标人规定的特定条件。</w:t>
      </w:r>
    </w:p>
    <w:p w14:paraId="32F8BF21">
      <w:pPr>
        <w:shd w:val="clear" w:color="auto" w:fill="auto"/>
        <w:spacing w:line="400" w:lineRule="exact"/>
        <w:ind w:firstLine="412" w:firstLineChars="195"/>
        <w:rPr>
          <w:rFonts w:hint="eastAsia" w:ascii="宋体"/>
          <w:color w:val="auto"/>
          <w:szCs w:val="21"/>
          <w:highlight w:val="none"/>
        </w:rPr>
      </w:pPr>
      <w:r>
        <w:rPr>
          <w:rFonts w:hint="eastAsia" w:ascii="宋体"/>
          <w:color w:val="auto"/>
          <w:szCs w:val="21"/>
          <w:highlight w:val="none"/>
        </w:rPr>
        <w:t>11.2联合体各方之间应当签订共同投标协议，明确约定联合体各方承担的工作和相应的责任，并将共同投标协议连同投标文件一并提交招标人。联合体各方签订共同投标协议后，不得再以自己名义单独在同一项目中投标，也不得组成新的联合体参加同一项目投标。</w:t>
      </w:r>
    </w:p>
    <w:p w14:paraId="0BA4781A">
      <w:pPr>
        <w:shd w:val="clear" w:color="auto" w:fill="auto"/>
        <w:spacing w:line="400" w:lineRule="exact"/>
        <w:ind w:firstLine="414" w:firstLineChars="196"/>
        <w:rPr>
          <w:rFonts w:ascii="宋体"/>
          <w:color w:val="auto"/>
          <w:szCs w:val="21"/>
          <w:highlight w:val="none"/>
        </w:rPr>
      </w:pPr>
      <w:r>
        <w:rPr>
          <w:rFonts w:hint="eastAsia" w:ascii="宋体"/>
          <w:color w:val="auto"/>
          <w:szCs w:val="21"/>
          <w:highlight w:val="none"/>
        </w:rPr>
        <w:t>11</w:t>
      </w:r>
      <w:r>
        <w:rPr>
          <w:rFonts w:ascii="宋体"/>
          <w:color w:val="auto"/>
          <w:szCs w:val="21"/>
          <w:highlight w:val="none"/>
        </w:rPr>
        <w:t>.</w:t>
      </w:r>
      <w:r>
        <w:rPr>
          <w:rFonts w:hint="eastAsia" w:ascii="宋体"/>
          <w:color w:val="auto"/>
          <w:szCs w:val="21"/>
          <w:highlight w:val="none"/>
        </w:rPr>
        <w:t>3 联合体应当确定其中一个单位为投标的全权代表，负责参加投标的一切事务，并承担投标及履约中应承担的全部责任与义务。</w:t>
      </w:r>
    </w:p>
    <w:p w14:paraId="0763B879">
      <w:pPr>
        <w:pStyle w:val="11"/>
        <w:shd w:val="clear" w:color="auto" w:fill="auto"/>
        <w:spacing w:after="0" w:line="400" w:lineRule="exact"/>
        <w:ind w:left="0" w:leftChars="0" w:firstLine="428" w:firstLineChars="202"/>
        <w:rPr>
          <w:rFonts w:hint="eastAsia" w:ascii="宋体"/>
          <w:color w:val="auto"/>
          <w:szCs w:val="21"/>
          <w:highlight w:val="none"/>
        </w:rPr>
      </w:pPr>
      <w:r>
        <w:rPr>
          <w:rFonts w:hint="eastAsia" w:ascii="宋体"/>
          <w:color w:val="auto"/>
          <w:szCs w:val="21"/>
          <w:highlight w:val="none"/>
        </w:rPr>
        <w:t>11</w:t>
      </w:r>
      <w:r>
        <w:rPr>
          <w:rFonts w:ascii="宋体"/>
          <w:color w:val="auto"/>
          <w:szCs w:val="21"/>
          <w:highlight w:val="none"/>
        </w:rPr>
        <w:t>.</w:t>
      </w:r>
      <w:r>
        <w:rPr>
          <w:rFonts w:hint="eastAsia" w:ascii="宋体"/>
          <w:color w:val="auto"/>
          <w:szCs w:val="21"/>
          <w:highlight w:val="none"/>
        </w:rPr>
        <w:t>4 联合体各方应当共同与招标人签订采购合同，就采购合同约定的事项对招标人承担连带责任。</w:t>
      </w:r>
    </w:p>
    <w:p w14:paraId="65FD7906">
      <w:pPr>
        <w:shd w:val="clear" w:color="auto" w:fill="auto"/>
        <w:spacing w:line="440" w:lineRule="exact"/>
        <w:jc w:val="left"/>
        <w:rPr>
          <w:rFonts w:hint="eastAsia" w:ascii="宋体"/>
          <w:b/>
          <w:color w:val="auto"/>
          <w:szCs w:val="21"/>
          <w:highlight w:val="none"/>
        </w:rPr>
      </w:pPr>
      <w:r>
        <w:rPr>
          <w:rFonts w:hint="eastAsia" w:ascii="宋体"/>
          <w:b/>
          <w:color w:val="auto"/>
          <w:szCs w:val="21"/>
          <w:highlight w:val="none"/>
        </w:rPr>
        <w:t>12.招标代理费</w:t>
      </w:r>
    </w:p>
    <w:p w14:paraId="26434EB7">
      <w:pPr>
        <w:shd w:val="clear" w:color="auto" w:fill="auto"/>
        <w:spacing w:line="440" w:lineRule="exact"/>
        <w:ind w:left="212" w:leftChars="100" w:firstLine="318" w:firstLineChars="150"/>
        <w:jc w:val="left"/>
        <w:rPr>
          <w:rFonts w:hint="eastAsia" w:ascii="宋体"/>
          <w:bCs/>
          <w:color w:val="auto"/>
          <w:szCs w:val="21"/>
          <w:highlight w:val="none"/>
        </w:rPr>
      </w:pPr>
      <w:r>
        <w:rPr>
          <w:rFonts w:hint="eastAsia" w:ascii="宋体"/>
          <w:bCs/>
          <w:color w:val="auto"/>
          <w:szCs w:val="21"/>
          <w:highlight w:val="none"/>
        </w:rPr>
        <w:t>12.1</w:t>
      </w:r>
      <w:r>
        <w:rPr>
          <w:rFonts w:hint="eastAsia" w:ascii="宋体" w:hAnsi="宋体" w:eastAsia="宋体" w:cs="宋体"/>
          <w:b w:val="0"/>
          <w:bCs/>
          <w:snapToGrid w:val="0"/>
          <w:color w:val="auto"/>
          <w:sz w:val="21"/>
          <w:szCs w:val="21"/>
          <w:highlight w:val="none"/>
          <w:lang w:eastAsia="zh-CN"/>
        </w:rPr>
        <w:t>招标代理费根据《国家发展改革委关于进一步放开建设项目专业服务价格的通知》（发改价格【2015】299 号）文件等规定收费基准价格计取。</w:t>
      </w:r>
    </w:p>
    <w:p w14:paraId="582BC1A7">
      <w:pPr>
        <w:shd w:val="clear" w:color="auto" w:fill="auto"/>
        <w:spacing w:line="440" w:lineRule="exact"/>
        <w:rPr>
          <w:rFonts w:hint="eastAsia"/>
          <w:b/>
          <w:color w:val="auto"/>
          <w:szCs w:val="21"/>
          <w:highlight w:val="none"/>
        </w:rPr>
      </w:pPr>
      <w:r>
        <w:rPr>
          <w:rFonts w:hint="eastAsia"/>
          <w:b/>
          <w:color w:val="auto"/>
          <w:szCs w:val="21"/>
          <w:highlight w:val="none"/>
        </w:rPr>
        <w:t>13.投标人应注意的事项</w:t>
      </w:r>
    </w:p>
    <w:p w14:paraId="6CE121E3">
      <w:pPr>
        <w:shd w:val="clear" w:color="auto" w:fill="auto"/>
        <w:spacing w:line="440" w:lineRule="exact"/>
        <w:ind w:firstLine="424" w:firstLineChars="200"/>
        <w:rPr>
          <w:rFonts w:hint="eastAsia" w:ascii="宋体"/>
          <w:bCs/>
          <w:color w:val="auto"/>
          <w:szCs w:val="21"/>
          <w:highlight w:val="none"/>
        </w:rPr>
      </w:pPr>
      <w:r>
        <w:rPr>
          <w:rFonts w:hint="eastAsia" w:ascii="宋体" w:hAnsi="宋体"/>
          <w:color w:val="auto"/>
          <w:szCs w:val="21"/>
          <w:highlight w:val="none"/>
        </w:rPr>
        <w:t>13.1投标人一旦按规定缴纳了投标保证金并参加投标，即被认为接受了本</w:t>
      </w:r>
      <w:r>
        <w:rPr>
          <w:rFonts w:hint="eastAsia" w:ascii="宋体" w:hAnsi="宋体"/>
          <w:color w:val="auto"/>
          <w:szCs w:val="21"/>
          <w:highlight w:val="none"/>
          <w:lang w:eastAsia="zh-CN"/>
        </w:rPr>
        <w:t>采购</w:t>
      </w:r>
      <w:r>
        <w:rPr>
          <w:rFonts w:hint="eastAsia" w:ascii="宋体" w:hAnsi="宋体"/>
          <w:color w:val="auto"/>
          <w:szCs w:val="21"/>
          <w:highlight w:val="none"/>
        </w:rPr>
        <w:t>文件中的所有条件和规定。投标人必须严格按</w:t>
      </w:r>
      <w:r>
        <w:rPr>
          <w:rFonts w:hint="eastAsia" w:ascii="宋体" w:hAnsi="宋体"/>
          <w:color w:val="auto"/>
          <w:szCs w:val="21"/>
          <w:highlight w:val="none"/>
          <w:lang w:eastAsia="zh-CN"/>
        </w:rPr>
        <w:t>采购文件</w:t>
      </w:r>
      <w:r>
        <w:rPr>
          <w:rFonts w:hint="eastAsia" w:ascii="宋体" w:hAnsi="宋体"/>
          <w:color w:val="auto"/>
          <w:szCs w:val="21"/>
          <w:highlight w:val="none"/>
        </w:rPr>
        <w:t>的要求编制投标文件，投标文件宜编制页码和目录，以便评委审核。否则，由此产生的一切后果由投标人承担。</w:t>
      </w:r>
    </w:p>
    <w:p w14:paraId="6C0BB33D">
      <w:pPr>
        <w:shd w:val="clear" w:color="auto" w:fill="auto"/>
        <w:spacing w:line="440" w:lineRule="exact"/>
        <w:ind w:firstLine="424" w:firstLineChars="200"/>
        <w:rPr>
          <w:rFonts w:hint="eastAsia" w:ascii="宋体"/>
          <w:b/>
          <w:bCs w:val="0"/>
          <w:color w:val="auto"/>
          <w:szCs w:val="21"/>
          <w:highlight w:val="none"/>
        </w:rPr>
      </w:pPr>
      <w:r>
        <w:rPr>
          <w:rFonts w:hint="eastAsia" w:ascii="宋体"/>
          <w:bCs/>
          <w:color w:val="auto"/>
          <w:szCs w:val="21"/>
          <w:highlight w:val="none"/>
        </w:rPr>
        <w:t>13.</w:t>
      </w:r>
      <w:r>
        <w:rPr>
          <w:rFonts w:hint="eastAsia" w:ascii="宋体"/>
          <w:bCs/>
          <w:color w:val="auto"/>
          <w:szCs w:val="21"/>
          <w:highlight w:val="none"/>
          <w:lang w:val="en-US" w:eastAsia="zh-CN"/>
        </w:rPr>
        <w:t>2</w:t>
      </w:r>
      <w:r>
        <w:rPr>
          <w:rFonts w:hint="eastAsia" w:ascii="宋体"/>
          <w:bCs/>
          <w:color w:val="auto"/>
          <w:szCs w:val="21"/>
          <w:highlight w:val="none"/>
        </w:rPr>
        <w:t xml:space="preserve"> 投标人对采购内容中规定的技术参数、规格等要求必须完全响应或优于</w:t>
      </w:r>
      <w:r>
        <w:rPr>
          <w:rFonts w:hint="eastAsia" w:ascii="宋体"/>
          <w:bCs/>
          <w:color w:val="auto"/>
          <w:szCs w:val="21"/>
          <w:highlight w:val="none"/>
          <w:lang w:eastAsia="zh-CN"/>
        </w:rPr>
        <w:t>采购文件</w:t>
      </w:r>
      <w:r>
        <w:rPr>
          <w:rFonts w:hint="eastAsia" w:ascii="宋体"/>
          <w:bCs/>
          <w:color w:val="auto"/>
          <w:szCs w:val="21"/>
          <w:highlight w:val="none"/>
        </w:rPr>
        <w:t>中的要求</w:t>
      </w:r>
      <w:r>
        <w:rPr>
          <w:rFonts w:hint="eastAsia" w:ascii="宋体"/>
          <w:b/>
          <w:bCs w:val="0"/>
          <w:color w:val="auto"/>
          <w:szCs w:val="21"/>
          <w:highlight w:val="none"/>
        </w:rPr>
        <w:t>。</w:t>
      </w:r>
    </w:p>
    <w:p w14:paraId="75B89FC3">
      <w:pPr>
        <w:shd w:val="clear" w:color="auto" w:fill="auto"/>
        <w:spacing w:line="440" w:lineRule="exact"/>
        <w:ind w:firstLine="414" w:firstLineChars="196"/>
        <w:rPr>
          <w:rFonts w:hint="eastAsia" w:ascii="宋体"/>
          <w:bCs/>
          <w:color w:val="auto"/>
          <w:szCs w:val="21"/>
          <w:highlight w:val="none"/>
        </w:rPr>
      </w:pPr>
      <w:r>
        <w:rPr>
          <w:rFonts w:hint="eastAsia" w:ascii="宋体"/>
          <w:bCs/>
          <w:color w:val="auto"/>
          <w:szCs w:val="21"/>
          <w:highlight w:val="none"/>
        </w:rPr>
        <w:t>13.</w:t>
      </w:r>
      <w:r>
        <w:rPr>
          <w:rFonts w:hint="eastAsia" w:ascii="宋体"/>
          <w:bCs/>
          <w:color w:val="auto"/>
          <w:szCs w:val="21"/>
          <w:highlight w:val="none"/>
          <w:lang w:val="en-US" w:eastAsia="zh-CN"/>
        </w:rPr>
        <w:t>3</w:t>
      </w:r>
      <w:r>
        <w:rPr>
          <w:rFonts w:hint="eastAsia" w:ascii="宋体"/>
          <w:bCs/>
          <w:color w:val="auto"/>
          <w:szCs w:val="21"/>
          <w:highlight w:val="none"/>
        </w:rPr>
        <w:t>所有投标人的投标保证金都应在</w:t>
      </w:r>
      <w:r>
        <w:rPr>
          <w:rFonts w:hint="eastAsia" w:ascii="宋体"/>
          <w:bCs/>
          <w:color w:val="auto"/>
          <w:szCs w:val="21"/>
          <w:highlight w:val="none"/>
          <w:lang w:eastAsia="zh-CN"/>
        </w:rPr>
        <w:t>采购文件</w:t>
      </w:r>
      <w:r>
        <w:rPr>
          <w:rFonts w:hint="eastAsia" w:ascii="宋体"/>
          <w:bCs/>
          <w:color w:val="auto"/>
          <w:szCs w:val="21"/>
          <w:highlight w:val="none"/>
        </w:rPr>
        <w:t>规定的投标保证金缴纳截止日期前缴纳。</w:t>
      </w:r>
    </w:p>
    <w:p w14:paraId="51ADD4F2">
      <w:pPr>
        <w:shd w:val="clear" w:color="auto" w:fill="auto"/>
        <w:spacing w:line="440" w:lineRule="exact"/>
        <w:ind w:firstLine="414" w:firstLineChars="196"/>
        <w:rPr>
          <w:rFonts w:hint="eastAsia" w:ascii="宋体"/>
          <w:bCs/>
          <w:color w:val="auto"/>
          <w:szCs w:val="21"/>
          <w:highlight w:val="none"/>
        </w:rPr>
      </w:pPr>
      <w:r>
        <w:rPr>
          <w:rFonts w:hint="eastAsia" w:ascii="宋体"/>
          <w:bCs/>
          <w:color w:val="auto"/>
          <w:szCs w:val="21"/>
          <w:highlight w:val="none"/>
        </w:rPr>
        <w:t>13.</w:t>
      </w:r>
      <w:r>
        <w:rPr>
          <w:rFonts w:hint="eastAsia" w:ascii="宋体"/>
          <w:bCs/>
          <w:color w:val="auto"/>
          <w:szCs w:val="21"/>
          <w:highlight w:val="none"/>
          <w:lang w:val="en-US" w:eastAsia="zh-CN"/>
        </w:rPr>
        <w:t>4</w:t>
      </w:r>
      <w:r>
        <w:rPr>
          <w:rFonts w:ascii="宋体"/>
          <w:bCs/>
          <w:color w:val="auto"/>
          <w:szCs w:val="21"/>
          <w:highlight w:val="none"/>
        </w:rPr>
        <w:t>单位负责人为同一人或者存在直接控股、管理关系的不同供应商，不得参加同一合同项下的政府采购活动。</w:t>
      </w:r>
      <w:r>
        <w:rPr>
          <w:rFonts w:ascii="宋体" w:hAnsi="宋体" w:cs="宋体"/>
          <w:color w:val="auto"/>
          <w:szCs w:val="21"/>
          <w:highlight w:val="none"/>
        </w:rPr>
        <w:t>为采购项目提供整体设计、规范编制或者项目管理、监理、检测等服务的供应商，不得再参加该采购项目的其他采购活动。</w:t>
      </w:r>
    </w:p>
    <w:p w14:paraId="7AC7101D">
      <w:pPr>
        <w:shd w:val="clear" w:color="auto" w:fill="auto"/>
        <w:snapToGrid w:val="0"/>
        <w:spacing w:line="440" w:lineRule="exact"/>
        <w:ind w:firstLine="424" w:firstLineChars="200"/>
        <w:rPr>
          <w:rFonts w:hint="eastAsia" w:ascii="宋体"/>
          <w:color w:val="auto"/>
          <w:szCs w:val="21"/>
          <w:highlight w:val="none"/>
        </w:rPr>
      </w:pPr>
      <w:r>
        <w:rPr>
          <w:rFonts w:hint="eastAsia" w:ascii="宋体"/>
          <w:bCs/>
          <w:color w:val="auto"/>
          <w:szCs w:val="21"/>
          <w:highlight w:val="none"/>
        </w:rPr>
        <w:t>13.</w:t>
      </w:r>
      <w:r>
        <w:rPr>
          <w:rFonts w:hint="eastAsia" w:ascii="宋体"/>
          <w:bCs/>
          <w:color w:val="auto"/>
          <w:szCs w:val="21"/>
          <w:highlight w:val="none"/>
          <w:lang w:val="en-US" w:eastAsia="zh-CN"/>
        </w:rPr>
        <w:t>5</w:t>
      </w:r>
      <w:r>
        <w:rPr>
          <w:rFonts w:hint="eastAsia" w:ascii="宋体"/>
          <w:bCs/>
          <w:color w:val="auto"/>
          <w:szCs w:val="21"/>
          <w:highlight w:val="none"/>
        </w:rPr>
        <w:t>本项目只接受</w:t>
      </w:r>
      <w:r>
        <w:rPr>
          <w:rFonts w:hint="eastAsia" w:ascii="宋体"/>
          <w:color w:val="auto"/>
          <w:szCs w:val="21"/>
          <w:highlight w:val="none"/>
        </w:rPr>
        <w:t>成为新疆维吾尔自治区政府采购网正式注册入库并完成CA数字证书申领供应商</w:t>
      </w:r>
      <w:r>
        <w:rPr>
          <w:rFonts w:hint="eastAsia" w:ascii="宋体"/>
          <w:color w:val="auto"/>
          <w:szCs w:val="21"/>
          <w:highlight w:val="none"/>
          <w:lang w:eastAsia="zh-CN"/>
        </w:rPr>
        <w:t>参与投标</w:t>
      </w:r>
      <w:r>
        <w:rPr>
          <w:rFonts w:hint="eastAsia" w:ascii="宋体"/>
          <w:color w:val="auto"/>
          <w:szCs w:val="21"/>
          <w:highlight w:val="none"/>
        </w:rPr>
        <w:t>。因未注册入库、未办理CA数字证书等原因造成无法投标或投标失败等后果由供应商自行承担。</w:t>
      </w:r>
    </w:p>
    <w:p w14:paraId="4F3B0E25">
      <w:pPr>
        <w:shd w:val="clear" w:color="auto" w:fill="auto"/>
        <w:wordWrap w:val="0"/>
        <w:spacing w:line="440" w:lineRule="exact"/>
        <w:ind w:firstLine="424" w:firstLineChars="200"/>
        <w:rPr>
          <w:rFonts w:hint="eastAsia" w:ascii="宋体"/>
          <w:bCs/>
          <w:color w:val="auto"/>
          <w:szCs w:val="21"/>
          <w:highlight w:val="none"/>
        </w:rPr>
      </w:pPr>
      <w:r>
        <w:rPr>
          <w:rFonts w:hint="eastAsia" w:ascii="宋体"/>
          <w:bCs/>
          <w:color w:val="auto"/>
          <w:szCs w:val="21"/>
          <w:highlight w:val="none"/>
        </w:rPr>
        <w:t>13.</w:t>
      </w:r>
      <w:r>
        <w:rPr>
          <w:rFonts w:hint="eastAsia" w:ascii="宋体"/>
          <w:bCs/>
          <w:color w:val="auto"/>
          <w:szCs w:val="21"/>
          <w:highlight w:val="none"/>
          <w:lang w:val="en-US" w:eastAsia="zh-CN"/>
        </w:rPr>
        <w:t>6</w:t>
      </w:r>
      <w:r>
        <w:rPr>
          <w:rFonts w:hint="eastAsia" w:ascii="宋体"/>
          <w:bCs/>
          <w:color w:val="auto"/>
          <w:szCs w:val="21"/>
          <w:highlight w:val="none"/>
        </w:rPr>
        <w:t xml:space="preserve">  投标人被视为充分熟悉本招标项目所在地的与履行合同有关的各种情况，包括但不限于：</w:t>
      </w:r>
    </w:p>
    <w:p w14:paraId="14A04706">
      <w:pPr>
        <w:shd w:val="clear" w:color="auto" w:fill="auto"/>
        <w:spacing w:line="400" w:lineRule="exact"/>
        <w:ind w:firstLine="318" w:firstLineChars="150"/>
        <w:rPr>
          <w:rFonts w:hint="eastAsia" w:ascii="宋体"/>
          <w:bCs/>
          <w:color w:val="auto"/>
          <w:szCs w:val="21"/>
          <w:highlight w:val="none"/>
        </w:rPr>
      </w:pPr>
      <w:r>
        <w:rPr>
          <w:rFonts w:hint="eastAsia" w:ascii="宋体"/>
          <w:bCs/>
          <w:color w:val="auto"/>
          <w:szCs w:val="21"/>
          <w:highlight w:val="none"/>
        </w:rPr>
        <w:t>（1）国家对本次投标货物和服务的生产、安装调试、验收、维修等有关法律、法规及行业管理标准；</w:t>
      </w:r>
    </w:p>
    <w:p w14:paraId="321FC6D0">
      <w:pPr>
        <w:shd w:val="clear" w:color="auto" w:fill="auto"/>
        <w:spacing w:line="400" w:lineRule="exact"/>
        <w:ind w:firstLine="318" w:firstLineChars="150"/>
        <w:rPr>
          <w:rFonts w:hint="eastAsia" w:ascii="宋体"/>
          <w:bCs/>
          <w:color w:val="auto"/>
          <w:szCs w:val="21"/>
          <w:highlight w:val="none"/>
        </w:rPr>
      </w:pPr>
      <w:r>
        <w:rPr>
          <w:rFonts w:hint="eastAsia" w:ascii="宋体"/>
          <w:bCs/>
          <w:color w:val="auto"/>
          <w:szCs w:val="21"/>
          <w:highlight w:val="none"/>
        </w:rPr>
        <w:t>（2）</w:t>
      </w:r>
      <w:r>
        <w:rPr>
          <w:rFonts w:hint="eastAsia" w:ascii="宋体"/>
          <w:bCs/>
          <w:color w:val="auto"/>
          <w:szCs w:val="21"/>
          <w:highlight w:val="none"/>
          <w:lang w:eastAsia="zh-CN"/>
        </w:rPr>
        <w:t>本地区</w:t>
      </w:r>
      <w:r>
        <w:rPr>
          <w:rFonts w:hint="eastAsia" w:ascii="宋体"/>
          <w:bCs/>
          <w:color w:val="auto"/>
          <w:szCs w:val="21"/>
          <w:highlight w:val="none"/>
        </w:rPr>
        <w:t>有关管理部门的相关规定；</w:t>
      </w:r>
    </w:p>
    <w:p w14:paraId="153245ED">
      <w:pPr>
        <w:shd w:val="clear" w:color="auto" w:fill="auto"/>
        <w:spacing w:line="400" w:lineRule="exact"/>
        <w:ind w:firstLine="318" w:firstLineChars="150"/>
        <w:rPr>
          <w:rFonts w:hint="eastAsia" w:ascii="宋体"/>
          <w:bCs/>
          <w:color w:val="auto"/>
          <w:szCs w:val="21"/>
          <w:highlight w:val="none"/>
        </w:rPr>
      </w:pPr>
      <w:r>
        <w:rPr>
          <w:rFonts w:hint="eastAsia" w:ascii="宋体"/>
          <w:bCs/>
          <w:color w:val="auto"/>
          <w:szCs w:val="21"/>
          <w:highlight w:val="none"/>
        </w:rPr>
        <w:t>（3）招标人的相关场地情况、基础建设、电力供应情况及相关设计标准。</w:t>
      </w:r>
    </w:p>
    <w:p w14:paraId="3AF92036">
      <w:pPr>
        <w:shd w:val="clear" w:color="auto" w:fill="auto"/>
        <w:spacing w:line="400" w:lineRule="exact"/>
        <w:ind w:firstLine="318" w:firstLineChars="150"/>
        <w:rPr>
          <w:rFonts w:hint="eastAsia" w:ascii="宋体"/>
          <w:bCs/>
          <w:color w:val="auto"/>
          <w:szCs w:val="21"/>
          <w:highlight w:val="none"/>
        </w:rPr>
      </w:pPr>
      <w:r>
        <w:rPr>
          <w:rFonts w:hint="eastAsia" w:ascii="宋体"/>
          <w:bCs/>
          <w:color w:val="auto"/>
          <w:szCs w:val="21"/>
          <w:highlight w:val="none"/>
        </w:rPr>
        <w:t>本</w:t>
      </w:r>
      <w:r>
        <w:rPr>
          <w:rFonts w:hint="eastAsia" w:ascii="宋体"/>
          <w:bCs/>
          <w:color w:val="auto"/>
          <w:szCs w:val="21"/>
          <w:highlight w:val="none"/>
          <w:lang w:eastAsia="zh-CN"/>
        </w:rPr>
        <w:t>采购文件</w:t>
      </w:r>
      <w:r>
        <w:rPr>
          <w:rFonts w:hint="eastAsia" w:ascii="宋体"/>
          <w:bCs/>
          <w:color w:val="auto"/>
          <w:szCs w:val="21"/>
          <w:highlight w:val="none"/>
        </w:rPr>
        <w:t>不再对上述情况进行描述。</w:t>
      </w:r>
      <w:bookmarkStart w:id="29" w:name="_Toc469495725"/>
      <w:bookmarkStart w:id="30" w:name="_Toc12903"/>
    </w:p>
    <w:p w14:paraId="71BBB8B2">
      <w:pPr>
        <w:shd w:val="clear" w:color="auto" w:fill="auto"/>
        <w:spacing w:line="400" w:lineRule="exact"/>
        <w:ind w:firstLine="423" w:firstLineChars="150"/>
        <w:jc w:val="center"/>
        <w:rPr>
          <w:rFonts w:hint="eastAsia" w:ascii="宋体" w:eastAsia="宋体"/>
          <w:b/>
          <w:color w:val="auto"/>
          <w:sz w:val="28"/>
          <w:szCs w:val="28"/>
          <w:highlight w:val="none"/>
          <w:lang w:eastAsia="zh-CN"/>
        </w:rPr>
      </w:pPr>
      <w:r>
        <w:rPr>
          <w:rFonts w:hint="eastAsia" w:ascii="宋体"/>
          <w:b/>
          <w:color w:val="auto"/>
          <w:sz w:val="28"/>
          <w:szCs w:val="28"/>
          <w:highlight w:val="none"/>
        </w:rPr>
        <w:t>（二）</w:t>
      </w:r>
      <w:bookmarkEnd w:id="29"/>
      <w:r>
        <w:rPr>
          <w:rFonts w:hint="eastAsia" w:ascii="宋体"/>
          <w:b/>
          <w:color w:val="auto"/>
          <w:sz w:val="28"/>
          <w:szCs w:val="28"/>
          <w:highlight w:val="none"/>
          <w:lang w:eastAsia="zh-CN"/>
        </w:rPr>
        <w:t>招标文件</w:t>
      </w:r>
      <w:bookmarkEnd w:id="30"/>
    </w:p>
    <w:p w14:paraId="1E1D14AE">
      <w:pPr>
        <w:shd w:val="clear" w:color="auto" w:fill="auto"/>
        <w:spacing w:line="440" w:lineRule="exact"/>
        <w:rPr>
          <w:rFonts w:hint="eastAsia"/>
          <w:b/>
          <w:color w:val="auto"/>
          <w:szCs w:val="21"/>
          <w:highlight w:val="none"/>
        </w:rPr>
      </w:pPr>
      <w:r>
        <w:rPr>
          <w:rFonts w:hint="eastAsia"/>
          <w:b/>
          <w:color w:val="auto"/>
          <w:szCs w:val="21"/>
          <w:highlight w:val="none"/>
          <w:lang w:val="en-US" w:eastAsia="zh-CN"/>
        </w:rPr>
        <w:t>14</w:t>
      </w:r>
      <w:r>
        <w:rPr>
          <w:rFonts w:hint="eastAsia"/>
          <w:b/>
          <w:color w:val="auto"/>
          <w:szCs w:val="21"/>
          <w:highlight w:val="none"/>
        </w:rPr>
        <w:t xml:space="preserve">. </w:t>
      </w:r>
      <w:r>
        <w:rPr>
          <w:rFonts w:hint="eastAsia"/>
          <w:b/>
          <w:color w:val="auto"/>
          <w:szCs w:val="21"/>
          <w:highlight w:val="none"/>
          <w:lang w:eastAsia="zh-CN"/>
        </w:rPr>
        <w:t>采购文件</w:t>
      </w:r>
      <w:r>
        <w:rPr>
          <w:rFonts w:hint="eastAsia"/>
          <w:b/>
          <w:color w:val="auto"/>
          <w:szCs w:val="21"/>
          <w:highlight w:val="none"/>
        </w:rPr>
        <w:t>的编制依据</w:t>
      </w:r>
    </w:p>
    <w:p w14:paraId="0ADD3A3C">
      <w:pPr>
        <w:shd w:val="clear" w:color="auto" w:fill="auto"/>
        <w:spacing w:line="440" w:lineRule="exact"/>
        <w:ind w:firstLine="424" w:firstLineChars="200"/>
        <w:rPr>
          <w:rFonts w:hint="eastAsia" w:ascii="宋体"/>
          <w:color w:val="auto"/>
          <w:szCs w:val="21"/>
          <w:highlight w:val="none"/>
        </w:rPr>
      </w:pPr>
      <w:r>
        <w:rPr>
          <w:rFonts w:hint="eastAsia" w:ascii="宋体"/>
          <w:color w:val="auto"/>
          <w:szCs w:val="21"/>
          <w:highlight w:val="none"/>
        </w:rPr>
        <w:t>根据《中华人民共和国政府采购法》、《政府采购货物和服务招标投标管理办法》和《中华人民共和国</w:t>
      </w:r>
      <w:r>
        <w:rPr>
          <w:rFonts w:hint="eastAsia" w:ascii="宋体"/>
          <w:color w:val="auto"/>
          <w:szCs w:val="21"/>
          <w:highlight w:val="none"/>
          <w:lang w:eastAsia="zh-CN"/>
        </w:rPr>
        <w:t>民法典</w:t>
      </w:r>
      <w:r>
        <w:rPr>
          <w:rFonts w:hint="eastAsia" w:ascii="宋体"/>
          <w:color w:val="auto"/>
          <w:szCs w:val="21"/>
          <w:highlight w:val="none"/>
        </w:rPr>
        <w:t>》</w:t>
      </w:r>
      <w:r>
        <w:rPr>
          <w:rFonts w:hint="eastAsia" w:ascii="宋体"/>
          <w:color w:val="auto"/>
          <w:spacing w:val="-2"/>
          <w:szCs w:val="21"/>
          <w:highlight w:val="none"/>
        </w:rPr>
        <w:t>等相关法律法规和规章及部、省、市级规范性文件的规定，编制本</w:t>
      </w:r>
      <w:r>
        <w:rPr>
          <w:rFonts w:hint="eastAsia" w:ascii="宋体"/>
          <w:color w:val="auto"/>
          <w:spacing w:val="-2"/>
          <w:szCs w:val="21"/>
          <w:highlight w:val="none"/>
          <w:lang w:eastAsia="zh-CN"/>
        </w:rPr>
        <w:t>采购文件</w:t>
      </w:r>
      <w:r>
        <w:rPr>
          <w:rFonts w:hint="eastAsia" w:ascii="宋体"/>
          <w:color w:val="auto"/>
          <w:spacing w:val="-2"/>
          <w:szCs w:val="21"/>
          <w:highlight w:val="none"/>
        </w:rPr>
        <w:t>。</w:t>
      </w:r>
    </w:p>
    <w:p w14:paraId="40DE0D5D">
      <w:pPr>
        <w:shd w:val="clear" w:color="auto" w:fill="auto"/>
        <w:spacing w:line="440" w:lineRule="exact"/>
        <w:rPr>
          <w:rFonts w:hint="eastAsia"/>
          <w:b/>
          <w:color w:val="auto"/>
          <w:szCs w:val="21"/>
          <w:highlight w:val="none"/>
        </w:rPr>
      </w:pPr>
      <w:r>
        <w:rPr>
          <w:rFonts w:hint="eastAsia"/>
          <w:b/>
          <w:color w:val="auto"/>
          <w:szCs w:val="21"/>
          <w:highlight w:val="none"/>
          <w:lang w:val="en-US" w:eastAsia="zh-CN"/>
        </w:rPr>
        <w:t>15</w:t>
      </w:r>
      <w:r>
        <w:rPr>
          <w:rFonts w:hint="eastAsia"/>
          <w:b/>
          <w:color w:val="auto"/>
          <w:szCs w:val="21"/>
          <w:highlight w:val="none"/>
        </w:rPr>
        <w:t xml:space="preserve">. </w:t>
      </w:r>
      <w:r>
        <w:rPr>
          <w:rFonts w:hint="eastAsia"/>
          <w:b/>
          <w:color w:val="auto"/>
          <w:szCs w:val="21"/>
          <w:highlight w:val="none"/>
          <w:lang w:eastAsia="zh-CN"/>
        </w:rPr>
        <w:t>采购文件</w:t>
      </w:r>
      <w:r>
        <w:rPr>
          <w:rFonts w:hint="eastAsia"/>
          <w:b/>
          <w:color w:val="auto"/>
          <w:szCs w:val="21"/>
          <w:highlight w:val="none"/>
        </w:rPr>
        <w:t>的组成</w:t>
      </w:r>
    </w:p>
    <w:p w14:paraId="12049C58">
      <w:pPr>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rPr>
        <w:t>1</w:t>
      </w:r>
      <w:r>
        <w:rPr>
          <w:rFonts w:hint="eastAsia" w:ascii="宋体"/>
          <w:color w:val="auto"/>
          <w:szCs w:val="21"/>
          <w:highlight w:val="none"/>
          <w:lang w:val="en-US" w:eastAsia="zh-CN"/>
        </w:rPr>
        <w:t>5</w:t>
      </w:r>
      <w:r>
        <w:rPr>
          <w:rFonts w:hint="eastAsia" w:ascii="宋体"/>
          <w:color w:val="auto"/>
          <w:szCs w:val="21"/>
          <w:highlight w:val="none"/>
        </w:rPr>
        <w:t xml:space="preserve">.1 </w:t>
      </w:r>
      <w:r>
        <w:rPr>
          <w:rFonts w:hint="eastAsia" w:ascii="宋体"/>
          <w:color w:val="auto"/>
          <w:szCs w:val="21"/>
          <w:highlight w:val="none"/>
          <w:lang w:eastAsia="zh-CN"/>
        </w:rPr>
        <w:t>采购文件</w:t>
      </w:r>
      <w:r>
        <w:rPr>
          <w:rFonts w:hint="eastAsia" w:ascii="宋体"/>
          <w:color w:val="auto"/>
          <w:szCs w:val="21"/>
          <w:highlight w:val="none"/>
        </w:rPr>
        <w:t>包括内容：</w:t>
      </w:r>
    </w:p>
    <w:p w14:paraId="1052AF18">
      <w:pPr>
        <w:shd w:val="clear" w:color="auto" w:fill="auto"/>
        <w:spacing w:line="440" w:lineRule="exact"/>
        <w:ind w:firstLine="1484" w:firstLineChars="700"/>
        <w:rPr>
          <w:rFonts w:hint="eastAsia" w:ascii="宋体"/>
          <w:color w:val="auto"/>
          <w:szCs w:val="21"/>
          <w:highlight w:val="none"/>
        </w:rPr>
      </w:pPr>
      <w:r>
        <w:rPr>
          <w:rFonts w:hint="eastAsia" w:ascii="宋体"/>
          <w:color w:val="auto"/>
          <w:szCs w:val="21"/>
          <w:highlight w:val="none"/>
        </w:rPr>
        <w:t xml:space="preserve">第一章  </w:t>
      </w:r>
      <w:r>
        <w:rPr>
          <w:rFonts w:hint="eastAsia" w:ascii="宋体"/>
          <w:color w:val="auto"/>
          <w:szCs w:val="21"/>
          <w:highlight w:val="none"/>
          <w:lang w:eastAsia="zh-CN"/>
        </w:rPr>
        <w:t>招</w:t>
      </w:r>
      <w:r>
        <w:rPr>
          <w:rFonts w:hint="eastAsia" w:ascii="宋体"/>
          <w:color w:val="auto"/>
          <w:szCs w:val="21"/>
          <w:highlight w:val="none"/>
        </w:rPr>
        <w:t>标公告</w:t>
      </w:r>
    </w:p>
    <w:p w14:paraId="0A0A95B9">
      <w:pPr>
        <w:shd w:val="clear" w:color="auto" w:fill="auto"/>
        <w:spacing w:line="440" w:lineRule="exact"/>
        <w:ind w:firstLine="1484" w:firstLineChars="700"/>
        <w:rPr>
          <w:rFonts w:hint="eastAsia" w:ascii="宋体"/>
          <w:color w:val="auto"/>
          <w:szCs w:val="21"/>
          <w:highlight w:val="none"/>
        </w:rPr>
      </w:pPr>
      <w:r>
        <w:rPr>
          <w:rFonts w:hint="eastAsia" w:ascii="宋体"/>
          <w:color w:val="auto"/>
          <w:szCs w:val="21"/>
          <w:highlight w:val="none"/>
        </w:rPr>
        <w:t>第二章  投标须知</w:t>
      </w:r>
    </w:p>
    <w:p w14:paraId="7DFBDA6C">
      <w:pPr>
        <w:shd w:val="clear" w:color="auto" w:fill="auto"/>
        <w:spacing w:line="440" w:lineRule="exact"/>
        <w:ind w:firstLine="1484" w:firstLineChars="700"/>
        <w:rPr>
          <w:rFonts w:hint="eastAsia" w:ascii="宋体"/>
          <w:color w:val="auto"/>
          <w:szCs w:val="21"/>
          <w:highlight w:val="none"/>
          <w:lang w:eastAsia="zh-CN"/>
        </w:rPr>
      </w:pPr>
      <w:r>
        <w:rPr>
          <w:rFonts w:hint="eastAsia" w:ascii="宋体"/>
          <w:color w:val="auto"/>
          <w:szCs w:val="21"/>
          <w:highlight w:val="none"/>
        </w:rPr>
        <w:t>第三章  评标办法</w:t>
      </w:r>
    </w:p>
    <w:p w14:paraId="18D040F2">
      <w:pPr>
        <w:shd w:val="clear" w:color="auto" w:fill="auto"/>
        <w:spacing w:line="440" w:lineRule="exact"/>
        <w:ind w:firstLine="1484" w:firstLineChars="700"/>
        <w:rPr>
          <w:rFonts w:hint="eastAsia" w:ascii="宋体"/>
          <w:color w:val="auto"/>
          <w:szCs w:val="21"/>
          <w:highlight w:val="none"/>
        </w:rPr>
      </w:pPr>
      <w:r>
        <w:rPr>
          <w:rFonts w:hint="eastAsia" w:ascii="宋体"/>
          <w:color w:val="auto"/>
          <w:szCs w:val="21"/>
          <w:highlight w:val="none"/>
        </w:rPr>
        <w:t>第四章  采购内容及技术要求</w:t>
      </w:r>
    </w:p>
    <w:p w14:paraId="450FA263">
      <w:pPr>
        <w:shd w:val="clear" w:color="auto" w:fill="auto"/>
        <w:spacing w:line="440" w:lineRule="exact"/>
        <w:ind w:firstLine="1484" w:firstLineChars="700"/>
        <w:rPr>
          <w:rFonts w:hint="eastAsia" w:ascii="宋体"/>
          <w:color w:val="auto"/>
          <w:szCs w:val="21"/>
          <w:highlight w:val="none"/>
        </w:rPr>
      </w:pPr>
      <w:r>
        <w:rPr>
          <w:rFonts w:hint="eastAsia" w:ascii="宋体"/>
          <w:color w:val="auto"/>
          <w:szCs w:val="21"/>
          <w:highlight w:val="none"/>
        </w:rPr>
        <w:t>第五章  合同条款及格式</w:t>
      </w:r>
    </w:p>
    <w:p w14:paraId="08E0D2CB">
      <w:pPr>
        <w:shd w:val="clear" w:color="auto" w:fill="auto"/>
        <w:spacing w:line="440" w:lineRule="exact"/>
        <w:ind w:firstLine="1484" w:firstLineChars="700"/>
        <w:rPr>
          <w:rFonts w:hint="eastAsia" w:ascii="宋体"/>
          <w:color w:val="auto"/>
          <w:szCs w:val="21"/>
          <w:highlight w:val="none"/>
        </w:rPr>
      </w:pPr>
      <w:r>
        <w:rPr>
          <w:rFonts w:hint="eastAsia" w:ascii="宋体"/>
          <w:color w:val="auto"/>
          <w:szCs w:val="21"/>
          <w:highlight w:val="none"/>
        </w:rPr>
        <w:t>第六章  投标文件格式文本</w:t>
      </w:r>
    </w:p>
    <w:p w14:paraId="3E331C85">
      <w:pPr>
        <w:shd w:val="clear" w:color="auto" w:fill="auto"/>
        <w:spacing w:line="440" w:lineRule="exact"/>
        <w:rPr>
          <w:rFonts w:hint="eastAsia" w:ascii="宋体"/>
          <w:color w:val="auto"/>
          <w:szCs w:val="21"/>
          <w:highlight w:val="none"/>
        </w:rPr>
      </w:pPr>
      <w:r>
        <w:rPr>
          <w:rFonts w:hint="eastAsia" w:ascii="宋体"/>
          <w:color w:val="auto"/>
          <w:szCs w:val="21"/>
          <w:highlight w:val="none"/>
        </w:rPr>
        <w:t xml:space="preserve">   1</w:t>
      </w:r>
      <w:r>
        <w:rPr>
          <w:rFonts w:hint="eastAsia" w:ascii="宋体"/>
          <w:color w:val="auto"/>
          <w:szCs w:val="21"/>
          <w:highlight w:val="none"/>
          <w:lang w:val="en-US" w:eastAsia="zh-CN"/>
        </w:rPr>
        <w:t>5</w:t>
      </w:r>
      <w:r>
        <w:rPr>
          <w:rFonts w:hint="eastAsia" w:ascii="宋体"/>
          <w:color w:val="auto"/>
          <w:szCs w:val="21"/>
          <w:highlight w:val="none"/>
        </w:rPr>
        <w:t>.2 除1</w:t>
      </w:r>
      <w:r>
        <w:rPr>
          <w:rFonts w:hint="eastAsia" w:ascii="宋体"/>
          <w:color w:val="auto"/>
          <w:szCs w:val="21"/>
          <w:highlight w:val="none"/>
          <w:lang w:val="en-US" w:eastAsia="zh-CN"/>
        </w:rPr>
        <w:t>5</w:t>
      </w:r>
      <w:r>
        <w:rPr>
          <w:rFonts w:hint="eastAsia" w:ascii="宋体"/>
          <w:color w:val="auto"/>
          <w:szCs w:val="21"/>
          <w:highlight w:val="none"/>
        </w:rPr>
        <w:t>.1内容外，招标答疑亦为</w:t>
      </w:r>
      <w:r>
        <w:rPr>
          <w:rFonts w:hint="eastAsia" w:ascii="宋体"/>
          <w:color w:val="auto"/>
          <w:szCs w:val="21"/>
          <w:highlight w:val="none"/>
          <w:lang w:eastAsia="zh-CN"/>
        </w:rPr>
        <w:t>采购文件</w:t>
      </w:r>
      <w:r>
        <w:rPr>
          <w:rFonts w:hint="eastAsia" w:ascii="宋体"/>
          <w:color w:val="auto"/>
          <w:szCs w:val="21"/>
          <w:highlight w:val="none"/>
        </w:rPr>
        <w:t>的组成部分，对招标人和投标人起约束作用。</w:t>
      </w:r>
    </w:p>
    <w:p w14:paraId="77EC8F07">
      <w:pPr>
        <w:pStyle w:val="13"/>
        <w:shd w:val="clear" w:color="auto" w:fill="auto"/>
        <w:wordWrap w:val="0"/>
        <w:spacing w:line="400" w:lineRule="exact"/>
        <w:rPr>
          <w:rFonts w:hint="eastAsia"/>
          <w:color w:val="auto"/>
          <w:szCs w:val="21"/>
          <w:highlight w:val="none"/>
          <w:lang w:val="en-US"/>
        </w:rPr>
      </w:pPr>
      <w:r>
        <w:rPr>
          <w:rFonts w:hint="eastAsia"/>
          <w:color w:val="auto"/>
          <w:szCs w:val="21"/>
          <w:highlight w:val="none"/>
        </w:rPr>
        <w:t xml:space="preserve">   1</w:t>
      </w:r>
      <w:r>
        <w:rPr>
          <w:rFonts w:hint="eastAsia"/>
          <w:color w:val="auto"/>
          <w:szCs w:val="21"/>
          <w:highlight w:val="none"/>
          <w:lang w:val="en-US" w:eastAsia="zh-CN"/>
        </w:rPr>
        <w:t>5</w:t>
      </w:r>
      <w:r>
        <w:rPr>
          <w:rFonts w:hint="eastAsia"/>
          <w:color w:val="auto"/>
          <w:szCs w:val="21"/>
          <w:highlight w:val="none"/>
        </w:rPr>
        <w:t>.3</w:t>
      </w:r>
      <w:r>
        <w:rPr>
          <w:rFonts w:hint="eastAsia"/>
          <w:color w:val="auto"/>
          <w:szCs w:val="21"/>
          <w:highlight w:val="none"/>
          <w:u w:val="none" w:color="auto"/>
        </w:rPr>
        <w:t>投标人应仔细阅读和检查</w:t>
      </w:r>
      <w:r>
        <w:rPr>
          <w:rFonts w:hint="eastAsia"/>
          <w:color w:val="auto"/>
          <w:szCs w:val="21"/>
          <w:highlight w:val="none"/>
          <w:u w:val="none" w:color="auto"/>
          <w:lang w:eastAsia="zh-CN"/>
        </w:rPr>
        <w:t>采购文件</w:t>
      </w:r>
      <w:r>
        <w:rPr>
          <w:rFonts w:hint="eastAsia"/>
          <w:color w:val="auto"/>
          <w:szCs w:val="21"/>
          <w:highlight w:val="none"/>
          <w:u w:val="none" w:color="auto"/>
        </w:rPr>
        <w:t>的全部内容。如发现缺页或附件不全，应及时向招标人提出，以便补齐。如有疑问，投标人应在</w:t>
      </w:r>
      <w:r>
        <w:rPr>
          <w:rFonts w:hint="eastAsia" w:ascii="宋体"/>
          <w:color w:val="auto"/>
          <w:szCs w:val="21"/>
          <w:highlight w:val="none"/>
        </w:rPr>
        <w:t>以书面形式一次性向采购人和采购代理机构提出同一环节的质疑</w:t>
      </w:r>
      <w:r>
        <w:rPr>
          <w:rFonts w:hint="eastAsia"/>
          <w:color w:val="auto"/>
          <w:szCs w:val="21"/>
          <w:highlight w:val="none"/>
          <w:u w:val="none" w:color="auto"/>
        </w:rPr>
        <w:t>。</w:t>
      </w:r>
    </w:p>
    <w:p w14:paraId="40225FE5">
      <w:pPr>
        <w:shd w:val="clear" w:color="auto" w:fill="auto"/>
        <w:wordWrap w:val="0"/>
        <w:spacing w:line="440" w:lineRule="exact"/>
        <w:rPr>
          <w:rFonts w:hint="eastAsia" w:ascii="宋体"/>
          <w:color w:val="auto"/>
          <w:szCs w:val="21"/>
          <w:highlight w:val="none"/>
        </w:rPr>
      </w:pPr>
      <w:r>
        <w:rPr>
          <w:rFonts w:hint="eastAsia" w:ascii="宋体"/>
          <w:color w:val="auto"/>
          <w:szCs w:val="21"/>
          <w:highlight w:val="none"/>
        </w:rPr>
        <w:t xml:space="preserve">   1</w:t>
      </w:r>
      <w:r>
        <w:rPr>
          <w:rFonts w:hint="eastAsia" w:ascii="宋体"/>
          <w:color w:val="auto"/>
          <w:szCs w:val="21"/>
          <w:highlight w:val="none"/>
          <w:lang w:val="en-US" w:eastAsia="zh-CN"/>
        </w:rPr>
        <w:t>5</w:t>
      </w:r>
      <w:r>
        <w:rPr>
          <w:rFonts w:hint="eastAsia" w:ascii="宋体"/>
          <w:color w:val="auto"/>
          <w:szCs w:val="21"/>
          <w:highlight w:val="none"/>
        </w:rPr>
        <w:t>.4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r>
        <w:rPr>
          <w:rFonts w:hint="eastAsia" w:ascii="宋体"/>
          <w:color w:val="auto"/>
          <w:szCs w:val="21"/>
          <w:highlight w:val="none"/>
          <w:lang w:eastAsia="zh-CN"/>
        </w:rPr>
        <w:t>采购文件</w:t>
      </w:r>
      <w:r>
        <w:rPr>
          <w:rFonts w:hint="eastAsia" w:ascii="宋体"/>
          <w:color w:val="auto"/>
          <w:szCs w:val="21"/>
          <w:highlight w:val="none"/>
        </w:rPr>
        <w:t>的澄清将在</w:t>
      </w:r>
      <w:r>
        <w:rPr>
          <w:rFonts w:hint="eastAsia" w:ascii="宋体"/>
          <w:color w:val="auto"/>
          <w:szCs w:val="21"/>
          <w:highlight w:val="none"/>
          <w:lang w:eastAsia="zh-CN"/>
        </w:rPr>
        <w:t>政采云平台“更正公告”栏目予以公告</w:t>
      </w:r>
      <w:r>
        <w:rPr>
          <w:rFonts w:hint="eastAsia" w:ascii="宋体"/>
          <w:color w:val="auto"/>
          <w:szCs w:val="21"/>
          <w:highlight w:val="none"/>
        </w:rPr>
        <w:t>，但不指明澄清问题的来源。如果澄清内容影响投标文件编制的，将相应延长投标截止时间。</w:t>
      </w:r>
    </w:p>
    <w:p w14:paraId="442788F0">
      <w:pPr>
        <w:shd w:val="clear" w:color="auto" w:fill="auto"/>
        <w:spacing w:line="440" w:lineRule="exact"/>
        <w:rPr>
          <w:rFonts w:hint="eastAsia" w:ascii="宋体"/>
          <w:b/>
          <w:bCs/>
          <w:color w:val="auto"/>
          <w:szCs w:val="21"/>
          <w:highlight w:val="none"/>
        </w:rPr>
      </w:pPr>
      <w:r>
        <w:rPr>
          <w:rFonts w:hint="eastAsia" w:ascii="宋体"/>
          <w:b/>
          <w:bCs/>
          <w:color w:val="auto"/>
          <w:szCs w:val="21"/>
          <w:highlight w:val="none"/>
        </w:rPr>
        <w:t>1</w:t>
      </w:r>
      <w:r>
        <w:rPr>
          <w:rFonts w:hint="eastAsia" w:ascii="宋体"/>
          <w:b/>
          <w:bCs/>
          <w:color w:val="auto"/>
          <w:szCs w:val="21"/>
          <w:highlight w:val="none"/>
          <w:lang w:val="en-US" w:eastAsia="zh-CN"/>
        </w:rPr>
        <w:t>6</w:t>
      </w:r>
      <w:r>
        <w:rPr>
          <w:rFonts w:hint="eastAsia" w:ascii="宋体"/>
          <w:b/>
          <w:bCs/>
          <w:color w:val="auto"/>
          <w:szCs w:val="21"/>
          <w:highlight w:val="none"/>
        </w:rPr>
        <w:t xml:space="preserve">. </w:t>
      </w:r>
      <w:r>
        <w:rPr>
          <w:rFonts w:hint="eastAsia" w:ascii="宋体"/>
          <w:b/>
          <w:bCs/>
          <w:color w:val="auto"/>
          <w:szCs w:val="21"/>
          <w:highlight w:val="none"/>
          <w:lang w:eastAsia="zh-CN"/>
        </w:rPr>
        <w:t>采购文件</w:t>
      </w:r>
      <w:r>
        <w:rPr>
          <w:rFonts w:hint="eastAsia" w:ascii="宋体"/>
          <w:b/>
          <w:bCs/>
          <w:color w:val="auto"/>
          <w:szCs w:val="21"/>
          <w:highlight w:val="none"/>
        </w:rPr>
        <w:t>的修改、补充、解释</w:t>
      </w:r>
    </w:p>
    <w:p w14:paraId="7AEE6AF2">
      <w:pPr>
        <w:shd w:val="clear" w:color="auto" w:fill="auto"/>
        <w:wordWrap w:val="0"/>
        <w:spacing w:line="400" w:lineRule="exact"/>
        <w:ind w:firstLine="318" w:firstLineChars="150"/>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6</w:t>
      </w:r>
      <w:r>
        <w:rPr>
          <w:rFonts w:hint="eastAsia" w:ascii="宋体" w:hAnsi="宋体"/>
          <w:color w:val="auto"/>
          <w:szCs w:val="21"/>
          <w:highlight w:val="none"/>
        </w:rPr>
        <w:t>.1</w:t>
      </w:r>
      <w:r>
        <w:rPr>
          <w:rFonts w:hint="eastAsia" w:ascii="宋体" w:hAnsi="宋体"/>
          <w:color w:val="auto"/>
          <w:szCs w:val="21"/>
          <w:highlight w:val="none"/>
          <w:lang w:eastAsia="zh-CN"/>
        </w:rPr>
        <w:t>采购文件</w:t>
      </w:r>
      <w:r>
        <w:rPr>
          <w:rFonts w:hint="eastAsia" w:ascii="宋体" w:hAnsi="宋体"/>
          <w:color w:val="auto"/>
          <w:szCs w:val="21"/>
          <w:highlight w:val="none"/>
        </w:rPr>
        <w:t>发出后，招标人在规定的投标截止时间前可对</w:t>
      </w:r>
      <w:r>
        <w:rPr>
          <w:rFonts w:hint="eastAsia" w:ascii="宋体" w:hAnsi="宋体"/>
          <w:color w:val="auto"/>
          <w:szCs w:val="21"/>
          <w:highlight w:val="none"/>
          <w:lang w:eastAsia="zh-CN"/>
        </w:rPr>
        <w:t>采购文件</w:t>
      </w:r>
      <w:r>
        <w:rPr>
          <w:rFonts w:hint="eastAsia" w:ascii="宋体" w:hAnsi="宋体"/>
          <w:color w:val="auto"/>
          <w:szCs w:val="21"/>
          <w:highlight w:val="none"/>
        </w:rPr>
        <w:t>进行必要的修改和补充，并以</w:t>
      </w:r>
      <w:r>
        <w:rPr>
          <w:rFonts w:hint="eastAsia" w:ascii="宋体" w:hAnsi="宋体"/>
          <w:color w:val="auto"/>
          <w:szCs w:val="21"/>
          <w:highlight w:val="none"/>
          <w:lang w:eastAsia="zh-CN"/>
        </w:rPr>
        <w:t>更正</w:t>
      </w:r>
      <w:r>
        <w:rPr>
          <w:rFonts w:hint="eastAsia" w:ascii="宋体" w:hAnsi="宋体"/>
          <w:color w:val="auto"/>
          <w:szCs w:val="21"/>
          <w:highlight w:val="none"/>
        </w:rPr>
        <w:t>公告形式在</w:t>
      </w:r>
      <w:r>
        <w:rPr>
          <w:rFonts w:hint="eastAsia" w:ascii="宋体" w:hAnsi="宋体"/>
          <w:color w:val="auto"/>
          <w:szCs w:val="21"/>
          <w:highlight w:val="none"/>
          <w:lang w:eastAsia="zh-CN"/>
        </w:rPr>
        <w:t>政采云平台</w:t>
      </w:r>
      <w:r>
        <w:rPr>
          <w:rFonts w:hint="eastAsia" w:ascii="宋体" w:hAnsi="宋体"/>
          <w:color w:val="auto"/>
          <w:szCs w:val="21"/>
          <w:highlight w:val="none"/>
        </w:rPr>
        <w:t xml:space="preserve"> “</w:t>
      </w:r>
      <w:r>
        <w:rPr>
          <w:rFonts w:hint="eastAsia" w:ascii="宋体" w:hAnsi="宋体"/>
          <w:color w:val="auto"/>
          <w:szCs w:val="21"/>
          <w:highlight w:val="none"/>
          <w:lang w:eastAsia="zh-CN"/>
        </w:rPr>
        <w:t>更正公告</w:t>
      </w:r>
      <w:r>
        <w:rPr>
          <w:rFonts w:hint="eastAsia" w:ascii="宋体" w:hAnsi="宋体"/>
          <w:color w:val="auto"/>
          <w:szCs w:val="21"/>
          <w:highlight w:val="none"/>
        </w:rPr>
        <w:t>”栏目予以公告，请各位投标人注意查看有关澄清内容，如不及时查看造成后果由投标人自负。</w:t>
      </w:r>
      <w:r>
        <w:rPr>
          <w:rFonts w:hint="eastAsia" w:ascii="宋体" w:hAnsi="宋体"/>
          <w:color w:val="auto"/>
          <w:szCs w:val="21"/>
          <w:highlight w:val="none"/>
          <w:lang w:eastAsia="zh-CN"/>
        </w:rPr>
        <w:t>采购文件</w:t>
      </w:r>
      <w:r>
        <w:rPr>
          <w:rFonts w:hint="eastAsia" w:ascii="宋体" w:hAnsi="宋体"/>
          <w:color w:val="auto"/>
          <w:szCs w:val="21"/>
          <w:highlight w:val="none"/>
        </w:rPr>
        <w:t>的修改、补充等内容作为</w:t>
      </w:r>
      <w:r>
        <w:rPr>
          <w:rFonts w:hint="eastAsia" w:ascii="宋体" w:hAnsi="宋体"/>
          <w:color w:val="auto"/>
          <w:szCs w:val="21"/>
          <w:highlight w:val="none"/>
          <w:lang w:eastAsia="zh-CN"/>
        </w:rPr>
        <w:t>采购文件</w:t>
      </w:r>
      <w:r>
        <w:rPr>
          <w:rFonts w:hint="eastAsia" w:ascii="宋体" w:hAnsi="宋体"/>
          <w:color w:val="auto"/>
          <w:szCs w:val="21"/>
          <w:highlight w:val="none"/>
        </w:rPr>
        <w:t>的组成部分，具有约束作用。</w:t>
      </w:r>
    </w:p>
    <w:p w14:paraId="1FAC20CE">
      <w:pPr>
        <w:shd w:val="clear" w:color="auto" w:fill="auto"/>
        <w:wordWrap w:val="0"/>
        <w:spacing w:line="400" w:lineRule="exact"/>
        <w:ind w:firstLine="318" w:firstLineChars="150"/>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6</w:t>
      </w:r>
      <w:r>
        <w:rPr>
          <w:rFonts w:hint="eastAsia" w:ascii="宋体" w:hAnsi="宋体"/>
          <w:color w:val="auto"/>
          <w:szCs w:val="21"/>
          <w:highlight w:val="none"/>
        </w:rPr>
        <w:t xml:space="preserve">.2 采购代理机构可视采购具体情况对已发出的采购文件进行必要的澄清、修改或者补充。澄清、修改或者补充的内容可能影响投标文件编制的，应当在投标截止时间至少15日前，在原公告发布媒体上发布澄清公告，澄清或者修改的内容为采购文件的组成部分；不足15日的，应当顺延提交投标文件的截止时间。 </w:t>
      </w:r>
    </w:p>
    <w:p w14:paraId="28F4A639">
      <w:pPr>
        <w:shd w:val="clear" w:color="auto" w:fill="auto"/>
        <w:wordWrap w:val="0"/>
        <w:spacing w:line="400" w:lineRule="exact"/>
        <w:ind w:firstLine="424" w:firstLineChars="200"/>
        <w:rPr>
          <w:rFonts w:ascii="宋体" w:hAnsi="宋体"/>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lang w:val="en-US" w:eastAsia="zh-CN"/>
        </w:rPr>
        <w:t>6</w:t>
      </w:r>
      <w:r>
        <w:rPr>
          <w:rFonts w:hint="eastAsia" w:ascii="宋体" w:hAnsi="宋体"/>
          <w:bCs/>
          <w:color w:val="auto"/>
          <w:szCs w:val="21"/>
          <w:highlight w:val="none"/>
        </w:rPr>
        <w:t>.</w:t>
      </w:r>
      <w:r>
        <w:rPr>
          <w:rFonts w:hint="eastAsia" w:ascii="宋体" w:hAnsi="宋体"/>
          <w:bCs/>
          <w:color w:val="auto"/>
          <w:szCs w:val="21"/>
          <w:highlight w:val="none"/>
          <w:lang w:val="en-US" w:eastAsia="zh-CN"/>
        </w:rPr>
        <w:t>3</w:t>
      </w:r>
      <w:r>
        <w:rPr>
          <w:rFonts w:hint="eastAsia" w:ascii="宋体" w:hAnsi="宋体"/>
          <w:bCs/>
          <w:color w:val="auto"/>
          <w:szCs w:val="21"/>
          <w:highlight w:val="none"/>
        </w:rPr>
        <w:t xml:space="preserve"> </w:t>
      </w:r>
      <w:r>
        <w:rPr>
          <w:rFonts w:hint="eastAsia" w:ascii="宋体" w:hAnsi="宋体"/>
          <w:color w:val="auto"/>
          <w:szCs w:val="21"/>
          <w:highlight w:val="none"/>
        </w:rPr>
        <w:t>供应商在规定的时间内未对采购文件提出疑问、质疑或要求澄清的，将视其为无异议。</w:t>
      </w:r>
    </w:p>
    <w:p w14:paraId="53E743EE">
      <w:pPr>
        <w:shd w:val="clear" w:color="auto" w:fill="auto"/>
        <w:spacing w:line="400" w:lineRule="exact"/>
        <w:ind w:firstLine="424" w:firstLineChars="200"/>
        <w:rPr>
          <w:rFonts w:hint="eastAsia" w:ascii="宋体" w:hAnsi="宋体"/>
          <w:bCs/>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lang w:val="en-US" w:eastAsia="zh-CN"/>
        </w:rPr>
        <w:t>6</w:t>
      </w:r>
      <w:r>
        <w:rPr>
          <w:rFonts w:hint="eastAsia" w:ascii="宋体" w:hAnsi="宋体"/>
          <w:bCs/>
          <w:color w:val="auto"/>
          <w:szCs w:val="21"/>
          <w:highlight w:val="none"/>
        </w:rPr>
        <w:t>.</w:t>
      </w:r>
      <w:r>
        <w:rPr>
          <w:rFonts w:hint="eastAsia" w:ascii="宋体" w:hAnsi="宋体"/>
          <w:bCs/>
          <w:color w:val="auto"/>
          <w:szCs w:val="21"/>
          <w:highlight w:val="none"/>
          <w:lang w:val="en-US" w:eastAsia="zh-CN"/>
        </w:rPr>
        <w:t>4</w:t>
      </w:r>
      <w:r>
        <w:rPr>
          <w:rFonts w:hint="eastAsia" w:ascii="宋体" w:hAnsi="宋体"/>
          <w:bCs/>
          <w:color w:val="auto"/>
          <w:szCs w:val="21"/>
          <w:highlight w:val="none"/>
        </w:rPr>
        <w:t xml:space="preserve"> </w:t>
      </w:r>
      <w:r>
        <w:rPr>
          <w:rFonts w:hint="eastAsia" w:ascii="宋体" w:hAnsi="宋体"/>
          <w:bCs/>
          <w:color w:val="auto"/>
          <w:szCs w:val="21"/>
          <w:highlight w:val="none"/>
          <w:lang w:eastAsia="zh-CN"/>
        </w:rPr>
        <w:t>采购文件</w:t>
      </w:r>
      <w:r>
        <w:rPr>
          <w:rFonts w:hint="eastAsia" w:ascii="宋体" w:hAnsi="宋体"/>
          <w:bCs/>
          <w:color w:val="auto"/>
          <w:szCs w:val="21"/>
          <w:highlight w:val="none"/>
        </w:rPr>
        <w:t>的解释</w:t>
      </w:r>
    </w:p>
    <w:p w14:paraId="5D23F7D7">
      <w:pPr>
        <w:shd w:val="clear" w:color="auto" w:fill="auto"/>
        <w:spacing w:line="400" w:lineRule="exact"/>
        <w:ind w:firstLine="424" w:firstLineChars="200"/>
        <w:rPr>
          <w:rFonts w:hint="eastAsia" w:ascii="宋体" w:hAnsi="宋体"/>
          <w:color w:val="auto"/>
          <w:szCs w:val="21"/>
          <w:highlight w:val="none"/>
        </w:rPr>
      </w:pPr>
      <w:r>
        <w:rPr>
          <w:rFonts w:hint="eastAsia" w:ascii="宋体" w:hAnsi="宋体"/>
          <w:color w:val="auto"/>
          <w:szCs w:val="21"/>
          <w:highlight w:val="none"/>
        </w:rPr>
        <w:t>本</w:t>
      </w:r>
      <w:r>
        <w:rPr>
          <w:rFonts w:hint="eastAsia" w:ascii="宋体" w:hAnsi="宋体"/>
          <w:color w:val="auto"/>
          <w:szCs w:val="21"/>
          <w:highlight w:val="none"/>
          <w:lang w:eastAsia="zh-CN"/>
        </w:rPr>
        <w:t>采购文件</w:t>
      </w:r>
      <w:r>
        <w:rPr>
          <w:rFonts w:hint="eastAsia" w:ascii="宋体" w:hAnsi="宋体"/>
          <w:color w:val="auto"/>
          <w:szCs w:val="21"/>
          <w:highlight w:val="none"/>
        </w:rPr>
        <w:t>由招标人（或其委托的招标代理机构）负责解释。</w:t>
      </w:r>
    </w:p>
    <w:p w14:paraId="5D6CFD8A">
      <w:pPr>
        <w:shd w:val="clear" w:color="auto" w:fill="auto"/>
        <w:spacing w:line="400" w:lineRule="exact"/>
        <w:rPr>
          <w:rFonts w:ascii="宋体" w:hAnsi="宋体"/>
          <w:b/>
          <w:color w:val="auto"/>
          <w:szCs w:val="21"/>
          <w:highlight w:val="none"/>
        </w:rPr>
      </w:pPr>
      <w:r>
        <w:rPr>
          <w:rFonts w:hint="eastAsia"/>
          <w:b/>
          <w:color w:val="auto"/>
          <w:szCs w:val="21"/>
          <w:highlight w:val="none"/>
        </w:rPr>
        <w:t>1</w:t>
      </w:r>
      <w:r>
        <w:rPr>
          <w:rFonts w:hint="eastAsia"/>
          <w:b/>
          <w:color w:val="auto"/>
          <w:szCs w:val="21"/>
          <w:highlight w:val="none"/>
          <w:lang w:val="en-US" w:eastAsia="zh-CN"/>
        </w:rPr>
        <w:t>7</w:t>
      </w:r>
      <w:r>
        <w:rPr>
          <w:rFonts w:hint="eastAsia"/>
          <w:b/>
          <w:color w:val="auto"/>
          <w:szCs w:val="21"/>
          <w:highlight w:val="none"/>
        </w:rPr>
        <w:t xml:space="preserve">. </w:t>
      </w:r>
      <w:r>
        <w:rPr>
          <w:rFonts w:hint="eastAsia" w:ascii="宋体" w:hAnsi="宋体"/>
          <w:b/>
          <w:color w:val="auto"/>
          <w:szCs w:val="21"/>
          <w:highlight w:val="none"/>
          <w:lang w:eastAsia="zh-CN"/>
        </w:rPr>
        <w:t>采购文件</w:t>
      </w:r>
      <w:r>
        <w:rPr>
          <w:rFonts w:hint="eastAsia" w:ascii="宋体" w:hAnsi="宋体"/>
          <w:b/>
          <w:color w:val="auto"/>
          <w:szCs w:val="21"/>
          <w:highlight w:val="none"/>
        </w:rPr>
        <w:t>的发出</w:t>
      </w:r>
    </w:p>
    <w:p w14:paraId="1735B67A">
      <w:pPr>
        <w:shd w:val="clear" w:color="auto" w:fill="auto"/>
        <w:spacing w:line="400" w:lineRule="exact"/>
        <w:ind w:firstLine="318" w:firstLineChars="150"/>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7</w:t>
      </w:r>
      <w:r>
        <w:rPr>
          <w:rFonts w:hint="eastAsia" w:ascii="宋体" w:hAnsi="宋体"/>
          <w:color w:val="auto"/>
          <w:szCs w:val="21"/>
          <w:highlight w:val="none"/>
        </w:rPr>
        <w:t xml:space="preserve">.1  </w:t>
      </w:r>
      <w:r>
        <w:rPr>
          <w:rFonts w:hint="eastAsia" w:ascii="宋体" w:hAnsi="宋体"/>
          <w:color w:val="auto"/>
          <w:szCs w:val="21"/>
          <w:highlight w:val="none"/>
          <w:lang w:eastAsia="zh-CN"/>
        </w:rPr>
        <w:t>采购文件</w:t>
      </w:r>
      <w:r>
        <w:rPr>
          <w:rFonts w:hint="eastAsia" w:ascii="宋体" w:hAnsi="宋体"/>
          <w:color w:val="auto"/>
          <w:szCs w:val="21"/>
          <w:highlight w:val="none"/>
        </w:rPr>
        <w:t>、</w:t>
      </w:r>
      <w:r>
        <w:rPr>
          <w:rFonts w:hint="eastAsia" w:ascii="宋体" w:hAnsi="宋体"/>
          <w:color w:val="auto"/>
          <w:szCs w:val="21"/>
          <w:highlight w:val="none"/>
          <w:lang w:eastAsia="zh-CN"/>
        </w:rPr>
        <w:t>采购文件</w:t>
      </w:r>
      <w:r>
        <w:rPr>
          <w:rFonts w:hint="eastAsia" w:ascii="宋体" w:hAnsi="宋体"/>
          <w:color w:val="auto"/>
          <w:szCs w:val="21"/>
          <w:highlight w:val="none"/>
        </w:rPr>
        <w:t>的澄清、修改、补充及招标答疑等均应报</w:t>
      </w:r>
      <w:r>
        <w:rPr>
          <w:rFonts w:hint="eastAsia" w:ascii="宋体" w:hAnsi="宋体"/>
          <w:color w:val="auto"/>
          <w:szCs w:val="21"/>
          <w:highlight w:val="none"/>
          <w:lang w:eastAsia="zh-CN"/>
        </w:rPr>
        <w:t>相关部门</w:t>
      </w:r>
      <w:r>
        <w:rPr>
          <w:rFonts w:hint="eastAsia" w:ascii="宋体" w:hAnsi="宋体"/>
          <w:color w:val="auto"/>
          <w:szCs w:val="21"/>
          <w:highlight w:val="none"/>
        </w:rPr>
        <w:t>备案后，方可发出。</w:t>
      </w:r>
    </w:p>
    <w:p w14:paraId="3B2701B6">
      <w:pPr>
        <w:shd w:val="clear" w:color="auto" w:fill="auto"/>
        <w:spacing w:line="440" w:lineRule="exact"/>
        <w:rPr>
          <w:rFonts w:hint="eastAsia" w:ascii="宋体"/>
          <w:color w:val="auto"/>
          <w:szCs w:val="21"/>
          <w:highlight w:val="none"/>
        </w:rPr>
      </w:pPr>
      <w:bookmarkStart w:id="31" w:name="_Toc469495726"/>
      <w:r>
        <w:rPr>
          <w:rFonts w:hint="eastAsia"/>
          <w:b/>
          <w:color w:val="auto"/>
          <w:szCs w:val="21"/>
          <w:highlight w:val="none"/>
        </w:rPr>
        <w:t>1</w:t>
      </w:r>
      <w:r>
        <w:rPr>
          <w:rFonts w:hint="eastAsia"/>
          <w:b/>
          <w:color w:val="auto"/>
          <w:szCs w:val="21"/>
          <w:highlight w:val="none"/>
          <w:lang w:val="en-US" w:eastAsia="zh-CN"/>
        </w:rPr>
        <w:t>8</w:t>
      </w:r>
      <w:r>
        <w:rPr>
          <w:rFonts w:hint="eastAsia"/>
          <w:b/>
          <w:color w:val="auto"/>
          <w:szCs w:val="21"/>
          <w:highlight w:val="none"/>
        </w:rPr>
        <w:t xml:space="preserve">. </w:t>
      </w:r>
      <w:r>
        <w:rPr>
          <w:rFonts w:hint="eastAsia" w:ascii="宋体"/>
          <w:color w:val="auto"/>
          <w:szCs w:val="21"/>
          <w:highlight w:val="none"/>
        </w:rPr>
        <w:t>凡需要设置样品情形时，必须明确是否需要随样品提交检测报告，并明确检测机构的要求、检测内容、</w:t>
      </w:r>
      <w:r>
        <w:rPr>
          <w:rFonts w:hint="eastAsia" w:ascii="宋体"/>
          <w:b w:val="0"/>
          <w:bCs w:val="0"/>
          <w:color w:val="auto"/>
          <w:szCs w:val="21"/>
          <w:highlight w:val="none"/>
        </w:rPr>
        <w:t>中标样品封存</w:t>
      </w:r>
      <w:r>
        <w:rPr>
          <w:rFonts w:hint="eastAsia" w:ascii="宋体"/>
          <w:color w:val="auto"/>
          <w:szCs w:val="21"/>
          <w:highlight w:val="none"/>
        </w:rPr>
        <w:t>等事项。（评标委员会无法判断样品是否合格且样品需要提供给第三方权威检测机构检测的,在投标人提供招标人认可的第三方权威检测机构检测报告后，评标委员会推荐的中标候选人方可生效，采购人或代理机构发布中标结果公告。</w:t>
      </w:r>
    </w:p>
    <w:p w14:paraId="7C448762">
      <w:pPr>
        <w:shd w:val="clear" w:color="auto" w:fill="auto"/>
        <w:spacing w:line="400" w:lineRule="exact"/>
        <w:ind w:firstLine="420"/>
        <w:rPr>
          <w:rFonts w:hint="eastAsia" w:ascii="宋体"/>
          <w:b/>
          <w:color w:val="auto"/>
          <w:sz w:val="28"/>
          <w:szCs w:val="28"/>
          <w:highlight w:val="none"/>
        </w:rPr>
      </w:pPr>
      <w:r>
        <w:rPr>
          <w:rFonts w:hint="eastAsia" w:ascii="宋体"/>
          <w:color w:val="auto"/>
          <w:szCs w:val="21"/>
          <w:highlight w:val="none"/>
          <w:lang w:eastAsia="zh-CN"/>
        </w:rPr>
        <w:t>采购文件</w:t>
      </w:r>
      <w:r>
        <w:rPr>
          <w:rFonts w:hint="eastAsia" w:ascii="宋体"/>
          <w:color w:val="auto"/>
          <w:szCs w:val="21"/>
          <w:highlight w:val="none"/>
        </w:rPr>
        <w:t>中应明确样品送检方式、检测费用支付方法、投标人在规定时间内无法提供第三方权威检测机构检测报告的处理方式。（</w:t>
      </w:r>
      <w:r>
        <w:rPr>
          <w:rFonts w:hint="eastAsia" w:ascii="宋体"/>
          <w:color w:val="auto"/>
          <w:szCs w:val="21"/>
          <w:highlight w:val="none"/>
          <w:lang w:eastAsia="zh-CN"/>
        </w:rPr>
        <w:t>采购人</w:t>
      </w:r>
      <w:r>
        <w:rPr>
          <w:rFonts w:hint="eastAsia" w:ascii="宋体"/>
          <w:color w:val="auto"/>
          <w:szCs w:val="21"/>
          <w:highlight w:val="none"/>
        </w:rPr>
        <w:t>根据项目需求按上述要求自行描述）</w:t>
      </w:r>
      <w:bookmarkStart w:id="32" w:name="_Toc31366"/>
    </w:p>
    <w:p w14:paraId="6F27A0C4">
      <w:pPr>
        <w:shd w:val="clear" w:color="auto" w:fill="auto"/>
        <w:spacing w:before="312" w:beforeLines="100" w:after="312" w:afterLines="100" w:line="440" w:lineRule="exact"/>
        <w:jc w:val="left"/>
        <w:outlineLvl w:val="2"/>
        <w:rPr>
          <w:rFonts w:hint="eastAsia" w:ascii="宋体"/>
          <w:b/>
          <w:color w:val="auto"/>
          <w:sz w:val="28"/>
          <w:szCs w:val="28"/>
          <w:highlight w:val="none"/>
        </w:rPr>
      </w:pPr>
      <w:r>
        <w:rPr>
          <w:rFonts w:hint="eastAsia" w:ascii="宋体"/>
          <w:b/>
          <w:color w:val="auto"/>
          <w:sz w:val="28"/>
          <w:szCs w:val="28"/>
          <w:highlight w:val="none"/>
        </w:rPr>
        <w:t>（三）投标文件的编制</w:t>
      </w:r>
      <w:bookmarkEnd w:id="31"/>
      <w:bookmarkEnd w:id="32"/>
    </w:p>
    <w:p w14:paraId="79A4DAEF">
      <w:pPr>
        <w:shd w:val="clear" w:color="auto" w:fill="auto"/>
        <w:spacing w:line="440" w:lineRule="exact"/>
        <w:rPr>
          <w:rFonts w:hint="eastAsia" w:ascii="宋体" w:cs="宋体"/>
          <w:b/>
          <w:color w:val="auto"/>
          <w:szCs w:val="21"/>
          <w:highlight w:val="none"/>
        </w:rPr>
      </w:pPr>
      <w:r>
        <w:rPr>
          <w:rFonts w:hint="eastAsia"/>
          <w:b/>
          <w:color w:val="auto"/>
          <w:szCs w:val="21"/>
          <w:highlight w:val="none"/>
          <w:lang w:val="en-US" w:eastAsia="zh-CN"/>
        </w:rPr>
        <w:t>19</w:t>
      </w:r>
      <w:r>
        <w:rPr>
          <w:rFonts w:hint="eastAsia"/>
          <w:b/>
          <w:color w:val="auto"/>
          <w:szCs w:val="21"/>
          <w:highlight w:val="none"/>
        </w:rPr>
        <w:t xml:space="preserve">. </w:t>
      </w:r>
      <w:r>
        <w:rPr>
          <w:rFonts w:hint="eastAsia" w:ascii="宋体" w:cs="宋体"/>
          <w:b/>
          <w:color w:val="auto"/>
          <w:szCs w:val="21"/>
          <w:highlight w:val="none"/>
        </w:rPr>
        <w:t>投标的语言及度量衡单位</w:t>
      </w:r>
    </w:p>
    <w:p w14:paraId="40B8FA73">
      <w:pPr>
        <w:shd w:val="clear" w:color="auto" w:fill="auto"/>
        <w:spacing w:line="440" w:lineRule="exact"/>
        <w:ind w:firstLine="285" w:firstLineChars="135"/>
        <w:rPr>
          <w:rFonts w:hint="eastAsia" w:ascii="宋体"/>
          <w:color w:val="auto"/>
          <w:szCs w:val="21"/>
          <w:highlight w:val="none"/>
        </w:rPr>
      </w:pPr>
      <w:r>
        <w:rPr>
          <w:rFonts w:hint="eastAsia" w:ascii="宋体"/>
          <w:color w:val="auto"/>
          <w:szCs w:val="21"/>
          <w:highlight w:val="none"/>
          <w:lang w:val="en-US" w:eastAsia="zh-CN"/>
        </w:rPr>
        <w:t>19</w:t>
      </w:r>
      <w:r>
        <w:rPr>
          <w:rFonts w:hint="eastAsia" w:ascii="宋体"/>
          <w:color w:val="auto"/>
          <w:szCs w:val="21"/>
          <w:highlight w:val="none"/>
        </w:rPr>
        <w:t>.1</w:t>
      </w:r>
      <w:r>
        <w:rPr>
          <w:rFonts w:ascii="宋体" w:hAnsi="宋体"/>
          <w:color w:val="auto"/>
          <w:szCs w:val="21"/>
          <w:highlight w:val="none"/>
        </w:rPr>
        <w:t>投标人</w:t>
      </w:r>
      <w:r>
        <w:rPr>
          <w:rFonts w:hint="eastAsia" w:ascii="宋体" w:hAnsi="宋体"/>
          <w:color w:val="auto"/>
          <w:szCs w:val="21"/>
          <w:highlight w:val="none"/>
        </w:rPr>
        <w:t>提交的投标文件、技术文件和资料，以及投标人与招标人就有关投标的所有来往函电均应使用中文。投标文件中若有英文或其他语言文字的资料，应提供相应的中文翻译资料。对不同文本投标文件的解释发生异议的，以中文文本为准。</w:t>
      </w:r>
    </w:p>
    <w:p w14:paraId="6F6F4254">
      <w:pPr>
        <w:shd w:val="clear" w:color="auto" w:fill="auto"/>
        <w:spacing w:line="440" w:lineRule="exact"/>
        <w:ind w:firstLine="285" w:firstLineChars="135"/>
        <w:rPr>
          <w:rFonts w:hint="eastAsia" w:ascii="宋体"/>
          <w:color w:val="auto"/>
          <w:szCs w:val="21"/>
          <w:highlight w:val="none"/>
        </w:rPr>
      </w:pPr>
      <w:r>
        <w:rPr>
          <w:rFonts w:hint="eastAsia" w:ascii="宋体"/>
          <w:color w:val="auto"/>
          <w:szCs w:val="21"/>
          <w:highlight w:val="none"/>
          <w:lang w:val="en-US" w:eastAsia="zh-CN"/>
        </w:rPr>
        <w:t>19</w:t>
      </w:r>
      <w:r>
        <w:rPr>
          <w:rFonts w:hint="eastAsia" w:ascii="宋体"/>
          <w:color w:val="auto"/>
          <w:szCs w:val="21"/>
          <w:highlight w:val="none"/>
        </w:rPr>
        <w:t>.2除</w:t>
      </w:r>
      <w:r>
        <w:rPr>
          <w:rFonts w:hint="eastAsia" w:ascii="宋体"/>
          <w:color w:val="auto"/>
          <w:szCs w:val="21"/>
          <w:highlight w:val="none"/>
          <w:lang w:eastAsia="zh-CN"/>
        </w:rPr>
        <w:t>采购文件</w:t>
      </w:r>
      <w:r>
        <w:rPr>
          <w:rFonts w:hint="eastAsia" w:ascii="宋体"/>
          <w:color w:val="auto"/>
          <w:szCs w:val="21"/>
          <w:highlight w:val="none"/>
        </w:rPr>
        <w:t>中另有规定外，投标书所使用的度量衡均须采用法定计量单位。</w:t>
      </w:r>
    </w:p>
    <w:p w14:paraId="63AFC662">
      <w:pPr>
        <w:shd w:val="clear" w:color="auto" w:fill="auto"/>
        <w:spacing w:line="400" w:lineRule="exact"/>
        <w:rPr>
          <w:rFonts w:hint="eastAsia" w:ascii="宋体" w:hAnsi="宋体"/>
          <w:b/>
          <w:color w:val="auto"/>
          <w:szCs w:val="21"/>
          <w:highlight w:val="none"/>
        </w:rPr>
      </w:pPr>
      <w:r>
        <w:rPr>
          <w:rFonts w:hint="eastAsia"/>
          <w:b/>
          <w:color w:val="auto"/>
          <w:szCs w:val="21"/>
          <w:highlight w:val="none"/>
        </w:rPr>
        <w:t>2</w:t>
      </w:r>
      <w:r>
        <w:rPr>
          <w:rFonts w:hint="eastAsia"/>
          <w:b/>
          <w:color w:val="auto"/>
          <w:szCs w:val="21"/>
          <w:highlight w:val="none"/>
          <w:lang w:val="en-US" w:eastAsia="zh-CN"/>
        </w:rPr>
        <w:t>0</w:t>
      </w:r>
      <w:r>
        <w:rPr>
          <w:rFonts w:hint="eastAsia"/>
          <w:b/>
          <w:color w:val="auto"/>
          <w:szCs w:val="21"/>
          <w:highlight w:val="none"/>
        </w:rPr>
        <w:t xml:space="preserve">. </w:t>
      </w:r>
      <w:r>
        <w:rPr>
          <w:rFonts w:hint="eastAsia" w:ascii="宋体" w:hAnsi="宋体"/>
          <w:b/>
          <w:color w:val="auto"/>
          <w:szCs w:val="21"/>
          <w:highlight w:val="none"/>
        </w:rPr>
        <w:t>投标文件的组成</w:t>
      </w:r>
    </w:p>
    <w:p w14:paraId="5AAA6F33">
      <w:pPr>
        <w:shd w:val="clear" w:color="auto" w:fill="auto"/>
        <w:spacing w:line="400" w:lineRule="exact"/>
        <w:ind w:firstLine="424" w:firstLineChars="200"/>
        <w:rPr>
          <w:rFonts w:hint="eastAsia" w:ascii="宋体"/>
          <w:color w:val="auto"/>
          <w:szCs w:val="21"/>
          <w:highlight w:val="none"/>
        </w:rPr>
      </w:pPr>
      <w:r>
        <w:rPr>
          <w:rFonts w:hint="eastAsia" w:ascii="宋体" w:hAnsi="宋体"/>
          <w:color w:val="auto"/>
          <w:szCs w:val="21"/>
          <w:highlight w:val="none"/>
        </w:rPr>
        <w:t>资格证明文件和商务及技术文件两部分。</w:t>
      </w:r>
    </w:p>
    <w:p w14:paraId="7D207322">
      <w:pPr>
        <w:shd w:val="clear" w:color="auto" w:fill="auto"/>
        <w:spacing w:line="440" w:lineRule="exact"/>
        <w:rPr>
          <w:rFonts w:hint="eastAsia" w:ascii="宋体" w:eastAsia="宋体"/>
          <w:b/>
          <w:color w:val="auto"/>
          <w:sz w:val="24"/>
          <w:szCs w:val="24"/>
          <w:highlight w:val="none"/>
          <w:lang w:eastAsia="zh-CN"/>
        </w:rPr>
      </w:pPr>
      <w:r>
        <w:rPr>
          <w:rFonts w:hint="eastAsia" w:ascii="宋体"/>
          <w:b/>
          <w:bCs w:val="0"/>
          <w:color w:val="auto"/>
          <w:sz w:val="21"/>
          <w:szCs w:val="21"/>
          <w:highlight w:val="none"/>
        </w:rPr>
        <w:t>2</w:t>
      </w:r>
      <w:r>
        <w:rPr>
          <w:rFonts w:hint="eastAsia" w:ascii="宋体"/>
          <w:b/>
          <w:bCs w:val="0"/>
          <w:color w:val="auto"/>
          <w:sz w:val="21"/>
          <w:szCs w:val="21"/>
          <w:highlight w:val="none"/>
          <w:lang w:val="en-US" w:eastAsia="zh-CN"/>
        </w:rPr>
        <w:t>0</w:t>
      </w:r>
      <w:r>
        <w:rPr>
          <w:rFonts w:hint="eastAsia" w:ascii="宋体"/>
          <w:b/>
          <w:bCs w:val="0"/>
          <w:color w:val="auto"/>
          <w:sz w:val="21"/>
          <w:szCs w:val="21"/>
          <w:highlight w:val="none"/>
        </w:rPr>
        <w:t>.1资格证明文件</w:t>
      </w:r>
      <w:r>
        <w:rPr>
          <w:rFonts w:hint="eastAsia" w:ascii="宋体"/>
          <w:b/>
          <w:bCs w:val="0"/>
          <w:color w:val="auto"/>
          <w:sz w:val="21"/>
          <w:szCs w:val="21"/>
          <w:highlight w:val="none"/>
          <w:lang w:eastAsia="zh-CN"/>
        </w:rPr>
        <w:t>（包括但不限于）</w:t>
      </w:r>
    </w:p>
    <w:p w14:paraId="33E2BA9B">
      <w:pPr>
        <w:shd w:val="clear" w:color="auto" w:fill="auto"/>
        <w:spacing w:line="440" w:lineRule="exact"/>
        <w:ind w:firstLine="310" w:firstLineChars="147"/>
        <w:rPr>
          <w:rFonts w:hint="eastAsia" w:hAnsi="宋体"/>
          <w:color w:val="auto"/>
          <w:szCs w:val="21"/>
          <w:highlight w:val="none"/>
        </w:rPr>
      </w:pPr>
      <w:r>
        <w:rPr>
          <w:rFonts w:hint="eastAsia" w:hAnsi="宋体"/>
          <w:color w:val="auto"/>
          <w:szCs w:val="21"/>
          <w:highlight w:val="none"/>
        </w:rPr>
        <w:t>资格证明</w:t>
      </w:r>
      <w:r>
        <w:rPr>
          <w:rFonts w:hint="eastAsia" w:hAnsi="宋体"/>
          <w:color w:val="auto"/>
          <w:szCs w:val="21"/>
          <w:highlight w:val="none"/>
          <w:lang w:eastAsia="zh-CN"/>
        </w:rPr>
        <w:t>文件</w:t>
      </w:r>
      <w:r>
        <w:rPr>
          <w:rFonts w:hint="eastAsia" w:hAnsi="宋体"/>
          <w:color w:val="auto"/>
          <w:szCs w:val="21"/>
          <w:highlight w:val="none"/>
        </w:rPr>
        <w:t>是证明投标人有资格参加投标和中标后有能力履行合同的文件，这些文件应能满足招标的要求，否则作无效投标处理。</w:t>
      </w:r>
    </w:p>
    <w:p w14:paraId="15D647A3">
      <w:pPr>
        <w:shd w:val="clear" w:color="auto" w:fill="auto"/>
        <w:spacing w:line="440" w:lineRule="exact"/>
        <w:ind w:firstLine="285"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 xml:space="preserve"> 1、法人或者非法人组织的营业执照等证明文件复印件（须加盖本单位章）或自然人的身份证明复印件;</w:t>
      </w:r>
    </w:p>
    <w:p w14:paraId="5423E8DE">
      <w:pPr>
        <w:shd w:val="clear" w:color="auto" w:fill="auto"/>
        <w:spacing w:line="440" w:lineRule="exact"/>
        <w:ind w:firstLine="285"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2、法定代表人资格证明书</w:t>
      </w:r>
    </w:p>
    <w:p w14:paraId="64947930">
      <w:pPr>
        <w:shd w:val="clear" w:color="auto" w:fill="auto"/>
        <w:spacing w:line="440" w:lineRule="exact"/>
        <w:ind w:firstLine="285"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3、法定代表人授权书</w:t>
      </w:r>
    </w:p>
    <w:p w14:paraId="3B0854E9">
      <w:pPr>
        <w:shd w:val="clear" w:color="auto" w:fill="auto"/>
        <w:spacing w:line="440" w:lineRule="exact"/>
        <w:ind w:firstLine="285"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4、</w:t>
      </w:r>
      <w:r>
        <w:rPr>
          <w:rFonts w:hint="eastAsia" w:ascii="宋体" w:hAnsi="宋体" w:cs="Times New Roman"/>
          <w:color w:val="auto"/>
          <w:szCs w:val="21"/>
          <w:highlight w:val="none"/>
          <w:lang w:val="en-US" w:eastAsia="zh-CN"/>
        </w:rPr>
        <w:t>投</w:t>
      </w:r>
      <w:r>
        <w:rPr>
          <w:rFonts w:hint="eastAsia" w:ascii="宋体" w:hAnsi="宋体" w:eastAsia="宋体" w:cs="Times New Roman"/>
          <w:color w:val="auto"/>
          <w:szCs w:val="21"/>
          <w:highlight w:val="none"/>
          <w:lang w:val="en-US" w:eastAsia="zh-CN"/>
        </w:rPr>
        <w:t>标保证金汇款凭证或保函等票据；</w:t>
      </w:r>
    </w:p>
    <w:p w14:paraId="49B1820F">
      <w:pPr>
        <w:shd w:val="clear" w:color="auto" w:fill="auto"/>
        <w:spacing w:line="440" w:lineRule="exact"/>
        <w:ind w:firstLine="285"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5、</w:t>
      </w:r>
      <w:r>
        <w:rPr>
          <w:rFonts w:hint="eastAsia" w:ascii="宋体" w:hAnsi="宋体" w:cs="Times New Roman"/>
          <w:color w:val="auto"/>
          <w:szCs w:val="21"/>
          <w:highlight w:val="none"/>
          <w:lang w:val="en-US" w:eastAsia="zh-CN"/>
        </w:rPr>
        <w:t>投标企业须提供投标人（被授权在职人员）近六个月内任意一个月社保证明；</w:t>
      </w:r>
    </w:p>
    <w:p w14:paraId="7F5CF768">
      <w:pPr>
        <w:shd w:val="clear" w:color="auto" w:fill="auto"/>
        <w:spacing w:line="440" w:lineRule="exact"/>
        <w:ind w:firstLine="285"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6、参加政府采购活动前3年内在经营活动中没有重大违法记录的书面声明;</w:t>
      </w:r>
    </w:p>
    <w:p w14:paraId="7B8ED634">
      <w:pPr>
        <w:shd w:val="clear" w:color="auto" w:fill="auto"/>
        <w:spacing w:line="440" w:lineRule="exact"/>
        <w:ind w:firstLine="285"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7、</w:t>
      </w:r>
      <w:r>
        <w:rPr>
          <w:rFonts w:hint="eastAsia" w:ascii="宋体" w:hAnsi="宋体" w:cs="Times New Roman"/>
          <w:color w:val="auto"/>
          <w:szCs w:val="21"/>
          <w:highlight w:val="none"/>
          <w:lang w:val="en-US" w:eastAsia="zh-CN"/>
        </w:rPr>
        <w:t>参加政府采购活动前三年内，在经营活动中没有重大违法记录；未被“信用中国”（www.creditchina.gov.cn）及中国政府采购网 (www.ccgp.gov.cn）列入失信被执行人名单、重大税收违法失信主体、政府采购严重违法失信行为记录名单；</w:t>
      </w:r>
    </w:p>
    <w:p w14:paraId="73558906">
      <w:pPr>
        <w:shd w:val="clear" w:color="auto" w:fill="auto"/>
        <w:spacing w:line="440" w:lineRule="exact"/>
        <w:ind w:firstLine="285" w:firstLineChars="135"/>
        <w:rPr>
          <w:rFonts w:hint="eastAsia"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8</w:t>
      </w:r>
      <w:r>
        <w:rPr>
          <w:rFonts w:hint="eastAsia" w:ascii="宋体" w:hAnsi="宋体" w:eastAsia="宋体" w:cs="Times New Roman"/>
          <w:color w:val="auto"/>
          <w:szCs w:val="21"/>
          <w:highlight w:val="none"/>
          <w:lang w:val="en-US" w:eastAsia="zh-CN"/>
        </w:rPr>
        <w:t>、投标人须知资料表要求的其他资格证明文件</w:t>
      </w:r>
      <w:r>
        <w:rPr>
          <w:rFonts w:hint="eastAsia" w:ascii="宋体" w:hAnsi="宋体" w:cs="Times New Roman"/>
          <w:color w:val="auto"/>
          <w:szCs w:val="21"/>
          <w:highlight w:val="none"/>
          <w:lang w:val="en-US" w:eastAsia="zh-CN"/>
        </w:rPr>
        <w:t>。</w:t>
      </w:r>
    </w:p>
    <w:p w14:paraId="5B66126B">
      <w:pPr>
        <w:shd w:val="clear" w:color="auto" w:fill="auto"/>
        <w:spacing w:line="440" w:lineRule="exact"/>
        <w:rPr>
          <w:rFonts w:hint="eastAsia" w:ascii="Times New Roman" w:hAnsi="宋体" w:eastAsia="宋体" w:cs="Times New Roman"/>
          <w:color w:val="auto"/>
          <w:sz w:val="21"/>
          <w:szCs w:val="21"/>
          <w:highlight w:val="none"/>
        </w:rPr>
      </w:pPr>
      <w:r>
        <w:rPr>
          <w:rFonts w:hint="eastAsia" w:ascii="宋体" w:hAnsi="宋体" w:cs="宋体"/>
          <w:b/>
          <w:color w:val="auto"/>
          <w:sz w:val="21"/>
          <w:szCs w:val="21"/>
          <w:highlight w:val="none"/>
        </w:rPr>
        <w:t>2</w:t>
      </w:r>
      <w:r>
        <w:rPr>
          <w:rFonts w:hint="eastAsia" w:ascii="宋体" w:hAnsi="宋体" w:cs="宋体"/>
          <w:b/>
          <w:color w:val="auto"/>
          <w:sz w:val="21"/>
          <w:szCs w:val="21"/>
          <w:highlight w:val="none"/>
          <w:lang w:val="en-US" w:eastAsia="zh-CN"/>
        </w:rPr>
        <w:t>0</w:t>
      </w:r>
      <w:r>
        <w:rPr>
          <w:rFonts w:hint="eastAsia" w:ascii="宋体" w:hAnsi="宋体" w:cs="宋体"/>
          <w:b/>
          <w:color w:val="auto"/>
          <w:sz w:val="21"/>
          <w:szCs w:val="21"/>
          <w:highlight w:val="none"/>
        </w:rPr>
        <w:t>.2</w:t>
      </w:r>
      <w:r>
        <w:rPr>
          <w:rFonts w:hint="eastAsia" w:ascii="宋体" w:hAnsi="宋体" w:cs="宋体"/>
          <w:b/>
          <w:color w:val="auto"/>
          <w:sz w:val="21"/>
          <w:szCs w:val="21"/>
          <w:highlight w:val="none"/>
          <w:lang w:val="en-US" w:eastAsia="zh-CN"/>
        </w:rPr>
        <w:t xml:space="preserve"> 商务及技术文件</w:t>
      </w:r>
      <w:r>
        <w:rPr>
          <w:rFonts w:hint="eastAsia" w:ascii="宋体"/>
          <w:b/>
          <w:color w:val="auto"/>
          <w:sz w:val="21"/>
          <w:szCs w:val="21"/>
          <w:highlight w:val="none"/>
          <w:lang w:eastAsia="zh-CN"/>
        </w:rPr>
        <w:t>（包括但不限于）</w:t>
      </w:r>
    </w:p>
    <w:p w14:paraId="42E296CC">
      <w:pPr>
        <w:shd w:val="clear" w:color="auto" w:fill="auto"/>
        <w:spacing w:line="360" w:lineRule="auto"/>
        <w:ind w:firstLine="285"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1、投标函</w:t>
      </w:r>
    </w:p>
    <w:p w14:paraId="1ABCEA0B">
      <w:pPr>
        <w:shd w:val="clear" w:color="auto" w:fill="auto"/>
        <w:spacing w:line="360" w:lineRule="auto"/>
        <w:ind w:firstLine="285"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2、开标一览表</w:t>
      </w:r>
    </w:p>
    <w:p w14:paraId="68C68901">
      <w:pPr>
        <w:shd w:val="clear" w:color="auto" w:fill="auto"/>
        <w:spacing w:line="360" w:lineRule="auto"/>
        <w:ind w:firstLine="285"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3、投标分项报价表</w:t>
      </w:r>
    </w:p>
    <w:p w14:paraId="0A65B385">
      <w:pPr>
        <w:shd w:val="clear" w:color="auto" w:fill="auto"/>
        <w:spacing w:line="360" w:lineRule="auto"/>
        <w:ind w:firstLine="285" w:firstLineChars="135"/>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4、货物说明一览表</w:t>
      </w:r>
    </w:p>
    <w:p w14:paraId="26220D64">
      <w:pPr>
        <w:shd w:val="clear" w:color="auto" w:fill="auto"/>
        <w:spacing w:line="360" w:lineRule="auto"/>
        <w:ind w:firstLine="285"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5</w:t>
      </w:r>
      <w:r>
        <w:rPr>
          <w:rFonts w:hint="eastAsia" w:ascii="宋体" w:hAnsi="宋体" w:eastAsia="宋体" w:cs="Times New Roman"/>
          <w:color w:val="auto"/>
          <w:szCs w:val="21"/>
          <w:highlight w:val="none"/>
          <w:lang w:val="en-US" w:eastAsia="zh-CN"/>
        </w:rPr>
        <w:t>、技术规格偏离表</w:t>
      </w:r>
    </w:p>
    <w:p w14:paraId="0E64B719">
      <w:pPr>
        <w:shd w:val="clear" w:color="auto" w:fill="auto"/>
        <w:spacing w:line="360" w:lineRule="auto"/>
        <w:ind w:firstLine="285"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6</w:t>
      </w:r>
      <w:r>
        <w:rPr>
          <w:rFonts w:hint="eastAsia" w:ascii="宋体" w:hAnsi="宋体" w:eastAsia="宋体" w:cs="Times New Roman"/>
          <w:color w:val="auto"/>
          <w:szCs w:val="21"/>
          <w:highlight w:val="none"/>
          <w:lang w:val="en-US" w:eastAsia="zh-CN"/>
        </w:rPr>
        <w:t>、商务条款偏离表</w:t>
      </w:r>
    </w:p>
    <w:p w14:paraId="438C1D34">
      <w:pPr>
        <w:shd w:val="clear" w:color="auto" w:fill="auto"/>
        <w:spacing w:line="360" w:lineRule="auto"/>
        <w:ind w:firstLine="285"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7</w:t>
      </w:r>
      <w:r>
        <w:rPr>
          <w:rFonts w:hint="eastAsia" w:ascii="宋体" w:hAnsi="宋体" w:eastAsia="宋体" w:cs="Times New Roman"/>
          <w:color w:val="auto"/>
          <w:szCs w:val="21"/>
          <w:highlight w:val="none"/>
          <w:lang w:val="en-US" w:eastAsia="zh-CN"/>
        </w:rPr>
        <w:t>、投标人基本情况表</w:t>
      </w:r>
    </w:p>
    <w:p w14:paraId="363EE8A4">
      <w:pPr>
        <w:shd w:val="clear" w:color="auto" w:fill="auto"/>
        <w:spacing w:line="360" w:lineRule="auto"/>
        <w:ind w:firstLine="285"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8</w:t>
      </w:r>
      <w:r>
        <w:rPr>
          <w:rFonts w:hint="eastAsia" w:ascii="宋体" w:hAnsi="宋体" w:eastAsia="宋体" w:cs="Times New Roman"/>
          <w:color w:val="auto"/>
          <w:szCs w:val="21"/>
          <w:highlight w:val="none"/>
          <w:lang w:val="en-US" w:eastAsia="zh-CN"/>
        </w:rPr>
        <w:t>、</w:t>
      </w:r>
      <w:r>
        <w:rPr>
          <w:rFonts w:hint="eastAsia" w:ascii="宋体" w:hAnsi="宋体" w:cs="Times New Roman"/>
          <w:color w:val="auto"/>
          <w:szCs w:val="21"/>
          <w:highlight w:val="none"/>
          <w:lang w:val="en-US" w:eastAsia="zh-CN"/>
        </w:rPr>
        <w:t>近年</w:t>
      </w:r>
      <w:r>
        <w:rPr>
          <w:rFonts w:hint="eastAsia" w:ascii="宋体" w:hAnsi="宋体" w:eastAsia="宋体" w:cs="Times New Roman"/>
          <w:color w:val="auto"/>
          <w:szCs w:val="21"/>
          <w:highlight w:val="none"/>
          <w:lang w:val="en-US" w:eastAsia="zh-CN"/>
        </w:rPr>
        <w:t>类似项目业绩表</w:t>
      </w:r>
    </w:p>
    <w:p w14:paraId="0737072F">
      <w:pPr>
        <w:shd w:val="clear" w:color="auto" w:fill="auto"/>
        <w:spacing w:line="360" w:lineRule="auto"/>
        <w:ind w:firstLine="285"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9</w:t>
      </w:r>
      <w:r>
        <w:rPr>
          <w:rFonts w:hint="eastAsia" w:ascii="宋体" w:hAnsi="宋体" w:eastAsia="宋体" w:cs="Times New Roman"/>
          <w:color w:val="auto"/>
          <w:szCs w:val="21"/>
          <w:highlight w:val="none"/>
          <w:lang w:val="en-US" w:eastAsia="zh-CN"/>
        </w:rPr>
        <w:t>、中小企业声明函(货物)</w:t>
      </w:r>
    </w:p>
    <w:p w14:paraId="4B82669B">
      <w:pPr>
        <w:shd w:val="clear" w:color="auto" w:fill="auto"/>
        <w:spacing w:line="360" w:lineRule="auto"/>
        <w:ind w:firstLine="285"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10、</w:t>
      </w:r>
      <w:r>
        <w:rPr>
          <w:rFonts w:hint="eastAsia" w:asciiTheme="minorEastAsia" w:hAnsiTheme="minorEastAsia" w:eastAsiaTheme="minorEastAsia" w:cstheme="minorEastAsia"/>
          <w:color w:val="auto"/>
          <w:highlight w:val="none"/>
          <w:lang w:eastAsia="zh-CN"/>
        </w:rPr>
        <w:t>关于符合本国产品标准的声明函</w:t>
      </w:r>
    </w:p>
    <w:p w14:paraId="1DCDCBFE">
      <w:pPr>
        <w:shd w:val="clear" w:color="auto" w:fill="auto"/>
        <w:spacing w:line="360" w:lineRule="auto"/>
        <w:ind w:firstLine="285"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11</w:t>
      </w:r>
      <w:r>
        <w:rPr>
          <w:rFonts w:hint="eastAsia" w:ascii="宋体" w:hAnsi="宋体" w:eastAsia="宋体" w:cs="Times New Roman"/>
          <w:color w:val="auto"/>
          <w:szCs w:val="21"/>
          <w:highlight w:val="none"/>
          <w:lang w:val="en-US" w:eastAsia="zh-CN"/>
        </w:rPr>
        <w:t>、投标人关联单位的说明（格式自拟）</w:t>
      </w:r>
    </w:p>
    <w:p w14:paraId="6306AD19">
      <w:pPr>
        <w:shd w:val="clear" w:color="auto" w:fill="auto"/>
        <w:spacing w:line="360" w:lineRule="auto"/>
        <w:ind w:firstLine="285"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12、</w:t>
      </w:r>
      <w:r>
        <w:rPr>
          <w:rFonts w:hint="eastAsia" w:ascii="宋体" w:hAnsi="宋体" w:eastAsia="宋体" w:cs="Times New Roman"/>
          <w:color w:val="auto"/>
          <w:szCs w:val="21"/>
          <w:highlight w:val="none"/>
          <w:lang w:val="en-US" w:eastAsia="zh-CN"/>
        </w:rPr>
        <w:t>评分标准和细则中技术部分证明材料（格式自拟）</w:t>
      </w:r>
    </w:p>
    <w:p w14:paraId="32FD666E">
      <w:pPr>
        <w:shd w:val="clear" w:color="auto" w:fill="auto"/>
        <w:spacing w:line="360" w:lineRule="auto"/>
        <w:ind w:firstLine="285"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13</w:t>
      </w:r>
      <w:r>
        <w:rPr>
          <w:rFonts w:hint="eastAsia" w:ascii="宋体" w:hAnsi="宋体" w:eastAsia="宋体" w:cs="Times New Roman"/>
          <w:color w:val="auto"/>
          <w:szCs w:val="21"/>
          <w:highlight w:val="none"/>
          <w:lang w:val="en-US" w:eastAsia="zh-CN"/>
        </w:rPr>
        <w:t>、评分标准和细则中</w:t>
      </w:r>
      <w:r>
        <w:rPr>
          <w:rFonts w:hint="eastAsia" w:ascii="宋体" w:hAnsi="宋体" w:cs="Times New Roman"/>
          <w:color w:val="auto"/>
          <w:szCs w:val="21"/>
          <w:highlight w:val="none"/>
          <w:lang w:val="en-US" w:eastAsia="zh-CN"/>
        </w:rPr>
        <w:t>商务</w:t>
      </w:r>
      <w:r>
        <w:rPr>
          <w:rFonts w:hint="eastAsia" w:ascii="宋体" w:hAnsi="宋体" w:eastAsia="宋体" w:cs="Times New Roman"/>
          <w:color w:val="auto"/>
          <w:szCs w:val="21"/>
          <w:highlight w:val="none"/>
          <w:lang w:val="en-US" w:eastAsia="zh-CN"/>
        </w:rPr>
        <w:t>部分证明材料（格式自拟）</w:t>
      </w:r>
    </w:p>
    <w:p w14:paraId="1A6EBD8F">
      <w:pPr>
        <w:shd w:val="clear" w:color="auto" w:fill="auto"/>
        <w:spacing w:line="360" w:lineRule="auto"/>
        <w:ind w:firstLine="285" w:firstLineChars="135"/>
        <w:rPr>
          <w:rFonts w:hint="eastAsia" w:ascii="宋体" w:hAnsi="宋体" w:eastAsia="宋体" w:cs="宋体"/>
          <w:color w:val="auto"/>
          <w:sz w:val="24"/>
          <w:highlight w:val="none"/>
        </w:rPr>
      </w:pPr>
      <w:r>
        <w:rPr>
          <w:rFonts w:hint="eastAsia" w:ascii="宋体" w:hAnsi="宋体" w:cs="Times New Roman"/>
          <w:color w:val="auto"/>
          <w:szCs w:val="21"/>
          <w:highlight w:val="none"/>
          <w:lang w:val="en-US" w:eastAsia="zh-CN"/>
        </w:rPr>
        <w:t>14</w:t>
      </w:r>
      <w:r>
        <w:rPr>
          <w:rFonts w:hint="eastAsia" w:ascii="宋体" w:hAnsi="宋体" w:eastAsia="宋体" w:cs="Times New Roman"/>
          <w:color w:val="auto"/>
          <w:szCs w:val="21"/>
          <w:highlight w:val="none"/>
          <w:lang w:val="en-US" w:eastAsia="zh-CN"/>
        </w:rPr>
        <w:t>、投标人认为有必要提供的其他证明材料（格式自拟）</w:t>
      </w:r>
    </w:p>
    <w:p w14:paraId="3413D1B6">
      <w:pPr>
        <w:shd w:val="clear" w:color="auto" w:fill="auto"/>
        <w:spacing w:line="400" w:lineRule="exact"/>
        <w:ind w:firstLine="420" w:firstLineChars="199"/>
        <w:rPr>
          <w:rFonts w:hint="eastAsia" w:ascii="宋体" w:eastAsia="宋体"/>
          <w:color w:val="auto"/>
          <w:szCs w:val="21"/>
          <w:highlight w:val="none"/>
          <w:lang w:eastAsia="zh-CN"/>
        </w:rPr>
      </w:pPr>
      <w:r>
        <w:rPr>
          <w:rFonts w:hint="eastAsia" w:ascii="宋体" w:hAnsi="宋体" w:eastAsia="宋体" w:cs="宋体"/>
          <w:b/>
          <w:color w:val="auto"/>
          <w:kern w:val="0"/>
          <w:szCs w:val="21"/>
          <w:highlight w:val="none"/>
          <w:u w:val="single"/>
        </w:rPr>
        <w:t>注：以上材料须</w:t>
      </w:r>
      <w:r>
        <w:rPr>
          <w:rFonts w:hint="eastAsia" w:ascii="宋体" w:hAnsi="宋体" w:eastAsia="宋体" w:cs="宋体"/>
          <w:b/>
          <w:color w:val="auto"/>
          <w:kern w:val="0"/>
          <w:szCs w:val="21"/>
          <w:highlight w:val="none"/>
          <w:u w:val="single"/>
          <w:lang w:eastAsia="zh-CN"/>
        </w:rPr>
        <w:t>逐页</w:t>
      </w:r>
      <w:r>
        <w:rPr>
          <w:rFonts w:hint="eastAsia" w:ascii="宋体" w:hAnsi="宋体" w:eastAsia="宋体" w:cs="宋体"/>
          <w:b/>
          <w:color w:val="auto"/>
          <w:kern w:val="0"/>
          <w:szCs w:val="21"/>
          <w:highlight w:val="none"/>
          <w:u w:val="single"/>
        </w:rPr>
        <w:t>加盖单位公章</w:t>
      </w:r>
      <w:r>
        <w:rPr>
          <w:rFonts w:hint="eastAsia" w:ascii="宋体" w:hAnsi="宋体" w:eastAsia="宋体" w:cs="宋体"/>
          <w:b/>
          <w:color w:val="auto"/>
          <w:kern w:val="0"/>
          <w:szCs w:val="21"/>
          <w:highlight w:val="none"/>
          <w:u w:val="single"/>
          <w:lang w:eastAsia="zh-CN"/>
        </w:rPr>
        <w:t>。</w:t>
      </w:r>
    </w:p>
    <w:p w14:paraId="1FE66CCD">
      <w:pPr>
        <w:shd w:val="clear" w:color="auto" w:fill="auto"/>
        <w:spacing w:line="400" w:lineRule="exact"/>
        <w:ind w:firstLine="420" w:firstLineChars="199"/>
        <w:rPr>
          <w:rFonts w:hint="eastAsia" w:ascii="宋体" w:hAnsi="宋体" w:eastAsia="宋体" w:cs="Times New Roman"/>
          <w:color w:val="auto"/>
          <w:szCs w:val="21"/>
          <w:highlight w:val="none"/>
          <w:lang w:eastAsia="zh-CN"/>
        </w:rPr>
      </w:pPr>
      <w:r>
        <w:rPr>
          <w:rFonts w:hint="eastAsia" w:ascii="宋体"/>
          <w:color w:val="auto"/>
          <w:szCs w:val="21"/>
          <w:highlight w:val="none"/>
        </w:rPr>
        <w:t>2</w:t>
      </w:r>
      <w:r>
        <w:rPr>
          <w:rFonts w:hint="eastAsia" w:ascii="宋体"/>
          <w:color w:val="auto"/>
          <w:szCs w:val="21"/>
          <w:highlight w:val="none"/>
          <w:lang w:val="en-US" w:eastAsia="zh-CN"/>
        </w:rPr>
        <w:t>0</w:t>
      </w:r>
      <w:r>
        <w:rPr>
          <w:rFonts w:hint="eastAsia" w:ascii="宋体"/>
          <w:color w:val="auto"/>
          <w:szCs w:val="21"/>
          <w:highlight w:val="none"/>
        </w:rPr>
        <w:t>.</w:t>
      </w:r>
      <w:r>
        <w:rPr>
          <w:rFonts w:hint="eastAsia" w:ascii="宋体"/>
          <w:color w:val="auto"/>
          <w:szCs w:val="21"/>
          <w:highlight w:val="none"/>
          <w:lang w:val="en-US" w:eastAsia="zh-CN"/>
        </w:rPr>
        <w:t>3</w:t>
      </w:r>
      <w:r>
        <w:rPr>
          <w:rFonts w:hint="eastAsia" w:ascii="宋体" w:hAnsi="宋体" w:eastAsia="宋体" w:cs="Times New Roman"/>
          <w:color w:val="auto"/>
          <w:szCs w:val="21"/>
          <w:highlight w:val="none"/>
          <w:lang w:eastAsia="zh-CN"/>
        </w:rPr>
        <w:t>投标文件的要求</w:t>
      </w:r>
    </w:p>
    <w:p w14:paraId="76AEC8E2">
      <w:pPr>
        <w:shd w:val="clear" w:color="auto" w:fill="auto"/>
        <w:spacing w:line="400" w:lineRule="exact"/>
        <w:ind w:firstLine="420" w:firstLineChars="199"/>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1</w:t>
      </w:r>
      <w:r>
        <w:rPr>
          <w:rFonts w:hint="eastAsia" w:ascii="宋体" w:hAnsi="宋体" w:eastAsia="宋体" w:cs="Times New Roman"/>
          <w:color w:val="auto"/>
          <w:szCs w:val="21"/>
          <w:highlight w:val="none"/>
          <w:lang w:eastAsia="zh-CN"/>
        </w:rPr>
        <w:t>）供应商应仔细阅读采购文件的所有内容，按照采购文件的要求详细编制投标文件，所提交的全部资料必须真实有效，并且要保证字迹清晰易于辨认。投标文件应对采购文件实质性内容作出响应，否则按无效标处理。</w:t>
      </w:r>
    </w:p>
    <w:p w14:paraId="34C05BB6">
      <w:pPr>
        <w:shd w:val="clear" w:color="auto" w:fill="auto"/>
        <w:spacing w:line="400" w:lineRule="exact"/>
        <w:ind w:firstLine="420" w:firstLineChars="199"/>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lang w:eastAsia="zh-CN"/>
        </w:rPr>
        <w:t>）投标文件格式应按本采购文件第六章格式要求编制，不得对采购文件格式进行增删更改，否则按无效标处理。</w:t>
      </w:r>
    </w:p>
    <w:p w14:paraId="70CC4533">
      <w:pPr>
        <w:shd w:val="clear" w:color="auto" w:fill="auto"/>
        <w:spacing w:line="400" w:lineRule="exact"/>
        <w:ind w:firstLine="420" w:firstLineChars="199"/>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lang w:eastAsia="zh-CN"/>
        </w:rPr>
        <w:t xml:space="preserve">）对采购文件格式可更改的例外情况：采购文件第六章附件格式要求中明确规定表格中行数不够用时可按相同格式增加行数，其他一切内容和格式不得更改。 </w:t>
      </w:r>
    </w:p>
    <w:p w14:paraId="67A82ABD">
      <w:pPr>
        <w:shd w:val="clear" w:color="auto" w:fill="auto"/>
        <w:spacing w:line="400" w:lineRule="exact"/>
        <w:ind w:firstLine="420" w:firstLineChars="199"/>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4</w:t>
      </w:r>
      <w:r>
        <w:rPr>
          <w:rFonts w:hint="eastAsia" w:ascii="宋体" w:hAnsi="宋体" w:eastAsia="宋体" w:cs="Times New Roman"/>
          <w:color w:val="auto"/>
          <w:szCs w:val="21"/>
          <w:highlight w:val="none"/>
          <w:lang w:eastAsia="zh-CN"/>
        </w:rPr>
        <w:t>）投标文件为电子投标文件，电子投标文件按“政采云供应商项目采购-电子招投标操作指南”及本采购文件要求制作、加密传输。</w:t>
      </w:r>
    </w:p>
    <w:p w14:paraId="79CEE730">
      <w:pPr>
        <w:shd w:val="clear" w:color="auto" w:fill="auto"/>
        <w:spacing w:line="400" w:lineRule="exact"/>
        <w:ind w:firstLine="420" w:firstLineChars="199"/>
        <w:rPr>
          <w:rFonts w:hint="eastAsia" w:ascii="宋体"/>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5</w:t>
      </w:r>
      <w:r>
        <w:rPr>
          <w:rFonts w:hint="eastAsia" w:ascii="宋体" w:hAnsi="宋体" w:eastAsia="宋体" w:cs="Times New Roman"/>
          <w:color w:val="auto"/>
          <w:szCs w:val="21"/>
          <w:highlight w:val="none"/>
          <w:lang w:eastAsia="zh-CN"/>
        </w:rPr>
        <w:t>）投标文件未在投标截止时间前完成传输的，视为投标文件撤回；投标文件未按时解密也未提供备份投标文件的，亦视为投标文件撤回。</w:t>
      </w:r>
    </w:p>
    <w:p w14:paraId="4CDBFEE7">
      <w:pPr>
        <w:shd w:val="clear" w:color="auto" w:fill="auto"/>
        <w:spacing w:line="440" w:lineRule="exact"/>
        <w:rPr>
          <w:rFonts w:hint="eastAsia" w:ascii="宋体"/>
          <w:color w:val="auto"/>
          <w:szCs w:val="21"/>
          <w:highlight w:val="none"/>
        </w:rPr>
      </w:pPr>
      <w:r>
        <w:rPr>
          <w:rFonts w:hint="eastAsia" w:ascii="宋体"/>
          <w:b/>
          <w:color w:val="auto"/>
          <w:szCs w:val="21"/>
          <w:highlight w:val="none"/>
        </w:rPr>
        <w:t>2</w:t>
      </w:r>
      <w:r>
        <w:rPr>
          <w:rFonts w:hint="eastAsia" w:ascii="宋体"/>
          <w:b/>
          <w:color w:val="auto"/>
          <w:szCs w:val="21"/>
          <w:highlight w:val="none"/>
          <w:lang w:val="en-US" w:eastAsia="zh-CN"/>
        </w:rPr>
        <w:t>1</w:t>
      </w:r>
      <w:r>
        <w:rPr>
          <w:rFonts w:hint="eastAsia" w:ascii="宋体"/>
          <w:color w:val="auto"/>
          <w:szCs w:val="21"/>
          <w:highlight w:val="none"/>
        </w:rPr>
        <w:t>.</w:t>
      </w:r>
      <w:r>
        <w:rPr>
          <w:rFonts w:hint="eastAsia" w:ascii="宋体"/>
          <w:b/>
          <w:color w:val="auto"/>
          <w:szCs w:val="21"/>
          <w:highlight w:val="none"/>
        </w:rPr>
        <w:t>投标报价</w:t>
      </w:r>
    </w:p>
    <w:p w14:paraId="2969BC00">
      <w:pPr>
        <w:shd w:val="clear" w:color="auto" w:fill="auto"/>
        <w:spacing w:line="44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1</w:t>
      </w:r>
      <w:r>
        <w:rPr>
          <w:rFonts w:hint="eastAsia" w:ascii="宋体"/>
          <w:color w:val="auto"/>
          <w:szCs w:val="21"/>
          <w:highlight w:val="none"/>
        </w:rPr>
        <w:t>.1投标报价文件中的单价和总价全部采用人民币表示。</w:t>
      </w:r>
    </w:p>
    <w:p w14:paraId="127DF048">
      <w:pPr>
        <w:shd w:val="clear" w:color="auto" w:fill="auto"/>
        <w:spacing w:line="44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1</w:t>
      </w:r>
      <w:r>
        <w:rPr>
          <w:rFonts w:hint="eastAsia" w:ascii="宋体"/>
          <w:color w:val="auto"/>
          <w:szCs w:val="21"/>
          <w:highlight w:val="none"/>
        </w:rPr>
        <w:t>.2投标报价表上应清楚标明投标人拟提供</w:t>
      </w:r>
      <w:r>
        <w:rPr>
          <w:rFonts w:hint="eastAsia" w:ascii="宋体"/>
          <w:color w:val="auto"/>
          <w:szCs w:val="21"/>
          <w:highlight w:val="none"/>
          <w:lang w:val="en-US" w:eastAsia="zh-CN"/>
        </w:rPr>
        <w:t>货物（服务）</w:t>
      </w:r>
      <w:r>
        <w:rPr>
          <w:rFonts w:hint="eastAsia" w:ascii="宋体"/>
          <w:color w:val="auto"/>
          <w:szCs w:val="21"/>
          <w:highlight w:val="none"/>
        </w:rPr>
        <w:t>的名称、数量、单价和总价。</w:t>
      </w:r>
    </w:p>
    <w:p w14:paraId="47BD3903">
      <w:pPr>
        <w:shd w:val="clear" w:color="auto" w:fill="auto"/>
        <w:spacing w:line="44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1</w:t>
      </w:r>
      <w:r>
        <w:rPr>
          <w:rFonts w:hint="eastAsia" w:ascii="宋体"/>
          <w:color w:val="auto"/>
          <w:szCs w:val="21"/>
          <w:highlight w:val="none"/>
        </w:rPr>
        <w:t>.3投标人只允许有一个方案、一个报价。</w:t>
      </w:r>
    </w:p>
    <w:p w14:paraId="14A45740">
      <w:pPr>
        <w:shd w:val="clear" w:color="auto" w:fill="auto"/>
        <w:spacing w:line="44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1</w:t>
      </w:r>
      <w:r>
        <w:rPr>
          <w:rFonts w:hint="eastAsia" w:ascii="宋体"/>
          <w:color w:val="auto"/>
          <w:szCs w:val="21"/>
          <w:highlight w:val="none"/>
        </w:rPr>
        <w:t>.4投标人应按“采购内容及技术参数要求”所列</w:t>
      </w:r>
      <w:r>
        <w:rPr>
          <w:rFonts w:hint="eastAsia" w:ascii="宋体"/>
          <w:color w:val="auto"/>
          <w:szCs w:val="21"/>
          <w:highlight w:val="none"/>
          <w:lang w:val="en-US" w:eastAsia="zh-CN"/>
        </w:rPr>
        <w:t>服务</w:t>
      </w:r>
      <w:r>
        <w:rPr>
          <w:rFonts w:hint="eastAsia" w:ascii="宋体"/>
          <w:color w:val="auto"/>
          <w:szCs w:val="21"/>
          <w:highlight w:val="none"/>
        </w:rPr>
        <w:t>逐项进行单价报价，并最终按</w:t>
      </w:r>
      <w:r>
        <w:rPr>
          <w:rFonts w:hint="eastAsia" w:ascii="宋体"/>
          <w:color w:val="auto"/>
          <w:szCs w:val="21"/>
          <w:highlight w:val="none"/>
          <w:lang w:val="en-US" w:eastAsia="zh-CN"/>
        </w:rPr>
        <w:t>服务</w:t>
      </w:r>
      <w:r>
        <w:rPr>
          <w:rFonts w:hint="eastAsia" w:ascii="宋体"/>
          <w:color w:val="auto"/>
          <w:szCs w:val="21"/>
          <w:highlight w:val="none"/>
        </w:rPr>
        <w:t>总量乘以货物单价报总价，不得采用总价下浮的方式进行报价。综合单价包括：设备费、安装费、材料费、辅材费、运输费、管理费、利润、风险费用、代理费、调试、验收、培训及后期服务及国家对中标单位征收的各种税费等所有一切费用，综合单价今后将不作任何调整。</w:t>
      </w:r>
    </w:p>
    <w:p w14:paraId="5C211CB2">
      <w:pPr>
        <w:shd w:val="clear" w:color="auto" w:fill="auto"/>
        <w:spacing w:line="44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1</w:t>
      </w:r>
      <w:r>
        <w:rPr>
          <w:rFonts w:hint="eastAsia" w:ascii="宋体"/>
          <w:color w:val="auto"/>
          <w:szCs w:val="21"/>
          <w:highlight w:val="none"/>
        </w:rPr>
        <w:t>.5投标报价的价格是</w:t>
      </w:r>
      <w:r>
        <w:rPr>
          <w:rFonts w:hint="eastAsia" w:ascii="宋体"/>
          <w:color w:val="auto"/>
          <w:szCs w:val="21"/>
          <w:highlight w:val="none"/>
          <w:lang w:val="en-US" w:eastAsia="zh-CN"/>
        </w:rPr>
        <w:t>货物及服务</w:t>
      </w:r>
      <w:r>
        <w:rPr>
          <w:rFonts w:hint="eastAsia" w:ascii="宋体"/>
          <w:color w:val="auto"/>
          <w:szCs w:val="21"/>
          <w:highlight w:val="none"/>
        </w:rPr>
        <w:t>交货地验收价格，其总价即为履行合同的固定总价。</w:t>
      </w:r>
    </w:p>
    <w:p w14:paraId="6E99140D">
      <w:pPr>
        <w:shd w:val="clear" w:color="auto" w:fill="auto"/>
        <w:spacing w:line="44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1</w:t>
      </w:r>
      <w:r>
        <w:rPr>
          <w:rFonts w:hint="eastAsia" w:ascii="宋体"/>
          <w:color w:val="auto"/>
          <w:szCs w:val="21"/>
          <w:highlight w:val="none"/>
        </w:rPr>
        <w:t>.6技术要求中规定的安装、调试和培训费用应包括在投标价格中。投标文件报价为含税价，招标人不再为此次招标支付任何费用。</w:t>
      </w:r>
    </w:p>
    <w:p w14:paraId="577D5DC3">
      <w:pPr>
        <w:shd w:val="clear" w:color="auto" w:fill="auto"/>
        <w:spacing w:line="44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1</w:t>
      </w:r>
      <w:r>
        <w:rPr>
          <w:rFonts w:hint="eastAsia" w:ascii="宋体"/>
          <w:color w:val="auto"/>
          <w:szCs w:val="21"/>
          <w:highlight w:val="none"/>
        </w:rPr>
        <w:t>.7投标报价应由法定代表人或被授权人签署。</w:t>
      </w:r>
    </w:p>
    <w:p w14:paraId="06365B60">
      <w:pPr>
        <w:shd w:val="clear" w:color="auto" w:fill="auto"/>
        <w:spacing w:line="440" w:lineRule="exact"/>
        <w:ind w:firstLine="424" w:firstLineChars="200"/>
        <w:rPr>
          <w:rFonts w:hint="eastAsia" w:ascii="宋体"/>
          <w:bCs/>
          <w:color w:val="auto"/>
          <w:szCs w:val="21"/>
          <w:highlight w:val="none"/>
        </w:rPr>
      </w:pPr>
      <w:r>
        <w:rPr>
          <w:rFonts w:hint="eastAsia" w:ascii="宋体"/>
          <w:bCs/>
          <w:color w:val="auto"/>
          <w:szCs w:val="21"/>
          <w:highlight w:val="none"/>
        </w:rPr>
        <w:t>2</w:t>
      </w:r>
      <w:r>
        <w:rPr>
          <w:rFonts w:hint="eastAsia" w:ascii="宋体"/>
          <w:bCs/>
          <w:color w:val="auto"/>
          <w:szCs w:val="21"/>
          <w:highlight w:val="none"/>
          <w:lang w:val="en-US" w:eastAsia="zh-CN"/>
        </w:rPr>
        <w:t>1</w:t>
      </w:r>
      <w:r>
        <w:rPr>
          <w:rFonts w:hint="eastAsia" w:ascii="宋体"/>
          <w:bCs/>
          <w:color w:val="auto"/>
          <w:szCs w:val="21"/>
          <w:highlight w:val="none"/>
        </w:rPr>
        <w:t>.8</w:t>
      </w:r>
      <w:r>
        <w:rPr>
          <w:rFonts w:hint="eastAsia" w:ascii="宋体" w:hAnsi="宋体"/>
          <w:b/>
          <w:color w:val="auto"/>
          <w:szCs w:val="21"/>
          <w:highlight w:val="none"/>
        </w:rPr>
        <w:t>投标人投标总报价，不得高于本次招标设置的最高限价，</w:t>
      </w:r>
      <w:r>
        <w:rPr>
          <w:rFonts w:hint="eastAsia" w:ascii="宋体" w:hAnsi="宋体"/>
          <w:b/>
          <w:bCs/>
          <w:color w:val="auto"/>
          <w:szCs w:val="21"/>
          <w:highlight w:val="none"/>
        </w:rPr>
        <w:t>否则将作为无效投标处理。</w:t>
      </w:r>
    </w:p>
    <w:p w14:paraId="75601D5F">
      <w:pPr>
        <w:shd w:val="clear" w:color="auto" w:fill="auto"/>
        <w:spacing w:line="44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1</w:t>
      </w:r>
      <w:r>
        <w:rPr>
          <w:rFonts w:hint="eastAsia" w:ascii="宋体"/>
          <w:color w:val="auto"/>
          <w:szCs w:val="21"/>
          <w:highlight w:val="none"/>
        </w:rPr>
        <w:t>.9如投标文件中未列明全面实现投标</w:t>
      </w:r>
      <w:r>
        <w:rPr>
          <w:rFonts w:hint="eastAsia" w:ascii="宋体"/>
          <w:color w:val="auto"/>
          <w:szCs w:val="21"/>
          <w:highlight w:val="none"/>
          <w:lang w:val="en-US" w:eastAsia="zh-CN"/>
        </w:rPr>
        <w:t>服务</w:t>
      </w:r>
      <w:r>
        <w:rPr>
          <w:rFonts w:hint="eastAsia" w:ascii="宋体"/>
          <w:color w:val="auto"/>
          <w:szCs w:val="21"/>
          <w:highlight w:val="none"/>
        </w:rPr>
        <w:t>功能而必须配置的配套或辅助设施及相应技术措施的费用，这些费用将被视为已包含在总投标价中。</w:t>
      </w:r>
    </w:p>
    <w:p w14:paraId="1E7C58A0">
      <w:pPr>
        <w:shd w:val="clear" w:color="auto" w:fill="auto"/>
        <w:spacing w:line="44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1</w:t>
      </w:r>
      <w:r>
        <w:rPr>
          <w:rFonts w:hint="eastAsia" w:ascii="宋体"/>
          <w:color w:val="auto"/>
          <w:szCs w:val="21"/>
          <w:highlight w:val="none"/>
        </w:rPr>
        <w:t>.10总投标价中不得包含</w:t>
      </w:r>
      <w:r>
        <w:rPr>
          <w:rFonts w:hint="eastAsia" w:ascii="宋体"/>
          <w:color w:val="auto"/>
          <w:szCs w:val="21"/>
          <w:highlight w:val="none"/>
          <w:lang w:eastAsia="zh-CN"/>
        </w:rPr>
        <w:t>采购文件</w:t>
      </w:r>
      <w:r>
        <w:rPr>
          <w:rFonts w:hint="eastAsia" w:ascii="宋体"/>
          <w:color w:val="auto"/>
          <w:szCs w:val="21"/>
          <w:highlight w:val="none"/>
        </w:rPr>
        <w:t>要求以外的内容，否则，在评标时不予核减，但在授予合同时，招标人有权将这部分价格从其中标价格中扣除。</w:t>
      </w:r>
    </w:p>
    <w:p w14:paraId="03F92577">
      <w:pPr>
        <w:shd w:val="clear" w:color="auto" w:fill="auto"/>
        <w:spacing w:line="440" w:lineRule="exact"/>
        <w:ind w:firstLine="406" w:firstLineChars="192"/>
        <w:rPr>
          <w:rFonts w:hint="default" w:ascii="宋体" w:eastAsia="宋体"/>
          <w:color w:val="auto"/>
          <w:szCs w:val="21"/>
          <w:highlight w:val="none"/>
          <w:lang w:val="en-US" w:eastAsia="zh-CN"/>
        </w:rPr>
      </w:pPr>
      <w:r>
        <w:rPr>
          <w:rFonts w:hint="eastAsia" w:ascii="宋体"/>
          <w:color w:val="auto"/>
          <w:szCs w:val="21"/>
          <w:highlight w:val="none"/>
        </w:rPr>
        <w:t>2</w:t>
      </w:r>
      <w:r>
        <w:rPr>
          <w:rFonts w:hint="eastAsia" w:ascii="宋体"/>
          <w:color w:val="auto"/>
          <w:szCs w:val="21"/>
          <w:highlight w:val="none"/>
          <w:lang w:val="en-US" w:eastAsia="zh-CN"/>
        </w:rPr>
        <w:t>1</w:t>
      </w:r>
      <w:r>
        <w:rPr>
          <w:rFonts w:hint="eastAsia" w:ascii="宋体"/>
          <w:color w:val="auto"/>
          <w:szCs w:val="21"/>
          <w:highlight w:val="none"/>
        </w:rPr>
        <w:t>.11总投标价中不得缺漏</w:t>
      </w:r>
      <w:r>
        <w:rPr>
          <w:rFonts w:hint="eastAsia" w:ascii="宋体"/>
          <w:color w:val="auto"/>
          <w:szCs w:val="21"/>
          <w:highlight w:val="none"/>
          <w:lang w:eastAsia="zh-CN"/>
        </w:rPr>
        <w:t>采购文件</w:t>
      </w:r>
      <w:r>
        <w:rPr>
          <w:rFonts w:hint="eastAsia" w:ascii="宋体"/>
          <w:color w:val="auto"/>
          <w:szCs w:val="21"/>
          <w:highlight w:val="none"/>
        </w:rPr>
        <w:t>所要求的内容，否则，评标时将有效投标中该项内容的最高价计入其评标总价，但在授予合同时，缺漏项目的报价视作已含在其他项目的报价中，这些项目将作为免费赠送而包含在合同内。</w:t>
      </w:r>
      <w:r>
        <w:rPr>
          <w:rFonts w:hint="eastAsia" w:ascii="宋体"/>
          <w:color w:val="auto"/>
          <w:szCs w:val="21"/>
          <w:highlight w:val="none"/>
          <w:lang w:val="en-US" w:eastAsia="zh-CN"/>
        </w:rPr>
        <w:t xml:space="preserve">    </w:t>
      </w:r>
    </w:p>
    <w:p w14:paraId="590E1ED8">
      <w:pPr>
        <w:shd w:val="clear" w:color="auto" w:fill="auto"/>
        <w:spacing w:line="440" w:lineRule="exact"/>
        <w:ind w:firstLine="406" w:firstLineChars="192"/>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1</w:t>
      </w:r>
      <w:r>
        <w:rPr>
          <w:rFonts w:hint="eastAsia" w:ascii="宋体"/>
          <w:color w:val="auto"/>
          <w:szCs w:val="21"/>
          <w:highlight w:val="none"/>
        </w:rPr>
        <w:t>.12投标人不得对从第三方采购</w:t>
      </w:r>
      <w:r>
        <w:rPr>
          <w:rFonts w:hint="eastAsia" w:ascii="宋体"/>
          <w:color w:val="auto"/>
          <w:szCs w:val="21"/>
          <w:highlight w:val="none"/>
          <w:lang w:val="en-US" w:eastAsia="zh-CN"/>
        </w:rPr>
        <w:t>货物及服务</w:t>
      </w:r>
      <w:r>
        <w:rPr>
          <w:rFonts w:hint="eastAsia" w:ascii="宋体"/>
          <w:color w:val="auto"/>
          <w:szCs w:val="21"/>
          <w:highlight w:val="none"/>
        </w:rPr>
        <w:t>的随机备品、备件另行收费，否则在计算评标价时这部分费用将不予扣除，在授予合同时将从中标价格中扣除该部分费用。</w:t>
      </w:r>
    </w:p>
    <w:p w14:paraId="362418C6">
      <w:pPr>
        <w:shd w:val="clear" w:color="auto" w:fill="auto"/>
        <w:spacing w:line="440" w:lineRule="exact"/>
        <w:ind w:firstLine="406" w:firstLineChars="192"/>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1</w:t>
      </w:r>
      <w:r>
        <w:rPr>
          <w:rFonts w:hint="eastAsia" w:ascii="宋体"/>
          <w:color w:val="auto"/>
          <w:szCs w:val="21"/>
          <w:highlight w:val="none"/>
        </w:rPr>
        <w:t>.13投标人应根据</w:t>
      </w:r>
      <w:r>
        <w:rPr>
          <w:rFonts w:hint="eastAsia" w:ascii="宋体"/>
          <w:color w:val="auto"/>
          <w:szCs w:val="21"/>
          <w:highlight w:val="none"/>
          <w:lang w:val="en-US" w:eastAsia="zh-CN"/>
        </w:rPr>
        <w:t>服务</w:t>
      </w:r>
      <w:r>
        <w:rPr>
          <w:rFonts w:hint="eastAsia" w:ascii="宋体"/>
          <w:color w:val="auto"/>
          <w:szCs w:val="21"/>
          <w:highlight w:val="none"/>
        </w:rPr>
        <w:t>的技术状况列出随机备品备件的清单和数量，并将该备品备件价格计入总投标价，若所提供的产品无需备件，则应在投标文件中说明；无论投标人在报价中列明随机备品备件的数量及价格多少，在质保期内招标人均无需为维护维修保养所需的专用工具和备品备件另行支付费用。</w:t>
      </w:r>
    </w:p>
    <w:p w14:paraId="7DB8AC23">
      <w:pPr>
        <w:shd w:val="clear" w:color="auto" w:fill="auto"/>
        <w:spacing w:line="440" w:lineRule="exact"/>
        <w:rPr>
          <w:rFonts w:hint="eastAsia" w:ascii="宋体"/>
          <w:b/>
          <w:color w:val="auto"/>
          <w:szCs w:val="21"/>
          <w:highlight w:val="none"/>
        </w:rPr>
      </w:pPr>
      <w:r>
        <w:rPr>
          <w:rFonts w:hint="eastAsia" w:ascii="宋体"/>
          <w:b/>
          <w:color w:val="auto"/>
          <w:szCs w:val="21"/>
          <w:highlight w:val="none"/>
        </w:rPr>
        <w:t>2</w:t>
      </w:r>
      <w:r>
        <w:rPr>
          <w:rFonts w:hint="eastAsia" w:ascii="宋体"/>
          <w:b/>
          <w:color w:val="auto"/>
          <w:szCs w:val="21"/>
          <w:highlight w:val="none"/>
          <w:lang w:val="en-US" w:eastAsia="zh-CN"/>
        </w:rPr>
        <w:t>2</w:t>
      </w:r>
      <w:r>
        <w:rPr>
          <w:rFonts w:hint="eastAsia" w:ascii="宋体"/>
          <w:b/>
          <w:color w:val="auto"/>
          <w:szCs w:val="21"/>
          <w:highlight w:val="none"/>
        </w:rPr>
        <w:t>. 投标有效期</w:t>
      </w:r>
    </w:p>
    <w:p w14:paraId="49A94ECB">
      <w:pPr>
        <w:shd w:val="clear" w:color="auto" w:fill="auto"/>
        <w:spacing w:line="44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2</w:t>
      </w:r>
      <w:r>
        <w:rPr>
          <w:rFonts w:hint="eastAsia" w:ascii="宋体"/>
          <w:color w:val="auto"/>
          <w:szCs w:val="21"/>
          <w:highlight w:val="none"/>
        </w:rPr>
        <w:t>.1 除投标人须知前附表另有规定外，投标有效期为60天。</w:t>
      </w:r>
    </w:p>
    <w:p w14:paraId="5196EEC6">
      <w:pPr>
        <w:shd w:val="clear" w:color="auto" w:fill="auto"/>
        <w:spacing w:line="44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2</w:t>
      </w:r>
      <w:r>
        <w:rPr>
          <w:rFonts w:hint="eastAsia" w:ascii="宋体"/>
          <w:color w:val="auto"/>
          <w:szCs w:val="21"/>
          <w:highlight w:val="none"/>
        </w:rPr>
        <w:t>.2在投标有效期内，投标人撤销或修改其投标文件的，应承担</w:t>
      </w:r>
      <w:r>
        <w:rPr>
          <w:rFonts w:hint="eastAsia" w:ascii="宋体"/>
          <w:color w:val="auto"/>
          <w:szCs w:val="21"/>
          <w:highlight w:val="none"/>
          <w:lang w:eastAsia="zh-CN"/>
        </w:rPr>
        <w:t>采购文件</w:t>
      </w:r>
      <w:r>
        <w:rPr>
          <w:rFonts w:hint="eastAsia" w:ascii="宋体"/>
          <w:color w:val="auto"/>
          <w:szCs w:val="21"/>
          <w:highlight w:val="none"/>
        </w:rPr>
        <w:t>和法律规定的责任。</w:t>
      </w:r>
    </w:p>
    <w:p w14:paraId="18B8D750">
      <w:pPr>
        <w:shd w:val="clear" w:color="auto" w:fill="auto"/>
        <w:spacing w:line="44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2</w:t>
      </w:r>
      <w:r>
        <w:rPr>
          <w:rFonts w:hint="eastAsia" w:ascii="宋体"/>
          <w:color w:val="auto"/>
          <w:szCs w:val="21"/>
          <w:highlight w:val="none"/>
        </w:rPr>
        <w:t>.3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79AB8328">
      <w:pPr>
        <w:shd w:val="clear" w:color="auto" w:fill="auto"/>
        <w:spacing w:line="440" w:lineRule="exact"/>
        <w:rPr>
          <w:rFonts w:hint="eastAsia" w:ascii="宋体"/>
          <w:b/>
          <w:color w:val="auto"/>
          <w:szCs w:val="21"/>
          <w:highlight w:val="none"/>
        </w:rPr>
      </w:pPr>
      <w:r>
        <w:rPr>
          <w:rFonts w:hint="eastAsia" w:ascii="宋体"/>
          <w:b/>
          <w:color w:val="auto"/>
          <w:szCs w:val="21"/>
          <w:highlight w:val="none"/>
        </w:rPr>
        <w:t>2</w:t>
      </w:r>
      <w:r>
        <w:rPr>
          <w:rFonts w:hint="eastAsia" w:ascii="宋体"/>
          <w:b/>
          <w:color w:val="auto"/>
          <w:szCs w:val="21"/>
          <w:highlight w:val="none"/>
          <w:lang w:val="en-US" w:eastAsia="zh-CN"/>
        </w:rPr>
        <w:t>3</w:t>
      </w:r>
      <w:r>
        <w:rPr>
          <w:rFonts w:hint="eastAsia" w:ascii="宋体"/>
          <w:b/>
          <w:color w:val="auto"/>
          <w:szCs w:val="21"/>
          <w:highlight w:val="none"/>
        </w:rPr>
        <w:t>. 投标保证金</w:t>
      </w:r>
    </w:p>
    <w:p w14:paraId="44402902">
      <w:pPr>
        <w:shd w:val="clear" w:color="auto" w:fill="auto"/>
        <w:spacing w:line="40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3</w:t>
      </w:r>
      <w:r>
        <w:rPr>
          <w:rFonts w:hint="eastAsia" w:ascii="宋体"/>
          <w:color w:val="auto"/>
          <w:szCs w:val="21"/>
          <w:highlight w:val="none"/>
        </w:rPr>
        <w:t>.1投标人须知前附表规定递交投标保证金的，投标人在递交投标文件的同时，应按投标人须知前附表规定的金额、担保形式和第六章“投标文件格式”规定的投标保证金格式递交投标保证金，并作为其投标文件的组成部分。投标人不按要求提交投标保证金的，评标委员会将否决其投标。</w:t>
      </w:r>
    </w:p>
    <w:p w14:paraId="2E5B72D0">
      <w:pPr>
        <w:shd w:val="clear" w:color="auto" w:fill="auto"/>
        <w:spacing w:line="40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3</w:t>
      </w:r>
      <w:r>
        <w:rPr>
          <w:rFonts w:hint="eastAsia" w:ascii="宋体"/>
          <w:color w:val="auto"/>
          <w:szCs w:val="21"/>
          <w:highlight w:val="none"/>
        </w:rPr>
        <w:t>.2自中标通知书发出之日起5个工作日内退还未中标投标人的投标保证金，自政府采购合同签订之日起5个工作日内退还中标人的投标保证金。</w:t>
      </w:r>
    </w:p>
    <w:p w14:paraId="0C3FBFE8">
      <w:pPr>
        <w:shd w:val="clear" w:color="auto" w:fill="auto"/>
        <w:spacing w:line="400" w:lineRule="exact"/>
        <w:ind w:firstLine="424"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3</w:t>
      </w:r>
      <w:r>
        <w:rPr>
          <w:rFonts w:hint="eastAsia" w:ascii="宋体"/>
          <w:color w:val="auto"/>
          <w:szCs w:val="21"/>
          <w:highlight w:val="none"/>
        </w:rPr>
        <w:t xml:space="preserve">.3有下列情形之一的，投标保证金将不予退还： </w:t>
      </w:r>
    </w:p>
    <w:p w14:paraId="09F91E3C">
      <w:pPr>
        <w:shd w:val="clear" w:color="auto" w:fill="auto"/>
        <w:spacing w:line="400" w:lineRule="exact"/>
        <w:ind w:firstLine="424" w:firstLineChars="200"/>
        <w:rPr>
          <w:rFonts w:hint="eastAsia" w:ascii="宋体"/>
          <w:color w:val="auto"/>
          <w:szCs w:val="21"/>
          <w:highlight w:val="none"/>
        </w:rPr>
      </w:pPr>
      <w:r>
        <w:rPr>
          <w:rFonts w:hint="eastAsia" w:ascii="宋体"/>
          <w:color w:val="auto"/>
          <w:szCs w:val="21"/>
          <w:highlight w:val="none"/>
        </w:rPr>
        <w:t>（1）投标人在规定的投标有效期内撤回或修改其投标文件；</w:t>
      </w:r>
    </w:p>
    <w:p w14:paraId="0375FC18">
      <w:pPr>
        <w:shd w:val="clear" w:color="auto" w:fill="auto"/>
        <w:spacing w:line="400" w:lineRule="exact"/>
        <w:ind w:firstLine="424" w:firstLineChars="200"/>
        <w:rPr>
          <w:rFonts w:hint="eastAsia" w:ascii="宋体"/>
          <w:color w:val="auto"/>
          <w:szCs w:val="21"/>
          <w:highlight w:val="none"/>
        </w:rPr>
      </w:pPr>
      <w:r>
        <w:rPr>
          <w:rFonts w:hint="eastAsia" w:ascii="宋体"/>
          <w:color w:val="auto"/>
          <w:szCs w:val="21"/>
          <w:highlight w:val="none"/>
        </w:rPr>
        <w:t>（2）中标通知书发出后三十天内，中标人无正当理由拒签合同协议书或未按</w:t>
      </w:r>
      <w:r>
        <w:rPr>
          <w:rFonts w:hint="eastAsia" w:ascii="宋体"/>
          <w:color w:val="auto"/>
          <w:szCs w:val="21"/>
          <w:highlight w:val="none"/>
          <w:lang w:eastAsia="zh-CN"/>
        </w:rPr>
        <w:t>采购文件</w:t>
      </w:r>
      <w:r>
        <w:rPr>
          <w:rFonts w:hint="eastAsia" w:ascii="宋体"/>
          <w:color w:val="auto"/>
          <w:szCs w:val="21"/>
          <w:highlight w:val="none"/>
        </w:rPr>
        <w:t>规定提交履约担保。</w:t>
      </w:r>
    </w:p>
    <w:p w14:paraId="174BBC05">
      <w:pPr>
        <w:shd w:val="clear" w:color="auto" w:fill="auto"/>
        <w:spacing w:line="400" w:lineRule="exact"/>
        <w:ind w:firstLine="424" w:firstLineChars="200"/>
        <w:rPr>
          <w:rFonts w:hint="eastAsia" w:ascii="宋体"/>
          <w:color w:val="auto"/>
          <w:szCs w:val="21"/>
          <w:highlight w:val="none"/>
        </w:rPr>
      </w:pPr>
      <w:r>
        <w:rPr>
          <w:rFonts w:hint="eastAsia" w:ascii="宋体"/>
          <w:color w:val="auto"/>
          <w:szCs w:val="21"/>
          <w:highlight w:val="none"/>
        </w:rPr>
        <w:t>（3）提供虚假材料谋取中标的；</w:t>
      </w:r>
    </w:p>
    <w:p w14:paraId="5D93AB86">
      <w:pPr>
        <w:shd w:val="clear" w:color="auto" w:fill="auto"/>
        <w:spacing w:line="400" w:lineRule="exact"/>
        <w:ind w:firstLine="424" w:firstLineChars="200"/>
        <w:rPr>
          <w:rFonts w:hint="eastAsia" w:ascii="宋体"/>
          <w:color w:val="auto"/>
          <w:szCs w:val="21"/>
          <w:highlight w:val="none"/>
        </w:rPr>
      </w:pPr>
      <w:r>
        <w:rPr>
          <w:rFonts w:hint="eastAsia" w:ascii="宋体"/>
          <w:color w:val="auto"/>
          <w:szCs w:val="21"/>
          <w:highlight w:val="none"/>
        </w:rPr>
        <w:t>（4）经查实属于陪标、串通投标的等。</w:t>
      </w:r>
    </w:p>
    <w:p w14:paraId="3EBB7AE2">
      <w:pPr>
        <w:shd w:val="clear" w:color="auto" w:fill="auto"/>
        <w:spacing w:line="400" w:lineRule="exact"/>
        <w:ind w:firstLine="424" w:firstLineChars="200"/>
        <w:rPr>
          <w:rFonts w:hint="eastAsia" w:ascii="宋体"/>
          <w:color w:val="auto"/>
          <w:szCs w:val="21"/>
          <w:highlight w:val="none"/>
        </w:rPr>
      </w:pPr>
      <w:bookmarkStart w:id="33" w:name="_Toc469495727"/>
      <w:r>
        <w:rPr>
          <w:rFonts w:hint="eastAsia" w:ascii="宋体"/>
          <w:color w:val="auto"/>
          <w:szCs w:val="21"/>
          <w:highlight w:val="none"/>
        </w:rPr>
        <w:t>2</w:t>
      </w:r>
      <w:r>
        <w:rPr>
          <w:rFonts w:hint="eastAsia" w:ascii="宋体"/>
          <w:color w:val="auto"/>
          <w:szCs w:val="21"/>
          <w:highlight w:val="none"/>
          <w:lang w:val="en-US" w:eastAsia="zh-CN"/>
        </w:rPr>
        <w:t>3</w:t>
      </w:r>
      <w:r>
        <w:rPr>
          <w:rFonts w:hint="eastAsia" w:ascii="宋体"/>
          <w:color w:val="auto"/>
          <w:szCs w:val="21"/>
          <w:highlight w:val="none"/>
        </w:rPr>
        <w:t>.4投标保证金按</w:t>
      </w:r>
      <w:r>
        <w:rPr>
          <w:rFonts w:hint="eastAsia" w:ascii="宋体"/>
          <w:color w:val="auto"/>
          <w:szCs w:val="21"/>
          <w:highlight w:val="none"/>
          <w:lang w:eastAsia="zh-CN"/>
        </w:rPr>
        <w:t>投标人须知前附表第</w:t>
      </w:r>
      <w:r>
        <w:rPr>
          <w:rFonts w:hint="eastAsia" w:ascii="宋体"/>
          <w:color w:val="auto"/>
          <w:szCs w:val="21"/>
          <w:highlight w:val="none"/>
          <w:lang w:val="en-US" w:eastAsia="zh-CN"/>
        </w:rPr>
        <w:t>20、21条</w:t>
      </w:r>
      <w:r>
        <w:rPr>
          <w:rFonts w:hint="eastAsia" w:ascii="宋体"/>
          <w:color w:val="auto"/>
          <w:szCs w:val="21"/>
          <w:highlight w:val="none"/>
        </w:rPr>
        <w:t>规定执行。</w:t>
      </w:r>
    </w:p>
    <w:p w14:paraId="732F8FD5">
      <w:pPr>
        <w:pStyle w:val="2"/>
        <w:shd w:val="clear" w:color="auto" w:fill="auto"/>
        <w:bidi w:val="0"/>
        <w:jc w:val="center"/>
        <w:rPr>
          <w:rFonts w:hint="eastAsia"/>
          <w:color w:val="auto"/>
          <w:sz w:val="28"/>
          <w:szCs w:val="28"/>
          <w:highlight w:val="none"/>
        </w:rPr>
      </w:pPr>
      <w:bookmarkStart w:id="34" w:name="_Toc352"/>
      <w:r>
        <w:rPr>
          <w:rFonts w:hint="eastAsia"/>
          <w:color w:val="auto"/>
          <w:sz w:val="28"/>
          <w:szCs w:val="28"/>
          <w:highlight w:val="none"/>
        </w:rPr>
        <w:t>（四）</w:t>
      </w:r>
      <w:bookmarkEnd w:id="33"/>
      <w:r>
        <w:rPr>
          <w:rFonts w:hint="eastAsia"/>
          <w:color w:val="auto"/>
          <w:sz w:val="28"/>
          <w:szCs w:val="28"/>
          <w:highlight w:val="none"/>
        </w:rPr>
        <w:t>投标文件的制作、上传及递交要求</w:t>
      </w:r>
      <w:bookmarkEnd w:id="34"/>
    </w:p>
    <w:p w14:paraId="4CFEE896">
      <w:pPr>
        <w:shd w:val="clear" w:color="auto" w:fill="auto"/>
        <w:snapToGrid w:val="0"/>
        <w:spacing w:line="360" w:lineRule="auto"/>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lang w:val="en-US" w:eastAsia="zh-CN"/>
        </w:rPr>
        <w:t>24.</w:t>
      </w:r>
      <w:r>
        <w:rPr>
          <w:rFonts w:hint="eastAsia" w:ascii="宋体" w:hAnsi="宋体" w:eastAsia="宋体" w:cs="宋体"/>
          <w:b/>
          <w:bCs/>
          <w:color w:val="auto"/>
          <w:sz w:val="21"/>
          <w:szCs w:val="21"/>
          <w:highlight w:val="none"/>
        </w:rPr>
        <w:t>投标文件的制作要求</w:t>
      </w:r>
    </w:p>
    <w:p w14:paraId="05E4E17D">
      <w:pPr>
        <w:pStyle w:val="6"/>
        <w:shd w:val="clear" w:color="auto" w:fill="auto"/>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b w:val="0"/>
          <w:bCs/>
          <w:color w:val="auto"/>
          <w:sz w:val="21"/>
          <w:szCs w:val="21"/>
          <w:highlight w:val="none"/>
        </w:rPr>
        <w:t>（1）供应商应按照投标文件组成内容及项目招标需求和</w:t>
      </w:r>
      <w:r>
        <w:rPr>
          <w:rFonts w:hint="eastAsia" w:ascii="宋体" w:hAnsi="宋体" w:eastAsia="宋体" w:cs="宋体"/>
          <w:b w:val="0"/>
          <w:bCs/>
          <w:color w:val="auto"/>
          <w:sz w:val="21"/>
          <w:szCs w:val="21"/>
          <w:highlight w:val="none"/>
          <w:lang w:eastAsia="zh-CN"/>
        </w:rPr>
        <w:t>新疆</w:t>
      </w:r>
      <w:r>
        <w:rPr>
          <w:rFonts w:hint="eastAsia" w:ascii="宋体" w:hAnsi="宋体" w:eastAsia="宋体" w:cs="宋体"/>
          <w:b w:val="0"/>
          <w:bCs/>
          <w:color w:val="auto"/>
          <w:sz w:val="21"/>
          <w:szCs w:val="21"/>
          <w:highlight w:val="none"/>
        </w:rPr>
        <w:t>政府采购云平台要求制作投标文件，不按采购文件和</w:t>
      </w:r>
      <w:r>
        <w:rPr>
          <w:rFonts w:hint="eastAsia" w:ascii="宋体" w:hAnsi="宋体" w:eastAsia="宋体" w:cs="宋体"/>
          <w:b w:val="0"/>
          <w:bCs/>
          <w:color w:val="auto"/>
          <w:sz w:val="21"/>
          <w:szCs w:val="21"/>
          <w:highlight w:val="none"/>
          <w:lang w:eastAsia="zh-CN"/>
        </w:rPr>
        <w:t>新疆</w:t>
      </w:r>
      <w:r>
        <w:rPr>
          <w:rFonts w:hint="eastAsia" w:ascii="宋体" w:hAnsi="宋体" w:eastAsia="宋体" w:cs="宋体"/>
          <w:b w:val="0"/>
          <w:bCs/>
          <w:color w:val="auto"/>
          <w:sz w:val="21"/>
          <w:szCs w:val="21"/>
          <w:highlight w:val="none"/>
        </w:rPr>
        <w:t>政府采购云平台要求制作投标文件的将视情况处理（拒收等），由此产生的责任由供应商自行承担。</w:t>
      </w:r>
    </w:p>
    <w:p w14:paraId="200B3032">
      <w:pPr>
        <w:pStyle w:val="6"/>
        <w:shd w:val="clear" w:color="auto" w:fill="auto"/>
        <w:snapToGrid w:val="0"/>
        <w:spacing w:line="360" w:lineRule="auto"/>
        <w:ind w:firstLine="424" w:firstLineChars="200"/>
        <w:rPr>
          <w:rFonts w:hint="eastAsia" w:ascii="宋体" w:hAnsi="宋体" w:eastAsia="宋体" w:cs="宋体"/>
          <w:b w:val="0"/>
          <w:color w:val="auto"/>
          <w:sz w:val="21"/>
          <w:szCs w:val="21"/>
          <w:highlight w:val="none"/>
        </w:rPr>
      </w:pPr>
      <w:r>
        <w:rPr>
          <w:rFonts w:hint="eastAsia" w:ascii="宋体" w:hAnsi="宋体" w:eastAsia="宋体" w:cs="宋体"/>
          <w:bCs/>
          <w:color w:val="auto"/>
          <w:sz w:val="21"/>
          <w:szCs w:val="21"/>
          <w:highlight w:val="none"/>
        </w:rPr>
        <w:t>电子投标文件部分：供应商应根据“政采云供应商项目采购-电子招投标操作指南”及本采购文件规定的格式和顺序编制电子投标文件并进行关联定位。本文件《第六章 投标文件格式》中有提供格式的，供应商应按照格式进行编制（格式中要求提供相关证明材料的还需后附相关证明材料），并按格式要求在指定位置根据要求进行签章，否则视为未提供；本文件《第六章投标文件格式》未提供格式的，请供应商自行拟定格式，并加盖单位公章，否则视为未提供。</w:t>
      </w:r>
    </w:p>
    <w:p w14:paraId="14C30564">
      <w:pPr>
        <w:pStyle w:val="6"/>
        <w:shd w:val="clear" w:color="auto" w:fill="auto"/>
        <w:snapToGrid w:val="0"/>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（2）供应商应对所提供的全部资料的真实性、有效性承担法律责任，电子投标文件中所须加盖公章部分均采用CA签章。</w:t>
      </w:r>
    </w:p>
    <w:p w14:paraId="2036DD67">
      <w:pPr>
        <w:pStyle w:val="6"/>
        <w:shd w:val="clear" w:color="auto" w:fill="auto"/>
        <w:snapToGrid w:val="0"/>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（3）投标文件以及供应商与采购组织机构就有关投标事宜的所有来往函电，均应以中文汉语书写。除签字、盖章、专用名称等特殊情形外，以中文汉语以外的文字表述的投标文件视同未提供。</w:t>
      </w:r>
    </w:p>
    <w:p w14:paraId="087AEABC">
      <w:pPr>
        <w:pStyle w:val="6"/>
        <w:shd w:val="clear" w:color="auto" w:fill="auto"/>
        <w:snapToGrid w:val="0"/>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（4）投标计量单位，采购文件已有明确规定的，使用采购文件规定的计量单位；采购文件没有规定的，应采用中华人民共和国法定计量单位（货币单位：人民币元）。</w:t>
      </w:r>
    </w:p>
    <w:p w14:paraId="09732ADF">
      <w:pPr>
        <w:pStyle w:val="6"/>
        <w:shd w:val="clear" w:color="auto" w:fill="auto"/>
        <w:snapToGrid w:val="0"/>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（5）若供应商不按采购文件的要求提供资格审查材料，其风险由供应商自行承担。</w:t>
      </w:r>
    </w:p>
    <w:p w14:paraId="22EE0906">
      <w:pPr>
        <w:pStyle w:val="6"/>
        <w:shd w:val="clear" w:color="auto" w:fill="auto"/>
        <w:snapToGrid w:val="0"/>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（6）与本次投标无关的内容请不要制作在内，确保投标文件有针对性、简洁明了。</w:t>
      </w:r>
    </w:p>
    <w:p w14:paraId="7BCD79B4">
      <w:pPr>
        <w:shd w:val="clear" w:color="auto" w:fill="auto"/>
        <w:snapToGrid w:val="0"/>
        <w:spacing w:line="360" w:lineRule="auto"/>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lang w:val="en-US" w:eastAsia="zh-CN"/>
        </w:rPr>
        <w:t>25.</w:t>
      </w:r>
      <w:r>
        <w:rPr>
          <w:rFonts w:hint="eastAsia" w:ascii="宋体" w:hAnsi="宋体" w:eastAsia="宋体" w:cs="宋体"/>
          <w:b/>
          <w:bCs/>
          <w:color w:val="auto"/>
          <w:sz w:val="21"/>
          <w:szCs w:val="21"/>
          <w:highlight w:val="none"/>
        </w:rPr>
        <w:t>投标文件的上传</w:t>
      </w:r>
    </w:p>
    <w:p w14:paraId="0BD76BF0">
      <w:pPr>
        <w:pStyle w:val="6"/>
        <w:shd w:val="clear" w:color="auto" w:fill="auto"/>
        <w:snapToGrid w:val="0"/>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bidi="zh-CN"/>
        </w:rPr>
        <w:t>电子加密投标文件（“.jmbs”格式）</w:t>
      </w:r>
      <w:r>
        <w:rPr>
          <w:rFonts w:hint="eastAsia" w:ascii="宋体" w:hAnsi="宋体" w:eastAsia="宋体" w:cs="宋体"/>
          <w:b/>
          <w:bCs/>
          <w:color w:val="auto"/>
          <w:sz w:val="21"/>
          <w:szCs w:val="21"/>
          <w:highlight w:val="none"/>
        </w:rPr>
        <w:t>：</w:t>
      </w:r>
    </w:p>
    <w:p w14:paraId="3ADB9477">
      <w:pPr>
        <w:pStyle w:val="6"/>
        <w:shd w:val="clear" w:color="auto" w:fill="auto"/>
        <w:snapToGrid w:val="0"/>
        <w:spacing w:line="360" w:lineRule="auto"/>
        <w:ind w:firstLine="530" w:firstLineChars="250"/>
        <w:rPr>
          <w:rFonts w:hint="eastAsia" w:ascii="宋体" w:hAnsi="宋体" w:eastAsia="宋体" w:cs="宋体"/>
          <w:b w:val="0"/>
          <w:bCs/>
          <w:color w:val="auto"/>
          <w:sz w:val="21"/>
          <w:szCs w:val="21"/>
          <w:highlight w:val="none"/>
          <w:lang w:bidi="zh-CN"/>
        </w:rPr>
      </w:pPr>
      <w:r>
        <w:rPr>
          <w:rFonts w:hint="eastAsia" w:ascii="宋体" w:hAnsi="宋体" w:eastAsia="宋体" w:cs="宋体"/>
          <w:b w:val="0"/>
          <w:bCs/>
          <w:color w:val="auto"/>
          <w:sz w:val="21"/>
          <w:szCs w:val="21"/>
          <w:highlight w:val="none"/>
          <w:lang w:bidi="zh-CN"/>
        </w:rPr>
        <w:t>a.</w:t>
      </w:r>
      <w:r>
        <w:rPr>
          <w:rFonts w:hint="eastAsia" w:ascii="宋体" w:hAnsi="宋体" w:eastAsia="宋体" w:cs="宋体"/>
          <w:b w:val="0"/>
          <w:bCs/>
          <w:color w:val="auto"/>
          <w:kern w:val="0"/>
          <w:sz w:val="21"/>
          <w:szCs w:val="21"/>
          <w:highlight w:val="none"/>
        </w:rPr>
        <w:t xml:space="preserve"> </w:t>
      </w:r>
      <w:r>
        <w:rPr>
          <w:rFonts w:hint="eastAsia" w:ascii="宋体" w:hAnsi="宋体" w:eastAsia="宋体" w:cs="宋体"/>
          <w:b w:val="0"/>
          <w:bCs/>
          <w:color w:val="auto"/>
          <w:sz w:val="21"/>
          <w:szCs w:val="21"/>
          <w:highlight w:val="none"/>
          <w:lang w:bidi="zh-CN"/>
        </w:rPr>
        <w:t>供应商应在投标截止时间前将电子加密投标文件成功上传递交至新疆政府采购云平台，否则投标无效；</w:t>
      </w:r>
    </w:p>
    <w:p w14:paraId="28CC5BED">
      <w:pPr>
        <w:pStyle w:val="6"/>
        <w:shd w:val="clear" w:color="auto" w:fill="auto"/>
        <w:snapToGrid w:val="0"/>
        <w:spacing w:line="360" w:lineRule="auto"/>
        <w:ind w:firstLine="530" w:firstLineChars="25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bidi="zh-CN"/>
        </w:rPr>
        <w:t>b.供应商成功上传电子加密投标文件后，可自行打印投标文件接收回执。</w:t>
      </w:r>
    </w:p>
    <w:p w14:paraId="5DE7D1E2">
      <w:pPr>
        <w:shd w:val="clear" w:color="auto" w:fill="auto"/>
        <w:snapToGrid w:val="0"/>
        <w:spacing w:line="360" w:lineRule="auto"/>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lang w:val="en-US" w:eastAsia="zh-CN"/>
        </w:rPr>
        <w:t>26.</w:t>
      </w:r>
      <w:r>
        <w:rPr>
          <w:rFonts w:hint="eastAsia" w:ascii="宋体" w:hAnsi="宋体" w:eastAsia="宋体" w:cs="宋体"/>
          <w:b/>
          <w:color w:val="auto"/>
          <w:sz w:val="21"/>
          <w:szCs w:val="21"/>
          <w:highlight w:val="none"/>
        </w:rPr>
        <w:t>投标文件的递交要求</w:t>
      </w:r>
    </w:p>
    <w:p w14:paraId="4004EC2F">
      <w:pPr>
        <w:shd w:val="clear" w:color="auto" w:fill="auto"/>
        <w:snapToGrid w:val="0"/>
        <w:spacing w:line="360" w:lineRule="auto"/>
        <w:ind w:firstLine="424"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（1）供应商须按照采购文件和政采云平台的要求编制并加密投标文件。在投标文件递交截止时间以前完成投标文件的传输递交，截止时间后递交的投标文件，将被拒收。</w:t>
      </w:r>
    </w:p>
    <w:p w14:paraId="247FA40D">
      <w:pPr>
        <w:shd w:val="clear" w:color="auto" w:fill="auto"/>
        <w:tabs>
          <w:tab w:val="left" w:pos="1418"/>
        </w:tabs>
        <w:autoSpaceDE w:val="0"/>
        <w:autoSpaceDN w:val="0"/>
        <w:adjustRightInd w:val="0"/>
        <w:snapToGrid w:val="0"/>
        <w:spacing w:line="360" w:lineRule="auto"/>
        <w:ind w:firstLine="424"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）如有特殊情况，采购组织机构延长截止时间和开标时间，采购组织机构和供应商的权利和义务将受到新的截止时间和开标时间的约束。</w:t>
      </w:r>
    </w:p>
    <w:p w14:paraId="69254A48">
      <w:pPr>
        <w:shd w:val="clear" w:color="auto" w:fill="auto"/>
        <w:tabs>
          <w:tab w:val="left" w:pos="1418"/>
        </w:tabs>
        <w:autoSpaceDE w:val="0"/>
        <w:autoSpaceDN w:val="0"/>
        <w:adjustRightInd w:val="0"/>
        <w:snapToGrid w:val="0"/>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27．投标文件的补充、修改与撤回</w:t>
      </w:r>
    </w:p>
    <w:p w14:paraId="4817688C">
      <w:pPr>
        <w:shd w:val="clear" w:color="auto" w:fill="auto"/>
        <w:tabs>
          <w:tab w:val="left" w:pos="960"/>
          <w:tab w:val="left" w:pos="1418"/>
        </w:tabs>
        <w:autoSpaceDE w:val="0"/>
        <w:autoSpaceDN w:val="0"/>
        <w:adjustRightInd w:val="0"/>
        <w:snapToGrid w:val="0"/>
        <w:spacing w:line="360" w:lineRule="auto"/>
        <w:ind w:firstLine="424" w:firstLineChars="200"/>
        <w:rPr>
          <w:rFonts w:hint="eastAsia"/>
          <w:color w:val="auto"/>
          <w:highlight w:val="none"/>
        </w:rPr>
      </w:pPr>
      <w:r>
        <w:rPr>
          <w:rFonts w:hint="eastAsia" w:ascii="宋体" w:hAnsi="宋体" w:eastAsia="宋体" w:cs="宋体"/>
          <w:color w:val="auto"/>
          <w:sz w:val="21"/>
          <w:szCs w:val="21"/>
          <w:highlight w:val="none"/>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投标文件撤回。投标截止时间后传输递交的投标文件，“政府采购云平台”将予以拒收。投标截止时间后，供应商不得修改（补充）或撤回其投标文件。</w:t>
      </w:r>
      <w:bookmarkStart w:id="35" w:name="_Toc7387"/>
      <w:bookmarkStart w:id="36" w:name="_Toc469495728"/>
    </w:p>
    <w:p w14:paraId="57D52FE7">
      <w:pPr>
        <w:keepNext w:val="0"/>
        <w:keepLines w:val="0"/>
        <w:pageBreakBefore w:val="0"/>
        <w:widowControl w:val="0"/>
        <w:shd w:val="clear" w:color="auto" w:fill="auto"/>
        <w:kinsoku/>
        <w:wordWrap/>
        <w:overflowPunct/>
        <w:topLinePunct w:val="0"/>
        <w:autoSpaceDE/>
        <w:autoSpaceDN/>
        <w:bidi w:val="0"/>
        <w:adjustRightInd/>
        <w:snapToGrid/>
        <w:spacing w:before="313" w:beforeLines="100" w:after="313" w:afterLines="100" w:line="440" w:lineRule="exact"/>
        <w:jc w:val="center"/>
        <w:textAlignment w:val="auto"/>
        <w:outlineLvl w:val="2"/>
        <w:rPr>
          <w:rFonts w:hint="eastAsia" w:ascii="黑体" w:eastAsia="黑体"/>
          <w:color w:val="auto"/>
          <w:sz w:val="28"/>
          <w:szCs w:val="28"/>
          <w:highlight w:val="none"/>
        </w:rPr>
      </w:pPr>
      <w:r>
        <w:rPr>
          <w:rFonts w:hint="eastAsia" w:ascii="黑体" w:eastAsia="黑体"/>
          <w:color w:val="auto"/>
          <w:sz w:val="28"/>
          <w:szCs w:val="28"/>
          <w:highlight w:val="none"/>
        </w:rPr>
        <w:t>（五）开标、评标和定标</w:t>
      </w:r>
      <w:bookmarkEnd w:id="35"/>
      <w:bookmarkEnd w:id="36"/>
    </w:p>
    <w:p w14:paraId="219B6D61">
      <w:pPr>
        <w:shd w:val="clear" w:color="auto" w:fill="auto"/>
        <w:snapToGrid w:val="0"/>
        <w:spacing w:line="360" w:lineRule="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28. 开标</w:t>
      </w:r>
    </w:p>
    <w:p w14:paraId="5F81C3FB">
      <w:pPr>
        <w:shd w:val="clear" w:color="auto" w:fill="auto"/>
        <w:snapToGrid w:val="0"/>
        <w:spacing w:line="360" w:lineRule="auto"/>
        <w:rPr>
          <w:rFonts w:hint="eastAsia" w:ascii="宋体" w:hAnsi="宋体" w:eastAsia="宋体" w:cs="宋体"/>
          <w:b/>
          <w:bCs/>
          <w:color w:val="auto"/>
          <w:sz w:val="21"/>
          <w:szCs w:val="21"/>
          <w:highlight w:val="none"/>
          <w:lang w:val="en-US" w:eastAsia="zh-CN"/>
        </w:rPr>
      </w:pPr>
      <w:bookmarkStart w:id="37" w:name="_Toc73975822"/>
      <w:r>
        <w:rPr>
          <w:rFonts w:hint="eastAsia" w:ascii="宋体" w:hAnsi="宋体" w:eastAsia="宋体" w:cs="宋体"/>
          <w:b/>
          <w:bCs/>
          <w:color w:val="auto"/>
          <w:sz w:val="21"/>
          <w:szCs w:val="21"/>
          <w:highlight w:val="none"/>
          <w:lang w:val="en-US" w:eastAsia="zh-CN"/>
        </w:rPr>
        <w:t>28.1开标邀请</w:t>
      </w:r>
      <w:bookmarkEnd w:id="37"/>
    </w:p>
    <w:p w14:paraId="6530B33F">
      <w:pPr>
        <w:pStyle w:val="13"/>
        <w:shd w:val="clear" w:color="auto" w:fill="auto"/>
        <w:snapToGrid w:val="0"/>
        <w:spacing w:line="360" w:lineRule="auto"/>
        <w:ind w:firstLine="424" w:firstLineChars="20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lang w:val="en-US" w:eastAsia="zh-CN"/>
        </w:rPr>
        <w:t>1</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开标准备：本项目开标的准备工作由采购组织机构负责落实，开标过程由采购组织机构负责记录；</w:t>
      </w:r>
    </w:p>
    <w:p w14:paraId="3883C53A">
      <w:pPr>
        <w:pStyle w:val="13"/>
        <w:shd w:val="clear" w:color="auto" w:fill="auto"/>
        <w:snapToGrid w:val="0"/>
        <w:spacing w:line="360" w:lineRule="auto"/>
        <w:ind w:firstLine="424" w:firstLineChars="20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rPr>
        <w:t>开标主持：本项目开标由采购人或者采购代理机构主持；</w:t>
      </w:r>
    </w:p>
    <w:p w14:paraId="11DC4C14">
      <w:pPr>
        <w:pStyle w:val="13"/>
        <w:shd w:val="clear" w:color="auto" w:fill="auto"/>
        <w:snapToGrid w:val="0"/>
        <w:spacing w:line="360" w:lineRule="auto"/>
        <w:ind w:firstLine="424" w:firstLineChars="20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lang w:eastAsia="zh-CN"/>
        </w:rPr>
        <w:t>（</w:t>
      </w:r>
      <w:r>
        <w:rPr>
          <w:rFonts w:hint="eastAsia" w:ascii="宋体" w:hAnsi="宋体" w:eastAsia="宋体" w:cs="宋体"/>
          <w:b w:val="0"/>
          <w:color w:val="auto"/>
          <w:sz w:val="21"/>
          <w:szCs w:val="21"/>
          <w:highlight w:val="none"/>
          <w:lang w:val="en-US" w:eastAsia="zh-CN"/>
        </w:rPr>
        <w:t>3</w:t>
      </w:r>
      <w:r>
        <w:rPr>
          <w:rFonts w:hint="eastAsia" w:ascii="宋体" w:hAnsi="宋体" w:eastAsia="宋体" w:cs="宋体"/>
          <w:b w:val="0"/>
          <w:color w:val="auto"/>
          <w:sz w:val="21"/>
          <w:szCs w:val="21"/>
          <w:highlight w:val="none"/>
          <w:lang w:eastAsia="zh-CN"/>
        </w:rPr>
        <w:t>）</w:t>
      </w:r>
      <w:r>
        <w:rPr>
          <w:rFonts w:hint="eastAsia" w:ascii="宋体" w:hAnsi="宋体" w:eastAsia="宋体" w:cs="宋体"/>
          <w:b w:val="0"/>
          <w:color w:val="auto"/>
          <w:sz w:val="21"/>
          <w:szCs w:val="21"/>
          <w:highlight w:val="none"/>
        </w:rPr>
        <w:t>开标邀请：本项目采用电子交易，采购组织机构将按照采购文件规定的时间通过“</w:t>
      </w:r>
      <w:r>
        <w:rPr>
          <w:rFonts w:hint="eastAsia" w:ascii="宋体" w:hAnsi="宋体" w:eastAsia="宋体" w:cs="宋体"/>
          <w:b w:val="0"/>
          <w:color w:val="auto"/>
          <w:sz w:val="21"/>
          <w:szCs w:val="21"/>
          <w:highlight w:val="none"/>
          <w:lang w:eastAsia="zh-CN"/>
        </w:rPr>
        <w:t>新疆</w:t>
      </w:r>
      <w:r>
        <w:rPr>
          <w:rFonts w:hint="eastAsia" w:ascii="宋体" w:hAnsi="宋体" w:eastAsia="宋体" w:cs="宋体"/>
          <w:b w:val="0"/>
          <w:color w:val="auto"/>
          <w:sz w:val="21"/>
          <w:szCs w:val="21"/>
          <w:highlight w:val="none"/>
        </w:rPr>
        <w:t>政府采购云平台，网址：</w:t>
      </w:r>
      <w:r>
        <w:rPr>
          <w:rFonts w:hint="eastAsia" w:ascii="宋体" w:hAnsi="宋体" w:eastAsia="宋体" w:cs="宋体"/>
          <w:b w:val="0"/>
          <w:color w:val="auto"/>
          <w:sz w:val="21"/>
          <w:szCs w:val="21"/>
          <w:highlight w:val="none"/>
        </w:rPr>
        <w:fldChar w:fldCharType="begin"/>
      </w:r>
      <w:r>
        <w:rPr>
          <w:rFonts w:hint="eastAsia" w:ascii="宋体" w:hAnsi="宋体" w:eastAsia="宋体" w:cs="宋体"/>
          <w:b w:val="0"/>
          <w:color w:val="auto"/>
          <w:sz w:val="21"/>
          <w:szCs w:val="21"/>
          <w:highlight w:val="none"/>
        </w:rPr>
        <w:instrText xml:space="preserve">HYPERLINK "http://www.zcygov.cn"</w:instrText>
      </w:r>
      <w:r>
        <w:rPr>
          <w:rFonts w:hint="eastAsia" w:ascii="宋体" w:hAnsi="宋体" w:eastAsia="宋体" w:cs="宋体"/>
          <w:b w:val="0"/>
          <w:color w:val="auto"/>
          <w:sz w:val="21"/>
          <w:szCs w:val="21"/>
          <w:highlight w:val="none"/>
        </w:rPr>
        <w:fldChar w:fldCharType="separate"/>
      </w:r>
      <w:r>
        <w:rPr>
          <w:rStyle w:val="40"/>
          <w:rFonts w:hint="eastAsia" w:ascii="宋体" w:hAnsi="宋体" w:eastAsia="宋体" w:cs="宋体"/>
          <w:b w:val="0"/>
          <w:color w:val="auto"/>
          <w:sz w:val="21"/>
          <w:szCs w:val="21"/>
          <w:highlight w:val="none"/>
          <w:u w:val="none"/>
        </w:rPr>
        <w:t>www.zcygov.cn</w:t>
      </w:r>
      <w:r>
        <w:rPr>
          <w:rFonts w:hint="eastAsia" w:ascii="宋体" w:hAnsi="宋体" w:eastAsia="宋体" w:cs="宋体"/>
          <w:color w:val="auto"/>
          <w:sz w:val="21"/>
          <w:szCs w:val="21"/>
          <w:highlight w:val="none"/>
        </w:rPr>
        <w:fldChar w:fldCharType="end"/>
      </w:r>
      <w:r>
        <w:rPr>
          <w:rFonts w:hint="eastAsia" w:ascii="宋体" w:hAnsi="宋体" w:eastAsia="宋体" w:cs="宋体"/>
          <w:b w:val="0"/>
          <w:color w:val="auto"/>
          <w:sz w:val="21"/>
          <w:szCs w:val="21"/>
          <w:highlight w:val="none"/>
        </w:rPr>
        <w:t>”组织开标、开启投标响应文件，所有供应商均应当准时在线参加。</w:t>
      </w:r>
    </w:p>
    <w:p w14:paraId="17E712A4">
      <w:pPr>
        <w:pStyle w:val="13"/>
        <w:shd w:val="clear" w:color="auto" w:fill="auto"/>
        <w:snapToGrid w:val="0"/>
        <w:spacing w:line="360" w:lineRule="auto"/>
        <w:ind w:firstLine="424" w:firstLineChars="20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lang w:eastAsia="zh-CN"/>
        </w:rPr>
        <w:t>（</w:t>
      </w:r>
      <w:r>
        <w:rPr>
          <w:rFonts w:hint="eastAsia" w:ascii="宋体" w:hAnsi="宋体" w:eastAsia="宋体" w:cs="宋体"/>
          <w:b w:val="0"/>
          <w:color w:val="auto"/>
          <w:sz w:val="21"/>
          <w:szCs w:val="21"/>
          <w:highlight w:val="none"/>
          <w:lang w:val="en-US" w:eastAsia="zh-CN"/>
        </w:rPr>
        <w:t>4</w:t>
      </w:r>
      <w:r>
        <w:rPr>
          <w:rFonts w:hint="eastAsia" w:ascii="宋体" w:hAnsi="宋体" w:eastAsia="宋体" w:cs="宋体"/>
          <w:b w:val="0"/>
          <w:color w:val="auto"/>
          <w:sz w:val="21"/>
          <w:szCs w:val="21"/>
          <w:highlight w:val="none"/>
          <w:lang w:eastAsia="zh-CN"/>
        </w:rPr>
        <w:t>）</w:t>
      </w:r>
      <w:r>
        <w:rPr>
          <w:rFonts w:hint="eastAsia" w:ascii="宋体" w:hAnsi="宋体" w:eastAsia="宋体" w:cs="宋体"/>
          <w:b w:val="0"/>
          <w:color w:val="auto"/>
          <w:sz w:val="21"/>
          <w:szCs w:val="21"/>
          <w:highlight w:val="none"/>
        </w:rPr>
        <w:t>供应商对开标过程和开标记录有疑义，以及认为采购人、采购代理机构相关工作人员有需要回避的情形的，应当场提出询问或回避申请。供应商未参加开标的视同认可开标结果，事后不得对采购相关人员、开标过程和开标结果提出异议，同时投标供应商因未在线参加开标而导致投标文件无法按时解密等一切后果由供应商自行承担。</w:t>
      </w:r>
    </w:p>
    <w:p w14:paraId="79805835">
      <w:pPr>
        <w:shd w:val="clear" w:color="auto" w:fill="auto"/>
        <w:snapToGrid w:val="0"/>
        <w:spacing w:line="360" w:lineRule="auto"/>
        <w:outlineLvl w:val="2"/>
        <w:rPr>
          <w:rFonts w:hint="eastAsia" w:ascii="宋体" w:hAnsi="宋体" w:eastAsia="宋体" w:cs="宋体"/>
          <w:b/>
          <w:color w:val="auto"/>
          <w:sz w:val="21"/>
          <w:szCs w:val="21"/>
          <w:highlight w:val="none"/>
        </w:rPr>
      </w:pPr>
      <w:bookmarkStart w:id="38" w:name="_Toc73975823"/>
      <w:bookmarkStart w:id="39" w:name="_Toc4416"/>
      <w:r>
        <w:rPr>
          <w:rFonts w:hint="eastAsia" w:ascii="宋体" w:hAnsi="宋体" w:eastAsia="宋体" w:cs="宋体"/>
          <w:b/>
          <w:color w:val="auto"/>
          <w:sz w:val="21"/>
          <w:szCs w:val="21"/>
          <w:highlight w:val="none"/>
          <w:lang w:val="en-US" w:eastAsia="zh-CN"/>
        </w:rPr>
        <w:t>28.2</w:t>
      </w:r>
      <w:r>
        <w:rPr>
          <w:rFonts w:hint="eastAsia" w:ascii="宋体" w:hAnsi="宋体" w:eastAsia="宋体" w:cs="宋体"/>
          <w:b/>
          <w:bCs/>
          <w:color w:val="auto"/>
          <w:sz w:val="21"/>
          <w:szCs w:val="21"/>
          <w:highlight w:val="none"/>
        </w:rPr>
        <w:t>开标程序（先资格、商务技术后报价）</w:t>
      </w:r>
      <w:bookmarkEnd w:id="38"/>
      <w:bookmarkEnd w:id="39"/>
    </w:p>
    <w:p w14:paraId="24C109E4">
      <w:pPr>
        <w:shd w:val="clear" w:color="auto" w:fill="auto"/>
        <w:snapToGrid w:val="0"/>
        <w:spacing w:line="360" w:lineRule="auto"/>
        <w:ind w:firstLine="424"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开标时间到后，主持人宣布开标会议开始。</w:t>
      </w:r>
    </w:p>
    <w:p w14:paraId="26A7109A">
      <w:pPr>
        <w:shd w:val="clear" w:color="auto" w:fill="auto"/>
        <w:snapToGrid w:val="0"/>
        <w:spacing w:line="360" w:lineRule="auto"/>
        <w:ind w:firstLine="424"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投标文件解密（</w:t>
      </w:r>
      <w:r>
        <w:rPr>
          <w:rFonts w:hint="eastAsia" w:ascii="宋体" w:hAnsi="宋体" w:eastAsia="宋体" w:cs="宋体"/>
          <w:b/>
          <w:color w:val="auto"/>
          <w:kern w:val="0"/>
          <w:sz w:val="21"/>
          <w:szCs w:val="21"/>
          <w:highlight w:val="none"/>
        </w:rPr>
        <w:t>解密规定见《供应商须知前附表》</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w:t>
      </w:r>
    </w:p>
    <w:p w14:paraId="761E9C06">
      <w:pPr>
        <w:shd w:val="clear" w:color="auto" w:fill="auto"/>
        <w:snapToGrid w:val="0"/>
        <w:spacing w:line="360" w:lineRule="auto"/>
        <w:ind w:firstLine="424"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投标文件解密异常情况处理（</w:t>
      </w:r>
      <w:r>
        <w:rPr>
          <w:rFonts w:hint="eastAsia" w:ascii="宋体" w:hAnsi="宋体" w:eastAsia="宋体" w:cs="宋体"/>
          <w:b/>
          <w:color w:val="auto"/>
          <w:kern w:val="0"/>
          <w:sz w:val="21"/>
          <w:szCs w:val="21"/>
          <w:highlight w:val="none"/>
        </w:rPr>
        <w:t>处理办法见《供应商须知前附表》</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w:t>
      </w:r>
    </w:p>
    <w:p w14:paraId="3DDD8B96">
      <w:pPr>
        <w:shd w:val="clear" w:color="auto" w:fill="auto"/>
        <w:snapToGrid w:val="0"/>
        <w:spacing w:line="360" w:lineRule="auto"/>
        <w:ind w:firstLine="424"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公布投标文件解密情况（投标文件成功解密的供应商名单等信息）。</w:t>
      </w:r>
    </w:p>
    <w:p w14:paraId="41B7A0F8">
      <w:pPr>
        <w:shd w:val="clear" w:color="auto" w:fill="auto"/>
        <w:snapToGrid w:val="0"/>
        <w:spacing w:line="360" w:lineRule="auto"/>
        <w:ind w:firstLine="424"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开启标书信息（资格</w:t>
      </w:r>
      <w:r>
        <w:rPr>
          <w:rFonts w:hint="eastAsia" w:ascii="宋体" w:hAnsi="宋体" w:eastAsia="宋体" w:cs="宋体"/>
          <w:color w:val="auto"/>
          <w:kern w:val="0"/>
          <w:sz w:val="21"/>
          <w:szCs w:val="21"/>
          <w:highlight w:val="none"/>
          <w:lang w:eastAsia="zh-CN"/>
        </w:rPr>
        <w:t>证明</w:t>
      </w:r>
      <w:r>
        <w:rPr>
          <w:rFonts w:hint="eastAsia" w:ascii="宋体" w:hAnsi="宋体" w:eastAsia="宋体" w:cs="宋体"/>
          <w:color w:val="auto"/>
          <w:kern w:val="0"/>
          <w:sz w:val="21"/>
          <w:szCs w:val="21"/>
          <w:highlight w:val="none"/>
        </w:rPr>
        <w:t>文件、商务技术文件）。标书信息开启后，首先由采购人或采购代理机构</w:t>
      </w:r>
      <w:r>
        <w:rPr>
          <w:rFonts w:hint="eastAsia" w:ascii="宋体" w:hAnsi="宋体" w:eastAsia="宋体" w:cs="宋体"/>
          <w:color w:val="auto"/>
          <w:kern w:val="0"/>
          <w:sz w:val="21"/>
          <w:szCs w:val="21"/>
          <w:highlight w:val="none"/>
          <w:lang w:eastAsia="zh-CN"/>
        </w:rPr>
        <w:t>或评审小组</w:t>
      </w:r>
      <w:r>
        <w:rPr>
          <w:rFonts w:hint="eastAsia" w:ascii="宋体" w:hAnsi="宋体" w:eastAsia="宋体" w:cs="宋体"/>
          <w:color w:val="auto"/>
          <w:kern w:val="0"/>
          <w:sz w:val="21"/>
          <w:szCs w:val="21"/>
          <w:highlight w:val="none"/>
        </w:rPr>
        <w:t>依法对投标供应商的资格</w:t>
      </w:r>
      <w:r>
        <w:rPr>
          <w:rFonts w:hint="eastAsia" w:ascii="宋体" w:hAnsi="宋体" w:eastAsia="宋体" w:cs="宋体"/>
          <w:color w:val="auto"/>
          <w:kern w:val="0"/>
          <w:sz w:val="21"/>
          <w:szCs w:val="21"/>
          <w:highlight w:val="none"/>
          <w:lang w:eastAsia="zh-CN"/>
        </w:rPr>
        <w:t>证明</w:t>
      </w:r>
      <w:r>
        <w:rPr>
          <w:rFonts w:hint="eastAsia" w:ascii="宋体" w:hAnsi="宋体" w:eastAsia="宋体" w:cs="宋体"/>
          <w:color w:val="auto"/>
          <w:kern w:val="0"/>
          <w:sz w:val="21"/>
          <w:szCs w:val="21"/>
          <w:highlight w:val="none"/>
        </w:rPr>
        <w:t>文件进行审查， 审查结束公布投标供应商的资格符合情况。资格审查未获通过的供应商，其商务技术文件及报价文件不再进入评审。</w:t>
      </w:r>
    </w:p>
    <w:p w14:paraId="11915E8A">
      <w:pPr>
        <w:shd w:val="clear" w:color="auto" w:fill="auto"/>
        <w:snapToGrid w:val="0"/>
        <w:spacing w:line="360" w:lineRule="auto"/>
        <w:ind w:firstLine="424"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商务技术评审结束后，主持人公布商务技术评审无效投标供应商名单和商务技术评审有效投标供应商名单及其商务技术得分情况</w:t>
      </w:r>
      <w:r>
        <w:rPr>
          <w:rFonts w:hint="eastAsia" w:ascii="宋体" w:hAnsi="宋体" w:eastAsia="宋体" w:cs="宋体"/>
          <w:color w:val="auto"/>
          <w:sz w:val="21"/>
          <w:szCs w:val="21"/>
          <w:highlight w:val="none"/>
        </w:rPr>
        <w:t>。</w:t>
      </w:r>
      <w:r>
        <w:rPr>
          <w:rFonts w:hint="eastAsia" w:ascii="宋体" w:hAnsi="宋体" w:eastAsia="宋体" w:cs="宋体"/>
          <w:color w:val="auto"/>
          <w:kern w:val="0"/>
          <w:sz w:val="21"/>
          <w:szCs w:val="21"/>
          <w:highlight w:val="none"/>
        </w:rPr>
        <w:t>商务技术评审无效的供应商，其报价不再进入评审。</w:t>
      </w:r>
    </w:p>
    <w:p w14:paraId="5279509A">
      <w:pPr>
        <w:shd w:val="clear" w:color="auto" w:fill="auto"/>
        <w:snapToGrid w:val="0"/>
        <w:spacing w:line="360" w:lineRule="auto"/>
        <w:ind w:firstLine="424"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7</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开启有效投标供应商的报价，公布开标一览表有关内容，</w:t>
      </w:r>
      <w:r>
        <w:rPr>
          <w:rFonts w:hint="eastAsia" w:ascii="宋体" w:hAnsi="宋体" w:eastAsia="宋体" w:cs="宋体"/>
          <w:color w:val="auto"/>
          <w:sz w:val="21"/>
          <w:szCs w:val="21"/>
          <w:highlight w:val="none"/>
          <w:lang w:bidi="zh-CN"/>
        </w:rPr>
        <w:t>并【开启签字时段】，供应商对开标纪录进行在线签字确认（不予确认的应说明理由，否则视为无异议）</w:t>
      </w:r>
      <w:r>
        <w:rPr>
          <w:rFonts w:hint="eastAsia" w:ascii="宋体" w:hAnsi="宋体" w:eastAsia="宋体" w:cs="宋体"/>
          <w:color w:val="auto"/>
          <w:kern w:val="0"/>
          <w:sz w:val="21"/>
          <w:szCs w:val="21"/>
          <w:highlight w:val="none"/>
        </w:rPr>
        <w:t>。开标结束后，由评标委员会对报价的合理性、准确性等进行审查核实</w:t>
      </w:r>
      <w:r>
        <w:rPr>
          <w:rFonts w:hint="eastAsia" w:ascii="宋体" w:hAnsi="宋体" w:eastAsia="宋体" w:cs="宋体"/>
          <w:color w:val="auto"/>
          <w:sz w:val="21"/>
          <w:szCs w:val="21"/>
          <w:highlight w:val="none"/>
        </w:rPr>
        <w:t>。</w:t>
      </w:r>
    </w:p>
    <w:p w14:paraId="5807DC75">
      <w:pPr>
        <w:shd w:val="clear" w:color="auto" w:fill="auto"/>
        <w:snapToGrid w:val="0"/>
        <w:spacing w:line="360" w:lineRule="auto"/>
        <w:ind w:firstLine="424"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评审结束后，采购代理机构在系统上公布评审结果。</w:t>
      </w:r>
    </w:p>
    <w:p w14:paraId="3F0189D1">
      <w:pPr>
        <w:shd w:val="clear" w:color="auto" w:fill="auto"/>
        <w:snapToGrid w:val="0"/>
        <w:spacing w:line="360" w:lineRule="auto"/>
        <w:ind w:left="48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特别情况说明：</w:t>
      </w:r>
    </w:p>
    <w:p w14:paraId="16FE85E2">
      <w:pPr>
        <w:shd w:val="clear" w:color="auto" w:fill="auto"/>
        <w:snapToGrid w:val="0"/>
        <w:spacing w:line="360" w:lineRule="auto"/>
        <w:ind w:firstLine="374" w:firstLineChars="177"/>
        <w:jc w:val="left"/>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（1）本项目采用电子交易，如遇“</w:t>
      </w:r>
      <w:r>
        <w:rPr>
          <w:rFonts w:hint="eastAsia" w:ascii="宋体" w:hAnsi="宋体" w:eastAsia="宋体" w:cs="宋体"/>
          <w:b/>
          <w:color w:val="auto"/>
          <w:kern w:val="0"/>
          <w:sz w:val="21"/>
          <w:szCs w:val="21"/>
          <w:highlight w:val="none"/>
          <w:lang w:eastAsia="zh-CN"/>
        </w:rPr>
        <w:t>新疆</w:t>
      </w:r>
      <w:r>
        <w:rPr>
          <w:rFonts w:hint="eastAsia" w:ascii="宋体" w:hAnsi="宋体" w:eastAsia="宋体" w:cs="宋体"/>
          <w:b/>
          <w:color w:val="auto"/>
          <w:kern w:val="0"/>
          <w:sz w:val="21"/>
          <w:szCs w:val="21"/>
          <w:highlight w:val="none"/>
        </w:rPr>
        <w:t>政府采购云平台”电子化开标或评审程序调整的，按调整后程序执行。</w:t>
      </w:r>
    </w:p>
    <w:p w14:paraId="44257CCD">
      <w:pPr>
        <w:shd w:val="clear" w:color="auto" w:fill="auto"/>
        <w:snapToGrid w:val="0"/>
        <w:spacing w:line="360" w:lineRule="auto"/>
        <w:ind w:firstLine="374" w:firstLineChars="177"/>
        <w:jc w:val="left"/>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（2）开标过程中需要相关当事人进行签字或盖章确认的材料将通过“政府采购云平台”进行，若因“政府采购云平台”技术问题无法进行签字或盖章确认的，采购组织机构将通过电子邮件等形式予以确认，</w:t>
      </w:r>
      <w:r>
        <w:rPr>
          <w:rFonts w:hint="eastAsia" w:ascii="宋体" w:hAnsi="宋体" w:eastAsia="宋体" w:cs="宋体"/>
          <w:b/>
          <w:color w:val="auto"/>
          <w:kern w:val="0"/>
          <w:sz w:val="21"/>
          <w:szCs w:val="21"/>
          <w:highlight w:val="none"/>
          <w:u w:val="single"/>
        </w:rPr>
        <w:t>请供应商保证办理投标事宜人员电话畅通、网络在线，签字或盖章确认的时间为</w:t>
      </w:r>
      <w:r>
        <w:rPr>
          <w:rFonts w:hint="eastAsia" w:ascii="宋体" w:hAnsi="宋体" w:cs="宋体"/>
          <w:b/>
          <w:color w:val="auto"/>
          <w:kern w:val="0"/>
          <w:sz w:val="21"/>
          <w:szCs w:val="21"/>
          <w:highlight w:val="none"/>
          <w:u w:val="single"/>
          <w:lang w:eastAsia="zh-CN"/>
        </w:rPr>
        <w:t>30分钟</w:t>
      </w:r>
      <w:r>
        <w:rPr>
          <w:rFonts w:hint="eastAsia" w:ascii="宋体" w:hAnsi="宋体" w:eastAsia="宋体" w:cs="宋体"/>
          <w:b/>
          <w:color w:val="auto"/>
          <w:kern w:val="0"/>
          <w:sz w:val="21"/>
          <w:szCs w:val="21"/>
          <w:highlight w:val="none"/>
          <w:u w:val="single"/>
        </w:rPr>
        <w:t>。如未及时签字或盖章确认的，视为无异议</w:t>
      </w:r>
      <w:r>
        <w:rPr>
          <w:rFonts w:hint="eastAsia" w:ascii="宋体" w:hAnsi="宋体" w:eastAsia="宋体" w:cs="宋体"/>
          <w:b/>
          <w:color w:val="auto"/>
          <w:kern w:val="0"/>
          <w:sz w:val="21"/>
          <w:szCs w:val="21"/>
          <w:highlight w:val="none"/>
        </w:rPr>
        <w:t>。</w:t>
      </w:r>
    </w:p>
    <w:p w14:paraId="5EAC0E63">
      <w:pPr>
        <w:shd w:val="clear" w:color="auto" w:fill="auto"/>
        <w:snapToGrid w:val="0"/>
        <w:spacing w:line="360" w:lineRule="auto"/>
        <w:jc w:val="left"/>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rPr>
        <w:t>28.3</w:t>
      </w:r>
      <w:r>
        <w:rPr>
          <w:rFonts w:hint="eastAsia" w:ascii="宋体" w:hAnsi="宋体" w:eastAsia="宋体" w:cs="宋体"/>
          <w:b/>
          <w:color w:val="auto"/>
          <w:kern w:val="0"/>
          <w:sz w:val="21"/>
          <w:szCs w:val="21"/>
          <w:highlight w:val="none"/>
        </w:rPr>
        <w:t xml:space="preserve"> 投标供应商资格审查：</w:t>
      </w:r>
    </w:p>
    <w:p w14:paraId="33A50EF4">
      <w:pPr>
        <w:shd w:val="clear" w:color="auto" w:fill="auto"/>
        <w:snapToGrid w:val="0"/>
        <w:spacing w:line="360" w:lineRule="auto"/>
        <w:ind w:firstLine="424"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bCs/>
          <w:color w:val="auto"/>
          <w:kern w:val="0"/>
          <w:sz w:val="21"/>
          <w:szCs w:val="21"/>
          <w:highlight w:val="none"/>
        </w:rPr>
        <w:t>开标（标书信息开启）后，采购人或采购代理机构</w:t>
      </w:r>
      <w:r>
        <w:rPr>
          <w:rFonts w:hint="eastAsia" w:ascii="宋体" w:hAnsi="宋体" w:eastAsia="宋体" w:cs="宋体"/>
          <w:bCs/>
          <w:color w:val="auto"/>
          <w:kern w:val="0"/>
          <w:sz w:val="21"/>
          <w:szCs w:val="21"/>
          <w:highlight w:val="none"/>
          <w:lang w:eastAsia="zh-CN"/>
        </w:rPr>
        <w:t>或</w:t>
      </w:r>
      <w:r>
        <w:rPr>
          <w:rFonts w:hint="eastAsia" w:ascii="宋体" w:hAnsi="宋体" w:eastAsia="宋体" w:cs="宋体"/>
          <w:color w:val="auto"/>
          <w:kern w:val="0"/>
          <w:sz w:val="21"/>
          <w:szCs w:val="21"/>
          <w:highlight w:val="none"/>
          <w:lang w:eastAsia="zh-CN"/>
        </w:rPr>
        <w:t>评审小组</w:t>
      </w:r>
      <w:r>
        <w:rPr>
          <w:rFonts w:hint="eastAsia" w:ascii="宋体" w:hAnsi="宋体" w:eastAsia="宋体" w:cs="宋体"/>
          <w:bCs/>
          <w:color w:val="auto"/>
          <w:kern w:val="0"/>
          <w:sz w:val="21"/>
          <w:szCs w:val="21"/>
          <w:highlight w:val="none"/>
        </w:rPr>
        <w:t>首先依法对投标供应商的资格文件进行审查，审查各投标供应商的资格符合情况。</w:t>
      </w:r>
      <w:r>
        <w:rPr>
          <w:rFonts w:hint="eastAsia" w:ascii="宋体" w:hAnsi="宋体" w:eastAsia="宋体" w:cs="宋体"/>
          <w:color w:val="auto"/>
          <w:sz w:val="21"/>
          <w:szCs w:val="21"/>
          <w:highlight w:val="none"/>
        </w:rPr>
        <w:t>采购人或采购代理机构</w:t>
      </w:r>
      <w:r>
        <w:rPr>
          <w:rFonts w:hint="eastAsia" w:ascii="宋体" w:hAnsi="宋体" w:eastAsia="宋体" w:cs="宋体"/>
          <w:bCs/>
          <w:color w:val="auto"/>
          <w:kern w:val="0"/>
          <w:sz w:val="21"/>
          <w:szCs w:val="21"/>
          <w:highlight w:val="none"/>
          <w:lang w:eastAsia="zh-CN"/>
        </w:rPr>
        <w:t>或</w:t>
      </w:r>
      <w:r>
        <w:rPr>
          <w:rFonts w:hint="eastAsia" w:ascii="宋体" w:hAnsi="宋体" w:eastAsia="宋体" w:cs="宋体"/>
          <w:color w:val="auto"/>
          <w:kern w:val="0"/>
          <w:sz w:val="21"/>
          <w:szCs w:val="21"/>
          <w:highlight w:val="none"/>
          <w:lang w:eastAsia="zh-CN"/>
        </w:rPr>
        <w:t>评审小组</w:t>
      </w:r>
      <w:r>
        <w:rPr>
          <w:rFonts w:hint="eastAsia" w:ascii="宋体" w:hAnsi="宋体" w:eastAsia="宋体" w:cs="宋体"/>
          <w:color w:val="auto"/>
          <w:sz w:val="21"/>
          <w:szCs w:val="21"/>
          <w:highlight w:val="none"/>
        </w:rPr>
        <w:t>对投标供应商所提交的资格证明材料仅负审核的责任。如发现投标供应商所提交的资格证明材料不合法或与事实不符，采购人可取消其中标资格并追究投标供应商的法律责任。</w:t>
      </w:r>
    </w:p>
    <w:p w14:paraId="4EB20CCB">
      <w:pPr>
        <w:pStyle w:val="6"/>
        <w:shd w:val="clear" w:color="auto" w:fill="auto"/>
        <w:snapToGrid w:val="0"/>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投标供应商提交的资格证明材料无法证明其符合采购文件规定的“投标供应商资格要求”的，采购人或采购代理机构将对其作“资格审查不合格”处理（无效投标），并不再将其投标提交评标委员会进行后续评审。</w:t>
      </w:r>
    </w:p>
    <w:p w14:paraId="47B6C78F">
      <w:pPr>
        <w:pStyle w:val="6"/>
        <w:shd w:val="clear" w:color="auto" w:fill="auto"/>
        <w:snapToGrid w:val="0"/>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（3）</w:t>
      </w:r>
      <w:r>
        <w:rPr>
          <w:rFonts w:hint="eastAsia" w:ascii="宋体" w:hAnsi="宋体" w:eastAsia="宋体" w:cs="宋体"/>
          <w:b w:val="0"/>
          <w:bCs/>
          <w:color w:val="auto"/>
          <w:kern w:val="0"/>
          <w:sz w:val="21"/>
          <w:szCs w:val="21"/>
          <w:highlight w:val="none"/>
        </w:rPr>
        <w:t>供应商</w:t>
      </w:r>
      <w:r>
        <w:rPr>
          <w:rFonts w:hint="eastAsia" w:ascii="宋体" w:hAnsi="宋体" w:eastAsia="宋体" w:cs="宋体"/>
          <w:b w:val="0"/>
          <w:bCs/>
          <w:color w:val="auto"/>
          <w:sz w:val="21"/>
          <w:szCs w:val="21"/>
          <w:highlight w:val="none"/>
        </w:rPr>
        <w:t>信用记录查询与使用：</w:t>
      </w:r>
      <w:r>
        <w:rPr>
          <w:rFonts w:hint="eastAsia" w:ascii="宋体" w:hAnsi="宋体" w:eastAsia="宋体" w:cs="宋体"/>
          <w:b w:val="0"/>
          <w:bCs/>
          <w:color w:val="auto"/>
          <w:kern w:val="0"/>
          <w:sz w:val="21"/>
          <w:szCs w:val="21"/>
          <w:highlight w:val="none"/>
        </w:rPr>
        <w:t>见《供应商须知前附表》。</w:t>
      </w:r>
    </w:p>
    <w:p w14:paraId="5C8FAFFF">
      <w:pPr>
        <w:shd w:val="clear" w:color="auto" w:fill="auto"/>
        <w:snapToGrid w:val="0"/>
        <w:spacing w:line="360" w:lineRule="auto"/>
        <w:outlineLvl w:val="2"/>
        <w:rPr>
          <w:rFonts w:hint="eastAsia" w:ascii="宋体" w:hAnsi="宋体" w:eastAsia="宋体" w:cs="宋体"/>
          <w:b/>
          <w:color w:val="auto"/>
          <w:sz w:val="21"/>
          <w:szCs w:val="21"/>
          <w:highlight w:val="none"/>
          <w:lang w:val="en-US" w:eastAsia="zh-CN"/>
        </w:rPr>
      </w:pPr>
      <w:bookmarkStart w:id="40" w:name="_Toc6850"/>
      <w:r>
        <w:rPr>
          <w:rFonts w:hint="eastAsia" w:ascii="宋体" w:hAnsi="宋体" w:eastAsia="宋体" w:cs="宋体"/>
          <w:b/>
          <w:color w:val="auto"/>
          <w:sz w:val="21"/>
          <w:szCs w:val="21"/>
          <w:highlight w:val="none"/>
          <w:lang w:val="en-US" w:eastAsia="zh-CN"/>
        </w:rPr>
        <w:t>29.评审工作的组织</w:t>
      </w:r>
      <w:bookmarkEnd w:id="40"/>
    </w:p>
    <w:p w14:paraId="2B373486">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rPr>
        <w:t>采购人或采购代理机构负责组织本项目的评审工作，并依据《政府采购货物和服务招标投标管理办法（财政部第87号令）》第四十五条的相关规定履行职责。</w:t>
      </w:r>
    </w:p>
    <w:p w14:paraId="3081C800">
      <w:pPr>
        <w:shd w:val="clear" w:color="auto" w:fill="auto"/>
        <w:snapToGrid w:val="0"/>
        <w:spacing w:line="360" w:lineRule="auto"/>
        <w:outlineLvl w:val="2"/>
        <w:rPr>
          <w:rFonts w:hint="eastAsia" w:ascii="宋体" w:hAnsi="宋体" w:eastAsia="宋体" w:cs="宋体"/>
          <w:b/>
          <w:color w:val="auto"/>
          <w:sz w:val="21"/>
          <w:szCs w:val="21"/>
          <w:highlight w:val="none"/>
          <w:lang w:val="en-US" w:eastAsia="zh-CN"/>
        </w:rPr>
      </w:pPr>
      <w:bookmarkStart w:id="41" w:name="_Toc22681"/>
      <w:r>
        <w:rPr>
          <w:rFonts w:hint="eastAsia" w:ascii="宋体" w:hAnsi="宋体" w:eastAsia="宋体" w:cs="宋体"/>
          <w:b/>
          <w:color w:val="auto"/>
          <w:sz w:val="21"/>
          <w:szCs w:val="21"/>
          <w:highlight w:val="none"/>
          <w:lang w:val="en-US" w:eastAsia="zh-CN"/>
        </w:rPr>
        <w:t>30. 评标委员会的组建</w:t>
      </w:r>
      <w:bookmarkEnd w:id="41"/>
    </w:p>
    <w:p w14:paraId="31D1A93F">
      <w:pPr>
        <w:widowControl/>
        <w:shd w:val="clear" w:color="auto" w:fill="auto"/>
        <w:spacing w:line="440" w:lineRule="exact"/>
        <w:ind w:firstLine="212" w:firstLineChars="100"/>
        <w:rPr>
          <w:rFonts w:hint="eastAsia" w:ascii="宋体"/>
          <w:b/>
          <w:bCs/>
          <w:color w:val="auto"/>
          <w:szCs w:val="21"/>
          <w:highlight w:val="none"/>
        </w:rPr>
      </w:pPr>
      <w:r>
        <w:rPr>
          <w:rFonts w:hint="eastAsia" w:ascii="宋体"/>
          <w:color w:val="auto"/>
          <w:szCs w:val="21"/>
          <w:highlight w:val="none"/>
          <w:lang w:val="en-US" w:eastAsia="zh-CN"/>
        </w:rPr>
        <w:t>30</w:t>
      </w:r>
      <w:r>
        <w:rPr>
          <w:rFonts w:hint="eastAsia" w:ascii="宋体"/>
          <w:color w:val="auto"/>
          <w:szCs w:val="21"/>
          <w:highlight w:val="none"/>
        </w:rPr>
        <w:t>.1</w:t>
      </w:r>
      <w:r>
        <w:rPr>
          <w:rFonts w:hint="eastAsia" w:ascii="宋体"/>
          <w:b/>
          <w:bCs/>
          <w:color w:val="auto"/>
          <w:szCs w:val="21"/>
          <w:highlight w:val="none"/>
        </w:rPr>
        <w:t>评标委员会由采购人或采购代理机构依法组建，成员由采购人代表和评审专家组成，成员人数为</w:t>
      </w:r>
      <w:r>
        <w:rPr>
          <w:rFonts w:hint="eastAsia" w:ascii="宋体"/>
          <w:b/>
          <w:bCs/>
          <w:color w:val="auto"/>
          <w:szCs w:val="21"/>
          <w:highlight w:val="none"/>
          <w:lang w:val="en-US" w:eastAsia="zh-CN"/>
        </w:rPr>
        <w:t>5</w:t>
      </w:r>
      <w:r>
        <w:rPr>
          <w:rFonts w:hint="eastAsia" w:ascii="宋体"/>
          <w:b/>
          <w:bCs/>
          <w:color w:val="auto"/>
          <w:szCs w:val="21"/>
          <w:highlight w:val="none"/>
        </w:rPr>
        <w:t>人，其中评审专家不少于成员总数的三分之二。</w:t>
      </w:r>
    </w:p>
    <w:p w14:paraId="5C122677">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30</w:t>
      </w:r>
      <w:r>
        <w:rPr>
          <w:rFonts w:hint="eastAsia" w:ascii="宋体"/>
          <w:color w:val="auto"/>
          <w:szCs w:val="21"/>
          <w:highlight w:val="none"/>
        </w:rPr>
        <w:t>.2评审专家从</w:t>
      </w:r>
      <w:r>
        <w:rPr>
          <w:rFonts w:hint="eastAsia" w:ascii="宋体"/>
          <w:color w:val="auto"/>
          <w:szCs w:val="21"/>
          <w:highlight w:val="none"/>
          <w:lang w:eastAsia="zh-CN"/>
        </w:rPr>
        <w:t>新疆</w:t>
      </w:r>
      <w:r>
        <w:rPr>
          <w:rFonts w:hint="eastAsia" w:ascii="宋体"/>
          <w:color w:val="auto"/>
          <w:szCs w:val="21"/>
          <w:highlight w:val="none"/>
        </w:rPr>
        <w:t>政府采购云平台专家库中通过随机方式抽取产生。评标委员会成员名单在采购结果公告前保密。</w:t>
      </w:r>
    </w:p>
    <w:p w14:paraId="7E0098E9">
      <w:pPr>
        <w:widowControl/>
        <w:shd w:val="clear" w:color="auto" w:fill="auto"/>
        <w:spacing w:line="440" w:lineRule="exact"/>
        <w:ind w:firstLine="212" w:firstLineChars="100"/>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31.评标委员会的职责</w:t>
      </w:r>
    </w:p>
    <w:p w14:paraId="6176AE46">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31</w:t>
      </w:r>
      <w:r>
        <w:rPr>
          <w:rFonts w:hint="eastAsia" w:ascii="宋体"/>
          <w:color w:val="auto"/>
          <w:szCs w:val="21"/>
          <w:highlight w:val="none"/>
        </w:rPr>
        <w:t>.1审查、评价投标文件是否符合采购文件的商务、技术等实质性要求。</w:t>
      </w:r>
    </w:p>
    <w:p w14:paraId="56ACDFC9">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31</w:t>
      </w:r>
      <w:r>
        <w:rPr>
          <w:rFonts w:hint="eastAsia" w:ascii="宋体"/>
          <w:color w:val="auto"/>
          <w:szCs w:val="21"/>
          <w:highlight w:val="none"/>
        </w:rPr>
        <w:t>.2要求供应商对投标文件有关事项作出澄清或者说明。</w:t>
      </w:r>
    </w:p>
    <w:p w14:paraId="6D6347B5">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31</w:t>
      </w:r>
      <w:r>
        <w:rPr>
          <w:rFonts w:hint="eastAsia" w:ascii="宋体"/>
          <w:color w:val="auto"/>
          <w:szCs w:val="21"/>
          <w:highlight w:val="none"/>
        </w:rPr>
        <w:t>.3对投标文件进行比较和评价。</w:t>
      </w:r>
    </w:p>
    <w:p w14:paraId="15413FBE">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31</w:t>
      </w:r>
      <w:r>
        <w:rPr>
          <w:rFonts w:hint="eastAsia" w:ascii="宋体"/>
          <w:color w:val="auto"/>
          <w:szCs w:val="21"/>
          <w:highlight w:val="none"/>
        </w:rPr>
        <w:t>.4确定中标候选人名单，以及根据采购人委托直接确定中标人。</w:t>
      </w:r>
    </w:p>
    <w:p w14:paraId="026C5A0F">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31</w:t>
      </w:r>
      <w:r>
        <w:rPr>
          <w:rFonts w:hint="eastAsia" w:ascii="宋体"/>
          <w:color w:val="auto"/>
          <w:szCs w:val="21"/>
          <w:highlight w:val="none"/>
        </w:rPr>
        <w:t>.5向采购人、采购代理机构或者有关部门报告评审中发现的违法行为。</w:t>
      </w:r>
    </w:p>
    <w:p w14:paraId="3DDC60CF">
      <w:pPr>
        <w:widowControl/>
        <w:shd w:val="clear" w:color="auto" w:fill="auto"/>
        <w:spacing w:line="440" w:lineRule="exact"/>
        <w:ind w:firstLine="212" w:firstLineChars="100"/>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32. 评标原则</w:t>
      </w:r>
    </w:p>
    <w:p w14:paraId="1B37A743">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32</w:t>
      </w:r>
      <w:r>
        <w:rPr>
          <w:rFonts w:hint="eastAsia" w:ascii="宋体"/>
          <w:color w:val="auto"/>
          <w:szCs w:val="21"/>
          <w:highlight w:val="none"/>
        </w:rPr>
        <w:t>.1评标委员会将遵循公平、公正、科学的原则，对供应商提交的投标文件进行综合评审，评标委员会按照采购文件规定的评标细则进行评分。</w:t>
      </w:r>
    </w:p>
    <w:p w14:paraId="4064C680">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32</w:t>
      </w:r>
      <w:r>
        <w:rPr>
          <w:rFonts w:hint="eastAsia" w:ascii="宋体"/>
          <w:color w:val="auto"/>
          <w:szCs w:val="21"/>
          <w:highlight w:val="none"/>
        </w:rPr>
        <w:t xml:space="preserve">.2客观公正对待所有供应商，对所有投标评价均采用相同的程序和标准。 </w:t>
      </w:r>
    </w:p>
    <w:p w14:paraId="4764F9CA">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32</w:t>
      </w:r>
      <w:r>
        <w:rPr>
          <w:rFonts w:hint="eastAsia" w:ascii="宋体"/>
          <w:color w:val="auto"/>
          <w:szCs w:val="21"/>
          <w:highlight w:val="none"/>
        </w:rPr>
        <w:t>.3评标委员会成员对需要共同认定的事项存在争议的，按照少数服从多数的原则作出结论。持不同意见的评标委员会成员应当在评审报告上签署不同意见及理由，否则视为同意评审报告。</w:t>
      </w:r>
    </w:p>
    <w:p w14:paraId="479018E8">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32</w:t>
      </w:r>
      <w:r>
        <w:rPr>
          <w:rFonts w:hint="eastAsia" w:ascii="宋体"/>
          <w:color w:val="auto"/>
          <w:szCs w:val="21"/>
          <w:highlight w:val="none"/>
        </w:rPr>
        <w:t>.4 财政部令第87号《政府采购货物和服务招标投标管理办法》第三十一条规定：使用综合评分法的采购项目，提供相同品牌产品且通过资格审查、符合性审查的不同供应商参加同一合同项下投标的，按一家供应商计算，评审后得分最高的同品牌供应商获得中标人推荐资格；评审得分相同的，由采购人或者采购人委托评标委员会按照采购文件规定的方式确定一个供应商获得中标人推荐资格，采购文件未规定的采取随机抽取方式确定，其他同品牌供应商不作为中标候选人。</w:t>
      </w:r>
    </w:p>
    <w:p w14:paraId="3CF9D098">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rPr>
        <w:t xml:space="preserve">非单一产品采购项目，采购人应当根据采购项目技术构成、产品价格比重等合理确定核心产品，并在采购文件中载明。多家供应商提供的核心产品品牌相同的，按前款规定处理。      </w:t>
      </w:r>
    </w:p>
    <w:p w14:paraId="61F4C29E">
      <w:pPr>
        <w:widowControl/>
        <w:shd w:val="clear" w:color="auto" w:fill="auto"/>
        <w:spacing w:line="440" w:lineRule="exact"/>
        <w:ind w:firstLine="212" w:firstLineChars="100"/>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33. 评委纪律</w:t>
      </w:r>
    </w:p>
    <w:p w14:paraId="71DBA333">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rPr>
        <w:t>评标委员会成员必须严格遵守保密规定，不得泄露评审的有关情况，任何单位和个人不得干扰、影响评标的正常进行，评标委员会成员不得私下与投标供应商接触，不得出现浙江省政府采购活动现场组织管理办法中规定的其他禁止行为。</w:t>
      </w:r>
    </w:p>
    <w:p w14:paraId="5FB606E7">
      <w:pPr>
        <w:widowControl/>
        <w:shd w:val="clear" w:color="auto" w:fill="auto"/>
        <w:spacing w:line="440" w:lineRule="exact"/>
        <w:ind w:firstLine="212" w:firstLineChars="100"/>
        <w:rPr>
          <w:rFonts w:hint="eastAsia" w:ascii="宋体"/>
          <w:color w:val="auto"/>
          <w:szCs w:val="21"/>
          <w:highlight w:val="none"/>
        </w:rPr>
      </w:pPr>
      <w:r>
        <w:rPr>
          <w:rFonts w:hint="eastAsia" w:ascii="宋体" w:hAnsi="宋体" w:eastAsia="宋体" w:cs="宋体"/>
          <w:b/>
          <w:color w:val="auto"/>
          <w:sz w:val="21"/>
          <w:szCs w:val="21"/>
          <w:highlight w:val="none"/>
          <w:lang w:val="en-US" w:eastAsia="zh-CN"/>
        </w:rPr>
        <w:t>34.评标程序</w:t>
      </w:r>
    </w:p>
    <w:p w14:paraId="34476017">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34.</w:t>
      </w:r>
      <w:r>
        <w:rPr>
          <w:rFonts w:hint="eastAsia" w:ascii="宋体"/>
          <w:color w:val="auto"/>
          <w:szCs w:val="21"/>
          <w:highlight w:val="none"/>
        </w:rPr>
        <w:t>1 在评审专家中推选评标委员会组长，采购人代表不得担任评标委员会组长。</w:t>
      </w:r>
    </w:p>
    <w:p w14:paraId="5075415D">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34.</w:t>
      </w:r>
      <w:r>
        <w:rPr>
          <w:rFonts w:hint="eastAsia" w:ascii="宋体"/>
          <w:color w:val="auto"/>
          <w:szCs w:val="21"/>
          <w:highlight w:val="none"/>
        </w:rPr>
        <w:t>2 评标委员会组长召集成员认真阅读采购文件以及相关补充、质疑、答复文件、项目书面说明等材料，熟悉采购项目的基本概况，采购项目的质量要求、数量、主要技术标准或服务需求，采购合同主要条款，投标文件无效情形，评审方法、评审依据、评审标准等。</w:t>
      </w:r>
    </w:p>
    <w:p w14:paraId="2C32E230">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34.</w:t>
      </w:r>
      <w:r>
        <w:rPr>
          <w:rFonts w:hint="eastAsia" w:ascii="宋体"/>
          <w:color w:val="auto"/>
          <w:szCs w:val="21"/>
          <w:highlight w:val="none"/>
        </w:rPr>
        <w:t>3 评审人员对符合资格的供应商的投标文件的有效性、符合性、完整性和响应程度进行审查，确定是否对采购文件作出实质性响应。</w:t>
      </w:r>
    </w:p>
    <w:p w14:paraId="2E7C8B3E">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34.</w:t>
      </w:r>
      <w:r>
        <w:rPr>
          <w:rFonts w:hint="eastAsia" w:ascii="宋体"/>
          <w:color w:val="auto"/>
          <w:szCs w:val="21"/>
          <w:highlight w:val="none"/>
        </w:rPr>
        <w:t>4 评审人员按采购文件规定的评审方法和评审标准，依法独立对供应商投标文件进行评估、比较，并给予评价或打分，不受任何单位和个人的干预。</w:t>
      </w:r>
    </w:p>
    <w:p w14:paraId="22300D23">
      <w:pPr>
        <w:widowControl/>
        <w:shd w:val="clear" w:color="auto" w:fill="auto"/>
        <w:spacing w:line="440" w:lineRule="exact"/>
        <w:ind w:firstLine="424"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综合评分法货物项目的价格分值占总分值的比重(即权值)为</w:t>
      </w:r>
      <w:r>
        <w:rPr>
          <w:rFonts w:hint="eastAsia" w:ascii="宋体" w:hAnsi="宋体" w:cs="宋体"/>
          <w:color w:val="auto"/>
          <w:kern w:val="0"/>
          <w:szCs w:val="21"/>
          <w:highlight w:val="none"/>
          <w:lang w:val="en-US" w:eastAsia="zh-CN"/>
        </w:rPr>
        <w:t>30</w:t>
      </w:r>
      <w:r>
        <w:rPr>
          <w:rFonts w:hint="eastAsia" w:ascii="宋体" w:hAnsi="宋体" w:eastAsia="宋体" w:cs="宋体"/>
          <w:color w:val="auto"/>
          <w:kern w:val="0"/>
          <w:szCs w:val="21"/>
          <w:highlight w:val="none"/>
        </w:rPr>
        <w:t>％，采购项目中含不同采购对象的，以占项目资金比例最高的采购对象确定其项目属性。其价格不列为评分因素，有特殊情况需要在上述规定范围外设定价格分权重的。</w:t>
      </w:r>
    </w:p>
    <w:p w14:paraId="245D79F9">
      <w:pPr>
        <w:widowControl/>
        <w:shd w:val="clear" w:color="auto" w:fill="auto"/>
        <w:spacing w:line="440" w:lineRule="exact"/>
        <w:ind w:firstLine="48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综合评分法中的价格分统一采用低价优先法计算，即满足</w:t>
      </w:r>
      <w:r>
        <w:rPr>
          <w:rFonts w:hint="eastAsia" w:ascii="宋体" w:hAnsi="宋体" w:eastAsia="宋体" w:cs="宋体"/>
          <w:color w:val="auto"/>
          <w:kern w:val="0"/>
          <w:szCs w:val="21"/>
          <w:highlight w:val="none"/>
          <w:lang w:eastAsia="zh-CN"/>
        </w:rPr>
        <w:t>招标</w:t>
      </w:r>
      <w:r>
        <w:rPr>
          <w:rFonts w:hint="eastAsia" w:ascii="宋体" w:hAnsi="宋体" w:eastAsia="宋体" w:cs="宋体"/>
          <w:color w:val="auto"/>
          <w:kern w:val="0"/>
          <w:szCs w:val="21"/>
          <w:highlight w:val="none"/>
        </w:rPr>
        <w:t>文件要求且最后报价最低的供应商的价格为</w:t>
      </w:r>
      <w:r>
        <w:rPr>
          <w:rFonts w:hint="eastAsia" w:ascii="宋体" w:hAnsi="宋体" w:eastAsia="宋体" w:cs="宋体"/>
          <w:color w:val="auto"/>
          <w:kern w:val="0"/>
          <w:szCs w:val="21"/>
          <w:highlight w:val="none"/>
          <w:lang w:eastAsia="zh-CN"/>
        </w:rPr>
        <w:t>招标</w:t>
      </w:r>
      <w:r>
        <w:rPr>
          <w:rFonts w:hint="eastAsia" w:ascii="宋体" w:hAnsi="宋体" w:eastAsia="宋体" w:cs="宋体"/>
          <w:color w:val="auto"/>
          <w:kern w:val="0"/>
          <w:szCs w:val="21"/>
          <w:highlight w:val="none"/>
        </w:rPr>
        <w:t>基准价，其价格分为满分。其他供应商的价格分统一按照下列公式计算：</w:t>
      </w:r>
    </w:p>
    <w:p w14:paraId="7586A98B">
      <w:pPr>
        <w:widowControl/>
        <w:shd w:val="clear" w:color="auto" w:fill="auto"/>
        <w:spacing w:line="440" w:lineRule="exact"/>
        <w:ind w:firstLine="48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投标</w:t>
      </w:r>
      <w:r>
        <w:rPr>
          <w:rFonts w:hint="eastAsia" w:ascii="宋体" w:hAnsi="宋体" w:eastAsia="宋体" w:cs="宋体"/>
          <w:color w:val="auto"/>
          <w:kern w:val="0"/>
          <w:szCs w:val="21"/>
          <w:highlight w:val="none"/>
        </w:rPr>
        <w:t>报价得分=（基准价/</w:t>
      </w:r>
      <w:r>
        <w:rPr>
          <w:rFonts w:hint="eastAsia" w:ascii="宋体" w:hAnsi="宋体" w:eastAsia="宋体" w:cs="宋体"/>
          <w:color w:val="auto"/>
          <w:kern w:val="0"/>
          <w:szCs w:val="21"/>
          <w:highlight w:val="none"/>
          <w:lang w:eastAsia="zh-CN"/>
        </w:rPr>
        <w:t>投标</w:t>
      </w:r>
      <w:r>
        <w:rPr>
          <w:rFonts w:hint="eastAsia" w:ascii="宋体" w:hAnsi="宋体" w:eastAsia="宋体" w:cs="宋体"/>
          <w:color w:val="auto"/>
          <w:kern w:val="0"/>
          <w:szCs w:val="21"/>
          <w:highlight w:val="none"/>
        </w:rPr>
        <w:t>报价）×价格权值×100</w:t>
      </w:r>
    </w:p>
    <w:p w14:paraId="26692D2B">
      <w:pPr>
        <w:widowControl/>
        <w:shd w:val="clear" w:color="auto" w:fill="auto"/>
        <w:spacing w:line="440" w:lineRule="exact"/>
        <w:ind w:firstLine="480"/>
        <w:rPr>
          <w:rFonts w:hint="eastAsia" w:ascii="宋体"/>
          <w:color w:val="auto"/>
          <w:szCs w:val="21"/>
          <w:highlight w:val="none"/>
          <w:lang w:val="en-US" w:eastAsia="zh-CN"/>
        </w:rPr>
      </w:pPr>
      <w:r>
        <w:rPr>
          <w:rFonts w:hint="eastAsia" w:ascii="宋体" w:hAnsi="宋体" w:eastAsia="宋体" w:cs="宋体"/>
          <w:color w:val="auto"/>
          <w:kern w:val="0"/>
          <w:szCs w:val="21"/>
          <w:highlight w:val="none"/>
        </w:rPr>
        <w:t>项目评审过程中，不得去掉最后报价中的最高报价和最低报价。</w:t>
      </w:r>
    </w:p>
    <w:p w14:paraId="61A4D8A6">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34.</w:t>
      </w:r>
      <w:r>
        <w:rPr>
          <w:rFonts w:hint="eastAsia" w:ascii="宋体"/>
          <w:color w:val="auto"/>
          <w:szCs w:val="21"/>
          <w:highlight w:val="none"/>
        </w:rPr>
        <w:t>5 评审人员对各供应商投标文件非实质性内容有疑议或异议，或者审查发现明显的文字或计算错误等，及时向评标委员会组长提出。经评标委员会商议认为需要供应商作出必要澄清、说明或者补正的，应当以在线询标形式要求供应商作出必要的澄清、说明或者补正。澄清、说明或者补正的内容应作为政府采购项目档案归档留存。</w:t>
      </w:r>
    </w:p>
    <w:p w14:paraId="1163DDDC">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34.</w:t>
      </w:r>
      <w:r>
        <w:rPr>
          <w:rFonts w:hint="eastAsia" w:ascii="宋体"/>
          <w:color w:val="auto"/>
          <w:szCs w:val="21"/>
          <w:highlight w:val="none"/>
        </w:rPr>
        <w:t>6 评审人员需对采购方工作人员唱票或统计的评审结果进行确认，现场监督员应对评审结果签署监督意见。如发现分值汇总计算错误、分项评分超出评分标准范围、客观评分不一致以及存在评分畸高、畸低（其总评分偏离平均分</w:t>
      </w:r>
      <w:r>
        <w:rPr>
          <w:rFonts w:hint="eastAsia" w:ascii="宋体"/>
          <w:color w:val="auto"/>
          <w:szCs w:val="21"/>
          <w:highlight w:val="none"/>
          <w:lang w:val="en-US" w:eastAsia="zh-CN"/>
        </w:rPr>
        <w:t>30</w:t>
      </w:r>
      <w:r>
        <w:rPr>
          <w:rFonts w:hint="eastAsia" w:ascii="宋体"/>
          <w:color w:val="auto"/>
          <w:szCs w:val="21"/>
          <w:highlight w:val="none"/>
        </w:rPr>
        <w:t>%以上的）情形的，应由相关人员当场改正或作出书面说明；拒不改正又不作书面说明的，由现场监督员如实记载后存入项目档案资料。</w:t>
      </w:r>
    </w:p>
    <w:p w14:paraId="3DF2E92C">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34.</w:t>
      </w:r>
      <w:r>
        <w:rPr>
          <w:rFonts w:hint="eastAsia" w:ascii="宋体"/>
          <w:color w:val="auto"/>
          <w:szCs w:val="21"/>
          <w:highlight w:val="none"/>
        </w:rPr>
        <w:t>7 评标委员会根据评审汇总情况和采购文件规定确定中标候选供应商排序名单。</w:t>
      </w:r>
    </w:p>
    <w:p w14:paraId="3EF147C4">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34.</w:t>
      </w:r>
      <w:r>
        <w:rPr>
          <w:rFonts w:hint="eastAsia" w:ascii="宋体"/>
          <w:color w:val="auto"/>
          <w:szCs w:val="21"/>
          <w:highlight w:val="none"/>
        </w:rPr>
        <w:t xml:space="preserve">8 起草评审报告，所有评审人员须在评审报告上签字确认，对自己的评审意见承担法律责任。 </w:t>
      </w:r>
    </w:p>
    <w:p w14:paraId="3D1C58EC">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34.</w:t>
      </w:r>
      <w:r>
        <w:rPr>
          <w:rFonts w:hint="eastAsia" w:ascii="宋体"/>
          <w:color w:val="auto"/>
          <w:szCs w:val="21"/>
          <w:highlight w:val="none"/>
        </w:rPr>
        <w:t>9 采购组织机构对评标委员会评审专家进行评价。</w:t>
      </w:r>
    </w:p>
    <w:p w14:paraId="38B6BEE8">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lang w:val="en-US" w:eastAsia="zh-CN"/>
        </w:rPr>
        <w:t>34.</w:t>
      </w:r>
      <w:r>
        <w:rPr>
          <w:rFonts w:hint="eastAsia" w:ascii="宋体"/>
          <w:color w:val="auto"/>
          <w:szCs w:val="21"/>
          <w:highlight w:val="none"/>
        </w:rPr>
        <w:t>10 修改评审结果</w:t>
      </w:r>
    </w:p>
    <w:p w14:paraId="28F5B3A2">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rPr>
        <w:t>评标结果汇总完成后，除下列情形外，任何人不得修改评标结果：</w:t>
      </w:r>
    </w:p>
    <w:p w14:paraId="75130101">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rPr>
        <w:t>（1）分值汇总计算错误的；</w:t>
      </w:r>
    </w:p>
    <w:p w14:paraId="5F124B81">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rPr>
        <w:t>（2）分项评分超出评分标准范围的；</w:t>
      </w:r>
    </w:p>
    <w:p w14:paraId="221BFD09">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rPr>
        <w:t>（3）评标委员会成员对客观评审因素评分不一致的；</w:t>
      </w:r>
    </w:p>
    <w:p w14:paraId="0393A2D8">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rPr>
        <w:t>（4）经评标委员会认定评分畸高、畸低的。</w:t>
      </w:r>
    </w:p>
    <w:p w14:paraId="0D709818">
      <w:pPr>
        <w:widowControl/>
        <w:shd w:val="clear" w:color="auto" w:fill="auto"/>
        <w:spacing w:line="440" w:lineRule="exact"/>
        <w:ind w:firstLine="212" w:firstLineChars="100"/>
        <w:rPr>
          <w:rFonts w:hint="eastAsia" w:ascii="宋体"/>
          <w:color w:val="auto"/>
          <w:szCs w:val="21"/>
          <w:highlight w:val="none"/>
        </w:rPr>
      </w:pPr>
      <w:r>
        <w:rPr>
          <w:rFonts w:hint="eastAsia" w:ascii="宋体"/>
          <w:color w:val="auto"/>
          <w:szCs w:val="21"/>
          <w:highlight w:val="none"/>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0F2BB1FD">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hAnsi="宋体" w:eastAsia="宋体" w:cs="宋体"/>
          <w:b/>
          <w:color w:val="auto"/>
          <w:sz w:val="21"/>
          <w:szCs w:val="21"/>
          <w:highlight w:val="none"/>
          <w:lang w:val="en-US" w:eastAsia="zh-CN"/>
        </w:rPr>
        <w:t>35．澄清、说明或补正的形式</w:t>
      </w:r>
    </w:p>
    <w:p w14:paraId="1C34C518">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35.1对于投标文件中含义不明确、同类问题表述不一致或者有明显文字和计算错误的内容，评标委员会将通过“政府采购云平台”在线询标的方式要求投标供应商在规定的时间内作出必要的澄清、说明或者补正，</w:t>
      </w:r>
      <w:r>
        <w:rPr>
          <w:rFonts w:hint="eastAsia" w:ascii="宋体"/>
          <w:b/>
          <w:bCs/>
          <w:color w:val="auto"/>
          <w:szCs w:val="21"/>
          <w:highlight w:val="none"/>
          <w:lang w:val="en-US" w:eastAsia="zh-CN"/>
        </w:rPr>
        <w:t>投标供应商澄清、说明或补正时间为30分钟</w:t>
      </w:r>
      <w:r>
        <w:rPr>
          <w:rFonts w:hint="eastAsia" w:ascii="宋体"/>
          <w:b w:val="0"/>
          <w:bCs w:val="0"/>
          <w:color w:val="auto"/>
          <w:szCs w:val="21"/>
          <w:highlight w:val="none"/>
          <w:lang w:val="en-US" w:eastAsia="zh-CN"/>
        </w:rPr>
        <w:t>。</w:t>
      </w:r>
    </w:p>
    <w:p w14:paraId="227C3550">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35.2投标供应商的澄清、说明或者补正应当通过“政府采购云平台”在线答复的方式提交，并加盖公章（电子印章），或者由法定代表人（负责人）或其授权的代表签字。投标供应商的澄清、说明或者补正不得超出投标文件的范围或者改变投标文件的实质性内容，不接受投标供应商主动对投标文件的澄清、说明或者补正。</w:t>
      </w:r>
    </w:p>
    <w:p w14:paraId="43009455">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35.3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0B327DA7">
      <w:pPr>
        <w:shd w:val="clear" w:color="auto" w:fill="auto"/>
        <w:spacing w:line="440" w:lineRule="exact"/>
        <w:ind w:firstLine="212" w:firstLineChars="100"/>
        <w:jc w:val="left"/>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36．错误修正的原则</w:t>
      </w:r>
    </w:p>
    <w:p w14:paraId="03CB1229">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电子交易平台客户端里开标一览表录入的投标报价或优惠率与扫描上传的报价文件信息不一致的，以扫描上传的报价文件信息为准进行修正。</w:t>
      </w:r>
    </w:p>
    <w:p w14:paraId="40F5E2A3">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投标文件报价出现前后不一致的，除采购文件另有规定外，按照下列规定修正：</w:t>
      </w:r>
    </w:p>
    <w:p w14:paraId="24DE839E">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36.1 投标函中表述的内容与报价表中不一致的，以报价表为准；报价表中的内容与报价明细表不一致的，以报价表为准；</w:t>
      </w:r>
    </w:p>
    <w:p w14:paraId="4F010805">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36.2 投标文件中的大写金额和小写金额不一致的，以大写金额为准；</w:t>
      </w:r>
    </w:p>
    <w:p w14:paraId="17968FBD">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36.3 单价金额小数点或者百分比有明显错位的，以开标一览表的总价为准，并修改单价；</w:t>
      </w:r>
    </w:p>
    <w:p w14:paraId="7D8FD6C3">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36.4 总价金额与按单价汇总金额不一致的，以单价金额计算结果为准；</w:t>
      </w:r>
    </w:p>
    <w:p w14:paraId="2B93D702">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36.5 若用文字表示的数值与用数字表示的数值不一致，以文字表示的数值为准；</w:t>
      </w:r>
    </w:p>
    <w:p w14:paraId="2BD94C36">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36.6 如有多报（指数量超出采购文件需求）、重报（指同一货物重复报价），其投标总价在评标过程中不予调整，如其中标，其合同价按其投标单价予以调整；</w:t>
      </w:r>
    </w:p>
    <w:p w14:paraId="1E7A4790">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36.7 对不同文字文本投标文件的解释发生异议的，以中文文本为准；</w:t>
      </w:r>
    </w:p>
    <w:p w14:paraId="060140D0">
      <w:pPr>
        <w:shd w:val="clear" w:color="auto" w:fill="auto"/>
        <w:spacing w:line="440" w:lineRule="exact"/>
        <w:ind w:firstLine="212" w:firstLineChars="100"/>
        <w:jc w:val="left"/>
        <w:rPr>
          <w:rFonts w:hint="eastAsia" w:ascii="宋体"/>
          <w:b/>
          <w:bCs/>
          <w:color w:val="auto"/>
          <w:szCs w:val="21"/>
          <w:highlight w:val="none"/>
          <w:lang w:val="en-US" w:eastAsia="zh-CN"/>
        </w:rPr>
      </w:pPr>
      <w:r>
        <w:rPr>
          <w:rFonts w:hint="eastAsia" w:ascii="宋体"/>
          <w:b w:val="0"/>
          <w:bCs w:val="0"/>
          <w:color w:val="auto"/>
          <w:szCs w:val="21"/>
          <w:highlight w:val="none"/>
          <w:lang w:val="en-US" w:eastAsia="zh-CN"/>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w:t>
      </w:r>
      <w:r>
        <w:rPr>
          <w:rFonts w:hint="eastAsia" w:ascii="宋体"/>
          <w:b/>
          <w:bCs/>
          <w:color w:val="auto"/>
          <w:szCs w:val="21"/>
          <w:highlight w:val="none"/>
          <w:lang w:val="en-US" w:eastAsia="zh-CN"/>
        </w:rPr>
        <w:t>修正应当采用电子询标的形式，并加盖公章（电子印章）。</w:t>
      </w:r>
    </w:p>
    <w:p w14:paraId="1EC98D70">
      <w:pPr>
        <w:shd w:val="clear" w:color="auto" w:fill="auto"/>
        <w:spacing w:line="440" w:lineRule="exact"/>
        <w:ind w:firstLine="212" w:firstLineChars="100"/>
        <w:jc w:val="left"/>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37．无效投标文件</w:t>
      </w:r>
    </w:p>
    <w:p w14:paraId="3B5C187B">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有下列情形之一的，投标文件按无效标处理：</w:t>
      </w:r>
    </w:p>
    <w:p w14:paraId="029E8F85">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37.1 报名的投标人与参加投标的投标人发生实质性变更的且未提供有效证明的；</w:t>
      </w:r>
    </w:p>
    <w:p w14:paraId="53FB55DD">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37.2投标人提交两份或两份以上内容不同的投标文件，未声明哪一份有效的；</w:t>
      </w:r>
    </w:p>
    <w:p w14:paraId="0C2AA100">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37.3 投标文件非投标人法定代表人签署的，未提供或提供无效的法定代表人授权书；</w:t>
      </w:r>
    </w:p>
    <w:p w14:paraId="02BAE667">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37.4 未按招标文件规定装订；</w:t>
      </w:r>
    </w:p>
    <w:p w14:paraId="292CECED">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37.5 投标文件内容未按招标文件规定签字或盖章的；</w:t>
      </w:r>
    </w:p>
    <w:p w14:paraId="614AFE80">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37.6 投标文件组成漏项或未按规定的格式编制或投标文件正、副本份数不足或内容不全或内容字迹模糊辨认不清的等而导致评标活动无法正常进行；</w:t>
      </w:r>
    </w:p>
    <w:p w14:paraId="1AA843EB">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37.7 投标人未按招标文件变更通知更改投标文件的；</w:t>
      </w:r>
    </w:p>
    <w:p w14:paraId="0675EF73">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37.8 《开标一览表</w:t>
      </w:r>
      <w:r>
        <w:rPr>
          <w:rFonts w:hint="eastAsia" w:ascii="宋体" w:hAnsi="Times New Roman" w:eastAsia="宋体" w:cs="Times New Roman"/>
          <w:b w:val="0"/>
          <w:bCs w:val="0"/>
          <w:color w:val="auto"/>
          <w:szCs w:val="21"/>
          <w:highlight w:val="none"/>
          <w:lang w:val="en-US" w:eastAsia="zh-CN"/>
        </w:rPr>
        <w:t>》和《投标分项报价表》内容不完</w:t>
      </w:r>
      <w:r>
        <w:rPr>
          <w:rFonts w:hint="eastAsia" w:ascii="宋体"/>
          <w:b w:val="0"/>
          <w:bCs w:val="0"/>
          <w:color w:val="auto"/>
          <w:szCs w:val="21"/>
          <w:highlight w:val="none"/>
          <w:lang w:val="en-US" w:eastAsia="zh-CN"/>
        </w:rPr>
        <w:t>整且不接受修正意见或字迹不能辨认的或未提供；</w:t>
      </w:r>
    </w:p>
    <w:p w14:paraId="4ED153AC">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37.9 标项投标报价超过招标文件规定的预算金额或最高限价</w:t>
      </w:r>
    </w:p>
    <w:p w14:paraId="15EEE98A">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37.10 因投标人原因编制错误造成经评标委员会修正后的报价达到或超过投标报价的0.5%；</w:t>
      </w:r>
    </w:p>
    <w:p w14:paraId="7EE24E23">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37.11 投标人的报价明显低于其他通过符合性审查投标人的报价，有可能影响产品质量或者不能诚信履约的，且在规定时间内不能合理说明原因并提供证明材料的；</w:t>
      </w:r>
    </w:p>
    <w:p w14:paraId="69BE79E2">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37.12 未实质性响应招标文件中条款要求的投标文件；</w:t>
      </w:r>
    </w:p>
    <w:p w14:paraId="6C0A3419">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37.13 不符合招标范围、技术规格、技术标准的要求无法满足采购人使用要求；</w:t>
      </w:r>
    </w:p>
    <w:p w14:paraId="09F5924C">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37.14 投标文件附有采购人不能接受的条款；</w:t>
      </w:r>
    </w:p>
    <w:p w14:paraId="5D9779C6">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37.15 投标文件中提供了赠品或者与本项目采购无关的其他商品、服务；</w:t>
      </w:r>
    </w:p>
    <w:p w14:paraId="35CA44DF">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37.16 投标文件中承诺的投标有效期少于招标文件中载明的投标有效期；</w:t>
      </w:r>
    </w:p>
    <w:p w14:paraId="69932B9A">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37.17投标人串通投标，妨碍其他投标人的竞争行为，损害采购人或者其他投标人的合法权益；</w:t>
      </w:r>
    </w:p>
    <w:p w14:paraId="5F6BA96F">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37.18违反国家及政府部门相关法律、法规、文件规定或经评标委员会认定的其他属于重大偏离；</w:t>
      </w:r>
    </w:p>
    <w:p w14:paraId="6DF15A87">
      <w:pPr>
        <w:shd w:val="clear" w:color="auto" w:fill="auto"/>
        <w:spacing w:line="440" w:lineRule="exact"/>
        <w:ind w:firstLine="212" w:firstLineChars="100"/>
        <w:jc w:val="left"/>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38．废标</w:t>
      </w:r>
    </w:p>
    <w:p w14:paraId="03328AC9">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38.1 符合招标文件规定废标情形的；</w:t>
      </w:r>
    </w:p>
    <w:p w14:paraId="65731240">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38.2 出现影响采购公正的违法、违规行为的；</w:t>
      </w:r>
    </w:p>
    <w:p w14:paraId="3489A814">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38.3 供应商的报价均超过了采购预算（或最高限价），采购人不能支付的;</w:t>
      </w:r>
    </w:p>
    <w:p w14:paraId="5EDB77E5">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38.4 因重大变故，采购任务取消的。</w:t>
      </w:r>
    </w:p>
    <w:p w14:paraId="0FC7C451">
      <w:pPr>
        <w:shd w:val="clear" w:color="auto" w:fill="auto"/>
        <w:spacing w:line="440" w:lineRule="exact"/>
        <w:ind w:firstLine="212" w:firstLineChars="100"/>
        <w:jc w:val="left"/>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39．突发情况处理</w:t>
      </w:r>
    </w:p>
    <w:p w14:paraId="6E02597D">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39.1 采购过程中出现以下情形，导致电子交易平台无法正常运行，或者无法保证电子交易的公平、公正和安全时，采购组织机构可中止电子交易活动：</w:t>
      </w:r>
    </w:p>
    <w:p w14:paraId="61F98EAD">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 xml:space="preserve">（1）电子交易平台发生故障而无法登录访问的； </w:t>
      </w:r>
    </w:p>
    <w:p w14:paraId="41D403F5">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（2）电子交易平台应用或数据库出现错误，不能进行正常操作的；</w:t>
      </w:r>
    </w:p>
    <w:p w14:paraId="68440699">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（3）电子交易平台发现严重安全漏洞，有潜在泄密危险的；</w:t>
      </w:r>
    </w:p>
    <w:p w14:paraId="1869FB77">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 xml:space="preserve">（4）病毒发作导致不能进行正常操作的； </w:t>
      </w:r>
    </w:p>
    <w:p w14:paraId="0F6CE5E8">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（5）其他无法保证电子交易的公平、公正和安全的情况。</w:t>
      </w:r>
    </w:p>
    <w:p w14:paraId="73B38B28">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出现前款规定情形，不影响采购公平、公正性的，采购组织机构可以待上述情形消除后继续组织电子交易活动，也可以决定某些环节以纸质形式进行；影响或可能影响采购公平、公正性的，应当重新采购。</w:t>
      </w:r>
    </w:p>
    <w:p w14:paraId="711CBC64">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39.2 采购代理机构或评审小组因不可抗力（不可抗力包括但不限于自然灾害、断电、传播疫病等）原因造成电子交易活动无法正常运行的，将采取以下措施：</w:t>
      </w:r>
    </w:p>
    <w:p w14:paraId="4D5F9352">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（1）短时间内能消除不可抗力因素的，采购代理机构或评审小组在消除不可抗力因素后继续组织电子交易活动；</w:t>
      </w:r>
    </w:p>
    <w:p w14:paraId="0CF617C2">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（2）长时间内无法消除不可抗力因素的，采购代理机构或评审小组将中止电子交易活动。中止电子交易活动的，采购人应当重新组织政府采购活动。</w:t>
      </w:r>
    </w:p>
    <w:p w14:paraId="65367AE3">
      <w:pPr>
        <w:shd w:val="clear" w:color="auto" w:fill="auto"/>
        <w:spacing w:line="440" w:lineRule="exact"/>
        <w:ind w:firstLine="212" w:firstLineChars="100"/>
        <w:jc w:val="left"/>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40.定标</w:t>
      </w:r>
    </w:p>
    <w:p w14:paraId="5230FC28">
      <w:pPr>
        <w:shd w:val="clear" w:color="auto" w:fill="auto"/>
        <w:spacing w:line="440" w:lineRule="exact"/>
        <w:ind w:firstLine="424" w:firstLineChars="200"/>
        <w:jc w:val="left"/>
        <w:rPr>
          <w:rFonts w:hint="eastAsia" w:ascii="宋体"/>
          <w:b w:val="0"/>
          <w:bCs w:val="0"/>
          <w:color w:val="auto"/>
          <w:szCs w:val="21"/>
          <w:highlight w:val="none"/>
          <w:lang w:val="en-US" w:eastAsia="zh-CN"/>
        </w:rPr>
      </w:pPr>
      <w:bookmarkStart w:id="42" w:name="_Toc469495729"/>
      <w:r>
        <w:rPr>
          <w:rFonts w:hint="eastAsia" w:ascii="宋体"/>
          <w:b w:val="0"/>
          <w:bCs w:val="0"/>
          <w:color w:val="auto"/>
          <w:szCs w:val="21"/>
          <w:highlight w:val="none"/>
          <w:lang w:val="en-US" w:eastAsia="zh-CN"/>
        </w:rPr>
        <w:t>4</w:t>
      </w:r>
      <w:r>
        <w:rPr>
          <w:rFonts w:hint="eastAsia" w:ascii="宋体" w:hAnsi="宋体" w:eastAsia="宋体" w:cs="宋体"/>
          <w:b/>
          <w:color w:val="auto"/>
          <w:sz w:val="21"/>
          <w:szCs w:val="21"/>
          <w:highlight w:val="none"/>
          <w:lang w:val="en-US" w:eastAsia="zh-CN"/>
        </w:rPr>
        <w:t>0</w:t>
      </w:r>
      <w:r>
        <w:rPr>
          <w:rFonts w:hint="eastAsia" w:ascii="宋体"/>
          <w:b w:val="0"/>
          <w:bCs w:val="0"/>
          <w:color w:val="auto"/>
          <w:szCs w:val="21"/>
          <w:highlight w:val="none"/>
          <w:lang w:val="en-US" w:eastAsia="zh-CN"/>
        </w:rPr>
        <w:t>.1采购结果确认（确定中标供应商）</w:t>
      </w:r>
    </w:p>
    <w:p w14:paraId="21253A1F">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采购结果确认（确定中标供应商）：本项目由采购人根据评标委员会提交的《评审报告》，通过“政府采购云平台”依法确认采购结果、确定中标供应商。具体流程如下：</w:t>
      </w:r>
    </w:p>
    <w:p w14:paraId="7ECE75D0">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（1）采购代理机构将在评审结束后2个工作日内将评审报告送采购人。</w:t>
      </w:r>
    </w:p>
    <w:p w14:paraId="3673AC99">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 xml:space="preserve">（2）采购人将在收到评审报告之日起5个工作日内，在评审报告推荐的中标候选供应商名单中按顺序确定中标供应商，并将确认意见以书面形式回复采购代理机构。 </w:t>
      </w:r>
    </w:p>
    <w:p w14:paraId="057C6085">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40.2</w:t>
      </w:r>
      <w:r>
        <w:rPr>
          <w:rFonts w:hint="eastAsia" w:ascii="宋体"/>
          <w:b/>
          <w:bCs/>
          <w:color w:val="auto"/>
          <w:szCs w:val="21"/>
          <w:highlight w:val="none"/>
          <w:lang w:val="en-US" w:eastAsia="zh-CN"/>
        </w:rPr>
        <w:t>采购结果经采购人确认后2个工作日内，采购代理机构将在新疆政府采购网（www.zjzfcg.gov.cn）、克州公共资源交易网上公告采购结果，中标公告期限为1个工作日。</w:t>
      </w:r>
    </w:p>
    <w:p w14:paraId="403E5CB5">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41. 中标通知书</w:t>
      </w:r>
    </w:p>
    <w:p w14:paraId="7AA9F616">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41.1</w:t>
      </w:r>
      <w:r>
        <w:rPr>
          <w:rFonts w:hint="eastAsia" w:ascii="宋体" w:hAnsi="宋体" w:eastAsia="宋体" w:cs="宋体"/>
          <w:color w:val="auto"/>
          <w:szCs w:val="21"/>
          <w:highlight w:val="none"/>
        </w:rPr>
        <w:t>在</w:t>
      </w:r>
      <w:r>
        <w:rPr>
          <w:rFonts w:hint="eastAsia" w:ascii="宋体" w:hAnsi="宋体" w:eastAsia="宋体" w:cs="宋体"/>
          <w:color w:val="auto"/>
          <w:szCs w:val="21"/>
          <w:highlight w:val="none"/>
          <w:lang w:eastAsia="zh-CN"/>
        </w:rPr>
        <w:t>中标</w:t>
      </w:r>
      <w:r>
        <w:rPr>
          <w:rFonts w:hint="eastAsia" w:ascii="宋体" w:hAnsi="宋体" w:eastAsia="宋体" w:cs="宋体"/>
          <w:color w:val="auto"/>
          <w:szCs w:val="21"/>
          <w:highlight w:val="none"/>
        </w:rPr>
        <w:t>通知书发出前，招标人将</w:t>
      </w:r>
      <w:r>
        <w:rPr>
          <w:rFonts w:hint="eastAsia" w:ascii="宋体" w:hAnsi="宋体" w:eastAsia="宋体" w:cs="宋体"/>
          <w:color w:val="auto"/>
          <w:szCs w:val="21"/>
          <w:highlight w:val="none"/>
          <w:lang w:eastAsia="zh-CN"/>
        </w:rPr>
        <w:t>中标</w:t>
      </w:r>
      <w:r>
        <w:rPr>
          <w:rFonts w:hint="eastAsia" w:ascii="宋体" w:hAnsi="宋体" w:eastAsia="宋体" w:cs="宋体"/>
          <w:color w:val="auto"/>
          <w:szCs w:val="21"/>
          <w:highlight w:val="none"/>
        </w:rPr>
        <w:t>侯选人的情况在</w:t>
      </w:r>
      <w:r>
        <w:rPr>
          <w:rFonts w:hint="eastAsia" w:ascii="宋体" w:hAnsi="宋体" w:eastAsia="宋体" w:cs="宋体"/>
          <w:color w:val="auto"/>
          <w:szCs w:val="21"/>
          <w:highlight w:val="none"/>
          <w:lang w:eastAsia="zh-CN"/>
        </w:rPr>
        <w:t>新疆政府采购网、</w:t>
      </w:r>
      <w:r>
        <w:rPr>
          <w:rFonts w:hint="eastAsia" w:ascii="宋体" w:hAnsi="宋体" w:eastAsia="宋体" w:cs="宋体"/>
          <w:color w:val="auto"/>
          <w:szCs w:val="21"/>
          <w:highlight w:val="none"/>
          <w:lang w:val="en-US" w:eastAsia="zh-CN"/>
        </w:rPr>
        <w:t>克州公共资源交易网</w:t>
      </w:r>
      <w:r>
        <w:rPr>
          <w:rFonts w:hint="eastAsia" w:ascii="宋体" w:hAnsi="宋体" w:eastAsia="宋体" w:cs="宋体"/>
          <w:color w:val="auto"/>
          <w:szCs w:val="21"/>
          <w:highlight w:val="none"/>
        </w:rPr>
        <w:t>予以公示，</w:t>
      </w:r>
      <w:r>
        <w:rPr>
          <w:rFonts w:hint="eastAsia" w:ascii="宋体" w:hAnsi="宋体" w:eastAsia="宋体" w:cs="宋体"/>
          <w:b/>
          <w:bCs/>
          <w:color w:val="auto"/>
          <w:szCs w:val="21"/>
          <w:highlight w:val="none"/>
        </w:rPr>
        <w:t>公示期为</w:t>
      </w:r>
      <w:r>
        <w:rPr>
          <w:rFonts w:hint="eastAsia" w:ascii="宋体" w:hAnsi="宋体" w:eastAsia="宋体" w:cs="宋体"/>
          <w:b/>
          <w:bCs/>
          <w:color w:val="auto"/>
          <w:szCs w:val="21"/>
          <w:highlight w:val="none"/>
          <w:lang w:eastAsia="zh-CN"/>
        </w:rPr>
        <w:t>一</w:t>
      </w:r>
      <w:r>
        <w:rPr>
          <w:rFonts w:hint="eastAsia" w:ascii="宋体" w:hAnsi="宋体" w:eastAsia="宋体" w:cs="宋体"/>
          <w:b/>
          <w:bCs/>
          <w:color w:val="auto"/>
          <w:szCs w:val="21"/>
          <w:highlight w:val="none"/>
        </w:rPr>
        <w:t>个工作日。</w:t>
      </w:r>
      <w:r>
        <w:rPr>
          <w:rFonts w:hint="eastAsia" w:ascii="宋体" w:hAnsi="宋体" w:eastAsia="宋体" w:cs="宋体"/>
          <w:b/>
          <w:bCs/>
          <w:color w:val="auto"/>
          <w:szCs w:val="21"/>
          <w:highlight w:val="none"/>
          <w:lang w:eastAsia="zh-CN"/>
        </w:rPr>
        <w:t>待公示期结束后，</w:t>
      </w:r>
      <w:r>
        <w:rPr>
          <w:rFonts w:hint="eastAsia" w:ascii="宋体"/>
          <w:b/>
          <w:bCs/>
          <w:color w:val="auto"/>
          <w:szCs w:val="21"/>
          <w:highlight w:val="none"/>
          <w:lang w:val="en-US" w:eastAsia="zh-CN"/>
        </w:rPr>
        <w:t>采购组织机构向中标人发出中标通知书。</w:t>
      </w:r>
    </w:p>
    <w:p w14:paraId="3F7B15C6">
      <w:pPr>
        <w:shd w:val="clear" w:color="auto" w:fill="auto"/>
        <w:spacing w:line="440" w:lineRule="exact"/>
        <w:ind w:firstLine="212" w:firstLineChars="100"/>
        <w:jc w:val="left"/>
        <w:rPr>
          <w:rFonts w:hint="eastAsia"/>
          <w:color w:val="auto"/>
          <w:highlight w:val="none"/>
        </w:rPr>
      </w:pPr>
      <w:r>
        <w:rPr>
          <w:rFonts w:hint="eastAsia" w:ascii="宋体"/>
          <w:b w:val="0"/>
          <w:bCs w:val="0"/>
          <w:color w:val="auto"/>
          <w:szCs w:val="21"/>
          <w:highlight w:val="none"/>
          <w:lang w:val="en-US" w:eastAsia="zh-CN"/>
        </w:rPr>
        <w:t>41.2中标通知书作为签订合同的重要依据，对采购人和中标供应商均具有法律效力。采购人改变中标结果或者中标供应商放弃中标项目的都应承担法律责任。中标供应商不得向他人转让中标项目，也不得将中标项目肢解后分别向他人转让。</w:t>
      </w:r>
      <w:bookmarkStart w:id="43" w:name="_Toc9389"/>
    </w:p>
    <w:p w14:paraId="0F85EFCF">
      <w:pPr>
        <w:shd w:val="clear" w:color="auto" w:fill="auto"/>
        <w:spacing w:before="156" w:beforeLines="50" w:line="440" w:lineRule="exact"/>
        <w:ind w:firstLine="3102" w:firstLineChars="1100"/>
        <w:jc w:val="both"/>
        <w:outlineLvl w:val="2"/>
        <w:rPr>
          <w:rFonts w:hint="eastAsia" w:ascii="黑体" w:eastAsia="黑体"/>
          <w:color w:val="auto"/>
          <w:sz w:val="24"/>
          <w:highlight w:val="none"/>
        </w:rPr>
      </w:pPr>
      <w:r>
        <w:rPr>
          <w:rFonts w:hint="eastAsia" w:ascii="黑体" w:eastAsia="黑体"/>
          <w:color w:val="auto"/>
          <w:sz w:val="28"/>
          <w:szCs w:val="28"/>
          <w:highlight w:val="none"/>
        </w:rPr>
        <w:t>（六）合同的授予</w:t>
      </w:r>
      <w:bookmarkEnd w:id="42"/>
      <w:bookmarkEnd w:id="43"/>
    </w:p>
    <w:p w14:paraId="3073F26F">
      <w:pPr>
        <w:shd w:val="clear" w:color="auto" w:fill="auto"/>
        <w:spacing w:line="440" w:lineRule="exact"/>
        <w:ind w:firstLine="212" w:firstLineChars="100"/>
        <w:jc w:val="left"/>
        <w:rPr>
          <w:rFonts w:hint="eastAsia" w:ascii="宋体"/>
          <w:b w:val="0"/>
          <w:bCs w:val="0"/>
          <w:color w:val="auto"/>
          <w:szCs w:val="21"/>
          <w:highlight w:val="none"/>
          <w:lang w:val="en-US" w:eastAsia="zh-CN"/>
        </w:rPr>
      </w:pPr>
      <w:bookmarkStart w:id="44" w:name="_Toc73975842"/>
      <w:bookmarkStart w:id="45" w:name="_Toc469495730"/>
      <w:r>
        <w:rPr>
          <w:rFonts w:hint="eastAsia" w:ascii="宋体"/>
          <w:b w:val="0"/>
          <w:bCs w:val="0"/>
          <w:color w:val="auto"/>
          <w:szCs w:val="21"/>
          <w:highlight w:val="none"/>
          <w:lang w:val="en-US" w:eastAsia="zh-CN"/>
        </w:rPr>
        <w:t>42．履约保证金</w:t>
      </w:r>
      <w:bookmarkEnd w:id="44"/>
    </w:p>
    <w:p w14:paraId="32535C69">
      <w:pPr>
        <w:widowControl/>
        <w:spacing w:line="440" w:lineRule="exact"/>
        <w:ind w:firstLine="212" w:firstLineChars="100"/>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42.1 中标供应商在签订合同后5个工作日内向采购人交纳中标价</w:t>
      </w:r>
      <w:r>
        <w:rPr>
          <w:rFonts w:hint="eastAsia" w:ascii="宋体"/>
          <w:b/>
          <w:bCs/>
          <w:color w:val="auto"/>
          <w:szCs w:val="21"/>
          <w:highlight w:val="none"/>
          <w:lang w:val="en-US" w:eastAsia="zh-CN"/>
        </w:rPr>
        <w:t>2%的履约保证金</w:t>
      </w:r>
      <w:r>
        <w:rPr>
          <w:rFonts w:hint="eastAsia" w:ascii="宋体"/>
          <w:b w:val="0"/>
          <w:bCs w:val="0"/>
          <w:color w:val="auto"/>
          <w:szCs w:val="21"/>
          <w:highlight w:val="none"/>
          <w:lang w:val="en-US" w:eastAsia="zh-CN"/>
        </w:rPr>
        <w:t>（</w:t>
      </w:r>
      <w:r>
        <w:rPr>
          <w:rFonts w:hint="eastAsia" w:ascii="宋体" w:hAnsi="宋体" w:cs="宋体"/>
          <w:color w:val="auto"/>
          <w:kern w:val="0"/>
          <w:szCs w:val="21"/>
          <w:highlight w:val="none"/>
          <w:lang w:eastAsia="zh-CN"/>
        </w:rPr>
        <w:t>本项目履约保证金接收保函形式</w:t>
      </w:r>
      <w:r>
        <w:rPr>
          <w:rFonts w:hint="eastAsia" w:ascii="宋体"/>
          <w:b w:val="0"/>
          <w:bCs w:val="0"/>
          <w:color w:val="auto"/>
          <w:szCs w:val="21"/>
          <w:highlight w:val="none"/>
          <w:lang w:val="en-US" w:eastAsia="zh-CN"/>
        </w:rPr>
        <w:t>；若以电汇、银行转账方式提交的，必须转到采购人的指定账户）。</w:t>
      </w:r>
    </w:p>
    <w:p w14:paraId="7E80D80E">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42.2 签订合同后，如中标供应商不按合同约定履约的，履约保证金不予退还，履约保证金不足以赔偿损失的，按实际损失赔偿。</w:t>
      </w:r>
    </w:p>
    <w:p w14:paraId="75CD125B">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42.3 如果中标供应商在供货期内没有涉及采购人的应付而未付金额或违约行为，采购人在项目验收合格后或提前终止合同后全额无息退还履约保证金。</w:t>
      </w:r>
    </w:p>
    <w:p w14:paraId="285128D4">
      <w:pPr>
        <w:shd w:val="clear" w:color="auto" w:fill="auto"/>
        <w:spacing w:line="440" w:lineRule="exact"/>
        <w:ind w:firstLine="212" w:firstLineChars="100"/>
        <w:jc w:val="left"/>
        <w:rPr>
          <w:rFonts w:hint="eastAsia" w:ascii="宋体"/>
          <w:b w:val="0"/>
          <w:bCs w:val="0"/>
          <w:color w:val="auto"/>
          <w:szCs w:val="21"/>
          <w:highlight w:val="none"/>
          <w:lang w:val="en-US" w:eastAsia="zh-CN"/>
        </w:rPr>
      </w:pPr>
      <w:bookmarkStart w:id="46" w:name="_Toc73975843"/>
      <w:r>
        <w:rPr>
          <w:rFonts w:hint="eastAsia" w:ascii="宋体"/>
          <w:b w:val="0"/>
          <w:bCs w:val="0"/>
          <w:color w:val="auto"/>
          <w:szCs w:val="21"/>
          <w:highlight w:val="none"/>
          <w:lang w:val="en-US" w:eastAsia="zh-CN"/>
        </w:rPr>
        <w:t>43．签订合同及公告</w:t>
      </w:r>
      <w:bookmarkEnd w:id="46"/>
    </w:p>
    <w:p w14:paraId="03FE79D6">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43.1采购人在中标通知书发出之日起30日内与中标供应商签订合同。</w:t>
      </w:r>
    </w:p>
    <w:p w14:paraId="7D9B4667">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43.2中标供应商拖延、拒签合同的,取消中标资格。</w:t>
      </w:r>
    </w:p>
    <w:p w14:paraId="1E472C3B">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43.3 采购文件、中标供应商的投标文件及评标过程中有关澄清文件等均作为签订合同的依据。所签订的合同不得对采购文件和中标供应商的投标文件的内容作实质性修改。</w:t>
      </w:r>
    </w:p>
    <w:p w14:paraId="1E2ED886">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43.4采购人应当自政府采购合同签订之日起2个工作日内，在省级以上财政部门指定的政府采购信息发布媒体及相关网站上公告。</w:t>
      </w:r>
    </w:p>
    <w:p w14:paraId="7693D17A">
      <w:pPr>
        <w:shd w:val="clear" w:color="auto" w:fill="auto"/>
        <w:spacing w:line="440" w:lineRule="exact"/>
        <w:ind w:firstLine="212" w:firstLineChars="100"/>
        <w:jc w:val="left"/>
        <w:rPr>
          <w:rFonts w:hint="eastAsia" w:ascii="黑体" w:eastAsia="黑体"/>
          <w:color w:val="auto"/>
          <w:sz w:val="28"/>
          <w:szCs w:val="28"/>
          <w:highlight w:val="none"/>
        </w:rPr>
      </w:pPr>
      <w:r>
        <w:rPr>
          <w:rFonts w:hint="eastAsia" w:ascii="宋体"/>
          <w:b w:val="0"/>
          <w:bCs w:val="0"/>
          <w:color w:val="auto"/>
          <w:szCs w:val="21"/>
          <w:highlight w:val="none"/>
          <w:lang w:val="en-US" w:eastAsia="zh-CN"/>
        </w:rPr>
        <w:t>43.5采购人应当自政府采购合同签订之日起7个工作日内，将政府采购合同副本报同级人民政府财政部门备案以及采购代理机构存档。</w:t>
      </w:r>
      <w:bookmarkStart w:id="47" w:name="_Toc12698"/>
    </w:p>
    <w:p w14:paraId="2D3DFF58">
      <w:pPr>
        <w:shd w:val="clear" w:color="auto" w:fill="auto"/>
        <w:adjustRightInd w:val="0"/>
        <w:snapToGrid w:val="0"/>
        <w:spacing w:line="440" w:lineRule="exact"/>
        <w:jc w:val="center"/>
        <w:outlineLvl w:val="2"/>
        <w:rPr>
          <w:rFonts w:hint="eastAsia" w:ascii="黑体" w:eastAsia="黑体"/>
          <w:color w:val="auto"/>
          <w:sz w:val="28"/>
          <w:szCs w:val="28"/>
          <w:highlight w:val="none"/>
        </w:rPr>
      </w:pPr>
    </w:p>
    <w:p w14:paraId="5C963A8A">
      <w:pPr>
        <w:shd w:val="clear" w:color="auto" w:fill="auto"/>
        <w:adjustRightInd w:val="0"/>
        <w:snapToGrid w:val="0"/>
        <w:spacing w:line="440" w:lineRule="exact"/>
        <w:jc w:val="center"/>
        <w:outlineLvl w:val="2"/>
        <w:rPr>
          <w:rFonts w:hint="eastAsia" w:ascii="黑体" w:eastAsia="黑体"/>
          <w:color w:val="auto"/>
          <w:sz w:val="28"/>
          <w:szCs w:val="28"/>
          <w:highlight w:val="none"/>
        </w:rPr>
      </w:pPr>
      <w:r>
        <w:rPr>
          <w:rFonts w:hint="eastAsia" w:ascii="黑体" w:eastAsia="黑体"/>
          <w:color w:val="auto"/>
          <w:sz w:val="28"/>
          <w:szCs w:val="28"/>
          <w:highlight w:val="none"/>
        </w:rPr>
        <w:t>（七）纪律和监督</w:t>
      </w:r>
      <w:bookmarkEnd w:id="45"/>
      <w:bookmarkEnd w:id="47"/>
    </w:p>
    <w:p w14:paraId="6F748106">
      <w:pPr>
        <w:shd w:val="clear" w:color="auto" w:fill="auto"/>
        <w:spacing w:line="440" w:lineRule="exact"/>
        <w:ind w:firstLine="310" w:firstLineChars="147"/>
        <w:jc w:val="left"/>
        <w:rPr>
          <w:rFonts w:hint="eastAsia" w:ascii="宋体"/>
          <w:b/>
          <w:color w:val="auto"/>
          <w:szCs w:val="21"/>
          <w:highlight w:val="none"/>
        </w:rPr>
      </w:pPr>
      <w:r>
        <w:rPr>
          <w:rFonts w:hint="eastAsia" w:ascii="宋体"/>
          <w:b/>
          <w:color w:val="auto"/>
          <w:szCs w:val="21"/>
          <w:highlight w:val="none"/>
          <w:lang w:val="en-US" w:eastAsia="zh-CN"/>
        </w:rPr>
        <w:t>44</w:t>
      </w:r>
      <w:r>
        <w:rPr>
          <w:rFonts w:hint="eastAsia" w:ascii="宋体"/>
          <w:b/>
          <w:color w:val="auto"/>
          <w:szCs w:val="21"/>
          <w:highlight w:val="none"/>
        </w:rPr>
        <w:t xml:space="preserve">. 对招标人的纪律要求 </w:t>
      </w:r>
    </w:p>
    <w:p w14:paraId="73DD9C3E">
      <w:pPr>
        <w:shd w:val="clear" w:color="auto" w:fill="auto"/>
        <w:adjustRightInd w:val="0"/>
        <w:snapToGrid w:val="0"/>
        <w:spacing w:line="440" w:lineRule="exact"/>
        <w:ind w:firstLine="318" w:firstLineChars="150"/>
        <w:rPr>
          <w:rFonts w:hint="eastAsia" w:ascii="宋体"/>
          <w:color w:val="auto"/>
          <w:kern w:val="10"/>
          <w:szCs w:val="21"/>
          <w:highlight w:val="none"/>
        </w:rPr>
      </w:pPr>
      <w:r>
        <w:rPr>
          <w:rFonts w:hint="eastAsia" w:ascii="宋体"/>
          <w:color w:val="auto"/>
          <w:kern w:val="10"/>
          <w:szCs w:val="21"/>
          <w:highlight w:val="none"/>
          <w:lang w:val="en-US" w:eastAsia="zh-CN"/>
        </w:rPr>
        <w:t>44</w:t>
      </w:r>
      <w:r>
        <w:rPr>
          <w:rFonts w:hint="eastAsia" w:ascii="宋体"/>
          <w:color w:val="auto"/>
          <w:kern w:val="10"/>
          <w:szCs w:val="21"/>
          <w:highlight w:val="none"/>
        </w:rPr>
        <w:t xml:space="preserve">.1招标人不得泄漏招标投标活动中应当保密的情况和资料，不得与投标人串通损害国家利益，社会公共利益或者他人合法权益。 </w:t>
      </w:r>
    </w:p>
    <w:p w14:paraId="4570D5D2">
      <w:pPr>
        <w:shd w:val="clear" w:color="auto" w:fill="auto"/>
        <w:spacing w:line="440" w:lineRule="exact"/>
        <w:ind w:firstLine="310" w:firstLineChars="147"/>
        <w:jc w:val="left"/>
        <w:rPr>
          <w:rFonts w:hint="eastAsia" w:ascii="宋体"/>
          <w:b/>
          <w:color w:val="auto"/>
          <w:szCs w:val="21"/>
          <w:highlight w:val="none"/>
        </w:rPr>
      </w:pPr>
      <w:r>
        <w:rPr>
          <w:rFonts w:hint="eastAsia" w:ascii="宋体"/>
          <w:b/>
          <w:color w:val="auto"/>
          <w:szCs w:val="21"/>
          <w:highlight w:val="none"/>
          <w:lang w:val="en-US" w:eastAsia="zh-CN"/>
        </w:rPr>
        <w:t>45</w:t>
      </w:r>
      <w:r>
        <w:rPr>
          <w:rFonts w:hint="eastAsia" w:ascii="宋体"/>
          <w:b/>
          <w:color w:val="auto"/>
          <w:szCs w:val="21"/>
          <w:highlight w:val="none"/>
        </w:rPr>
        <w:t xml:space="preserve">. 对投标人的纪律要求 </w:t>
      </w:r>
    </w:p>
    <w:p w14:paraId="20535E50">
      <w:pPr>
        <w:shd w:val="clear" w:color="auto" w:fill="auto"/>
        <w:adjustRightInd w:val="0"/>
        <w:snapToGrid w:val="0"/>
        <w:spacing w:line="440" w:lineRule="exact"/>
        <w:ind w:firstLine="318" w:firstLineChars="150"/>
        <w:rPr>
          <w:rFonts w:hint="eastAsia" w:ascii="宋体"/>
          <w:color w:val="auto"/>
          <w:kern w:val="10"/>
          <w:szCs w:val="21"/>
          <w:highlight w:val="none"/>
        </w:rPr>
      </w:pPr>
      <w:r>
        <w:rPr>
          <w:rFonts w:hint="eastAsia" w:ascii="宋体"/>
          <w:color w:val="auto"/>
          <w:kern w:val="10"/>
          <w:szCs w:val="21"/>
          <w:highlight w:val="none"/>
          <w:lang w:val="en-US" w:eastAsia="zh-CN"/>
        </w:rPr>
        <w:t>45</w:t>
      </w:r>
      <w:r>
        <w:rPr>
          <w:rFonts w:hint="eastAsia" w:ascii="宋体"/>
          <w:color w:val="auto"/>
          <w:kern w:val="10"/>
          <w:szCs w:val="21"/>
          <w:highlight w:val="none"/>
        </w:rPr>
        <w:t>.1投标人不得相互串通投标或者与招标人串通投标，不得向招标人或者评标委员会成员行贿谋取中标，不得以他人名义投标或者以其他方式弄虚作假骗取中标；投标人不得以任何方式干扰、影响评标工作。</w:t>
      </w:r>
    </w:p>
    <w:p w14:paraId="2DE1C097">
      <w:pPr>
        <w:shd w:val="clear" w:color="auto" w:fill="auto"/>
        <w:spacing w:line="440" w:lineRule="exact"/>
        <w:ind w:firstLine="310" w:firstLineChars="147"/>
        <w:jc w:val="left"/>
        <w:rPr>
          <w:rFonts w:hint="eastAsia" w:ascii="宋体"/>
          <w:b/>
          <w:color w:val="auto"/>
          <w:szCs w:val="21"/>
          <w:highlight w:val="none"/>
        </w:rPr>
      </w:pPr>
      <w:r>
        <w:rPr>
          <w:rFonts w:hint="eastAsia" w:ascii="宋体"/>
          <w:b/>
          <w:color w:val="auto"/>
          <w:szCs w:val="21"/>
          <w:highlight w:val="none"/>
          <w:lang w:val="en-US" w:eastAsia="zh-CN"/>
        </w:rPr>
        <w:t>46</w:t>
      </w:r>
      <w:r>
        <w:rPr>
          <w:rFonts w:hint="eastAsia" w:ascii="宋体"/>
          <w:b/>
          <w:color w:val="auto"/>
          <w:szCs w:val="21"/>
          <w:highlight w:val="none"/>
        </w:rPr>
        <w:t xml:space="preserve">. 对评标委员会成员的纪律要求 </w:t>
      </w:r>
    </w:p>
    <w:p w14:paraId="67013CAC">
      <w:pPr>
        <w:shd w:val="clear" w:color="auto" w:fill="auto"/>
        <w:adjustRightInd w:val="0"/>
        <w:snapToGrid w:val="0"/>
        <w:spacing w:line="440" w:lineRule="exact"/>
        <w:ind w:firstLine="318" w:firstLineChars="150"/>
        <w:rPr>
          <w:rFonts w:hint="eastAsia" w:ascii="宋体"/>
          <w:color w:val="auto"/>
          <w:kern w:val="10"/>
          <w:szCs w:val="21"/>
          <w:highlight w:val="none"/>
        </w:rPr>
      </w:pPr>
      <w:r>
        <w:rPr>
          <w:rFonts w:hint="eastAsia" w:ascii="宋体"/>
          <w:color w:val="auto"/>
          <w:kern w:val="10"/>
          <w:szCs w:val="21"/>
          <w:highlight w:val="none"/>
          <w:lang w:val="en-US" w:eastAsia="zh-CN"/>
        </w:rPr>
        <w:t>46</w:t>
      </w:r>
      <w:r>
        <w:rPr>
          <w:rFonts w:hint="eastAsia" w:ascii="宋体"/>
          <w:color w:val="auto"/>
          <w:kern w:val="10"/>
          <w:szCs w:val="21"/>
          <w:highlight w:val="none"/>
        </w:rPr>
        <w:t>.1评标委员会成员不得收受他人的财物或者其他好处，不得向他人透漏对投标文件的评审和比较、中标候选人的推荐情况以及评标有关的其他情况。</w:t>
      </w:r>
    </w:p>
    <w:p w14:paraId="53312F60">
      <w:pPr>
        <w:shd w:val="clear" w:color="auto" w:fill="auto"/>
        <w:adjustRightInd w:val="0"/>
        <w:snapToGrid w:val="0"/>
        <w:spacing w:line="440" w:lineRule="exact"/>
        <w:ind w:firstLine="318" w:firstLineChars="150"/>
        <w:rPr>
          <w:rFonts w:hint="eastAsia" w:ascii="宋体"/>
          <w:color w:val="auto"/>
          <w:kern w:val="10"/>
          <w:szCs w:val="21"/>
          <w:highlight w:val="none"/>
        </w:rPr>
      </w:pPr>
      <w:r>
        <w:rPr>
          <w:rFonts w:hint="eastAsia" w:ascii="宋体"/>
          <w:color w:val="auto"/>
          <w:kern w:val="10"/>
          <w:szCs w:val="21"/>
          <w:highlight w:val="none"/>
          <w:lang w:val="en-US" w:eastAsia="zh-CN"/>
        </w:rPr>
        <w:t>46</w:t>
      </w:r>
      <w:r>
        <w:rPr>
          <w:rFonts w:hint="eastAsia" w:ascii="宋体"/>
          <w:color w:val="auto"/>
          <w:kern w:val="10"/>
          <w:szCs w:val="21"/>
          <w:highlight w:val="none"/>
        </w:rPr>
        <w:t xml:space="preserve">.2在评标活动中，评标委员会成员不得擅离职守，影响评标程序正常进行，不得使用第三章“评标办法”没有规定的评审因素和标准进行评标。 </w:t>
      </w:r>
    </w:p>
    <w:p w14:paraId="2986F586">
      <w:pPr>
        <w:shd w:val="clear" w:color="auto" w:fill="auto"/>
        <w:adjustRightInd w:val="0"/>
        <w:snapToGrid w:val="0"/>
        <w:spacing w:line="440" w:lineRule="exact"/>
        <w:ind w:firstLine="318" w:firstLineChars="150"/>
        <w:rPr>
          <w:rFonts w:hint="eastAsia" w:ascii="宋体"/>
          <w:b/>
          <w:color w:val="auto"/>
          <w:szCs w:val="21"/>
          <w:highlight w:val="none"/>
        </w:rPr>
      </w:pPr>
      <w:r>
        <w:rPr>
          <w:rFonts w:hint="eastAsia" w:ascii="宋体"/>
          <w:b/>
          <w:color w:val="auto"/>
          <w:szCs w:val="21"/>
          <w:highlight w:val="none"/>
          <w:lang w:val="en-US" w:eastAsia="zh-CN"/>
        </w:rPr>
        <w:t>47</w:t>
      </w:r>
      <w:r>
        <w:rPr>
          <w:rFonts w:hint="eastAsia" w:ascii="宋体"/>
          <w:b/>
          <w:color w:val="auto"/>
          <w:szCs w:val="21"/>
          <w:highlight w:val="none"/>
        </w:rPr>
        <w:t xml:space="preserve">. 对与评标活动有关的工作人员的纪律要求 </w:t>
      </w:r>
    </w:p>
    <w:p w14:paraId="29668510">
      <w:pPr>
        <w:shd w:val="clear" w:color="auto" w:fill="auto"/>
        <w:adjustRightInd w:val="0"/>
        <w:snapToGrid w:val="0"/>
        <w:spacing w:line="440" w:lineRule="exact"/>
        <w:ind w:firstLine="318" w:firstLineChars="150"/>
        <w:rPr>
          <w:rFonts w:hint="eastAsia" w:ascii="黑体" w:eastAsia="黑体"/>
          <w:color w:val="auto"/>
          <w:sz w:val="28"/>
          <w:szCs w:val="28"/>
          <w:highlight w:val="none"/>
        </w:rPr>
      </w:pPr>
      <w:r>
        <w:rPr>
          <w:rFonts w:hint="eastAsia" w:ascii="宋体"/>
          <w:color w:val="auto"/>
          <w:kern w:val="10"/>
          <w:szCs w:val="21"/>
          <w:highlight w:val="none"/>
        </w:rPr>
        <w:t>4</w:t>
      </w:r>
      <w:r>
        <w:rPr>
          <w:rFonts w:hint="eastAsia" w:ascii="宋体"/>
          <w:color w:val="auto"/>
          <w:kern w:val="10"/>
          <w:szCs w:val="21"/>
          <w:highlight w:val="none"/>
          <w:lang w:val="en-US" w:eastAsia="zh-CN"/>
        </w:rPr>
        <w:t>7</w:t>
      </w:r>
      <w:r>
        <w:rPr>
          <w:rFonts w:hint="eastAsia" w:ascii="宋体"/>
          <w:color w:val="auto"/>
          <w:kern w:val="10"/>
          <w:szCs w:val="21"/>
          <w:highlight w:val="none"/>
        </w:rPr>
        <w:t>.1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481F1416">
      <w:pPr>
        <w:shd w:val="clear" w:color="auto" w:fill="auto"/>
        <w:spacing w:before="156" w:beforeLines="50" w:after="156" w:afterLines="50" w:line="500" w:lineRule="exact"/>
        <w:ind w:firstLine="846" w:firstLineChars="300"/>
        <w:jc w:val="center"/>
        <w:rPr>
          <w:rFonts w:hint="eastAsia" w:ascii="黑体" w:hAnsi="宋体" w:eastAsia="黑体"/>
          <w:color w:val="auto"/>
          <w:sz w:val="28"/>
          <w:szCs w:val="28"/>
          <w:highlight w:val="none"/>
        </w:rPr>
      </w:pPr>
      <w:r>
        <w:rPr>
          <w:rFonts w:hint="eastAsia" w:ascii="黑体" w:eastAsia="黑体"/>
          <w:color w:val="auto"/>
          <w:sz w:val="28"/>
          <w:szCs w:val="28"/>
          <w:highlight w:val="none"/>
        </w:rPr>
        <w:t>（八）</w:t>
      </w:r>
      <w:r>
        <w:rPr>
          <w:rFonts w:hint="eastAsia" w:ascii="黑体" w:hAnsi="宋体" w:eastAsia="黑体"/>
          <w:color w:val="auto"/>
          <w:sz w:val="28"/>
          <w:szCs w:val="28"/>
          <w:highlight w:val="none"/>
        </w:rPr>
        <w:t>质疑与投诉</w:t>
      </w:r>
    </w:p>
    <w:p w14:paraId="164C7A86">
      <w:pPr>
        <w:shd w:val="clear" w:color="auto" w:fill="auto"/>
        <w:spacing w:line="440" w:lineRule="exact"/>
        <w:ind w:firstLine="310" w:firstLineChars="147"/>
        <w:jc w:val="left"/>
        <w:rPr>
          <w:rFonts w:hint="eastAsia" w:ascii="宋体" w:hAnsi="Times New Roman" w:eastAsia="宋体" w:cs="Times New Roman"/>
          <w:b/>
          <w:color w:val="auto"/>
          <w:szCs w:val="21"/>
          <w:highlight w:val="none"/>
          <w:lang w:val="en-US" w:eastAsia="zh-CN"/>
        </w:rPr>
      </w:pPr>
      <w:r>
        <w:rPr>
          <w:rFonts w:hint="eastAsia" w:ascii="宋体" w:hAnsi="Times New Roman" w:eastAsia="宋体" w:cs="Times New Roman"/>
          <w:b/>
          <w:color w:val="auto"/>
          <w:szCs w:val="21"/>
          <w:highlight w:val="none"/>
          <w:lang w:val="en-US" w:eastAsia="zh-CN"/>
        </w:rPr>
        <w:t>48．质疑和投诉</w:t>
      </w:r>
    </w:p>
    <w:p w14:paraId="749DA660">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48.1.供应商认为采购文件、采购过程和中标结果使自己的权益受到损害的，可以在知道或者应知其权益受到损害之日起七个工作日内，以书面形式向采购人提出质疑。供应商应当在法定质疑期内一次性提出针对同一采购程序环节的质疑。供应商应知其权益受到损害之日，是指：</w:t>
      </w:r>
    </w:p>
    <w:p w14:paraId="7F9BEFA8">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（一）对可以质疑的采购文件提出质疑的，为收到采购文件之日或者采购文件公告期限届满之日；</w:t>
      </w:r>
    </w:p>
    <w:p w14:paraId="216B05B7">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（二）对采购过程提出质疑的，为各采购程序环节结束之日；</w:t>
      </w:r>
    </w:p>
    <w:p w14:paraId="393B9B2D">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（三）对中标结果提出质疑的，为中标结果公告期限届满之日。</w:t>
      </w:r>
    </w:p>
    <w:p w14:paraId="0A65A89C">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48.2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64B3A7A5">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供应商为自然人的，应当由本人签字；供应商为法人或者其他组织的，应当由法定代表人、主要负责人，或者其授权代表签字或者盖章，并加盖公章。</w:t>
      </w:r>
    </w:p>
    <w:p w14:paraId="66C37EE0">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48.3供应商质疑、投诉应当有明确的请求和必要的证明材料。供应商投诉的事项不得超出已质疑事项的范围。采购人及采购代理机构按《政府采购质疑和投诉办法》进行处理供应商质疑事项。</w:t>
      </w:r>
    </w:p>
    <w:p w14:paraId="7FAEAE98">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48.4质疑供应商对采购人、采购代理机构的质疑答复不满意，或者采购人、采购代理机构未在规定期限内作出答复的，供应商可以在答复期满后15个工作日内向同级财政部门提起投诉。</w:t>
      </w:r>
    </w:p>
    <w:p w14:paraId="6031E33D">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48.5</w:t>
      </w:r>
      <w:r>
        <w:rPr>
          <w:rFonts w:hint="eastAsia" w:ascii="宋体" w:hAnsi="Times New Roman" w:eastAsia="宋体" w:cs="Times New Roman"/>
          <w:b w:val="0"/>
          <w:bCs w:val="0"/>
          <w:color w:val="auto"/>
          <w:szCs w:val="21"/>
          <w:highlight w:val="none"/>
          <w:lang w:val="en-US" w:eastAsia="zh-CN"/>
        </w:rPr>
        <w:t>供应商有下列情形之一的，采购代理机构上报至</w:t>
      </w:r>
      <w:r>
        <w:rPr>
          <w:rFonts w:hint="eastAsia" w:ascii="宋体" w:cs="Times New Roman"/>
          <w:b w:val="0"/>
          <w:bCs w:val="0"/>
          <w:color w:val="auto"/>
          <w:szCs w:val="21"/>
          <w:highlight w:val="none"/>
          <w:lang w:val="en-US" w:eastAsia="zh-CN"/>
        </w:rPr>
        <w:t>阿图什市</w:t>
      </w:r>
      <w:r>
        <w:rPr>
          <w:rFonts w:hint="eastAsia" w:ascii="宋体" w:hAnsi="Times New Roman" w:eastAsia="宋体" w:cs="Times New Roman"/>
          <w:b w:val="0"/>
          <w:bCs w:val="0"/>
          <w:color w:val="auto"/>
          <w:szCs w:val="21"/>
          <w:highlight w:val="none"/>
          <w:lang w:val="en-US" w:eastAsia="zh-CN"/>
        </w:rPr>
        <w:t>财政局政府采购办，</w:t>
      </w:r>
      <w:r>
        <w:rPr>
          <w:rFonts w:hint="eastAsia" w:ascii="宋体"/>
          <w:b w:val="0"/>
          <w:bCs w:val="0"/>
          <w:color w:val="auto"/>
          <w:szCs w:val="21"/>
          <w:highlight w:val="none"/>
          <w:lang w:val="en-US" w:eastAsia="zh-CN"/>
        </w:rPr>
        <w:t>将其列入不良行为记录名单：</w:t>
      </w:r>
    </w:p>
    <w:p w14:paraId="323997C3">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（一）一年内三次以上质疑均查无实据的；</w:t>
      </w:r>
    </w:p>
    <w:p w14:paraId="38E50716">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（二）捏造事实或者提供虚假质疑材料的。</w:t>
      </w:r>
    </w:p>
    <w:p w14:paraId="038C643A">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（三）以非法手段取得证明材料。证据来源的合法性存在明显疑问，质疑人无法证明其取得方式合法的，视为以非法手段取得证明材料。</w:t>
      </w:r>
    </w:p>
    <w:p w14:paraId="372AECC0">
      <w:pPr>
        <w:shd w:val="clear" w:color="auto" w:fill="auto"/>
        <w:spacing w:line="360" w:lineRule="exact"/>
        <w:jc w:val="center"/>
        <w:rPr>
          <w:rFonts w:hint="eastAsia" w:ascii="黑体" w:eastAsia="黑体"/>
          <w:color w:val="auto"/>
          <w:sz w:val="30"/>
          <w:szCs w:val="30"/>
          <w:highlight w:val="none"/>
        </w:rPr>
      </w:pPr>
    </w:p>
    <w:p w14:paraId="5D9A6E83">
      <w:pPr>
        <w:pStyle w:val="53"/>
        <w:shd w:val="clear" w:color="auto" w:fill="auto"/>
        <w:rPr>
          <w:rFonts w:hint="eastAsia" w:ascii="黑体" w:eastAsia="黑体"/>
          <w:color w:val="auto"/>
          <w:sz w:val="30"/>
          <w:szCs w:val="30"/>
          <w:highlight w:val="none"/>
        </w:rPr>
      </w:pPr>
    </w:p>
    <w:p w14:paraId="54835064">
      <w:pPr>
        <w:pStyle w:val="28"/>
        <w:ind w:left="0" w:leftChars="0" w:firstLine="0" w:firstLineChars="0"/>
        <w:rPr>
          <w:rFonts w:hint="eastAsia" w:ascii="宋体" w:hAnsi="宋体" w:eastAsia="宋体" w:cs="宋体"/>
          <w:b/>
          <w:bCs/>
          <w:color w:val="auto"/>
          <w:sz w:val="21"/>
          <w:szCs w:val="21"/>
          <w:highlight w:val="none"/>
          <w:lang w:eastAsia="zh-CN"/>
        </w:rPr>
      </w:pPr>
    </w:p>
    <w:p w14:paraId="6EEB8F5B">
      <w:pPr>
        <w:pStyle w:val="10"/>
        <w:rPr>
          <w:rFonts w:hint="eastAsia" w:ascii="宋体" w:hAnsi="宋体" w:eastAsia="宋体" w:cs="宋体"/>
          <w:b/>
          <w:bCs/>
          <w:color w:val="auto"/>
          <w:sz w:val="21"/>
          <w:szCs w:val="21"/>
          <w:highlight w:val="none"/>
          <w:lang w:eastAsia="zh-CN"/>
        </w:rPr>
      </w:pPr>
    </w:p>
    <w:p w14:paraId="4F1D82C8">
      <w:pPr>
        <w:pStyle w:val="10"/>
        <w:rPr>
          <w:rFonts w:hint="eastAsia" w:ascii="宋体" w:hAnsi="宋体" w:eastAsia="宋体" w:cs="宋体"/>
          <w:b/>
          <w:bCs/>
          <w:color w:val="auto"/>
          <w:sz w:val="21"/>
          <w:szCs w:val="21"/>
          <w:highlight w:val="none"/>
          <w:lang w:eastAsia="zh-CN"/>
        </w:rPr>
      </w:pPr>
    </w:p>
    <w:p w14:paraId="1A761D61">
      <w:pPr>
        <w:pStyle w:val="10"/>
        <w:rPr>
          <w:rFonts w:hint="eastAsia" w:ascii="宋体" w:hAnsi="宋体" w:eastAsia="宋体" w:cs="宋体"/>
          <w:b/>
          <w:bCs/>
          <w:color w:val="auto"/>
          <w:sz w:val="21"/>
          <w:szCs w:val="21"/>
          <w:highlight w:val="none"/>
          <w:lang w:eastAsia="zh-CN"/>
        </w:rPr>
      </w:pPr>
    </w:p>
    <w:p w14:paraId="7C23EBA4">
      <w:pPr>
        <w:pStyle w:val="10"/>
        <w:rPr>
          <w:rFonts w:hint="eastAsia" w:ascii="宋体" w:hAnsi="宋体" w:eastAsia="宋体" w:cs="宋体"/>
          <w:b/>
          <w:bCs/>
          <w:color w:val="auto"/>
          <w:sz w:val="21"/>
          <w:szCs w:val="21"/>
          <w:highlight w:val="none"/>
          <w:lang w:eastAsia="zh-CN"/>
        </w:rPr>
      </w:pPr>
    </w:p>
    <w:p w14:paraId="53744E46">
      <w:pPr>
        <w:pStyle w:val="10"/>
        <w:rPr>
          <w:rFonts w:hint="eastAsia" w:ascii="宋体" w:hAnsi="宋体" w:eastAsia="宋体" w:cs="宋体"/>
          <w:b/>
          <w:bCs/>
          <w:color w:val="auto"/>
          <w:sz w:val="21"/>
          <w:szCs w:val="21"/>
          <w:highlight w:val="none"/>
          <w:lang w:eastAsia="zh-CN"/>
        </w:rPr>
      </w:pPr>
    </w:p>
    <w:p w14:paraId="35C43708">
      <w:pPr>
        <w:pStyle w:val="10"/>
        <w:rPr>
          <w:rFonts w:hint="eastAsia" w:ascii="宋体" w:hAnsi="宋体" w:eastAsia="宋体" w:cs="宋体"/>
          <w:b/>
          <w:bCs/>
          <w:color w:val="auto"/>
          <w:sz w:val="21"/>
          <w:szCs w:val="21"/>
          <w:highlight w:val="none"/>
          <w:lang w:eastAsia="zh-CN"/>
        </w:rPr>
      </w:pPr>
    </w:p>
    <w:p w14:paraId="04AC5CD6">
      <w:pPr>
        <w:pStyle w:val="10"/>
        <w:rPr>
          <w:rFonts w:hint="eastAsia" w:ascii="宋体" w:hAnsi="宋体" w:eastAsia="宋体" w:cs="宋体"/>
          <w:b/>
          <w:bCs/>
          <w:color w:val="auto"/>
          <w:sz w:val="21"/>
          <w:szCs w:val="21"/>
          <w:highlight w:val="none"/>
          <w:lang w:eastAsia="zh-CN"/>
        </w:rPr>
      </w:pPr>
    </w:p>
    <w:p w14:paraId="450869B7">
      <w:pPr>
        <w:pStyle w:val="10"/>
        <w:rPr>
          <w:rFonts w:hint="eastAsia" w:ascii="宋体" w:hAnsi="宋体" w:eastAsia="宋体" w:cs="宋体"/>
          <w:b/>
          <w:bCs/>
          <w:color w:val="auto"/>
          <w:sz w:val="21"/>
          <w:szCs w:val="21"/>
          <w:highlight w:val="none"/>
          <w:lang w:eastAsia="zh-CN"/>
        </w:rPr>
      </w:pPr>
    </w:p>
    <w:p w14:paraId="0D6B2EF9">
      <w:pPr>
        <w:pStyle w:val="10"/>
        <w:rPr>
          <w:rFonts w:hint="eastAsia" w:ascii="宋体" w:hAnsi="宋体" w:eastAsia="宋体" w:cs="宋体"/>
          <w:b/>
          <w:bCs/>
          <w:color w:val="auto"/>
          <w:sz w:val="21"/>
          <w:szCs w:val="21"/>
          <w:highlight w:val="none"/>
          <w:lang w:eastAsia="zh-CN"/>
        </w:rPr>
      </w:pPr>
    </w:p>
    <w:p w14:paraId="0E02AA10">
      <w:pPr>
        <w:shd w:val="clear" w:color="auto" w:fill="auto"/>
        <w:jc w:val="left"/>
        <w:rPr>
          <w:rFonts w:hint="eastAsia" w:ascii="宋体" w:hAnsi="宋体" w:eastAsia="宋体" w:cs="宋体"/>
          <w:b/>
          <w:bCs/>
          <w:color w:val="auto"/>
          <w:sz w:val="21"/>
          <w:szCs w:val="21"/>
          <w:highlight w:val="none"/>
          <w:lang w:eastAsia="zh-CN"/>
        </w:rPr>
      </w:pPr>
    </w:p>
    <w:p w14:paraId="19ABAAB2">
      <w:pPr>
        <w:shd w:val="clear" w:color="auto" w:fill="auto"/>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附件：</w:t>
      </w:r>
    </w:p>
    <w:p w14:paraId="26F92824">
      <w:pPr>
        <w:shd w:val="clear" w:color="auto" w:fill="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32"/>
          <w:szCs w:val="32"/>
          <w:highlight w:val="none"/>
          <w:lang w:eastAsia="zh-CN"/>
        </w:rPr>
        <w:t>政府采购投诉书（范本）、质疑函范本</w:t>
      </w:r>
    </w:p>
    <w:p w14:paraId="74B43175">
      <w:pPr>
        <w:keepNext w:val="0"/>
        <w:keepLines w:val="0"/>
        <w:pageBreakBefore w:val="0"/>
        <w:widowControl w:val="0"/>
        <w:shd w:val="clear" w:color="auto" w:fill="auto"/>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政府采购投诉书（范本）</w:t>
      </w:r>
    </w:p>
    <w:p w14:paraId="1E08CF45">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outlineLvl w:val="0"/>
        <w:rPr>
          <w:rFonts w:hint="eastAsia" w:ascii="黑体" w:hAnsi="黑体" w:eastAsia="黑体" w:cs="黑体"/>
          <w:color w:val="auto"/>
          <w:kern w:val="0"/>
          <w:sz w:val="24"/>
          <w:szCs w:val="24"/>
          <w:highlight w:val="none"/>
          <w:lang w:eastAsia="zh-CN"/>
        </w:rPr>
      </w:pPr>
      <w:bookmarkStart w:id="48" w:name="_Toc22042"/>
      <w:bookmarkStart w:id="49" w:name="_Toc4730"/>
      <w:bookmarkStart w:id="50" w:name="_Toc29063"/>
      <w:bookmarkStart w:id="51" w:name="_Toc18623"/>
      <w:bookmarkStart w:id="52" w:name="_Toc21897"/>
      <w:bookmarkStart w:id="53" w:name="_Toc30403"/>
      <w:bookmarkStart w:id="54" w:name="_Toc17515"/>
      <w:r>
        <w:rPr>
          <w:rFonts w:hint="eastAsia" w:ascii="黑体" w:hAnsi="黑体" w:eastAsia="黑体" w:cs="黑体"/>
          <w:color w:val="auto"/>
          <w:kern w:val="0"/>
          <w:sz w:val="24"/>
          <w:szCs w:val="24"/>
          <w:highlight w:val="none"/>
          <w:lang w:eastAsia="zh-CN"/>
        </w:rPr>
        <w:t>一、投诉相关主体基本情况</w:t>
      </w:r>
      <w:bookmarkEnd w:id="48"/>
      <w:bookmarkEnd w:id="49"/>
      <w:bookmarkEnd w:id="50"/>
      <w:bookmarkEnd w:id="51"/>
      <w:bookmarkEnd w:id="52"/>
      <w:bookmarkEnd w:id="53"/>
    </w:p>
    <w:p w14:paraId="7F29261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楷体_GB2312" w:hAnsi="宋体" w:eastAsia="楷体_GB2312" w:cs="宋体"/>
          <w:color w:val="auto"/>
          <w:kern w:val="0"/>
          <w:sz w:val="24"/>
          <w:szCs w:val="24"/>
          <w:highlight w:val="none"/>
        </w:rPr>
      </w:pPr>
      <w:r>
        <w:rPr>
          <w:rFonts w:hint="eastAsia" w:ascii="仿宋_GB2312" w:hAnsi="宋体" w:eastAsia="仿宋_GB2312" w:cs="宋体"/>
          <w:color w:val="auto"/>
          <w:kern w:val="0"/>
          <w:sz w:val="24"/>
          <w:szCs w:val="24"/>
          <w:highlight w:val="none"/>
        </w:rPr>
        <w:t>投诉人：</w:t>
      </w:r>
      <w:r>
        <w:rPr>
          <w:rFonts w:hint="eastAsia" w:ascii="楷体_GB2312" w:hAnsi="宋体" w:eastAsia="楷体_GB2312" w:cs="宋体"/>
          <w:color w:val="auto"/>
          <w:kern w:val="0"/>
          <w:sz w:val="24"/>
          <w:szCs w:val="24"/>
          <w:highlight w:val="none"/>
          <w:u w:val="single"/>
          <w:lang w:val="en-US" w:eastAsia="zh-CN"/>
        </w:rPr>
        <w:t xml:space="preserve">                         </w:t>
      </w:r>
      <w:r>
        <w:rPr>
          <w:rFonts w:hint="eastAsia" w:ascii="楷体_GB2312" w:hAnsi="宋体" w:eastAsia="楷体_GB2312" w:cs="宋体"/>
          <w:color w:val="auto"/>
          <w:kern w:val="0"/>
          <w:sz w:val="24"/>
          <w:szCs w:val="24"/>
          <w:highlight w:val="none"/>
        </w:rPr>
        <w:t xml:space="preserve">  </w:t>
      </w:r>
    </w:p>
    <w:p w14:paraId="4E88F04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ascii="仿宋_GB2312" w:hAnsi="宋体" w:eastAsia="仿宋_GB2312" w:cs="宋体"/>
          <w:color w:val="auto"/>
          <w:kern w:val="0"/>
          <w:sz w:val="24"/>
          <w:szCs w:val="24"/>
          <w:highlight w:val="none"/>
          <w:u w:val="single"/>
        </w:rPr>
      </w:pPr>
      <w:r>
        <w:rPr>
          <w:rFonts w:hint="eastAsia" w:ascii="仿宋_GB2312" w:hAnsi="宋体" w:eastAsia="仿宋_GB2312" w:cs="宋体"/>
          <w:color w:val="auto"/>
          <w:kern w:val="0"/>
          <w:sz w:val="24"/>
          <w:szCs w:val="24"/>
          <w:highlight w:val="none"/>
        </w:rPr>
        <w:t>地</w:t>
      </w:r>
      <w:r>
        <w:rPr>
          <w:rFonts w:hint="eastAsia" w:ascii="仿宋_GB2312" w:hAnsi="宋体" w:eastAsia="仿宋_GB2312" w:cs="宋体"/>
          <w:color w:val="auto"/>
          <w:kern w:val="0"/>
          <w:sz w:val="24"/>
          <w:szCs w:val="24"/>
          <w:highlight w:val="none"/>
          <w:lang w:val="en-US" w:eastAsia="zh-CN"/>
        </w:rPr>
        <w:t xml:space="preserve">  </w:t>
      </w:r>
      <w:r>
        <w:rPr>
          <w:rFonts w:hint="eastAsia" w:ascii="仿宋_GB2312" w:hAnsi="宋体" w:eastAsia="仿宋_GB2312" w:cs="宋体"/>
          <w:color w:val="auto"/>
          <w:kern w:val="0"/>
          <w:sz w:val="24"/>
          <w:szCs w:val="24"/>
          <w:highlight w:val="none"/>
        </w:rPr>
        <w:t>址：</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rPr>
        <w:t>邮</w:t>
      </w:r>
      <w:r>
        <w:rPr>
          <w:rFonts w:hint="eastAsia" w:ascii="仿宋_GB2312" w:hAnsi="宋体" w:eastAsia="仿宋_GB2312" w:cs="宋体"/>
          <w:color w:val="auto"/>
          <w:kern w:val="0"/>
          <w:sz w:val="24"/>
          <w:szCs w:val="24"/>
          <w:highlight w:val="none"/>
          <w:lang w:val="en-US" w:eastAsia="zh-CN"/>
        </w:rPr>
        <w:t xml:space="preserve"> </w:t>
      </w:r>
      <w:r>
        <w:rPr>
          <w:rFonts w:hint="eastAsia" w:ascii="仿宋_GB2312" w:hAnsi="宋体" w:eastAsia="仿宋_GB2312" w:cs="宋体"/>
          <w:color w:val="auto"/>
          <w:kern w:val="0"/>
          <w:sz w:val="24"/>
          <w:szCs w:val="24"/>
          <w:highlight w:val="none"/>
        </w:rPr>
        <w:t>编：</w:t>
      </w:r>
      <w:r>
        <w:rPr>
          <w:rFonts w:hint="eastAsia" w:ascii="仿宋_GB2312" w:hAnsi="宋体" w:eastAsia="仿宋_GB2312" w:cs="宋体"/>
          <w:color w:val="auto"/>
          <w:kern w:val="0"/>
          <w:sz w:val="24"/>
          <w:szCs w:val="24"/>
          <w:highlight w:val="none"/>
          <w:u w:val="single"/>
        </w:rPr>
        <w:t xml:space="preserve">             </w:t>
      </w:r>
    </w:p>
    <w:p w14:paraId="6E9919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default" w:ascii="仿宋_GB2312" w:hAnsi="宋体" w:eastAsia="仿宋_GB2312" w:cs="宋体"/>
          <w:color w:val="auto"/>
          <w:kern w:val="0"/>
          <w:sz w:val="24"/>
          <w:szCs w:val="24"/>
          <w:highlight w:val="none"/>
          <w:u w:val="none"/>
          <w:lang w:val="en-US" w:eastAsia="zh-CN"/>
        </w:rPr>
      </w:pPr>
      <w:r>
        <w:rPr>
          <w:rFonts w:hint="eastAsia" w:ascii="仿宋_GB2312" w:hAnsi="宋体" w:eastAsia="仿宋_GB2312" w:cs="宋体"/>
          <w:color w:val="auto"/>
          <w:kern w:val="0"/>
          <w:sz w:val="24"/>
          <w:szCs w:val="24"/>
          <w:highlight w:val="none"/>
          <w:u w:val="none"/>
          <w:lang w:val="en-US" w:eastAsia="zh-CN"/>
        </w:rPr>
        <w:t>法定代表人/主要负责人：</w:t>
      </w:r>
      <w:r>
        <w:rPr>
          <w:rFonts w:hint="eastAsia" w:ascii="仿宋_GB2312" w:hAnsi="宋体" w:eastAsia="仿宋_GB2312" w:cs="宋体"/>
          <w:color w:val="auto"/>
          <w:kern w:val="0"/>
          <w:sz w:val="24"/>
          <w:szCs w:val="24"/>
          <w:highlight w:val="none"/>
          <w:u w:val="single"/>
          <w:lang w:val="en-US" w:eastAsia="zh-CN"/>
        </w:rPr>
        <w:t xml:space="preserve">                             </w:t>
      </w:r>
    </w:p>
    <w:p w14:paraId="6B9C241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u w:val="single"/>
        </w:rPr>
      </w:pPr>
      <w:r>
        <w:rPr>
          <w:rFonts w:hint="eastAsia" w:ascii="仿宋_GB2312" w:hAnsi="宋体" w:eastAsia="仿宋_GB2312" w:cs="宋体"/>
          <w:color w:val="auto"/>
          <w:kern w:val="0"/>
          <w:sz w:val="24"/>
          <w:szCs w:val="24"/>
          <w:highlight w:val="none"/>
        </w:rPr>
        <w:t>联系电话：</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p>
    <w:p w14:paraId="405E8B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u w:val="single"/>
        </w:rPr>
      </w:pPr>
      <w:r>
        <w:rPr>
          <w:rFonts w:hint="eastAsia" w:ascii="仿宋_GB2312" w:hAnsi="宋体" w:eastAsia="仿宋_GB2312" w:cs="宋体"/>
          <w:color w:val="auto"/>
          <w:kern w:val="0"/>
          <w:sz w:val="24"/>
          <w:szCs w:val="24"/>
          <w:highlight w:val="none"/>
        </w:rPr>
        <w:t>地</w:t>
      </w:r>
      <w:r>
        <w:rPr>
          <w:rFonts w:hint="eastAsia" w:ascii="仿宋_GB2312" w:hAnsi="宋体" w:eastAsia="仿宋_GB2312" w:cs="宋体"/>
          <w:color w:val="auto"/>
          <w:kern w:val="0"/>
          <w:sz w:val="24"/>
          <w:szCs w:val="24"/>
          <w:highlight w:val="none"/>
          <w:lang w:val="en-US" w:eastAsia="zh-CN"/>
        </w:rPr>
        <w:t xml:space="preserve">  </w:t>
      </w:r>
      <w:r>
        <w:rPr>
          <w:rFonts w:hint="eastAsia" w:ascii="仿宋_GB2312" w:hAnsi="宋体" w:eastAsia="仿宋_GB2312" w:cs="宋体"/>
          <w:color w:val="auto"/>
          <w:kern w:val="0"/>
          <w:sz w:val="24"/>
          <w:szCs w:val="24"/>
          <w:highlight w:val="none"/>
        </w:rPr>
        <w:t>址：</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rPr>
        <w:t>邮</w:t>
      </w:r>
      <w:r>
        <w:rPr>
          <w:rFonts w:hint="eastAsia" w:ascii="仿宋_GB2312" w:hAnsi="宋体" w:eastAsia="仿宋_GB2312" w:cs="宋体"/>
          <w:color w:val="auto"/>
          <w:kern w:val="0"/>
          <w:sz w:val="24"/>
          <w:szCs w:val="24"/>
          <w:highlight w:val="none"/>
          <w:lang w:val="en-US" w:eastAsia="zh-CN"/>
        </w:rPr>
        <w:t xml:space="preserve"> </w:t>
      </w:r>
      <w:r>
        <w:rPr>
          <w:rFonts w:hint="eastAsia" w:ascii="仿宋_GB2312" w:hAnsi="宋体" w:eastAsia="仿宋_GB2312" w:cs="宋体"/>
          <w:color w:val="auto"/>
          <w:kern w:val="0"/>
          <w:sz w:val="24"/>
          <w:szCs w:val="24"/>
          <w:highlight w:val="none"/>
        </w:rPr>
        <w:t>编：</w:t>
      </w:r>
      <w:r>
        <w:rPr>
          <w:rFonts w:hint="eastAsia" w:ascii="仿宋_GB2312" w:hAnsi="宋体" w:eastAsia="仿宋_GB2312" w:cs="宋体"/>
          <w:color w:val="auto"/>
          <w:kern w:val="0"/>
          <w:sz w:val="24"/>
          <w:szCs w:val="24"/>
          <w:highlight w:val="none"/>
          <w:u w:val="single"/>
        </w:rPr>
        <w:t xml:space="preserve">             </w:t>
      </w:r>
    </w:p>
    <w:p w14:paraId="3E73EA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楷体_GB2312" w:hAnsi="宋体" w:eastAsia="楷体_GB2312" w:cs="宋体"/>
          <w:color w:val="auto"/>
          <w:kern w:val="0"/>
          <w:sz w:val="24"/>
          <w:szCs w:val="24"/>
          <w:highlight w:val="none"/>
          <w:u w:val="single"/>
          <w:lang w:val="en-US" w:eastAsia="zh-CN"/>
        </w:rPr>
      </w:pPr>
      <w:r>
        <w:rPr>
          <w:rFonts w:hint="eastAsia" w:ascii="仿宋_GB2312" w:hAnsi="宋体" w:eastAsia="仿宋_GB2312" w:cs="宋体"/>
          <w:color w:val="auto"/>
          <w:kern w:val="0"/>
          <w:sz w:val="24"/>
          <w:szCs w:val="24"/>
          <w:highlight w:val="none"/>
          <w:u w:val="none"/>
          <w:lang w:eastAsia="zh-CN"/>
        </w:rPr>
        <w:t>授权代表（如有）：</w:t>
      </w:r>
      <w:r>
        <w:rPr>
          <w:rFonts w:hint="eastAsia" w:ascii="楷体_GB2312" w:hAnsi="宋体" w:eastAsia="楷体_GB2312" w:cs="宋体"/>
          <w:color w:val="auto"/>
          <w:kern w:val="0"/>
          <w:sz w:val="24"/>
          <w:szCs w:val="24"/>
          <w:highlight w:val="none"/>
          <w:u w:val="single"/>
          <w:lang w:val="en-US" w:eastAsia="zh-CN"/>
        </w:rPr>
        <w:t xml:space="preserve">                         </w:t>
      </w:r>
    </w:p>
    <w:p w14:paraId="174CF7C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u w:val="single"/>
        </w:rPr>
      </w:pPr>
      <w:r>
        <w:rPr>
          <w:rFonts w:hint="eastAsia" w:ascii="仿宋_GB2312" w:hAnsi="宋体" w:eastAsia="仿宋_GB2312" w:cs="宋体"/>
          <w:color w:val="auto"/>
          <w:kern w:val="0"/>
          <w:sz w:val="24"/>
          <w:szCs w:val="24"/>
          <w:highlight w:val="none"/>
          <w:lang w:val="en-US" w:eastAsia="zh-CN"/>
        </w:rPr>
        <w:t>联系电话：</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p>
    <w:p w14:paraId="773EA50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lang w:eastAsia="zh-CN"/>
        </w:rPr>
      </w:pPr>
      <w:r>
        <w:rPr>
          <w:rFonts w:hint="eastAsia" w:ascii="仿宋_GB2312" w:hAnsi="宋体" w:eastAsia="仿宋_GB2312" w:cs="宋体"/>
          <w:color w:val="auto"/>
          <w:kern w:val="0"/>
          <w:sz w:val="24"/>
          <w:szCs w:val="24"/>
          <w:highlight w:val="none"/>
        </w:rPr>
        <w:t>地</w:t>
      </w:r>
      <w:r>
        <w:rPr>
          <w:rFonts w:hint="eastAsia" w:ascii="仿宋_GB2312" w:hAnsi="宋体" w:eastAsia="仿宋_GB2312" w:cs="宋体"/>
          <w:color w:val="auto"/>
          <w:kern w:val="0"/>
          <w:sz w:val="24"/>
          <w:szCs w:val="24"/>
          <w:highlight w:val="none"/>
          <w:lang w:val="en-US" w:eastAsia="zh-CN"/>
        </w:rPr>
        <w:t xml:space="preserve">  </w:t>
      </w:r>
      <w:r>
        <w:rPr>
          <w:rFonts w:hint="eastAsia" w:ascii="仿宋_GB2312" w:hAnsi="宋体" w:eastAsia="仿宋_GB2312" w:cs="宋体"/>
          <w:color w:val="auto"/>
          <w:kern w:val="0"/>
          <w:sz w:val="24"/>
          <w:szCs w:val="24"/>
          <w:highlight w:val="none"/>
        </w:rPr>
        <w:t>址：</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rPr>
        <w:t>邮</w:t>
      </w:r>
      <w:r>
        <w:rPr>
          <w:rFonts w:hint="eastAsia" w:ascii="仿宋_GB2312" w:hAnsi="宋体" w:eastAsia="仿宋_GB2312" w:cs="宋体"/>
          <w:color w:val="auto"/>
          <w:kern w:val="0"/>
          <w:sz w:val="24"/>
          <w:szCs w:val="24"/>
          <w:highlight w:val="none"/>
          <w:lang w:val="en-US" w:eastAsia="zh-CN"/>
        </w:rPr>
        <w:t xml:space="preserve"> </w:t>
      </w:r>
      <w:r>
        <w:rPr>
          <w:rFonts w:hint="eastAsia" w:ascii="仿宋_GB2312" w:hAnsi="宋体" w:eastAsia="仿宋_GB2312" w:cs="宋体"/>
          <w:color w:val="auto"/>
          <w:kern w:val="0"/>
          <w:sz w:val="24"/>
          <w:szCs w:val="24"/>
          <w:highlight w:val="none"/>
        </w:rPr>
        <w:t>编：</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rPr>
        <w:t xml:space="preserve">         </w:t>
      </w:r>
    </w:p>
    <w:p w14:paraId="25FD34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u w:val="single"/>
        </w:rPr>
      </w:pPr>
      <w:r>
        <w:rPr>
          <w:rFonts w:hint="eastAsia" w:ascii="仿宋_GB2312" w:hAnsi="宋体" w:eastAsia="仿宋_GB2312" w:cs="宋体"/>
          <w:color w:val="auto"/>
          <w:kern w:val="0"/>
          <w:sz w:val="24"/>
          <w:szCs w:val="24"/>
          <w:highlight w:val="none"/>
          <w:u w:val="none"/>
          <w:lang w:eastAsia="zh-CN"/>
        </w:rPr>
        <w:t>被投诉人</w:t>
      </w:r>
      <w:r>
        <w:rPr>
          <w:rFonts w:hint="eastAsia" w:ascii="仿宋_GB2312" w:hAnsi="宋体" w:eastAsia="仿宋_GB2312" w:cs="宋体"/>
          <w:color w:val="auto"/>
          <w:kern w:val="0"/>
          <w:sz w:val="24"/>
          <w:szCs w:val="24"/>
          <w:highlight w:val="none"/>
          <w:u w:val="none"/>
          <w:lang w:val="en-US" w:eastAsia="zh-CN"/>
        </w:rPr>
        <w:t>1：</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p>
    <w:p w14:paraId="383E81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u w:val="single"/>
        </w:rPr>
      </w:pPr>
      <w:r>
        <w:rPr>
          <w:rFonts w:hint="eastAsia" w:ascii="仿宋_GB2312" w:hAnsi="宋体" w:eastAsia="仿宋_GB2312" w:cs="宋体"/>
          <w:color w:val="auto"/>
          <w:kern w:val="0"/>
          <w:sz w:val="24"/>
          <w:szCs w:val="24"/>
          <w:highlight w:val="none"/>
        </w:rPr>
        <w:t>地</w:t>
      </w:r>
      <w:r>
        <w:rPr>
          <w:rFonts w:hint="eastAsia" w:ascii="仿宋_GB2312" w:hAnsi="宋体" w:eastAsia="仿宋_GB2312" w:cs="宋体"/>
          <w:color w:val="auto"/>
          <w:kern w:val="0"/>
          <w:sz w:val="24"/>
          <w:szCs w:val="24"/>
          <w:highlight w:val="none"/>
          <w:lang w:val="en-US" w:eastAsia="zh-CN"/>
        </w:rPr>
        <w:t xml:space="preserve">  </w:t>
      </w:r>
      <w:r>
        <w:rPr>
          <w:rFonts w:hint="eastAsia" w:ascii="仿宋_GB2312" w:hAnsi="宋体" w:eastAsia="仿宋_GB2312" w:cs="宋体"/>
          <w:color w:val="auto"/>
          <w:kern w:val="0"/>
          <w:sz w:val="24"/>
          <w:szCs w:val="24"/>
          <w:highlight w:val="none"/>
        </w:rPr>
        <w:t>址：</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rPr>
        <w:t>邮</w:t>
      </w:r>
      <w:r>
        <w:rPr>
          <w:rFonts w:hint="eastAsia" w:ascii="仿宋_GB2312" w:hAnsi="宋体" w:eastAsia="仿宋_GB2312" w:cs="宋体"/>
          <w:color w:val="auto"/>
          <w:kern w:val="0"/>
          <w:sz w:val="24"/>
          <w:szCs w:val="24"/>
          <w:highlight w:val="none"/>
          <w:lang w:val="en-US" w:eastAsia="zh-CN"/>
        </w:rPr>
        <w:t xml:space="preserve"> </w:t>
      </w:r>
      <w:r>
        <w:rPr>
          <w:rFonts w:hint="eastAsia" w:ascii="仿宋_GB2312" w:hAnsi="宋体" w:eastAsia="仿宋_GB2312" w:cs="宋体"/>
          <w:color w:val="auto"/>
          <w:kern w:val="0"/>
          <w:sz w:val="24"/>
          <w:szCs w:val="24"/>
          <w:highlight w:val="none"/>
        </w:rPr>
        <w:t>编：</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p>
    <w:p w14:paraId="21C10D5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u w:val="single"/>
        </w:rPr>
      </w:pPr>
      <w:r>
        <w:rPr>
          <w:rFonts w:hint="eastAsia" w:ascii="仿宋_GB2312" w:hAnsi="宋体" w:eastAsia="仿宋_GB2312" w:cs="宋体"/>
          <w:color w:val="auto"/>
          <w:kern w:val="0"/>
          <w:sz w:val="24"/>
          <w:szCs w:val="24"/>
          <w:highlight w:val="none"/>
          <w:lang w:eastAsia="zh-CN"/>
        </w:rPr>
        <w:t>联系人：</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rPr>
        <w:t>联系电话：</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p>
    <w:p w14:paraId="154400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u w:val="single"/>
          <w:lang w:val="en-US" w:eastAsia="zh-CN"/>
        </w:rPr>
      </w:pPr>
      <w:r>
        <w:rPr>
          <w:rFonts w:hint="eastAsia" w:ascii="仿宋_GB2312" w:hAnsi="宋体" w:eastAsia="仿宋_GB2312" w:cs="宋体"/>
          <w:color w:val="auto"/>
          <w:kern w:val="0"/>
          <w:sz w:val="24"/>
          <w:szCs w:val="24"/>
          <w:highlight w:val="none"/>
          <w:u w:val="none"/>
          <w:lang w:eastAsia="zh-CN"/>
        </w:rPr>
        <w:t>被投诉人</w:t>
      </w:r>
      <w:r>
        <w:rPr>
          <w:rFonts w:hint="eastAsia" w:ascii="仿宋_GB2312" w:hAnsi="宋体" w:eastAsia="仿宋_GB2312" w:cs="宋体"/>
          <w:color w:val="auto"/>
          <w:kern w:val="0"/>
          <w:sz w:val="24"/>
          <w:szCs w:val="24"/>
          <w:highlight w:val="none"/>
          <w:u w:val="none"/>
          <w:lang w:val="en-US" w:eastAsia="zh-CN"/>
        </w:rPr>
        <w:t>2：</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p>
    <w:p w14:paraId="7C7100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u w:val="single"/>
        </w:rPr>
      </w:pPr>
      <w:r>
        <w:rPr>
          <w:rFonts w:hint="eastAsia" w:ascii="仿宋_GB2312" w:hAnsi="宋体" w:eastAsia="仿宋_GB2312" w:cs="宋体"/>
          <w:color w:val="auto"/>
          <w:kern w:val="0"/>
          <w:sz w:val="24"/>
          <w:szCs w:val="24"/>
          <w:highlight w:val="none"/>
          <w:u w:val="none"/>
          <w:lang w:val="en-US" w:eastAsia="zh-CN"/>
        </w:rPr>
        <w:t>相关供应商</w:t>
      </w:r>
      <w:r>
        <w:rPr>
          <w:rFonts w:hint="eastAsia" w:ascii="仿宋_GB2312" w:hAnsi="宋体" w:eastAsia="仿宋_GB2312" w:cs="宋体"/>
          <w:color w:val="auto"/>
          <w:kern w:val="0"/>
          <w:sz w:val="24"/>
          <w:szCs w:val="24"/>
          <w:highlight w:val="none"/>
          <w:u w:val="none"/>
          <w:lang w:eastAsia="zh-CN"/>
        </w:rPr>
        <w:t>（如有）</w:t>
      </w:r>
      <w:r>
        <w:rPr>
          <w:rFonts w:hint="eastAsia" w:ascii="仿宋_GB2312" w:hAnsi="宋体" w:eastAsia="仿宋_GB2312" w:cs="宋体"/>
          <w:color w:val="auto"/>
          <w:kern w:val="0"/>
          <w:sz w:val="24"/>
          <w:szCs w:val="24"/>
          <w:highlight w:val="none"/>
          <w:u w:val="none"/>
          <w:lang w:val="en-US" w:eastAsia="zh-CN"/>
        </w:rPr>
        <w:t>：</w:t>
      </w:r>
      <w:r>
        <w:rPr>
          <w:rFonts w:hint="eastAsia" w:ascii="仿宋_GB2312" w:hAnsi="宋体" w:eastAsia="仿宋_GB2312" w:cs="宋体"/>
          <w:color w:val="auto"/>
          <w:kern w:val="0"/>
          <w:sz w:val="24"/>
          <w:szCs w:val="24"/>
          <w:highlight w:val="none"/>
          <w:u w:val="single"/>
        </w:rPr>
        <w:t xml:space="preserve">                                        </w:t>
      </w:r>
    </w:p>
    <w:p w14:paraId="3F7EB7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u w:val="single"/>
        </w:rPr>
      </w:pPr>
      <w:r>
        <w:rPr>
          <w:rFonts w:hint="eastAsia" w:ascii="仿宋_GB2312" w:hAnsi="宋体" w:eastAsia="仿宋_GB2312" w:cs="宋体"/>
          <w:color w:val="auto"/>
          <w:kern w:val="0"/>
          <w:sz w:val="24"/>
          <w:szCs w:val="24"/>
          <w:highlight w:val="none"/>
        </w:rPr>
        <w:t>地</w:t>
      </w:r>
      <w:r>
        <w:rPr>
          <w:rFonts w:hint="eastAsia" w:ascii="仿宋_GB2312" w:hAnsi="宋体" w:eastAsia="仿宋_GB2312" w:cs="宋体"/>
          <w:color w:val="auto"/>
          <w:kern w:val="0"/>
          <w:sz w:val="24"/>
          <w:szCs w:val="24"/>
          <w:highlight w:val="none"/>
          <w:lang w:val="en-US" w:eastAsia="zh-CN"/>
        </w:rPr>
        <w:t xml:space="preserve">  </w:t>
      </w:r>
      <w:r>
        <w:rPr>
          <w:rFonts w:hint="eastAsia" w:ascii="仿宋_GB2312" w:hAnsi="宋体" w:eastAsia="仿宋_GB2312" w:cs="宋体"/>
          <w:color w:val="auto"/>
          <w:kern w:val="0"/>
          <w:sz w:val="24"/>
          <w:szCs w:val="24"/>
          <w:highlight w:val="none"/>
        </w:rPr>
        <w:t>址：</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rPr>
        <w:t>邮编：</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p>
    <w:p w14:paraId="655A8A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ascii="仿宋_GB2312" w:hAnsi="宋体" w:eastAsia="仿宋_GB2312" w:cs="宋体"/>
          <w:color w:val="auto"/>
          <w:kern w:val="0"/>
          <w:sz w:val="24"/>
          <w:szCs w:val="24"/>
          <w:highlight w:val="none"/>
          <w:u w:val="single"/>
        </w:rPr>
      </w:pPr>
      <w:r>
        <w:rPr>
          <w:rFonts w:hint="eastAsia" w:ascii="仿宋_GB2312" w:hAnsi="宋体" w:eastAsia="仿宋_GB2312" w:cs="宋体"/>
          <w:color w:val="auto"/>
          <w:kern w:val="0"/>
          <w:sz w:val="24"/>
          <w:szCs w:val="24"/>
          <w:highlight w:val="none"/>
        </w:rPr>
        <w:t>联系人：</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rPr>
        <w:t>联系电话：</w:t>
      </w:r>
      <w:r>
        <w:rPr>
          <w:rFonts w:hint="eastAsia" w:ascii="仿宋_GB2312" w:hAnsi="宋体" w:eastAsia="仿宋_GB2312" w:cs="宋体"/>
          <w:color w:val="auto"/>
          <w:kern w:val="0"/>
          <w:sz w:val="24"/>
          <w:szCs w:val="24"/>
          <w:highlight w:val="none"/>
          <w:u w:val="single"/>
        </w:rPr>
        <w:t xml:space="preserve">         </w:t>
      </w:r>
      <w:r>
        <w:rPr>
          <w:rFonts w:hint="eastAsia" w:ascii="仿宋_GB2312" w:hAnsi="宋体" w:eastAsia="仿宋_GB2312" w:cs="宋体"/>
          <w:color w:val="auto"/>
          <w:kern w:val="0"/>
          <w:sz w:val="24"/>
          <w:szCs w:val="24"/>
          <w:highlight w:val="none"/>
          <w:u w:val="single"/>
          <w:lang w:val="en-US" w:eastAsia="zh-CN"/>
        </w:rPr>
        <w:t xml:space="preserve">  </w:t>
      </w:r>
      <w:r>
        <w:rPr>
          <w:rFonts w:hint="eastAsia" w:ascii="仿宋_GB2312" w:hAnsi="宋体" w:eastAsia="仿宋_GB2312" w:cs="宋体"/>
          <w:color w:val="auto"/>
          <w:kern w:val="0"/>
          <w:sz w:val="24"/>
          <w:szCs w:val="24"/>
          <w:highlight w:val="none"/>
          <w:u w:val="single"/>
        </w:rPr>
        <w:t xml:space="preserve">    </w:t>
      </w:r>
    </w:p>
    <w:p w14:paraId="1823D9B3">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outlineLvl w:val="0"/>
        <w:rPr>
          <w:rFonts w:hint="eastAsia" w:ascii="黑体" w:hAnsi="黑体" w:eastAsia="黑体" w:cs="黑体"/>
          <w:color w:val="auto"/>
          <w:kern w:val="0"/>
          <w:sz w:val="24"/>
          <w:szCs w:val="24"/>
          <w:highlight w:val="none"/>
          <w:lang w:eastAsia="zh-CN"/>
        </w:rPr>
      </w:pPr>
      <w:bookmarkStart w:id="55" w:name="_Toc7437"/>
      <w:bookmarkStart w:id="56" w:name="_Toc10853"/>
      <w:bookmarkStart w:id="57" w:name="_Toc3856"/>
      <w:bookmarkStart w:id="58" w:name="_Toc17048"/>
      <w:bookmarkStart w:id="59" w:name="_Toc18283"/>
      <w:bookmarkStart w:id="60" w:name="_Toc25214"/>
      <w:r>
        <w:rPr>
          <w:rFonts w:hint="eastAsia" w:ascii="黑体" w:hAnsi="黑体" w:eastAsia="黑体" w:cs="黑体"/>
          <w:color w:val="auto"/>
          <w:kern w:val="0"/>
          <w:sz w:val="24"/>
          <w:szCs w:val="24"/>
          <w:highlight w:val="none"/>
          <w:lang w:eastAsia="zh-CN"/>
        </w:rPr>
        <w:t>二、投诉项目基本情况</w:t>
      </w:r>
      <w:bookmarkEnd w:id="55"/>
      <w:bookmarkEnd w:id="56"/>
      <w:bookmarkEnd w:id="57"/>
      <w:bookmarkEnd w:id="58"/>
      <w:bookmarkEnd w:id="59"/>
      <w:bookmarkEnd w:id="60"/>
    </w:p>
    <w:p w14:paraId="3EBB30BF">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lang w:eastAsia="zh-CN"/>
        </w:rPr>
      </w:pPr>
      <w:r>
        <w:rPr>
          <w:rFonts w:hint="eastAsia" w:ascii="仿宋_GB2312" w:hAnsi="宋体" w:eastAsia="仿宋_GB2312" w:cs="宋体"/>
          <w:color w:val="auto"/>
          <w:kern w:val="0"/>
          <w:sz w:val="24"/>
          <w:szCs w:val="24"/>
          <w:highlight w:val="none"/>
          <w:lang w:eastAsia="zh-CN"/>
        </w:rPr>
        <w:t>采购项目名称：</w:t>
      </w:r>
    </w:p>
    <w:p w14:paraId="79A1CA6A">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lang w:val="en-US" w:eastAsia="zh-CN"/>
        </w:rPr>
      </w:pPr>
      <w:r>
        <w:rPr>
          <w:rFonts w:hint="eastAsia" w:ascii="仿宋_GB2312" w:hAnsi="宋体" w:eastAsia="仿宋_GB2312" w:cs="宋体"/>
          <w:color w:val="auto"/>
          <w:kern w:val="0"/>
          <w:sz w:val="24"/>
          <w:szCs w:val="24"/>
          <w:highlight w:val="none"/>
          <w:lang w:eastAsia="zh-CN"/>
        </w:rPr>
        <w:t>采购项目编号：</w:t>
      </w:r>
      <w:r>
        <w:rPr>
          <w:rFonts w:hint="eastAsia" w:ascii="仿宋_GB2312" w:hAnsi="宋体" w:eastAsia="仿宋_GB2312" w:cs="宋体"/>
          <w:color w:val="auto"/>
          <w:kern w:val="0"/>
          <w:sz w:val="24"/>
          <w:szCs w:val="24"/>
          <w:highlight w:val="none"/>
          <w:lang w:val="en-US" w:eastAsia="zh-CN"/>
        </w:rPr>
        <w:t xml:space="preserve">        包号：</w:t>
      </w:r>
    </w:p>
    <w:p w14:paraId="178DB3AE">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lang w:val="en-US" w:eastAsia="zh-CN"/>
        </w:rPr>
      </w:pPr>
      <w:r>
        <w:rPr>
          <w:rFonts w:hint="eastAsia" w:ascii="仿宋_GB2312" w:hAnsi="宋体" w:eastAsia="仿宋_GB2312" w:cs="宋体"/>
          <w:color w:val="auto"/>
          <w:kern w:val="0"/>
          <w:sz w:val="24"/>
          <w:szCs w:val="24"/>
          <w:highlight w:val="none"/>
          <w:lang w:val="en-US" w:eastAsia="zh-CN"/>
        </w:rPr>
        <w:t>采购人名称：</w:t>
      </w:r>
    </w:p>
    <w:p w14:paraId="74E476B4">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lang w:val="en-US" w:eastAsia="zh-CN"/>
        </w:rPr>
      </w:pPr>
      <w:r>
        <w:rPr>
          <w:rFonts w:hint="eastAsia" w:ascii="仿宋_GB2312" w:hAnsi="宋体" w:eastAsia="仿宋_GB2312" w:cs="宋体"/>
          <w:color w:val="auto"/>
          <w:kern w:val="0"/>
          <w:sz w:val="24"/>
          <w:szCs w:val="24"/>
          <w:highlight w:val="none"/>
          <w:lang w:val="en-US" w:eastAsia="zh-CN"/>
        </w:rPr>
        <w:t>代理机构名称：</w:t>
      </w:r>
    </w:p>
    <w:p w14:paraId="4F373C6B">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lang w:val="en-US" w:eastAsia="zh-CN"/>
        </w:rPr>
      </w:pPr>
      <w:r>
        <w:rPr>
          <w:rFonts w:hint="eastAsia" w:ascii="仿宋_GB2312" w:hAnsi="宋体" w:eastAsia="仿宋_GB2312" w:cs="宋体"/>
          <w:color w:val="auto"/>
          <w:kern w:val="0"/>
          <w:sz w:val="24"/>
          <w:szCs w:val="24"/>
          <w:highlight w:val="none"/>
          <w:lang w:val="en-US" w:eastAsia="zh-CN"/>
        </w:rPr>
        <w:t>采购文件公告：是/否 公告期限：</w:t>
      </w:r>
    </w:p>
    <w:p w14:paraId="05A9D08E">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lang w:val="en-US" w:eastAsia="zh-CN"/>
        </w:rPr>
      </w:pPr>
      <w:r>
        <w:rPr>
          <w:rFonts w:hint="eastAsia" w:ascii="仿宋_GB2312" w:hAnsi="宋体" w:eastAsia="仿宋_GB2312" w:cs="宋体"/>
          <w:color w:val="auto"/>
          <w:kern w:val="0"/>
          <w:sz w:val="24"/>
          <w:szCs w:val="24"/>
          <w:highlight w:val="none"/>
          <w:lang w:val="en-US" w:eastAsia="zh-CN"/>
        </w:rPr>
        <w:t>采购结果公告：是/否 公告期限：</w:t>
      </w:r>
    </w:p>
    <w:p w14:paraId="55E80D4C">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484" w:firstLineChars="200"/>
        <w:jc w:val="left"/>
        <w:outlineLvl w:val="0"/>
        <w:rPr>
          <w:rFonts w:hint="eastAsia" w:ascii="黑体" w:hAnsi="黑体" w:eastAsia="黑体" w:cs="黑体"/>
          <w:color w:val="auto"/>
          <w:kern w:val="0"/>
          <w:sz w:val="24"/>
          <w:szCs w:val="24"/>
          <w:highlight w:val="none"/>
          <w:lang w:val="en-US" w:eastAsia="zh-CN"/>
        </w:rPr>
      </w:pPr>
      <w:bookmarkStart w:id="61" w:name="_Toc13582"/>
      <w:bookmarkStart w:id="62" w:name="_Toc2182"/>
      <w:bookmarkStart w:id="63" w:name="_Toc25877"/>
      <w:bookmarkStart w:id="64" w:name="_Toc14152"/>
      <w:bookmarkStart w:id="65" w:name="_Toc10808"/>
      <w:bookmarkStart w:id="66" w:name="_Toc13183"/>
      <w:r>
        <w:rPr>
          <w:rFonts w:hint="eastAsia" w:ascii="黑体" w:hAnsi="黑体" w:eastAsia="黑体" w:cs="黑体"/>
          <w:color w:val="auto"/>
          <w:kern w:val="0"/>
          <w:sz w:val="24"/>
          <w:szCs w:val="24"/>
          <w:highlight w:val="none"/>
          <w:lang w:val="en-US" w:eastAsia="zh-CN"/>
        </w:rPr>
        <w:t>三、质疑基本情况</w:t>
      </w:r>
      <w:bookmarkEnd w:id="61"/>
      <w:bookmarkEnd w:id="62"/>
      <w:bookmarkEnd w:id="63"/>
      <w:bookmarkEnd w:id="64"/>
      <w:bookmarkEnd w:id="65"/>
      <w:bookmarkEnd w:id="66"/>
    </w:p>
    <w:p w14:paraId="06D56FE8">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投诉人于    年  月  日，向       提出质疑，</w:t>
      </w:r>
    </w:p>
    <w:p w14:paraId="253DB211">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质疑事项为：</w:t>
      </w:r>
    </w:p>
    <w:p w14:paraId="37AB5B89">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采购人/代理机构于    年  月  日，就质疑事项做出了答复/没有在法定期限内做出答复。</w:t>
      </w:r>
    </w:p>
    <w:p w14:paraId="234CBDA7">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484" w:firstLineChars="200"/>
        <w:jc w:val="left"/>
        <w:outlineLvl w:val="0"/>
        <w:rPr>
          <w:rFonts w:hint="default" w:ascii="黑体" w:hAnsi="黑体" w:eastAsia="黑体" w:cs="黑体"/>
          <w:color w:val="auto"/>
          <w:kern w:val="0"/>
          <w:sz w:val="24"/>
          <w:szCs w:val="24"/>
          <w:highlight w:val="none"/>
          <w:lang w:val="en-US" w:eastAsia="zh-CN"/>
        </w:rPr>
      </w:pPr>
      <w:bookmarkStart w:id="67" w:name="_Toc26083"/>
      <w:bookmarkStart w:id="68" w:name="_Toc17256"/>
      <w:bookmarkStart w:id="69" w:name="_Toc3347"/>
      <w:bookmarkStart w:id="70" w:name="_Toc15203"/>
      <w:bookmarkStart w:id="71" w:name="_Toc23110"/>
      <w:bookmarkStart w:id="72" w:name="_Toc6760"/>
      <w:r>
        <w:rPr>
          <w:rFonts w:hint="eastAsia" w:ascii="黑体" w:hAnsi="黑体" w:eastAsia="黑体" w:cs="黑体"/>
          <w:color w:val="auto"/>
          <w:kern w:val="0"/>
          <w:sz w:val="24"/>
          <w:szCs w:val="24"/>
          <w:highlight w:val="none"/>
          <w:lang w:val="en-US" w:eastAsia="zh-CN"/>
        </w:rPr>
        <w:t>四、投诉事项具体内容</w:t>
      </w:r>
      <w:bookmarkEnd w:id="67"/>
      <w:bookmarkEnd w:id="68"/>
      <w:bookmarkEnd w:id="69"/>
      <w:bookmarkEnd w:id="70"/>
      <w:bookmarkEnd w:id="71"/>
      <w:bookmarkEnd w:id="72"/>
    </w:p>
    <w:p w14:paraId="76D3B41C">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投诉事项1：</w:t>
      </w:r>
    </w:p>
    <w:p w14:paraId="64A231A3">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事实依据：</w:t>
      </w:r>
    </w:p>
    <w:p w14:paraId="20DB1CEC">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法律依据1：</w:t>
      </w:r>
    </w:p>
    <w:p w14:paraId="03980F3D">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法律依据2：</w:t>
      </w:r>
    </w:p>
    <w:p w14:paraId="53E098F7">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仿宋_GB2312" w:eastAsia="仿宋_GB2312" w:cs="仿宋_GB2312"/>
          <w:color w:val="auto"/>
          <w:kern w:val="0"/>
          <w:sz w:val="24"/>
          <w:szCs w:val="24"/>
          <w:highlight w:val="none"/>
          <w:lang w:val="en-US" w:eastAsia="zh-CN"/>
        </w:rPr>
      </w:pPr>
    </w:p>
    <w:p w14:paraId="4C365D5B">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投诉事项2：</w:t>
      </w:r>
    </w:p>
    <w:p w14:paraId="0DFD7BDC">
      <w:pPr>
        <w:ind w:firstLine="484" w:firstLineChars="200"/>
        <w:rPr>
          <w:rFonts w:hint="eastAsia" w:ascii="仿宋_GB2312" w:hAnsi="宋体" w:eastAsia="仿宋_GB2312" w:cs="宋体"/>
          <w:color w:val="auto"/>
          <w:kern w:val="0"/>
          <w:sz w:val="24"/>
          <w:szCs w:val="24"/>
          <w:highlight w:val="none"/>
          <w:u w:val="single"/>
          <w:lang w:val="en-US" w:eastAsia="zh-CN"/>
        </w:rPr>
      </w:pPr>
      <w:r>
        <w:rPr>
          <w:rFonts w:hint="eastAsia" w:ascii="仿宋_GB2312" w:eastAsia="仿宋_GB2312"/>
          <w:color w:val="auto"/>
          <w:sz w:val="24"/>
          <w:szCs w:val="24"/>
          <w:highlight w:val="none"/>
        </w:rPr>
        <w:t>……</w:t>
      </w:r>
    </w:p>
    <w:p w14:paraId="291B84B2">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484" w:firstLineChars="200"/>
        <w:jc w:val="left"/>
        <w:outlineLvl w:val="0"/>
        <w:rPr>
          <w:rFonts w:hint="eastAsia" w:ascii="黑体" w:hAnsi="黑体" w:eastAsia="黑体" w:cs="黑体"/>
          <w:color w:val="auto"/>
          <w:kern w:val="0"/>
          <w:sz w:val="24"/>
          <w:szCs w:val="24"/>
          <w:highlight w:val="none"/>
          <w:lang w:eastAsia="zh-CN"/>
        </w:rPr>
      </w:pPr>
      <w:bookmarkStart w:id="73" w:name="_Toc16036"/>
      <w:bookmarkStart w:id="74" w:name="_Toc32324"/>
      <w:bookmarkStart w:id="75" w:name="_Toc31495"/>
      <w:bookmarkStart w:id="76" w:name="_Toc13424"/>
      <w:bookmarkStart w:id="77" w:name="_Toc28176"/>
      <w:bookmarkStart w:id="78" w:name="_Toc16741"/>
      <w:r>
        <w:rPr>
          <w:rFonts w:hint="eastAsia" w:ascii="黑体" w:hAnsi="黑体" w:eastAsia="黑体" w:cs="黑体"/>
          <w:color w:val="auto"/>
          <w:kern w:val="0"/>
          <w:sz w:val="24"/>
          <w:szCs w:val="24"/>
          <w:highlight w:val="none"/>
          <w:lang w:eastAsia="zh-CN"/>
        </w:rPr>
        <w:t>五、与投诉事项相关的投诉请求</w:t>
      </w:r>
      <w:bookmarkEnd w:id="73"/>
      <w:bookmarkEnd w:id="74"/>
      <w:bookmarkEnd w:id="75"/>
      <w:bookmarkEnd w:id="76"/>
      <w:bookmarkEnd w:id="77"/>
      <w:bookmarkEnd w:id="78"/>
    </w:p>
    <w:p w14:paraId="11FDABDA">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eastAsia="zh-CN"/>
        </w:rPr>
        <w:t>请求：</w:t>
      </w:r>
    </w:p>
    <w:p w14:paraId="76BCD8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rPr>
          <w:rFonts w:hint="eastAsia" w:ascii="仿宋_GB2312" w:hAnsi="宋体" w:eastAsia="仿宋_GB2312" w:cs="宋体"/>
          <w:color w:val="auto"/>
          <w:kern w:val="0"/>
          <w:sz w:val="24"/>
          <w:szCs w:val="24"/>
          <w:highlight w:val="none"/>
        </w:rPr>
      </w:pPr>
    </w:p>
    <w:p w14:paraId="3DC5B7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rPr>
          <w:rFonts w:hint="eastAsia" w:ascii="仿宋_GB2312" w:hAnsi="宋体" w:eastAsia="仿宋_GB2312" w:cs="宋体"/>
          <w:color w:val="auto"/>
          <w:kern w:val="0"/>
          <w:sz w:val="24"/>
          <w:szCs w:val="24"/>
          <w:highlight w:val="none"/>
          <w:lang w:val="en-US" w:eastAsia="zh-CN"/>
        </w:rPr>
      </w:pPr>
      <w:r>
        <w:rPr>
          <w:rFonts w:hint="eastAsia" w:ascii="仿宋_GB2312" w:hAnsi="宋体" w:eastAsia="仿宋_GB2312" w:cs="宋体"/>
          <w:color w:val="auto"/>
          <w:kern w:val="0"/>
          <w:sz w:val="24"/>
          <w:szCs w:val="24"/>
          <w:highlight w:val="none"/>
          <w:lang w:eastAsia="zh-CN"/>
        </w:rPr>
        <w:t>签字（签章）</w:t>
      </w:r>
      <w:r>
        <w:rPr>
          <w:rFonts w:hint="eastAsia" w:ascii="楷体" w:hAnsi="楷体" w:eastAsia="楷体" w:cs="楷体"/>
          <w:color w:val="auto"/>
          <w:kern w:val="0"/>
          <w:sz w:val="24"/>
          <w:szCs w:val="24"/>
          <w:highlight w:val="none"/>
          <w:lang w:eastAsia="zh-CN"/>
        </w:rPr>
        <w:t>（法人代表或负责人、代理人）</w:t>
      </w:r>
      <w:r>
        <w:rPr>
          <w:rFonts w:hint="eastAsia" w:ascii="仿宋_GB2312" w:hAnsi="宋体" w:eastAsia="仿宋_GB2312" w:cs="宋体"/>
          <w:color w:val="auto"/>
          <w:kern w:val="0"/>
          <w:sz w:val="24"/>
          <w:szCs w:val="24"/>
          <w:highlight w:val="none"/>
          <w:lang w:eastAsia="zh-CN"/>
        </w:rPr>
        <w:t>：</w:t>
      </w:r>
      <w:r>
        <w:rPr>
          <w:rFonts w:hint="eastAsia" w:ascii="仿宋_GB2312" w:hAnsi="宋体" w:eastAsia="仿宋_GB2312" w:cs="宋体"/>
          <w:color w:val="auto"/>
          <w:kern w:val="0"/>
          <w:sz w:val="24"/>
          <w:szCs w:val="24"/>
          <w:highlight w:val="none"/>
          <w:lang w:val="en-US" w:eastAsia="zh-CN"/>
        </w:rPr>
        <w:t xml:space="preserve">       </w:t>
      </w:r>
    </w:p>
    <w:p w14:paraId="7E5FEC7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rPr>
          <w:rFonts w:hint="eastAsia"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lang w:eastAsia="zh-CN"/>
        </w:rPr>
        <w:t>公章</w:t>
      </w:r>
      <w:r>
        <w:rPr>
          <w:rFonts w:hint="eastAsia" w:ascii="楷体" w:hAnsi="楷体" w:eastAsia="楷体" w:cs="楷体"/>
          <w:color w:val="auto"/>
          <w:kern w:val="0"/>
          <w:sz w:val="24"/>
          <w:szCs w:val="24"/>
          <w:highlight w:val="none"/>
          <w:lang w:eastAsia="zh-CN"/>
        </w:rPr>
        <w:t>（单位）</w:t>
      </w:r>
      <w:r>
        <w:rPr>
          <w:rFonts w:hint="eastAsia" w:ascii="仿宋_GB2312" w:hAnsi="宋体" w:eastAsia="仿宋_GB2312" w:cs="宋体"/>
          <w:color w:val="auto"/>
          <w:kern w:val="0"/>
          <w:sz w:val="24"/>
          <w:szCs w:val="24"/>
          <w:highlight w:val="none"/>
          <w:lang w:eastAsia="zh-CN"/>
        </w:rPr>
        <w:t>：</w:t>
      </w:r>
      <w:r>
        <w:rPr>
          <w:rFonts w:hint="eastAsia" w:ascii="仿宋_GB2312" w:hAnsi="宋体" w:eastAsia="仿宋_GB2312" w:cs="宋体"/>
          <w:color w:val="auto"/>
          <w:kern w:val="0"/>
          <w:sz w:val="24"/>
          <w:szCs w:val="24"/>
          <w:highlight w:val="none"/>
        </w:rPr>
        <w:t xml:space="preserve">            </w:t>
      </w:r>
      <w:r>
        <w:rPr>
          <w:rFonts w:hint="eastAsia" w:ascii="仿宋_GB2312" w:hAnsi="宋体" w:eastAsia="仿宋_GB2312" w:cs="宋体"/>
          <w:color w:val="auto"/>
          <w:kern w:val="0"/>
          <w:sz w:val="24"/>
          <w:szCs w:val="24"/>
          <w:highlight w:val="none"/>
          <w:lang w:val="en-US" w:eastAsia="zh-CN"/>
        </w:rPr>
        <w:t xml:space="preserve"> </w:t>
      </w:r>
      <w:r>
        <w:rPr>
          <w:rFonts w:hint="eastAsia" w:ascii="仿宋_GB2312" w:hAnsi="宋体" w:eastAsia="仿宋_GB2312" w:cs="宋体"/>
          <w:color w:val="auto"/>
          <w:kern w:val="0"/>
          <w:sz w:val="24"/>
          <w:szCs w:val="24"/>
          <w:highlight w:val="none"/>
        </w:rPr>
        <w:t xml:space="preserve">  </w:t>
      </w:r>
    </w:p>
    <w:p w14:paraId="758A98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rPr>
          <w:rFonts w:hint="eastAsia" w:ascii="仿宋_GB2312" w:hAnsi="宋体" w:eastAsia="仿宋_GB2312" w:cs="宋体"/>
          <w:color w:val="auto"/>
          <w:kern w:val="0"/>
          <w:sz w:val="24"/>
          <w:szCs w:val="24"/>
          <w:highlight w:val="none"/>
          <w:lang w:eastAsia="zh-CN"/>
        </w:rPr>
      </w:pPr>
      <w:r>
        <w:rPr>
          <w:rFonts w:hint="eastAsia" w:ascii="仿宋_GB2312" w:hAnsi="宋体" w:eastAsia="仿宋_GB2312" w:cs="宋体"/>
          <w:color w:val="auto"/>
          <w:kern w:val="0"/>
          <w:sz w:val="24"/>
          <w:szCs w:val="24"/>
          <w:highlight w:val="none"/>
          <w:lang w:eastAsia="zh-CN"/>
        </w:rPr>
        <w:t>日期：</w:t>
      </w:r>
    </w:p>
    <w:p w14:paraId="219655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484" w:firstLineChars="200"/>
        <w:jc w:val="left"/>
        <w:rPr>
          <w:rFonts w:hint="eastAsia" w:ascii="仿宋_GB2312" w:hAnsi="宋体" w:eastAsia="仿宋_GB2312" w:cs="宋体"/>
          <w:color w:val="auto"/>
          <w:kern w:val="0"/>
          <w:sz w:val="24"/>
          <w:szCs w:val="24"/>
          <w:highlight w:val="none"/>
          <w:lang w:eastAsia="zh-CN"/>
        </w:rPr>
      </w:pPr>
      <w:bookmarkStart w:id="79" w:name="_Toc7988"/>
      <w:r>
        <w:rPr>
          <w:rFonts w:hint="eastAsia" w:ascii="仿宋_GB2312" w:hAnsi="宋体" w:eastAsia="仿宋_GB2312" w:cs="宋体"/>
          <w:color w:val="auto"/>
          <w:kern w:val="0"/>
          <w:sz w:val="24"/>
          <w:szCs w:val="24"/>
          <w:highlight w:val="none"/>
          <w:lang w:eastAsia="zh-CN"/>
        </w:rPr>
        <w:t>附件：质疑及答复材料</w:t>
      </w:r>
    </w:p>
    <w:p w14:paraId="22FF23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outlineLvl w:val="0"/>
        <w:rPr>
          <w:rFonts w:hint="eastAsia" w:ascii="仿宋_GB2312" w:hAnsi="宋体" w:eastAsia="仿宋_GB2312" w:cs="宋体"/>
          <w:b/>
          <w:bCs/>
          <w:color w:val="auto"/>
          <w:kern w:val="0"/>
          <w:sz w:val="24"/>
          <w:szCs w:val="24"/>
          <w:highlight w:val="none"/>
          <w:lang w:eastAsia="zh-CN"/>
        </w:rPr>
      </w:pPr>
      <w:bookmarkStart w:id="80" w:name="_Toc2789"/>
      <w:bookmarkStart w:id="81" w:name="_Toc5781"/>
      <w:bookmarkStart w:id="82" w:name="_Toc29658"/>
      <w:bookmarkStart w:id="83" w:name="_Toc20349"/>
      <w:bookmarkStart w:id="84" w:name="_Toc31452"/>
      <w:r>
        <w:rPr>
          <w:rFonts w:hint="eastAsia" w:ascii="仿宋_GB2312" w:hAnsi="宋体" w:eastAsia="仿宋_GB2312" w:cs="宋体"/>
          <w:b/>
          <w:bCs/>
          <w:color w:val="auto"/>
          <w:kern w:val="0"/>
          <w:sz w:val="24"/>
          <w:szCs w:val="24"/>
          <w:highlight w:val="none"/>
          <w:lang w:eastAsia="zh-CN"/>
        </w:rPr>
        <w:t>投诉书制作说明：</w:t>
      </w:r>
      <w:bookmarkEnd w:id="79"/>
      <w:bookmarkEnd w:id="80"/>
      <w:bookmarkEnd w:id="81"/>
      <w:bookmarkEnd w:id="82"/>
      <w:bookmarkEnd w:id="83"/>
      <w:bookmarkEnd w:id="84"/>
    </w:p>
    <w:p w14:paraId="729F6D2E">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default"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1.投诉人应当按照</w:t>
      </w:r>
      <w:r>
        <w:rPr>
          <w:rFonts w:hint="default" w:ascii="楷体" w:hAnsi="楷体" w:eastAsia="楷体" w:cs="楷体"/>
          <w:color w:val="auto"/>
          <w:kern w:val="0"/>
          <w:sz w:val="24"/>
          <w:szCs w:val="24"/>
          <w:highlight w:val="none"/>
          <w:lang w:val="en-US" w:eastAsia="zh-CN"/>
        </w:rPr>
        <w:t>《政府采购质疑和投诉办法》</w:t>
      </w:r>
      <w:r>
        <w:rPr>
          <w:rFonts w:hint="eastAsia" w:ascii="楷体" w:hAnsi="楷体" w:eastAsia="楷体" w:cs="楷体"/>
          <w:color w:val="auto"/>
          <w:kern w:val="0"/>
          <w:sz w:val="24"/>
          <w:szCs w:val="24"/>
          <w:highlight w:val="none"/>
          <w:lang w:val="en-US" w:eastAsia="zh-CN"/>
        </w:rPr>
        <w:t>（财政部令第94号）规定提起投诉。</w:t>
      </w:r>
    </w:p>
    <w:p w14:paraId="66301F71">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2.投诉人提起投诉时，应当提交投诉书和必要的证明材料，并按照被投诉人和与投诉事项有关的供应商数量提供投诉书副本。</w:t>
      </w:r>
    </w:p>
    <w:p w14:paraId="65E8F304">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3.投诉人若委托代理人进行投诉的，投诉书应按照要求列明“授权代表”的有关内容，并在附件中提交由投诉人签署的授权委托书。授权委托书应当载明代理人的姓名或者名称、代理事项、具体权限、期限和相关事项。</w:t>
      </w:r>
    </w:p>
    <w:p w14:paraId="7688E266">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4.投诉人若对项目的某一分包进行投诉，投诉书应列明具体分包号。</w:t>
      </w:r>
    </w:p>
    <w:p w14:paraId="62082196">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5.投诉书应简要列明质疑事项，质疑函、质疑答复等作为附件材料提供。</w:t>
      </w:r>
    </w:p>
    <w:p w14:paraId="02953764">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6.投诉书的投诉事项应具体、明确，并由必要的事实依据和法律依据。</w:t>
      </w:r>
    </w:p>
    <w:p w14:paraId="0161A7AA">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楷体" w:hAnsi="楷体" w:eastAsia="楷体" w:cs="楷体"/>
          <w:color w:val="auto"/>
          <w:kern w:val="0"/>
          <w:sz w:val="24"/>
          <w:szCs w:val="24"/>
          <w:highlight w:val="none"/>
          <w:lang w:val="en-US" w:eastAsia="zh-CN"/>
        </w:rPr>
      </w:pPr>
      <w:r>
        <w:rPr>
          <w:rFonts w:hint="eastAsia" w:ascii="楷体" w:hAnsi="楷体" w:eastAsia="楷体" w:cs="楷体"/>
          <w:color w:val="auto"/>
          <w:kern w:val="0"/>
          <w:sz w:val="24"/>
          <w:szCs w:val="24"/>
          <w:highlight w:val="none"/>
          <w:lang w:val="en-US" w:eastAsia="zh-CN"/>
        </w:rPr>
        <w:t>7.投诉书的投诉请求应与投诉事项相关。</w:t>
      </w:r>
    </w:p>
    <w:p w14:paraId="13B96C0E">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楷体" w:hAnsi="楷体" w:eastAsia="楷体" w:cs="楷体"/>
          <w:color w:val="auto"/>
          <w:kern w:val="0"/>
          <w:sz w:val="32"/>
          <w:szCs w:val="32"/>
          <w:highlight w:val="none"/>
          <w:lang w:val="en-US" w:eastAsia="zh-CN"/>
        </w:rPr>
      </w:pPr>
      <w:r>
        <w:rPr>
          <w:rFonts w:hint="eastAsia" w:ascii="楷体" w:hAnsi="楷体" w:eastAsia="楷体" w:cs="楷体"/>
          <w:color w:val="auto"/>
          <w:kern w:val="0"/>
          <w:sz w:val="24"/>
          <w:szCs w:val="24"/>
          <w:highlight w:val="none"/>
          <w:lang w:val="en-US" w:eastAsia="zh-CN"/>
        </w:rPr>
        <w:t>8.投诉人为自然人的，投诉书应当由本人签字；投诉书应当由法定代表人、主要负责人，或者其授权代表签字或者盖章，并加盖公章。</w:t>
      </w:r>
    </w:p>
    <w:p w14:paraId="67D9E71C">
      <w:pPr>
        <w:shd w:val="clear" w:color="auto" w:fill="auto"/>
        <w:ind w:left="7951" w:hanging="5796" w:hangingChars="1800"/>
        <w:jc w:val="center"/>
        <w:outlineLvl w:val="0"/>
        <w:rPr>
          <w:rFonts w:hint="eastAsia" w:ascii="宋体" w:hAnsi="宋体" w:eastAsia="宋体" w:cs="宋体"/>
          <w:b/>
          <w:bCs/>
          <w:color w:val="auto"/>
          <w:sz w:val="32"/>
          <w:szCs w:val="32"/>
          <w:highlight w:val="none"/>
        </w:rPr>
      </w:pPr>
    </w:p>
    <w:p w14:paraId="3567A636">
      <w:pPr>
        <w:shd w:val="clear" w:color="auto" w:fill="auto"/>
        <w:ind w:left="7951" w:hanging="5796" w:hangingChars="1800"/>
        <w:jc w:val="center"/>
        <w:outlineLvl w:val="0"/>
        <w:rPr>
          <w:rFonts w:hint="eastAsia" w:ascii="宋体" w:hAnsi="宋体" w:eastAsia="宋体" w:cs="宋体"/>
          <w:b/>
          <w:bCs/>
          <w:color w:val="auto"/>
          <w:sz w:val="32"/>
          <w:szCs w:val="32"/>
          <w:highlight w:val="none"/>
        </w:rPr>
      </w:pPr>
    </w:p>
    <w:p w14:paraId="0C4E0D7C">
      <w:pPr>
        <w:shd w:val="clear" w:color="auto" w:fill="auto"/>
        <w:ind w:left="7951" w:hanging="5796" w:hangingChars="1800"/>
        <w:jc w:val="center"/>
        <w:outlineLvl w:val="0"/>
        <w:rPr>
          <w:rFonts w:hint="eastAsia" w:ascii="宋体" w:hAnsi="宋体" w:eastAsia="宋体" w:cs="宋体"/>
          <w:b/>
          <w:bCs/>
          <w:color w:val="auto"/>
          <w:sz w:val="32"/>
          <w:szCs w:val="32"/>
          <w:highlight w:val="none"/>
        </w:rPr>
      </w:pPr>
    </w:p>
    <w:p w14:paraId="3D4822FC">
      <w:pPr>
        <w:shd w:val="clear" w:color="auto" w:fill="auto"/>
        <w:ind w:left="7951" w:hanging="5796" w:hangingChars="1800"/>
        <w:jc w:val="center"/>
        <w:outlineLvl w:val="0"/>
        <w:rPr>
          <w:rFonts w:hint="eastAsia" w:ascii="宋体" w:hAnsi="宋体" w:eastAsia="宋体" w:cs="宋体"/>
          <w:b/>
          <w:bCs/>
          <w:color w:val="auto"/>
          <w:sz w:val="32"/>
          <w:szCs w:val="32"/>
          <w:highlight w:val="none"/>
        </w:rPr>
      </w:pPr>
    </w:p>
    <w:p w14:paraId="31A48227">
      <w:pPr>
        <w:shd w:val="clear" w:color="auto" w:fill="auto"/>
        <w:ind w:left="7951" w:hanging="5796" w:hangingChars="1800"/>
        <w:jc w:val="center"/>
        <w:outlineLvl w:val="0"/>
        <w:rPr>
          <w:rFonts w:hint="eastAsia" w:ascii="宋体" w:hAnsi="宋体" w:eastAsia="宋体" w:cs="宋体"/>
          <w:b/>
          <w:bCs/>
          <w:color w:val="auto"/>
          <w:sz w:val="32"/>
          <w:szCs w:val="32"/>
          <w:highlight w:val="none"/>
        </w:rPr>
      </w:pPr>
    </w:p>
    <w:p w14:paraId="01911DC2">
      <w:pPr>
        <w:shd w:val="clear" w:color="auto" w:fill="auto"/>
        <w:ind w:left="7951" w:hanging="5796" w:hangingChars="1800"/>
        <w:jc w:val="center"/>
        <w:outlineLvl w:val="0"/>
        <w:rPr>
          <w:rFonts w:hint="eastAsia" w:ascii="宋体" w:hAnsi="宋体" w:eastAsia="宋体" w:cs="宋体"/>
          <w:b/>
          <w:bCs/>
          <w:color w:val="auto"/>
          <w:sz w:val="32"/>
          <w:szCs w:val="32"/>
          <w:highlight w:val="none"/>
        </w:rPr>
      </w:pPr>
    </w:p>
    <w:p w14:paraId="26F04F04">
      <w:pPr>
        <w:shd w:val="clear" w:color="auto" w:fill="auto"/>
        <w:ind w:left="7951" w:hanging="5796" w:hangingChars="1800"/>
        <w:jc w:val="center"/>
        <w:outlineLvl w:val="0"/>
        <w:rPr>
          <w:rFonts w:hint="eastAsia" w:ascii="宋体" w:hAnsi="宋体" w:eastAsia="宋体" w:cs="宋体"/>
          <w:b/>
          <w:bCs/>
          <w:color w:val="auto"/>
          <w:sz w:val="32"/>
          <w:szCs w:val="32"/>
          <w:highlight w:val="none"/>
        </w:rPr>
      </w:pPr>
    </w:p>
    <w:p w14:paraId="77A3F347">
      <w:pPr>
        <w:shd w:val="clear" w:color="auto" w:fill="auto"/>
        <w:ind w:left="7951" w:hanging="5796" w:hangingChars="1800"/>
        <w:jc w:val="center"/>
        <w:outlineLvl w:val="0"/>
        <w:rPr>
          <w:rFonts w:hint="eastAsia" w:ascii="宋体" w:hAnsi="宋体" w:eastAsia="宋体" w:cs="宋体"/>
          <w:b/>
          <w:bCs/>
          <w:color w:val="auto"/>
          <w:sz w:val="32"/>
          <w:szCs w:val="32"/>
          <w:highlight w:val="none"/>
        </w:rPr>
      </w:pPr>
    </w:p>
    <w:p w14:paraId="6B3D87EB">
      <w:pPr>
        <w:shd w:val="clear" w:color="auto" w:fill="auto"/>
        <w:ind w:left="7951" w:hanging="5796" w:hangingChars="1800"/>
        <w:jc w:val="center"/>
        <w:outlineLvl w:val="0"/>
        <w:rPr>
          <w:rFonts w:hint="eastAsia" w:ascii="宋体" w:hAnsi="宋体" w:eastAsia="宋体" w:cs="宋体"/>
          <w:color w:val="auto"/>
          <w:sz w:val="32"/>
          <w:szCs w:val="32"/>
          <w:highlight w:val="none"/>
        </w:rPr>
      </w:pPr>
      <w:bookmarkStart w:id="85" w:name="_Toc8110"/>
      <w:r>
        <w:rPr>
          <w:rFonts w:hint="eastAsia" w:ascii="宋体" w:hAnsi="宋体" w:eastAsia="宋体" w:cs="宋体"/>
          <w:b/>
          <w:bCs/>
          <w:color w:val="auto"/>
          <w:sz w:val="32"/>
          <w:szCs w:val="32"/>
          <w:highlight w:val="none"/>
        </w:rPr>
        <w:t>投诉相关说明</w:t>
      </w:r>
      <w:bookmarkEnd w:id="54"/>
      <w:bookmarkEnd w:id="85"/>
    </w:p>
    <w:p w14:paraId="176D111B">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投诉人应当满足《政府采购法》、《政府采购法实施条例》和《政府采购供应商投诉处理办法》的相关规定。</w:t>
      </w:r>
    </w:p>
    <w:p w14:paraId="38BD46BF">
      <w:pPr>
        <w:keepNext w:val="0"/>
        <w:keepLines w:val="0"/>
        <w:pageBreakBefore w:val="0"/>
        <w:numPr>
          <w:ilvl w:val="0"/>
          <w:numId w:val="9"/>
        </w:numPr>
        <w:shd w:val="clear" w:color="auto" w:fill="auto"/>
        <w:kinsoku/>
        <w:wordWrap/>
        <w:overflowPunct/>
        <w:topLinePunct w:val="0"/>
        <w:autoSpaceDE/>
        <w:autoSpaceDN/>
        <w:bidi w:val="0"/>
        <w:adjustRightInd/>
        <w:snapToGrid/>
        <w:spacing w:line="400" w:lineRule="exact"/>
        <w:ind w:left="4036" w:leftChars="304" w:hanging="3392" w:hangingChars="1600"/>
        <w:textAlignment w:val="auto"/>
        <w:outlineLvl w:val="0"/>
        <w:rPr>
          <w:rFonts w:hint="eastAsia" w:ascii="宋体" w:hAnsi="宋体" w:eastAsia="宋体" w:cs="宋体"/>
          <w:b/>
          <w:bCs/>
          <w:color w:val="auto"/>
          <w:sz w:val="21"/>
          <w:szCs w:val="21"/>
          <w:highlight w:val="none"/>
        </w:rPr>
      </w:pPr>
      <w:bookmarkStart w:id="86" w:name="_Toc18279"/>
      <w:bookmarkStart w:id="87" w:name="_Toc11499"/>
      <w:r>
        <w:rPr>
          <w:rFonts w:hint="eastAsia" w:ascii="宋体" w:hAnsi="宋体" w:eastAsia="宋体" w:cs="宋体"/>
          <w:b/>
          <w:bCs/>
          <w:color w:val="auto"/>
          <w:sz w:val="21"/>
          <w:szCs w:val="21"/>
          <w:highlight w:val="none"/>
        </w:rPr>
        <w:t>质疑前置及时间要求</w:t>
      </w:r>
      <w:bookmarkEnd w:id="86"/>
      <w:bookmarkEnd w:id="87"/>
    </w:p>
    <w:p w14:paraId="2C67DB9D">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kern w:val="0"/>
          <w:sz w:val="21"/>
          <w:szCs w:val="21"/>
          <w:highlight w:val="none"/>
          <w:shd w:val="clear" w:color="auto" w:fill="FFFFFF"/>
        </w:rPr>
      </w:pPr>
      <w:r>
        <w:rPr>
          <w:rFonts w:hint="eastAsia" w:ascii="宋体" w:hAnsi="宋体" w:eastAsia="宋体" w:cs="宋体"/>
          <w:color w:val="auto"/>
          <w:sz w:val="21"/>
          <w:szCs w:val="21"/>
          <w:highlight w:val="none"/>
        </w:rPr>
        <w:t>《中华人民共和国政府采购法》</w:t>
      </w:r>
      <w:r>
        <w:rPr>
          <w:rFonts w:hint="eastAsia" w:ascii="宋体" w:hAnsi="宋体" w:eastAsia="宋体" w:cs="宋体"/>
          <w:color w:val="auto"/>
          <w:kern w:val="0"/>
          <w:sz w:val="21"/>
          <w:szCs w:val="21"/>
          <w:highlight w:val="none"/>
          <w:shd w:val="clear" w:color="auto" w:fill="FFFFFF"/>
        </w:rPr>
        <w:t>第五十一条：供应商对政府采购活动事项有疑问的，可以向采购人提出询问，采购人应当及时作出答复，但答复的内容不得涉及商业秘密。</w:t>
      </w:r>
    </w:p>
    <w:p w14:paraId="158619F3">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shd w:val="clear" w:color="auto" w:fill="FFFFFF"/>
        </w:rPr>
        <w:t xml:space="preserve"> 第五十二条：供应商认为采购文件、采购过程和中标、</w:t>
      </w:r>
      <w:r>
        <w:rPr>
          <w:rFonts w:hint="eastAsia" w:ascii="宋体" w:hAnsi="宋体" w:eastAsia="宋体" w:cs="宋体"/>
          <w:color w:val="auto"/>
          <w:kern w:val="0"/>
          <w:sz w:val="21"/>
          <w:szCs w:val="21"/>
          <w:highlight w:val="none"/>
          <w:shd w:val="clear" w:color="auto" w:fill="FFFFFF"/>
          <w:lang w:eastAsia="zh-CN"/>
        </w:rPr>
        <w:t>中标</w:t>
      </w:r>
      <w:r>
        <w:rPr>
          <w:rFonts w:hint="eastAsia" w:ascii="宋体" w:hAnsi="宋体" w:eastAsia="宋体" w:cs="宋体"/>
          <w:color w:val="auto"/>
          <w:kern w:val="0"/>
          <w:sz w:val="21"/>
          <w:szCs w:val="21"/>
          <w:highlight w:val="none"/>
          <w:shd w:val="clear" w:color="auto" w:fill="FFFFFF"/>
        </w:rPr>
        <w:t>结果使自己的权益受到损害的，可以在知道或者应知其权益受到损害之日起七个工作日内，以书面形式向采购人提出质疑。</w:t>
      </w:r>
    </w:p>
    <w:p w14:paraId="249CC0EA">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kern w:val="0"/>
          <w:sz w:val="21"/>
          <w:szCs w:val="21"/>
          <w:highlight w:val="none"/>
          <w:shd w:val="clear" w:color="auto" w:fill="FFFFFF"/>
        </w:rPr>
      </w:pPr>
      <w:r>
        <w:rPr>
          <w:rFonts w:hint="eastAsia" w:ascii="宋体" w:hAnsi="宋体" w:eastAsia="宋体" w:cs="宋体"/>
          <w:color w:val="auto"/>
          <w:kern w:val="0"/>
          <w:sz w:val="21"/>
          <w:szCs w:val="21"/>
          <w:highlight w:val="none"/>
          <w:shd w:val="clear" w:color="auto" w:fill="FFFFFF"/>
        </w:rPr>
        <w:t xml:space="preserve"> 第五十三条：采购人应当在收到供应商的书面质疑后七个工作日内作出答复，并以书面形式通知质疑供应商和其他有关供应商，但答复的内容不得涉及商业秘密。</w:t>
      </w:r>
    </w:p>
    <w:p w14:paraId="4A97118C">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kern w:val="0"/>
          <w:sz w:val="21"/>
          <w:szCs w:val="21"/>
          <w:highlight w:val="none"/>
          <w:shd w:val="clear" w:color="auto" w:fill="FFFFFF"/>
        </w:rPr>
      </w:pPr>
      <w:r>
        <w:rPr>
          <w:rFonts w:hint="eastAsia" w:ascii="宋体" w:hAnsi="宋体" w:eastAsia="宋体" w:cs="宋体"/>
          <w:color w:val="auto"/>
          <w:kern w:val="0"/>
          <w:sz w:val="21"/>
          <w:szCs w:val="21"/>
          <w:highlight w:val="none"/>
          <w:shd w:val="clear" w:color="auto" w:fill="FFFFFF"/>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3E707411">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kern w:val="0"/>
          <w:sz w:val="21"/>
          <w:szCs w:val="21"/>
          <w:highlight w:val="none"/>
          <w:shd w:val="clear" w:color="auto" w:fill="FFFFFF"/>
        </w:rPr>
      </w:pPr>
      <w:r>
        <w:rPr>
          <w:rFonts w:hint="eastAsia" w:ascii="宋体" w:hAnsi="宋体" w:eastAsia="宋体" w:cs="宋体"/>
          <w:color w:val="auto"/>
          <w:kern w:val="0"/>
          <w:sz w:val="21"/>
          <w:szCs w:val="21"/>
          <w:highlight w:val="none"/>
          <w:shd w:val="clear" w:color="auto" w:fill="FFFFFF"/>
        </w:rPr>
        <w:t xml:space="preserve">  《政府采购实施条例》第五十五条：供应商质疑、投诉应当有明确的请求和必要的证明材料。供应商投诉的事项不得超出质疑事项的范围。</w:t>
      </w:r>
    </w:p>
    <w:p w14:paraId="7E66A6F3">
      <w:pPr>
        <w:keepNext w:val="0"/>
        <w:keepLines w:val="0"/>
        <w:pageBreakBefore w:val="0"/>
        <w:shd w:val="clear" w:color="auto" w:fill="auto"/>
        <w:kinsoku/>
        <w:wordWrap/>
        <w:overflowPunct/>
        <w:topLinePunct w:val="0"/>
        <w:autoSpaceDE/>
        <w:autoSpaceDN/>
        <w:bidi w:val="0"/>
        <w:adjustRightInd/>
        <w:snapToGrid/>
        <w:spacing w:line="400" w:lineRule="exact"/>
        <w:ind w:firstLine="424" w:firstLineChars="200"/>
        <w:textAlignment w:val="auto"/>
        <w:outlineLvl w:val="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 xml:space="preserve"> </w:t>
      </w:r>
      <w:bookmarkStart w:id="88" w:name="_Toc13508"/>
      <w:bookmarkStart w:id="89" w:name="_Toc26158"/>
      <w:r>
        <w:rPr>
          <w:rFonts w:hint="eastAsia" w:ascii="宋体" w:hAnsi="宋体" w:eastAsia="宋体" w:cs="宋体"/>
          <w:b/>
          <w:bCs/>
          <w:color w:val="auto"/>
          <w:sz w:val="21"/>
          <w:szCs w:val="21"/>
          <w:highlight w:val="none"/>
        </w:rPr>
        <w:t>二、书面方式</w:t>
      </w:r>
      <w:bookmarkEnd w:id="88"/>
      <w:bookmarkEnd w:id="89"/>
    </w:p>
    <w:p w14:paraId="7E6D747A">
      <w:pPr>
        <w:keepNext w:val="0"/>
        <w:keepLines w:val="0"/>
        <w:pageBreakBefore w:val="0"/>
        <w:shd w:val="clear" w:color="auto" w:fill="auto"/>
        <w:kinsoku/>
        <w:wordWrap/>
        <w:overflowPunct/>
        <w:topLinePunct w:val="0"/>
        <w:autoSpaceDE/>
        <w:autoSpaceDN/>
        <w:bidi w:val="0"/>
        <w:adjustRightInd/>
        <w:snapToGrid/>
        <w:spacing w:line="400" w:lineRule="exact"/>
        <w:ind w:left="5760" w:hanging="3816" w:hangingChars="18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《政府采购供应商投诉处理办法》第八条：投诉人投诉</w:t>
      </w:r>
    </w:p>
    <w:p w14:paraId="344D4E29">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时，应当提交投诉书，并按照被投诉人以及与投诉事项有关的供应商数量提供投诉书的副本。</w:t>
      </w:r>
    </w:p>
    <w:p w14:paraId="75A9001B">
      <w:pPr>
        <w:keepNext w:val="0"/>
        <w:keepLines w:val="0"/>
        <w:pageBreakBefore w:val="0"/>
        <w:shd w:val="clear" w:color="auto" w:fill="auto"/>
        <w:kinsoku/>
        <w:wordWrap/>
        <w:overflowPunct/>
        <w:topLinePunct w:val="0"/>
        <w:autoSpaceDE/>
        <w:autoSpaceDN/>
        <w:bidi w:val="0"/>
        <w:adjustRightInd/>
        <w:snapToGrid/>
        <w:spacing w:line="400" w:lineRule="exact"/>
        <w:ind w:left="5760" w:hanging="3816" w:hangingChars="18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投诉书应当包括下列主要内容：</w:t>
      </w:r>
    </w:p>
    <w:p w14:paraId="62711758">
      <w:pPr>
        <w:keepNext w:val="0"/>
        <w:keepLines w:val="0"/>
        <w:pageBreakBefore w:val="0"/>
        <w:numPr>
          <w:ilvl w:val="0"/>
          <w:numId w:val="10"/>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投诉人和被投诉人的名称、地址、电话等；</w:t>
      </w:r>
    </w:p>
    <w:p w14:paraId="7D6A9959">
      <w:pPr>
        <w:keepNext w:val="0"/>
        <w:keepLines w:val="0"/>
        <w:pageBreakBefore w:val="0"/>
        <w:numPr>
          <w:ilvl w:val="0"/>
          <w:numId w:val="10"/>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具体的投诉事项及事实依据；</w:t>
      </w:r>
    </w:p>
    <w:p w14:paraId="043536FD">
      <w:pPr>
        <w:keepNext w:val="0"/>
        <w:keepLines w:val="0"/>
        <w:pageBreakBefore w:val="0"/>
        <w:numPr>
          <w:ilvl w:val="0"/>
          <w:numId w:val="10"/>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质疑和质疑答复情况及相关证明材料；</w:t>
      </w:r>
    </w:p>
    <w:p w14:paraId="4136F563">
      <w:pPr>
        <w:keepNext w:val="0"/>
        <w:keepLines w:val="0"/>
        <w:pageBreakBefore w:val="0"/>
        <w:numPr>
          <w:ilvl w:val="0"/>
          <w:numId w:val="10"/>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提起投诉的日期。</w:t>
      </w:r>
    </w:p>
    <w:p w14:paraId="4399DEE2">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投诉书应当署名。投诉人为自然人，应当由本人签字；投诉人为法人或者其他组织的，应当由法定代表人或者主要负责人签字并加盖公章。</w:t>
      </w:r>
    </w:p>
    <w:p w14:paraId="006EB97A">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0A000B5E">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《政府采购供应商投诉处理办法》第十条：投诉人提起投诉应当符合下列条件：</w:t>
      </w:r>
    </w:p>
    <w:p w14:paraId="3648DB67">
      <w:pPr>
        <w:keepNext w:val="0"/>
        <w:keepLines w:val="0"/>
        <w:pageBreakBefore w:val="0"/>
        <w:numPr>
          <w:ilvl w:val="0"/>
          <w:numId w:val="11"/>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投诉人是参与所投诉政府采购活动的供应商；</w:t>
      </w:r>
    </w:p>
    <w:p w14:paraId="39A4F745">
      <w:pPr>
        <w:keepNext w:val="0"/>
        <w:keepLines w:val="0"/>
        <w:pageBreakBefore w:val="0"/>
        <w:numPr>
          <w:ilvl w:val="0"/>
          <w:numId w:val="11"/>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提起投诉诉前已依法进行质疑；</w:t>
      </w:r>
    </w:p>
    <w:p w14:paraId="33A49413">
      <w:pPr>
        <w:keepNext w:val="0"/>
        <w:keepLines w:val="0"/>
        <w:pageBreakBefore w:val="0"/>
        <w:numPr>
          <w:ilvl w:val="0"/>
          <w:numId w:val="11"/>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投诉书内容符合本办法的规定；</w:t>
      </w:r>
    </w:p>
    <w:p w14:paraId="5AF58808">
      <w:pPr>
        <w:keepNext w:val="0"/>
        <w:keepLines w:val="0"/>
        <w:pageBreakBefore w:val="0"/>
        <w:numPr>
          <w:ilvl w:val="0"/>
          <w:numId w:val="11"/>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在投诉有效期内提起投诉；</w:t>
      </w:r>
    </w:p>
    <w:p w14:paraId="322D0655">
      <w:pPr>
        <w:keepNext w:val="0"/>
        <w:keepLines w:val="0"/>
        <w:pageBreakBefore w:val="0"/>
        <w:numPr>
          <w:ilvl w:val="0"/>
          <w:numId w:val="11"/>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属于本级财政部门管辖；</w:t>
      </w:r>
    </w:p>
    <w:p w14:paraId="1059C158">
      <w:pPr>
        <w:keepNext w:val="0"/>
        <w:keepLines w:val="0"/>
        <w:pageBreakBefore w:val="0"/>
        <w:numPr>
          <w:ilvl w:val="0"/>
          <w:numId w:val="11"/>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同一投诉事项未经财政部门投诉处理；</w:t>
      </w:r>
    </w:p>
    <w:p w14:paraId="2357E403">
      <w:pPr>
        <w:keepNext w:val="0"/>
        <w:keepLines w:val="0"/>
        <w:pageBreakBefore w:val="0"/>
        <w:numPr>
          <w:ilvl w:val="0"/>
          <w:numId w:val="11"/>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国务院财政部门规定的其他条件。</w:t>
      </w:r>
    </w:p>
    <w:p w14:paraId="42254B54">
      <w:pPr>
        <w:keepNext w:val="0"/>
        <w:keepLines w:val="0"/>
        <w:pageBreakBefore w:val="0"/>
        <w:shd w:val="clear" w:color="auto" w:fill="auto"/>
        <w:kinsoku/>
        <w:wordWrap/>
        <w:overflowPunct/>
        <w:topLinePunct w:val="0"/>
        <w:autoSpaceDE/>
        <w:autoSpaceDN/>
        <w:bidi w:val="0"/>
        <w:adjustRightInd/>
        <w:snapToGrid/>
        <w:spacing w:line="400" w:lineRule="exact"/>
        <w:ind w:left="5760" w:hanging="3816" w:hangingChars="18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48848FE1">
      <w:pPr>
        <w:shd w:val="clear" w:color="auto" w:fill="auto"/>
        <w:outlineLvl w:val="0"/>
        <w:rPr>
          <w:rFonts w:hint="eastAsia"/>
          <w:color w:val="auto"/>
          <w:sz w:val="21"/>
          <w:szCs w:val="21"/>
          <w:highlight w:val="none"/>
        </w:rPr>
      </w:pPr>
      <w:r>
        <w:rPr>
          <w:rFonts w:hint="eastAsia"/>
          <w:color w:val="auto"/>
          <w:sz w:val="21"/>
          <w:szCs w:val="21"/>
          <w:highlight w:val="none"/>
        </w:rPr>
        <w:t xml:space="preserve"> </w:t>
      </w:r>
      <w:r>
        <w:rPr>
          <w:rFonts w:hint="eastAsia" w:ascii="宋体" w:hAnsi="宋体" w:eastAsia="宋体" w:cs="宋体"/>
          <w:b/>
          <w:bCs/>
          <w:color w:val="auto"/>
          <w:sz w:val="21"/>
          <w:szCs w:val="21"/>
          <w:highlight w:val="none"/>
        </w:rPr>
        <w:t xml:space="preserve">   </w:t>
      </w:r>
      <w:bookmarkStart w:id="90" w:name="_Toc12143"/>
      <w:bookmarkStart w:id="91" w:name="_Toc5978"/>
      <w:r>
        <w:rPr>
          <w:rFonts w:hint="eastAsia" w:ascii="宋体" w:hAnsi="宋体" w:eastAsia="宋体" w:cs="宋体"/>
          <w:b/>
          <w:bCs/>
          <w:color w:val="auto"/>
          <w:sz w:val="21"/>
          <w:szCs w:val="21"/>
          <w:highlight w:val="none"/>
        </w:rPr>
        <w:t>三、虚假、恶意投诉法律责任</w:t>
      </w:r>
      <w:bookmarkEnd w:id="90"/>
      <w:bookmarkEnd w:id="91"/>
    </w:p>
    <w:p w14:paraId="555875D0">
      <w:pPr>
        <w:keepNext w:val="0"/>
        <w:keepLines w:val="0"/>
        <w:pageBreakBefore w:val="0"/>
        <w:shd w:val="clear" w:color="auto" w:fill="auto"/>
        <w:kinsoku/>
        <w:wordWrap/>
        <w:overflowPunct/>
        <w:topLinePunct w:val="0"/>
        <w:autoSpaceDE/>
        <w:autoSpaceDN/>
        <w:bidi w:val="0"/>
        <w:adjustRightInd/>
        <w:snapToGrid/>
        <w:spacing w:line="40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第七十三条：供应商捏造实施、提供虚假材料或者以非法手段取得证明材料进行投诉的，由财政部门列入不良行为记录名单，禁止其1至3年内参加政府采购活动。</w:t>
      </w:r>
    </w:p>
    <w:p w14:paraId="745EB7AA">
      <w:pPr>
        <w:keepNext w:val="0"/>
        <w:keepLines w:val="0"/>
        <w:pageBreakBefore w:val="0"/>
        <w:shd w:val="clear" w:color="auto" w:fill="auto"/>
        <w:kinsoku/>
        <w:wordWrap/>
        <w:overflowPunct/>
        <w:topLinePunct w:val="0"/>
        <w:autoSpaceDE/>
        <w:autoSpaceDN/>
        <w:bidi w:val="0"/>
        <w:adjustRightInd/>
        <w:snapToGrid/>
        <w:spacing w:line="40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《政府采购供应商投诉处理办法》第二十六条：投诉人有下列情形之一的，属于虚假、恶意投诉，财政部门应当驳回投诉，将其列入不良行为记录名单，并依法予以处罚：</w:t>
      </w:r>
    </w:p>
    <w:p w14:paraId="49C5C371">
      <w:pPr>
        <w:keepNext w:val="0"/>
        <w:keepLines w:val="0"/>
        <w:pageBreakBefore w:val="0"/>
        <w:shd w:val="clear" w:color="auto" w:fill="auto"/>
        <w:kinsoku/>
        <w:wordWrap/>
        <w:overflowPunct/>
        <w:topLinePunct w:val="0"/>
        <w:autoSpaceDE/>
        <w:autoSpaceDN/>
        <w:bidi w:val="0"/>
        <w:adjustRightInd/>
        <w:snapToGrid/>
        <w:spacing w:line="40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（一）1年内3次以上投诉均查无实据的；</w:t>
      </w:r>
    </w:p>
    <w:p w14:paraId="22E549C3">
      <w:pPr>
        <w:keepNext w:val="0"/>
        <w:keepLines w:val="0"/>
        <w:pageBreakBefore w:val="0"/>
        <w:shd w:val="clear" w:color="auto" w:fill="auto"/>
        <w:kinsoku/>
        <w:wordWrap/>
        <w:overflowPunct/>
        <w:topLinePunct w:val="0"/>
        <w:autoSpaceDE/>
        <w:autoSpaceDN/>
        <w:bidi w:val="0"/>
        <w:adjustRightInd/>
        <w:snapToGrid/>
        <w:spacing w:line="40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（二）捏造事实或者提供虚假投诉材料的。</w:t>
      </w:r>
    </w:p>
    <w:p w14:paraId="5AFD588B">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p w14:paraId="0372EC59">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p w14:paraId="1E6FF485">
      <w:pPr>
        <w:shd w:val="clear" w:color="auto" w:fill="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递交投诉书地址</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阿图什市</w:t>
      </w:r>
      <w:r>
        <w:rPr>
          <w:rFonts w:hint="eastAsia" w:ascii="宋体" w:hAnsi="宋体" w:eastAsia="宋体" w:cs="宋体"/>
          <w:color w:val="auto"/>
          <w:sz w:val="21"/>
          <w:szCs w:val="21"/>
          <w:highlight w:val="none"/>
          <w:lang w:val="en-US" w:eastAsia="zh-CN"/>
        </w:rPr>
        <w:t>财政局政府采购办</w:t>
      </w:r>
      <w:r>
        <w:rPr>
          <w:rFonts w:hint="eastAsia" w:ascii="宋体" w:hAnsi="宋体" w:eastAsia="宋体" w:cs="宋体"/>
          <w:color w:val="auto"/>
          <w:sz w:val="21"/>
          <w:szCs w:val="21"/>
          <w:highlight w:val="none"/>
        </w:rPr>
        <w:t>监管办公室</w:t>
      </w:r>
    </w:p>
    <w:p w14:paraId="4E89055A">
      <w:pPr>
        <w:shd w:val="clear" w:color="auto" w:fill="auto"/>
        <w:jc w:val="right"/>
        <w:rPr>
          <w:rFonts w:hint="eastAsia" w:ascii="宋体" w:hAnsi="宋体" w:eastAsia="宋体" w:cs="宋体"/>
          <w:color w:val="auto"/>
          <w:sz w:val="32"/>
          <w:szCs w:val="32"/>
          <w:highlight w:val="none"/>
        </w:rPr>
      </w:pPr>
    </w:p>
    <w:p w14:paraId="45DB0956">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宋体" w:hAnsi="宋体" w:eastAsia="宋体" w:cs="宋体"/>
          <w:b/>
          <w:bCs/>
          <w:color w:val="auto"/>
          <w:sz w:val="44"/>
          <w:szCs w:val="44"/>
          <w:highlight w:val="none"/>
        </w:rPr>
      </w:pPr>
    </w:p>
    <w:p w14:paraId="1ECBAD95">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宋体" w:hAnsi="宋体" w:eastAsia="宋体" w:cs="宋体"/>
          <w:b/>
          <w:bCs/>
          <w:color w:val="auto"/>
          <w:sz w:val="44"/>
          <w:szCs w:val="44"/>
          <w:highlight w:val="none"/>
        </w:rPr>
      </w:pPr>
    </w:p>
    <w:p w14:paraId="26D76BCC">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宋体" w:hAnsi="宋体" w:eastAsia="宋体" w:cs="宋体"/>
          <w:b/>
          <w:bCs/>
          <w:color w:val="auto"/>
          <w:sz w:val="44"/>
          <w:szCs w:val="44"/>
          <w:highlight w:val="none"/>
        </w:rPr>
      </w:pPr>
    </w:p>
    <w:p w14:paraId="65835A37">
      <w:pPr>
        <w:pStyle w:val="28"/>
        <w:rPr>
          <w:rFonts w:hint="eastAsia" w:ascii="宋体" w:hAnsi="宋体" w:eastAsia="宋体" w:cs="宋体"/>
          <w:b/>
          <w:bCs/>
          <w:color w:val="auto"/>
          <w:sz w:val="44"/>
          <w:szCs w:val="44"/>
          <w:highlight w:val="none"/>
        </w:rPr>
      </w:pPr>
    </w:p>
    <w:p w14:paraId="370133C3">
      <w:pPr>
        <w:pStyle w:val="28"/>
        <w:rPr>
          <w:rFonts w:hint="eastAsia" w:ascii="宋体" w:hAnsi="宋体" w:eastAsia="宋体" w:cs="宋体"/>
          <w:b/>
          <w:bCs/>
          <w:color w:val="auto"/>
          <w:sz w:val="44"/>
          <w:szCs w:val="44"/>
          <w:highlight w:val="none"/>
        </w:rPr>
      </w:pPr>
    </w:p>
    <w:p w14:paraId="65F39D71">
      <w:pPr>
        <w:pStyle w:val="28"/>
        <w:rPr>
          <w:rFonts w:hint="eastAsia" w:ascii="宋体" w:hAnsi="宋体" w:eastAsia="宋体" w:cs="宋体"/>
          <w:b/>
          <w:bCs/>
          <w:color w:val="auto"/>
          <w:sz w:val="44"/>
          <w:szCs w:val="44"/>
          <w:highlight w:val="none"/>
        </w:rPr>
      </w:pPr>
    </w:p>
    <w:p w14:paraId="3EBB2E77">
      <w:pPr>
        <w:pStyle w:val="28"/>
        <w:rPr>
          <w:rFonts w:hint="eastAsia" w:ascii="宋体" w:hAnsi="宋体" w:eastAsia="宋体" w:cs="宋体"/>
          <w:b/>
          <w:bCs/>
          <w:color w:val="auto"/>
          <w:sz w:val="44"/>
          <w:szCs w:val="44"/>
          <w:highlight w:val="none"/>
        </w:rPr>
      </w:pPr>
    </w:p>
    <w:p w14:paraId="703E9353">
      <w:pPr>
        <w:pStyle w:val="28"/>
        <w:rPr>
          <w:rFonts w:hint="eastAsia" w:ascii="宋体" w:hAnsi="宋体" w:eastAsia="宋体" w:cs="宋体"/>
          <w:b/>
          <w:bCs/>
          <w:color w:val="auto"/>
          <w:sz w:val="44"/>
          <w:szCs w:val="44"/>
          <w:highlight w:val="none"/>
        </w:rPr>
      </w:pPr>
    </w:p>
    <w:p w14:paraId="47DB42AE">
      <w:pPr>
        <w:pStyle w:val="28"/>
        <w:rPr>
          <w:rFonts w:hint="eastAsia" w:ascii="宋体" w:hAnsi="宋体" w:eastAsia="宋体" w:cs="宋体"/>
          <w:b/>
          <w:bCs/>
          <w:color w:val="auto"/>
          <w:sz w:val="44"/>
          <w:szCs w:val="44"/>
          <w:highlight w:val="none"/>
        </w:rPr>
      </w:pPr>
    </w:p>
    <w:p w14:paraId="5543256E">
      <w:pPr>
        <w:keepNext w:val="0"/>
        <w:keepLines w:val="0"/>
        <w:pageBreakBefore w:val="0"/>
        <w:widowControl w:val="0"/>
        <w:shd w:val="clear" w:color="auto" w:fill="auto"/>
        <w:kinsoku/>
        <w:wordWrap/>
        <w:overflowPunct/>
        <w:topLinePunct w:val="0"/>
        <w:autoSpaceDE/>
        <w:autoSpaceDN/>
        <w:bidi w:val="0"/>
        <w:spacing w:line="540" w:lineRule="exact"/>
        <w:jc w:val="both"/>
        <w:textAlignment w:val="auto"/>
        <w:outlineLvl w:val="0"/>
        <w:rPr>
          <w:rFonts w:hint="eastAsia" w:ascii="宋体" w:hAnsi="宋体" w:eastAsia="宋体" w:cs="宋体"/>
          <w:b/>
          <w:bCs/>
          <w:color w:val="auto"/>
          <w:sz w:val="32"/>
          <w:szCs w:val="32"/>
          <w:highlight w:val="none"/>
        </w:rPr>
      </w:pPr>
      <w:bookmarkStart w:id="92" w:name="_Toc1697"/>
    </w:p>
    <w:p w14:paraId="72EFDA83">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0"/>
        <w:rPr>
          <w:rFonts w:hint="eastAsia" w:ascii="宋体" w:hAnsi="宋体" w:eastAsia="宋体" w:cs="宋体"/>
          <w:b/>
          <w:bCs/>
          <w:color w:val="auto"/>
          <w:sz w:val="32"/>
          <w:szCs w:val="32"/>
          <w:highlight w:val="none"/>
        </w:rPr>
      </w:pPr>
    </w:p>
    <w:p w14:paraId="170B9FF8">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0"/>
        <w:rPr>
          <w:rFonts w:hint="eastAsia" w:ascii="宋体" w:hAnsi="宋体" w:eastAsia="宋体" w:cs="宋体"/>
          <w:b/>
          <w:bCs/>
          <w:color w:val="auto"/>
          <w:sz w:val="32"/>
          <w:szCs w:val="32"/>
          <w:highlight w:val="none"/>
        </w:rPr>
      </w:pPr>
      <w:bookmarkStart w:id="93" w:name="_Toc27801"/>
      <w:r>
        <w:rPr>
          <w:rFonts w:hint="eastAsia" w:ascii="宋体" w:hAnsi="宋体" w:eastAsia="宋体" w:cs="宋体"/>
          <w:b/>
          <w:bCs/>
          <w:color w:val="auto"/>
          <w:sz w:val="32"/>
          <w:szCs w:val="32"/>
          <w:highlight w:val="none"/>
        </w:rPr>
        <w:t>质疑函范本</w:t>
      </w:r>
      <w:bookmarkEnd w:id="92"/>
      <w:bookmarkEnd w:id="93"/>
    </w:p>
    <w:p w14:paraId="4C14C342">
      <w:pPr>
        <w:keepNext w:val="0"/>
        <w:keepLines w:val="0"/>
        <w:pageBreakBefore w:val="0"/>
        <w:widowControl w:val="0"/>
        <w:shd w:val="clear" w:color="auto" w:fill="auto"/>
        <w:kinsoku/>
        <w:wordWrap/>
        <w:overflowPunct/>
        <w:topLinePunct w:val="0"/>
        <w:autoSpaceDE/>
        <w:autoSpaceDN/>
        <w:bidi w:val="0"/>
        <w:adjustRightInd w:val="0"/>
        <w:snapToGrid w:val="0"/>
        <w:spacing w:beforeLines="100" w:line="540" w:lineRule="exact"/>
        <w:ind w:firstLine="424" w:firstLineChars="200"/>
        <w:textAlignment w:val="auto"/>
        <w:outlineLvl w:val="0"/>
        <w:rPr>
          <w:rFonts w:hint="eastAsia" w:ascii="宋体" w:hAnsi="宋体" w:eastAsia="宋体" w:cs="宋体"/>
          <w:bCs/>
          <w:color w:val="auto"/>
          <w:sz w:val="21"/>
          <w:szCs w:val="21"/>
          <w:highlight w:val="none"/>
        </w:rPr>
      </w:pPr>
      <w:bookmarkStart w:id="94" w:name="_Toc3401"/>
      <w:bookmarkStart w:id="95" w:name="_Toc9061"/>
      <w:r>
        <w:rPr>
          <w:rFonts w:hint="eastAsia" w:ascii="宋体" w:hAnsi="宋体" w:eastAsia="宋体" w:cs="宋体"/>
          <w:bCs/>
          <w:color w:val="auto"/>
          <w:sz w:val="21"/>
          <w:szCs w:val="21"/>
          <w:highlight w:val="none"/>
        </w:rPr>
        <w:t>一、质疑供应商基本信息</w:t>
      </w:r>
      <w:bookmarkEnd w:id="94"/>
      <w:bookmarkEnd w:id="95"/>
    </w:p>
    <w:p w14:paraId="66BDA683">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质疑供应商：</w:t>
      </w:r>
      <w:r>
        <w:rPr>
          <w:rFonts w:hint="eastAsia" w:ascii="宋体" w:hAnsi="宋体" w:eastAsia="宋体" w:cs="宋体"/>
          <w:color w:val="auto"/>
          <w:sz w:val="21"/>
          <w:szCs w:val="21"/>
          <w:highlight w:val="none"/>
          <w:u w:val="dotted"/>
        </w:rPr>
        <w:t xml:space="preserve">                         </w:t>
      </w:r>
    </w:p>
    <w:p w14:paraId="2BDD0CA6">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邮编：</w:t>
      </w:r>
      <w:r>
        <w:rPr>
          <w:rFonts w:hint="eastAsia" w:ascii="宋体" w:hAnsi="宋体" w:eastAsia="宋体" w:cs="宋体"/>
          <w:color w:val="auto"/>
          <w:sz w:val="21"/>
          <w:szCs w:val="21"/>
          <w:highlight w:val="none"/>
          <w:u w:val="dotted"/>
        </w:rPr>
        <w:t xml:space="preserve">            </w:t>
      </w:r>
    </w:p>
    <w:p w14:paraId="27D628BB">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联系人：</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dotted"/>
        </w:rPr>
        <w:t xml:space="preserve">            </w:t>
      </w:r>
    </w:p>
    <w:p w14:paraId="3CE1D508">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授权代表：</w:t>
      </w:r>
      <w:r>
        <w:rPr>
          <w:rFonts w:hint="eastAsia" w:ascii="宋体" w:hAnsi="宋体" w:eastAsia="宋体" w:cs="宋体"/>
          <w:color w:val="auto"/>
          <w:sz w:val="21"/>
          <w:szCs w:val="21"/>
          <w:highlight w:val="none"/>
          <w:u w:val="dotted"/>
        </w:rPr>
        <w:t xml:space="preserve">                                          </w:t>
      </w:r>
    </w:p>
    <w:p w14:paraId="1DCAFF38">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dotted"/>
        </w:rPr>
        <w:t xml:space="preserve">                                          </w:t>
      </w:r>
    </w:p>
    <w:p w14:paraId="39466E79">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地址： </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邮编：</w:t>
      </w:r>
      <w:r>
        <w:rPr>
          <w:rFonts w:hint="eastAsia" w:ascii="宋体" w:hAnsi="宋体" w:eastAsia="宋体" w:cs="宋体"/>
          <w:color w:val="auto"/>
          <w:sz w:val="21"/>
          <w:szCs w:val="21"/>
          <w:highlight w:val="none"/>
          <w:u w:val="dotted"/>
        </w:rPr>
        <w:t xml:space="preserve">               </w:t>
      </w:r>
    </w:p>
    <w:p w14:paraId="1CA5AA84">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outlineLvl w:val="0"/>
        <w:rPr>
          <w:rFonts w:hint="eastAsia" w:ascii="宋体" w:hAnsi="宋体" w:eastAsia="宋体" w:cs="宋体"/>
          <w:bCs/>
          <w:color w:val="auto"/>
          <w:sz w:val="21"/>
          <w:szCs w:val="21"/>
          <w:highlight w:val="none"/>
        </w:rPr>
      </w:pPr>
      <w:bookmarkStart w:id="96" w:name="_Toc31203"/>
      <w:bookmarkStart w:id="97" w:name="_Toc15938"/>
      <w:r>
        <w:rPr>
          <w:rFonts w:hint="eastAsia" w:ascii="宋体" w:hAnsi="宋体" w:eastAsia="宋体" w:cs="宋体"/>
          <w:bCs/>
          <w:color w:val="auto"/>
          <w:sz w:val="21"/>
          <w:szCs w:val="21"/>
          <w:highlight w:val="none"/>
        </w:rPr>
        <w:t>二、质疑项目基本情况</w:t>
      </w:r>
      <w:bookmarkEnd w:id="96"/>
      <w:bookmarkEnd w:id="97"/>
    </w:p>
    <w:p w14:paraId="27C27C7B">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质疑项目的名称：</w:t>
      </w:r>
      <w:r>
        <w:rPr>
          <w:rFonts w:hint="eastAsia" w:ascii="宋体" w:hAnsi="宋体" w:eastAsia="宋体" w:cs="宋体"/>
          <w:color w:val="auto"/>
          <w:sz w:val="21"/>
          <w:szCs w:val="21"/>
          <w:highlight w:val="none"/>
          <w:u w:val="dotted"/>
        </w:rPr>
        <w:t xml:space="preserve">                                     </w:t>
      </w:r>
    </w:p>
    <w:p w14:paraId="272A4650">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质疑项目的编号：</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包号：</w:t>
      </w:r>
      <w:r>
        <w:rPr>
          <w:rFonts w:hint="eastAsia" w:ascii="宋体" w:hAnsi="宋体" w:eastAsia="宋体" w:cs="宋体"/>
          <w:color w:val="auto"/>
          <w:sz w:val="21"/>
          <w:szCs w:val="21"/>
          <w:highlight w:val="none"/>
          <w:u w:val="dotted"/>
        </w:rPr>
        <w:t xml:space="preserve">                </w:t>
      </w:r>
    </w:p>
    <w:p w14:paraId="02D6EEFF">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采购人名称：</w:t>
      </w:r>
      <w:r>
        <w:rPr>
          <w:rFonts w:hint="eastAsia" w:ascii="宋体" w:hAnsi="宋体" w:eastAsia="宋体" w:cs="宋体"/>
          <w:color w:val="auto"/>
          <w:sz w:val="21"/>
          <w:szCs w:val="21"/>
          <w:highlight w:val="none"/>
          <w:u w:val="dotted"/>
        </w:rPr>
        <w:t xml:space="preserve">                                         </w:t>
      </w:r>
    </w:p>
    <w:p w14:paraId="034884CB">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采购文件获取日期：</w:t>
      </w:r>
      <w:r>
        <w:rPr>
          <w:rFonts w:hint="eastAsia" w:ascii="宋体" w:hAnsi="宋体" w:eastAsia="宋体" w:cs="宋体"/>
          <w:color w:val="auto"/>
          <w:sz w:val="21"/>
          <w:szCs w:val="21"/>
          <w:highlight w:val="none"/>
          <w:u w:val="dotted"/>
        </w:rPr>
        <w:t xml:space="preserve">                                   </w:t>
      </w:r>
    </w:p>
    <w:p w14:paraId="71C847E4">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outlineLvl w:val="0"/>
        <w:rPr>
          <w:rFonts w:hint="eastAsia" w:ascii="宋体" w:hAnsi="宋体" w:eastAsia="宋体" w:cs="宋体"/>
          <w:bCs/>
          <w:color w:val="auto"/>
          <w:sz w:val="21"/>
          <w:szCs w:val="21"/>
          <w:highlight w:val="none"/>
        </w:rPr>
      </w:pPr>
      <w:bookmarkStart w:id="98" w:name="_Toc18271"/>
      <w:bookmarkStart w:id="99" w:name="_Toc642"/>
      <w:r>
        <w:rPr>
          <w:rFonts w:hint="eastAsia" w:ascii="宋体" w:hAnsi="宋体" w:eastAsia="宋体" w:cs="宋体"/>
          <w:bCs/>
          <w:color w:val="auto"/>
          <w:sz w:val="21"/>
          <w:szCs w:val="21"/>
          <w:highlight w:val="none"/>
        </w:rPr>
        <w:t>三、质疑事项具体内容</w:t>
      </w:r>
      <w:bookmarkEnd w:id="98"/>
      <w:bookmarkEnd w:id="99"/>
    </w:p>
    <w:p w14:paraId="4B565BD7">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质疑事项1：</w:t>
      </w:r>
      <w:r>
        <w:rPr>
          <w:rFonts w:hint="eastAsia" w:ascii="宋体" w:hAnsi="宋体" w:eastAsia="宋体" w:cs="宋体"/>
          <w:color w:val="auto"/>
          <w:sz w:val="21"/>
          <w:szCs w:val="21"/>
          <w:highlight w:val="none"/>
          <w:u w:val="dotted"/>
        </w:rPr>
        <w:t xml:space="preserve">                                         </w:t>
      </w:r>
    </w:p>
    <w:p w14:paraId="20698645">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事实依据：</w:t>
      </w:r>
      <w:r>
        <w:rPr>
          <w:rFonts w:hint="eastAsia" w:ascii="宋体" w:hAnsi="宋体" w:eastAsia="宋体" w:cs="宋体"/>
          <w:color w:val="auto"/>
          <w:sz w:val="21"/>
          <w:szCs w:val="21"/>
          <w:highlight w:val="none"/>
          <w:u w:val="dotted"/>
        </w:rPr>
        <w:t xml:space="preserve">                                           </w:t>
      </w:r>
    </w:p>
    <w:p w14:paraId="1FA893E9">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法律依据：</w:t>
      </w:r>
      <w:r>
        <w:rPr>
          <w:rFonts w:hint="eastAsia" w:ascii="宋体" w:hAnsi="宋体" w:eastAsia="宋体" w:cs="宋体"/>
          <w:color w:val="auto"/>
          <w:sz w:val="21"/>
          <w:szCs w:val="21"/>
          <w:highlight w:val="none"/>
          <w:u w:val="dotted"/>
        </w:rPr>
        <w:t xml:space="preserve">                                           </w:t>
      </w:r>
    </w:p>
    <w:p w14:paraId="18A82E4F">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质疑事项2</w:t>
      </w:r>
    </w:p>
    <w:p w14:paraId="348B55AF">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14:paraId="5E7BA7F7">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outlineLvl w:val="0"/>
        <w:rPr>
          <w:rFonts w:hint="eastAsia" w:ascii="宋体" w:hAnsi="宋体" w:eastAsia="宋体" w:cs="宋体"/>
          <w:bCs/>
          <w:color w:val="auto"/>
          <w:sz w:val="21"/>
          <w:szCs w:val="21"/>
          <w:highlight w:val="none"/>
        </w:rPr>
      </w:pPr>
      <w:bookmarkStart w:id="100" w:name="_Toc3601"/>
      <w:bookmarkStart w:id="101" w:name="_Toc22365"/>
      <w:r>
        <w:rPr>
          <w:rFonts w:hint="eastAsia" w:ascii="宋体" w:hAnsi="宋体" w:eastAsia="宋体" w:cs="宋体"/>
          <w:bCs/>
          <w:color w:val="auto"/>
          <w:sz w:val="21"/>
          <w:szCs w:val="21"/>
          <w:highlight w:val="none"/>
        </w:rPr>
        <w:t>四、与质疑事项相关的质疑请求</w:t>
      </w:r>
      <w:bookmarkEnd w:id="100"/>
      <w:bookmarkEnd w:id="101"/>
    </w:p>
    <w:p w14:paraId="67D273D9">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4" w:firstLineChars="200"/>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请求：</w:t>
      </w:r>
      <w:r>
        <w:rPr>
          <w:rFonts w:hint="eastAsia" w:ascii="宋体" w:hAnsi="宋体" w:eastAsia="宋体" w:cs="宋体"/>
          <w:color w:val="auto"/>
          <w:sz w:val="21"/>
          <w:szCs w:val="21"/>
          <w:highlight w:val="none"/>
          <w:u w:val="dotted"/>
        </w:rPr>
        <w:t xml:space="preserve">                                               </w:t>
      </w:r>
    </w:p>
    <w:p w14:paraId="65E830B7">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签字(签章)：                   公章：                      </w:t>
      </w:r>
    </w:p>
    <w:p w14:paraId="04D2F252">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日期： </w:t>
      </w:r>
    </w:p>
    <w:p w14:paraId="572F34F0">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p>
    <w:p w14:paraId="3FCBE28D">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p>
    <w:p w14:paraId="3B647056">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质疑函制作说明：</w:t>
      </w:r>
    </w:p>
    <w:p w14:paraId="25AD3802">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1.供应商提出质疑时，应提交质疑函和必要的证明材料。</w:t>
      </w:r>
    </w:p>
    <w:p w14:paraId="1F5CAA58">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AC1AD15">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3.质疑供应商若对项目的某一分包进行质疑，质疑函中应列明具体分包号。</w:t>
      </w:r>
    </w:p>
    <w:p w14:paraId="5A9D5A6B">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4.质疑函的质疑事项应具体、明确，并有必要的事实依据和法律依据。</w:t>
      </w:r>
    </w:p>
    <w:p w14:paraId="712D38F3">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5.质疑函的质疑请求应与质疑事项相关。</w:t>
      </w:r>
    </w:p>
    <w:p w14:paraId="0335FDBF">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6.质疑供应商为自然人的，质疑函应由本人签字；质疑供应商为法人或者其他组织的，质疑函应由法定代表人、主要负责人，或者其授权代表签字或者盖章，并加盖公章。</w:t>
      </w:r>
    </w:p>
    <w:p w14:paraId="38CC7FDB">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p>
    <w:p w14:paraId="30BC00C5">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p>
    <w:p w14:paraId="544B7D09">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p>
    <w:p w14:paraId="20FC52E6">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注意事项</w:t>
      </w:r>
    </w:p>
    <w:p w14:paraId="3F5F3BD8">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1、投标人对所附表格中要求的资料和询问应做出肯定的回答。</w:t>
      </w:r>
    </w:p>
    <w:p w14:paraId="57C8DBCC">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2、采购文件的签字人应保证他所做的声明及对一切问题的回答的真实性和准确。</w:t>
      </w:r>
    </w:p>
    <w:p w14:paraId="2FFA1645">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3、投标人提供的采购文件将由采购人使用，并据此进行评价和判断，确定投标人的能力。</w:t>
      </w:r>
    </w:p>
    <w:p w14:paraId="192B6DD9">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 xml:space="preserve">4、投标人提交的文件将给予保密，但不退还。    </w:t>
      </w:r>
    </w:p>
    <w:p w14:paraId="5D921947">
      <w:pPr>
        <w:keepNext w:val="0"/>
        <w:keepLines w:val="0"/>
        <w:pageBreakBefore w:val="0"/>
        <w:widowControl w:val="0"/>
        <w:shd w:val="clear" w:color="auto" w:fill="auto"/>
        <w:kinsoku/>
        <w:wordWrap/>
        <w:overflowPunct/>
        <w:topLinePunct w:val="0"/>
        <w:autoSpaceDE/>
        <w:autoSpaceDN/>
        <w:bidi w:val="0"/>
        <w:spacing w:line="540" w:lineRule="exact"/>
        <w:ind w:firstLine="424"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 xml:space="preserve">   </w:t>
      </w:r>
    </w:p>
    <w:p w14:paraId="32B8006E">
      <w:pPr>
        <w:pStyle w:val="53"/>
        <w:shd w:val="clear" w:color="auto" w:fill="auto"/>
        <w:ind w:left="0" w:leftChars="0" w:firstLine="0" w:firstLineChars="0"/>
        <w:rPr>
          <w:rFonts w:hint="eastAsia" w:ascii="黑体" w:eastAsia="黑体"/>
          <w:color w:val="auto"/>
          <w:sz w:val="30"/>
          <w:szCs w:val="30"/>
          <w:highlight w:val="none"/>
        </w:rPr>
      </w:pPr>
    </w:p>
    <w:p w14:paraId="6932813A">
      <w:pPr>
        <w:pageBreakBefore/>
        <w:shd w:val="clear" w:color="auto" w:fill="auto"/>
        <w:spacing w:line="440" w:lineRule="exact"/>
        <w:jc w:val="center"/>
        <w:outlineLvl w:val="0"/>
        <w:rPr>
          <w:rFonts w:hint="eastAsia" w:ascii="黑体" w:eastAsia="黑体"/>
          <w:color w:val="auto"/>
          <w:sz w:val="30"/>
          <w:szCs w:val="30"/>
          <w:highlight w:val="none"/>
        </w:rPr>
      </w:pPr>
      <w:bookmarkStart w:id="102" w:name="_Toc2323"/>
      <w:r>
        <w:rPr>
          <w:rFonts w:hint="eastAsia" w:ascii="黑体" w:eastAsia="黑体"/>
          <w:color w:val="auto"/>
          <w:sz w:val="30"/>
          <w:szCs w:val="30"/>
          <w:highlight w:val="none"/>
        </w:rPr>
        <w:t>第三章  评标办法</w:t>
      </w:r>
      <w:bookmarkEnd w:id="102"/>
    </w:p>
    <w:p w14:paraId="691A3945">
      <w:pPr>
        <w:shd w:val="clear" w:color="auto" w:fill="auto"/>
        <w:jc w:val="center"/>
        <w:outlineLvl w:val="1"/>
        <w:rPr>
          <w:rFonts w:hint="eastAsia" w:ascii="宋体" w:hAnsi="Times New Roman" w:eastAsia="宋体" w:cs="Times New Roman"/>
          <w:b/>
          <w:color w:val="auto"/>
          <w:sz w:val="28"/>
          <w:szCs w:val="28"/>
          <w:highlight w:val="none"/>
        </w:rPr>
      </w:pPr>
      <w:bookmarkStart w:id="103" w:name="_Toc21805"/>
      <w:bookmarkStart w:id="104" w:name="_Toc362983802"/>
      <w:bookmarkStart w:id="105" w:name="_Toc363135205"/>
      <w:bookmarkStart w:id="106" w:name="_Toc267320058"/>
      <w:r>
        <w:rPr>
          <w:rFonts w:hint="eastAsia" w:ascii="宋体" w:hAnsi="Times New Roman" w:eastAsia="宋体" w:cs="Times New Roman"/>
          <w:b/>
          <w:color w:val="auto"/>
          <w:sz w:val="28"/>
          <w:szCs w:val="28"/>
          <w:highlight w:val="none"/>
        </w:rPr>
        <w:t>一</w:t>
      </w:r>
      <w:r>
        <w:rPr>
          <w:rFonts w:hint="eastAsia" w:ascii="宋体" w:hAnsi="Times New Roman" w:eastAsia="宋体" w:cs="Times New Roman"/>
          <w:b/>
          <w:color w:val="auto"/>
          <w:sz w:val="28"/>
          <w:szCs w:val="28"/>
          <w:highlight w:val="none"/>
          <w:lang w:val="en-US" w:eastAsia="zh-CN"/>
        </w:rPr>
        <w:t xml:space="preserve">  </w:t>
      </w:r>
      <w:r>
        <w:rPr>
          <w:rFonts w:hint="eastAsia" w:ascii="宋体" w:hAnsi="Times New Roman" w:eastAsia="宋体" w:cs="Times New Roman"/>
          <w:b/>
          <w:color w:val="auto"/>
          <w:sz w:val="28"/>
          <w:szCs w:val="28"/>
          <w:highlight w:val="none"/>
        </w:rPr>
        <w:t>总  则</w:t>
      </w:r>
      <w:bookmarkEnd w:id="103"/>
    </w:p>
    <w:p w14:paraId="4224F1B0">
      <w:pPr>
        <w:shd w:val="clear" w:color="auto" w:fill="auto"/>
        <w:tabs>
          <w:tab w:val="left" w:pos="567"/>
          <w:tab w:val="left" w:pos="600"/>
        </w:tabs>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1、一般规定</w:t>
      </w:r>
    </w:p>
    <w:p w14:paraId="15331AF8">
      <w:pPr>
        <w:shd w:val="clear" w:color="auto" w:fill="auto"/>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1.1本项目的招标按照《中华人民共和国政府采购法》、《政府采购货物和服务招标投标管理办法》及政府采购的有关规定进行。</w:t>
      </w:r>
    </w:p>
    <w:p w14:paraId="23F4E8C9">
      <w:pPr>
        <w:shd w:val="clear" w:color="auto" w:fill="auto"/>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1.2评标必须遵循邀请、公平、公正、诚实信用的原则。</w:t>
      </w:r>
    </w:p>
    <w:p w14:paraId="369ADCB4">
      <w:pPr>
        <w:shd w:val="clear" w:color="auto" w:fill="auto"/>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1.3招标代理机构组织招标、开标、评标工作，全过程接受政府采购有关部门的监督、管理和指导。</w:t>
      </w:r>
    </w:p>
    <w:p w14:paraId="0B7710CC">
      <w:pPr>
        <w:shd w:val="clear" w:color="auto" w:fill="auto"/>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1.4评标按照招标文件规定的内容进行，采取符合招标文件要求的</w:t>
      </w:r>
      <w:r>
        <w:rPr>
          <w:rFonts w:hint="eastAsia" w:ascii="宋体" w:hAnsi="宋体" w:cs="宋体"/>
          <w:color w:val="auto"/>
          <w:szCs w:val="21"/>
          <w:highlight w:val="none"/>
          <w:lang w:val="en-US" w:eastAsia="zh-CN"/>
        </w:rPr>
        <w:t>综合评分</w:t>
      </w:r>
      <w:r>
        <w:rPr>
          <w:rFonts w:hint="eastAsia" w:ascii="宋体" w:hAnsi="宋体" w:eastAsia="宋体" w:cs="宋体"/>
          <w:color w:val="auto"/>
          <w:szCs w:val="21"/>
          <w:highlight w:val="none"/>
        </w:rPr>
        <w:t>法；</w:t>
      </w:r>
    </w:p>
    <w:p w14:paraId="0D554B1E">
      <w:pPr>
        <w:shd w:val="clear" w:color="auto" w:fill="auto"/>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1.5本办法的评标对象是指投标人按照招标文件要求提供的有效投标文件，包括投标人应评标委员会要求对原投标文件作出的正式书面澄清文件。</w:t>
      </w:r>
    </w:p>
    <w:p w14:paraId="2FDC997A">
      <w:pPr>
        <w:shd w:val="clear" w:color="auto" w:fill="auto"/>
        <w:tabs>
          <w:tab w:val="left" w:pos="567"/>
          <w:tab w:val="left" w:pos="1145"/>
        </w:tabs>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2、评标组织机构的组成</w:t>
      </w:r>
    </w:p>
    <w:p w14:paraId="4FE6D387">
      <w:pPr>
        <w:widowControl/>
        <w:shd w:val="clear" w:color="auto" w:fill="auto"/>
        <w:spacing w:line="440" w:lineRule="exact"/>
        <w:ind w:firstLine="480"/>
        <w:rPr>
          <w:rFonts w:hint="eastAsia" w:ascii="宋体" w:hAnsi="宋体" w:eastAsia="宋体" w:cs="宋体"/>
          <w:b/>
          <w:bCs/>
          <w:color w:val="auto"/>
          <w:kern w:val="0"/>
          <w:szCs w:val="21"/>
          <w:highlight w:val="none"/>
        </w:rPr>
      </w:pPr>
      <w:r>
        <w:rPr>
          <w:rFonts w:hint="eastAsia" w:ascii="宋体" w:hAnsi="宋体" w:eastAsia="宋体" w:cs="宋体"/>
          <w:b/>
          <w:bCs/>
          <w:color w:val="auto"/>
          <w:szCs w:val="21"/>
          <w:highlight w:val="none"/>
        </w:rPr>
        <w:t>2.1</w:t>
      </w:r>
      <w:r>
        <w:rPr>
          <w:rFonts w:hint="eastAsia" w:ascii="宋体" w:hAnsi="宋体" w:eastAsia="宋体" w:cs="宋体"/>
          <w:color w:val="auto"/>
          <w:spacing w:val="-2"/>
          <w:sz w:val="24"/>
          <w:szCs w:val="24"/>
          <w:highlight w:val="none"/>
        </w:rPr>
        <w:t xml:space="preserve"> </w:t>
      </w:r>
      <w:r>
        <w:rPr>
          <w:rFonts w:hint="eastAsia" w:ascii="宋体" w:hAnsi="宋体" w:eastAsia="宋体" w:cs="宋体"/>
          <w:b/>
          <w:bCs/>
          <w:color w:val="auto"/>
          <w:kern w:val="0"/>
          <w:szCs w:val="21"/>
          <w:highlight w:val="none"/>
          <w:lang w:bidi="ar-SA"/>
        </w:rPr>
        <w:t>评标委员会由有关技术、经济等方面的专家组成，成员人数应当为</w:t>
      </w:r>
      <w:r>
        <w:rPr>
          <w:rFonts w:hint="eastAsia" w:ascii="宋体" w:hAnsi="宋体" w:cs="宋体"/>
          <w:b/>
          <w:bCs/>
          <w:color w:val="auto"/>
          <w:kern w:val="0"/>
          <w:szCs w:val="21"/>
          <w:highlight w:val="none"/>
          <w:lang w:val="en-US" w:eastAsia="zh-CN" w:bidi="ar-SA"/>
        </w:rPr>
        <w:t>5</w:t>
      </w:r>
      <w:r>
        <w:rPr>
          <w:rFonts w:hint="eastAsia" w:ascii="宋体" w:hAnsi="宋体" w:eastAsia="宋体" w:cs="宋体"/>
          <w:b/>
          <w:bCs/>
          <w:color w:val="auto"/>
          <w:kern w:val="0"/>
          <w:szCs w:val="21"/>
          <w:highlight w:val="none"/>
          <w:lang w:bidi="ar-SA"/>
        </w:rPr>
        <w:t>人。</w:t>
      </w:r>
      <w:r>
        <w:rPr>
          <w:rFonts w:hint="eastAsia" w:ascii="宋体" w:hAnsi="宋体" w:eastAsia="宋体" w:cs="宋体"/>
          <w:color w:val="auto"/>
          <w:kern w:val="0"/>
          <w:szCs w:val="21"/>
          <w:highlight w:val="none"/>
          <w:lang w:bidi="ar-SA"/>
        </w:rPr>
        <w:t>其中，技术、经济等方面的专家不得少于成员总数的三分之二。采购数额在1000万元以上、技术复杂的项目，评标委员会中技术、经济方面的专家人数应当为七人以上单数。采购人应当从同级或上一级财政部门设立的政府采购评审专家库中，通过随机方式抽取评标专家。采购人对技术复杂、专业性极强的采购项目，通过随机方式难以确定合适评标专家的，经设区的市、自治州以上人民政府财政部门同意，可以采取选择性方式确定评标专家。</w:t>
      </w:r>
    </w:p>
    <w:p w14:paraId="477CE426">
      <w:pPr>
        <w:shd w:val="clear" w:color="auto" w:fill="auto"/>
        <w:tabs>
          <w:tab w:val="left" w:pos="567"/>
          <w:tab w:val="left" w:pos="1145"/>
        </w:tabs>
        <w:spacing w:line="440" w:lineRule="exact"/>
        <w:ind w:firstLine="540" w:firstLineChars="255"/>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2.2评标工作组由有关专家组成，由评标委员会确认。</w:t>
      </w:r>
    </w:p>
    <w:p w14:paraId="08BFDF56">
      <w:pPr>
        <w:shd w:val="clear" w:color="auto" w:fill="auto"/>
        <w:tabs>
          <w:tab w:val="left" w:pos="567"/>
          <w:tab w:val="left" w:pos="1145"/>
        </w:tabs>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2.3评标委员会应相对独立工作，负责评标、撰写技术、商务评标报告。采购代理机构负责评标过程中资料的保管、发放、回收，整理、汇总评标资料。</w:t>
      </w:r>
    </w:p>
    <w:p w14:paraId="7D9CC729">
      <w:pPr>
        <w:shd w:val="clear" w:color="auto" w:fill="auto"/>
        <w:tabs>
          <w:tab w:val="left" w:pos="567"/>
          <w:tab w:val="left" w:pos="600"/>
        </w:tabs>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3、评标委员会职责</w:t>
      </w:r>
    </w:p>
    <w:p w14:paraId="1C801653">
      <w:pPr>
        <w:pStyle w:val="57"/>
        <w:shd w:val="clear" w:color="auto" w:fill="auto"/>
        <w:spacing w:before="0" w:beforeAutospacing="0" w:after="0" w:afterAutospacing="0" w:line="440" w:lineRule="exact"/>
        <w:ind w:firstLine="540" w:firstLineChars="25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3.1审查投标文件是否符合招标文件要求，并作出评价；</w:t>
      </w:r>
    </w:p>
    <w:p w14:paraId="7BE9565B">
      <w:pPr>
        <w:pStyle w:val="57"/>
        <w:shd w:val="clear" w:color="auto" w:fill="auto"/>
        <w:spacing w:before="0" w:beforeAutospacing="0" w:after="0" w:afterAutospacing="0" w:line="440" w:lineRule="exact"/>
        <w:ind w:firstLine="540" w:firstLineChars="25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3.2要求投标人对投标文件有关事项作出解释或者澄清；</w:t>
      </w:r>
    </w:p>
    <w:p w14:paraId="669ACC6C">
      <w:pPr>
        <w:pStyle w:val="57"/>
        <w:shd w:val="clear" w:color="auto" w:fill="auto"/>
        <w:spacing w:before="0" w:beforeAutospacing="0" w:after="0" w:afterAutospacing="0" w:line="440" w:lineRule="exact"/>
        <w:ind w:firstLine="540" w:firstLineChars="25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3.3推荐中标候选人名单；</w:t>
      </w:r>
    </w:p>
    <w:p w14:paraId="4A1A8D2A">
      <w:pPr>
        <w:pStyle w:val="57"/>
        <w:shd w:val="clear" w:color="auto" w:fill="auto"/>
        <w:spacing w:before="0" w:beforeAutospacing="0" w:after="0" w:afterAutospacing="0" w:line="440" w:lineRule="exact"/>
        <w:ind w:firstLine="540" w:firstLineChars="25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3.4向招标人、招标代理机构或者有关部门报告非法干预评标工作的行为。</w:t>
      </w:r>
    </w:p>
    <w:p w14:paraId="3A193F57">
      <w:pPr>
        <w:shd w:val="clear" w:color="auto" w:fill="auto"/>
        <w:tabs>
          <w:tab w:val="left" w:pos="567"/>
          <w:tab w:val="left" w:pos="600"/>
        </w:tabs>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4、评标委员会义务</w:t>
      </w:r>
    </w:p>
    <w:p w14:paraId="3E5A8D70">
      <w:pPr>
        <w:shd w:val="clear" w:color="auto" w:fill="auto"/>
        <w:tabs>
          <w:tab w:val="left" w:pos="567"/>
          <w:tab w:val="left" w:pos="600"/>
        </w:tabs>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4.1遵纪守法，客观、公正、廉洁地履行职责；</w:t>
      </w:r>
    </w:p>
    <w:p w14:paraId="335507D2">
      <w:pPr>
        <w:shd w:val="clear" w:color="auto" w:fill="auto"/>
        <w:tabs>
          <w:tab w:val="left" w:pos="567"/>
          <w:tab w:val="left" w:pos="600"/>
        </w:tabs>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4.2按照招标文件规定的评标方法和评标标准进行评标，对评审意见承担个人责任；</w:t>
      </w:r>
    </w:p>
    <w:p w14:paraId="38DF37D6">
      <w:pPr>
        <w:shd w:val="clear" w:color="auto" w:fill="auto"/>
        <w:tabs>
          <w:tab w:val="left" w:pos="567"/>
          <w:tab w:val="left" w:pos="600"/>
        </w:tabs>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4.3对评标过程和结果，以及投标人的商业秘密保密；</w:t>
      </w:r>
    </w:p>
    <w:p w14:paraId="79EADA6A">
      <w:pPr>
        <w:shd w:val="clear" w:color="auto" w:fill="auto"/>
        <w:tabs>
          <w:tab w:val="left" w:pos="567"/>
          <w:tab w:val="left" w:pos="600"/>
        </w:tabs>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4.4参与评标报告的起草；</w:t>
      </w:r>
    </w:p>
    <w:p w14:paraId="6C23982F">
      <w:pPr>
        <w:shd w:val="clear" w:color="auto" w:fill="auto"/>
        <w:tabs>
          <w:tab w:val="left" w:pos="567"/>
          <w:tab w:val="left" w:pos="600"/>
        </w:tabs>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4.5配合有关部门的投诉处理工作；</w:t>
      </w:r>
    </w:p>
    <w:p w14:paraId="602B1D02">
      <w:pPr>
        <w:shd w:val="clear" w:color="auto" w:fill="auto"/>
        <w:tabs>
          <w:tab w:val="left" w:pos="567"/>
          <w:tab w:val="left" w:pos="600"/>
        </w:tabs>
        <w:spacing w:line="440" w:lineRule="exact"/>
        <w:ind w:firstLine="540" w:firstLineChars="255"/>
        <w:rPr>
          <w:rFonts w:hint="eastAsia" w:ascii="宋体" w:hAnsi="宋体" w:eastAsia="宋体" w:cs="宋体"/>
          <w:color w:val="auto"/>
          <w:szCs w:val="21"/>
          <w:highlight w:val="none"/>
        </w:rPr>
      </w:pPr>
      <w:r>
        <w:rPr>
          <w:rFonts w:hint="eastAsia" w:ascii="宋体" w:hAnsi="宋体" w:eastAsia="宋体" w:cs="宋体"/>
          <w:color w:val="auto"/>
          <w:szCs w:val="21"/>
          <w:highlight w:val="none"/>
        </w:rPr>
        <w:t>4.6配合招标人、招标代理机构答复投标供应商提出的质疑。</w:t>
      </w:r>
    </w:p>
    <w:p w14:paraId="686B972B">
      <w:pPr>
        <w:shd w:val="clear" w:color="auto" w:fill="auto"/>
        <w:tabs>
          <w:tab w:val="left" w:pos="1547"/>
        </w:tabs>
        <w:spacing w:line="440" w:lineRule="exact"/>
        <w:ind w:firstLine="540" w:firstLineChars="255"/>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5、 评标程序</w:t>
      </w:r>
    </w:p>
    <w:p w14:paraId="07FD29C1">
      <w:pPr>
        <w:pStyle w:val="24"/>
        <w:shd w:val="clear" w:color="auto" w:fill="auto"/>
        <w:tabs>
          <w:tab w:val="left" w:pos="720"/>
          <w:tab w:val="clear" w:pos="0"/>
        </w:tabs>
        <w:spacing w:line="440" w:lineRule="exact"/>
        <w:ind w:firstLine="540" w:firstLineChars="255"/>
        <w:rPr>
          <w:rFonts w:hint="eastAsia" w:ascii="宋体" w:hAnsi="宋体" w:eastAsia="宋体" w:cs="宋体"/>
          <w:bCs/>
          <w:color w:val="auto"/>
          <w:szCs w:val="21"/>
          <w:highlight w:val="none"/>
          <w:lang w:bidi="ar-SA"/>
        </w:rPr>
      </w:pPr>
      <w:r>
        <w:rPr>
          <w:rFonts w:hint="eastAsia" w:ascii="宋体" w:hAnsi="宋体" w:eastAsia="宋体" w:cs="宋体"/>
          <w:bCs/>
          <w:color w:val="auto"/>
          <w:szCs w:val="21"/>
          <w:highlight w:val="none"/>
          <w:lang w:bidi="ar-SA"/>
        </w:rPr>
        <w:t>5.1本次评标首先由评标委员会对投标人的投标文件进行初审，对未能通过初审的投标文件作无效标处理；</w:t>
      </w:r>
    </w:p>
    <w:p w14:paraId="62077211">
      <w:pPr>
        <w:shd w:val="clear" w:color="auto" w:fill="auto"/>
        <w:tabs>
          <w:tab w:val="left" w:pos="720"/>
        </w:tabs>
        <w:spacing w:line="440" w:lineRule="exact"/>
        <w:ind w:firstLine="540" w:firstLineChars="255"/>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5.2对通过初审的投标人的投标文件进行详细的比较和评价。如需要，进行必要的澄清工作；</w:t>
      </w:r>
    </w:p>
    <w:p w14:paraId="4814B1E8">
      <w:pPr>
        <w:pStyle w:val="24"/>
        <w:tabs>
          <w:tab w:val="left" w:pos="720"/>
          <w:tab w:val="clear" w:pos="0"/>
        </w:tabs>
        <w:spacing w:line="440" w:lineRule="exact"/>
        <w:ind w:firstLine="540" w:firstLineChars="255"/>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5.3评标报告与推荐</w:t>
      </w:r>
      <w:r>
        <w:rPr>
          <w:rFonts w:hint="eastAsia" w:ascii="宋体" w:hAnsi="宋体" w:cs="宋体"/>
          <w:bCs/>
          <w:color w:val="auto"/>
          <w:szCs w:val="21"/>
          <w:highlight w:val="none"/>
          <w:lang w:val="en-US" w:eastAsia="zh-CN"/>
        </w:rPr>
        <w:t>中标</w:t>
      </w:r>
      <w:r>
        <w:rPr>
          <w:rFonts w:hint="eastAsia" w:ascii="宋体" w:hAnsi="宋体" w:eastAsia="宋体" w:cs="宋体"/>
          <w:bCs/>
          <w:color w:val="auto"/>
          <w:szCs w:val="21"/>
          <w:highlight w:val="none"/>
        </w:rPr>
        <w:t>候选人</w:t>
      </w:r>
    </w:p>
    <w:p w14:paraId="62082E59">
      <w:pPr>
        <w:pStyle w:val="24"/>
        <w:tabs>
          <w:tab w:val="left" w:pos="720"/>
          <w:tab w:val="clear" w:pos="0"/>
        </w:tabs>
        <w:spacing w:line="440" w:lineRule="exact"/>
        <w:ind w:firstLine="540" w:firstLineChars="255"/>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w:t>
      </w:r>
      <w:r>
        <w:rPr>
          <w:rFonts w:hint="eastAsia" w:ascii="宋体" w:hAnsi="宋体" w:eastAsia="宋体" w:cs="宋体"/>
          <w:bCs/>
          <w:color w:val="auto"/>
          <w:szCs w:val="21"/>
          <w:highlight w:val="none"/>
          <w:lang w:val="en-US" w:eastAsia="zh-CN"/>
        </w:rPr>
        <w:t>4</w:t>
      </w:r>
      <w:r>
        <w:rPr>
          <w:rFonts w:hint="eastAsia" w:ascii="宋体" w:hAnsi="宋体" w:eastAsia="宋体" w:cs="宋体"/>
          <w:bCs/>
          <w:color w:val="auto"/>
          <w:szCs w:val="21"/>
          <w:highlight w:val="none"/>
          <w:lang w:eastAsia="zh-CN"/>
        </w:rPr>
        <w:t>招标</w:t>
      </w:r>
      <w:r>
        <w:rPr>
          <w:rFonts w:hint="eastAsia" w:ascii="宋体" w:hAnsi="宋体" w:eastAsia="宋体" w:cs="宋体"/>
          <w:bCs/>
          <w:color w:val="auto"/>
          <w:szCs w:val="21"/>
          <w:highlight w:val="none"/>
        </w:rPr>
        <w:t>小组各成员应当独立对每个有效响应的文件进行评价、打分，然后汇总每个供应商每项评分因素的得分。</w:t>
      </w:r>
    </w:p>
    <w:p w14:paraId="1883725A">
      <w:pPr>
        <w:pStyle w:val="24"/>
        <w:tabs>
          <w:tab w:val="left" w:pos="720"/>
          <w:tab w:val="clear" w:pos="0"/>
        </w:tabs>
        <w:spacing w:line="440" w:lineRule="exact"/>
        <w:ind w:firstLine="540" w:firstLineChars="255"/>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综合评分法</w:t>
      </w:r>
      <w:r>
        <w:rPr>
          <w:rFonts w:hint="eastAsia" w:ascii="宋体" w:hAnsi="宋体" w:cs="宋体"/>
          <w:bCs/>
          <w:color w:val="auto"/>
          <w:szCs w:val="21"/>
          <w:highlight w:val="none"/>
          <w:lang w:val="en-US" w:eastAsia="zh-CN"/>
        </w:rPr>
        <w:t>货物采购</w:t>
      </w:r>
      <w:r>
        <w:rPr>
          <w:rFonts w:hint="eastAsia" w:ascii="宋体" w:hAnsi="宋体" w:eastAsia="宋体" w:cs="宋体"/>
          <w:bCs/>
          <w:color w:val="auto"/>
          <w:szCs w:val="21"/>
          <w:highlight w:val="none"/>
        </w:rPr>
        <w:t>项目的价格分值占总分值的比重(即权值)为</w:t>
      </w:r>
      <w:r>
        <w:rPr>
          <w:rFonts w:hint="eastAsia" w:ascii="宋体" w:hAnsi="宋体" w:cs="宋体"/>
          <w:bCs/>
          <w:color w:val="auto"/>
          <w:szCs w:val="21"/>
          <w:highlight w:val="none"/>
          <w:lang w:val="en-US" w:eastAsia="zh-CN"/>
        </w:rPr>
        <w:t>30</w:t>
      </w:r>
      <w:r>
        <w:rPr>
          <w:rFonts w:hint="eastAsia" w:ascii="宋体" w:hAnsi="宋体" w:eastAsia="宋体" w:cs="宋体"/>
          <w:bCs/>
          <w:color w:val="auto"/>
          <w:szCs w:val="21"/>
          <w:highlight w:val="none"/>
        </w:rPr>
        <w:t>％，采购项目中含不同采购对象的，以占项目资金比例最高的采购对象确定其项目属性。其价格不列为评分因素，有特殊情况需要在上述规定范围外设定价格分权重的。</w:t>
      </w:r>
    </w:p>
    <w:p w14:paraId="4EDC3883">
      <w:pPr>
        <w:pStyle w:val="24"/>
        <w:tabs>
          <w:tab w:val="left" w:pos="720"/>
          <w:tab w:val="clear" w:pos="0"/>
        </w:tabs>
        <w:spacing w:line="440" w:lineRule="exact"/>
        <w:ind w:firstLine="540" w:firstLineChars="255"/>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综合评分法中的价格分统一采用低价优先法计算，即满足</w:t>
      </w:r>
      <w:r>
        <w:rPr>
          <w:rFonts w:hint="eastAsia" w:ascii="宋体" w:hAnsi="宋体" w:eastAsia="宋体" w:cs="宋体"/>
          <w:bCs/>
          <w:color w:val="auto"/>
          <w:szCs w:val="21"/>
          <w:highlight w:val="none"/>
          <w:lang w:eastAsia="zh-CN"/>
        </w:rPr>
        <w:t>招标文件</w:t>
      </w:r>
      <w:r>
        <w:rPr>
          <w:rFonts w:hint="eastAsia" w:ascii="宋体" w:hAnsi="宋体" w:eastAsia="宋体" w:cs="宋体"/>
          <w:bCs/>
          <w:color w:val="auto"/>
          <w:szCs w:val="21"/>
          <w:highlight w:val="none"/>
        </w:rPr>
        <w:t>要求且最后报价最低的供应商的价格为</w:t>
      </w:r>
      <w:r>
        <w:rPr>
          <w:rFonts w:hint="eastAsia" w:ascii="宋体" w:hAnsi="宋体" w:eastAsia="宋体" w:cs="宋体"/>
          <w:bCs/>
          <w:color w:val="auto"/>
          <w:szCs w:val="21"/>
          <w:highlight w:val="none"/>
          <w:lang w:eastAsia="zh-CN"/>
        </w:rPr>
        <w:t>招标</w:t>
      </w:r>
      <w:r>
        <w:rPr>
          <w:rFonts w:hint="eastAsia" w:ascii="宋体" w:hAnsi="宋体" w:eastAsia="宋体" w:cs="宋体"/>
          <w:bCs/>
          <w:color w:val="auto"/>
          <w:szCs w:val="21"/>
          <w:highlight w:val="none"/>
        </w:rPr>
        <w:t>基准价，其价格分为满分。其他供应商的价格分统一按照下列公式计算：</w:t>
      </w:r>
    </w:p>
    <w:p w14:paraId="7BB4EC68">
      <w:pPr>
        <w:pStyle w:val="24"/>
        <w:tabs>
          <w:tab w:val="left" w:pos="720"/>
          <w:tab w:val="clear" w:pos="0"/>
        </w:tabs>
        <w:spacing w:line="440" w:lineRule="exact"/>
        <w:ind w:firstLine="540" w:firstLineChars="255"/>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eastAsia="zh-CN"/>
        </w:rPr>
        <w:t>招标</w:t>
      </w:r>
      <w:r>
        <w:rPr>
          <w:rFonts w:hint="eastAsia" w:ascii="宋体" w:hAnsi="宋体" w:eastAsia="宋体" w:cs="宋体"/>
          <w:bCs/>
          <w:color w:val="auto"/>
          <w:szCs w:val="21"/>
          <w:highlight w:val="none"/>
        </w:rPr>
        <w:t>报价得分=（</w:t>
      </w:r>
      <w:r>
        <w:rPr>
          <w:rFonts w:hint="eastAsia" w:ascii="宋体" w:hAnsi="宋体" w:eastAsia="宋体" w:cs="宋体"/>
          <w:bCs/>
          <w:color w:val="auto"/>
          <w:szCs w:val="21"/>
          <w:highlight w:val="none"/>
          <w:lang w:eastAsia="zh-CN"/>
        </w:rPr>
        <w:t>招标</w:t>
      </w:r>
      <w:r>
        <w:rPr>
          <w:rFonts w:hint="eastAsia" w:ascii="宋体" w:hAnsi="宋体" w:eastAsia="宋体" w:cs="宋体"/>
          <w:bCs/>
          <w:color w:val="auto"/>
          <w:szCs w:val="21"/>
          <w:highlight w:val="none"/>
        </w:rPr>
        <w:t>基准价/最后</w:t>
      </w:r>
      <w:r>
        <w:rPr>
          <w:rFonts w:hint="eastAsia" w:ascii="宋体" w:hAnsi="宋体" w:eastAsia="宋体" w:cs="宋体"/>
          <w:bCs/>
          <w:color w:val="auto"/>
          <w:szCs w:val="21"/>
          <w:highlight w:val="none"/>
          <w:lang w:eastAsia="zh-CN"/>
        </w:rPr>
        <w:t>招标</w:t>
      </w:r>
      <w:r>
        <w:rPr>
          <w:rFonts w:hint="eastAsia" w:ascii="宋体" w:hAnsi="宋体" w:eastAsia="宋体" w:cs="宋体"/>
          <w:bCs/>
          <w:color w:val="auto"/>
          <w:szCs w:val="21"/>
          <w:highlight w:val="none"/>
        </w:rPr>
        <w:t>报价）×价格权值×100</w:t>
      </w:r>
    </w:p>
    <w:p w14:paraId="73E7004D">
      <w:pPr>
        <w:pStyle w:val="24"/>
        <w:tabs>
          <w:tab w:val="left" w:pos="720"/>
          <w:tab w:val="clear" w:pos="0"/>
        </w:tabs>
        <w:spacing w:line="440" w:lineRule="exact"/>
        <w:ind w:firstLine="540" w:firstLineChars="255"/>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项目评审过程中，不得去掉最后报价中的最高报价和最低报价。</w:t>
      </w:r>
    </w:p>
    <w:p w14:paraId="5EFA220D">
      <w:pPr>
        <w:pStyle w:val="24"/>
        <w:tabs>
          <w:tab w:val="left" w:pos="720"/>
          <w:tab w:val="clear" w:pos="0"/>
        </w:tabs>
        <w:spacing w:line="440" w:lineRule="exact"/>
        <w:ind w:firstLine="540" w:firstLineChars="255"/>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eastAsia="zh-CN"/>
        </w:rPr>
        <w:t>招标</w:t>
      </w:r>
      <w:r>
        <w:rPr>
          <w:rFonts w:hint="eastAsia" w:ascii="宋体" w:hAnsi="宋体" w:eastAsia="宋体" w:cs="宋体"/>
          <w:bCs/>
          <w:color w:val="auto"/>
          <w:szCs w:val="21"/>
          <w:highlight w:val="none"/>
        </w:rPr>
        <w:t>小组应当根据综合评分情况，按照评审得分由高到低顺序推荐3名以上</w:t>
      </w:r>
      <w:r>
        <w:rPr>
          <w:rFonts w:hint="eastAsia" w:ascii="宋体" w:hAnsi="宋体" w:cs="宋体"/>
          <w:bCs/>
          <w:color w:val="auto"/>
          <w:szCs w:val="21"/>
          <w:highlight w:val="none"/>
          <w:lang w:val="en-US" w:eastAsia="zh-CN"/>
        </w:rPr>
        <w:t>中标</w:t>
      </w:r>
      <w:r>
        <w:rPr>
          <w:rFonts w:hint="eastAsia" w:ascii="宋体" w:hAnsi="宋体" w:eastAsia="宋体" w:cs="宋体"/>
          <w:bCs/>
          <w:color w:val="auto"/>
          <w:szCs w:val="21"/>
          <w:highlight w:val="none"/>
        </w:rPr>
        <w:t>候选供应商符合《政府采购竞争性</w:t>
      </w:r>
      <w:r>
        <w:rPr>
          <w:rFonts w:hint="eastAsia" w:ascii="宋体" w:hAnsi="宋体" w:eastAsia="宋体" w:cs="宋体"/>
          <w:bCs/>
          <w:color w:val="auto"/>
          <w:szCs w:val="21"/>
          <w:highlight w:val="none"/>
          <w:lang w:eastAsia="zh-CN"/>
        </w:rPr>
        <w:t>招标</w:t>
      </w:r>
      <w:r>
        <w:rPr>
          <w:rFonts w:hint="eastAsia" w:ascii="宋体" w:hAnsi="宋体" w:eastAsia="宋体" w:cs="宋体"/>
          <w:bCs/>
          <w:color w:val="auto"/>
          <w:szCs w:val="21"/>
          <w:highlight w:val="none"/>
        </w:rPr>
        <w:t>采购方式管理暂行办法》法第二十五条</w:t>
      </w:r>
      <w:r>
        <w:rPr>
          <w:rFonts w:hint="eastAsia" w:ascii="宋体" w:hAnsi="宋体" w:eastAsia="宋体" w:cs="宋体"/>
          <w:bCs/>
          <w:color w:val="auto"/>
          <w:szCs w:val="21"/>
          <w:highlight w:val="none"/>
          <w:lang w:eastAsia="zh-CN"/>
        </w:rPr>
        <w:t>招标</w:t>
      </w:r>
      <w:r>
        <w:rPr>
          <w:rFonts w:hint="eastAsia" w:ascii="宋体" w:hAnsi="宋体" w:eastAsia="宋体" w:cs="宋体"/>
          <w:bCs/>
          <w:color w:val="auto"/>
          <w:szCs w:val="21"/>
          <w:highlight w:val="none"/>
        </w:rPr>
        <w:t>小组应当根据综合评分情况，按照评审得分由高到低顺序推荐3名以上</w:t>
      </w:r>
      <w:r>
        <w:rPr>
          <w:rFonts w:hint="eastAsia" w:ascii="宋体" w:hAnsi="宋体" w:cs="宋体"/>
          <w:bCs/>
          <w:color w:val="auto"/>
          <w:szCs w:val="21"/>
          <w:highlight w:val="none"/>
          <w:lang w:val="en-US" w:eastAsia="zh-CN"/>
        </w:rPr>
        <w:t>中标</w:t>
      </w:r>
      <w:r>
        <w:rPr>
          <w:rFonts w:hint="eastAsia" w:ascii="宋体" w:hAnsi="宋体" w:eastAsia="宋体" w:cs="宋体"/>
          <w:bCs/>
          <w:color w:val="auto"/>
          <w:szCs w:val="21"/>
          <w:highlight w:val="none"/>
        </w:rPr>
        <w:t>候选供应商。符合本办法第二十一条第三款情形的，可以推荐2家</w:t>
      </w:r>
      <w:r>
        <w:rPr>
          <w:rFonts w:hint="eastAsia" w:ascii="宋体" w:hAnsi="宋体" w:cs="宋体"/>
          <w:bCs/>
          <w:color w:val="auto"/>
          <w:szCs w:val="21"/>
          <w:highlight w:val="none"/>
          <w:lang w:val="en-US" w:eastAsia="zh-CN"/>
        </w:rPr>
        <w:t>中标</w:t>
      </w:r>
      <w:r>
        <w:rPr>
          <w:rFonts w:hint="eastAsia" w:ascii="宋体" w:hAnsi="宋体" w:eastAsia="宋体" w:cs="宋体"/>
          <w:bCs/>
          <w:color w:val="auto"/>
          <w:szCs w:val="21"/>
          <w:highlight w:val="none"/>
        </w:rPr>
        <w:t>候选供应商。评审得分相同的，按照最后报价由低到高的顺序推荐。评审得分且最后报价相同的，按照技术指标优劣顺序推荐。</w:t>
      </w:r>
    </w:p>
    <w:p w14:paraId="7C34B0F6">
      <w:pPr>
        <w:shd w:val="clear" w:color="auto" w:fill="auto"/>
        <w:jc w:val="center"/>
        <w:outlineLvl w:val="1"/>
        <w:rPr>
          <w:rFonts w:hint="eastAsia" w:ascii="宋体"/>
          <w:b/>
          <w:color w:val="auto"/>
          <w:sz w:val="28"/>
          <w:szCs w:val="28"/>
          <w:highlight w:val="none"/>
        </w:rPr>
      </w:pPr>
    </w:p>
    <w:p w14:paraId="0FC486E8">
      <w:pPr>
        <w:shd w:val="clear" w:color="auto" w:fill="auto"/>
        <w:jc w:val="center"/>
        <w:outlineLvl w:val="1"/>
        <w:rPr>
          <w:rFonts w:hint="eastAsia" w:ascii="宋体"/>
          <w:b/>
          <w:color w:val="auto"/>
          <w:sz w:val="28"/>
          <w:szCs w:val="28"/>
          <w:highlight w:val="none"/>
        </w:rPr>
      </w:pPr>
    </w:p>
    <w:p w14:paraId="4761F624">
      <w:pPr>
        <w:shd w:val="clear" w:color="auto" w:fill="auto"/>
        <w:jc w:val="center"/>
        <w:outlineLvl w:val="1"/>
        <w:rPr>
          <w:rFonts w:hint="eastAsia" w:ascii="宋体"/>
          <w:b/>
          <w:color w:val="auto"/>
          <w:sz w:val="28"/>
          <w:szCs w:val="28"/>
          <w:highlight w:val="none"/>
        </w:rPr>
      </w:pPr>
    </w:p>
    <w:p w14:paraId="278A5237">
      <w:pPr>
        <w:shd w:val="clear" w:color="auto" w:fill="auto"/>
        <w:jc w:val="both"/>
        <w:outlineLvl w:val="1"/>
        <w:rPr>
          <w:rFonts w:hint="eastAsia" w:ascii="宋体"/>
          <w:b/>
          <w:color w:val="auto"/>
          <w:sz w:val="28"/>
          <w:szCs w:val="28"/>
          <w:highlight w:val="none"/>
        </w:rPr>
      </w:pPr>
    </w:p>
    <w:p w14:paraId="7422B993">
      <w:pPr>
        <w:shd w:val="clear" w:color="auto" w:fill="auto"/>
        <w:jc w:val="both"/>
        <w:outlineLvl w:val="1"/>
        <w:rPr>
          <w:rFonts w:hint="eastAsia" w:ascii="宋体"/>
          <w:b/>
          <w:color w:val="auto"/>
          <w:sz w:val="28"/>
          <w:szCs w:val="28"/>
          <w:highlight w:val="none"/>
        </w:rPr>
      </w:pPr>
    </w:p>
    <w:p w14:paraId="584FEED3">
      <w:pPr>
        <w:shd w:val="clear" w:color="auto" w:fill="auto"/>
        <w:jc w:val="both"/>
        <w:outlineLvl w:val="1"/>
        <w:rPr>
          <w:rFonts w:hint="eastAsia" w:ascii="宋体"/>
          <w:b/>
          <w:color w:val="auto"/>
          <w:sz w:val="28"/>
          <w:szCs w:val="28"/>
          <w:highlight w:val="none"/>
        </w:rPr>
      </w:pPr>
    </w:p>
    <w:p w14:paraId="06D49684">
      <w:pPr>
        <w:shd w:val="clear" w:color="auto" w:fill="auto"/>
        <w:jc w:val="center"/>
        <w:outlineLvl w:val="1"/>
        <w:rPr>
          <w:rFonts w:hint="eastAsia" w:ascii="宋体"/>
          <w:b/>
          <w:color w:val="auto"/>
          <w:sz w:val="28"/>
          <w:szCs w:val="28"/>
          <w:highlight w:val="none"/>
        </w:rPr>
      </w:pPr>
      <w:bookmarkStart w:id="107" w:name="_Toc14061"/>
      <w:r>
        <w:rPr>
          <w:rFonts w:hint="eastAsia" w:ascii="宋体"/>
          <w:b/>
          <w:color w:val="auto"/>
          <w:sz w:val="28"/>
          <w:szCs w:val="28"/>
          <w:highlight w:val="none"/>
        </w:rPr>
        <w:t>二  投标文件初审</w:t>
      </w:r>
      <w:bookmarkEnd w:id="104"/>
      <w:bookmarkEnd w:id="107"/>
    </w:p>
    <w:p w14:paraId="5C1F019E">
      <w:pPr>
        <w:pStyle w:val="10"/>
        <w:rPr>
          <w:rFonts w:hint="eastAsia"/>
          <w:color w:val="auto"/>
          <w:highlight w:val="none"/>
        </w:rPr>
      </w:pPr>
    </w:p>
    <w:p w14:paraId="54120D88">
      <w:pPr>
        <w:shd w:val="clear" w:color="auto" w:fill="auto"/>
        <w:spacing w:line="400" w:lineRule="exact"/>
        <w:ind w:firstLine="310" w:firstLineChars="147"/>
        <w:rPr>
          <w:rFonts w:hint="eastAsia" w:ascii="宋体"/>
          <w:b/>
          <w:color w:val="auto"/>
          <w:szCs w:val="21"/>
          <w:highlight w:val="none"/>
        </w:rPr>
      </w:pPr>
      <w:r>
        <w:rPr>
          <w:rFonts w:hint="eastAsia" w:ascii="宋体"/>
          <w:b/>
          <w:color w:val="auto"/>
          <w:szCs w:val="21"/>
          <w:highlight w:val="none"/>
          <w:lang w:val="en-US" w:eastAsia="zh-CN"/>
        </w:rPr>
        <w:t>6</w:t>
      </w:r>
      <w:r>
        <w:rPr>
          <w:rFonts w:hint="eastAsia" w:ascii="宋体"/>
          <w:b/>
          <w:color w:val="auto"/>
          <w:szCs w:val="21"/>
          <w:highlight w:val="none"/>
        </w:rPr>
        <w:t>.资格性审查:</w:t>
      </w:r>
    </w:p>
    <w:p w14:paraId="7D76861D">
      <w:pPr>
        <w:shd w:val="clear" w:color="auto" w:fill="auto"/>
        <w:spacing w:line="400" w:lineRule="exact"/>
        <w:ind w:firstLine="310" w:firstLineChars="147"/>
        <w:rPr>
          <w:rFonts w:hint="eastAsia"/>
          <w:color w:val="auto"/>
          <w:szCs w:val="21"/>
          <w:highlight w:val="none"/>
        </w:rPr>
      </w:pPr>
      <w:r>
        <w:rPr>
          <w:rFonts w:hint="eastAsia" w:ascii="宋体"/>
          <w:color w:val="auto"/>
          <w:szCs w:val="21"/>
          <w:highlight w:val="none"/>
          <w:lang w:val="en-US" w:eastAsia="zh-CN"/>
        </w:rPr>
        <w:t>6</w:t>
      </w:r>
      <w:r>
        <w:rPr>
          <w:rFonts w:hint="eastAsia" w:ascii="宋体"/>
          <w:color w:val="auto"/>
          <w:szCs w:val="21"/>
          <w:highlight w:val="none"/>
        </w:rPr>
        <w:t>.1</w:t>
      </w:r>
      <w:r>
        <w:rPr>
          <w:rFonts w:hint="eastAsia"/>
          <w:color w:val="auto"/>
          <w:szCs w:val="21"/>
          <w:highlight w:val="none"/>
        </w:rPr>
        <w:t>评审细则</w:t>
      </w:r>
    </w:p>
    <w:tbl>
      <w:tblPr>
        <w:tblStyle w:val="29"/>
        <w:tblW w:w="93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410"/>
        <w:gridCol w:w="5542"/>
        <w:gridCol w:w="1305"/>
        <w:gridCol w:w="1196"/>
      </w:tblGrid>
      <w:tr w14:paraId="14B38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86" w:type="dxa"/>
            <w:vMerge w:val="restart"/>
            <w:vAlign w:val="center"/>
          </w:tcPr>
          <w:p w14:paraId="48E65AE2">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项目</w:t>
            </w:r>
          </w:p>
        </w:tc>
        <w:tc>
          <w:tcPr>
            <w:tcW w:w="5952" w:type="dxa"/>
            <w:gridSpan w:val="2"/>
            <w:vMerge w:val="restart"/>
            <w:vAlign w:val="center"/>
          </w:tcPr>
          <w:p w14:paraId="30193C01">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评审内容</w:t>
            </w:r>
          </w:p>
        </w:tc>
        <w:tc>
          <w:tcPr>
            <w:tcW w:w="2501" w:type="dxa"/>
            <w:gridSpan w:val="2"/>
            <w:vAlign w:val="center"/>
          </w:tcPr>
          <w:p w14:paraId="231C919E">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评审意见</w:t>
            </w:r>
          </w:p>
        </w:tc>
      </w:tr>
      <w:tr w14:paraId="71608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86" w:type="dxa"/>
            <w:vMerge w:val="continue"/>
            <w:vAlign w:val="center"/>
          </w:tcPr>
          <w:p w14:paraId="5FDE89FB">
            <w:pPr>
              <w:shd w:val="clear" w:color="auto" w:fill="auto"/>
              <w:rPr>
                <w:rFonts w:hint="eastAsia" w:ascii="宋体" w:hAnsi="宋体" w:eastAsia="宋体" w:cs="宋体"/>
                <w:bCs/>
                <w:color w:val="auto"/>
                <w:kern w:val="2"/>
                <w:sz w:val="21"/>
                <w:szCs w:val="21"/>
                <w:highlight w:val="none"/>
                <w:lang w:val="en-US" w:eastAsia="zh-CN" w:bidi="ar-SA"/>
              </w:rPr>
            </w:pPr>
          </w:p>
        </w:tc>
        <w:tc>
          <w:tcPr>
            <w:tcW w:w="5952" w:type="dxa"/>
            <w:gridSpan w:val="2"/>
            <w:vMerge w:val="continue"/>
            <w:vAlign w:val="top"/>
          </w:tcPr>
          <w:p w14:paraId="708179B5">
            <w:pPr>
              <w:shd w:val="clear" w:color="auto" w:fill="auto"/>
              <w:rPr>
                <w:rFonts w:hint="eastAsia" w:ascii="宋体" w:hAnsi="宋体" w:eastAsia="宋体" w:cs="宋体"/>
                <w:bCs/>
                <w:color w:val="auto"/>
                <w:kern w:val="2"/>
                <w:sz w:val="21"/>
                <w:szCs w:val="21"/>
                <w:highlight w:val="none"/>
                <w:lang w:val="en-US" w:eastAsia="zh-CN" w:bidi="ar-SA"/>
              </w:rPr>
            </w:pPr>
          </w:p>
        </w:tc>
        <w:tc>
          <w:tcPr>
            <w:tcW w:w="1305" w:type="dxa"/>
            <w:vAlign w:val="center"/>
          </w:tcPr>
          <w:p w14:paraId="0CDE51FA">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是否合格</w:t>
            </w:r>
          </w:p>
        </w:tc>
        <w:tc>
          <w:tcPr>
            <w:tcW w:w="1196" w:type="dxa"/>
            <w:vAlign w:val="center"/>
          </w:tcPr>
          <w:p w14:paraId="090C12E4">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是否合格</w:t>
            </w:r>
          </w:p>
        </w:tc>
      </w:tr>
      <w:tr w14:paraId="6D0AB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886" w:type="dxa"/>
            <w:vMerge w:val="restart"/>
            <w:vAlign w:val="center"/>
          </w:tcPr>
          <w:p w14:paraId="664047CF">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审</w:t>
            </w:r>
          </w:p>
          <w:p w14:paraId="1E45A045">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查</w:t>
            </w:r>
          </w:p>
          <w:p w14:paraId="6D52BE1C">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标</w:t>
            </w:r>
          </w:p>
          <w:p w14:paraId="3376D287">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准</w:t>
            </w:r>
          </w:p>
          <w:p w14:paraId="6042E603">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(适</w:t>
            </w:r>
          </w:p>
          <w:p w14:paraId="1A8EE36D">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用</w:t>
            </w:r>
          </w:p>
          <w:p w14:paraId="2B42F2E1">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于</w:t>
            </w:r>
          </w:p>
          <w:p w14:paraId="08B9ACBC">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资</w:t>
            </w:r>
          </w:p>
          <w:p w14:paraId="36680E40">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格</w:t>
            </w:r>
          </w:p>
          <w:p w14:paraId="2853B78B">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后</w:t>
            </w:r>
          </w:p>
          <w:p w14:paraId="694857F1">
            <w:pPr>
              <w:shd w:val="clear" w:color="auto" w:fill="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审)</w:t>
            </w:r>
          </w:p>
        </w:tc>
        <w:tc>
          <w:tcPr>
            <w:tcW w:w="410" w:type="dxa"/>
            <w:vAlign w:val="center"/>
          </w:tcPr>
          <w:p w14:paraId="41150C5E">
            <w:pPr>
              <w:keepNext w:val="0"/>
              <w:keepLines w:val="0"/>
              <w:pageBreakBefore w:val="0"/>
              <w:widowControl/>
              <w:shd w:val="clear" w:color="auto" w:fill="auto"/>
              <w:kinsoku/>
              <w:wordWrap/>
              <w:overflowPunct/>
              <w:topLinePunct w:val="0"/>
              <w:autoSpaceDE/>
              <w:autoSpaceDN/>
              <w:bidi w:val="0"/>
              <w:adjustRightInd/>
              <w:snapToGrid/>
              <w:spacing w:line="360" w:lineRule="exact"/>
              <w:jc w:val="left"/>
              <w:textAlignment w:val="auto"/>
              <w:outlineLvl w:val="9"/>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w:t>
            </w:r>
          </w:p>
        </w:tc>
        <w:tc>
          <w:tcPr>
            <w:tcW w:w="5542" w:type="dxa"/>
            <w:vAlign w:val="center"/>
          </w:tcPr>
          <w:p w14:paraId="23EDE023">
            <w:pPr>
              <w:tabs>
                <w:tab w:val="left" w:pos="720"/>
              </w:tabs>
              <w:spacing w:line="440" w:lineRule="exact"/>
              <w:jc w:val="left"/>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具备三证合一营业执照副本</w:t>
            </w:r>
            <w:r>
              <w:rPr>
                <w:rFonts w:hint="eastAsia" w:ascii="宋体" w:hAnsi="宋体" w:cs="宋体"/>
                <w:bCs/>
                <w:color w:val="auto"/>
                <w:kern w:val="2"/>
                <w:sz w:val="21"/>
                <w:szCs w:val="21"/>
                <w:highlight w:val="none"/>
                <w:lang w:val="en-US" w:eastAsia="zh-CN" w:bidi="ar-SA"/>
              </w:rPr>
              <w:t>；</w:t>
            </w:r>
          </w:p>
        </w:tc>
        <w:tc>
          <w:tcPr>
            <w:tcW w:w="1305" w:type="dxa"/>
            <w:vAlign w:val="top"/>
          </w:tcPr>
          <w:p w14:paraId="7805C5F9">
            <w:pPr>
              <w:shd w:val="clear" w:color="auto" w:fill="auto"/>
              <w:jc w:val="left"/>
              <w:rPr>
                <w:rFonts w:hint="eastAsia" w:ascii="宋体" w:hAnsi="宋体" w:eastAsia="宋体" w:cs="宋体"/>
                <w:bCs/>
                <w:color w:val="auto"/>
                <w:kern w:val="2"/>
                <w:sz w:val="21"/>
                <w:szCs w:val="21"/>
                <w:highlight w:val="none"/>
                <w:lang w:val="en-US" w:eastAsia="zh-CN" w:bidi="ar-SA"/>
              </w:rPr>
            </w:pPr>
          </w:p>
        </w:tc>
        <w:tc>
          <w:tcPr>
            <w:tcW w:w="1196" w:type="dxa"/>
            <w:vAlign w:val="top"/>
          </w:tcPr>
          <w:p w14:paraId="61252F83">
            <w:pPr>
              <w:shd w:val="clear" w:color="auto" w:fill="auto"/>
              <w:jc w:val="left"/>
              <w:rPr>
                <w:rFonts w:hint="eastAsia" w:ascii="宋体" w:hAnsi="宋体" w:eastAsia="宋体" w:cs="宋体"/>
                <w:bCs/>
                <w:color w:val="auto"/>
                <w:kern w:val="2"/>
                <w:sz w:val="21"/>
                <w:szCs w:val="21"/>
                <w:highlight w:val="none"/>
                <w:lang w:val="en-US" w:eastAsia="zh-CN" w:bidi="ar-SA"/>
              </w:rPr>
            </w:pPr>
          </w:p>
        </w:tc>
      </w:tr>
      <w:tr w14:paraId="46C07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886" w:type="dxa"/>
            <w:vMerge w:val="continue"/>
            <w:vAlign w:val="center"/>
          </w:tcPr>
          <w:p w14:paraId="5DBEA0BB">
            <w:pPr>
              <w:shd w:val="clear" w:color="auto" w:fill="auto"/>
              <w:rPr>
                <w:rFonts w:hint="eastAsia" w:ascii="宋体" w:hAnsi="宋体" w:eastAsia="宋体" w:cs="宋体"/>
                <w:bCs/>
                <w:color w:val="auto"/>
                <w:kern w:val="2"/>
                <w:sz w:val="21"/>
                <w:szCs w:val="21"/>
                <w:highlight w:val="none"/>
                <w:lang w:val="en-US" w:eastAsia="zh-CN" w:bidi="ar-SA"/>
              </w:rPr>
            </w:pPr>
          </w:p>
        </w:tc>
        <w:tc>
          <w:tcPr>
            <w:tcW w:w="410" w:type="dxa"/>
            <w:vAlign w:val="center"/>
          </w:tcPr>
          <w:p w14:paraId="7CE4F037">
            <w:pPr>
              <w:keepNext w:val="0"/>
              <w:keepLines w:val="0"/>
              <w:pageBreakBefore w:val="0"/>
              <w:widowControl/>
              <w:shd w:val="clear" w:color="auto" w:fill="auto"/>
              <w:kinsoku/>
              <w:wordWrap/>
              <w:overflowPunct/>
              <w:topLinePunct w:val="0"/>
              <w:autoSpaceDE/>
              <w:autoSpaceDN/>
              <w:bidi w:val="0"/>
              <w:adjustRightInd/>
              <w:snapToGrid/>
              <w:spacing w:line="360" w:lineRule="exact"/>
              <w:jc w:val="left"/>
              <w:textAlignment w:val="auto"/>
              <w:outlineLvl w:val="9"/>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2</w:t>
            </w:r>
          </w:p>
        </w:tc>
        <w:tc>
          <w:tcPr>
            <w:tcW w:w="5542" w:type="dxa"/>
            <w:vAlign w:val="center"/>
          </w:tcPr>
          <w:p w14:paraId="6BD91729">
            <w:pPr>
              <w:tabs>
                <w:tab w:val="left" w:pos="720"/>
              </w:tabs>
              <w:spacing w:line="440" w:lineRule="exact"/>
              <w:jc w:val="left"/>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color w:val="auto"/>
                <w:szCs w:val="21"/>
                <w:highlight w:val="none"/>
                <w:lang w:eastAsia="zh-CN"/>
              </w:rPr>
              <w:t>法定代表人投标需提供法定代表人资格证明书，委托代理人投标需提供法定代表人授权委托书；</w:t>
            </w:r>
          </w:p>
        </w:tc>
        <w:tc>
          <w:tcPr>
            <w:tcW w:w="1305" w:type="dxa"/>
            <w:vAlign w:val="top"/>
          </w:tcPr>
          <w:p w14:paraId="253C2B60">
            <w:pPr>
              <w:shd w:val="clear" w:color="auto" w:fill="auto"/>
              <w:jc w:val="left"/>
              <w:rPr>
                <w:rFonts w:hint="eastAsia" w:ascii="宋体" w:hAnsi="宋体" w:eastAsia="宋体" w:cs="宋体"/>
                <w:bCs/>
                <w:color w:val="auto"/>
                <w:kern w:val="2"/>
                <w:sz w:val="21"/>
                <w:szCs w:val="21"/>
                <w:highlight w:val="none"/>
                <w:lang w:val="en-US" w:eastAsia="zh-CN" w:bidi="ar-SA"/>
              </w:rPr>
            </w:pPr>
          </w:p>
        </w:tc>
        <w:tc>
          <w:tcPr>
            <w:tcW w:w="1196" w:type="dxa"/>
            <w:vAlign w:val="top"/>
          </w:tcPr>
          <w:p w14:paraId="187A4F99">
            <w:pPr>
              <w:shd w:val="clear" w:color="auto" w:fill="auto"/>
              <w:jc w:val="left"/>
              <w:rPr>
                <w:rFonts w:hint="eastAsia" w:ascii="宋体" w:hAnsi="宋体" w:eastAsia="宋体" w:cs="宋体"/>
                <w:bCs/>
                <w:color w:val="auto"/>
                <w:kern w:val="2"/>
                <w:sz w:val="21"/>
                <w:szCs w:val="21"/>
                <w:highlight w:val="none"/>
                <w:lang w:val="en-US" w:eastAsia="zh-CN" w:bidi="ar-SA"/>
              </w:rPr>
            </w:pPr>
          </w:p>
        </w:tc>
      </w:tr>
      <w:tr w14:paraId="12E53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3" w:hRule="atLeast"/>
          <w:jc w:val="center"/>
        </w:trPr>
        <w:tc>
          <w:tcPr>
            <w:tcW w:w="886" w:type="dxa"/>
            <w:vMerge w:val="continue"/>
            <w:vAlign w:val="center"/>
          </w:tcPr>
          <w:p w14:paraId="3231E614">
            <w:pPr>
              <w:shd w:val="clear" w:color="auto" w:fill="auto"/>
              <w:rPr>
                <w:rFonts w:hint="eastAsia" w:ascii="宋体" w:hAnsi="宋体" w:eastAsia="宋体" w:cs="宋体"/>
                <w:bCs/>
                <w:color w:val="auto"/>
                <w:kern w:val="2"/>
                <w:sz w:val="21"/>
                <w:szCs w:val="21"/>
                <w:highlight w:val="none"/>
                <w:lang w:val="en-US" w:eastAsia="zh-CN" w:bidi="ar-SA"/>
              </w:rPr>
            </w:pPr>
          </w:p>
        </w:tc>
        <w:tc>
          <w:tcPr>
            <w:tcW w:w="410" w:type="dxa"/>
            <w:vAlign w:val="center"/>
          </w:tcPr>
          <w:p w14:paraId="787121DE">
            <w:pPr>
              <w:keepNext w:val="0"/>
              <w:keepLines w:val="0"/>
              <w:pageBreakBefore w:val="0"/>
              <w:widowControl/>
              <w:shd w:val="clear" w:color="auto" w:fill="auto"/>
              <w:kinsoku/>
              <w:wordWrap/>
              <w:overflowPunct/>
              <w:topLinePunct w:val="0"/>
              <w:autoSpaceDE/>
              <w:autoSpaceDN/>
              <w:bidi w:val="0"/>
              <w:adjustRightInd/>
              <w:snapToGrid/>
              <w:spacing w:line="360" w:lineRule="exact"/>
              <w:jc w:val="left"/>
              <w:textAlignment w:val="auto"/>
              <w:outlineLvl w:val="9"/>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3</w:t>
            </w:r>
          </w:p>
        </w:tc>
        <w:tc>
          <w:tcPr>
            <w:tcW w:w="5542" w:type="dxa"/>
            <w:vAlign w:val="center"/>
          </w:tcPr>
          <w:p w14:paraId="0389C667">
            <w:pPr>
              <w:pStyle w:val="25"/>
              <w:keepNext w:val="0"/>
              <w:keepLines w:val="0"/>
              <w:pageBreakBefore w:val="0"/>
              <w:widowControl/>
              <w:suppressLineNumbers w:val="0"/>
              <w:kinsoku/>
              <w:wordWrap/>
              <w:overflowPunct/>
              <w:topLinePunct w:val="0"/>
              <w:autoSpaceDE/>
              <w:autoSpaceDN/>
              <w:bidi w:val="0"/>
              <w:adjustRightInd/>
              <w:snapToGrid/>
              <w:spacing w:before="256" w:beforeAutospacing="0" w:after="256" w:afterAutospacing="0" w:line="360" w:lineRule="auto"/>
              <w:ind w:left="0" w:right="0"/>
              <w:jc w:val="both"/>
              <w:textAlignment w:val="auto"/>
              <w:rPr>
                <w:rFonts w:hint="default" w:ascii="宋体" w:hAnsi="宋体" w:eastAsia="宋体" w:cs="宋体"/>
                <w:bCs/>
                <w:color w:val="auto"/>
                <w:kern w:val="2"/>
                <w:sz w:val="21"/>
                <w:szCs w:val="21"/>
                <w:highlight w:val="none"/>
                <w:lang w:val="en-US" w:eastAsia="zh-CN" w:bidi="ar-SA"/>
              </w:rPr>
            </w:pPr>
            <w:r>
              <w:rPr>
                <w:rFonts w:hint="eastAsia" w:cs="宋体"/>
                <w:color w:val="auto"/>
                <w:kern w:val="2"/>
                <w:sz w:val="21"/>
                <w:szCs w:val="21"/>
                <w:highlight w:val="none"/>
                <w:lang w:val="en-US" w:eastAsia="zh-CN" w:bidi="ar-SA"/>
              </w:rPr>
              <w:t>投标企业须提供投标人（被授权在职人员）近六个月内任意一个月社保证明；</w:t>
            </w:r>
          </w:p>
        </w:tc>
        <w:tc>
          <w:tcPr>
            <w:tcW w:w="1305" w:type="dxa"/>
            <w:vAlign w:val="top"/>
          </w:tcPr>
          <w:p w14:paraId="18541B03">
            <w:pPr>
              <w:shd w:val="clear" w:color="auto" w:fill="auto"/>
              <w:jc w:val="left"/>
              <w:rPr>
                <w:rFonts w:hint="eastAsia" w:ascii="宋体" w:hAnsi="宋体" w:eastAsia="宋体" w:cs="宋体"/>
                <w:bCs/>
                <w:color w:val="auto"/>
                <w:kern w:val="2"/>
                <w:sz w:val="21"/>
                <w:szCs w:val="21"/>
                <w:highlight w:val="none"/>
                <w:lang w:val="en-US" w:eastAsia="zh-CN" w:bidi="ar-SA"/>
              </w:rPr>
            </w:pPr>
          </w:p>
        </w:tc>
        <w:tc>
          <w:tcPr>
            <w:tcW w:w="1196" w:type="dxa"/>
            <w:vAlign w:val="top"/>
          </w:tcPr>
          <w:p w14:paraId="4C3BCACE">
            <w:pPr>
              <w:shd w:val="clear" w:color="auto" w:fill="auto"/>
              <w:jc w:val="left"/>
              <w:rPr>
                <w:rFonts w:hint="eastAsia" w:ascii="宋体" w:hAnsi="宋体" w:eastAsia="宋体" w:cs="宋体"/>
                <w:bCs/>
                <w:color w:val="auto"/>
                <w:kern w:val="2"/>
                <w:sz w:val="21"/>
                <w:szCs w:val="21"/>
                <w:highlight w:val="none"/>
                <w:lang w:val="en-US" w:eastAsia="zh-CN" w:bidi="ar-SA"/>
              </w:rPr>
            </w:pPr>
          </w:p>
        </w:tc>
      </w:tr>
      <w:tr w14:paraId="119EE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886" w:type="dxa"/>
            <w:vMerge w:val="continue"/>
            <w:vAlign w:val="center"/>
          </w:tcPr>
          <w:p w14:paraId="41C46313">
            <w:pPr>
              <w:shd w:val="clear" w:color="auto" w:fill="auto"/>
              <w:rPr>
                <w:rFonts w:hint="eastAsia" w:ascii="宋体" w:hAnsi="宋体" w:eastAsia="宋体" w:cs="宋体"/>
                <w:bCs/>
                <w:color w:val="auto"/>
                <w:kern w:val="2"/>
                <w:sz w:val="21"/>
                <w:szCs w:val="21"/>
                <w:highlight w:val="none"/>
                <w:lang w:val="en-US" w:eastAsia="zh-CN" w:bidi="ar-SA"/>
              </w:rPr>
            </w:pPr>
          </w:p>
        </w:tc>
        <w:tc>
          <w:tcPr>
            <w:tcW w:w="410" w:type="dxa"/>
            <w:vAlign w:val="center"/>
          </w:tcPr>
          <w:p w14:paraId="04C8F4E7">
            <w:pPr>
              <w:keepNext w:val="0"/>
              <w:keepLines w:val="0"/>
              <w:pageBreakBefore w:val="0"/>
              <w:widowControl/>
              <w:shd w:val="clear" w:color="auto" w:fill="auto"/>
              <w:kinsoku/>
              <w:wordWrap/>
              <w:overflowPunct/>
              <w:topLinePunct w:val="0"/>
              <w:autoSpaceDE/>
              <w:autoSpaceDN/>
              <w:bidi w:val="0"/>
              <w:adjustRightInd/>
              <w:snapToGrid/>
              <w:spacing w:line="360" w:lineRule="exact"/>
              <w:jc w:val="left"/>
              <w:textAlignment w:val="auto"/>
              <w:outlineLvl w:val="9"/>
              <w:rPr>
                <w:rFonts w:hint="default" w:ascii="宋体" w:hAnsi="宋体" w:eastAsia="宋体" w:cs="宋体"/>
                <w:bCs/>
                <w:color w:val="auto"/>
                <w:kern w:val="2"/>
                <w:sz w:val="21"/>
                <w:szCs w:val="21"/>
                <w:highlight w:val="none"/>
                <w:lang w:val="en-US" w:eastAsia="zh-CN" w:bidi="ar-SA"/>
              </w:rPr>
            </w:pPr>
            <w:r>
              <w:rPr>
                <w:rFonts w:hint="eastAsia" w:ascii="宋体" w:hAnsi="宋体" w:cs="宋体"/>
                <w:bCs/>
                <w:color w:val="auto"/>
                <w:kern w:val="2"/>
                <w:sz w:val="21"/>
                <w:szCs w:val="21"/>
                <w:highlight w:val="none"/>
                <w:lang w:val="en-US" w:eastAsia="zh-CN" w:bidi="ar-SA"/>
              </w:rPr>
              <w:t>4</w:t>
            </w:r>
          </w:p>
        </w:tc>
        <w:tc>
          <w:tcPr>
            <w:tcW w:w="5542" w:type="dxa"/>
            <w:vAlign w:val="center"/>
          </w:tcPr>
          <w:p w14:paraId="3CD43F53">
            <w:pPr>
              <w:tabs>
                <w:tab w:val="left" w:pos="720"/>
              </w:tabs>
              <w:spacing w:line="440" w:lineRule="exact"/>
              <w:jc w:val="left"/>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投标保证金汇款凭证或保函等票据；</w:t>
            </w:r>
          </w:p>
        </w:tc>
        <w:tc>
          <w:tcPr>
            <w:tcW w:w="1305" w:type="dxa"/>
            <w:vAlign w:val="top"/>
          </w:tcPr>
          <w:p w14:paraId="3DC5EBB9">
            <w:pPr>
              <w:shd w:val="clear" w:color="auto" w:fill="auto"/>
              <w:jc w:val="left"/>
              <w:rPr>
                <w:rFonts w:hint="eastAsia" w:ascii="宋体" w:hAnsi="宋体" w:eastAsia="宋体" w:cs="宋体"/>
                <w:bCs/>
                <w:color w:val="auto"/>
                <w:kern w:val="2"/>
                <w:sz w:val="21"/>
                <w:szCs w:val="21"/>
                <w:highlight w:val="none"/>
                <w:lang w:val="en-US" w:eastAsia="zh-CN" w:bidi="ar-SA"/>
              </w:rPr>
            </w:pPr>
          </w:p>
        </w:tc>
        <w:tc>
          <w:tcPr>
            <w:tcW w:w="1196" w:type="dxa"/>
            <w:vAlign w:val="top"/>
          </w:tcPr>
          <w:p w14:paraId="2E95C9B3">
            <w:pPr>
              <w:shd w:val="clear" w:color="auto" w:fill="auto"/>
              <w:jc w:val="left"/>
              <w:rPr>
                <w:rFonts w:hint="eastAsia" w:ascii="宋体" w:hAnsi="宋体" w:eastAsia="宋体" w:cs="宋体"/>
                <w:bCs/>
                <w:color w:val="auto"/>
                <w:kern w:val="2"/>
                <w:sz w:val="21"/>
                <w:szCs w:val="21"/>
                <w:highlight w:val="none"/>
                <w:lang w:val="en-US" w:eastAsia="zh-CN" w:bidi="ar-SA"/>
              </w:rPr>
            </w:pPr>
          </w:p>
        </w:tc>
      </w:tr>
      <w:tr w14:paraId="2AC09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886" w:type="dxa"/>
            <w:vMerge w:val="continue"/>
            <w:vAlign w:val="center"/>
          </w:tcPr>
          <w:p w14:paraId="12872694">
            <w:pPr>
              <w:shd w:val="clear" w:color="auto" w:fill="auto"/>
              <w:rPr>
                <w:rFonts w:hint="eastAsia" w:ascii="宋体" w:hAnsi="宋体" w:eastAsia="宋体" w:cs="宋体"/>
                <w:bCs/>
                <w:color w:val="auto"/>
                <w:kern w:val="2"/>
                <w:sz w:val="21"/>
                <w:szCs w:val="21"/>
                <w:highlight w:val="none"/>
                <w:lang w:val="en-US" w:eastAsia="zh-CN" w:bidi="ar-SA"/>
              </w:rPr>
            </w:pPr>
          </w:p>
        </w:tc>
        <w:tc>
          <w:tcPr>
            <w:tcW w:w="410" w:type="dxa"/>
            <w:vAlign w:val="center"/>
          </w:tcPr>
          <w:p w14:paraId="0EEDDA3A">
            <w:pPr>
              <w:keepNext w:val="0"/>
              <w:keepLines w:val="0"/>
              <w:pageBreakBefore w:val="0"/>
              <w:widowControl/>
              <w:shd w:val="clear" w:color="auto" w:fill="auto"/>
              <w:kinsoku/>
              <w:wordWrap/>
              <w:overflowPunct/>
              <w:topLinePunct w:val="0"/>
              <w:autoSpaceDE/>
              <w:autoSpaceDN/>
              <w:bidi w:val="0"/>
              <w:adjustRightInd/>
              <w:snapToGrid/>
              <w:spacing w:line="360" w:lineRule="exact"/>
              <w:jc w:val="left"/>
              <w:textAlignment w:val="auto"/>
              <w:outlineLvl w:val="9"/>
              <w:rPr>
                <w:rFonts w:hint="eastAsia" w:ascii="宋体" w:hAnsi="宋体" w:eastAsia="宋体" w:cs="宋体"/>
                <w:bCs/>
                <w:color w:val="auto"/>
                <w:kern w:val="2"/>
                <w:sz w:val="21"/>
                <w:szCs w:val="21"/>
                <w:highlight w:val="none"/>
                <w:lang w:val="en-US" w:eastAsia="zh-CN" w:bidi="ar-SA"/>
              </w:rPr>
            </w:pPr>
            <w:r>
              <w:rPr>
                <w:rFonts w:hint="eastAsia" w:ascii="宋体" w:hAnsi="宋体" w:cs="宋体"/>
                <w:bCs/>
                <w:color w:val="auto"/>
                <w:kern w:val="2"/>
                <w:sz w:val="21"/>
                <w:szCs w:val="21"/>
                <w:highlight w:val="none"/>
                <w:lang w:val="en-US" w:eastAsia="zh-CN" w:bidi="ar-SA"/>
              </w:rPr>
              <w:t>5</w:t>
            </w:r>
          </w:p>
        </w:tc>
        <w:tc>
          <w:tcPr>
            <w:tcW w:w="5542" w:type="dxa"/>
            <w:vAlign w:val="center"/>
          </w:tcPr>
          <w:p w14:paraId="1D32DF11">
            <w:pPr>
              <w:widowControl/>
              <w:shd w:val="clear" w:color="auto" w:fill="auto"/>
              <w:jc w:val="left"/>
              <w:textAlignment w:val="center"/>
              <w:rPr>
                <w:rFonts w:hint="eastAsia"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参加政府采购活动前三年内，在经营活动中没有重大违法记录；未被“信用中国”（www.creditchina.gov.cn）及中国政府采购网 (www.ccgp.gov.cn）列入失信被执行人名单、重大税收违法失信主体、政府采购严重违法失信行为记录名单；</w:t>
            </w:r>
          </w:p>
        </w:tc>
        <w:tc>
          <w:tcPr>
            <w:tcW w:w="1305" w:type="dxa"/>
            <w:vAlign w:val="top"/>
          </w:tcPr>
          <w:p w14:paraId="7B197749">
            <w:pPr>
              <w:shd w:val="clear" w:color="auto" w:fill="auto"/>
              <w:jc w:val="left"/>
              <w:rPr>
                <w:rFonts w:hint="eastAsia" w:ascii="宋体" w:hAnsi="宋体" w:eastAsia="宋体" w:cs="宋体"/>
                <w:bCs/>
                <w:color w:val="auto"/>
                <w:kern w:val="2"/>
                <w:sz w:val="21"/>
                <w:szCs w:val="21"/>
                <w:highlight w:val="none"/>
                <w:lang w:val="en-US" w:eastAsia="zh-CN" w:bidi="ar-SA"/>
              </w:rPr>
            </w:pPr>
          </w:p>
        </w:tc>
        <w:tc>
          <w:tcPr>
            <w:tcW w:w="1196" w:type="dxa"/>
            <w:vAlign w:val="top"/>
          </w:tcPr>
          <w:p w14:paraId="49FEF1E1">
            <w:pPr>
              <w:shd w:val="clear" w:color="auto" w:fill="auto"/>
              <w:jc w:val="left"/>
              <w:rPr>
                <w:rFonts w:hint="eastAsia" w:ascii="宋体" w:hAnsi="宋体" w:eastAsia="宋体" w:cs="宋体"/>
                <w:bCs/>
                <w:color w:val="auto"/>
                <w:kern w:val="2"/>
                <w:sz w:val="21"/>
                <w:szCs w:val="21"/>
                <w:highlight w:val="none"/>
                <w:lang w:val="en-US" w:eastAsia="zh-CN" w:bidi="ar-SA"/>
              </w:rPr>
            </w:pPr>
          </w:p>
        </w:tc>
      </w:tr>
      <w:tr w14:paraId="11614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4"/>
          <w:wAfter w:w="8453" w:type="dxa"/>
          <w:trHeight w:val="844" w:hRule="atLeast"/>
          <w:jc w:val="center"/>
        </w:trPr>
        <w:tc>
          <w:tcPr>
            <w:tcW w:w="886" w:type="dxa"/>
            <w:vMerge w:val="continue"/>
            <w:vAlign w:val="center"/>
          </w:tcPr>
          <w:p w14:paraId="5E0D5214">
            <w:pPr>
              <w:shd w:val="clear" w:color="auto" w:fill="auto"/>
              <w:rPr>
                <w:rFonts w:hint="eastAsia" w:ascii="宋体" w:hAnsi="宋体" w:eastAsia="宋体" w:cs="宋体"/>
                <w:bCs/>
                <w:color w:val="auto"/>
                <w:kern w:val="2"/>
                <w:sz w:val="21"/>
                <w:szCs w:val="21"/>
                <w:highlight w:val="none"/>
                <w:lang w:val="en-US" w:eastAsia="zh-CN" w:bidi="ar-SA"/>
              </w:rPr>
            </w:pPr>
          </w:p>
        </w:tc>
      </w:tr>
      <w:tr w14:paraId="14907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886" w:type="dxa"/>
            <w:vMerge w:val="continue"/>
            <w:vAlign w:val="center"/>
          </w:tcPr>
          <w:p w14:paraId="4BC322A0">
            <w:pPr>
              <w:shd w:val="clear" w:color="auto" w:fill="auto"/>
              <w:jc w:val="center"/>
              <w:rPr>
                <w:rFonts w:hint="eastAsia" w:ascii="宋体" w:hAnsi="宋体" w:eastAsia="宋体" w:cs="宋体"/>
                <w:bCs/>
                <w:color w:val="auto"/>
                <w:kern w:val="2"/>
                <w:sz w:val="21"/>
                <w:szCs w:val="21"/>
                <w:highlight w:val="none"/>
                <w:lang w:val="en-US" w:eastAsia="zh-CN" w:bidi="ar-SA"/>
              </w:rPr>
            </w:pPr>
          </w:p>
        </w:tc>
        <w:tc>
          <w:tcPr>
            <w:tcW w:w="8453" w:type="dxa"/>
            <w:gridSpan w:val="4"/>
            <w:vAlign w:val="center"/>
          </w:tcPr>
          <w:p w14:paraId="40C13DE3">
            <w:pPr>
              <w:shd w:val="clear" w:color="auto" w:fill="auto"/>
              <w:jc w:val="left"/>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评审结果“√”表示合格；“×”表示不合格，一项不合格结果为不合格，如不合格，请在结果中写明原因。</w:t>
            </w:r>
          </w:p>
        </w:tc>
      </w:tr>
    </w:tbl>
    <w:p w14:paraId="5E17D151">
      <w:pPr>
        <w:shd w:val="clear" w:color="auto" w:fill="auto"/>
        <w:spacing w:before="156" w:beforeLines="50" w:line="440" w:lineRule="exact"/>
        <w:ind w:firstLine="212" w:firstLineChars="100"/>
        <w:rPr>
          <w:rFonts w:hint="eastAsia" w:ascii="宋体" w:hAnsi="宋体"/>
          <w:b/>
          <w:color w:val="auto"/>
          <w:szCs w:val="21"/>
          <w:highlight w:val="none"/>
        </w:rPr>
      </w:pPr>
      <w:r>
        <w:rPr>
          <w:rFonts w:hint="eastAsia" w:ascii="宋体" w:hAnsi="宋体"/>
          <w:b/>
          <w:color w:val="auto"/>
          <w:szCs w:val="21"/>
          <w:highlight w:val="none"/>
          <w:lang w:val="en-US" w:eastAsia="zh-CN"/>
        </w:rPr>
        <w:t>6</w:t>
      </w:r>
      <w:r>
        <w:rPr>
          <w:rFonts w:hint="eastAsia" w:ascii="宋体" w:hAnsi="宋体"/>
          <w:b/>
          <w:color w:val="auto"/>
          <w:szCs w:val="21"/>
          <w:highlight w:val="none"/>
        </w:rPr>
        <w:t>.2如评标专家在检验电子标书过程中，如果由于投标人自身原因导致评标专家无法查看并检验电子标书中以上相关资料的，否决其投标。即使投标单位将原件携带至现场的，同样按无效投标处理。</w:t>
      </w:r>
    </w:p>
    <w:p w14:paraId="7D3C04F1">
      <w:pPr>
        <w:shd w:val="clear" w:color="auto" w:fill="auto"/>
        <w:spacing w:before="156" w:beforeLines="50" w:line="440" w:lineRule="exact"/>
        <w:ind w:firstLine="212" w:firstLineChars="100"/>
        <w:rPr>
          <w:rFonts w:hint="eastAsia" w:ascii="宋体"/>
          <w:b/>
          <w:color w:val="auto"/>
          <w:szCs w:val="21"/>
          <w:highlight w:val="none"/>
          <w:lang w:val="en-US" w:eastAsia="zh-CN"/>
        </w:rPr>
      </w:pPr>
    </w:p>
    <w:p w14:paraId="091B316E">
      <w:pPr>
        <w:shd w:val="clear" w:color="auto" w:fill="auto"/>
        <w:spacing w:before="156" w:beforeLines="50" w:line="440" w:lineRule="exact"/>
        <w:ind w:firstLine="212" w:firstLineChars="100"/>
        <w:rPr>
          <w:rFonts w:hint="eastAsia" w:ascii="宋体"/>
          <w:b/>
          <w:color w:val="auto"/>
          <w:szCs w:val="21"/>
          <w:highlight w:val="none"/>
          <w:lang w:val="en-US" w:eastAsia="zh-CN"/>
        </w:rPr>
      </w:pPr>
    </w:p>
    <w:p w14:paraId="48CC9D78">
      <w:pPr>
        <w:shd w:val="clear" w:color="auto" w:fill="auto"/>
        <w:spacing w:before="156" w:beforeLines="50" w:line="440" w:lineRule="exact"/>
        <w:rPr>
          <w:rFonts w:hint="eastAsia" w:ascii="宋体"/>
          <w:b/>
          <w:color w:val="auto"/>
          <w:szCs w:val="21"/>
          <w:highlight w:val="none"/>
          <w:lang w:val="en-US" w:eastAsia="zh-CN"/>
        </w:rPr>
      </w:pPr>
    </w:p>
    <w:p w14:paraId="4E08EC79">
      <w:pPr>
        <w:shd w:val="clear" w:color="auto" w:fill="auto"/>
        <w:spacing w:before="156" w:beforeLines="50" w:line="440" w:lineRule="exact"/>
        <w:ind w:firstLine="212" w:firstLineChars="100"/>
        <w:rPr>
          <w:rFonts w:hint="eastAsia" w:ascii="宋体"/>
          <w:b/>
          <w:color w:val="auto"/>
          <w:szCs w:val="21"/>
          <w:highlight w:val="none"/>
        </w:rPr>
      </w:pPr>
      <w:r>
        <w:rPr>
          <w:rFonts w:hint="eastAsia" w:ascii="宋体"/>
          <w:b/>
          <w:color w:val="auto"/>
          <w:szCs w:val="21"/>
          <w:highlight w:val="none"/>
          <w:lang w:val="en-US" w:eastAsia="zh-CN"/>
        </w:rPr>
        <w:t>7</w:t>
      </w:r>
      <w:r>
        <w:rPr>
          <w:rFonts w:hint="eastAsia" w:ascii="宋体"/>
          <w:b/>
          <w:color w:val="auto"/>
          <w:szCs w:val="21"/>
          <w:highlight w:val="none"/>
        </w:rPr>
        <w:t>.符合性审查</w:t>
      </w:r>
    </w:p>
    <w:p w14:paraId="518C46CB">
      <w:pPr>
        <w:shd w:val="clear" w:color="auto" w:fill="auto"/>
        <w:spacing w:line="440" w:lineRule="exact"/>
        <w:ind w:firstLine="318" w:firstLineChars="150"/>
        <w:rPr>
          <w:rFonts w:hint="eastAsia" w:ascii="宋体"/>
          <w:color w:val="auto"/>
          <w:szCs w:val="21"/>
          <w:highlight w:val="none"/>
        </w:rPr>
      </w:pPr>
      <w:r>
        <w:rPr>
          <w:rFonts w:hint="eastAsia" w:ascii="宋体"/>
          <w:color w:val="auto"/>
          <w:szCs w:val="21"/>
          <w:highlight w:val="none"/>
          <w:lang w:val="en-US" w:eastAsia="zh-CN"/>
        </w:rPr>
        <w:t>7</w:t>
      </w:r>
      <w:r>
        <w:rPr>
          <w:rFonts w:hint="eastAsia" w:ascii="宋体"/>
          <w:color w:val="auto"/>
          <w:szCs w:val="21"/>
          <w:highlight w:val="none"/>
        </w:rPr>
        <w:t>．1评审细则</w:t>
      </w:r>
    </w:p>
    <w:tbl>
      <w:tblPr>
        <w:tblStyle w:val="29"/>
        <w:tblpPr w:leftFromText="180" w:rightFromText="180" w:vertAnchor="text" w:horzAnchor="page" w:tblpX="1293" w:tblpY="544"/>
        <w:tblW w:w="949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22"/>
        <w:gridCol w:w="495"/>
        <w:gridCol w:w="6579"/>
        <w:gridCol w:w="753"/>
        <w:gridCol w:w="749"/>
      </w:tblGrid>
      <w:tr w14:paraId="2DF593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3" w:hRule="atLeast"/>
        </w:trPr>
        <w:tc>
          <w:tcPr>
            <w:tcW w:w="922" w:type="dxa"/>
            <w:tcBorders>
              <w:top w:val="single" w:color="auto" w:sz="4" w:space="0"/>
              <w:left w:val="single" w:color="auto" w:sz="4" w:space="0"/>
            </w:tcBorders>
            <w:vAlign w:val="center"/>
          </w:tcPr>
          <w:p w14:paraId="22925304">
            <w:pPr>
              <w:jc w:val="center"/>
              <w:rPr>
                <w:rFonts w:hint="eastAsia" w:ascii="宋体" w:hAnsi="宋体" w:cs="宋体"/>
                <w:b/>
                <w:color w:val="auto"/>
                <w:sz w:val="24"/>
                <w:highlight w:val="none"/>
              </w:rPr>
            </w:pPr>
            <w:r>
              <w:rPr>
                <w:rFonts w:hint="eastAsia" w:ascii="宋体" w:hAnsi="宋体" w:cs="宋体"/>
                <w:b/>
                <w:color w:val="auto"/>
                <w:sz w:val="24"/>
                <w:highlight w:val="none"/>
              </w:rPr>
              <w:t>项目</w:t>
            </w:r>
          </w:p>
        </w:tc>
        <w:tc>
          <w:tcPr>
            <w:tcW w:w="7074" w:type="dxa"/>
            <w:gridSpan w:val="2"/>
            <w:tcBorders>
              <w:top w:val="single" w:color="auto" w:sz="4" w:space="0"/>
            </w:tcBorders>
            <w:vAlign w:val="center"/>
          </w:tcPr>
          <w:p w14:paraId="3812E03F">
            <w:pPr>
              <w:jc w:val="center"/>
              <w:rPr>
                <w:rFonts w:hint="eastAsia" w:ascii="宋体" w:hAnsi="宋体" w:cs="宋体"/>
                <w:b/>
                <w:color w:val="auto"/>
                <w:sz w:val="24"/>
                <w:highlight w:val="none"/>
              </w:rPr>
            </w:pPr>
            <w:r>
              <w:rPr>
                <w:rFonts w:hint="eastAsia" w:ascii="宋体" w:hAnsi="宋体" w:cs="宋体"/>
                <w:b/>
                <w:color w:val="auto"/>
                <w:sz w:val="24"/>
                <w:highlight w:val="none"/>
              </w:rPr>
              <w:t>评审内容</w:t>
            </w:r>
          </w:p>
        </w:tc>
        <w:tc>
          <w:tcPr>
            <w:tcW w:w="1502" w:type="dxa"/>
            <w:gridSpan w:val="2"/>
            <w:tcBorders>
              <w:top w:val="single" w:color="auto" w:sz="4" w:space="0"/>
              <w:right w:val="single" w:color="auto" w:sz="4" w:space="0"/>
            </w:tcBorders>
            <w:vAlign w:val="center"/>
          </w:tcPr>
          <w:p w14:paraId="347C98D3">
            <w:pPr>
              <w:jc w:val="center"/>
              <w:rPr>
                <w:rFonts w:hint="eastAsia" w:ascii="宋体" w:hAnsi="宋体" w:cs="宋体"/>
                <w:b/>
                <w:color w:val="auto"/>
                <w:sz w:val="24"/>
                <w:highlight w:val="none"/>
              </w:rPr>
            </w:pPr>
            <w:r>
              <w:rPr>
                <w:rFonts w:hint="eastAsia" w:ascii="宋体" w:hAnsi="宋体" w:cs="宋体"/>
                <w:b/>
                <w:color w:val="auto"/>
                <w:sz w:val="24"/>
                <w:highlight w:val="none"/>
              </w:rPr>
              <w:t>评审意见</w:t>
            </w:r>
          </w:p>
        </w:tc>
      </w:tr>
      <w:tr w14:paraId="232309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7" w:hRule="atLeast"/>
        </w:trPr>
        <w:tc>
          <w:tcPr>
            <w:tcW w:w="922" w:type="dxa"/>
            <w:tcBorders>
              <w:left w:val="single" w:color="auto" w:sz="4" w:space="0"/>
              <w:bottom w:val="single" w:color="auto" w:sz="4" w:space="0"/>
            </w:tcBorders>
            <w:vAlign w:val="center"/>
          </w:tcPr>
          <w:p w14:paraId="551E9004">
            <w:pPr>
              <w:rPr>
                <w:rFonts w:hint="eastAsia" w:ascii="宋体" w:hAnsi="宋体" w:cs="宋体"/>
                <w:color w:val="auto"/>
                <w:highlight w:val="none"/>
              </w:rPr>
            </w:pPr>
          </w:p>
        </w:tc>
        <w:tc>
          <w:tcPr>
            <w:tcW w:w="7074" w:type="dxa"/>
            <w:gridSpan w:val="2"/>
            <w:tcBorders>
              <w:bottom w:val="single" w:color="auto" w:sz="4" w:space="0"/>
            </w:tcBorders>
            <w:vAlign w:val="top"/>
          </w:tcPr>
          <w:p w14:paraId="243B09D4">
            <w:pPr>
              <w:rPr>
                <w:rFonts w:hint="eastAsia" w:ascii="宋体" w:hAnsi="宋体" w:cs="宋体"/>
                <w:color w:val="auto"/>
                <w:highlight w:val="none"/>
              </w:rPr>
            </w:pPr>
          </w:p>
        </w:tc>
        <w:tc>
          <w:tcPr>
            <w:tcW w:w="753" w:type="dxa"/>
            <w:vAlign w:val="center"/>
          </w:tcPr>
          <w:p w14:paraId="75382AB4">
            <w:pPr>
              <w:jc w:val="center"/>
              <w:rPr>
                <w:rFonts w:hint="eastAsia" w:ascii="宋体" w:hAnsi="宋体" w:cs="宋体"/>
                <w:b/>
                <w:color w:val="auto"/>
                <w:sz w:val="24"/>
                <w:highlight w:val="none"/>
              </w:rPr>
            </w:pPr>
            <w:r>
              <w:rPr>
                <w:rFonts w:hint="eastAsia" w:ascii="宋体" w:hAnsi="宋体" w:cs="宋体"/>
                <w:color w:val="auto"/>
                <w:spacing w:val="-2"/>
                <w:szCs w:val="21"/>
                <w:highlight w:val="none"/>
              </w:rPr>
              <w:t>√</w:t>
            </w:r>
          </w:p>
        </w:tc>
        <w:tc>
          <w:tcPr>
            <w:tcW w:w="749" w:type="dxa"/>
            <w:tcBorders>
              <w:right w:val="single" w:color="auto" w:sz="4" w:space="0"/>
            </w:tcBorders>
            <w:vAlign w:val="center"/>
          </w:tcPr>
          <w:p w14:paraId="6312EB38">
            <w:pPr>
              <w:ind w:firstLine="208" w:firstLineChars="100"/>
              <w:rPr>
                <w:rFonts w:hint="eastAsia" w:ascii="宋体" w:hAnsi="宋体" w:cs="宋体"/>
                <w:b/>
                <w:color w:val="auto"/>
                <w:sz w:val="24"/>
                <w:highlight w:val="none"/>
              </w:rPr>
            </w:pPr>
            <w:r>
              <w:rPr>
                <w:rFonts w:hint="eastAsia" w:ascii="宋体" w:hAnsi="宋体" w:cs="宋体"/>
                <w:color w:val="auto"/>
                <w:spacing w:val="-2"/>
                <w:szCs w:val="21"/>
                <w:highlight w:val="none"/>
              </w:rPr>
              <w:t>×</w:t>
            </w:r>
          </w:p>
        </w:tc>
      </w:tr>
      <w:tr w14:paraId="6913C3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922" w:type="dxa"/>
            <w:vMerge w:val="restart"/>
            <w:tcBorders>
              <w:top w:val="single" w:color="auto" w:sz="4" w:space="0"/>
              <w:left w:val="single" w:color="auto" w:sz="4" w:space="0"/>
              <w:right w:val="single" w:color="auto" w:sz="4" w:space="0"/>
            </w:tcBorders>
            <w:vAlign w:val="center"/>
          </w:tcPr>
          <w:p w14:paraId="222B157A">
            <w:pPr>
              <w:jc w:val="center"/>
              <w:rPr>
                <w:rFonts w:hint="eastAsia" w:ascii="宋体" w:hAnsi="宋体" w:cs="宋体"/>
                <w:color w:val="auto"/>
                <w:szCs w:val="21"/>
                <w:highlight w:val="none"/>
              </w:rPr>
            </w:pPr>
            <w:r>
              <w:rPr>
                <w:rFonts w:hint="eastAsia" w:ascii="宋体" w:hAnsi="宋体" w:cs="宋体"/>
                <w:color w:val="auto"/>
                <w:szCs w:val="21"/>
                <w:highlight w:val="none"/>
              </w:rPr>
              <w:t>审</w:t>
            </w:r>
          </w:p>
          <w:p w14:paraId="12662529">
            <w:pPr>
              <w:jc w:val="center"/>
              <w:rPr>
                <w:rFonts w:hint="eastAsia" w:ascii="宋体" w:hAnsi="宋体" w:cs="宋体"/>
                <w:color w:val="auto"/>
                <w:szCs w:val="21"/>
                <w:highlight w:val="none"/>
              </w:rPr>
            </w:pPr>
            <w:r>
              <w:rPr>
                <w:rFonts w:hint="eastAsia" w:ascii="宋体" w:hAnsi="宋体" w:cs="宋体"/>
                <w:color w:val="auto"/>
                <w:szCs w:val="21"/>
                <w:highlight w:val="none"/>
              </w:rPr>
              <w:t>查</w:t>
            </w:r>
          </w:p>
          <w:p w14:paraId="34FBB54C">
            <w:pPr>
              <w:jc w:val="center"/>
              <w:rPr>
                <w:rFonts w:hint="eastAsia" w:ascii="宋体" w:hAnsi="宋体" w:cs="宋体"/>
                <w:color w:val="auto"/>
                <w:szCs w:val="21"/>
                <w:highlight w:val="none"/>
              </w:rPr>
            </w:pPr>
            <w:r>
              <w:rPr>
                <w:rFonts w:hint="eastAsia" w:ascii="宋体" w:hAnsi="宋体" w:cs="宋体"/>
                <w:color w:val="auto"/>
                <w:szCs w:val="21"/>
                <w:highlight w:val="none"/>
              </w:rPr>
              <w:t>标</w:t>
            </w:r>
          </w:p>
          <w:p w14:paraId="7B694B59">
            <w:pPr>
              <w:jc w:val="center"/>
              <w:rPr>
                <w:rFonts w:hint="eastAsia" w:ascii="宋体" w:hAnsi="宋体" w:cs="宋体"/>
                <w:color w:val="auto"/>
                <w:szCs w:val="21"/>
                <w:highlight w:val="none"/>
              </w:rPr>
            </w:pPr>
            <w:r>
              <w:rPr>
                <w:rFonts w:hint="eastAsia" w:ascii="宋体" w:hAnsi="宋体" w:cs="宋体"/>
                <w:color w:val="auto"/>
                <w:szCs w:val="21"/>
                <w:highlight w:val="none"/>
              </w:rPr>
              <w:t>准</w:t>
            </w:r>
          </w:p>
        </w:tc>
        <w:tc>
          <w:tcPr>
            <w:tcW w:w="495" w:type="dxa"/>
            <w:tcBorders>
              <w:top w:val="single" w:color="auto" w:sz="4" w:space="0"/>
              <w:left w:val="single" w:color="auto" w:sz="4" w:space="0"/>
              <w:right w:val="single" w:color="auto" w:sz="4" w:space="0"/>
            </w:tcBorders>
            <w:vAlign w:val="center"/>
          </w:tcPr>
          <w:p w14:paraId="23396938">
            <w:pPr>
              <w:jc w:val="center"/>
              <w:rPr>
                <w:rFonts w:hint="eastAsia" w:ascii="宋体" w:hAnsi="宋体" w:cs="宋体"/>
                <w:color w:val="auto"/>
                <w:sz w:val="20"/>
                <w:szCs w:val="20"/>
                <w:highlight w:val="none"/>
              </w:rPr>
            </w:pPr>
            <w:r>
              <w:rPr>
                <w:rFonts w:hint="eastAsia" w:ascii="宋体" w:hAnsi="宋体" w:cs="宋体"/>
                <w:color w:val="auto"/>
                <w:sz w:val="20"/>
                <w:szCs w:val="20"/>
                <w:highlight w:val="none"/>
              </w:rPr>
              <w:t>1</w:t>
            </w:r>
          </w:p>
        </w:tc>
        <w:tc>
          <w:tcPr>
            <w:tcW w:w="6579" w:type="dxa"/>
            <w:tcBorders>
              <w:top w:val="single" w:color="auto" w:sz="4" w:space="0"/>
              <w:left w:val="single" w:color="auto" w:sz="4" w:space="0"/>
              <w:right w:val="single" w:color="auto" w:sz="4" w:space="0"/>
            </w:tcBorders>
            <w:vAlign w:val="center"/>
          </w:tcPr>
          <w:p w14:paraId="0E631D61">
            <w:pPr>
              <w:shd w:val="clear" w:color="auto" w:fill="auto"/>
              <w:spacing w:line="400" w:lineRule="exact"/>
              <w:jc w:val="left"/>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由政府立项核准、审批的采购项目, 报价</w:t>
            </w:r>
            <w:r>
              <w:rPr>
                <w:rFonts w:hint="eastAsia" w:ascii="宋体" w:hAnsi="Times New Roman" w:eastAsia="宋体" w:cs="Times New Roman"/>
                <w:color w:val="auto"/>
                <w:szCs w:val="21"/>
                <w:highlight w:val="none"/>
                <w:lang w:val="en-US" w:eastAsia="zh-CN"/>
              </w:rPr>
              <w:t>未</w:t>
            </w:r>
            <w:r>
              <w:rPr>
                <w:rFonts w:hint="eastAsia" w:ascii="宋体" w:hAnsi="Times New Roman" w:eastAsia="宋体" w:cs="Times New Roman"/>
                <w:color w:val="auto"/>
                <w:szCs w:val="21"/>
                <w:highlight w:val="none"/>
              </w:rPr>
              <w:t>高于设定的采购</w:t>
            </w:r>
            <w:r>
              <w:rPr>
                <w:rFonts w:hint="eastAsia" w:ascii="宋体" w:cs="Times New Roman"/>
                <w:color w:val="auto"/>
                <w:szCs w:val="21"/>
                <w:highlight w:val="none"/>
                <w:lang w:val="en-US" w:eastAsia="zh-CN"/>
              </w:rPr>
              <w:t>最高限价</w:t>
            </w:r>
            <w:r>
              <w:rPr>
                <w:rFonts w:hint="eastAsia" w:ascii="宋体" w:hAnsi="Times New Roman" w:eastAsia="宋体" w:cs="Times New Roman"/>
                <w:color w:val="auto"/>
                <w:szCs w:val="21"/>
                <w:highlight w:val="none"/>
              </w:rPr>
              <w:t>的；</w:t>
            </w:r>
          </w:p>
        </w:tc>
        <w:tc>
          <w:tcPr>
            <w:tcW w:w="753" w:type="dxa"/>
            <w:tcBorders>
              <w:left w:val="single" w:color="auto" w:sz="4" w:space="0"/>
              <w:right w:val="single" w:color="auto" w:sz="4" w:space="0"/>
            </w:tcBorders>
            <w:vAlign w:val="top"/>
          </w:tcPr>
          <w:p w14:paraId="0C0B0FD5">
            <w:pPr>
              <w:jc w:val="center"/>
              <w:rPr>
                <w:rFonts w:hint="eastAsia" w:ascii="宋体" w:hAnsi="宋体" w:cs="宋体"/>
                <w:b/>
                <w:color w:val="auto"/>
                <w:szCs w:val="21"/>
                <w:highlight w:val="none"/>
              </w:rPr>
            </w:pPr>
          </w:p>
        </w:tc>
        <w:tc>
          <w:tcPr>
            <w:tcW w:w="749" w:type="dxa"/>
            <w:tcBorders>
              <w:left w:val="single" w:color="auto" w:sz="4" w:space="0"/>
              <w:right w:val="single" w:color="auto" w:sz="4" w:space="0"/>
            </w:tcBorders>
            <w:vAlign w:val="top"/>
          </w:tcPr>
          <w:p w14:paraId="421DF06C">
            <w:pPr>
              <w:jc w:val="center"/>
              <w:rPr>
                <w:rFonts w:hint="eastAsia" w:ascii="宋体" w:hAnsi="宋体" w:cs="宋体"/>
                <w:b/>
                <w:color w:val="auto"/>
                <w:szCs w:val="21"/>
                <w:highlight w:val="none"/>
              </w:rPr>
            </w:pPr>
          </w:p>
        </w:tc>
      </w:tr>
      <w:tr w14:paraId="38FFE3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trPr>
        <w:tc>
          <w:tcPr>
            <w:tcW w:w="922" w:type="dxa"/>
            <w:vMerge w:val="continue"/>
            <w:tcBorders>
              <w:left w:val="single" w:color="auto" w:sz="4" w:space="0"/>
              <w:right w:val="single" w:color="auto" w:sz="4" w:space="0"/>
            </w:tcBorders>
            <w:vAlign w:val="center"/>
          </w:tcPr>
          <w:p w14:paraId="51467CED">
            <w:pPr>
              <w:rPr>
                <w:rFonts w:hint="eastAsia" w:ascii="宋体" w:hAnsi="宋体" w:cs="宋体"/>
                <w:color w:val="auto"/>
                <w:highlight w:val="none"/>
              </w:rPr>
            </w:pPr>
          </w:p>
        </w:tc>
        <w:tc>
          <w:tcPr>
            <w:tcW w:w="495" w:type="dxa"/>
            <w:tcBorders>
              <w:top w:val="single" w:color="auto" w:sz="4" w:space="0"/>
              <w:left w:val="single" w:color="auto" w:sz="4" w:space="0"/>
              <w:bottom w:val="single" w:color="auto" w:sz="4" w:space="0"/>
              <w:right w:val="single" w:color="auto" w:sz="4" w:space="0"/>
            </w:tcBorders>
            <w:vAlign w:val="center"/>
          </w:tcPr>
          <w:p w14:paraId="029CCE5A">
            <w:pPr>
              <w:jc w:val="center"/>
              <w:rPr>
                <w:rFonts w:hint="eastAsia" w:ascii="宋体" w:hAnsi="宋体" w:cs="宋体"/>
                <w:color w:val="auto"/>
                <w:sz w:val="20"/>
                <w:szCs w:val="20"/>
                <w:highlight w:val="none"/>
              </w:rPr>
            </w:pPr>
            <w:r>
              <w:rPr>
                <w:rFonts w:hint="eastAsia" w:ascii="宋体" w:hAnsi="宋体" w:cs="宋体"/>
                <w:color w:val="auto"/>
                <w:sz w:val="20"/>
                <w:szCs w:val="20"/>
                <w:highlight w:val="none"/>
              </w:rPr>
              <w:t>2</w:t>
            </w:r>
          </w:p>
        </w:tc>
        <w:tc>
          <w:tcPr>
            <w:tcW w:w="6579" w:type="dxa"/>
            <w:tcBorders>
              <w:top w:val="single" w:color="auto" w:sz="4" w:space="0"/>
              <w:left w:val="single" w:color="auto" w:sz="4" w:space="0"/>
              <w:bottom w:val="single" w:color="auto" w:sz="4" w:space="0"/>
              <w:right w:val="single" w:color="auto" w:sz="4" w:space="0"/>
            </w:tcBorders>
            <w:vAlign w:val="center"/>
          </w:tcPr>
          <w:p w14:paraId="662F2CC8">
            <w:pPr>
              <w:shd w:val="clear" w:color="auto" w:fill="auto"/>
              <w:spacing w:line="400" w:lineRule="exact"/>
              <w:jc w:val="left"/>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法定代表人身份证明及授权委托书有效，且符合招标文件规定的格式。</w:t>
            </w:r>
          </w:p>
        </w:tc>
        <w:tc>
          <w:tcPr>
            <w:tcW w:w="753" w:type="dxa"/>
            <w:tcBorders>
              <w:left w:val="single" w:color="auto" w:sz="4" w:space="0"/>
            </w:tcBorders>
            <w:vAlign w:val="top"/>
          </w:tcPr>
          <w:p w14:paraId="5D10528E">
            <w:pPr>
              <w:rPr>
                <w:rFonts w:hint="eastAsia" w:ascii="宋体" w:hAnsi="宋体" w:cs="宋体"/>
                <w:color w:val="auto"/>
                <w:szCs w:val="21"/>
                <w:highlight w:val="none"/>
              </w:rPr>
            </w:pPr>
          </w:p>
        </w:tc>
        <w:tc>
          <w:tcPr>
            <w:tcW w:w="749" w:type="dxa"/>
            <w:tcBorders>
              <w:right w:val="single" w:color="auto" w:sz="4" w:space="0"/>
            </w:tcBorders>
            <w:vAlign w:val="top"/>
          </w:tcPr>
          <w:p w14:paraId="425DB1CD">
            <w:pPr>
              <w:rPr>
                <w:rFonts w:hint="eastAsia" w:ascii="宋体" w:hAnsi="宋体" w:cs="宋体"/>
                <w:color w:val="auto"/>
                <w:szCs w:val="21"/>
                <w:highlight w:val="none"/>
              </w:rPr>
            </w:pPr>
          </w:p>
        </w:tc>
      </w:tr>
      <w:tr w14:paraId="59DDAC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6" w:hRule="atLeast"/>
        </w:trPr>
        <w:tc>
          <w:tcPr>
            <w:tcW w:w="922" w:type="dxa"/>
            <w:vMerge w:val="continue"/>
            <w:tcBorders>
              <w:left w:val="single" w:color="auto" w:sz="4" w:space="0"/>
              <w:right w:val="single" w:color="auto" w:sz="4" w:space="0"/>
            </w:tcBorders>
            <w:vAlign w:val="center"/>
          </w:tcPr>
          <w:p w14:paraId="5FEE989C">
            <w:pPr>
              <w:rPr>
                <w:rFonts w:hint="eastAsia" w:ascii="宋体" w:hAnsi="宋体" w:cs="宋体"/>
                <w:color w:val="auto"/>
                <w:highlight w:val="none"/>
              </w:rPr>
            </w:pPr>
          </w:p>
        </w:tc>
        <w:tc>
          <w:tcPr>
            <w:tcW w:w="495" w:type="dxa"/>
            <w:tcBorders>
              <w:top w:val="single" w:color="auto" w:sz="4" w:space="0"/>
              <w:left w:val="single" w:color="auto" w:sz="4" w:space="0"/>
              <w:right w:val="single" w:color="auto" w:sz="4" w:space="0"/>
            </w:tcBorders>
            <w:vAlign w:val="center"/>
          </w:tcPr>
          <w:p w14:paraId="37FF1C78">
            <w:pPr>
              <w:jc w:val="center"/>
              <w:rPr>
                <w:rFonts w:hint="eastAsia" w:ascii="宋体" w:hAnsi="宋体" w:cs="宋体"/>
                <w:color w:val="auto"/>
                <w:sz w:val="20"/>
                <w:szCs w:val="20"/>
                <w:highlight w:val="none"/>
              </w:rPr>
            </w:pPr>
            <w:r>
              <w:rPr>
                <w:rFonts w:hint="eastAsia" w:ascii="宋体" w:hAnsi="宋体" w:cs="宋体"/>
                <w:color w:val="auto"/>
                <w:sz w:val="20"/>
                <w:szCs w:val="20"/>
                <w:highlight w:val="none"/>
              </w:rPr>
              <w:t>3</w:t>
            </w:r>
          </w:p>
        </w:tc>
        <w:tc>
          <w:tcPr>
            <w:tcW w:w="6579" w:type="dxa"/>
            <w:tcBorders>
              <w:top w:val="single" w:color="auto" w:sz="4" w:space="0"/>
              <w:left w:val="single" w:color="auto" w:sz="4" w:space="0"/>
              <w:right w:val="single" w:color="auto" w:sz="4" w:space="0"/>
            </w:tcBorders>
            <w:vAlign w:val="center"/>
          </w:tcPr>
          <w:p w14:paraId="6C3E95BF">
            <w:pPr>
              <w:shd w:val="clear" w:color="auto" w:fill="auto"/>
              <w:spacing w:line="400" w:lineRule="exact"/>
              <w:jc w:val="left"/>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只有一个方案投标。</w:t>
            </w:r>
          </w:p>
        </w:tc>
        <w:tc>
          <w:tcPr>
            <w:tcW w:w="753" w:type="dxa"/>
            <w:tcBorders>
              <w:left w:val="single" w:color="auto" w:sz="4" w:space="0"/>
            </w:tcBorders>
            <w:vAlign w:val="top"/>
          </w:tcPr>
          <w:p w14:paraId="2D0E57FA">
            <w:pPr>
              <w:rPr>
                <w:rFonts w:hint="eastAsia" w:ascii="宋体" w:hAnsi="宋体" w:cs="宋体"/>
                <w:color w:val="auto"/>
                <w:szCs w:val="21"/>
                <w:highlight w:val="none"/>
              </w:rPr>
            </w:pPr>
          </w:p>
        </w:tc>
        <w:tc>
          <w:tcPr>
            <w:tcW w:w="749" w:type="dxa"/>
            <w:tcBorders>
              <w:right w:val="single" w:color="auto" w:sz="4" w:space="0"/>
            </w:tcBorders>
            <w:vAlign w:val="top"/>
          </w:tcPr>
          <w:p w14:paraId="1322E435">
            <w:pPr>
              <w:rPr>
                <w:rFonts w:hint="eastAsia" w:ascii="宋体" w:hAnsi="宋体" w:cs="宋体"/>
                <w:color w:val="auto"/>
                <w:szCs w:val="21"/>
                <w:highlight w:val="none"/>
              </w:rPr>
            </w:pPr>
          </w:p>
        </w:tc>
      </w:tr>
      <w:tr w14:paraId="0738C5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1" w:hRule="atLeast"/>
        </w:trPr>
        <w:tc>
          <w:tcPr>
            <w:tcW w:w="922" w:type="dxa"/>
            <w:vMerge w:val="continue"/>
            <w:tcBorders>
              <w:left w:val="single" w:color="auto" w:sz="4" w:space="0"/>
              <w:right w:val="single" w:color="auto" w:sz="4" w:space="0"/>
            </w:tcBorders>
            <w:vAlign w:val="center"/>
          </w:tcPr>
          <w:p w14:paraId="23DA524D">
            <w:pPr>
              <w:rPr>
                <w:rFonts w:hint="eastAsia" w:ascii="宋体" w:hAnsi="宋体" w:cs="宋体"/>
                <w:color w:val="auto"/>
                <w:highlight w:val="none"/>
              </w:rPr>
            </w:pPr>
          </w:p>
        </w:tc>
        <w:tc>
          <w:tcPr>
            <w:tcW w:w="495" w:type="dxa"/>
            <w:tcBorders>
              <w:left w:val="single" w:color="auto" w:sz="4" w:space="0"/>
            </w:tcBorders>
            <w:vAlign w:val="center"/>
          </w:tcPr>
          <w:p w14:paraId="3CA2DCF1">
            <w:pPr>
              <w:jc w:val="center"/>
              <w:rPr>
                <w:rFonts w:hint="eastAsia" w:ascii="宋体" w:hAnsi="宋体" w:cs="宋体"/>
                <w:color w:val="auto"/>
                <w:sz w:val="20"/>
                <w:szCs w:val="20"/>
                <w:highlight w:val="none"/>
              </w:rPr>
            </w:pPr>
            <w:r>
              <w:rPr>
                <w:rFonts w:hint="eastAsia" w:ascii="宋体" w:hAnsi="宋体" w:cs="宋体"/>
                <w:color w:val="auto"/>
                <w:sz w:val="20"/>
                <w:szCs w:val="20"/>
                <w:highlight w:val="none"/>
              </w:rPr>
              <w:t>4</w:t>
            </w:r>
          </w:p>
        </w:tc>
        <w:tc>
          <w:tcPr>
            <w:tcW w:w="6579" w:type="dxa"/>
            <w:tcBorders>
              <w:right w:val="single" w:color="auto" w:sz="4" w:space="0"/>
            </w:tcBorders>
            <w:vAlign w:val="center"/>
          </w:tcPr>
          <w:p w14:paraId="39D20A3D">
            <w:pPr>
              <w:shd w:val="clear" w:color="auto" w:fill="auto"/>
              <w:spacing w:line="400" w:lineRule="exact"/>
              <w:jc w:val="left"/>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投标文件内容齐全、无遗漏。</w:t>
            </w:r>
          </w:p>
        </w:tc>
        <w:tc>
          <w:tcPr>
            <w:tcW w:w="753" w:type="dxa"/>
            <w:tcBorders>
              <w:left w:val="single" w:color="auto" w:sz="4" w:space="0"/>
            </w:tcBorders>
            <w:vAlign w:val="top"/>
          </w:tcPr>
          <w:p w14:paraId="6DACD687">
            <w:pPr>
              <w:rPr>
                <w:rFonts w:hint="eastAsia" w:ascii="宋体" w:hAnsi="宋体" w:cs="宋体"/>
                <w:color w:val="auto"/>
                <w:szCs w:val="21"/>
                <w:highlight w:val="none"/>
              </w:rPr>
            </w:pPr>
          </w:p>
        </w:tc>
        <w:tc>
          <w:tcPr>
            <w:tcW w:w="749" w:type="dxa"/>
            <w:tcBorders>
              <w:right w:val="single" w:color="auto" w:sz="4" w:space="0"/>
            </w:tcBorders>
            <w:vAlign w:val="top"/>
          </w:tcPr>
          <w:p w14:paraId="52250DFE">
            <w:pPr>
              <w:rPr>
                <w:rFonts w:hint="eastAsia" w:ascii="宋体" w:hAnsi="宋体" w:cs="宋体"/>
                <w:color w:val="auto"/>
                <w:szCs w:val="21"/>
                <w:highlight w:val="none"/>
              </w:rPr>
            </w:pPr>
          </w:p>
        </w:tc>
      </w:tr>
      <w:tr w14:paraId="5E2964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6" w:hRule="atLeast"/>
        </w:trPr>
        <w:tc>
          <w:tcPr>
            <w:tcW w:w="922" w:type="dxa"/>
            <w:vMerge w:val="continue"/>
            <w:tcBorders>
              <w:left w:val="single" w:color="auto" w:sz="4" w:space="0"/>
              <w:right w:val="single" w:color="auto" w:sz="4" w:space="0"/>
            </w:tcBorders>
            <w:vAlign w:val="center"/>
          </w:tcPr>
          <w:p w14:paraId="22295A71">
            <w:pPr>
              <w:rPr>
                <w:rFonts w:hint="eastAsia" w:ascii="宋体" w:hAnsi="宋体" w:cs="宋体"/>
                <w:color w:val="auto"/>
                <w:highlight w:val="none"/>
              </w:rPr>
            </w:pPr>
          </w:p>
        </w:tc>
        <w:tc>
          <w:tcPr>
            <w:tcW w:w="495" w:type="dxa"/>
            <w:tcBorders>
              <w:left w:val="single" w:color="auto" w:sz="4" w:space="0"/>
              <w:bottom w:val="single" w:color="auto" w:sz="4" w:space="0"/>
            </w:tcBorders>
            <w:vAlign w:val="center"/>
          </w:tcPr>
          <w:p w14:paraId="46C2A2B1">
            <w:pPr>
              <w:jc w:val="center"/>
              <w:rPr>
                <w:rFonts w:hint="eastAsia" w:ascii="宋体" w:hAnsi="宋体" w:cs="宋体"/>
                <w:color w:val="auto"/>
                <w:sz w:val="20"/>
                <w:szCs w:val="20"/>
                <w:highlight w:val="none"/>
              </w:rPr>
            </w:pPr>
            <w:r>
              <w:rPr>
                <w:rFonts w:hint="eastAsia" w:ascii="宋体" w:hAnsi="宋体" w:cs="宋体"/>
                <w:color w:val="auto"/>
                <w:sz w:val="20"/>
                <w:szCs w:val="20"/>
                <w:highlight w:val="none"/>
              </w:rPr>
              <w:t>5</w:t>
            </w:r>
          </w:p>
        </w:tc>
        <w:tc>
          <w:tcPr>
            <w:tcW w:w="6579" w:type="dxa"/>
            <w:tcBorders>
              <w:bottom w:val="single" w:color="auto" w:sz="4" w:space="0"/>
              <w:right w:val="single" w:color="auto" w:sz="4" w:space="0"/>
            </w:tcBorders>
            <w:vAlign w:val="center"/>
          </w:tcPr>
          <w:p w14:paraId="08D0D563">
            <w:pPr>
              <w:shd w:val="clear" w:color="auto" w:fill="auto"/>
              <w:spacing w:line="400" w:lineRule="exact"/>
              <w:jc w:val="left"/>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对招标文件规定的招标内容全部作出响应。</w:t>
            </w:r>
          </w:p>
        </w:tc>
        <w:tc>
          <w:tcPr>
            <w:tcW w:w="753" w:type="dxa"/>
            <w:tcBorders>
              <w:left w:val="single" w:color="auto" w:sz="4" w:space="0"/>
              <w:bottom w:val="single" w:color="auto" w:sz="4" w:space="0"/>
            </w:tcBorders>
            <w:vAlign w:val="top"/>
          </w:tcPr>
          <w:p w14:paraId="53F86B7B">
            <w:pPr>
              <w:rPr>
                <w:rFonts w:hint="eastAsia" w:ascii="宋体" w:hAnsi="宋体" w:cs="宋体"/>
                <w:color w:val="auto"/>
                <w:szCs w:val="21"/>
                <w:highlight w:val="none"/>
              </w:rPr>
            </w:pPr>
          </w:p>
        </w:tc>
        <w:tc>
          <w:tcPr>
            <w:tcW w:w="749" w:type="dxa"/>
            <w:tcBorders>
              <w:bottom w:val="single" w:color="auto" w:sz="4" w:space="0"/>
              <w:right w:val="single" w:color="auto" w:sz="4" w:space="0"/>
            </w:tcBorders>
            <w:vAlign w:val="top"/>
          </w:tcPr>
          <w:p w14:paraId="517D6B65">
            <w:pPr>
              <w:rPr>
                <w:rFonts w:hint="eastAsia" w:ascii="宋体" w:hAnsi="宋体" w:cs="宋体"/>
                <w:color w:val="auto"/>
                <w:szCs w:val="21"/>
                <w:highlight w:val="none"/>
              </w:rPr>
            </w:pPr>
          </w:p>
        </w:tc>
      </w:tr>
      <w:tr w14:paraId="72A12D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922" w:type="dxa"/>
            <w:vMerge w:val="continue"/>
            <w:tcBorders>
              <w:left w:val="single" w:color="auto" w:sz="4" w:space="0"/>
              <w:right w:val="single" w:color="auto" w:sz="4" w:space="0"/>
            </w:tcBorders>
            <w:vAlign w:val="center"/>
          </w:tcPr>
          <w:p w14:paraId="0CFF9EC3">
            <w:pPr>
              <w:rPr>
                <w:rFonts w:hint="eastAsia" w:ascii="宋体" w:hAnsi="宋体" w:cs="宋体"/>
                <w:color w:val="auto"/>
                <w:highlight w:val="none"/>
              </w:rPr>
            </w:pPr>
          </w:p>
        </w:tc>
        <w:tc>
          <w:tcPr>
            <w:tcW w:w="495" w:type="dxa"/>
            <w:tcBorders>
              <w:top w:val="single" w:color="auto" w:sz="4" w:space="0"/>
              <w:left w:val="single" w:color="auto" w:sz="4" w:space="0"/>
              <w:bottom w:val="single" w:color="auto" w:sz="4" w:space="0"/>
              <w:right w:val="single" w:color="auto" w:sz="4" w:space="0"/>
            </w:tcBorders>
            <w:vAlign w:val="center"/>
          </w:tcPr>
          <w:p w14:paraId="6773809D">
            <w:pPr>
              <w:jc w:val="center"/>
              <w:rPr>
                <w:rFonts w:hint="eastAsia" w:ascii="宋体" w:hAnsi="宋体" w:cs="宋体"/>
                <w:color w:val="auto"/>
                <w:sz w:val="20"/>
                <w:szCs w:val="20"/>
                <w:highlight w:val="none"/>
              </w:rPr>
            </w:pPr>
            <w:r>
              <w:rPr>
                <w:rFonts w:hint="eastAsia" w:ascii="宋体" w:hAnsi="宋体" w:cs="宋体"/>
                <w:color w:val="auto"/>
                <w:sz w:val="20"/>
                <w:szCs w:val="20"/>
                <w:highlight w:val="none"/>
              </w:rPr>
              <w:t>6</w:t>
            </w:r>
          </w:p>
        </w:tc>
        <w:tc>
          <w:tcPr>
            <w:tcW w:w="6579" w:type="dxa"/>
            <w:tcBorders>
              <w:top w:val="single" w:color="auto" w:sz="4" w:space="0"/>
              <w:left w:val="single" w:color="auto" w:sz="4" w:space="0"/>
              <w:bottom w:val="single" w:color="auto" w:sz="4" w:space="0"/>
              <w:right w:val="single" w:color="auto" w:sz="4" w:space="0"/>
            </w:tcBorders>
            <w:vAlign w:val="center"/>
          </w:tcPr>
          <w:p w14:paraId="1A49A606">
            <w:pPr>
              <w:shd w:val="clear" w:color="auto" w:fill="auto"/>
              <w:spacing w:line="400" w:lineRule="exact"/>
              <w:jc w:val="left"/>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满足招标文件提出的技术和质量要求。</w:t>
            </w:r>
          </w:p>
        </w:tc>
        <w:tc>
          <w:tcPr>
            <w:tcW w:w="753" w:type="dxa"/>
            <w:tcBorders>
              <w:top w:val="single" w:color="auto" w:sz="4" w:space="0"/>
              <w:left w:val="single" w:color="auto" w:sz="4" w:space="0"/>
              <w:bottom w:val="single" w:color="auto" w:sz="4" w:space="0"/>
              <w:right w:val="single" w:color="auto" w:sz="4" w:space="0"/>
            </w:tcBorders>
            <w:vAlign w:val="top"/>
          </w:tcPr>
          <w:p w14:paraId="1B152322">
            <w:pPr>
              <w:rPr>
                <w:rFonts w:hint="eastAsia" w:ascii="宋体" w:hAnsi="宋体" w:cs="宋体"/>
                <w:color w:val="auto"/>
                <w:szCs w:val="21"/>
                <w:highlight w:val="none"/>
              </w:rPr>
            </w:pPr>
          </w:p>
        </w:tc>
        <w:tc>
          <w:tcPr>
            <w:tcW w:w="749" w:type="dxa"/>
            <w:tcBorders>
              <w:top w:val="single" w:color="auto" w:sz="4" w:space="0"/>
              <w:left w:val="single" w:color="auto" w:sz="4" w:space="0"/>
              <w:bottom w:val="single" w:color="auto" w:sz="4" w:space="0"/>
              <w:right w:val="single" w:color="auto" w:sz="4" w:space="0"/>
            </w:tcBorders>
            <w:vAlign w:val="top"/>
          </w:tcPr>
          <w:p w14:paraId="4F5EB8F0">
            <w:pPr>
              <w:rPr>
                <w:rFonts w:hint="eastAsia" w:ascii="宋体" w:hAnsi="宋体" w:cs="宋体"/>
                <w:color w:val="auto"/>
                <w:szCs w:val="21"/>
                <w:highlight w:val="none"/>
              </w:rPr>
            </w:pPr>
          </w:p>
        </w:tc>
      </w:tr>
      <w:tr w14:paraId="605FEF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6" w:hRule="atLeast"/>
        </w:trPr>
        <w:tc>
          <w:tcPr>
            <w:tcW w:w="922" w:type="dxa"/>
            <w:vMerge w:val="continue"/>
            <w:tcBorders>
              <w:left w:val="single" w:color="auto" w:sz="4" w:space="0"/>
              <w:right w:val="single" w:color="auto" w:sz="4" w:space="0"/>
            </w:tcBorders>
            <w:vAlign w:val="center"/>
          </w:tcPr>
          <w:p w14:paraId="69447AA3">
            <w:pPr>
              <w:rPr>
                <w:rFonts w:hint="eastAsia" w:ascii="宋体" w:hAnsi="宋体" w:cs="宋体"/>
                <w:color w:val="auto"/>
                <w:highlight w:val="none"/>
              </w:rPr>
            </w:pPr>
          </w:p>
        </w:tc>
        <w:tc>
          <w:tcPr>
            <w:tcW w:w="495" w:type="dxa"/>
            <w:tcBorders>
              <w:top w:val="single" w:color="auto" w:sz="4" w:space="0"/>
              <w:left w:val="single" w:color="auto" w:sz="4" w:space="0"/>
            </w:tcBorders>
            <w:vAlign w:val="center"/>
          </w:tcPr>
          <w:p w14:paraId="35685EF3">
            <w:pPr>
              <w:shd w:val="clear" w:color="auto" w:fill="auto"/>
              <w:spacing w:line="400" w:lineRule="exact"/>
              <w:jc w:val="center"/>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7</w:t>
            </w:r>
          </w:p>
        </w:tc>
        <w:tc>
          <w:tcPr>
            <w:tcW w:w="6579" w:type="dxa"/>
            <w:tcBorders>
              <w:top w:val="single" w:color="auto" w:sz="4" w:space="0"/>
              <w:right w:val="single" w:color="auto" w:sz="4" w:space="0"/>
            </w:tcBorders>
            <w:vAlign w:val="center"/>
          </w:tcPr>
          <w:p w14:paraId="74C413BE">
            <w:pPr>
              <w:shd w:val="clear" w:color="auto" w:fill="auto"/>
              <w:spacing w:line="400" w:lineRule="exact"/>
              <w:jc w:val="left"/>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lang w:val="en-US" w:eastAsia="zh-CN"/>
              </w:rPr>
              <w:t>供货</w:t>
            </w:r>
            <w:r>
              <w:rPr>
                <w:rFonts w:hint="eastAsia" w:ascii="宋体" w:hAnsi="Times New Roman" w:eastAsia="宋体" w:cs="Times New Roman"/>
                <w:color w:val="auto"/>
                <w:szCs w:val="21"/>
                <w:highlight w:val="none"/>
              </w:rPr>
              <w:t>期限满足招标文件要求。</w:t>
            </w:r>
          </w:p>
        </w:tc>
        <w:tc>
          <w:tcPr>
            <w:tcW w:w="753" w:type="dxa"/>
            <w:tcBorders>
              <w:top w:val="single" w:color="auto" w:sz="4" w:space="0"/>
              <w:left w:val="single" w:color="auto" w:sz="4" w:space="0"/>
            </w:tcBorders>
            <w:vAlign w:val="top"/>
          </w:tcPr>
          <w:p w14:paraId="3C52950F">
            <w:pPr>
              <w:rPr>
                <w:rFonts w:hint="eastAsia" w:ascii="宋体" w:hAnsi="宋体" w:cs="宋体"/>
                <w:color w:val="auto"/>
                <w:szCs w:val="21"/>
                <w:highlight w:val="none"/>
              </w:rPr>
            </w:pPr>
          </w:p>
        </w:tc>
        <w:tc>
          <w:tcPr>
            <w:tcW w:w="749" w:type="dxa"/>
            <w:tcBorders>
              <w:top w:val="single" w:color="auto" w:sz="4" w:space="0"/>
              <w:right w:val="single" w:color="auto" w:sz="4" w:space="0"/>
            </w:tcBorders>
            <w:vAlign w:val="top"/>
          </w:tcPr>
          <w:p w14:paraId="4249E3E7">
            <w:pPr>
              <w:rPr>
                <w:rFonts w:hint="eastAsia" w:ascii="宋体" w:hAnsi="宋体" w:cs="宋体"/>
                <w:color w:val="auto"/>
                <w:szCs w:val="21"/>
                <w:highlight w:val="none"/>
              </w:rPr>
            </w:pPr>
          </w:p>
        </w:tc>
      </w:tr>
      <w:tr w14:paraId="597558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1" w:hRule="atLeast"/>
        </w:trPr>
        <w:tc>
          <w:tcPr>
            <w:tcW w:w="922" w:type="dxa"/>
            <w:vMerge w:val="continue"/>
            <w:tcBorders>
              <w:left w:val="single" w:color="auto" w:sz="4" w:space="0"/>
              <w:right w:val="single" w:color="auto" w:sz="4" w:space="0"/>
            </w:tcBorders>
            <w:vAlign w:val="center"/>
          </w:tcPr>
          <w:p w14:paraId="393B0362">
            <w:pPr>
              <w:rPr>
                <w:rFonts w:hint="eastAsia" w:ascii="宋体" w:hAnsi="宋体" w:cs="宋体"/>
                <w:color w:val="auto"/>
                <w:highlight w:val="none"/>
              </w:rPr>
            </w:pPr>
          </w:p>
        </w:tc>
        <w:tc>
          <w:tcPr>
            <w:tcW w:w="495" w:type="dxa"/>
            <w:tcBorders>
              <w:left w:val="single" w:color="auto" w:sz="4" w:space="0"/>
            </w:tcBorders>
            <w:vAlign w:val="center"/>
          </w:tcPr>
          <w:p w14:paraId="5DCA719F">
            <w:pPr>
              <w:jc w:val="center"/>
              <w:rPr>
                <w:rFonts w:hint="eastAsia" w:ascii="宋体" w:hAnsi="宋体" w:cs="宋体"/>
                <w:color w:val="auto"/>
                <w:sz w:val="20"/>
                <w:szCs w:val="20"/>
                <w:highlight w:val="none"/>
              </w:rPr>
            </w:pPr>
            <w:r>
              <w:rPr>
                <w:rFonts w:hint="eastAsia" w:ascii="宋体" w:hAnsi="宋体" w:cs="宋体"/>
                <w:color w:val="auto"/>
                <w:sz w:val="20"/>
                <w:szCs w:val="20"/>
                <w:highlight w:val="none"/>
              </w:rPr>
              <w:t>8</w:t>
            </w:r>
          </w:p>
        </w:tc>
        <w:tc>
          <w:tcPr>
            <w:tcW w:w="6579" w:type="dxa"/>
            <w:tcBorders>
              <w:right w:val="single" w:color="auto" w:sz="4" w:space="0"/>
            </w:tcBorders>
            <w:vAlign w:val="center"/>
          </w:tcPr>
          <w:p w14:paraId="3670F3C3">
            <w:pPr>
              <w:shd w:val="clear" w:color="auto" w:fill="auto"/>
              <w:spacing w:line="400" w:lineRule="exact"/>
              <w:jc w:val="left"/>
              <w:rPr>
                <w:rFonts w:hint="eastAsia" w:ascii="宋体" w:hAnsi="Times New Roman" w:eastAsia="宋体" w:cs="Times New Roman"/>
                <w:color w:val="auto"/>
                <w:szCs w:val="21"/>
                <w:highlight w:val="none"/>
              </w:rPr>
            </w:pPr>
            <w:r>
              <w:rPr>
                <w:rFonts w:hint="eastAsia" w:ascii="宋体" w:hAnsi="宋体" w:eastAsia="宋体" w:cs="宋体"/>
                <w:color w:val="auto"/>
                <w:kern w:val="0"/>
                <w:sz w:val="20"/>
                <w:szCs w:val="20"/>
                <w:highlight w:val="none"/>
                <w:lang w:val="en-US" w:eastAsia="zh-CN" w:bidi="ar"/>
              </w:rPr>
              <w:t>售后服务满足</w:t>
            </w:r>
            <w:r>
              <w:rPr>
                <w:rFonts w:hint="eastAsia" w:ascii="宋体" w:hAnsi="宋体" w:cs="宋体"/>
                <w:color w:val="auto"/>
                <w:kern w:val="0"/>
                <w:sz w:val="20"/>
                <w:szCs w:val="20"/>
                <w:highlight w:val="none"/>
                <w:lang w:val="en-US" w:eastAsia="zh-CN" w:bidi="ar"/>
              </w:rPr>
              <w:t>招标</w:t>
            </w:r>
            <w:r>
              <w:rPr>
                <w:rFonts w:hint="eastAsia" w:ascii="宋体" w:hAnsi="宋体" w:eastAsia="宋体" w:cs="宋体"/>
                <w:color w:val="auto"/>
                <w:kern w:val="0"/>
                <w:sz w:val="20"/>
                <w:szCs w:val="20"/>
                <w:highlight w:val="none"/>
                <w:lang w:val="en-US" w:eastAsia="zh-CN" w:bidi="ar"/>
              </w:rPr>
              <w:t>文件要求。</w:t>
            </w:r>
          </w:p>
        </w:tc>
        <w:tc>
          <w:tcPr>
            <w:tcW w:w="753" w:type="dxa"/>
            <w:tcBorders>
              <w:left w:val="single" w:color="auto" w:sz="4" w:space="0"/>
            </w:tcBorders>
            <w:vAlign w:val="top"/>
          </w:tcPr>
          <w:p w14:paraId="7A200038">
            <w:pPr>
              <w:rPr>
                <w:rFonts w:hint="eastAsia" w:ascii="宋体" w:hAnsi="宋体" w:cs="宋体"/>
                <w:color w:val="auto"/>
                <w:szCs w:val="21"/>
                <w:highlight w:val="none"/>
              </w:rPr>
            </w:pPr>
          </w:p>
        </w:tc>
        <w:tc>
          <w:tcPr>
            <w:tcW w:w="749" w:type="dxa"/>
            <w:tcBorders>
              <w:right w:val="single" w:color="auto" w:sz="4" w:space="0"/>
            </w:tcBorders>
            <w:vAlign w:val="top"/>
          </w:tcPr>
          <w:p w14:paraId="0AB1A33B">
            <w:pPr>
              <w:rPr>
                <w:rFonts w:hint="eastAsia" w:ascii="宋体" w:hAnsi="宋体" w:cs="宋体"/>
                <w:color w:val="auto"/>
                <w:szCs w:val="21"/>
                <w:highlight w:val="none"/>
              </w:rPr>
            </w:pPr>
          </w:p>
        </w:tc>
      </w:tr>
      <w:tr w14:paraId="7FA339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922" w:type="dxa"/>
            <w:vMerge w:val="continue"/>
            <w:tcBorders>
              <w:left w:val="single" w:color="auto" w:sz="4" w:space="0"/>
              <w:right w:val="single" w:color="auto" w:sz="4" w:space="0"/>
            </w:tcBorders>
            <w:vAlign w:val="center"/>
          </w:tcPr>
          <w:p w14:paraId="68BAC2D3">
            <w:pPr>
              <w:rPr>
                <w:rFonts w:hint="eastAsia" w:ascii="宋体" w:hAnsi="宋体" w:cs="宋体"/>
                <w:color w:val="auto"/>
                <w:highlight w:val="none"/>
              </w:rPr>
            </w:pPr>
          </w:p>
        </w:tc>
        <w:tc>
          <w:tcPr>
            <w:tcW w:w="495" w:type="dxa"/>
            <w:tcBorders>
              <w:left w:val="single" w:color="auto" w:sz="4" w:space="0"/>
            </w:tcBorders>
            <w:vAlign w:val="center"/>
          </w:tcPr>
          <w:p w14:paraId="2E0B71E6">
            <w:pPr>
              <w:jc w:val="center"/>
              <w:rPr>
                <w:rFonts w:hint="eastAsia" w:ascii="宋体" w:hAnsi="宋体" w:cs="宋体"/>
                <w:color w:val="auto"/>
                <w:sz w:val="20"/>
                <w:szCs w:val="20"/>
                <w:highlight w:val="none"/>
              </w:rPr>
            </w:pPr>
            <w:r>
              <w:rPr>
                <w:rFonts w:hint="eastAsia" w:ascii="宋体" w:hAnsi="宋体" w:cs="宋体"/>
                <w:color w:val="auto"/>
                <w:sz w:val="20"/>
                <w:szCs w:val="20"/>
                <w:highlight w:val="none"/>
              </w:rPr>
              <w:t>9</w:t>
            </w:r>
          </w:p>
        </w:tc>
        <w:tc>
          <w:tcPr>
            <w:tcW w:w="6579" w:type="dxa"/>
            <w:tcBorders>
              <w:right w:val="single" w:color="auto" w:sz="4" w:space="0"/>
            </w:tcBorders>
            <w:vAlign w:val="center"/>
          </w:tcPr>
          <w:p w14:paraId="406CC301">
            <w:pPr>
              <w:shd w:val="clear" w:color="auto" w:fill="auto"/>
              <w:spacing w:line="400" w:lineRule="exact"/>
              <w:jc w:val="left"/>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投标有效期满足招标文件要求。</w:t>
            </w:r>
          </w:p>
        </w:tc>
        <w:tc>
          <w:tcPr>
            <w:tcW w:w="753" w:type="dxa"/>
            <w:tcBorders>
              <w:left w:val="single" w:color="auto" w:sz="4" w:space="0"/>
            </w:tcBorders>
            <w:vAlign w:val="top"/>
          </w:tcPr>
          <w:p w14:paraId="6FCB14C0">
            <w:pPr>
              <w:rPr>
                <w:rFonts w:hint="eastAsia" w:ascii="宋体" w:hAnsi="宋体" w:cs="宋体"/>
                <w:color w:val="auto"/>
                <w:szCs w:val="21"/>
                <w:highlight w:val="none"/>
              </w:rPr>
            </w:pPr>
          </w:p>
        </w:tc>
        <w:tc>
          <w:tcPr>
            <w:tcW w:w="749" w:type="dxa"/>
            <w:tcBorders>
              <w:right w:val="single" w:color="auto" w:sz="4" w:space="0"/>
            </w:tcBorders>
            <w:vAlign w:val="top"/>
          </w:tcPr>
          <w:p w14:paraId="3A871BCB">
            <w:pPr>
              <w:rPr>
                <w:rFonts w:hint="eastAsia" w:ascii="宋体" w:hAnsi="宋体" w:cs="宋体"/>
                <w:color w:val="auto"/>
                <w:szCs w:val="21"/>
                <w:highlight w:val="none"/>
              </w:rPr>
            </w:pPr>
          </w:p>
        </w:tc>
      </w:tr>
      <w:tr w14:paraId="21DD5F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922" w:type="dxa"/>
            <w:vMerge w:val="continue"/>
            <w:tcBorders>
              <w:left w:val="single" w:color="auto" w:sz="4" w:space="0"/>
              <w:right w:val="single" w:color="auto" w:sz="4" w:space="0"/>
            </w:tcBorders>
            <w:vAlign w:val="center"/>
          </w:tcPr>
          <w:p w14:paraId="427AACF1">
            <w:pPr>
              <w:rPr>
                <w:rFonts w:hint="eastAsia" w:ascii="宋体" w:hAnsi="宋体" w:cs="宋体"/>
                <w:color w:val="auto"/>
                <w:highlight w:val="none"/>
              </w:rPr>
            </w:pPr>
          </w:p>
        </w:tc>
        <w:tc>
          <w:tcPr>
            <w:tcW w:w="495" w:type="dxa"/>
            <w:tcBorders>
              <w:left w:val="single" w:color="auto" w:sz="4" w:space="0"/>
            </w:tcBorders>
            <w:vAlign w:val="center"/>
          </w:tcPr>
          <w:p w14:paraId="44A0D1F1">
            <w:pPr>
              <w:jc w:val="center"/>
              <w:rPr>
                <w:rFonts w:hint="eastAsia" w:ascii="宋体" w:hAnsi="宋体" w:cs="宋体"/>
                <w:color w:val="auto"/>
                <w:sz w:val="20"/>
                <w:szCs w:val="20"/>
                <w:highlight w:val="none"/>
              </w:rPr>
            </w:pPr>
            <w:r>
              <w:rPr>
                <w:rFonts w:hint="eastAsia" w:ascii="宋体" w:hAnsi="宋体" w:cs="宋体"/>
                <w:color w:val="auto"/>
                <w:sz w:val="20"/>
                <w:szCs w:val="20"/>
                <w:highlight w:val="none"/>
              </w:rPr>
              <w:t>10</w:t>
            </w:r>
          </w:p>
        </w:tc>
        <w:tc>
          <w:tcPr>
            <w:tcW w:w="6579" w:type="dxa"/>
            <w:tcBorders>
              <w:right w:val="single" w:color="auto" w:sz="4" w:space="0"/>
            </w:tcBorders>
            <w:vAlign w:val="center"/>
          </w:tcPr>
          <w:p w14:paraId="272CF448">
            <w:pPr>
              <w:shd w:val="clear" w:color="auto" w:fill="auto"/>
              <w:spacing w:line="400" w:lineRule="exact"/>
              <w:jc w:val="left"/>
              <w:rPr>
                <w:rFonts w:hint="eastAsia" w:ascii="宋体" w:hAnsi="Times New Roman" w:eastAsia="宋体" w:cs="Times New Roman"/>
                <w:color w:val="auto"/>
                <w:szCs w:val="21"/>
                <w:highlight w:val="none"/>
                <w:lang w:eastAsia="zh-CN"/>
              </w:rPr>
            </w:pPr>
            <w:r>
              <w:rPr>
                <w:rFonts w:hint="eastAsia" w:ascii="宋体" w:hAnsi="Times New Roman" w:eastAsia="宋体" w:cs="Times New Roman"/>
                <w:color w:val="auto"/>
                <w:szCs w:val="21"/>
                <w:highlight w:val="none"/>
              </w:rPr>
              <w:t>投标人详细地址、联系人、电话</w:t>
            </w:r>
            <w:r>
              <w:rPr>
                <w:rFonts w:hint="eastAsia" w:ascii="宋体" w:hAnsi="Times New Roman" w:eastAsia="宋体" w:cs="Times New Roman"/>
                <w:color w:val="auto"/>
                <w:szCs w:val="21"/>
                <w:highlight w:val="none"/>
                <w:lang w:eastAsia="zh-CN"/>
              </w:rPr>
              <w:t>。</w:t>
            </w:r>
          </w:p>
        </w:tc>
        <w:tc>
          <w:tcPr>
            <w:tcW w:w="753" w:type="dxa"/>
            <w:tcBorders>
              <w:left w:val="single" w:color="auto" w:sz="4" w:space="0"/>
            </w:tcBorders>
            <w:vAlign w:val="top"/>
          </w:tcPr>
          <w:p w14:paraId="34B2460A">
            <w:pPr>
              <w:rPr>
                <w:rFonts w:hint="eastAsia" w:ascii="宋体" w:hAnsi="宋体" w:cs="宋体"/>
                <w:color w:val="auto"/>
                <w:szCs w:val="21"/>
                <w:highlight w:val="none"/>
              </w:rPr>
            </w:pPr>
          </w:p>
        </w:tc>
        <w:tc>
          <w:tcPr>
            <w:tcW w:w="749" w:type="dxa"/>
            <w:tcBorders>
              <w:right w:val="single" w:color="auto" w:sz="4" w:space="0"/>
            </w:tcBorders>
            <w:vAlign w:val="top"/>
          </w:tcPr>
          <w:p w14:paraId="3721A82E">
            <w:pPr>
              <w:rPr>
                <w:rFonts w:hint="eastAsia" w:ascii="宋体" w:hAnsi="宋体" w:cs="宋体"/>
                <w:color w:val="auto"/>
                <w:szCs w:val="21"/>
                <w:highlight w:val="none"/>
              </w:rPr>
            </w:pPr>
          </w:p>
        </w:tc>
      </w:tr>
      <w:tr w14:paraId="33A71C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1" w:hRule="atLeast"/>
        </w:trPr>
        <w:tc>
          <w:tcPr>
            <w:tcW w:w="7996" w:type="dxa"/>
            <w:gridSpan w:val="3"/>
            <w:tcBorders>
              <w:left w:val="single" w:color="auto" w:sz="4" w:space="0"/>
              <w:right w:val="single" w:color="auto" w:sz="4" w:space="0"/>
            </w:tcBorders>
            <w:vAlign w:val="center"/>
          </w:tcPr>
          <w:p w14:paraId="4244BF9A">
            <w:pPr>
              <w:jc w:val="center"/>
              <w:rPr>
                <w:rFonts w:hint="eastAsia" w:ascii="宋体" w:hAnsi="宋体" w:cs="宋体"/>
                <w:color w:val="auto"/>
                <w:sz w:val="20"/>
                <w:szCs w:val="20"/>
                <w:highlight w:val="none"/>
              </w:rPr>
            </w:pPr>
            <w:r>
              <w:rPr>
                <w:rFonts w:hint="eastAsia" w:ascii="宋体" w:hAnsi="宋体" w:cs="宋体"/>
                <w:color w:val="auto"/>
                <w:spacing w:val="-2"/>
                <w:szCs w:val="21"/>
                <w:highlight w:val="none"/>
                <w:lang w:eastAsia="zh-CN"/>
              </w:rPr>
              <w:t>评审结果：须写通过或者不通过</w:t>
            </w:r>
          </w:p>
        </w:tc>
        <w:tc>
          <w:tcPr>
            <w:tcW w:w="1502" w:type="dxa"/>
            <w:gridSpan w:val="2"/>
            <w:tcBorders>
              <w:left w:val="single" w:color="auto" w:sz="4" w:space="0"/>
              <w:right w:val="single" w:color="auto" w:sz="4" w:space="0"/>
            </w:tcBorders>
            <w:vAlign w:val="center"/>
          </w:tcPr>
          <w:p w14:paraId="77FD758A">
            <w:pPr>
              <w:rPr>
                <w:rFonts w:hint="eastAsia" w:ascii="宋体" w:hAnsi="宋体" w:cs="宋体"/>
                <w:color w:val="auto"/>
                <w:szCs w:val="21"/>
                <w:highlight w:val="none"/>
              </w:rPr>
            </w:pPr>
          </w:p>
        </w:tc>
      </w:tr>
      <w:tr w14:paraId="053DFC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13" w:hRule="atLeast"/>
        </w:trPr>
        <w:tc>
          <w:tcPr>
            <w:tcW w:w="9498" w:type="dxa"/>
            <w:gridSpan w:val="5"/>
            <w:tcBorders>
              <w:left w:val="single" w:color="auto" w:sz="4" w:space="0"/>
              <w:bottom w:val="single" w:color="auto" w:sz="4" w:space="0"/>
              <w:right w:val="single" w:color="auto" w:sz="4" w:space="0"/>
            </w:tcBorders>
            <w:vAlign w:val="center"/>
          </w:tcPr>
          <w:p w14:paraId="0F65DF2B">
            <w:pPr>
              <w:ind w:firstLine="373" w:firstLineChars="180"/>
              <w:rPr>
                <w:rFonts w:hint="eastAsia" w:ascii="宋体" w:hAnsi="宋体" w:cs="宋体"/>
                <w:color w:val="auto"/>
                <w:szCs w:val="21"/>
                <w:highlight w:val="none"/>
              </w:rPr>
            </w:pPr>
            <w:r>
              <w:rPr>
                <w:rFonts w:hint="eastAsia" w:ascii="宋体" w:hAnsi="宋体" w:cs="宋体"/>
                <w:color w:val="auto"/>
                <w:spacing w:val="-2"/>
                <w:szCs w:val="21"/>
                <w:highlight w:val="none"/>
              </w:rPr>
              <w:t xml:space="preserve">结论：通过评审打“√”，未通过评审打“×”   </w:t>
            </w:r>
            <w:r>
              <w:rPr>
                <w:rFonts w:hint="eastAsia" w:ascii="宋体" w:hAnsi="宋体" w:cs="宋体"/>
                <w:color w:val="auto"/>
                <w:szCs w:val="21"/>
                <w:highlight w:val="none"/>
              </w:rPr>
              <w:t>注：如有一项不合格，作废标处理。</w:t>
            </w:r>
          </w:p>
        </w:tc>
      </w:tr>
    </w:tbl>
    <w:p w14:paraId="3FAFC659">
      <w:pPr>
        <w:shd w:val="clear" w:color="auto" w:fill="auto"/>
        <w:spacing w:line="400" w:lineRule="exact"/>
        <w:rPr>
          <w:rFonts w:hint="eastAsia" w:ascii="宋体"/>
          <w:color w:val="auto"/>
          <w:szCs w:val="21"/>
          <w:highlight w:val="none"/>
          <w:lang w:val="en-US" w:eastAsia="zh-CN"/>
        </w:rPr>
      </w:pPr>
    </w:p>
    <w:p w14:paraId="6AE246B8">
      <w:pPr>
        <w:shd w:val="clear" w:color="auto" w:fill="auto"/>
        <w:spacing w:line="400" w:lineRule="exact"/>
        <w:ind w:firstLine="510" w:firstLineChars="241"/>
        <w:rPr>
          <w:rFonts w:hint="eastAsia" w:ascii="宋体"/>
          <w:color w:val="auto"/>
          <w:szCs w:val="21"/>
          <w:highlight w:val="none"/>
        </w:rPr>
      </w:pPr>
      <w:r>
        <w:rPr>
          <w:rFonts w:hint="eastAsia" w:ascii="宋体"/>
          <w:color w:val="auto"/>
          <w:szCs w:val="21"/>
          <w:highlight w:val="none"/>
          <w:lang w:val="en-US" w:eastAsia="zh-CN"/>
        </w:rPr>
        <w:t>7</w:t>
      </w:r>
      <w:r>
        <w:rPr>
          <w:rFonts w:hint="eastAsia" w:ascii="宋体"/>
          <w:color w:val="auto"/>
          <w:szCs w:val="21"/>
          <w:highlight w:val="none"/>
        </w:rPr>
        <w:t>.2评委会判定投标文件的响应性只根据投标文件本身的内容，而不寻求外部的证据，但投标有不真实不正确的内容时除外。</w:t>
      </w:r>
    </w:p>
    <w:p w14:paraId="2C542F56">
      <w:pPr>
        <w:shd w:val="clear" w:color="auto" w:fill="auto"/>
        <w:spacing w:line="400" w:lineRule="exact"/>
        <w:ind w:firstLine="510" w:firstLineChars="241"/>
        <w:rPr>
          <w:rFonts w:hint="eastAsia" w:ascii="宋体"/>
          <w:color w:val="auto"/>
          <w:szCs w:val="21"/>
          <w:highlight w:val="none"/>
        </w:rPr>
      </w:pPr>
      <w:r>
        <w:rPr>
          <w:rFonts w:hint="eastAsia" w:ascii="宋体"/>
          <w:color w:val="auto"/>
          <w:szCs w:val="21"/>
          <w:highlight w:val="none"/>
          <w:lang w:val="en-US" w:eastAsia="zh-CN"/>
        </w:rPr>
        <w:t>7</w:t>
      </w:r>
      <w:r>
        <w:rPr>
          <w:rFonts w:hint="eastAsia" w:ascii="宋体"/>
          <w:color w:val="auto"/>
          <w:szCs w:val="21"/>
          <w:highlight w:val="none"/>
        </w:rPr>
        <w:t>.3如果投标文件实质上没有响应</w:t>
      </w:r>
      <w:r>
        <w:rPr>
          <w:rFonts w:hint="eastAsia" w:ascii="宋体"/>
          <w:color w:val="auto"/>
          <w:szCs w:val="21"/>
          <w:highlight w:val="none"/>
          <w:lang w:eastAsia="zh-CN"/>
        </w:rPr>
        <w:t>采购文件</w:t>
      </w:r>
      <w:r>
        <w:rPr>
          <w:rFonts w:hint="eastAsia" w:ascii="宋体"/>
          <w:color w:val="auto"/>
          <w:szCs w:val="21"/>
          <w:highlight w:val="none"/>
        </w:rPr>
        <w:t>的要求，评委会将予以拒绝，投标人不得通过修正或撤销不符合要求的偏离或保留，而使其投标成为实质上响应的投标。</w:t>
      </w:r>
    </w:p>
    <w:p w14:paraId="220C7154">
      <w:pPr>
        <w:shd w:val="clear" w:color="auto" w:fill="auto"/>
        <w:spacing w:line="400" w:lineRule="exact"/>
        <w:ind w:firstLine="424" w:firstLineChars="200"/>
        <w:rPr>
          <w:rFonts w:hint="eastAsia" w:ascii="宋体"/>
          <w:color w:val="auto"/>
          <w:szCs w:val="21"/>
          <w:highlight w:val="none"/>
        </w:rPr>
      </w:pPr>
      <w:r>
        <w:rPr>
          <w:rFonts w:hint="eastAsia" w:ascii="宋体"/>
          <w:color w:val="auto"/>
          <w:szCs w:val="21"/>
          <w:highlight w:val="none"/>
        </w:rPr>
        <w:t xml:space="preserve"> </w:t>
      </w:r>
      <w:r>
        <w:rPr>
          <w:rFonts w:hint="eastAsia" w:ascii="宋体"/>
          <w:color w:val="auto"/>
          <w:szCs w:val="21"/>
          <w:highlight w:val="none"/>
          <w:lang w:val="en-US" w:eastAsia="zh-CN"/>
        </w:rPr>
        <w:t>7</w:t>
      </w:r>
      <w:r>
        <w:rPr>
          <w:rFonts w:hint="eastAsia" w:ascii="宋体"/>
          <w:color w:val="auto"/>
          <w:szCs w:val="21"/>
          <w:highlight w:val="none"/>
        </w:rPr>
        <w:t>.4投标人可在现场</w:t>
      </w:r>
      <w:r>
        <w:rPr>
          <w:rFonts w:hint="eastAsia" w:ascii="宋体"/>
          <w:color w:val="auto"/>
          <w:szCs w:val="21"/>
          <w:highlight w:val="none"/>
          <w:lang w:eastAsia="zh-CN"/>
        </w:rPr>
        <w:t>30分钟</w:t>
      </w:r>
      <w:r>
        <w:rPr>
          <w:rFonts w:hint="eastAsia" w:ascii="宋体"/>
          <w:color w:val="auto"/>
          <w:szCs w:val="21"/>
          <w:highlight w:val="none"/>
        </w:rPr>
        <w:t>内对评标委员会的评审结论提出异议，评标委员会根据</w:t>
      </w:r>
      <w:r>
        <w:rPr>
          <w:rFonts w:hint="eastAsia" w:ascii="宋体"/>
          <w:color w:val="auto"/>
          <w:szCs w:val="21"/>
          <w:highlight w:val="none"/>
          <w:lang w:eastAsia="zh-CN"/>
        </w:rPr>
        <w:t>采购文件</w:t>
      </w:r>
      <w:r>
        <w:rPr>
          <w:rFonts w:hint="eastAsia" w:ascii="宋体"/>
          <w:color w:val="auto"/>
          <w:szCs w:val="21"/>
          <w:highlight w:val="none"/>
        </w:rPr>
        <w:t>及有关规定对投标人的异议进行复议</w:t>
      </w:r>
    </w:p>
    <w:p w14:paraId="66335DD6">
      <w:pPr>
        <w:shd w:val="clear" w:color="auto" w:fill="auto"/>
        <w:spacing w:line="400" w:lineRule="exact"/>
        <w:ind w:firstLine="530" w:firstLineChars="250"/>
        <w:rPr>
          <w:rFonts w:hint="eastAsia" w:ascii="宋体"/>
          <w:color w:val="auto"/>
          <w:szCs w:val="21"/>
          <w:highlight w:val="none"/>
        </w:rPr>
      </w:pPr>
      <w:r>
        <w:rPr>
          <w:rFonts w:hint="eastAsia" w:ascii="宋体"/>
          <w:color w:val="auto"/>
          <w:szCs w:val="21"/>
          <w:highlight w:val="none"/>
          <w:lang w:val="en-US" w:eastAsia="zh-CN"/>
        </w:rPr>
        <w:t>7</w:t>
      </w:r>
      <w:r>
        <w:rPr>
          <w:rFonts w:hint="eastAsia" w:ascii="宋体"/>
          <w:color w:val="auto"/>
          <w:szCs w:val="21"/>
          <w:highlight w:val="none"/>
        </w:rPr>
        <w:t>.5只有通过初审的投标人才能进入下一步评标程序。</w:t>
      </w:r>
    </w:p>
    <w:p w14:paraId="2283D359">
      <w:pPr>
        <w:shd w:val="clear" w:color="auto" w:fill="auto"/>
        <w:spacing w:line="400" w:lineRule="exact"/>
        <w:ind w:firstLine="424" w:firstLineChars="200"/>
        <w:rPr>
          <w:rFonts w:hint="eastAsia" w:ascii="宋体" w:hAnsi="宋体"/>
          <w:b/>
          <w:color w:val="auto"/>
          <w:szCs w:val="21"/>
          <w:highlight w:val="none"/>
        </w:rPr>
      </w:pPr>
      <w:r>
        <w:rPr>
          <w:rFonts w:hint="eastAsia" w:ascii="宋体" w:hAnsi="宋体"/>
          <w:b/>
          <w:color w:val="auto"/>
          <w:szCs w:val="21"/>
          <w:highlight w:val="none"/>
        </w:rPr>
        <w:t>温馨提示：投标文件资格审查资料请精心准备,如评标专家在检验电子标书过程中，如果由于投标人自身原因导致评标专家无法查看并检验电子标书中以上相关资料的，按无效投标处理。即使投标单位将原件携带至现场的，同样按无效投标处理。</w:t>
      </w:r>
      <w:bookmarkStart w:id="108" w:name="_Toc362983803"/>
    </w:p>
    <w:p w14:paraId="16970EFF">
      <w:pPr>
        <w:shd w:val="clear" w:color="auto" w:fill="auto"/>
        <w:spacing w:line="400" w:lineRule="exact"/>
        <w:ind w:firstLine="3102" w:firstLineChars="1100"/>
        <w:rPr>
          <w:rFonts w:hint="eastAsia" w:ascii="宋体"/>
          <w:b/>
          <w:color w:val="auto"/>
          <w:sz w:val="28"/>
          <w:szCs w:val="28"/>
          <w:highlight w:val="none"/>
        </w:rPr>
      </w:pPr>
    </w:p>
    <w:p w14:paraId="38F1EB16">
      <w:pPr>
        <w:shd w:val="clear" w:color="auto" w:fill="auto"/>
        <w:spacing w:line="400" w:lineRule="exact"/>
        <w:jc w:val="center"/>
        <w:rPr>
          <w:rFonts w:hint="eastAsia" w:ascii="宋体"/>
          <w:b/>
          <w:color w:val="auto"/>
          <w:sz w:val="24"/>
          <w:highlight w:val="none"/>
        </w:rPr>
      </w:pPr>
      <w:r>
        <w:rPr>
          <w:rFonts w:hint="eastAsia" w:ascii="宋体"/>
          <w:b/>
          <w:color w:val="auto"/>
          <w:sz w:val="28"/>
          <w:szCs w:val="28"/>
          <w:highlight w:val="none"/>
        </w:rPr>
        <w:t>三  投标文件的澄清和补正</w:t>
      </w:r>
      <w:bookmarkEnd w:id="108"/>
    </w:p>
    <w:p w14:paraId="7C63990B">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8．澄清、说明或补正的形式</w:t>
      </w:r>
    </w:p>
    <w:p w14:paraId="74AA4DBB">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8.1对于投标文件中含义不明确、同类问题表述不一致或者有明显文字和计算错误的内容，评标委员会将通过“政府采购云平台”在线询标的方式要求投标供应商在规定的时间内作出必要的澄清、说明或者补正，投标供应商澄清、说明或补正时间为30分钟。</w:t>
      </w:r>
    </w:p>
    <w:p w14:paraId="32FD2A85">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8.2投标供应商的澄清、说明或者补正应当通过“政府采购云平台”在线答复的方式提交，并加盖公章（电子印章），或者由法定代表人（负责人）或其授权的代表签字。投标供应商的澄清、说明或者补正不得超出投标文件的范围或者改变投标文件的实质性内容，不接受投标供应商主动对投标文件的澄清、说明或者补正。</w:t>
      </w:r>
    </w:p>
    <w:p w14:paraId="2760BD41">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8.3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45A32211">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9．错误修正的原则</w:t>
      </w:r>
    </w:p>
    <w:p w14:paraId="357D7791">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电子交易平台客户端里开标一览表录入的投标报价或优惠率与扫描上传的报价文件信息不一致的，以扫描上传的报价文件信息为准进行修正。</w:t>
      </w:r>
    </w:p>
    <w:p w14:paraId="7A6DB2E6">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投标文件报价出现前后不一致的，除采购文件另有规定外，按照下列规定修正：</w:t>
      </w:r>
    </w:p>
    <w:p w14:paraId="48E09E54">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9.1 投标函中表述的内容与报价表中不一致的，以报价表为准；报价表中的内容与报价明细表不一致的，以报价表为准；</w:t>
      </w:r>
    </w:p>
    <w:p w14:paraId="13757888">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9.2 投标文件中的大写金额和小写金额不一致的，以大写金额为准；</w:t>
      </w:r>
    </w:p>
    <w:p w14:paraId="6E3FDF11">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9.3 单价金额小数点或者百分比有明显错位的，以开标一览表的总价为准，并修改单价；</w:t>
      </w:r>
    </w:p>
    <w:p w14:paraId="56B8736C">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9.4 总价金额与按单价汇总金额不一致的，以单价金额计算结果为准；</w:t>
      </w:r>
    </w:p>
    <w:p w14:paraId="5C0C5F95">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9.5 若用文字表示的数值与用数字表示的数值不一致，以文字表示的数值为准；</w:t>
      </w:r>
    </w:p>
    <w:p w14:paraId="6965717A">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9.6 如有多报（指数量超出采购文件需求）、重报（指同一货物重复报价），其投标总价在评标过程中不予调整，如其中标，其合同价按其投标单价予以调整；</w:t>
      </w:r>
    </w:p>
    <w:p w14:paraId="5660F8F0">
      <w:pPr>
        <w:shd w:val="clear" w:color="auto" w:fill="auto"/>
        <w:spacing w:line="440" w:lineRule="exact"/>
        <w:ind w:firstLine="212"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9.7 对不同文字文本投标文件的解释发生异议的，以中文文本为准；</w:t>
      </w:r>
    </w:p>
    <w:p w14:paraId="6175F1E9">
      <w:pPr>
        <w:shd w:val="clear" w:color="auto" w:fill="auto"/>
        <w:spacing w:line="440" w:lineRule="exact"/>
        <w:ind w:firstLine="212" w:firstLineChars="100"/>
        <w:jc w:val="left"/>
        <w:rPr>
          <w:rFonts w:hint="eastAsia" w:ascii="宋体"/>
          <w:color w:val="auto"/>
          <w:szCs w:val="21"/>
          <w:highlight w:val="none"/>
        </w:rPr>
      </w:pPr>
      <w:r>
        <w:rPr>
          <w:rFonts w:hint="eastAsia" w:ascii="宋体"/>
          <w:b w:val="0"/>
          <w:bCs w:val="0"/>
          <w:color w:val="auto"/>
          <w:szCs w:val="21"/>
          <w:highlight w:val="none"/>
          <w:lang w:val="en-US" w:eastAsia="zh-CN"/>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修正应当采用电子询标的形式，并加盖公章（电子印章）。</w:t>
      </w:r>
    </w:p>
    <w:p w14:paraId="48D1EA68">
      <w:pPr>
        <w:shd w:val="clear" w:color="auto" w:fill="auto"/>
        <w:spacing w:line="400" w:lineRule="exact"/>
        <w:jc w:val="center"/>
        <w:outlineLvl w:val="1"/>
        <w:rPr>
          <w:rFonts w:hint="eastAsia" w:ascii="宋体"/>
          <w:b/>
          <w:color w:val="auto"/>
          <w:sz w:val="24"/>
          <w:highlight w:val="none"/>
        </w:rPr>
      </w:pPr>
      <w:bookmarkStart w:id="109" w:name="_Toc1842"/>
    </w:p>
    <w:p w14:paraId="3C6AC637">
      <w:pPr>
        <w:shd w:val="clear" w:color="auto" w:fill="auto"/>
        <w:spacing w:line="400" w:lineRule="exact"/>
        <w:jc w:val="center"/>
        <w:outlineLvl w:val="1"/>
        <w:rPr>
          <w:rFonts w:hint="eastAsia" w:ascii="宋体"/>
          <w:b/>
          <w:color w:val="auto"/>
          <w:sz w:val="24"/>
          <w:highlight w:val="none"/>
        </w:rPr>
      </w:pPr>
    </w:p>
    <w:p w14:paraId="31086E09">
      <w:pPr>
        <w:shd w:val="clear" w:color="auto" w:fill="auto"/>
        <w:spacing w:line="400" w:lineRule="exact"/>
        <w:jc w:val="center"/>
        <w:outlineLvl w:val="1"/>
        <w:rPr>
          <w:rFonts w:hint="eastAsia" w:ascii="宋体"/>
          <w:b/>
          <w:color w:val="auto"/>
          <w:sz w:val="24"/>
          <w:highlight w:val="none"/>
        </w:rPr>
      </w:pPr>
    </w:p>
    <w:p w14:paraId="4AC676B9">
      <w:pPr>
        <w:shd w:val="clear" w:color="auto" w:fill="auto"/>
        <w:spacing w:line="400" w:lineRule="exact"/>
        <w:jc w:val="center"/>
        <w:outlineLvl w:val="1"/>
        <w:rPr>
          <w:rFonts w:hint="eastAsia" w:ascii="宋体"/>
          <w:b/>
          <w:color w:val="auto"/>
          <w:sz w:val="24"/>
          <w:highlight w:val="none"/>
        </w:rPr>
      </w:pPr>
      <w:r>
        <w:rPr>
          <w:rFonts w:hint="eastAsia" w:ascii="宋体"/>
          <w:b/>
          <w:color w:val="auto"/>
          <w:sz w:val="24"/>
          <w:highlight w:val="none"/>
        </w:rPr>
        <w:t>四 比较与评价</w:t>
      </w:r>
      <w:bookmarkEnd w:id="109"/>
    </w:p>
    <w:p w14:paraId="076B2788">
      <w:pPr>
        <w:shd w:val="clear" w:color="auto" w:fill="auto"/>
        <w:tabs>
          <w:tab w:val="left" w:pos="720"/>
        </w:tabs>
        <w:spacing w:line="440" w:lineRule="exact"/>
        <w:ind w:firstLine="540" w:firstLineChars="255"/>
        <w:rPr>
          <w:rFonts w:hint="eastAsia" w:ascii="宋体" w:hAnsi="宋体" w:eastAsia="宋体" w:cs="宋体"/>
          <w:color w:val="auto"/>
          <w:szCs w:val="21"/>
          <w:highlight w:val="none"/>
          <w:lang w:bidi="ar-SA"/>
        </w:rPr>
      </w:pPr>
      <w:bookmarkStart w:id="110" w:name="_Toc362983805"/>
      <w:r>
        <w:rPr>
          <w:rFonts w:hint="eastAsia" w:ascii="宋体" w:hAnsi="宋体" w:eastAsia="宋体" w:cs="宋体"/>
          <w:color w:val="auto"/>
          <w:szCs w:val="21"/>
          <w:highlight w:val="none"/>
          <w:lang w:val="en-US" w:eastAsia="zh-CN" w:bidi="ar-SA"/>
        </w:rPr>
        <w:t>10.1</w:t>
      </w:r>
      <w:r>
        <w:rPr>
          <w:rFonts w:hint="eastAsia" w:ascii="宋体" w:hAnsi="宋体" w:eastAsia="宋体" w:cs="宋体"/>
          <w:color w:val="auto"/>
          <w:szCs w:val="21"/>
          <w:highlight w:val="none"/>
          <w:lang w:bidi="ar-SA"/>
        </w:rPr>
        <w:t>评标委员会按招标文件中规定的评标方法和标准，对资格性检查和符合性检查合格的投标文件进行商务和技术评估、综合比较与评价。</w:t>
      </w:r>
    </w:p>
    <w:p w14:paraId="4A1C4A35">
      <w:pPr>
        <w:shd w:val="clear" w:color="auto" w:fill="auto"/>
        <w:spacing w:line="440" w:lineRule="exact"/>
        <w:ind w:firstLine="544"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val="en-US" w:eastAsia="zh-CN" w:bidi="ar-SA"/>
        </w:rPr>
        <w:t>10.2</w:t>
      </w:r>
      <w:r>
        <w:rPr>
          <w:rFonts w:hint="eastAsia" w:ascii="宋体" w:hAnsi="宋体" w:eastAsia="宋体" w:cs="宋体"/>
          <w:color w:val="auto"/>
          <w:szCs w:val="21"/>
          <w:highlight w:val="none"/>
          <w:lang w:bidi="ar-SA"/>
        </w:rPr>
        <w:t>评标委员会根据商务和技术评估的结果，采用综合评分法，分别对投标文件的商务、技术、价格等内容进行打分。其中，商务评估、技术评估、价格评估的评分权值（详见附件1）。</w:t>
      </w:r>
    </w:p>
    <w:p w14:paraId="38EBF796">
      <w:pPr>
        <w:shd w:val="clear" w:color="auto" w:fill="auto"/>
        <w:spacing w:line="440" w:lineRule="exact"/>
        <w:ind w:firstLine="544" w:firstLineChars="257"/>
        <w:rPr>
          <w:rFonts w:hint="eastAsia" w:ascii="宋体" w:hAnsi="宋体" w:eastAsia="宋体" w:cs="宋体"/>
          <w:bCs/>
          <w:color w:val="auto"/>
          <w:szCs w:val="21"/>
          <w:highlight w:val="none"/>
          <w:lang w:bidi="ar-SA"/>
        </w:rPr>
      </w:pPr>
      <w:r>
        <w:rPr>
          <w:rFonts w:hint="eastAsia" w:ascii="宋体" w:hAnsi="宋体" w:eastAsia="宋体" w:cs="宋体"/>
          <w:color w:val="auto"/>
          <w:szCs w:val="21"/>
          <w:highlight w:val="none"/>
          <w:lang w:val="en-US" w:eastAsia="zh-CN" w:bidi="ar-SA"/>
        </w:rPr>
        <w:t>10.</w:t>
      </w:r>
      <w:r>
        <w:rPr>
          <w:rFonts w:hint="eastAsia" w:ascii="宋体" w:hAnsi="宋体" w:eastAsia="宋体" w:cs="宋体"/>
          <w:bCs/>
          <w:color w:val="auto"/>
          <w:szCs w:val="21"/>
          <w:highlight w:val="none"/>
          <w:lang w:val="en-US" w:eastAsia="zh-CN" w:bidi="ar-SA"/>
        </w:rPr>
        <w:t>2.1</w:t>
      </w:r>
      <w:r>
        <w:rPr>
          <w:rFonts w:hint="eastAsia" w:ascii="宋体" w:hAnsi="宋体" w:eastAsia="宋体" w:cs="宋体"/>
          <w:bCs/>
          <w:color w:val="auto"/>
          <w:szCs w:val="21"/>
          <w:highlight w:val="none"/>
          <w:lang w:bidi="ar-SA"/>
        </w:rPr>
        <w:t>评委打分办法</w:t>
      </w:r>
    </w:p>
    <w:p w14:paraId="129CB32A">
      <w:pPr>
        <w:shd w:val="clear" w:color="auto" w:fill="auto"/>
        <w:spacing w:line="440" w:lineRule="exact"/>
        <w:ind w:firstLine="544" w:firstLineChars="257"/>
        <w:rPr>
          <w:rFonts w:hint="eastAsia" w:ascii="宋体" w:hAnsi="宋体" w:eastAsia="宋体" w:cs="宋体"/>
          <w:color w:val="auto"/>
          <w:szCs w:val="21"/>
          <w:highlight w:val="none"/>
          <w:lang w:bidi="ar-SA"/>
        </w:rPr>
      </w:pPr>
      <w:r>
        <w:rPr>
          <w:rFonts w:hint="eastAsia" w:ascii="宋体" w:hAnsi="宋体" w:eastAsia="宋体" w:cs="宋体"/>
          <w:bCs/>
          <w:color w:val="auto"/>
          <w:szCs w:val="21"/>
          <w:highlight w:val="none"/>
          <w:lang w:bidi="ar-SA"/>
        </w:rPr>
        <w:t>（1）</w:t>
      </w:r>
      <w:r>
        <w:rPr>
          <w:rFonts w:hint="eastAsia" w:ascii="宋体" w:hAnsi="宋体" w:eastAsia="宋体" w:cs="宋体"/>
          <w:color w:val="auto"/>
          <w:szCs w:val="21"/>
          <w:highlight w:val="none"/>
          <w:lang w:bidi="ar-SA"/>
        </w:rPr>
        <w:t>参加评分的评委应尽力体现客观、实事求是，避免学派偏见和个人偏好。</w:t>
      </w:r>
    </w:p>
    <w:p w14:paraId="2A344B7C">
      <w:pPr>
        <w:shd w:val="clear" w:color="auto" w:fill="auto"/>
        <w:spacing w:line="440" w:lineRule="exact"/>
        <w:ind w:firstLine="544"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（2）衡量、对比的依据，应以招标文件、投标文件、提供的正式试验数据、质询澄清中的文字为准，口头回答和收集的资料只作为参考。</w:t>
      </w:r>
    </w:p>
    <w:p w14:paraId="0B7AB14E">
      <w:pPr>
        <w:shd w:val="clear" w:color="auto" w:fill="auto"/>
        <w:spacing w:line="440" w:lineRule="exact"/>
        <w:ind w:firstLine="544"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（3）评分主要是为比较各投标人的价格、商务和技术综合排序。</w:t>
      </w:r>
    </w:p>
    <w:p w14:paraId="2BDA20B9">
      <w:pPr>
        <w:shd w:val="clear" w:color="auto" w:fill="auto"/>
        <w:spacing w:line="440" w:lineRule="exact"/>
        <w:ind w:firstLine="544"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（4）评委打分采取记名形式。</w:t>
      </w:r>
    </w:p>
    <w:p w14:paraId="714BFFFB">
      <w:pPr>
        <w:shd w:val="clear" w:color="auto" w:fill="auto"/>
        <w:spacing w:line="440" w:lineRule="exact"/>
        <w:ind w:firstLine="544"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（5）各评委根据提供的技术打分表独立自主打分，任何人不得要求评委统一打分或统一确定等次顺序。</w:t>
      </w:r>
    </w:p>
    <w:p w14:paraId="60D95B1A">
      <w:pPr>
        <w:shd w:val="clear" w:color="auto" w:fill="auto"/>
        <w:spacing w:line="440" w:lineRule="exact"/>
        <w:ind w:firstLine="544"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（6）对打分表中的每项条款，各评委应根据投标文件、澄清材料、招标文件要求，按满足的程度给投标人打分。</w:t>
      </w:r>
    </w:p>
    <w:p w14:paraId="55860A8D">
      <w:pPr>
        <w:shd w:val="clear" w:color="auto" w:fill="auto"/>
        <w:spacing w:line="440" w:lineRule="exact"/>
        <w:ind w:firstLine="544"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（7）评分程序</w:t>
      </w:r>
    </w:p>
    <w:p w14:paraId="49EC1C3B">
      <w:pPr>
        <w:shd w:val="clear" w:color="auto" w:fill="auto"/>
        <w:spacing w:line="440" w:lineRule="exact"/>
        <w:ind w:firstLine="544"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1)就投标人的投标文件对照整理出商务、技术评标因素对比表、偏差表，并在经过校核的基础上逐项打分。</w:t>
      </w:r>
    </w:p>
    <w:p w14:paraId="6EF42A5A">
      <w:pPr>
        <w:shd w:val="clear" w:color="auto" w:fill="auto"/>
        <w:spacing w:line="440" w:lineRule="exact"/>
        <w:ind w:firstLine="544"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2)各评委独立完成打分后，将评分表交给代理机构，由代理机构组织进行分数统计。</w:t>
      </w:r>
    </w:p>
    <w:p w14:paraId="5EE5FD65">
      <w:pPr>
        <w:shd w:val="clear" w:color="auto" w:fill="auto"/>
        <w:spacing w:line="440" w:lineRule="exact"/>
        <w:ind w:firstLine="544"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3)最终汇总表中各投标人得分应为评委打分的算术平均值。</w:t>
      </w:r>
    </w:p>
    <w:p w14:paraId="2B8600AD">
      <w:pPr>
        <w:numPr>
          <w:ilvl w:val="0"/>
          <w:numId w:val="0"/>
        </w:numPr>
        <w:shd w:val="clear" w:color="auto" w:fill="auto"/>
        <w:spacing w:line="500" w:lineRule="exact"/>
        <w:ind w:firstLine="424" w:firstLineChars="200"/>
        <w:jc w:val="left"/>
        <w:rPr>
          <w:rFonts w:hint="eastAsia" w:ascii="宋体" w:hAnsi="宋体" w:eastAsia="宋体" w:cs="宋体"/>
          <w:color w:val="auto"/>
          <w:szCs w:val="21"/>
          <w:highlight w:val="none"/>
          <w:lang w:bidi="ar-SA"/>
        </w:rPr>
      </w:pPr>
    </w:p>
    <w:p w14:paraId="0D761817">
      <w:pPr>
        <w:numPr>
          <w:ilvl w:val="0"/>
          <w:numId w:val="0"/>
        </w:numPr>
        <w:shd w:val="clear" w:color="auto" w:fill="auto"/>
        <w:spacing w:line="500" w:lineRule="exact"/>
        <w:ind w:firstLine="424" w:firstLineChars="200"/>
        <w:jc w:val="left"/>
        <w:rPr>
          <w:rFonts w:hint="eastAsia" w:ascii="宋体" w:hAnsi="宋体" w:eastAsia="宋体" w:cs="宋体"/>
          <w:color w:val="auto"/>
          <w:szCs w:val="21"/>
          <w:highlight w:val="none"/>
          <w:lang w:bidi="ar-SA"/>
        </w:rPr>
      </w:pPr>
    </w:p>
    <w:p w14:paraId="5FF59158">
      <w:pPr>
        <w:numPr>
          <w:ilvl w:val="0"/>
          <w:numId w:val="0"/>
        </w:numPr>
        <w:shd w:val="clear" w:color="auto" w:fill="auto"/>
        <w:spacing w:line="500" w:lineRule="exact"/>
        <w:ind w:firstLine="424" w:firstLineChars="200"/>
        <w:jc w:val="left"/>
        <w:rPr>
          <w:rFonts w:hint="eastAsia" w:ascii="宋体" w:hAnsi="宋体" w:eastAsia="宋体" w:cs="宋体"/>
          <w:color w:val="auto"/>
          <w:szCs w:val="21"/>
          <w:highlight w:val="none"/>
          <w:lang w:bidi="ar-SA"/>
        </w:rPr>
      </w:pPr>
    </w:p>
    <w:p w14:paraId="72406C64">
      <w:pPr>
        <w:numPr>
          <w:ilvl w:val="0"/>
          <w:numId w:val="0"/>
        </w:numPr>
        <w:shd w:val="clear" w:color="auto" w:fill="auto"/>
        <w:spacing w:line="500" w:lineRule="exact"/>
        <w:ind w:firstLine="424" w:firstLineChars="200"/>
        <w:jc w:val="left"/>
        <w:rPr>
          <w:rFonts w:hint="eastAsia" w:ascii="宋体" w:hAnsi="宋体" w:eastAsia="宋体" w:cs="宋体"/>
          <w:color w:val="auto"/>
          <w:szCs w:val="21"/>
          <w:highlight w:val="none"/>
          <w:lang w:bidi="ar-SA"/>
        </w:rPr>
      </w:pPr>
    </w:p>
    <w:p w14:paraId="77BEC7CF">
      <w:pPr>
        <w:numPr>
          <w:ilvl w:val="0"/>
          <w:numId w:val="0"/>
        </w:numPr>
        <w:shd w:val="clear" w:color="auto" w:fill="auto"/>
        <w:spacing w:line="500" w:lineRule="exact"/>
        <w:ind w:firstLine="424" w:firstLineChars="200"/>
        <w:jc w:val="left"/>
        <w:rPr>
          <w:rFonts w:hint="eastAsia" w:ascii="宋体" w:hAnsi="宋体" w:eastAsia="宋体" w:cs="宋体"/>
          <w:color w:val="auto"/>
          <w:szCs w:val="21"/>
          <w:highlight w:val="none"/>
          <w:lang w:bidi="ar-SA"/>
        </w:rPr>
      </w:pPr>
    </w:p>
    <w:p w14:paraId="4F74B9E1">
      <w:pPr>
        <w:numPr>
          <w:ilvl w:val="0"/>
          <w:numId w:val="0"/>
        </w:numPr>
        <w:shd w:val="clear" w:color="auto" w:fill="auto"/>
        <w:spacing w:line="500" w:lineRule="exact"/>
        <w:ind w:firstLine="424" w:firstLineChars="200"/>
        <w:jc w:val="left"/>
        <w:rPr>
          <w:rFonts w:hint="eastAsia" w:ascii="宋体" w:hAnsi="宋体" w:eastAsia="宋体" w:cs="宋体"/>
          <w:color w:val="auto"/>
          <w:szCs w:val="21"/>
          <w:highlight w:val="none"/>
          <w:lang w:bidi="ar-SA"/>
        </w:rPr>
      </w:pPr>
    </w:p>
    <w:p w14:paraId="1549EB61">
      <w:pPr>
        <w:numPr>
          <w:ilvl w:val="0"/>
          <w:numId w:val="0"/>
        </w:numPr>
        <w:shd w:val="clear" w:color="auto" w:fill="auto"/>
        <w:spacing w:line="500" w:lineRule="exact"/>
        <w:ind w:firstLine="424" w:firstLineChars="200"/>
        <w:jc w:val="left"/>
        <w:rPr>
          <w:rFonts w:hint="eastAsia" w:ascii="宋体" w:hAnsi="宋体" w:eastAsia="宋体" w:cs="宋体"/>
          <w:color w:val="auto"/>
          <w:szCs w:val="21"/>
          <w:highlight w:val="none"/>
          <w:lang w:bidi="ar-SA"/>
        </w:rPr>
      </w:pPr>
    </w:p>
    <w:p w14:paraId="07801A86">
      <w:pPr>
        <w:numPr>
          <w:ilvl w:val="0"/>
          <w:numId w:val="0"/>
        </w:numPr>
        <w:shd w:val="clear" w:color="auto" w:fill="auto"/>
        <w:spacing w:line="500" w:lineRule="exact"/>
        <w:ind w:firstLine="424" w:firstLineChars="200"/>
        <w:jc w:val="left"/>
        <w:rPr>
          <w:rFonts w:hint="eastAsia" w:ascii="宋体" w:hAnsi="宋体" w:eastAsia="宋体" w:cs="宋体"/>
          <w:color w:val="auto"/>
          <w:szCs w:val="21"/>
          <w:highlight w:val="none"/>
          <w:lang w:bidi="ar-SA"/>
        </w:rPr>
      </w:pPr>
    </w:p>
    <w:p w14:paraId="43114864">
      <w:pPr>
        <w:pStyle w:val="6"/>
        <w:ind w:left="0" w:leftChars="0" w:firstLine="0" w:firstLineChars="0"/>
        <w:rPr>
          <w:rFonts w:hint="eastAsia"/>
          <w:color w:val="auto"/>
          <w:highlight w:val="none"/>
        </w:rPr>
      </w:pPr>
    </w:p>
    <w:p w14:paraId="5574C533">
      <w:pPr>
        <w:numPr>
          <w:ilvl w:val="0"/>
          <w:numId w:val="0"/>
        </w:numPr>
        <w:shd w:val="clear" w:color="auto" w:fill="auto"/>
        <w:spacing w:line="500" w:lineRule="exact"/>
        <w:ind w:firstLine="424" w:firstLineChars="200"/>
        <w:jc w:val="left"/>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（8）评分标准和细则（综合评分法评分标准）</w:t>
      </w:r>
    </w:p>
    <w:p w14:paraId="330B555E">
      <w:pPr>
        <w:numPr>
          <w:ilvl w:val="0"/>
          <w:numId w:val="0"/>
        </w:numPr>
        <w:shd w:val="clear" w:color="auto" w:fill="auto"/>
        <w:spacing w:line="500" w:lineRule="exact"/>
        <w:ind w:firstLine="424" w:firstLineChars="200"/>
        <w:jc w:val="left"/>
        <w:rPr>
          <w:rFonts w:hint="eastAsia" w:ascii="宋体" w:hAnsi="宋体" w:eastAsia="宋体" w:cs="宋体"/>
          <w:color w:val="auto"/>
          <w:szCs w:val="21"/>
          <w:highlight w:val="none"/>
          <w:lang w:val="en-US" w:eastAsia="zh-CN" w:bidi="ar-SA"/>
        </w:rPr>
      </w:pPr>
      <w:r>
        <w:rPr>
          <w:rFonts w:hint="eastAsia" w:ascii="宋体" w:hAnsi="宋体" w:eastAsia="宋体" w:cs="宋体"/>
          <w:color w:val="auto"/>
          <w:szCs w:val="21"/>
          <w:highlight w:val="none"/>
          <w:lang w:val="en-US" w:eastAsia="zh-CN" w:bidi="ar-SA"/>
        </w:rPr>
        <w:t>标项1</w:t>
      </w:r>
    </w:p>
    <w:tbl>
      <w:tblPr>
        <w:tblStyle w:val="30"/>
        <w:tblW w:w="94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260"/>
        <w:gridCol w:w="782"/>
        <w:gridCol w:w="6678"/>
      </w:tblGrid>
      <w:tr w14:paraId="05223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vAlign w:val="top"/>
          </w:tcPr>
          <w:p w14:paraId="3F06A556">
            <w:pPr>
              <w:widowControl w:val="0"/>
              <w:spacing w:before="204" w:line="223" w:lineRule="auto"/>
              <w:ind w:left="123" w:leftChars="0"/>
              <w:jc w:val="center"/>
              <w:rPr>
                <w:rFonts w:hint="eastAsia" w:ascii="宋体" w:hAnsi="宋体" w:eastAsia="宋体" w:cs="宋体"/>
                <w:color w:val="auto"/>
                <w:spacing w:val="-4"/>
                <w:sz w:val="21"/>
                <w:szCs w:val="21"/>
                <w:highlight w:val="none"/>
                <w:lang w:val="en-US" w:eastAsia="zh-CN"/>
              </w:rPr>
            </w:pPr>
            <w:r>
              <w:rPr>
                <w:rFonts w:hint="eastAsia" w:ascii="宋体" w:hAnsi="宋体" w:eastAsia="宋体" w:cs="宋体"/>
                <w:color w:val="auto"/>
                <w:spacing w:val="-4"/>
                <w:sz w:val="21"/>
                <w:szCs w:val="21"/>
                <w:highlight w:val="none"/>
                <w:lang w:val="en-US" w:eastAsia="zh-CN"/>
              </w:rPr>
              <w:t>序号</w:t>
            </w:r>
          </w:p>
        </w:tc>
        <w:tc>
          <w:tcPr>
            <w:tcW w:w="1260" w:type="dxa"/>
            <w:vAlign w:val="top"/>
          </w:tcPr>
          <w:p w14:paraId="1DF95DAA">
            <w:pPr>
              <w:widowControl w:val="0"/>
              <w:spacing w:before="204" w:line="223" w:lineRule="auto"/>
              <w:ind w:left="123" w:left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4"/>
                <w:sz w:val="21"/>
                <w:szCs w:val="21"/>
                <w:highlight w:val="none"/>
              </w:rPr>
              <w:t>评分因素</w:t>
            </w:r>
          </w:p>
        </w:tc>
        <w:tc>
          <w:tcPr>
            <w:tcW w:w="782" w:type="dxa"/>
            <w:vAlign w:val="top"/>
          </w:tcPr>
          <w:p w14:paraId="7EDD058A">
            <w:pPr>
              <w:widowControl w:val="0"/>
              <w:spacing w:before="204" w:line="224" w:lineRule="auto"/>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4"/>
                <w:sz w:val="21"/>
                <w:szCs w:val="21"/>
                <w:highlight w:val="none"/>
              </w:rPr>
              <w:t>分值</w:t>
            </w:r>
          </w:p>
        </w:tc>
        <w:tc>
          <w:tcPr>
            <w:tcW w:w="6678" w:type="dxa"/>
            <w:vAlign w:val="top"/>
          </w:tcPr>
          <w:p w14:paraId="610584FA">
            <w:pPr>
              <w:widowControl w:val="0"/>
              <w:spacing w:before="204" w:line="225" w:lineRule="auto"/>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4"/>
                <w:sz w:val="21"/>
                <w:szCs w:val="21"/>
                <w:highlight w:val="none"/>
              </w:rPr>
              <w:t>说明</w:t>
            </w:r>
          </w:p>
        </w:tc>
      </w:tr>
      <w:tr w14:paraId="5BB61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vAlign w:val="center"/>
          </w:tcPr>
          <w:p w14:paraId="7D5627D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val="en-US" w:eastAsia="zh-CN"/>
              </w:rPr>
            </w:pPr>
            <w:r>
              <w:rPr>
                <w:rFonts w:hint="eastAsia" w:ascii="宋体" w:hAnsi="宋体" w:eastAsia="宋体" w:cs="宋体"/>
                <w:color w:val="auto"/>
                <w:spacing w:val="14"/>
                <w:sz w:val="21"/>
                <w:szCs w:val="21"/>
                <w:highlight w:val="none"/>
                <w:lang w:val="en-US" w:eastAsia="zh-CN"/>
              </w:rPr>
              <w:t>1</w:t>
            </w:r>
          </w:p>
        </w:tc>
        <w:tc>
          <w:tcPr>
            <w:tcW w:w="1260" w:type="dxa"/>
            <w:vAlign w:val="center"/>
          </w:tcPr>
          <w:p w14:paraId="4B65CB9C">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报价得分</w:t>
            </w:r>
          </w:p>
        </w:tc>
        <w:tc>
          <w:tcPr>
            <w:tcW w:w="782" w:type="dxa"/>
            <w:vAlign w:val="center"/>
          </w:tcPr>
          <w:p w14:paraId="0FAB57D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30分</w:t>
            </w:r>
          </w:p>
        </w:tc>
        <w:tc>
          <w:tcPr>
            <w:tcW w:w="6678" w:type="dxa"/>
            <w:vAlign w:val="center"/>
          </w:tcPr>
          <w:p w14:paraId="68B08047">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投标报价采用综合评分法计算，价格分统一采用低价优先法计算，即满足采购文件要求且投标价格最低的投标报价为评标基准价，其价格分为满分。其他投标人的价格分统一按照下列公式计算：投标报价得分=（评标基准价÷投标报价）×价格权值×100。（保留小数点后两位）</w:t>
            </w:r>
          </w:p>
        </w:tc>
      </w:tr>
      <w:tr w14:paraId="56FA5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6" w:hRule="atLeast"/>
          <w:jc w:val="center"/>
        </w:trPr>
        <w:tc>
          <w:tcPr>
            <w:tcW w:w="738" w:type="dxa"/>
            <w:vAlign w:val="center"/>
          </w:tcPr>
          <w:p w14:paraId="0F80C609">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val="en-US" w:eastAsia="zh-CN"/>
              </w:rPr>
            </w:pPr>
            <w:r>
              <w:rPr>
                <w:rFonts w:hint="eastAsia" w:ascii="宋体" w:hAnsi="宋体" w:eastAsia="宋体" w:cs="宋体"/>
                <w:color w:val="auto"/>
                <w:spacing w:val="14"/>
                <w:sz w:val="21"/>
                <w:szCs w:val="21"/>
                <w:highlight w:val="none"/>
                <w:lang w:val="en-US" w:eastAsia="zh-CN"/>
              </w:rPr>
              <w:t>2</w:t>
            </w:r>
          </w:p>
        </w:tc>
        <w:tc>
          <w:tcPr>
            <w:tcW w:w="1260" w:type="dxa"/>
            <w:vAlign w:val="center"/>
          </w:tcPr>
          <w:p w14:paraId="737F82F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产品技术指标符合程度评价</w:t>
            </w:r>
          </w:p>
        </w:tc>
        <w:tc>
          <w:tcPr>
            <w:tcW w:w="782" w:type="dxa"/>
            <w:vAlign w:val="center"/>
          </w:tcPr>
          <w:p w14:paraId="2B4B277F">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eastAsia="zh-CN"/>
              </w:rPr>
            </w:pPr>
            <w:r>
              <w:rPr>
                <w:rFonts w:hint="eastAsia" w:ascii="宋体" w:hAnsi="宋体" w:cs="宋体"/>
                <w:color w:val="auto"/>
                <w:spacing w:val="14"/>
                <w:sz w:val="21"/>
                <w:szCs w:val="21"/>
                <w:highlight w:val="none"/>
                <w:lang w:val="en-US" w:eastAsia="zh-CN"/>
              </w:rPr>
              <w:t>24</w:t>
            </w:r>
            <w:r>
              <w:rPr>
                <w:rFonts w:hint="eastAsia" w:ascii="宋体" w:hAnsi="宋体" w:eastAsia="宋体" w:cs="宋体"/>
                <w:color w:val="auto"/>
                <w:spacing w:val="14"/>
                <w:sz w:val="21"/>
                <w:szCs w:val="21"/>
                <w:highlight w:val="none"/>
                <w:lang w:val="en-US" w:eastAsia="zh-CN"/>
              </w:rPr>
              <w:t>分</w:t>
            </w:r>
          </w:p>
        </w:tc>
        <w:tc>
          <w:tcPr>
            <w:tcW w:w="6678" w:type="dxa"/>
            <w:vAlign w:val="center"/>
          </w:tcPr>
          <w:p w14:paraId="060CFFEB">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投标人须对本采购文件技术要求，结合所投产品的实际参数值，进行逐条逐项答复、说明和解释。（参数是基本参数，不允许出现负偏离，如出现负偏离，则按无效投标处理)所投产品技术参数全部满足的得</w:t>
            </w:r>
            <w:r>
              <w:rPr>
                <w:rFonts w:hint="eastAsia" w:ascii="宋体" w:hAnsi="宋体" w:cs="宋体"/>
                <w:color w:val="auto"/>
                <w:spacing w:val="14"/>
                <w:sz w:val="21"/>
                <w:szCs w:val="21"/>
                <w:highlight w:val="none"/>
                <w:lang w:val="en-US" w:eastAsia="zh-CN"/>
              </w:rPr>
              <w:t>24</w:t>
            </w:r>
            <w:r>
              <w:rPr>
                <w:rFonts w:hint="eastAsia" w:ascii="宋体" w:hAnsi="宋体" w:eastAsia="宋体" w:cs="宋体"/>
                <w:color w:val="auto"/>
                <w:spacing w:val="14"/>
                <w:sz w:val="21"/>
                <w:szCs w:val="21"/>
                <w:highlight w:val="none"/>
                <w:lang w:eastAsia="zh-CN"/>
              </w:rPr>
              <w:t>分。</w:t>
            </w:r>
          </w:p>
          <w:p w14:paraId="2C228B68">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注：投标人需如实填写所投产品参数；并提供能够证明其参数真实有效的证明文件，若证明文件无法证明参数真实有效，视为负偏离或以评审小组集体意见为准。</w:t>
            </w:r>
          </w:p>
        </w:tc>
      </w:tr>
      <w:tr w14:paraId="536B7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2" w:hRule="atLeast"/>
          <w:jc w:val="center"/>
        </w:trPr>
        <w:tc>
          <w:tcPr>
            <w:tcW w:w="738" w:type="dxa"/>
            <w:vAlign w:val="center"/>
          </w:tcPr>
          <w:p w14:paraId="44BEC505">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val="en-US" w:eastAsia="zh-CN"/>
              </w:rPr>
            </w:pPr>
            <w:r>
              <w:rPr>
                <w:rFonts w:hint="eastAsia" w:ascii="宋体" w:hAnsi="宋体" w:cs="宋体"/>
                <w:color w:val="auto"/>
                <w:spacing w:val="14"/>
                <w:sz w:val="21"/>
                <w:szCs w:val="21"/>
                <w:highlight w:val="none"/>
                <w:lang w:val="en-US" w:eastAsia="zh-CN"/>
              </w:rPr>
              <w:t>3</w:t>
            </w:r>
          </w:p>
        </w:tc>
        <w:tc>
          <w:tcPr>
            <w:tcW w:w="1260" w:type="dxa"/>
            <w:vAlign w:val="center"/>
          </w:tcPr>
          <w:p w14:paraId="469BD96A">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供货安装调试实施方案</w:t>
            </w:r>
          </w:p>
        </w:tc>
        <w:tc>
          <w:tcPr>
            <w:tcW w:w="782" w:type="dxa"/>
            <w:vAlign w:val="center"/>
          </w:tcPr>
          <w:p w14:paraId="3EC7428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val="en-US" w:eastAsia="zh-CN"/>
              </w:rPr>
            </w:pPr>
            <w:r>
              <w:rPr>
                <w:rFonts w:hint="eastAsia" w:ascii="宋体" w:hAnsi="宋体" w:cs="宋体"/>
                <w:color w:val="auto"/>
                <w:spacing w:val="14"/>
                <w:sz w:val="21"/>
                <w:szCs w:val="21"/>
                <w:highlight w:val="none"/>
                <w:lang w:val="en-US" w:eastAsia="zh-CN"/>
              </w:rPr>
              <w:t>10</w:t>
            </w:r>
            <w:r>
              <w:rPr>
                <w:rFonts w:hint="eastAsia" w:ascii="宋体" w:hAnsi="宋体" w:eastAsia="宋体" w:cs="宋体"/>
                <w:color w:val="auto"/>
                <w:spacing w:val="14"/>
                <w:sz w:val="21"/>
                <w:szCs w:val="21"/>
                <w:highlight w:val="none"/>
                <w:lang w:eastAsia="zh-CN"/>
              </w:rPr>
              <w:t>分</w:t>
            </w:r>
          </w:p>
        </w:tc>
        <w:tc>
          <w:tcPr>
            <w:tcW w:w="6678" w:type="dxa"/>
            <w:vAlign w:val="center"/>
          </w:tcPr>
          <w:p w14:paraId="7F93E265">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方案包含供货周期、点位安装、布线、网络调试、入网注册、试运行计划，针对性强、完整可行得</w:t>
            </w:r>
            <w:r>
              <w:rPr>
                <w:rFonts w:hint="eastAsia" w:ascii="宋体" w:hAnsi="宋体" w:cs="宋体"/>
                <w:color w:val="auto"/>
                <w:spacing w:val="14"/>
                <w:sz w:val="21"/>
                <w:szCs w:val="21"/>
                <w:highlight w:val="none"/>
                <w:lang w:val="en-US" w:eastAsia="zh-CN"/>
              </w:rPr>
              <w:t>10</w:t>
            </w:r>
            <w:r>
              <w:rPr>
                <w:rFonts w:hint="eastAsia" w:ascii="宋体" w:hAnsi="宋体" w:eastAsia="宋体" w:cs="宋体"/>
                <w:color w:val="auto"/>
                <w:spacing w:val="14"/>
                <w:sz w:val="21"/>
                <w:szCs w:val="21"/>
                <w:highlight w:val="none"/>
                <w:lang w:eastAsia="zh-CN"/>
              </w:rPr>
              <w:t>分；基本完整得</w:t>
            </w:r>
            <w:r>
              <w:rPr>
                <w:rFonts w:hint="eastAsia" w:ascii="宋体" w:hAnsi="宋体" w:cs="宋体"/>
                <w:color w:val="auto"/>
                <w:spacing w:val="14"/>
                <w:sz w:val="21"/>
                <w:szCs w:val="21"/>
                <w:highlight w:val="none"/>
                <w:lang w:val="en-US" w:eastAsia="zh-CN"/>
              </w:rPr>
              <w:t>7</w:t>
            </w:r>
            <w:r>
              <w:rPr>
                <w:rFonts w:hint="eastAsia" w:ascii="宋体" w:hAnsi="宋体" w:eastAsia="宋体" w:cs="宋体"/>
                <w:color w:val="auto"/>
                <w:spacing w:val="14"/>
                <w:sz w:val="21"/>
                <w:szCs w:val="21"/>
                <w:highlight w:val="none"/>
                <w:lang w:eastAsia="zh-CN"/>
              </w:rPr>
              <w:t>分；</w:t>
            </w:r>
            <w:r>
              <w:rPr>
                <w:rFonts w:hint="eastAsia" w:ascii="宋体" w:hAnsi="宋体" w:cs="宋体"/>
                <w:color w:val="auto"/>
                <w:spacing w:val="14"/>
                <w:sz w:val="21"/>
                <w:szCs w:val="21"/>
                <w:highlight w:val="none"/>
                <w:lang w:val="en-US" w:eastAsia="zh-CN"/>
              </w:rPr>
              <w:t>一般得5分；</w:t>
            </w:r>
            <w:r>
              <w:rPr>
                <w:rFonts w:hint="eastAsia" w:ascii="宋体" w:hAnsi="宋体" w:eastAsia="宋体" w:cs="宋体"/>
                <w:color w:val="auto"/>
                <w:spacing w:val="14"/>
                <w:sz w:val="21"/>
                <w:szCs w:val="21"/>
                <w:highlight w:val="none"/>
                <w:lang w:eastAsia="zh-CN"/>
              </w:rPr>
              <w:t>简单笼统得</w:t>
            </w:r>
            <w:r>
              <w:rPr>
                <w:rFonts w:hint="eastAsia" w:ascii="宋体" w:hAnsi="宋体" w:cs="宋体"/>
                <w:color w:val="auto"/>
                <w:spacing w:val="14"/>
                <w:sz w:val="21"/>
                <w:szCs w:val="21"/>
                <w:highlight w:val="none"/>
                <w:lang w:val="en-US" w:eastAsia="zh-CN"/>
              </w:rPr>
              <w:t>2</w:t>
            </w:r>
            <w:r>
              <w:rPr>
                <w:rFonts w:hint="eastAsia" w:ascii="宋体" w:hAnsi="宋体" w:eastAsia="宋体" w:cs="宋体"/>
                <w:color w:val="auto"/>
                <w:spacing w:val="14"/>
                <w:sz w:val="21"/>
                <w:szCs w:val="21"/>
                <w:highlight w:val="none"/>
                <w:lang w:eastAsia="zh-CN"/>
              </w:rPr>
              <w:t>分。</w:t>
            </w:r>
          </w:p>
        </w:tc>
      </w:tr>
      <w:tr w14:paraId="4407F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738" w:type="dxa"/>
            <w:vAlign w:val="center"/>
          </w:tcPr>
          <w:p w14:paraId="1B4D950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val="en-US" w:eastAsia="zh-CN"/>
              </w:rPr>
            </w:pPr>
            <w:r>
              <w:rPr>
                <w:rFonts w:hint="eastAsia" w:ascii="宋体" w:hAnsi="宋体" w:cs="宋体"/>
                <w:color w:val="auto"/>
                <w:spacing w:val="14"/>
                <w:sz w:val="21"/>
                <w:szCs w:val="21"/>
                <w:highlight w:val="none"/>
                <w:lang w:val="en-US" w:eastAsia="zh-CN"/>
              </w:rPr>
              <w:t>4</w:t>
            </w:r>
          </w:p>
        </w:tc>
        <w:tc>
          <w:tcPr>
            <w:tcW w:w="1260" w:type="dxa"/>
            <w:vAlign w:val="center"/>
          </w:tcPr>
          <w:p w14:paraId="440A470F">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val="en-US" w:eastAsia="zh-CN"/>
              </w:rPr>
            </w:pPr>
            <w:r>
              <w:rPr>
                <w:rFonts w:hint="eastAsia" w:ascii="宋体" w:hAnsi="宋体" w:eastAsia="宋体" w:cs="宋体"/>
                <w:color w:val="auto"/>
                <w:spacing w:val="14"/>
                <w:sz w:val="21"/>
                <w:szCs w:val="21"/>
                <w:highlight w:val="none"/>
                <w:lang w:val="en-US" w:eastAsia="zh-CN"/>
              </w:rPr>
              <w:t>项目保障及应急处置</w:t>
            </w:r>
          </w:p>
        </w:tc>
        <w:tc>
          <w:tcPr>
            <w:tcW w:w="782" w:type="dxa"/>
            <w:vAlign w:val="center"/>
          </w:tcPr>
          <w:p w14:paraId="0FAD6259">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val="en-US" w:eastAsia="zh-CN"/>
              </w:rPr>
            </w:pPr>
            <w:r>
              <w:rPr>
                <w:rFonts w:hint="eastAsia" w:ascii="宋体" w:hAnsi="宋体" w:cs="宋体"/>
                <w:color w:val="auto"/>
                <w:spacing w:val="14"/>
                <w:sz w:val="21"/>
                <w:szCs w:val="21"/>
                <w:highlight w:val="none"/>
                <w:lang w:val="en-US" w:eastAsia="zh-CN"/>
              </w:rPr>
              <w:t>5</w:t>
            </w:r>
            <w:r>
              <w:rPr>
                <w:rFonts w:hint="eastAsia" w:ascii="宋体" w:hAnsi="宋体" w:eastAsia="宋体" w:cs="宋体"/>
                <w:color w:val="auto"/>
                <w:spacing w:val="14"/>
                <w:sz w:val="21"/>
                <w:szCs w:val="21"/>
                <w:highlight w:val="none"/>
                <w:lang w:val="en-US" w:eastAsia="zh-CN"/>
              </w:rPr>
              <w:t>分</w:t>
            </w:r>
          </w:p>
        </w:tc>
        <w:tc>
          <w:tcPr>
            <w:tcW w:w="6678" w:type="dxa"/>
            <w:vAlign w:val="center"/>
          </w:tcPr>
          <w:p w14:paraId="4D090A34">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设备故障应急处置、平台对接问题处理、现场问题响应机制，完整可行得</w:t>
            </w:r>
            <w:r>
              <w:rPr>
                <w:rFonts w:hint="eastAsia" w:ascii="宋体" w:hAnsi="宋体" w:cs="宋体"/>
                <w:color w:val="auto"/>
                <w:spacing w:val="14"/>
                <w:sz w:val="21"/>
                <w:szCs w:val="21"/>
                <w:highlight w:val="none"/>
                <w:lang w:val="en-US" w:eastAsia="zh-CN"/>
              </w:rPr>
              <w:t>5</w:t>
            </w:r>
            <w:r>
              <w:rPr>
                <w:rFonts w:hint="eastAsia" w:ascii="宋体" w:hAnsi="宋体" w:eastAsia="宋体" w:cs="宋体"/>
                <w:color w:val="auto"/>
                <w:spacing w:val="14"/>
                <w:sz w:val="21"/>
                <w:szCs w:val="21"/>
                <w:highlight w:val="none"/>
                <w:lang w:eastAsia="zh-CN"/>
              </w:rPr>
              <w:t>分；一般</w:t>
            </w:r>
            <w:r>
              <w:rPr>
                <w:rFonts w:hint="eastAsia" w:ascii="宋体" w:hAnsi="宋体" w:cs="宋体"/>
                <w:color w:val="auto"/>
                <w:spacing w:val="14"/>
                <w:sz w:val="21"/>
                <w:szCs w:val="21"/>
                <w:highlight w:val="none"/>
                <w:lang w:val="en-US" w:eastAsia="zh-CN"/>
              </w:rPr>
              <w:t>得3</w:t>
            </w:r>
            <w:r>
              <w:rPr>
                <w:rFonts w:hint="eastAsia" w:ascii="宋体" w:hAnsi="宋体" w:eastAsia="宋体" w:cs="宋体"/>
                <w:color w:val="auto"/>
                <w:spacing w:val="14"/>
                <w:sz w:val="21"/>
                <w:szCs w:val="21"/>
                <w:highlight w:val="none"/>
                <w:lang w:eastAsia="zh-CN"/>
              </w:rPr>
              <w:t>分</w:t>
            </w:r>
            <w:r>
              <w:rPr>
                <w:rFonts w:hint="eastAsia" w:ascii="宋体" w:hAnsi="宋体" w:cs="宋体"/>
                <w:color w:val="auto"/>
                <w:spacing w:val="14"/>
                <w:sz w:val="21"/>
                <w:szCs w:val="21"/>
                <w:highlight w:val="none"/>
                <w:lang w:val="en-US" w:eastAsia="zh-CN"/>
              </w:rPr>
              <w:t>；简单得1分；</w:t>
            </w:r>
            <w:r>
              <w:rPr>
                <w:rFonts w:hint="eastAsia" w:ascii="宋体" w:hAnsi="宋体" w:eastAsia="宋体" w:cs="宋体"/>
                <w:color w:val="auto"/>
                <w:spacing w:val="14"/>
                <w:sz w:val="21"/>
                <w:szCs w:val="21"/>
                <w:highlight w:val="none"/>
                <w:lang w:eastAsia="zh-CN"/>
              </w:rPr>
              <w:t>未提供</w:t>
            </w:r>
            <w:r>
              <w:rPr>
                <w:rFonts w:hint="eastAsia" w:ascii="宋体" w:hAnsi="宋体" w:cs="宋体"/>
                <w:color w:val="auto"/>
                <w:spacing w:val="14"/>
                <w:sz w:val="21"/>
                <w:szCs w:val="21"/>
                <w:highlight w:val="none"/>
                <w:lang w:val="en-US" w:eastAsia="zh-CN"/>
              </w:rPr>
              <w:t>不得</w:t>
            </w:r>
            <w:r>
              <w:rPr>
                <w:rFonts w:hint="eastAsia" w:ascii="宋体" w:hAnsi="宋体" w:eastAsia="宋体" w:cs="宋体"/>
                <w:color w:val="auto"/>
                <w:spacing w:val="14"/>
                <w:sz w:val="21"/>
                <w:szCs w:val="21"/>
                <w:highlight w:val="none"/>
                <w:lang w:eastAsia="zh-CN"/>
              </w:rPr>
              <w:t>分。</w:t>
            </w:r>
          </w:p>
        </w:tc>
      </w:tr>
      <w:tr w14:paraId="1BCFE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738" w:type="dxa"/>
            <w:vAlign w:val="center"/>
          </w:tcPr>
          <w:p w14:paraId="51C3E84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宋体" w:hAnsi="宋体" w:eastAsia="宋体" w:cs="宋体"/>
                <w:color w:val="auto"/>
                <w:spacing w:val="14"/>
                <w:sz w:val="21"/>
                <w:szCs w:val="21"/>
                <w:highlight w:val="none"/>
                <w:lang w:val="en-US" w:eastAsia="zh-CN"/>
              </w:rPr>
            </w:pPr>
            <w:r>
              <w:rPr>
                <w:rFonts w:hint="eastAsia" w:ascii="宋体" w:hAnsi="宋体" w:cs="宋体"/>
                <w:color w:val="auto"/>
                <w:spacing w:val="14"/>
                <w:sz w:val="21"/>
                <w:szCs w:val="21"/>
                <w:highlight w:val="none"/>
                <w:lang w:val="en-US" w:eastAsia="zh-CN"/>
              </w:rPr>
              <w:t>5</w:t>
            </w:r>
          </w:p>
        </w:tc>
        <w:tc>
          <w:tcPr>
            <w:tcW w:w="1260" w:type="dxa"/>
            <w:vAlign w:val="center"/>
          </w:tcPr>
          <w:p w14:paraId="50C3C96B">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val="en-US" w:eastAsia="zh-CN"/>
              </w:rPr>
            </w:pPr>
            <w:r>
              <w:rPr>
                <w:rFonts w:hint="eastAsia" w:ascii="宋体" w:hAnsi="宋体" w:eastAsia="宋体" w:cs="宋体"/>
                <w:color w:val="auto"/>
                <w:spacing w:val="14"/>
                <w:sz w:val="21"/>
                <w:szCs w:val="21"/>
                <w:highlight w:val="none"/>
                <w:lang w:val="en-US" w:eastAsia="zh-CN"/>
              </w:rPr>
              <w:t>授权</w:t>
            </w:r>
          </w:p>
        </w:tc>
        <w:tc>
          <w:tcPr>
            <w:tcW w:w="782" w:type="dxa"/>
            <w:vAlign w:val="center"/>
          </w:tcPr>
          <w:p w14:paraId="751BC98A">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宋体" w:hAnsi="宋体" w:cs="宋体"/>
                <w:color w:val="auto"/>
                <w:spacing w:val="14"/>
                <w:sz w:val="21"/>
                <w:szCs w:val="21"/>
                <w:highlight w:val="none"/>
                <w:lang w:val="en-US" w:eastAsia="zh-CN"/>
              </w:rPr>
            </w:pPr>
            <w:r>
              <w:rPr>
                <w:rFonts w:hint="eastAsia" w:ascii="宋体" w:hAnsi="宋体" w:cs="宋体"/>
                <w:color w:val="auto"/>
                <w:spacing w:val="14"/>
                <w:sz w:val="21"/>
                <w:szCs w:val="21"/>
                <w:highlight w:val="none"/>
                <w:lang w:val="en-US" w:eastAsia="zh-CN"/>
              </w:rPr>
              <w:t>6</w:t>
            </w:r>
            <w:r>
              <w:rPr>
                <w:rFonts w:hint="eastAsia" w:ascii="宋体" w:hAnsi="宋体" w:eastAsia="宋体" w:cs="宋体"/>
                <w:color w:val="auto"/>
                <w:spacing w:val="14"/>
                <w:sz w:val="21"/>
                <w:szCs w:val="21"/>
                <w:highlight w:val="none"/>
                <w:lang w:val="en-US" w:eastAsia="zh-CN"/>
              </w:rPr>
              <w:t>分</w:t>
            </w:r>
          </w:p>
        </w:tc>
        <w:tc>
          <w:tcPr>
            <w:tcW w:w="6678" w:type="dxa"/>
            <w:vAlign w:val="center"/>
          </w:tcPr>
          <w:p w14:paraId="1D7B8F38">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投标人或设备生产厂家自2024年6月起与省级及以上地震主管部门签订地震预警信息发布授权转发协议，每提供1份得1分，满分6分，未提供或不满足不得分。（要求提供相关证明材料，如为复印件需加盖投标单位公章）</w:t>
            </w:r>
          </w:p>
        </w:tc>
      </w:tr>
      <w:tr w14:paraId="15C3E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738" w:type="dxa"/>
            <w:vAlign w:val="center"/>
          </w:tcPr>
          <w:p w14:paraId="312A17B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宋体" w:hAnsi="宋体" w:eastAsia="宋体" w:cs="宋体"/>
                <w:color w:val="auto"/>
                <w:spacing w:val="14"/>
                <w:sz w:val="21"/>
                <w:szCs w:val="21"/>
                <w:highlight w:val="none"/>
                <w:lang w:val="en-US" w:eastAsia="zh-CN"/>
              </w:rPr>
            </w:pPr>
            <w:r>
              <w:rPr>
                <w:rFonts w:hint="eastAsia" w:ascii="宋体" w:hAnsi="宋体" w:cs="宋体"/>
                <w:color w:val="auto"/>
                <w:spacing w:val="14"/>
                <w:sz w:val="21"/>
                <w:szCs w:val="21"/>
                <w:highlight w:val="none"/>
                <w:lang w:val="en-US" w:eastAsia="zh-CN"/>
              </w:rPr>
              <w:t>6</w:t>
            </w:r>
          </w:p>
        </w:tc>
        <w:tc>
          <w:tcPr>
            <w:tcW w:w="1260" w:type="dxa"/>
            <w:vAlign w:val="center"/>
          </w:tcPr>
          <w:p w14:paraId="0FC06109">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val="en-US" w:eastAsia="zh-CN"/>
              </w:rPr>
            </w:pPr>
            <w:r>
              <w:rPr>
                <w:rFonts w:hint="eastAsia" w:ascii="宋体" w:hAnsi="宋体" w:eastAsia="宋体" w:cs="宋体"/>
                <w:color w:val="auto"/>
                <w:spacing w:val="14"/>
                <w:sz w:val="21"/>
                <w:szCs w:val="21"/>
                <w:highlight w:val="none"/>
                <w:lang w:val="en-US" w:eastAsia="zh-CN"/>
              </w:rPr>
              <w:t>实施方案</w:t>
            </w:r>
          </w:p>
        </w:tc>
        <w:tc>
          <w:tcPr>
            <w:tcW w:w="782" w:type="dxa"/>
            <w:vAlign w:val="center"/>
          </w:tcPr>
          <w:p w14:paraId="3194812A">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宋体" w:hAnsi="宋体" w:cs="宋体"/>
                <w:color w:val="auto"/>
                <w:spacing w:val="14"/>
                <w:sz w:val="21"/>
                <w:szCs w:val="21"/>
                <w:highlight w:val="none"/>
                <w:lang w:val="en-US" w:eastAsia="zh-CN"/>
              </w:rPr>
            </w:pPr>
            <w:r>
              <w:rPr>
                <w:rFonts w:hint="eastAsia" w:ascii="宋体" w:hAnsi="宋体" w:cs="宋体"/>
                <w:color w:val="auto"/>
                <w:spacing w:val="14"/>
                <w:sz w:val="21"/>
                <w:szCs w:val="21"/>
                <w:highlight w:val="none"/>
                <w:lang w:val="en-US" w:eastAsia="zh-CN"/>
              </w:rPr>
              <w:t>15</w:t>
            </w:r>
            <w:r>
              <w:rPr>
                <w:rFonts w:hint="eastAsia" w:ascii="宋体" w:hAnsi="宋体" w:eastAsia="宋体" w:cs="宋体"/>
                <w:color w:val="auto"/>
                <w:spacing w:val="14"/>
                <w:sz w:val="21"/>
                <w:szCs w:val="21"/>
                <w:highlight w:val="none"/>
                <w:lang w:val="en-US" w:eastAsia="zh-CN"/>
              </w:rPr>
              <w:t>分</w:t>
            </w:r>
          </w:p>
        </w:tc>
        <w:tc>
          <w:tcPr>
            <w:tcW w:w="6678" w:type="dxa"/>
            <w:vAlign w:val="center"/>
          </w:tcPr>
          <w:p w14:paraId="230C106A">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4"/>
                <w:sz w:val="21"/>
                <w:szCs w:val="21"/>
                <w:highlight w:val="none"/>
                <w:lang w:eastAsia="zh-CN"/>
              </w:rPr>
            </w:pPr>
            <w:r>
              <w:rPr>
                <w:rFonts w:hint="eastAsia" w:ascii="宋体" w:hAnsi="宋体" w:eastAsia="宋体" w:cs="宋体"/>
                <w:color w:val="auto"/>
                <w:spacing w:val="14"/>
                <w:sz w:val="21"/>
                <w:szCs w:val="21"/>
                <w:highlight w:val="none"/>
                <w:lang w:eastAsia="zh-CN"/>
              </w:rPr>
              <w:t>根据投标人针对本项目提供的实施方案进行评分，至少包括实施团队、实施计划、实施内容等。投标人的实施方案能正确理解项目需求，思路清晰，合理分析现状且满足采购要求方案完善得</w:t>
            </w:r>
            <w:r>
              <w:rPr>
                <w:rFonts w:hint="eastAsia" w:ascii="宋体" w:hAnsi="宋体" w:cs="宋体"/>
                <w:color w:val="auto"/>
                <w:spacing w:val="14"/>
                <w:sz w:val="21"/>
                <w:szCs w:val="21"/>
                <w:highlight w:val="none"/>
                <w:lang w:val="en-US" w:eastAsia="zh-CN"/>
              </w:rPr>
              <w:t>15</w:t>
            </w:r>
            <w:r>
              <w:rPr>
                <w:rFonts w:hint="eastAsia" w:ascii="宋体" w:hAnsi="宋体" w:eastAsia="宋体" w:cs="宋体"/>
                <w:color w:val="auto"/>
                <w:spacing w:val="14"/>
                <w:sz w:val="21"/>
                <w:szCs w:val="21"/>
                <w:highlight w:val="none"/>
                <w:lang w:eastAsia="zh-CN"/>
              </w:rPr>
              <w:t>分；较完整得</w:t>
            </w:r>
            <w:r>
              <w:rPr>
                <w:rFonts w:hint="eastAsia" w:ascii="宋体" w:hAnsi="宋体" w:cs="宋体"/>
                <w:color w:val="auto"/>
                <w:spacing w:val="14"/>
                <w:sz w:val="21"/>
                <w:szCs w:val="21"/>
                <w:highlight w:val="none"/>
                <w:lang w:val="en-US" w:eastAsia="zh-CN"/>
              </w:rPr>
              <w:t>12</w:t>
            </w:r>
            <w:r>
              <w:rPr>
                <w:rFonts w:hint="eastAsia" w:ascii="宋体" w:hAnsi="宋体" w:eastAsia="宋体" w:cs="宋体"/>
                <w:color w:val="auto"/>
                <w:spacing w:val="14"/>
                <w:sz w:val="21"/>
                <w:szCs w:val="21"/>
                <w:highlight w:val="none"/>
                <w:lang w:eastAsia="zh-CN"/>
              </w:rPr>
              <w:t>分</w:t>
            </w:r>
            <w:r>
              <w:rPr>
                <w:rFonts w:hint="eastAsia" w:ascii="宋体" w:hAnsi="宋体" w:cs="宋体"/>
                <w:color w:val="auto"/>
                <w:spacing w:val="14"/>
                <w:sz w:val="21"/>
                <w:szCs w:val="21"/>
                <w:highlight w:val="none"/>
                <w:lang w:eastAsia="zh-CN"/>
              </w:rPr>
              <w:t>；</w:t>
            </w:r>
            <w:r>
              <w:rPr>
                <w:rFonts w:hint="eastAsia" w:ascii="宋体" w:hAnsi="宋体" w:eastAsia="宋体" w:cs="宋体"/>
                <w:color w:val="auto"/>
                <w:spacing w:val="14"/>
                <w:sz w:val="21"/>
                <w:szCs w:val="21"/>
                <w:highlight w:val="none"/>
                <w:lang w:eastAsia="zh-CN"/>
              </w:rPr>
              <w:t>一般得</w:t>
            </w:r>
            <w:r>
              <w:rPr>
                <w:rFonts w:hint="eastAsia" w:ascii="宋体" w:hAnsi="宋体" w:cs="宋体"/>
                <w:color w:val="auto"/>
                <w:spacing w:val="14"/>
                <w:sz w:val="21"/>
                <w:szCs w:val="21"/>
                <w:highlight w:val="none"/>
                <w:lang w:val="en-US" w:eastAsia="zh-CN"/>
              </w:rPr>
              <w:t>8</w:t>
            </w:r>
            <w:r>
              <w:rPr>
                <w:rFonts w:hint="eastAsia" w:ascii="宋体" w:hAnsi="宋体" w:eastAsia="宋体" w:cs="宋体"/>
                <w:color w:val="auto"/>
                <w:spacing w:val="14"/>
                <w:sz w:val="21"/>
                <w:szCs w:val="21"/>
                <w:highlight w:val="none"/>
                <w:lang w:eastAsia="zh-CN"/>
              </w:rPr>
              <w:t>分；简单得</w:t>
            </w:r>
            <w:r>
              <w:rPr>
                <w:rFonts w:hint="eastAsia" w:ascii="宋体" w:hAnsi="宋体" w:cs="宋体"/>
                <w:color w:val="auto"/>
                <w:spacing w:val="14"/>
                <w:sz w:val="21"/>
                <w:szCs w:val="21"/>
                <w:highlight w:val="none"/>
                <w:lang w:val="en-US" w:eastAsia="zh-CN"/>
              </w:rPr>
              <w:t>4</w:t>
            </w:r>
            <w:r>
              <w:rPr>
                <w:rFonts w:hint="eastAsia" w:ascii="宋体" w:hAnsi="宋体" w:eastAsia="宋体" w:cs="宋体"/>
                <w:color w:val="auto"/>
                <w:spacing w:val="14"/>
                <w:sz w:val="21"/>
                <w:szCs w:val="21"/>
                <w:highlight w:val="none"/>
                <w:lang w:eastAsia="zh-CN"/>
              </w:rPr>
              <w:t>分</w:t>
            </w:r>
            <w:r>
              <w:rPr>
                <w:rFonts w:hint="eastAsia" w:ascii="宋体" w:hAnsi="宋体" w:cs="宋体"/>
                <w:color w:val="auto"/>
                <w:spacing w:val="14"/>
                <w:sz w:val="21"/>
                <w:szCs w:val="21"/>
                <w:highlight w:val="none"/>
                <w:lang w:eastAsia="zh-CN"/>
              </w:rPr>
              <w:t>；</w:t>
            </w:r>
            <w:r>
              <w:rPr>
                <w:rFonts w:hint="eastAsia" w:ascii="宋体" w:hAnsi="宋体" w:eastAsia="宋体" w:cs="宋体"/>
                <w:color w:val="auto"/>
                <w:spacing w:val="14"/>
                <w:sz w:val="21"/>
                <w:szCs w:val="21"/>
                <w:highlight w:val="none"/>
                <w:lang w:eastAsia="zh-CN"/>
              </w:rPr>
              <w:t>未提供</w:t>
            </w:r>
            <w:r>
              <w:rPr>
                <w:rFonts w:hint="eastAsia" w:ascii="宋体" w:hAnsi="宋体" w:cs="宋体"/>
                <w:color w:val="auto"/>
                <w:spacing w:val="14"/>
                <w:sz w:val="21"/>
                <w:szCs w:val="21"/>
                <w:highlight w:val="none"/>
                <w:lang w:val="en-US" w:eastAsia="zh-CN"/>
              </w:rPr>
              <w:t>不得</w:t>
            </w:r>
            <w:r>
              <w:rPr>
                <w:rFonts w:hint="eastAsia" w:ascii="宋体" w:hAnsi="宋体" w:eastAsia="宋体" w:cs="宋体"/>
                <w:color w:val="auto"/>
                <w:spacing w:val="14"/>
                <w:sz w:val="21"/>
                <w:szCs w:val="21"/>
                <w:highlight w:val="none"/>
                <w:lang w:eastAsia="zh-CN"/>
              </w:rPr>
              <w:t>分</w:t>
            </w:r>
          </w:p>
        </w:tc>
      </w:tr>
      <w:tr w14:paraId="27A9B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738" w:type="dxa"/>
            <w:vAlign w:val="center"/>
          </w:tcPr>
          <w:p w14:paraId="7479757C">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宋体" w:hAnsi="宋体" w:eastAsia="宋体" w:cs="宋体"/>
                <w:color w:val="auto"/>
                <w:spacing w:val="14"/>
                <w:sz w:val="21"/>
                <w:szCs w:val="21"/>
                <w:highlight w:val="none"/>
                <w:lang w:val="en-US" w:eastAsia="zh-CN"/>
              </w:rPr>
            </w:pPr>
            <w:r>
              <w:rPr>
                <w:rFonts w:hint="eastAsia" w:ascii="宋体" w:hAnsi="宋体" w:cs="宋体"/>
                <w:color w:val="auto"/>
                <w:spacing w:val="14"/>
                <w:sz w:val="21"/>
                <w:szCs w:val="21"/>
                <w:highlight w:val="none"/>
                <w:lang w:val="en-US" w:eastAsia="zh-CN"/>
              </w:rPr>
              <w:t>7</w:t>
            </w:r>
          </w:p>
        </w:tc>
        <w:tc>
          <w:tcPr>
            <w:tcW w:w="1260" w:type="dxa"/>
            <w:vAlign w:val="center"/>
          </w:tcPr>
          <w:p w14:paraId="6332CB3E">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pacing w:val="14"/>
                <w:sz w:val="21"/>
                <w:szCs w:val="21"/>
                <w:highlight w:val="none"/>
                <w:lang w:val="en-US" w:eastAsia="zh-CN"/>
              </w:rPr>
            </w:pPr>
            <w:r>
              <w:rPr>
                <w:rFonts w:hint="eastAsia" w:ascii="宋体" w:hAnsi="宋体" w:eastAsia="宋体" w:cs="宋体"/>
                <w:color w:val="auto"/>
                <w:spacing w:val="14"/>
                <w:sz w:val="21"/>
                <w:szCs w:val="21"/>
                <w:highlight w:val="none"/>
                <w:lang w:val="en-US" w:eastAsia="zh-CN"/>
              </w:rPr>
              <w:t>售后服务方案</w:t>
            </w:r>
          </w:p>
        </w:tc>
        <w:tc>
          <w:tcPr>
            <w:tcW w:w="782" w:type="dxa"/>
            <w:vAlign w:val="center"/>
          </w:tcPr>
          <w:p w14:paraId="523D7200">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宋体" w:hAnsi="宋体" w:cs="宋体"/>
                <w:color w:val="auto"/>
                <w:spacing w:val="14"/>
                <w:sz w:val="21"/>
                <w:szCs w:val="21"/>
                <w:highlight w:val="none"/>
                <w:lang w:val="en-US" w:eastAsia="zh-CN"/>
              </w:rPr>
            </w:pPr>
            <w:r>
              <w:rPr>
                <w:rFonts w:hint="eastAsia" w:ascii="宋体" w:hAnsi="宋体" w:cs="宋体"/>
                <w:color w:val="auto"/>
                <w:spacing w:val="14"/>
                <w:sz w:val="21"/>
                <w:szCs w:val="21"/>
                <w:highlight w:val="none"/>
                <w:lang w:val="en-US" w:eastAsia="zh-CN"/>
              </w:rPr>
              <w:t>10</w:t>
            </w:r>
            <w:r>
              <w:rPr>
                <w:rFonts w:hint="eastAsia" w:ascii="宋体" w:hAnsi="宋体" w:eastAsia="宋体" w:cs="宋体"/>
                <w:color w:val="auto"/>
                <w:spacing w:val="14"/>
                <w:sz w:val="21"/>
                <w:szCs w:val="21"/>
                <w:highlight w:val="none"/>
                <w:lang w:val="en-US" w:eastAsia="zh-CN"/>
              </w:rPr>
              <w:t>分</w:t>
            </w:r>
          </w:p>
        </w:tc>
        <w:tc>
          <w:tcPr>
            <w:tcW w:w="6678" w:type="dxa"/>
            <w:vAlign w:val="center"/>
          </w:tcPr>
          <w:p w14:paraId="2955FE82">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仿宋" w:hAnsi="仿宋" w:eastAsia="仿宋" w:cs="仿宋"/>
                <w:sz w:val="24"/>
                <w:szCs w:val="24"/>
              </w:rPr>
            </w:pPr>
            <w:r>
              <w:rPr>
                <w:rFonts w:hint="eastAsia" w:ascii="宋体" w:hAnsi="宋体" w:eastAsia="宋体" w:cs="宋体"/>
                <w:color w:val="auto"/>
                <w:spacing w:val="14"/>
                <w:sz w:val="21"/>
                <w:szCs w:val="21"/>
                <w:highlight w:val="none"/>
                <w:lang w:eastAsia="zh-CN"/>
              </w:rPr>
              <w:t>根据投标人针对本项目制定的售后服务方案，至少包括售后服务计划、售后服务人员配置、售后服务保障措施。投标人的售后服务方案能正确理解项目需求，思路清晰，合理分析现状且满足采购要求方案完善得</w:t>
            </w:r>
            <w:r>
              <w:rPr>
                <w:rFonts w:hint="eastAsia" w:ascii="宋体" w:hAnsi="宋体" w:cs="宋体"/>
                <w:color w:val="auto"/>
                <w:spacing w:val="14"/>
                <w:sz w:val="21"/>
                <w:szCs w:val="21"/>
                <w:highlight w:val="none"/>
                <w:lang w:val="en-US" w:eastAsia="zh-CN"/>
              </w:rPr>
              <w:t>10</w:t>
            </w:r>
            <w:r>
              <w:rPr>
                <w:rFonts w:hint="eastAsia" w:ascii="宋体" w:hAnsi="宋体" w:eastAsia="宋体" w:cs="宋体"/>
                <w:color w:val="auto"/>
                <w:spacing w:val="14"/>
                <w:sz w:val="21"/>
                <w:szCs w:val="21"/>
                <w:highlight w:val="none"/>
                <w:lang w:eastAsia="zh-CN"/>
              </w:rPr>
              <w:t>分；较完整得</w:t>
            </w:r>
            <w:r>
              <w:rPr>
                <w:rFonts w:hint="eastAsia" w:ascii="宋体" w:hAnsi="宋体" w:cs="宋体"/>
                <w:color w:val="auto"/>
                <w:spacing w:val="14"/>
                <w:sz w:val="21"/>
                <w:szCs w:val="21"/>
                <w:highlight w:val="none"/>
                <w:lang w:val="en-US" w:eastAsia="zh-CN"/>
              </w:rPr>
              <w:t>7</w:t>
            </w:r>
            <w:r>
              <w:rPr>
                <w:rFonts w:hint="eastAsia" w:ascii="宋体" w:hAnsi="宋体" w:eastAsia="宋体" w:cs="宋体"/>
                <w:color w:val="auto"/>
                <w:spacing w:val="14"/>
                <w:sz w:val="21"/>
                <w:szCs w:val="21"/>
                <w:highlight w:val="none"/>
                <w:lang w:eastAsia="zh-CN"/>
              </w:rPr>
              <w:t>分</w:t>
            </w:r>
            <w:r>
              <w:rPr>
                <w:rFonts w:hint="eastAsia" w:ascii="宋体" w:hAnsi="宋体" w:cs="宋体"/>
                <w:color w:val="auto"/>
                <w:spacing w:val="14"/>
                <w:sz w:val="21"/>
                <w:szCs w:val="21"/>
                <w:highlight w:val="none"/>
                <w:lang w:eastAsia="zh-CN"/>
              </w:rPr>
              <w:t>；</w:t>
            </w:r>
            <w:r>
              <w:rPr>
                <w:rFonts w:hint="eastAsia" w:ascii="宋体" w:hAnsi="宋体" w:eastAsia="宋体" w:cs="宋体"/>
                <w:color w:val="auto"/>
                <w:spacing w:val="14"/>
                <w:sz w:val="21"/>
                <w:szCs w:val="21"/>
                <w:highlight w:val="none"/>
                <w:lang w:eastAsia="zh-CN"/>
              </w:rPr>
              <w:t>一般</w:t>
            </w:r>
            <w:r>
              <w:rPr>
                <w:rFonts w:hint="eastAsia" w:ascii="宋体" w:hAnsi="宋体" w:cs="宋体"/>
                <w:color w:val="auto"/>
                <w:spacing w:val="14"/>
                <w:sz w:val="21"/>
                <w:szCs w:val="21"/>
                <w:highlight w:val="none"/>
                <w:lang w:val="en-US" w:eastAsia="zh-CN"/>
              </w:rPr>
              <w:t>得4</w:t>
            </w:r>
            <w:r>
              <w:rPr>
                <w:rFonts w:hint="eastAsia" w:ascii="宋体" w:hAnsi="宋体" w:eastAsia="宋体" w:cs="宋体"/>
                <w:color w:val="auto"/>
                <w:spacing w:val="14"/>
                <w:sz w:val="21"/>
                <w:szCs w:val="21"/>
                <w:highlight w:val="none"/>
                <w:lang w:eastAsia="zh-CN"/>
              </w:rPr>
              <w:t>分；简单</w:t>
            </w:r>
            <w:r>
              <w:rPr>
                <w:rFonts w:hint="eastAsia" w:ascii="宋体" w:hAnsi="宋体" w:cs="宋体"/>
                <w:color w:val="auto"/>
                <w:spacing w:val="14"/>
                <w:sz w:val="21"/>
                <w:szCs w:val="21"/>
                <w:highlight w:val="none"/>
                <w:lang w:val="en-US" w:eastAsia="zh-CN"/>
              </w:rPr>
              <w:t>得1</w:t>
            </w:r>
            <w:r>
              <w:rPr>
                <w:rFonts w:hint="eastAsia" w:ascii="宋体" w:hAnsi="宋体" w:eastAsia="宋体" w:cs="宋体"/>
                <w:color w:val="auto"/>
                <w:spacing w:val="14"/>
                <w:sz w:val="21"/>
                <w:szCs w:val="21"/>
                <w:highlight w:val="none"/>
                <w:lang w:eastAsia="zh-CN"/>
              </w:rPr>
              <w:t>分</w:t>
            </w:r>
            <w:r>
              <w:rPr>
                <w:rFonts w:hint="eastAsia" w:ascii="宋体" w:hAnsi="宋体" w:cs="宋体"/>
                <w:color w:val="auto"/>
                <w:spacing w:val="14"/>
                <w:sz w:val="21"/>
                <w:szCs w:val="21"/>
                <w:highlight w:val="none"/>
                <w:lang w:eastAsia="zh-CN"/>
              </w:rPr>
              <w:t>；</w:t>
            </w:r>
            <w:r>
              <w:rPr>
                <w:rFonts w:hint="eastAsia" w:ascii="宋体" w:hAnsi="宋体" w:eastAsia="宋体" w:cs="宋体"/>
                <w:color w:val="auto"/>
                <w:spacing w:val="14"/>
                <w:sz w:val="21"/>
                <w:szCs w:val="21"/>
                <w:highlight w:val="none"/>
                <w:lang w:eastAsia="zh-CN"/>
              </w:rPr>
              <w:t>未提供</w:t>
            </w:r>
            <w:r>
              <w:rPr>
                <w:rFonts w:hint="eastAsia" w:ascii="宋体" w:hAnsi="宋体" w:cs="宋体"/>
                <w:color w:val="auto"/>
                <w:spacing w:val="14"/>
                <w:sz w:val="21"/>
                <w:szCs w:val="21"/>
                <w:highlight w:val="none"/>
                <w:lang w:val="en-US" w:eastAsia="zh-CN"/>
              </w:rPr>
              <w:t>不得</w:t>
            </w:r>
            <w:r>
              <w:rPr>
                <w:rFonts w:hint="eastAsia" w:ascii="宋体" w:hAnsi="宋体" w:eastAsia="宋体" w:cs="宋体"/>
                <w:color w:val="auto"/>
                <w:spacing w:val="14"/>
                <w:sz w:val="21"/>
                <w:szCs w:val="21"/>
                <w:highlight w:val="none"/>
                <w:lang w:eastAsia="zh-CN"/>
              </w:rPr>
              <w:t>分</w:t>
            </w:r>
          </w:p>
        </w:tc>
      </w:tr>
    </w:tbl>
    <w:p w14:paraId="6C442531">
      <w:pPr>
        <w:shd w:val="clear" w:color="auto" w:fill="auto"/>
        <w:snapToGrid w:val="0"/>
        <w:spacing w:line="40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备注:</w:t>
      </w:r>
    </w:p>
    <w:p w14:paraId="3C5954A3">
      <w:pPr>
        <w:shd w:val="clear" w:color="auto" w:fill="auto"/>
        <w:snapToGrid w:val="0"/>
        <w:spacing w:line="40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1、根据《政府采购</w:t>
      </w:r>
      <w:r>
        <w:rPr>
          <w:rFonts w:hint="eastAsia" w:ascii="宋体" w:hAnsi="宋体" w:cs="宋体"/>
          <w:color w:val="auto"/>
          <w:szCs w:val="21"/>
          <w:highlight w:val="none"/>
          <w:lang w:val="en-US" w:eastAsia="zh-CN"/>
        </w:rPr>
        <w:t>货物</w:t>
      </w:r>
      <w:r>
        <w:rPr>
          <w:rFonts w:hint="eastAsia" w:ascii="宋体" w:hAnsi="宋体" w:eastAsia="宋体" w:cs="宋体"/>
          <w:color w:val="auto"/>
          <w:szCs w:val="21"/>
          <w:highlight w:val="none"/>
          <w:lang w:val="en-US" w:eastAsia="zh-CN"/>
        </w:rPr>
        <w:t>和服务招投标管理办法》第87号令第六十条：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5CE98363">
      <w:pPr>
        <w:shd w:val="clear" w:color="auto" w:fill="auto"/>
        <w:snapToGrid w:val="0"/>
        <w:spacing w:line="40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2、供应商在评标过程中，所进行的力图影响评标结果的不符合招标规则的活动，可能导致其被取消中标资格。</w:t>
      </w:r>
    </w:p>
    <w:p w14:paraId="63A7EE75">
      <w:pPr>
        <w:shd w:val="clear" w:color="auto" w:fill="auto"/>
        <w:snapToGrid w:val="0"/>
        <w:spacing w:line="40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3、与招标文件有重大偏离的投标文件将被拒绝。</w:t>
      </w:r>
    </w:p>
    <w:p w14:paraId="21BCB3B2">
      <w:pPr>
        <w:shd w:val="clear" w:color="auto" w:fill="auto"/>
        <w:snapToGrid w:val="0"/>
        <w:spacing w:line="400" w:lineRule="exact"/>
        <w:ind w:firstLine="424"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附：对于商务部分（投标报价）的评分，按以下方法进行：价格分统一采用低价优先法计算，即满足招标文件要求且评标价格最低的报价为评标基准价，其价格分为满分。其他投标人的价格分统一按照下列公式计算：报价得分=(评标基准价／评标价格)×</w:t>
      </w:r>
      <w:r>
        <w:rPr>
          <w:rFonts w:hint="eastAsia" w:ascii="宋体" w:hAnsi="宋体" w:cs="宋体"/>
          <w:color w:val="auto"/>
          <w:szCs w:val="21"/>
          <w:highlight w:val="none"/>
          <w:lang w:val="en-US" w:eastAsia="zh-CN"/>
        </w:rPr>
        <w:t>30</w:t>
      </w:r>
      <w:r>
        <w:rPr>
          <w:rFonts w:hint="eastAsia" w:ascii="宋体" w:hAnsi="宋体" w:eastAsia="宋体" w:cs="宋体"/>
          <w:color w:val="auto"/>
          <w:szCs w:val="21"/>
          <w:highlight w:val="none"/>
          <w:lang w:val="en-US" w:eastAsia="zh-CN"/>
        </w:rPr>
        <w:t>%×100</w:t>
      </w:r>
    </w:p>
    <w:p w14:paraId="35E0D4FD">
      <w:pPr>
        <w:shd w:val="clear" w:color="auto" w:fill="auto"/>
        <w:snapToGrid w:val="0"/>
        <w:spacing w:line="40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各评标委员会成员对每个投标人的上述指标的打分（除报价外）的算术平均分，加上经计算的报价得分，即为该投标人的最终综合评估分。评标委员会将按投标人得分顺序由高到低依次排名，得分相同的，按投标报价由低到高顺序排列。得分及报价相同的，按技术指标优劣顺序排列。得分最高的前一名至前三名投标人将成为</w:t>
      </w:r>
      <w:r>
        <w:rPr>
          <w:rFonts w:hint="eastAsia" w:ascii="宋体" w:hAnsi="宋体" w:cs="宋体"/>
          <w:color w:val="auto"/>
          <w:szCs w:val="21"/>
          <w:highlight w:val="none"/>
          <w:lang w:val="en-US" w:eastAsia="zh-CN"/>
        </w:rPr>
        <w:t>中标</w:t>
      </w:r>
      <w:r>
        <w:rPr>
          <w:rFonts w:hint="eastAsia" w:ascii="宋体" w:hAnsi="宋体" w:eastAsia="宋体" w:cs="宋体"/>
          <w:color w:val="auto"/>
          <w:szCs w:val="21"/>
          <w:highlight w:val="none"/>
          <w:lang w:val="en-US" w:eastAsia="zh-CN"/>
        </w:rPr>
        <w:t>候选人。</w:t>
      </w:r>
    </w:p>
    <w:p w14:paraId="2CF97556">
      <w:pPr>
        <w:shd w:val="clear" w:color="auto" w:fill="auto"/>
        <w:snapToGrid w:val="0"/>
        <w:spacing w:line="40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5、最低报价不作为评标的唯一依据。采购人不承诺将合同授予报价最低的投标人。</w:t>
      </w:r>
    </w:p>
    <w:p w14:paraId="1B3A78F9">
      <w:pPr>
        <w:shd w:val="clear" w:color="auto" w:fill="auto"/>
        <w:spacing w:before="156" w:beforeLines="50" w:line="400" w:lineRule="exact"/>
        <w:jc w:val="left"/>
        <w:outlineLvl w:val="1"/>
        <w:rPr>
          <w:rFonts w:hint="eastAsia" w:ascii="宋体" w:hAnsi="宋体" w:eastAsia="宋体" w:cs="宋体"/>
          <w:color w:val="auto"/>
          <w:szCs w:val="21"/>
          <w:highlight w:val="none"/>
          <w:lang w:val="en-US" w:eastAsia="zh-CN"/>
        </w:rPr>
      </w:pPr>
      <w:bookmarkStart w:id="111" w:name="_Toc7876"/>
      <w:r>
        <w:rPr>
          <w:rFonts w:hint="eastAsia" w:ascii="宋体" w:hAnsi="宋体" w:eastAsia="宋体" w:cs="宋体"/>
          <w:color w:val="auto"/>
          <w:szCs w:val="21"/>
          <w:highlight w:val="none"/>
          <w:lang w:val="en-US" w:eastAsia="zh-CN"/>
        </w:rPr>
        <w:t>6、经评标委员会评议，认为投标报价过高、超出采购人预算的项目，可以不确立中标人，做为废标处理。</w:t>
      </w:r>
      <w:bookmarkEnd w:id="111"/>
    </w:p>
    <w:p w14:paraId="321A166E">
      <w:pPr>
        <w:shd w:val="clear" w:color="auto" w:fill="auto"/>
        <w:spacing w:before="156" w:beforeLines="50" w:line="400" w:lineRule="exact"/>
        <w:jc w:val="center"/>
        <w:outlineLvl w:val="1"/>
        <w:rPr>
          <w:rFonts w:hint="eastAsia" w:ascii="宋体"/>
          <w:b w:val="0"/>
          <w:bCs/>
          <w:color w:val="auto"/>
          <w:sz w:val="24"/>
          <w:highlight w:val="none"/>
        </w:rPr>
      </w:pPr>
      <w:bookmarkStart w:id="112" w:name="_Toc17440"/>
      <w:r>
        <w:rPr>
          <w:rFonts w:hint="eastAsia" w:ascii="宋体"/>
          <w:b w:val="0"/>
          <w:bCs/>
          <w:color w:val="auto"/>
          <w:sz w:val="24"/>
          <w:highlight w:val="none"/>
        </w:rPr>
        <w:t>五</w:t>
      </w:r>
      <w:r>
        <w:rPr>
          <w:rFonts w:hint="eastAsia" w:ascii="宋体"/>
          <w:b w:val="0"/>
          <w:bCs/>
          <w:color w:val="auto"/>
          <w:sz w:val="24"/>
          <w:highlight w:val="none"/>
          <w:lang w:eastAsia="zh-CN"/>
        </w:rPr>
        <w:t>、</w:t>
      </w:r>
      <w:r>
        <w:rPr>
          <w:rFonts w:hint="eastAsia" w:ascii="宋体"/>
          <w:b w:val="0"/>
          <w:bCs/>
          <w:color w:val="auto"/>
          <w:sz w:val="24"/>
          <w:highlight w:val="none"/>
        </w:rPr>
        <w:t>推荐中标候选人</w:t>
      </w:r>
      <w:bookmarkEnd w:id="112"/>
    </w:p>
    <w:p w14:paraId="7C21529E">
      <w:pPr>
        <w:shd w:val="clear" w:color="auto" w:fill="auto"/>
        <w:snapToGrid w:val="0"/>
        <w:spacing w:line="400" w:lineRule="exact"/>
        <w:ind w:firstLine="424" w:firstLineChars="200"/>
        <w:rPr>
          <w:rFonts w:hint="eastAsia" w:ascii="宋体"/>
          <w:b w:val="0"/>
          <w:bCs/>
          <w:color w:val="auto"/>
          <w:szCs w:val="21"/>
          <w:highlight w:val="none"/>
        </w:rPr>
      </w:pPr>
      <w:r>
        <w:rPr>
          <w:rFonts w:hint="eastAsia" w:ascii="宋体"/>
          <w:b w:val="0"/>
          <w:bCs/>
          <w:color w:val="auto"/>
          <w:szCs w:val="21"/>
          <w:highlight w:val="none"/>
          <w:lang w:val="en-US" w:eastAsia="zh-CN"/>
        </w:rPr>
        <w:t>11.1</w:t>
      </w:r>
      <w:r>
        <w:rPr>
          <w:rFonts w:hint="eastAsia" w:ascii="宋体" w:hAnsi="宋体"/>
          <w:b w:val="0"/>
          <w:bCs/>
          <w:color w:val="auto"/>
          <w:szCs w:val="21"/>
          <w:highlight w:val="none"/>
        </w:rPr>
        <w:t>评标委员会推荐</w:t>
      </w:r>
      <w:r>
        <w:rPr>
          <w:rFonts w:hint="eastAsia" w:ascii="宋体" w:hAnsi="宋体"/>
          <w:b w:val="0"/>
          <w:bCs/>
          <w:color w:val="auto"/>
          <w:szCs w:val="21"/>
          <w:highlight w:val="none"/>
          <w:lang w:val="en-US" w:eastAsia="zh-CN"/>
        </w:rPr>
        <w:t>3</w:t>
      </w:r>
      <w:r>
        <w:rPr>
          <w:rFonts w:hint="eastAsia" w:ascii="宋体" w:hAnsi="宋体"/>
          <w:b w:val="0"/>
          <w:bCs/>
          <w:color w:val="auto"/>
          <w:szCs w:val="21"/>
          <w:highlight w:val="none"/>
        </w:rPr>
        <w:t>名中标候选人，并标明排序。</w:t>
      </w:r>
    </w:p>
    <w:p w14:paraId="3C0A6613">
      <w:pPr>
        <w:shd w:val="clear" w:color="auto" w:fill="auto"/>
        <w:spacing w:line="400" w:lineRule="exact"/>
        <w:ind w:firstLine="414" w:firstLineChars="196"/>
        <w:rPr>
          <w:rFonts w:hint="eastAsia" w:ascii="宋体" w:hAnsi="宋体"/>
          <w:b w:val="0"/>
          <w:bCs/>
          <w:color w:val="auto"/>
          <w:szCs w:val="21"/>
          <w:highlight w:val="none"/>
        </w:rPr>
      </w:pPr>
      <w:r>
        <w:rPr>
          <w:rFonts w:hint="eastAsia" w:ascii="宋体" w:hAnsi="宋体"/>
          <w:b w:val="0"/>
          <w:bCs/>
          <w:color w:val="auto"/>
          <w:szCs w:val="21"/>
          <w:highlight w:val="none"/>
          <w:lang w:val="en-US" w:eastAsia="zh-CN"/>
        </w:rPr>
        <w:t>11.2</w:t>
      </w:r>
      <w:r>
        <w:rPr>
          <w:rFonts w:hint="eastAsia" w:ascii="宋体" w:hAnsi="宋体"/>
          <w:b w:val="0"/>
          <w:bCs/>
          <w:color w:val="auto"/>
          <w:szCs w:val="21"/>
          <w:highlight w:val="none"/>
        </w:rPr>
        <w:t>如出现报价相同情况，则由招标人现场抽签确定中标候选人排名顺序。</w:t>
      </w:r>
    </w:p>
    <w:p w14:paraId="4AD2C1EF">
      <w:pPr>
        <w:shd w:val="clear" w:color="auto" w:fill="auto"/>
        <w:snapToGrid w:val="0"/>
        <w:spacing w:line="400" w:lineRule="exact"/>
        <w:ind w:firstLine="424" w:firstLineChars="200"/>
        <w:rPr>
          <w:rFonts w:hint="eastAsia" w:ascii="宋体" w:hAnsi="宋体"/>
          <w:b w:val="0"/>
          <w:bCs/>
          <w:color w:val="auto"/>
          <w:szCs w:val="21"/>
          <w:highlight w:val="none"/>
        </w:rPr>
      </w:pPr>
      <w:r>
        <w:rPr>
          <w:rFonts w:hint="eastAsia" w:ascii="宋体" w:hAnsi="宋体"/>
          <w:b w:val="0"/>
          <w:bCs/>
          <w:color w:val="auto"/>
          <w:szCs w:val="21"/>
          <w:highlight w:val="none"/>
          <w:lang w:val="en-US" w:eastAsia="zh-CN"/>
        </w:rPr>
        <w:t>12.</w:t>
      </w:r>
      <w:r>
        <w:rPr>
          <w:rFonts w:hint="eastAsia" w:ascii="宋体" w:hAnsi="宋体"/>
          <w:b w:val="0"/>
          <w:bCs/>
          <w:color w:val="auto"/>
          <w:szCs w:val="21"/>
          <w:highlight w:val="none"/>
        </w:rPr>
        <w:t>无效投标条款</w:t>
      </w:r>
    </w:p>
    <w:p w14:paraId="768D1277">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lang w:val="en-US" w:eastAsia="zh-CN"/>
        </w:rPr>
        <w:t>12</w:t>
      </w:r>
      <w:r>
        <w:rPr>
          <w:rFonts w:hint="eastAsia" w:ascii="宋体" w:hAnsi="宋体" w:cs="宋体"/>
          <w:b w:val="0"/>
          <w:bCs/>
          <w:color w:val="auto"/>
          <w:szCs w:val="21"/>
          <w:highlight w:val="none"/>
        </w:rPr>
        <w:t>.1投标文件有下列情形之一的,其投标文件拒收:</w:t>
      </w:r>
    </w:p>
    <w:p w14:paraId="49478429">
      <w:pPr>
        <w:shd w:val="clear" w:color="auto" w:fill="auto"/>
        <w:snapToGrid w:val="0"/>
        <w:spacing w:line="400" w:lineRule="exact"/>
        <w:ind w:firstLine="424" w:firstLineChars="200"/>
        <w:jc w:val="left"/>
        <w:rPr>
          <w:rFonts w:hint="eastAsia" w:ascii="宋体" w:hAnsi="宋体" w:cs="宋体"/>
          <w:b w:val="0"/>
          <w:bCs/>
          <w:color w:val="auto"/>
          <w:szCs w:val="21"/>
          <w:highlight w:val="none"/>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1</w:t>
      </w:r>
      <w:r>
        <w:rPr>
          <w:rFonts w:hint="eastAsia" w:ascii="宋体" w:hAnsi="宋体" w:eastAsia="宋体" w:cs="宋体"/>
          <w:b w:val="0"/>
          <w:bCs/>
          <w:color w:val="auto"/>
          <w:szCs w:val="21"/>
          <w:highlight w:val="none"/>
          <w:lang w:eastAsia="zh-CN"/>
        </w:rPr>
        <w:t>）</w:t>
      </w:r>
      <w:r>
        <w:rPr>
          <w:rFonts w:hint="eastAsia" w:ascii="宋体" w:hAnsi="宋体" w:cs="宋体"/>
          <w:b w:val="0"/>
          <w:bCs/>
          <w:color w:val="auto"/>
          <w:szCs w:val="21"/>
          <w:highlight w:val="none"/>
        </w:rPr>
        <w:t>未在开标截止时间前通过网上招标投标系统递交有效电子投标文件的，开标系统不予接收。</w:t>
      </w:r>
    </w:p>
    <w:p w14:paraId="06023906">
      <w:pPr>
        <w:shd w:val="clear" w:color="auto" w:fill="auto"/>
        <w:snapToGrid w:val="0"/>
        <w:spacing w:line="400" w:lineRule="exact"/>
        <w:ind w:firstLine="424" w:firstLineChars="200"/>
        <w:jc w:val="left"/>
        <w:rPr>
          <w:rFonts w:hint="eastAsia" w:ascii="宋体" w:hAnsi="宋体"/>
          <w:b w:val="0"/>
          <w:bCs/>
          <w:color w:val="auto"/>
          <w:szCs w:val="21"/>
          <w:highlight w:val="none"/>
        </w:rPr>
      </w:pPr>
      <w:r>
        <w:rPr>
          <w:rFonts w:hint="eastAsia" w:ascii="宋体" w:hAnsi="宋体" w:cs="宋体"/>
          <w:b w:val="0"/>
          <w:bCs/>
          <w:color w:val="auto"/>
          <w:szCs w:val="21"/>
          <w:highlight w:val="none"/>
        </w:rPr>
        <w:t>（2）</w:t>
      </w:r>
      <w:r>
        <w:rPr>
          <w:rFonts w:hint="eastAsia" w:ascii="宋体" w:hAnsi="宋体"/>
          <w:b w:val="0"/>
          <w:bCs/>
          <w:color w:val="auto"/>
          <w:szCs w:val="21"/>
          <w:highlight w:val="none"/>
        </w:rPr>
        <w:t>所有投标人应在规定时间里完成投标文件的解密工作【投标人</w:t>
      </w:r>
      <w:r>
        <w:rPr>
          <w:rFonts w:hint="eastAsia" w:ascii="宋体" w:hAnsi="宋体"/>
          <w:b w:val="0"/>
          <w:bCs/>
          <w:color w:val="auto"/>
          <w:szCs w:val="21"/>
          <w:highlight w:val="none"/>
          <w:lang w:eastAsia="zh-CN"/>
        </w:rPr>
        <w:t>使用</w:t>
      </w:r>
      <w:r>
        <w:rPr>
          <w:rFonts w:hint="eastAsia" w:ascii="宋体" w:hAnsi="宋体"/>
          <w:b w:val="0"/>
          <w:bCs/>
          <w:color w:val="auto"/>
          <w:szCs w:val="21"/>
          <w:highlight w:val="none"/>
        </w:rPr>
        <w:t>其有效加密</w:t>
      </w:r>
    </w:p>
    <w:p w14:paraId="37305F51">
      <w:pPr>
        <w:shd w:val="clear" w:color="auto" w:fill="auto"/>
        <w:snapToGrid w:val="0"/>
        <w:spacing w:line="400" w:lineRule="exact"/>
        <w:jc w:val="left"/>
        <w:rPr>
          <w:rFonts w:hint="eastAsia" w:ascii="宋体" w:hAnsi="宋体" w:cs="宋体"/>
          <w:b w:val="0"/>
          <w:bCs/>
          <w:color w:val="auto"/>
          <w:szCs w:val="21"/>
          <w:highlight w:val="none"/>
        </w:rPr>
      </w:pPr>
      <w:r>
        <w:rPr>
          <w:rFonts w:hint="eastAsia" w:ascii="宋体" w:hAnsi="宋体"/>
          <w:b w:val="0"/>
          <w:bCs/>
          <w:color w:val="auto"/>
          <w:szCs w:val="21"/>
          <w:highlight w:val="none"/>
        </w:rPr>
        <w:t>锁（CA锁）</w:t>
      </w:r>
      <w:r>
        <w:rPr>
          <w:rFonts w:hint="eastAsia" w:ascii="宋体" w:hAnsi="宋体"/>
          <w:b w:val="0"/>
          <w:bCs/>
          <w:color w:val="auto"/>
          <w:szCs w:val="21"/>
          <w:highlight w:val="none"/>
          <w:lang w:eastAsia="zh-CN"/>
        </w:rPr>
        <w:t>进行</w:t>
      </w:r>
      <w:r>
        <w:rPr>
          <w:rFonts w:hint="eastAsia" w:ascii="宋体" w:hAnsi="宋体"/>
          <w:b w:val="0"/>
          <w:bCs/>
          <w:color w:val="auto"/>
          <w:szCs w:val="21"/>
          <w:highlight w:val="none"/>
        </w:rPr>
        <w:t>解密（因投标人原因未能提供有效CA锁对其投标文件进行解密的，其投标文件按无效标处理），以网上招投标系统解密倒计时为准】，因系统原因未能成功解密的投标文件，可导入</w:t>
      </w:r>
      <w:r>
        <w:rPr>
          <w:rFonts w:hint="eastAsia" w:ascii="宋体" w:hAnsi="宋体"/>
          <w:b w:val="0"/>
          <w:bCs/>
          <w:color w:val="auto"/>
          <w:szCs w:val="21"/>
          <w:highlight w:val="none"/>
          <w:lang w:eastAsia="zh-CN"/>
        </w:rPr>
        <w:t>备份投标文件</w:t>
      </w:r>
      <w:r>
        <w:rPr>
          <w:rFonts w:hint="eastAsia" w:ascii="宋体" w:hAnsi="宋体"/>
          <w:b w:val="0"/>
          <w:bCs/>
          <w:color w:val="auto"/>
          <w:szCs w:val="21"/>
          <w:highlight w:val="none"/>
        </w:rPr>
        <w:t>。</w:t>
      </w:r>
      <w:r>
        <w:rPr>
          <w:rFonts w:hint="eastAsia" w:ascii="宋体" w:hAnsi="宋体"/>
          <w:b w:val="0"/>
          <w:bCs/>
          <w:color w:val="auto"/>
          <w:szCs w:val="21"/>
          <w:highlight w:val="none"/>
          <w:lang w:eastAsia="zh-CN"/>
        </w:rPr>
        <w:t>备份投标文件</w:t>
      </w:r>
      <w:r>
        <w:rPr>
          <w:rFonts w:hint="eastAsia" w:ascii="宋体" w:hAnsi="宋体"/>
          <w:b w:val="0"/>
          <w:bCs/>
          <w:color w:val="auto"/>
          <w:szCs w:val="21"/>
          <w:highlight w:val="none"/>
        </w:rPr>
        <w:t>也无法导入的，则投标文件被否决。</w:t>
      </w:r>
    </w:p>
    <w:p w14:paraId="2E42725D">
      <w:pPr>
        <w:shd w:val="clear" w:color="auto" w:fill="auto"/>
        <w:snapToGrid w:val="0"/>
        <w:spacing w:line="400" w:lineRule="exact"/>
        <w:rPr>
          <w:rFonts w:hint="eastAsia" w:ascii="宋体" w:hAnsi="宋体" w:cs="宋体"/>
          <w:b w:val="0"/>
          <w:bCs/>
          <w:color w:val="auto"/>
          <w:szCs w:val="21"/>
          <w:highlight w:val="none"/>
        </w:rPr>
      </w:pPr>
      <w:r>
        <w:rPr>
          <w:rFonts w:hint="eastAsia" w:ascii="宋体" w:hAnsi="宋体" w:cs="宋体"/>
          <w:b w:val="0"/>
          <w:bCs/>
          <w:color w:val="auto"/>
          <w:szCs w:val="21"/>
          <w:highlight w:val="none"/>
        </w:rPr>
        <w:t xml:space="preserve">  </w:t>
      </w:r>
      <w:r>
        <w:rPr>
          <w:rFonts w:hint="eastAsia" w:ascii="宋体" w:hAnsi="宋体" w:cs="宋体"/>
          <w:b w:val="0"/>
          <w:bCs/>
          <w:color w:val="auto"/>
          <w:szCs w:val="21"/>
          <w:highlight w:val="none"/>
          <w:lang w:val="en-US" w:eastAsia="zh-CN"/>
        </w:rPr>
        <w:t>12</w:t>
      </w:r>
      <w:r>
        <w:rPr>
          <w:rFonts w:hint="eastAsia" w:ascii="宋体" w:hAnsi="宋体" w:cs="宋体"/>
          <w:b w:val="0"/>
          <w:bCs/>
          <w:color w:val="auto"/>
          <w:szCs w:val="21"/>
          <w:highlight w:val="none"/>
        </w:rPr>
        <w:t>.2投标人有下列情形之一的,资格审查后其投标作无效投标处理：</w:t>
      </w:r>
    </w:p>
    <w:p w14:paraId="144FB84B">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(1)法定代表人参加开标会议未携带有效的法定代表人身份证明原件和本人身份证的；委托代理人参加开标会议未携带有效的法定代表人授权书和本人身份证；</w:t>
      </w:r>
    </w:p>
    <w:p w14:paraId="1E7B0884">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(2)投标人为本项目提供招标代理服务的；</w:t>
      </w:r>
    </w:p>
    <w:p w14:paraId="0F47D88A">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(3)投标人与在本项目代理机构存在相互任职或工作的；</w:t>
      </w:r>
    </w:p>
    <w:p w14:paraId="15ACA786">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(4)投标保证金未按规定要求缴纳的；</w:t>
      </w:r>
    </w:p>
    <w:p w14:paraId="46ADAE13">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(5)</w:t>
      </w:r>
      <w:r>
        <w:rPr>
          <w:rFonts w:hint="eastAsia" w:ascii="宋体" w:hAnsi="宋体"/>
          <w:b w:val="0"/>
          <w:bCs/>
          <w:color w:val="auto"/>
          <w:szCs w:val="21"/>
          <w:highlight w:val="none"/>
        </w:rPr>
        <w:t>评标专家无法查看并检验电子标书中相关资料的；</w:t>
      </w:r>
    </w:p>
    <w:p w14:paraId="2F7963F9">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(6)投标人超出营业范围投标的；</w:t>
      </w:r>
    </w:p>
    <w:p w14:paraId="08D146FC">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(7)联合体投标未提交联合体协议的；</w:t>
      </w:r>
    </w:p>
    <w:p w14:paraId="25BCE502">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(8)被暂停营业的；</w:t>
      </w:r>
    </w:p>
    <w:p w14:paraId="17FD4066">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(9)被暂停或取消投标资格的；</w:t>
      </w:r>
    </w:p>
    <w:p w14:paraId="2603A2B1">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(10)财产被接管或冻结的；</w:t>
      </w:r>
    </w:p>
    <w:p w14:paraId="2E73AD15">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(11)投标人单位负责人为同一人或者存在控股、管理关系的不同单位的；</w:t>
      </w:r>
    </w:p>
    <w:p w14:paraId="12255B58">
      <w:pPr>
        <w:shd w:val="clear" w:color="auto" w:fill="auto"/>
        <w:snapToGrid w:val="0"/>
        <w:spacing w:line="400" w:lineRule="exact"/>
        <w:ind w:firstLine="318" w:firstLineChars="150"/>
        <w:jc w:val="left"/>
        <w:rPr>
          <w:rFonts w:hint="eastAsia" w:ascii="宋体" w:hAnsi="宋体" w:cs="宋体"/>
          <w:b w:val="0"/>
          <w:bCs/>
          <w:color w:val="auto"/>
          <w:szCs w:val="21"/>
          <w:highlight w:val="none"/>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12</w:t>
      </w: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rPr>
        <w:t>投</w:t>
      </w:r>
      <w:r>
        <w:rPr>
          <w:rFonts w:hint="eastAsia" w:ascii="宋体" w:hAnsi="宋体" w:cs="宋体"/>
          <w:b w:val="0"/>
          <w:bCs/>
          <w:color w:val="auto"/>
          <w:szCs w:val="21"/>
          <w:highlight w:val="none"/>
        </w:rPr>
        <w:t>标人基本资格条件和特定资格条件中有一项及以上不符合要求的；</w:t>
      </w:r>
    </w:p>
    <w:p w14:paraId="05A0A21A">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（13）投标人使用相同的MAC地址进行报名的；</w:t>
      </w:r>
    </w:p>
    <w:p w14:paraId="6D2B4868">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（14）其它情形，经评标委员会委提出按无效投标处理，并经公共资源交易监督部门核准的；</w:t>
      </w:r>
    </w:p>
    <w:p w14:paraId="13A2FCD3">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（15）投标人使用相同IP地址报名的，一经发现，监管部门将进一步核实，查实后按串通投标处理；</w:t>
      </w:r>
    </w:p>
    <w:p w14:paraId="16535960">
      <w:pPr>
        <w:shd w:val="clear" w:color="auto" w:fill="auto"/>
        <w:snapToGrid w:val="0"/>
        <w:spacing w:line="400" w:lineRule="exact"/>
        <w:ind w:firstLine="424" w:firstLineChars="200"/>
        <w:rPr>
          <w:rFonts w:hint="eastAsia" w:ascii="宋体" w:hAnsi="宋体" w:cs="宋体"/>
          <w:b w:val="0"/>
          <w:bCs/>
          <w:color w:val="auto"/>
          <w:szCs w:val="21"/>
          <w:highlight w:val="none"/>
        </w:rPr>
      </w:pPr>
      <w:r>
        <w:rPr>
          <w:rFonts w:hint="eastAsia" w:ascii="宋体" w:hAnsi="宋体" w:cs="宋体"/>
          <w:b w:val="0"/>
          <w:bCs/>
          <w:color w:val="auto"/>
          <w:szCs w:val="21"/>
          <w:highlight w:val="none"/>
        </w:rPr>
        <w:t>（16）</w:t>
      </w:r>
      <w:r>
        <w:rPr>
          <w:rFonts w:hint="eastAsia" w:ascii="宋体" w:hAnsi="宋体" w:cs="宋体"/>
          <w:b w:val="0"/>
          <w:bCs/>
          <w:color w:val="auto"/>
          <w:szCs w:val="21"/>
          <w:highlight w:val="none"/>
          <w:lang w:eastAsia="zh-CN"/>
        </w:rPr>
        <w:t>采购文件</w:t>
      </w:r>
      <w:r>
        <w:rPr>
          <w:rFonts w:hint="eastAsia" w:ascii="宋体" w:hAnsi="宋体" w:cs="宋体"/>
          <w:b w:val="0"/>
          <w:bCs/>
          <w:color w:val="auto"/>
          <w:szCs w:val="21"/>
          <w:highlight w:val="none"/>
        </w:rPr>
        <w:t>规定的其它无效投标情形。</w:t>
      </w:r>
    </w:p>
    <w:p w14:paraId="31A2BCCD">
      <w:pPr>
        <w:shd w:val="clear" w:color="auto" w:fill="auto"/>
        <w:snapToGrid w:val="0"/>
        <w:spacing w:line="400" w:lineRule="exact"/>
        <w:ind w:firstLine="424" w:firstLineChars="200"/>
        <w:jc w:val="left"/>
        <w:rPr>
          <w:rFonts w:hint="eastAsia" w:ascii="宋体" w:hAnsi="宋体" w:cs="宋体"/>
          <w:b w:val="0"/>
          <w:bCs/>
          <w:color w:val="auto"/>
          <w:szCs w:val="21"/>
          <w:highlight w:val="none"/>
        </w:rPr>
      </w:pPr>
      <w:r>
        <w:rPr>
          <w:rFonts w:hint="eastAsia" w:ascii="宋体" w:hAnsi="宋体" w:cs="宋体"/>
          <w:b w:val="0"/>
          <w:bCs/>
          <w:color w:val="auto"/>
          <w:szCs w:val="21"/>
          <w:highlight w:val="none"/>
          <w:lang w:val="en-US" w:eastAsia="zh-CN"/>
        </w:rPr>
        <w:t>12</w:t>
      </w:r>
      <w:r>
        <w:rPr>
          <w:rFonts w:hint="eastAsia" w:ascii="宋体" w:hAnsi="宋体" w:cs="宋体"/>
          <w:b w:val="0"/>
          <w:bCs/>
          <w:color w:val="auto"/>
          <w:szCs w:val="21"/>
          <w:highlight w:val="none"/>
        </w:rPr>
        <w:t>.3 投标人有下列情形之一的,符合性审查后其投标按无效投标处理：</w:t>
      </w:r>
    </w:p>
    <w:p w14:paraId="6D5236A0">
      <w:pPr>
        <w:shd w:val="clear" w:color="auto" w:fill="auto"/>
        <w:snapToGrid w:val="0"/>
        <w:spacing w:line="400" w:lineRule="exact"/>
        <w:ind w:firstLine="424" w:firstLineChars="200"/>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(1)投标文件签字、盖章不全，经评标委员会一致认定对开评标内容有实质性影响并经监督部门核准的；</w:t>
      </w:r>
    </w:p>
    <w:p w14:paraId="784A64A2">
      <w:pPr>
        <w:shd w:val="clear" w:color="auto" w:fill="auto"/>
        <w:snapToGrid w:val="0"/>
        <w:spacing w:line="400" w:lineRule="exact"/>
        <w:ind w:firstLine="424" w:firstLineChars="200"/>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w:t>
      </w:r>
      <w:r>
        <w:rPr>
          <w:rFonts w:hint="eastAsia" w:ascii="宋体" w:hAnsi="宋体" w:eastAsia="宋体" w:cs="宋体"/>
          <w:b w:val="0"/>
          <w:bCs/>
          <w:color w:val="auto"/>
          <w:szCs w:val="21"/>
          <w:highlight w:val="none"/>
          <w:lang w:val="en-US" w:eastAsia="zh-CN"/>
        </w:rPr>
        <w:t>2</w:t>
      </w:r>
      <w:r>
        <w:rPr>
          <w:rFonts w:hint="eastAsia" w:ascii="宋体" w:hAnsi="宋体" w:eastAsia="宋体" w:cs="宋体"/>
          <w:b w:val="0"/>
          <w:bCs/>
          <w:color w:val="auto"/>
          <w:szCs w:val="21"/>
          <w:highlight w:val="none"/>
        </w:rPr>
        <w:t>)未按规定的格式填写，实质性内容不全或关键字迹模糊、无法辨认; 经监督部门核准的；</w:t>
      </w:r>
    </w:p>
    <w:p w14:paraId="650652D6">
      <w:pPr>
        <w:shd w:val="clear" w:color="auto" w:fill="auto"/>
        <w:snapToGrid w:val="0"/>
        <w:spacing w:line="400" w:lineRule="exact"/>
        <w:ind w:firstLine="424" w:firstLineChars="200"/>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w:t>
      </w:r>
      <w:r>
        <w:rPr>
          <w:rFonts w:hint="eastAsia" w:ascii="宋体" w:hAnsi="宋体" w:eastAsia="宋体" w:cs="宋体"/>
          <w:b w:val="0"/>
          <w:bCs/>
          <w:color w:val="auto"/>
          <w:szCs w:val="21"/>
          <w:highlight w:val="none"/>
          <w:lang w:val="en-US" w:eastAsia="zh-CN"/>
        </w:rPr>
        <w:t>3</w:t>
      </w:r>
      <w:r>
        <w:rPr>
          <w:rFonts w:hint="eastAsia" w:ascii="宋体" w:hAnsi="宋体" w:eastAsia="宋体" w:cs="宋体"/>
          <w:b w:val="0"/>
          <w:bCs/>
          <w:color w:val="auto"/>
          <w:szCs w:val="21"/>
          <w:highlight w:val="none"/>
        </w:rPr>
        <w:t>)同一投标人提交两个以上不同的投标文件或者投标报价，但</w:t>
      </w:r>
      <w:r>
        <w:rPr>
          <w:rFonts w:hint="eastAsia" w:ascii="宋体" w:hAnsi="宋体" w:eastAsia="宋体" w:cs="宋体"/>
          <w:b w:val="0"/>
          <w:bCs/>
          <w:color w:val="auto"/>
          <w:szCs w:val="21"/>
          <w:highlight w:val="none"/>
          <w:lang w:eastAsia="zh-CN"/>
        </w:rPr>
        <w:t>采购文件</w:t>
      </w:r>
      <w:r>
        <w:rPr>
          <w:rFonts w:hint="eastAsia" w:ascii="宋体" w:hAnsi="宋体" w:eastAsia="宋体" w:cs="宋体"/>
          <w:b w:val="0"/>
          <w:bCs/>
          <w:color w:val="auto"/>
          <w:szCs w:val="21"/>
          <w:highlight w:val="none"/>
        </w:rPr>
        <w:t>规定提交备选方案的除外；</w:t>
      </w:r>
    </w:p>
    <w:p w14:paraId="14D68B67">
      <w:pPr>
        <w:shd w:val="clear" w:color="auto" w:fill="auto"/>
        <w:snapToGrid w:val="0"/>
        <w:spacing w:line="400" w:lineRule="exact"/>
        <w:ind w:firstLine="424" w:firstLineChars="200"/>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w:t>
      </w:r>
      <w:r>
        <w:rPr>
          <w:rFonts w:hint="eastAsia" w:ascii="宋体" w:hAnsi="宋体" w:eastAsia="宋体" w:cs="宋体"/>
          <w:b w:val="0"/>
          <w:bCs/>
          <w:color w:val="auto"/>
          <w:szCs w:val="21"/>
          <w:highlight w:val="none"/>
          <w:lang w:val="en-US" w:eastAsia="zh-CN"/>
        </w:rPr>
        <w:t>4</w:t>
      </w:r>
      <w:r>
        <w:rPr>
          <w:rFonts w:hint="eastAsia" w:ascii="宋体" w:hAnsi="宋体" w:eastAsia="宋体" w:cs="宋体"/>
          <w:b w:val="0"/>
          <w:bCs/>
          <w:color w:val="auto"/>
          <w:szCs w:val="21"/>
          <w:highlight w:val="none"/>
        </w:rPr>
        <w:t>)投标文件没有对</w:t>
      </w:r>
      <w:r>
        <w:rPr>
          <w:rFonts w:hint="eastAsia" w:ascii="宋体" w:hAnsi="宋体" w:eastAsia="宋体" w:cs="宋体"/>
          <w:b w:val="0"/>
          <w:bCs/>
          <w:color w:val="auto"/>
          <w:szCs w:val="21"/>
          <w:highlight w:val="none"/>
          <w:lang w:eastAsia="zh-CN"/>
        </w:rPr>
        <w:t>采购文件</w:t>
      </w:r>
      <w:r>
        <w:rPr>
          <w:rFonts w:hint="eastAsia" w:ascii="宋体" w:hAnsi="宋体" w:eastAsia="宋体" w:cs="宋体"/>
          <w:b w:val="0"/>
          <w:bCs/>
          <w:color w:val="auto"/>
          <w:szCs w:val="21"/>
          <w:highlight w:val="none"/>
        </w:rPr>
        <w:t>的实质性要求和条件作出响应;</w:t>
      </w:r>
    </w:p>
    <w:p w14:paraId="509747FD">
      <w:pPr>
        <w:shd w:val="clear" w:color="auto" w:fill="auto"/>
        <w:snapToGrid w:val="0"/>
        <w:spacing w:line="400" w:lineRule="exact"/>
        <w:ind w:firstLine="424" w:firstLineChars="200"/>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w:t>
      </w:r>
      <w:r>
        <w:rPr>
          <w:rFonts w:hint="eastAsia" w:ascii="宋体" w:hAnsi="宋体" w:eastAsia="宋体" w:cs="宋体"/>
          <w:b w:val="0"/>
          <w:bCs/>
          <w:color w:val="auto"/>
          <w:szCs w:val="21"/>
          <w:highlight w:val="none"/>
          <w:lang w:val="en-US" w:eastAsia="zh-CN"/>
        </w:rPr>
        <w:t>5</w:t>
      </w:r>
      <w:r>
        <w:rPr>
          <w:rFonts w:hint="eastAsia" w:ascii="宋体" w:hAnsi="宋体" w:eastAsia="宋体" w:cs="宋体"/>
          <w:b w:val="0"/>
          <w:bCs/>
          <w:color w:val="auto"/>
          <w:szCs w:val="21"/>
          <w:highlight w:val="none"/>
        </w:rPr>
        <w:t>)投标报价超出规定的投标限价或公布的采购预算的；注：投标人的投标报价各项单价均不得高于</w:t>
      </w:r>
      <w:r>
        <w:rPr>
          <w:rFonts w:hint="eastAsia" w:ascii="宋体" w:hAnsi="宋体" w:eastAsia="宋体" w:cs="宋体"/>
          <w:b w:val="0"/>
          <w:bCs/>
          <w:color w:val="auto"/>
          <w:szCs w:val="21"/>
          <w:highlight w:val="none"/>
          <w:lang w:eastAsia="zh-CN"/>
        </w:rPr>
        <w:t>招标文件</w:t>
      </w:r>
      <w:r>
        <w:rPr>
          <w:rFonts w:hint="eastAsia" w:ascii="宋体" w:hAnsi="宋体" w:eastAsia="宋体" w:cs="宋体"/>
          <w:b w:val="0"/>
          <w:bCs/>
          <w:color w:val="auto"/>
          <w:szCs w:val="21"/>
          <w:highlight w:val="none"/>
        </w:rPr>
        <w:t>给定的单价最高限价，否则，其投标文件将按无效投标处理。</w:t>
      </w:r>
    </w:p>
    <w:p w14:paraId="04453F09">
      <w:pPr>
        <w:shd w:val="clear" w:color="auto" w:fill="auto"/>
        <w:snapToGrid w:val="0"/>
        <w:spacing w:line="400" w:lineRule="exact"/>
        <w:ind w:firstLine="424" w:firstLineChars="200"/>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w:t>
      </w:r>
      <w:r>
        <w:rPr>
          <w:rFonts w:hint="eastAsia" w:ascii="宋体" w:hAnsi="宋体" w:eastAsia="宋体" w:cs="宋体"/>
          <w:b w:val="0"/>
          <w:bCs/>
          <w:color w:val="auto"/>
          <w:szCs w:val="21"/>
          <w:highlight w:val="none"/>
          <w:lang w:val="en-US" w:eastAsia="zh-CN"/>
        </w:rPr>
        <w:t>6</w:t>
      </w:r>
      <w:r>
        <w:rPr>
          <w:rFonts w:hint="eastAsia" w:ascii="宋体" w:hAnsi="宋体" w:eastAsia="宋体" w:cs="宋体"/>
          <w:b w:val="0"/>
          <w:bCs/>
          <w:color w:val="auto"/>
          <w:szCs w:val="21"/>
          <w:highlight w:val="none"/>
        </w:rPr>
        <w:t>)不按评标委员会要求澄清、说明或补正的，或者评标委员会根据</w:t>
      </w:r>
      <w:r>
        <w:rPr>
          <w:rFonts w:hint="eastAsia" w:ascii="宋体" w:hAnsi="宋体" w:eastAsia="宋体" w:cs="宋体"/>
          <w:b w:val="0"/>
          <w:bCs/>
          <w:color w:val="auto"/>
          <w:szCs w:val="21"/>
          <w:highlight w:val="none"/>
          <w:lang w:eastAsia="zh-CN"/>
        </w:rPr>
        <w:t>采购文件</w:t>
      </w:r>
      <w:r>
        <w:rPr>
          <w:rFonts w:hint="eastAsia" w:ascii="宋体" w:hAnsi="宋体" w:eastAsia="宋体" w:cs="宋体"/>
          <w:b w:val="0"/>
          <w:bCs/>
          <w:color w:val="auto"/>
          <w:szCs w:val="21"/>
          <w:highlight w:val="none"/>
        </w:rPr>
        <w:t>的规定对</w:t>
      </w:r>
      <w:r>
        <w:rPr>
          <w:rFonts w:hint="eastAsia" w:ascii="宋体" w:hAnsi="宋体" w:eastAsia="宋体" w:cs="宋体"/>
          <w:b w:val="0"/>
          <w:bCs/>
          <w:color w:val="auto"/>
          <w:szCs w:val="21"/>
          <w:highlight w:val="none"/>
          <w:lang w:eastAsia="zh-CN"/>
        </w:rPr>
        <w:t>采购文件</w:t>
      </w:r>
      <w:r>
        <w:rPr>
          <w:rFonts w:hint="eastAsia" w:ascii="宋体" w:hAnsi="宋体" w:eastAsia="宋体" w:cs="宋体"/>
          <w:b w:val="0"/>
          <w:bCs/>
          <w:color w:val="auto"/>
          <w:szCs w:val="21"/>
          <w:highlight w:val="none"/>
        </w:rPr>
        <w:t>的计算错误进行修正后，投标人不接受修正的投标报价的。</w:t>
      </w:r>
    </w:p>
    <w:p w14:paraId="13227AAB">
      <w:pPr>
        <w:shd w:val="clear" w:color="auto" w:fill="auto"/>
        <w:snapToGrid w:val="0"/>
        <w:spacing w:line="400" w:lineRule="exact"/>
        <w:ind w:firstLine="424" w:firstLineChars="200"/>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w:t>
      </w:r>
      <w:r>
        <w:rPr>
          <w:rFonts w:hint="eastAsia" w:ascii="宋体" w:hAnsi="宋体" w:eastAsia="宋体" w:cs="宋体"/>
          <w:b w:val="0"/>
          <w:bCs/>
          <w:color w:val="auto"/>
          <w:szCs w:val="21"/>
          <w:highlight w:val="none"/>
          <w:lang w:val="en-US" w:eastAsia="zh-CN"/>
        </w:rPr>
        <w:t>7</w:t>
      </w:r>
      <w:r>
        <w:rPr>
          <w:rFonts w:hint="eastAsia" w:ascii="宋体" w:hAnsi="宋体" w:eastAsia="宋体" w:cs="宋体"/>
          <w:b w:val="0"/>
          <w:bCs/>
          <w:color w:val="auto"/>
          <w:szCs w:val="21"/>
          <w:highlight w:val="none"/>
        </w:rPr>
        <w:t>）其它情形，经评标委员会委提出按无效投标处理，并经公共资源交易监督部门核准的；</w:t>
      </w:r>
    </w:p>
    <w:p w14:paraId="54F8203E">
      <w:pPr>
        <w:shd w:val="clear" w:color="auto" w:fill="auto"/>
        <w:snapToGrid w:val="0"/>
        <w:spacing w:line="400" w:lineRule="exact"/>
        <w:ind w:firstLine="424" w:firstLineChars="200"/>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w:t>
      </w:r>
      <w:r>
        <w:rPr>
          <w:rFonts w:hint="eastAsia" w:ascii="宋体" w:hAnsi="宋体" w:eastAsia="宋体" w:cs="宋体"/>
          <w:b w:val="0"/>
          <w:bCs/>
          <w:color w:val="auto"/>
          <w:szCs w:val="21"/>
          <w:highlight w:val="none"/>
          <w:lang w:val="en-US" w:eastAsia="zh-CN"/>
        </w:rPr>
        <w:t>8</w:t>
      </w:r>
      <w:r>
        <w:rPr>
          <w:rFonts w:hint="eastAsia" w:ascii="宋体" w:hAnsi="宋体" w:eastAsia="宋体" w:cs="宋体"/>
          <w:b w:val="0"/>
          <w:bCs/>
          <w:color w:val="auto"/>
          <w:szCs w:val="21"/>
          <w:highlight w:val="none"/>
        </w:rPr>
        <w:t>）未按照</w:t>
      </w:r>
      <w:r>
        <w:rPr>
          <w:rFonts w:hint="eastAsia" w:ascii="宋体" w:hAnsi="宋体" w:eastAsia="宋体" w:cs="宋体"/>
          <w:b w:val="0"/>
          <w:bCs/>
          <w:color w:val="auto"/>
          <w:szCs w:val="21"/>
          <w:highlight w:val="none"/>
          <w:lang w:eastAsia="zh-CN"/>
        </w:rPr>
        <w:t>招标文件</w:t>
      </w:r>
      <w:r>
        <w:rPr>
          <w:rFonts w:hint="eastAsia" w:ascii="宋体" w:hAnsi="宋体" w:eastAsia="宋体" w:cs="宋体"/>
          <w:b w:val="0"/>
          <w:bCs/>
          <w:color w:val="auto"/>
          <w:szCs w:val="21"/>
          <w:highlight w:val="none"/>
        </w:rPr>
        <w:t>的规定提交投标保证金的；</w:t>
      </w:r>
    </w:p>
    <w:p w14:paraId="7441F45A">
      <w:pPr>
        <w:shd w:val="clear" w:color="auto" w:fill="auto"/>
        <w:snapToGrid w:val="0"/>
        <w:spacing w:line="400" w:lineRule="exact"/>
        <w:ind w:firstLine="424" w:firstLineChars="200"/>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w:t>
      </w:r>
      <w:r>
        <w:rPr>
          <w:rFonts w:hint="eastAsia" w:ascii="宋体" w:hAnsi="宋体" w:eastAsia="宋体" w:cs="宋体"/>
          <w:b w:val="0"/>
          <w:bCs/>
          <w:color w:val="auto"/>
          <w:szCs w:val="21"/>
          <w:highlight w:val="none"/>
          <w:lang w:val="en-US" w:eastAsia="zh-CN"/>
        </w:rPr>
        <w:t>9</w:t>
      </w:r>
      <w:r>
        <w:rPr>
          <w:rFonts w:hint="eastAsia" w:ascii="宋体" w:hAnsi="宋体" w:eastAsia="宋体" w:cs="宋体"/>
          <w:b w:val="0"/>
          <w:bCs/>
          <w:color w:val="auto"/>
          <w:szCs w:val="21"/>
          <w:highlight w:val="none"/>
        </w:rPr>
        <w:t>）投标文件含有采购人不能接受的附加条件的;</w:t>
      </w:r>
    </w:p>
    <w:p w14:paraId="44D42A6C">
      <w:pPr>
        <w:shd w:val="clear" w:color="auto" w:fill="auto"/>
        <w:snapToGrid w:val="0"/>
        <w:spacing w:line="400" w:lineRule="exact"/>
        <w:ind w:firstLine="424" w:firstLineChars="200"/>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w:t>
      </w:r>
      <w:r>
        <w:rPr>
          <w:rFonts w:hint="eastAsia" w:ascii="宋体" w:hAnsi="宋体" w:eastAsia="宋体" w:cs="宋体"/>
          <w:b w:val="0"/>
          <w:bCs/>
          <w:color w:val="auto"/>
          <w:szCs w:val="21"/>
          <w:highlight w:val="none"/>
          <w:lang w:val="en-US" w:eastAsia="zh-CN"/>
        </w:rPr>
        <w:t>10</w:t>
      </w:r>
      <w:r>
        <w:rPr>
          <w:rFonts w:hint="eastAsia" w:ascii="宋体" w:hAnsi="宋体" w:eastAsia="宋体" w:cs="宋体"/>
          <w:b w:val="0"/>
          <w:bCs/>
          <w:color w:val="auto"/>
          <w:szCs w:val="21"/>
          <w:highlight w:val="none"/>
        </w:rPr>
        <w:t>）</w:t>
      </w:r>
      <w:r>
        <w:rPr>
          <w:rFonts w:hint="eastAsia" w:ascii="宋体" w:hAnsi="宋体" w:eastAsia="宋体" w:cs="宋体"/>
          <w:b w:val="0"/>
          <w:bCs/>
          <w:color w:val="auto"/>
          <w:szCs w:val="21"/>
          <w:highlight w:val="none"/>
          <w:lang w:eastAsia="zh-CN"/>
        </w:rPr>
        <w:t>采购文件</w:t>
      </w:r>
      <w:r>
        <w:rPr>
          <w:rFonts w:hint="eastAsia" w:ascii="宋体" w:hAnsi="宋体" w:eastAsia="宋体" w:cs="宋体"/>
          <w:b w:val="0"/>
          <w:bCs/>
          <w:color w:val="auto"/>
          <w:szCs w:val="21"/>
          <w:highlight w:val="none"/>
        </w:rPr>
        <w:t>规定的其它无效投标情形。</w:t>
      </w:r>
    </w:p>
    <w:p w14:paraId="576173DB">
      <w:pPr>
        <w:shd w:val="clear" w:color="auto" w:fill="auto"/>
        <w:snapToGrid w:val="0"/>
        <w:spacing w:line="400" w:lineRule="exact"/>
        <w:ind w:firstLine="424"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12</w:t>
      </w:r>
      <w:r>
        <w:rPr>
          <w:rFonts w:hint="eastAsia" w:ascii="宋体" w:hAnsi="宋体" w:cs="宋体"/>
          <w:color w:val="auto"/>
          <w:szCs w:val="21"/>
          <w:highlight w:val="none"/>
        </w:rPr>
        <w:t>.4 投标人有下列情形之一的, 详细评审后其投标按无效投标处理：</w:t>
      </w:r>
    </w:p>
    <w:p w14:paraId="7F7C69D2">
      <w:pPr>
        <w:shd w:val="clear" w:color="auto" w:fill="auto"/>
        <w:snapToGrid w:val="0"/>
        <w:spacing w:line="400" w:lineRule="exact"/>
        <w:ind w:firstLine="424"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投标产品不符合必须强制执行的国家标准的；</w:t>
      </w:r>
    </w:p>
    <w:p w14:paraId="39A03860">
      <w:pPr>
        <w:shd w:val="clear" w:color="auto" w:fill="auto"/>
        <w:snapToGrid w:val="0"/>
        <w:spacing w:line="400" w:lineRule="exact"/>
        <w:ind w:firstLine="424"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投标人有串通投标、弄虚作假、行贿等违法行为；</w:t>
      </w:r>
    </w:p>
    <w:p w14:paraId="26DD1B44">
      <w:pPr>
        <w:shd w:val="clear" w:color="auto" w:fill="auto"/>
        <w:snapToGrid w:val="0"/>
        <w:spacing w:line="400" w:lineRule="exact"/>
        <w:ind w:firstLine="424"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投标文件含有违反国家法律、法规的内容，或附有招标人不能接受的条件的；</w:t>
      </w:r>
    </w:p>
    <w:p w14:paraId="75F09524">
      <w:pPr>
        <w:shd w:val="clear" w:color="auto" w:fill="auto"/>
        <w:snapToGrid w:val="0"/>
        <w:spacing w:line="400" w:lineRule="exact"/>
        <w:ind w:firstLine="424"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在同一项目（或同一标段）中有多个投标人有效投标报价接近最高限价，且评标委员会认为报价出现异常的，可以宣布其投标无效；</w:t>
      </w:r>
    </w:p>
    <w:p w14:paraId="6948A768">
      <w:pPr>
        <w:shd w:val="clear" w:color="auto" w:fill="auto"/>
        <w:snapToGrid w:val="0"/>
        <w:spacing w:line="400" w:lineRule="exact"/>
        <w:ind w:firstLine="424"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（5）报价明显低于其他投标人，且不能证明报价合理性的投标无效；</w:t>
      </w:r>
    </w:p>
    <w:p w14:paraId="48894E10">
      <w:pPr>
        <w:shd w:val="clear" w:color="auto" w:fill="auto"/>
        <w:snapToGrid w:val="0"/>
        <w:spacing w:line="400" w:lineRule="exact"/>
        <w:ind w:firstLine="424"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（6）拒不确认评标委员会评审修正的投标无效；</w:t>
      </w:r>
    </w:p>
    <w:p w14:paraId="065A9F19">
      <w:pPr>
        <w:shd w:val="clear" w:color="auto" w:fill="auto"/>
        <w:snapToGrid w:val="0"/>
        <w:spacing w:line="400" w:lineRule="exact"/>
        <w:ind w:firstLine="424"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（7）其它情形，经评标委员会委提出按无效投标处理，并经公共资源交易监督部门核准的；</w:t>
      </w:r>
    </w:p>
    <w:p w14:paraId="63642C9E">
      <w:pPr>
        <w:ind w:firstLine="424" w:firstLineChars="200"/>
        <w:jc w:val="both"/>
        <w:rPr>
          <w:rFonts w:hint="eastAsia" w:ascii="Times New Roman" w:hAnsi="Times New Roman" w:eastAsia="宋体" w:cs="Times New Roman"/>
          <w:b/>
          <w:bCs/>
          <w:color w:val="auto"/>
          <w:sz w:val="32"/>
          <w:szCs w:val="40"/>
          <w:highlight w:val="none"/>
          <w:lang w:val="en-US" w:eastAsia="zh-CN"/>
        </w:rPr>
      </w:pPr>
      <w:r>
        <w:rPr>
          <w:rFonts w:hint="eastAsia" w:ascii="宋体" w:hAnsi="宋体" w:eastAsia="宋体" w:cs="宋体"/>
          <w:color w:val="auto"/>
          <w:szCs w:val="21"/>
          <w:highlight w:val="none"/>
        </w:rPr>
        <w:t>（8）</w:t>
      </w:r>
      <w:r>
        <w:rPr>
          <w:rFonts w:hint="eastAsia" w:ascii="宋体" w:hAnsi="宋体" w:eastAsia="宋体" w:cs="宋体"/>
          <w:color w:val="auto"/>
          <w:szCs w:val="21"/>
          <w:highlight w:val="none"/>
          <w:lang w:eastAsia="zh-CN"/>
        </w:rPr>
        <w:t>采购文件</w:t>
      </w:r>
      <w:r>
        <w:rPr>
          <w:rFonts w:hint="eastAsia" w:ascii="宋体" w:hAnsi="宋体" w:eastAsia="宋体" w:cs="宋体"/>
          <w:color w:val="auto"/>
          <w:szCs w:val="21"/>
          <w:highlight w:val="none"/>
        </w:rPr>
        <w:t>规定的其它无效投标情形。</w:t>
      </w:r>
      <w:bookmarkEnd w:id="105"/>
      <w:bookmarkEnd w:id="106"/>
      <w:bookmarkEnd w:id="110"/>
      <w:bookmarkStart w:id="113" w:name="OLE_LINK4"/>
    </w:p>
    <w:p w14:paraId="3C802A2B">
      <w:pPr>
        <w:jc w:val="center"/>
        <w:rPr>
          <w:rFonts w:hint="eastAsia" w:ascii="Times New Roman" w:hAnsi="Times New Roman" w:eastAsia="宋体" w:cs="Times New Roman"/>
          <w:b/>
          <w:bCs/>
          <w:color w:val="auto"/>
          <w:sz w:val="32"/>
          <w:szCs w:val="40"/>
          <w:highlight w:val="none"/>
          <w:lang w:val="en-US" w:eastAsia="zh-CN"/>
        </w:rPr>
        <w:sectPr>
          <w:footerReference r:id="rId6" w:type="default"/>
          <w:pgSz w:w="11905" w:h="16838"/>
          <w:pgMar w:top="1440" w:right="1797" w:bottom="1440" w:left="1797" w:header="850" w:footer="992" w:gutter="0"/>
          <w:pgNumType w:fmt="decimal" w:start="1"/>
          <w:cols w:space="0" w:num="1"/>
          <w:rtlGutter w:val="0"/>
          <w:docGrid w:type="linesAndChars" w:linePitch="332" w:charSpace="614"/>
        </w:sectPr>
      </w:pPr>
    </w:p>
    <w:p w14:paraId="16BBE312">
      <w:pPr>
        <w:shd w:val="clear"/>
        <w:jc w:val="center"/>
        <w:rPr>
          <w:rFonts w:hint="eastAsia" w:ascii="Times New Roman" w:hAnsi="Times New Roman" w:eastAsia="宋体" w:cs="Times New Roman"/>
          <w:b/>
          <w:bCs/>
          <w:color w:val="auto"/>
          <w:sz w:val="32"/>
          <w:szCs w:val="40"/>
          <w:highlight w:val="none"/>
          <w:lang w:val="en-US" w:eastAsia="zh-CN"/>
        </w:rPr>
      </w:pPr>
      <w:r>
        <w:rPr>
          <w:rFonts w:hint="eastAsia" w:ascii="Times New Roman" w:hAnsi="Times New Roman" w:eastAsia="宋体" w:cs="Times New Roman"/>
          <w:b/>
          <w:bCs/>
          <w:color w:val="auto"/>
          <w:sz w:val="32"/>
          <w:szCs w:val="40"/>
          <w:highlight w:val="none"/>
          <w:lang w:val="en-US" w:eastAsia="zh-CN"/>
        </w:rPr>
        <w:t>第四章、采购内容及技术要求</w:t>
      </w:r>
    </w:p>
    <w:p w14:paraId="23FA7E0B">
      <w:pPr>
        <w:pStyle w:val="10"/>
        <w:shd w:val="clear"/>
        <w:spacing w:before="18" w:line="231" w:lineRule="auto"/>
        <w:jc w:val="center"/>
        <w:rPr>
          <w:rFonts w:hint="eastAsia" w:eastAsia="宋体"/>
          <w:b/>
          <w:bCs/>
          <w:color w:val="auto"/>
          <w:spacing w:val="1"/>
          <w:sz w:val="28"/>
          <w:szCs w:val="28"/>
          <w:highlight w:val="none"/>
          <w:lang w:eastAsia="zh-CN"/>
        </w:rPr>
      </w:pPr>
      <w:r>
        <w:rPr>
          <w:rFonts w:hint="eastAsia"/>
          <w:b/>
          <w:bCs/>
          <w:color w:val="auto"/>
          <w:spacing w:val="1"/>
          <w:sz w:val="28"/>
          <w:szCs w:val="28"/>
          <w:highlight w:val="none"/>
          <w:lang w:eastAsia="zh-CN"/>
        </w:rPr>
        <w:t>阿图什市防灾减灾能力补短板-地震预警终端项目</w:t>
      </w:r>
    </w:p>
    <w:p w14:paraId="1C5F736D">
      <w:pPr>
        <w:pStyle w:val="10"/>
        <w:shd w:val="clear"/>
        <w:spacing w:before="18" w:line="231" w:lineRule="auto"/>
        <w:jc w:val="center"/>
        <w:rPr>
          <w:b/>
          <w:bCs/>
          <w:color w:val="auto"/>
          <w:spacing w:val="1"/>
          <w:sz w:val="28"/>
          <w:szCs w:val="28"/>
          <w:highlight w:val="none"/>
        </w:rPr>
      </w:pPr>
      <w:r>
        <w:rPr>
          <w:rFonts w:hint="eastAsia"/>
          <w:b/>
          <w:bCs/>
          <w:color w:val="auto"/>
          <w:spacing w:val="1"/>
          <w:sz w:val="28"/>
          <w:szCs w:val="28"/>
          <w:highlight w:val="none"/>
          <w:lang w:eastAsia="zh-CN"/>
        </w:rPr>
        <w:t>（</w:t>
      </w:r>
      <w:r>
        <w:rPr>
          <w:rFonts w:hint="eastAsia"/>
          <w:b/>
          <w:bCs/>
          <w:color w:val="auto"/>
          <w:spacing w:val="1"/>
          <w:sz w:val="28"/>
          <w:szCs w:val="28"/>
          <w:highlight w:val="none"/>
          <w:lang w:val="en-US" w:eastAsia="zh-CN"/>
        </w:rPr>
        <w:t>一包</w:t>
      </w:r>
      <w:r>
        <w:rPr>
          <w:rFonts w:hint="eastAsia"/>
          <w:b/>
          <w:bCs/>
          <w:color w:val="auto"/>
          <w:spacing w:val="1"/>
          <w:sz w:val="28"/>
          <w:szCs w:val="28"/>
          <w:highlight w:val="none"/>
          <w:lang w:eastAsia="zh-CN"/>
        </w:rPr>
        <w:t>）</w:t>
      </w:r>
      <w:r>
        <w:rPr>
          <w:rFonts w:hint="eastAsia"/>
          <w:b/>
          <w:bCs/>
          <w:color w:val="auto"/>
          <w:spacing w:val="1"/>
          <w:sz w:val="28"/>
          <w:szCs w:val="28"/>
          <w:highlight w:val="none"/>
        </w:rPr>
        <w:t>采购内容及技术要求</w:t>
      </w:r>
    </w:p>
    <w:p w14:paraId="1DE8F7E4">
      <w:pPr>
        <w:pStyle w:val="10"/>
        <w:shd w:val="clear"/>
        <w:spacing w:before="18" w:line="231" w:lineRule="auto"/>
        <w:rPr>
          <w:color w:val="auto"/>
          <w:sz w:val="23"/>
          <w:szCs w:val="23"/>
          <w:highlight w:val="none"/>
        </w:rPr>
      </w:pPr>
      <w:r>
        <w:rPr>
          <w:b/>
          <w:bCs/>
          <w:color w:val="auto"/>
          <w:spacing w:val="1"/>
          <w:sz w:val="23"/>
          <w:szCs w:val="23"/>
          <w:highlight w:val="none"/>
        </w:rPr>
        <w:t>一、技术要求</w:t>
      </w:r>
    </w:p>
    <w:p w14:paraId="1B892831">
      <w:pPr>
        <w:keepNext/>
        <w:keepLines/>
        <w:widowControl w:val="0"/>
        <w:numPr>
          <w:ilvl w:val="0"/>
          <w:numId w:val="0"/>
        </w:numPr>
        <w:bidi w:val="0"/>
        <w:spacing w:line="360" w:lineRule="auto"/>
        <w:ind w:left="0" w:leftChars="0" w:firstLine="0"/>
        <w:outlineLvl w:val="2"/>
        <w:rPr>
          <w:rFonts w:hint="eastAsia" w:ascii="楷体" w:hAnsi="楷体" w:eastAsia="仿宋" w:cs="楷体"/>
          <w:b/>
          <w:bCs/>
          <w:kern w:val="2"/>
          <w:sz w:val="22"/>
          <w:szCs w:val="22"/>
          <w:lang w:val="en-US" w:eastAsia="zh-CN" w:bidi="ar-SA"/>
        </w:rPr>
      </w:pPr>
      <w:r>
        <w:rPr>
          <w:rFonts w:hint="eastAsia" w:ascii="楷体" w:hAnsi="楷体" w:eastAsia="楷体" w:cs="楷体"/>
          <w:b/>
          <w:bCs/>
          <w:kern w:val="2"/>
          <w:sz w:val="22"/>
          <w:szCs w:val="22"/>
          <w:lang w:val="en-US" w:eastAsia="zh-CN" w:bidi="ar-SA"/>
        </w:rPr>
        <w:t>（一）阿图什地震预警专用物联网喇叭参数与性能指标要求</w:t>
      </w:r>
    </w:p>
    <w:tbl>
      <w:tblPr>
        <w:tblStyle w:val="29"/>
        <w:tblW w:w="93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1"/>
        <w:gridCol w:w="591"/>
        <w:gridCol w:w="615"/>
        <w:gridCol w:w="4635"/>
        <w:gridCol w:w="1503"/>
        <w:gridCol w:w="705"/>
        <w:gridCol w:w="705"/>
      </w:tblGrid>
      <w:tr w14:paraId="55E76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561" w:type="dxa"/>
            <w:noWrap w:val="0"/>
            <w:vAlign w:val="center"/>
          </w:tcPr>
          <w:p w14:paraId="1837F2A1">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eastAsia="zh-CN"/>
              </w:rPr>
            </w:pPr>
            <w:r>
              <w:rPr>
                <w:rFonts w:hint="eastAsia" w:ascii="楷体" w:hAnsi="楷体" w:eastAsia="楷体" w:cs="楷体"/>
                <w:color w:val="auto"/>
                <w:kern w:val="0"/>
                <w:sz w:val="21"/>
                <w:szCs w:val="21"/>
                <w:highlight w:val="none"/>
                <w:lang w:eastAsia="zh-CN" w:bidi="ar"/>
              </w:rPr>
              <w:t>序号</w:t>
            </w:r>
          </w:p>
        </w:tc>
        <w:tc>
          <w:tcPr>
            <w:tcW w:w="591" w:type="dxa"/>
            <w:noWrap w:val="0"/>
            <w:vAlign w:val="center"/>
          </w:tcPr>
          <w:p w14:paraId="512CFB38">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rPr>
            </w:pPr>
            <w:r>
              <w:rPr>
                <w:rFonts w:hint="eastAsia" w:ascii="楷体" w:hAnsi="楷体" w:eastAsia="楷体" w:cs="楷体"/>
                <w:color w:val="auto"/>
                <w:kern w:val="0"/>
                <w:sz w:val="21"/>
                <w:szCs w:val="21"/>
                <w:highlight w:val="none"/>
                <w:lang w:bidi="ar"/>
              </w:rPr>
              <w:t>技术要求</w:t>
            </w:r>
          </w:p>
        </w:tc>
        <w:tc>
          <w:tcPr>
            <w:tcW w:w="615" w:type="dxa"/>
            <w:noWrap w:val="0"/>
            <w:vAlign w:val="center"/>
          </w:tcPr>
          <w:p w14:paraId="3DDFC934">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kern w:val="0"/>
                <w:sz w:val="21"/>
                <w:szCs w:val="21"/>
                <w:highlight w:val="none"/>
                <w:lang w:eastAsia="zh-CN" w:bidi="ar"/>
              </w:rPr>
            </w:pPr>
            <w:r>
              <w:rPr>
                <w:rFonts w:hint="eastAsia" w:ascii="楷体" w:hAnsi="楷体" w:eastAsia="楷体" w:cs="楷体"/>
                <w:color w:val="auto"/>
                <w:kern w:val="0"/>
                <w:sz w:val="21"/>
                <w:szCs w:val="21"/>
                <w:highlight w:val="none"/>
                <w:lang w:eastAsia="zh-CN" w:bidi="ar"/>
              </w:rPr>
              <w:t>重要性</w:t>
            </w:r>
          </w:p>
        </w:tc>
        <w:tc>
          <w:tcPr>
            <w:tcW w:w="4635" w:type="dxa"/>
            <w:noWrap w:val="0"/>
            <w:vAlign w:val="center"/>
          </w:tcPr>
          <w:p w14:paraId="61116CCA">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评价标准</w:t>
            </w:r>
          </w:p>
        </w:tc>
        <w:tc>
          <w:tcPr>
            <w:tcW w:w="1503" w:type="dxa"/>
            <w:noWrap w:val="0"/>
            <w:vAlign w:val="center"/>
          </w:tcPr>
          <w:p w14:paraId="326A3671">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kern w:val="0"/>
                <w:sz w:val="21"/>
                <w:szCs w:val="21"/>
                <w:highlight w:val="none"/>
                <w:lang w:eastAsia="zh-CN" w:bidi="ar"/>
              </w:rPr>
            </w:pPr>
            <w:r>
              <w:rPr>
                <w:rFonts w:hint="eastAsia" w:ascii="楷体" w:hAnsi="楷体" w:eastAsia="楷体" w:cs="楷体"/>
                <w:color w:val="auto"/>
                <w:kern w:val="0"/>
                <w:sz w:val="21"/>
                <w:szCs w:val="21"/>
                <w:highlight w:val="none"/>
                <w:lang w:eastAsia="zh-CN" w:bidi="ar"/>
              </w:rPr>
              <w:t>证明材料</w:t>
            </w:r>
          </w:p>
        </w:tc>
        <w:tc>
          <w:tcPr>
            <w:tcW w:w="705" w:type="dxa"/>
            <w:noWrap w:val="0"/>
            <w:vAlign w:val="center"/>
          </w:tcPr>
          <w:p w14:paraId="16236599">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default" w:ascii="楷体" w:hAnsi="楷体" w:eastAsia="楷体" w:cs="楷体"/>
                <w:color w:val="auto"/>
                <w:kern w:val="0"/>
                <w:sz w:val="21"/>
                <w:szCs w:val="21"/>
                <w:highlight w:val="none"/>
                <w:lang w:val="en-US" w:eastAsia="zh-CN" w:bidi="ar"/>
              </w:rPr>
            </w:pPr>
            <w:r>
              <w:rPr>
                <w:rFonts w:hint="eastAsia" w:ascii="楷体" w:hAnsi="楷体" w:eastAsia="楷体" w:cs="楷体"/>
                <w:color w:val="auto"/>
                <w:kern w:val="0"/>
                <w:sz w:val="21"/>
                <w:szCs w:val="21"/>
                <w:highlight w:val="none"/>
                <w:lang w:val="en-US" w:eastAsia="zh-CN" w:bidi="ar"/>
              </w:rPr>
              <w:t>单位</w:t>
            </w:r>
          </w:p>
        </w:tc>
        <w:tc>
          <w:tcPr>
            <w:tcW w:w="705" w:type="dxa"/>
            <w:noWrap w:val="0"/>
            <w:vAlign w:val="center"/>
          </w:tcPr>
          <w:p w14:paraId="2C84FAF4">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default" w:ascii="楷体" w:hAnsi="楷体" w:eastAsia="楷体" w:cs="楷体"/>
                <w:color w:val="auto"/>
                <w:kern w:val="0"/>
                <w:sz w:val="21"/>
                <w:szCs w:val="21"/>
                <w:highlight w:val="none"/>
                <w:lang w:val="en-US" w:eastAsia="zh-CN" w:bidi="ar"/>
              </w:rPr>
            </w:pPr>
            <w:r>
              <w:rPr>
                <w:rFonts w:hint="eastAsia" w:ascii="楷体" w:hAnsi="楷体" w:eastAsia="楷体" w:cs="楷体"/>
                <w:color w:val="auto"/>
                <w:kern w:val="0"/>
                <w:sz w:val="21"/>
                <w:szCs w:val="21"/>
                <w:highlight w:val="none"/>
                <w:lang w:val="en-US" w:eastAsia="zh-CN" w:bidi="ar"/>
              </w:rPr>
              <w:t>数量</w:t>
            </w:r>
          </w:p>
        </w:tc>
      </w:tr>
      <w:tr w14:paraId="15DF9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noWrap w:val="0"/>
            <w:vAlign w:val="center"/>
          </w:tcPr>
          <w:p w14:paraId="5B861F43">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shd w:val="clear" w:color="auto" w:fill="auto"/>
                <w:lang w:val="en-US" w:eastAsia="zh-CN"/>
              </w:rPr>
            </w:pPr>
            <w:r>
              <w:rPr>
                <w:rFonts w:hint="eastAsia" w:ascii="楷体" w:hAnsi="楷体" w:eastAsia="楷体" w:cs="楷体"/>
                <w:color w:val="auto"/>
                <w:sz w:val="21"/>
                <w:szCs w:val="21"/>
                <w:highlight w:val="none"/>
                <w:shd w:val="clear" w:color="auto" w:fill="auto"/>
                <w:lang w:val="en-US" w:eastAsia="zh-CN"/>
              </w:rPr>
              <w:t>1</w:t>
            </w:r>
          </w:p>
        </w:tc>
        <w:tc>
          <w:tcPr>
            <w:tcW w:w="591" w:type="dxa"/>
            <w:noWrap w:val="0"/>
            <w:vAlign w:val="center"/>
          </w:tcPr>
          <w:p w14:paraId="5A1FAB9A">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shd w:val="clear" w:color="auto" w:fill="auto"/>
              </w:rPr>
            </w:pPr>
            <w:r>
              <w:rPr>
                <w:rFonts w:hint="eastAsia" w:ascii="楷体" w:hAnsi="楷体" w:eastAsia="楷体" w:cs="楷体"/>
                <w:color w:val="auto"/>
                <w:sz w:val="21"/>
                <w:szCs w:val="21"/>
                <w:highlight w:val="none"/>
                <w:shd w:val="clear" w:color="auto" w:fill="auto"/>
                <w:lang w:eastAsia="zh-CN"/>
              </w:rPr>
              <w:t>基本要求</w:t>
            </w:r>
          </w:p>
        </w:tc>
        <w:tc>
          <w:tcPr>
            <w:tcW w:w="615" w:type="dxa"/>
            <w:noWrap w:val="0"/>
            <w:vAlign w:val="center"/>
          </w:tcPr>
          <w:p w14:paraId="7FE2D8A3">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shd w:val="clear" w:color="auto" w:fill="auto"/>
              </w:rPr>
            </w:pPr>
            <w:r>
              <w:rPr>
                <w:rFonts w:hint="eastAsia" w:ascii="楷体" w:hAnsi="楷体" w:eastAsia="楷体" w:cs="楷体"/>
                <w:color w:val="auto"/>
                <w:sz w:val="21"/>
                <w:szCs w:val="21"/>
                <w:highlight w:val="none"/>
                <w:shd w:val="clear" w:color="auto" w:fill="auto"/>
                <w:lang w:val="en-US" w:eastAsia="zh-CN"/>
              </w:rPr>
              <w:t>★</w:t>
            </w:r>
          </w:p>
        </w:tc>
        <w:tc>
          <w:tcPr>
            <w:tcW w:w="4635" w:type="dxa"/>
            <w:noWrap w:val="0"/>
            <w:vAlign w:val="center"/>
          </w:tcPr>
          <w:p w14:paraId="516560C5">
            <w:pPr>
              <w:keepNext w:val="0"/>
              <w:keepLines w:val="0"/>
              <w:pageBreakBefore w:val="0"/>
              <w:widowControl/>
              <w:kinsoku/>
              <w:wordWrap/>
              <w:overflowPunct/>
              <w:topLinePunct w:val="0"/>
              <w:autoSpaceDE/>
              <w:autoSpaceDN/>
              <w:bidi w:val="0"/>
              <w:adjustRightInd/>
              <w:snapToGrid/>
              <w:spacing w:line="240" w:lineRule="auto"/>
              <w:ind w:firstLine="0" w:firstLineChars="0"/>
              <w:textAlignment w:val="center"/>
              <w:rPr>
                <w:rFonts w:hint="default" w:ascii="楷体" w:hAnsi="楷体" w:eastAsia="楷体" w:cs="楷体"/>
                <w:color w:val="auto"/>
                <w:kern w:val="0"/>
                <w:sz w:val="21"/>
                <w:szCs w:val="21"/>
                <w:highlight w:val="none"/>
                <w:shd w:val="clear" w:color="auto" w:fill="auto"/>
                <w:lang w:val="en-US" w:bidi="ar"/>
              </w:rPr>
            </w:pPr>
            <w:r>
              <w:rPr>
                <w:rFonts w:hint="default" w:ascii="楷体" w:hAnsi="楷体" w:eastAsia="楷体" w:cs="楷体"/>
                <w:color w:val="auto"/>
                <w:kern w:val="0"/>
                <w:sz w:val="21"/>
                <w:szCs w:val="21"/>
                <w:highlight w:val="none"/>
                <w:shd w:val="clear" w:color="auto" w:fill="auto"/>
                <w:lang w:val="en-US" w:bidi="ar"/>
              </w:rPr>
              <w:t>1、地震预警专用物联网喇叭具备与地震预警信息服务终端有线连接同步发布预警，当终端设备处于预警响应状态下时，预警相关服务优先级最高，预警服务所</w:t>
            </w:r>
            <w:r>
              <w:rPr>
                <w:rFonts w:hint="eastAsia" w:ascii="楷体" w:hAnsi="楷体" w:eastAsia="楷体" w:cs="楷体"/>
                <w:color w:val="auto"/>
                <w:kern w:val="0"/>
                <w:sz w:val="21"/>
                <w:szCs w:val="21"/>
                <w:highlight w:val="none"/>
                <w:shd w:val="clear" w:color="auto" w:fill="auto"/>
                <w:lang w:val="en-US" w:eastAsia="zh-CN" w:bidi="ar"/>
              </w:rPr>
              <w:t>有</w:t>
            </w:r>
            <w:r>
              <w:rPr>
                <w:rFonts w:hint="default" w:ascii="楷体" w:hAnsi="楷体" w:eastAsia="楷体" w:cs="楷体"/>
                <w:color w:val="auto"/>
                <w:kern w:val="0"/>
                <w:sz w:val="21"/>
                <w:szCs w:val="21"/>
                <w:highlight w:val="none"/>
                <w:shd w:val="clear" w:color="auto" w:fill="auto"/>
                <w:lang w:val="en-US" w:bidi="ar"/>
              </w:rPr>
              <w:t>声音、通讯等资源不得被其他应用占用；日常工作状态下外接喇叭处于静音状态。</w:t>
            </w:r>
          </w:p>
          <w:p w14:paraId="4220F24F">
            <w:pPr>
              <w:keepNext w:val="0"/>
              <w:keepLines w:val="0"/>
              <w:pageBreakBefore w:val="0"/>
              <w:widowControl/>
              <w:kinsoku/>
              <w:wordWrap/>
              <w:overflowPunct/>
              <w:topLinePunct w:val="0"/>
              <w:autoSpaceDE/>
              <w:autoSpaceDN/>
              <w:bidi w:val="0"/>
              <w:adjustRightInd/>
              <w:snapToGrid/>
              <w:spacing w:line="240" w:lineRule="auto"/>
              <w:ind w:firstLine="0" w:firstLineChars="0"/>
              <w:textAlignment w:val="center"/>
              <w:rPr>
                <w:rFonts w:hint="default" w:ascii="楷体" w:hAnsi="楷体" w:eastAsia="楷体" w:cs="楷体"/>
                <w:color w:val="auto"/>
                <w:kern w:val="0"/>
                <w:sz w:val="21"/>
                <w:szCs w:val="21"/>
                <w:highlight w:val="none"/>
                <w:shd w:val="clear" w:color="auto" w:fill="auto"/>
                <w:lang w:val="en-US" w:bidi="ar"/>
              </w:rPr>
            </w:pPr>
            <w:r>
              <w:rPr>
                <w:rFonts w:hint="default" w:ascii="楷体" w:hAnsi="楷体" w:eastAsia="楷体" w:cs="楷体"/>
                <w:color w:val="auto"/>
                <w:kern w:val="0"/>
                <w:sz w:val="21"/>
                <w:szCs w:val="21"/>
                <w:highlight w:val="none"/>
                <w:shd w:val="clear" w:color="auto" w:fill="auto"/>
                <w:lang w:val="en-US" w:bidi="ar"/>
              </w:rPr>
              <w:t>2、传输距离：有效预警声音信号传送距离≥400米。</w:t>
            </w:r>
          </w:p>
          <w:p w14:paraId="6795275B">
            <w:pPr>
              <w:keepNext w:val="0"/>
              <w:keepLines w:val="0"/>
              <w:pageBreakBefore w:val="0"/>
              <w:widowControl/>
              <w:kinsoku/>
              <w:wordWrap/>
              <w:overflowPunct/>
              <w:topLinePunct w:val="0"/>
              <w:autoSpaceDE/>
              <w:autoSpaceDN/>
              <w:bidi w:val="0"/>
              <w:adjustRightInd/>
              <w:snapToGrid/>
              <w:spacing w:line="240" w:lineRule="auto"/>
              <w:ind w:firstLine="0" w:firstLineChars="0"/>
              <w:textAlignment w:val="center"/>
              <w:rPr>
                <w:rFonts w:hint="default" w:ascii="楷体" w:hAnsi="楷体" w:eastAsia="楷体" w:cs="楷体"/>
                <w:color w:val="auto"/>
                <w:kern w:val="0"/>
                <w:sz w:val="21"/>
                <w:szCs w:val="21"/>
                <w:highlight w:val="none"/>
                <w:shd w:val="clear" w:color="auto" w:fill="auto"/>
                <w:lang w:val="en-US" w:bidi="ar"/>
              </w:rPr>
            </w:pPr>
            <w:r>
              <w:rPr>
                <w:rFonts w:hint="default" w:ascii="楷体" w:hAnsi="楷体" w:eastAsia="楷体" w:cs="楷体"/>
                <w:color w:val="auto"/>
                <w:kern w:val="0"/>
                <w:sz w:val="21"/>
                <w:szCs w:val="21"/>
                <w:highlight w:val="none"/>
                <w:shd w:val="clear" w:color="auto" w:fill="auto"/>
                <w:lang w:val="en-US" w:bidi="ar"/>
              </w:rPr>
              <w:t>3、远程管理功能：可通过移动端及PC端对终端进行远程管理，查看终端状态，配置和管理等远程控制；</w:t>
            </w:r>
          </w:p>
          <w:p w14:paraId="1A62EDA4">
            <w:pPr>
              <w:keepNext w:val="0"/>
              <w:keepLines w:val="0"/>
              <w:pageBreakBefore w:val="0"/>
              <w:widowControl/>
              <w:kinsoku/>
              <w:wordWrap/>
              <w:overflowPunct/>
              <w:topLinePunct w:val="0"/>
              <w:autoSpaceDE/>
              <w:autoSpaceDN/>
              <w:bidi w:val="0"/>
              <w:adjustRightInd/>
              <w:snapToGrid/>
              <w:spacing w:line="240" w:lineRule="auto"/>
              <w:ind w:firstLine="0" w:firstLineChars="0"/>
              <w:textAlignment w:val="center"/>
              <w:rPr>
                <w:rFonts w:hint="default" w:ascii="楷体" w:hAnsi="楷体" w:eastAsia="楷体" w:cs="楷体"/>
                <w:color w:val="auto"/>
                <w:kern w:val="0"/>
                <w:sz w:val="21"/>
                <w:szCs w:val="21"/>
                <w:highlight w:val="none"/>
                <w:shd w:val="clear" w:color="auto" w:fill="auto"/>
                <w:lang w:val="en-US" w:bidi="ar"/>
              </w:rPr>
            </w:pPr>
            <w:r>
              <w:rPr>
                <w:rFonts w:hint="default" w:ascii="楷体" w:hAnsi="楷体" w:eastAsia="楷体" w:cs="楷体"/>
                <w:color w:val="auto"/>
                <w:kern w:val="0"/>
                <w:sz w:val="21"/>
                <w:szCs w:val="21"/>
                <w:highlight w:val="none"/>
                <w:shd w:val="clear" w:color="auto" w:fill="auto"/>
                <w:lang w:val="en-US" w:bidi="ar"/>
              </w:rPr>
              <w:t>4、数量：1套含2个喇叭，每个喇叭功率≥100W</w:t>
            </w:r>
          </w:p>
        </w:tc>
        <w:tc>
          <w:tcPr>
            <w:tcW w:w="1503" w:type="dxa"/>
            <w:noWrap w:val="0"/>
            <w:vAlign w:val="center"/>
          </w:tcPr>
          <w:p w14:paraId="66CBAC4A">
            <w:pPr>
              <w:keepNext w:val="0"/>
              <w:keepLines w:val="0"/>
              <w:pageBreakBefore w:val="0"/>
              <w:widowControl/>
              <w:kinsoku/>
              <w:wordWrap/>
              <w:overflowPunct/>
              <w:topLinePunct w:val="0"/>
              <w:autoSpaceDE/>
              <w:autoSpaceDN/>
              <w:bidi w:val="0"/>
              <w:adjustRightInd/>
              <w:snapToGrid/>
              <w:spacing w:line="240" w:lineRule="auto"/>
              <w:ind w:firstLine="0" w:firstLineChars="0"/>
              <w:textAlignment w:val="center"/>
              <w:rPr>
                <w:rFonts w:hint="eastAsia" w:ascii="楷体" w:hAnsi="楷体" w:eastAsia="楷体" w:cs="楷体"/>
                <w:color w:val="auto"/>
                <w:sz w:val="21"/>
                <w:szCs w:val="21"/>
                <w:highlight w:val="none"/>
                <w:shd w:val="clear" w:color="auto" w:fill="auto"/>
                <w:lang w:val="en-US" w:eastAsia="zh-CN"/>
              </w:rPr>
            </w:pPr>
            <w:r>
              <w:rPr>
                <w:rFonts w:hint="eastAsia" w:ascii="楷体" w:hAnsi="楷体" w:eastAsia="楷体" w:cs="楷体"/>
                <w:color w:val="auto"/>
                <w:sz w:val="21"/>
                <w:szCs w:val="21"/>
                <w:highlight w:val="none"/>
                <w:shd w:val="clear" w:color="auto" w:fill="auto"/>
                <w:lang w:val="en-US" w:eastAsia="zh-CN"/>
              </w:rPr>
              <w:t>投标产品符合《中国地震预警网地震预警信息发布指南》和《国家地震烈度速报与预警工程项目紧急地震信息服务终端相关技术要求》等技术规范规定</w:t>
            </w:r>
          </w:p>
        </w:tc>
        <w:tc>
          <w:tcPr>
            <w:tcW w:w="705" w:type="dxa"/>
            <w:noWrap w:val="0"/>
            <w:vAlign w:val="center"/>
          </w:tcPr>
          <w:p w14:paraId="511109E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楷体" w:hAnsi="楷体" w:eastAsia="楷体" w:cs="楷体"/>
                <w:color w:val="auto"/>
                <w:sz w:val="21"/>
                <w:szCs w:val="21"/>
                <w:highlight w:val="none"/>
                <w:shd w:val="clear" w:color="auto" w:fill="auto"/>
                <w:lang w:val="en-US" w:eastAsia="zh-CN"/>
              </w:rPr>
            </w:pPr>
            <w:r>
              <w:rPr>
                <w:rFonts w:hint="eastAsia" w:ascii="楷体" w:hAnsi="楷体" w:eastAsia="楷体" w:cs="楷体"/>
                <w:color w:val="auto"/>
                <w:sz w:val="21"/>
                <w:szCs w:val="21"/>
                <w:highlight w:val="none"/>
                <w:shd w:val="clear" w:color="auto" w:fill="auto"/>
                <w:lang w:val="en-US" w:eastAsia="zh-CN"/>
              </w:rPr>
              <w:t>套</w:t>
            </w:r>
          </w:p>
        </w:tc>
        <w:tc>
          <w:tcPr>
            <w:tcW w:w="705" w:type="dxa"/>
            <w:noWrap w:val="0"/>
            <w:vAlign w:val="center"/>
          </w:tcPr>
          <w:p w14:paraId="225DDA8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楷体" w:hAnsi="楷体" w:eastAsia="楷体" w:cs="楷体"/>
                <w:color w:val="auto"/>
                <w:sz w:val="21"/>
                <w:szCs w:val="21"/>
                <w:highlight w:val="none"/>
                <w:shd w:val="clear" w:color="auto" w:fill="auto"/>
                <w:lang w:val="en-US" w:eastAsia="zh-CN"/>
              </w:rPr>
            </w:pPr>
            <w:r>
              <w:rPr>
                <w:rFonts w:hint="eastAsia" w:ascii="楷体" w:hAnsi="楷体" w:eastAsia="楷体" w:cs="楷体"/>
                <w:color w:val="auto"/>
                <w:sz w:val="21"/>
                <w:szCs w:val="21"/>
                <w:highlight w:val="none"/>
                <w:shd w:val="clear" w:color="auto" w:fill="auto"/>
                <w:lang w:val="en-US" w:eastAsia="zh-CN"/>
              </w:rPr>
              <w:t>180</w:t>
            </w:r>
          </w:p>
        </w:tc>
      </w:tr>
    </w:tbl>
    <w:p w14:paraId="6C402C11">
      <w:pPr>
        <w:keepNext/>
        <w:keepLines/>
        <w:widowControl w:val="0"/>
        <w:numPr>
          <w:ilvl w:val="0"/>
          <w:numId w:val="0"/>
        </w:numPr>
        <w:bidi w:val="0"/>
        <w:spacing w:line="360" w:lineRule="auto"/>
        <w:ind w:left="0" w:leftChars="0" w:firstLine="0"/>
        <w:outlineLvl w:val="2"/>
        <w:rPr>
          <w:rFonts w:hint="eastAsia" w:ascii="楷体" w:hAnsi="楷体" w:eastAsia="楷体" w:cs="楷体"/>
          <w:b/>
          <w:bCs/>
          <w:kern w:val="2"/>
          <w:sz w:val="21"/>
          <w:szCs w:val="21"/>
          <w:lang w:val="en-US" w:eastAsia="zh-CN" w:bidi="ar-SA"/>
        </w:rPr>
      </w:pPr>
    </w:p>
    <w:p w14:paraId="6ED2ECD0">
      <w:pPr>
        <w:keepNext/>
        <w:keepLines/>
        <w:widowControl w:val="0"/>
        <w:numPr>
          <w:ilvl w:val="0"/>
          <w:numId w:val="0"/>
        </w:numPr>
        <w:bidi w:val="0"/>
        <w:spacing w:line="360" w:lineRule="auto"/>
        <w:ind w:left="0" w:leftChars="0" w:firstLine="0"/>
        <w:outlineLvl w:val="2"/>
        <w:rPr>
          <w:rFonts w:hint="eastAsia" w:ascii="楷体" w:hAnsi="楷体" w:eastAsia="楷体" w:cs="楷体"/>
          <w:b/>
          <w:bCs/>
          <w:kern w:val="2"/>
          <w:sz w:val="22"/>
          <w:szCs w:val="22"/>
          <w:lang w:val="en-US" w:eastAsia="zh-CN" w:bidi="ar-SA"/>
        </w:rPr>
      </w:pPr>
      <w:r>
        <w:rPr>
          <w:rFonts w:hint="eastAsia" w:ascii="楷体" w:hAnsi="楷体" w:eastAsia="楷体" w:cs="楷体"/>
          <w:b/>
          <w:bCs/>
          <w:kern w:val="2"/>
          <w:sz w:val="22"/>
          <w:szCs w:val="22"/>
          <w:lang w:val="en-US" w:eastAsia="zh-CN" w:bidi="ar-SA"/>
        </w:rPr>
        <w:t>（二）地震预警信息服务终端技术参数与性能指标要求 落地式地震信息服务终端系统</w:t>
      </w:r>
    </w:p>
    <w:tbl>
      <w:tblPr>
        <w:tblStyle w:val="29"/>
        <w:tblW w:w="9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1"/>
        <w:gridCol w:w="754"/>
        <w:gridCol w:w="690"/>
        <w:gridCol w:w="4305"/>
        <w:gridCol w:w="2213"/>
        <w:gridCol w:w="619"/>
        <w:gridCol w:w="619"/>
      </w:tblGrid>
      <w:tr w14:paraId="5D75E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561" w:type="dxa"/>
            <w:noWrap w:val="0"/>
            <w:vAlign w:val="center"/>
          </w:tcPr>
          <w:p w14:paraId="24EAED50">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eastAsia="zh-CN"/>
              </w:rPr>
            </w:pPr>
            <w:r>
              <w:rPr>
                <w:rFonts w:hint="eastAsia" w:ascii="楷体" w:hAnsi="楷体" w:eastAsia="楷体" w:cs="楷体"/>
                <w:color w:val="auto"/>
                <w:kern w:val="0"/>
                <w:sz w:val="21"/>
                <w:szCs w:val="21"/>
                <w:highlight w:val="none"/>
                <w:lang w:eastAsia="zh-CN" w:bidi="ar"/>
              </w:rPr>
              <w:t>序号</w:t>
            </w:r>
          </w:p>
        </w:tc>
        <w:tc>
          <w:tcPr>
            <w:tcW w:w="754" w:type="dxa"/>
            <w:noWrap w:val="0"/>
            <w:vAlign w:val="center"/>
          </w:tcPr>
          <w:p w14:paraId="5FF11029">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rPr>
            </w:pPr>
            <w:r>
              <w:rPr>
                <w:rFonts w:hint="eastAsia" w:ascii="楷体" w:hAnsi="楷体" w:eastAsia="楷体" w:cs="楷体"/>
                <w:color w:val="auto"/>
                <w:kern w:val="0"/>
                <w:sz w:val="21"/>
                <w:szCs w:val="21"/>
                <w:highlight w:val="none"/>
                <w:lang w:bidi="ar"/>
              </w:rPr>
              <w:t>技术要求</w:t>
            </w:r>
          </w:p>
        </w:tc>
        <w:tc>
          <w:tcPr>
            <w:tcW w:w="690" w:type="dxa"/>
            <w:noWrap w:val="0"/>
            <w:vAlign w:val="center"/>
          </w:tcPr>
          <w:p w14:paraId="5893C77A">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kern w:val="0"/>
                <w:sz w:val="21"/>
                <w:szCs w:val="21"/>
                <w:highlight w:val="none"/>
                <w:lang w:eastAsia="zh-CN" w:bidi="ar"/>
              </w:rPr>
            </w:pPr>
            <w:r>
              <w:rPr>
                <w:rFonts w:hint="eastAsia" w:ascii="楷体" w:hAnsi="楷体" w:eastAsia="楷体" w:cs="楷体"/>
                <w:color w:val="auto"/>
                <w:kern w:val="0"/>
                <w:sz w:val="21"/>
                <w:szCs w:val="21"/>
                <w:highlight w:val="none"/>
                <w:lang w:eastAsia="zh-CN" w:bidi="ar"/>
              </w:rPr>
              <w:t>重要性</w:t>
            </w:r>
          </w:p>
        </w:tc>
        <w:tc>
          <w:tcPr>
            <w:tcW w:w="4305" w:type="dxa"/>
            <w:noWrap w:val="0"/>
            <w:vAlign w:val="center"/>
          </w:tcPr>
          <w:p w14:paraId="0B12F761">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评价标准</w:t>
            </w:r>
          </w:p>
        </w:tc>
        <w:tc>
          <w:tcPr>
            <w:tcW w:w="2213" w:type="dxa"/>
            <w:noWrap w:val="0"/>
            <w:vAlign w:val="center"/>
          </w:tcPr>
          <w:p w14:paraId="240DD721">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kern w:val="0"/>
                <w:sz w:val="21"/>
                <w:szCs w:val="21"/>
                <w:highlight w:val="none"/>
                <w:lang w:eastAsia="zh-CN" w:bidi="ar"/>
              </w:rPr>
            </w:pPr>
            <w:r>
              <w:rPr>
                <w:rFonts w:hint="eastAsia" w:ascii="楷体" w:hAnsi="楷体" w:eastAsia="楷体" w:cs="楷体"/>
                <w:color w:val="auto"/>
                <w:kern w:val="0"/>
                <w:sz w:val="21"/>
                <w:szCs w:val="21"/>
                <w:highlight w:val="none"/>
                <w:lang w:eastAsia="zh-CN" w:bidi="ar"/>
              </w:rPr>
              <w:t>证明材料</w:t>
            </w:r>
          </w:p>
        </w:tc>
        <w:tc>
          <w:tcPr>
            <w:tcW w:w="619" w:type="dxa"/>
            <w:noWrap w:val="0"/>
            <w:vAlign w:val="center"/>
          </w:tcPr>
          <w:p w14:paraId="236D7986">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default" w:ascii="楷体" w:hAnsi="楷体" w:eastAsia="楷体" w:cs="楷体"/>
                <w:color w:val="auto"/>
                <w:kern w:val="0"/>
                <w:sz w:val="21"/>
                <w:szCs w:val="21"/>
                <w:highlight w:val="none"/>
                <w:lang w:val="en-US" w:eastAsia="zh-CN" w:bidi="ar"/>
              </w:rPr>
            </w:pPr>
            <w:r>
              <w:rPr>
                <w:rFonts w:hint="eastAsia" w:ascii="楷体" w:hAnsi="楷体" w:eastAsia="楷体" w:cs="楷体"/>
                <w:color w:val="auto"/>
                <w:kern w:val="0"/>
                <w:sz w:val="21"/>
                <w:szCs w:val="21"/>
                <w:highlight w:val="none"/>
                <w:lang w:val="en-US" w:eastAsia="zh-CN" w:bidi="ar"/>
              </w:rPr>
              <w:t>单位</w:t>
            </w:r>
          </w:p>
        </w:tc>
        <w:tc>
          <w:tcPr>
            <w:tcW w:w="619" w:type="dxa"/>
            <w:noWrap w:val="0"/>
            <w:vAlign w:val="center"/>
          </w:tcPr>
          <w:p w14:paraId="185A1CAB">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default" w:ascii="楷体" w:hAnsi="楷体" w:eastAsia="楷体" w:cs="楷体"/>
                <w:color w:val="auto"/>
                <w:kern w:val="0"/>
                <w:sz w:val="21"/>
                <w:szCs w:val="21"/>
                <w:highlight w:val="none"/>
                <w:lang w:val="en-US" w:eastAsia="zh-CN" w:bidi="ar"/>
              </w:rPr>
            </w:pPr>
            <w:r>
              <w:rPr>
                <w:rFonts w:hint="eastAsia" w:ascii="楷体" w:hAnsi="楷体" w:eastAsia="楷体" w:cs="楷体"/>
                <w:color w:val="auto"/>
                <w:kern w:val="0"/>
                <w:sz w:val="21"/>
                <w:szCs w:val="21"/>
                <w:highlight w:val="none"/>
                <w:lang w:val="en-US" w:eastAsia="zh-CN" w:bidi="ar"/>
              </w:rPr>
              <w:t>数量</w:t>
            </w:r>
          </w:p>
        </w:tc>
      </w:tr>
      <w:tr w14:paraId="78288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noWrap w:val="0"/>
            <w:vAlign w:val="center"/>
          </w:tcPr>
          <w:p w14:paraId="07D8A4A0">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shd w:val="clear" w:color="auto" w:fill="auto"/>
                <w:lang w:val="en-US" w:eastAsia="zh-CN"/>
              </w:rPr>
            </w:pPr>
            <w:r>
              <w:rPr>
                <w:rFonts w:hint="eastAsia" w:ascii="楷体" w:hAnsi="楷体" w:eastAsia="楷体" w:cs="楷体"/>
                <w:color w:val="auto"/>
                <w:sz w:val="21"/>
                <w:szCs w:val="21"/>
                <w:highlight w:val="none"/>
                <w:shd w:val="clear" w:color="auto" w:fill="auto"/>
                <w:lang w:val="en-US" w:eastAsia="zh-CN"/>
              </w:rPr>
              <w:t>1</w:t>
            </w:r>
          </w:p>
        </w:tc>
        <w:tc>
          <w:tcPr>
            <w:tcW w:w="754" w:type="dxa"/>
            <w:noWrap w:val="0"/>
            <w:vAlign w:val="center"/>
          </w:tcPr>
          <w:p w14:paraId="509826C0">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shd w:val="clear" w:color="auto" w:fill="auto"/>
              </w:rPr>
            </w:pPr>
            <w:r>
              <w:rPr>
                <w:rFonts w:hint="eastAsia" w:ascii="楷体" w:hAnsi="楷体" w:eastAsia="楷体" w:cs="楷体"/>
                <w:color w:val="auto"/>
                <w:sz w:val="21"/>
                <w:szCs w:val="21"/>
                <w:highlight w:val="none"/>
                <w:shd w:val="clear" w:color="auto" w:fill="auto"/>
                <w:lang w:eastAsia="zh-CN"/>
              </w:rPr>
              <w:t>基本要求</w:t>
            </w:r>
          </w:p>
        </w:tc>
        <w:tc>
          <w:tcPr>
            <w:tcW w:w="690" w:type="dxa"/>
            <w:noWrap w:val="0"/>
            <w:vAlign w:val="center"/>
          </w:tcPr>
          <w:p w14:paraId="25595EDE">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shd w:val="clear" w:color="auto" w:fill="auto"/>
              </w:rPr>
            </w:pPr>
            <w:r>
              <w:rPr>
                <w:rFonts w:hint="eastAsia" w:ascii="楷体" w:hAnsi="楷体" w:eastAsia="楷体" w:cs="楷体"/>
                <w:color w:val="auto"/>
                <w:sz w:val="21"/>
                <w:szCs w:val="21"/>
                <w:highlight w:val="none"/>
                <w:shd w:val="clear" w:color="auto" w:fill="auto"/>
                <w:lang w:val="en-US" w:eastAsia="zh-CN"/>
              </w:rPr>
              <w:t>★</w:t>
            </w:r>
          </w:p>
        </w:tc>
        <w:tc>
          <w:tcPr>
            <w:tcW w:w="4305" w:type="dxa"/>
            <w:noWrap w:val="0"/>
            <w:vAlign w:val="center"/>
          </w:tcPr>
          <w:p w14:paraId="667175D8">
            <w:pPr>
              <w:widowControl w:val="0"/>
              <w:spacing w:line="240" w:lineRule="auto"/>
              <w:ind w:firstLine="0" w:firstLineChars="0"/>
              <w:jc w:val="both"/>
              <w:rPr>
                <w:rFonts w:hint="eastAsia" w:ascii="楷体" w:hAnsi="楷体" w:eastAsia="楷体" w:cs="楷体"/>
                <w:color w:val="auto"/>
                <w:kern w:val="2"/>
                <w:sz w:val="21"/>
                <w:szCs w:val="21"/>
                <w:highlight w:val="none"/>
                <w:shd w:val="clear" w:color="auto" w:fill="auto"/>
                <w:lang w:val="en-US" w:eastAsia="zh-CN" w:bidi="ar-SA"/>
              </w:rPr>
            </w:pPr>
            <w:r>
              <w:rPr>
                <w:rFonts w:hint="eastAsia" w:ascii="楷体" w:hAnsi="楷体" w:eastAsia="楷体" w:cs="楷体"/>
                <w:color w:val="auto"/>
                <w:kern w:val="2"/>
                <w:sz w:val="21"/>
                <w:szCs w:val="21"/>
                <w:highlight w:val="none"/>
                <w:shd w:val="clear" w:color="auto" w:fill="auto"/>
                <w:lang w:val="en-US" w:eastAsia="zh-CN" w:bidi="ar-SA"/>
              </w:rPr>
              <w:t>1、符合《中国地震预警网地震预警信息发布指南》和《国家地震烈度速报与预警工程项目紧急地震信息服务终端相关技术要求》等技术规范规定的通信协议和信息结构，对紧急信息服务平台的各类信息进行解析和处置；</w:t>
            </w:r>
          </w:p>
          <w:p w14:paraId="5CF225B9">
            <w:pPr>
              <w:spacing w:line="240" w:lineRule="auto"/>
              <w:ind w:left="0" w:leftChars="0" w:firstLine="0" w:firstLineChars="0"/>
              <w:jc w:val="left"/>
              <w:rPr>
                <w:rFonts w:hint="eastAsia" w:ascii="楷体" w:hAnsi="楷体" w:eastAsia="楷体" w:cs="楷体"/>
                <w:color w:val="auto"/>
                <w:sz w:val="21"/>
                <w:szCs w:val="21"/>
                <w:highlight w:val="none"/>
                <w:shd w:val="clear" w:color="auto" w:fill="auto"/>
              </w:rPr>
            </w:pPr>
            <w:r>
              <w:rPr>
                <w:rFonts w:hint="eastAsia" w:ascii="楷体" w:hAnsi="楷体" w:eastAsia="楷体" w:cs="楷体"/>
                <w:color w:val="auto"/>
                <w:sz w:val="21"/>
                <w:szCs w:val="21"/>
                <w:highlight w:val="none"/>
                <w:shd w:val="clear" w:color="auto" w:fill="auto"/>
                <w:lang w:val="en-US" w:eastAsia="zh-CN"/>
              </w:rPr>
              <w:t>2、</w:t>
            </w:r>
            <w:r>
              <w:rPr>
                <w:rFonts w:hint="eastAsia" w:ascii="楷体" w:hAnsi="楷体" w:eastAsia="楷体" w:cs="楷体"/>
                <w:color w:val="auto"/>
                <w:sz w:val="21"/>
                <w:szCs w:val="21"/>
                <w:highlight w:val="none"/>
                <w:shd w:val="clear" w:color="auto" w:fill="auto"/>
              </w:rPr>
              <w:t>屏幕≥</w:t>
            </w:r>
            <w:r>
              <w:rPr>
                <w:rFonts w:hint="eastAsia" w:ascii="楷体" w:hAnsi="楷体" w:eastAsia="楷体" w:cs="楷体"/>
                <w:color w:val="auto"/>
                <w:sz w:val="21"/>
                <w:szCs w:val="21"/>
                <w:highlight w:val="none"/>
                <w:shd w:val="clear" w:color="auto" w:fill="auto"/>
                <w:lang w:val="en-US" w:eastAsia="zh-CN"/>
              </w:rPr>
              <w:t>43</w:t>
            </w:r>
            <w:r>
              <w:rPr>
                <w:rFonts w:hint="eastAsia" w:ascii="楷体" w:hAnsi="楷体" w:eastAsia="楷体" w:cs="楷体"/>
                <w:color w:val="auto"/>
                <w:sz w:val="21"/>
                <w:szCs w:val="21"/>
                <w:highlight w:val="none"/>
                <w:shd w:val="clear" w:color="auto" w:fill="auto"/>
              </w:rPr>
              <w:t>英寸，LED背光，亮度≥400cd/m2；</w:t>
            </w:r>
          </w:p>
          <w:p w14:paraId="7F108138">
            <w:pPr>
              <w:spacing w:line="240" w:lineRule="auto"/>
              <w:ind w:left="0" w:leftChars="0" w:firstLine="0" w:firstLineChars="0"/>
              <w:jc w:val="left"/>
              <w:rPr>
                <w:rFonts w:hint="eastAsia" w:ascii="楷体" w:hAnsi="楷体" w:eastAsia="楷体" w:cs="楷体"/>
                <w:color w:val="auto"/>
                <w:sz w:val="21"/>
                <w:szCs w:val="21"/>
                <w:highlight w:val="none"/>
                <w:shd w:val="clear" w:color="auto" w:fill="auto"/>
              </w:rPr>
            </w:pPr>
            <w:r>
              <w:rPr>
                <w:rFonts w:hint="eastAsia" w:ascii="楷体" w:hAnsi="楷体" w:eastAsia="楷体" w:cs="楷体"/>
                <w:color w:val="auto"/>
                <w:sz w:val="21"/>
                <w:szCs w:val="21"/>
                <w:highlight w:val="none"/>
                <w:shd w:val="clear" w:color="auto" w:fill="auto"/>
                <w:lang w:val="en-US" w:eastAsia="zh-CN"/>
              </w:rPr>
              <w:t>3、</w:t>
            </w:r>
            <w:r>
              <w:rPr>
                <w:rFonts w:hint="eastAsia" w:ascii="楷体" w:hAnsi="楷体" w:eastAsia="楷体" w:cs="楷体"/>
                <w:color w:val="auto"/>
                <w:sz w:val="21"/>
                <w:szCs w:val="21"/>
                <w:highlight w:val="none"/>
                <w:shd w:val="clear" w:color="auto" w:fill="auto"/>
              </w:rPr>
              <w:t>分辨率≥1920*1080像素；</w:t>
            </w:r>
          </w:p>
          <w:p w14:paraId="732B5532">
            <w:pPr>
              <w:keepNext w:val="0"/>
              <w:keepLines w:val="0"/>
              <w:pageBreakBefore w:val="0"/>
              <w:widowControl/>
              <w:kinsoku/>
              <w:wordWrap/>
              <w:overflowPunct/>
              <w:topLinePunct w:val="0"/>
              <w:autoSpaceDE/>
              <w:autoSpaceDN/>
              <w:bidi w:val="0"/>
              <w:adjustRightInd/>
              <w:snapToGrid/>
              <w:spacing w:line="240" w:lineRule="auto"/>
              <w:ind w:firstLine="0" w:firstLineChars="0"/>
              <w:textAlignment w:val="center"/>
              <w:rPr>
                <w:rFonts w:hint="eastAsia" w:ascii="楷体" w:hAnsi="楷体" w:eastAsia="楷体" w:cs="楷体"/>
                <w:color w:val="auto"/>
                <w:kern w:val="0"/>
                <w:sz w:val="21"/>
                <w:szCs w:val="21"/>
                <w:highlight w:val="none"/>
                <w:shd w:val="clear" w:color="auto" w:fill="auto"/>
                <w:lang w:bidi="ar"/>
              </w:rPr>
            </w:pPr>
            <w:r>
              <w:rPr>
                <w:rFonts w:hint="eastAsia" w:ascii="楷体" w:hAnsi="楷体" w:eastAsia="楷体" w:cs="楷体"/>
                <w:color w:val="auto"/>
                <w:sz w:val="21"/>
                <w:szCs w:val="21"/>
                <w:highlight w:val="none"/>
                <w:shd w:val="clear" w:color="auto" w:fill="auto"/>
                <w:lang w:val="en-US" w:eastAsia="zh-CN"/>
              </w:rPr>
              <w:t>4、提供电信/移动/联通4G以上物联网卡一张，含五年通讯费。</w:t>
            </w:r>
          </w:p>
        </w:tc>
        <w:tc>
          <w:tcPr>
            <w:tcW w:w="2213" w:type="dxa"/>
            <w:noWrap w:val="0"/>
            <w:vAlign w:val="center"/>
          </w:tcPr>
          <w:p w14:paraId="04BA270F">
            <w:pPr>
              <w:keepNext w:val="0"/>
              <w:keepLines w:val="0"/>
              <w:pageBreakBefore w:val="0"/>
              <w:widowControl/>
              <w:kinsoku/>
              <w:wordWrap/>
              <w:overflowPunct/>
              <w:topLinePunct w:val="0"/>
              <w:autoSpaceDE/>
              <w:autoSpaceDN/>
              <w:bidi w:val="0"/>
              <w:adjustRightInd/>
              <w:snapToGrid/>
              <w:spacing w:line="240" w:lineRule="auto"/>
              <w:ind w:firstLine="0" w:firstLineChars="0"/>
              <w:textAlignment w:val="center"/>
              <w:rPr>
                <w:rFonts w:hint="eastAsia" w:ascii="楷体" w:hAnsi="楷体" w:eastAsia="楷体" w:cs="楷体"/>
                <w:color w:val="auto"/>
                <w:sz w:val="21"/>
                <w:szCs w:val="21"/>
                <w:highlight w:val="none"/>
                <w:shd w:val="clear" w:color="auto" w:fill="auto"/>
                <w:lang w:val="en-US" w:eastAsia="zh-CN"/>
              </w:rPr>
            </w:pPr>
            <w:r>
              <w:rPr>
                <w:rFonts w:hint="eastAsia" w:ascii="楷体" w:hAnsi="楷体" w:eastAsia="楷体" w:cs="楷体"/>
                <w:color w:val="auto"/>
                <w:sz w:val="21"/>
                <w:szCs w:val="21"/>
                <w:highlight w:val="none"/>
                <w:shd w:val="clear" w:color="auto" w:fill="auto"/>
                <w:lang w:eastAsia="zh-CN"/>
              </w:rPr>
              <w:t>提供《地震监测专业设备定型结果》或定型检测报告；或</w:t>
            </w:r>
            <w:r>
              <w:rPr>
                <w:rFonts w:hint="eastAsia" w:ascii="楷体" w:hAnsi="楷体" w:eastAsia="楷体" w:cs="楷体"/>
                <w:color w:val="auto"/>
                <w:sz w:val="21"/>
                <w:szCs w:val="21"/>
                <w:highlight w:val="none"/>
                <w:shd w:val="clear" w:color="auto" w:fill="auto"/>
              </w:rPr>
              <w:t>结构原理图、照片、测试报告等证明材料</w:t>
            </w:r>
            <w:r>
              <w:rPr>
                <w:rFonts w:hint="eastAsia" w:ascii="楷体" w:hAnsi="楷体" w:eastAsia="楷体" w:cs="楷体"/>
                <w:color w:val="auto"/>
                <w:sz w:val="21"/>
                <w:szCs w:val="21"/>
                <w:highlight w:val="none"/>
                <w:shd w:val="clear" w:color="auto" w:fill="auto"/>
                <w:lang w:eastAsia="zh-CN"/>
              </w:rPr>
              <w:t>；或</w:t>
            </w:r>
            <w:r>
              <w:rPr>
                <w:rFonts w:hint="eastAsia" w:ascii="楷体" w:hAnsi="楷体" w:eastAsia="楷体" w:cs="楷体"/>
                <w:color w:val="auto"/>
                <w:sz w:val="21"/>
                <w:szCs w:val="21"/>
                <w:highlight w:val="none"/>
                <w:shd w:val="clear" w:color="auto" w:fill="auto"/>
              </w:rPr>
              <w:t>以中国地震局检测机构、中国地震台网中心或省级地震局出具的证明</w:t>
            </w:r>
          </w:p>
        </w:tc>
        <w:tc>
          <w:tcPr>
            <w:tcW w:w="619" w:type="dxa"/>
            <w:vMerge w:val="restart"/>
            <w:noWrap w:val="0"/>
            <w:vAlign w:val="center"/>
          </w:tcPr>
          <w:p w14:paraId="1330452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楷体" w:hAnsi="楷体" w:eastAsia="楷体" w:cs="楷体"/>
                <w:color w:val="auto"/>
                <w:sz w:val="21"/>
                <w:szCs w:val="21"/>
                <w:highlight w:val="none"/>
                <w:shd w:val="clear" w:color="auto" w:fill="auto"/>
                <w:lang w:val="en-US" w:eastAsia="zh-CN"/>
              </w:rPr>
            </w:pPr>
            <w:r>
              <w:rPr>
                <w:rFonts w:hint="eastAsia" w:ascii="楷体" w:hAnsi="楷体" w:eastAsia="楷体" w:cs="楷体"/>
                <w:color w:val="auto"/>
                <w:sz w:val="21"/>
                <w:szCs w:val="21"/>
                <w:highlight w:val="none"/>
                <w:shd w:val="clear" w:color="auto" w:fill="auto"/>
                <w:lang w:val="en-US" w:eastAsia="zh-CN"/>
              </w:rPr>
              <w:t>台</w:t>
            </w:r>
          </w:p>
        </w:tc>
        <w:tc>
          <w:tcPr>
            <w:tcW w:w="619" w:type="dxa"/>
            <w:vMerge w:val="restart"/>
            <w:noWrap w:val="0"/>
            <w:vAlign w:val="center"/>
          </w:tcPr>
          <w:p w14:paraId="3C672AA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楷体" w:hAnsi="楷体" w:eastAsia="楷体" w:cs="楷体"/>
                <w:color w:val="auto"/>
                <w:sz w:val="21"/>
                <w:szCs w:val="21"/>
                <w:highlight w:val="none"/>
                <w:shd w:val="clear" w:color="auto" w:fill="auto"/>
                <w:lang w:val="en-US" w:eastAsia="zh-CN"/>
              </w:rPr>
            </w:pPr>
            <w:r>
              <w:rPr>
                <w:rFonts w:hint="eastAsia" w:ascii="楷体" w:hAnsi="楷体" w:eastAsia="楷体" w:cs="楷体"/>
                <w:color w:val="auto"/>
                <w:sz w:val="21"/>
                <w:szCs w:val="21"/>
                <w:highlight w:val="none"/>
                <w:shd w:val="clear" w:color="auto" w:fill="auto"/>
                <w:lang w:val="en-US" w:eastAsia="zh-CN"/>
              </w:rPr>
              <w:t>180</w:t>
            </w:r>
          </w:p>
        </w:tc>
      </w:tr>
      <w:tr w14:paraId="3538D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noWrap w:val="0"/>
            <w:vAlign w:val="center"/>
          </w:tcPr>
          <w:p w14:paraId="2C0F2D9C">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eastAsia="zh-CN"/>
              </w:rPr>
            </w:pPr>
            <w:r>
              <w:rPr>
                <w:rFonts w:hint="eastAsia" w:ascii="楷体" w:hAnsi="楷体" w:eastAsia="楷体" w:cs="楷体"/>
                <w:color w:val="auto"/>
                <w:sz w:val="21"/>
                <w:szCs w:val="21"/>
                <w:highlight w:val="none"/>
                <w:lang w:val="en-US" w:eastAsia="zh-CN"/>
              </w:rPr>
              <w:t>2</w:t>
            </w:r>
          </w:p>
        </w:tc>
        <w:tc>
          <w:tcPr>
            <w:tcW w:w="754" w:type="dxa"/>
            <w:noWrap w:val="0"/>
            <w:vAlign w:val="center"/>
          </w:tcPr>
          <w:p w14:paraId="594E8D16">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rPr>
            </w:pPr>
            <w:r>
              <w:rPr>
                <w:rFonts w:hint="eastAsia" w:ascii="楷体" w:hAnsi="楷体" w:eastAsia="楷体" w:cs="楷体"/>
                <w:color w:val="auto"/>
                <w:kern w:val="0"/>
                <w:sz w:val="21"/>
                <w:szCs w:val="21"/>
                <w:highlight w:val="none"/>
                <w:lang w:bidi="ar"/>
              </w:rPr>
              <w:t>入网注册</w:t>
            </w:r>
          </w:p>
        </w:tc>
        <w:tc>
          <w:tcPr>
            <w:tcW w:w="690" w:type="dxa"/>
            <w:noWrap w:val="0"/>
            <w:vAlign w:val="center"/>
          </w:tcPr>
          <w:p w14:paraId="0E30A6E4">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w:t>
            </w:r>
          </w:p>
        </w:tc>
        <w:tc>
          <w:tcPr>
            <w:tcW w:w="4305" w:type="dxa"/>
            <w:noWrap w:val="0"/>
            <w:vAlign w:val="center"/>
          </w:tcPr>
          <w:p w14:paraId="198C83FA">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具备通过配置注册地址、注册账户和密码等信息，以License或安全证书等方式进行入网注册的功能。注册成功后在发布平台下可查询到获得授权的终端。</w:t>
            </w:r>
          </w:p>
        </w:tc>
        <w:tc>
          <w:tcPr>
            <w:tcW w:w="2213" w:type="dxa"/>
            <w:noWrap w:val="0"/>
            <w:vAlign w:val="center"/>
          </w:tcPr>
          <w:p w14:paraId="2276A225">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sz w:val="21"/>
                <w:szCs w:val="21"/>
                <w:highlight w:val="none"/>
                <w:lang w:eastAsia="zh-CN"/>
              </w:rPr>
              <w:t>提供《地震监测专业设备定型结果》或定型检测报告；或</w:t>
            </w:r>
            <w:r>
              <w:rPr>
                <w:rFonts w:hint="eastAsia" w:ascii="楷体" w:hAnsi="楷体" w:eastAsia="楷体" w:cs="楷体"/>
                <w:color w:val="auto"/>
                <w:sz w:val="21"/>
                <w:szCs w:val="21"/>
                <w:highlight w:val="none"/>
              </w:rPr>
              <w:t>结构原理图、照片、测试报告等证明材料</w:t>
            </w:r>
            <w:r>
              <w:rPr>
                <w:rFonts w:hint="eastAsia" w:ascii="楷体" w:hAnsi="楷体" w:eastAsia="楷体" w:cs="楷体"/>
                <w:color w:val="auto"/>
                <w:sz w:val="21"/>
                <w:szCs w:val="21"/>
                <w:highlight w:val="none"/>
                <w:lang w:eastAsia="zh-CN"/>
              </w:rPr>
              <w:t>；或</w:t>
            </w:r>
            <w:r>
              <w:rPr>
                <w:rFonts w:hint="eastAsia" w:ascii="楷体" w:hAnsi="楷体" w:eastAsia="楷体" w:cs="楷体"/>
                <w:color w:val="auto"/>
                <w:sz w:val="21"/>
                <w:szCs w:val="21"/>
                <w:highlight w:val="none"/>
              </w:rPr>
              <w:t>以中国地震局检测机构、中国地震台网中心或省级地震局出具的证明</w:t>
            </w:r>
          </w:p>
        </w:tc>
        <w:tc>
          <w:tcPr>
            <w:tcW w:w="619" w:type="dxa"/>
            <w:vMerge w:val="continue"/>
            <w:noWrap w:val="0"/>
            <w:vAlign w:val="center"/>
          </w:tcPr>
          <w:p w14:paraId="49213050">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c>
          <w:tcPr>
            <w:tcW w:w="619" w:type="dxa"/>
            <w:vMerge w:val="continue"/>
            <w:noWrap w:val="0"/>
            <w:vAlign w:val="center"/>
          </w:tcPr>
          <w:p w14:paraId="4B37303B">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r>
      <w:tr w14:paraId="1269C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0" w:hRule="atLeast"/>
          <w:jc w:val="center"/>
        </w:trPr>
        <w:tc>
          <w:tcPr>
            <w:tcW w:w="561" w:type="dxa"/>
            <w:noWrap w:val="0"/>
            <w:vAlign w:val="center"/>
          </w:tcPr>
          <w:p w14:paraId="310991CD">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eastAsia="zh-CN"/>
              </w:rPr>
            </w:pPr>
            <w:r>
              <w:rPr>
                <w:rFonts w:hint="eastAsia" w:ascii="楷体" w:hAnsi="楷体" w:eastAsia="楷体" w:cs="楷体"/>
                <w:color w:val="auto"/>
                <w:sz w:val="21"/>
                <w:szCs w:val="21"/>
                <w:highlight w:val="none"/>
                <w:lang w:val="en-US" w:eastAsia="zh-CN"/>
              </w:rPr>
              <w:t>3</w:t>
            </w:r>
          </w:p>
        </w:tc>
        <w:tc>
          <w:tcPr>
            <w:tcW w:w="754" w:type="dxa"/>
            <w:noWrap w:val="0"/>
            <w:vAlign w:val="center"/>
          </w:tcPr>
          <w:p w14:paraId="4E332DA4">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rPr>
            </w:pPr>
            <w:r>
              <w:rPr>
                <w:rFonts w:hint="eastAsia" w:ascii="楷体" w:hAnsi="楷体" w:eastAsia="楷体" w:cs="楷体"/>
                <w:color w:val="auto"/>
                <w:kern w:val="0"/>
                <w:sz w:val="21"/>
                <w:szCs w:val="21"/>
                <w:highlight w:val="none"/>
                <w:lang w:bidi="ar"/>
              </w:rPr>
              <w:t>通信协议</w:t>
            </w:r>
          </w:p>
        </w:tc>
        <w:tc>
          <w:tcPr>
            <w:tcW w:w="690" w:type="dxa"/>
            <w:noWrap w:val="0"/>
            <w:vAlign w:val="center"/>
          </w:tcPr>
          <w:p w14:paraId="5FD7886E">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w:t>
            </w:r>
          </w:p>
        </w:tc>
        <w:tc>
          <w:tcPr>
            <w:tcW w:w="4305" w:type="dxa"/>
            <w:noWrap w:val="0"/>
            <w:vAlign w:val="center"/>
          </w:tcPr>
          <w:p w14:paraId="20DCC9A0">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具备基于MQTT通信协议订阅地震预警、地震速报等相关主题，在各主题下接收相应信息的功能。（MQTT通讯协议详见地震预警信息发布规程第2部分第7章和附录内容，测试过程中会制定相关测试主题。）</w:t>
            </w:r>
          </w:p>
        </w:tc>
        <w:tc>
          <w:tcPr>
            <w:tcW w:w="2213" w:type="dxa"/>
            <w:noWrap w:val="0"/>
            <w:vAlign w:val="center"/>
          </w:tcPr>
          <w:p w14:paraId="4B9BB329">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sz w:val="21"/>
                <w:szCs w:val="21"/>
                <w:highlight w:val="none"/>
                <w:lang w:eastAsia="zh-CN"/>
              </w:rPr>
              <w:t>提供《地震监测专业设备定型结果》或定型检测报告；或</w:t>
            </w:r>
            <w:r>
              <w:rPr>
                <w:rFonts w:hint="eastAsia" w:ascii="楷体" w:hAnsi="楷体" w:eastAsia="楷体" w:cs="楷体"/>
                <w:color w:val="auto"/>
                <w:sz w:val="21"/>
                <w:szCs w:val="21"/>
                <w:highlight w:val="none"/>
              </w:rPr>
              <w:t>结构原理图、照片、测试报告等证明材料</w:t>
            </w:r>
            <w:r>
              <w:rPr>
                <w:rFonts w:hint="eastAsia" w:ascii="楷体" w:hAnsi="楷体" w:eastAsia="楷体" w:cs="楷体"/>
                <w:color w:val="auto"/>
                <w:sz w:val="21"/>
                <w:szCs w:val="21"/>
                <w:highlight w:val="none"/>
                <w:lang w:eastAsia="zh-CN"/>
              </w:rPr>
              <w:t>；或</w:t>
            </w:r>
            <w:r>
              <w:rPr>
                <w:rFonts w:hint="eastAsia" w:ascii="楷体" w:hAnsi="楷体" w:eastAsia="楷体" w:cs="楷体"/>
                <w:color w:val="auto"/>
                <w:sz w:val="21"/>
                <w:szCs w:val="21"/>
                <w:highlight w:val="none"/>
              </w:rPr>
              <w:t>以中国地震局检测机构、中国地震台网中心或省级地震局出具的证明</w:t>
            </w:r>
          </w:p>
        </w:tc>
        <w:tc>
          <w:tcPr>
            <w:tcW w:w="619" w:type="dxa"/>
            <w:vMerge w:val="continue"/>
            <w:noWrap w:val="0"/>
            <w:vAlign w:val="center"/>
          </w:tcPr>
          <w:p w14:paraId="6E56C309">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c>
          <w:tcPr>
            <w:tcW w:w="619" w:type="dxa"/>
            <w:vMerge w:val="continue"/>
            <w:noWrap w:val="0"/>
            <w:vAlign w:val="center"/>
          </w:tcPr>
          <w:p w14:paraId="799C8353">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r>
      <w:tr w14:paraId="7416E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noWrap w:val="0"/>
            <w:vAlign w:val="center"/>
          </w:tcPr>
          <w:p w14:paraId="4B7C0FEC">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eastAsia="zh-CN"/>
              </w:rPr>
            </w:pPr>
            <w:r>
              <w:rPr>
                <w:rFonts w:hint="eastAsia" w:ascii="楷体" w:hAnsi="楷体" w:eastAsia="楷体" w:cs="楷体"/>
                <w:color w:val="auto"/>
                <w:sz w:val="21"/>
                <w:szCs w:val="21"/>
                <w:highlight w:val="none"/>
                <w:lang w:val="en-US" w:eastAsia="zh-CN"/>
              </w:rPr>
              <w:t>4</w:t>
            </w:r>
          </w:p>
        </w:tc>
        <w:tc>
          <w:tcPr>
            <w:tcW w:w="754" w:type="dxa"/>
            <w:noWrap w:val="0"/>
            <w:vAlign w:val="center"/>
          </w:tcPr>
          <w:p w14:paraId="2C7176C3">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rPr>
            </w:pPr>
            <w:r>
              <w:rPr>
                <w:rFonts w:hint="eastAsia" w:ascii="楷体" w:hAnsi="楷体" w:eastAsia="楷体" w:cs="楷体"/>
                <w:color w:val="auto"/>
                <w:kern w:val="0"/>
                <w:sz w:val="21"/>
                <w:szCs w:val="21"/>
                <w:highlight w:val="none"/>
                <w:lang w:bidi="ar"/>
              </w:rPr>
              <w:t>信息解析</w:t>
            </w:r>
          </w:p>
        </w:tc>
        <w:tc>
          <w:tcPr>
            <w:tcW w:w="690" w:type="dxa"/>
            <w:noWrap w:val="0"/>
            <w:vAlign w:val="center"/>
          </w:tcPr>
          <w:p w14:paraId="1C946999">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w:t>
            </w:r>
          </w:p>
        </w:tc>
        <w:tc>
          <w:tcPr>
            <w:tcW w:w="4305" w:type="dxa"/>
            <w:noWrap w:val="0"/>
            <w:vAlign w:val="center"/>
          </w:tcPr>
          <w:p w14:paraId="52225DAE">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1、具备通过地震预警信息解析获取发震时刻、震中经纬度、震源深度、震级等地震基本参数的功能。</w:t>
            </w:r>
          </w:p>
          <w:p w14:paraId="59BDD7A4">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2、以《地震预警信息发布规程第2部分》附录内容给出的算法，计算本地预估烈度和倒计时等参数，并确定本地预警响应等级。</w:t>
            </w:r>
          </w:p>
          <w:p w14:paraId="00CC8807">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3、根据《地震预警信息发布规程第1部分》第5章规定的发布规则，对多报地震预警信息进行更新解析和计算。</w:t>
            </w:r>
          </w:p>
          <w:p w14:paraId="5853EAFB">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4、地震预警信息的内容及格式满足《地震预警信息发布规程第1部分》附录C的要求。</w:t>
            </w:r>
          </w:p>
          <w:p w14:paraId="3C3CF192">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5、地震速报信息的内容及格式满足《地震速报技术管理规定（2015年修订版）》的要求。示例：中国地震台网正式测定：11月14日19时42分在四川凉山州会东县（北纬26.56度、东经102.53度）发生6.1级地震，震源深度5公里。</w:t>
            </w:r>
          </w:p>
        </w:tc>
        <w:tc>
          <w:tcPr>
            <w:tcW w:w="2213" w:type="dxa"/>
            <w:noWrap w:val="0"/>
            <w:vAlign w:val="center"/>
          </w:tcPr>
          <w:p w14:paraId="555B32A5">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sz w:val="21"/>
                <w:szCs w:val="21"/>
                <w:highlight w:val="none"/>
                <w:lang w:eastAsia="zh-CN"/>
              </w:rPr>
              <w:t>提供《地震监测专业设备定型结果》或定型检测报告；或</w:t>
            </w:r>
            <w:r>
              <w:rPr>
                <w:rFonts w:hint="eastAsia" w:ascii="楷体" w:hAnsi="楷体" w:eastAsia="楷体" w:cs="楷体"/>
                <w:color w:val="auto"/>
                <w:sz w:val="21"/>
                <w:szCs w:val="21"/>
                <w:highlight w:val="none"/>
              </w:rPr>
              <w:t>结构原理图、照片、测试报告等证明材料</w:t>
            </w:r>
            <w:r>
              <w:rPr>
                <w:rFonts w:hint="eastAsia" w:ascii="楷体" w:hAnsi="楷体" w:eastAsia="楷体" w:cs="楷体"/>
                <w:color w:val="auto"/>
                <w:sz w:val="21"/>
                <w:szCs w:val="21"/>
                <w:highlight w:val="none"/>
                <w:lang w:eastAsia="zh-CN"/>
              </w:rPr>
              <w:t>；或</w:t>
            </w:r>
            <w:r>
              <w:rPr>
                <w:rFonts w:hint="eastAsia" w:ascii="楷体" w:hAnsi="楷体" w:eastAsia="楷体" w:cs="楷体"/>
                <w:color w:val="auto"/>
                <w:sz w:val="21"/>
                <w:szCs w:val="21"/>
                <w:highlight w:val="none"/>
              </w:rPr>
              <w:t>以中国地震局检测机构、中国地震台网中心或省级地震局出具的证明</w:t>
            </w:r>
          </w:p>
        </w:tc>
        <w:tc>
          <w:tcPr>
            <w:tcW w:w="619" w:type="dxa"/>
            <w:vMerge w:val="continue"/>
            <w:noWrap w:val="0"/>
            <w:vAlign w:val="center"/>
          </w:tcPr>
          <w:p w14:paraId="6385F43C">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c>
          <w:tcPr>
            <w:tcW w:w="619" w:type="dxa"/>
            <w:vMerge w:val="continue"/>
            <w:noWrap w:val="0"/>
            <w:vAlign w:val="center"/>
          </w:tcPr>
          <w:p w14:paraId="418BD110">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r>
      <w:tr w14:paraId="46DA5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noWrap w:val="0"/>
            <w:vAlign w:val="center"/>
          </w:tcPr>
          <w:p w14:paraId="0CC74807">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eastAsia="zh-CN"/>
              </w:rPr>
            </w:pPr>
            <w:r>
              <w:rPr>
                <w:rFonts w:hint="eastAsia" w:ascii="楷体" w:hAnsi="楷体" w:eastAsia="楷体" w:cs="楷体"/>
                <w:color w:val="auto"/>
                <w:sz w:val="21"/>
                <w:szCs w:val="21"/>
                <w:highlight w:val="none"/>
                <w:lang w:val="en-US" w:eastAsia="zh-CN"/>
              </w:rPr>
              <w:t>5</w:t>
            </w:r>
          </w:p>
        </w:tc>
        <w:tc>
          <w:tcPr>
            <w:tcW w:w="754" w:type="dxa"/>
            <w:noWrap w:val="0"/>
            <w:vAlign w:val="center"/>
          </w:tcPr>
          <w:p w14:paraId="77317402">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rPr>
            </w:pPr>
            <w:r>
              <w:rPr>
                <w:rFonts w:hint="eastAsia" w:ascii="楷体" w:hAnsi="楷体" w:eastAsia="楷体" w:cs="楷体"/>
                <w:color w:val="auto"/>
                <w:kern w:val="0"/>
                <w:sz w:val="21"/>
                <w:szCs w:val="21"/>
                <w:highlight w:val="none"/>
                <w:lang w:bidi="ar"/>
              </w:rPr>
              <w:t>地震预警演练</w:t>
            </w:r>
          </w:p>
        </w:tc>
        <w:tc>
          <w:tcPr>
            <w:tcW w:w="690" w:type="dxa"/>
            <w:noWrap w:val="0"/>
            <w:vAlign w:val="center"/>
          </w:tcPr>
          <w:p w14:paraId="2E5041CC">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w:t>
            </w:r>
          </w:p>
        </w:tc>
        <w:tc>
          <w:tcPr>
            <w:tcW w:w="4305" w:type="dxa"/>
            <w:noWrap w:val="0"/>
            <w:vAlign w:val="center"/>
          </w:tcPr>
          <w:p w14:paraId="7EF0CDA0">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1、可接收发布平台下发的演练地震信息，或本地配置演练地震信息，正确响应演练地震预警信息，实现地震预警演练功能。</w:t>
            </w:r>
          </w:p>
          <w:p w14:paraId="54F10E72">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2、演练过程中应提示“地震预警演练”，根据演练信息计算本地预警等级，正确进行告警，支持倒计时显示。</w:t>
            </w:r>
          </w:p>
        </w:tc>
        <w:tc>
          <w:tcPr>
            <w:tcW w:w="2213" w:type="dxa"/>
            <w:noWrap w:val="0"/>
            <w:vAlign w:val="center"/>
          </w:tcPr>
          <w:p w14:paraId="3211C8A2">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sz w:val="21"/>
                <w:szCs w:val="21"/>
                <w:highlight w:val="none"/>
                <w:lang w:eastAsia="zh-CN"/>
              </w:rPr>
              <w:t>提供《地震监测专业设备定型结果》或定型检测报告；或</w:t>
            </w:r>
            <w:r>
              <w:rPr>
                <w:rFonts w:hint="eastAsia" w:ascii="楷体" w:hAnsi="楷体" w:eastAsia="楷体" w:cs="楷体"/>
                <w:color w:val="auto"/>
                <w:sz w:val="21"/>
                <w:szCs w:val="21"/>
                <w:highlight w:val="none"/>
              </w:rPr>
              <w:t>结构原理图、照片、测试报告等证明材料</w:t>
            </w:r>
            <w:r>
              <w:rPr>
                <w:rFonts w:hint="eastAsia" w:ascii="楷体" w:hAnsi="楷体" w:eastAsia="楷体" w:cs="楷体"/>
                <w:color w:val="auto"/>
                <w:sz w:val="21"/>
                <w:szCs w:val="21"/>
                <w:highlight w:val="none"/>
                <w:lang w:eastAsia="zh-CN"/>
              </w:rPr>
              <w:t>；或</w:t>
            </w:r>
            <w:r>
              <w:rPr>
                <w:rFonts w:hint="eastAsia" w:ascii="楷体" w:hAnsi="楷体" w:eastAsia="楷体" w:cs="楷体"/>
                <w:color w:val="auto"/>
                <w:sz w:val="21"/>
                <w:szCs w:val="21"/>
                <w:highlight w:val="none"/>
              </w:rPr>
              <w:t>以中国地震局检测机构、中国地震台网中心或省级地震局出具的证明</w:t>
            </w:r>
          </w:p>
        </w:tc>
        <w:tc>
          <w:tcPr>
            <w:tcW w:w="619" w:type="dxa"/>
            <w:vMerge w:val="continue"/>
            <w:noWrap w:val="0"/>
            <w:vAlign w:val="center"/>
          </w:tcPr>
          <w:p w14:paraId="3BD2A7E7">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c>
          <w:tcPr>
            <w:tcW w:w="619" w:type="dxa"/>
            <w:vMerge w:val="continue"/>
            <w:noWrap w:val="0"/>
            <w:vAlign w:val="center"/>
          </w:tcPr>
          <w:p w14:paraId="6010792A">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r>
      <w:tr w14:paraId="35AC9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noWrap w:val="0"/>
            <w:vAlign w:val="center"/>
          </w:tcPr>
          <w:p w14:paraId="19D74536">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eastAsia="zh-CN"/>
              </w:rPr>
            </w:pPr>
            <w:r>
              <w:rPr>
                <w:rFonts w:hint="eastAsia" w:ascii="楷体" w:hAnsi="楷体" w:eastAsia="楷体" w:cs="楷体"/>
                <w:color w:val="auto"/>
                <w:sz w:val="21"/>
                <w:szCs w:val="21"/>
                <w:highlight w:val="none"/>
                <w:lang w:val="en-US" w:eastAsia="zh-CN"/>
              </w:rPr>
              <w:t>6</w:t>
            </w:r>
          </w:p>
        </w:tc>
        <w:tc>
          <w:tcPr>
            <w:tcW w:w="754" w:type="dxa"/>
            <w:noWrap w:val="0"/>
            <w:vAlign w:val="center"/>
          </w:tcPr>
          <w:p w14:paraId="04CD2147">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rPr>
            </w:pPr>
            <w:r>
              <w:rPr>
                <w:rFonts w:hint="eastAsia" w:ascii="楷体" w:hAnsi="楷体" w:eastAsia="楷体" w:cs="楷体"/>
                <w:color w:val="auto"/>
                <w:kern w:val="0"/>
                <w:sz w:val="21"/>
                <w:szCs w:val="21"/>
                <w:highlight w:val="none"/>
                <w:lang w:bidi="ar"/>
              </w:rPr>
              <w:t>信息反馈</w:t>
            </w:r>
          </w:p>
        </w:tc>
        <w:tc>
          <w:tcPr>
            <w:tcW w:w="690" w:type="dxa"/>
            <w:noWrap w:val="0"/>
            <w:vAlign w:val="center"/>
          </w:tcPr>
          <w:p w14:paraId="2381DA25">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w:t>
            </w:r>
          </w:p>
        </w:tc>
        <w:tc>
          <w:tcPr>
            <w:tcW w:w="4305" w:type="dxa"/>
            <w:noWrap w:val="0"/>
            <w:vAlign w:val="center"/>
          </w:tcPr>
          <w:p w14:paraId="3F35F891">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1、终端接收到发布平台的信息后，应向发布平台反馈接收状态信息，主要包括地震预警事件信息、预警等级信息、报警器（声音、灯光）触发信息、预警时间、震中距、终端名称、终端序列号、终端类型等信息。</w:t>
            </w:r>
          </w:p>
          <w:p w14:paraId="53E16EA4">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2、反馈信息应与终端响应时展示的信息保持一致，且应包括详细的时间标记，时间标记应精确到毫秒。</w:t>
            </w:r>
          </w:p>
        </w:tc>
        <w:tc>
          <w:tcPr>
            <w:tcW w:w="2213" w:type="dxa"/>
            <w:noWrap w:val="0"/>
            <w:vAlign w:val="center"/>
          </w:tcPr>
          <w:p w14:paraId="34F9D9BF">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sz w:val="21"/>
                <w:szCs w:val="21"/>
                <w:highlight w:val="none"/>
                <w:lang w:eastAsia="zh-CN"/>
              </w:rPr>
              <w:t>提供《地震监测专业设备定型结果》或定型检测报告；或</w:t>
            </w:r>
            <w:r>
              <w:rPr>
                <w:rFonts w:hint="eastAsia" w:ascii="楷体" w:hAnsi="楷体" w:eastAsia="楷体" w:cs="楷体"/>
                <w:color w:val="auto"/>
                <w:sz w:val="21"/>
                <w:szCs w:val="21"/>
                <w:highlight w:val="none"/>
              </w:rPr>
              <w:t>结构原理图、照片、测试报告等证明材料</w:t>
            </w:r>
            <w:r>
              <w:rPr>
                <w:rFonts w:hint="eastAsia" w:ascii="楷体" w:hAnsi="楷体" w:eastAsia="楷体" w:cs="楷体"/>
                <w:color w:val="auto"/>
                <w:sz w:val="21"/>
                <w:szCs w:val="21"/>
                <w:highlight w:val="none"/>
                <w:lang w:eastAsia="zh-CN"/>
              </w:rPr>
              <w:t>；或</w:t>
            </w:r>
            <w:r>
              <w:rPr>
                <w:rFonts w:hint="eastAsia" w:ascii="楷体" w:hAnsi="楷体" w:eastAsia="楷体" w:cs="楷体"/>
                <w:color w:val="auto"/>
                <w:sz w:val="21"/>
                <w:szCs w:val="21"/>
                <w:highlight w:val="none"/>
              </w:rPr>
              <w:t>以中国地震局检测机构、中国地震台网中心或省级地震局出具的证明</w:t>
            </w:r>
          </w:p>
        </w:tc>
        <w:tc>
          <w:tcPr>
            <w:tcW w:w="619" w:type="dxa"/>
            <w:vMerge w:val="continue"/>
            <w:noWrap w:val="0"/>
            <w:vAlign w:val="center"/>
          </w:tcPr>
          <w:p w14:paraId="2A84630A">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c>
          <w:tcPr>
            <w:tcW w:w="619" w:type="dxa"/>
            <w:vMerge w:val="continue"/>
            <w:noWrap w:val="0"/>
            <w:vAlign w:val="center"/>
          </w:tcPr>
          <w:p w14:paraId="157D7876">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r>
      <w:tr w14:paraId="07D1E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noWrap w:val="0"/>
            <w:vAlign w:val="center"/>
          </w:tcPr>
          <w:p w14:paraId="2E9B23EC">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eastAsia="zh-CN"/>
              </w:rPr>
            </w:pPr>
            <w:r>
              <w:rPr>
                <w:rFonts w:hint="eastAsia" w:ascii="楷体" w:hAnsi="楷体" w:eastAsia="楷体" w:cs="楷体"/>
                <w:color w:val="auto"/>
                <w:sz w:val="21"/>
                <w:szCs w:val="21"/>
                <w:highlight w:val="none"/>
                <w:lang w:val="en-US" w:eastAsia="zh-CN"/>
              </w:rPr>
              <w:t>7</w:t>
            </w:r>
          </w:p>
        </w:tc>
        <w:tc>
          <w:tcPr>
            <w:tcW w:w="754" w:type="dxa"/>
            <w:noWrap w:val="0"/>
            <w:vAlign w:val="center"/>
          </w:tcPr>
          <w:p w14:paraId="7BF61322">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rPr>
            </w:pPr>
            <w:r>
              <w:rPr>
                <w:rFonts w:hint="eastAsia" w:ascii="楷体" w:hAnsi="楷体" w:eastAsia="楷体" w:cs="楷体"/>
                <w:color w:val="auto"/>
                <w:kern w:val="0"/>
                <w:sz w:val="21"/>
                <w:szCs w:val="21"/>
                <w:highlight w:val="none"/>
                <w:lang w:bidi="ar"/>
              </w:rPr>
              <w:t>状态监控</w:t>
            </w:r>
          </w:p>
        </w:tc>
        <w:tc>
          <w:tcPr>
            <w:tcW w:w="690" w:type="dxa"/>
            <w:noWrap w:val="0"/>
            <w:vAlign w:val="center"/>
          </w:tcPr>
          <w:p w14:paraId="00B7AC9C">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w:t>
            </w:r>
          </w:p>
        </w:tc>
        <w:tc>
          <w:tcPr>
            <w:tcW w:w="4305" w:type="dxa"/>
            <w:noWrap w:val="0"/>
            <w:vAlign w:val="center"/>
          </w:tcPr>
          <w:p w14:paraId="11A50CA9">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1、终端采用定时发送“心跳包”等形式与发布平台和终端管理平台保持连接，定时向发布平台和终端管理平台发送终端的状态信息。</w:t>
            </w:r>
          </w:p>
          <w:p w14:paraId="1E0C3985">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2、可根据终端管理平台发出的命令，上传终端运行状态信息。</w:t>
            </w:r>
          </w:p>
        </w:tc>
        <w:tc>
          <w:tcPr>
            <w:tcW w:w="2213" w:type="dxa"/>
            <w:noWrap w:val="0"/>
            <w:vAlign w:val="center"/>
          </w:tcPr>
          <w:p w14:paraId="6C5783F4">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sz w:val="21"/>
                <w:szCs w:val="21"/>
                <w:highlight w:val="none"/>
                <w:lang w:eastAsia="zh-CN"/>
              </w:rPr>
              <w:t>提供</w:t>
            </w:r>
            <w:r>
              <w:rPr>
                <w:rFonts w:hint="eastAsia" w:ascii="楷体" w:hAnsi="楷体" w:eastAsia="楷体" w:cs="楷体"/>
                <w:color w:val="auto"/>
                <w:sz w:val="21"/>
                <w:szCs w:val="21"/>
                <w:highlight w:val="none"/>
              </w:rPr>
              <w:t>《地震监测专业设备定型结果》</w:t>
            </w:r>
            <w:r>
              <w:rPr>
                <w:rFonts w:hint="eastAsia" w:ascii="楷体" w:hAnsi="楷体" w:eastAsia="楷体" w:cs="楷体"/>
                <w:color w:val="auto"/>
                <w:sz w:val="21"/>
                <w:szCs w:val="21"/>
                <w:highlight w:val="none"/>
                <w:lang w:eastAsia="zh-CN"/>
              </w:rPr>
              <w:t>或</w:t>
            </w:r>
            <w:r>
              <w:rPr>
                <w:rFonts w:hint="eastAsia" w:ascii="楷体" w:hAnsi="楷体" w:eastAsia="楷体" w:cs="楷体"/>
                <w:color w:val="auto"/>
                <w:sz w:val="21"/>
                <w:szCs w:val="21"/>
                <w:highlight w:val="none"/>
              </w:rPr>
              <w:t>定型检测报告</w:t>
            </w:r>
            <w:r>
              <w:rPr>
                <w:rFonts w:hint="eastAsia" w:ascii="楷体" w:hAnsi="楷体" w:eastAsia="楷体" w:cs="楷体"/>
                <w:color w:val="auto"/>
                <w:sz w:val="21"/>
                <w:szCs w:val="21"/>
                <w:highlight w:val="none"/>
                <w:lang w:eastAsia="zh-CN"/>
              </w:rPr>
              <w:t>；或</w:t>
            </w:r>
            <w:r>
              <w:rPr>
                <w:rFonts w:hint="eastAsia" w:ascii="楷体" w:hAnsi="楷体" w:eastAsia="楷体" w:cs="楷体"/>
                <w:color w:val="auto"/>
                <w:sz w:val="21"/>
                <w:szCs w:val="21"/>
                <w:highlight w:val="none"/>
              </w:rPr>
              <w:t>结构原理图、照片、测试报告等证明材料</w:t>
            </w:r>
            <w:r>
              <w:rPr>
                <w:rFonts w:hint="eastAsia" w:ascii="楷体" w:hAnsi="楷体" w:eastAsia="楷体" w:cs="楷体"/>
                <w:color w:val="auto"/>
                <w:sz w:val="21"/>
                <w:szCs w:val="21"/>
                <w:highlight w:val="none"/>
                <w:lang w:eastAsia="zh-CN"/>
              </w:rPr>
              <w:t>；或</w:t>
            </w:r>
            <w:r>
              <w:rPr>
                <w:rFonts w:hint="eastAsia" w:ascii="楷体" w:hAnsi="楷体" w:eastAsia="楷体" w:cs="楷体"/>
                <w:color w:val="auto"/>
                <w:sz w:val="21"/>
                <w:szCs w:val="21"/>
                <w:highlight w:val="none"/>
              </w:rPr>
              <w:t>以中国地震局检测机构、中国地震台网中心或省级地震局出具的证明</w:t>
            </w:r>
          </w:p>
        </w:tc>
        <w:tc>
          <w:tcPr>
            <w:tcW w:w="619" w:type="dxa"/>
            <w:vMerge w:val="continue"/>
            <w:noWrap w:val="0"/>
            <w:vAlign w:val="center"/>
          </w:tcPr>
          <w:p w14:paraId="6635E242">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c>
          <w:tcPr>
            <w:tcW w:w="619" w:type="dxa"/>
            <w:vMerge w:val="continue"/>
            <w:noWrap w:val="0"/>
            <w:vAlign w:val="center"/>
          </w:tcPr>
          <w:p w14:paraId="7C3D4DF8">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r>
      <w:tr w14:paraId="42CB1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noWrap w:val="0"/>
            <w:vAlign w:val="center"/>
          </w:tcPr>
          <w:p w14:paraId="4F533F7A">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eastAsia="zh-CN"/>
              </w:rPr>
            </w:pPr>
            <w:r>
              <w:rPr>
                <w:rFonts w:hint="eastAsia" w:ascii="楷体" w:hAnsi="楷体" w:eastAsia="楷体" w:cs="楷体"/>
                <w:color w:val="auto"/>
                <w:sz w:val="21"/>
                <w:szCs w:val="21"/>
                <w:highlight w:val="none"/>
                <w:lang w:val="en-US" w:eastAsia="zh-CN"/>
              </w:rPr>
              <w:t>8</w:t>
            </w:r>
          </w:p>
        </w:tc>
        <w:tc>
          <w:tcPr>
            <w:tcW w:w="754" w:type="dxa"/>
            <w:noWrap w:val="0"/>
            <w:vAlign w:val="center"/>
          </w:tcPr>
          <w:p w14:paraId="4BEE80A5">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rPr>
            </w:pPr>
            <w:r>
              <w:rPr>
                <w:rFonts w:hint="eastAsia" w:ascii="楷体" w:hAnsi="楷体" w:eastAsia="楷体" w:cs="楷体"/>
                <w:color w:val="auto"/>
                <w:kern w:val="0"/>
                <w:sz w:val="21"/>
                <w:szCs w:val="21"/>
                <w:highlight w:val="none"/>
                <w:lang w:bidi="ar"/>
              </w:rPr>
              <w:t>信息展示</w:t>
            </w:r>
          </w:p>
        </w:tc>
        <w:tc>
          <w:tcPr>
            <w:tcW w:w="690" w:type="dxa"/>
            <w:noWrap w:val="0"/>
            <w:vAlign w:val="center"/>
          </w:tcPr>
          <w:p w14:paraId="51E594EA">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w:t>
            </w:r>
          </w:p>
        </w:tc>
        <w:tc>
          <w:tcPr>
            <w:tcW w:w="4305" w:type="dxa"/>
            <w:noWrap w:val="0"/>
            <w:vAlign w:val="center"/>
          </w:tcPr>
          <w:p w14:paraId="73A40338">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1、具备信息展示功能。</w:t>
            </w:r>
          </w:p>
          <w:p w14:paraId="38B18254">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2、根据接收和解析的地震预警信息，能够按照对应预警响应等级展示，包括但不限于发震时刻、震中位置、震级、预估地震烈度、预警时间、避震提示等内容。</w:t>
            </w:r>
          </w:p>
          <w:p w14:paraId="239335EE">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3、根据接收和解析的地震速报信息，能够在屏幕显示发震时刻、震中位置、震级等信息。</w:t>
            </w:r>
          </w:p>
          <w:p w14:paraId="71C6302F">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4、根据相关预警发布规则，对多报地震预警信息进行更新展示。</w:t>
            </w:r>
          </w:p>
          <w:p w14:paraId="3979C3EC">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5、发震时刻精确到分并保留整数，震中位置坐标保留不超过2位小数，震级保留1位小数，预估烈度和预警时间保留整数。</w:t>
            </w:r>
          </w:p>
        </w:tc>
        <w:tc>
          <w:tcPr>
            <w:tcW w:w="2213" w:type="dxa"/>
            <w:noWrap w:val="0"/>
            <w:vAlign w:val="center"/>
          </w:tcPr>
          <w:p w14:paraId="677273B6">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sz w:val="21"/>
                <w:szCs w:val="21"/>
                <w:highlight w:val="none"/>
                <w:lang w:eastAsia="zh-CN"/>
              </w:rPr>
              <w:t>提供《地震监测专业设备定型结果》或定型检测报告；或</w:t>
            </w:r>
            <w:r>
              <w:rPr>
                <w:rFonts w:hint="eastAsia" w:ascii="楷体" w:hAnsi="楷体" w:eastAsia="楷体" w:cs="楷体"/>
                <w:color w:val="auto"/>
                <w:sz w:val="21"/>
                <w:szCs w:val="21"/>
                <w:highlight w:val="none"/>
              </w:rPr>
              <w:t>结构原理图、照片、测试报告等证明材料</w:t>
            </w:r>
            <w:r>
              <w:rPr>
                <w:rFonts w:hint="eastAsia" w:ascii="楷体" w:hAnsi="楷体" w:eastAsia="楷体" w:cs="楷体"/>
                <w:color w:val="auto"/>
                <w:sz w:val="21"/>
                <w:szCs w:val="21"/>
                <w:highlight w:val="none"/>
                <w:lang w:eastAsia="zh-CN"/>
              </w:rPr>
              <w:t>；或</w:t>
            </w:r>
            <w:r>
              <w:rPr>
                <w:rFonts w:hint="eastAsia" w:ascii="楷体" w:hAnsi="楷体" w:eastAsia="楷体" w:cs="楷体"/>
                <w:color w:val="auto"/>
                <w:sz w:val="21"/>
                <w:szCs w:val="21"/>
                <w:highlight w:val="none"/>
              </w:rPr>
              <w:t>以中国地震局检测机构、中国地震台网中心或省级地震局出具的证明</w:t>
            </w:r>
          </w:p>
        </w:tc>
        <w:tc>
          <w:tcPr>
            <w:tcW w:w="619" w:type="dxa"/>
            <w:vMerge w:val="continue"/>
            <w:noWrap w:val="0"/>
            <w:vAlign w:val="center"/>
          </w:tcPr>
          <w:p w14:paraId="5243BB2C">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c>
          <w:tcPr>
            <w:tcW w:w="619" w:type="dxa"/>
            <w:vMerge w:val="continue"/>
            <w:noWrap w:val="0"/>
            <w:vAlign w:val="center"/>
          </w:tcPr>
          <w:p w14:paraId="7E7FD148">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r>
      <w:tr w14:paraId="65E87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noWrap w:val="0"/>
            <w:vAlign w:val="center"/>
          </w:tcPr>
          <w:p w14:paraId="2666745F">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eastAsia="zh-CN"/>
              </w:rPr>
            </w:pPr>
            <w:r>
              <w:rPr>
                <w:rFonts w:hint="eastAsia" w:ascii="楷体" w:hAnsi="楷体" w:eastAsia="楷体" w:cs="楷体"/>
                <w:color w:val="auto"/>
                <w:sz w:val="21"/>
                <w:szCs w:val="21"/>
                <w:highlight w:val="none"/>
                <w:lang w:val="en-US" w:eastAsia="zh-CN"/>
              </w:rPr>
              <w:t>9</w:t>
            </w:r>
          </w:p>
        </w:tc>
        <w:tc>
          <w:tcPr>
            <w:tcW w:w="754" w:type="dxa"/>
            <w:noWrap w:val="0"/>
            <w:vAlign w:val="center"/>
          </w:tcPr>
          <w:p w14:paraId="335F4495">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rPr>
            </w:pPr>
            <w:r>
              <w:rPr>
                <w:rFonts w:hint="eastAsia" w:ascii="楷体" w:hAnsi="楷体" w:eastAsia="楷体" w:cs="楷体"/>
                <w:color w:val="auto"/>
                <w:kern w:val="0"/>
                <w:sz w:val="21"/>
                <w:szCs w:val="21"/>
                <w:highlight w:val="none"/>
                <w:lang w:bidi="ar"/>
              </w:rPr>
              <w:t>声音报警</w:t>
            </w:r>
          </w:p>
        </w:tc>
        <w:tc>
          <w:tcPr>
            <w:tcW w:w="690" w:type="dxa"/>
            <w:noWrap w:val="0"/>
            <w:vAlign w:val="center"/>
          </w:tcPr>
          <w:p w14:paraId="1130E963">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w:t>
            </w:r>
          </w:p>
        </w:tc>
        <w:tc>
          <w:tcPr>
            <w:tcW w:w="4305" w:type="dxa"/>
            <w:noWrap w:val="0"/>
            <w:vAlign w:val="center"/>
          </w:tcPr>
          <w:p w14:paraId="2713993A">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1、具备声音告警功能，收到地震预警信息后，按照地震预警发布规则进行响应，通过语音播发/不播发预警信息内容。</w:t>
            </w:r>
          </w:p>
          <w:p w14:paraId="589E294B">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2、声音应符合《地震预警信息发布规程第1部分》第4章关于预警等级的相关要求和附录B中关于声音的要求。</w:t>
            </w:r>
          </w:p>
          <w:p w14:paraId="4E004CA9">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3、音频文件和音量大小可在终端管理平台配置。</w:t>
            </w:r>
          </w:p>
          <w:p w14:paraId="65B2BB34">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4、最大播发音量应距声源方向3m处的声压级应不小于75dB。</w:t>
            </w:r>
          </w:p>
        </w:tc>
        <w:tc>
          <w:tcPr>
            <w:tcW w:w="2213" w:type="dxa"/>
            <w:noWrap w:val="0"/>
            <w:vAlign w:val="center"/>
          </w:tcPr>
          <w:p w14:paraId="7924713C">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sz w:val="21"/>
                <w:szCs w:val="21"/>
                <w:highlight w:val="none"/>
                <w:lang w:eastAsia="zh-CN"/>
              </w:rPr>
              <w:t>提供《地震监测专业设备定型结果》或定型检测报告；或</w:t>
            </w:r>
            <w:r>
              <w:rPr>
                <w:rFonts w:hint="eastAsia" w:ascii="楷体" w:hAnsi="楷体" w:eastAsia="楷体" w:cs="楷体"/>
                <w:color w:val="auto"/>
                <w:sz w:val="21"/>
                <w:szCs w:val="21"/>
                <w:highlight w:val="none"/>
              </w:rPr>
              <w:t>结构原理图、照片、测试报告等证明材料</w:t>
            </w:r>
            <w:r>
              <w:rPr>
                <w:rFonts w:hint="eastAsia" w:ascii="楷体" w:hAnsi="楷体" w:eastAsia="楷体" w:cs="楷体"/>
                <w:color w:val="auto"/>
                <w:sz w:val="21"/>
                <w:szCs w:val="21"/>
                <w:highlight w:val="none"/>
                <w:lang w:eastAsia="zh-CN"/>
              </w:rPr>
              <w:t>；或</w:t>
            </w:r>
            <w:r>
              <w:rPr>
                <w:rFonts w:hint="eastAsia" w:ascii="楷体" w:hAnsi="楷体" w:eastAsia="楷体" w:cs="楷体"/>
                <w:color w:val="auto"/>
                <w:sz w:val="21"/>
                <w:szCs w:val="21"/>
                <w:highlight w:val="none"/>
              </w:rPr>
              <w:t>以中国地震局检测机构、中国地震台网中心或省级地震局出具的证明</w:t>
            </w:r>
          </w:p>
        </w:tc>
        <w:tc>
          <w:tcPr>
            <w:tcW w:w="619" w:type="dxa"/>
            <w:vMerge w:val="continue"/>
            <w:noWrap w:val="0"/>
            <w:vAlign w:val="center"/>
          </w:tcPr>
          <w:p w14:paraId="47215A0F">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c>
          <w:tcPr>
            <w:tcW w:w="619" w:type="dxa"/>
            <w:vMerge w:val="continue"/>
            <w:noWrap w:val="0"/>
            <w:vAlign w:val="center"/>
          </w:tcPr>
          <w:p w14:paraId="3F13E549">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r>
      <w:tr w14:paraId="12350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noWrap w:val="0"/>
            <w:vAlign w:val="center"/>
          </w:tcPr>
          <w:p w14:paraId="4C2B2380">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10</w:t>
            </w:r>
          </w:p>
        </w:tc>
        <w:tc>
          <w:tcPr>
            <w:tcW w:w="754" w:type="dxa"/>
            <w:noWrap w:val="0"/>
            <w:vAlign w:val="center"/>
          </w:tcPr>
          <w:p w14:paraId="4C47BC75">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rPr>
            </w:pPr>
            <w:r>
              <w:rPr>
                <w:rFonts w:hint="eastAsia" w:ascii="楷体" w:hAnsi="楷体" w:eastAsia="楷体" w:cs="楷体"/>
                <w:color w:val="auto"/>
                <w:kern w:val="0"/>
                <w:sz w:val="21"/>
                <w:szCs w:val="21"/>
                <w:highlight w:val="none"/>
                <w:lang w:bidi="ar"/>
              </w:rPr>
              <w:t>灯光报警</w:t>
            </w:r>
          </w:p>
        </w:tc>
        <w:tc>
          <w:tcPr>
            <w:tcW w:w="690" w:type="dxa"/>
            <w:noWrap w:val="0"/>
            <w:vAlign w:val="center"/>
          </w:tcPr>
          <w:p w14:paraId="41AA4EA8">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w:t>
            </w:r>
          </w:p>
        </w:tc>
        <w:tc>
          <w:tcPr>
            <w:tcW w:w="4305" w:type="dxa"/>
            <w:noWrap w:val="0"/>
            <w:vAlign w:val="center"/>
          </w:tcPr>
          <w:p w14:paraId="1089C28D">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1、收到地震预警信息后，按照地震预警发布规则进行灯光闪烁。</w:t>
            </w:r>
          </w:p>
          <w:p w14:paraId="7B6C8F02">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2、灯光显示符合《地震预警信息发布规程第 1 部分》第 4 章关于预警等级的相关要求和附录 A 中关于图标颜色的要求。</w:t>
            </w:r>
          </w:p>
          <w:p w14:paraId="721178D2">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3、灯光响应可根据地震预警发布规则在终端管理平台配置。</w:t>
            </w:r>
          </w:p>
          <w:p w14:paraId="3D276ABE">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4. 灯光闪烁频率可设置，默认闪烁频率为3Hz至6Hz之间。</w:t>
            </w:r>
          </w:p>
        </w:tc>
        <w:tc>
          <w:tcPr>
            <w:tcW w:w="2213" w:type="dxa"/>
            <w:noWrap w:val="0"/>
            <w:vAlign w:val="center"/>
          </w:tcPr>
          <w:p w14:paraId="130A6692">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sz w:val="21"/>
                <w:szCs w:val="21"/>
                <w:highlight w:val="none"/>
                <w:lang w:eastAsia="zh-CN"/>
              </w:rPr>
              <w:t>提供《地震监测专业设备定型结果》或定型检测报告；或</w:t>
            </w:r>
            <w:r>
              <w:rPr>
                <w:rFonts w:hint="eastAsia" w:ascii="楷体" w:hAnsi="楷体" w:eastAsia="楷体" w:cs="楷体"/>
                <w:color w:val="auto"/>
                <w:sz w:val="21"/>
                <w:szCs w:val="21"/>
                <w:highlight w:val="none"/>
              </w:rPr>
              <w:t>结构原理图、照片、测试报告等证明材料</w:t>
            </w:r>
            <w:r>
              <w:rPr>
                <w:rFonts w:hint="eastAsia" w:ascii="楷体" w:hAnsi="楷体" w:eastAsia="楷体" w:cs="楷体"/>
                <w:color w:val="auto"/>
                <w:sz w:val="21"/>
                <w:szCs w:val="21"/>
                <w:highlight w:val="none"/>
                <w:lang w:eastAsia="zh-CN"/>
              </w:rPr>
              <w:t>；或</w:t>
            </w:r>
            <w:r>
              <w:rPr>
                <w:rFonts w:hint="eastAsia" w:ascii="楷体" w:hAnsi="楷体" w:eastAsia="楷体" w:cs="楷体"/>
                <w:color w:val="auto"/>
                <w:sz w:val="21"/>
                <w:szCs w:val="21"/>
                <w:highlight w:val="none"/>
              </w:rPr>
              <w:t>以中国地震局检测机构、中国地震台网中心或省级地震局出具的证明</w:t>
            </w:r>
          </w:p>
        </w:tc>
        <w:tc>
          <w:tcPr>
            <w:tcW w:w="619" w:type="dxa"/>
            <w:vMerge w:val="continue"/>
            <w:noWrap w:val="0"/>
            <w:vAlign w:val="center"/>
          </w:tcPr>
          <w:p w14:paraId="615E67D4">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c>
          <w:tcPr>
            <w:tcW w:w="619" w:type="dxa"/>
            <w:vMerge w:val="continue"/>
            <w:noWrap w:val="0"/>
            <w:vAlign w:val="center"/>
          </w:tcPr>
          <w:p w14:paraId="28185CB9">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r>
      <w:tr w14:paraId="10920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noWrap w:val="0"/>
            <w:vAlign w:val="center"/>
          </w:tcPr>
          <w:p w14:paraId="6FF51563">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11</w:t>
            </w:r>
          </w:p>
        </w:tc>
        <w:tc>
          <w:tcPr>
            <w:tcW w:w="754" w:type="dxa"/>
            <w:noWrap w:val="0"/>
            <w:vAlign w:val="center"/>
          </w:tcPr>
          <w:p w14:paraId="05E916D8">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rPr>
            </w:pPr>
            <w:r>
              <w:rPr>
                <w:rFonts w:hint="eastAsia" w:ascii="楷体" w:hAnsi="楷体" w:eastAsia="楷体" w:cs="楷体"/>
                <w:color w:val="auto"/>
                <w:kern w:val="0"/>
                <w:sz w:val="21"/>
                <w:szCs w:val="21"/>
                <w:highlight w:val="none"/>
                <w:lang w:bidi="ar"/>
              </w:rPr>
              <w:t>预警取消</w:t>
            </w:r>
          </w:p>
        </w:tc>
        <w:tc>
          <w:tcPr>
            <w:tcW w:w="690" w:type="dxa"/>
            <w:noWrap w:val="0"/>
            <w:vAlign w:val="center"/>
          </w:tcPr>
          <w:p w14:paraId="1B805BCD">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w:t>
            </w:r>
          </w:p>
        </w:tc>
        <w:tc>
          <w:tcPr>
            <w:tcW w:w="4305" w:type="dxa"/>
            <w:noWrap w:val="0"/>
            <w:vAlign w:val="center"/>
          </w:tcPr>
          <w:p w14:paraId="6BE16D62">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接收预警取消信息后，终端能立即停止播发当前正在播发的预警信息，并提示地震预警取消信息。</w:t>
            </w:r>
          </w:p>
        </w:tc>
        <w:tc>
          <w:tcPr>
            <w:tcW w:w="2213" w:type="dxa"/>
            <w:noWrap w:val="0"/>
            <w:vAlign w:val="center"/>
          </w:tcPr>
          <w:p w14:paraId="1FF9C189">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sz w:val="21"/>
                <w:szCs w:val="21"/>
                <w:highlight w:val="none"/>
                <w:lang w:eastAsia="zh-CN"/>
              </w:rPr>
              <w:t>提供《地震监测专业设备定型结果》或定型检测报告；或</w:t>
            </w:r>
            <w:r>
              <w:rPr>
                <w:rFonts w:hint="eastAsia" w:ascii="楷体" w:hAnsi="楷体" w:eastAsia="楷体" w:cs="楷体"/>
                <w:color w:val="auto"/>
                <w:sz w:val="21"/>
                <w:szCs w:val="21"/>
                <w:highlight w:val="none"/>
              </w:rPr>
              <w:t>结构原理图、照片、测试报告等证明材料</w:t>
            </w:r>
            <w:r>
              <w:rPr>
                <w:rFonts w:hint="eastAsia" w:ascii="楷体" w:hAnsi="楷体" w:eastAsia="楷体" w:cs="楷体"/>
                <w:color w:val="auto"/>
                <w:sz w:val="21"/>
                <w:szCs w:val="21"/>
                <w:highlight w:val="none"/>
                <w:lang w:eastAsia="zh-CN"/>
              </w:rPr>
              <w:t>；或</w:t>
            </w:r>
            <w:r>
              <w:rPr>
                <w:rFonts w:hint="eastAsia" w:ascii="楷体" w:hAnsi="楷体" w:eastAsia="楷体" w:cs="楷体"/>
                <w:color w:val="auto"/>
                <w:sz w:val="21"/>
                <w:szCs w:val="21"/>
                <w:highlight w:val="none"/>
              </w:rPr>
              <w:t>以中国地震局检测机构、中国地震台网中心或省级地震局出具的证明</w:t>
            </w:r>
          </w:p>
        </w:tc>
        <w:tc>
          <w:tcPr>
            <w:tcW w:w="619" w:type="dxa"/>
            <w:vMerge w:val="continue"/>
            <w:noWrap w:val="0"/>
            <w:vAlign w:val="center"/>
          </w:tcPr>
          <w:p w14:paraId="293F105D">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c>
          <w:tcPr>
            <w:tcW w:w="619" w:type="dxa"/>
            <w:vMerge w:val="continue"/>
            <w:noWrap w:val="0"/>
            <w:vAlign w:val="center"/>
          </w:tcPr>
          <w:p w14:paraId="3609A759">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r>
      <w:tr w14:paraId="6DF81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noWrap w:val="0"/>
            <w:vAlign w:val="center"/>
          </w:tcPr>
          <w:p w14:paraId="00D5BC19">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12</w:t>
            </w:r>
          </w:p>
        </w:tc>
        <w:tc>
          <w:tcPr>
            <w:tcW w:w="754" w:type="dxa"/>
            <w:noWrap w:val="0"/>
            <w:vAlign w:val="center"/>
          </w:tcPr>
          <w:p w14:paraId="2AD75A5D">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rPr>
            </w:pPr>
            <w:r>
              <w:rPr>
                <w:rFonts w:hint="eastAsia" w:ascii="楷体" w:hAnsi="楷体" w:eastAsia="楷体" w:cs="楷体"/>
                <w:color w:val="auto"/>
                <w:kern w:val="0"/>
                <w:sz w:val="21"/>
                <w:szCs w:val="21"/>
                <w:highlight w:val="none"/>
                <w:lang w:bidi="ar"/>
              </w:rPr>
              <w:t>响应时间</w:t>
            </w:r>
          </w:p>
        </w:tc>
        <w:tc>
          <w:tcPr>
            <w:tcW w:w="690" w:type="dxa"/>
            <w:noWrap w:val="0"/>
            <w:vAlign w:val="center"/>
          </w:tcPr>
          <w:p w14:paraId="162FB38B">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w:t>
            </w:r>
          </w:p>
        </w:tc>
        <w:tc>
          <w:tcPr>
            <w:tcW w:w="4305" w:type="dxa"/>
            <w:noWrap w:val="0"/>
            <w:vAlign w:val="center"/>
          </w:tcPr>
          <w:p w14:paraId="23974CEF">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自收到信息开始至终端开始通过声/光等方式响应的时间不超过0.5秒</w:t>
            </w:r>
          </w:p>
        </w:tc>
        <w:tc>
          <w:tcPr>
            <w:tcW w:w="2213" w:type="dxa"/>
            <w:noWrap w:val="0"/>
            <w:vAlign w:val="center"/>
          </w:tcPr>
          <w:p w14:paraId="02A45CC7">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sz w:val="21"/>
                <w:szCs w:val="21"/>
                <w:highlight w:val="none"/>
                <w:lang w:eastAsia="zh-CN"/>
              </w:rPr>
              <w:t>提供《地震监测专业设备定型结果》或定型检测报告；或</w:t>
            </w:r>
            <w:r>
              <w:rPr>
                <w:rFonts w:hint="eastAsia" w:ascii="楷体" w:hAnsi="楷体" w:eastAsia="楷体" w:cs="楷体"/>
                <w:color w:val="auto"/>
                <w:sz w:val="21"/>
                <w:szCs w:val="21"/>
                <w:highlight w:val="none"/>
              </w:rPr>
              <w:t>结构原理图、照片、测试报告等证明材料</w:t>
            </w:r>
            <w:r>
              <w:rPr>
                <w:rFonts w:hint="eastAsia" w:ascii="楷体" w:hAnsi="楷体" w:eastAsia="楷体" w:cs="楷体"/>
                <w:color w:val="auto"/>
                <w:sz w:val="21"/>
                <w:szCs w:val="21"/>
                <w:highlight w:val="none"/>
                <w:lang w:eastAsia="zh-CN"/>
              </w:rPr>
              <w:t>；或</w:t>
            </w:r>
            <w:r>
              <w:rPr>
                <w:rFonts w:hint="eastAsia" w:ascii="楷体" w:hAnsi="楷体" w:eastAsia="楷体" w:cs="楷体"/>
                <w:color w:val="auto"/>
                <w:sz w:val="21"/>
                <w:szCs w:val="21"/>
                <w:highlight w:val="none"/>
              </w:rPr>
              <w:t>以中国地震局检测机构、中国地震台网中心或省级地震局出具的证明</w:t>
            </w:r>
          </w:p>
        </w:tc>
        <w:tc>
          <w:tcPr>
            <w:tcW w:w="619" w:type="dxa"/>
            <w:vMerge w:val="continue"/>
            <w:noWrap w:val="0"/>
            <w:vAlign w:val="center"/>
          </w:tcPr>
          <w:p w14:paraId="583B78EA">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c>
          <w:tcPr>
            <w:tcW w:w="619" w:type="dxa"/>
            <w:vMerge w:val="continue"/>
            <w:noWrap w:val="0"/>
            <w:vAlign w:val="center"/>
          </w:tcPr>
          <w:p w14:paraId="144AF016">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r>
      <w:tr w14:paraId="4D45B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noWrap w:val="0"/>
            <w:vAlign w:val="center"/>
          </w:tcPr>
          <w:p w14:paraId="0C177D07">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13</w:t>
            </w:r>
          </w:p>
        </w:tc>
        <w:tc>
          <w:tcPr>
            <w:tcW w:w="754" w:type="dxa"/>
            <w:noWrap w:val="0"/>
            <w:vAlign w:val="center"/>
          </w:tcPr>
          <w:p w14:paraId="672064A5">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rPr>
            </w:pPr>
            <w:r>
              <w:rPr>
                <w:rFonts w:hint="eastAsia" w:ascii="楷体" w:hAnsi="楷体" w:eastAsia="楷体" w:cs="楷体"/>
                <w:color w:val="auto"/>
                <w:kern w:val="0"/>
                <w:sz w:val="21"/>
                <w:szCs w:val="21"/>
                <w:highlight w:val="none"/>
                <w:lang w:bidi="ar"/>
              </w:rPr>
              <w:t>信息安全</w:t>
            </w:r>
          </w:p>
        </w:tc>
        <w:tc>
          <w:tcPr>
            <w:tcW w:w="690" w:type="dxa"/>
            <w:noWrap w:val="0"/>
            <w:vAlign w:val="center"/>
          </w:tcPr>
          <w:p w14:paraId="5635684C">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w:t>
            </w:r>
          </w:p>
        </w:tc>
        <w:tc>
          <w:tcPr>
            <w:tcW w:w="4305" w:type="dxa"/>
            <w:noWrap w:val="0"/>
            <w:vAlign w:val="center"/>
          </w:tcPr>
          <w:p w14:paraId="0ACC0883">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接收和发送信息具备数字证书认证功能，以保障传输信息的安全。数字证书的正常与否应记录在日志中。</w:t>
            </w:r>
          </w:p>
        </w:tc>
        <w:tc>
          <w:tcPr>
            <w:tcW w:w="2213" w:type="dxa"/>
            <w:noWrap w:val="0"/>
            <w:vAlign w:val="center"/>
          </w:tcPr>
          <w:p w14:paraId="4BE9E239">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sz w:val="21"/>
                <w:szCs w:val="21"/>
                <w:highlight w:val="none"/>
                <w:lang w:eastAsia="zh-CN"/>
              </w:rPr>
              <w:t>提供《地震监测专业设备定型结果》或定型检测报告；或</w:t>
            </w:r>
            <w:r>
              <w:rPr>
                <w:rFonts w:hint="eastAsia" w:ascii="楷体" w:hAnsi="楷体" w:eastAsia="楷体" w:cs="楷体"/>
                <w:color w:val="auto"/>
                <w:sz w:val="21"/>
                <w:szCs w:val="21"/>
                <w:highlight w:val="none"/>
              </w:rPr>
              <w:t>结构原理图、照片、测试报告等证明材料</w:t>
            </w:r>
            <w:r>
              <w:rPr>
                <w:rFonts w:hint="eastAsia" w:ascii="楷体" w:hAnsi="楷体" w:eastAsia="楷体" w:cs="楷体"/>
                <w:color w:val="auto"/>
                <w:sz w:val="21"/>
                <w:szCs w:val="21"/>
                <w:highlight w:val="none"/>
                <w:lang w:eastAsia="zh-CN"/>
              </w:rPr>
              <w:t>；或</w:t>
            </w:r>
            <w:r>
              <w:rPr>
                <w:rFonts w:hint="eastAsia" w:ascii="楷体" w:hAnsi="楷体" w:eastAsia="楷体" w:cs="楷体"/>
                <w:color w:val="auto"/>
                <w:sz w:val="21"/>
                <w:szCs w:val="21"/>
                <w:highlight w:val="none"/>
              </w:rPr>
              <w:t>以中国地震局检测机构、中国地震台网中心或省级地震局出具的证明</w:t>
            </w:r>
          </w:p>
        </w:tc>
        <w:tc>
          <w:tcPr>
            <w:tcW w:w="619" w:type="dxa"/>
            <w:vMerge w:val="continue"/>
            <w:noWrap w:val="0"/>
            <w:vAlign w:val="center"/>
          </w:tcPr>
          <w:p w14:paraId="60003B11">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c>
          <w:tcPr>
            <w:tcW w:w="619" w:type="dxa"/>
            <w:vMerge w:val="continue"/>
            <w:noWrap w:val="0"/>
            <w:vAlign w:val="center"/>
          </w:tcPr>
          <w:p w14:paraId="70CA7D18">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r>
      <w:tr w14:paraId="18055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noWrap w:val="0"/>
            <w:vAlign w:val="center"/>
          </w:tcPr>
          <w:p w14:paraId="28692352">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14</w:t>
            </w:r>
          </w:p>
        </w:tc>
        <w:tc>
          <w:tcPr>
            <w:tcW w:w="754" w:type="dxa"/>
            <w:noWrap w:val="0"/>
            <w:vAlign w:val="center"/>
          </w:tcPr>
          <w:p w14:paraId="1AC68597">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rPr>
            </w:pPr>
            <w:r>
              <w:rPr>
                <w:rFonts w:hint="eastAsia" w:ascii="楷体" w:hAnsi="楷体" w:eastAsia="楷体" w:cs="楷体"/>
                <w:color w:val="auto"/>
                <w:kern w:val="0"/>
                <w:sz w:val="21"/>
                <w:szCs w:val="21"/>
                <w:highlight w:val="none"/>
                <w:lang w:bidi="ar"/>
              </w:rPr>
              <w:t>时间服务</w:t>
            </w:r>
          </w:p>
        </w:tc>
        <w:tc>
          <w:tcPr>
            <w:tcW w:w="690" w:type="dxa"/>
            <w:noWrap w:val="0"/>
            <w:vAlign w:val="center"/>
          </w:tcPr>
          <w:p w14:paraId="4DD05637">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w:t>
            </w:r>
          </w:p>
        </w:tc>
        <w:tc>
          <w:tcPr>
            <w:tcW w:w="4305" w:type="dxa"/>
            <w:noWrap w:val="0"/>
            <w:vAlign w:val="center"/>
          </w:tcPr>
          <w:p w14:paraId="347854AB">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1、具有通过网络授时（NTP）的功能，NTP服务器可配置。</w:t>
            </w:r>
          </w:p>
          <w:p w14:paraId="54284AB9">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2、授时钟差优于1/10秒，授时频次可配置，默认不低于1次/小时。</w:t>
            </w:r>
          </w:p>
          <w:p w14:paraId="30AB3F17">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3、断电或断网恢复后，应在10秒内进行重新授时。</w:t>
            </w:r>
          </w:p>
        </w:tc>
        <w:tc>
          <w:tcPr>
            <w:tcW w:w="2213" w:type="dxa"/>
            <w:noWrap w:val="0"/>
            <w:vAlign w:val="center"/>
          </w:tcPr>
          <w:p w14:paraId="3DA4C813">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sz w:val="21"/>
                <w:szCs w:val="21"/>
                <w:highlight w:val="none"/>
                <w:lang w:eastAsia="zh-CN"/>
              </w:rPr>
              <w:t>提供《地震监测专业设备定型结果》或定型检测报告；或</w:t>
            </w:r>
            <w:r>
              <w:rPr>
                <w:rFonts w:hint="eastAsia" w:ascii="楷体" w:hAnsi="楷体" w:eastAsia="楷体" w:cs="楷体"/>
                <w:color w:val="auto"/>
                <w:sz w:val="21"/>
                <w:szCs w:val="21"/>
                <w:highlight w:val="none"/>
              </w:rPr>
              <w:t>结构原理图、照片、测试报告等证明材料</w:t>
            </w:r>
            <w:r>
              <w:rPr>
                <w:rFonts w:hint="eastAsia" w:ascii="楷体" w:hAnsi="楷体" w:eastAsia="楷体" w:cs="楷体"/>
                <w:color w:val="auto"/>
                <w:sz w:val="21"/>
                <w:szCs w:val="21"/>
                <w:highlight w:val="none"/>
                <w:lang w:eastAsia="zh-CN"/>
              </w:rPr>
              <w:t>；或</w:t>
            </w:r>
            <w:r>
              <w:rPr>
                <w:rFonts w:hint="eastAsia" w:ascii="楷体" w:hAnsi="楷体" w:eastAsia="楷体" w:cs="楷体"/>
                <w:color w:val="auto"/>
                <w:sz w:val="21"/>
                <w:szCs w:val="21"/>
                <w:highlight w:val="none"/>
              </w:rPr>
              <w:t>以中国地震局检测机构、中国地震台网中心或省级地震局出具的证明</w:t>
            </w:r>
          </w:p>
        </w:tc>
        <w:tc>
          <w:tcPr>
            <w:tcW w:w="619" w:type="dxa"/>
            <w:vMerge w:val="continue"/>
            <w:noWrap w:val="0"/>
            <w:vAlign w:val="center"/>
          </w:tcPr>
          <w:p w14:paraId="5E401C28">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c>
          <w:tcPr>
            <w:tcW w:w="619" w:type="dxa"/>
            <w:vMerge w:val="continue"/>
            <w:noWrap w:val="0"/>
            <w:vAlign w:val="center"/>
          </w:tcPr>
          <w:p w14:paraId="479750AE">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r>
      <w:tr w14:paraId="4BF3B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noWrap w:val="0"/>
            <w:vAlign w:val="center"/>
          </w:tcPr>
          <w:p w14:paraId="2B520167">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15</w:t>
            </w:r>
          </w:p>
        </w:tc>
        <w:tc>
          <w:tcPr>
            <w:tcW w:w="754" w:type="dxa"/>
            <w:noWrap w:val="0"/>
            <w:vAlign w:val="center"/>
          </w:tcPr>
          <w:p w14:paraId="2CFD41E9">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rPr>
            </w:pPr>
            <w:r>
              <w:rPr>
                <w:rFonts w:hint="eastAsia" w:ascii="楷体" w:hAnsi="楷体" w:eastAsia="楷体" w:cs="楷体"/>
                <w:color w:val="auto"/>
                <w:kern w:val="0"/>
                <w:sz w:val="21"/>
                <w:szCs w:val="21"/>
                <w:highlight w:val="none"/>
                <w:lang w:bidi="ar"/>
              </w:rPr>
              <w:t>通信</w:t>
            </w:r>
          </w:p>
        </w:tc>
        <w:tc>
          <w:tcPr>
            <w:tcW w:w="690" w:type="dxa"/>
            <w:noWrap w:val="0"/>
            <w:vAlign w:val="center"/>
          </w:tcPr>
          <w:p w14:paraId="65309F70">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w:t>
            </w:r>
          </w:p>
        </w:tc>
        <w:tc>
          <w:tcPr>
            <w:tcW w:w="4305" w:type="dxa"/>
            <w:noWrap w:val="0"/>
            <w:vAlign w:val="center"/>
          </w:tcPr>
          <w:p w14:paraId="468F0941">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1、支持并提供RJ45有线网络和 Wi-Fi 方式进行通信。</w:t>
            </w:r>
          </w:p>
          <w:p w14:paraId="639DD06D">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2、支持使用4G以上制式的移动通信网络（含物联网卡）进行通信，同时支持联通、电信和移动等运营商。</w:t>
            </w:r>
          </w:p>
        </w:tc>
        <w:tc>
          <w:tcPr>
            <w:tcW w:w="2213" w:type="dxa"/>
            <w:noWrap w:val="0"/>
            <w:vAlign w:val="center"/>
          </w:tcPr>
          <w:p w14:paraId="343652EA">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sz w:val="21"/>
                <w:szCs w:val="21"/>
                <w:highlight w:val="none"/>
                <w:lang w:eastAsia="zh-CN"/>
              </w:rPr>
              <w:t>提供《地震监测专业设备定型结果》或定型检测报告；或</w:t>
            </w:r>
            <w:r>
              <w:rPr>
                <w:rFonts w:hint="eastAsia" w:ascii="楷体" w:hAnsi="楷体" w:eastAsia="楷体" w:cs="楷体"/>
                <w:color w:val="auto"/>
                <w:sz w:val="21"/>
                <w:szCs w:val="21"/>
                <w:highlight w:val="none"/>
              </w:rPr>
              <w:t>结构原理图、照片、测试报告等证明材料</w:t>
            </w:r>
            <w:r>
              <w:rPr>
                <w:rFonts w:hint="eastAsia" w:ascii="楷体" w:hAnsi="楷体" w:eastAsia="楷体" w:cs="楷体"/>
                <w:color w:val="auto"/>
                <w:sz w:val="21"/>
                <w:szCs w:val="21"/>
                <w:highlight w:val="none"/>
                <w:lang w:eastAsia="zh-CN"/>
              </w:rPr>
              <w:t>；或</w:t>
            </w:r>
            <w:r>
              <w:rPr>
                <w:rFonts w:hint="eastAsia" w:ascii="楷体" w:hAnsi="楷体" w:eastAsia="楷体" w:cs="楷体"/>
                <w:color w:val="auto"/>
                <w:sz w:val="21"/>
                <w:szCs w:val="21"/>
                <w:highlight w:val="none"/>
              </w:rPr>
              <w:t>以中国地震局检测机构、中国地震台网中心或省级地震局出具的证明</w:t>
            </w:r>
          </w:p>
        </w:tc>
        <w:tc>
          <w:tcPr>
            <w:tcW w:w="619" w:type="dxa"/>
            <w:vMerge w:val="continue"/>
            <w:noWrap w:val="0"/>
            <w:vAlign w:val="center"/>
          </w:tcPr>
          <w:p w14:paraId="563DABE2">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c>
          <w:tcPr>
            <w:tcW w:w="619" w:type="dxa"/>
            <w:vMerge w:val="continue"/>
            <w:noWrap w:val="0"/>
            <w:vAlign w:val="center"/>
          </w:tcPr>
          <w:p w14:paraId="489A8ECF">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r>
      <w:tr w14:paraId="1057F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noWrap w:val="0"/>
            <w:vAlign w:val="center"/>
          </w:tcPr>
          <w:p w14:paraId="61171B05">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16</w:t>
            </w:r>
          </w:p>
        </w:tc>
        <w:tc>
          <w:tcPr>
            <w:tcW w:w="754" w:type="dxa"/>
            <w:noWrap w:val="0"/>
            <w:vAlign w:val="center"/>
          </w:tcPr>
          <w:p w14:paraId="08A2DE65">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rPr>
            </w:pPr>
            <w:r>
              <w:rPr>
                <w:rFonts w:hint="eastAsia" w:ascii="楷体" w:hAnsi="楷体" w:eastAsia="楷体" w:cs="楷体"/>
                <w:color w:val="auto"/>
                <w:kern w:val="0"/>
                <w:sz w:val="21"/>
                <w:szCs w:val="21"/>
                <w:highlight w:val="none"/>
                <w:lang w:bidi="ar"/>
              </w:rPr>
              <w:t>断电（网）重连和记忆</w:t>
            </w:r>
          </w:p>
        </w:tc>
        <w:tc>
          <w:tcPr>
            <w:tcW w:w="690" w:type="dxa"/>
            <w:noWrap w:val="0"/>
            <w:vAlign w:val="center"/>
          </w:tcPr>
          <w:p w14:paraId="474D2CBF">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w:t>
            </w:r>
          </w:p>
        </w:tc>
        <w:tc>
          <w:tcPr>
            <w:tcW w:w="4305" w:type="dxa"/>
            <w:noWrap w:val="0"/>
            <w:vAlign w:val="center"/>
          </w:tcPr>
          <w:p w14:paraId="218CA08C">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1、终端断电（网）恢复后，具备主动重连功能。</w:t>
            </w:r>
          </w:p>
          <w:p w14:paraId="676373BE">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2、终端设备断电重连时，能够重复使用断电前的设备配置信息。</w:t>
            </w:r>
          </w:p>
        </w:tc>
        <w:tc>
          <w:tcPr>
            <w:tcW w:w="2213" w:type="dxa"/>
            <w:noWrap w:val="0"/>
            <w:vAlign w:val="center"/>
          </w:tcPr>
          <w:p w14:paraId="77345A2B">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sz w:val="21"/>
                <w:szCs w:val="21"/>
                <w:highlight w:val="none"/>
                <w:lang w:eastAsia="zh-CN"/>
              </w:rPr>
              <w:t>提供《地震监测专业设备定型结果》或定型检测报告；或</w:t>
            </w:r>
            <w:r>
              <w:rPr>
                <w:rFonts w:hint="eastAsia" w:ascii="楷体" w:hAnsi="楷体" w:eastAsia="楷体" w:cs="楷体"/>
                <w:color w:val="auto"/>
                <w:sz w:val="21"/>
                <w:szCs w:val="21"/>
                <w:highlight w:val="none"/>
              </w:rPr>
              <w:t>结构原理图、照片、测试报告等证明材料</w:t>
            </w:r>
            <w:r>
              <w:rPr>
                <w:rFonts w:hint="eastAsia" w:ascii="楷体" w:hAnsi="楷体" w:eastAsia="楷体" w:cs="楷体"/>
                <w:color w:val="auto"/>
                <w:sz w:val="21"/>
                <w:szCs w:val="21"/>
                <w:highlight w:val="none"/>
                <w:lang w:eastAsia="zh-CN"/>
              </w:rPr>
              <w:t>；或</w:t>
            </w:r>
            <w:r>
              <w:rPr>
                <w:rFonts w:hint="eastAsia" w:ascii="楷体" w:hAnsi="楷体" w:eastAsia="楷体" w:cs="楷体"/>
                <w:color w:val="auto"/>
                <w:sz w:val="21"/>
                <w:szCs w:val="21"/>
                <w:highlight w:val="none"/>
              </w:rPr>
              <w:t>以中国地震局检测机构、中国地震台网中心或省级地震局出具的证明</w:t>
            </w:r>
          </w:p>
        </w:tc>
        <w:tc>
          <w:tcPr>
            <w:tcW w:w="619" w:type="dxa"/>
            <w:vMerge w:val="continue"/>
            <w:noWrap w:val="0"/>
            <w:vAlign w:val="center"/>
          </w:tcPr>
          <w:p w14:paraId="2173A886">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c>
          <w:tcPr>
            <w:tcW w:w="619" w:type="dxa"/>
            <w:vMerge w:val="continue"/>
            <w:noWrap w:val="0"/>
            <w:vAlign w:val="center"/>
          </w:tcPr>
          <w:p w14:paraId="614DD917">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r>
      <w:tr w14:paraId="23674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noWrap w:val="0"/>
            <w:vAlign w:val="center"/>
          </w:tcPr>
          <w:p w14:paraId="3B49850C">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17</w:t>
            </w:r>
          </w:p>
        </w:tc>
        <w:tc>
          <w:tcPr>
            <w:tcW w:w="754" w:type="dxa"/>
            <w:noWrap w:val="0"/>
            <w:vAlign w:val="center"/>
          </w:tcPr>
          <w:p w14:paraId="59EE41D4">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rPr>
            </w:pPr>
            <w:r>
              <w:rPr>
                <w:rFonts w:hint="eastAsia" w:ascii="楷体" w:hAnsi="楷体" w:eastAsia="楷体" w:cs="楷体"/>
                <w:color w:val="auto"/>
                <w:kern w:val="0"/>
                <w:sz w:val="21"/>
                <w:szCs w:val="21"/>
                <w:highlight w:val="none"/>
                <w:lang w:bidi="ar"/>
              </w:rPr>
              <w:t>电源适应性</w:t>
            </w:r>
          </w:p>
        </w:tc>
        <w:tc>
          <w:tcPr>
            <w:tcW w:w="690" w:type="dxa"/>
            <w:noWrap w:val="0"/>
            <w:vAlign w:val="center"/>
          </w:tcPr>
          <w:p w14:paraId="79A3487A">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w:t>
            </w:r>
          </w:p>
        </w:tc>
        <w:tc>
          <w:tcPr>
            <w:tcW w:w="4305" w:type="dxa"/>
            <w:noWrap w:val="0"/>
            <w:vAlign w:val="center"/>
          </w:tcPr>
          <w:p w14:paraId="5FF3E7C6">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采用可编程式供电电源对终端进行测试，终端正常运行的供电电源适应性达到或优于稳态电压220×（1±10%）V。</w:t>
            </w:r>
          </w:p>
        </w:tc>
        <w:tc>
          <w:tcPr>
            <w:tcW w:w="2213" w:type="dxa"/>
            <w:noWrap w:val="0"/>
            <w:vAlign w:val="center"/>
          </w:tcPr>
          <w:p w14:paraId="4402A5C0">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sz w:val="21"/>
                <w:szCs w:val="21"/>
                <w:highlight w:val="none"/>
                <w:lang w:eastAsia="zh-CN"/>
              </w:rPr>
              <w:t>提供《地震监测专业设备定型结果》或定型检测报告；或</w:t>
            </w:r>
            <w:r>
              <w:rPr>
                <w:rFonts w:hint="eastAsia" w:ascii="楷体" w:hAnsi="楷体" w:eastAsia="楷体" w:cs="楷体"/>
                <w:color w:val="auto"/>
                <w:sz w:val="21"/>
                <w:szCs w:val="21"/>
                <w:highlight w:val="none"/>
              </w:rPr>
              <w:t>结构原理图、照片、测试报告等证明材料</w:t>
            </w:r>
            <w:r>
              <w:rPr>
                <w:rFonts w:hint="eastAsia" w:ascii="楷体" w:hAnsi="楷体" w:eastAsia="楷体" w:cs="楷体"/>
                <w:color w:val="auto"/>
                <w:sz w:val="21"/>
                <w:szCs w:val="21"/>
                <w:highlight w:val="none"/>
                <w:lang w:eastAsia="zh-CN"/>
              </w:rPr>
              <w:t>；或</w:t>
            </w:r>
            <w:r>
              <w:rPr>
                <w:rFonts w:hint="eastAsia" w:ascii="楷体" w:hAnsi="楷体" w:eastAsia="楷体" w:cs="楷体"/>
                <w:color w:val="auto"/>
                <w:sz w:val="21"/>
                <w:szCs w:val="21"/>
                <w:highlight w:val="none"/>
              </w:rPr>
              <w:t>以中国地震局检测机构、中国地震台网中心或省级地震局出具的证明</w:t>
            </w:r>
          </w:p>
        </w:tc>
        <w:tc>
          <w:tcPr>
            <w:tcW w:w="619" w:type="dxa"/>
            <w:vMerge w:val="continue"/>
            <w:noWrap w:val="0"/>
            <w:vAlign w:val="center"/>
          </w:tcPr>
          <w:p w14:paraId="3BB7AEA4">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c>
          <w:tcPr>
            <w:tcW w:w="619" w:type="dxa"/>
            <w:vMerge w:val="continue"/>
            <w:noWrap w:val="0"/>
            <w:vAlign w:val="center"/>
          </w:tcPr>
          <w:p w14:paraId="6FB4B403">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r>
      <w:tr w14:paraId="37D79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noWrap w:val="0"/>
            <w:vAlign w:val="center"/>
          </w:tcPr>
          <w:p w14:paraId="12161FCC">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18</w:t>
            </w:r>
          </w:p>
        </w:tc>
        <w:tc>
          <w:tcPr>
            <w:tcW w:w="754" w:type="dxa"/>
            <w:noWrap w:val="0"/>
            <w:vAlign w:val="center"/>
          </w:tcPr>
          <w:p w14:paraId="610D7969">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sz w:val="21"/>
                <w:szCs w:val="21"/>
                <w:highlight w:val="none"/>
                <w:lang w:val="en-US" w:eastAsia="zh-CN"/>
              </w:rPr>
              <w:t>预警服务</w:t>
            </w:r>
          </w:p>
        </w:tc>
        <w:tc>
          <w:tcPr>
            <w:tcW w:w="690" w:type="dxa"/>
            <w:noWrap w:val="0"/>
            <w:vAlign w:val="center"/>
          </w:tcPr>
          <w:p w14:paraId="5F7C0F54">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w:t>
            </w:r>
          </w:p>
        </w:tc>
        <w:tc>
          <w:tcPr>
            <w:tcW w:w="4305" w:type="dxa"/>
            <w:noWrap w:val="0"/>
            <w:vAlign w:val="center"/>
          </w:tcPr>
          <w:p w14:paraId="434195FE">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val="en-US" w:eastAsia="zh-CN" w:bidi="ar"/>
              </w:rPr>
            </w:pPr>
            <w:r>
              <w:rPr>
                <w:rFonts w:hint="eastAsia" w:ascii="楷体" w:hAnsi="楷体" w:eastAsia="楷体" w:cs="楷体"/>
                <w:color w:val="auto"/>
                <w:kern w:val="0"/>
                <w:sz w:val="21"/>
                <w:szCs w:val="21"/>
                <w:highlight w:val="none"/>
                <w:lang w:val="en-US" w:eastAsia="zh-CN" w:bidi="ar"/>
              </w:rPr>
              <w:t>1、当终端设备处于预警响应状态下时，预警相关服务优先级最高，预警服务所占用屏显、声音、通讯等资源不得被其他应用占用；</w:t>
            </w:r>
          </w:p>
          <w:p w14:paraId="7BBA5D13">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val="en-US" w:eastAsia="zh-CN" w:bidi="ar"/>
              </w:rPr>
              <w:t>2、当终端设备同时收到多个预警信息时，优先响应预警等级高的预警事；预警显示模式包括但不限于显示最大、显示首报、即时显示、显示终报模式；支持预警取消，并具备相应响应机制;具备预警事件回放功能。</w:t>
            </w:r>
          </w:p>
        </w:tc>
        <w:tc>
          <w:tcPr>
            <w:tcW w:w="2213" w:type="dxa"/>
            <w:noWrap w:val="0"/>
            <w:vAlign w:val="center"/>
          </w:tcPr>
          <w:p w14:paraId="74C2ECA8">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val="en-US" w:eastAsia="zh-CN" w:bidi="ar"/>
              </w:rPr>
            </w:pPr>
            <w:r>
              <w:rPr>
                <w:rFonts w:hint="eastAsia" w:ascii="楷体" w:hAnsi="楷体" w:eastAsia="楷体" w:cs="楷体"/>
                <w:color w:val="auto"/>
                <w:sz w:val="21"/>
                <w:szCs w:val="21"/>
                <w:highlight w:val="none"/>
                <w:lang w:eastAsia="zh-CN"/>
              </w:rPr>
              <w:t>提供《地震监测专业设备定型结果》或定型检测报告；或</w:t>
            </w:r>
            <w:r>
              <w:rPr>
                <w:rFonts w:hint="eastAsia" w:ascii="楷体" w:hAnsi="楷体" w:eastAsia="楷体" w:cs="楷体"/>
                <w:color w:val="auto"/>
                <w:sz w:val="21"/>
                <w:szCs w:val="21"/>
                <w:highlight w:val="none"/>
              </w:rPr>
              <w:t>结构原理图、照片、测试报告等证明材料</w:t>
            </w:r>
            <w:r>
              <w:rPr>
                <w:rFonts w:hint="eastAsia" w:ascii="楷体" w:hAnsi="楷体" w:eastAsia="楷体" w:cs="楷体"/>
                <w:color w:val="auto"/>
                <w:sz w:val="21"/>
                <w:szCs w:val="21"/>
                <w:highlight w:val="none"/>
                <w:lang w:eastAsia="zh-CN"/>
              </w:rPr>
              <w:t>；或</w:t>
            </w:r>
            <w:r>
              <w:rPr>
                <w:rFonts w:hint="eastAsia" w:ascii="楷体" w:hAnsi="楷体" w:eastAsia="楷体" w:cs="楷体"/>
                <w:color w:val="auto"/>
                <w:sz w:val="21"/>
                <w:szCs w:val="21"/>
                <w:highlight w:val="none"/>
              </w:rPr>
              <w:t>以中国地震局检测机构、中国地震台网中心或省级地震局出具的证明</w:t>
            </w:r>
          </w:p>
        </w:tc>
        <w:tc>
          <w:tcPr>
            <w:tcW w:w="619" w:type="dxa"/>
            <w:vMerge w:val="continue"/>
            <w:noWrap w:val="0"/>
            <w:vAlign w:val="center"/>
          </w:tcPr>
          <w:p w14:paraId="0C62205F">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c>
          <w:tcPr>
            <w:tcW w:w="619" w:type="dxa"/>
            <w:vMerge w:val="continue"/>
            <w:noWrap w:val="0"/>
            <w:vAlign w:val="center"/>
          </w:tcPr>
          <w:p w14:paraId="6176C0EF">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r>
      <w:tr w14:paraId="219DB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noWrap w:val="0"/>
            <w:vAlign w:val="center"/>
          </w:tcPr>
          <w:p w14:paraId="4D899A5F">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19</w:t>
            </w:r>
          </w:p>
        </w:tc>
        <w:tc>
          <w:tcPr>
            <w:tcW w:w="754" w:type="dxa"/>
            <w:noWrap w:val="0"/>
            <w:vAlign w:val="center"/>
          </w:tcPr>
          <w:p w14:paraId="038191B7">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sz w:val="21"/>
                <w:szCs w:val="21"/>
                <w:highlight w:val="none"/>
                <w:lang w:val="en-US" w:eastAsia="zh-CN"/>
              </w:rPr>
              <w:t>地震速报服务</w:t>
            </w:r>
          </w:p>
        </w:tc>
        <w:tc>
          <w:tcPr>
            <w:tcW w:w="690" w:type="dxa"/>
            <w:noWrap w:val="0"/>
            <w:vAlign w:val="center"/>
          </w:tcPr>
          <w:p w14:paraId="2807908D">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w:t>
            </w:r>
          </w:p>
        </w:tc>
        <w:tc>
          <w:tcPr>
            <w:tcW w:w="4305" w:type="dxa"/>
            <w:noWrap w:val="0"/>
            <w:vAlign w:val="center"/>
          </w:tcPr>
          <w:p w14:paraId="6BEA6E1D">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sz w:val="21"/>
                <w:szCs w:val="21"/>
                <w:highlight w:val="none"/>
              </w:rPr>
              <w:t>支持订阅地震速报发布服务，根据最新的地震速报信息进行地震速报服务。</w:t>
            </w:r>
          </w:p>
        </w:tc>
        <w:tc>
          <w:tcPr>
            <w:tcW w:w="2213" w:type="dxa"/>
            <w:noWrap w:val="0"/>
            <w:vAlign w:val="center"/>
          </w:tcPr>
          <w:p w14:paraId="08707DEA">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eastAsia="zh-CN"/>
              </w:rPr>
              <w:t>提供《地震监测专业设备定型结果》或定型检测报告；或</w:t>
            </w:r>
            <w:r>
              <w:rPr>
                <w:rFonts w:hint="eastAsia" w:ascii="楷体" w:hAnsi="楷体" w:eastAsia="楷体" w:cs="楷体"/>
                <w:color w:val="auto"/>
                <w:sz w:val="21"/>
                <w:szCs w:val="21"/>
                <w:highlight w:val="none"/>
              </w:rPr>
              <w:t>结构原理图、照片、测试报告等证明材料</w:t>
            </w:r>
            <w:r>
              <w:rPr>
                <w:rFonts w:hint="eastAsia" w:ascii="楷体" w:hAnsi="楷体" w:eastAsia="楷体" w:cs="楷体"/>
                <w:color w:val="auto"/>
                <w:sz w:val="21"/>
                <w:szCs w:val="21"/>
                <w:highlight w:val="none"/>
                <w:lang w:eastAsia="zh-CN"/>
              </w:rPr>
              <w:t>；或</w:t>
            </w:r>
            <w:r>
              <w:rPr>
                <w:rFonts w:hint="eastAsia" w:ascii="楷体" w:hAnsi="楷体" w:eastAsia="楷体" w:cs="楷体"/>
                <w:color w:val="auto"/>
                <w:sz w:val="21"/>
                <w:szCs w:val="21"/>
                <w:highlight w:val="none"/>
              </w:rPr>
              <w:t>以中国地震局检测机构、中国地震台网中心或省级地震局出具的证明</w:t>
            </w:r>
          </w:p>
        </w:tc>
        <w:tc>
          <w:tcPr>
            <w:tcW w:w="619" w:type="dxa"/>
            <w:vMerge w:val="continue"/>
            <w:noWrap w:val="0"/>
            <w:vAlign w:val="center"/>
          </w:tcPr>
          <w:p w14:paraId="70DD1398">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c>
          <w:tcPr>
            <w:tcW w:w="619" w:type="dxa"/>
            <w:vMerge w:val="continue"/>
            <w:noWrap w:val="0"/>
            <w:vAlign w:val="center"/>
          </w:tcPr>
          <w:p w14:paraId="3787A315">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r>
      <w:tr w14:paraId="58A7B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noWrap w:val="0"/>
            <w:vAlign w:val="center"/>
          </w:tcPr>
          <w:p w14:paraId="0686BA2D">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20</w:t>
            </w:r>
          </w:p>
        </w:tc>
        <w:tc>
          <w:tcPr>
            <w:tcW w:w="754" w:type="dxa"/>
            <w:noWrap w:val="0"/>
            <w:vAlign w:val="center"/>
          </w:tcPr>
          <w:p w14:paraId="2622C8A0">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rPr>
            </w:pPr>
            <w:r>
              <w:rPr>
                <w:rFonts w:hint="eastAsia" w:ascii="楷体" w:hAnsi="楷体" w:eastAsia="楷体" w:cs="楷体"/>
                <w:color w:val="auto"/>
                <w:kern w:val="0"/>
                <w:sz w:val="21"/>
                <w:szCs w:val="21"/>
                <w:highlight w:val="none"/>
                <w:lang w:bidi="ar"/>
              </w:rPr>
              <w:t>日志管理</w:t>
            </w:r>
          </w:p>
        </w:tc>
        <w:tc>
          <w:tcPr>
            <w:tcW w:w="690" w:type="dxa"/>
            <w:noWrap w:val="0"/>
            <w:vAlign w:val="center"/>
          </w:tcPr>
          <w:p w14:paraId="43563331">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w:t>
            </w:r>
          </w:p>
        </w:tc>
        <w:tc>
          <w:tcPr>
            <w:tcW w:w="4305" w:type="dxa"/>
            <w:noWrap w:val="0"/>
            <w:vAlign w:val="center"/>
          </w:tcPr>
          <w:p w14:paraId="3C99F925">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1、系统日志连续记录，包括但不限于系统状态、系统自检、连接状态、操作记录、各类信息获取和确认、处理、显示、异常处理，且本地保存不低于30天。</w:t>
            </w:r>
          </w:p>
          <w:p w14:paraId="16113A93">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2、地震预警信息日志，包括但不限于报文接收信息、报文内容、报文回复、预警响应以及反馈信息等，以及各类信息的时间信息，本地保存不低于3个月。</w:t>
            </w:r>
          </w:p>
          <w:p w14:paraId="36129DDD">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3、支持日志分类、分级保存。日志的时间标记应精确到毫秒。</w:t>
            </w:r>
          </w:p>
          <w:p w14:paraId="4E96C647">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4、支持定时上传日志文件到日志服务器，上传日志功能可配置关/开自动上传服务,上传文件命名规则清晰。</w:t>
            </w:r>
          </w:p>
        </w:tc>
        <w:tc>
          <w:tcPr>
            <w:tcW w:w="2213" w:type="dxa"/>
            <w:noWrap w:val="0"/>
            <w:vAlign w:val="center"/>
          </w:tcPr>
          <w:p w14:paraId="2EFBEFE4">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sz w:val="21"/>
                <w:szCs w:val="21"/>
                <w:highlight w:val="none"/>
                <w:lang w:eastAsia="zh-CN"/>
              </w:rPr>
              <w:t>提供《地震监测专业设备定型结果》或定型检测报告；或</w:t>
            </w:r>
            <w:r>
              <w:rPr>
                <w:rFonts w:hint="eastAsia" w:ascii="楷体" w:hAnsi="楷体" w:eastAsia="楷体" w:cs="楷体"/>
                <w:color w:val="auto"/>
                <w:sz w:val="21"/>
                <w:szCs w:val="21"/>
                <w:highlight w:val="none"/>
              </w:rPr>
              <w:t>结构原理图、照片、测试报告等证明材料</w:t>
            </w:r>
            <w:r>
              <w:rPr>
                <w:rFonts w:hint="eastAsia" w:ascii="楷体" w:hAnsi="楷体" w:eastAsia="楷体" w:cs="楷体"/>
                <w:color w:val="auto"/>
                <w:sz w:val="21"/>
                <w:szCs w:val="21"/>
                <w:highlight w:val="none"/>
                <w:lang w:eastAsia="zh-CN"/>
              </w:rPr>
              <w:t>；或</w:t>
            </w:r>
            <w:r>
              <w:rPr>
                <w:rFonts w:hint="eastAsia" w:ascii="楷体" w:hAnsi="楷体" w:eastAsia="楷体" w:cs="楷体"/>
                <w:color w:val="auto"/>
                <w:sz w:val="21"/>
                <w:szCs w:val="21"/>
                <w:highlight w:val="none"/>
              </w:rPr>
              <w:t>以中国地震局检测机构、中国地震台网中心或省级地震局出具的证明</w:t>
            </w:r>
          </w:p>
        </w:tc>
        <w:tc>
          <w:tcPr>
            <w:tcW w:w="619" w:type="dxa"/>
            <w:vMerge w:val="continue"/>
            <w:noWrap w:val="0"/>
            <w:vAlign w:val="center"/>
          </w:tcPr>
          <w:p w14:paraId="7F7AE55F">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c>
          <w:tcPr>
            <w:tcW w:w="619" w:type="dxa"/>
            <w:vMerge w:val="continue"/>
            <w:noWrap w:val="0"/>
            <w:vAlign w:val="center"/>
          </w:tcPr>
          <w:p w14:paraId="21329140">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r>
      <w:tr w14:paraId="3B53A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noWrap w:val="0"/>
            <w:vAlign w:val="center"/>
          </w:tcPr>
          <w:p w14:paraId="2B01C0A7">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21</w:t>
            </w:r>
          </w:p>
        </w:tc>
        <w:tc>
          <w:tcPr>
            <w:tcW w:w="754" w:type="dxa"/>
            <w:noWrap w:val="0"/>
            <w:vAlign w:val="center"/>
          </w:tcPr>
          <w:p w14:paraId="39ACECAF">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rPr>
            </w:pPr>
            <w:r>
              <w:rPr>
                <w:rFonts w:hint="eastAsia" w:ascii="楷体" w:hAnsi="楷体" w:eastAsia="楷体" w:cs="楷体"/>
                <w:color w:val="auto"/>
                <w:kern w:val="0"/>
                <w:sz w:val="21"/>
                <w:szCs w:val="21"/>
                <w:highlight w:val="none"/>
                <w:lang w:bidi="ar"/>
              </w:rPr>
              <w:t>管理功能</w:t>
            </w:r>
          </w:p>
        </w:tc>
        <w:tc>
          <w:tcPr>
            <w:tcW w:w="690" w:type="dxa"/>
            <w:noWrap w:val="0"/>
            <w:vAlign w:val="center"/>
          </w:tcPr>
          <w:p w14:paraId="466CE354">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w:t>
            </w:r>
          </w:p>
        </w:tc>
        <w:tc>
          <w:tcPr>
            <w:tcW w:w="4305" w:type="dxa"/>
            <w:noWrap w:val="0"/>
            <w:vAlign w:val="center"/>
          </w:tcPr>
          <w:p w14:paraId="05CB4F1E">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1、能够配置本地位置，可通过地图选取和输入经纬度配置本地位置。</w:t>
            </w:r>
          </w:p>
          <w:p w14:paraId="3B950C51">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2、能够配置本地地震预警等级与对应本地烈度值（下限）。</w:t>
            </w:r>
          </w:p>
          <w:p w14:paraId="287A5DAE">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3、能够手动配置紧急信息服务源和订阅主题。</w:t>
            </w:r>
          </w:p>
          <w:p w14:paraId="0748007D">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4、具备远程管理，可查看终端设备状态、配置和管理相关参数，进行系统升级、重置、重启。</w:t>
            </w:r>
          </w:p>
        </w:tc>
        <w:tc>
          <w:tcPr>
            <w:tcW w:w="2213" w:type="dxa"/>
            <w:noWrap w:val="0"/>
            <w:vAlign w:val="center"/>
          </w:tcPr>
          <w:p w14:paraId="2538DA2D">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sz w:val="21"/>
                <w:szCs w:val="21"/>
                <w:highlight w:val="none"/>
                <w:lang w:eastAsia="zh-CN"/>
              </w:rPr>
              <w:t>提供《地震监测专业设备定型结果》或定型检测报告；或</w:t>
            </w:r>
            <w:r>
              <w:rPr>
                <w:rFonts w:hint="eastAsia" w:ascii="楷体" w:hAnsi="楷体" w:eastAsia="楷体" w:cs="楷体"/>
                <w:color w:val="auto"/>
                <w:sz w:val="21"/>
                <w:szCs w:val="21"/>
                <w:highlight w:val="none"/>
              </w:rPr>
              <w:t>结构原理图、照片、测试报告等证明材料</w:t>
            </w:r>
            <w:r>
              <w:rPr>
                <w:rFonts w:hint="eastAsia" w:ascii="楷体" w:hAnsi="楷体" w:eastAsia="楷体" w:cs="楷体"/>
                <w:color w:val="auto"/>
                <w:sz w:val="21"/>
                <w:szCs w:val="21"/>
                <w:highlight w:val="none"/>
                <w:lang w:eastAsia="zh-CN"/>
              </w:rPr>
              <w:t>；或</w:t>
            </w:r>
            <w:r>
              <w:rPr>
                <w:rFonts w:hint="eastAsia" w:ascii="楷体" w:hAnsi="楷体" w:eastAsia="楷体" w:cs="楷体"/>
                <w:color w:val="auto"/>
                <w:sz w:val="21"/>
                <w:szCs w:val="21"/>
                <w:highlight w:val="none"/>
              </w:rPr>
              <w:t>以中国地震局检测机构、中国地震台网中心或省级地震局出具的证明</w:t>
            </w:r>
          </w:p>
        </w:tc>
        <w:tc>
          <w:tcPr>
            <w:tcW w:w="619" w:type="dxa"/>
            <w:vMerge w:val="continue"/>
            <w:noWrap w:val="0"/>
            <w:vAlign w:val="center"/>
          </w:tcPr>
          <w:p w14:paraId="140E89D0">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c>
          <w:tcPr>
            <w:tcW w:w="619" w:type="dxa"/>
            <w:vMerge w:val="continue"/>
            <w:noWrap w:val="0"/>
            <w:vAlign w:val="center"/>
          </w:tcPr>
          <w:p w14:paraId="0BB2F9DC">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r>
      <w:tr w14:paraId="5560F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noWrap w:val="0"/>
            <w:vAlign w:val="center"/>
          </w:tcPr>
          <w:p w14:paraId="554A3720">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22</w:t>
            </w:r>
          </w:p>
        </w:tc>
        <w:tc>
          <w:tcPr>
            <w:tcW w:w="754" w:type="dxa"/>
            <w:noWrap w:val="0"/>
            <w:vAlign w:val="center"/>
          </w:tcPr>
          <w:p w14:paraId="76BF6BC9">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rPr>
            </w:pPr>
            <w:r>
              <w:rPr>
                <w:rFonts w:hint="eastAsia" w:ascii="楷体" w:hAnsi="楷体" w:eastAsia="楷体" w:cs="楷体"/>
                <w:color w:val="auto"/>
                <w:kern w:val="0"/>
                <w:sz w:val="21"/>
                <w:szCs w:val="21"/>
                <w:highlight w:val="none"/>
                <w:lang w:bidi="ar"/>
              </w:rPr>
              <w:t>接口</w:t>
            </w:r>
          </w:p>
        </w:tc>
        <w:tc>
          <w:tcPr>
            <w:tcW w:w="690" w:type="dxa"/>
            <w:noWrap w:val="0"/>
            <w:vAlign w:val="center"/>
          </w:tcPr>
          <w:p w14:paraId="1AAA39D9">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w:t>
            </w:r>
          </w:p>
        </w:tc>
        <w:tc>
          <w:tcPr>
            <w:tcW w:w="4305" w:type="dxa"/>
            <w:noWrap w:val="0"/>
            <w:vAlign w:val="center"/>
          </w:tcPr>
          <w:p w14:paraId="2D2C35D0">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1、支持并具备3.5mm音频输出接口。</w:t>
            </w:r>
          </w:p>
          <w:p w14:paraId="1989CD79">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2、支持USB接口，具备2个USB2.0及以上接口。</w:t>
            </w:r>
          </w:p>
          <w:p w14:paraId="52BCF490">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3、终端应支持并具备HDMI接口。</w:t>
            </w:r>
          </w:p>
        </w:tc>
        <w:tc>
          <w:tcPr>
            <w:tcW w:w="2213" w:type="dxa"/>
            <w:noWrap w:val="0"/>
            <w:vAlign w:val="center"/>
          </w:tcPr>
          <w:p w14:paraId="37C0F912">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sz w:val="21"/>
                <w:szCs w:val="21"/>
                <w:highlight w:val="none"/>
                <w:lang w:eastAsia="zh-CN"/>
              </w:rPr>
              <w:t>提供《地震监测专业设备定型结果》或定型检测报告；或</w:t>
            </w:r>
            <w:r>
              <w:rPr>
                <w:rFonts w:hint="eastAsia" w:ascii="楷体" w:hAnsi="楷体" w:eastAsia="楷体" w:cs="楷体"/>
                <w:color w:val="auto"/>
                <w:sz w:val="21"/>
                <w:szCs w:val="21"/>
                <w:highlight w:val="none"/>
              </w:rPr>
              <w:t>结构原理图、照片、测试报告等证明材料</w:t>
            </w:r>
            <w:r>
              <w:rPr>
                <w:rFonts w:hint="eastAsia" w:ascii="楷体" w:hAnsi="楷体" w:eastAsia="楷体" w:cs="楷体"/>
                <w:color w:val="auto"/>
                <w:sz w:val="21"/>
                <w:szCs w:val="21"/>
                <w:highlight w:val="none"/>
                <w:lang w:eastAsia="zh-CN"/>
              </w:rPr>
              <w:t>；或</w:t>
            </w:r>
            <w:r>
              <w:rPr>
                <w:rFonts w:hint="eastAsia" w:ascii="楷体" w:hAnsi="楷体" w:eastAsia="楷体" w:cs="楷体"/>
                <w:color w:val="auto"/>
                <w:sz w:val="21"/>
                <w:szCs w:val="21"/>
                <w:highlight w:val="none"/>
              </w:rPr>
              <w:t>以中国地震局检测机构、中国地震台网中心或省级地震局出具的证明</w:t>
            </w:r>
          </w:p>
        </w:tc>
        <w:tc>
          <w:tcPr>
            <w:tcW w:w="619" w:type="dxa"/>
            <w:vMerge w:val="continue"/>
            <w:noWrap w:val="0"/>
            <w:vAlign w:val="center"/>
          </w:tcPr>
          <w:p w14:paraId="6EA50853">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c>
          <w:tcPr>
            <w:tcW w:w="619" w:type="dxa"/>
            <w:vMerge w:val="continue"/>
            <w:noWrap w:val="0"/>
            <w:vAlign w:val="center"/>
          </w:tcPr>
          <w:p w14:paraId="02493DB6">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r>
      <w:tr w14:paraId="4DE5D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noWrap w:val="0"/>
            <w:vAlign w:val="center"/>
          </w:tcPr>
          <w:p w14:paraId="1976BB11">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23</w:t>
            </w:r>
          </w:p>
        </w:tc>
        <w:tc>
          <w:tcPr>
            <w:tcW w:w="754" w:type="dxa"/>
            <w:noWrap w:val="0"/>
            <w:vAlign w:val="center"/>
          </w:tcPr>
          <w:p w14:paraId="6E22877F">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rPr>
            </w:pPr>
            <w:r>
              <w:rPr>
                <w:rFonts w:hint="eastAsia" w:ascii="楷体" w:hAnsi="楷体" w:eastAsia="楷体" w:cs="楷体"/>
                <w:color w:val="auto"/>
                <w:kern w:val="0"/>
                <w:sz w:val="21"/>
                <w:szCs w:val="21"/>
                <w:highlight w:val="none"/>
                <w:lang w:bidi="ar"/>
              </w:rPr>
              <w:t>工作环境</w:t>
            </w:r>
          </w:p>
        </w:tc>
        <w:tc>
          <w:tcPr>
            <w:tcW w:w="690" w:type="dxa"/>
            <w:noWrap w:val="0"/>
            <w:vAlign w:val="center"/>
          </w:tcPr>
          <w:p w14:paraId="689D6D34">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w:t>
            </w:r>
          </w:p>
        </w:tc>
        <w:tc>
          <w:tcPr>
            <w:tcW w:w="4305" w:type="dxa"/>
            <w:noWrap w:val="0"/>
            <w:vAlign w:val="center"/>
          </w:tcPr>
          <w:p w14:paraId="13AF0781">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工作环境温度在-10℃~50℃，空气相对湿度值不大于90%RH,无凝露。</w:t>
            </w:r>
          </w:p>
        </w:tc>
        <w:tc>
          <w:tcPr>
            <w:tcW w:w="2213" w:type="dxa"/>
            <w:noWrap w:val="0"/>
            <w:vAlign w:val="center"/>
          </w:tcPr>
          <w:p w14:paraId="4CE21441">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sz w:val="21"/>
                <w:szCs w:val="21"/>
                <w:highlight w:val="none"/>
                <w:lang w:eastAsia="zh-CN"/>
              </w:rPr>
              <w:t>提供《地震监测专业设备定型结果》或定型检测报告；或</w:t>
            </w:r>
            <w:r>
              <w:rPr>
                <w:rFonts w:hint="eastAsia" w:ascii="楷体" w:hAnsi="楷体" w:eastAsia="楷体" w:cs="楷体"/>
                <w:color w:val="auto"/>
                <w:sz w:val="21"/>
                <w:szCs w:val="21"/>
                <w:highlight w:val="none"/>
              </w:rPr>
              <w:t>结构原理图、照片、测试报告等证明材料</w:t>
            </w:r>
            <w:r>
              <w:rPr>
                <w:rFonts w:hint="eastAsia" w:ascii="楷体" w:hAnsi="楷体" w:eastAsia="楷体" w:cs="楷体"/>
                <w:color w:val="auto"/>
                <w:sz w:val="21"/>
                <w:szCs w:val="21"/>
                <w:highlight w:val="none"/>
                <w:lang w:eastAsia="zh-CN"/>
              </w:rPr>
              <w:t>；或</w:t>
            </w:r>
            <w:r>
              <w:rPr>
                <w:rFonts w:hint="eastAsia" w:ascii="楷体" w:hAnsi="楷体" w:eastAsia="楷体" w:cs="楷体"/>
                <w:color w:val="auto"/>
                <w:sz w:val="21"/>
                <w:szCs w:val="21"/>
                <w:highlight w:val="none"/>
              </w:rPr>
              <w:t>以中国地震局检测机构、中国地震台网中心或省级地震局出具的证明</w:t>
            </w:r>
          </w:p>
        </w:tc>
        <w:tc>
          <w:tcPr>
            <w:tcW w:w="619" w:type="dxa"/>
            <w:vMerge w:val="continue"/>
            <w:noWrap w:val="0"/>
            <w:vAlign w:val="center"/>
          </w:tcPr>
          <w:p w14:paraId="4145F93B">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c>
          <w:tcPr>
            <w:tcW w:w="619" w:type="dxa"/>
            <w:vMerge w:val="continue"/>
            <w:noWrap w:val="0"/>
            <w:vAlign w:val="center"/>
          </w:tcPr>
          <w:p w14:paraId="7572A988">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r>
      <w:tr w14:paraId="1A900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noWrap w:val="0"/>
            <w:vAlign w:val="center"/>
          </w:tcPr>
          <w:p w14:paraId="12012338">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24</w:t>
            </w:r>
          </w:p>
        </w:tc>
        <w:tc>
          <w:tcPr>
            <w:tcW w:w="754" w:type="dxa"/>
            <w:noWrap w:val="0"/>
            <w:vAlign w:val="center"/>
          </w:tcPr>
          <w:p w14:paraId="0BCFDFAC">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rPr>
            </w:pPr>
            <w:r>
              <w:rPr>
                <w:rFonts w:hint="eastAsia" w:ascii="楷体" w:hAnsi="楷体" w:eastAsia="楷体" w:cs="楷体"/>
                <w:color w:val="auto"/>
                <w:kern w:val="0"/>
                <w:sz w:val="21"/>
                <w:szCs w:val="21"/>
                <w:highlight w:val="none"/>
                <w:lang w:bidi="ar"/>
              </w:rPr>
              <w:t>外壳防护</w:t>
            </w:r>
          </w:p>
        </w:tc>
        <w:tc>
          <w:tcPr>
            <w:tcW w:w="690" w:type="dxa"/>
            <w:noWrap w:val="0"/>
            <w:vAlign w:val="center"/>
          </w:tcPr>
          <w:p w14:paraId="68AB3BE7">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w:t>
            </w:r>
          </w:p>
        </w:tc>
        <w:tc>
          <w:tcPr>
            <w:tcW w:w="4305" w:type="dxa"/>
            <w:noWrap w:val="0"/>
            <w:vAlign w:val="center"/>
          </w:tcPr>
          <w:p w14:paraId="708C3DAA">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kern w:val="0"/>
                <w:sz w:val="21"/>
                <w:szCs w:val="21"/>
                <w:highlight w:val="none"/>
                <w:lang w:bidi="ar"/>
              </w:rPr>
              <w:t>室外终端的外壳防护等级应达到GB/T 4208-2017 规定的 IP65 的要求。</w:t>
            </w:r>
          </w:p>
        </w:tc>
        <w:tc>
          <w:tcPr>
            <w:tcW w:w="2213" w:type="dxa"/>
            <w:noWrap w:val="0"/>
            <w:vAlign w:val="center"/>
          </w:tcPr>
          <w:p w14:paraId="3665BD68">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sz w:val="21"/>
                <w:szCs w:val="21"/>
                <w:highlight w:val="none"/>
                <w:lang w:eastAsia="zh-CN"/>
              </w:rPr>
              <w:t>提供《地震监测专业设备定型结果》或定型检测报告；或</w:t>
            </w:r>
            <w:r>
              <w:rPr>
                <w:rFonts w:hint="eastAsia" w:ascii="楷体" w:hAnsi="楷体" w:eastAsia="楷体" w:cs="楷体"/>
                <w:color w:val="auto"/>
                <w:sz w:val="21"/>
                <w:szCs w:val="21"/>
                <w:highlight w:val="none"/>
              </w:rPr>
              <w:t>结构原理图、照片、测试报告等证明材料</w:t>
            </w:r>
            <w:r>
              <w:rPr>
                <w:rFonts w:hint="eastAsia" w:ascii="楷体" w:hAnsi="楷体" w:eastAsia="楷体" w:cs="楷体"/>
                <w:color w:val="auto"/>
                <w:sz w:val="21"/>
                <w:szCs w:val="21"/>
                <w:highlight w:val="none"/>
                <w:lang w:eastAsia="zh-CN"/>
              </w:rPr>
              <w:t>；或</w:t>
            </w:r>
            <w:r>
              <w:rPr>
                <w:rFonts w:hint="eastAsia" w:ascii="楷体" w:hAnsi="楷体" w:eastAsia="楷体" w:cs="楷体"/>
                <w:color w:val="auto"/>
                <w:sz w:val="21"/>
                <w:szCs w:val="21"/>
                <w:highlight w:val="none"/>
              </w:rPr>
              <w:t>以中国地震局检测机构、中国地震台网中心或省级地震局出具的证明</w:t>
            </w:r>
          </w:p>
        </w:tc>
        <w:tc>
          <w:tcPr>
            <w:tcW w:w="619" w:type="dxa"/>
            <w:vMerge w:val="continue"/>
            <w:noWrap w:val="0"/>
            <w:vAlign w:val="center"/>
          </w:tcPr>
          <w:p w14:paraId="1760B5A0">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c>
          <w:tcPr>
            <w:tcW w:w="619" w:type="dxa"/>
            <w:vMerge w:val="continue"/>
            <w:noWrap w:val="0"/>
            <w:vAlign w:val="center"/>
          </w:tcPr>
          <w:p w14:paraId="1BAB9616">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eastAsia="zh-CN"/>
              </w:rPr>
            </w:pPr>
          </w:p>
        </w:tc>
      </w:tr>
      <w:tr w14:paraId="5F285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noWrap w:val="0"/>
            <w:vAlign w:val="center"/>
          </w:tcPr>
          <w:p w14:paraId="15B9169D">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25</w:t>
            </w:r>
          </w:p>
        </w:tc>
        <w:tc>
          <w:tcPr>
            <w:tcW w:w="754" w:type="dxa"/>
            <w:noWrap w:val="0"/>
            <w:vAlign w:val="center"/>
          </w:tcPr>
          <w:p w14:paraId="0A65BA69">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数据传输</w:t>
            </w:r>
          </w:p>
        </w:tc>
        <w:tc>
          <w:tcPr>
            <w:tcW w:w="690" w:type="dxa"/>
            <w:noWrap w:val="0"/>
            <w:vAlign w:val="center"/>
          </w:tcPr>
          <w:p w14:paraId="6A898C6C">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rPr>
            </w:pPr>
          </w:p>
        </w:tc>
        <w:tc>
          <w:tcPr>
            <w:tcW w:w="4305" w:type="dxa"/>
            <w:noWrap w:val="0"/>
            <w:vAlign w:val="center"/>
          </w:tcPr>
          <w:p w14:paraId="18113341">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支持HTTP用于数据通讯和视频、日志文件的上传FTP服务器。</w:t>
            </w:r>
          </w:p>
        </w:tc>
        <w:tc>
          <w:tcPr>
            <w:tcW w:w="2213" w:type="dxa"/>
            <w:noWrap w:val="0"/>
            <w:vAlign w:val="center"/>
          </w:tcPr>
          <w:p w14:paraId="41630415">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w:t>
            </w:r>
          </w:p>
        </w:tc>
        <w:tc>
          <w:tcPr>
            <w:tcW w:w="619" w:type="dxa"/>
            <w:vMerge w:val="continue"/>
            <w:noWrap w:val="0"/>
            <w:vAlign w:val="center"/>
          </w:tcPr>
          <w:p w14:paraId="5A680675">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val="en-US" w:eastAsia="zh-CN"/>
              </w:rPr>
            </w:pPr>
          </w:p>
        </w:tc>
        <w:tc>
          <w:tcPr>
            <w:tcW w:w="619" w:type="dxa"/>
            <w:vMerge w:val="continue"/>
            <w:noWrap w:val="0"/>
            <w:vAlign w:val="center"/>
          </w:tcPr>
          <w:p w14:paraId="387E3AC9">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val="en-US" w:eastAsia="zh-CN"/>
              </w:rPr>
            </w:pPr>
          </w:p>
        </w:tc>
      </w:tr>
      <w:tr w14:paraId="768D9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noWrap w:val="0"/>
            <w:vAlign w:val="center"/>
          </w:tcPr>
          <w:p w14:paraId="3F6F2C42">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26</w:t>
            </w:r>
          </w:p>
        </w:tc>
        <w:tc>
          <w:tcPr>
            <w:tcW w:w="754" w:type="dxa"/>
            <w:noWrap w:val="0"/>
            <w:vAlign w:val="center"/>
          </w:tcPr>
          <w:p w14:paraId="3D8EE538">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视频采集</w:t>
            </w:r>
          </w:p>
        </w:tc>
        <w:tc>
          <w:tcPr>
            <w:tcW w:w="690" w:type="dxa"/>
            <w:noWrap w:val="0"/>
            <w:vAlign w:val="center"/>
          </w:tcPr>
          <w:p w14:paraId="2C6B8D3F">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rPr>
            </w:pPr>
          </w:p>
        </w:tc>
        <w:tc>
          <w:tcPr>
            <w:tcW w:w="4305" w:type="dxa"/>
            <w:noWrap w:val="0"/>
            <w:vAlign w:val="center"/>
          </w:tcPr>
          <w:p w14:paraId="314DB3FC">
            <w:pPr>
              <w:spacing w:line="360" w:lineRule="auto"/>
              <w:ind w:left="0" w:leftChars="0" w:firstLine="0" w:firstLineChars="0"/>
              <w:jc w:val="left"/>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当终端响应预警信息时，或震动传感器达到阈值后，自动截取录制事件的视频并保存、上传到FTP服务器；</w:t>
            </w:r>
          </w:p>
          <w:p w14:paraId="2816E9F3">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视频分辨率≥720P。</w:t>
            </w:r>
          </w:p>
        </w:tc>
        <w:tc>
          <w:tcPr>
            <w:tcW w:w="2213" w:type="dxa"/>
            <w:noWrap w:val="0"/>
            <w:vAlign w:val="center"/>
          </w:tcPr>
          <w:p w14:paraId="1E62B189">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w:t>
            </w:r>
          </w:p>
        </w:tc>
        <w:tc>
          <w:tcPr>
            <w:tcW w:w="619" w:type="dxa"/>
            <w:vMerge w:val="continue"/>
            <w:noWrap w:val="0"/>
            <w:vAlign w:val="center"/>
          </w:tcPr>
          <w:p w14:paraId="7844A49D">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val="en-US" w:eastAsia="zh-CN"/>
              </w:rPr>
            </w:pPr>
          </w:p>
        </w:tc>
        <w:tc>
          <w:tcPr>
            <w:tcW w:w="619" w:type="dxa"/>
            <w:vMerge w:val="continue"/>
            <w:noWrap w:val="0"/>
            <w:vAlign w:val="center"/>
          </w:tcPr>
          <w:p w14:paraId="0F499A83">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val="en-US" w:eastAsia="zh-CN"/>
              </w:rPr>
            </w:pPr>
          </w:p>
        </w:tc>
      </w:tr>
      <w:tr w14:paraId="496FB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1" w:type="dxa"/>
            <w:noWrap w:val="0"/>
            <w:vAlign w:val="center"/>
          </w:tcPr>
          <w:p w14:paraId="64F3F5A9">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27</w:t>
            </w:r>
          </w:p>
        </w:tc>
        <w:tc>
          <w:tcPr>
            <w:tcW w:w="754" w:type="dxa"/>
            <w:noWrap w:val="0"/>
            <w:vAlign w:val="center"/>
          </w:tcPr>
          <w:p w14:paraId="70FB0C15">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lang w:val="en-US" w:eastAsia="zh-CN"/>
              </w:rPr>
            </w:pPr>
            <w:r>
              <w:rPr>
                <w:rFonts w:hint="eastAsia" w:ascii="楷体" w:hAnsi="楷体" w:eastAsia="楷体" w:cs="楷体"/>
                <w:color w:val="auto"/>
                <w:kern w:val="0"/>
                <w:sz w:val="21"/>
                <w:szCs w:val="21"/>
                <w:highlight w:val="none"/>
                <w:lang w:bidi="ar"/>
              </w:rPr>
              <w:t>存储</w:t>
            </w:r>
          </w:p>
        </w:tc>
        <w:tc>
          <w:tcPr>
            <w:tcW w:w="690" w:type="dxa"/>
            <w:noWrap w:val="0"/>
            <w:vAlign w:val="center"/>
          </w:tcPr>
          <w:p w14:paraId="3205CFDC">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val="en-US" w:eastAsia="zh-CN"/>
              </w:rPr>
            </w:pPr>
          </w:p>
        </w:tc>
        <w:tc>
          <w:tcPr>
            <w:tcW w:w="4305" w:type="dxa"/>
            <w:noWrap w:val="0"/>
            <w:vAlign w:val="center"/>
          </w:tcPr>
          <w:p w14:paraId="080168C1">
            <w:pPr>
              <w:keepNext w:val="0"/>
              <w:keepLines w:val="0"/>
              <w:pageBreakBefore w:val="0"/>
              <w:widowControl/>
              <w:kinsoku/>
              <w:wordWrap/>
              <w:overflowPunct/>
              <w:topLinePunct w:val="0"/>
              <w:autoSpaceDE/>
              <w:autoSpaceDN/>
              <w:bidi w:val="0"/>
              <w:adjustRightInd/>
              <w:snapToGrid/>
              <w:spacing w:line="340" w:lineRule="exact"/>
              <w:ind w:firstLine="0" w:firstLineChars="0"/>
              <w:textAlignment w:val="center"/>
              <w:rPr>
                <w:rFonts w:hint="eastAsia" w:ascii="楷体" w:hAnsi="楷体" w:eastAsia="楷体" w:cs="楷体"/>
                <w:color w:val="auto"/>
                <w:sz w:val="21"/>
                <w:szCs w:val="21"/>
                <w:highlight w:val="none"/>
              </w:rPr>
            </w:pPr>
            <w:r>
              <w:rPr>
                <w:rFonts w:hint="eastAsia" w:ascii="楷体" w:hAnsi="楷体" w:eastAsia="楷体" w:cs="楷体"/>
                <w:color w:val="auto"/>
                <w:kern w:val="0"/>
                <w:sz w:val="21"/>
                <w:szCs w:val="21"/>
                <w:highlight w:val="none"/>
                <w:lang w:bidi="ar"/>
              </w:rPr>
              <w:t>终端内部存储空间≥64G。当存储可用空间低于20%时，系统自动清除早期文件。存储空间可扩展</w:t>
            </w:r>
          </w:p>
        </w:tc>
        <w:tc>
          <w:tcPr>
            <w:tcW w:w="2213" w:type="dxa"/>
            <w:noWrap w:val="0"/>
            <w:vAlign w:val="center"/>
          </w:tcPr>
          <w:p w14:paraId="30428068">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kern w:val="0"/>
                <w:sz w:val="21"/>
                <w:szCs w:val="21"/>
                <w:highlight w:val="none"/>
                <w:lang w:bidi="ar"/>
              </w:rPr>
            </w:pPr>
            <w:r>
              <w:rPr>
                <w:rFonts w:hint="eastAsia" w:ascii="楷体" w:hAnsi="楷体" w:eastAsia="楷体" w:cs="楷体"/>
                <w:color w:val="auto"/>
                <w:sz w:val="21"/>
                <w:szCs w:val="21"/>
                <w:highlight w:val="none"/>
                <w:lang w:val="en-US" w:eastAsia="zh-CN"/>
              </w:rPr>
              <w:t>/</w:t>
            </w:r>
          </w:p>
        </w:tc>
        <w:tc>
          <w:tcPr>
            <w:tcW w:w="619" w:type="dxa"/>
            <w:vMerge w:val="continue"/>
            <w:noWrap w:val="0"/>
            <w:vAlign w:val="center"/>
          </w:tcPr>
          <w:p w14:paraId="5B10BD60">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val="en-US" w:eastAsia="zh-CN"/>
              </w:rPr>
            </w:pPr>
          </w:p>
        </w:tc>
        <w:tc>
          <w:tcPr>
            <w:tcW w:w="619" w:type="dxa"/>
            <w:vMerge w:val="continue"/>
            <w:noWrap w:val="0"/>
            <w:vAlign w:val="center"/>
          </w:tcPr>
          <w:p w14:paraId="6BDCB51C">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center"/>
              <w:rPr>
                <w:rFonts w:hint="eastAsia" w:ascii="楷体" w:hAnsi="楷体" w:eastAsia="楷体" w:cs="楷体"/>
                <w:color w:val="auto"/>
                <w:sz w:val="21"/>
                <w:szCs w:val="21"/>
                <w:highlight w:val="none"/>
                <w:lang w:val="en-US" w:eastAsia="zh-CN"/>
              </w:rPr>
            </w:pPr>
          </w:p>
        </w:tc>
      </w:tr>
    </w:tbl>
    <w:p w14:paraId="1D7F3991">
      <w:pPr>
        <w:jc w:val="center"/>
        <w:rPr>
          <w:highlight w:val="none"/>
        </w:rPr>
      </w:pPr>
    </w:p>
    <w:p w14:paraId="006D5C66">
      <w:pPr>
        <w:rPr>
          <w:highlight w:val="none"/>
        </w:rPr>
      </w:pPr>
    </w:p>
    <w:p w14:paraId="1E423C84">
      <w:pPr>
        <w:shd w:val="clear"/>
        <w:spacing w:line="240" w:lineRule="auto"/>
        <w:rPr>
          <w:rFonts w:hint="eastAsia"/>
          <w:b/>
          <w:bCs/>
          <w:color w:val="auto"/>
          <w:sz w:val="24"/>
          <w:szCs w:val="32"/>
          <w:highlight w:val="none"/>
          <w:lang w:val="en-US" w:eastAsia="zh-CN"/>
        </w:rPr>
      </w:pPr>
      <w:r>
        <w:rPr>
          <w:rFonts w:hint="eastAsia"/>
          <w:b/>
          <w:bCs/>
          <w:color w:val="auto"/>
          <w:sz w:val="24"/>
          <w:szCs w:val="32"/>
          <w:highlight w:val="none"/>
          <w:lang w:val="en-US" w:eastAsia="zh-CN"/>
        </w:rPr>
        <w:t>二、</w:t>
      </w:r>
      <w:bookmarkStart w:id="114" w:name="_Toc267320049"/>
      <w:bookmarkStart w:id="115" w:name="_Toc340225290"/>
      <w:r>
        <w:rPr>
          <w:rFonts w:hint="eastAsia"/>
          <w:b/>
          <w:bCs/>
          <w:color w:val="auto"/>
          <w:sz w:val="22"/>
          <w:szCs w:val="28"/>
          <w:highlight w:val="none"/>
          <w:lang w:val="en-US" w:eastAsia="zh-CN"/>
        </w:rPr>
        <w:t>项目验收、质保、售后服务等要求</w:t>
      </w:r>
    </w:p>
    <w:bookmarkEnd w:id="114"/>
    <w:bookmarkEnd w:id="115"/>
    <w:p w14:paraId="68BF6AA7">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
          <w:bCs w:val="0"/>
          <w:color w:val="auto"/>
          <w:kern w:val="2"/>
          <w:sz w:val="21"/>
          <w:szCs w:val="21"/>
          <w:highlight w:val="none"/>
          <w:lang w:val="en-US" w:eastAsia="zh-CN" w:bidi="ar-SA"/>
        </w:rPr>
      </w:pPr>
      <w:r>
        <w:rPr>
          <w:rFonts w:hint="eastAsia" w:ascii="宋体" w:hAnsi="宋体" w:cs="宋体"/>
          <w:b/>
          <w:color w:val="auto"/>
          <w:szCs w:val="21"/>
          <w:highlight w:val="none"/>
        </w:rPr>
        <w:t>（一）</w:t>
      </w:r>
      <w:r>
        <w:rPr>
          <w:rFonts w:hint="eastAsia" w:ascii="宋体" w:hAnsi="宋体" w:cs="宋体"/>
          <w:b/>
          <w:color w:val="auto"/>
          <w:szCs w:val="21"/>
          <w:highlight w:val="none"/>
          <w:lang w:val="en-US" w:eastAsia="zh-CN"/>
        </w:rPr>
        <w:t xml:space="preserve"> </w:t>
      </w:r>
      <w:r>
        <w:rPr>
          <w:rFonts w:hint="eastAsia" w:ascii="Times New Roman" w:hAnsi="Times New Roman" w:eastAsia="宋体" w:cs="Times New Roman"/>
          <w:b/>
          <w:bCs w:val="0"/>
          <w:color w:val="auto"/>
          <w:kern w:val="2"/>
          <w:sz w:val="21"/>
          <w:szCs w:val="21"/>
          <w:highlight w:val="none"/>
          <w:lang w:val="en-US" w:eastAsia="zh-CN" w:bidi="ar-SA"/>
        </w:rPr>
        <w:t>供货时间</w:t>
      </w:r>
    </w:p>
    <w:p w14:paraId="55E9DF7F">
      <w:pPr>
        <w:keepNext w:val="0"/>
        <w:keepLines w:val="0"/>
        <w:pageBreakBefore w:val="0"/>
        <w:shd w:val="clear"/>
        <w:kinsoku/>
        <w:wordWrap/>
        <w:overflowPunct/>
        <w:topLinePunct w:val="0"/>
        <w:autoSpaceDE/>
        <w:autoSpaceDN/>
        <w:bidi w:val="0"/>
        <w:adjustRightInd/>
        <w:snapToGrid/>
        <w:spacing w:line="360" w:lineRule="auto"/>
        <w:ind w:firstLine="430" w:firstLineChars="200"/>
        <w:textAlignment w:val="auto"/>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以签订合同为准</w:t>
      </w:r>
    </w:p>
    <w:p w14:paraId="0E05C88E">
      <w:pPr>
        <w:keepNext w:val="0"/>
        <w:keepLines w:val="0"/>
        <w:pageBreakBefore w:val="0"/>
        <w:numPr>
          <w:ilvl w:val="0"/>
          <w:numId w:val="12"/>
        </w:numPr>
        <w:shd w:val="clear"/>
        <w:kinsoku/>
        <w:wordWrap/>
        <w:overflowPunct/>
        <w:topLinePunct w:val="0"/>
        <w:autoSpaceDE/>
        <w:autoSpaceDN/>
        <w:bidi w:val="0"/>
        <w:adjustRightInd/>
        <w:snapToGrid/>
        <w:spacing w:line="360" w:lineRule="auto"/>
        <w:textAlignment w:val="auto"/>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供货</w:t>
      </w:r>
      <w:r>
        <w:rPr>
          <w:rFonts w:hint="eastAsia" w:ascii="宋体" w:hAnsi="宋体" w:cs="宋体"/>
          <w:b/>
          <w:color w:val="auto"/>
          <w:szCs w:val="21"/>
          <w:highlight w:val="none"/>
        </w:rPr>
        <w:t>地点</w:t>
      </w:r>
    </w:p>
    <w:p w14:paraId="20C0AA40">
      <w:pPr>
        <w:keepNext w:val="0"/>
        <w:keepLines w:val="0"/>
        <w:pageBreakBefore w:val="0"/>
        <w:shd w:val="clear"/>
        <w:kinsoku/>
        <w:wordWrap/>
        <w:overflowPunct/>
        <w:topLinePunct w:val="0"/>
        <w:autoSpaceDE/>
        <w:autoSpaceDN/>
        <w:bidi w:val="0"/>
        <w:adjustRightInd/>
        <w:snapToGrid/>
        <w:spacing w:line="360" w:lineRule="auto"/>
        <w:ind w:firstLine="430" w:firstLineChars="200"/>
        <w:textAlignment w:val="auto"/>
        <w:rPr>
          <w:rFonts w:hint="default" w:ascii="宋体" w:hAnsi="宋体" w:cs="宋体"/>
          <w:b/>
          <w:color w:val="auto"/>
          <w:szCs w:val="21"/>
          <w:highlight w:val="none"/>
          <w:lang w:val="en-US" w:eastAsia="zh-CN"/>
        </w:rPr>
      </w:pPr>
      <w:r>
        <w:rPr>
          <w:rFonts w:hint="eastAsia" w:ascii="宋体" w:hAnsi="宋体" w:cs="宋体"/>
          <w:bCs/>
          <w:color w:val="auto"/>
          <w:szCs w:val="21"/>
          <w:highlight w:val="none"/>
          <w:lang w:val="en-US" w:eastAsia="zh-CN"/>
        </w:rPr>
        <w:t>甲方指定地点</w:t>
      </w:r>
      <w:r>
        <w:rPr>
          <w:rFonts w:hint="eastAsia" w:ascii="宋体" w:hAnsi="宋体" w:cs="宋体"/>
          <w:b/>
          <w:color w:val="auto"/>
          <w:szCs w:val="21"/>
          <w:highlight w:val="none"/>
          <w:lang w:val="en-US" w:eastAsia="zh-CN"/>
        </w:rPr>
        <w:t xml:space="preserve"> </w:t>
      </w:r>
    </w:p>
    <w:p w14:paraId="061B8A48">
      <w:pPr>
        <w:shd w:val="clear"/>
        <w:spacing w:line="360" w:lineRule="auto"/>
        <w:rPr>
          <w:rFonts w:hint="eastAsia" w:ascii="宋体" w:hAnsi="宋体" w:cs="宋体"/>
          <w:b/>
          <w:color w:val="auto"/>
          <w:szCs w:val="21"/>
          <w:highlight w:val="none"/>
        </w:rPr>
      </w:pPr>
      <w:bookmarkStart w:id="116" w:name="_Toc340225291"/>
      <w:bookmarkStart w:id="117" w:name="_Toc267320050"/>
      <w:r>
        <w:rPr>
          <w:rFonts w:hint="eastAsia" w:ascii="宋体" w:hAnsi="宋体" w:cs="宋体"/>
          <w:b/>
          <w:color w:val="auto"/>
          <w:szCs w:val="21"/>
          <w:highlight w:val="none"/>
        </w:rPr>
        <w:t>（三）报价要求</w:t>
      </w:r>
      <w:bookmarkEnd w:id="116"/>
    </w:p>
    <w:p w14:paraId="1E850D98">
      <w:pPr>
        <w:keepNext w:val="0"/>
        <w:keepLines w:val="0"/>
        <w:pageBreakBefore w:val="0"/>
        <w:widowControl w:val="0"/>
        <w:shd w:val="clear"/>
        <w:kinsoku/>
        <w:wordWrap/>
        <w:overflowPunct/>
        <w:topLinePunct w:val="0"/>
        <w:autoSpaceDE/>
        <w:autoSpaceDN/>
        <w:bidi w:val="0"/>
        <w:adjustRightInd/>
        <w:snapToGrid/>
        <w:spacing w:line="460" w:lineRule="exact"/>
        <w:ind w:firstLine="430" w:firstLineChars="200"/>
        <w:textAlignment w:val="auto"/>
        <w:rPr>
          <w:rFonts w:hint="eastAsia" w:ascii="宋体" w:hAnsi="宋体" w:cs="宋体"/>
          <w:b/>
          <w:bCs w:val="0"/>
          <w:color w:val="auto"/>
          <w:sz w:val="28"/>
          <w:szCs w:val="28"/>
          <w:highlight w:val="none"/>
          <w:lang w:val="en-US" w:eastAsia="zh-CN"/>
        </w:rPr>
      </w:pPr>
      <w:r>
        <w:rPr>
          <w:rFonts w:hint="eastAsia" w:ascii="宋体" w:hAnsi="宋体" w:eastAsia="宋体" w:cs="宋体"/>
          <w:bCs/>
          <w:color w:val="auto"/>
          <w:kern w:val="2"/>
          <w:sz w:val="21"/>
          <w:szCs w:val="21"/>
          <w:highlight w:val="none"/>
          <w:lang w:val="en-US" w:eastAsia="zh-CN" w:bidi="ar-SA"/>
        </w:rPr>
        <w:t>本次报价为人民币报价，</w:t>
      </w:r>
      <w:bookmarkEnd w:id="117"/>
      <w:r>
        <w:rPr>
          <w:rFonts w:hint="eastAsia" w:ascii="宋体" w:hAnsi="宋体" w:eastAsia="宋体" w:cs="宋体"/>
          <w:bCs/>
          <w:color w:val="auto"/>
          <w:kern w:val="2"/>
          <w:sz w:val="21"/>
          <w:szCs w:val="21"/>
          <w:highlight w:val="none"/>
          <w:lang w:val="en-US" w:eastAsia="zh-CN" w:bidi="ar-SA"/>
        </w:rPr>
        <w:t>投标报价应包括：</w:t>
      </w:r>
      <w:r>
        <w:rPr>
          <w:rFonts w:hint="eastAsia" w:ascii="宋体" w:hAnsi="宋体" w:cs="宋体"/>
          <w:bCs/>
          <w:color w:val="auto"/>
          <w:kern w:val="2"/>
          <w:sz w:val="21"/>
          <w:szCs w:val="21"/>
          <w:highlight w:val="none"/>
          <w:lang w:val="en-US" w:eastAsia="zh-CN" w:bidi="ar-SA"/>
        </w:rPr>
        <w:t>服务</w:t>
      </w:r>
      <w:r>
        <w:rPr>
          <w:rFonts w:hint="eastAsia" w:ascii="宋体" w:hAnsi="宋体" w:eastAsia="宋体" w:cs="宋体"/>
          <w:bCs/>
          <w:color w:val="auto"/>
          <w:kern w:val="2"/>
          <w:sz w:val="21"/>
          <w:szCs w:val="21"/>
          <w:highlight w:val="none"/>
          <w:lang w:val="en-US" w:eastAsia="zh-CN" w:bidi="ar-SA"/>
        </w:rPr>
        <w:t>本身价格、包装费、运输费用、二次搬运费、损耗、安装费、技术指导、税金费用、伴随服务过程中备件费、专用工具费、伴随产品资料费、技术服务费、技术考察费、自检费及验收合格前和质保期内发生的一切费用、应当提供的伴随服务/售后服务费用以及及招标文件要求的供应商需要支付的所有费用。因中标供应商自身原因造成漏报、少报皆由其自行承担责任，采购人不再补偿。</w:t>
      </w:r>
    </w:p>
    <w:p w14:paraId="40133800">
      <w:pPr>
        <w:keepNext w:val="0"/>
        <w:keepLines w:val="0"/>
        <w:pageBreakBefore w:val="0"/>
        <w:widowControl/>
        <w:kinsoku/>
        <w:wordWrap/>
        <w:overflowPunct/>
        <w:topLinePunct w:val="0"/>
        <w:autoSpaceDE/>
        <w:autoSpaceDN/>
        <w:bidi w:val="0"/>
        <w:adjustRightInd/>
        <w:snapToGrid/>
        <w:spacing w:line="460" w:lineRule="exact"/>
        <w:textAlignment w:val="auto"/>
        <w:rPr>
          <w:rFonts w:hint="default" w:ascii="宋体" w:hAnsi="宋体" w:eastAsia="宋体" w:cs="宋体"/>
          <w:b/>
          <w:bCs/>
          <w:color w:val="auto"/>
          <w:kern w:val="0"/>
          <w:szCs w:val="21"/>
          <w:highlight w:val="none"/>
          <w:lang w:val="en-US" w:eastAsia="zh-CN"/>
        </w:rPr>
      </w:pPr>
      <w:r>
        <w:rPr>
          <w:rFonts w:hint="eastAsia" w:ascii="宋体" w:hAnsi="宋体" w:cs="宋体"/>
          <w:b/>
          <w:bCs/>
          <w:color w:val="auto"/>
          <w:kern w:val="0"/>
          <w:szCs w:val="21"/>
          <w:highlight w:val="none"/>
        </w:rPr>
        <w:t>（四）</w:t>
      </w:r>
      <w:r>
        <w:rPr>
          <w:rFonts w:hint="eastAsia" w:ascii="宋体" w:hAnsi="宋体" w:cs="宋体"/>
          <w:b/>
          <w:bCs/>
          <w:color w:val="auto"/>
          <w:kern w:val="0"/>
          <w:szCs w:val="21"/>
          <w:highlight w:val="none"/>
          <w:lang w:val="en-US" w:eastAsia="zh-CN"/>
        </w:rPr>
        <w:t>质保要求</w:t>
      </w:r>
    </w:p>
    <w:p w14:paraId="47DC4D46">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bCs w:val="0"/>
          <w:color w:val="auto"/>
          <w:szCs w:val="21"/>
          <w:highlight w:val="none"/>
          <w:lang w:val="en-US" w:eastAsia="zh-CN"/>
        </w:rPr>
      </w:pPr>
      <w:r>
        <w:rPr>
          <w:rFonts w:hint="eastAsia" w:ascii="宋体" w:hAnsi="宋体" w:eastAsia="宋体" w:cs="宋体"/>
          <w:b/>
          <w:bCs w:val="0"/>
          <w:color w:val="auto"/>
          <w:szCs w:val="21"/>
          <w:highlight w:val="none"/>
          <w:lang w:val="en-US" w:eastAsia="zh-CN"/>
        </w:rPr>
        <w:t>1、</w:t>
      </w:r>
      <w:r>
        <w:rPr>
          <w:rFonts w:hint="eastAsia" w:ascii="宋体" w:hAnsi="宋体" w:eastAsia="宋体" w:cs="宋体"/>
          <w:b w:val="0"/>
          <w:bCs/>
          <w:color w:val="auto"/>
          <w:kern w:val="0"/>
          <w:sz w:val="21"/>
          <w:szCs w:val="21"/>
          <w:highlight w:val="none"/>
          <w:lang w:val="en-US" w:eastAsia="zh-CN" w:bidi="ar-SA"/>
        </w:rPr>
        <w:t>自验收合格之日起质保</w:t>
      </w:r>
      <w:r>
        <w:rPr>
          <w:rFonts w:hint="eastAsia" w:ascii="宋体" w:hAnsi="宋体" w:cs="宋体"/>
          <w:b w:val="0"/>
          <w:bCs/>
          <w:color w:val="auto"/>
          <w:kern w:val="0"/>
          <w:sz w:val="21"/>
          <w:szCs w:val="21"/>
          <w:highlight w:val="none"/>
          <w:lang w:val="en-US" w:eastAsia="zh-CN" w:bidi="ar-SA"/>
        </w:rPr>
        <w:t>5</w:t>
      </w:r>
      <w:r>
        <w:rPr>
          <w:rFonts w:hint="eastAsia" w:ascii="宋体" w:hAnsi="宋体" w:eastAsia="宋体" w:cs="宋体"/>
          <w:b w:val="0"/>
          <w:bCs/>
          <w:color w:val="auto"/>
          <w:kern w:val="0"/>
          <w:sz w:val="21"/>
          <w:szCs w:val="21"/>
          <w:highlight w:val="none"/>
          <w:lang w:val="en-US" w:eastAsia="zh-CN" w:bidi="ar-SA"/>
        </w:rPr>
        <w:t>年</w:t>
      </w:r>
      <w:r>
        <w:rPr>
          <w:rFonts w:hint="eastAsia" w:ascii="宋体" w:hAnsi="宋体" w:cs="宋体"/>
          <w:b w:val="0"/>
          <w:bCs/>
          <w:color w:val="auto"/>
          <w:kern w:val="0"/>
          <w:sz w:val="21"/>
          <w:szCs w:val="21"/>
          <w:highlight w:val="none"/>
          <w:lang w:val="en-US" w:eastAsia="zh-CN" w:bidi="ar-SA"/>
        </w:rPr>
        <w:t>，</w:t>
      </w:r>
      <w:r>
        <w:rPr>
          <w:rFonts w:hint="eastAsia" w:ascii="宋体" w:hAnsi="宋体" w:eastAsia="宋体" w:cs="宋体"/>
          <w:b w:val="0"/>
          <w:bCs/>
          <w:color w:val="auto"/>
          <w:kern w:val="0"/>
          <w:sz w:val="21"/>
          <w:szCs w:val="21"/>
          <w:highlight w:val="none"/>
          <w:lang w:val="en-US" w:eastAsia="zh-CN" w:bidi="ar-SA"/>
        </w:rPr>
        <w:t>保修期内供应商免费提供保修服务。</w:t>
      </w:r>
    </w:p>
    <w:p w14:paraId="720F6711">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2、质保期内乙方负责设备免费维修及抢修。</w:t>
      </w:r>
    </w:p>
    <w:p w14:paraId="681395BE">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3、供应方在交付货物的同时应提供国家规定的检验合格证明等文件。</w:t>
      </w:r>
    </w:p>
    <w:p w14:paraId="1CF3A7D4">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4</w:t>
      </w:r>
      <w:r>
        <w:rPr>
          <w:rFonts w:hint="eastAsia" w:ascii="宋体" w:hAnsi="宋体" w:eastAsia="宋体" w:cs="宋体"/>
          <w:b w:val="0"/>
          <w:bCs/>
          <w:color w:val="auto"/>
          <w:szCs w:val="21"/>
          <w:highlight w:val="none"/>
          <w:lang w:val="en-US" w:eastAsia="zh-CN"/>
        </w:rPr>
        <w:t>、售后服务</w:t>
      </w:r>
      <w:r>
        <w:rPr>
          <w:rFonts w:hint="eastAsia" w:ascii="宋体" w:hAnsi="宋体" w:cs="宋体"/>
          <w:b w:val="0"/>
          <w:bCs/>
          <w:color w:val="auto"/>
          <w:szCs w:val="21"/>
          <w:highlight w:val="none"/>
          <w:lang w:val="en-US" w:eastAsia="zh-CN"/>
        </w:rPr>
        <w:t>要求：1.质保期内，出现产品质量问题，投标人需按采购人要求无偿进行更换。</w:t>
      </w:r>
    </w:p>
    <w:p w14:paraId="0BCD1BE3">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5.如产品在质保期内发生质量问题，供货方应在接到使用方的电话后2小时内必须响应，5小时内到场，8小时内解决问题；由此产生的费用由供货方承担。</w:t>
      </w:r>
    </w:p>
    <w:p w14:paraId="076EF394">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6.在质保期内，如国家安全法规政策有重大调整：如紧急地震信息服务平台重大升级，网络安全、平台架构重大调整，造成项目所采用技术规范与国家政策法规要求的有偏差，投标人将无偿为采购人提供技术升级解决方案，无偿提供软件升级，无偿提供必要的人员技术服务等。</w:t>
      </w:r>
    </w:p>
    <w:p w14:paraId="38751C0E">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default"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7、</w:t>
      </w:r>
      <w:r>
        <w:rPr>
          <w:rFonts w:hint="eastAsia" w:ascii="宋体" w:hAnsi="宋体" w:eastAsia="宋体" w:cs="宋体"/>
          <w:b w:val="0"/>
          <w:bCs/>
          <w:color w:val="auto"/>
          <w:szCs w:val="21"/>
          <w:highlight w:val="none"/>
          <w:lang w:val="en-US" w:eastAsia="zh-CN"/>
        </w:rPr>
        <w:t>中标人在合同验收后必须提供5年免费运维服务（维护费及通讯费），电话报修后24小时采取维护措施，72小时内完成非设备故障类维护。</w:t>
      </w:r>
    </w:p>
    <w:p w14:paraId="712E951E">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bCs/>
          <w:color w:val="auto"/>
          <w:kern w:val="0"/>
          <w:szCs w:val="21"/>
          <w:highlight w:val="none"/>
          <w:lang w:val="en-US" w:eastAsia="zh-CN"/>
        </w:rPr>
        <w:t>（五）质保期外服务要求</w:t>
      </w:r>
    </w:p>
    <w:p w14:paraId="4C704F1D">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1、质量保证期过后，供应商和制造商应同样提供免费电话咨询服务，并应承诺提供产品维护 服务。</w:t>
      </w:r>
    </w:p>
    <w:p w14:paraId="2CAACEFF">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2、质量保证期过后，采购人需要继续由原供应商和制造商提供售后服务的，该供应商和制造商应以优惠价格提供售后服务。</w:t>
      </w:r>
    </w:p>
    <w:p w14:paraId="459CB0C2">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kern w:val="0"/>
          <w:szCs w:val="21"/>
          <w:highlight w:val="none"/>
          <w:lang w:val="en-US" w:eastAsia="zh-CN"/>
        </w:rPr>
      </w:pPr>
      <w:r>
        <w:rPr>
          <w:rFonts w:hint="eastAsia" w:ascii="宋体" w:hAnsi="宋体" w:eastAsia="宋体" w:cs="宋体"/>
          <w:b/>
          <w:bCs/>
          <w:color w:val="auto"/>
          <w:kern w:val="0"/>
          <w:szCs w:val="21"/>
          <w:highlight w:val="none"/>
          <w:lang w:val="en-US" w:eastAsia="zh-CN"/>
        </w:rPr>
        <w:t>（六）培训要求</w:t>
      </w:r>
    </w:p>
    <w:p w14:paraId="660D240D">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1、提供售后服务方案，至少包括培训计划、培训对象、培训资料、培训应急保障措施、典型培训案例等。</w:t>
      </w:r>
    </w:p>
    <w:p w14:paraId="28E99384">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kern w:val="0"/>
          <w:szCs w:val="21"/>
          <w:highlight w:val="none"/>
          <w:lang w:val="en-US" w:eastAsia="zh-CN"/>
        </w:rPr>
      </w:pPr>
      <w:r>
        <w:rPr>
          <w:rFonts w:hint="eastAsia" w:ascii="宋体" w:hAnsi="宋体" w:eastAsia="宋体" w:cs="宋体"/>
          <w:b/>
          <w:bCs/>
          <w:color w:val="auto"/>
          <w:kern w:val="0"/>
          <w:szCs w:val="21"/>
          <w:highlight w:val="none"/>
          <w:lang w:val="en-US" w:eastAsia="zh-CN"/>
        </w:rPr>
        <w:t>（七）验收保证的承诺</w:t>
      </w:r>
    </w:p>
    <w:p w14:paraId="0D639043">
      <w:pPr>
        <w:keepNext w:val="0"/>
        <w:keepLines w:val="0"/>
        <w:pageBreakBefore w:val="0"/>
        <w:widowControl/>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1、此次招标内容严格按照中标供应商的投标文件中的技术规格、数量及质量要求进行验收（配置参数清单中明确设备等配件辅件的产地、厂家、品牌、型号、数量等）</w:t>
      </w:r>
    </w:p>
    <w:p w14:paraId="1F8ABBB3">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2、货物到达现场后，供应商应在使用单位人员在场情况下当面共同清点、检查，做出质量技术要求检查记录，双方签字确认；</w:t>
      </w:r>
    </w:p>
    <w:p w14:paraId="62311E7C">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3、中标方应保证货物到达采购人所在地完好无损，如有缺漏、损坏，由供应商负责调换、补齐或赔偿。</w:t>
      </w:r>
    </w:p>
    <w:p w14:paraId="374B465F">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4、中标方应提供完备的技术资料、装箱单和合格证等，货物验收时，招标方向采购人提供生产厂家出具的验收报告、合格证、厂家资格证件等相关文件并派遣专业技术人员进行现场安 装调试。验收合格条件如下：</w:t>
      </w:r>
    </w:p>
    <w:p w14:paraId="2A121A97">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设备技术参数与采购合同一致，性能指标达到规定的标准。</w:t>
      </w:r>
    </w:p>
    <w:p w14:paraId="301E65F7">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货物技术资料、装箱单、合格证等资料齐全。</w:t>
      </w:r>
    </w:p>
    <w:p w14:paraId="7560185B">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在系统试运行期间所出现的问题得到解决，并运行正常。</w:t>
      </w:r>
    </w:p>
    <w:p w14:paraId="11DCDFD9">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在规定时间内完成交货并验收，并经采购人确认。</w:t>
      </w:r>
    </w:p>
    <w:p w14:paraId="3FB3DBED">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5、产品在安装调试并试运行符合要求后，才作为最终验收。</w:t>
      </w:r>
    </w:p>
    <w:p w14:paraId="11352D87">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6、供应商提供的货物未达到招标文件规定要求，且对采购人造成损失的，由供应商承担一切 责任，并赔偿所造成的损失。</w:t>
      </w:r>
    </w:p>
    <w:p w14:paraId="66765539">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7、乙方将根据本项目的技术要求提供相关的培训，须具备专业的培训团队为甲方提供系统的 免费培训，同时还为乙方提供全面的技术支持和周到的跟踪服务；</w:t>
      </w:r>
    </w:p>
    <w:p w14:paraId="7B00FD21">
      <w:pPr>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8、产品质量：在合同期内，甲方正常使用乙方所供产品而出现质量问题时，乙方负责。产品使用：甲方在使用乙方所供产品中出现问题需乙方解决时，乙方应无偿解决（退换货）。</w:t>
      </w:r>
    </w:p>
    <w:p w14:paraId="782E7FE0">
      <w:pPr>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cs="宋体"/>
          <w:b/>
          <w:color w:val="auto"/>
          <w:szCs w:val="21"/>
          <w:highlight w:val="none"/>
        </w:rPr>
      </w:pP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八</w:t>
      </w:r>
      <w:r>
        <w:rPr>
          <w:rFonts w:hint="eastAsia" w:ascii="宋体" w:hAnsi="宋体" w:cs="宋体"/>
          <w:b/>
          <w:color w:val="auto"/>
          <w:szCs w:val="21"/>
          <w:highlight w:val="none"/>
        </w:rPr>
        <w:t>）付款方式</w:t>
      </w:r>
    </w:p>
    <w:p w14:paraId="5341E9A9">
      <w:pPr>
        <w:pStyle w:val="10"/>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eastAsia="宋体" w:cs="宋体"/>
          <w:b/>
          <w:bCs w:val="0"/>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合同签订后中标供应商向采购人交纳中标价2%的履约保证金，采购人向中标供应商支付50％预付款。验收合格后，采购人向中标供应商支付合同货款的50%。</w:t>
      </w:r>
    </w:p>
    <w:p w14:paraId="2351B43E">
      <w:pPr>
        <w:keepNext w:val="0"/>
        <w:keepLines w:val="0"/>
        <w:pageBreakBefore w:val="0"/>
        <w:kinsoku/>
        <w:wordWrap/>
        <w:overflowPunct/>
        <w:topLinePunct w:val="0"/>
        <w:autoSpaceDE/>
        <w:autoSpaceDN/>
        <w:bidi w:val="0"/>
        <w:adjustRightInd/>
        <w:snapToGrid/>
        <w:spacing w:line="460" w:lineRule="exact"/>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九</w:t>
      </w:r>
      <w:r>
        <w:rPr>
          <w:rFonts w:hint="eastAsia" w:ascii="宋体" w:hAnsi="宋体" w:cs="宋体"/>
          <w:b/>
          <w:color w:val="auto"/>
          <w:szCs w:val="21"/>
          <w:highlight w:val="none"/>
        </w:rPr>
        <w:t>）知识产权</w:t>
      </w:r>
    </w:p>
    <w:p w14:paraId="1AAB55ED">
      <w:pPr>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cs="宋体"/>
          <w:bCs/>
          <w:color w:val="auto"/>
          <w:szCs w:val="21"/>
          <w:highlight w:val="none"/>
        </w:rPr>
      </w:pPr>
      <w:r>
        <w:rPr>
          <w:rFonts w:hint="eastAsia" w:ascii="宋体" w:hAnsi="宋体" w:cs="宋体"/>
          <w:bCs/>
          <w:color w:val="auto"/>
          <w:szCs w:val="21"/>
          <w:highlight w:val="none"/>
        </w:rPr>
        <w:t xml:space="preserve">     采购人在中华人民共和国境内使用投标人提供的货物及服务时免受第三方提出的侵犯其专利权或其它知识产权的起诉。如果第三方提出侵权指控，中标人应承担由此而引起的一切法律责任和费用。</w:t>
      </w:r>
    </w:p>
    <w:p w14:paraId="53351DAE">
      <w:pPr>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cs="宋体"/>
          <w:b/>
          <w:color w:val="auto"/>
          <w:szCs w:val="21"/>
          <w:highlight w:val="none"/>
        </w:rPr>
      </w:pP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十</w:t>
      </w:r>
      <w:r>
        <w:rPr>
          <w:rFonts w:hint="eastAsia" w:ascii="宋体" w:hAnsi="宋体" w:cs="宋体"/>
          <w:b/>
          <w:color w:val="auto"/>
          <w:szCs w:val="21"/>
          <w:highlight w:val="none"/>
        </w:rPr>
        <w:t>）集成服务承诺</w:t>
      </w:r>
    </w:p>
    <w:p w14:paraId="3588A05F">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1、</w:t>
      </w:r>
      <w:r>
        <w:rPr>
          <w:rFonts w:hint="eastAsia" w:ascii="宋体" w:hAnsi="宋体" w:cs="宋体"/>
          <w:bCs/>
          <w:color w:val="auto"/>
          <w:szCs w:val="21"/>
          <w:highlight w:val="none"/>
        </w:rPr>
        <w:t>按照采购人的要求完成设备在指定地点的安装、部署和集成等；合同签订后</w:t>
      </w:r>
      <w:r>
        <w:rPr>
          <w:rFonts w:hint="eastAsia" w:ascii="宋体" w:hAnsi="宋体" w:cs="宋体"/>
          <w:bCs/>
          <w:color w:val="auto"/>
          <w:szCs w:val="21"/>
          <w:highlight w:val="none"/>
          <w:lang w:val="en-US" w:eastAsia="zh-CN"/>
        </w:rPr>
        <w:t>2</w:t>
      </w:r>
      <w:r>
        <w:rPr>
          <w:rFonts w:hint="eastAsia" w:ascii="宋体" w:hAnsi="宋体" w:cs="宋体"/>
          <w:bCs/>
          <w:color w:val="auto"/>
          <w:szCs w:val="21"/>
          <w:highlight w:val="none"/>
        </w:rPr>
        <w:t>个月内完成设备供货；</w:t>
      </w:r>
      <w:r>
        <w:rPr>
          <w:rFonts w:hint="eastAsia" w:ascii="宋体" w:hAnsi="宋体" w:cs="宋体"/>
          <w:bCs/>
          <w:color w:val="auto"/>
          <w:szCs w:val="21"/>
          <w:highlight w:val="none"/>
          <w:lang w:eastAsia="zh-CN"/>
        </w:rPr>
        <w:t>合同签订后</w:t>
      </w:r>
      <w:r>
        <w:rPr>
          <w:rFonts w:hint="eastAsia" w:ascii="宋体" w:hAnsi="宋体" w:cs="宋体"/>
          <w:bCs/>
          <w:color w:val="auto"/>
          <w:szCs w:val="21"/>
          <w:highlight w:val="none"/>
          <w:lang w:val="en-US" w:eastAsia="zh-CN"/>
        </w:rPr>
        <w:t>4</w:t>
      </w:r>
      <w:r>
        <w:rPr>
          <w:rFonts w:hint="eastAsia" w:ascii="宋体" w:hAnsi="宋体" w:cs="宋体"/>
          <w:bCs/>
          <w:color w:val="auto"/>
          <w:szCs w:val="21"/>
          <w:highlight w:val="none"/>
        </w:rPr>
        <w:t>个月内完成全部设备的现场安装、测试、集成等</w:t>
      </w:r>
      <w:r>
        <w:rPr>
          <w:rFonts w:hint="eastAsia" w:ascii="宋体" w:hAnsi="宋体" w:cs="宋体"/>
          <w:bCs/>
          <w:color w:val="auto"/>
          <w:szCs w:val="21"/>
          <w:highlight w:val="none"/>
          <w:lang w:val="en-US" w:eastAsia="zh-CN"/>
        </w:rPr>
        <w:t>。</w:t>
      </w:r>
    </w:p>
    <w:p w14:paraId="26CE6B7B">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cs="宋体"/>
          <w:bCs/>
          <w:color w:val="auto"/>
          <w:szCs w:val="21"/>
          <w:highlight w:val="none"/>
          <w:lang w:eastAsia="zh-CN"/>
        </w:rPr>
      </w:pPr>
      <w:r>
        <w:rPr>
          <w:rFonts w:hint="eastAsia" w:ascii="宋体" w:hAnsi="宋体" w:cs="宋体"/>
          <w:bCs/>
          <w:color w:val="auto"/>
          <w:szCs w:val="21"/>
          <w:highlight w:val="none"/>
        </w:rPr>
        <w:t>2、提供紧急地震信息服务相关的终端软件，并对采购人对终端软件的需求做定制化开发，以满足不同地区、不同应用场景的需求；</w:t>
      </w:r>
    </w:p>
    <w:p w14:paraId="086B9D6D">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cs="宋体"/>
          <w:bCs/>
          <w:color w:val="auto"/>
          <w:szCs w:val="21"/>
          <w:highlight w:val="none"/>
          <w:lang w:val="en-US" w:eastAsia="zh-CN"/>
        </w:rPr>
      </w:pPr>
      <w:r>
        <w:rPr>
          <w:rFonts w:hint="eastAsia" w:ascii="宋体" w:hAnsi="宋体" w:cs="宋体"/>
          <w:bCs/>
          <w:color w:val="auto"/>
          <w:szCs w:val="21"/>
          <w:highlight w:val="none"/>
        </w:rPr>
        <w:t>3、保障地震预警服务终端的安全性，实现终端注册服务、入网许可，进行注册入网，完成与紧急信息服务系统和防篡改系统（建设中）的集成，并进行信息防篡改安全防护；</w:t>
      </w:r>
    </w:p>
    <w:p w14:paraId="12F1D7AF">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4</w:t>
      </w:r>
      <w:r>
        <w:rPr>
          <w:rFonts w:hint="eastAsia" w:ascii="宋体" w:hAnsi="宋体" w:cs="宋体"/>
          <w:bCs/>
          <w:color w:val="auto"/>
          <w:szCs w:val="21"/>
          <w:highlight w:val="none"/>
        </w:rPr>
        <w:t>、配合国家预警工程紧急信息服务软件升级，需要对预警终端软件进行必要的功能和安全方面的升级等。</w:t>
      </w:r>
    </w:p>
    <w:p w14:paraId="0F84A1F7">
      <w:pPr>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cs="宋体"/>
          <w:bCs/>
          <w:color w:val="auto"/>
          <w:szCs w:val="21"/>
          <w:highlight w:val="none"/>
          <w:lang w:val="en-US" w:eastAsia="zh-CN"/>
        </w:rPr>
      </w:pP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十</w:t>
      </w:r>
      <w:r>
        <w:rPr>
          <w:rFonts w:hint="eastAsia" w:ascii="宋体" w:hAnsi="宋体" w:cs="宋体"/>
          <w:b/>
          <w:color w:val="auto"/>
          <w:szCs w:val="21"/>
          <w:highlight w:val="none"/>
        </w:rPr>
        <w:t>）其他</w:t>
      </w:r>
    </w:p>
    <w:p w14:paraId="338FF96F">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5、投标人须提供不少于10%的备机备件。</w:t>
      </w:r>
    </w:p>
    <w:p w14:paraId="444F0231">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1、投标人必须在投标文件中对以上条款和服务承诺明确列出，承诺内容必须达到本篇及招标文件其他条款的要求。</w:t>
      </w:r>
    </w:p>
    <w:p w14:paraId="4B5E0F91">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2、其他未尽事宜由供需双方在采购合同中详细约定。</w:t>
      </w:r>
      <w:bookmarkEnd w:id="113"/>
    </w:p>
    <w:p w14:paraId="35EF0797">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3、投标人在服务期必须遵守安全生产事项、如：发生安全事故由投标人承担一切责任。</w:t>
      </w:r>
    </w:p>
    <w:p w14:paraId="7AEE8B05">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b/>
          <w:color w:val="auto"/>
          <w:sz w:val="30"/>
          <w:szCs w:val="30"/>
          <w:highlight w:val="none"/>
          <w:lang w:val="en-US" w:eastAsia="zh-CN"/>
        </w:rPr>
      </w:pPr>
      <w:bookmarkStart w:id="118" w:name="_Toc16455"/>
    </w:p>
    <w:p w14:paraId="10DBD9BD">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b/>
          <w:color w:val="auto"/>
          <w:sz w:val="30"/>
          <w:szCs w:val="30"/>
          <w:highlight w:val="none"/>
          <w:lang w:val="en-US" w:eastAsia="zh-CN"/>
        </w:rPr>
      </w:pPr>
    </w:p>
    <w:p w14:paraId="4FDBDBA7">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b/>
          <w:color w:val="auto"/>
          <w:sz w:val="30"/>
          <w:szCs w:val="30"/>
          <w:highlight w:val="none"/>
          <w:lang w:val="en-US" w:eastAsia="zh-CN"/>
        </w:rPr>
      </w:pPr>
    </w:p>
    <w:p w14:paraId="78AFB0A6">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b/>
          <w:color w:val="auto"/>
          <w:sz w:val="30"/>
          <w:szCs w:val="30"/>
          <w:highlight w:val="none"/>
          <w:lang w:val="en-US" w:eastAsia="zh-CN"/>
        </w:rPr>
      </w:pPr>
    </w:p>
    <w:p w14:paraId="30FDC984">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outlineLvl w:val="1"/>
        <w:rPr>
          <w:rFonts w:hint="eastAsia" w:ascii="宋体"/>
          <w:b/>
          <w:color w:val="auto"/>
          <w:sz w:val="30"/>
          <w:szCs w:val="30"/>
          <w:highlight w:val="none"/>
          <w:lang w:val="en-US" w:eastAsia="zh-CN"/>
        </w:rPr>
      </w:pPr>
    </w:p>
    <w:p w14:paraId="266CF890">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outlineLvl w:val="1"/>
        <w:rPr>
          <w:rFonts w:hint="eastAsia" w:ascii="宋体"/>
          <w:b/>
          <w:color w:val="auto"/>
          <w:sz w:val="30"/>
          <w:szCs w:val="30"/>
          <w:highlight w:val="none"/>
          <w:lang w:val="en-US" w:eastAsia="zh-CN"/>
        </w:rPr>
      </w:pPr>
    </w:p>
    <w:p w14:paraId="25F29292">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b/>
          <w:color w:val="auto"/>
          <w:sz w:val="30"/>
          <w:szCs w:val="30"/>
          <w:highlight w:val="none"/>
        </w:rPr>
      </w:pPr>
      <w:r>
        <w:rPr>
          <w:rFonts w:hint="eastAsia" w:ascii="宋体"/>
          <w:b/>
          <w:color w:val="auto"/>
          <w:sz w:val="30"/>
          <w:szCs w:val="30"/>
          <w:highlight w:val="none"/>
          <w:lang w:val="en-US" w:eastAsia="zh-CN"/>
        </w:rPr>
        <w:t xml:space="preserve">第五章 </w:t>
      </w:r>
      <w:r>
        <w:rPr>
          <w:rFonts w:hint="eastAsia" w:ascii="宋体"/>
          <w:b/>
          <w:color w:val="auto"/>
          <w:sz w:val="30"/>
          <w:szCs w:val="30"/>
          <w:highlight w:val="none"/>
        </w:rPr>
        <w:t xml:space="preserve"> 合同条款及格式</w:t>
      </w:r>
      <w:bookmarkEnd w:id="118"/>
      <w:bookmarkStart w:id="119" w:name="_Toc20669"/>
    </w:p>
    <w:p w14:paraId="1EAEB212">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hAnsi="宋体" w:eastAsia="宋体" w:cs="宋体"/>
          <w:color w:val="auto"/>
          <w:szCs w:val="21"/>
          <w:highlight w:val="none"/>
        </w:rPr>
      </w:pPr>
      <w:bookmarkStart w:id="120" w:name="_Toc13773"/>
      <w:r>
        <w:rPr>
          <w:rFonts w:hint="eastAsia" w:ascii="宋体" w:hAnsi="宋体" w:eastAsia="宋体" w:cs="宋体"/>
          <w:color w:val="auto"/>
          <w:szCs w:val="21"/>
          <w:highlight w:val="none"/>
        </w:rPr>
        <w:t>（本合同为合同样稿，最终稿由供需双方协商后确定）</w:t>
      </w:r>
      <w:bookmarkEnd w:id="119"/>
      <w:bookmarkEnd w:id="120"/>
    </w:p>
    <w:p w14:paraId="48E86626">
      <w:pPr>
        <w:widowControl/>
        <w:numPr>
          <w:ilvl w:val="0"/>
          <w:numId w:val="13"/>
        </w:numPr>
        <w:shd w:val="clear" w:color="auto" w:fill="auto"/>
        <w:spacing w:line="600" w:lineRule="exact"/>
        <w:jc w:val="center"/>
        <w:textAlignment w:val="baseline"/>
        <w:outlineLvl w:val="1"/>
        <w:rPr>
          <w:rFonts w:hint="eastAsia" w:ascii="黑体" w:eastAsia="黑体"/>
          <w:b/>
          <w:color w:val="auto"/>
          <w:sz w:val="28"/>
          <w:szCs w:val="28"/>
          <w:highlight w:val="none"/>
        </w:rPr>
      </w:pPr>
      <w:r>
        <w:rPr>
          <w:rFonts w:hint="eastAsia" w:ascii="宋体"/>
          <w:b/>
          <w:color w:val="auto"/>
          <w:sz w:val="28"/>
          <w:szCs w:val="28"/>
          <w:highlight w:val="none"/>
        </w:rPr>
        <w:t xml:space="preserve"> </w:t>
      </w:r>
      <w:bookmarkStart w:id="121" w:name="_Toc19255"/>
      <w:r>
        <w:rPr>
          <w:rFonts w:hint="eastAsia" w:ascii="宋体"/>
          <w:b/>
          <w:color w:val="auto"/>
          <w:sz w:val="28"/>
          <w:szCs w:val="28"/>
          <w:highlight w:val="none"/>
        </w:rPr>
        <w:t>合同协议书</w:t>
      </w:r>
      <w:bookmarkEnd w:id="121"/>
    </w:p>
    <w:p w14:paraId="5A7D214D">
      <w:pPr>
        <w:shd w:val="clear" w:color="auto" w:fill="auto"/>
        <w:spacing w:line="360" w:lineRule="auto"/>
        <w:ind w:firstLine="490" w:firstLineChars="200"/>
        <w:jc w:val="both"/>
        <w:rPr>
          <w:rFonts w:hint="eastAsia"/>
          <w:color w:val="auto"/>
          <w:highlight w:val="none"/>
          <w:lang w:eastAsia="zh-CN"/>
        </w:rPr>
      </w:pPr>
      <w:r>
        <w:rPr>
          <w:rFonts w:hint="eastAsia" w:ascii="宋体"/>
          <w:color w:val="auto"/>
          <w:sz w:val="24"/>
          <w:highlight w:val="none"/>
          <w:lang w:val="en-US" w:eastAsia="zh-CN"/>
        </w:rPr>
        <w:t>合同名称 ：</w:t>
      </w:r>
      <w:r>
        <w:rPr>
          <w:rFonts w:hint="eastAsia" w:ascii="宋体"/>
          <w:b/>
          <w:color w:val="auto"/>
          <w:sz w:val="24"/>
          <w:highlight w:val="none"/>
        </w:rPr>
        <w:t xml:space="preserve">  </w:t>
      </w:r>
      <w:r>
        <w:rPr>
          <w:rFonts w:hint="eastAsia" w:ascii="宋体"/>
          <w:color w:val="auto"/>
          <w:sz w:val="24"/>
          <w:highlight w:val="none"/>
        </w:rPr>
        <w:t xml:space="preserve">    </w:t>
      </w:r>
      <w:r>
        <w:rPr>
          <w:rFonts w:hint="eastAsia" w:ascii="宋体"/>
          <w:color w:val="auto"/>
          <w:sz w:val="24"/>
          <w:highlight w:val="none"/>
          <w:lang w:val="en-US" w:eastAsia="zh-CN"/>
        </w:rPr>
        <w:t xml:space="preserve">       </w:t>
      </w:r>
      <w:r>
        <w:rPr>
          <w:rFonts w:hint="eastAsia" w:ascii="宋体"/>
          <w:color w:val="auto"/>
          <w:sz w:val="24"/>
          <w:highlight w:val="none"/>
        </w:rPr>
        <w:t xml:space="preserve">  </w:t>
      </w:r>
      <w:r>
        <w:rPr>
          <w:rFonts w:hint="eastAsia" w:ascii="宋体"/>
          <w:color w:val="auto"/>
          <w:sz w:val="24"/>
          <w:highlight w:val="none"/>
          <w:lang w:val="en-US" w:eastAsia="zh-CN"/>
        </w:rPr>
        <w:t xml:space="preserve">               </w:t>
      </w:r>
      <w:r>
        <w:rPr>
          <w:rFonts w:hint="eastAsia" w:ascii="宋体"/>
          <w:color w:val="auto"/>
          <w:sz w:val="24"/>
          <w:highlight w:val="none"/>
        </w:rPr>
        <w:t>编号</w:t>
      </w:r>
      <w:r>
        <w:rPr>
          <w:rFonts w:hint="eastAsia" w:ascii="宋体"/>
          <w:color w:val="auto"/>
          <w:sz w:val="24"/>
          <w:highlight w:val="none"/>
          <w:lang w:eastAsia="zh-CN"/>
        </w:rPr>
        <w:t>：</w:t>
      </w:r>
    </w:p>
    <w:p w14:paraId="0A93C6E0">
      <w:pPr>
        <w:shd w:val="clear" w:color="auto" w:fill="auto"/>
        <w:spacing w:line="420" w:lineRule="exact"/>
        <w:ind w:firstLine="430" w:firstLineChars="200"/>
        <w:rPr>
          <w:rFonts w:hint="eastAsia" w:ascii="宋体" w:cs="宋体"/>
          <w:color w:val="auto"/>
          <w:szCs w:val="21"/>
          <w:highlight w:val="none"/>
        </w:rPr>
      </w:pPr>
      <w:bookmarkStart w:id="122" w:name="_Toc246996996"/>
      <w:bookmarkStart w:id="123" w:name="_Toc296602498"/>
      <w:bookmarkStart w:id="124" w:name="_Toc152042388"/>
      <w:bookmarkStart w:id="125" w:name="_Toc144974578"/>
      <w:bookmarkStart w:id="126" w:name="_Toc247085768"/>
      <w:bookmarkStart w:id="127" w:name="_Toc246996253"/>
      <w:bookmarkStart w:id="128" w:name="_Toc179632628"/>
      <w:bookmarkStart w:id="129" w:name="_Toc152045610"/>
      <w:r>
        <w:rPr>
          <w:rFonts w:hint="eastAsia" w:ascii="宋体" w:cs="宋体"/>
          <w:color w:val="auto"/>
          <w:szCs w:val="21"/>
          <w:highlight w:val="none"/>
        </w:rPr>
        <w:t>买    方：                                   卖    方：</w:t>
      </w:r>
    </w:p>
    <w:p w14:paraId="01F5EB4F">
      <w:pPr>
        <w:shd w:val="clear" w:color="auto" w:fill="auto"/>
        <w:spacing w:line="420" w:lineRule="exact"/>
        <w:ind w:firstLine="430" w:firstLineChars="200"/>
        <w:rPr>
          <w:rFonts w:hint="eastAsia" w:ascii="宋体" w:cs="宋体"/>
          <w:color w:val="auto"/>
          <w:szCs w:val="21"/>
          <w:highlight w:val="none"/>
        </w:rPr>
      </w:pPr>
      <w:r>
        <w:rPr>
          <w:rFonts w:hint="eastAsia" w:ascii="宋体" w:cs="宋体"/>
          <w:color w:val="auto"/>
          <w:szCs w:val="21"/>
          <w:highlight w:val="none"/>
        </w:rPr>
        <w:t>电    话：                                   电    话：</w:t>
      </w:r>
    </w:p>
    <w:p w14:paraId="0907E345">
      <w:pPr>
        <w:shd w:val="clear" w:color="auto" w:fill="auto"/>
        <w:spacing w:line="420" w:lineRule="exact"/>
        <w:ind w:firstLine="430" w:firstLineChars="200"/>
        <w:rPr>
          <w:rFonts w:hint="eastAsia" w:ascii="宋体" w:cs="宋体"/>
          <w:color w:val="auto"/>
          <w:szCs w:val="21"/>
          <w:highlight w:val="none"/>
        </w:rPr>
      </w:pPr>
      <w:r>
        <w:rPr>
          <w:rFonts w:hint="eastAsia" w:ascii="宋体" w:cs="宋体"/>
          <w:color w:val="auto"/>
          <w:szCs w:val="21"/>
          <w:highlight w:val="none"/>
        </w:rPr>
        <w:t xml:space="preserve">住    所：                                   住    所：                       </w:t>
      </w:r>
    </w:p>
    <w:p w14:paraId="57FCE0EA">
      <w:pPr>
        <w:shd w:val="clear" w:color="auto" w:fill="auto"/>
        <w:spacing w:line="420" w:lineRule="exact"/>
        <w:ind w:firstLine="430" w:firstLineChars="200"/>
        <w:rPr>
          <w:rFonts w:hint="eastAsia" w:ascii="宋体" w:cs="宋体"/>
          <w:color w:val="auto"/>
          <w:szCs w:val="21"/>
          <w:highlight w:val="none"/>
        </w:rPr>
      </w:pPr>
      <w:r>
        <w:rPr>
          <w:rFonts w:hint="eastAsia" w:ascii="宋体" w:cs="宋体"/>
          <w:color w:val="auto"/>
          <w:szCs w:val="21"/>
          <w:highlight w:val="none"/>
          <w:u w:val="single"/>
        </w:rPr>
        <w:t>（买方）</w:t>
      </w:r>
      <w:r>
        <w:rPr>
          <w:rFonts w:hint="eastAsia" w:ascii="宋体" w:cs="宋体"/>
          <w:color w:val="auto"/>
          <w:szCs w:val="21"/>
          <w:highlight w:val="none"/>
        </w:rPr>
        <w:t>的</w:t>
      </w:r>
      <w:r>
        <w:rPr>
          <w:rFonts w:hint="eastAsia" w:ascii="宋体" w:cs="宋体"/>
          <w:color w:val="auto"/>
          <w:szCs w:val="21"/>
          <w:highlight w:val="none"/>
          <w:u w:val="single"/>
        </w:rPr>
        <w:t>（项目名称）</w:t>
      </w:r>
      <w:r>
        <w:rPr>
          <w:rFonts w:hint="eastAsia" w:ascii="宋体" w:cs="宋体"/>
          <w:color w:val="auto"/>
          <w:szCs w:val="21"/>
          <w:highlight w:val="none"/>
        </w:rPr>
        <w:t>中所需</w:t>
      </w:r>
      <w:r>
        <w:rPr>
          <w:rFonts w:hint="eastAsia" w:ascii="宋体" w:cs="宋体"/>
          <w:color w:val="auto"/>
          <w:szCs w:val="21"/>
          <w:highlight w:val="none"/>
          <w:u w:val="single"/>
        </w:rPr>
        <w:t>（产品名称）</w:t>
      </w:r>
      <w:r>
        <w:rPr>
          <w:rFonts w:hint="eastAsia" w:ascii="宋体" w:cs="宋体"/>
          <w:color w:val="auto"/>
          <w:szCs w:val="21"/>
          <w:highlight w:val="none"/>
        </w:rPr>
        <w:t xml:space="preserve"> 经公开招标，确定</w:t>
      </w:r>
      <w:r>
        <w:rPr>
          <w:rFonts w:hint="eastAsia" w:ascii="宋体" w:cs="宋体"/>
          <w:color w:val="auto"/>
          <w:szCs w:val="21"/>
          <w:highlight w:val="none"/>
          <w:u w:val="single"/>
        </w:rPr>
        <w:t>（卖方）</w:t>
      </w:r>
      <w:r>
        <w:rPr>
          <w:rFonts w:hint="eastAsia" w:ascii="宋体" w:cs="宋体"/>
          <w:color w:val="auto"/>
          <w:szCs w:val="21"/>
          <w:highlight w:val="none"/>
        </w:rPr>
        <w:t>为中标人。按照中华人民共和国</w:t>
      </w:r>
      <w:r>
        <w:rPr>
          <w:rFonts w:hint="eastAsia" w:ascii="宋体" w:cs="宋体"/>
          <w:color w:val="auto"/>
          <w:szCs w:val="21"/>
          <w:highlight w:val="none"/>
          <w:lang w:eastAsia="zh-CN"/>
        </w:rPr>
        <w:t>民法典</w:t>
      </w:r>
      <w:r>
        <w:rPr>
          <w:rFonts w:hint="eastAsia" w:ascii="宋体" w:cs="宋体"/>
          <w:color w:val="auto"/>
          <w:szCs w:val="21"/>
          <w:highlight w:val="none"/>
        </w:rPr>
        <w:t>的规定，买卖双方同意按照下述的条款和条件，签署本合同。</w:t>
      </w:r>
    </w:p>
    <w:p w14:paraId="6A4E457D">
      <w:pPr>
        <w:shd w:val="clear" w:color="auto" w:fill="auto"/>
        <w:spacing w:line="420" w:lineRule="exact"/>
        <w:ind w:firstLine="430" w:firstLineChars="200"/>
        <w:rPr>
          <w:rFonts w:hint="eastAsia" w:ascii="宋体" w:cs="宋体"/>
          <w:color w:val="auto"/>
          <w:szCs w:val="21"/>
          <w:highlight w:val="none"/>
        </w:rPr>
      </w:pPr>
      <w:r>
        <w:rPr>
          <w:rFonts w:hint="eastAsia" w:ascii="宋体" w:cs="宋体"/>
          <w:color w:val="auto"/>
          <w:szCs w:val="21"/>
          <w:highlight w:val="none"/>
        </w:rPr>
        <w:t>1、本合同文件</w:t>
      </w:r>
    </w:p>
    <w:p w14:paraId="184C2283">
      <w:pPr>
        <w:shd w:val="clear" w:color="auto" w:fill="auto"/>
        <w:spacing w:line="420" w:lineRule="exact"/>
        <w:ind w:firstLine="430" w:firstLineChars="200"/>
        <w:rPr>
          <w:rFonts w:hint="eastAsia" w:ascii="宋体" w:cs="宋体"/>
          <w:color w:val="auto"/>
          <w:szCs w:val="21"/>
          <w:highlight w:val="none"/>
        </w:rPr>
      </w:pPr>
      <w:r>
        <w:rPr>
          <w:rFonts w:hint="eastAsia" w:ascii="宋体" w:cs="宋体"/>
          <w:color w:val="auto"/>
          <w:szCs w:val="21"/>
          <w:highlight w:val="none"/>
        </w:rPr>
        <w:t>下列每一文件均应作为合同的组成部分进行阅读和解释：</w:t>
      </w:r>
    </w:p>
    <w:p w14:paraId="5A809735">
      <w:pPr>
        <w:shd w:val="clear" w:color="auto" w:fill="auto"/>
        <w:spacing w:line="420" w:lineRule="exact"/>
        <w:ind w:firstLine="430" w:firstLineChars="200"/>
        <w:rPr>
          <w:rFonts w:hint="eastAsia" w:ascii="宋体" w:cs="宋体"/>
          <w:color w:val="auto"/>
          <w:szCs w:val="21"/>
          <w:highlight w:val="none"/>
        </w:rPr>
      </w:pPr>
      <w:r>
        <w:rPr>
          <w:rFonts w:hint="eastAsia" w:ascii="宋体" w:cs="宋体"/>
          <w:color w:val="auto"/>
          <w:szCs w:val="21"/>
          <w:highlight w:val="none"/>
        </w:rPr>
        <w:t>（1）</w:t>
      </w:r>
      <w:r>
        <w:rPr>
          <w:rFonts w:hint="eastAsia" w:ascii="宋体" w:cs="宋体"/>
          <w:color w:val="auto"/>
          <w:szCs w:val="21"/>
          <w:highlight w:val="none"/>
          <w:lang w:eastAsia="zh-CN"/>
        </w:rPr>
        <w:t>采购文件</w:t>
      </w:r>
      <w:r>
        <w:rPr>
          <w:rFonts w:hint="eastAsia" w:ascii="宋体" w:cs="宋体"/>
          <w:color w:val="auto"/>
          <w:szCs w:val="21"/>
          <w:highlight w:val="none"/>
        </w:rPr>
        <w:t>（2）投标文件（3）中标通知书</w:t>
      </w:r>
    </w:p>
    <w:p w14:paraId="38E2D191">
      <w:pPr>
        <w:shd w:val="clear" w:color="auto" w:fill="auto"/>
        <w:spacing w:line="420" w:lineRule="exact"/>
        <w:ind w:firstLine="430" w:firstLineChars="200"/>
        <w:rPr>
          <w:rFonts w:hint="eastAsia" w:ascii="宋体" w:cs="宋体"/>
          <w:color w:val="auto"/>
          <w:szCs w:val="21"/>
          <w:highlight w:val="none"/>
        </w:rPr>
      </w:pPr>
      <w:r>
        <w:rPr>
          <w:rFonts w:hint="eastAsia" w:ascii="宋体" w:cs="宋体"/>
          <w:color w:val="auto"/>
          <w:szCs w:val="21"/>
          <w:highlight w:val="none"/>
        </w:rPr>
        <w:t>（4）经双方确认进入合同的其它文件、补充条款或说明</w:t>
      </w:r>
    </w:p>
    <w:p w14:paraId="490262C5">
      <w:pPr>
        <w:shd w:val="clear" w:color="auto" w:fill="auto"/>
        <w:spacing w:line="420" w:lineRule="exact"/>
        <w:ind w:firstLine="430" w:firstLineChars="200"/>
        <w:rPr>
          <w:rFonts w:hint="eastAsia" w:ascii="宋体" w:cs="宋体"/>
          <w:color w:val="auto"/>
          <w:szCs w:val="21"/>
          <w:highlight w:val="none"/>
        </w:rPr>
      </w:pPr>
      <w:r>
        <w:rPr>
          <w:rFonts w:hint="eastAsia" w:ascii="宋体" w:cs="宋体"/>
          <w:color w:val="auto"/>
          <w:szCs w:val="21"/>
          <w:highlight w:val="none"/>
        </w:rPr>
        <w:t>2、采购标的、数量、质量要求</w:t>
      </w:r>
    </w:p>
    <w:p w14:paraId="24860C21">
      <w:pPr>
        <w:shd w:val="clear" w:color="auto" w:fill="auto"/>
        <w:spacing w:line="420" w:lineRule="exact"/>
        <w:ind w:firstLine="430" w:firstLineChars="200"/>
        <w:rPr>
          <w:rFonts w:hint="eastAsia" w:ascii="宋体" w:cs="宋体"/>
          <w:color w:val="auto"/>
          <w:szCs w:val="21"/>
          <w:highlight w:val="none"/>
        </w:rPr>
      </w:pPr>
      <w:r>
        <w:rPr>
          <w:rFonts w:hint="eastAsia" w:ascii="宋体" w:cs="宋体"/>
          <w:color w:val="auto"/>
          <w:szCs w:val="21"/>
          <w:highlight w:val="none"/>
        </w:rPr>
        <w:t>3、合同总价</w:t>
      </w:r>
    </w:p>
    <w:p w14:paraId="43388ECC">
      <w:pPr>
        <w:shd w:val="clear" w:color="auto" w:fill="auto"/>
        <w:spacing w:line="420" w:lineRule="exact"/>
        <w:ind w:firstLine="430" w:firstLineChars="200"/>
        <w:rPr>
          <w:rFonts w:hint="eastAsia" w:ascii="宋体" w:cs="宋体"/>
          <w:color w:val="auto"/>
          <w:szCs w:val="21"/>
          <w:highlight w:val="none"/>
        </w:rPr>
      </w:pPr>
      <w:r>
        <w:rPr>
          <w:rFonts w:hint="eastAsia" w:ascii="宋体" w:cs="宋体"/>
          <w:color w:val="auto"/>
          <w:szCs w:val="21"/>
          <w:highlight w:val="none"/>
        </w:rPr>
        <w:t xml:space="preserve">合同总价为 </w:t>
      </w:r>
      <w:r>
        <w:rPr>
          <w:rFonts w:hint="eastAsia" w:ascii="宋体" w:cs="宋体"/>
          <w:color w:val="auto"/>
          <w:szCs w:val="21"/>
          <w:highlight w:val="none"/>
          <w:u w:val="single"/>
        </w:rPr>
        <w:t xml:space="preserve">              </w:t>
      </w:r>
      <w:r>
        <w:rPr>
          <w:rFonts w:hint="eastAsia" w:ascii="宋体" w:cs="宋体"/>
          <w:color w:val="auto"/>
          <w:szCs w:val="21"/>
          <w:highlight w:val="none"/>
        </w:rPr>
        <w:t>元人民币。</w:t>
      </w:r>
    </w:p>
    <w:p w14:paraId="374BF9C2">
      <w:pPr>
        <w:shd w:val="clear" w:color="auto" w:fill="auto"/>
        <w:autoSpaceDN w:val="0"/>
        <w:spacing w:line="240" w:lineRule="atLeast"/>
        <w:ind w:firstLine="430" w:firstLineChars="200"/>
        <w:rPr>
          <w:rFonts w:hint="eastAsia" w:ascii="宋体" w:hAnsi="宋体" w:cs="宋体"/>
          <w:b/>
          <w:color w:val="auto"/>
          <w:kern w:val="0"/>
          <w:szCs w:val="21"/>
          <w:highlight w:val="none"/>
        </w:rPr>
      </w:pPr>
      <w:r>
        <w:rPr>
          <w:rFonts w:hint="eastAsia" w:ascii="宋体" w:cs="宋体"/>
          <w:color w:val="auto"/>
          <w:szCs w:val="21"/>
          <w:highlight w:val="none"/>
        </w:rPr>
        <w:t>4、付款方式</w:t>
      </w:r>
      <w:r>
        <w:rPr>
          <w:rFonts w:hint="eastAsia" w:ascii="黑体" w:eastAsia="黑体" w:cs="宋体"/>
          <w:b/>
          <w:bCs/>
          <w:color w:val="auto"/>
          <w:szCs w:val="21"/>
          <w:highlight w:val="none"/>
        </w:rPr>
        <w:t>：</w:t>
      </w:r>
      <w:r>
        <w:rPr>
          <w:rFonts w:hint="eastAsia" w:ascii="宋体"/>
          <w:color w:val="auto"/>
          <w:szCs w:val="21"/>
          <w:highlight w:val="none"/>
          <w:u w:val="single"/>
        </w:rPr>
        <w:t>合同签订后中标供应商向采购人交纳中标价2%的履约保证金，采购人向中标供应商支付50％预付款。验收合格后，采购人向中标供应商支付合同货款的50%。</w:t>
      </w:r>
    </w:p>
    <w:p w14:paraId="18778D2D">
      <w:pPr>
        <w:shd w:val="clear" w:color="auto" w:fill="auto"/>
        <w:spacing w:line="360" w:lineRule="auto"/>
        <w:ind w:firstLine="430" w:firstLineChars="200"/>
        <w:rPr>
          <w:rFonts w:hint="eastAsia" w:ascii="宋体"/>
          <w:color w:val="auto"/>
          <w:szCs w:val="21"/>
          <w:highlight w:val="none"/>
        </w:rPr>
      </w:pPr>
      <w:r>
        <w:rPr>
          <w:rFonts w:hint="eastAsia" w:ascii="宋体" w:cs="宋体"/>
          <w:color w:val="auto"/>
          <w:szCs w:val="21"/>
          <w:highlight w:val="none"/>
        </w:rPr>
        <w:t>5、</w:t>
      </w:r>
      <w:r>
        <w:rPr>
          <w:rFonts w:hint="eastAsia" w:ascii="宋体"/>
          <w:color w:val="auto"/>
          <w:szCs w:val="21"/>
          <w:highlight w:val="none"/>
        </w:rPr>
        <w:t>合同供货（服务）期限及地点和方式</w:t>
      </w:r>
    </w:p>
    <w:p w14:paraId="5E12467A">
      <w:pPr>
        <w:shd w:val="clear" w:color="auto" w:fill="auto"/>
        <w:spacing w:line="420" w:lineRule="exact"/>
        <w:ind w:firstLine="430" w:firstLineChars="200"/>
        <w:rPr>
          <w:rFonts w:hint="eastAsia" w:ascii="宋体" w:cs="宋体"/>
          <w:color w:val="auto"/>
          <w:szCs w:val="21"/>
          <w:highlight w:val="none"/>
        </w:rPr>
      </w:pPr>
      <w:r>
        <w:rPr>
          <w:rFonts w:hint="eastAsia" w:ascii="宋体" w:cs="宋体"/>
          <w:color w:val="auto"/>
          <w:szCs w:val="21"/>
          <w:highlight w:val="none"/>
        </w:rPr>
        <w:t>6、验收要求及违约责任</w:t>
      </w:r>
    </w:p>
    <w:p w14:paraId="6F193DFD">
      <w:pPr>
        <w:shd w:val="clear" w:color="auto" w:fill="auto"/>
        <w:spacing w:line="420" w:lineRule="exact"/>
        <w:ind w:firstLine="430" w:firstLineChars="200"/>
        <w:rPr>
          <w:rFonts w:hint="eastAsia" w:ascii="宋体" w:cs="宋体"/>
          <w:color w:val="auto"/>
          <w:szCs w:val="21"/>
          <w:highlight w:val="none"/>
        </w:rPr>
      </w:pPr>
      <w:r>
        <w:rPr>
          <w:rFonts w:hint="eastAsia" w:ascii="宋体" w:cs="宋体"/>
          <w:color w:val="auto"/>
          <w:szCs w:val="21"/>
          <w:highlight w:val="none"/>
        </w:rPr>
        <w:t>7、违约责任及解决争议方法</w:t>
      </w:r>
    </w:p>
    <w:p w14:paraId="55C2DA81">
      <w:pPr>
        <w:shd w:val="clear" w:color="auto" w:fill="auto"/>
        <w:spacing w:line="420" w:lineRule="exact"/>
        <w:ind w:firstLine="430" w:firstLineChars="200"/>
        <w:rPr>
          <w:rFonts w:hint="eastAsia" w:ascii="宋体" w:cs="宋体"/>
          <w:color w:val="auto"/>
          <w:szCs w:val="21"/>
          <w:highlight w:val="none"/>
        </w:rPr>
      </w:pPr>
      <w:r>
        <w:rPr>
          <w:rFonts w:hint="eastAsia" w:ascii="宋体" w:cs="宋体"/>
          <w:color w:val="auto"/>
          <w:szCs w:val="21"/>
          <w:highlight w:val="none"/>
        </w:rPr>
        <w:t>8、合同的生效</w:t>
      </w:r>
    </w:p>
    <w:p w14:paraId="3DD1653B">
      <w:pPr>
        <w:pStyle w:val="11"/>
        <w:shd w:val="clear" w:color="auto" w:fill="auto"/>
        <w:spacing w:after="0" w:line="420" w:lineRule="exact"/>
        <w:ind w:left="0" w:leftChars="0" w:firstLine="430" w:firstLineChars="200"/>
        <w:rPr>
          <w:rFonts w:hint="eastAsia" w:ascii="宋体" w:cs="宋体"/>
          <w:color w:val="auto"/>
          <w:kern w:val="0"/>
          <w:szCs w:val="21"/>
          <w:highlight w:val="none"/>
          <w:u w:val="none" w:color="000000"/>
        </w:rPr>
      </w:pPr>
      <w:r>
        <w:rPr>
          <w:rFonts w:hint="eastAsia" w:ascii="宋体" w:cs="宋体"/>
          <w:color w:val="auto"/>
          <w:kern w:val="0"/>
          <w:szCs w:val="21"/>
          <w:highlight w:val="none"/>
          <w:u w:val="none" w:color="000000"/>
        </w:rPr>
        <w:t>合同经双方授权代表签署，买卖双方加盖印章之后生效。</w:t>
      </w:r>
    </w:p>
    <w:p w14:paraId="69C02C03">
      <w:pPr>
        <w:pStyle w:val="11"/>
        <w:shd w:val="clear" w:color="auto" w:fill="auto"/>
        <w:spacing w:after="0" w:line="420" w:lineRule="exact"/>
        <w:ind w:left="0" w:leftChars="0" w:firstLine="430" w:firstLineChars="200"/>
        <w:rPr>
          <w:rFonts w:hint="eastAsia" w:ascii="宋体" w:cs="宋体"/>
          <w:color w:val="auto"/>
          <w:kern w:val="0"/>
          <w:szCs w:val="21"/>
          <w:highlight w:val="none"/>
          <w:u w:val="none" w:color="000000"/>
        </w:rPr>
      </w:pPr>
      <w:r>
        <w:rPr>
          <w:rFonts w:hint="eastAsia" w:ascii="宋体" w:cs="宋体"/>
          <w:color w:val="auto"/>
          <w:kern w:val="0"/>
          <w:szCs w:val="21"/>
          <w:highlight w:val="none"/>
          <w:u w:val="none" w:color="000000"/>
        </w:rPr>
        <w:t>本合同一式     份，双方各执     份。</w:t>
      </w:r>
    </w:p>
    <w:p w14:paraId="2225A985">
      <w:pPr>
        <w:pStyle w:val="11"/>
        <w:shd w:val="clear" w:color="auto" w:fill="auto"/>
        <w:spacing w:after="0" w:line="420" w:lineRule="exact"/>
        <w:ind w:left="0" w:leftChars="0" w:firstLine="430" w:firstLineChars="200"/>
        <w:rPr>
          <w:rFonts w:hint="eastAsia" w:ascii="宋体" w:cs="宋体"/>
          <w:color w:val="auto"/>
          <w:kern w:val="0"/>
          <w:szCs w:val="21"/>
          <w:highlight w:val="none"/>
          <w:u w:val="none" w:color="000000"/>
        </w:rPr>
      </w:pPr>
      <w:r>
        <w:rPr>
          <w:rFonts w:hint="eastAsia" w:ascii="宋体" w:cs="宋体"/>
          <w:color w:val="auto"/>
          <w:kern w:val="0"/>
          <w:szCs w:val="21"/>
          <w:highlight w:val="none"/>
          <w:u w:val="none" w:color="000000"/>
        </w:rPr>
        <w:t xml:space="preserve">买  方：                         </w:t>
      </w:r>
      <w:r>
        <w:rPr>
          <w:rFonts w:hint="eastAsia" w:ascii="宋体" w:cs="宋体"/>
          <w:color w:val="auto"/>
          <w:kern w:val="0"/>
          <w:szCs w:val="21"/>
          <w:highlight w:val="none"/>
          <w:u w:val="none" w:color="000000"/>
          <w:lang w:val="en-US" w:eastAsia="zh-CN"/>
        </w:rPr>
        <w:t xml:space="preserve">   </w:t>
      </w:r>
      <w:r>
        <w:rPr>
          <w:rFonts w:hint="eastAsia" w:ascii="宋体" w:cs="宋体"/>
          <w:color w:val="auto"/>
          <w:kern w:val="0"/>
          <w:szCs w:val="21"/>
          <w:highlight w:val="none"/>
          <w:u w:val="none" w:color="000000"/>
        </w:rPr>
        <w:t xml:space="preserve"> </w:t>
      </w:r>
      <w:r>
        <w:rPr>
          <w:rFonts w:hint="eastAsia" w:ascii="宋体" w:cs="宋体"/>
          <w:color w:val="auto"/>
          <w:kern w:val="0"/>
          <w:szCs w:val="21"/>
          <w:highlight w:val="none"/>
          <w:u w:val="none" w:color="000000"/>
          <w:lang w:val="en-US" w:eastAsia="zh-CN"/>
        </w:rPr>
        <w:t xml:space="preserve"> </w:t>
      </w:r>
      <w:r>
        <w:rPr>
          <w:rFonts w:hint="eastAsia" w:ascii="宋体" w:cs="宋体"/>
          <w:color w:val="auto"/>
          <w:kern w:val="0"/>
          <w:szCs w:val="21"/>
          <w:highlight w:val="none"/>
          <w:u w:val="none" w:color="000000"/>
        </w:rPr>
        <w:t>卖  方：</w:t>
      </w:r>
    </w:p>
    <w:p w14:paraId="7E88E4F3">
      <w:pPr>
        <w:pStyle w:val="11"/>
        <w:shd w:val="clear" w:color="auto" w:fill="auto"/>
        <w:spacing w:after="0" w:line="420" w:lineRule="exact"/>
        <w:ind w:left="0" w:leftChars="0" w:firstLine="430" w:firstLineChars="200"/>
        <w:rPr>
          <w:rFonts w:hint="eastAsia" w:ascii="宋体" w:cs="宋体"/>
          <w:color w:val="auto"/>
          <w:kern w:val="0"/>
          <w:szCs w:val="21"/>
          <w:highlight w:val="none"/>
          <w:u w:val="none" w:color="000000"/>
        </w:rPr>
      </w:pPr>
      <w:r>
        <w:rPr>
          <w:rFonts w:hint="eastAsia" w:ascii="宋体" w:cs="宋体"/>
          <w:color w:val="auto"/>
          <w:kern w:val="0"/>
          <w:szCs w:val="21"/>
          <w:highlight w:val="none"/>
          <w:u w:val="none" w:color="000000"/>
        </w:rPr>
        <w:t xml:space="preserve">名  称：（盖章）                   </w:t>
      </w:r>
      <w:r>
        <w:rPr>
          <w:rFonts w:hint="eastAsia" w:ascii="宋体" w:cs="宋体"/>
          <w:color w:val="auto"/>
          <w:kern w:val="0"/>
          <w:szCs w:val="21"/>
          <w:highlight w:val="none"/>
          <w:u w:val="none" w:color="000000"/>
          <w:lang w:val="en-US" w:eastAsia="zh-CN"/>
        </w:rPr>
        <w:t xml:space="preserve">   </w:t>
      </w:r>
      <w:r>
        <w:rPr>
          <w:rFonts w:hint="eastAsia" w:ascii="宋体" w:cs="宋体"/>
          <w:color w:val="auto"/>
          <w:kern w:val="0"/>
          <w:szCs w:val="21"/>
          <w:highlight w:val="none"/>
          <w:u w:val="none" w:color="000000"/>
        </w:rPr>
        <w:t>名  称：（盖章）</w:t>
      </w:r>
    </w:p>
    <w:p w14:paraId="0AC57360">
      <w:pPr>
        <w:pStyle w:val="11"/>
        <w:shd w:val="clear" w:color="auto" w:fill="auto"/>
        <w:spacing w:after="0" w:line="420" w:lineRule="exact"/>
        <w:ind w:left="0" w:leftChars="0" w:firstLine="430" w:firstLineChars="200"/>
        <w:rPr>
          <w:rFonts w:hint="eastAsia" w:ascii="宋体" w:cs="宋体"/>
          <w:color w:val="auto"/>
          <w:kern w:val="0"/>
          <w:szCs w:val="21"/>
          <w:highlight w:val="none"/>
          <w:u w:val="none" w:color="000000"/>
        </w:rPr>
      </w:pPr>
      <w:r>
        <w:rPr>
          <w:rFonts w:hint="eastAsia" w:ascii="宋体" w:cs="宋体"/>
          <w:color w:val="auto"/>
          <w:kern w:val="0"/>
          <w:szCs w:val="21"/>
          <w:highlight w:val="none"/>
          <w:u w:val="none" w:color="000000"/>
        </w:rPr>
        <w:t xml:space="preserve">法定代表人（或委托代理人）： （签字） 法定代表人（或委托代理人）：（签字）                        </w:t>
      </w:r>
    </w:p>
    <w:p w14:paraId="3999469B">
      <w:pPr>
        <w:pStyle w:val="11"/>
        <w:shd w:val="clear" w:color="auto" w:fill="auto"/>
        <w:spacing w:after="0" w:line="420" w:lineRule="exact"/>
        <w:ind w:left="0" w:leftChars="0" w:firstLine="430" w:firstLineChars="200"/>
        <w:rPr>
          <w:rFonts w:hint="eastAsia" w:ascii="宋体" w:cs="宋体"/>
          <w:color w:val="auto"/>
          <w:kern w:val="0"/>
          <w:szCs w:val="21"/>
          <w:highlight w:val="none"/>
          <w:u w:val="none" w:color="000000"/>
        </w:rPr>
      </w:pPr>
      <w:r>
        <w:rPr>
          <w:rFonts w:hint="eastAsia" w:ascii="宋体" w:cs="宋体"/>
          <w:color w:val="auto"/>
          <w:kern w:val="0"/>
          <w:szCs w:val="21"/>
          <w:highlight w:val="none"/>
          <w:u w:val="none" w:color="000000"/>
        </w:rPr>
        <w:t xml:space="preserve">地    址：                       </w:t>
      </w:r>
      <w:r>
        <w:rPr>
          <w:rFonts w:hint="eastAsia" w:ascii="宋体" w:cs="宋体"/>
          <w:color w:val="auto"/>
          <w:kern w:val="0"/>
          <w:szCs w:val="21"/>
          <w:highlight w:val="none"/>
          <w:u w:val="none" w:color="000000"/>
          <w:lang w:val="en-US" w:eastAsia="zh-CN"/>
        </w:rPr>
        <w:t xml:space="preserve">    </w:t>
      </w:r>
      <w:r>
        <w:rPr>
          <w:rFonts w:hint="eastAsia" w:ascii="宋体" w:cs="宋体"/>
          <w:color w:val="auto"/>
          <w:kern w:val="0"/>
          <w:szCs w:val="21"/>
          <w:highlight w:val="none"/>
          <w:u w:val="none" w:color="000000"/>
        </w:rPr>
        <w:t xml:space="preserve"> 地    址：</w:t>
      </w:r>
    </w:p>
    <w:p w14:paraId="4F196602">
      <w:pPr>
        <w:pStyle w:val="11"/>
        <w:shd w:val="clear" w:color="auto" w:fill="auto"/>
        <w:spacing w:after="0" w:line="420" w:lineRule="exact"/>
        <w:ind w:left="0" w:leftChars="0" w:firstLine="430" w:firstLineChars="200"/>
        <w:rPr>
          <w:rFonts w:hint="eastAsia" w:ascii="宋体" w:cs="宋体"/>
          <w:color w:val="auto"/>
          <w:kern w:val="0"/>
          <w:szCs w:val="21"/>
          <w:highlight w:val="none"/>
          <w:u w:val="none" w:color="000000"/>
        </w:rPr>
      </w:pPr>
      <w:r>
        <w:rPr>
          <w:rFonts w:hint="eastAsia" w:ascii="宋体" w:cs="宋体"/>
          <w:color w:val="auto"/>
          <w:kern w:val="0"/>
          <w:szCs w:val="21"/>
          <w:highlight w:val="none"/>
          <w:u w:val="none" w:color="000000"/>
        </w:rPr>
        <w:t xml:space="preserve">邮政编码：                        </w:t>
      </w:r>
      <w:r>
        <w:rPr>
          <w:rFonts w:hint="eastAsia" w:ascii="宋体" w:cs="宋体"/>
          <w:color w:val="auto"/>
          <w:kern w:val="0"/>
          <w:szCs w:val="21"/>
          <w:highlight w:val="none"/>
          <w:u w:val="none" w:color="000000"/>
          <w:lang w:val="en-US" w:eastAsia="zh-CN"/>
        </w:rPr>
        <w:t xml:space="preserve">    </w:t>
      </w:r>
      <w:r>
        <w:rPr>
          <w:rFonts w:hint="eastAsia" w:ascii="宋体" w:cs="宋体"/>
          <w:color w:val="auto"/>
          <w:kern w:val="0"/>
          <w:szCs w:val="21"/>
          <w:highlight w:val="none"/>
          <w:u w:val="none" w:color="000000"/>
        </w:rPr>
        <w:t>邮政编码：</w:t>
      </w:r>
    </w:p>
    <w:p w14:paraId="5A63DFCA">
      <w:pPr>
        <w:pStyle w:val="11"/>
        <w:shd w:val="clear" w:color="auto" w:fill="auto"/>
        <w:spacing w:after="0" w:line="420" w:lineRule="exact"/>
        <w:ind w:left="0" w:leftChars="0" w:firstLine="430" w:firstLineChars="200"/>
        <w:rPr>
          <w:rFonts w:hint="eastAsia" w:ascii="宋体" w:cs="宋体"/>
          <w:color w:val="auto"/>
          <w:kern w:val="0"/>
          <w:szCs w:val="21"/>
          <w:highlight w:val="none"/>
          <w:u w:val="none" w:color="000000"/>
        </w:rPr>
      </w:pPr>
      <w:r>
        <w:rPr>
          <w:rFonts w:hint="eastAsia" w:ascii="宋体" w:cs="宋体"/>
          <w:color w:val="auto"/>
          <w:kern w:val="0"/>
          <w:szCs w:val="21"/>
          <w:highlight w:val="none"/>
          <w:u w:val="none" w:color="000000"/>
        </w:rPr>
        <w:t xml:space="preserve">电    话：                        </w:t>
      </w:r>
      <w:r>
        <w:rPr>
          <w:rFonts w:hint="eastAsia" w:ascii="宋体" w:cs="宋体"/>
          <w:color w:val="auto"/>
          <w:kern w:val="0"/>
          <w:szCs w:val="21"/>
          <w:highlight w:val="none"/>
          <w:u w:val="none" w:color="000000"/>
          <w:lang w:val="en-US" w:eastAsia="zh-CN"/>
        </w:rPr>
        <w:t xml:space="preserve">    </w:t>
      </w:r>
      <w:r>
        <w:rPr>
          <w:rFonts w:hint="eastAsia" w:ascii="宋体" w:cs="宋体"/>
          <w:color w:val="auto"/>
          <w:kern w:val="0"/>
          <w:szCs w:val="21"/>
          <w:highlight w:val="none"/>
          <w:u w:val="none" w:color="000000"/>
        </w:rPr>
        <w:t>电    话：</w:t>
      </w:r>
    </w:p>
    <w:p w14:paraId="415ACCB8">
      <w:pPr>
        <w:pStyle w:val="11"/>
        <w:shd w:val="clear" w:color="auto" w:fill="auto"/>
        <w:spacing w:after="0" w:line="420" w:lineRule="exact"/>
        <w:ind w:left="0" w:leftChars="0" w:firstLine="430" w:firstLineChars="200"/>
        <w:rPr>
          <w:rFonts w:hint="eastAsia" w:ascii="宋体" w:cs="宋体"/>
          <w:color w:val="auto"/>
          <w:kern w:val="0"/>
          <w:szCs w:val="21"/>
          <w:highlight w:val="none"/>
          <w:u w:val="none" w:color="000000"/>
        </w:rPr>
      </w:pPr>
      <w:r>
        <w:rPr>
          <w:rFonts w:hint="eastAsia" w:ascii="宋体" w:cs="宋体"/>
          <w:color w:val="auto"/>
          <w:kern w:val="0"/>
          <w:szCs w:val="21"/>
          <w:highlight w:val="none"/>
          <w:u w:val="none" w:color="000000"/>
        </w:rPr>
        <w:t xml:space="preserve">开户银行：                       </w:t>
      </w:r>
      <w:r>
        <w:rPr>
          <w:rFonts w:hint="eastAsia" w:ascii="宋体" w:cs="宋体"/>
          <w:color w:val="auto"/>
          <w:kern w:val="0"/>
          <w:szCs w:val="21"/>
          <w:highlight w:val="none"/>
          <w:u w:val="none" w:color="000000"/>
          <w:lang w:val="en-US" w:eastAsia="zh-CN"/>
        </w:rPr>
        <w:t xml:space="preserve">    </w:t>
      </w:r>
      <w:r>
        <w:rPr>
          <w:rFonts w:hint="eastAsia" w:ascii="宋体" w:cs="宋体"/>
          <w:color w:val="auto"/>
          <w:kern w:val="0"/>
          <w:szCs w:val="21"/>
          <w:highlight w:val="none"/>
          <w:u w:val="none" w:color="000000"/>
        </w:rPr>
        <w:t xml:space="preserve"> 开户银行：</w:t>
      </w:r>
    </w:p>
    <w:p w14:paraId="518E2E5B">
      <w:pPr>
        <w:pStyle w:val="11"/>
        <w:shd w:val="clear" w:color="auto" w:fill="auto"/>
        <w:spacing w:after="0" w:line="420" w:lineRule="exact"/>
        <w:ind w:left="0" w:leftChars="0" w:firstLine="430" w:firstLineChars="200"/>
        <w:rPr>
          <w:rFonts w:hint="eastAsia" w:ascii="宋体" w:cs="宋体"/>
          <w:color w:val="auto"/>
          <w:kern w:val="0"/>
          <w:szCs w:val="21"/>
          <w:highlight w:val="none"/>
          <w:u w:val="none" w:color="000000"/>
        </w:rPr>
      </w:pPr>
      <w:r>
        <w:rPr>
          <w:rFonts w:hint="eastAsia" w:ascii="宋体" w:cs="宋体"/>
          <w:color w:val="auto"/>
          <w:kern w:val="0"/>
          <w:szCs w:val="21"/>
          <w:highlight w:val="none"/>
          <w:u w:val="none" w:color="000000"/>
        </w:rPr>
        <w:t xml:space="preserve">帐    号：                        </w:t>
      </w:r>
      <w:r>
        <w:rPr>
          <w:rFonts w:hint="eastAsia" w:ascii="宋体" w:cs="宋体"/>
          <w:color w:val="auto"/>
          <w:kern w:val="0"/>
          <w:szCs w:val="21"/>
          <w:highlight w:val="none"/>
          <w:u w:val="none" w:color="000000"/>
          <w:lang w:val="en-US" w:eastAsia="zh-CN"/>
        </w:rPr>
        <w:t xml:space="preserve">    </w:t>
      </w:r>
      <w:r>
        <w:rPr>
          <w:rFonts w:hint="eastAsia" w:ascii="宋体" w:cs="宋体"/>
          <w:color w:val="auto"/>
          <w:kern w:val="0"/>
          <w:szCs w:val="21"/>
          <w:highlight w:val="none"/>
          <w:u w:val="none" w:color="000000"/>
        </w:rPr>
        <w:t>帐    号：</w:t>
      </w:r>
    </w:p>
    <w:p w14:paraId="6399360F">
      <w:pPr>
        <w:rPr>
          <w:rFonts w:hint="eastAsia"/>
          <w:color w:val="auto"/>
          <w:highlight w:val="none"/>
        </w:rPr>
      </w:pPr>
    </w:p>
    <w:p w14:paraId="18F29774">
      <w:pPr>
        <w:pStyle w:val="11"/>
        <w:shd w:val="clear" w:color="auto" w:fill="auto"/>
        <w:spacing w:after="0" w:line="420" w:lineRule="exact"/>
        <w:ind w:left="0" w:leftChars="0" w:firstLine="570" w:firstLineChars="200"/>
        <w:jc w:val="center"/>
        <w:rPr>
          <w:rFonts w:hint="eastAsia" w:asciiTheme="majorEastAsia" w:hAnsiTheme="majorEastAsia" w:eastAsiaTheme="majorEastAsia" w:cstheme="majorEastAsia"/>
          <w:b/>
          <w:color w:val="auto"/>
          <w:sz w:val="28"/>
          <w:szCs w:val="28"/>
          <w:highlight w:val="none"/>
        </w:rPr>
      </w:pPr>
      <w:r>
        <w:rPr>
          <w:rFonts w:hint="eastAsia" w:asciiTheme="majorEastAsia" w:hAnsiTheme="majorEastAsia" w:eastAsiaTheme="majorEastAsia" w:cstheme="majorEastAsia"/>
          <w:b/>
          <w:color w:val="auto"/>
          <w:sz w:val="28"/>
          <w:szCs w:val="28"/>
          <w:highlight w:val="none"/>
        </w:rPr>
        <w:t>二  合同条款</w:t>
      </w:r>
      <w:bookmarkEnd w:id="122"/>
      <w:bookmarkEnd w:id="123"/>
      <w:bookmarkEnd w:id="124"/>
      <w:bookmarkEnd w:id="125"/>
      <w:bookmarkEnd w:id="126"/>
      <w:bookmarkEnd w:id="127"/>
      <w:bookmarkEnd w:id="128"/>
      <w:bookmarkEnd w:id="129"/>
    </w:p>
    <w:p w14:paraId="2AFDB191">
      <w:pPr>
        <w:shd w:val="clear" w:color="auto" w:fill="auto"/>
        <w:spacing w:line="440" w:lineRule="exact"/>
        <w:rPr>
          <w:rFonts w:hint="eastAsia" w:ascii="宋体" w:cs="宋体"/>
          <w:b/>
          <w:color w:val="auto"/>
          <w:szCs w:val="21"/>
          <w:highlight w:val="none"/>
        </w:rPr>
      </w:pPr>
      <w:r>
        <w:rPr>
          <w:rFonts w:hint="eastAsia" w:ascii="宋体" w:cs="宋体"/>
          <w:b/>
          <w:color w:val="auto"/>
          <w:szCs w:val="21"/>
          <w:highlight w:val="none"/>
        </w:rPr>
        <w:t>一.  合同文件</w:t>
      </w:r>
    </w:p>
    <w:p w14:paraId="22F63369">
      <w:pPr>
        <w:shd w:val="clear" w:color="auto" w:fill="auto"/>
        <w:spacing w:line="440" w:lineRule="exact"/>
        <w:rPr>
          <w:rFonts w:hint="eastAsia" w:ascii="宋体" w:cs="宋体"/>
          <w:color w:val="auto"/>
          <w:szCs w:val="21"/>
          <w:highlight w:val="none"/>
        </w:rPr>
      </w:pPr>
      <w:r>
        <w:rPr>
          <w:rFonts w:hint="eastAsia" w:ascii="宋体" w:cs="宋体"/>
          <w:color w:val="auto"/>
          <w:szCs w:val="21"/>
          <w:highlight w:val="none"/>
        </w:rPr>
        <w:t>1、合同文件适用法律</w:t>
      </w:r>
    </w:p>
    <w:p w14:paraId="6A3BB14F">
      <w:pPr>
        <w:shd w:val="clear" w:color="auto" w:fill="auto"/>
        <w:spacing w:line="440" w:lineRule="exact"/>
        <w:ind w:firstLine="645" w:firstLineChars="300"/>
        <w:rPr>
          <w:rFonts w:hint="eastAsia" w:ascii="宋体" w:cs="宋体"/>
          <w:color w:val="auto"/>
          <w:szCs w:val="21"/>
          <w:highlight w:val="none"/>
        </w:rPr>
      </w:pPr>
      <w:r>
        <w:rPr>
          <w:rFonts w:hint="eastAsia" w:ascii="宋体" w:cs="宋体"/>
          <w:color w:val="auto"/>
          <w:szCs w:val="21"/>
          <w:highlight w:val="none"/>
        </w:rPr>
        <w:t>适用于合同文件的法律是中华人民共和国现行法律、法规及招标人所在地的地方性法规。</w:t>
      </w:r>
    </w:p>
    <w:p w14:paraId="0487E27B">
      <w:pPr>
        <w:shd w:val="clear" w:color="auto" w:fill="auto"/>
        <w:spacing w:line="440" w:lineRule="exact"/>
        <w:rPr>
          <w:rFonts w:hint="eastAsia" w:ascii="宋体" w:cs="宋体"/>
          <w:color w:val="auto"/>
          <w:szCs w:val="21"/>
          <w:highlight w:val="none"/>
        </w:rPr>
      </w:pPr>
      <w:r>
        <w:rPr>
          <w:rFonts w:hint="eastAsia" w:ascii="宋体" w:cs="宋体"/>
          <w:color w:val="auto"/>
          <w:szCs w:val="21"/>
          <w:highlight w:val="none"/>
        </w:rPr>
        <w:t>2、合同文件组成和解释顺序</w:t>
      </w:r>
    </w:p>
    <w:p w14:paraId="3637AC87">
      <w:pPr>
        <w:shd w:val="clear" w:color="auto" w:fill="auto"/>
        <w:spacing w:line="440" w:lineRule="exact"/>
        <w:ind w:firstLine="537" w:firstLineChars="250"/>
        <w:rPr>
          <w:rFonts w:hint="eastAsia" w:ascii="宋体" w:cs="宋体"/>
          <w:color w:val="auto"/>
          <w:szCs w:val="21"/>
          <w:highlight w:val="none"/>
        </w:rPr>
      </w:pPr>
      <w:r>
        <w:rPr>
          <w:rFonts w:hint="eastAsia" w:ascii="宋体" w:cs="宋体"/>
          <w:color w:val="auto"/>
          <w:szCs w:val="21"/>
          <w:highlight w:val="none"/>
        </w:rPr>
        <w:t>(1)合同文件的组成和解释顺序如下：</w:t>
      </w:r>
    </w:p>
    <w:p w14:paraId="558DD01B">
      <w:pPr>
        <w:shd w:val="clear" w:color="auto" w:fill="auto"/>
        <w:spacing w:line="440" w:lineRule="exact"/>
        <w:ind w:firstLine="537" w:firstLineChars="250"/>
        <w:rPr>
          <w:rFonts w:hint="eastAsia" w:ascii="宋体" w:cs="宋体"/>
          <w:color w:val="auto"/>
          <w:szCs w:val="21"/>
          <w:highlight w:val="none"/>
        </w:rPr>
      </w:pPr>
      <w:r>
        <w:rPr>
          <w:rFonts w:hint="eastAsia" w:ascii="宋体" w:cs="宋体"/>
          <w:color w:val="auto"/>
          <w:szCs w:val="21"/>
          <w:highlight w:val="none"/>
        </w:rPr>
        <w:t>&lt;1&gt;合同的主要条款；</w:t>
      </w:r>
    </w:p>
    <w:p w14:paraId="01AEE6B4">
      <w:pPr>
        <w:shd w:val="clear" w:color="auto" w:fill="auto"/>
        <w:spacing w:line="440" w:lineRule="exact"/>
        <w:ind w:firstLine="537" w:firstLineChars="250"/>
        <w:rPr>
          <w:rFonts w:hint="eastAsia" w:ascii="宋体" w:cs="宋体"/>
          <w:color w:val="auto"/>
          <w:szCs w:val="21"/>
          <w:highlight w:val="none"/>
        </w:rPr>
      </w:pPr>
      <w:r>
        <w:rPr>
          <w:rFonts w:hint="eastAsia" w:ascii="宋体" w:cs="宋体"/>
          <w:color w:val="auto"/>
          <w:szCs w:val="21"/>
          <w:highlight w:val="none"/>
        </w:rPr>
        <w:t>&lt;2&gt;合同的一般性条款；</w:t>
      </w:r>
    </w:p>
    <w:p w14:paraId="5676247A">
      <w:pPr>
        <w:shd w:val="clear" w:color="auto" w:fill="auto"/>
        <w:spacing w:line="440" w:lineRule="exact"/>
        <w:ind w:firstLine="537" w:firstLineChars="250"/>
        <w:rPr>
          <w:rFonts w:hint="eastAsia" w:ascii="宋体" w:cs="宋体"/>
          <w:color w:val="auto"/>
          <w:szCs w:val="21"/>
          <w:highlight w:val="none"/>
        </w:rPr>
      </w:pPr>
      <w:r>
        <w:rPr>
          <w:rFonts w:hint="eastAsia" w:ascii="宋体" w:cs="宋体"/>
          <w:color w:val="auto"/>
          <w:szCs w:val="21"/>
          <w:highlight w:val="none"/>
        </w:rPr>
        <w:t>&lt;3&gt;洽商、变更等明确双方权利义务的纪要、协议；</w:t>
      </w:r>
    </w:p>
    <w:p w14:paraId="67BC7F79">
      <w:pPr>
        <w:shd w:val="clear" w:color="auto" w:fill="auto"/>
        <w:spacing w:line="440" w:lineRule="exact"/>
        <w:ind w:firstLine="537" w:firstLineChars="250"/>
        <w:rPr>
          <w:rFonts w:hint="eastAsia" w:ascii="宋体" w:cs="宋体"/>
          <w:color w:val="auto"/>
          <w:szCs w:val="21"/>
          <w:highlight w:val="none"/>
        </w:rPr>
      </w:pPr>
      <w:r>
        <w:rPr>
          <w:rFonts w:hint="eastAsia" w:ascii="宋体" w:cs="宋体"/>
          <w:color w:val="auto"/>
          <w:szCs w:val="21"/>
          <w:highlight w:val="none"/>
        </w:rPr>
        <w:t>&lt;4&gt;中标通知书、投标文件和</w:t>
      </w:r>
      <w:r>
        <w:rPr>
          <w:rFonts w:hint="eastAsia" w:ascii="宋体" w:cs="宋体"/>
          <w:color w:val="auto"/>
          <w:szCs w:val="21"/>
          <w:highlight w:val="none"/>
          <w:lang w:eastAsia="zh-CN"/>
        </w:rPr>
        <w:t>采购文件</w:t>
      </w:r>
      <w:r>
        <w:rPr>
          <w:rFonts w:hint="eastAsia" w:ascii="宋体" w:cs="宋体"/>
          <w:color w:val="auto"/>
          <w:szCs w:val="21"/>
          <w:highlight w:val="none"/>
        </w:rPr>
        <w:t>；</w:t>
      </w:r>
    </w:p>
    <w:p w14:paraId="3129B805">
      <w:pPr>
        <w:shd w:val="clear" w:color="auto" w:fill="auto"/>
        <w:spacing w:line="440" w:lineRule="exact"/>
        <w:ind w:firstLine="537" w:firstLineChars="250"/>
        <w:rPr>
          <w:rFonts w:hint="eastAsia" w:ascii="宋体" w:cs="宋体"/>
          <w:color w:val="auto"/>
          <w:szCs w:val="21"/>
          <w:highlight w:val="none"/>
        </w:rPr>
      </w:pPr>
      <w:r>
        <w:rPr>
          <w:rFonts w:hint="eastAsia" w:ascii="宋体" w:cs="宋体"/>
          <w:color w:val="auto"/>
          <w:szCs w:val="21"/>
          <w:highlight w:val="none"/>
        </w:rPr>
        <w:t>&lt;5&gt;有关图纸、标准、规范和其它有关技术资料、技术要求。</w:t>
      </w:r>
    </w:p>
    <w:p w14:paraId="5B0E0111">
      <w:pPr>
        <w:shd w:val="clear" w:color="auto" w:fill="auto"/>
        <w:spacing w:line="440" w:lineRule="exact"/>
        <w:ind w:firstLine="537" w:firstLineChars="250"/>
        <w:rPr>
          <w:rFonts w:hint="eastAsia" w:ascii="宋体" w:cs="宋体"/>
          <w:color w:val="auto"/>
          <w:szCs w:val="21"/>
          <w:highlight w:val="none"/>
        </w:rPr>
      </w:pPr>
      <w:r>
        <w:rPr>
          <w:rFonts w:hint="eastAsia" w:ascii="宋体" w:cs="宋体"/>
          <w:color w:val="auto"/>
          <w:szCs w:val="21"/>
          <w:highlight w:val="none"/>
        </w:rPr>
        <w:t>&lt;6&gt;合同的主要条款的效力优于合同的一般性条款的效力。</w:t>
      </w:r>
    </w:p>
    <w:p w14:paraId="141E32D2">
      <w:pPr>
        <w:shd w:val="clear" w:color="auto" w:fill="auto"/>
        <w:spacing w:line="440" w:lineRule="exact"/>
        <w:rPr>
          <w:rFonts w:hint="eastAsia" w:ascii="宋体" w:cs="宋体"/>
          <w:color w:val="auto"/>
          <w:szCs w:val="21"/>
          <w:highlight w:val="none"/>
        </w:rPr>
      </w:pPr>
      <w:r>
        <w:rPr>
          <w:rFonts w:hint="eastAsia" w:ascii="宋体" w:cs="宋体"/>
          <w:color w:val="auto"/>
          <w:szCs w:val="21"/>
          <w:highlight w:val="none"/>
        </w:rPr>
        <w:t>3、合同文件使用文字</w:t>
      </w:r>
    </w:p>
    <w:p w14:paraId="71D85D7E">
      <w:pPr>
        <w:pStyle w:val="6"/>
        <w:shd w:val="clear" w:color="auto" w:fill="auto"/>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(1)合同文件使用中文书写、解释和说明。</w:t>
      </w:r>
    </w:p>
    <w:p w14:paraId="063A6872">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 xml:space="preserve">(2)合同文件使用技术性条款约定的为国家标准和规范；国家没有相应标准、规范时，可使用行业标准、规范。非标货物应按约定的技术性条款的标准和规范。 </w:t>
      </w:r>
    </w:p>
    <w:p w14:paraId="4F96828D">
      <w:pPr>
        <w:shd w:val="clear" w:color="auto" w:fill="auto"/>
        <w:spacing w:line="440" w:lineRule="exact"/>
        <w:rPr>
          <w:rFonts w:hint="eastAsia" w:ascii="宋体" w:cs="宋体"/>
          <w:b/>
          <w:color w:val="auto"/>
          <w:szCs w:val="21"/>
          <w:highlight w:val="none"/>
        </w:rPr>
      </w:pPr>
      <w:r>
        <w:rPr>
          <w:rFonts w:hint="eastAsia" w:ascii="宋体" w:cs="宋体"/>
          <w:b/>
          <w:color w:val="auto"/>
          <w:szCs w:val="21"/>
          <w:highlight w:val="none"/>
        </w:rPr>
        <w:t>二.  标的物的一般条款</w:t>
      </w:r>
    </w:p>
    <w:p w14:paraId="557B28D6">
      <w:pPr>
        <w:shd w:val="clear" w:color="auto" w:fill="auto"/>
        <w:spacing w:line="440" w:lineRule="exact"/>
        <w:rPr>
          <w:rFonts w:hint="eastAsia" w:ascii="宋体" w:cs="宋体"/>
          <w:color w:val="auto"/>
          <w:szCs w:val="21"/>
          <w:highlight w:val="none"/>
        </w:rPr>
      </w:pPr>
      <w:r>
        <w:rPr>
          <w:rFonts w:hint="eastAsia" w:ascii="宋体" w:cs="宋体"/>
          <w:color w:val="auto"/>
          <w:szCs w:val="21"/>
          <w:highlight w:val="none"/>
        </w:rPr>
        <w:t>4、完整物权</w:t>
      </w:r>
    </w:p>
    <w:p w14:paraId="412A983A">
      <w:pPr>
        <w:shd w:val="clear" w:color="auto" w:fill="auto"/>
        <w:tabs>
          <w:tab w:val="left" w:pos="660"/>
        </w:tabs>
        <w:spacing w:line="440" w:lineRule="exact"/>
        <w:rPr>
          <w:rFonts w:hint="eastAsia" w:ascii="宋体" w:cs="宋体"/>
          <w:color w:val="auto"/>
          <w:szCs w:val="21"/>
          <w:highlight w:val="none"/>
        </w:rPr>
      </w:pPr>
      <w:r>
        <w:rPr>
          <w:rFonts w:hint="eastAsia" w:ascii="宋体" w:cs="宋体"/>
          <w:color w:val="auto"/>
          <w:szCs w:val="21"/>
          <w:highlight w:val="none"/>
        </w:rPr>
        <w:t xml:space="preserve"> </w:t>
      </w:r>
      <w:r>
        <w:rPr>
          <w:rFonts w:hint="eastAsia" w:ascii="宋体" w:cs="宋体"/>
          <w:color w:val="auto"/>
          <w:szCs w:val="21"/>
          <w:highlight w:val="none"/>
        </w:rPr>
        <w:tab/>
      </w:r>
      <w:r>
        <w:rPr>
          <w:rFonts w:hint="eastAsia" w:ascii="宋体" w:cs="宋体"/>
          <w:color w:val="auto"/>
          <w:szCs w:val="21"/>
          <w:highlight w:val="none"/>
        </w:rPr>
        <w:t>对于出卖的标的物，卖方应当拥有完整物权，并且卖方负有保证第三人不得向买方主张任何权利（包括知识产权）的义务。</w:t>
      </w:r>
    </w:p>
    <w:p w14:paraId="7C1407D8">
      <w:pPr>
        <w:shd w:val="clear" w:color="auto" w:fill="auto"/>
        <w:spacing w:line="440" w:lineRule="exact"/>
        <w:rPr>
          <w:rFonts w:hint="eastAsia" w:ascii="宋体" w:cs="宋体"/>
          <w:color w:val="auto"/>
          <w:szCs w:val="21"/>
          <w:highlight w:val="none"/>
        </w:rPr>
      </w:pPr>
      <w:r>
        <w:rPr>
          <w:rFonts w:hint="eastAsia" w:ascii="宋体" w:cs="宋体"/>
          <w:color w:val="auto"/>
          <w:szCs w:val="21"/>
          <w:highlight w:val="none"/>
        </w:rPr>
        <w:t>5、质量保证</w:t>
      </w:r>
    </w:p>
    <w:p w14:paraId="70AC98A0">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48D17283">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4FB0E0BB">
      <w:pPr>
        <w:pStyle w:val="6"/>
        <w:shd w:val="clear" w:color="auto" w:fill="auto"/>
        <w:tabs>
          <w:tab w:val="left" w:pos="900"/>
        </w:tabs>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(3)除合同主要条款规定外，合同条款中标的物的质量保证期均自标的物通过最终验收之日起计算，且质量保证期按不低于国家标准和卖方承诺的高于国家标准的质保期（卖方有特殊要求的除外）。</w:t>
      </w:r>
    </w:p>
    <w:p w14:paraId="19B6132D">
      <w:pPr>
        <w:shd w:val="clear" w:color="auto" w:fill="auto"/>
        <w:spacing w:line="440" w:lineRule="exact"/>
        <w:rPr>
          <w:rFonts w:hint="eastAsia" w:ascii="宋体" w:cs="宋体"/>
          <w:color w:val="auto"/>
          <w:szCs w:val="21"/>
          <w:highlight w:val="none"/>
        </w:rPr>
      </w:pPr>
      <w:r>
        <w:rPr>
          <w:rFonts w:hint="eastAsia" w:ascii="宋体" w:cs="宋体"/>
          <w:color w:val="auto"/>
          <w:szCs w:val="21"/>
          <w:highlight w:val="none"/>
        </w:rPr>
        <w:t>6、包装</w:t>
      </w:r>
    </w:p>
    <w:p w14:paraId="43DF933B">
      <w:pPr>
        <w:pStyle w:val="6"/>
        <w:shd w:val="clear" w:color="auto" w:fill="auto"/>
        <w:tabs>
          <w:tab w:val="left" w:pos="900"/>
        </w:tabs>
        <w:spacing w:line="440" w:lineRule="exact"/>
        <w:ind w:firstLine="483" w:firstLineChars="225"/>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21EE5E06">
      <w:pPr>
        <w:shd w:val="clear" w:color="auto" w:fill="auto"/>
        <w:spacing w:line="440" w:lineRule="exact"/>
        <w:rPr>
          <w:rFonts w:hint="eastAsia" w:ascii="宋体" w:cs="宋体"/>
          <w:color w:val="auto"/>
          <w:szCs w:val="21"/>
          <w:highlight w:val="none"/>
        </w:rPr>
      </w:pPr>
      <w:r>
        <w:rPr>
          <w:rFonts w:hint="eastAsia" w:ascii="宋体" w:cs="宋体"/>
          <w:color w:val="auto"/>
          <w:szCs w:val="21"/>
          <w:highlight w:val="none"/>
        </w:rPr>
        <w:t>7、伴随服务</w:t>
      </w:r>
    </w:p>
    <w:p w14:paraId="029317DE">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(1)卖方除应履行按期按量交付合格标的物的义务之外，还应提供下列服务：</w:t>
      </w:r>
    </w:p>
    <w:p w14:paraId="2E29A74D">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&lt;1&gt;标的物的现场安装或指导安装、启动、调试、监督（如果必须安装、调试的话）；</w:t>
      </w:r>
    </w:p>
    <w:p w14:paraId="752FE03A">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&lt;2&gt;提供标的物组装和一般维修所必须的工具；</w:t>
      </w:r>
    </w:p>
    <w:p w14:paraId="4CE1D388">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&lt;3&gt;在合同规定的期限内对所提供标的物实行运行监督、维修服务的前提条件是该服务并不能免除卖方在质量保证期内所承担的义务；</w:t>
      </w:r>
    </w:p>
    <w:p w14:paraId="06BE106D">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&lt;4&gt;对买方技术人员的技术指导或培训。</w:t>
      </w:r>
    </w:p>
    <w:p w14:paraId="571D1604">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(2)除合同另有规定之外，伴随服务的费用均已含在合同价款中，买方不再另行进行支付。</w:t>
      </w:r>
    </w:p>
    <w:p w14:paraId="25C583CF">
      <w:pPr>
        <w:spacing w:line="560" w:lineRule="exact"/>
        <w:ind w:firstLine="430" w:firstLineChars="200"/>
        <w:outlineLvl w:val="0"/>
        <w:rPr>
          <w:rFonts w:hint="eastAsia" w:ascii="宋体" w:hAnsi="宋体" w:eastAsia="宋体" w:cs="宋体"/>
          <w:b/>
          <w:color w:val="auto"/>
          <w:sz w:val="24"/>
          <w:highlight w:val="none"/>
        </w:rPr>
      </w:pPr>
      <w:bookmarkStart w:id="130" w:name="_Toc19767"/>
      <w:r>
        <w:rPr>
          <w:rFonts w:hint="eastAsia" w:ascii="宋体" w:cs="宋体"/>
          <w:b/>
          <w:color w:val="auto"/>
          <w:szCs w:val="21"/>
          <w:highlight w:val="none"/>
        </w:rPr>
        <w:t xml:space="preserve">三. </w:t>
      </w:r>
      <w:r>
        <w:rPr>
          <w:rFonts w:hint="eastAsia" w:ascii="宋体" w:hAnsi="宋体" w:eastAsia="宋体" w:cs="宋体"/>
          <w:b/>
          <w:color w:val="auto"/>
          <w:sz w:val="24"/>
          <w:highlight w:val="none"/>
        </w:rPr>
        <w:t xml:space="preserve"> 检验和验收</w:t>
      </w:r>
      <w:bookmarkEnd w:id="130"/>
    </w:p>
    <w:p w14:paraId="373F16CC">
      <w:pPr>
        <w:tabs>
          <w:tab w:val="left" w:pos="360"/>
          <w:tab w:val="left" w:pos="540"/>
          <w:tab w:val="left" w:pos="1080"/>
        </w:tabs>
        <w:spacing w:line="560" w:lineRule="exact"/>
        <w:ind w:firstLine="430" w:firstLineChars="200"/>
        <w:rPr>
          <w:rFonts w:hint="eastAsia" w:ascii="宋体" w:hAnsi="Times New Roman" w:eastAsia="宋体" w:cs="宋体"/>
          <w:color w:val="auto"/>
          <w:kern w:val="0"/>
          <w:sz w:val="21"/>
          <w:szCs w:val="21"/>
          <w:highlight w:val="none"/>
          <w:u w:val="none" w:color="000000"/>
          <w:lang w:val="en-US" w:eastAsia="zh-CN" w:bidi="ar-SA"/>
        </w:rPr>
      </w:pPr>
      <w:r>
        <w:rPr>
          <w:rFonts w:hint="eastAsia" w:ascii="宋体" w:hAnsi="Times New Roman" w:eastAsia="宋体" w:cs="宋体"/>
          <w:color w:val="auto"/>
          <w:kern w:val="0"/>
          <w:sz w:val="21"/>
          <w:szCs w:val="21"/>
          <w:highlight w:val="none"/>
          <w:u w:val="none" w:color="000000"/>
          <w:lang w:val="en-US" w:eastAsia="zh-CN" w:bidi="ar-SA"/>
        </w:rPr>
        <w:t xml:space="preserve"> 1服务交付前，乙方应对服务的质量、数量等方面进行详细、全面的检验，并向甲方出具证明服务符合合同约定的文件；服务交付时，乙方在合同专用条款约定时间内组织验收，并可依法邀请相关方参加，验收应出具验收书。</w:t>
      </w:r>
    </w:p>
    <w:p w14:paraId="1ADEB685">
      <w:pPr>
        <w:tabs>
          <w:tab w:val="left" w:pos="360"/>
          <w:tab w:val="left" w:pos="540"/>
          <w:tab w:val="left" w:pos="1080"/>
        </w:tabs>
        <w:spacing w:line="560" w:lineRule="exact"/>
        <w:ind w:firstLine="430" w:firstLineChars="200"/>
        <w:rPr>
          <w:rFonts w:hint="eastAsia" w:ascii="宋体" w:hAnsi="Times New Roman" w:eastAsia="宋体" w:cs="宋体"/>
          <w:color w:val="auto"/>
          <w:kern w:val="0"/>
          <w:sz w:val="21"/>
          <w:szCs w:val="21"/>
          <w:highlight w:val="none"/>
          <w:u w:val="none" w:color="000000"/>
          <w:lang w:val="en-US" w:eastAsia="zh-CN" w:bidi="ar-SA"/>
        </w:rPr>
      </w:pPr>
      <w:r>
        <w:rPr>
          <w:rFonts w:hint="eastAsia" w:ascii="宋体" w:hAnsi="Times New Roman" w:eastAsia="宋体" w:cs="宋体"/>
          <w:color w:val="auto"/>
          <w:kern w:val="0"/>
          <w:sz w:val="21"/>
          <w:szCs w:val="21"/>
          <w:highlight w:val="none"/>
          <w:u w:val="none" w:color="000000"/>
          <w:lang w:val="en-US" w:eastAsia="zh-CN" w:bidi="ar-SA"/>
        </w:rPr>
        <w:t xml:space="preserve"> 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70090B7D">
      <w:pPr>
        <w:tabs>
          <w:tab w:val="left" w:pos="360"/>
          <w:tab w:val="left" w:pos="540"/>
          <w:tab w:val="left" w:pos="1080"/>
        </w:tabs>
        <w:spacing w:line="560" w:lineRule="exact"/>
        <w:ind w:firstLine="430" w:firstLineChars="200"/>
        <w:rPr>
          <w:rFonts w:hint="eastAsia" w:ascii="宋体" w:hAnsi="Times New Roman" w:eastAsia="宋体" w:cs="宋体"/>
          <w:color w:val="auto"/>
          <w:kern w:val="0"/>
          <w:sz w:val="21"/>
          <w:szCs w:val="21"/>
          <w:highlight w:val="none"/>
          <w:u w:val="none" w:color="000000"/>
          <w:lang w:val="en-US" w:eastAsia="zh-CN" w:bidi="ar-SA"/>
        </w:rPr>
      </w:pPr>
      <w:r>
        <w:rPr>
          <w:rFonts w:hint="eastAsia" w:ascii="宋体" w:hAnsi="Times New Roman" w:eastAsia="宋体" w:cs="宋体"/>
          <w:color w:val="auto"/>
          <w:kern w:val="0"/>
          <w:sz w:val="21"/>
          <w:szCs w:val="21"/>
          <w:highlight w:val="none"/>
          <w:u w:val="none" w:color="000000"/>
          <w:lang w:val="en-US" w:eastAsia="zh-CN" w:bidi="ar-SA"/>
        </w:rPr>
        <w:t xml:space="preserve"> 3 检验和验收标准、程序等具体内容以及前述验收书的效力详见合同专用条款。</w:t>
      </w:r>
    </w:p>
    <w:p w14:paraId="68C90C0B">
      <w:pPr>
        <w:shd w:val="clear" w:color="auto" w:fill="auto"/>
        <w:spacing w:line="440" w:lineRule="exact"/>
        <w:rPr>
          <w:rFonts w:hint="eastAsia" w:ascii="宋体" w:cs="宋体"/>
          <w:b/>
          <w:color w:val="auto"/>
          <w:szCs w:val="21"/>
          <w:highlight w:val="none"/>
        </w:rPr>
      </w:pPr>
      <w:r>
        <w:rPr>
          <w:rFonts w:hint="eastAsia" w:ascii="宋体" w:cs="宋体"/>
          <w:b/>
          <w:color w:val="auto"/>
          <w:szCs w:val="21"/>
          <w:highlight w:val="none"/>
        </w:rPr>
        <w:t>四. 对标的物提出异议的时间和办法</w:t>
      </w:r>
    </w:p>
    <w:p w14:paraId="75C61FA5">
      <w:pPr>
        <w:shd w:val="clear" w:color="auto" w:fill="auto"/>
        <w:spacing w:line="440" w:lineRule="exact"/>
        <w:rPr>
          <w:rFonts w:hint="eastAsia" w:ascii="宋体" w:cs="宋体"/>
          <w:color w:val="auto"/>
          <w:szCs w:val="21"/>
          <w:highlight w:val="none"/>
        </w:rPr>
      </w:pPr>
      <w:r>
        <w:rPr>
          <w:rFonts w:hint="eastAsia" w:ascii="宋体" w:cs="宋体"/>
          <w:color w:val="auto"/>
          <w:szCs w:val="21"/>
          <w:highlight w:val="none"/>
          <w:lang w:val="en-US" w:eastAsia="zh-CN"/>
        </w:rPr>
        <w:t>1</w:t>
      </w:r>
      <w:r>
        <w:rPr>
          <w:rFonts w:hint="eastAsia" w:ascii="宋体" w:cs="宋体"/>
          <w:color w:val="auto"/>
          <w:szCs w:val="21"/>
          <w:highlight w:val="none"/>
        </w:rPr>
        <w:t xml:space="preserve">、对标的物提出异议的时间和办法 </w:t>
      </w:r>
    </w:p>
    <w:p w14:paraId="1052B084">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(1)买方在验收过程中，应当于双方约定的检验期间内将标的物的数量或质量不符合约定的情形及处理方式以书面形式通知卖方。</w:t>
      </w:r>
    </w:p>
    <w:p w14:paraId="6CFE452F">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(2)如买方在验收期满后既不出具验收合格证明又未提出书面异议的视为卖方所交标的物符合合同规定。</w:t>
      </w:r>
    </w:p>
    <w:p w14:paraId="33778B3E">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(3)卖方应在收到买方书面异议后</w:t>
      </w:r>
      <w:r>
        <w:rPr>
          <w:rFonts w:hint="eastAsia" w:ascii="宋体" w:cs="宋体"/>
          <w:color w:val="auto"/>
          <w:sz w:val="21"/>
          <w:szCs w:val="21"/>
          <w:highlight w:val="none"/>
          <w:u w:val="none" w:color="000000"/>
          <w:lang w:val="en-US" w:eastAsia="zh-CN"/>
        </w:rPr>
        <w:t>3</w:t>
      </w:r>
      <w:r>
        <w:rPr>
          <w:rFonts w:hint="eastAsia" w:ascii="宋体" w:cs="宋体"/>
          <w:color w:val="auto"/>
          <w:sz w:val="21"/>
          <w:szCs w:val="21"/>
          <w:highlight w:val="none"/>
          <w:u w:val="none" w:color="000000"/>
        </w:rPr>
        <w:t>天内负责处理问题，否则将视为默认买方提出的异议和处理意见。</w:t>
      </w:r>
    </w:p>
    <w:p w14:paraId="61470B8E">
      <w:pPr>
        <w:shd w:val="clear" w:color="auto" w:fill="auto"/>
        <w:spacing w:line="440" w:lineRule="exact"/>
        <w:rPr>
          <w:rFonts w:hint="eastAsia" w:ascii="宋体" w:cs="宋体"/>
          <w:b/>
          <w:color w:val="auto"/>
          <w:szCs w:val="21"/>
          <w:highlight w:val="none"/>
        </w:rPr>
      </w:pPr>
      <w:r>
        <w:rPr>
          <w:rFonts w:hint="eastAsia" w:ascii="宋体" w:cs="宋体"/>
          <w:b/>
          <w:color w:val="auto"/>
          <w:szCs w:val="21"/>
          <w:highlight w:val="none"/>
        </w:rPr>
        <w:t>五. 合同价款和支付</w:t>
      </w:r>
    </w:p>
    <w:p w14:paraId="52E433CD">
      <w:pPr>
        <w:shd w:val="clear" w:color="auto" w:fill="auto"/>
        <w:spacing w:line="440" w:lineRule="exact"/>
        <w:ind w:firstLine="215" w:firstLineChars="100"/>
        <w:rPr>
          <w:rFonts w:hint="eastAsia" w:ascii="宋体" w:cs="宋体"/>
          <w:color w:val="auto"/>
          <w:szCs w:val="21"/>
          <w:highlight w:val="none"/>
        </w:rPr>
      </w:pPr>
      <w:r>
        <w:rPr>
          <w:rFonts w:hint="eastAsia" w:ascii="宋体" w:cs="宋体"/>
          <w:color w:val="auto"/>
          <w:szCs w:val="21"/>
          <w:highlight w:val="none"/>
          <w:lang w:val="en-US" w:eastAsia="zh-CN"/>
        </w:rPr>
        <w:t>1.</w:t>
      </w:r>
      <w:r>
        <w:rPr>
          <w:rFonts w:hint="eastAsia" w:ascii="宋体" w:cs="宋体"/>
          <w:color w:val="auto"/>
          <w:szCs w:val="21"/>
          <w:highlight w:val="none"/>
        </w:rPr>
        <w:t>合同价款和支付</w:t>
      </w:r>
    </w:p>
    <w:p w14:paraId="5A03CC0C">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(1)本合同的结算货币为人民币，单位元。</w:t>
      </w:r>
    </w:p>
    <w:p w14:paraId="59D1EA39">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(2)卖方应按照双方签订的合同规定交货并在合同主要条款规定的期限内持下列单据结算货款：</w:t>
      </w:r>
    </w:p>
    <w:p w14:paraId="5BFCD41C">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&lt;1&gt;合格的销售发票；</w:t>
      </w:r>
    </w:p>
    <w:p w14:paraId="005CC17A">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&lt;2&gt;买方盖章签收后的送货回单和验收合格证明。</w:t>
      </w:r>
    </w:p>
    <w:p w14:paraId="5793AE46">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(3)买方应按合同主要条款规定的期限和方式付款。</w:t>
      </w:r>
    </w:p>
    <w:p w14:paraId="780F8664">
      <w:pPr>
        <w:pStyle w:val="6"/>
        <w:shd w:val="clear" w:color="auto" w:fill="auto"/>
        <w:tabs>
          <w:tab w:val="left" w:pos="540"/>
        </w:tabs>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(4)根据现行税法对买方征收的与本合同有关的一切税费均由买方承担；根据现行税法对卖方征收的与本合同有关的一切税费均由卖方承担。</w:t>
      </w:r>
    </w:p>
    <w:p w14:paraId="76A832B6">
      <w:pPr>
        <w:shd w:val="clear" w:color="auto" w:fill="auto"/>
        <w:spacing w:line="440" w:lineRule="exact"/>
        <w:rPr>
          <w:rFonts w:hint="eastAsia" w:ascii="宋体" w:cs="宋体"/>
          <w:b/>
          <w:color w:val="auto"/>
          <w:szCs w:val="21"/>
          <w:highlight w:val="none"/>
        </w:rPr>
      </w:pPr>
      <w:r>
        <w:rPr>
          <w:rFonts w:hint="eastAsia" w:ascii="宋体" w:cs="宋体"/>
          <w:b/>
          <w:color w:val="auto"/>
          <w:szCs w:val="21"/>
          <w:highlight w:val="none"/>
        </w:rPr>
        <w:t>六. 违约责任</w:t>
      </w:r>
    </w:p>
    <w:p w14:paraId="472CC528">
      <w:pPr>
        <w:keepNext w:val="0"/>
        <w:keepLines w:val="0"/>
        <w:pageBreakBefore w:val="0"/>
        <w:kinsoku/>
        <w:wordWrap/>
        <w:overflowPunct/>
        <w:topLinePunct w:val="0"/>
        <w:bidi w:val="0"/>
        <w:spacing w:line="400" w:lineRule="exact"/>
        <w:ind w:firstLine="490" w:firstLineChars="200"/>
        <w:textAlignment w:val="auto"/>
        <w:rPr>
          <w:rFonts w:hint="eastAsia" w:ascii="宋体" w:hAnsi="宋体" w:eastAsia="宋体" w:cs="宋体"/>
          <w:b/>
          <w:bCs/>
          <w:color w:val="auto"/>
          <w:kern w:val="0"/>
          <w:sz w:val="24"/>
          <w:szCs w:val="24"/>
          <w:highlight w:val="none"/>
          <w:lang w:val="en-US" w:eastAsia="zh-CN" w:bidi="ar"/>
        </w:rPr>
      </w:pPr>
      <w:r>
        <w:rPr>
          <w:rFonts w:hint="eastAsia" w:ascii="宋体" w:hAnsi="宋体" w:cs="宋体"/>
          <w:b/>
          <w:bCs/>
          <w:color w:val="auto"/>
          <w:kern w:val="0"/>
          <w:sz w:val="24"/>
          <w:szCs w:val="24"/>
          <w:highlight w:val="none"/>
          <w:lang w:val="en-US" w:eastAsia="zh-CN" w:bidi="ar"/>
        </w:rPr>
        <w:t>1</w:t>
      </w:r>
      <w:r>
        <w:rPr>
          <w:rFonts w:hint="eastAsia" w:ascii="宋体" w:hAnsi="宋体" w:eastAsia="宋体" w:cs="宋体"/>
          <w:b/>
          <w:bCs/>
          <w:color w:val="auto"/>
          <w:kern w:val="0"/>
          <w:sz w:val="24"/>
          <w:szCs w:val="24"/>
          <w:highlight w:val="none"/>
          <w:lang w:val="en-US" w:eastAsia="zh-CN" w:bidi="ar"/>
        </w:rPr>
        <w:t>、违约责任：</w:t>
      </w:r>
    </w:p>
    <w:p w14:paraId="7BDE4429">
      <w:pPr>
        <w:keepNext w:val="0"/>
        <w:keepLines w:val="0"/>
        <w:pageBreakBefore w:val="0"/>
        <w:kinsoku/>
        <w:wordWrap/>
        <w:overflowPunct/>
        <w:topLinePunct w:val="0"/>
        <w:bidi w:val="0"/>
        <w:spacing w:line="400" w:lineRule="exact"/>
        <w:ind w:firstLine="430" w:firstLineChars="200"/>
        <w:textAlignment w:val="auto"/>
        <w:rPr>
          <w:rFonts w:hint="eastAsia" w:ascii="宋体" w:hAnsi="Times New Roman" w:eastAsia="宋体" w:cs="宋体"/>
          <w:color w:val="auto"/>
          <w:kern w:val="0"/>
          <w:sz w:val="21"/>
          <w:szCs w:val="21"/>
          <w:highlight w:val="none"/>
          <w:u w:val="none" w:color="000000"/>
          <w:lang w:val="en-US" w:eastAsia="zh-CN" w:bidi="ar-SA"/>
        </w:rPr>
      </w:pPr>
      <w:r>
        <w:rPr>
          <w:rFonts w:hint="eastAsia" w:ascii="宋体" w:cs="宋体"/>
          <w:color w:val="auto"/>
          <w:kern w:val="0"/>
          <w:sz w:val="21"/>
          <w:szCs w:val="21"/>
          <w:highlight w:val="none"/>
          <w:u w:val="none" w:color="000000"/>
          <w:lang w:val="en-US" w:eastAsia="zh-CN" w:bidi="ar-SA"/>
        </w:rPr>
        <w:t>供应商</w:t>
      </w:r>
      <w:r>
        <w:rPr>
          <w:rFonts w:hint="eastAsia" w:ascii="宋体" w:hAnsi="Times New Roman" w:eastAsia="宋体" w:cs="宋体"/>
          <w:color w:val="auto"/>
          <w:kern w:val="0"/>
          <w:sz w:val="21"/>
          <w:szCs w:val="21"/>
          <w:highlight w:val="none"/>
          <w:u w:val="none" w:color="000000"/>
          <w:lang w:val="en-US" w:eastAsia="zh-CN" w:bidi="ar-SA"/>
        </w:rPr>
        <w:t>在工作时有下列行为，采购人将采取终止合同、列入黑名单及拒绝支付审计费用等处理处罚措施，涉嫌犯罪的，移送司法机关依法追究责任：</w:t>
      </w:r>
    </w:p>
    <w:p w14:paraId="53E6082F">
      <w:pPr>
        <w:keepNext w:val="0"/>
        <w:keepLines w:val="0"/>
        <w:pageBreakBefore w:val="0"/>
        <w:numPr>
          <w:ilvl w:val="0"/>
          <w:numId w:val="0"/>
        </w:numPr>
        <w:kinsoku/>
        <w:wordWrap/>
        <w:overflowPunct/>
        <w:topLinePunct w:val="0"/>
        <w:bidi w:val="0"/>
        <w:spacing w:line="400" w:lineRule="exact"/>
        <w:ind w:left="700" w:leftChars="0"/>
        <w:textAlignment w:val="auto"/>
        <w:rPr>
          <w:rFonts w:hint="eastAsia" w:ascii="宋体" w:hAnsi="Times New Roman" w:eastAsia="宋体" w:cs="宋体"/>
          <w:color w:val="auto"/>
          <w:kern w:val="0"/>
          <w:sz w:val="21"/>
          <w:szCs w:val="21"/>
          <w:highlight w:val="none"/>
          <w:u w:val="none" w:color="000000"/>
          <w:lang w:val="en-US" w:eastAsia="zh-CN" w:bidi="ar-SA"/>
        </w:rPr>
      </w:pPr>
      <w:r>
        <w:rPr>
          <w:rFonts w:hint="eastAsia" w:ascii="宋体" w:hAnsi="Times New Roman" w:eastAsia="宋体" w:cs="宋体"/>
          <w:color w:val="auto"/>
          <w:kern w:val="0"/>
          <w:sz w:val="21"/>
          <w:szCs w:val="21"/>
          <w:highlight w:val="none"/>
          <w:u w:val="none" w:color="000000"/>
          <w:lang w:val="en-US" w:eastAsia="zh-CN" w:bidi="ar-SA"/>
        </w:rPr>
        <w:t xml:space="preserve">(1)将受托业务转包或分包给其他中介机构或个人； </w:t>
      </w:r>
    </w:p>
    <w:p w14:paraId="7D261572">
      <w:pPr>
        <w:keepNext w:val="0"/>
        <w:keepLines w:val="0"/>
        <w:pageBreakBefore w:val="0"/>
        <w:numPr>
          <w:ilvl w:val="0"/>
          <w:numId w:val="0"/>
        </w:numPr>
        <w:kinsoku/>
        <w:wordWrap/>
        <w:overflowPunct/>
        <w:topLinePunct w:val="0"/>
        <w:bidi w:val="0"/>
        <w:spacing w:line="400" w:lineRule="exact"/>
        <w:ind w:left="700" w:leftChars="0"/>
        <w:textAlignment w:val="auto"/>
        <w:rPr>
          <w:rFonts w:hint="eastAsia" w:ascii="宋体" w:hAnsi="Times New Roman" w:eastAsia="宋体" w:cs="宋体"/>
          <w:color w:val="auto"/>
          <w:kern w:val="0"/>
          <w:sz w:val="21"/>
          <w:szCs w:val="21"/>
          <w:highlight w:val="none"/>
          <w:u w:val="none" w:color="000000"/>
          <w:lang w:val="en-US" w:eastAsia="zh-CN" w:bidi="ar-SA"/>
        </w:rPr>
      </w:pPr>
      <w:r>
        <w:rPr>
          <w:rFonts w:hint="eastAsia" w:ascii="宋体" w:hAnsi="Times New Roman" w:eastAsia="宋体" w:cs="宋体"/>
          <w:color w:val="auto"/>
          <w:kern w:val="0"/>
          <w:sz w:val="21"/>
          <w:szCs w:val="21"/>
          <w:highlight w:val="none"/>
          <w:u w:val="none" w:color="000000"/>
          <w:lang w:val="en-US" w:eastAsia="zh-CN" w:bidi="ar-SA"/>
        </w:rPr>
        <w:t xml:space="preserve">(2)未按委托要求实施程序导致应发现问题而未发现，或故意隐瞒存在问题； </w:t>
      </w:r>
    </w:p>
    <w:p w14:paraId="284F8ADD">
      <w:pPr>
        <w:keepNext w:val="0"/>
        <w:keepLines w:val="0"/>
        <w:pageBreakBefore w:val="0"/>
        <w:numPr>
          <w:ilvl w:val="0"/>
          <w:numId w:val="0"/>
        </w:numPr>
        <w:kinsoku/>
        <w:wordWrap/>
        <w:overflowPunct/>
        <w:topLinePunct w:val="0"/>
        <w:bidi w:val="0"/>
        <w:spacing w:line="400" w:lineRule="exact"/>
        <w:ind w:left="700" w:leftChars="0"/>
        <w:textAlignment w:val="auto"/>
        <w:rPr>
          <w:rFonts w:hint="eastAsia" w:ascii="宋体" w:hAnsi="Times New Roman" w:eastAsia="宋体" w:cs="宋体"/>
          <w:color w:val="auto"/>
          <w:kern w:val="0"/>
          <w:sz w:val="21"/>
          <w:szCs w:val="21"/>
          <w:highlight w:val="none"/>
          <w:u w:val="none" w:color="000000"/>
          <w:lang w:val="en-US" w:eastAsia="zh-CN" w:bidi="ar-SA"/>
        </w:rPr>
      </w:pPr>
      <w:r>
        <w:rPr>
          <w:rFonts w:hint="eastAsia" w:ascii="宋体" w:hAnsi="Times New Roman" w:eastAsia="宋体" w:cs="宋体"/>
          <w:color w:val="auto"/>
          <w:kern w:val="0"/>
          <w:sz w:val="21"/>
          <w:szCs w:val="21"/>
          <w:highlight w:val="none"/>
          <w:u w:val="none" w:color="000000"/>
          <w:lang w:val="en-US" w:eastAsia="zh-CN" w:bidi="ar-SA"/>
        </w:rPr>
        <w:t xml:space="preserve">(3)全过程服务工作存在严重质量问题； </w:t>
      </w:r>
    </w:p>
    <w:p w14:paraId="3BAF37D7">
      <w:pPr>
        <w:keepNext w:val="0"/>
        <w:keepLines w:val="0"/>
        <w:pageBreakBefore w:val="0"/>
        <w:numPr>
          <w:ilvl w:val="0"/>
          <w:numId w:val="0"/>
        </w:numPr>
        <w:kinsoku/>
        <w:wordWrap/>
        <w:overflowPunct/>
        <w:topLinePunct w:val="0"/>
        <w:bidi w:val="0"/>
        <w:spacing w:line="400" w:lineRule="exact"/>
        <w:ind w:left="700" w:leftChars="0"/>
        <w:textAlignment w:val="auto"/>
        <w:rPr>
          <w:rFonts w:hint="eastAsia" w:ascii="宋体" w:hAnsi="Times New Roman" w:eastAsia="宋体" w:cs="宋体"/>
          <w:color w:val="auto"/>
          <w:kern w:val="0"/>
          <w:sz w:val="21"/>
          <w:szCs w:val="21"/>
          <w:highlight w:val="none"/>
          <w:u w:val="none" w:color="000000"/>
          <w:lang w:val="en-US" w:eastAsia="zh-CN" w:bidi="ar-SA"/>
        </w:rPr>
      </w:pPr>
      <w:r>
        <w:rPr>
          <w:rFonts w:hint="eastAsia" w:ascii="宋体" w:hAnsi="Times New Roman" w:eastAsia="宋体" w:cs="宋体"/>
          <w:color w:val="auto"/>
          <w:kern w:val="0"/>
          <w:sz w:val="21"/>
          <w:szCs w:val="21"/>
          <w:highlight w:val="none"/>
          <w:u w:val="none" w:color="000000"/>
          <w:lang w:val="en-US" w:eastAsia="zh-CN" w:bidi="ar-SA"/>
        </w:rPr>
        <w:t xml:space="preserve">(4)拒绝接受委托方监督、检查、指导； </w:t>
      </w:r>
    </w:p>
    <w:p w14:paraId="6F5A9443">
      <w:pPr>
        <w:keepNext w:val="0"/>
        <w:keepLines w:val="0"/>
        <w:pageBreakBefore w:val="0"/>
        <w:numPr>
          <w:ilvl w:val="0"/>
          <w:numId w:val="0"/>
        </w:numPr>
        <w:kinsoku/>
        <w:wordWrap/>
        <w:overflowPunct/>
        <w:topLinePunct w:val="0"/>
        <w:bidi w:val="0"/>
        <w:spacing w:line="400" w:lineRule="exact"/>
        <w:ind w:left="700" w:leftChars="0"/>
        <w:textAlignment w:val="auto"/>
        <w:rPr>
          <w:rFonts w:hint="eastAsia" w:ascii="宋体" w:hAnsi="Times New Roman" w:eastAsia="宋体" w:cs="宋体"/>
          <w:color w:val="auto"/>
          <w:kern w:val="0"/>
          <w:sz w:val="21"/>
          <w:szCs w:val="21"/>
          <w:highlight w:val="none"/>
          <w:u w:val="none" w:color="000000"/>
          <w:lang w:val="en-US" w:eastAsia="zh-CN" w:bidi="ar-SA"/>
        </w:rPr>
      </w:pPr>
      <w:r>
        <w:rPr>
          <w:rFonts w:hint="eastAsia" w:ascii="宋体" w:hAnsi="Times New Roman" w:eastAsia="宋体" w:cs="宋体"/>
          <w:color w:val="auto"/>
          <w:kern w:val="0"/>
          <w:sz w:val="21"/>
          <w:szCs w:val="21"/>
          <w:highlight w:val="none"/>
          <w:u w:val="none" w:color="000000"/>
          <w:lang w:val="en-US" w:eastAsia="zh-CN" w:bidi="ar-SA"/>
        </w:rPr>
        <w:t>(5)索取、收受委托合同约定以外的酬金或者其他财物，或者利用执行业务之便，谋取其他不正当的利益；</w:t>
      </w:r>
    </w:p>
    <w:p w14:paraId="1D683EAC">
      <w:pPr>
        <w:keepNext w:val="0"/>
        <w:keepLines w:val="0"/>
        <w:pageBreakBefore w:val="0"/>
        <w:numPr>
          <w:ilvl w:val="0"/>
          <w:numId w:val="0"/>
        </w:numPr>
        <w:kinsoku/>
        <w:wordWrap/>
        <w:overflowPunct/>
        <w:topLinePunct w:val="0"/>
        <w:bidi w:val="0"/>
        <w:spacing w:line="400" w:lineRule="exact"/>
        <w:ind w:left="700" w:leftChars="0"/>
        <w:textAlignment w:val="auto"/>
        <w:rPr>
          <w:rFonts w:hint="eastAsia" w:ascii="宋体" w:hAnsi="Times New Roman" w:eastAsia="宋体" w:cs="宋体"/>
          <w:color w:val="auto"/>
          <w:kern w:val="0"/>
          <w:sz w:val="21"/>
          <w:szCs w:val="21"/>
          <w:highlight w:val="none"/>
          <w:u w:val="none" w:color="000000"/>
          <w:lang w:val="en-US" w:eastAsia="zh-CN" w:bidi="ar-SA"/>
        </w:rPr>
      </w:pPr>
      <w:r>
        <w:rPr>
          <w:rFonts w:hint="eastAsia" w:ascii="宋体" w:hAnsi="Times New Roman" w:eastAsia="宋体" w:cs="宋体"/>
          <w:color w:val="auto"/>
          <w:kern w:val="0"/>
          <w:sz w:val="21"/>
          <w:szCs w:val="21"/>
          <w:highlight w:val="none"/>
          <w:u w:val="none" w:color="000000"/>
          <w:lang w:val="en-US" w:eastAsia="zh-CN" w:bidi="ar-SA"/>
        </w:rPr>
        <w:t xml:space="preserve">(6)泄露国家秘密、公安工作秘密和相关单位商业秘密； </w:t>
      </w:r>
    </w:p>
    <w:p w14:paraId="5E8E2397">
      <w:pPr>
        <w:keepNext w:val="0"/>
        <w:keepLines w:val="0"/>
        <w:pageBreakBefore w:val="0"/>
        <w:numPr>
          <w:ilvl w:val="0"/>
          <w:numId w:val="0"/>
        </w:numPr>
        <w:kinsoku/>
        <w:wordWrap/>
        <w:overflowPunct/>
        <w:topLinePunct w:val="0"/>
        <w:bidi w:val="0"/>
        <w:spacing w:line="400" w:lineRule="exact"/>
        <w:ind w:left="700" w:leftChars="0"/>
        <w:textAlignment w:val="auto"/>
        <w:rPr>
          <w:rFonts w:hint="eastAsia" w:ascii="宋体" w:cs="宋体"/>
          <w:b/>
          <w:color w:val="auto"/>
          <w:szCs w:val="21"/>
          <w:highlight w:val="none"/>
        </w:rPr>
      </w:pPr>
      <w:r>
        <w:rPr>
          <w:rFonts w:hint="eastAsia" w:ascii="宋体" w:hAnsi="Times New Roman" w:eastAsia="宋体" w:cs="宋体"/>
          <w:color w:val="auto"/>
          <w:kern w:val="0"/>
          <w:sz w:val="21"/>
          <w:szCs w:val="21"/>
          <w:highlight w:val="none"/>
          <w:u w:val="none" w:color="000000"/>
          <w:lang w:val="en-US" w:eastAsia="zh-CN" w:bidi="ar-SA"/>
        </w:rPr>
        <w:t>(7)其他违反执业规范和执业道德及违法违纪行为。</w:t>
      </w:r>
    </w:p>
    <w:p w14:paraId="3926460C">
      <w:pPr>
        <w:shd w:val="clear" w:color="auto" w:fill="auto"/>
        <w:spacing w:line="440" w:lineRule="exact"/>
        <w:rPr>
          <w:rFonts w:hint="eastAsia" w:ascii="宋体" w:cs="宋体"/>
          <w:b/>
          <w:color w:val="auto"/>
          <w:szCs w:val="21"/>
          <w:highlight w:val="none"/>
        </w:rPr>
      </w:pPr>
      <w:r>
        <w:rPr>
          <w:rFonts w:hint="eastAsia" w:ascii="宋体" w:cs="宋体"/>
          <w:b/>
          <w:color w:val="auto"/>
          <w:szCs w:val="21"/>
          <w:highlight w:val="none"/>
        </w:rPr>
        <w:t>七. 索赔</w:t>
      </w:r>
    </w:p>
    <w:p w14:paraId="2AEE1519">
      <w:pPr>
        <w:shd w:val="clear" w:color="auto" w:fill="auto"/>
        <w:spacing w:line="440" w:lineRule="exact"/>
        <w:rPr>
          <w:rFonts w:hint="eastAsia" w:ascii="宋体" w:cs="宋体"/>
          <w:color w:val="auto"/>
          <w:szCs w:val="21"/>
          <w:highlight w:val="none"/>
        </w:rPr>
      </w:pPr>
      <w:r>
        <w:rPr>
          <w:rFonts w:hint="eastAsia" w:ascii="宋体" w:cs="宋体"/>
          <w:color w:val="auto"/>
          <w:szCs w:val="21"/>
          <w:highlight w:val="none"/>
          <w:lang w:val="en-US" w:eastAsia="zh-CN"/>
        </w:rPr>
        <w:t>1</w:t>
      </w:r>
      <w:r>
        <w:rPr>
          <w:rFonts w:hint="eastAsia" w:ascii="宋体" w:cs="宋体"/>
          <w:color w:val="auto"/>
          <w:szCs w:val="21"/>
          <w:highlight w:val="none"/>
        </w:rPr>
        <w:t>、索赔</w:t>
      </w:r>
    </w:p>
    <w:p w14:paraId="16887037">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(1)买方有权根据当地产品质量检验机构或其它有权威部门出具的检验证书向卖方提出索赔。</w:t>
      </w:r>
    </w:p>
    <w:p w14:paraId="1FF8EEA8">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(2)在本合同规定的检验期和质量保证期内，如果卖方对买方提出的索赔或差异有责任，则卖方应按买方同意的下列一种或多种方式解决索赔事宜：</w:t>
      </w:r>
    </w:p>
    <w:p w14:paraId="2F7125AE">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&lt;1&gt;卖方同意退货，并按合同规定的货币将货款退还给买方，并承担由此发生的一切损失和费用，包括利息、银行手续费、运费、保险费、检验费、仓储费、装卸费以及为保护退回标的物所需的其它必要费用；</w:t>
      </w:r>
    </w:p>
    <w:p w14:paraId="19591855">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&lt;2&gt;根据标的物的低劣程度、损坏程度以及甲方遭受损失的数额，经双方协商确定降低标的物的价格；</w:t>
      </w:r>
    </w:p>
    <w:p w14:paraId="2E0BADE5">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lt;3&gt;用符合规格、质量和性能要求的新零件、部件或标的物来更换有缺陷的部分或修补缺陷部分，卖方应承担一切费用和风险并负担买方所发生的一切直接费用。同时，卖方应按合同规定，相应延长修补或被更换部件或标的物的质量保证期。</w:t>
      </w:r>
    </w:p>
    <w:p w14:paraId="3E12C623">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02C7FF8D">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(4)买方提出索赔的书面材料应报当地政府采购管理部门备案。卖方同意的索赔方案应报当地政府采购管理部门审核。</w:t>
      </w:r>
    </w:p>
    <w:p w14:paraId="5F71B7F5">
      <w:pPr>
        <w:shd w:val="clear" w:color="auto" w:fill="auto"/>
        <w:spacing w:line="440" w:lineRule="exact"/>
        <w:rPr>
          <w:rFonts w:hint="eastAsia" w:ascii="宋体" w:cs="宋体"/>
          <w:b/>
          <w:color w:val="auto"/>
          <w:szCs w:val="21"/>
          <w:highlight w:val="none"/>
        </w:rPr>
      </w:pPr>
      <w:r>
        <w:rPr>
          <w:rFonts w:hint="eastAsia" w:ascii="宋体" w:cs="宋体"/>
          <w:b/>
          <w:color w:val="auto"/>
          <w:szCs w:val="21"/>
          <w:highlight w:val="none"/>
        </w:rPr>
        <w:t>八. 履约保证金</w:t>
      </w:r>
    </w:p>
    <w:p w14:paraId="3BDBE548">
      <w:pPr>
        <w:shd w:val="clear" w:color="auto" w:fill="auto"/>
        <w:spacing w:line="440" w:lineRule="exact"/>
        <w:rPr>
          <w:rFonts w:hint="eastAsia" w:ascii="宋体" w:cs="宋体"/>
          <w:color w:val="auto"/>
          <w:szCs w:val="21"/>
          <w:highlight w:val="none"/>
        </w:rPr>
      </w:pPr>
      <w:r>
        <w:rPr>
          <w:rFonts w:hint="eastAsia" w:ascii="宋体" w:cs="宋体"/>
          <w:color w:val="auto"/>
          <w:szCs w:val="21"/>
          <w:highlight w:val="none"/>
          <w:lang w:val="en-US" w:eastAsia="zh-CN"/>
        </w:rPr>
        <w:t>1</w:t>
      </w:r>
      <w:r>
        <w:rPr>
          <w:rFonts w:hint="eastAsia" w:ascii="宋体" w:cs="宋体"/>
          <w:color w:val="auto"/>
          <w:szCs w:val="21"/>
          <w:highlight w:val="none"/>
        </w:rPr>
        <w:t>、履约保证金</w:t>
      </w:r>
    </w:p>
    <w:p w14:paraId="0465516E">
      <w:pPr>
        <w:spacing w:line="560" w:lineRule="exact"/>
        <w:ind w:firstLine="430" w:firstLineChars="200"/>
        <w:rPr>
          <w:rFonts w:hint="eastAsia" w:ascii="宋体" w:hAnsi="Times New Roman" w:eastAsia="宋体" w:cs="宋体"/>
          <w:color w:val="auto"/>
          <w:kern w:val="0"/>
          <w:sz w:val="21"/>
          <w:szCs w:val="21"/>
          <w:highlight w:val="none"/>
          <w:u w:val="none" w:color="000000"/>
          <w:lang w:val="en-US" w:eastAsia="zh-CN" w:bidi="ar-SA"/>
        </w:rPr>
      </w:pPr>
      <w:r>
        <w:rPr>
          <w:rFonts w:hint="eastAsia" w:ascii="宋体" w:cs="宋体"/>
          <w:color w:val="auto"/>
          <w:kern w:val="0"/>
          <w:sz w:val="21"/>
          <w:szCs w:val="21"/>
          <w:highlight w:val="none"/>
          <w:u w:val="none" w:color="000000"/>
          <w:lang w:val="en-US" w:eastAsia="zh-CN" w:bidi="ar-SA"/>
        </w:rPr>
        <w:t>（1）</w:t>
      </w:r>
      <w:r>
        <w:rPr>
          <w:rFonts w:hint="eastAsia" w:ascii="宋体" w:hAnsi="Times New Roman" w:eastAsia="宋体" w:cs="宋体"/>
          <w:color w:val="auto"/>
          <w:kern w:val="0"/>
          <w:sz w:val="21"/>
          <w:szCs w:val="21"/>
          <w:highlight w:val="none"/>
          <w:u w:val="none" w:color="000000"/>
          <w:lang w:val="en-US" w:eastAsia="zh-CN" w:bidi="ar-SA"/>
        </w:rPr>
        <w:t>中标供应商在合同签订后5个工作日内向采购人交纳中标价2%的履约保证金（本项目履约保证金接收保函形式；若以电汇、银行转账方式提交的，必须转到采购人的指定账户），如果中标供应商在建设期内没有涉及采购人的应付而未付金额或违约行为，采购人在项目验收合格后或提前终止合同后全额无息退还履约保证金。</w:t>
      </w:r>
    </w:p>
    <w:p w14:paraId="0687960B">
      <w:pPr>
        <w:spacing w:line="560" w:lineRule="exact"/>
        <w:ind w:firstLine="430" w:firstLineChars="200"/>
        <w:rPr>
          <w:rFonts w:hint="eastAsia" w:ascii="宋体" w:hAnsi="Times New Roman" w:eastAsia="宋体" w:cs="宋体"/>
          <w:color w:val="auto"/>
          <w:kern w:val="0"/>
          <w:sz w:val="21"/>
          <w:szCs w:val="21"/>
          <w:highlight w:val="none"/>
          <w:u w:val="none" w:color="000000"/>
          <w:lang w:val="en-US" w:eastAsia="zh-CN" w:bidi="ar-SA"/>
        </w:rPr>
      </w:pPr>
      <w:r>
        <w:rPr>
          <w:rFonts w:hint="eastAsia" w:ascii="宋体" w:cs="宋体"/>
          <w:color w:val="auto"/>
          <w:kern w:val="0"/>
          <w:sz w:val="21"/>
          <w:szCs w:val="21"/>
          <w:highlight w:val="none"/>
          <w:u w:val="none" w:color="000000"/>
          <w:lang w:val="en-US" w:eastAsia="zh-CN" w:bidi="ar-SA"/>
        </w:rPr>
        <w:t>（2）</w:t>
      </w:r>
      <w:r>
        <w:rPr>
          <w:rFonts w:hint="eastAsia" w:ascii="宋体" w:hAnsi="Times New Roman" w:eastAsia="宋体" w:cs="宋体"/>
          <w:color w:val="auto"/>
          <w:kern w:val="0"/>
          <w:sz w:val="21"/>
          <w:szCs w:val="21"/>
          <w:highlight w:val="none"/>
          <w:u w:val="none" w:color="000000"/>
          <w:lang w:val="en-US" w:eastAsia="zh-CN" w:bidi="ar-SA"/>
        </w:rPr>
        <w:t>签订合同后，如中标供应商不按合同约定履约的，履约保证金不予退还，履约保证金不足以赔偿损失的，按实际损失赔偿。</w:t>
      </w:r>
    </w:p>
    <w:p w14:paraId="2774912C">
      <w:pPr>
        <w:spacing w:line="560" w:lineRule="exact"/>
        <w:ind w:firstLine="430" w:firstLineChars="200"/>
        <w:rPr>
          <w:rFonts w:hint="eastAsia" w:ascii="宋体" w:hAnsi="Times New Roman" w:eastAsia="宋体" w:cs="宋体"/>
          <w:color w:val="auto"/>
          <w:kern w:val="0"/>
          <w:sz w:val="21"/>
          <w:szCs w:val="21"/>
          <w:highlight w:val="none"/>
          <w:u w:val="none" w:color="000000"/>
          <w:lang w:val="en-US" w:eastAsia="zh-CN" w:bidi="ar-SA"/>
        </w:rPr>
      </w:pPr>
      <w:r>
        <w:rPr>
          <w:rFonts w:hint="eastAsia" w:ascii="宋体" w:cs="宋体"/>
          <w:color w:val="auto"/>
          <w:kern w:val="0"/>
          <w:sz w:val="21"/>
          <w:szCs w:val="21"/>
          <w:highlight w:val="none"/>
          <w:u w:val="none" w:color="000000"/>
          <w:lang w:val="en-US" w:eastAsia="zh-CN" w:bidi="ar-SA"/>
        </w:rPr>
        <w:t>（3）</w:t>
      </w:r>
      <w:r>
        <w:rPr>
          <w:rFonts w:hint="eastAsia" w:ascii="宋体" w:hAnsi="Times New Roman" w:eastAsia="宋体" w:cs="宋体"/>
          <w:color w:val="auto"/>
          <w:kern w:val="0"/>
          <w:sz w:val="21"/>
          <w:szCs w:val="21"/>
          <w:highlight w:val="none"/>
          <w:u w:val="none" w:color="000000"/>
          <w:lang w:val="en-US" w:eastAsia="zh-CN" w:bidi="ar-SA"/>
        </w:rPr>
        <w:t>如果中标供应商在供货期内没有涉及采购人的应付而未付金额或违约行为，采购人在项目验收合格后或提前终止合同后全额无息退还履约保证金。</w:t>
      </w:r>
    </w:p>
    <w:p w14:paraId="32E2D8A6">
      <w:pPr>
        <w:shd w:val="clear" w:color="auto" w:fill="auto"/>
        <w:spacing w:line="440" w:lineRule="exact"/>
        <w:rPr>
          <w:rFonts w:hint="eastAsia" w:ascii="宋体" w:cs="宋体"/>
          <w:b/>
          <w:color w:val="auto"/>
          <w:szCs w:val="21"/>
          <w:highlight w:val="none"/>
        </w:rPr>
      </w:pPr>
      <w:r>
        <w:rPr>
          <w:rFonts w:hint="eastAsia" w:ascii="宋体" w:cs="宋体"/>
          <w:b/>
          <w:color w:val="auto"/>
          <w:szCs w:val="21"/>
          <w:highlight w:val="none"/>
        </w:rPr>
        <w:t>九.  合同的解除和转让</w:t>
      </w:r>
    </w:p>
    <w:p w14:paraId="331FAB50">
      <w:pPr>
        <w:shd w:val="clear" w:color="auto" w:fill="auto"/>
        <w:spacing w:line="440" w:lineRule="exact"/>
        <w:rPr>
          <w:rFonts w:hint="eastAsia" w:ascii="宋体" w:cs="宋体"/>
          <w:color w:val="auto"/>
          <w:szCs w:val="21"/>
          <w:highlight w:val="none"/>
        </w:rPr>
      </w:pPr>
      <w:r>
        <w:rPr>
          <w:rFonts w:hint="eastAsia" w:ascii="宋体" w:cs="宋体"/>
          <w:color w:val="auto"/>
          <w:szCs w:val="21"/>
          <w:highlight w:val="none"/>
          <w:lang w:val="en-US" w:eastAsia="zh-CN"/>
        </w:rPr>
        <w:t>1</w:t>
      </w:r>
      <w:r>
        <w:rPr>
          <w:rFonts w:hint="eastAsia" w:ascii="宋体" w:cs="宋体"/>
          <w:color w:val="auto"/>
          <w:szCs w:val="21"/>
          <w:highlight w:val="none"/>
        </w:rPr>
        <w:t>、合同的解除</w:t>
      </w:r>
    </w:p>
    <w:p w14:paraId="57B0D224">
      <w:pPr>
        <w:pStyle w:val="6"/>
        <w:shd w:val="clear" w:color="auto" w:fill="auto"/>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(1)买方和卖方协商一致，可以解除合同。</w:t>
      </w:r>
    </w:p>
    <w:p w14:paraId="7CBBE1D6">
      <w:pPr>
        <w:pStyle w:val="6"/>
        <w:shd w:val="clear" w:color="auto" w:fill="auto"/>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(2)有下列情形之一，合同一方可以解除合同：</w:t>
      </w:r>
    </w:p>
    <w:p w14:paraId="1C6AB945">
      <w:pPr>
        <w:pStyle w:val="6"/>
        <w:shd w:val="clear" w:color="auto" w:fill="auto"/>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&lt;1&gt;因不可抗力致使不能实现合同目的，未受不可抗力影响的一方有权解除合同；</w:t>
      </w:r>
    </w:p>
    <w:p w14:paraId="612DDE32">
      <w:pPr>
        <w:pStyle w:val="6"/>
        <w:shd w:val="clear" w:color="auto" w:fill="auto"/>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&lt;2&gt;因合同一方违约导致合同不能履行，另一方有权解除合同。</w:t>
      </w:r>
    </w:p>
    <w:p w14:paraId="39292307">
      <w:pPr>
        <w:pStyle w:val="6"/>
        <w:shd w:val="clear" w:color="auto" w:fill="auto"/>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(3)有权解除合同的一方，应当在违约事实或不可抗力发生之后三十天内书面通知对方以主张解除合同，合同在书面通知到达对方时解除。</w:t>
      </w:r>
    </w:p>
    <w:p w14:paraId="2CE211CC">
      <w:pPr>
        <w:shd w:val="clear" w:color="auto" w:fill="auto"/>
        <w:spacing w:line="440" w:lineRule="exact"/>
        <w:rPr>
          <w:rFonts w:hint="eastAsia" w:ascii="宋体" w:cs="宋体"/>
          <w:color w:val="auto"/>
          <w:szCs w:val="21"/>
          <w:highlight w:val="none"/>
        </w:rPr>
      </w:pPr>
      <w:r>
        <w:rPr>
          <w:rFonts w:hint="eastAsia" w:ascii="宋体" w:cs="宋体"/>
          <w:color w:val="auto"/>
          <w:szCs w:val="21"/>
          <w:highlight w:val="none"/>
          <w:lang w:val="en-US" w:eastAsia="zh-CN"/>
        </w:rPr>
        <w:t>2</w:t>
      </w:r>
      <w:r>
        <w:rPr>
          <w:rFonts w:hint="eastAsia" w:ascii="宋体" w:cs="宋体"/>
          <w:color w:val="auto"/>
          <w:szCs w:val="21"/>
          <w:highlight w:val="none"/>
        </w:rPr>
        <w:t>、合同的转让</w:t>
      </w:r>
    </w:p>
    <w:p w14:paraId="2B88E98E">
      <w:pPr>
        <w:shd w:val="clear" w:color="auto" w:fill="auto"/>
        <w:spacing w:line="440" w:lineRule="exact"/>
        <w:rPr>
          <w:rFonts w:hint="eastAsia" w:ascii="宋体" w:cs="宋体"/>
          <w:b/>
          <w:color w:val="auto"/>
          <w:szCs w:val="21"/>
          <w:highlight w:val="none"/>
        </w:rPr>
      </w:pPr>
      <w:r>
        <w:rPr>
          <w:rFonts w:hint="eastAsia" w:ascii="宋体" w:cs="宋体"/>
          <w:color w:val="auto"/>
          <w:szCs w:val="21"/>
          <w:highlight w:val="none"/>
        </w:rPr>
        <w:t xml:space="preserve">    合同的部分和全部都不得转让。</w:t>
      </w:r>
    </w:p>
    <w:p w14:paraId="72284EB4">
      <w:pPr>
        <w:shd w:val="clear" w:color="auto" w:fill="auto"/>
        <w:spacing w:line="440" w:lineRule="exact"/>
        <w:rPr>
          <w:rFonts w:hint="eastAsia" w:ascii="宋体" w:cs="宋体"/>
          <w:b/>
          <w:color w:val="auto"/>
          <w:szCs w:val="21"/>
          <w:highlight w:val="none"/>
        </w:rPr>
      </w:pPr>
      <w:r>
        <w:rPr>
          <w:rFonts w:hint="eastAsia" w:ascii="宋体" w:cs="宋体"/>
          <w:b/>
          <w:color w:val="auto"/>
          <w:szCs w:val="21"/>
          <w:highlight w:val="none"/>
        </w:rPr>
        <w:t>十. 合同的生效</w:t>
      </w:r>
    </w:p>
    <w:p w14:paraId="352C13AF">
      <w:pPr>
        <w:shd w:val="clear" w:color="auto" w:fill="auto"/>
        <w:spacing w:line="440" w:lineRule="exact"/>
        <w:rPr>
          <w:rFonts w:hint="eastAsia" w:ascii="宋体" w:cs="宋体"/>
          <w:color w:val="auto"/>
          <w:szCs w:val="21"/>
          <w:highlight w:val="none"/>
        </w:rPr>
      </w:pPr>
      <w:r>
        <w:rPr>
          <w:rFonts w:hint="eastAsia" w:ascii="宋体" w:cs="宋体"/>
          <w:color w:val="auto"/>
          <w:szCs w:val="21"/>
          <w:highlight w:val="none"/>
          <w:lang w:val="en-US" w:eastAsia="zh-CN"/>
        </w:rPr>
        <w:t>1</w:t>
      </w:r>
      <w:r>
        <w:rPr>
          <w:rFonts w:hint="eastAsia" w:ascii="宋体" w:cs="宋体"/>
          <w:color w:val="auto"/>
          <w:szCs w:val="21"/>
          <w:highlight w:val="none"/>
        </w:rPr>
        <w:t>、合同的生效</w:t>
      </w:r>
    </w:p>
    <w:p w14:paraId="69ACF9FD">
      <w:pPr>
        <w:shd w:val="clear" w:color="auto" w:fill="auto"/>
        <w:spacing w:line="440" w:lineRule="exact"/>
        <w:ind w:firstLine="594" w:firstLineChars="277"/>
        <w:rPr>
          <w:rFonts w:hint="eastAsia" w:ascii="宋体" w:cs="宋体"/>
          <w:color w:val="auto"/>
          <w:szCs w:val="21"/>
          <w:highlight w:val="none"/>
        </w:rPr>
      </w:pPr>
      <w:r>
        <w:rPr>
          <w:rFonts w:hint="eastAsia" w:ascii="宋体" w:cs="宋体"/>
          <w:color w:val="auto"/>
          <w:szCs w:val="21"/>
          <w:highlight w:val="none"/>
        </w:rPr>
        <w:t>本合同在双方签字盖章并在招标人收到中标人提交的履约保证金后，经招标采购管理部门备案后生效。</w:t>
      </w:r>
    </w:p>
    <w:p w14:paraId="17E8F528">
      <w:pPr>
        <w:shd w:val="clear" w:color="auto" w:fill="auto"/>
        <w:spacing w:line="440" w:lineRule="exact"/>
        <w:rPr>
          <w:rFonts w:hint="eastAsia" w:ascii="宋体" w:cs="宋体"/>
          <w:b/>
          <w:color w:val="auto"/>
          <w:szCs w:val="21"/>
          <w:highlight w:val="none"/>
        </w:rPr>
      </w:pPr>
      <w:r>
        <w:rPr>
          <w:rFonts w:hint="eastAsia" w:ascii="宋体" w:cs="宋体"/>
          <w:b/>
          <w:color w:val="auto"/>
          <w:szCs w:val="21"/>
          <w:highlight w:val="none"/>
        </w:rPr>
        <w:t>十一. 争议解决</w:t>
      </w:r>
    </w:p>
    <w:p w14:paraId="512AAAB5">
      <w:pPr>
        <w:shd w:val="clear" w:color="auto" w:fill="auto"/>
        <w:spacing w:line="440" w:lineRule="exact"/>
        <w:ind w:firstLine="215" w:firstLineChars="100"/>
        <w:rPr>
          <w:rFonts w:hint="eastAsia" w:ascii="宋体" w:cs="宋体"/>
          <w:color w:val="auto"/>
          <w:szCs w:val="21"/>
          <w:highlight w:val="none"/>
        </w:rPr>
      </w:pPr>
      <w:r>
        <w:rPr>
          <w:rFonts w:hint="eastAsia" w:ascii="宋体" w:cs="宋体"/>
          <w:color w:val="auto"/>
          <w:szCs w:val="21"/>
          <w:highlight w:val="none"/>
          <w:lang w:val="en-US" w:eastAsia="zh-CN"/>
        </w:rPr>
        <w:t>1</w:t>
      </w:r>
      <w:r>
        <w:rPr>
          <w:rFonts w:hint="eastAsia" w:ascii="宋体" w:cs="宋体"/>
          <w:color w:val="auto"/>
          <w:szCs w:val="21"/>
          <w:highlight w:val="none"/>
        </w:rPr>
        <w:t>、争议解决</w:t>
      </w:r>
    </w:p>
    <w:p w14:paraId="676E89AC">
      <w:pPr>
        <w:pStyle w:val="6"/>
        <w:shd w:val="clear" w:color="auto" w:fill="auto"/>
        <w:overflowPunct w:val="0"/>
        <w:spacing w:line="440" w:lineRule="exact"/>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 xml:space="preserve"> 买卖双方因合同发生争议，进行调解，协商不成，可选择：</w:t>
      </w:r>
    </w:p>
    <w:p w14:paraId="698F52B9">
      <w:pPr>
        <w:pStyle w:val="6"/>
        <w:shd w:val="clear" w:color="auto" w:fill="auto"/>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(1)双方同时申请仲裁；</w:t>
      </w:r>
    </w:p>
    <w:p w14:paraId="3209DABC">
      <w:pPr>
        <w:pStyle w:val="6"/>
        <w:shd w:val="clear" w:color="auto" w:fill="auto"/>
        <w:tabs>
          <w:tab w:val="left" w:pos="900"/>
        </w:tabs>
        <w:overflowPunct w:val="0"/>
        <w:spacing w:line="440" w:lineRule="exact"/>
        <w:ind w:firstLine="537" w:firstLineChars="250"/>
        <w:rPr>
          <w:rFonts w:hint="eastAsia" w:ascii="宋体" w:cs="宋体"/>
          <w:color w:val="auto"/>
          <w:sz w:val="21"/>
          <w:szCs w:val="21"/>
          <w:highlight w:val="none"/>
          <w:u w:val="none" w:color="000000"/>
        </w:rPr>
      </w:pPr>
      <w:r>
        <w:rPr>
          <w:rFonts w:hint="eastAsia" w:ascii="宋体" w:cs="宋体"/>
          <w:color w:val="auto"/>
          <w:sz w:val="21"/>
          <w:szCs w:val="21"/>
          <w:highlight w:val="none"/>
          <w:u w:val="none" w:color="000000"/>
        </w:rPr>
        <w:t>(2)向买方所在地人民法院提起诉讼。</w:t>
      </w:r>
    </w:p>
    <w:p w14:paraId="6671C8F8">
      <w:pPr>
        <w:shd w:val="clear" w:color="auto" w:fill="auto"/>
        <w:spacing w:line="440" w:lineRule="exact"/>
        <w:rPr>
          <w:rFonts w:hint="eastAsia" w:ascii="宋体" w:cs="宋体"/>
          <w:b/>
          <w:color w:val="auto"/>
          <w:szCs w:val="21"/>
          <w:highlight w:val="none"/>
        </w:rPr>
      </w:pPr>
      <w:r>
        <w:rPr>
          <w:rFonts w:hint="eastAsia" w:ascii="宋体" w:cs="宋体"/>
          <w:b/>
          <w:color w:val="auto"/>
          <w:szCs w:val="21"/>
          <w:highlight w:val="none"/>
        </w:rPr>
        <w:t>十二 .附则</w:t>
      </w:r>
    </w:p>
    <w:p w14:paraId="454C5383">
      <w:pPr>
        <w:shd w:val="clear" w:color="auto" w:fill="auto"/>
        <w:spacing w:line="440" w:lineRule="exact"/>
        <w:ind w:firstLine="215" w:firstLineChars="100"/>
        <w:rPr>
          <w:rFonts w:hint="eastAsia" w:ascii="宋体" w:cs="宋体"/>
          <w:color w:val="auto"/>
          <w:szCs w:val="21"/>
          <w:highlight w:val="none"/>
        </w:rPr>
      </w:pPr>
      <w:r>
        <w:rPr>
          <w:rFonts w:hint="eastAsia" w:ascii="宋体" w:cs="宋体"/>
          <w:color w:val="auto"/>
          <w:szCs w:val="21"/>
          <w:highlight w:val="none"/>
          <w:lang w:val="en-US" w:eastAsia="zh-CN"/>
        </w:rPr>
        <w:t>1</w:t>
      </w:r>
      <w:r>
        <w:rPr>
          <w:rFonts w:hint="eastAsia" w:ascii="宋体" w:cs="宋体"/>
          <w:color w:val="auto"/>
          <w:szCs w:val="21"/>
          <w:highlight w:val="none"/>
        </w:rPr>
        <w:t>、合同份数。</w:t>
      </w:r>
    </w:p>
    <w:p w14:paraId="76BB75E6">
      <w:pPr>
        <w:shd w:val="clear" w:color="auto" w:fill="auto"/>
        <w:spacing w:line="440" w:lineRule="exact"/>
        <w:rPr>
          <w:rFonts w:hint="eastAsia" w:ascii="宋体" w:cs="宋体"/>
          <w:color w:val="auto"/>
          <w:szCs w:val="21"/>
          <w:highlight w:val="none"/>
        </w:rPr>
      </w:pPr>
      <w:r>
        <w:rPr>
          <w:rFonts w:hint="eastAsia" w:ascii="宋体" w:cs="宋体"/>
          <w:color w:val="auto"/>
          <w:szCs w:val="21"/>
          <w:highlight w:val="none"/>
        </w:rPr>
        <w:t xml:space="preserve"> </w:t>
      </w:r>
      <w:r>
        <w:rPr>
          <w:rFonts w:hint="eastAsia" w:ascii="宋体" w:cs="宋体"/>
          <w:color w:val="auto"/>
          <w:szCs w:val="21"/>
          <w:highlight w:val="none"/>
        </w:rPr>
        <w:tab/>
      </w:r>
      <w:r>
        <w:rPr>
          <w:rFonts w:hint="eastAsia" w:ascii="宋体" w:cs="宋体"/>
          <w:color w:val="auto"/>
          <w:szCs w:val="21"/>
          <w:highlight w:val="none"/>
        </w:rPr>
        <w:t xml:space="preserve">  本合同一式陆份，买卖双方各执二份，招标代理机构一份，招标采购管理部门一份。</w:t>
      </w:r>
    </w:p>
    <w:p w14:paraId="7B2AF13B">
      <w:pPr>
        <w:shd w:val="clear" w:color="auto" w:fill="auto"/>
        <w:spacing w:line="440" w:lineRule="exact"/>
        <w:ind w:firstLine="215" w:firstLineChars="100"/>
        <w:rPr>
          <w:rFonts w:hint="eastAsia" w:ascii="宋体" w:cs="宋体"/>
          <w:color w:val="auto"/>
          <w:szCs w:val="21"/>
          <w:highlight w:val="none"/>
        </w:rPr>
      </w:pPr>
      <w:r>
        <w:rPr>
          <w:rFonts w:hint="eastAsia" w:ascii="宋体" w:cs="宋体"/>
          <w:color w:val="auto"/>
          <w:szCs w:val="21"/>
          <w:highlight w:val="none"/>
          <w:lang w:val="en-US" w:eastAsia="zh-CN"/>
        </w:rPr>
        <w:t>2</w:t>
      </w:r>
      <w:r>
        <w:rPr>
          <w:rFonts w:hint="eastAsia" w:ascii="宋体" w:cs="宋体"/>
          <w:color w:val="auto"/>
          <w:szCs w:val="21"/>
          <w:highlight w:val="none"/>
        </w:rPr>
        <w:t>、未尽事宜</w:t>
      </w:r>
    </w:p>
    <w:p w14:paraId="1C6CA410">
      <w:pPr>
        <w:shd w:val="clear" w:color="auto" w:fill="auto"/>
        <w:spacing w:line="440" w:lineRule="exact"/>
        <w:ind w:firstLine="537" w:firstLineChars="250"/>
        <w:rPr>
          <w:rFonts w:hint="eastAsia" w:ascii="宋体" w:cs="宋体"/>
          <w:color w:val="auto"/>
          <w:szCs w:val="21"/>
          <w:highlight w:val="none"/>
        </w:rPr>
      </w:pPr>
      <w:r>
        <w:rPr>
          <w:rFonts w:hint="eastAsia" w:ascii="宋体" w:cs="宋体"/>
          <w:color w:val="auto"/>
          <w:szCs w:val="21"/>
          <w:highlight w:val="none"/>
        </w:rPr>
        <w:t>本合同未尽事宜应按《中华人民共和国政府采购法》、《中华人民共和国</w:t>
      </w:r>
      <w:r>
        <w:rPr>
          <w:rFonts w:hint="eastAsia" w:ascii="宋体" w:cs="宋体"/>
          <w:color w:val="auto"/>
          <w:szCs w:val="21"/>
          <w:highlight w:val="none"/>
          <w:lang w:eastAsia="zh-CN"/>
        </w:rPr>
        <w:t>民法典</w:t>
      </w:r>
      <w:r>
        <w:rPr>
          <w:rFonts w:hint="eastAsia" w:ascii="宋体" w:cs="宋体"/>
          <w:color w:val="auto"/>
          <w:szCs w:val="21"/>
          <w:highlight w:val="none"/>
        </w:rPr>
        <w:t>》、《中华人民共和国产品质量法》之规定解释。</w:t>
      </w:r>
    </w:p>
    <w:p w14:paraId="5323716B">
      <w:pPr>
        <w:pStyle w:val="11"/>
        <w:shd w:val="clear" w:color="auto" w:fill="auto"/>
        <w:spacing w:after="0" w:line="400" w:lineRule="exact"/>
        <w:ind w:left="0" w:leftChars="0" w:firstLine="490" w:firstLineChars="200"/>
        <w:rPr>
          <w:rFonts w:hint="eastAsia"/>
          <w:color w:val="auto"/>
          <w:kern w:val="0"/>
          <w:sz w:val="24"/>
          <w:szCs w:val="20"/>
          <w:highlight w:val="none"/>
          <w:u w:val="none" w:color="000000"/>
        </w:rPr>
      </w:pPr>
    </w:p>
    <w:p w14:paraId="54FFC32C">
      <w:pPr>
        <w:pageBreakBefore/>
        <w:shd w:val="clear" w:color="auto" w:fill="auto"/>
        <w:jc w:val="center"/>
        <w:outlineLvl w:val="0"/>
        <w:rPr>
          <w:rFonts w:hint="eastAsia" w:ascii="宋体"/>
          <w:b/>
          <w:color w:val="auto"/>
          <w:sz w:val="30"/>
          <w:szCs w:val="30"/>
          <w:highlight w:val="none"/>
        </w:rPr>
      </w:pPr>
      <w:bookmarkStart w:id="131" w:name="_Toc21484"/>
      <w:r>
        <w:rPr>
          <w:rFonts w:hint="eastAsia" w:ascii="宋体"/>
          <w:b/>
          <w:color w:val="auto"/>
          <w:sz w:val="30"/>
          <w:szCs w:val="30"/>
          <w:highlight w:val="none"/>
        </w:rPr>
        <w:t>第六章  投标文件格式</w:t>
      </w:r>
      <w:bookmarkEnd w:id="131"/>
    </w:p>
    <w:p w14:paraId="55C31C2A">
      <w:pPr>
        <w:adjustRightInd w:val="0"/>
        <w:snapToGrid w:val="0"/>
        <w:spacing w:line="360" w:lineRule="auto"/>
        <w:jc w:val="center"/>
        <w:rPr>
          <w:rFonts w:hint="eastAsia" w:ascii="仿宋" w:hAnsi="仿宋" w:eastAsia="仿宋" w:cs="仿宋"/>
          <w:b/>
          <w:caps/>
          <w:color w:val="auto"/>
          <w:sz w:val="32"/>
          <w:szCs w:val="32"/>
          <w:highlight w:val="none"/>
        </w:rPr>
      </w:pPr>
    </w:p>
    <w:p w14:paraId="7B6F83D3">
      <w:pPr>
        <w:adjustRightInd w:val="0"/>
        <w:snapToGrid w:val="0"/>
        <w:spacing w:line="360" w:lineRule="auto"/>
        <w:jc w:val="center"/>
        <w:rPr>
          <w:rFonts w:hint="eastAsia" w:ascii="仿宋" w:hAnsi="仿宋" w:eastAsia="仿宋" w:cs="仿宋"/>
          <w:bCs/>
          <w:color w:val="auto"/>
          <w:sz w:val="32"/>
          <w:szCs w:val="32"/>
          <w:highlight w:val="none"/>
        </w:rPr>
      </w:pPr>
      <w:r>
        <w:rPr>
          <w:rFonts w:hint="eastAsia" w:ascii="仿宋" w:hAnsi="仿宋" w:eastAsia="仿宋" w:cs="仿宋"/>
          <w:b/>
          <w:caps/>
          <w:color w:val="auto"/>
          <w:sz w:val="32"/>
          <w:szCs w:val="32"/>
          <w:highlight w:val="none"/>
        </w:rPr>
        <w:t>（项目名称）</w:t>
      </w:r>
    </w:p>
    <w:p w14:paraId="407FC04F">
      <w:pPr>
        <w:adjustRightInd w:val="0"/>
        <w:snapToGrid w:val="0"/>
        <w:spacing w:line="360" w:lineRule="auto"/>
        <w:jc w:val="both"/>
        <w:rPr>
          <w:rFonts w:hint="eastAsia" w:ascii="仿宋" w:hAnsi="仿宋" w:eastAsia="仿宋" w:cs="仿宋"/>
          <w:bCs/>
          <w:color w:val="auto"/>
          <w:sz w:val="32"/>
          <w:szCs w:val="32"/>
          <w:highlight w:val="none"/>
        </w:rPr>
      </w:pPr>
    </w:p>
    <w:p w14:paraId="072C5457">
      <w:pPr>
        <w:adjustRightInd w:val="0"/>
        <w:snapToGrid w:val="0"/>
        <w:spacing w:line="360" w:lineRule="auto"/>
        <w:jc w:val="center"/>
        <w:rPr>
          <w:rFonts w:hint="eastAsia" w:ascii="仿宋" w:hAnsi="仿宋" w:eastAsia="仿宋" w:cs="仿宋"/>
          <w:bCs/>
          <w:color w:val="auto"/>
          <w:sz w:val="32"/>
          <w:szCs w:val="32"/>
          <w:highlight w:val="none"/>
        </w:rPr>
      </w:pPr>
    </w:p>
    <w:p w14:paraId="6CDF32C8">
      <w:pPr>
        <w:adjustRightInd w:val="0"/>
        <w:snapToGrid w:val="0"/>
        <w:spacing w:line="360" w:lineRule="auto"/>
        <w:jc w:val="center"/>
        <w:rPr>
          <w:rFonts w:hint="eastAsia" w:ascii="仿宋" w:hAnsi="仿宋" w:eastAsia="仿宋" w:cs="仿宋"/>
          <w:bCs/>
          <w:color w:val="auto"/>
          <w:sz w:val="32"/>
          <w:szCs w:val="32"/>
          <w:highlight w:val="none"/>
          <w:lang w:eastAsia="zh-CN"/>
        </w:rPr>
      </w:pPr>
      <w:r>
        <w:rPr>
          <w:rFonts w:hint="eastAsia" w:ascii="仿宋" w:hAnsi="仿宋" w:eastAsia="仿宋" w:cs="仿宋"/>
          <w:b/>
          <w:bCs/>
          <w:color w:val="auto"/>
          <w:sz w:val="44"/>
          <w:szCs w:val="44"/>
          <w:highlight w:val="none"/>
          <w:lang w:eastAsia="zh-CN"/>
        </w:rPr>
        <w:t>投标文件</w:t>
      </w:r>
    </w:p>
    <w:p w14:paraId="67A7A7AB">
      <w:pPr>
        <w:adjustRightInd w:val="0"/>
        <w:snapToGrid w:val="0"/>
        <w:spacing w:line="360" w:lineRule="auto"/>
        <w:jc w:val="center"/>
        <w:rPr>
          <w:rFonts w:hint="eastAsia" w:ascii="仿宋" w:hAnsi="仿宋" w:eastAsia="仿宋" w:cs="仿宋"/>
          <w:bCs/>
          <w:color w:val="auto"/>
          <w:sz w:val="32"/>
          <w:szCs w:val="32"/>
          <w:highlight w:val="none"/>
        </w:rPr>
      </w:pPr>
    </w:p>
    <w:p w14:paraId="114B1BB8">
      <w:pPr>
        <w:adjustRightInd w:val="0"/>
        <w:snapToGrid w:val="0"/>
        <w:spacing w:line="360" w:lineRule="auto"/>
        <w:jc w:val="both"/>
        <w:rPr>
          <w:rFonts w:hint="eastAsia" w:ascii="仿宋" w:hAnsi="仿宋" w:eastAsia="仿宋" w:cs="仿宋"/>
          <w:bCs/>
          <w:color w:val="auto"/>
          <w:sz w:val="32"/>
          <w:szCs w:val="32"/>
          <w:highlight w:val="none"/>
        </w:rPr>
      </w:pPr>
    </w:p>
    <w:p w14:paraId="24F79233">
      <w:pPr>
        <w:adjustRightInd w:val="0"/>
        <w:snapToGrid w:val="0"/>
        <w:spacing w:line="360" w:lineRule="auto"/>
        <w:ind w:right="-137" w:rightChars="-64"/>
        <w:rPr>
          <w:rFonts w:hint="eastAsia" w:ascii="宋体" w:hAnsi="宋体" w:eastAsia="宋体" w:cs="宋体"/>
          <w:b/>
          <w:caps/>
          <w:color w:val="auto"/>
          <w:sz w:val="28"/>
          <w:szCs w:val="28"/>
          <w:highlight w:val="none"/>
        </w:rPr>
      </w:pPr>
      <w:r>
        <w:rPr>
          <w:rFonts w:hint="eastAsia" w:ascii="宋体" w:hAnsi="宋体" w:eastAsia="宋体" w:cs="宋体"/>
          <w:b/>
          <w:caps/>
          <w:color w:val="auto"/>
          <w:spacing w:val="0"/>
          <w:kern w:val="0"/>
          <w:sz w:val="28"/>
          <w:szCs w:val="28"/>
          <w:highlight w:val="none"/>
          <w:fitText w:val="2810" w:id="1621773761"/>
        </w:rPr>
        <w:t>供应商名称（公章）：</w:t>
      </w:r>
    </w:p>
    <w:p w14:paraId="3B35D2C7">
      <w:pPr>
        <w:adjustRightInd w:val="0"/>
        <w:snapToGrid w:val="0"/>
        <w:spacing w:line="360" w:lineRule="auto"/>
        <w:ind w:right="-137" w:rightChars="-64"/>
        <w:rPr>
          <w:rFonts w:hint="eastAsia" w:ascii="宋体" w:hAnsi="宋体" w:eastAsia="宋体" w:cs="宋体"/>
          <w:b/>
          <w:caps/>
          <w:color w:val="auto"/>
          <w:sz w:val="28"/>
          <w:szCs w:val="28"/>
          <w:highlight w:val="none"/>
        </w:rPr>
      </w:pPr>
    </w:p>
    <w:p w14:paraId="156CFE81">
      <w:pPr>
        <w:adjustRightInd w:val="0"/>
        <w:snapToGrid w:val="0"/>
        <w:spacing w:line="360" w:lineRule="auto"/>
        <w:ind w:right="-137" w:rightChars="-64"/>
        <w:rPr>
          <w:rFonts w:hint="eastAsia" w:ascii="宋体" w:hAnsi="宋体" w:eastAsia="宋体" w:cs="宋体"/>
          <w:b/>
          <w:caps/>
          <w:color w:val="auto"/>
          <w:sz w:val="28"/>
          <w:szCs w:val="28"/>
          <w:highlight w:val="none"/>
        </w:rPr>
      </w:pPr>
      <w:r>
        <w:rPr>
          <w:rFonts w:hint="eastAsia" w:ascii="宋体" w:hAnsi="宋体" w:eastAsia="宋体" w:cs="宋体"/>
          <w:b/>
          <w:caps/>
          <w:color w:val="auto"/>
          <w:spacing w:val="0"/>
          <w:w w:val="77"/>
          <w:kern w:val="0"/>
          <w:sz w:val="28"/>
          <w:szCs w:val="28"/>
          <w:highlight w:val="none"/>
          <w:fitText w:val="2810" w:id="1"/>
        </w:rPr>
        <w:t>法定代表人（</w:t>
      </w:r>
      <w:r>
        <w:rPr>
          <w:rFonts w:hint="eastAsia" w:ascii="宋体" w:hAnsi="宋体" w:eastAsia="宋体" w:cs="宋体"/>
          <w:b/>
          <w:caps/>
          <w:color w:val="auto"/>
          <w:spacing w:val="0"/>
          <w:w w:val="77"/>
          <w:kern w:val="0"/>
          <w:sz w:val="28"/>
          <w:szCs w:val="28"/>
          <w:highlight w:val="none"/>
          <w:fitText w:val="2810" w:id="1"/>
          <w:lang w:eastAsia="zh-CN"/>
        </w:rPr>
        <w:t>签章</w:t>
      </w:r>
      <w:r>
        <w:rPr>
          <w:rFonts w:hint="eastAsia" w:ascii="宋体" w:hAnsi="宋体" w:eastAsia="宋体" w:cs="宋体"/>
          <w:b/>
          <w:caps/>
          <w:color w:val="auto"/>
          <w:spacing w:val="0"/>
          <w:w w:val="77"/>
          <w:kern w:val="0"/>
          <w:sz w:val="28"/>
          <w:szCs w:val="28"/>
          <w:highlight w:val="none"/>
          <w:fitText w:val="2810" w:id="1"/>
        </w:rPr>
        <w:t>或盖章）</w:t>
      </w:r>
      <w:r>
        <w:rPr>
          <w:rFonts w:hint="eastAsia" w:ascii="宋体" w:hAnsi="宋体" w:eastAsia="宋体" w:cs="宋体"/>
          <w:b/>
          <w:caps/>
          <w:color w:val="auto"/>
          <w:spacing w:val="-1"/>
          <w:w w:val="77"/>
          <w:kern w:val="0"/>
          <w:sz w:val="28"/>
          <w:szCs w:val="28"/>
          <w:highlight w:val="none"/>
          <w:fitText w:val="2810" w:id="1"/>
        </w:rPr>
        <w:t>：</w:t>
      </w:r>
    </w:p>
    <w:p w14:paraId="690B850B">
      <w:pPr>
        <w:adjustRightInd w:val="0"/>
        <w:snapToGrid w:val="0"/>
        <w:spacing w:line="360" w:lineRule="auto"/>
        <w:ind w:right="-137" w:rightChars="-64"/>
        <w:rPr>
          <w:rFonts w:hint="eastAsia" w:ascii="宋体" w:hAnsi="宋体" w:eastAsia="宋体" w:cs="宋体"/>
          <w:b/>
          <w:caps/>
          <w:color w:val="auto"/>
          <w:sz w:val="28"/>
          <w:szCs w:val="28"/>
          <w:highlight w:val="none"/>
        </w:rPr>
      </w:pPr>
    </w:p>
    <w:p w14:paraId="56DF2896">
      <w:pPr>
        <w:adjustRightInd w:val="0"/>
        <w:snapToGrid w:val="0"/>
        <w:spacing w:line="360" w:lineRule="auto"/>
        <w:ind w:right="-137" w:rightChars="-64"/>
        <w:rPr>
          <w:rFonts w:hint="eastAsia" w:ascii="宋体" w:hAnsi="宋体" w:eastAsia="宋体" w:cs="宋体"/>
          <w:b/>
          <w:caps/>
          <w:color w:val="auto"/>
          <w:sz w:val="28"/>
          <w:szCs w:val="28"/>
          <w:highlight w:val="none"/>
        </w:rPr>
      </w:pPr>
      <w:r>
        <w:rPr>
          <w:rFonts w:hint="eastAsia" w:ascii="宋体" w:hAnsi="宋体" w:eastAsia="宋体" w:cs="宋体"/>
          <w:b/>
          <w:caps/>
          <w:color w:val="auto"/>
          <w:spacing w:val="113"/>
          <w:kern w:val="0"/>
          <w:sz w:val="28"/>
          <w:szCs w:val="28"/>
          <w:highlight w:val="none"/>
          <w:fitText w:val="2810" w:id="2"/>
        </w:rPr>
        <w:t>供应商地址</w:t>
      </w:r>
      <w:r>
        <w:rPr>
          <w:rFonts w:hint="eastAsia" w:ascii="宋体" w:hAnsi="宋体" w:eastAsia="宋体" w:cs="宋体"/>
          <w:b/>
          <w:caps/>
          <w:color w:val="auto"/>
          <w:spacing w:val="0"/>
          <w:kern w:val="0"/>
          <w:sz w:val="28"/>
          <w:szCs w:val="28"/>
          <w:highlight w:val="none"/>
          <w:fitText w:val="2810" w:id="2"/>
        </w:rPr>
        <w:t>：</w:t>
      </w:r>
    </w:p>
    <w:p w14:paraId="71D214FE">
      <w:pPr>
        <w:adjustRightInd w:val="0"/>
        <w:snapToGrid w:val="0"/>
        <w:spacing w:line="360" w:lineRule="auto"/>
        <w:ind w:right="-137" w:rightChars="-64"/>
        <w:rPr>
          <w:rFonts w:hint="eastAsia" w:ascii="宋体" w:hAnsi="宋体" w:eastAsia="宋体" w:cs="宋体"/>
          <w:b/>
          <w:caps/>
          <w:color w:val="auto"/>
          <w:sz w:val="28"/>
          <w:szCs w:val="28"/>
          <w:highlight w:val="none"/>
        </w:rPr>
      </w:pPr>
    </w:p>
    <w:p w14:paraId="2E8D3B9A">
      <w:pPr>
        <w:adjustRightInd w:val="0"/>
        <w:snapToGrid w:val="0"/>
        <w:spacing w:line="360" w:lineRule="auto"/>
        <w:ind w:right="-137" w:rightChars="-64"/>
        <w:rPr>
          <w:rFonts w:hint="eastAsia" w:ascii="宋体" w:hAnsi="宋体" w:eastAsia="宋体" w:cs="宋体"/>
          <w:b/>
          <w:caps/>
          <w:color w:val="auto"/>
          <w:sz w:val="28"/>
          <w:szCs w:val="28"/>
          <w:highlight w:val="none"/>
        </w:rPr>
      </w:pPr>
      <w:r>
        <w:rPr>
          <w:rFonts w:hint="eastAsia" w:ascii="宋体" w:hAnsi="宋体" w:eastAsia="宋体" w:cs="宋体"/>
          <w:b/>
          <w:caps/>
          <w:color w:val="auto"/>
          <w:spacing w:val="281"/>
          <w:kern w:val="0"/>
          <w:sz w:val="28"/>
          <w:szCs w:val="28"/>
          <w:highlight w:val="none"/>
          <w:fitText w:val="2810" w:id="3"/>
        </w:rPr>
        <w:t>联系人</w:t>
      </w:r>
      <w:r>
        <w:rPr>
          <w:rFonts w:hint="eastAsia" w:ascii="宋体" w:hAnsi="宋体" w:eastAsia="宋体" w:cs="宋体"/>
          <w:b/>
          <w:caps/>
          <w:color w:val="auto"/>
          <w:spacing w:val="2"/>
          <w:kern w:val="0"/>
          <w:sz w:val="28"/>
          <w:szCs w:val="28"/>
          <w:highlight w:val="none"/>
          <w:fitText w:val="2810" w:id="3"/>
        </w:rPr>
        <w:t>：</w:t>
      </w:r>
    </w:p>
    <w:p w14:paraId="1B935E39">
      <w:pPr>
        <w:adjustRightInd w:val="0"/>
        <w:snapToGrid w:val="0"/>
        <w:spacing w:line="360" w:lineRule="auto"/>
        <w:ind w:right="-137" w:rightChars="-64"/>
        <w:rPr>
          <w:rFonts w:hint="eastAsia" w:ascii="宋体" w:hAnsi="宋体" w:eastAsia="宋体" w:cs="宋体"/>
          <w:b/>
          <w:caps/>
          <w:color w:val="auto"/>
          <w:sz w:val="28"/>
          <w:szCs w:val="28"/>
          <w:highlight w:val="none"/>
        </w:rPr>
      </w:pPr>
    </w:p>
    <w:p w14:paraId="47DA60F9">
      <w:pPr>
        <w:adjustRightInd w:val="0"/>
        <w:snapToGrid w:val="0"/>
        <w:spacing w:line="360" w:lineRule="auto"/>
        <w:ind w:right="-137" w:rightChars="-64"/>
        <w:rPr>
          <w:rFonts w:hint="eastAsia" w:ascii="宋体" w:hAnsi="宋体" w:eastAsia="宋体" w:cs="宋体"/>
          <w:b/>
          <w:caps/>
          <w:color w:val="auto"/>
          <w:sz w:val="28"/>
          <w:szCs w:val="28"/>
          <w:highlight w:val="none"/>
        </w:rPr>
      </w:pPr>
      <w:r>
        <w:rPr>
          <w:rFonts w:hint="eastAsia" w:ascii="宋体" w:hAnsi="宋体" w:eastAsia="宋体" w:cs="宋体"/>
          <w:b/>
          <w:caps/>
          <w:color w:val="auto"/>
          <w:spacing w:val="176"/>
          <w:kern w:val="0"/>
          <w:sz w:val="28"/>
          <w:szCs w:val="28"/>
          <w:highlight w:val="none"/>
          <w:fitText w:val="2810" w:id="4"/>
        </w:rPr>
        <w:t>联系电话</w:t>
      </w:r>
      <w:r>
        <w:rPr>
          <w:rFonts w:hint="eastAsia" w:ascii="宋体" w:hAnsi="宋体" w:eastAsia="宋体" w:cs="宋体"/>
          <w:b/>
          <w:caps/>
          <w:color w:val="auto"/>
          <w:spacing w:val="1"/>
          <w:kern w:val="0"/>
          <w:sz w:val="28"/>
          <w:szCs w:val="28"/>
          <w:highlight w:val="none"/>
          <w:fitText w:val="2810" w:id="4"/>
        </w:rPr>
        <w:t>：</w:t>
      </w:r>
    </w:p>
    <w:p w14:paraId="3043C6E5">
      <w:pPr>
        <w:adjustRightInd w:val="0"/>
        <w:snapToGrid w:val="0"/>
        <w:spacing w:line="360" w:lineRule="auto"/>
        <w:jc w:val="center"/>
        <w:rPr>
          <w:rFonts w:hint="eastAsia" w:ascii="宋体" w:hAnsi="宋体" w:eastAsia="宋体" w:cs="宋体"/>
          <w:b/>
          <w:caps/>
          <w:color w:val="auto"/>
          <w:sz w:val="28"/>
          <w:szCs w:val="28"/>
          <w:highlight w:val="none"/>
        </w:rPr>
      </w:pPr>
    </w:p>
    <w:p w14:paraId="390CEDD5">
      <w:pPr>
        <w:adjustRightInd w:val="0"/>
        <w:snapToGrid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u w:val="single"/>
          <w:lang w:val="en-US" w:eastAsia="zh-CN"/>
        </w:rPr>
        <w:t xml:space="preserve">      </w:t>
      </w:r>
      <w:r>
        <w:rPr>
          <w:rFonts w:hint="eastAsia" w:ascii="宋体" w:hAnsi="宋体" w:eastAsia="宋体" w:cs="宋体"/>
          <w:b/>
          <w:color w:val="auto"/>
          <w:sz w:val="28"/>
          <w:szCs w:val="28"/>
          <w:highlight w:val="none"/>
        </w:rPr>
        <w:t>年</w:t>
      </w:r>
      <w:r>
        <w:rPr>
          <w:rFonts w:hint="eastAsia" w:ascii="宋体" w:hAnsi="宋体" w:eastAsia="宋体" w:cs="宋体"/>
          <w:b/>
          <w:color w:val="auto"/>
          <w:sz w:val="28"/>
          <w:szCs w:val="28"/>
          <w:highlight w:val="none"/>
          <w:u w:val="single"/>
          <w:lang w:val="en-US" w:eastAsia="zh-CN"/>
        </w:rPr>
        <w:t xml:space="preserve">      </w:t>
      </w:r>
      <w:r>
        <w:rPr>
          <w:rFonts w:hint="eastAsia" w:ascii="宋体" w:hAnsi="宋体" w:eastAsia="宋体" w:cs="宋体"/>
          <w:b/>
          <w:color w:val="auto"/>
          <w:sz w:val="28"/>
          <w:szCs w:val="28"/>
          <w:highlight w:val="none"/>
        </w:rPr>
        <w:t>月</w:t>
      </w:r>
      <w:r>
        <w:rPr>
          <w:rFonts w:hint="eastAsia" w:ascii="宋体" w:hAnsi="宋体" w:eastAsia="宋体" w:cs="宋体"/>
          <w:b/>
          <w:color w:val="auto"/>
          <w:sz w:val="28"/>
          <w:szCs w:val="28"/>
          <w:highlight w:val="none"/>
          <w:u w:val="single"/>
          <w:lang w:val="en-US" w:eastAsia="zh-CN"/>
        </w:rPr>
        <w:t xml:space="preserve">      </w:t>
      </w:r>
      <w:r>
        <w:rPr>
          <w:rFonts w:hint="eastAsia" w:ascii="宋体" w:hAnsi="宋体" w:eastAsia="宋体" w:cs="宋体"/>
          <w:b/>
          <w:color w:val="auto"/>
          <w:sz w:val="28"/>
          <w:szCs w:val="28"/>
          <w:highlight w:val="none"/>
        </w:rPr>
        <w:t>日</w:t>
      </w:r>
    </w:p>
    <w:p w14:paraId="44F780F8">
      <w:pPr>
        <w:shd w:val="clear" w:color="auto" w:fill="auto"/>
        <w:spacing w:line="240" w:lineRule="atLeast"/>
        <w:ind w:left="752" w:leftChars="350" w:firstLine="122" w:firstLineChars="50"/>
        <w:rPr>
          <w:rFonts w:hint="eastAsia" w:ascii="仿宋" w:hAnsi="仿宋" w:eastAsia="仿宋" w:cs="仿宋"/>
          <w:color w:val="auto"/>
          <w:sz w:val="24"/>
          <w:highlight w:val="none"/>
        </w:rPr>
      </w:pPr>
    </w:p>
    <w:p w14:paraId="2F86462B">
      <w:pPr>
        <w:pStyle w:val="4"/>
        <w:rPr>
          <w:rFonts w:hint="eastAsia" w:ascii="仿宋" w:hAnsi="仿宋" w:eastAsia="仿宋" w:cs="仿宋"/>
          <w:color w:val="auto"/>
          <w:sz w:val="24"/>
          <w:highlight w:val="none"/>
        </w:rPr>
      </w:pPr>
    </w:p>
    <w:p w14:paraId="4E39640F">
      <w:pPr>
        <w:rPr>
          <w:rFonts w:hint="eastAsia" w:ascii="仿宋" w:hAnsi="仿宋" w:eastAsia="仿宋" w:cs="仿宋"/>
          <w:color w:val="auto"/>
          <w:sz w:val="24"/>
          <w:highlight w:val="none"/>
        </w:rPr>
      </w:pPr>
    </w:p>
    <w:p w14:paraId="7BFF44D2">
      <w:pPr>
        <w:pStyle w:val="3"/>
        <w:numPr>
          <w:ilvl w:val="0"/>
          <w:numId w:val="0"/>
        </w:numPr>
        <w:shd w:val="clear" w:color="auto" w:fill="auto"/>
        <w:spacing w:before="0" w:line="240" w:lineRule="atLeast"/>
        <w:rPr>
          <w:rFonts w:hint="eastAsia" w:ascii="宋体" w:hAnsi="宋体" w:eastAsia="宋体" w:cs="宋体"/>
          <w:b/>
          <w:bCs/>
          <w:color w:val="auto"/>
          <w:sz w:val="24"/>
          <w:highlight w:val="none"/>
        </w:rPr>
      </w:pPr>
      <w:bookmarkStart w:id="132" w:name="_Toc18694"/>
      <w:bookmarkStart w:id="133" w:name="_Toc8919"/>
      <w:bookmarkStart w:id="134" w:name="_Toc515647803"/>
      <w:bookmarkStart w:id="135" w:name="_Toc18974"/>
    </w:p>
    <w:p w14:paraId="744EA8F9">
      <w:pPr>
        <w:rPr>
          <w:rFonts w:hint="eastAsia"/>
          <w:color w:val="auto"/>
          <w:highlight w:val="none"/>
        </w:rPr>
      </w:pPr>
    </w:p>
    <w:p w14:paraId="440AD68B">
      <w:pPr>
        <w:pStyle w:val="3"/>
        <w:numPr>
          <w:ilvl w:val="0"/>
          <w:numId w:val="0"/>
        </w:numPr>
        <w:shd w:val="clear" w:color="auto" w:fill="auto"/>
        <w:spacing w:before="0" w:line="240" w:lineRule="atLeast"/>
        <w:rPr>
          <w:rFonts w:hint="eastAsia" w:ascii="宋体" w:hAnsi="宋体" w:eastAsia="宋体" w:cs="宋体"/>
          <w:color w:val="auto"/>
          <w:sz w:val="24"/>
          <w:highlight w:val="none"/>
        </w:rPr>
      </w:pPr>
      <w:bookmarkStart w:id="136" w:name="_Toc24414"/>
      <w:r>
        <w:rPr>
          <w:rFonts w:hint="eastAsia" w:ascii="宋体" w:hAnsi="宋体" w:eastAsia="宋体" w:cs="宋体"/>
          <w:b/>
          <w:bCs/>
          <w:color w:val="auto"/>
          <w:sz w:val="24"/>
          <w:highlight w:val="none"/>
        </w:rPr>
        <w:t>第一部分 资格证明文件</w:t>
      </w:r>
      <w:bookmarkEnd w:id="132"/>
      <w:bookmarkEnd w:id="133"/>
      <w:bookmarkEnd w:id="134"/>
      <w:bookmarkEnd w:id="135"/>
      <w:bookmarkEnd w:id="136"/>
    </w:p>
    <w:p w14:paraId="29E82068">
      <w:pPr>
        <w:shd w:val="clear" w:color="auto" w:fill="auto"/>
        <w:spacing w:line="240" w:lineRule="atLeast"/>
        <w:ind w:left="708" w:hanging="722" w:hangingChars="295"/>
        <w:jc w:val="left"/>
        <w:rPr>
          <w:rFonts w:hint="eastAsia" w:ascii="宋体" w:hAnsi="宋体" w:cs="宋体"/>
          <w:color w:val="auto"/>
          <w:sz w:val="24"/>
          <w:highlight w:val="none"/>
          <w:lang w:val="en-US" w:eastAsia="zh-CN"/>
        </w:rPr>
      </w:pPr>
    </w:p>
    <w:p w14:paraId="2D71CEDE">
      <w:pPr>
        <w:shd w:val="clear" w:color="auto" w:fill="auto"/>
        <w:spacing w:line="440" w:lineRule="exact"/>
        <w:ind w:firstLine="289"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1、法人或者非法人组织的营业执照等证明文件复印件（须加盖本单位章）或自然人的身份证明复印件;</w:t>
      </w:r>
    </w:p>
    <w:p w14:paraId="5DA2E17F">
      <w:pPr>
        <w:shd w:val="clear" w:color="auto" w:fill="auto"/>
        <w:spacing w:line="440" w:lineRule="exact"/>
        <w:ind w:firstLine="289"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2、法定代表人资格证明书</w:t>
      </w:r>
      <w:r>
        <w:rPr>
          <w:rFonts w:hint="eastAsia" w:ascii="宋体" w:hAnsi="宋体" w:cs="Times New Roman"/>
          <w:color w:val="auto"/>
          <w:szCs w:val="21"/>
          <w:highlight w:val="none"/>
          <w:lang w:val="en-US" w:eastAsia="zh-CN"/>
        </w:rPr>
        <w:t>；</w:t>
      </w:r>
    </w:p>
    <w:p w14:paraId="64B8AE99">
      <w:pPr>
        <w:shd w:val="clear" w:color="auto" w:fill="auto"/>
        <w:spacing w:line="440" w:lineRule="exact"/>
        <w:ind w:firstLine="289"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3、法定代表人授权书</w:t>
      </w:r>
      <w:r>
        <w:rPr>
          <w:rFonts w:hint="eastAsia" w:ascii="宋体" w:hAnsi="宋体" w:cs="Times New Roman"/>
          <w:color w:val="auto"/>
          <w:szCs w:val="21"/>
          <w:highlight w:val="none"/>
          <w:lang w:val="en-US" w:eastAsia="zh-CN"/>
        </w:rPr>
        <w:t>；</w:t>
      </w:r>
    </w:p>
    <w:p w14:paraId="368AB011">
      <w:pPr>
        <w:shd w:val="clear" w:color="auto" w:fill="auto"/>
        <w:spacing w:line="440" w:lineRule="exact"/>
        <w:ind w:firstLine="289"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4、</w:t>
      </w:r>
      <w:r>
        <w:rPr>
          <w:rFonts w:hint="eastAsia" w:ascii="宋体" w:hAnsi="宋体" w:cs="Times New Roman"/>
          <w:color w:val="auto"/>
          <w:szCs w:val="21"/>
          <w:highlight w:val="none"/>
          <w:lang w:val="en-US" w:eastAsia="zh-CN"/>
        </w:rPr>
        <w:t>投</w:t>
      </w:r>
      <w:r>
        <w:rPr>
          <w:rFonts w:hint="eastAsia" w:ascii="宋体" w:hAnsi="宋体" w:eastAsia="宋体" w:cs="Times New Roman"/>
          <w:color w:val="auto"/>
          <w:szCs w:val="21"/>
          <w:highlight w:val="none"/>
          <w:lang w:val="en-US" w:eastAsia="zh-CN"/>
        </w:rPr>
        <w:t>标保证金汇款凭证或保函等票据；</w:t>
      </w:r>
    </w:p>
    <w:p w14:paraId="25906562">
      <w:pPr>
        <w:shd w:val="clear" w:color="auto" w:fill="auto"/>
        <w:spacing w:line="440" w:lineRule="exact"/>
        <w:ind w:firstLine="289"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5、</w:t>
      </w:r>
      <w:r>
        <w:rPr>
          <w:rFonts w:hint="eastAsia" w:ascii="宋体" w:hAnsi="宋体" w:cs="Times New Roman"/>
          <w:color w:val="auto"/>
          <w:szCs w:val="21"/>
          <w:highlight w:val="none"/>
          <w:lang w:val="en-US" w:eastAsia="zh-CN"/>
        </w:rPr>
        <w:t>投标企业须提供投标人（被授权在职人员）近六个月内任意一个月社保证明；</w:t>
      </w:r>
    </w:p>
    <w:p w14:paraId="2A2CA012">
      <w:pPr>
        <w:shd w:val="clear" w:color="auto" w:fill="auto"/>
        <w:spacing w:line="440" w:lineRule="exact"/>
        <w:ind w:firstLine="289"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6、参加政府采购活动前3年内在经营活动中没有重大违法记录的书面声明;</w:t>
      </w:r>
    </w:p>
    <w:p w14:paraId="39D0BD8C">
      <w:pPr>
        <w:shd w:val="clear" w:color="auto" w:fill="auto"/>
        <w:spacing w:line="440" w:lineRule="exact"/>
        <w:ind w:firstLine="289"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7、</w:t>
      </w:r>
      <w:r>
        <w:rPr>
          <w:rFonts w:hint="eastAsia" w:ascii="宋体" w:hAnsi="宋体" w:cs="Times New Roman"/>
          <w:color w:val="auto"/>
          <w:szCs w:val="21"/>
          <w:highlight w:val="none"/>
          <w:lang w:val="en-US" w:eastAsia="zh-CN"/>
        </w:rPr>
        <w:t>参加政府采购活动前三年内，在经营活动中没有重大违法记录；未被“信用中国”（www.creditchina.gov.cn）及中国政府采购网 (www.ccgp.gov.cn）列入失信被执行人名单、重大税收违法失信主体、政府采购严重违法失信行为记录名单；</w:t>
      </w:r>
    </w:p>
    <w:p w14:paraId="080C47D9">
      <w:pPr>
        <w:shd w:val="clear" w:color="auto" w:fill="auto"/>
        <w:spacing w:line="440" w:lineRule="exact"/>
        <w:ind w:firstLine="289"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8、</w:t>
      </w:r>
      <w:r>
        <w:rPr>
          <w:rFonts w:hint="eastAsia" w:ascii="宋体" w:hAnsi="宋体" w:eastAsia="宋体" w:cs="Times New Roman"/>
          <w:color w:val="auto"/>
          <w:szCs w:val="21"/>
          <w:highlight w:val="none"/>
          <w:lang w:val="en-US" w:eastAsia="zh-CN"/>
        </w:rPr>
        <w:t>投标人须知资料表要求的其他资格证明文件</w:t>
      </w:r>
      <w:r>
        <w:rPr>
          <w:rFonts w:hint="eastAsia" w:ascii="宋体" w:hAnsi="宋体" w:cs="Times New Roman"/>
          <w:color w:val="auto"/>
          <w:szCs w:val="21"/>
          <w:highlight w:val="none"/>
          <w:lang w:val="en-US" w:eastAsia="zh-CN"/>
        </w:rPr>
        <w:t>。</w:t>
      </w:r>
    </w:p>
    <w:p w14:paraId="49111DF3">
      <w:pPr>
        <w:shd w:val="clear" w:color="auto" w:fill="auto"/>
        <w:tabs>
          <w:tab w:val="left" w:pos="5580"/>
        </w:tabs>
        <w:spacing w:line="240" w:lineRule="atLeast"/>
        <w:ind w:left="1" w:firstLine="575" w:firstLineChars="235"/>
        <w:rPr>
          <w:rFonts w:hint="eastAsia" w:ascii="宋体" w:hAnsi="宋体" w:eastAsia="宋体" w:cs="宋体"/>
          <w:color w:val="auto"/>
          <w:sz w:val="24"/>
          <w:highlight w:val="none"/>
        </w:rPr>
      </w:pPr>
    </w:p>
    <w:p w14:paraId="2C224482">
      <w:pPr>
        <w:shd w:val="clear" w:color="auto" w:fill="auto"/>
        <w:tabs>
          <w:tab w:val="left" w:pos="5580"/>
        </w:tabs>
        <w:spacing w:line="240" w:lineRule="atLeast"/>
        <w:ind w:left="1" w:firstLine="575" w:firstLineChars="235"/>
        <w:rPr>
          <w:rFonts w:hint="eastAsia" w:ascii="宋体" w:hAnsi="宋体" w:eastAsia="宋体" w:cs="宋体"/>
          <w:color w:val="auto"/>
          <w:sz w:val="24"/>
          <w:highlight w:val="none"/>
        </w:rPr>
      </w:pPr>
    </w:p>
    <w:p w14:paraId="6BBCAE69">
      <w:pPr>
        <w:shd w:val="clear" w:color="auto" w:fill="auto"/>
        <w:tabs>
          <w:tab w:val="left" w:pos="5580"/>
        </w:tabs>
        <w:spacing w:line="240" w:lineRule="atLeast"/>
        <w:ind w:left="1" w:firstLine="575" w:firstLineChars="235"/>
        <w:rPr>
          <w:rFonts w:hint="eastAsia" w:ascii="宋体" w:hAnsi="宋体" w:eastAsia="宋体" w:cs="宋体"/>
          <w:color w:val="auto"/>
          <w:sz w:val="24"/>
          <w:highlight w:val="none"/>
        </w:rPr>
      </w:pPr>
    </w:p>
    <w:p w14:paraId="35F9DF50">
      <w:pPr>
        <w:shd w:val="clear" w:color="auto" w:fill="auto"/>
        <w:tabs>
          <w:tab w:val="left" w:pos="5580"/>
        </w:tabs>
        <w:spacing w:line="240" w:lineRule="atLeast"/>
        <w:ind w:left="1" w:firstLine="575" w:firstLineChars="235"/>
        <w:rPr>
          <w:rFonts w:hint="eastAsia" w:ascii="宋体" w:hAnsi="宋体" w:eastAsia="宋体" w:cs="宋体"/>
          <w:color w:val="auto"/>
          <w:sz w:val="24"/>
          <w:highlight w:val="none"/>
        </w:rPr>
      </w:pPr>
    </w:p>
    <w:p w14:paraId="1A1F7EF5">
      <w:pPr>
        <w:shd w:val="clear" w:color="auto" w:fill="auto"/>
        <w:tabs>
          <w:tab w:val="left" w:pos="5580"/>
        </w:tabs>
        <w:spacing w:line="240" w:lineRule="atLeast"/>
        <w:ind w:left="1" w:firstLine="575" w:firstLineChars="235"/>
        <w:rPr>
          <w:rFonts w:hint="eastAsia" w:ascii="宋体" w:hAnsi="宋体" w:eastAsia="宋体" w:cs="宋体"/>
          <w:color w:val="auto"/>
          <w:sz w:val="24"/>
          <w:highlight w:val="none"/>
        </w:rPr>
      </w:pPr>
    </w:p>
    <w:p w14:paraId="7E2102F0">
      <w:pPr>
        <w:shd w:val="clear" w:color="auto" w:fill="auto"/>
        <w:tabs>
          <w:tab w:val="left" w:pos="5580"/>
        </w:tabs>
        <w:spacing w:line="240" w:lineRule="atLeast"/>
        <w:ind w:left="1" w:firstLine="575" w:firstLineChars="235"/>
        <w:rPr>
          <w:rFonts w:hint="eastAsia" w:ascii="宋体" w:hAnsi="宋体" w:eastAsia="宋体" w:cs="宋体"/>
          <w:color w:val="auto"/>
          <w:sz w:val="24"/>
          <w:highlight w:val="none"/>
        </w:rPr>
      </w:pPr>
    </w:p>
    <w:p w14:paraId="64BF9CA8">
      <w:pPr>
        <w:shd w:val="clear" w:color="auto" w:fill="auto"/>
        <w:tabs>
          <w:tab w:val="left" w:pos="5580"/>
        </w:tabs>
        <w:spacing w:line="240" w:lineRule="atLeast"/>
        <w:ind w:left="1" w:firstLine="575" w:firstLineChars="235"/>
        <w:rPr>
          <w:rFonts w:hint="eastAsia" w:ascii="宋体" w:hAnsi="宋体" w:eastAsia="宋体" w:cs="宋体"/>
          <w:color w:val="auto"/>
          <w:sz w:val="24"/>
          <w:highlight w:val="none"/>
        </w:rPr>
      </w:pPr>
    </w:p>
    <w:p w14:paraId="5C95D8F0">
      <w:pPr>
        <w:shd w:val="clear" w:color="auto" w:fill="auto"/>
        <w:tabs>
          <w:tab w:val="left" w:pos="5580"/>
        </w:tabs>
        <w:spacing w:line="240" w:lineRule="atLeast"/>
        <w:ind w:left="1" w:firstLine="575" w:firstLineChars="235"/>
        <w:rPr>
          <w:rFonts w:hint="eastAsia" w:ascii="宋体" w:hAnsi="宋体" w:eastAsia="宋体" w:cs="宋体"/>
          <w:color w:val="auto"/>
          <w:sz w:val="24"/>
          <w:highlight w:val="none"/>
        </w:rPr>
      </w:pPr>
    </w:p>
    <w:p w14:paraId="1105B7BD">
      <w:pPr>
        <w:shd w:val="clear" w:color="auto" w:fill="auto"/>
        <w:tabs>
          <w:tab w:val="left" w:pos="5580"/>
        </w:tabs>
        <w:spacing w:line="240" w:lineRule="atLeast"/>
        <w:ind w:left="1" w:firstLine="575" w:firstLineChars="235"/>
        <w:rPr>
          <w:rFonts w:hint="eastAsia" w:ascii="宋体" w:hAnsi="宋体" w:eastAsia="宋体" w:cs="宋体"/>
          <w:color w:val="auto"/>
          <w:sz w:val="24"/>
          <w:highlight w:val="none"/>
        </w:rPr>
      </w:pPr>
    </w:p>
    <w:p w14:paraId="42D49356">
      <w:pPr>
        <w:shd w:val="clear" w:color="auto" w:fill="auto"/>
        <w:tabs>
          <w:tab w:val="left" w:pos="5580"/>
        </w:tabs>
        <w:spacing w:line="240" w:lineRule="atLeast"/>
        <w:ind w:left="1" w:firstLine="575" w:firstLineChars="235"/>
        <w:rPr>
          <w:rFonts w:hint="eastAsia" w:ascii="宋体" w:hAnsi="宋体" w:eastAsia="宋体" w:cs="宋体"/>
          <w:color w:val="auto"/>
          <w:sz w:val="24"/>
          <w:highlight w:val="none"/>
        </w:rPr>
      </w:pPr>
    </w:p>
    <w:p w14:paraId="13876C92">
      <w:pPr>
        <w:shd w:val="clear" w:color="auto" w:fill="auto"/>
        <w:tabs>
          <w:tab w:val="left" w:pos="5580"/>
        </w:tabs>
        <w:spacing w:line="240" w:lineRule="atLeast"/>
        <w:ind w:left="1" w:firstLine="575" w:firstLineChars="235"/>
        <w:rPr>
          <w:rFonts w:hint="eastAsia" w:ascii="宋体" w:hAnsi="宋体" w:eastAsia="宋体" w:cs="宋体"/>
          <w:color w:val="auto"/>
          <w:sz w:val="24"/>
          <w:highlight w:val="none"/>
        </w:rPr>
      </w:pPr>
    </w:p>
    <w:p w14:paraId="6EC124C5">
      <w:pPr>
        <w:shd w:val="clear" w:color="auto" w:fill="auto"/>
        <w:tabs>
          <w:tab w:val="left" w:pos="5580"/>
        </w:tabs>
        <w:spacing w:line="240" w:lineRule="atLeast"/>
        <w:ind w:left="1" w:firstLine="575" w:firstLineChars="235"/>
        <w:rPr>
          <w:rFonts w:hint="eastAsia" w:ascii="宋体" w:hAnsi="宋体" w:eastAsia="宋体" w:cs="宋体"/>
          <w:color w:val="auto"/>
          <w:sz w:val="24"/>
          <w:highlight w:val="none"/>
        </w:rPr>
      </w:pPr>
    </w:p>
    <w:p w14:paraId="170EDBD6">
      <w:pPr>
        <w:shd w:val="clear" w:color="auto" w:fill="auto"/>
        <w:tabs>
          <w:tab w:val="left" w:pos="5580"/>
        </w:tabs>
        <w:spacing w:line="240" w:lineRule="atLeast"/>
        <w:ind w:left="1" w:firstLine="575" w:firstLineChars="235"/>
        <w:rPr>
          <w:rFonts w:hint="eastAsia" w:ascii="宋体" w:hAnsi="宋体" w:eastAsia="宋体" w:cs="宋体"/>
          <w:color w:val="auto"/>
          <w:sz w:val="24"/>
          <w:highlight w:val="none"/>
        </w:rPr>
      </w:pPr>
    </w:p>
    <w:p w14:paraId="08F48032">
      <w:pPr>
        <w:pStyle w:val="4"/>
        <w:rPr>
          <w:rFonts w:hint="eastAsia" w:ascii="宋体" w:hAnsi="宋体" w:eastAsia="宋体" w:cs="宋体"/>
          <w:color w:val="auto"/>
          <w:sz w:val="24"/>
          <w:highlight w:val="none"/>
        </w:rPr>
      </w:pPr>
    </w:p>
    <w:p w14:paraId="0E2E6F6B">
      <w:pPr>
        <w:rPr>
          <w:rFonts w:hint="eastAsia"/>
          <w:color w:val="auto"/>
          <w:highlight w:val="none"/>
        </w:rPr>
      </w:pPr>
    </w:p>
    <w:p w14:paraId="6E772B15">
      <w:pPr>
        <w:shd w:val="clear" w:color="auto" w:fill="auto"/>
        <w:tabs>
          <w:tab w:val="left" w:pos="5580"/>
        </w:tabs>
        <w:spacing w:line="240" w:lineRule="atLeast"/>
        <w:ind w:left="1" w:firstLine="575" w:firstLineChars="235"/>
        <w:rPr>
          <w:rFonts w:hint="eastAsia" w:ascii="宋体" w:hAnsi="宋体" w:eastAsia="宋体" w:cs="宋体"/>
          <w:color w:val="auto"/>
          <w:sz w:val="24"/>
          <w:highlight w:val="none"/>
        </w:rPr>
      </w:pPr>
    </w:p>
    <w:p w14:paraId="54A62926">
      <w:pPr>
        <w:pStyle w:val="6"/>
        <w:rPr>
          <w:rFonts w:hint="eastAsia"/>
          <w:color w:val="auto"/>
          <w:highlight w:val="none"/>
        </w:rPr>
      </w:pPr>
    </w:p>
    <w:p w14:paraId="66F3BE36">
      <w:pPr>
        <w:pStyle w:val="3"/>
        <w:pageBreakBefore w:val="0"/>
        <w:widowControl w:val="0"/>
        <w:numPr>
          <w:ilvl w:val="0"/>
          <w:numId w:val="0"/>
        </w:numPr>
        <w:shd w:val="clear" w:color="auto" w:fill="auto"/>
        <w:kinsoku/>
        <w:wordWrap/>
        <w:overflowPunct/>
        <w:topLinePunct w:val="0"/>
        <w:autoSpaceDE/>
        <w:autoSpaceDN/>
        <w:bidi w:val="0"/>
        <w:snapToGrid/>
        <w:spacing w:before="0" w:line="400" w:lineRule="exact"/>
        <w:jc w:val="center"/>
        <w:rPr>
          <w:rFonts w:hint="eastAsia" w:ascii="宋体" w:hAnsi="宋体" w:eastAsia="宋体" w:cs="宋体"/>
          <w:b/>
          <w:bCs/>
          <w:color w:val="auto"/>
          <w:sz w:val="24"/>
          <w:highlight w:val="none"/>
          <w:lang w:val="en-US" w:eastAsia="zh-CN"/>
        </w:rPr>
      </w:pPr>
      <w:bookmarkStart w:id="137" w:name="_Toc515647805"/>
      <w:bookmarkStart w:id="138" w:name="_Toc29899"/>
      <w:bookmarkStart w:id="139" w:name="_Toc17577"/>
      <w:bookmarkStart w:id="140" w:name="_Toc4844"/>
      <w:bookmarkStart w:id="141" w:name="_Toc216582813"/>
      <w:bookmarkStart w:id="142" w:name="_Toc520356217"/>
      <w:bookmarkStart w:id="143" w:name="_Toc480942349"/>
      <w:bookmarkStart w:id="144" w:name="_Ref467988698"/>
    </w:p>
    <w:p w14:paraId="1A76488E">
      <w:pPr>
        <w:rPr>
          <w:rFonts w:hint="eastAsia"/>
          <w:highlight w:val="none"/>
          <w:lang w:val="en-US" w:eastAsia="zh-CN"/>
        </w:rPr>
      </w:pPr>
    </w:p>
    <w:p w14:paraId="4674A6CB">
      <w:pPr>
        <w:rPr>
          <w:rFonts w:hint="eastAsia"/>
          <w:color w:val="auto"/>
          <w:highlight w:val="none"/>
          <w:lang w:val="en-US" w:eastAsia="zh-CN"/>
        </w:rPr>
      </w:pPr>
    </w:p>
    <w:p w14:paraId="7070E69F">
      <w:pPr>
        <w:pStyle w:val="3"/>
        <w:pageBreakBefore w:val="0"/>
        <w:widowControl w:val="0"/>
        <w:numPr>
          <w:ilvl w:val="0"/>
          <w:numId w:val="0"/>
        </w:numPr>
        <w:shd w:val="clear" w:color="auto" w:fill="auto"/>
        <w:kinsoku/>
        <w:wordWrap/>
        <w:overflowPunct/>
        <w:topLinePunct w:val="0"/>
        <w:autoSpaceDE/>
        <w:autoSpaceDN/>
        <w:bidi w:val="0"/>
        <w:snapToGrid/>
        <w:spacing w:before="0" w:line="400" w:lineRule="exact"/>
        <w:jc w:val="both"/>
        <w:rPr>
          <w:rFonts w:hint="eastAsia" w:ascii="宋体" w:hAnsi="宋体" w:eastAsia="宋体" w:cs="宋体"/>
          <w:b/>
          <w:bCs/>
          <w:color w:val="auto"/>
          <w:sz w:val="24"/>
          <w:highlight w:val="none"/>
          <w:lang w:val="en-US" w:eastAsia="zh-CN"/>
        </w:rPr>
      </w:pPr>
      <w:bookmarkStart w:id="145" w:name="_Toc19786"/>
    </w:p>
    <w:p w14:paraId="3979F68C">
      <w:pPr>
        <w:pStyle w:val="3"/>
        <w:pageBreakBefore w:val="0"/>
        <w:widowControl w:val="0"/>
        <w:numPr>
          <w:ilvl w:val="0"/>
          <w:numId w:val="0"/>
        </w:numPr>
        <w:shd w:val="clear" w:color="auto" w:fill="auto"/>
        <w:kinsoku/>
        <w:wordWrap/>
        <w:overflowPunct/>
        <w:topLinePunct w:val="0"/>
        <w:autoSpaceDE/>
        <w:autoSpaceDN/>
        <w:bidi w:val="0"/>
        <w:snapToGrid/>
        <w:spacing w:before="0" w:line="400" w:lineRule="exact"/>
        <w:jc w:val="both"/>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val="en-US" w:eastAsia="zh-CN"/>
        </w:rPr>
        <w:t>1、</w:t>
      </w:r>
      <w:r>
        <w:rPr>
          <w:rFonts w:hint="eastAsia" w:ascii="宋体" w:hAnsi="宋体" w:eastAsia="宋体" w:cs="宋体"/>
          <w:b/>
          <w:bCs/>
          <w:color w:val="auto"/>
          <w:sz w:val="24"/>
          <w:highlight w:val="none"/>
        </w:rPr>
        <w:t xml:space="preserve"> 法人或者非法人组织的营业执照等证明文件</w:t>
      </w:r>
      <w:bookmarkEnd w:id="137"/>
      <w:bookmarkStart w:id="146" w:name="_Toc515647806"/>
      <w:r>
        <w:rPr>
          <w:rFonts w:hint="eastAsia" w:ascii="宋体" w:hAnsi="宋体" w:eastAsia="宋体" w:cs="宋体"/>
          <w:b/>
          <w:bCs/>
          <w:color w:val="auto"/>
          <w:sz w:val="24"/>
          <w:highlight w:val="none"/>
        </w:rPr>
        <w:t>或自然人的身份证明</w:t>
      </w:r>
      <w:bookmarkEnd w:id="138"/>
      <w:bookmarkEnd w:id="139"/>
      <w:bookmarkEnd w:id="140"/>
      <w:bookmarkEnd w:id="145"/>
      <w:bookmarkEnd w:id="146"/>
    </w:p>
    <w:p w14:paraId="505F55CF">
      <w:pPr>
        <w:pStyle w:val="13"/>
        <w:pageBreakBefore w:val="0"/>
        <w:widowControl w:val="0"/>
        <w:shd w:val="clear" w:color="auto" w:fill="auto"/>
        <w:tabs>
          <w:tab w:val="left" w:pos="5580"/>
        </w:tabs>
        <w:kinsoku/>
        <w:wordWrap/>
        <w:overflowPunct/>
        <w:topLinePunct w:val="0"/>
        <w:autoSpaceDE/>
        <w:autoSpaceDN/>
        <w:bidi w:val="0"/>
        <w:snapToGrid/>
        <w:spacing w:line="400" w:lineRule="exact"/>
        <w:ind w:left="1092" w:leftChars="257" w:hanging="540"/>
        <w:jc w:val="both"/>
        <w:rPr>
          <w:rFonts w:hint="eastAsia" w:ascii="宋体" w:hAnsi="宋体" w:eastAsia="宋体" w:cs="宋体"/>
          <w:b/>
          <w:color w:val="auto"/>
          <w:sz w:val="24"/>
          <w:highlight w:val="none"/>
        </w:rPr>
      </w:pPr>
    </w:p>
    <w:p w14:paraId="2D0C1E44">
      <w:pPr>
        <w:pStyle w:val="13"/>
        <w:pageBreakBefore w:val="0"/>
        <w:widowControl w:val="0"/>
        <w:shd w:val="clear" w:color="auto" w:fill="auto"/>
        <w:tabs>
          <w:tab w:val="left" w:pos="5580"/>
        </w:tabs>
        <w:kinsoku/>
        <w:wordWrap/>
        <w:overflowPunct/>
        <w:topLinePunct w:val="0"/>
        <w:autoSpaceDE/>
        <w:autoSpaceDN/>
        <w:bidi w:val="0"/>
        <w:snapToGrid/>
        <w:spacing w:line="400" w:lineRule="exact"/>
        <w:ind w:left="1092" w:leftChars="257" w:hanging="540"/>
        <w:rPr>
          <w:rFonts w:hint="eastAsia" w:ascii="宋体" w:hAnsi="宋体" w:eastAsia="宋体" w:cs="宋体"/>
          <w:b/>
          <w:color w:val="auto"/>
          <w:sz w:val="24"/>
          <w:highlight w:val="none"/>
        </w:rPr>
      </w:pPr>
    </w:p>
    <w:p w14:paraId="5B082460">
      <w:pPr>
        <w:pStyle w:val="13"/>
        <w:pageBreakBefore w:val="0"/>
        <w:widowControl w:val="0"/>
        <w:shd w:val="clear" w:color="auto" w:fill="auto"/>
        <w:tabs>
          <w:tab w:val="left" w:pos="5580"/>
        </w:tabs>
        <w:kinsoku/>
        <w:wordWrap/>
        <w:overflowPunct/>
        <w:topLinePunct w:val="0"/>
        <w:autoSpaceDE/>
        <w:autoSpaceDN/>
        <w:bidi w:val="0"/>
        <w:snapToGrid/>
        <w:spacing w:line="400" w:lineRule="exact"/>
        <w:ind w:left="1092" w:leftChars="257" w:hanging="540"/>
        <w:rPr>
          <w:rFonts w:hint="eastAsia" w:ascii="宋体" w:hAnsi="宋体" w:eastAsia="宋体" w:cs="宋体"/>
          <w:b/>
          <w:color w:val="auto"/>
          <w:sz w:val="24"/>
          <w:highlight w:val="none"/>
        </w:rPr>
      </w:pPr>
    </w:p>
    <w:p w14:paraId="59F1A279">
      <w:pPr>
        <w:pStyle w:val="13"/>
        <w:pageBreakBefore w:val="0"/>
        <w:widowControl w:val="0"/>
        <w:shd w:val="clear" w:color="auto" w:fill="auto"/>
        <w:tabs>
          <w:tab w:val="left" w:pos="5580"/>
        </w:tabs>
        <w:kinsoku/>
        <w:wordWrap/>
        <w:overflowPunct/>
        <w:topLinePunct w:val="0"/>
        <w:autoSpaceDE/>
        <w:autoSpaceDN/>
        <w:bidi w:val="0"/>
        <w:snapToGrid/>
        <w:spacing w:line="400" w:lineRule="exact"/>
        <w:ind w:left="1092" w:leftChars="257" w:hanging="54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说明：1.提供有效的营业执照等证明文件复印件，复印件上应加盖本单位章。</w:t>
      </w:r>
    </w:p>
    <w:p w14:paraId="0BB9880C">
      <w:pPr>
        <w:pStyle w:val="13"/>
        <w:pageBreakBefore w:val="0"/>
        <w:widowControl w:val="0"/>
        <w:shd w:val="clear" w:color="auto" w:fill="auto"/>
        <w:tabs>
          <w:tab w:val="left" w:pos="5580"/>
        </w:tabs>
        <w:kinsoku/>
        <w:wordWrap/>
        <w:overflowPunct/>
        <w:topLinePunct w:val="0"/>
        <w:autoSpaceDE/>
        <w:autoSpaceDN/>
        <w:bidi w:val="0"/>
        <w:snapToGrid/>
        <w:spacing w:line="400" w:lineRule="exact"/>
        <w:ind w:left="1092" w:leftChars="257" w:hanging="54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 投标人为自然人的，应提供身份证明的复印件。</w:t>
      </w:r>
    </w:p>
    <w:p w14:paraId="4B8A13FF">
      <w:pPr>
        <w:pStyle w:val="13"/>
        <w:pageBreakBefore w:val="0"/>
        <w:widowControl w:val="0"/>
        <w:shd w:val="clear" w:color="auto" w:fill="auto"/>
        <w:tabs>
          <w:tab w:val="left" w:pos="5580"/>
        </w:tabs>
        <w:kinsoku/>
        <w:wordWrap/>
        <w:overflowPunct/>
        <w:topLinePunct w:val="0"/>
        <w:autoSpaceDE/>
        <w:autoSpaceDN/>
        <w:bidi w:val="0"/>
        <w:snapToGrid/>
        <w:spacing w:line="400" w:lineRule="exact"/>
        <w:ind w:left="1092" w:leftChars="257" w:hanging="54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22DD569E">
      <w:pPr>
        <w:pStyle w:val="13"/>
        <w:pageBreakBefore w:val="0"/>
        <w:widowControl w:val="0"/>
        <w:shd w:val="clear" w:color="auto" w:fill="auto"/>
        <w:tabs>
          <w:tab w:val="left" w:pos="5580"/>
        </w:tabs>
        <w:kinsoku/>
        <w:wordWrap/>
        <w:overflowPunct/>
        <w:topLinePunct w:val="0"/>
        <w:autoSpaceDE/>
        <w:autoSpaceDN/>
        <w:bidi w:val="0"/>
        <w:snapToGrid/>
        <w:spacing w:line="400" w:lineRule="exact"/>
        <w:ind w:left="1092" w:leftChars="257" w:hanging="540"/>
        <w:rPr>
          <w:rFonts w:hint="eastAsia" w:ascii="宋体" w:hAnsi="宋体" w:eastAsia="宋体" w:cs="宋体"/>
          <w:color w:val="auto"/>
          <w:sz w:val="24"/>
          <w:highlight w:val="none"/>
        </w:rPr>
      </w:pPr>
    </w:p>
    <w:p w14:paraId="45CD4EF7">
      <w:pPr>
        <w:pStyle w:val="13"/>
        <w:pageBreakBefore w:val="0"/>
        <w:widowControl w:val="0"/>
        <w:shd w:val="clear" w:color="auto" w:fill="auto"/>
        <w:tabs>
          <w:tab w:val="left" w:pos="5580"/>
        </w:tabs>
        <w:kinsoku/>
        <w:wordWrap/>
        <w:overflowPunct/>
        <w:topLinePunct w:val="0"/>
        <w:autoSpaceDE/>
        <w:autoSpaceDN/>
        <w:bidi w:val="0"/>
        <w:snapToGrid/>
        <w:spacing w:line="400" w:lineRule="exact"/>
        <w:rPr>
          <w:rFonts w:hint="eastAsia" w:ascii="宋体" w:hAnsi="宋体" w:eastAsia="宋体" w:cs="宋体"/>
          <w:color w:val="auto"/>
          <w:sz w:val="24"/>
          <w:highlight w:val="none"/>
        </w:rPr>
      </w:pPr>
    </w:p>
    <w:p w14:paraId="70575501">
      <w:pPr>
        <w:pStyle w:val="13"/>
        <w:pageBreakBefore w:val="0"/>
        <w:widowControl w:val="0"/>
        <w:shd w:val="clear" w:color="auto" w:fill="auto"/>
        <w:tabs>
          <w:tab w:val="left" w:pos="5580"/>
        </w:tabs>
        <w:kinsoku/>
        <w:wordWrap/>
        <w:overflowPunct/>
        <w:topLinePunct w:val="0"/>
        <w:autoSpaceDE/>
        <w:autoSpaceDN/>
        <w:bidi w:val="0"/>
        <w:snapToGrid/>
        <w:spacing w:line="400" w:lineRule="exact"/>
        <w:rPr>
          <w:rFonts w:hint="eastAsia" w:ascii="宋体" w:hAnsi="宋体" w:eastAsia="宋体" w:cs="宋体"/>
          <w:color w:val="auto"/>
          <w:sz w:val="24"/>
          <w:highlight w:val="none"/>
        </w:rPr>
      </w:pPr>
    </w:p>
    <w:p w14:paraId="4F311853">
      <w:pPr>
        <w:pStyle w:val="13"/>
        <w:shd w:val="clear" w:color="auto" w:fill="auto"/>
        <w:tabs>
          <w:tab w:val="left" w:pos="5580"/>
        </w:tabs>
        <w:spacing w:line="240" w:lineRule="atLeast"/>
        <w:rPr>
          <w:rFonts w:hint="eastAsia" w:ascii="宋体" w:hAnsi="宋体" w:eastAsia="宋体" w:cs="宋体"/>
          <w:color w:val="auto"/>
          <w:sz w:val="24"/>
          <w:highlight w:val="none"/>
        </w:rPr>
      </w:pPr>
    </w:p>
    <w:p w14:paraId="12D5CDF2">
      <w:pPr>
        <w:pStyle w:val="13"/>
        <w:shd w:val="clear" w:color="auto" w:fill="auto"/>
        <w:tabs>
          <w:tab w:val="left" w:pos="5580"/>
        </w:tabs>
        <w:spacing w:line="240" w:lineRule="atLeast"/>
        <w:rPr>
          <w:rFonts w:hint="eastAsia" w:ascii="宋体" w:hAnsi="宋体" w:eastAsia="宋体" w:cs="宋体"/>
          <w:color w:val="auto"/>
          <w:sz w:val="24"/>
          <w:highlight w:val="none"/>
        </w:rPr>
      </w:pPr>
    </w:p>
    <w:p w14:paraId="552F3FB8">
      <w:pPr>
        <w:pStyle w:val="13"/>
        <w:shd w:val="clear" w:color="auto" w:fill="auto"/>
        <w:tabs>
          <w:tab w:val="left" w:pos="5580"/>
        </w:tabs>
        <w:spacing w:line="240" w:lineRule="atLeast"/>
        <w:rPr>
          <w:rFonts w:hint="eastAsia" w:ascii="宋体" w:hAnsi="宋体" w:eastAsia="宋体" w:cs="宋体"/>
          <w:color w:val="auto"/>
          <w:sz w:val="24"/>
          <w:highlight w:val="none"/>
        </w:rPr>
      </w:pPr>
    </w:p>
    <w:p w14:paraId="7F4FA293">
      <w:pPr>
        <w:pStyle w:val="13"/>
        <w:shd w:val="clear" w:color="auto" w:fill="auto"/>
        <w:tabs>
          <w:tab w:val="left" w:pos="5580"/>
        </w:tabs>
        <w:spacing w:line="240" w:lineRule="atLeast"/>
        <w:rPr>
          <w:rFonts w:hint="eastAsia" w:ascii="宋体" w:hAnsi="宋体" w:eastAsia="宋体" w:cs="宋体"/>
          <w:color w:val="auto"/>
          <w:sz w:val="24"/>
          <w:highlight w:val="none"/>
        </w:rPr>
      </w:pPr>
    </w:p>
    <w:p w14:paraId="0F57C146">
      <w:pPr>
        <w:pStyle w:val="13"/>
        <w:shd w:val="clear" w:color="auto" w:fill="auto"/>
        <w:tabs>
          <w:tab w:val="left" w:pos="5580"/>
        </w:tabs>
        <w:spacing w:line="240" w:lineRule="atLeast"/>
        <w:rPr>
          <w:rFonts w:hint="eastAsia" w:ascii="宋体" w:hAnsi="宋体" w:eastAsia="宋体" w:cs="宋体"/>
          <w:color w:val="auto"/>
          <w:sz w:val="24"/>
          <w:highlight w:val="none"/>
        </w:rPr>
      </w:pPr>
    </w:p>
    <w:p w14:paraId="0D6AAE85">
      <w:pPr>
        <w:pStyle w:val="13"/>
        <w:shd w:val="clear" w:color="auto" w:fill="auto"/>
        <w:tabs>
          <w:tab w:val="left" w:pos="5580"/>
        </w:tabs>
        <w:spacing w:line="240" w:lineRule="atLeast"/>
        <w:rPr>
          <w:rFonts w:hint="eastAsia" w:ascii="宋体" w:hAnsi="宋体" w:eastAsia="宋体" w:cs="宋体"/>
          <w:color w:val="auto"/>
          <w:sz w:val="24"/>
          <w:highlight w:val="none"/>
        </w:rPr>
      </w:pPr>
    </w:p>
    <w:p w14:paraId="57898E4B">
      <w:pPr>
        <w:pStyle w:val="13"/>
        <w:shd w:val="clear" w:color="auto" w:fill="auto"/>
        <w:tabs>
          <w:tab w:val="left" w:pos="5580"/>
        </w:tabs>
        <w:spacing w:line="240" w:lineRule="atLeast"/>
        <w:ind w:left="1092" w:leftChars="257" w:hanging="540"/>
        <w:jc w:val="center"/>
        <w:rPr>
          <w:rFonts w:hint="eastAsia" w:ascii="宋体" w:hAnsi="宋体" w:eastAsia="宋体" w:cs="宋体"/>
          <w:color w:val="auto"/>
          <w:sz w:val="24"/>
          <w:highlight w:val="none"/>
        </w:rPr>
      </w:pPr>
      <w:bookmarkStart w:id="147" w:name="_Toc32520"/>
      <w:bookmarkStart w:id="148" w:name="_Toc515647808"/>
      <w:bookmarkStart w:id="149" w:name="_Toc7039"/>
    </w:p>
    <w:p w14:paraId="15401080">
      <w:pPr>
        <w:pStyle w:val="3"/>
        <w:numPr>
          <w:ilvl w:val="0"/>
          <w:numId w:val="0"/>
        </w:numPr>
        <w:shd w:val="clear" w:color="auto" w:fill="auto"/>
        <w:spacing w:before="0" w:line="240" w:lineRule="atLeast"/>
        <w:ind w:leftChars="257"/>
        <w:rPr>
          <w:rFonts w:hint="eastAsia" w:ascii="宋体" w:hAnsi="宋体" w:eastAsia="宋体" w:cs="宋体"/>
          <w:color w:val="auto"/>
          <w:sz w:val="24"/>
          <w:highlight w:val="none"/>
        </w:rPr>
      </w:pPr>
      <w:bookmarkStart w:id="150" w:name="_Toc23503"/>
      <w:bookmarkStart w:id="151" w:name="_Toc1083"/>
      <w:bookmarkStart w:id="152" w:name="_Toc22472"/>
      <w:bookmarkStart w:id="153" w:name="_Toc515647807"/>
    </w:p>
    <w:p w14:paraId="47BE8674">
      <w:pPr>
        <w:shd w:val="clear" w:color="auto" w:fill="auto"/>
        <w:rPr>
          <w:rFonts w:hint="eastAsia" w:ascii="宋体" w:hAnsi="宋体" w:eastAsia="宋体" w:cs="宋体"/>
          <w:color w:val="auto"/>
          <w:sz w:val="24"/>
          <w:highlight w:val="none"/>
        </w:rPr>
      </w:pPr>
    </w:p>
    <w:p w14:paraId="1393D96E">
      <w:pPr>
        <w:pStyle w:val="53"/>
        <w:shd w:val="clear" w:color="auto" w:fill="auto"/>
        <w:rPr>
          <w:rFonts w:hint="eastAsia" w:ascii="宋体" w:hAnsi="宋体" w:eastAsia="宋体" w:cs="宋体"/>
          <w:color w:val="auto"/>
          <w:sz w:val="24"/>
          <w:highlight w:val="none"/>
        </w:rPr>
      </w:pPr>
    </w:p>
    <w:p w14:paraId="5E967950">
      <w:pPr>
        <w:pStyle w:val="53"/>
        <w:shd w:val="clear" w:color="auto" w:fill="auto"/>
        <w:rPr>
          <w:rFonts w:hint="eastAsia" w:ascii="宋体" w:hAnsi="宋体" w:eastAsia="宋体" w:cs="宋体"/>
          <w:color w:val="auto"/>
          <w:sz w:val="24"/>
          <w:highlight w:val="none"/>
        </w:rPr>
      </w:pPr>
    </w:p>
    <w:p w14:paraId="32BD812B">
      <w:pPr>
        <w:pStyle w:val="53"/>
        <w:shd w:val="clear" w:color="auto" w:fill="auto"/>
        <w:rPr>
          <w:rFonts w:hint="eastAsia" w:ascii="宋体" w:hAnsi="宋体" w:eastAsia="宋体" w:cs="宋体"/>
          <w:color w:val="auto"/>
          <w:sz w:val="24"/>
          <w:highlight w:val="none"/>
        </w:rPr>
      </w:pPr>
    </w:p>
    <w:p w14:paraId="1253AA2E">
      <w:pPr>
        <w:pStyle w:val="53"/>
        <w:shd w:val="clear" w:color="auto" w:fill="auto"/>
        <w:rPr>
          <w:rFonts w:hint="eastAsia" w:ascii="宋体" w:hAnsi="宋体" w:eastAsia="宋体" w:cs="宋体"/>
          <w:color w:val="auto"/>
          <w:sz w:val="24"/>
          <w:highlight w:val="none"/>
        </w:rPr>
      </w:pPr>
    </w:p>
    <w:p w14:paraId="789D1F38">
      <w:pPr>
        <w:pStyle w:val="53"/>
        <w:shd w:val="clear" w:color="auto" w:fill="auto"/>
        <w:rPr>
          <w:rFonts w:hint="eastAsia" w:ascii="宋体" w:hAnsi="宋体" w:eastAsia="宋体" w:cs="宋体"/>
          <w:color w:val="auto"/>
          <w:sz w:val="24"/>
          <w:highlight w:val="none"/>
        </w:rPr>
      </w:pPr>
    </w:p>
    <w:p w14:paraId="0D01EDF4">
      <w:pPr>
        <w:pStyle w:val="53"/>
        <w:shd w:val="clear" w:color="auto" w:fill="auto"/>
        <w:rPr>
          <w:rFonts w:hint="eastAsia" w:ascii="宋体" w:hAnsi="宋体" w:eastAsia="宋体" w:cs="宋体"/>
          <w:color w:val="auto"/>
          <w:sz w:val="24"/>
          <w:highlight w:val="none"/>
        </w:rPr>
      </w:pPr>
    </w:p>
    <w:p w14:paraId="3E4FAD2E">
      <w:pPr>
        <w:pStyle w:val="53"/>
        <w:shd w:val="clear" w:color="auto" w:fill="auto"/>
        <w:rPr>
          <w:rFonts w:hint="eastAsia" w:ascii="宋体" w:hAnsi="宋体" w:eastAsia="宋体" w:cs="宋体"/>
          <w:color w:val="auto"/>
          <w:sz w:val="24"/>
          <w:highlight w:val="none"/>
        </w:rPr>
      </w:pPr>
    </w:p>
    <w:p w14:paraId="4C2B37E5">
      <w:pPr>
        <w:pStyle w:val="53"/>
        <w:shd w:val="clear" w:color="auto" w:fill="auto"/>
        <w:rPr>
          <w:rFonts w:hint="eastAsia" w:ascii="宋体" w:hAnsi="宋体" w:eastAsia="宋体" w:cs="宋体"/>
          <w:color w:val="auto"/>
          <w:sz w:val="24"/>
          <w:highlight w:val="none"/>
        </w:rPr>
      </w:pPr>
    </w:p>
    <w:p w14:paraId="79DE361F">
      <w:pPr>
        <w:pStyle w:val="53"/>
        <w:shd w:val="clear" w:color="auto" w:fill="auto"/>
        <w:rPr>
          <w:rFonts w:hint="eastAsia" w:ascii="宋体" w:hAnsi="宋体" w:eastAsia="宋体" w:cs="宋体"/>
          <w:color w:val="auto"/>
          <w:sz w:val="24"/>
          <w:highlight w:val="none"/>
        </w:rPr>
      </w:pPr>
    </w:p>
    <w:p w14:paraId="37C49BC1">
      <w:pPr>
        <w:pStyle w:val="53"/>
        <w:shd w:val="clear" w:color="auto" w:fill="auto"/>
        <w:rPr>
          <w:rFonts w:hint="eastAsia" w:ascii="宋体" w:hAnsi="宋体" w:eastAsia="宋体" w:cs="宋体"/>
          <w:color w:val="auto"/>
          <w:sz w:val="24"/>
          <w:highlight w:val="none"/>
        </w:rPr>
      </w:pPr>
    </w:p>
    <w:p w14:paraId="3B99B891">
      <w:pPr>
        <w:pStyle w:val="53"/>
        <w:shd w:val="clear" w:color="auto" w:fill="auto"/>
        <w:rPr>
          <w:rFonts w:hint="eastAsia" w:ascii="宋体" w:hAnsi="宋体" w:eastAsia="宋体" w:cs="宋体"/>
          <w:color w:val="auto"/>
          <w:sz w:val="24"/>
          <w:highlight w:val="none"/>
        </w:rPr>
      </w:pPr>
    </w:p>
    <w:p w14:paraId="44E904CB">
      <w:pPr>
        <w:pStyle w:val="53"/>
        <w:shd w:val="clear" w:color="auto" w:fill="auto"/>
        <w:rPr>
          <w:rFonts w:hint="eastAsia" w:ascii="宋体" w:hAnsi="宋体" w:eastAsia="宋体" w:cs="宋体"/>
          <w:color w:val="auto"/>
          <w:sz w:val="24"/>
          <w:highlight w:val="none"/>
        </w:rPr>
      </w:pPr>
    </w:p>
    <w:p w14:paraId="35B42450">
      <w:pPr>
        <w:pStyle w:val="53"/>
        <w:shd w:val="clear" w:color="auto" w:fill="auto"/>
        <w:rPr>
          <w:rFonts w:hint="eastAsia" w:ascii="宋体" w:hAnsi="宋体" w:eastAsia="宋体" w:cs="宋体"/>
          <w:color w:val="auto"/>
          <w:sz w:val="24"/>
          <w:highlight w:val="none"/>
        </w:rPr>
      </w:pPr>
    </w:p>
    <w:p w14:paraId="531EA195">
      <w:pPr>
        <w:pStyle w:val="53"/>
        <w:shd w:val="clear" w:color="auto" w:fill="auto"/>
        <w:rPr>
          <w:rFonts w:hint="eastAsia" w:ascii="宋体" w:hAnsi="宋体" w:eastAsia="宋体" w:cs="宋体"/>
          <w:color w:val="auto"/>
          <w:sz w:val="24"/>
          <w:highlight w:val="none"/>
        </w:rPr>
      </w:pPr>
    </w:p>
    <w:p w14:paraId="72A0D500">
      <w:pPr>
        <w:pStyle w:val="53"/>
        <w:shd w:val="clear" w:color="auto" w:fill="auto"/>
        <w:rPr>
          <w:rFonts w:hint="eastAsia" w:ascii="宋体" w:hAnsi="宋体" w:eastAsia="宋体" w:cs="宋体"/>
          <w:color w:val="auto"/>
          <w:sz w:val="24"/>
          <w:highlight w:val="none"/>
        </w:rPr>
      </w:pPr>
    </w:p>
    <w:p w14:paraId="22A0353D">
      <w:pPr>
        <w:pStyle w:val="53"/>
        <w:shd w:val="clear" w:color="auto" w:fill="auto"/>
        <w:rPr>
          <w:rFonts w:hint="eastAsia" w:ascii="宋体" w:hAnsi="宋体" w:eastAsia="宋体" w:cs="宋体"/>
          <w:color w:val="auto"/>
          <w:sz w:val="24"/>
          <w:highlight w:val="none"/>
        </w:rPr>
      </w:pPr>
    </w:p>
    <w:p w14:paraId="71835167">
      <w:pPr>
        <w:pStyle w:val="53"/>
        <w:shd w:val="clear" w:color="auto" w:fill="auto"/>
        <w:rPr>
          <w:rFonts w:hint="eastAsia" w:ascii="宋体" w:hAnsi="宋体" w:eastAsia="宋体" w:cs="宋体"/>
          <w:color w:val="auto"/>
          <w:sz w:val="24"/>
          <w:highlight w:val="none"/>
        </w:rPr>
      </w:pPr>
    </w:p>
    <w:p w14:paraId="3C571310">
      <w:pPr>
        <w:pStyle w:val="3"/>
        <w:numPr>
          <w:ilvl w:val="0"/>
          <w:numId w:val="0"/>
        </w:numPr>
        <w:shd w:val="clear" w:color="auto" w:fill="auto"/>
        <w:spacing w:before="0" w:line="240" w:lineRule="atLeast"/>
        <w:jc w:val="center"/>
        <w:rPr>
          <w:rFonts w:hint="eastAsia" w:ascii="宋体" w:hAnsi="宋体" w:eastAsia="宋体" w:cs="宋体"/>
          <w:b w:val="0"/>
          <w:color w:val="auto"/>
          <w:sz w:val="24"/>
          <w:highlight w:val="none"/>
          <w:u w:val="single"/>
        </w:rPr>
      </w:pPr>
      <w:bookmarkStart w:id="154" w:name="_Toc17900"/>
      <w:bookmarkStart w:id="155" w:name="_Toc30244"/>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 xml:space="preserve"> </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法定代表人资格证明书</w:t>
      </w:r>
      <w:bookmarkEnd w:id="154"/>
    </w:p>
    <w:p w14:paraId="7A28D21C">
      <w:pPr>
        <w:spacing w:line="420" w:lineRule="exact"/>
        <w:ind w:firstLine="490" w:firstLineChars="200"/>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投标单位名称：</w:t>
      </w:r>
      <w:r>
        <w:rPr>
          <w:rFonts w:hint="eastAsia" w:ascii="宋体" w:hAnsi="宋体" w:eastAsia="宋体" w:cs="宋体"/>
          <w:color w:val="auto"/>
          <w:kern w:val="0"/>
          <w:sz w:val="24"/>
          <w:highlight w:val="none"/>
          <w:u w:val="single"/>
        </w:rPr>
        <w:t xml:space="preserve">                       </w:t>
      </w:r>
    </w:p>
    <w:p w14:paraId="534CDF6F">
      <w:pPr>
        <w:spacing w:line="420" w:lineRule="exact"/>
        <w:ind w:firstLine="490" w:firstLineChars="200"/>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单位性质：</w:t>
      </w:r>
      <w:r>
        <w:rPr>
          <w:rFonts w:hint="eastAsia" w:ascii="宋体" w:hAnsi="宋体" w:eastAsia="宋体" w:cs="宋体"/>
          <w:color w:val="auto"/>
          <w:kern w:val="0"/>
          <w:sz w:val="24"/>
          <w:highlight w:val="none"/>
          <w:u w:val="single"/>
        </w:rPr>
        <w:t xml:space="preserve">                           </w:t>
      </w:r>
    </w:p>
    <w:p w14:paraId="6EA567C7">
      <w:pPr>
        <w:spacing w:line="420" w:lineRule="exact"/>
        <w:ind w:firstLine="490" w:firstLineChars="200"/>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地址：</w:t>
      </w:r>
      <w:r>
        <w:rPr>
          <w:rFonts w:hint="eastAsia" w:ascii="宋体" w:hAnsi="宋体" w:eastAsia="宋体" w:cs="宋体"/>
          <w:color w:val="auto"/>
          <w:kern w:val="0"/>
          <w:sz w:val="24"/>
          <w:highlight w:val="none"/>
          <w:u w:val="single"/>
        </w:rPr>
        <w:t xml:space="preserve">                               </w:t>
      </w:r>
    </w:p>
    <w:p w14:paraId="07BB5EB9">
      <w:pPr>
        <w:spacing w:line="420" w:lineRule="exact"/>
        <w:ind w:firstLine="49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成立时间：</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年</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月</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日</w:t>
      </w:r>
    </w:p>
    <w:p w14:paraId="2254B797">
      <w:pPr>
        <w:spacing w:line="420" w:lineRule="exact"/>
        <w:ind w:firstLine="490" w:firstLineChars="200"/>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经营期限：</w:t>
      </w:r>
      <w:r>
        <w:rPr>
          <w:rFonts w:hint="eastAsia" w:ascii="宋体" w:hAnsi="宋体" w:eastAsia="宋体" w:cs="宋体"/>
          <w:color w:val="auto"/>
          <w:kern w:val="0"/>
          <w:sz w:val="24"/>
          <w:highlight w:val="none"/>
          <w:u w:val="single"/>
        </w:rPr>
        <w:t xml:space="preserve">             </w:t>
      </w:r>
    </w:p>
    <w:p w14:paraId="62E5C6DB">
      <w:pPr>
        <w:spacing w:line="420" w:lineRule="exact"/>
        <w:ind w:firstLine="490" w:firstLineChars="200"/>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姓名：</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 xml:space="preserve"> 性别：</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 xml:space="preserve"> 年龄：</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 xml:space="preserve"> 职务：</w:t>
      </w:r>
      <w:r>
        <w:rPr>
          <w:rFonts w:hint="eastAsia" w:ascii="宋体" w:hAnsi="宋体" w:eastAsia="宋体" w:cs="宋体"/>
          <w:color w:val="auto"/>
          <w:kern w:val="0"/>
          <w:sz w:val="24"/>
          <w:highlight w:val="none"/>
          <w:u w:val="single"/>
        </w:rPr>
        <w:t xml:space="preserve">           </w:t>
      </w:r>
    </w:p>
    <w:p w14:paraId="5D692F34">
      <w:pPr>
        <w:spacing w:line="420" w:lineRule="exact"/>
        <w:ind w:firstLine="490" w:firstLineChars="200"/>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身份证号码：</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u w:val="single"/>
          <w:lang w:val="en-US" w:eastAsia="zh-CN"/>
        </w:rPr>
        <w:t xml:space="preserve">                   </w:t>
      </w:r>
      <w:r>
        <w:rPr>
          <w:rFonts w:hint="eastAsia" w:ascii="宋体" w:hAnsi="宋体" w:eastAsia="宋体" w:cs="宋体"/>
          <w:color w:val="auto"/>
          <w:kern w:val="0"/>
          <w:sz w:val="24"/>
          <w:highlight w:val="none"/>
          <w:u w:val="single"/>
        </w:rPr>
        <w:t xml:space="preserve">     </w:t>
      </w:r>
    </w:p>
    <w:p w14:paraId="1DB803B9">
      <w:pPr>
        <w:spacing w:line="420" w:lineRule="exact"/>
        <w:ind w:firstLine="49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系</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（投标单位名称）的法定代表人。</w:t>
      </w:r>
    </w:p>
    <w:p w14:paraId="5631F8CF">
      <w:pPr>
        <w:spacing w:line="420" w:lineRule="exact"/>
        <w:ind w:firstLine="980" w:firstLineChars="4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特此证明。</w:t>
      </w:r>
    </w:p>
    <w:p w14:paraId="5A4F7930">
      <w:pPr>
        <w:pStyle w:val="10"/>
        <w:numPr>
          <w:ilvl w:val="0"/>
          <w:numId w:val="0"/>
        </w:numPr>
        <w:kinsoku w:val="0"/>
        <w:overflowPunct w:val="0"/>
        <w:ind w:leftChars="0" w:right="0" w:rightChars="0"/>
        <w:rPr>
          <w:rFonts w:hint="eastAsia" w:ascii="宋体" w:hAnsi="宋体" w:eastAsia="宋体" w:cs="宋体"/>
          <w:color w:val="auto"/>
          <w:sz w:val="20"/>
          <w:szCs w:val="20"/>
          <w:highlight w:val="none"/>
        </w:rPr>
      </w:pPr>
    </w:p>
    <w:p w14:paraId="5B9BC8FE">
      <w:pPr>
        <w:pStyle w:val="10"/>
        <w:numPr>
          <w:ilvl w:val="0"/>
          <w:numId w:val="0"/>
        </w:numPr>
        <w:kinsoku w:val="0"/>
        <w:overflowPunct w:val="0"/>
        <w:spacing w:before="7"/>
        <w:ind w:leftChars="0" w:right="0" w:rightChars="0"/>
        <w:rPr>
          <w:rFonts w:hint="eastAsia" w:ascii="宋体" w:hAnsi="宋体" w:eastAsia="宋体" w:cs="宋体"/>
          <w:color w:val="auto"/>
          <w:sz w:val="25"/>
          <w:szCs w:val="25"/>
          <w:highlight w:val="none"/>
        </w:rPr>
      </w:pPr>
    </w:p>
    <w:p w14:paraId="28891AAB">
      <w:pPr>
        <w:pStyle w:val="10"/>
        <w:numPr>
          <w:ilvl w:val="0"/>
          <w:numId w:val="0"/>
        </w:numPr>
        <w:kinsoku w:val="0"/>
        <w:overflowPunct w:val="0"/>
        <w:spacing w:line="200" w:lineRule="atLeast"/>
        <w:ind w:right="0" w:rightChars="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mc:AlternateContent>
          <mc:Choice Requires="wpg">
            <w:drawing>
              <wp:anchor distT="0" distB="0" distL="114300" distR="114300" simplePos="0" relativeHeight="251663360" behindDoc="1" locked="0" layoutInCell="1" allowOverlap="1">
                <wp:simplePos x="0" y="0"/>
                <wp:positionH relativeFrom="column">
                  <wp:posOffset>455930</wp:posOffset>
                </wp:positionH>
                <wp:positionV relativeFrom="paragraph">
                  <wp:posOffset>77470</wp:posOffset>
                </wp:positionV>
                <wp:extent cx="5136515" cy="1458595"/>
                <wp:effectExtent l="0" t="0" r="8255" b="9525"/>
                <wp:wrapThrough wrapText="bothSides">
                  <wp:wrapPolygon>
                    <wp:start x="5" y="19"/>
                    <wp:lineTo x="5" y="21177"/>
                    <wp:lineTo x="51" y="21177"/>
                    <wp:lineTo x="51" y="21412"/>
                    <wp:lineTo x="21547" y="21412"/>
                    <wp:lineTo x="21547" y="179"/>
                    <wp:lineTo x="21474" y="179"/>
                    <wp:lineTo x="21474" y="19"/>
                    <wp:lineTo x="5" y="19"/>
                  </wp:wrapPolygon>
                </wp:wrapThrough>
                <wp:docPr id="1" name="组合 1"/>
                <wp:cNvGraphicFramePr/>
                <a:graphic xmlns:a="http://schemas.openxmlformats.org/drawingml/2006/main">
                  <a:graphicData uri="http://schemas.microsoft.com/office/word/2010/wordprocessingGroup">
                    <wpg:wgp>
                      <wpg:cNvGrpSpPr>
                        <a:grpSpLocks noRot="1"/>
                      </wpg:cNvGrpSpPr>
                      <wpg:grpSpPr>
                        <a:xfrm>
                          <a:off x="0" y="0"/>
                          <a:ext cx="5136515" cy="1458595"/>
                          <a:chOff x="0" y="0"/>
                          <a:chExt cx="8089" cy="2297"/>
                        </a:xfrm>
                        <a:effectLst/>
                      </wpg:grpSpPr>
                      <wps:wsp>
                        <wps:cNvPr id="10" name="任意多边形 14"/>
                        <wps:cNvSpPr/>
                        <wps:spPr>
                          <a:xfrm>
                            <a:off x="4" y="9"/>
                            <a:ext cx="8079" cy="20"/>
                          </a:xfrm>
                          <a:custGeom>
                            <a:avLst/>
                            <a:gdLst/>
                            <a:ahLst/>
                            <a:cxnLst/>
                            <a:pathLst>
                              <a:path w="8079" h="20">
                                <a:moveTo>
                                  <a:pt x="0" y="0"/>
                                </a:moveTo>
                                <a:lnTo>
                                  <a:pt x="8078" y="0"/>
                                </a:lnTo>
                              </a:path>
                            </a:pathLst>
                          </a:custGeom>
                          <a:noFill/>
                          <a:ln w="6096" cap="flat" cmpd="sng">
                            <a:solidFill>
                              <a:srgbClr val="000000"/>
                            </a:solidFill>
                            <a:prstDash val="solid"/>
                            <a:headEnd type="none" w="med" len="med"/>
                            <a:tailEnd type="none" w="med" len="med"/>
                          </a:ln>
                          <a:effectLst/>
                        </wps:spPr>
                        <wps:bodyPr upright="1"/>
                      </wps:wsp>
                      <wps:wsp>
                        <wps:cNvPr id="11" name="任意多边形 15"/>
                        <wps:cNvSpPr/>
                        <wps:spPr>
                          <a:xfrm>
                            <a:off x="24" y="28"/>
                            <a:ext cx="8041" cy="20"/>
                          </a:xfrm>
                          <a:custGeom>
                            <a:avLst/>
                            <a:gdLst/>
                            <a:ahLst/>
                            <a:cxnLst/>
                            <a:pathLst>
                              <a:path w="8041" h="20">
                                <a:moveTo>
                                  <a:pt x="0" y="0"/>
                                </a:moveTo>
                                <a:lnTo>
                                  <a:pt x="8040" y="0"/>
                                </a:lnTo>
                              </a:path>
                            </a:pathLst>
                          </a:custGeom>
                          <a:noFill/>
                          <a:ln w="6096" cap="flat" cmpd="sng">
                            <a:solidFill>
                              <a:srgbClr val="000000"/>
                            </a:solidFill>
                            <a:prstDash val="solid"/>
                            <a:headEnd type="none" w="med" len="med"/>
                            <a:tailEnd type="none" w="med" len="med"/>
                          </a:ln>
                          <a:effectLst/>
                        </wps:spPr>
                        <wps:bodyPr upright="1"/>
                      </wps:wsp>
                      <wps:wsp>
                        <wps:cNvPr id="12" name="任意多边形 16"/>
                        <wps:cNvSpPr/>
                        <wps:spPr>
                          <a:xfrm>
                            <a:off x="24" y="2267"/>
                            <a:ext cx="8041" cy="20"/>
                          </a:xfrm>
                          <a:custGeom>
                            <a:avLst/>
                            <a:gdLst/>
                            <a:ahLst/>
                            <a:cxnLst/>
                            <a:pathLst>
                              <a:path w="8041" h="20">
                                <a:moveTo>
                                  <a:pt x="0" y="0"/>
                                </a:moveTo>
                                <a:lnTo>
                                  <a:pt x="8040" y="0"/>
                                </a:lnTo>
                              </a:path>
                            </a:pathLst>
                          </a:custGeom>
                          <a:noFill/>
                          <a:ln w="6096" cap="flat" cmpd="sng">
                            <a:solidFill>
                              <a:srgbClr val="000000"/>
                            </a:solidFill>
                            <a:prstDash val="solid"/>
                            <a:headEnd type="none" w="med" len="med"/>
                            <a:tailEnd type="none" w="med" len="med"/>
                          </a:ln>
                          <a:effectLst/>
                        </wps:spPr>
                        <wps:bodyPr upright="1"/>
                      </wps:wsp>
                      <wps:wsp>
                        <wps:cNvPr id="13" name="任意多边形 17"/>
                        <wps:cNvSpPr/>
                        <wps:spPr>
                          <a:xfrm>
                            <a:off x="4" y="2286"/>
                            <a:ext cx="8079" cy="20"/>
                          </a:xfrm>
                          <a:custGeom>
                            <a:avLst/>
                            <a:gdLst/>
                            <a:ahLst/>
                            <a:cxnLst/>
                            <a:pathLst>
                              <a:path w="8079" h="20">
                                <a:moveTo>
                                  <a:pt x="0" y="0"/>
                                </a:moveTo>
                                <a:lnTo>
                                  <a:pt x="8078" y="0"/>
                                </a:lnTo>
                              </a:path>
                            </a:pathLst>
                          </a:custGeom>
                          <a:noFill/>
                          <a:ln w="6096" cap="flat" cmpd="sng">
                            <a:solidFill>
                              <a:srgbClr val="000000"/>
                            </a:solidFill>
                            <a:prstDash val="solid"/>
                            <a:headEnd type="none" w="med" len="med"/>
                            <a:tailEnd type="none" w="med" len="med"/>
                          </a:ln>
                          <a:effectLst/>
                        </wps:spPr>
                        <wps:bodyPr upright="1"/>
                      </wps:wsp>
                      <wps:wsp>
                        <wps:cNvPr id="14" name="任意多边形 19"/>
                        <wps:cNvSpPr/>
                        <wps:spPr>
                          <a:xfrm>
                            <a:off x="9" y="4"/>
                            <a:ext cx="20" cy="2287"/>
                          </a:xfrm>
                          <a:custGeom>
                            <a:avLst/>
                            <a:gdLst/>
                            <a:ahLst/>
                            <a:cxnLst/>
                            <a:pathLst>
                              <a:path w="20" h="2287">
                                <a:moveTo>
                                  <a:pt x="0" y="0"/>
                                </a:moveTo>
                                <a:lnTo>
                                  <a:pt x="0" y="2286"/>
                                </a:lnTo>
                              </a:path>
                            </a:pathLst>
                          </a:custGeom>
                          <a:noFill/>
                          <a:ln w="6096" cap="flat" cmpd="sng">
                            <a:solidFill>
                              <a:srgbClr val="000000"/>
                            </a:solidFill>
                            <a:prstDash val="solid"/>
                            <a:headEnd type="none" w="med" len="med"/>
                            <a:tailEnd type="none" w="med" len="med"/>
                          </a:ln>
                          <a:effectLst/>
                        </wps:spPr>
                        <wps:bodyPr upright="1"/>
                      </wps:wsp>
                      <wps:wsp>
                        <wps:cNvPr id="15" name="任意多边形 20"/>
                        <wps:cNvSpPr/>
                        <wps:spPr>
                          <a:xfrm>
                            <a:off x="28" y="24"/>
                            <a:ext cx="20" cy="2249"/>
                          </a:xfrm>
                          <a:custGeom>
                            <a:avLst/>
                            <a:gdLst/>
                            <a:ahLst/>
                            <a:cxnLst/>
                            <a:pathLst>
                              <a:path w="20" h="2249">
                                <a:moveTo>
                                  <a:pt x="0" y="0"/>
                                </a:moveTo>
                                <a:lnTo>
                                  <a:pt x="0" y="2248"/>
                                </a:lnTo>
                              </a:path>
                            </a:pathLst>
                          </a:custGeom>
                          <a:noFill/>
                          <a:ln w="6096" cap="flat" cmpd="sng">
                            <a:solidFill>
                              <a:srgbClr val="000000"/>
                            </a:solidFill>
                            <a:prstDash val="solid"/>
                            <a:headEnd type="none" w="med" len="med"/>
                            <a:tailEnd type="none" w="med" len="med"/>
                          </a:ln>
                          <a:effectLst/>
                        </wps:spPr>
                        <wps:bodyPr upright="1"/>
                      </wps:wsp>
                      <wps:wsp>
                        <wps:cNvPr id="16" name="任意多边形 21"/>
                        <wps:cNvSpPr/>
                        <wps:spPr>
                          <a:xfrm>
                            <a:off x="4034" y="24"/>
                            <a:ext cx="20" cy="2239"/>
                          </a:xfrm>
                          <a:custGeom>
                            <a:avLst/>
                            <a:gdLst/>
                            <a:ahLst/>
                            <a:cxnLst/>
                            <a:pathLst>
                              <a:path w="20" h="2239">
                                <a:moveTo>
                                  <a:pt x="0" y="0"/>
                                </a:moveTo>
                                <a:lnTo>
                                  <a:pt x="0" y="2238"/>
                                </a:lnTo>
                              </a:path>
                            </a:pathLst>
                          </a:custGeom>
                          <a:noFill/>
                          <a:ln w="6096" cap="flat" cmpd="sng">
                            <a:solidFill>
                              <a:srgbClr val="000000"/>
                            </a:solidFill>
                            <a:prstDash val="solid"/>
                            <a:headEnd type="none" w="med" len="med"/>
                            <a:tailEnd type="none" w="med" len="med"/>
                          </a:ln>
                          <a:effectLst/>
                        </wps:spPr>
                        <wps:bodyPr upright="1"/>
                      </wps:wsp>
                      <wps:wsp>
                        <wps:cNvPr id="18" name="任意多边形 22"/>
                        <wps:cNvSpPr/>
                        <wps:spPr>
                          <a:xfrm>
                            <a:off x="4053" y="24"/>
                            <a:ext cx="20" cy="2239"/>
                          </a:xfrm>
                          <a:custGeom>
                            <a:avLst/>
                            <a:gdLst/>
                            <a:ahLst/>
                            <a:cxnLst/>
                            <a:pathLst>
                              <a:path w="20" h="2239">
                                <a:moveTo>
                                  <a:pt x="0" y="0"/>
                                </a:moveTo>
                                <a:lnTo>
                                  <a:pt x="0" y="2238"/>
                                </a:lnTo>
                              </a:path>
                            </a:pathLst>
                          </a:custGeom>
                          <a:noFill/>
                          <a:ln w="6096" cap="flat" cmpd="sng">
                            <a:solidFill>
                              <a:srgbClr val="000000"/>
                            </a:solidFill>
                            <a:prstDash val="solid"/>
                            <a:headEnd type="none" w="med" len="med"/>
                            <a:tailEnd type="none" w="med" len="med"/>
                          </a:ln>
                          <a:effectLst/>
                        </wps:spPr>
                        <wps:bodyPr upright="1"/>
                      </wps:wsp>
                      <wps:wsp>
                        <wps:cNvPr id="25" name="任意多边形 23"/>
                        <wps:cNvSpPr/>
                        <wps:spPr>
                          <a:xfrm>
                            <a:off x="8059" y="33"/>
                            <a:ext cx="20" cy="2239"/>
                          </a:xfrm>
                          <a:custGeom>
                            <a:avLst/>
                            <a:gdLst/>
                            <a:ahLst/>
                            <a:cxnLst/>
                            <a:pathLst>
                              <a:path w="20" h="2239">
                                <a:moveTo>
                                  <a:pt x="0" y="0"/>
                                </a:moveTo>
                                <a:lnTo>
                                  <a:pt x="0" y="2238"/>
                                </a:lnTo>
                              </a:path>
                            </a:pathLst>
                          </a:custGeom>
                          <a:noFill/>
                          <a:ln w="6096" cap="flat" cmpd="sng">
                            <a:solidFill>
                              <a:srgbClr val="000000"/>
                            </a:solidFill>
                            <a:prstDash val="solid"/>
                            <a:headEnd type="none" w="med" len="med"/>
                            <a:tailEnd type="none" w="med" len="med"/>
                          </a:ln>
                          <a:effectLst/>
                        </wps:spPr>
                        <wps:bodyPr upright="1"/>
                      </wps:wsp>
                      <wps:wsp>
                        <wps:cNvPr id="26" name="任意多边形 24"/>
                        <wps:cNvSpPr/>
                        <wps:spPr>
                          <a:xfrm>
                            <a:off x="8078" y="14"/>
                            <a:ext cx="20" cy="2278"/>
                          </a:xfrm>
                          <a:custGeom>
                            <a:avLst/>
                            <a:gdLst/>
                            <a:ahLst/>
                            <a:cxnLst/>
                            <a:pathLst>
                              <a:path w="20" h="2278">
                                <a:moveTo>
                                  <a:pt x="0" y="0"/>
                                </a:moveTo>
                                <a:lnTo>
                                  <a:pt x="0" y="2277"/>
                                </a:lnTo>
                              </a:path>
                            </a:pathLst>
                          </a:custGeom>
                          <a:noFill/>
                          <a:ln w="6096" cap="flat" cmpd="sng">
                            <a:solidFill>
                              <a:srgbClr val="000000"/>
                            </a:solidFill>
                            <a:prstDash val="solid"/>
                            <a:headEnd type="none" w="med" len="med"/>
                            <a:tailEnd type="none" w="med" len="med"/>
                          </a:ln>
                          <a:effectLst/>
                        </wps:spPr>
                        <wps:bodyPr upright="1"/>
                      </wps:wsp>
                      <wps:wsp>
                        <wps:cNvPr id="28" name="文本框 27"/>
                        <wps:cNvSpPr txBox="1"/>
                        <wps:spPr>
                          <a:xfrm>
                            <a:off x="19" y="19"/>
                            <a:ext cx="4025" cy="2258"/>
                          </a:xfrm>
                          <a:prstGeom prst="rect">
                            <a:avLst/>
                          </a:prstGeom>
                          <a:noFill/>
                          <a:ln>
                            <a:noFill/>
                          </a:ln>
                          <a:effectLst/>
                        </wps:spPr>
                        <wps:txbx>
                          <w:txbxContent>
                            <w:p w14:paraId="743AE759">
                              <w:pPr>
                                <w:pStyle w:val="10"/>
                                <w:numPr>
                                  <w:ilvl w:val="0"/>
                                  <w:numId w:val="0"/>
                                </w:numPr>
                                <w:kinsoku w:val="0"/>
                                <w:overflowPunct w:val="0"/>
                                <w:spacing w:before="13"/>
                                <w:ind w:leftChars="0" w:right="0" w:rightChars="0"/>
                                <w:jc w:val="center"/>
                                <w:rPr>
                                  <w:rFonts w:hint="eastAsia"/>
                                  <w:sz w:val="28"/>
                                  <w:szCs w:val="28"/>
                                </w:rPr>
                              </w:pPr>
                            </w:p>
                            <w:p w14:paraId="5351430C">
                              <w:pPr>
                                <w:pStyle w:val="10"/>
                                <w:numPr>
                                  <w:ilvl w:val="0"/>
                                  <w:numId w:val="0"/>
                                </w:numPr>
                                <w:kinsoku w:val="0"/>
                                <w:overflowPunct w:val="0"/>
                                <w:ind w:right="0" w:rightChars="0"/>
                                <w:jc w:val="center"/>
                              </w:pPr>
                              <w:r>
                                <w:rPr>
                                  <w:rFonts w:hint="eastAsia"/>
                                </w:rPr>
                                <w:t>法定代表人身份证复印件（正面）</w:t>
                              </w:r>
                            </w:p>
                          </w:txbxContent>
                        </wps:txbx>
                        <wps:bodyPr lIns="0" tIns="0" rIns="0" bIns="0" upright="1"/>
                      </wps:wsp>
                      <wps:wsp>
                        <wps:cNvPr id="29" name="文本框 32"/>
                        <wps:cNvSpPr txBox="1"/>
                        <wps:spPr>
                          <a:xfrm>
                            <a:off x="4044" y="19"/>
                            <a:ext cx="4025" cy="2258"/>
                          </a:xfrm>
                          <a:prstGeom prst="rect">
                            <a:avLst/>
                          </a:prstGeom>
                          <a:noFill/>
                          <a:ln>
                            <a:noFill/>
                          </a:ln>
                          <a:effectLst/>
                        </wps:spPr>
                        <wps:txbx>
                          <w:txbxContent>
                            <w:p w14:paraId="7125E04A">
                              <w:pPr>
                                <w:pStyle w:val="10"/>
                                <w:numPr>
                                  <w:ilvl w:val="0"/>
                                  <w:numId w:val="0"/>
                                </w:numPr>
                                <w:kinsoku w:val="0"/>
                                <w:overflowPunct w:val="0"/>
                                <w:ind w:right="0" w:rightChars="0"/>
                                <w:rPr>
                                  <w:rFonts w:hint="eastAsia" w:ascii="宋体" w:hAnsi="宋体" w:eastAsia="宋体" w:cs="宋体"/>
                                </w:rPr>
                              </w:pPr>
                            </w:p>
                            <w:p w14:paraId="52B81A97">
                              <w:pPr>
                                <w:pStyle w:val="10"/>
                                <w:numPr>
                                  <w:ilvl w:val="0"/>
                                  <w:numId w:val="0"/>
                                </w:numPr>
                                <w:kinsoku w:val="0"/>
                                <w:overflowPunct w:val="0"/>
                                <w:ind w:right="0" w:rightChars="0"/>
                                <w:rPr>
                                  <w:rFonts w:hint="eastAsia" w:ascii="宋体" w:hAnsi="宋体" w:eastAsia="宋体" w:cs="宋体"/>
                                </w:rPr>
                              </w:pPr>
                              <w:r>
                                <w:rPr>
                                  <w:rFonts w:hint="eastAsia" w:ascii="宋体" w:hAnsi="宋体" w:eastAsia="宋体" w:cs="宋体"/>
                                </w:rPr>
                                <w:t>法定代表人身份证复印件（反面）</w:t>
                              </w:r>
                            </w:p>
                          </w:txbxContent>
                        </wps:txbx>
                        <wps:bodyPr lIns="0" tIns="0" rIns="0" bIns="0" upright="1"/>
                      </wps:wsp>
                    </wpg:wgp>
                  </a:graphicData>
                </a:graphic>
              </wp:anchor>
            </w:drawing>
          </mc:Choice>
          <mc:Fallback>
            <w:pict>
              <v:group id="_x0000_s1026" o:spid="_x0000_s1026" o:spt="203" style="position:absolute;left:0pt;margin-left:35.9pt;margin-top:6.1pt;height:114.85pt;width:404.45pt;mso-wrap-distance-left:9pt;mso-wrap-distance-right:9pt;z-index:-251653120;mso-width-relative:page;mso-height-relative:page;" coordsize="8089,2297" wrapcoords="5 19 5 21177 51 21177 51 21412 21547 21412 21547 179 21474 179 21474 19 5 19" o:gfxdata="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">
                <o:lock v:ext="edit" rotation="t" aspectratio="f"/>
                <v:shape id="任意多边形 14" o:spid="_x0000_s1026" o:spt="100" style="position:absolute;left:4;top:9;height:20;width:8079;" filled="f" stroked="t" coordsize="8079,20" o:gfxdata="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1pSLGvQAA&#10;ANsAAAAPAAAAAAAAAAEAIAAAACIAAABkcnMvZG93bnJldi54bWxQSwECFAAUAAAACACHTuJAMy8F&#10;njsAAAA5AAAAEAAAAAAAAAABACAAAAAMAQAAZHJzL3NoYXBleG1sLnhtbFBLBQYAAAAABgAGAFsB&#10;AAC2AwAAAAA=&#10;" path="m0,0l8078,0e">
                  <v:fill on="f" focussize="0,0"/>
                  <v:stroke weight="0.48pt" color="#000000" joinstyle="round"/>
                  <v:imagedata o:title=""/>
                  <o:lock v:ext="edit" aspectratio="f"/>
                </v:shape>
                <v:shape id="任意多边形 15" o:spid="_x0000_s1026" o:spt="100" style="position:absolute;left:24;top:28;height:20;width:8041;" filled="f" stroked="t" coordsize="8041,20" o:gfxdata="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81/JNugAAANsA&#10;AAAPAAAAAAAAAAEAIAAAACIAAABkcnMvZG93bnJldi54bWxQSwECFAAUAAAACACHTuJAMy8FnjsA&#10;AAA5AAAAEAAAAAAAAAABACAAAAAJAQAAZHJzL3NoYXBleG1sLnhtbFBLBQYAAAAABgAGAFsBAACz&#10;AwAAAAA=&#10;" path="m0,0l8040,0e">
                  <v:fill on="f" focussize="0,0"/>
                  <v:stroke weight="0.48pt" color="#000000" joinstyle="round"/>
                  <v:imagedata o:title=""/>
                  <o:lock v:ext="edit" aspectratio="f"/>
                </v:shape>
                <v:shape id="任意多边形 16" o:spid="_x0000_s1026" o:spt="100" style="position:absolute;left:24;top:2267;height:20;width:8041;" filled="f" stroked="t" coordsize="8041,20" o:gfxdata="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MBWw6ugAAANsA&#10;AAAPAAAAAAAAAAEAIAAAACIAAABkcnMvZG93bnJldi54bWxQSwECFAAUAAAACACHTuJAMy8FnjsA&#10;AAA5AAAAEAAAAAAAAAABACAAAAAJAQAAZHJzL3NoYXBleG1sLnhtbFBLBQYAAAAABgAGAFsBAACz&#10;AwAAAAA=&#10;" path="m0,0l8040,0e">
                  <v:fill on="f" focussize="0,0"/>
                  <v:stroke weight="0.48pt" color="#000000" joinstyle="round"/>
                  <v:imagedata o:title=""/>
                  <o:lock v:ext="edit" aspectratio="f"/>
                </v:shape>
                <v:shape id="任意多边形 17" o:spid="_x0000_s1026" o:spt="100" style="position:absolute;left:4;top:2286;height:20;width:8079;" filled="f" stroked="t" coordsize="8079,20" o:gfxdata="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Fd7yxugAAANsA&#10;AAAPAAAAAAAAAAEAIAAAACIAAABkcnMvZG93bnJldi54bWxQSwECFAAUAAAACACHTuJAMy8FnjsA&#10;AAA5AAAAEAAAAAAAAAABACAAAAAJAQAAZHJzL3NoYXBleG1sLnhtbFBLBQYAAAAABgAGAFsBAACz&#10;AwAAAAA=&#10;" path="m0,0l8078,0e">
                  <v:fill on="f" focussize="0,0"/>
                  <v:stroke weight="0.48pt" color="#000000" joinstyle="round"/>
                  <v:imagedata o:title=""/>
                  <o:lock v:ext="edit" aspectratio="f"/>
                </v:shape>
                <v:shape id="任意多边形 19" o:spid="_x0000_s1026" o:spt="100" style="position:absolute;left:9;top:4;height:2287;width:20;" filled="f" stroked="t" coordsize="20,2287" o:gfxdata="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8EPBXugAAANsA&#10;AAAPAAAAAAAAAAEAIAAAACIAAABkcnMvZG93bnJldi54bWxQSwECFAAUAAAACACHTuJAMy8FnjsA&#10;AAA5AAAAEAAAAAAAAAABACAAAAAJAQAAZHJzL3NoYXBleG1sLnhtbFBLBQYAAAAABgAGAFsBAACz&#10;AwAAAAA=&#10;" path="m0,0l0,2286e">
                  <v:fill on="f" focussize="0,0"/>
                  <v:stroke weight="0.48pt" color="#000000" joinstyle="round"/>
                  <v:imagedata o:title=""/>
                  <o:lock v:ext="edit" aspectratio="f"/>
                </v:shape>
                <v:shape id="任意多边形 20" o:spid="_x0000_s1026" o:spt="100" style="position:absolute;left:28;top:24;height:2249;width:20;" filled="f" stroked="t" coordsize="20,2249" o:gfxdata="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C99Fr4A&#10;AADbAAAADwAAAAAAAAABACAAAAAiAAAAZHJzL2Rvd25yZXYueG1sUEsBAhQAFAAAAAgAh07iQDMv&#10;BZ47AAAAOQAAABAAAAAAAAAAAQAgAAAADQEAAGRycy9zaGFwZXhtbC54bWxQSwUGAAAAAAYABgBb&#10;AQAAtwMAAAAA&#10;" path="m0,0l0,2248e">
                  <v:fill on="f" focussize="0,0"/>
                  <v:stroke weight="0.48pt" color="#000000" joinstyle="round"/>
                  <v:imagedata o:title=""/>
                  <o:lock v:ext="edit" aspectratio="f"/>
                </v:shape>
                <v:shape id="任意多边形 21" o:spid="_x0000_s1026" o:spt="100" style="position:absolute;left:4034;top:24;height:2239;width:20;" filled="f" stroked="t" coordsize="20,2239" o:gfxdata="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VLsGS5AAAA2wAA&#10;AA8AAAAAAAAAAQAgAAAAIgAAAGRycy9kb3ducmV2LnhtbFBLAQIUABQAAAAIAIdO4kAzLwWeOwAA&#10;ADkAAAAQAAAAAAAAAAEAIAAAAAgBAABkcnMvc2hhcGV4bWwueG1sUEsFBgAAAAAGAAYAWwEAALID&#10;AAAAAA==&#10;" path="m0,0l0,2238e">
                  <v:fill on="f" focussize="0,0"/>
                  <v:stroke weight="0.48pt" color="#000000" joinstyle="round"/>
                  <v:imagedata o:title=""/>
                  <o:lock v:ext="edit" aspectratio="f"/>
                </v:shape>
                <v:shape id="任意多边形 22" o:spid="_x0000_s1026" o:spt="100" style="position:absolute;left:4053;top:24;height:2239;width:20;" filled="f" stroked="t" coordsize="20,2239" o:gfxdata="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5iBjbsAAADb&#10;AAAADwAAAAAAAAABACAAAAAiAAAAZHJzL2Rvd25yZXYueG1sUEsBAhQAFAAAAAgAh07iQDMvBZ47&#10;AAAAOQAAABAAAAAAAAAAAQAgAAAACgEAAGRycy9zaGFwZXhtbC54bWxQSwUGAAAAAAYABgBbAQAA&#10;tAMAAAAA&#10;" path="m0,0l0,2238e">
                  <v:fill on="f" focussize="0,0"/>
                  <v:stroke weight="0.48pt" color="#000000" joinstyle="round"/>
                  <v:imagedata o:title=""/>
                  <o:lock v:ext="edit" aspectratio="f"/>
                </v:shape>
                <v:shape id="任意多边形 23" o:spid="_x0000_s1026" o:spt="100" style="position:absolute;left:8059;top:33;height:2239;width:20;" filled="f" stroked="t" coordsize="20,2239" o:gfxdata="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v15K65AAAA2wAA&#10;AA8AAAAAAAAAAQAgAAAAIgAAAGRycy9kb3ducmV2LnhtbFBLAQIUABQAAAAIAIdO4kAzLwWeOwAA&#10;ADkAAAAQAAAAAAAAAAEAIAAAAAgBAABkcnMvc2hhcGV4bWwueG1sUEsFBgAAAAAGAAYAWwEAALID&#10;AAAAAA==&#10;" path="m0,0l0,2238e">
                  <v:fill on="f" focussize="0,0"/>
                  <v:stroke weight="0.48pt" color="#000000" joinstyle="round"/>
                  <v:imagedata o:title=""/>
                  <o:lock v:ext="edit" aspectratio="f"/>
                </v:shape>
                <v:shape id="任意多边形 24" o:spid="_x0000_s1026" o:spt="100" style="position:absolute;left:8078;top:14;height:2278;width:20;" filled="f" stroked="t" coordsize="20,2278" o:gfxdata="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mdfXvQAA&#10;ANsAAAAPAAAAAAAAAAEAIAAAACIAAABkcnMvZG93bnJldi54bWxQSwECFAAUAAAACACHTuJAMy8F&#10;njsAAAA5AAAAEAAAAAAAAAABACAAAAAMAQAAZHJzL3NoYXBleG1sLnhtbFBLBQYAAAAABgAGAFsB&#10;AAC2AwAAAAA=&#10;" path="m0,0l0,2277e">
                  <v:fill on="f" focussize="0,0"/>
                  <v:stroke weight="0.48pt" color="#000000" joinstyle="round"/>
                  <v:imagedata o:title=""/>
                  <o:lock v:ext="edit" aspectratio="f"/>
                </v:shape>
                <v:shape id="文本框 27" o:spid="_x0000_s1026" o:spt="202" type="#_x0000_t202" style="position:absolute;left:19;top:19;height:2258;width:4025;" filled="f" stroked="f" coordsize="21600,21600" o:gfxdata="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oQNwO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743AE759">
                        <w:pPr>
                          <w:pStyle w:val="10"/>
                          <w:numPr>
                            <w:ilvl w:val="0"/>
                            <w:numId w:val="0"/>
                          </w:numPr>
                          <w:kinsoku w:val="0"/>
                          <w:overflowPunct w:val="0"/>
                          <w:spacing w:before="13"/>
                          <w:ind w:leftChars="0" w:right="0" w:rightChars="0"/>
                          <w:jc w:val="center"/>
                          <w:rPr>
                            <w:rFonts w:hint="eastAsia"/>
                            <w:sz w:val="28"/>
                            <w:szCs w:val="28"/>
                          </w:rPr>
                        </w:pPr>
                      </w:p>
                      <w:p w14:paraId="5351430C">
                        <w:pPr>
                          <w:pStyle w:val="10"/>
                          <w:numPr>
                            <w:ilvl w:val="0"/>
                            <w:numId w:val="0"/>
                          </w:numPr>
                          <w:kinsoku w:val="0"/>
                          <w:overflowPunct w:val="0"/>
                          <w:ind w:right="0" w:rightChars="0"/>
                          <w:jc w:val="center"/>
                        </w:pPr>
                        <w:r>
                          <w:rPr>
                            <w:rFonts w:hint="eastAsia"/>
                          </w:rPr>
                          <w:t>法定代表人身份证复印件（正面）</w:t>
                        </w:r>
                      </w:p>
                    </w:txbxContent>
                  </v:textbox>
                </v:shape>
                <v:shape id="文本框 32" o:spid="_x0000_s1026" o:spt="202" type="#_x0000_t202" style="position:absolute;left:4044;top:19;height:2258;width:4025;" filled="f" stroked="f" coordsize="21600,21600" o:gfxdata="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XJKY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7125E04A">
                        <w:pPr>
                          <w:pStyle w:val="10"/>
                          <w:numPr>
                            <w:ilvl w:val="0"/>
                            <w:numId w:val="0"/>
                          </w:numPr>
                          <w:kinsoku w:val="0"/>
                          <w:overflowPunct w:val="0"/>
                          <w:ind w:right="0" w:rightChars="0"/>
                          <w:rPr>
                            <w:rFonts w:hint="eastAsia" w:ascii="宋体" w:hAnsi="宋体" w:eastAsia="宋体" w:cs="宋体"/>
                          </w:rPr>
                        </w:pPr>
                      </w:p>
                      <w:p w14:paraId="52B81A97">
                        <w:pPr>
                          <w:pStyle w:val="10"/>
                          <w:numPr>
                            <w:ilvl w:val="0"/>
                            <w:numId w:val="0"/>
                          </w:numPr>
                          <w:kinsoku w:val="0"/>
                          <w:overflowPunct w:val="0"/>
                          <w:ind w:right="0" w:rightChars="0"/>
                          <w:rPr>
                            <w:rFonts w:hint="eastAsia" w:ascii="宋体" w:hAnsi="宋体" w:eastAsia="宋体" w:cs="宋体"/>
                          </w:rPr>
                        </w:pPr>
                        <w:r>
                          <w:rPr>
                            <w:rFonts w:hint="eastAsia" w:ascii="宋体" w:hAnsi="宋体" w:eastAsia="宋体" w:cs="宋体"/>
                          </w:rPr>
                          <w:t>法定代表人身份证复印件（反面）</w:t>
                        </w:r>
                      </w:p>
                    </w:txbxContent>
                  </v:textbox>
                </v:shape>
                <w10:wrap type="through"/>
              </v:group>
            </w:pict>
          </mc:Fallback>
        </mc:AlternateContent>
      </w:r>
    </w:p>
    <w:p w14:paraId="0F04E8FA">
      <w:pPr>
        <w:wordWrap w:val="0"/>
        <w:spacing w:line="420" w:lineRule="exact"/>
        <w:ind w:firstLine="490" w:firstLineChars="200"/>
        <w:jc w:val="right"/>
        <w:rPr>
          <w:rFonts w:hint="eastAsia" w:ascii="宋体" w:hAnsi="宋体" w:eastAsia="宋体" w:cs="宋体"/>
          <w:color w:val="auto"/>
          <w:kern w:val="0"/>
          <w:sz w:val="24"/>
          <w:highlight w:val="none"/>
        </w:rPr>
      </w:pPr>
    </w:p>
    <w:p w14:paraId="6A5359C8">
      <w:pPr>
        <w:spacing w:line="420" w:lineRule="exact"/>
        <w:ind w:firstLine="490" w:firstLineChars="200"/>
        <w:jc w:val="right"/>
        <w:rPr>
          <w:rFonts w:hint="eastAsia" w:ascii="宋体" w:hAnsi="宋体" w:eastAsia="宋体" w:cs="宋体"/>
          <w:color w:val="auto"/>
          <w:kern w:val="0"/>
          <w:sz w:val="24"/>
          <w:highlight w:val="none"/>
        </w:rPr>
      </w:pPr>
    </w:p>
    <w:p w14:paraId="2C6B700C">
      <w:pPr>
        <w:spacing w:line="420" w:lineRule="exact"/>
        <w:ind w:firstLine="490" w:firstLineChars="200"/>
        <w:jc w:val="right"/>
        <w:rPr>
          <w:rFonts w:hint="eastAsia" w:ascii="宋体" w:hAnsi="宋体" w:eastAsia="宋体" w:cs="宋体"/>
          <w:color w:val="auto"/>
          <w:kern w:val="0"/>
          <w:sz w:val="24"/>
          <w:highlight w:val="none"/>
        </w:rPr>
      </w:pPr>
    </w:p>
    <w:p w14:paraId="4F6B2792">
      <w:pPr>
        <w:spacing w:line="420" w:lineRule="exact"/>
        <w:ind w:firstLine="490" w:firstLineChars="200"/>
        <w:jc w:val="right"/>
        <w:rPr>
          <w:rFonts w:hint="eastAsia" w:ascii="宋体" w:hAnsi="宋体" w:eastAsia="宋体" w:cs="宋体"/>
          <w:color w:val="auto"/>
          <w:kern w:val="0"/>
          <w:sz w:val="24"/>
          <w:highlight w:val="none"/>
        </w:rPr>
      </w:pPr>
    </w:p>
    <w:p w14:paraId="010C49A0">
      <w:pPr>
        <w:spacing w:line="420" w:lineRule="exact"/>
        <w:ind w:firstLine="490" w:firstLineChars="200"/>
        <w:jc w:val="right"/>
        <w:rPr>
          <w:rFonts w:hint="eastAsia" w:ascii="宋体" w:hAnsi="宋体" w:eastAsia="宋体" w:cs="宋体"/>
          <w:color w:val="auto"/>
          <w:kern w:val="0"/>
          <w:sz w:val="24"/>
          <w:highlight w:val="none"/>
        </w:rPr>
      </w:pPr>
    </w:p>
    <w:p w14:paraId="66AB372A">
      <w:pPr>
        <w:spacing w:line="420" w:lineRule="exact"/>
        <w:ind w:firstLine="490" w:firstLineChars="200"/>
        <w:jc w:val="right"/>
        <w:rPr>
          <w:rFonts w:hint="eastAsia" w:ascii="宋体" w:hAnsi="宋体" w:eastAsia="宋体" w:cs="宋体"/>
          <w:color w:val="auto"/>
          <w:kern w:val="0"/>
          <w:sz w:val="24"/>
          <w:highlight w:val="none"/>
        </w:rPr>
      </w:pPr>
    </w:p>
    <w:p w14:paraId="4AA41947">
      <w:pPr>
        <w:spacing w:line="420" w:lineRule="exact"/>
        <w:ind w:firstLine="490" w:firstLineChars="200"/>
        <w:jc w:val="right"/>
        <w:rPr>
          <w:rFonts w:hint="eastAsia" w:ascii="宋体" w:hAnsi="宋体" w:eastAsia="宋体" w:cs="宋体"/>
          <w:color w:val="auto"/>
          <w:kern w:val="0"/>
          <w:sz w:val="24"/>
          <w:highlight w:val="none"/>
        </w:rPr>
      </w:pPr>
    </w:p>
    <w:p w14:paraId="05E0A029">
      <w:pPr>
        <w:spacing w:line="420" w:lineRule="exact"/>
        <w:ind w:firstLine="490" w:firstLineChars="200"/>
        <w:jc w:val="right"/>
        <w:rPr>
          <w:rFonts w:hint="eastAsia" w:ascii="宋体" w:hAnsi="宋体" w:eastAsia="宋体" w:cs="宋体"/>
          <w:color w:val="auto"/>
          <w:kern w:val="0"/>
          <w:sz w:val="24"/>
          <w:highlight w:val="none"/>
        </w:rPr>
      </w:pPr>
    </w:p>
    <w:p w14:paraId="393C086F">
      <w:pPr>
        <w:spacing w:line="420" w:lineRule="exact"/>
        <w:ind w:firstLine="490" w:firstLineChars="200"/>
        <w:jc w:val="righ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投标人：</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（公章）</w:t>
      </w:r>
    </w:p>
    <w:p w14:paraId="657B045F">
      <w:pPr>
        <w:shd w:val="clear" w:color="auto" w:fill="auto"/>
        <w:spacing w:line="360" w:lineRule="auto"/>
        <w:ind w:firstLine="490" w:firstLineChars="200"/>
        <w:jc w:val="left"/>
        <w:rPr>
          <w:rFonts w:hint="eastAsia" w:ascii="宋体" w:hAnsi="宋体" w:eastAsia="宋体" w:cs="宋体"/>
          <w:color w:val="auto"/>
          <w:kern w:val="2"/>
          <w:sz w:val="22"/>
          <w:szCs w:val="18"/>
          <w:highlight w:val="none"/>
          <w:u w:val="none" w:color="000000"/>
          <w:lang w:val="en-US" w:eastAsia="zh-CN" w:bidi="ar-SA"/>
        </w:rPr>
      </w:pP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rPr>
        <w:t xml:space="preserve"> </w:t>
      </w:r>
      <w:r>
        <w:rPr>
          <w:rFonts w:hint="eastAsia" w:ascii="宋体" w:hAnsi="宋体" w:cs="宋体"/>
          <w:color w:val="auto"/>
          <w:kern w:val="0"/>
          <w:sz w:val="24"/>
          <w:highlight w:val="none"/>
          <w:lang w:val="en-US" w:eastAsia="zh-CN"/>
        </w:rPr>
        <w:t xml:space="preserve">             </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年</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月</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日</w:t>
      </w:r>
    </w:p>
    <w:p w14:paraId="03924B99">
      <w:pPr>
        <w:spacing w:line="500" w:lineRule="exact"/>
        <w:jc w:val="center"/>
        <w:rPr>
          <w:rFonts w:hint="eastAsia" w:ascii="宋体" w:hAnsi="宋体" w:eastAsia="宋体" w:cs="宋体"/>
          <w:b/>
          <w:color w:val="auto"/>
          <w:sz w:val="28"/>
          <w:szCs w:val="28"/>
          <w:highlight w:val="none"/>
        </w:rPr>
      </w:pPr>
    </w:p>
    <w:p w14:paraId="7C47625B">
      <w:pPr>
        <w:spacing w:line="500" w:lineRule="exact"/>
        <w:jc w:val="center"/>
        <w:rPr>
          <w:rFonts w:hint="eastAsia" w:ascii="宋体" w:hAnsi="宋体" w:eastAsia="宋体" w:cs="宋体"/>
          <w:b/>
          <w:color w:val="auto"/>
          <w:sz w:val="28"/>
          <w:szCs w:val="28"/>
          <w:highlight w:val="none"/>
        </w:rPr>
      </w:pPr>
    </w:p>
    <w:p w14:paraId="2D5D64DE">
      <w:pPr>
        <w:pStyle w:val="53"/>
        <w:rPr>
          <w:rFonts w:hint="eastAsia" w:ascii="宋体" w:hAnsi="宋体" w:eastAsia="宋体" w:cs="宋体"/>
          <w:b/>
          <w:color w:val="auto"/>
          <w:sz w:val="28"/>
          <w:szCs w:val="28"/>
          <w:highlight w:val="none"/>
        </w:rPr>
      </w:pPr>
    </w:p>
    <w:p w14:paraId="61C757F5">
      <w:pPr>
        <w:pStyle w:val="53"/>
        <w:rPr>
          <w:rFonts w:hint="eastAsia" w:ascii="宋体" w:hAnsi="宋体" w:eastAsia="宋体" w:cs="宋体"/>
          <w:b/>
          <w:color w:val="auto"/>
          <w:sz w:val="28"/>
          <w:szCs w:val="28"/>
          <w:highlight w:val="none"/>
        </w:rPr>
      </w:pPr>
    </w:p>
    <w:p w14:paraId="16947CE6">
      <w:pPr>
        <w:pStyle w:val="53"/>
        <w:rPr>
          <w:rFonts w:hint="eastAsia" w:ascii="宋体" w:hAnsi="宋体" w:eastAsia="宋体" w:cs="宋体"/>
          <w:b/>
          <w:color w:val="auto"/>
          <w:sz w:val="28"/>
          <w:szCs w:val="28"/>
          <w:highlight w:val="none"/>
        </w:rPr>
      </w:pPr>
    </w:p>
    <w:p w14:paraId="2CC7638C">
      <w:pPr>
        <w:spacing w:line="500" w:lineRule="exact"/>
        <w:jc w:val="center"/>
        <w:rPr>
          <w:rFonts w:hint="eastAsia" w:ascii="宋体" w:hAnsi="宋体" w:eastAsia="宋体" w:cs="宋体"/>
          <w:b/>
          <w:color w:val="auto"/>
          <w:sz w:val="28"/>
          <w:szCs w:val="28"/>
          <w:highlight w:val="none"/>
        </w:rPr>
      </w:pPr>
    </w:p>
    <w:p w14:paraId="1F43620D">
      <w:pPr>
        <w:pStyle w:val="3"/>
        <w:numPr>
          <w:ilvl w:val="0"/>
          <w:numId w:val="0"/>
        </w:numPr>
        <w:shd w:val="clear" w:color="auto" w:fill="auto"/>
        <w:spacing w:before="0" w:line="240" w:lineRule="atLeast"/>
        <w:jc w:val="center"/>
        <w:rPr>
          <w:rFonts w:hint="eastAsia" w:ascii="宋体" w:hAnsi="宋体" w:eastAsia="宋体" w:cs="宋体"/>
          <w:b/>
          <w:bCs/>
          <w:color w:val="auto"/>
          <w:sz w:val="24"/>
          <w:highlight w:val="none"/>
          <w:lang w:val="en-US" w:eastAsia="zh-CN"/>
        </w:rPr>
      </w:pPr>
    </w:p>
    <w:p w14:paraId="42AB5DB7">
      <w:pPr>
        <w:rPr>
          <w:rFonts w:hint="eastAsia"/>
          <w:color w:val="auto"/>
          <w:highlight w:val="none"/>
          <w:lang w:val="en-US" w:eastAsia="zh-CN"/>
        </w:rPr>
      </w:pPr>
    </w:p>
    <w:p w14:paraId="502CFAE3">
      <w:pPr>
        <w:pStyle w:val="3"/>
        <w:numPr>
          <w:ilvl w:val="0"/>
          <w:numId w:val="0"/>
        </w:numPr>
        <w:shd w:val="clear" w:color="auto" w:fill="auto"/>
        <w:spacing w:before="0" w:line="240" w:lineRule="atLeast"/>
        <w:jc w:val="center"/>
        <w:rPr>
          <w:rFonts w:hint="eastAsia" w:ascii="宋体" w:hAnsi="宋体" w:eastAsia="宋体" w:cs="宋体"/>
          <w:b/>
          <w:bCs/>
          <w:color w:val="auto"/>
          <w:sz w:val="24"/>
          <w:highlight w:val="none"/>
          <w:u w:val="single"/>
        </w:rPr>
      </w:pPr>
      <w:bookmarkStart w:id="156" w:name="_Toc31554"/>
      <w:r>
        <w:rPr>
          <w:rFonts w:hint="eastAsia" w:ascii="宋体" w:hAnsi="宋体" w:eastAsia="宋体" w:cs="宋体"/>
          <w:b/>
          <w:bCs/>
          <w:color w:val="auto"/>
          <w:sz w:val="24"/>
          <w:highlight w:val="none"/>
          <w:lang w:val="en-US" w:eastAsia="zh-CN"/>
        </w:rPr>
        <w:t>3</w:t>
      </w:r>
      <w:r>
        <w:rPr>
          <w:rFonts w:hint="eastAsia" w:ascii="宋体" w:hAnsi="宋体" w:eastAsia="宋体" w:cs="宋体"/>
          <w:b/>
          <w:bCs/>
          <w:color w:val="auto"/>
          <w:sz w:val="24"/>
          <w:highlight w:val="none"/>
        </w:rPr>
        <w:t xml:space="preserve"> </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法定代表人授权委托书</w:t>
      </w:r>
      <w:bookmarkEnd w:id="150"/>
      <w:bookmarkEnd w:id="151"/>
      <w:bookmarkEnd w:id="152"/>
      <w:bookmarkEnd w:id="153"/>
      <w:bookmarkEnd w:id="155"/>
      <w:bookmarkEnd w:id="156"/>
    </w:p>
    <w:p w14:paraId="135A5364">
      <w:pPr>
        <w:pStyle w:val="13"/>
        <w:shd w:val="clear" w:color="auto" w:fill="auto"/>
        <w:spacing w:line="240" w:lineRule="atLeast"/>
        <w:ind w:left="1092"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cr/>
      </w:r>
    </w:p>
    <w:p w14:paraId="259FABF7">
      <w:pPr>
        <w:spacing w:line="420" w:lineRule="exact"/>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sz w:val="24"/>
          <w:szCs w:val="20"/>
          <w:highlight w:val="none"/>
        </w:rPr>
        <w:t xml:space="preserve">   </w:t>
      </w:r>
      <w:r>
        <w:rPr>
          <w:rFonts w:hint="eastAsia" w:ascii="宋体" w:hAnsi="宋体" w:eastAsia="宋体" w:cs="宋体"/>
          <w:color w:val="auto"/>
          <w:kern w:val="0"/>
          <w:sz w:val="24"/>
          <w:highlight w:val="none"/>
        </w:rPr>
        <w:t xml:space="preserve">致：采购人名称 </w:t>
      </w:r>
    </w:p>
    <w:p w14:paraId="4FC64C6C">
      <w:pPr>
        <w:spacing w:line="420" w:lineRule="exact"/>
        <w:ind w:firstLine="49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本授权书声明：注册于</w:t>
      </w:r>
      <w:r>
        <w:rPr>
          <w:rFonts w:hint="eastAsia" w:ascii="宋体" w:hAnsi="宋体" w:eastAsia="宋体" w:cs="宋体"/>
          <w:color w:val="auto"/>
          <w:kern w:val="0"/>
          <w:sz w:val="24"/>
          <w:highlight w:val="none"/>
          <w:u w:val="single"/>
        </w:rPr>
        <w:t>（投标人地址）</w:t>
      </w:r>
      <w:r>
        <w:rPr>
          <w:rFonts w:hint="eastAsia" w:ascii="宋体" w:hAnsi="宋体" w:eastAsia="宋体" w:cs="宋体"/>
          <w:color w:val="auto"/>
          <w:kern w:val="0"/>
          <w:sz w:val="24"/>
          <w:highlight w:val="none"/>
        </w:rPr>
        <w:t>的</w:t>
      </w:r>
      <w:r>
        <w:rPr>
          <w:rFonts w:hint="eastAsia" w:ascii="宋体" w:hAnsi="宋体" w:eastAsia="宋体" w:cs="宋体"/>
          <w:color w:val="auto"/>
          <w:kern w:val="0"/>
          <w:sz w:val="24"/>
          <w:highlight w:val="none"/>
          <w:u w:val="single"/>
        </w:rPr>
        <w:t>（投标人名称）</w:t>
      </w:r>
      <w:r>
        <w:rPr>
          <w:rFonts w:hint="eastAsia" w:ascii="宋体" w:hAnsi="宋体" w:eastAsia="宋体" w:cs="宋体"/>
          <w:color w:val="auto"/>
          <w:kern w:val="0"/>
          <w:sz w:val="24"/>
          <w:highlight w:val="none"/>
        </w:rPr>
        <w:t>法定代表人（负责人）</w:t>
      </w:r>
      <w:r>
        <w:rPr>
          <w:rFonts w:hint="eastAsia" w:ascii="宋体" w:hAnsi="宋体" w:eastAsia="宋体" w:cs="宋体"/>
          <w:color w:val="auto"/>
          <w:kern w:val="0"/>
          <w:sz w:val="24"/>
          <w:highlight w:val="none"/>
          <w:u w:val="single"/>
        </w:rPr>
        <w:t>姓名、职务或职称）</w:t>
      </w:r>
      <w:r>
        <w:rPr>
          <w:rFonts w:hint="eastAsia" w:ascii="宋体" w:hAnsi="宋体" w:eastAsia="宋体" w:cs="宋体"/>
          <w:color w:val="auto"/>
          <w:kern w:val="0"/>
          <w:sz w:val="24"/>
          <w:highlight w:val="none"/>
        </w:rPr>
        <w:t>代表本公司授权</w:t>
      </w:r>
      <w:r>
        <w:rPr>
          <w:rFonts w:hint="eastAsia" w:ascii="宋体" w:hAnsi="宋体" w:eastAsia="宋体" w:cs="宋体"/>
          <w:color w:val="auto"/>
          <w:kern w:val="0"/>
          <w:sz w:val="24"/>
          <w:highlight w:val="none"/>
          <w:u w:val="single"/>
        </w:rPr>
        <w:t>（姓名）</w:t>
      </w:r>
      <w:r>
        <w:rPr>
          <w:rFonts w:hint="eastAsia" w:ascii="宋体" w:hAnsi="宋体" w:eastAsia="宋体" w:cs="宋体"/>
          <w:color w:val="auto"/>
          <w:kern w:val="0"/>
          <w:sz w:val="24"/>
          <w:highlight w:val="none"/>
        </w:rPr>
        <w:t>为本单位的合法代理人，参与贵方组织的</w:t>
      </w:r>
      <w:r>
        <w:rPr>
          <w:rFonts w:hint="eastAsia" w:ascii="宋体" w:hAnsi="宋体" w:eastAsia="宋体" w:cs="宋体"/>
          <w:color w:val="auto"/>
          <w:kern w:val="0"/>
          <w:sz w:val="24"/>
          <w:highlight w:val="none"/>
          <w:u w:val="single"/>
        </w:rPr>
        <w:t>（项目名称及项目编号）</w:t>
      </w:r>
      <w:r>
        <w:rPr>
          <w:rFonts w:hint="eastAsia" w:ascii="宋体" w:hAnsi="宋体" w:eastAsia="宋体" w:cs="宋体"/>
          <w:color w:val="auto"/>
          <w:kern w:val="0"/>
          <w:sz w:val="24"/>
          <w:highlight w:val="none"/>
        </w:rPr>
        <w:t xml:space="preserve"> 的投标、谈判、签约等具体工作，并签署全部有关文件、协议及合同。</w:t>
      </w:r>
    </w:p>
    <w:p w14:paraId="05B7BD8B">
      <w:pPr>
        <w:adjustRightInd w:val="0"/>
        <w:snapToGrid w:val="0"/>
        <w:spacing w:line="420" w:lineRule="exact"/>
        <w:ind w:firstLine="49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我单位对被授权人的上述经济活动负全部责任。在撤销授权的书面通知前，本授权书一直有效。被授权人在授权书有效期内签署的所有文件不因授权的撤消而失效。</w:t>
      </w:r>
    </w:p>
    <w:p w14:paraId="58094CC4">
      <w:pPr>
        <w:pStyle w:val="10"/>
        <w:kinsoku w:val="0"/>
        <w:overflowPunct w:val="0"/>
        <w:adjustRightInd w:val="0"/>
        <w:snapToGrid w:val="0"/>
        <w:spacing w:before="12"/>
        <w:rPr>
          <w:rFonts w:hint="eastAsia" w:ascii="宋体" w:hAnsi="宋体" w:eastAsia="宋体" w:cs="宋体"/>
          <w:color w:val="auto"/>
          <w:sz w:val="4"/>
          <w:szCs w:val="4"/>
          <w:highlight w:val="none"/>
        </w:rPr>
      </w:pPr>
    </w:p>
    <w:p w14:paraId="70B15767">
      <w:pPr>
        <w:pStyle w:val="10"/>
        <w:numPr>
          <w:ilvl w:val="0"/>
          <w:numId w:val="0"/>
        </w:numPr>
        <w:kinsoku w:val="0"/>
        <w:overflowPunct w:val="0"/>
        <w:adjustRightInd w:val="0"/>
        <w:snapToGrid w:val="0"/>
        <w:spacing w:line="200" w:lineRule="atLeast"/>
        <w:ind w:right="1709" w:rightChars="795"/>
        <w:jc w:val="center"/>
        <w:rPr>
          <w:rFonts w:hint="eastAsia" w:ascii="宋体" w:hAnsi="宋体" w:eastAsia="宋体" w:cs="宋体"/>
          <w:color w:val="auto"/>
          <w:sz w:val="18"/>
          <w:szCs w:val="20"/>
          <w:highlight w:val="none"/>
        </w:rPr>
      </w:pPr>
      <w:r>
        <w:rPr>
          <w:rFonts w:hint="eastAsia" w:ascii="宋体" w:hAnsi="宋体" w:eastAsia="宋体" w:cs="宋体"/>
          <w:color w:val="auto"/>
          <w:sz w:val="18"/>
          <w:szCs w:val="20"/>
          <w:highlight w:val="none"/>
        </w:rPr>
        <mc:AlternateContent>
          <mc:Choice Requires="wpg">
            <w:drawing>
              <wp:inline distT="0" distB="0" distL="114300" distR="114300">
                <wp:extent cx="5136515" cy="1458595"/>
                <wp:effectExtent l="0" t="0" r="8255" b="9525"/>
                <wp:docPr id="35" name="组合 35"/>
                <wp:cNvGraphicFramePr/>
                <a:graphic xmlns:a="http://schemas.openxmlformats.org/drawingml/2006/main">
                  <a:graphicData uri="http://schemas.microsoft.com/office/word/2010/wordprocessingGroup">
                    <wpg:wgp>
                      <wpg:cNvGrpSpPr>
                        <a:grpSpLocks noRot="1"/>
                      </wpg:cNvGrpSpPr>
                      <wpg:grpSpPr>
                        <a:xfrm>
                          <a:off x="0" y="0"/>
                          <a:ext cx="5136515" cy="1458595"/>
                          <a:chOff x="0" y="0"/>
                          <a:chExt cx="8089" cy="2297"/>
                        </a:xfrm>
                        <a:effectLst/>
                      </wpg:grpSpPr>
                      <wps:wsp>
                        <wps:cNvPr id="30" name="任意多边形 1"/>
                        <wps:cNvSpPr/>
                        <wps:spPr>
                          <a:xfrm>
                            <a:off x="4" y="9"/>
                            <a:ext cx="8079" cy="20"/>
                          </a:xfrm>
                          <a:custGeom>
                            <a:avLst/>
                            <a:gdLst/>
                            <a:ahLst/>
                            <a:cxnLst/>
                            <a:pathLst>
                              <a:path w="8079" h="20">
                                <a:moveTo>
                                  <a:pt x="0" y="0"/>
                                </a:moveTo>
                                <a:lnTo>
                                  <a:pt x="8078" y="0"/>
                                </a:lnTo>
                              </a:path>
                            </a:pathLst>
                          </a:custGeom>
                          <a:noFill/>
                          <a:ln w="6096" cap="flat" cmpd="sng">
                            <a:solidFill>
                              <a:srgbClr val="000000"/>
                            </a:solidFill>
                            <a:prstDash val="solid"/>
                            <a:headEnd type="none" w="med" len="med"/>
                            <a:tailEnd type="none" w="med" len="med"/>
                          </a:ln>
                          <a:effectLst/>
                        </wps:spPr>
                        <wps:bodyPr upright="1"/>
                      </wps:wsp>
                      <wps:wsp>
                        <wps:cNvPr id="31" name="任意多边形 2"/>
                        <wps:cNvSpPr/>
                        <wps:spPr>
                          <a:xfrm>
                            <a:off x="24" y="28"/>
                            <a:ext cx="8041" cy="20"/>
                          </a:xfrm>
                          <a:custGeom>
                            <a:avLst/>
                            <a:gdLst/>
                            <a:ahLst/>
                            <a:cxnLst/>
                            <a:pathLst>
                              <a:path w="8041" h="20">
                                <a:moveTo>
                                  <a:pt x="0" y="0"/>
                                </a:moveTo>
                                <a:lnTo>
                                  <a:pt x="8040" y="0"/>
                                </a:lnTo>
                              </a:path>
                            </a:pathLst>
                          </a:custGeom>
                          <a:noFill/>
                          <a:ln w="6096" cap="flat" cmpd="sng">
                            <a:solidFill>
                              <a:srgbClr val="000000"/>
                            </a:solidFill>
                            <a:prstDash val="solid"/>
                            <a:headEnd type="none" w="med" len="med"/>
                            <a:tailEnd type="none" w="med" len="med"/>
                          </a:ln>
                          <a:effectLst/>
                        </wps:spPr>
                        <wps:bodyPr upright="1"/>
                      </wps:wsp>
                      <wps:wsp>
                        <wps:cNvPr id="32" name="任意多边形 3"/>
                        <wps:cNvSpPr/>
                        <wps:spPr>
                          <a:xfrm>
                            <a:off x="24" y="2267"/>
                            <a:ext cx="8041" cy="20"/>
                          </a:xfrm>
                          <a:custGeom>
                            <a:avLst/>
                            <a:gdLst/>
                            <a:ahLst/>
                            <a:cxnLst/>
                            <a:pathLst>
                              <a:path w="8041" h="20">
                                <a:moveTo>
                                  <a:pt x="0" y="0"/>
                                </a:moveTo>
                                <a:lnTo>
                                  <a:pt x="8040" y="0"/>
                                </a:lnTo>
                              </a:path>
                            </a:pathLst>
                          </a:custGeom>
                          <a:noFill/>
                          <a:ln w="6096" cap="flat" cmpd="sng">
                            <a:solidFill>
                              <a:srgbClr val="000000"/>
                            </a:solidFill>
                            <a:prstDash val="solid"/>
                            <a:headEnd type="none" w="med" len="med"/>
                            <a:tailEnd type="none" w="med" len="med"/>
                          </a:ln>
                          <a:effectLst/>
                        </wps:spPr>
                        <wps:bodyPr upright="1"/>
                      </wps:wsp>
                      <wps:wsp>
                        <wps:cNvPr id="33" name="任意多边形 4"/>
                        <wps:cNvSpPr/>
                        <wps:spPr>
                          <a:xfrm>
                            <a:off x="4" y="2286"/>
                            <a:ext cx="8079" cy="20"/>
                          </a:xfrm>
                          <a:custGeom>
                            <a:avLst/>
                            <a:gdLst/>
                            <a:ahLst/>
                            <a:cxnLst/>
                            <a:pathLst>
                              <a:path w="8079" h="20">
                                <a:moveTo>
                                  <a:pt x="0" y="0"/>
                                </a:moveTo>
                                <a:lnTo>
                                  <a:pt x="8078" y="0"/>
                                </a:lnTo>
                              </a:path>
                            </a:pathLst>
                          </a:custGeom>
                          <a:noFill/>
                          <a:ln w="6096" cap="flat" cmpd="sng">
                            <a:solidFill>
                              <a:srgbClr val="000000"/>
                            </a:solidFill>
                            <a:prstDash val="solid"/>
                            <a:headEnd type="none" w="med" len="med"/>
                            <a:tailEnd type="none" w="med" len="med"/>
                          </a:ln>
                          <a:effectLst/>
                        </wps:spPr>
                        <wps:bodyPr upright="1"/>
                      </wps:wsp>
                      <wps:wsp>
                        <wps:cNvPr id="49" name="任意多边形 5"/>
                        <wps:cNvSpPr/>
                        <wps:spPr>
                          <a:xfrm>
                            <a:off x="9" y="4"/>
                            <a:ext cx="20" cy="2287"/>
                          </a:xfrm>
                          <a:custGeom>
                            <a:avLst/>
                            <a:gdLst/>
                            <a:ahLst/>
                            <a:cxnLst/>
                            <a:pathLst>
                              <a:path w="20" h="2287">
                                <a:moveTo>
                                  <a:pt x="0" y="0"/>
                                </a:moveTo>
                                <a:lnTo>
                                  <a:pt x="0" y="2286"/>
                                </a:lnTo>
                              </a:path>
                            </a:pathLst>
                          </a:custGeom>
                          <a:noFill/>
                          <a:ln w="6096" cap="flat" cmpd="sng">
                            <a:solidFill>
                              <a:srgbClr val="000000"/>
                            </a:solidFill>
                            <a:prstDash val="solid"/>
                            <a:headEnd type="none" w="med" len="med"/>
                            <a:tailEnd type="none" w="med" len="med"/>
                          </a:ln>
                          <a:effectLst/>
                        </wps:spPr>
                        <wps:bodyPr upright="1"/>
                      </wps:wsp>
                      <wps:wsp>
                        <wps:cNvPr id="50" name="任意多边形 6"/>
                        <wps:cNvSpPr/>
                        <wps:spPr>
                          <a:xfrm>
                            <a:off x="28" y="24"/>
                            <a:ext cx="20" cy="2249"/>
                          </a:xfrm>
                          <a:custGeom>
                            <a:avLst/>
                            <a:gdLst/>
                            <a:ahLst/>
                            <a:cxnLst/>
                            <a:pathLst>
                              <a:path w="20" h="2249">
                                <a:moveTo>
                                  <a:pt x="0" y="0"/>
                                </a:moveTo>
                                <a:lnTo>
                                  <a:pt x="0" y="2248"/>
                                </a:lnTo>
                              </a:path>
                            </a:pathLst>
                          </a:custGeom>
                          <a:noFill/>
                          <a:ln w="6096" cap="flat" cmpd="sng">
                            <a:solidFill>
                              <a:srgbClr val="000000"/>
                            </a:solidFill>
                            <a:prstDash val="solid"/>
                            <a:headEnd type="none" w="med" len="med"/>
                            <a:tailEnd type="none" w="med" len="med"/>
                          </a:ln>
                          <a:effectLst/>
                        </wps:spPr>
                        <wps:bodyPr upright="1"/>
                      </wps:wsp>
                      <wps:wsp>
                        <wps:cNvPr id="51" name="任意多边形 7"/>
                        <wps:cNvSpPr/>
                        <wps:spPr>
                          <a:xfrm>
                            <a:off x="4034" y="24"/>
                            <a:ext cx="20" cy="2239"/>
                          </a:xfrm>
                          <a:custGeom>
                            <a:avLst/>
                            <a:gdLst/>
                            <a:ahLst/>
                            <a:cxnLst/>
                            <a:pathLst>
                              <a:path w="20" h="2239">
                                <a:moveTo>
                                  <a:pt x="0" y="0"/>
                                </a:moveTo>
                                <a:lnTo>
                                  <a:pt x="0" y="2238"/>
                                </a:lnTo>
                              </a:path>
                            </a:pathLst>
                          </a:custGeom>
                          <a:noFill/>
                          <a:ln w="6096" cap="flat" cmpd="sng">
                            <a:solidFill>
                              <a:srgbClr val="000000"/>
                            </a:solidFill>
                            <a:prstDash val="solid"/>
                            <a:headEnd type="none" w="med" len="med"/>
                            <a:tailEnd type="none" w="med" len="med"/>
                          </a:ln>
                          <a:effectLst/>
                        </wps:spPr>
                        <wps:bodyPr upright="1"/>
                      </wps:wsp>
                      <wps:wsp>
                        <wps:cNvPr id="52" name="任意多边形 8"/>
                        <wps:cNvSpPr/>
                        <wps:spPr>
                          <a:xfrm>
                            <a:off x="4053" y="24"/>
                            <a:ext cx="20" cy="2239"/>
                          </a:xfrm>
                          <a:custGeom>
                            <a:avLst/>
                            <a:gdLst/>
                            <a:ahLst/>
                            <a:cxnLst/>
                            <a:pathLst>
                              <a:path w="20" h="2239">
                                <a:moveTo>
                                  <a:pt x="0" y="0"/>
                                </a:moveTo>
                                <a:lnTo>
                                  <a:pt x="0" y="2238"/>
                                </a:lnTo>
                              </a:path>
                            </a:pathLst>
                          </a:custGeom>
                          <a:noFill/>
                          <a:ln w="6096" cap="flat" cmpd="sng">
                            <a:solidFill>
                              <a:srgbClr val="000000"/>
                            </a:solidFill>
                            <a:prstDash val="solid"/>
                            <a:headEnd type="none" w="med" len="med"/>
                            <a:tailEnd type="none" w="med" len="med"/>
                          </a:ln>
                          <a:effectLst/>
                        </wps:spPr>
                        <wps:bodyPr upright="1"/>
                      </wps:wsp>
                      <wps:wsp>
                        <wps:cNvPr id="53" name="任意多边形 9"/>
                        <wps:cNvSpPr/>
                        <wps:spPr>
                          <a:xfrm>
                            <a:off x="8059" y="33"/>
                            <a:ext cx="20" cy="2239"/>
                          </a:xfrm>
                          <a:custGeom>
                            <a:avLst/>
                            <a:gdLst/>
                            <a:ahLst/>
                            <a:cxnLst/>
                            <a:pathLst>
                              <a:path w="20" h="2239">
                                <a:moveTo>
                                  <a:pt x="0" y="0"/>
                                </a:moveTo>
                                <a:lnTo>
                                  <a:pt x="0" y="2238"/>
                                </a:lnTo>
                              </a:path>
                            </a:pathLst>
                          </a:custGeom>
                          <a:noFill/>
                          <a:ln w="6096" cap="flat" cmpd="sng">
                            <a:solidFill>
                              <a:srgbClr val="000000"/>
                            </a:solidFill>
                            <a:prstDash val="solid"/>
                            <a:headEnd type="none" w="med" len="med"/>
                            <a:tailEnd type="none" w="med" len="med"/>
                          </a:ln>
                          <a:effectLst/>
                        </wps:spPr>
                        <wps:bodyPr upright="1"/>
                      </wps:wsp>
                      <wps:wsp>
                        <wps:cNvPr id="54" name="任意多边形 10"/>
                        <wps:cNvSpPr/>
                        <wps:spPr>
                          <a:xfrm>
                            <a:off x="8078" y="14"/>
                            <a:ext cx="20" cy="2278"/>
                          </a:xfrm>
                          <a:custGeom>
                            <a:avLst/>
                            <a:gdLst/>
                            <a:ahLst/>
                            <a:cxnLst/>
                            <a:pathLst>
                              <a:path w="20" h="2278">
                                <a:moveTo>
                                  <a:pt x="0" y="0"/>
                                </a:moveTo>
                                <a:lnTo>
                                  <a:pt x="0" y="2277"/>
                                </a:lnTo>
                              </a:path>
                            </a:pathLst>
                          </a:custGeom>
                          <a:noFill/>
                          <a:ln w="6096" cap="flat" cmpd="sng">
                            <a:solidFill>
                              <a:srgbClr val="000000"/>
                            </a:solidFill>
                            <a:prstDash val="solid"/>
                            <a:headEnd type="none" w="med" len="med"/>
                            <a:tailEnd type="none" w="med" len="med"/>
                          </a:ln>
                          <a:effectLst/>
                        </wps:spPr>
                        <wps:bodyPr upright="1"/>
                      </wps:wsp>
                      <wps:wsp>
                        <wps:cNvPr id="55" name="文本框 11"/>
                        <wps:cNvSpPr txBox="1"/>
                        <wps:spPr>
                          <a:xfrm>
                            <a:off x="19" y="19"/>
                            <a:ext cx="4025" cy="2258"/>
                          </a:xfrm>
                          <a:prstGeom prst="rect">
                            <a:avLst/>
                          </a:prstGeom>
                          <a:noFill/>
                          <a:ln>
                            <a:noFill/>
                          </a:ln>
                          <a:effectLst/>
                        </wps:spPr>
                        <wps:txbx>
                          <w:txbxContent>
                            <w:p w14:paraId="294880C6">
                              <w:pPr>
                                <w:pStyle w:val="10"/>
                                <w:numPr>
                                  <w:ilvl w:val="0"/>
                                  <w:numId w:val="0"/>
                                </w:numPr>
                                <w:kinsoku w:val="0"/>
                                <w:overflowPunct w:val="0"/>
                                <w:spacing w:before="12"/>
                                <w:ind w:leftChars="0" w:right="0" w:rightChars="0"/>
                                <w:jc w:val="right"/>
                                <w:rPr>
                                  <w:rFonts w:hint="eastAsia"/>
                                  <w:sz w:val="28"/>
                                  <w:szCs w:val="28"/>
                                </w:rPr>
                              </w:pPr>
                            </w:p>
                            <w:p w14:paraId="4BD4665C">
                              <w:pPr>
                                <w:pStyle w:val="10"/>
                                <w:numPr>
                                  <w:ilvl w:val="0"/>
                                  <w:numId w:val="0"/>
                                </w:numPr>
                                <w:kinsoku w:val="0"/>
                                <w:overflowPunct w:val="0"/>
                                <w:ind w:right="0" w:rightChars="0"/>
                                <w:jc w:val="center"/>
                                <w:rPr>
                                  <w:rFonts w:hint="eastAsia"/>
                                </w:rPr>
                              </w:pPr>
                            </w:p>
                            <w:p w14:paraId="02C2C89A">
                              <w:pPr>
                                <w:pStyle w:val="10"/>
                                <w:numPr>
                                  <w:ilvl w:val="0"/>
                                  <w:numId w:val="0"/>
                                </w:numPr>
                                <w:kinsoku w:val="0"/>
                                <w:overflowPunct w:val="0"/>
                                <w:ind w:right="0" w:rightChars="0"/>
                                <w:jc w:val="center"/>
                              </w:pPr>
                              <w:r>
                                <w:rPr>
                                  <w:rFonts w:hint="eastAsia"/>
                                </w:rPr>
                                <w:t>法定代表人身份证复印件（正面）</w:t>
                              </w:r>
                            </w:p>
                            <w:p w14:paraId="644ADA4F">
                              <w:pPr>
                                <w:pStyle w:val="10"/>
                                <w:numPr>
                                  <w:ilvl w:val="0"/>
                                  <w:numId w:val="0"/>
                                </w:numPr>
                                <w:kinsoku w:val="0"/>
                                <w:overflowPunct w:val="0"/>
                                <w:ind w:right="0" w:rightChars="0"/>
                                <w:jc w:val="center"/>
                              </w:pPr>
                            </w:p>
                          </w:txbxContent>
                        </wps:txbx>
                        <wps:bodyPr lIns="0" tIns="0" rIns="0" bIns="0" upright="1"/>
                      </wps:wsp>
                      <wps:wsp>
                        <wps:cNvPr id="56" name="文本框 12"/>
                        <wps:cNvSpPr txBox="1"/>
                        <wps:spPr>
                          <a:xfrm>
                            <a:off x="4044" y="19"/>
                            <a:ext cx="4025" cy="2258"/>
                          </a:xfrm>
                          <a:prstGeom prst="rect">
                            <a:avLst/>
                          </a:prstGeom>
                          <a:noFill/>
                          <a:ln>
                            <a:noFill/>
                          </a:ln>
                          <a:effectLst/>
                        </wps:spPr>
                        <wps:txbx>
                          <w:txbxContent>
                            <w:p w14:paraId="56C7E08F">
                              <w:pPr>
                                <w:pStyle w:val="10"/>
                                <w:numPr>
                                  <w:ilvl w:val="0"/>
                                  <w:numId w:val="0"/>
                                </w:numPr>
                                <w:kinsoku w:val="0"/>
                                <w:overflowPunct w:val="0"/>
                                <w:ind w:right="0" w:rightChars="0"/>
                                <w:rPr>
                                  <w:rFonts w:hint="eastAsia"/>
                                </w:rPr>
                              </w:pPr>
                            </w:p>
                            <w:p w14:paraId="419AC1E6">
                              <w:pPr>
                                <w:pStyle w:val="10"/>
                                <w:numPr>
                                  <w:ilvl w:val="0"/>
                                  <w:numId w:val="0"/>
                                </w:numPr>
                                <w:kinsoku w:val="0"/>
                                <w:overflowPunct w:val="0"/>
                                <w:ind w:right="0" w:rightChars="0"/>
                                <w:rPr>
                                  <w:rFonts w:hint="eastAsia"/>
                                </w:rPr>
                              </w:pPr>
                            </w:p>
                            <w:p w14:paraId="7B6ED310">
                              <w:pPr>
                                <w:pStyle w:val="10"/>
                                <w:numPr>
                                  <w:ilvl w:val="0"/>
                                  <w:numId w:val="0"/>
                                </w:numPr>
                                <w:kinsoku w:val="0"/>
                                <w:overflowPunct w:val="0"/>
                                <w:ind w:right="0" w:rightChars="0"/>
                                <w:jc w:val="center"/>
                              </w:pPr>
                              <w:r>
                                <w:rPr>
                                  <w:rFonts w:hint="eastAsia"/>
                                </w:rPr>
                                <w:t>法定代表人身份证复印件（反面）</w:t>
                              </w:r>
                            </w:p>
                          </w:txbxContent>
                        </wps:txbx>
                        <wps:bodyPr lIns="0" tIns="0" rIns="0" bIns="0" upright="1"/>
                      </wps:wsp>
                    </wpg:wgp>
                  </a:graphicData>
                </a:graphic>
              </wp:inline>
            </w:drawing>
          </mc:Choice>
          <mc:Fallback>
            <w:pict>
              <v:group id="_x0000_s1026" o:spid="_x0000_s1026" o:spt="203" style="height:114.85pt;width:404.45pt;" coordsize="8089,2297" o:gfxdata="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">
                <o:lock v:ext="edit" rotation="t" aspectratio="f"/>
                <v:shape id="任意多边形 1" o:spid="_x0000_s1026" o:spt="100" style="position:absolute;left:4;top:9;height:20;width:8079;" filled="f" stroked="t" coordsize="8079,20" o:gfxdata="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4Qfqa5AAAA2wAA&#10;AA8AAAAAAAAAAQAgAAAAIgAAAGRycy9kb3ducmV2LnhtbFBLAQIUABQAAAAIAIdO4kAzLwWeOwAA&#10;ADkAAAAQAAAAAAAAAAEAIAAAAAgBAABkcnMvc2hhcGV4bWwueG1sUEsFBgAAAAAGAAYAWwEAALID&#10;AAAAAA==&#10;" path="m0,0l8078,0e">
                  <v:fill on="f" focussize="0,0"/>
                  <v:stroke weight="0.48pt" color="#000000" joinstyle="round"/>
                  <v:imagedata o:title=""/>
                  <o:lock v:ext="edit" aspectratio="f"/>
                </v:shape>
                <v:shape id="任意多边形 2" o:spid="_x0000_s1026" o:spt="100" style="position:absolute;left:24;top:28;height:20;width:8041;" filled="f" stroked="t" coordsize="8041,20" o:gfxdata="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Yq4tvQAA&#10;ANsAAAAPAAAAAAAAAAEAIAAAACIAAABkcnMvZG93bnJldi54bWxQSwECFAAUAAAACACHTuJAMy8F&#10;njsAAAA5AAAAEAAAAAAAAAABACAAAAAMAQAAZHJzL3NoYXBleG1sLnhtbFBLBQYAAAAABgAGAFsB&#10;AAC2AwAAAAA=&#10;" path="m0,0l8040,0e">
                  <v:fill on="f" focussize="0,0"/>
                  <v:stroke weight="0.48pt" color="#000000" joinstyle="round"/>
                  <v:imagedata o:title=""/>
                  <o:lock v:ext="edit" aspectratio="f"/>
                </v:shape>
                <v:shape id="任意多边形 3" o:spid="_x0000_s1026" o:spt="100" style="position:absolute;left:24;top:2267;height:20;width:8041;" filled="f" stroked="t" coordsize="8041,20" o:gfxdata="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sDBavQAA&#10;ANsAAAAPAAAAAAAAAAEAIAAAACIAAABkcnMvZG93bnJldi54bWxQSwECFAAUAAAACACHTuJAMy8F&#10;njsAAAA5AAAAEAAAAAAAAAABACAAAAAMAQAAZHJzL3NoYXBleG1sLnhtbFBLBQYAAAAABgAGAFsB&#10;AAC2AwAAAAA=&#10;" path="m0,0l8040,0e">
                  <v:fill on="f" focussize="0,0"/>
                  <v:stroke weight="0.48pt" color="#000000" joinstyle="round"/>
                  <v:imagedata o:title=""/>
                  <o:lock v:ext="edit" aspectratio="f"/>
                </v:shape>
                <v:shape id="任意多边形 4" o:spid="_x0000_s1026" o:spt="100" style="position:absolute;left:4;top:2286;height:20;width:8079;" filled="f" stroked="t" coordsize="8079,20" o:gfxdata="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7C4NG8AAAA&#10;2wAAAA8AAAAAAAAAAQAgAAAAIgAAAGRycy9kb3ducmV2LnhtbFBLAQIUABQAAAAIAIdO4kAzLwWe&#10;OwAAADkAAAAQAAAAAAAAAAEAIAAAAAsBAABkcnMvc2hhcGV4bWwueG1sUEsFBgAAAAAGAAYAWwEA&#10;ALUDAAAAAA==&#10;" path="m0,0l8078,0e">
                  <v:fill on="f" focussize="0,0"/>
                  <v:stroke weight="0.48pt" color="#000000" joinstyle="round"/>
                  <v:imagedata o:title=""/>
                  <o:lock v:ext="edit" aspectratio="f"/>
                </v:shape>
                <v:shape id="任意多边形 5" o:spid="_x0000_s1026" o:spt="100" style="position:absolute;left:9;top:4;height:2287;width:20;" filled="f" stroked="t" coordsize="20,2287" o:gfxdata="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GicNS8AAAA&#10;2wAAAA8AAAAAAAAAAQAgAAAAIgAAAGRycy9kb3ducmV2LnhtbFBLAQIUABQAAAAIAIdO4kAzLwWe&#10;OwAAADkAAAAQAAAAAAAAAAEAIAAAAAsBAABkcnMvc2hhcGV4bWwueG1sUEsFBgAAAAAGAAYAWwEA&#10;ALUDAAAAAA==&#10;" path="m0,0l0,2286e">
                  <v:fill on="f" focussize="0,0"/>
                  <v:stroke weight="0.48pt" color="#000000" joinstyle="round"/>
                  <v:imagedata o:title=""/>
                  <o:lock v:ext="edit" aspectratio="f"/>
                </v:shape>
                <v:shape id="任意多边形 6" o:spid="_x0000_s1026" o:spt="100" style="position:absolute;left:28;top:24;height:2249;width:20;" filled="f" stroked="t" coordsize="20,2249" o:gfxdata="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IyZ068AAAA&#10;2wAAAA8AAAAAAAAAAQAgAAAAIgAAAGRycy9kb3ducmV2LnhtbFBLAQIUABQAAAAIAIdO4kAzLwWe&#10;OwAAADkAAAAQAAAAAAAAAAEAIAAAAAsBAABkcnMvc2hhcGV4bWwueG1sUEsFBgAAAAAGAAYAWwEA&#10;ALUDAAAAAA==&#10;" path="m0,0l0,2248e">
                  <v:fill on="f" focussize="0,0"/>
                  <v:stroke weight="0.48pt" color="#000000" joinstyle="round"/>
                  <v:imagedata o:title=""/>
                  <o:lock v:ext="edit" aspectratio="f"/>
                </v:shape>
                <v:shape id="任意多边形 7" o:spid="_x0000_s1026" o:spt="100" style="position:absolute;left:4034;top:24;height:2239;width:20;" filled="f" stroked="t" coordsize="20,2239" o:gfxdata="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syJHQugAAANsA&#10;AAAPAAAAAAAAAAEAIAAAACIAAABkcnMvZG93bnJldi54bWxQSwECFAAUAAAACACHTuJAMy8FnjsA&#10;AAA5AAAAEAAAAAAAAAABACAAAAAJAQAAZHJzL3NoYXBleG1sLnhtbFBLBQYAAAAABgAGAFsBAACz&#10;AwAAAAA=&#10;" path="m0,0l0,2238e">
                  <v:fill on="f" focussize="0,0"/>
                  <v:stroke weight="0.48pt" color="#000000" joinstyle="round"/>
                  <v:imagedata o:title=""/>
                  <o:lock v:ext="edit" aspectratio="f"/>
                </v:shape>
                <v:shape id="任意多边形 8" o:spid="_x0000_s1026" o:spt="100" style="position:absolute;left:4053;top:24;height:2239;width:20;" filled="f" stroked="t" coordsize="20,2239" o:gfxdata="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waD6e5AAAA2wAA&#10;AA8AAAAAAAAAAQAgAAAAIgAAAGRycy9kb3ducmV2LnhtbFBLAQIUABQAAAAIAIdO4kAzLwWeOwAA&#10;ADkAAAAQAAAAAAAAAAEAIAAAAAgBAABkcnMvc2hhcGV4bWwueG1sUEsFBgAAAAAGAAYAWwEAALID&#10;AAAAAA==&#10;" path="m0,0l0,2238e">
                  <v:fill on="f" focussize="0,0"/>
                  <v:stroke weight="0.48pt" color="#000000" joinstyle="round"/>
                  <v:imagedata o:title=""/>
                  <o:lock v:ext="edit" aspectratio="f"/>
                </v:shape>
                <v:shape id="任意多边形 9" o:spid="_x0000_s1026" o:spt="100" style="position:absolute;left:8059;top:33;height:2239;width:20;" filled="f" stroked="t" coordsize="20,2239" o:gfxdata="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zVqo8ugAAANsA&#10;AAAPAAAAAAAAAAEAIAAAACIAAABkcnMvZG93bnJldi54bWxQSwECFAAUAAAACACHTuJAMy8FnjsA&#10;AAA5AAAAEAAAAAAAAAABACAAAAAJAQAAZHJzL3NoYXBleG1sLnhtbFBLBQYAAAAABgAGAFsBAACz&#10;AwAAAAA=&#10;" path="m0,0l0,2238e">
                  <v:fill on="f" focussize="0,0"/>
                  <v:stroke weight="0.48pt" color="#000000" joinstyle="round"/>
                  <v:imagedata o:title=""/>
                  <o:lock v:ext="edit" aspectratio="f"/>
                </v:shape>
                <v:shape id="任意多边形 10" o:spid="_x0000_s1026" o:spt="100" style="position:absolute;left:8078;top:14;height:2278;width:20;" filled="f" stroked="t" coordsize="20,2278" o:gfxdata="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QGfRr4A&#10;AADbAAAADwAAAAAAAAABACAAAAAiAAAAZHJzL2Rvd25yZXYueG1sUEsBAhQAFAAAAAgAh07iQDMv&#10;BZ47AAAAOQAAABAAAAAAAAAAAQAgAAAADQEAAGRycy9zaGFwZXhtbC54bWxQSwUGAAAAAAYABgBb&#10;AQAAtwMAAAAA&#10;" path="m0,0l0,2277e">
                  <v:fill on="f" focussize="0,0"/>
                  <v:stroke weight="0.48pt" color="#000000" joinstyle="round"/>
                  <v:imagedata o:title=""/>
                  <o:lock v:ext="edit" aspectratio="f"/>
                </v:shape>
                <v:shape id="文本框 11" o:spid="_x0000_s1026" o:spt="202" type="#_x0000_t202" style="position:absolute;left:19;top:19;height:2258;width:4025;" filled="f" stroked="f" coordsize="21600,21600" o:gfxdata="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Bfr4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94880C6">
                        <w:pPr>
                          <w:pStyle w:val="10"/>
                          <w:numPr>
                            <w:ilvl w:val="0"/>
                            <w:numId w:val="0"/>
                          </w:numPr>
                          <w:kinsoku w:val="0"/>
                          <w:overflowPunct w:val="0"/>
                          <w:spacing w:before="12"/>
                          <w:ind w:leftChars="0" w:right="0" w:rightChars="0"/>
                          <w:jc w:val="right"/>
                          <w:rPr>
                            <w:rFonts w:hint="eastAsia"/>
                            <w:sz w:val="28"/>
                            <w:szCs w:val="28"/>
                          </w:rPr>
                        </w:pPr>
                      </w:p>
                      <w:p w14:paraId="4BD4665C">
                        <w:pPr>
                          <w:pStyle w:val="10"/>
                          <w:numPr>
                            <w:ilvl w:val="0"/>
                            <w:numId w:val="0"/>
                          </w:numPr>
                          <w:kinsoku w:val="0"/>
                          <w:overflowPunct w:val="0"/>
                          <w:ind w:right="0" w:rightChars="0"/>
                          <w:jc w:val="center"/>
                          <w:rPr>
                            <w:rFonts w:hint="eastAsia"/>
                          </w:rPr>
                        </w:pPr>
                      </w:p>
                      <w:p w14:paraId="02C2C89A">
                        <w:pPr>
                          <w:pStyle w:val="10"/>
                          <w:numPr>
                            <w:ilvl w:val="0"/>
                            <w:numId w:val="0"/>
                          </w:numPr>
                          <w:kinsoku w:val="0"/>
                          <w:overflowPunct w:val="0"/>
                          <w:ind w:right="0" w:rightChars="0"/>
                          <w:jc w:val="center"/>
                        </w:pPr>
                        <w:r>
                          <w:rPr>
                            <w:rFonts w:hint="eastAsia"/>
                          </w:rPr>
                          <w:t>法定代表人身份证复印件（正面）</w:t>
                        </w:r>
                      </w:p>
                      <w:p w14:paraId="644ADA4F">
                        <w:pPr>
                          <w:pStyle w:val="10"/>
                          <w:numPr>
                            <w:ilvl w:val="0"/>
                            <w:numId w:val="0"/>
                          </w:numPr>
                          <w:kinsoku w:val="0"/>
                          <w:overflowPunct w:val="0"/>
                          <w:ind w:right="0" w:rightChars="0"/>
                          <w:jc w:val="center"/>
                        </w:pPr>
                      </w:p>
                    </w:txbxContent>
                  </v:textbox>
                </v:shape>
                <v:shape id="文本框 12" o:spid="_x0000_s1026" o:spt="202" type="#_x0000_t202" style="position:absolute;left:4044;top:19;height:2258;width:4025;" filled="f" stroked="f" coordsize="21600,21600" o:gfxdata="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8xXWX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56C7E08F">
                        <w:pPr>
                          <w:pStyle w:val="10"/>
                          <w:numPr>
                            <w:ilvl w:val="0"/>
                            <w:numId w:val="0"/>
                          </w:numPr>
                          <w:kinsoku w:val="0"/>
                          <w:overflowPunct w:val="0"/>
                          <w:ind w:right="0" w:rightChars="0"/>
                          <w:rPr>
                            <w:rFonts w:hint="eastAsia"/>
                          </w:rPr>
                        </w:pPr>
                      </w:p>
                      <w:p w14:paraId="419AC1E6">
                        <w:pPr>
                          <w:pStyle w:val="10"/>
                          <w:numPr>
                            <w:ilvl w:val="0"/>
                            <w:numId w:val="0"/>
                          </w:numPr>
                          <w:kinsoku w:val="0"/>
                          <w:overflowPunct w:val="0"/>
                          <w:ind w:right="0" w:rightChars="0"/>
                          <w:rPr>
                            <w:rFonts w:hint="eastAsia"/>
                          </w:rPr>
                        </w:pPr>
                      </w:p>
                      <w:p w14:paraId="7B6ED310">
                        <w:pPr>
                          <w:pStyle w:val="10"/>
                          <w:numPr>
                            <w:ilvl w:val="0"/>
                            <w:numId w:val="0"/>
                          </w:numPr>
                          <w:kinsoku w:val="0"/>
                          <w:overflowPunct w:val="0"/>
                          <w:ind w:right="0" w:rightChars="0"/>
                          <w:jc w:val="center"/>
                        </w:pPr>
                        <w:r>
                          <w:rPr>
                            <w:rFonts w:hint="eastAsia"/>
                          </w:rPr>
                          <w:t>法定代表人身份证复印件（反面）</w:t>
                        </w:r>
                      </w:p>
                    </w:txbxContent>
                  </v:textbox>
                </v:shape>
                <w10:wrap type="none"/>
                <w10:anchorlock/>
              </v:group>
            </w:pict>
          </mc:Fallback>
        </mc:AlternateContent>
      </w:r>
    </w:p>
    <w:p w14:paraId="79A77BE3">
      <w:pPr>
        <w:pStyle w:val="10"/>
        <w:numPr>
          <w:ilvl w:val="0"/>
          <w:numId w:val="0"/>
        </w:numPr>
        <w:kinsoku w:val="0"/>
        <w:overflowPunct w:val="0"/>
        <w:adjustRightInd w:val="0"/>
        <w:snapToGrid w:val="0"/>
        <w:spacing w:line="200" w:lineRule="atLeast"/>
        <w:ind w:right="0" w:rightChars="0"/>
        <w:rPr>
          <w:rFonts w:hint="eastAsia" w:ascii="宋体" w:hAnsi="宋体" w:eastAsia="宋体" w:cs="宋体"/>
          <w:color w:val="auto"/>
          <w:sz w:val="18"/>
          <w:szCs w:val="20"/>
          <w:highlight w:val="none"/>
        </w:rPr>
      </w:pPr>
      <w:r>
        <w:rPr>
          <w:rFonts w:hint="eastAsia" w:ascii="宋体" w:hAnsi="宋体" w:eastAsia="宋体" w:cs="宋体"/>
          <w:color w:val="auto"/>
          <w:sz w:val="18"/>
          <w:szCs w:val="20"/>
          <w:highlight w:val="none"/>
        </w:rPr>
        <mc:AlternateContent>
          <mc:Choice Requires="wpg">
            <w:drawing>
              <wp:inline distT="0" distB="0" distL="114300" distR="114300">
                <wp:extent cx="5136515" cy="1384935"/>
                <wp:effectExtent l="0" t="0" r="7620" b="6985"/>
                <wp:docPr id="36" name="组合 36"/>
                <wp:cNvGraphicFramePr/>
                <a:graphic xmlns:a="http://schemas.openxmlformats.org/drawingml/2006/main">
                  <a:graphicData uri="http://schemas.microsoft.com/office/word/2010/wordprocessingGroup">
                    <wpg:wgp>
                      <wpg:cNvGrpSpPr>
                        <a:grpSpLocks noRot="1"/>
                      </wpg:cNvGrpSpPr>
                      <wpg:grpSpPr>
                        <a:xfrm>
                          <a:off x="0" y="0"/>
                          <a:ext cx="5136515" cy="1384935"/>
                          <a:chOff x="0" y="0"/>
                          <a:chExt cx="8089" cy="2181"/>
                        </a:xfrm>
                        <a:effectLst/>
                      </wpg:grpSpPr>
                      <wps:wsp>
                        <wps:cNvPr id="37" name="任意多边形 34"/>
                        <wps:cNvSpPr/>
                        <wps:spPr>
                          <a:xfrm>
                            <a:off x="4" y="9"/>
                            <a:ext cx="8079" cy="20"/>
                          </a:xfrm>
                          <a:custGeom>
                            <a:avLst/>
                            <a:gdLst/>
                            <a:ahLst/>
                            <a:cxnLst/>
                            <a:pathLst>
                              <a:path w="8079" h="20">
                                <a:moveTo>
                                  <a:pt x="0" y="0"/>
                                </a:moveTo>
                                <a:lnTo>
                                  <a:pt x="8078" y="0"/>
                                </a:lnTo>
                              </a:path>
                            </a:pathLst>
                          </a:custGeom>
                          <a:noFill/>
                          <a:ln w="6096" cap="flat" cmpd="sng">
                            <a:solidFill>
                              <a:srgbClr val="000000"/>
                            </a:solidFill>
                            <a:prstDash val="solid"/>
                            <a:headEnd type="none" w="med" len="med"/>
                            <a:tailEnd type="none" w="med" len="med"/>
                          </a:ln>
                          <a:effectLst/>
                        </wps:spPr>
                        <wps:bodyPr upright="1"/>
                      </wps:wsp>
                      <wps:wsp>
                        <wps:cNvPr id="38" name="任意多边形 35"/>
                        <wps:cNvSpPr/>
                        <wps:spPr>
                          <a:xfrm>
                            <a:off x="24" y="28"/>
                            <a:ext cx="8041" cy="20"/>
                          </a:xfrm>
                          <a:custGeom>
                            <a:avLst/>
                            <a:gdLst/>
                            <a:ahLst/>
                            <a:cxnLst/>
                            <a:pathLst>
                              <a:path w="8041" h="20">
                                <a:moveTo>
                                  <a:pt x="0" y="0"/>
                                </a:moveTo>
                                <a:lnTo>
                                  <a:pt x="8040" y="0"/>
                                </a:lnTo>
                              </a:path>
                            </a:pathLst>
                          </a:custGeom>
                          <a:noFill/>
                          <a:ln w="6096" cap="flat" cmpd="sng">
                            <a:solidFill>
                              <a:srgbClr val="000000"/>
                            </a:solidFill>
                            <a:prstDash val="solid"/>
                            <a:headEnd type="none" w="med" len="med"/>
                            <a:tailEnd type="none" w="med" len="med"/>
                          </a:ln>
                          <a:effectLst/>
                        </wps:spPr>
                        <wps:bodyPr upright="1"/>
                      </wps:wsp>
                      <wps:wsp>
                        <wps:cNvPr id="39" name="任意多边形 36"/>
                        <wps:cNvSpPr/>
                        <wps:spPr>
                          <a:xfrm>
                            <a:off x="24" y="2151"/>
                            <a:ext cx="8041" cy="20"/>
                          </a:xfrm>
                          <a:custGeom>
                            <a:avLst/>
                            <a:gdLst/>
                            <a:ahLst/>
                            <a:cxnLst/>
                            <a:pathLst>
                              <a:path w="8041" h="20">
                                <a:moveTo>
                                  <a:pt x="0" y="0"/>
                                </a:moveTo>
                                <a:lnTo>
                                  <a:pt x="8040" y="0"/>
                                </a:lnTo>
                              </a:path>
                            </a:pathLst>
                          </a:custGeom>
                          <a:noFill/>
                          <a:ln w="6096" cap="flat" cmpd="sng">
                            <a:solidFill>
                              <a:srgbClr val="000000"/>
                            </a:solidFill>
                            <a:prstDash val="solid"/>
                            <a:headEnd type="none" w="med" len="med"/>
                            <a:tailEnd type="none" w="med" len="med"/>
                          </a:ln>
                          <a:effectLst/>
                        </wps:spPr>
                        <wps:bodyPr upright="1"/>
                      </wps:wsp>
                      <wps:wsp>
                        <wps:cNvPr id="40" name="任意多边形 37"/>
                        <wps:cNvSpPr/>
                        <wps:spPr>
                          <a:xfrm>
                            <a:off x="4" y="2170"/>
                            <a:ext cx="8079" cy="20"/>
                          </a:xfrm>
                          <a:custGeom>
                            <a:avLst/>
                            <a:gdLst/>
                            <a:ahLst/>
                            <a:cxnLst/>
                            <a:pathLst>
                              <a:path w="8079" h="20">
                                <a:moveTo>
                                  <a:pt x="0" y="0"/>
                                </a:moveTo>
                                <a:lnTo>
                                  <a:pt x="8078" y="0"/>
                                </a:lnTo>
                              </a:path>
                            </a:pathLst>
                          </a:custGeom>
                          <a:noFill/>
                          <a:ln w="6096" cap="flat" cmpd="sng">
                            <a:solidFill>
                              <a:srgbClr val="000000"/>
                            </a:solidFill>
                            <a:prstDash val="solid"/>
                            <a:headEnd type="none" w="med" len="med"/>
                            <a:tailEnd type="none" w="med" len="med"/>
                          </a:ln>
                          <a:effectLst/>
                        </wps:spPr>
                        <wps:bodyPr upright="1"/>
                      </wps:wsp>
                      <wps:wsp>
                        <wps:cNvPr id="41" name="任意多边形 38"/>
                        <wps:cNvSpPr/>
                        <wps:spPr>
                          <a:xfrm>
                            <a:off x="9" y="4"/>
                            <a:ext cx="20" cy="2171"/>
                          </a:xfrm>
                          <a:custGeom>
                            <a:avLst/>
                            <a:gdLst/>
                            <a:ahLst/>
                            <a:cxnLst/>
                            <a:pathLst>
                              <a:path w="20" h="2171">
                                <a:moveTo>
                                  <a:pt x="0" y="0"/>
                                </a:moveTo>
                                <a:lnTo>
                                  <a:pt x="0" y="2170"/>
                                </a:lnTo>
                              </a:path>
                            </a:pathLst>
                          </a:custGeom>
                          <a:noFill/>
                          <a:ln w="6096" cap="flat" cmpd="sng">
                            <a:solidFill>
                              <a:srgbClr val="000000"/>
                            </a:solidFill>
                            <a:prstDash val="solid"/>
                            <a:headEnd type="none" w="med" len="med"/>
                            <a:tailEnd type="none" w="med" len="med"/>
                          </a:ln>
                          <a:effectLst/>
                        </wps:spPr>
                        <wps:bodyPr upright="1"/>
                      </wps:wsp>
                      <wps:wsp>
                        <wps:cNvPr id="42" name="任意多边形 39"/>
                        <wps:cNvSpPr/>
                        <wps:spPr>
                          <a:xfrm>
                            <a:off x="28" y="24"/>
                            <a:ext cx="20" cy="2133"/>
                          </a:xfrm>
                          <a:custGeom>
                            <a:avLst/>
                            <a:gdLst/>
                            <a:ahLst/>
                            <a:cxnLst/>
                            <a:pathLst>
                              <a:path w="20" h="2133">
                                <a:moveTo>
                                  <a:pt x="0" y="0"/>
                                </a:moveTo>
                                <a:lnTo>
                                  <a:pt x="0" y="2132"/>
                                </a:lnTo>
                              </a:path>
                            </a:pathLst>
                          </a:custGeom>
                          <a:noFill/>
                          <a:ln w="6096" cap="flat" cmpd="sng">
                            <a:solidFill>
                              <a:srgbClr val="000000"/>
                            </a:solidFill>
                            <a:prstDash val="solid"/>
                            <a:headEnd type="none" w="med" len="med"/>
                            <a:tailEnd type="none" w="med" len="med"/>
                          </a:ln>
                          <a:effectLst/>
                        </wps:spPr>
                        <wps:bodyPr upright="1"/>
                      </wps:wsp>
                      <wps:wsp>
                        <wps:cNvPr id="43" name="任意多边形 40"/>
                        <wps:cNvSpPr/>
                        <wps:spPr>
                          <a:xfrm>
                            <a:off x="4034" y="24"/>
                            <a:ext cx="20" cy="2123"/>
                          </a:xfrm>
                          <a:custGeom>
                            <a:avLst/>
                            <a:gdLst/>
                            <a:ahLst/>
                            <a:cxnLst/>
                            <a:pathLst>
                              <a:path w="20" h="2123">
                                <a:moveTo>
                                  <a:pt x="0" y="0"/>
                                </a:moveTo>
                                <a:lnTo>
                                  <a:pt x="0" y="2122"/>
                                </a:lnTo>
                              </a:path>
                            </a:pathLst>
                          </a:custGeom>
                          <a:noFill/>
                          <a:ln w="6096" cap="flat" cmpd="sng">
                            <a:solidFill>
                              <a:srgbClr val="000000"/>
                            </a:solidFill>
                            <a:prstDash val="solid"/>
                            <a:headEnd type="none" w="med" len="med"/>
                            <a:tailEnd type="none" w="med" len="med"/>
                          </a:ln>
                          <a:effectLst/>
                        </wps:spPr>
                        <wps:bodyPr upright="1"/>
                      </wps:wsp>
                      <wps:wsp>
                        <wps:cNvPr id="44" name="任意多边形 41"/>
                        <wps:cNvSpPr/>
                        <wps:spPr>
                          <a:xfrm>
                            <a:off x="4053" y="24"/>
                            <a:ext cx="20" cy="2123"/>
                          </a:xfrm>
                          <a:custGeom>
                            <a:avLst/>
                            <a:gdLst/>
                            <a:ahLst/>
                            <a:cxnLst/>
                            <a:pathLst>
                              <a:path w="20" h="2123">
                                <a:moveTo>
                                  <a:pt x="0" y="0"/>
                                </a:moveTo>
                                <a:lnTo>
                                  <a:pt x="0" y="2122"/>
                                </a:lnTo>
                              </a:path>
                            </a:pathLst>
                          </a:custGeom>
                          <a:noFill/>
                          <a:ln w="6096" cap="flat" cmpd="sng">
                            <a:solidFill>
                              <a:srgbClr val="000000"/>
                            </a:solidFill>
                            <a:prstDash val="solid"/>
                            <a:headEnd type="none" w="med" len="med"/>
                            <a:tailEnd type="none" w="med" len="med"/>
                          </a:ln>
                          <a:effectLst/>
                        </wps:spPr>
                        <wps:bodyPr upright="1"/>
                      </wps:wsp>
                      <wps:wsp>
                        <wps:cNvPr id="45" name="任意多边形 42"/>
                        <wps:cNvSpPr/>
                        <wps:spPr>
                          <a:xfrm>
                            <a:off x="8059" y="33"/>
                            <a:ext cx="20" cy="2123"/>
                          </a:xfrm>
                          <a:custGeom>
                            <a:avLst/>
                            <a:gdLst/>
                            <a:ahLst/>
                            <a:cxnLst/>
                            <a:pathLst>
                              <a:path w="20" h="2123">
                                <a:moveTo>
                                  <a:pt x="0" y="0"/>
                                </a:moveTo>
                                <a:lnTo>
                                  <a:pt x="0" y="2122"/>
                                </a:lnTo>
                              </a:path>
                            </a:pathLst>
                          </a:custGeom>
                          <a:noFill/>
                          <a:ln w="6096" cap="flat" cmpd="sng">
                            <a:solidFill>
                              <a:srgbClr val="000000"/>
                            </a:solidFill>
                            <a:prstDash val="solid"/>
                            <a:headEnd type="none" w="med" len="med"/>
                            <a:tailEnd type="none" w="med" len="med"/>
                          </a:ln>
                          <a:effectLst/>
                        </wps:spPr>
                        <wps:bodyPr upright="1"/>
                      </wps:wsp>
                      <wps:wsp>
                        <wps:cNvPr id="46" name="任意多边形 43"/>
                        <wps:cNvSpPr/>
                        <wps:spPr>
                          <a:xfrm>
                            <a:off x="8078" y="14"/>
                            <a:ext cx="20" cy="2162"/>
                          </a:xfrm>
                          <a:custGeom>
                            <a:avLst/>
                            <a:gdLst/>
                            <a:ahLst/>
                            <a:cxnLst/>
                            <a:pathLst>
                              <a:path w="20" h="2162">
                                <a:moveTo>
                                  <a:pt x="0" y="0"/>
                                </a:moveTo>
                                <a:lnTo>
                                  <a:pt x="0" y="2161"/>
                                </a:lnTo>
                              </a:path>
                            </a:pathLst>
                          </a:custGeom>
                          <a:noFill/>
                          <a:ln w="6096" cap="flat" cmpd="sng">
                            <a:solidFill>
                              <a:srgbClr val="000000"/>
                            </a:solidFill>
                            <a:prstDash val="solid"/>
                            <a:headEnd type="none" w="med" len="med"/>
                            <a:tailEnd type="none" w="med" len="med"/>
                          </a:ln>
                          <a:effectLst/>
                        </wps:spPr>
                        <wps:bodyPr upright="1"/>
                      </wps:wsp>
                      <wps:wsp>
                        <wps:cNvPr id="47" name="文本框 44"/>
                        <wps:cNvSpPr txBox="1"/>
                        <wps:spPr>
                          <a:xfrm>
                            <a:off x="19" y="19"/>
                            <a:ext cx="4025" cy="2142"/>
                          </a:xfrm>
                          <a:prstGeom prst="rect">
                            <a:avLst/>
                          </a:prstGeom>
                          <a:noFill/>
                          <a:ln>
                            <a:noFill/>
                          </a:ln>
                          <a:effectLst/>
                        </wps:spPr>
                        <wps:txbx>
                          <w:txbxContent>
                            <w:p w14:paraId="78870FF7">
                              <w:pPr>
                                <w:pStyle w:val="10"/>
                                <w:numPr>
                                  <w:ilvl w:val="0"/>
                                  <w:numId w:val="0"/>
                                </w:numPr>
                                <w:kinsoku w:val="0"/>
                                <w:overflowPunct w:val="0"/>
                                <w:ind w:right="0" w:rightChars="0"/>
                                <w:rPr>
                                  <w:rFonts w:hint="eastAsia"/>
                                </w:rPr>
                              </w:pPr>
                            </w:p>
                            <w:p w14:paraId="7E61AF7F">
                              <w:pPr>
                                <w:pStyle w:val="10"/>
                                <w:numPr>
                                  <w:ilvl w:val="0"/>
                                  <w:numId w:val="0"/>
                                </w:numPr>
                                <w:kinsoku w:val="0"/>
                                <w:overflowPunct w:val="0"/>
                                <w:ind w:right="0" w:rightChars="0"/>
                                <w:rPr>
                                  <w:rFonts w:hint="eastAsia"/>
                                </w:rPr>
                              </w:pPr>
                            </w:p>
                            <w:p w14:paraId="19F6314B">
                              <w:pPr>
                                <w:pStyle w:val="10"/>
                                <w:numPr>
                                  <w:ilvl w:val="0"/>
                                  <w:numId w:val="0"/>
                                </w:numPr>
                                <w:kinsoku w:val="0"/>
                                <w:overflowPunct w:val="0"/>
                                <w:ind w:right="0" w:rightChars="0"/>
                                <w:jc w:val="center"/>
                              </w:pPr>
                              <w:r>
                                <w:rPr>
                                  <w:rFonts w:hint="eastAsia"/>
                                </w:rPr>
                                <w:t>被授权代表身份证复印件（正面）</w:t>
                              </w:r>
                            </w:p>
                          </w:txbxContent>
                        </wps:txbx>
                        <wps:bodyPr lIns="0" tIns="0" rIns="0" bIns="0" upright="1"/>
                      </wps:wsp>
                      <wps:wsp>
                        <wps:cNvPr id="48" name="文本框 45"/>
                        <wps:cNvSpPr txBox="1"/>
                        <wps:spPr>
                          <a:xfrm>
                            <a:off x="4044" y="19"/>
                            <a:ext cx="4025" cy="2142"/>
                          </a:xfrm>
                          <a:prstGeom prst="rect">
                            <a:avLst/>
                          </a:prstGeom>
                          <a:noFill/>
                          <a:ln>
                            <a:noFill/>
                          </a:ln>
                          <a:effectLst/>
                        </wps:spPr>
                        <wps:txbx>
                          <w:txbxContent>
                            <w:p w14:paraId="01EB25F5">
                              <w:pPr>
                                <w:pStyle w:val="10"/>
                                <w:numPr>
                                  <w:ilvl w:val="0"/>
                                  <w:numId w:val="0"/>
                                </w:numPr>
                                <w:kinsoku w:val="0"/>
                                <w:overflowPunct w:val="0"/>
                                <w:ind w:right="0" w:rightChars="0"/>
                                <w:rPr>
                                  <w:rFonts w:hint="eastAsia"/>
                                </w:rPr>
                              </w:pPr>
                            </w:p>
                            <w:p w14:paraId="0A140FF1">
                              <w:pPr>
                                <w:pStyle w:val="10"/>
                                <w:numPr>
                                  <w:ilvl w:val="0"/>
                                  <w:numId w:val="0"/>
                                </w:numPr>
                                <w:kinsoku w:val="0"/>
                                <w:overflowPunct w:val="0"/>
                                <w:ind w:right="0" w:rightChars="0"/>
                                <w:rPr>
                                  <w:rFonts w:hint="eastAsia"/>
                                </w:rPr>
                              </w:pPr>
                            </w:p>
                            <w:p w14:paraId="06834846">
                              <w:pPr>
                                <w:pStyle w:val="10"/>
                                <w:numPr>
                                  <w:ilvl w:val="0"/>
                                  <w:numId w:val="0"/>
                                </w:numPr>
                                <w:kinsoku w:val="0"/>
                                <w:overflowPunct w:val="0"/>
                                <w:ind w:right="0" w:rightChars="0"/>
                                <w:jc w:val="center"/>
                              </w:pPr>
                              <w:r>
                                <w:rPr>
                                  <w:rFonts w:hint="eastAsia"/>
                                </w:rPr>
                                <w:t>被授权代表身份证复印件（反面）</w:t>
                              </w:r>
                            </w:p>
                          </w:txbxContent>
                        </wps:txbx>
                        <wps:bodyPr lIns="0" tIns="0" rIns="0" bIns="0" upright="1"/>
                      </wps:wsp>
                    </wpg:wgp>
                  </a:graphicData>
                </a:graphic>
              </wp:inline>
            </w:drawing>
          </mc:Choice>
          <mc:Fallback>
            <w:pict>
              <v:group id="_x0000_s1026" o:spid="_x0000_s1026" o:spt="203" style="height:109.05pt;width:404.45pt;" coordsize="8089,2181" o:gfxdata="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">
                <o:lock v:ext="edit" rotation="t" aspectratio="f"/>
                <v:shape id="任意多边形 34" o:spid="_x0000_s1026" o:spt="100" style="position:absolute;left:4;top:9;height:20;width:8079;" filled="f" stroked="t" coordsize="8079,20" o:gfxdata="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ebSvQAA&#10;ANsAAAAPAAAAAAAAAAEAIAAAACIAAABkcnMvZG93bnJldi54bWxQSwECFAAUAAAACACHTuJAMy8F&#10;njsAAAA5AAAAEAAAAAAAAAABACAAAAAMAQAAZHJzL3NoYXBleG1sLnhtbFBLBQYAAAAABgAGAFsB&#10;AAC2AwAAAAA=&#10;" path="m0,0l8078,0e">
                  <v:fill on="f" focussize="0,0"/>
                  <v:stroke weight="0.48pt" color="#000000" joinstyle="round"/>
                  <v:imagedata o:title=""/>
                  <o:lock v:ext="edit" aspectratio="f"/>
                </v:shape>
                <v:shape id="任意多边形 35" o:spid="_x0000_s1026" o:spt="100" style="position:absolute;left:24;top:28;height:20;width:8041;" filled="f" stroked="t" coordsize="8041,20" o:gfxdata="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mWAewugAAANsA&#10;AAAPAAAAAAAAAAEAIAAAACIAAABkcnMvZG93bnJldi54bWxQSwECFAAUAAAACACHTuJAMy8FnjsA&#10;AAA5AAAAEAAAAAAAAAABACAAAAAJAQAAZHJzL3NoYXBleG1sLnhtbFBLBQYAAAAABgAGAFsBAACz&#10;AwAAAAA=&#10;" path="m0,0l8040,0e">
                  <v:fill on="f" focussize="0,0"/>
                  <v:stroke weight="0.48pt" color="#000000" joinstyle="round"/>
                  <v:imagedata o:title=""/>
                  <o:lock v:ext="edit" aspectratio="f"/>
                </v:shape>
                <v:shape id="任意多边形 36" o:spid="_x0000_s1026" o:spt="100" style="position:absolute;left:24;top:2151;height:20;width:8041;" filled="f" stroked="t" coordsize="8041,20" o:gfxdata="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JFKIrvQAA&#10;ANsAAAAPAAAAAAAAAAEAIAAAACIAAABkcnMvZG93bnJldi54bWxQSwECFAAUAAAACACHTuJAMy8F&#10;njsAAAA5AAAAEAAAAAAAAAABACAAAAAMAQAAZHJzL3NoYXBleG1sLnhtbFBLBQYAAAAABgAGAFsB&#10;AAC2AwAAAAA=&#10;" path="m0,0l8040,0e">
                  <v:fill on="f" focussize="0,0"/>
                  <v:stroke weight="0.48pt" color="#000000" joinstyle="round"/>
                  <v:imagedata o:title=""/>
                  <o:lock v:ext="edit" aspectratio="f"/>
                </v:shape>
                <v:shape id="任意多边形 37" o:spid="_x0000_s1026" o:spt="100" style="position:absolute;left:4;top:2170;height:20;width:8079;" filled="f" stroked="t" coordsize="8079,20" o:gfxdata="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YWDdu5AAAA2wAA&#10;AA8AAAAAAAAAAQAgAAAAIgAAAGRycy9kb3ducmV2LnhtbFBLAQIUABQAAAAIAIdO4kAzLwWeOwAA&#10;ADkAAAAQAAAAAAAAAAEAIAAAAAgBAABkcnMvc2hhcGV4bWwueG1sUEsFBgAAAAAGAAYAWwEAALID&#10;AAAAAA==&#10;" path="m0,0l8078,0e">
                  <v:fill on="f" focussize="0,0"/>
                  <v:stroke weight="0.48pt" color="#000000" joinstyle="round"/>
                  <v:imagedata o:title=""/>
                  <o:lock v:ext="edit" aspectratio="f"/>
                </v:shape>
                <v:shape id="任意多边形 38" o:spid="_x0000_s1026" o:spt="100" style="position:absolute;left:9;top:4;height:2171;width:20;" filled="f" stroked="t" coordsize="20,2171" o:gfxdata="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GrYT7sAAADb&#10;AAAADwAAAAAAAAABACAAAAAiAAAAZHJzL2Rvd25yZXYueG1sUEsBAhQAFAAAAAgAh07iQDMvBZ47&#10;AAAAOQAAABAAAAAAAAAAAQAgAAAACgEAAGRycy9zaGFwZXhtbC54bWxQSwUGAAAAAAYABgBbAQAA&#10;tAMAAAAA&#10;" path="m0,0l0,2170e">
                  <v:fill on="f" focussize="0,0"/>
                  <v:stroke weight="0.48pt" color="#000000" joinstyle="round"/>
                  <v:imagedata o:title=""/>
                  <o:lock v:ext="edit" aspectratio="f"/>
                </v:shape>
                <v:shape id="任意多边形 39" o:spid="_x0000_s1026" o:spt="100" style="position:absolute;left:28;top:24;height:2133;width:20;" filled="f" stroked="t" coordsize="20,2133" o:gfxdata="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3Uk7y/&#10;AAAA2wAAAA8AAAAAAAAAAQAgAAAAIgAAAGRycy9kb3ducmV2LnhtbFBLAQIUABQAAAAIAIdO4kAz&#10;LwWeOwAAADkAAAAQAAAAAAAAAAEAIAAAAA4BAABkcnMvc2hhcGV4bWwueG1sUEsFBgAAAAAGAAYA&#10;WwEAALgDAAAAAA==&#10;" path="m0,0l0,2132e">
                  <v:fill on="f" focussize="0,0"/>
                  <v:stroke weight="0.48pt" color="#000000" joinstyle="round"/>
                  <v:imagedata o:title=""/>
                  <o:lock v:ext="edit" aspectratio="f"/>
                </v:shape>
                <v:shape id="任意多边形 40" o:spid="_x0000_s1026" o:spt="100" style="position:absolute;left:4034;top:24;height:2123;width:20;" filled="f" stroked="t" coordsize="20,2123" o:gfxdata="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Y1HbS8AAAA&#10;2wAAAA8AAAAAAAAAAQAgAAAAIgAAAGRycy9kb3ducmV2LnhtbFBLAQIUABQAAAAIAIdO4kAzLwWe&#10;OwAAADkAAAAQAAAAAAAAAAEAIAAAAAsBAABkcnMvc2hhcGV4bWwueG1sUEsFBgAAAAAGAAYAWwEA&#10;ALUDAAAAAA==&#10;" path="m0,0l0,2122e">
                  <v:fill on="f" focussize="0,0"/>
                  <v:stroke weight="0.48pt" color="#000000" joinstyle="round"/>
                  <v:imagedata o:title=""/>
                  <o:lock v:ext="edit" aspectratio="f"/>
                </v:shape>
                <v:shape id="任意多边形 41" o:spid="_x0000_s1026" o:spt="100" style="position:absolute;left:4053;top:24;height:2123;width:20;" filled="f" stroked="t" coordsize="20,2123" o:gfxdata="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chcC8AAAA&#10;2wAAAA8AAAAAAAAAAQAgAAAAIgAAAGRycy9kb3ducmV2LnhtbFBLAQIUABQAAAAIAIdO4kAzLwWe&#10;OwAAADkAAAAQAAAAAAAAAAEAIAAAAAsBAABkcnMvc2hhcGV4bWwueG1sUEsFBgAAAAAGAAYAWwEA&#10;ALUDAAAAAA==&#10;" path="m0,0l0,2122e">
                  <v:fill on="f" focussize="0,0"/>
                  <v:stroke weight="0.48pt" color="#000000" joinstyle="round"/>
                  <v:imagedata o:title=""/>
                  <o:lock v:ext="edit" aspectratio="f"/>
                </v:shape>
                <v:shape id="任意多边形 42" o:spid="_x0000_s1026" o:spt="100" style="position:absolute;left:8059;top:33;height:2123;width:20;" filled="f" stroked="t" coordsize="20,2123" o:gfxdata="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aQIFu8AAAA&#10;2wAAAA8AAAAAAAAAAQAgAAAAIgAAAGRycy9kb3ducmV2LnhtbFBLAQIUABQAAAAIAIdO4kAzLwWe&#10;OwAAADkAAAAQAAAAAAAAAAEAIAAAAAsBAABkcnMvc2hhcGV4bWwueG1sUEsFBgAAAAAGAAYAWwEA&#10;ALUDAAAAAA==&#10;" path="m0,0l0,2122e">
                  <v:fill on="f" focussize="0,0"/>
                  <v:stroke weight="0.48pt" color="#000000" joinstyle="round"/>
                  <v:imagedata o:title=""/>
                  <o:lock v:ext="edit" aspectratio="f"/>
                </v:shape>
                <v:shape id="任意多边形 43" o:spid="_x0000_s1026" o:spt="100" style="position:absolute;left:8078;top:14;height:2162;width:20;" filled="f" stroked="t" coordsize="20,2162" o:gfxdata="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2cm0ztwAAANsAAAAP&#10;AAAAAAAAAAEAIAAAACIAAABkcnMvZG93bnJldi54bWxQSwECFAAUAAAACACHTuJAMy8FnjsAAAA5&#10;AAAAEAAAAAAAAAABACAAAAAGAQAAZHJzL3NoYXBleG1sLnhtbFBLBQYAAAAABgAGAFsBAACwAwAA&#10;AAA=&#10;" path="m0,0l0,2161e">
                  <v:fill on="f" focussize="0,0"/>
                  <v:stroke weight="0.48pt" color="#000000" joinstyle="round"/>
                  <v:imagedata o:title=""/>
                  <o:lock v:ext="edit" aspectratio="f"/>
                </v:shape>
                <v:shape id="文本框 44" o:spid="_x0000_s1026" o:spt="202" type="#_x0000_t202" style="position:absolute;left:19;top:19;height:2142;width:4025;" filled="f" stroked="f" coordsize="21600,21600" o:gfxdata="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lBG0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8870FF7">
                        <w:pPr>
                          <w:pStyle w:val="10"/>
                          <w:numPr>
                            <w:ilvl w:val="0"/>
                            <w:numId w:val="0"/>
                          </w:numPr>
                          <w:kinsoku w:val="0"/>
                          <w:overflowPunct w:val="0"/>
                          <w:ind w:right="0" w:rightChars="0"/>
                          <w:rPr>
                            <w:rFonts w:hint="eastAsia"/>
                          </w:rPr>
                        </w:pPr>
                      </w:p>
                      <w:p w14:paraId="7E61AF7F">
                        <w:pPr>
                          <w:pStyle w:val="10"/>
                          <w:numPr>
                            <w:ilvl w:val="0"/>
                            <w:numId w:val="0"/>
                          </w:numPr>
                          <w:kinsoku w:val="0"/>
                          <w:overflowPunct w:val="0"/>
                          <w:ind w:right="0" w:rightChars="0"/>
                          <w:rPr>
                            <w:rFonts w:hint="eastAsia"/>
                          </w:rPr>
                        </w:pPr>
                      </w:p>
                      <w:p w14:paraId="19F6314B">
                        <w:pPr>
                          <w:pStyle w:val="10"/>
                          <w:numPr>
                            <w:ilvl w:val="0"/>
                            <w:numId w:val="0"/>
                          </w:numPr>
                          <w:kinsoku w:val="0"/>
                          <w:overflowPunct w:val="0"/>
                          <w:ind w:right="0" w:rightChars="0"/>
                          <w:jc w:val="center"/>
                        </w:pPr>
                        <w:r>
                          <w:rPr>
                            <w:rFonts w:hint="eastAsia"/>
                          </w:rPr>
                          <w:t>被授权代表身份证复印件（正面）</w:t>
                        </w:r>
                      </w:p>
                    </w:txbxContent>
                  </v:textbox>
                </v:shape>
                <v:shape id="文本框 45" o:spid="_x0000_s1026" o:spt="202" type="#_x0000_t202" style="position:absolute;left:4044;top:19;height:2142;width:4025;" filled="f" stroked="f" coordsize="21600,21600" o:gfxdata="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z9Kj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01EB25F5">
                        <w:pPr>
                          <w:pStyle w:val="10"/>
                          <w:numPr>
                            <w:ilvl w:val="0"/>
                            <w:numId w:val="0"/>
                          </w:numPr>
                          <w:kinsoku w:val="0"/>
                          <w:overflowPunct w:val="0"/>
                          <w:ind w:right="0" w:rightChars="0"/>
                          <w:rPr>
                            <w:rFonts w:hint="eastAsia"/>
                          </w:rPr>
                        </w:pPr>
                      </w:p>
                      <w:p w14:paraId="0A140FF1">
                        <w:pPr>
                          <w:pStyle w:val="10"/>
                          <w:numPr>
                            <w:ilvl w:val="0"/>
                            <w:numId w:val="0"/>
                          </w:numPr>
                          <w:kinsoku w:val="0"/>
                          <w:overflowPunct w:val="0"/>
                          <w:ind w:right="0" w:rightChars="0"/>
                          <w:rPr>
                            <w:rFonts w:hint="eastAsia"/>
                          </w:rPr>
                        </w:pPr>
                      </w:p>
                      <w:p w14:paraId="06834846">
                        <w:pPr>
                          <w:pStyle w:val="10"/>
                          <w:numPr>
                            <w:ilvl w:val="0"/>
                            <w:numId w:val="0"/>
                          </w:numPr>
                          <w:kinsoku w:val="0"/>
                          <w:overflowPunct w:val="0"/>
                          <w:ind w:right="0" w:rightChars="0"/>
                          <w:jc w:val="center"/>
                        </w:pPr>
                        <w:r>
                          <w:rPr>
                            <w:rFonts w:hint="eastAsia"/>
                          </w:rPr>
                          <w:t>被授权代表身份证复印件（反面）</w:t>
                        </w:r>
                      </w:p>
                    </w:txbxContent>
                  </v:textbox>
                </v:shape>
                <w10:wrap type="none"/>
                <w10:anchorlock/>
              </v:group>
            </w:pict>
          </mc:Fallback>
        </mc:AlternateContent>
      </w:r>
    </w:p>
    <w:p w14:paraId="618D0F84">
      <w:pPr>
        <w:pStyle w:val="10"/>
        <w:numPr>
          <w:ilvl w:val="0"/>
          <w:numId w:val="0"/>
        </w:numPr>
        <w:tabs>
          <w:tab w:val="left" w:pos="5295"/>
        </w:tabs>
        <w:kinsoku w:val="0"/>
        <w:overflowPunct w:val="0"/>
        <w:adjustRightInd w:val="0"/>
        <w:snapToGrid w:val="0"/>
        <w:spacing w:line="360" w:lineRule="auto"/>
        <w:ind w:left="709" w:leftChars="0" w:right="0" w:rightChars="0"/>
        <w:rPr>
          <w:rFonts w:hint="eastAsia" w:ascii="宋体" w:hAnsi="宋体" w:eastAsia="宋体" w:cs="宋体"/>
          <w:color w:val="auto"/>
          <w:sz w:val="24"/>
          <w:highlight w:val="none"/>
        </w:rPr>
      </w:pPr>
    </w:p>
    <w:p w14:paraId="00EC8F80">
      <w:pPr>
        <w:pStyle w:val="13"/>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600" w:lineRule="exact"/>
        <w:ind w:firstLine="49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投标人（盖单位章）;</w:t>
      </w:r>
      <w:r>
        <w:rPr>
          <w:rFonts w:hint="eastAsia" w:ascii="宋体" w:hAnsi="宋体" w:eastAsia="宋体" w:cs="宋体"/>
          <w:color w:val="auto"/>
          <w:sz w:val="24"/>
          <w:szCs w:val="24"/>
          <w:highlight w:val="none"/>
          <w:u w:val="single"/>
        </w:rPr>
        <w:t xml:space="preserve">                           </w:t>
      </w:r>
    </w:p>
    <w:p w14:paraId="14AB7FDC">
      <w:pPr>
        <w:pStyle w:val="13"/>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600" w:lineRule="exact"/>
        <w:ind w:firstLine="49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法定代表人（签字或盖章）：</w:t>
      </w:r>
      <w:r>
        <w:rPr>
          <w:rFonts w:hint="eastAsia" w:ascii="宋体" w:hAnsi="宋体" w:eastAsia="宋体" w:cs="宋体"/>
          <w:color w:val="auto"/>
          <w:sz w:val="24"/>
          <w:szCs w:val="24"/>
          <w:highlight w:val="none"/>
          <w:u w:val="single"/>
        </w:rPr>
        <w:t xml:space="preserve">                     </w:t>
      </w:r>
    </w:p>
    <w:p w14:paraId="622AF1F5">
      <w:pPr>
        <w:pStyle w:val="13"/>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600" w:lineRule="exact"/>
        <w:ind w:firstLine="49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委托代理人（签字或盖章）：</w:t>
      </w:r>
      <w:r>
        <w:rPr>
          <w:rFonts w:hint="eastAsia" w:ascii="宋体" w:hAnsi="宋体" w:eastAsia="宋体" w:cs="宋体"/>
          <w:color w:val="auto"/>
          <w:sz w:val="24"/>
          <w:szCs w:val="24"/>
          <w:highlight w:val="none"/>
          <w:u w:val="single"/>
        </w:rPr>
        <w:t xml:space="preserve">                                   </w:t>
      </w:r>
    </w:p>
    <w:p w14:paraId="4D0EC770">
      <w:pPr>
        <w:keepNext w:val="0"/>
        <w:keepLines w:val="0"/>
        <w:pageBreakBefore w:val="0"/>
        <w:widowControl w:val="0"/>
        <w:shd w:val="clear" w:color="auto" w:fill="auto"/>
        <w:kinsoku/>
        <w:wordWrap/>
        <w:overflowPunct/>
        <w:topLinePunct w:val="0"/>
        <w:autoSpaceDE/>
        <w:autoSpaceDN/>
        <w:bidi w:val="0"/>
        <w:adjustRightInd/>
        <w:snapToGrid/>
        <w:spacing w:line="600" w:lineRule="exact"/>
        <w:ind w:firstLine="490" w:firstLineChars="200"/>
        <w:jc w:val="left"/>
        <w:textAlignment w:val="auto"/>
        <w:rPr>
          <w:rFonts w:hint="eastAsia" w:ascii="宋体" w:hAnsi="宋体" w:eastAsia="宋体" w:cs="宋体"/>
          <w:color w:val="auto"/>
          <w:kern w:val="2"/>
          <w:sz w:val="24"/>
          <w:szCs w:val="24"/>
          <w:highlight w:val="none"/>
          <w:u w:val="none" w:color="000000"/>
          <w:lang w:val="en-US" w:eastAsia="zh-CN" w:bidi="ar-SA"/>
        </w:rPr>
      </w:pPr>
      <w:r>
        <w:rPr>
          <w:rFonts w:hint="eastAsia" w:ascii="宋体" w:hAnsi="宋体" w:eastAsia="宋体" w:cs="宋体"/>
          <w:color w:val="auto"/>
          <w:kern w:val="2"/>
          <w:sz w:val="24"/>
          <w:szCs w:val="24"/>
          <w:highlight w:val="none"/>
          <w:u w:val="none" w:color="000000"/>
          <w:lang w:val="en-US" w:eastAsia="zh-CN" w:bidi="ar-SA"/>
        </w:rPr>
        <w:t xml:space="preserve">年   月   日 </w:t>
      </w:r>
    </w:p>
    <w:p w14:paraId="1E4AFB0A">
      <w:pPr>
        <w:shd w:val="clear" w:color="auto" w:fill="auto"/>
        <w:spacing w:line="360" w:lineRule="auto"/>
        <w:ind w:firstLine="450" w:firstLineChars="200"/>
        <w:jc w:val="left"/>
        <w:rPr>
          <w:rFonts w:hint="eastAsia" w:ascii="宋体" w:hAnsi="宋体" w:eastAsia="宋体" w:cs="宋体"/>
          <w:color w:val="auto"/>
          <w:kern w:val="2"/>
          <w:sz w:val="22"/>
          <w:szCs w:val="18"/>
          <w:highlight w:val="none"/>
          <w:u w:val="none" w:color="000000"/>
          <w:lang w:val="en-US" w:eastAsia="zh-CN" w:bidi="ar-SA"/>
        </w:rPr>
      </w:pPr>
    </w:p>
    <w:p w14:paraId="20DC52D0">
      <w:pPr>
        <w:pStyle w:val="3"/>
        <w:numPr>
          <w:ilvl w:val="0"/>
          <w:numId w:val="0"/>
        </w:numPr>
        <w:shd w:val="clear" w:color="auto" w:fill="auto"/>
        <w:spacing w:before="0" w:line="240" w:lineRule="atLeast"/>
        <w:ind w:leftChars="257"/>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bookmarkStart w:id="157" w:name="_Toc26357"/>
    </w:p>
    <w:p w14:paraId="4382377A">
      <w:pPr>
        <w:pStyle w:val="3"/>
        <w:numPr>
          <w:ilvl w:val="0"/>
          <w:numId w:val="0"/>
        </w:numPr>
        <w:shd w:val="clear" w:color="auto" w:fill="auto"/>
        <w:spacing w:before="0" w:line="240" w:lineRule="atLeast"/>
        <w:jc w:val="center"/>
        <w:rPr>
          <w:rFonts w:hint="eastAsia" w:ascii="宋体" w:hAnsi="宋体" w:eastAsia="宋体" w:cs="宋体"/>
          <w:b/>
          <w:bCs/>
          <w:color w:val="auto"/>
          <w:sz w:val="24"/>
          <w:highlight w:val="none"/>
          <w:lang w:eastAsia="zh-CN"/>
        </w:rPr>
      </w:pPr>
      <w:bookmarkStart w:id="158" w:name="_Toc2622"/>
      <w:r>
        <w:rPr>
          <w:rFonts w:hint="eastAsia" w:ascii="宋体" w:hAnsi="宋体" w:eastAsia="宋体" w:cs="宋体"/>
          <w:b/>
          <w:bCs/>
          <w:color w:val="auto"/>
          <w:sz w:val="24"/>
          <w:highlight w:val="none"/>
          <w:lang w:val="en-US" w:eastAsia="zh-CN"/>
        </w:rPr>
        <w:t>4</w:t>
      </w:r>
      <w:r>
        <w:rPr>
          <w:rFonts w:hint="eastAsia" w:ascii="宋体" w:hAnsi="宋体" w:eastAsia="宋体" w:cs="宋体"/>
          <w:b/>
          <w:bCs/>
          <w:color w:val="auto"/>
          <w:sz w:val="24"/>
          <w:highlight w:val="none"/>
          <w:lang w:eastAsia="zh-CN"/>
        </w:rPr>
        <w:t>、</w:t>
      </w:r>
      <w:bookmarkEnd w:id="147"/>
      <w:bookmarkEnd w:id="148"/>
      <w:bookmarkEnd w:id="149"/>
      <w:bookmarkEnd w:id="157"/>
      <w:bookmarkEnd w:id="158"/>
      <w:r>
        <w:rPr>
          <w:rFonts w:hint="eastAsia" w:ascii="宋体" w:hAnsi="宋体" w:eastAsia="宋体" w:cs="宋体"/>
          <w:b/>
          <w:bCs/>
          <w:color w:val="auto"/>
          <w:sz w:val="24"/>
          <w:highlight w:val="none"/>
          <w:lang w:val="en-US" w:eastAsia="zh-CN"/>
        </w:rPr>
        <w:t>投标保证金汇款凭证或保函等票据</w:t>
      </w:r>
    </w:p>
    <w:p w14:paraId="3E633B46">
      <w:pPr>
        <w:shd w:val="clear" w:color="auto" w:fill="auto"/>
        <w:ind w:firstLine="430" w:firstLineChars="200"/>
        <w:rPr>
          <w:rFonts w:hint="eastAsia" w:ascii="宋体" w:hAnsi="宋体" w:eastAsia="宋体" w:cs="宋体"/>
          <w:color w:val="auto"/>
          <w:sz w:val="21"/>
          <w:szCs w:val="21"/>
          <w:highlight w:val="none"/>
        </w:rPr>
      </w:pPr>
      <w:bookmarkStart w:id="159" w:name="_Toc494296991"/>
      <w:bookmarkStart w:id="160" w:name="_Toc494296665"/>
    </w:p>
    <w:p w14:paraId="26EA32F7">
      <w:pPr>
        <w:shd w:val="clear" w:color="auto" w:fill="auto"/>
        <w:spacing w:line="360" w:lineRule="auto"/>
        <w:ind w:firstLine="43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可将本项目投标保证金支付的汇款凭证、支票、汇票或保证金收据（如有）的复印件作为缴纳凭证及投标保证金收据一起装订在本部分，复印件上应加盖本单位章；使用银行保函等其他投标担保函的，应将担保函正本，装订在本部分正本中；如采用政府采购信用担保形式的，应使用（</w:t>
      </w:r>
      <w:r>
        <w:rPr>
          <w:rFonts w:hint="eastAsia" w:ascii="宋体" w:hAnsi="宋体" w:eastAsia="宋体" w:cs="宋体"/>
          <w:color w:val="auto"/>
          <w:sz w:val="21"/>
          <w:szCs w:val="21"/>
          <w:highlight w:val="none"/>
          <w:lang w:val="en-US" w:eastAsia="zh-CN"/>
        </w:rPr>
        <w:t>下述</w:t>
      </w:r>
      <w:r>
        <w:rPr>
          <w:rFonts w:hint="eastAsia" w:ascii="宋体" w:hAnsi="宋体" w:eastAsia="宋体" w:cs="宋体"/>
          <w:color w:val="auto"/>
          <w:sz w:val="21"/>
          <w:szCs w:val="21"/>
          <w:highlight w:val="none"/>
        </w:rPr>
        <w:t>投标担保函</w:t>
      </w:r>
      <w:r>
        <w:rPr>
          <w:rFonts w:hint="eastAsia" w:ascii="宋体" w:hAnsi="宋体" w:eastAsia="宋体" w:cs="宋体"/>
          <w:color w:val="auto"/>
          <w:sz w:val="21"/>
          <w:szCs w:val="21"/>
          <w:highlight w:val="none"/>
          <w:lang w:val="en-US" w:eastAsia="zh-CN"/>
        </w:rPr>
        <w:t>格式</w:t>
      </w:r>
      <w:r>
        <w:rPr>
          <w:rFonts w:hint="eastAsia" w:ascii="宋体" w:hAnsi="宋体" w:eastAsia="宋体" w:cs="宋体"/>
          <w:color w:val="auto"/>
          <w:sz w:val="21"/>
          <w:szCs w:val="21"/>
          <w:highlight w:val="none"/>
        </w:rPr>
        <w:t xml:space="preserve"> ）,将原件装订在本部分正本中。</w:t>
      </w:r>
      <w:bookmarkEnd w:id="159"/>
      <w:bookmarkEnd w:id="160"/>
    </w:p>
    <w:p w14:paraId="27ED20D5">
      <w:pPr>
        <w:pStyle w:val="6"/>
        <w:shd w:val="clear" w:color="auto" w:fill="auto"/>
        <w:spacing w:line="360" w:lineRule="auto"/>
        <w:rPr>
          <w:rFonts w:hint="eastAsia" w:ascii="宋体" w:hAnsi="宋体" w:eastAsia="宋体" w:cs="宋体"/>
          <w:color w:val="auto"/>
          <w:highlight w:val="none"/>
        </w:rPr>
      </w:pPr>
    </w:p>
    <w:tbl>
      <w:tblPr>
        <w:tblStyle w:val="29"/>
        <w:tblpPr w:leftFromText="180" w:rightFromText="180" w:vertAnchor="text" w:horzAnchor="page" w:tblpX="2090" w:tblpY="750"/>
        <w:tblOverlap w:val="never"/>
        <w:tblW w:w="78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9"/>
      </w:tblGrid>
      <w:tr w14:paraId="09825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6" w:hRule="atLeast"/>
        </w:trPr>
        <w:tc>
          <w:tcPr>
            <w:tcW w:w="7879" w:type="dxa"/>
            <w:vAlign w:val="top"/>
          </w:tcPr>
          <w:p w14:paraId="6E52E104">
            <w:pPr>
              <w:shd w:val="clear" w:color="auto" w:fill="auto"/>
              <w:jc w:val="both"/>
              <w:rPr>
                <w:rFonts w:hint="eastAsia" w:ascii="宋体" w:hAnsi="宋体" w:eastAsia="宋体" w:cs="宋体"/>
                <w:b/>
                <w:bCs/>
                <w:color w:val="auto"/>
                <w:sz w:val="30"/>
                <w:szCs w:val="30"/>
                <w:highlight w:val="none"/>
              </w:rPr>
            </w:pPr>
          </w:p>
          <w:p w14:paraId="7C2BE305">
            <w:pPr>
              <w:shd w:val="clear" w:color="auto" w:fill="auto"/>
              <w:jc w:val="center"/>
              <w:rPr>
                <w:rFonts w:hint="eastAsia" w:ascii="宋体" w:hAnsi="宋体" w:eastAsia="宋体" w:cs="宋体"/>
                <w:b/>
                <w:bCs/>
                <w:color w:val="auto"/>
                <w:sz w:val="30"/>
                <w:szCs w:val="30"/>
                <w:highlight w:val="none"/>
              </w:rPr>
            </w:pPr>
          </w:p>
          <w:p w14:paraId="11785D5E">
            <w:pPr>
              <w:shd w:val="clear" w:color="auto" w:fill="auto"/>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lang w:val="en-US" w:eastAsia="zh-CN"/>
              </w:rPr>
              <w:t>投标保证金汇款凭证</w:t>
            </w:r>
          </w:p>
          <w:p w14:paraId="756B4EF7">
            <w:pPr>
              <w:shd w:val="clear" w:color="auto" w:fill="auto"/>
              <w:jc w:val="center"/>
              <w:rPr>
                <w:rFonts w:hint="eastAsia" w:ascii="宋体" w:hAnsi="宋体" w:eastAsia="宋体" w:cs="宋体"/>
                <w:b/>
                <w:bCs/>
                <w:color w:val="auto"/>
                <w:sz w:val="30"/>
                <w:szCs w:val="30"/>
                <w:highlight w:val="none"/>
              </w:rPr>
            </w:pPr>
          </w:p>
        </w:tc>
      </w:tr>
    </w:tbl>
    <w:p w14:paraId="220D949B">
      <w:pPr>
        <w:pStyle w:val="6"/>
        <w:shd w:val="clear" w:color="auto" w:fill="auto"/>
        <w:rPr>
          <w:rFonts w:hint="eastAsia" w:ascii="宋体" w:hAnsi="宋体" w:eastAsia="宋体" w:cs="宋体"/>
          <w:color w:val="auto"/>
          <w:highlight w:val="none"/>
        </w:rPr>
      </w:pPr>
    </w:p>
    <w:p w14:paraId="6A56CEF8">
      <w:pPr>
        <w:shd w:val="clear" w:color="auto" w:fill="auto"/>
        <w:spacing w:line="240" w:lineRule="atLeast"/>
        <w:ind w:left="1092" w:leftChars="257" w:hanging="540"/>
        <w:jc w:val="center"/>
        <w:rPr>
          <w:rFonts w:hint="eastAsia" w:ascii="宋体" w:hAnsi="宋体" w:eastAsia="宋体" w:cs="宋体"/>
          <w:color w:val="auto"/>
          <w:sz w:val="24"/>
          <w:highlight w:val="none"/>
        </w:rPr>
      </w:pPr>
    </w:p>
    <w:p w14:paraId="23A1FDD6">
      <w:pPr>
        <w:shd w:val="clear" w:color="auto" w:fill="auto"/>
        <w:rPr>
          <w:rFonts w:hint="eastAsia" w:ascii="宋体" w:hAnsi="宋体" w:eastAsia="宋体" w:cs="宋体"/>
          <w:color w:val="auto"/>
          <w:sz w:val="28"/>
          <w:szCs w:val="28"/>
          <w:highlight w:val="none"/>
        </w:rPr>
      </w:pPr>
    </w:p>
    <w:p w14:paraId="11A9AEEC">
      <w:pPr>
        <w:shd w:val="clear" w:color="auto" w:fill="auto"/>
        <w:jc w:val="both"/>
        <w:rPr>
          <w:rFonts w:hint="eastAsia" w:ascii="宋体" w:hAnsi="宋体" w:eastAsia="宋体" w:cs="宋体"/>
          <w:color w:val="auto"/>
          <w:sz w:val="28"/>
          <w:szCs w:val="28"/>
          <w:highlight w:val="none"/>
        </w:rPr>
      </w:pPr>
    </w:p>
    <w:p w14:paraId="5872E50A">
      <w:pPr>
        <w:pStyle w:val="4"/>
        <w:rPr>
          <w:rFonts w:hint="eastAsia" w:ascii="宋体" w:hAnsi="宋体" w:eastAsia="宋体" w:cs="宋体"/>
          <w:color w:val="auto"/>
          <w:sz w:val="28"/>
          <w:szCs w:val="28"/>
          <w:highlight w:val="none"/>
        </w:rPr>
      </w:pPr>
    </w:p>
    <w:p w14:paraId="687EEA1B">
      <w:pPr>
        <w:rPr>
          <w:rFonts w:hint="eastAsia" w:ascii="宋体" w:hAnsi="宋体" w:eastAsia="宋体" w:cs="宋体"/>
          <w:color w:val="auto"/>
          <w:sz w:val="28"/>
          <w:szCs w:val="28"/>
          <w:highlight w:val="none"/>
        </w:rPr>
      </w:pPr>
    </w:p>
    <w:p w14:paraId="30DDAC12">
      <w:pPr>
        <w:pStyle w:val="4"/>
        <w:rPr>
          <w:rFonts w:hint="eastAsia" w:ascii="宋体" w:hAnsi="宋体" w:eastAsia="宋体" w:cs="宋体"/>
          <w:color w:val="auto"/>
          <w:sz w:val="28"/>
          <w:szCs w:val="28"/>
          <w:highlight w:val="none"/>
        </w:rPr>
      </w:pPr>
    </w:p>
    <w:p w14:paraId="3F602913">
      <w:pPr>
        <w:pStyle w:val="22"/>
        <w:rPr>
          <w:rFonts w:hint="eastAsia"/>
          <w:color w:val="auto"/>
          <w:highlight w:val="none"/>
        </w:rPr>
      </w:pPr>
    </w:p>
    <w:p w14:paraId="2FD4B63F">
      <w:pPr>
        <w:rPr>
          <w:rFonts w:hint="eastAsia"/>
          <w:color w:val="auto"/>
          <w:highlight w:val="none"/>
        </w:rPr>
      </w:pPr>
    </w:p>
    <w:p w14:paraId="7F385A32">
      <w:pPr>
        <w:pStyle w:val="22"/>
        <w:rPr>
          <w:rFonts w:hint="eastAsia"/>
          <w:color w:val="auto"/>
          <w:highlight w:val="none"/>
        </w:rPr>
      </w:pPr>
    </w:p>
    <w:p w14:paraId="038BB197">
      <w:pPr>
        <w:rPr>
          <w:rFonts w:hint="eastAsia"/>
          <w:color w:val="auto"/>
          <w:highlight w:val="none"/>
        </w:rPr>
      </w:pPr>
    </w:p>
    <w:p w14:paraId="36798E3F">
      <w:pPr>
        <w:pStyle w:val="22"/>
        <w:rPr>
          <w:rFonts w:hint="eastAsia"/>
          <w:color w:val="auto"/>
          <w:highlight w:val="none"/>
        </w:rPr>
      </w:pPr>
    </w:p>
    <w:p w14:paraId="2A7C87AA">
      <w:pPr>
        <w:rPr>
          <w:rFonts w:hint="eastAsia"/>
          <w:color w:val="auto"/>
          <w:highlight w:val="none"/>
        </w:rPr>
      </w:pPr>
    </w:p>
    <w:p w14:paraId="713B1FB9">
      <w:pPr>
        <w:shd w:val="clear" w:color="auto" w:fill="auto"/>
        <w:jc w:val="center"/>
        <w:rPr>
          <w:rFonts w:hint="eastAsia" w:ascii="宋体" w:hAnsi="宋体" w:eastAsia="宋体" w:cs="宋体"/>
          <w:b/>
          <w:bCs/>
          <w:color w:val="auto"/>
          <w:kern w:val="0"/>
          <w:sz w:val="24"/>
          <w:szCs w:val="20"/>
          <w:highlight w:val="none"/>
          <w:lang w:val="en-US" w:eastAsia="zh-CN" w:bidi="ar-SA"/>
        </w:rPr>
      </w:pPr>
      <w:r>
        <w:rPr>
          <w:rFonts w:hint="eastAsia" w:ascii="宋体" w:hAnsi="宋体" w:eastAsia="宋体" w:cs="宋体"/>
          <w:b/>
          <w:bCs/>
          <w:color w:val="auto"/>
          <w:kern w:val="0"/>
          <w:sz w:val="24"/>
          <w:szCs w:val="20"/>
          <w:highlight w:val="none"/>
          <w:lang w:val="en-US" w:eastAsia="zh-CN" w:bidi="ar-SA"/>
        </w:rPr>
        <w:t>政府采购投标担保函 （项目用）</w:t>
      </w:r>
    </w:p>
    <w:p w14:paraId="5E0C9D79">
      <w:pPr>
        <w:pStyle w:val="4"/>
        <w:ind w:firstLine="430" w:firstLineChars="200"/>
        <w:rPr>
          <w:rFonts w:hint="default" w:ascii="宋体" w:hAnsi="宋体" w:eastAsia="宋体" w:cs="宋体"/>
          <w:b w:val="0"/>
          <w:bCs w:val="0"/>
          <w:color w:val="auto"/>
          <w:kern w:val="2"/>
          <w:sz w:val="21"/>
          <w:szCs w:val="21"/>
          <w:highlight w:val="none"/>
          <w:u w:val="none"/>
          <w:lang w:val="en-US" w:eastAsia="zh-CN" w:bidi="ar-SA"/>
        </w:rPr>
      </w:pPr>
      <w:r>
        <w:rPr>
          <w:rFonts w:hint="eastAsia" w:ascii="宋体" w:hAnsi="宋体" w:cs="宋体"/>
          <w:b w:val="0"/>
          <w:bCs w:val="0"/>
          <w:color w:val="auto"/>
          <w:kern w:val="2"/>
          <w:sz w:val="21"/>
          <w:szCs w:val="21"/>
          <w:highlight w:val="none"/>
          <w:u w:val="none"/>
          <w:lang w:val="en-US" w:eastAsia="zh-CN" w:bidi="ar-SA"/>
        </w:rPr>
        <w:t>注：</w:t>
      </w:r>
      <w:r>
        <w:rPr>
          <w:rFonts w:hint="eastAsia" w:ascii="宋体" w:hAnsi="宋体" w:eastAsia="宋体" w:cs="宋体"/>
          <w:b w:val="0"/>
          <w:bCs w:val="0"/>
          <w:color w:val="auto"/>
          <w:kern w:val="2"/>
          <w:sz w:val="21"/>
          <w:szCs w:val="21"/>
          <w:highlight w:val="none"/>
          <w:u w:val="none"/>
          <w:lang w:val="en-US" w:eastAsia="zh-CN" w:bidi="ar-SA"/>
        </w:rPr>
        <w:t>使用电子保函、银行保函等其他投标担保函的，应将保函扫描件装订在本部分</w:t>
      </w:r>
      <w:r>
        <w:rPr>
          <w:rFonts w:hint="eastAsia" w:ascii="宋体" w:hAnsi="宋体" w:cs="宋体"/>
          <w:b w:val="0"/>
          <w:bCs w:val="0"/>
          <w:color w:val="auto"/>
          <w:kern w:val="2"/>
          <w:sz w:val="21"/>
          <w:szCs w:val="21"/>
          <w:highlight w:val="none"/>
          <w:u w:val="none"/>
          <w:lang w:val="en-US" w:eastAsia="zh-CN" w:bidi="ar-SA"/>
        </w:rPr>
        <w:t>；</w:t>
      </w:r>
      <w:r>
        <w:rPr>
          <w:rFonts w:hint="eastAsia" w:ascii="宋体" w:hAnsi="宋体" w:eastAsia="宋体" w:cs="宋体"/>
          <w:b w:val="0"/>
          <w:bCs w:val="0"/>
          <w:color w:val="auto"/>
          <w:kern w:val="2"/>
          <w:sz w:val="21"/>
          <w:szCs w:val="21"/>
          <w:highlight w:val="none"/>
          <w:u w:val="none"/>
          <w:lang w:val="en-US" w:eastAsia="zh-CN" w:bidi="ar-SA"/>
        </w:rPr>
        <w:t>扫描件上应加盖本单位公章</w:t>
      </w:r>
      <w:r>
        <w:rPr>
          <w:rFonts w:hint="eastAsia" w:ascii="宋体" w:hAnsi="宋体" w:cs="宋体"/>
          <w:b w:val="0"/>
          <w:bCs w:val="0"/>
          <w:color w:val="auto"/>
          <w:kern w:val="2"/>
          <w:sz w:val="21"/>
          <w:szCs w:val="21"/>
          <w:highlight w:val="none"/>
          <w:u w:val="none"/>
          <w:lang w:val="en-US" w:eastAsia="zh-CN" w:bidi="ar-SA"/>
        </w:rPr>
        <w:t xml:space="preserve">。 </w:t>
      </w:r>
    </w:p>
    <w:p w14:paraId="2956185B">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04" w:firstLineChars="235"/>
        <w:jc w:val="center"/>
        <w:textAlignment w:val="auto"/>
        <w:rPr>
          <w:rFonts w:hint="eastAsia" w:ascii="宋体" w:hAnsi="宋体" w:eastAsia="宋体" w:cs="宋体"/>
          <w:b w:val="0"/>
          <w:bCs w:val="0"/>
          <w:color w:val="auto"/>
          <w:kern w:val="2"/>
          <w:sz w:val="21"/>
          <w:szCs w:val="21"/>
          <w:highlight w:val="none"/>
          <w:u w:val="none"/>
          <w:lang w:val="en-US" w:eastAsia="zh-CN" w:bidi="ar-SA"/>
        </w:rPr>
        <w:sectPr>
          <w:footerReference r:id="rId7" w:type="default"/>
          <w:pgSz w:w="11905" w:h="16838"/>
          <w:pgMar w:top="1417" w:right="1134" w:bottom="1134" w:left="1134" w:header="850" w:footer="992" w:gutter="0"/>
          <w:pgNumType w:fmt="decimal"/>
          <w:cols w:space="0" w:num="1"/>
          <w:rtlGutter w:val="0"/>
          <w:docGrid w:type="linesAndChars" w:linePitch="332" w:charSpace="1057"/>
        </w:sectPr>
      </w:pPr>
    </w:p>
    <w:p w14:paraId="13871E6B">
      <w:pPr>
        <w:pStyle w:val="25"/>
        <w:keepNext w:val="0"/>
        <w:keepLines w:val="0"/>
        <w:pageBreakBefore w:val="0"/>
        <w:widowControl/>
        <w:suppressLineNumbers w:val="0"/>
        <w:kinsoku/>
        <w:wordWrap/>
        <w:overflowPunct/>
        <w:topLinePunct w:val="0"/>
        <w:autoSpaceDE/>
        <w:autoSpaceDN/>
        <w:bidi w:val="0"/>
        <w:adjustRightInd/>
        <w:snapToGrid/>
        <w:spacing w:before="256" w:beforeAutospacing="0" w:after="256" w:afterAutospacing="0" w:line="360" w:lineRule="auto"/>
        <w:ind w:left="0" w:right="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0"/>
          <w:sz w:val="24"/>
          <w:szCs w:val="20"/>
          <w:highlight w:val="none"/>
          <w:lang w:val="en-US" w:eastAsia="zh-CN" w:bidi="ar-SA"/>
        </w:rPr>
        <w:t>5、</w:t>
      </w:r>
      <w:r>
        <w:rPr>
          <w:rFonts w:hint="eastAsia" w:cs="宋体"/>
          <w:b/>
          <w:bCs/>
          <w:color w:val="auto"/>
          <w:kern w:val="0"/>
          <w:sz w:val="24"/>
          <w:szCs w:val="20"/>
          <w:highlight w:val="none"/>
          <w:lang w:val="en-US" w:eastAsia="zh-CN" w:bidi="ar-SA"/>
        </w:rPr>
        <w:t>投标企业须提供投标人（被授权在职人员）近六个月内任意一个月社保证明；</w:t>
      </w:r>
    </w:p>
    <w:p w14:paraId="44C91BC0">
      <w:pPr>
        <w:shd w:val="clear" w:color="auto" w:fill="auto"/>
        <w:spacing w:line="360" w:lineRule="auto"/>
        <w:jc w:val="both"/>
        <w:rPr>
          <w:rFonts w:hint="eastAsia" w:ascii="宋体" w:hAnsi="宋体" w:eastAsia="宋体" w:cs="宋体"/>
          <w:b/>
          <w:bCs/>
          <w:color w:val="auto"/>
          <w:kern w:val="0"/>
          <w:sz w:val="24"/>
          <w:szCs w:val="20"/>
          <w:highlight w:val="none"/>
          <w:lang w:val="en-US" w:eastAsia="zh-CN" w:bidi="ar-SA"/>
        </w:rPr>
      </w:pPr>
    </w:p>
    <w:p w14:paraId="44715129">
      <w:pPr>
        <w:pStyle w:val="3"/>
        <w:numPr>
          <w:ilvl w:val="0"/>
          <w:numId w:val="0"/>
        </w:numPr>
        <w:shd w:val="clear" w:color="auto" w:fill="auto"/>
        <w:spacing w:before="0" w:line="360" w:lineRule="auto"/>
        <w:jc w:val="both"/>
        <w:rPr>
          <w:rFonts w:hint="eastAsia" w:ascii="宋体" w:hAnsi="宋体" w:eastAsia="宋体" w:cs="宋体"/>
          <w:b/>
          <w:bCs/>
          <w:color w:val="auto"/>
          <w:kern w:val="0"/>
          <w:sz w:val="24"/>
          <w:szCs w:val="20"/>
          <w:highlight w:val="none"/>
          <w:lang w:val="en-US" w:eastAsia="zh-CN" w:bidi="ar-SA"/>
        </w:rPr>
      </w:pPr>
      <w:bookmarkStart w:id="161" w:name="_Toc5710"/>
      <w:bookmarkStart w:id="162" w:name="_Toc18754"/>
      <w:bookmarkStart w:id="163" w:name="_Toc515647810"/>
      <w:bookmarkStart w:id="164" w:name="_Toc27021"/>
    </w:p>
    <w:p w14:paraId="5CD76ED7">
      <w:pPr>
        <w:pStyle w:val="3"/>
        <w:numPr>
          <w:ilvl w:val="0"/>
          <w:numId w:val="0"/>
        </w:numPr>
        <w:shd w:val="clear" w:color="auto" w:fill="auto"/>
        <w:spacing w:before="0" w:line="360" w:lineRule="auto"/>
        <w:jc w:val="both"/>
        <w:rPr>
          <w:rFonts w:hint="default" w:ascii="宋体" w:hAnsi="宋体" w:eastAsia="宋体" w:cs="宋体"/>
          <w:b/>
          <w:bCs/>
          <w:color w:val="auto"/>
          <w:kern w:val="0"/>
          <w:sz w:val="24"/>
          <w:szCs w:val="20"/>
          <w:highlight w:val="none"/>
          <w:lang w:val="en-US" w:eastAsia="zh-CN" w:bidi="ar-SA"/>
        </w:rPr>
      </w:pPr>
      <w:bookmarkStart w:id="165" w:name="_Toc27200"/>
      <w:r>
        <w:rPr>
          <w:rFonts w:hint="eastAsia" w:ascii="宋体" w:hAnsi="宋体" w:eastAsia="宋体" w:cs="宋体"/>
          <w:b/>
          <w:bCs/>
          <w:color w:val="auto"/>
          <w:kern w:val="0"/>
          <w:sz w:val="24"/>
          <w:szCs w:val="20"/>
          <w:highlight w:val="none"/>
          <w:lang w:val="en-US" w:eastAsia="zh-CN" w:bidi="ar-SA"/>
        </w:rPr>
        <w:t>6、</w:t>
      </w:r>
      <w:bookmarkEnd w:id="161"/>
      <w:bookmarkEnd w:id="162"/>
      <w:bookmarkEnd w:id="163"/>
      <w:bookmarkEnd w:id="164"/>
      <w:r>
        <w:rPr>
          <w:rFonts w:hint="eastAsia" w:ascii="宋体" w:hAnsi="宋体" w:eastAsia="宋体" w:cs="宋体"/>
          <w:b/>
          <w:bCs/>
          <w:color w:val="auto"/>
          <w:kern w:val="0"/>
          <w:sz w:val="24"/>
          <w:szCs w:val="20"/>
          <w:highlight w:val="none"/>
          <w:lang w:val="en-US" w:eastAsia="zh-CN" w:bidi="ar-SA"/>
        </w:rPr>
        <w:t>参加政府采购活动前3年内在经营活动中没有重大违法记录的书面声明</w:t>
      </w:r>
      <w:bookmarkEnd w:id="165"/>
      <w:r>
        <w:rPr>
          <w:rFonts w:hint="eastAsia" w:ascii="宋体" w:hAnsi="宋体" w:cs="宋体"/>
          <w:b/>
          <w:bCs/>
          <w:color w:val="auto"/>
          <w:kern w:val="0"/>
          <w:sz w:val="24"/>
          <w:szCs w:val="20"/>
          <w:highlight w:val="none"/>
          <w:lang w:val="en-US" w:eastAsia="zh-CN" w:bidi="ar-SA"/>
        </w:rPr>
        <w:t>；</w:t>
      </w:r>
    </w:p>
    <w:p w14:paraId="069A9634">
      <w:pPr>
        <w:pStyle w:val="13"/>
        <w:shd w:val="clear" w:color="auto" w:fill="auto"/>
        <w:tabs>
          <w:tab w:val="left" w:pos="5580"/>
        </w:tabs>
        <w:spacing w:line="360" w:lineRule="auto"/>
        <w:ind w:left="1080" w:leftChars="257" w:hanging="540"/>
        <w:jc w:val="center"/>
        <w:rPr>
          <w:rFonts w:hint="eastAsia" w:ascii="宋体" w:hAnsi="宋体" w:eastAsia="宋体" w:cs="宋体"/>
          <w:b/>
          <w:color w:val="auto"/>
          <w:sz w:val="24"/>
          <w:highlight w:val="none"/>
        </w:rPr>
      </w:pPr>
    </w:p>
    <w:p w14:paraId="5731E5DD">
      <w:pPr>
        <w:pStyle w:val="13"/>
        <w:shd w:val="clear" w:color="auto" w:fill="auto"/>
        <w:tabs>
          <w:tab w:val="left" w:pos="5580"/>
        </w:tabs>
        <w:spacing w:line="360" w:lineRule="auto"/>
        <w:ind w:left="1080" w:leftChars="257" w:hanging="540"/>
        <w:rPr>
          <w:rFonts w:hint="eastAsia" w:ascii="宋体" w:hAnsi="宋体" w:eastAsia="宋体" w:cs="宋体"/>
          <w:color w:val="auto"/>
          <w:sz w:val="24"/>
          <w:highlight w:val="none"/>
        </w:rPr>
      </w:pPr>
    </w:p>
    <w:p w14:paraId="5AD57251">
      <w:pPr>
        <w:shd w:val="clear" w:color="auto" w:fill="auto"/>
        <w:spacing w:line="360" w:lineRule="auto"/>
        <w:rPr>
          <w:rFonts w:hint="eastAsia" w:ascii="宋体" w:hAnsi="宋体" w:eastAsia="宋体" w:cs="宋体"/>
          <w:b/>
          <w:bCs/>
          <w:color w:val="auto"/>
          <w:kern w:val="0"/>
          <w:sz w:val="24"/>
          <w:szCs w:val="20"/>
          <w:highlight w:val="none"/>
          <w:lang w:val="en-US" w:eastAsia="zh-CN" w:bidi="ar-SA"/>
        </w:rPr>
      </w:pPr>
      <w:r>
        <w:rPr>
          <w:rFonts w:hint="eastAsia" w:ascii="宋体" w:hAnsi="宋体" w:cs="宋体"/>
          <w:b/>
          <w:bCs/>
          <w:color w:val="auto"/>
          <w:kern w:val="0"/>
          <w:sz w:val="24"/>
          <w:szCs w:val="20"/>
          <w:highlight w:val="none"/>
          <w:lang w:val="en-US" w:eastAsia="zh-CN" w:bidi="ar-SA"/>
        </w:rPr>
        <w:t>7、参加政府采购活动前三年内，在经营活动中没有重大违法记录；未被“信用中国”（www.creditchina.gov.cn）及中国政府采购网 (www.ccgp.gov.cn）列入失信被执行人名单、重大税收违法失信主体、政府采购严重违法失信行为记录名单；</w:t>
      </w:r>
      <w:r>
        <w:rPr>
          <w:rFonts w:hint="eastAsia" w:ascii="宋体" w:hAnsi="宋体" w:eastAsia="宋体" w:cs="宋体"/>
          <w:b/>
          <w:bCs/>
          <w:color w:val="auto"/>
          <w:kern w:val="0"/>
          <w:sz w:val="24"/>
          <w:szCs w:val="20"/>
          <w:highlight w:val="none"/>
          <w:lang w:val="en-US" w:eastAsia="zh-CN" w:bidi="ar-SA"/>
        </w:rPr>
        <w:t>；</w:t>
      </w:r>
    </w:p>
    <w:p w14:paraId="47C7C50F">
      <w:pPr>
        <w:shd w:val="clear" w:color="auto" w:fill="auto"/>
        <w:spacing w:line="360" w:lineRule="auto"/>
        <w:rPr>
          <w:rFonts w:hint="eastAsia" w:ascii="宋体" w:hAnsi="宋体" w:eastAsia="宋体" w:cs="宋体"/>
          <w:b/>
          <w:bCs/>
          <w:color w:val="auto"/>
          <w:kern w:val="0"/>
          <w:sz w:val="24"/>
          <w:szCs w:val="20"/>
          <w:highlight w:val="none"/>
          <w:lang w:val="en-US" w:eastAsia="zh-CN" w:bidi="ar-SA"/>
        </w:rPr>
      </w:pPr>
    </w:p>
    <w:p w14:paraId="70865875">
      <w:pPr>
        <w:shd w:val="clear" w:color="auto" w:fill="auto"/>
        <w:spacing w:line="360" w:lineRule="auto"/>
        <w:rPr>
          <w:rFonts w:hint="eastAsia" w:ascii="宋体" w:hAnsi="宋体" w:eastAsia="宋体" w:cs="宋体"/>
          <w:b/>
          <w:bCs/>
          <w:color w:val="auto"/>
          <w:kern w:val="0"/>
          <w:sz w:val="24"/>
          <w:szCs w:val="20"/>
          <w:highlight w:val="none"/>
          <w:lang w:val="en-US" w:eastAsia="zh-CN" w:bidi="ar-SA"/>
        </w:rPr>
      </w:pPr>
    </w:p>
    <w:p w14:paraId="0FC0D77B">
      <w:pPr>
        <w:shd w:val="clear" w:color="auto" w:fill="auto"/>
        <w:spacing w:line="360" w:lineRule="auto"/>
        <w:rPr>
          <w:rFonts w:hint="eastAsia" w:ascii="宋体" w:hAnsi="宋体" w:eastAsia="宋体" w:cs="宋体"/>
          <w:b/>
          <w:bCs/>
          <w:color w:val="auto"/>
          <w:kern w:val="0"/>
          <w:sz w:val="24"/>
          <w:szCs w:val="20"/>
          <w:highlight w:val="none"/>
          <w:lang w:val="en-US" w:eastAsia="zh-CN" w:bidi="ar-SA"/>
        </w:rPr>
      </w:pPr>
    </w:p>
    <w:p w14:paraId="52AAA68F">
      <w:pPr>
        <w:shd w:val="clear" w:color="auto" w:fill="auto"/>
        <w:spacing w:line="360" w:lineRule="auto"/>
        <w:rPr>
          <w:rFonts w:hint="eastAsia" w:ascii="宋体" w:hAnsi="宋体" w:eastAsia="宋体" w:cs="宋体"/>
          <w:b/>
          <w:bCs/>
          <w:color w:val="auto"/>
          <w:kern w:val="0"/>
          <w:sz w:val="24"/>
          <w:szCs w:val="20"/>
          <w:highlight w:val="none"/>
          <w:lang w:val="en-US" w:eastAsia="zh-CN" w:bidi="ar-SA"/>
        </w:rPr>
      </w:pPr>
    </w:p>
    <w:p w14:paraId="7EBCCCBF">
      <w:pPr>
        <w:shd w:val="clear" w:color="auto" w:fill="auto"/>
        <w:spacing w:line="360" w:lineRule="auto"/>
        <w:rPr>
          <w:rFonts w:hint="eastAsia" w:ascii="宋体" w:hAnsi="宋体" w:eastAsia="宋体" w:cs="宋体"/>
          <w:b/>
          <w:bCs/>
          <w:color w:val="auto"/>
          <w:kern w:val="0"/>
          <w:sz w:val="24"/>
          <w:szCs w:val="20"/>
          <w:highlight w:val="none"/>
          <w:lang w:val="en-US" w:eastAsia="zh-CN" w:bidi="ar-SA"/>
        </w:rPr>
      </w:pPr>
      <w:r>
        <w:rPr>
          <w:rFonts w:hint="eastAsia" w:ascii="宋体" w:hAnsi="宋体" w:eastAsia="宋体" w:cs="宋体"/>
          <w:b/>
          <w:bCs/>
          <w:color w:val="auto"/>
          <w:kern w:val="0"/>
          <w:sz w:val="24"/>
          <w:szCs w:val="20"/>
          <w:highlight w:val="none"/>
          <w:lang w:val="en-US" w:eastAsia="zh-CN" w:bidi="ar-SA"/>
        </w:rPr>
        <w:t>8、投标人须知资料表要求的其他资格证明文件。</w:t>
      </w:r>
    </w:p>
    <w:p w14:paraId="22C4F368">
      <w:pPr>
        <w:pStyle w:val="3"/>
        <w:numPr>
          <w:ilvl w:val="0"/>
          <w:numId w:val="0"/>
        </w:numPr>
        <w:shd w:val="clear" w:color="auto" w:fill="auto"/>
        <w:spacing w:before="0" w:line="240" w:lineRule="atLeast"/>
        <w:rPr>
          <w:rFonts w:hint="eastAsia" w:ascii="宋体" w:hAnsi="宋体" w:eastAsia="宋体" w:cs="宋体"/>
          <w:color w:val="auto"/>
          <w:sz w:val="24"/>
          <w:highlight w:val="none"/>
          <w:lang w:val="en-US" w:eastAsia="zh-CN"/>
        </w:rPr>
      </w:pPr>
      <w:bookmarkStart w:id="166" w:name="_Toc24428"/>
      <w:bookmarkStart w:id="167" w:name="_Toc32670"/>
      <w:bookmarkStart w:id="168" w:name="_Toc4937"/>
      <w:bookmarkStart w:id="169" w:name="_Toc515647811"/>
    </w:p>
    <w:p w14:paraId="4A76D5FF">
      <w:pPr>
        <w:rPr>
          <w:rFonts w:hint="eastAsia" w:ascii="宋体" w:hAnsi="宋体" w:eastAsia="宋体" w:cs="宋体"/>
          <w:color w:val="auto"/>
          <w:sz w:val="24"/>
          <w:highlight w:val="none"/>
          <w:lang w:val="en-US" w:eastAsia="zh-CN"/>
        </w:rPr>
      </w:pPr>
    </w:p>
    <w:p w14:paraId="4CF0A77A">
      <w:pPr>
        <w:pStyle w:val="10"/>
        <w:rPr>
          <w:rFonts w:hint="eastAsia" w:ascii="宋体" w:hAnsi="宋体" w:eastAsia="宋体" w:cs="宋体"/>
          <w:color w:val="auto"/>
          <w:sz w:val="24"/>
          <w:highlight w:val="none"/>
          <w:lang w:val="en-US" w:eastAsia="zh-CN"/>
        </w:rPr>
      </w:pPr>
    </w:p>
    <w:p w14:paraId="22AD2EEF">
      <w:pPr>
        <w:rPr>
          <w:rFonts w:hint="eastAsia" w:ascii="宋体" w:hAnsi="宋体" w:eastAsia="宋体" w:cs="宋体"/>
          <w:color w:val="auto"/>
          <w:sz w:val="24"/>
          <w:highlight w:val="none"/>
          <w:lang w:val="en-US" w:eastAsia="zh-CN"/>
        </w:rPr>
      </w:pPr>
    </w:p>
    <w:p w14:paraId="653488DF">
      <w:pPr>
        <w:pStyle w:val="10"/>
        <w:rPr>
          <w:rFonts w:hint="eastAsia"/>
          <w:color w:val="auto"/>
          <w:highlight w:val="none"/>
          <w:lang w:val="en-US" w:eastAsia="zh-CN"/>
        </w:rPr>
      </w:pPr>
    </w:p>
    <w:bookmarkEnd w:id="166"/>
    <w:bookmarkEnd w:id="167"/>
    <w:bookmarkEnd w:id="168"/>
    <w:bookmarkEnd w:id="169"/>
    <w:p w14:paraId="66527DC4">
      <w:pPr>
        <w:pStyle w:val="2"/>
        <w:keepNext/>
        <w:keepLines/>
        <w:pageBreakBefore w:val="0"/>
        <w:widowControl w:val="0"/>
        <w:shd w:val="clear" w:color="auto" w:fill="auto"/>
        <w:kinsoku/>
        <w:wordWrap/>
        <w:overflowPunct/>
        <w:topLinePunct w:val="0"/>
        <w:autoSpaceDE/>
        <w:autoSpaceDN/>
        <w:bidi w:val="0"/>
        <w:adjustRightInd/>
        <w:snapToGrid/>
        <w:spacing w:before="40" w:after="40" w:line="579" w:lineRule="auto"/>
        <w:jc w:val="both"/>
        <w:textAlignment w:val="auto"/>
        <w:rPr>
          <w:rFonts w:hint="eastAsia"/>
          <w:color w:val="auto"/>
          <w:sz w:val="32"/>
          <w:szCs w:val="32"/>
          <w:highlight w:val="none"/>
        </w:rPr>
      </w:pPr>
      <w:bookmarkStart w:id="170" w:name="_Toc5695"/>
      <w:bookmarkStart w:id="171" w:name="_Toc515647816"/>
      <w:bookmarkStart w:id="172" w:name="_Toc22967"/>
      <w:bookmarkStart w:id="173" w:name="_Toc11180"/>
    </w:p>
    <w:p w14:paraId="2369C52C">
      <w:pPr>
        <w:rPr>
          <w:rFonts w:hint="eastAsia"/>
          <w:color w:val="auto"/>
          <w:sz w:val="32"/>
          <w:szCs w:val="32"/>
          <w:highlight w:val="none"/>
        </w:rPr>
      </w:pPr>
    </w:p>
    <w:p w14:paraId="3D230CF5">
      <w:pPr>
        <w:pStyle w:val="21"/>
        <w:rPr>
          <w:rFonts w:hint="eastAsia"/>
          <w:color w:val="auto"/>
          <w:sz w:val="32"/>
          <w:szCs w:val="32"/>
          <w:highlight w:val="none"/>
        </w:rPr>
      </w:pPr>
    </w:p>
    <w:p w14:paraId="1033A27E">
      <w:pPr>
        <w:pStyle w:val="21"/>
        <w:rPr>
          <w:rFonts w:hint="eastAsia"/>
          <w:color w:val="auto"/>
          <w:sz w:val="32"/>
          <w:szCs w:val="32"/>
          <w:highlight w:val="none"/>
        </w:rPr>
      </w:pPr>
    </w:p>
    <w:p w14:paraId="6D17E157">
      <w:pPr>
        <w:pStyle w:val="21"/>
        <w:rPr>
          <w:rFonts w:hint="eastAsia"/>
          <w:color w:val="auto"/>
          <w:sz w:val="32"/>
          <w:szCs w:val="32"/>
          <w:highlight w:val="none"/>
        </w:rPr>
      </w:pPr>
    </w:p>
    <w:p w14:paraId="3A6AC2A7">
      <w:pPr>
        <w:pStyle w:val="21"/>
        <w:rPr>
          <w:rFonts w:hint="eastAsia"/>
          <w:color w:val="auto"/>
          <w:sz w:val="32"/>
          <w:szCs w:val="32"/>
          <w:highlight w:val="none"/>
        </w:rPr>
      </w:pPr>
    </w:p>
    <w:p w14:paraId="71E9E45D">
      <w:pPr>
        <w:pStyle w:val="21"/>
        <w:rPr>
          <w:rFonts w:hint="eastAsia"/>
          <w:color w:val="auto"/>
          <w:sz w:val="32"/>
          <w:szCs w:val="32"/>
          <w:highlight w:val="none"/>
        </w:rPr>
      </w:pPr>
    </w:p>
    <w:p w14:paraId="041B99F0">
      <w:pPr>
        <w:pStyle w:val="21"/>
        <w:rPr>
          <w:rFonts w:hint="eastAsia"/>
          <w:color w:val="auto"/>
          <w:sz w:val="32"/>
          <w:szCs w:val="32"/>
          <w:highlight w:val="none"/>
        </w:rPr>
      </w:pPr>
    </w:p>
    <w:p w14:paraId="7D058992">
      <w:pPr>
        <w:pStyle w:val="21"/>
        <w:rPr>
          <w:rFonts w:hint="eastAsia"/>
          <w:color w:val="auto"/>
          <w:sz w:val="32"/>
          <w:szCs w:val="32"/>
          <w:highlight w:val="none"/>
        </w:rPr>
      </w:pPr>
    </w:p>
    <w:p w14:paraId="0297CC46">
      <w:pPr>
        <w:pStyle w:val="21"/>
        <w:rPr>
          <w:rFonts w:hint="eastAsia"/>
          <w:color w:val="auto"/>
          <w:sz w:val="32"/>
          <w:szCs w:val="32"/>
          <w:highlight w:val="none"/>
        </w:rPr>
      </w:pPr>
    </w:p>
    <w:p w14:paraId="0A269540">
      <w:pPr>
        <w:pStyle w:val="2"/>
        <w:keepNext/>
        <w:keepLines/>
        <w:pageBreakBefore w:val="0"/>
        <w:widowControl w:val="0"/>
        <w:shd w:val="clear" w:color="auto" w:fill="auto"/>
        <w:kinsoku/>
        <w:wordWrap/>
        <w:overflowPunct/>
        <w:topLinePunct w:val="0"/>
        <w:autoSpaceDE/>
        <w:autoSpaceDN/>
        <w:bidi w:val="0"/>
        <w:adjustRightInd/>
        <w:snapToGrid/>
        <w:spacing w:before="40" w:after="40" w:line="579" w:lineRule="auto"/>
        <w:jc w:val="center"/>
        <w:textAlignment w:val="auto"/>
        <w:rPr>
          <w:rFonts w:hint="eastAsia"/>
          <w:color w:val="auto"/>
          <w:sz w:val="32"/>
          <w:szCs w:val="32"/>
          <w:highlight w:val="none"/>
        </w:rPr>
      </w:pPr>
      <w:bookmarkStart w:id="174" w:name="_Toc5510"/>
      <w:r>
        <w:rPr>
          <w:rFonts w:hint="eastAsia"/>
          <w:color w:val="auto"/>
          <w:sz w:val="32"/>
          <w:szCs w:val="32"/>
          <w:highlight w:val="none"/>
        </w:rPr>
        <w:t>第二部分  商务及技术文件</w:t>
      </w:r>
      <w:bookmarkEnd w:id="170"/>
      <w:bookmarkEnd w:id="171"/>
      <w:bookmarkEnd w:id="172"/>
      <w:bookmarkEnd w:id="173"/>
      <w:bookmarkEnd w:id="174"/>
    </w:p>
    <w:bookmarkEnd w:id="141"/>
    <w:bookmarkEnd w:id="142"/>
    <w:bookmarkEnd w:id="143"/>
    <w:bookmarkEnd w:id="144"/>
    <w:p w14:paraId="657CC9F8">
      <w:pPr>
        <w:shd w:val="clear" w:color="auto" w:fill="auto"/>
        <w:spacing w:line="360" w:lineRule="auto"/>
        <w:ind w:firstLine="283" w:firstLineChars="135"/>
        <w:rPr>
          <w:rFonts w:hint="eastAsia" w:ascii="宋体" w:hAnsi="宋体" w:eastAsia="宋体" w:cs="Times New Roman"/>
          <w:color w:val="auto"/>
          <w:szCs w:val="21"/>
          <w:highlight w:val="none"/>
          <w:lang w:val="en-US" w:eastAsia="zh-CN"/>
        </w:rPr>
      </w:pPr>
      <w:bookmarkStart w:id="175" w:name="_Toc10107"/>
      <w:bookmarkStart w:id="176" w:name="_Toc23473"/>
      <w:bookmarkStart w:id="177" w:name="_Toc1266"/>
      <w:r>
        <w:rPr>
          <w:rFonts w:hint="eastAsia" w:ascii="宋体" w:hAnsi="宋体" w:eastAsia="宋体" w:cs="Times New Roman"/>
          <w:color w:val="auto"/>
          <w:szCs w:val="21"/>
          <w:highlight w:val="none"/>
          <w:lang w:val="en-US" w:eastAsia="zh-CN"/>
        </w:rPr>
        <w:t>1、投标函</w:t>
      </w:r>
    </w:p>
    <w:p w14:paraId="1A42B109">
      <w:pPr>
        <w:shd w:val="clear" w:color="auto" w:fill="auto"/>
        <w:spacing w:line="360" w:lineRule="auto"/>
        <w:ind w:firstLine="283"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2、开标一览表</w:t>
      </w:r>
    </w:p>
    <w:p w14:paraId="1DC1A5FB">
      <w:pPr>
        <w:shd w:val="clear" w:color="auto" w:fill="auto"/>
        <w:spacing w:line="360" w:lineRule="auto"/>
        <w:ind w:firstLine="283" w:firstLineChars="135"/>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3、投标分项报价表</w:t>
      </w:r>
    </w:p>
    <w:p w14:paraId="7710E794">
      <w:pPr>
        <w:shd w:val="clear" w:color="auto" w:fill="auto"/>
        <w:spacing w:line="360" w:lineRule="auto"/>
        <w:ind w:firstLine="283" w:firstLineChars="135"/>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4、货物说明一览表</w:t>
      </w:r>
    </w:p>
    <w:p w14:paraId="740C9742">
      <w:pPr>
        <w:shd w:val="clear" w:color="auto" w:fill="auto"/>
        <w:spacing w:line="360" w:lineRule="auto"/>
        <w:ind w:firstLine="283"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5</w:t>
      </w:r>
      <w:r>
        <w:rPr>
          <w:rFonts w:hint="eastAsia" w:ascii="宋体" w:hAnsi="宋体" w:eastAsia="宋体" w:cs="Times New Roman"/>
          <w:color w:val="auto"/>
          <w:szCs w:val="21"/>
          <w:highlight w:val="none"/>
          <w:lang w:val="en-US" w:eastAsia="zh-CN"/>
        </w:rPr>
        <w:t>、技术规格偏离表</w:t>
      </w:r>
    </w:p>
    <w:p w14:paraId="767DF30B">
      <w:pPr>
        <w:shd w:val="clear" w:color="auto" w:fill="auto"/>
        <w:spacing w:line="360" w:lineRule="auto"/>
        <w:ind w:firstLine="283"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6</w:t>
      </w:r>
      <w:r>
        <w:rPr>
          <w:rFonts w:hint="eastAsia" w:ascii="宋体" w:hAnsi="宋体" w:eastAsia="宋体" w:cs="Times New Roman"/>
          <w:color w:val="auto"/>
          <w:szCs w:val="21"/>
          <w:highlight w:val="none"/>
          <w:lang w:val="en-US" w:eastAsia="zh-CN"/>
        </w:rPr>
        <w:t>、商务条款偏离表</w:t>
      </w:r>
    </w:p>
    <w:p w14:paraId="1700B7B6">
      <w:pPr>
        <w:shd w:val="clear" w:color="auto" w:fill="auto"/>
        <w:spacing w:line="360" w:lineRule="auto"/>
        <w:ind w:firstLine="283"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7</w:t>
      </w:r>
      <w:r>
        <w:rPr>
          <w:rFonts w:hint="eastAsia" w:ascii="宋体" w:hAnsi="宋体" w:eastAsia="宋体" w:cs="Times New Roman"/>
          <w:color w:val="auto"/>
          <w:szCs w:val="21"/>
          <w:highlight w:val="none"/>
          <w:lang w:val="en-US" w:eastAsia="zh-CN"/>
        </w:rPr>
        <w:t>、投标人基本情况表</w:t>
      </w:r>
    </w:p>
    <w:p w14:paraId="78FE2E5B">
      <w:pPr>
        <w:shd w:val="clear" w:color="auto" w:fill="auto"/>
        <w:spacing w:line="360" w:lineRule="auto"/>
        <w:ind w:firstLine="283"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8</w:t>
      </w:r>
      <w:r>
        <w:rPr>
          <w:rFonts w:hint="eastAsia" w:ascii="宋体" w:hAnsi="宋体" w:eastAsia="宋体" w:cs="Times New Roman"/>
          <w:color w:val="auto"/>
          <w:szCs w:val="21"/>
          <w:highlight w:val="none"/>
          <w:lang w:val="en-US" w:eastAsia="zh-CN"/>
        </w:rPr>
        <w:t>、</w:t>
      </w:r>
      <w:r>
        <w:rPr>
          <w:rFonts w:hint="eastAsia" w:ascii="宋体" w:hAnsi="宋体" w:cs="Times New Roman"/>
          <w:color w:val="auto"/>
          <w:szCs w:val="21"/>
          <w:highlight w:val="none"/>
          <w:lang w:val="en-US" w:eastAsia="zh-CN"/>
        </w:rPr>
        <w:t>近年</w:t>
      </w:r>
      <w:r>
        <w:rPr>
          <w:rFonts w:hint="eastAsia" w:ascii="宋体" w:hAnsi="宋体" w:eastAsia="宋体" w:cs="Times New Roman"/>
          <w:color w:val="auto"/>
          <w:szCs w:val="21"/>
          <w:highlight w:val="none"/>
          <w:lang w:val="en-US" w:eastAsia="zh-CN"/>
        </w:rPr>
        <w:t>类似项目业绩表</w:t>
      </w:r>
    </w:p>
    <w:p w14:paraId="5140CC4D">
      <w:pPr>
        <w:shd w:val="clear" w:color="auto" w:fill="auto"/>
        <w:spacing w:line="360" w:lineRule="auto"/>
        <w:ind w:firstLine="283"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9</w:t>
      </w:r>
      <w:r>
        <w:rPr>
          <w:rFonts w:hint="eastAsia" w:ascii="宋体" w:hAnsi="宋体" w:eastAsia="宋体" w:cs="Times New Roman"/>
          <w:color w:val="auto"/>
          <w:szCs w:val="21"/>
          <w:highlight w:val="none"/>
          <w:lang w:val="en-US" w:eastAsia="zh-CN"/>
        </w:rPr>
        <w:t>、中小企业声明函(货物)</w:t>
      </w:r>
    </w:p>
    <w:p w14:paraId="5A82CDD0">
      <w:pPr>
        <w:shd w:val="clear" w:color="auto" w:fill="auto"/>
        <w:spacing w:line="360" w:lineRule="auto"/>
        <w:ind w:firstLine="283"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10、</w:t>
      </w:r>
      <w:r>
        <w:rPr>
          <w:rFonts w:hint="eastAsia" w:asciiTheme="minorEastAsia" w:hAnsiTheme="minorEastAsia" w:eastAsiaTheme="minorEastAsia" w:cstheme="minorEastAsia"/>
          <w:color w:val="auto"/>
          <w:highlight w:val="none"/>
          <w:lang w:eastAsia="zh-CN"/>
        </w:rPr>
        <w:t>关于符合本国产品标准的声明函</w:t>
      </w:r>
    </w:p>
    <w:p w14:paraId="10D7D16B">
      <w:pPr>
        <w:shd w:val="clear" w:color="auto" w:fill="auto"/>
        <w:spacing w:line="360" w:lineRule="auto"/>
        <w:ind w:firstLine="283"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11</w:t>
      </w:r>
      <w:r>
        <w:rPr>
          <w:rFonts w:hint="eastAsia" w:ascii="宋体" w:hAnsi="宋体" w:eastAsia="宋体" w:cs="Times New Roman"/>
          <w:color w:val="auto"/>
          <w:szCs w:val="21"/>
          <w:highlight w:val="none"/>
          <w:lang w:val="en-US" w:eastAsia="zh-CN"/>
        </w:rPr>
        <w:t>、投标人关联单位的说明（格式自拟）</w:t>
      </w:r>
    </w:p>
    <w:p w14:paraId="04FD1703">
      <w:pPr>
        <w:shd w:val="clear" w:color="auto" w:fill="auto"/>
        <w:spacing w:line="360" w:lineRule="auto"/>
        <w:ind w:firstLine="283"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12、</w:t>
      </w:r>
      <w:r>
        <w:rPr>
          <w:rFonts w:hint="eastAsia" w:ascii="宋体" w:hAnsi="宋体" w:eastAsia="宋体" w:cs="Times New Roman"/>
          <w:color w:val="auto"/>
          <w:szCs w:val="21"/>
          <w:highlight w:val="none"/>
          <w:lang w:val="en-US" w:eastAsia="zh-CN"/>
        </w:rPr>
        <w:t>评分标准和细则中技术部分证明材料（格式自拟）</w:t>
      </w:r>
    </w:p>
    <w:p w14:paraId="0B5A68B7">
      <w:pPr>
        <w:shd w:val="clear" w:color="auto" w:fill="auto"/>
        <w:spacing w:line="360" w:lineRule="auto"/>
        <w:ind w:firstLine="283" w:firstLineChars="135"/>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13</w:t>
      </w:r>
      <w:r>
        <w:rPr>
          <w:rFonts w:hint="eastAsia" w:ascii="宋体" w:hAnsi="宋体" w:eastAsia="宋体" w:cs="Times New Roman"/>
          <w:color w:val="auto"/>
          <w:szCs w:val="21"/>
          <w:highlight w:val="none"/>
          <w:lang w:val="en-US" w:eastAsia="zh-CN"/>
        </w:rPr>
        <w:t>、评分标准和细则中</w:t>
      </w:r>
      <w:r>
        <w:rPr>
          <w:rFonts w:hint="eastAsia" w:ascii="宋体" w:hAnsi="宋体" w:cs="Times New Roman"/>
          <w:color w:val="auto"/>
          <w:szCs w:val="21"/>
          <w:highlight w:val="none"/>
          <w:lang w:val="en-US" w:eastAsia="zh-CN"/>
        </w:rPr>
        <w:t>商务</w:t>
      </w:r>
      <w:r>
        <w:rPr>
          <w:rFonts w:hint="eastAsia" w:ascii="宋体" w:hAnsi="宋体" w:eastAsia="宋体" w:cs="Times New Roman"/>
          <w:color w:val="auto"/>
          <w:szCs w:val="21"/>
          <w:highlight w:val="none"/>
          <w:lang w:val="en-US" w:eastAsia="zh-CN"/>
        </w:rPr>
        <w:t>部分证明材料（格式自拟）</w:t>
      </w:r>
    </w:p>
    <w:p w14:paraId="7B9F242A">
      <w:pPr>
        <w:shd w:val="clear" w:color="auto" w:fill="auto"/>
        <w:spacing w:line="360" w:lineRule="auto"/>
        <w:ind w:firstLine="283" w:firstLineChars="135"/>
        <w:rPr>
          <w:rFonts w:hint="eastAsia" w:ascii="宋体" w:hAnsi="宋体" w:eastAsia="宋体" w:cs="宋体"/>
          <w:color w:val="auto"/>
          <w:sz w:val="24"/>
          <w:highlight w:val="none"/>
        </w:rPr>
      </w:pPr>
      <w:r>
        <w:rPr>
          <w:rFonts w:hint="eastAsia" w:ascii="宋体" w:hAnsi="宋体" w:cs="Times New Roman"/>
          <w:color w:val="auto"/>
          <w:szCs w:val="21"/>
          <w:highlight w:val="none"/>
          <w:lang w:val="en-US" w:eastAsia="zh-CN"/>
        </w:rPr>
        <w:t>14</w:t>
      </w:r>
      <w:r>
        <w:rPr>
          <w:rFonts w:hint="eastAsia" w:ascii="宋体" w:hAnsi="宋体" w:eastAsia="宋体" w:cs="Times New Roman"/>
          <w:color w:val="auto"/>
          <w:szCs w:val="21"/>
          <w:highlight w:val="none"/>
          <w:lang w:val="en-US" w:eastAsia="zh-CN"/>
        </w:rPr>
        <w:t>、投标人认为有必要提供的其他证明材料（格式自拟）</w:t>
      </w:r>
    </w:p>
    <w:p w14:paraId="39E41891">
      <w:pPr>
        <w:pStyle w:val="10"/>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lang w:val="en-US" w:eastAsia="zh-CN"/>
        </w:rPr>
      </w:pPr>
    </w:p>
    <w:p w14:paraId="0CAB6A98">
      <w:pPr>
        <w:pStyle w:val="10"/>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lang w:val="en-US" w:eastAsia="zh-CN"/>
        </w:rPr>
      </w:pPr>
    </w:p>
    <w:p w14:paraId="7910A89C">
      <w:pPr>
        <w:pStyle w:val="10"/>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lang w:val="en-US" w:eastAsia="zh-CN"/>
        </w:rPr>
      </w:pPr>
    </w:p>
    <w:p w14:paraId="4B7D4C44">
      <w:pPr>
        <w:pStyle w:val="10"/>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lang w:val="en-US" w:eastAsia="zh-CN"/>
        </w:rPr>
      </w:pPr>
    </w:p>
    <w:p w14:paraId="62C9B7D1">
      <w:pPr>
        <w:pStyle w:val="10"/>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lang w:val="en-US" w:eastAsia="zh-CN"/>
        </w:rPr>
      </w:pPr>
    </w:p>
    <w:p w14:paraId="08AC00DA">
      <w:pPr>
        <w:pStyle w:val="10"/>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lang w:val="en-US" w:eastAsia="zh-CN"/>
        </w:rPr>
      </w:pPr>
    </w:p>
    <w:p w14:paraId="3793DF47">
      <w:pPr>
        <w:pStyle w:val="10"/>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lang w:val="en-US" w:eastAsia="zh-CN"/>
        </w:rPr>
      </w:pPr>
    </w:p>
    <w:p w14:paraId="5FD0ED0B">
      <w:pPr>
        <w:pStyle w:val="10"/>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lang w:val="en-US" w:eastAsia="zh-CN"/>
        </w:rPr>
      </w:pPr>
    </w:p>
    <w:p w14:paraId="22DAB4CA">
      <w:pPr>
        <w:rPr>
          <w:rFonts w:hint="eastAsia" w:ascii="仿宋" w:hAnsi="仿宋" w:eastAsia="仿宋" w:cs="仿宋"/>
          <w:b/>
          <w:bCs/>
          <w:color w:val="auto"/>
          <w:sz w:val="36"/>
          <w:szCs w:val="36"/>
          <w:highlight w:val="none"/>
          <w:lang w:val="en-US" w:eastAsia="zh-CN"/>
        </w:rPr>
      </w:pPr>
    </w:p>
    <w:bookmarkEnd w:id="175"/>
    <w:bookmarkEnd w:id="176"/>
    <w:bookmarkEnd w:id="177"/>
    <w:p w14:paraId="4FE7621F">
      <w:pPr>
        <w:pStyle w:val="10"/>
        <w:numPr>
          <w:ilvl w:val="0"/>
          <w:numId w:val="0"/>
        </w:numPr>
        <w:kinsoku w:val="0"/>
        <w:overflowPunct w:val="0"/>
        <w:spacing w:before="130" w:line="355" w:lineRule="auto"/>
        <w:ind w:left="480" w:leftChars="0" w:right="7" w:rightChars="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val="en-US" w:eastAsia="zh-CN"/>
        </w:rPr>
        <w:t>1</w:t>
      </w:r>
      <w:r>
        <w:rPr>
          <w:rFonts w:hint="eastAsia" w:ascii="宋体" w:hAnsi="宋体" w:eastAsia="宋体" w:cs="宋体"/>
          <w:b/>
          <w:bCs/>
          <w:color w:val="auto"/>
          <w:sz w:val="28"/>
          <w:szCs w:val="28"/>
          <w:highlight w:val="none"/>
        </w:rPr>
        <w:t>、投标函</w:t>
      </w:r>
    </w:p>
    <w:p w14:paraId="3F3915FB">
      <w:pPr>
        <w:keepNext w:val="0"/>
        <w:keepLines w:val="0"/>
        <w:pageBreakBefore w:val="0"/>
        <w:widowControl w:val="0"/>
        <w:topLinePunct w:val="0"/>
        <w:autoSpaceDE/>
        <w:autoSpaceDN/>
        <w:bidi w:val="0"/>
        <w:adjustRightInd/>
        <w:snapToGrid/>
        <w:spacing w:line="440" w:lineRule="exac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致：</w:t>
      </w:r>
      <w:r>
        <w:rPr>
          <w:rFonts w:hint="eastAsia" w:ascii="宋体" w:hAnsi="宋体" w:eastAsia="宋体" w:cs="宋体"/>
          <w:color w:val="auto"/>
          <w:kern w:val="0"/>
          <w:sz w:val="21"/>
          <w:szCs w:val="21"/>
          <w:highlight w:val="none"/>
          <w:u w:val="single"/>
        </w:rPr>
        <w:t xml:space="preserve">                     </w:t>
      </w:r>
    </w:p>
    <w:p w14:paraId="5CF6D0B2">
      <w:pPr>
        <w:keepNext w:val="0"/>
        <w:keepLines w:val="0"/>
        <w:pageBreakBefore w:val="0"/>
        <w:widowControl w:val="0"/>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为响应你方组织的</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项目的招标项目编号为：</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，我方愿参与投标。</w:t>
      </w:r>
    </w:p>
    <w:p w14:paraId="2FCA1E03">
      <w:pPr>
        <w:keepNext w:val="0"/>
        <w:keepLines w:val="0"/>
        <w:pageBreakBefore w:val="0"/>
        <w:widowControl w:val="0"/>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我方确认收到贵方提供的</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none"/>
        </w:rPr>
        <w:t>招标</w:t>
      </w:r>
      <w:r>
        <w:rPr>
          <w:rFonts w:hint="eastAsia" w:ascii="宋体" w:hAnsi="宋体" w:eastAsia="宋体" w:cs="宋体"/>
          <w:color w:val="auto"/>
          <w:kern w:val="0"/>
          <w:sz w:val="21"/>
          <w:szCs w:val="21"/>
          <w:highlight w:val="none"/>
        </w:rPr>
        <w:t>文件的全部内容。</w:t>
      </w:r>
    </w:p>
    <w:p w14:paraId="0A2BAE27">
      <w:pPr>
        <w:keepNext w:val="0"/>
        <w:keepLines w:val="0"/>
        <w:pageBreakBefore w:val="0"/>
        <w:widowControl w:val="0"/>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我方在参与投标前已详细研究了招标文件的所有内容，包括澄清、修改文件（如果有）和所有已提供的参考资料以及有关附件，我方完全明白并认为此招标文件没有倾向性，也不存在排斥潜在报价投标人的内容，我方同意招标文件的相关条款，放弃对招标文件提出误解和质疑的一切权力。</w:t>
      </w:r>
    </w:p>
    <w:p w14:paraId="6A689CFD">
      <w:pPr>
        <w:keepNext w:val="0"/>
        <w:keepLines w:val="0"/>
        <w:pageBreakBefore w:val="0"/>
        <w:widowControl w:val="0"/>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u w:val="single"/>
        </w:rPr>
        <w:t xml:space="preserve">      (投标人名称)      </w:t>
      </w:r>
      <w:r>
        <w:rPr>
          <w:rFonts w:hint="eastAsia" w:ascii="宋体" w:hAnsi="宋体" w:eastAsia="宋体" w:cs="宋体"/>
          <w:color w:val="auto"/>
          <w:kern w:val="0"/>
          <w:sz w:val="21"/>
          <w:szCs w:val="21"/>
          <w:highlight w:val="none"/>
        </w:rPr>
        <w:t>作为投标人正式授权</w:t>
      </w:r>
      <w:r>
        <w:rPr>
          <w:rFonts w:hint="eastAsia" w:ascii="宋体" w:hAnsi="宋体" w:eastAsia="宋体" w:cs="宋体"/>
          <w:color w:val="auto"/>
          <w:kern w:val="0"/>
          <w:sz w:val="21"/>
          <w:szCs w:val="21"/>
          <w:highlight w:val="none"/>
          <w:u w:val="single"/>
        </w:rPr>
        <w:t xml:space="preserve">  (授权代表全名, 职务)  </w:t>
      </w:r>
      <w:r>
        <w:rPr>
          <w:rFonts w:hint="eastAsia" w:ascii="宋体" w:hAnsi="宋体" w:eastAsia="宋体" w:cs="宋体"/>
          <w:color w:val="auto"/>
          <w:kern w:val="0"/>
          <w:sz w:val="21"/>
          <w:szCs w:val="21"/>
          <w:highlight w:val="none"/>
        </w:rPr>
        <w:t>代表我方全权处理有关本报价的一切事宜。</w:t>
      </w:r>
    </w:p>
    <w:p w14:paraId="14BA42D1">
      <w:pPr>
        <w:keepNext w:val="0"/>
        <w:keepLines w:val="0"/>
        <w:pageBreakBefore w:val="0"/>
        <w:widowControl w:val="0"/>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我方已完全明白招标文件的所有条款要求，并申明如下：</w:t>
      </w:r>
    </w:p>
    <w:p w14:paraId="7C329F90">
      <w:pPr>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（一）按招标文件提供的全部货物与相关服务的投标</w:t>
      </w:r>
      <w:r>
        <w:rPr>
          <w:rFonts w:hint="eastAsia" w:ascii="宋体" w:hAnsi="宋体" w:cs="宋体"/>
          <w:color w:val="auto"/>
          <w:kern w:val="0"/>
          <w:sz w:val="21"/>
          <w:szCs w:val="21"/>
          <w:highlight w:val="none"/>
          <w:lang w:val="en-US" w:eastAsia="zh-CN"/>
        </w:rPr>
        <w:t>单价</w:t>
      </w:r>
      <w:r>
        <w:rPr>
          <w:rFonts w:hint="eastAsia" w:ascii="宋体" w:hAnsi="宋体" w:eastAsia="宋体" w:cs="宋体"/>
          <w:color w:val="auto"/>
          <w:kern w:val="0"/>
          <w:sz w:val="21"/>
          <w:szCs w:val="21"/>
          <w:highlight w:val="none"/>
        </w:rPr>
        <w:t>详见《开标一览表》。</w:t>
      </w:r>
    </w:p>
    <w:p w14:paraId="1EC41764">
      <w:pPr>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（二）本投标文件的有效期为投标截止时间起</w:t>
      </w:r>
      <w:r>
        <w:rPr>
          <w:rFonts w:hint="eastAsia" w:ascii="宋体" w:hAnsi="宋体" w:eastAsia="宋体" w:cs="宋体"/>
          <w:color w:val="auto"/>
          <w:kern w:val="0"/>
          <w:sz w:val="21"/>
          <w:szCs w:val="21"/>
          <w:highlight w:val="none"/>
          <w:u w:val="single"/>
          <w:lang w:val="en-US" w:eastAsia="zh-CN"/>
        </w:rPr>
        <w:t>60</w:t>
      </w:r>
      <w:r>
        <w:rPr>
          <w:rFonts w:hint="eastAsia" w:ascii="宋体" w:hAnsi="宋体" w:eastAsia="宋体" w:cs="宋体"/>
          <w:color w:val="auto"/>
          <w:kern w:val="0"/>
          <w:sz w:val="21"/>
          <w:szCs w:val="21"/>
          <w:highlight w:val="none"/>
        </w:rPr>
        <w:t>天。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14:paraId="037E9A46">
      <w:pPr>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（三）我方同意按照贵方可能提出的要求而提供与投标有关的任何其它数据、信息或资料。</w:t>
      </w:r>
    </w:p>
    <w:p w14:paraId="55A2FB72">
      <w:pPr>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eastAsia="zh-CN"/>
        </w:rPr>
        <w:t>四</w:t>
      </w:r>
      <w:r>
        <w:rPr>
          <w:rFonts w:hint="eastAsia" w:ascii="宋体" w:hAnsi="宋体" w:eastAsia="宋体" w:cs="宋体"/>
          <w:color w:val="auto"/>
          <w:kern w:val="0"/>
          <w:sz w:val="21"/>
          <w:szCs w:val="21"/>
          <w:highlight w:val="none"/>
        </w:rPr>
        <w:t>）我方理解贵方不一定接受最低投标价或任何贵方可能收到的投标。</w:t>
      </w:r>
    </w:p>
    <w:p w14:paraId="3DEF5E59">
      <w:pPr>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eastAsia="zh-CN"/>
        </w:rPr>
        <w:t>五</w:t>
      </w:r>
      <w:r>
        <w:rPr>
          <w:rFonts w:hint="eastAsia" w:ascii="宋体" w:hAnsi="宋体" w:eastAsia="宋体" w:cs="宋体"/>
          <w:color w:val="auto"/>
          <w:kern w:val="0"/>
          <w:sz w:val="21"/>
          <w:szCs w:val="21"/>
          <w:highlight w:val="none"/>
        </w:rPr>
        <w:t>）我方如果中标，将保证履行招标文件及其澄清、修改文件（如果有）中的全部责任和义务，按质、按量、按期完成《招标内容》及《合同书》中的全部任务。</w:t>
      </w:r>
    </w:p>
    <w:p w14:paraId="4A28DE6F">
      <w:pPr>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eastAsia="zh-CN"/>
        </w:rPr>
        <w:t>六</w:t>
      </w:r>
      <w:r>
        <w:rPr>
          <w:rFonts w:hint="eastAsia" w:ascii="宋体" w:hAnsi="宋体" w:eastAsia="宋体" w:cs="宋体"/>
          <w:color w:val="auto"/>
          <w:kern w:val="0"/>
          <w:sz w:val="21"/>
          <w:szCs w:val="21"/>
          <w:highlight w:val="none"/>
        </w:rPr>
        <w:t>）如我方被授予合同，我方承诺支付就本次招标应支付或将支付的中标服务费（详见按招标文件要求格式填写的《中标服务费支付承诺书》）。</w:t>
      </w:r>
    </w:p>
    <w:p w14:paraId="042F7C2D">
      <w:pPr>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eastAsia="zh-CN"/>
        </w:rPr>
        <w:t>七</w:t>
      </w:r>
      <w:r>
        <w:rPr>
          <w:rFonts w:hint="eastAsia" w:ascii="宋体" w:hAnsi="宋体" w:eastAsia="宋体" w:cs="宋体"/>
          <w:color w:val="auto"/>
          <w:kern w:val="0"/>
          <w:sz w:val="21"/>
          <w:szCs w:val="21"/>
          <w:highlight w:val="none"/>
        </w:rPr>
        <w:t>）我方作为在法律、财务和运作上独立于采购人、招标代理机构的投标人，在此保证所提交的所有文件和全部说明是真实的和正确的。</w:t>
      </w:r>
    </w:p>
    <w:p w14:paraId="32B4E69D">
      <w:pPr>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eastAsia="zh-CN"/>
        </w:rPr>
        <w:t>八</w:t>
      </w:r>
      <w:r>
        <w:rPr>
          <w:rFonts w:hint="eastAsia" w:ascii="宋体" w:hAnsi="宋体" w:eastAsia="宋体" w:cs="宋体"/>
          <w:color w:val="auto"/>
          <w:kern w:val="0"/>
          <w:sz w:val="21"/>
          <w:szCs w:val="21"/>
          <w:highlight w:val="none"/>
        </w:rPr>
        <w:t>）我方投标报价已包含应向知识产权所有权人支付的所有相关税费，并保证采购人在中国使用我方提供的货物时，如有第三方提出侵犯其知识产权主张的，责任由我方承担。</w:t>
      </w:r>
    </w:p>
    <w:p w14:paraId="3D51E7E1">
      <w:pPr>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eastAsia="zh-CN"/>
        </w:rPr>
        <w:t>九</w:t>
      </w:r>
      <w:r>
        <w:rPr>
          <w:rFonts w:hint="eastAsia" w:ascii="宋体" w:hAnsi="宋体" w:eastAsia="宋体" w:cs="宋体"/>
          <w:color w:val="auto"/>
          <w:kern w:val="0"/>
          <w:sz w:val="21"/>
          <w:szCs w:val="21"/>
          <w:highlight w:val="none"/>
        </w:rPr>
        <w:t>）我方与其他投标人不存在单位负责人为同一人或者存在直接控股、管理关系。</w:t>
      </w:r>
    </w:p>
    <w:p w14:paraId="0BAECA03">
      <w:pPr>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（十）我方承诺未为本项目提供整体设计、规范编制或者项目管理、监理、检测等服务。</w:t>
      </w:r>
    </w:p>
    <w:p w14:paraId="703E33DF">
      <w:pPr>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（十</w:t>
      </w:r>
      <w:r>
        <w:rPr>
          <w:rFonts w:hint="eastAsia" w:ascii="宋体" w:hAnsi="宋体" w:eastAsia="宋体" w:cs="宋体"/>
          <w:color w:val="auto"/>
          <w:kern w:val="0"/>
          <w:sz w:val="21"/>
          <w:szCs w:val="21"/>
          <w:highlight w:val="none"/>
          <w:lang w:eastAsia="zh-CN"/>
        </w:rPr>
        <w:t>一</w:t>
      </w:r>
      <w:r>
        <w:rPr>
          <w:rFonts w:hint="eastAsia" w:ascii="宋体" w:hAnsi="宋体" w:eastAsia="宋体" w:cs="宋体"/>
          <w:color w:val="auto"/>
          <w:kern w:val="0"/>
          <w:sz w:val="21"/>
          <w:szCs w:val="21"/>
          <w:highlight w:val="none"/>
        </w:rPr>
        <w:t>）我方具备《政府采购法》第二十二条规定的条件，承诺如下：</w:t>
      </w:r>
    </w:p>
    <w:p w14:paraId="7F8C25DB">
      <w:pPr>
        <w:keepNext w:val="0"/>
        <w:keepLines w:val="0"/>
        <w:pageBreakBefore w:val="0"/>
        <w:widowControl w:val="0"/>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（1）我方已依法缴纳了各项税费及社会保险费用，如有需要，可随时向采购人提供近</w:t>
      </w:r>
      <w:r>
        <w:rPr>
          <w:rFonts w:hint="eastAsia" w:ascii="宋体" w:hAnsi="宋体" w:cs="宋体"/>
          <w:color w:val="auto"/>
          <w:kern w:val="0"/>
          <w:sz w:val="21"/>
          <w:szCs w:val="21"/>
          <w:highlight w:val="none"/>
          <w:lang w:val="en-US" w:eastAsia="zh-CN"/>
        </w:rPr>
        <w:t>六</w:t>
      </w:r>
      <w:r>
        <w:rPr>
          <w:rFonts w:hint="eastAsia" w:ascii="宋体" w:hAnsi="宋体" w:eastAsia="宋体" w:cs="宋体"/>
          <w:color w:val="auto"/>
          <w:kern w:val="0"/>
          <w:sz w:val="21"/>
          <w:szCs w:val="21"/>
          <w:highlight w:val="none"/>
        </w:rPr>
        <w:t>个月内</w:t>
      </w:r>
      <w:r>
        <w:rPr>
          <w:rFonts w:hint="eastAsia" w:ascii="宋体" w:hAnsi="宋体" w:eastAsia="宋体" w:cs="宋体"/>
          <w:color w:val="auto"/>
          <w:kern w:val="0"/>
          <w:sz w:val="21"/>
          <w:szCs w:val="21"/>
          <w:highlight w:val="none"/>
          <w:lang w:val="en-US" w:eastAsia="zh-CN"/>
        </w:rPr>
        <w:t>任意一个月</w:t>
      </w:r>
      <w:r>
        <w:rPr>
          <w:rFonts w:hint="eastAsia" w:ascii="宋体" w:hAnsi="宋体" w:eastAsia="宋体" w:cs="宋体"/>
          <w:color w:val="auto"/>
          <w:kern w:val="0"/>
          <w:sz w:val="21"/>
          <w:szCs w:val="21"/>
          <w:highlight w:val="none"/>
        </w:rPr>
        <w:t>的相关缴费证明，以便核查。</w:t>
      </w:r>
    </w:p>
    <w:p w14:paraId="2582B3B2">
      <w:pPr>
        <w:keepNext w:val="0"/>
        <w:keepLines w:val="0"/>
        <w:pageBreakBefore w:val="0"/>
        <w:widowControl w:val="0"/>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（2）我方已依法建立健全的财务会计制度，如有需要，可随时向采购人提供相关的证明材料，以便核查。</w:t>
      </w:r>
    </w:p>
    <w:p w14:paraId="19049DCB">
      <w:pPr>
        <w:keepNext w:val="0"/>
        <w:keepLines w:val="0"/>
        <w:pageBreakBefore w:val="0"/>
        <w:widowControl w:val="0"/>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（3）我方参加本项目政府采购活动前3年内在经营活动中没有重大违法记录。</w:t>
      </w:r>
    </w:p>
    <w:p w14:paraId="3B533F30">
      <w:pPr>
        <w:keepNext w:val="0"/>
        <w:keepLines w:val="0"/>
        <w:pageBreakBefore w:val="0"/>
        <w:widowControl w:val="0"/>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（4）我方具备履行合同所必需的设备和专业技术能力。</w:t>
      </w:r>
    </w:p>
    <w:p w14:paraId="028A6219">
      <w:pPr>
        <w:keepNext w:val="0"/>
        <w:keepLines w:val="0"/>
        <w:pageBreakBefore w:val="0"/>
        <w:widowControl w:val="0"/>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（5）我方符合法律、行政法规规定的其他条件。</w:t>
      </w:r>
    </w:p>
    <w:p w14:paraId="2E305E6C">
      <w:pPr>
        <w:keepNext w:val="0"/>
        <w:keepLines w:val="0"/>
        <w:pageBreakBefore w:val="0"/>
        <w:widowControl w:val="0"/>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以上内容如有虚假或与事实不符的，评审委员会可将我方做无效投标处理，我方愿意承担相应的法律责任。</w:t>
      </w:r>
    </w:p>
    <w:p w14:paraId="2467B5D6">
      <w:pPr>
        <w:keepNext w:val="0"/>
        <w:keepLines w:val="0"/>
        <w:pageBreakBefore w:val="0"/>
        <w:widowControl w:val="0"/>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（十三）我方对在本函及投标文件中所作的所有承诺承担法律责任。</w:t>
      </w:r>
    </w:p>
    <w:p w14:paraId="71C5C96F">
      <w:pPr>
        <w:keepNext w:val="0"/>
        <w:keepLines w:val="0"/>
        <w:pageBreakBefore w:val="0"/>
        <w:widowControl w:val="0"/>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（十四）所有与本招标有关的函件请发往下列地址：</w:t>
      </w:r>
    </w:p>
    <w:p w14:paraId="21D9749E">
      <w:pPr>
        <w:keepNext w:val="0"/>
        <w:keepLines w:val="0"/>
        <w:pageBreakBefore w:val="0"/>
        <w:widowControl w:val="0"/>
        <w:topLinePunct w:val="0"/>
        <w:autoSpaceDE/>
        <w:autoSpaceDN/>
        <w:bidi w:val="0"/>
        <w:adjustRightInd/>
        <w:snapToGrid/>
        <w:spacing w:line="44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地    址：</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.邮政编码：</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26DF2626">
      <w:pPr>
        <w:keepNext w:val="0"/>
        <w:keepLines w:val="0"/>
        <w:pageBreakBefore w:val="0"/>
        <w:widowControl w:val="0"/>
        <w:topLinePunct w:val="0"/>
        <w:autoSpaceDE/>
        <w:autoSpaceDN/>
        <w:bidi w:val="0"/>
        <w:adjustRightInd/>
        <w:snapToGrid/>
        <w:spacing w:line="44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电    话：</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071347ED">
      <w:pPr>
        <w:keepNext w:val="0"/>
        <w:keepLines w:val="0"/>
        <w:pageBreakBefore w:val="0"/>
        <w:widowControl w:val="0"/>
        <w:topLinePunct w:val="0"/>
        <w:autoSpaceDE/>
        <w:autoSpaceDN/>
        <w:bidi w:val="0"/>
        <w:adjustRightInd/>
        <w:snapToGrid/>
        <w:spacing w:line="44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传    真：</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17C8928A">
      <w:pPr>
        <w:keepNext w:val="0"/>
        <w:keepLines w:val="0"/>
        <w:pageBreakBefore w:val="0"/>
        <w:widowControl w:val="0"/>
        <w:topLinePunct w:val="0"/>
        <w:autoSpaceDE/>
        <w:autoSpaceDN/>
        <w:bidi w:val="0"/>
        <w:adjustRightInd/>
        <w:snapToGrid/>
        <w:spacing w:line="44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代表姓名：</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.职    务：</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7F7D9F85">
      <w:pPr>
        <w:keepNext w:val="0"/>
        <w:keepLines w:val="0"/>
        <w:pageBreakBefore w:val="0"/>
        <w:widowControl w:val="0"/>
        <w:topLinePunct w:val="0"/>
        <w:autoSpaceDE/>
        <w:autoSpaceDN/>
        <w:bidi w:val="0"/>
        <w:adjustRightInd/>
        <w:snapToGrid/>
        <w:spacing w:line="440" w:lineRule="exact"/>
        <w:ind w:right="480"/>
        <w:jc w:val="righ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投标人：</w:t>
      </w:r>
      <w:r>
        <w:rPr>
          <w:rFonts w:hint="eastAsia" w:ascii="宋体" w:hAnsi="宋体" w:eastAsia="宋体" w:cs="宋体"/>
          <w:color w:val="auto"/>
          <w:kern w:val="0"/>
          <w:sz w:val="21"/>
          <w:szCs w:val="21"/>
          <w:highlight w:val="none"/>
          <w:u w:val="single"/>
        </w:rPr>
        <w:tab/>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 xml:space="preserve">（公章） </w:t>
      </w:r>
    </w:p>
    <w:p w14:paraId="70EB9159">
      <w:pPr>
        <w:keepNext w:val="0"/>
        <w:keepLines w:val="0"/>
        <w:pageBreakBefore w:val="0"/>
        <w:widowControl w:val="0"/>
        <w:wordWrap w:val="0"/>
        <w:topLinePunct w:val="0"/>
        <w:autoSpaceDE/>
        <w:autoSpaceDN/>
        <w:bidi w:val="0"/>
        <w:adjustRightInd/>
        <w:snapToGrid/>
        <w:spacing w:line="440" w:lineRule="exact"/>
        <w:ind w:firstLine="420" w:firstLineChars="200"/>
        <w:jc w:val="righ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法定代表人或委托人：</w:t>
      </w:r>
      <w:r>
        <w:rPr>
          <w:rFonts w:hint="eastAsia" w:ascii="宋体" w:hAnsi="宋体" w:eastAsia="宋体" w:cs="宋体"/>
          <w:color w:val="auto"/>
          <w:kern w:val="0"/>
          <w:sz w:val="21"/>
          <w:szCs w:val="21"/>
          <w:highlight w:val="none"/>
        </w:rPr>
        <w:tab/>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eastAsia="zh-CN"/>
        </w:rPr>
        <w:t>签字或盖章</w:t>
      </w:r>
      <w:r>
        <w:rPr>
          <w:rFonts w:hint="eastAsia" w:ascii="宋体" w:hAnsi="宋体" w:eastAsia="宋体" w:cs="宋体"/>
          <w:color w:val="auto"/>
          <w:kern w:val="0"/>
          <w:sz w:val="21"/>
          <w:szCs w:val="21"/>
          <w:highlight w:val="none"/>
        </w:rPr>
        <w:t xml:space="preserve">）  </w:t>
      </w:r>
    </w:p>
    <w:p w14:paraId="246A741C">
      <w:pPr>
        <w:keepNext w:val="0"/>
        <w:keepLines w:val="0"/>
        <w:pageBreakBefore w:val="0"/>
        <w:widowControl w:val="0"/>
        <w:wordWrap w:val="0"/>
        <w:topLinePunct w:val="0"/>
        <w:autoSpaceDE/>
        <w:autoSpaceDN/>
        <w:bidi w:val="0"/>
        <w:adjustRightInd/>
        <w:snapToGrid/>
        <w:spacing w:line="440" w:lineRule="exact"/>
        <w:ind w:firstLine="420" w:firstLineChars="200"/>
        <w:jc w:val="righ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rPr>
        <w:tab/>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u w:val="single"/>
        </w:rPr>
        <w:tab/>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月</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日</w:t>
      </w:r>
    </w:p>
    <w:p w14:paraId="0463D6C7">
      <w:pPr>
        <w:pStyle w:val="3"/>
        <w:numPr>
          <w:ilvl w:val="0"/>
          <w:numId w:val="0"/>
        </w:numPr>
        <w:shd w:val="clear" w:color="auto" w:fill="auto"/>
        <w:spacing w:before="0" w:line="240" w:lineRule="atLeast"/>
        <w:ind w:left="431" w:leftChars="0"/>
        <w:rPr>
          <w:rFonts w:hint="eastAsia" w:ascii="宋体" w:hAnsi="宋体" w:eastAsia="宋体" w:cs="宋体"/>
          <w:color w:val="auto"/>
          <w:sz w:val="24"/>
          <w:highlight w:val="none"/>
        </w:rPr>
      </w:pPr>
    </w:p>
    <w:p w14:paraId="5898927B">
      <w:pPr>
        <w:pStyle w:val="4"/>
        <w:rPr>
          <w:rFonts w:hint="eastAsia"/>
          <w:color w:val="auto"/>
          <w:highlight w:val="none"/>
        </w:rPr>
      </w:pPr>
    </w:p>
    <w:p w14:paraId="10122706">
      <w:pPr>
        <w:rPr>
          <w:rFonts w:hint="eastAsia"/>
          <w:color w:val="auto"/>
          <w:highlight w:val="none"/>
        </w:rPr>
      </w:pPr>
    </w:p>
    <w:p w14:paraId="09F0A8AF">
      <w:pPr>
        <w:pStyle w:val="6"/>
        <w:shd w:val="clear" w:color="auto" w:fill="auto"/>
        <w:tabs>
          <w:tab w:val="left" w:pos="5580"/>
        </w:tabs>
        <w:spacing w:line="240" w:lineRule="atLeast"/>
        <w:ind w:firstLine="3350" w:firstLineChars="927"/>
        <w:jc w:val="both"/>
        <w:rPr>
          <w:rFonts w:hint="eastAsia" w:ascii="宋体" w:hAnsi="宋体" w:eastAsia="宋体" w:cs="宋体"/>
          <w:b/>
          <w:color w:val="auto"/>
          <w:sz w:val="36"/>
          <w:szCs w:val="24"/>
          <w:highlight w:val="none"/>
        </w:rPr>
      </w:pPr>
      <w:bookmarkStart w:id="178" w:name="_Toc494296984"/>
    </w:p>
    <w:p w14:paraId="51828084">
      <w:pPr>
        <w:rPr>
          <w:rFonts w:hint="eastAsia" w:ascii="宋体" w:hAnsi="宋体" w:eastAsia="宋体" w:cs="宋体"/>
          <w:b/>
          <w:color w:val="auto"/>
          <w:sz w:val="36"/>
          <w:szCs w:val="24"/>
          <w:highlight w:val="none"/>
        </w:rPr>
      </w:pPr>
    </w:p>
    <w:p w14:paraId="5F6C38C6">
      <w:pPr>
        <w:pStyle w:val="4"/>
        <w:rPr>
          <w:rFonts w:hint="eastAsia" w:ascii="宋体" w:hAnsi="宋体" w:eastAsia="宋体" w:cs="宋体"/>
          <w:b/>
          <w:color w:val="auto"/>
          <w:sz w:val="36"/>
          <w:szCs w:val="24"/>
          <w:highlight w:val="none"/>
        </w:rPr>
      </w:pPr>
    </w:p>
    <w:p w14:paraId="0BBDACBE">
      <w:pPr>
        <w:rPr>
          <w:rFonts w:hint="eastAsia" w:ascii="宋体" w:hAnsi="宋体" w:eastAsia="宋体" w:cs="宋体"/>
          <w:b/>
          <w:color w:val="auto"/>
          <w:sz w:val="36"/>
          <w:szCs w:val="24"/>
          <w:highlight w:val="none"/>
        </w:rPr>
      </w:pPr>
    </w:p>
    <w:p w14:paraId="303D8DAD">
      <w:pPr>
        <w:pStyle w:val="4"/>
        <w:rPr>
          <w:rFonts w:hint="eastAsia" w:ascii="宋体" w:hAnsi="宋体" w:eastAsia="宋体" w:cs="宋体"/>
          <w:b/>
          <w:color w:val="auto"/>
          <w:sz w:val="36"/>
          <w:szCs w:val="24"/>
          <w:highlight w:val="none"/>
        </w:rPr>
      </w:pPr>
    </w:p>
    <w:p w14:paraId="42633E6E">
      <w:pPr>
        <w:rPr>
          <w:rFonts w:hint="eastAsia"/>
          <w:color w:val="auto"/>
          <w:highlight w:val="none"/>
        </w:rPr>
      </w:pPr>
    </w:p>
    <w:p w14:paraId="589DFDBE">
      <w:pPr>
        <w:rPr>
          <w:rFonts w:hint="eastAsia"/>
          <w:color w:val="auto"/>
          <w:highlight w:val="none"/>
        </w:rPr>
      </w:pPr>
    </w:p>
    <w:p w14:paraId="327995DD">
      <w:pPr>
        <w:rPr>
          <w:rFonts w:hint="eastAsia"/>
          <w:color w:val="auto"/>
          <w:highlight w:val="none"/>
        </w:rPr>
      </w:pPr>
    </w:p>
    <w:p w14:paraId="770536B4">
      <w:pPr>
        <w:pStyle w:val="6"/>
        <w:numPr>
          <w:ilvl w:val="0"/>
          <w:numId w:val="14"/>
        </w:numPr>
        <w:shd w:val="clear" w:color="auto" w:fill="auto"/>
        <w:tabs>
          <w:tab w:val="left" w:pos="5580"/>
        </w:tabs>
        <w:spacing w:line="240" w:lineRule="atLeast"/>
        <w:ind w:leftChars="0"/>
        <w:jc w:val="center"/>
        <w:rPr>
          <w:rFonts w:hint="eastAsia" w:ascii="宋体" w:hAnsi="宋体" w:eastAsia="宋体" w:cs="宋体"/>
          <w:b/>
          <w:color w:val="auto"/>
          <w:sz w:val="28"/>
          <w:szCs w:val="21"/>
          <w:highlight w:val="none"/>
        </w:rPr>
      </w:pPr>
      <w:r>
        <w:rPr>
          <w:rFonts w:hint="eastAsia" w:ascii="宋体" w:hAnsi="宋体" w:eastAsia="宋体" w:cs="宋体"/>
          <w:b/>
          <w:color w:val="auto"/>
          <w:sz w:val="28"/>
          <w:szCs w:val="21"/>
          <w:highlight w:val="none"/>
        </w:rPr>
        <w:t>开标一览表</w:t>
      </w:r>
      <w:bookmarkEnd w:id="178"/>
    </w:p>
    <w:p w14:paraId="5FCE0028">
      <w:pPr>
        <w:numPr>
          <w:ilvl w:val="0"/>
          <w:numId w:val="0"/>
        </w:numPr>
        <w:rPr>
          <w:rFonts w:hint="eastAsia"/>
          <w:highlight w:val="none"/>
        </w:rPr>
      </w:pPr>
    </w:p>
    <w:p w14:paraId="484C1325">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79" w:leftChars="257" w:hanging="53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项目名称: </w:t>
      </w:r>
    </w:p>
    <w:p w14:paraId="4D280F43">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79" w:leftChars="257" w:hanging="53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标项</w:t>
      </w:r>
      <w:r>
        <w:rPr>
          <w:rFonts w:hint="eastAsia" w:ascii="宋体" w:hAnsi="宋体" w:eastAsia="宋体" w:cs="宋体"/>
          <w:color w:val="auto"/>
          <w:sz w:val="21"/>
          <w:szCs w:val="21"/>
          <w:highlight w:val="none"/>
        </w:rPr>
        <w:t>名称:</w:t>
      </w:r>
    </w:p>
    <w:p w14:paraId="5AABEA4A">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79" w:leftChars="257" w:hanging="539"/>
        <w:textAlignment w:val="auto"/>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项目编号:</w:t>
      </w:r>
      <w:r>
        <w:rPr>
          <w:rFonts w:hint="eastAsia" w:ascii="宋体" w:hAnsi="宋体" w:eastAsia="宋体" w:cs="宋体"/>
          <w:color w:val="auto"/>
          <w:szCs w:val="21"/>
          <w:highlight w:val="none"/>
        </w:rPr>
        <w:t xml:space="preserve">                                                </w:t>
      </w:r>
    </w:p>
    <w:p w14:paraId="70B801A6">
      <w:pPr>
        <w:shd w:val="clear" w:color="auto" w:fill="auto"/>
        <w:spacing w:line="500" w:lineRule="exact"/>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单位：元（人民币）</w:t>
      </w:r>
    </w:p>
    <w:tbl>
      <w:tblPr>
        <w:tblStyle w:val="29"/>
        <w:tblW w:w="8780"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974"/>
        <w:gridCol w:w="6185"/>
      </w:tblGrid>
      <w:tr w14:paraId="787DC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2595" w:type="dxa"/>
            <w:gridSpan w:val="2"/>
            <w:vAlign w:val="center"/>
          </w:tcPr>
          <w:p w14:paraId="3B6434CD">
            <w:pPr>
              <w:shd w:val="clear" w:color="auto" w:fill="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投标项目名称</w:t>
            </w:r>
          </w:p>
        </w:tc>
        <w:tc>
          <w:tcPr>
            <w:tcW w:w="6185" w:type="dxa"/>
            <w:vAlign w:val="center"/>
          </w:tcPr>
          <w:p w14:paraId="48097352">
            <w:pPr>
              <w:shd w:val="clear" w:color="auto" w:fill="auto"/>
              <w:rPr>
                <w:rFonts w:hint="eastAsia" w:ascii="宋体" w:hAnsi="宋体" w:eastAsia="宋体" w:cs="宋体"/>
                <w:color w:val="auto"/>
                <w:szCs w:val="21"/>
                <w:highlight w:val="none"/>
              </w:rPr>
            </w:pPr>
          </w:p>
        </w:tc>
      </w:tr>
      <w:tr w14:paraId="3053C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2595" w:type="dxa"/>
            <w:gridSpan w:val="2"/>
            <w:vAlign w:val="center"/>
          </w:tcPr>
          <w:p w14:paraId="7C6F3BE9">
            <w:pPr>
              <w:shd w:val="clear" w:color="auto" w:fill="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质保期</w:t>
            </w:r>
          </w:p>
        </w:tc>
        <w:tc>
          <w:tcPr>
            <w:tcW w:w="6185" w:type="dxa"/>
            <w:vAlign w:val="center"/>
          </w:tcPr>
          <w:p w14:paraId="207595FA">
            <w:pPr>
              <w:shd w:val="clear" w:color="auto" w:fill="auto"/>
              <w:jc w:val="center"/>
              <w:rPr>
                <w:rFonts w:hint="eastAsia" w:ascii="宋体" w:hAnsi="宋体" w:eastAsia="宋体" w:cs="宋体"/>
                <w:color w:val="auto"/>
                <w:szCs w:val="21"/>
                <w:highlight w:val="none"/>
              </w:rPr>
            </w:pPr>
          </w:p>
        </w:tc>
      </w:tr>
      <w:tr w14:paraId="16EF4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2595" w:type="dxa"/>
            <w:gridSpan w:val="2"/>
            <w:tcBorders>
              <w:top w:val="single" w:color="auto" w:sz="4" w:space="0"/>
            </w:tcBorders>
            <w:vAlign w:val="center"/>
          </w:tcPr>
          <w:p w14:paraId="5EE43FFE">
            <w:pPr>
              <w:shd w:val="clear" w:color="auto" w:fill="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投标有效期</w:t>
            </w:r>
          </w:p>
        </w:tc>
        <w:tc>
          <w:tcPr>
            <w:tcW w:w="6185" w:type="dxa"/>
            <w:vAlign w:val="center"/>
          </w:tcPr>
          <w:p w14:paraId="1FC1EC0F">
            <w:pPr>
              <w:shd w:val="clear" w:color="auto" w:fill="auto"/>
              <w:jc w:val="center"/>
              <w:rPr>
                <w:rFonts w:hint="eastAsia" w:ascii="宋体" w:hAnsi="宋体" w:eastAsia="宋体" w:cs="宋体"/>
                <w:color w:val="auto"/>
                <w:szCs w:val="21"/>
                <w:highlight w:val="none"/>
              </w:rPr>
            </w:pPr>
          </w:p>
        </w:tc>
      </w:tr>
      <w:tr w14:paraId="17FC3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restart"/>
            <w:vAlign w:val="center"/>
          </w:tcPr>
          <w:p w14:paraId="3DD3E640">
            <w:pPr>
              <w:shd w:val="clear" w:color="auto" w:fill="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总</w:t>
            </w:r>
            <w:r>
              <w:rPr>
                <w:rFonts w:hint="eastAsia" w:ascii="宋体" w:hAnsi="宋体" w:eastAsia="宋体" w:cs="宋体"/>
                <w:color w:val="auto"/>
                <w:szCs w:val="21"/>
                <w:highlight w:val="none"/>
                <w:lang w:eastAsia="zh-CN"/>
              </w:rPr>
              <w:t>合计</w:t>
            </w:r>
          </w:p>
          <w:p w14:paraId="1C091EC1">
            <w:pPr>
              <w:shd w:val="clear" w:color="auto" w:fill="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（人民币）</w:t>
            </w:r>
          </w:p>
        </w:tc>
        <w:tc>
          <w:tcPr>
            <w:tcW w:w="974" w:type="dxa"/>
            <w:tcBorders>
              <w:top w:val="single" w:color="auto" w:sz="4" w:space="0"/>
              <w:bottom w:val="single" w:color="auto" w:sz="4" w:space="0"/>
            </w:tcBorders>
            <w:vAlign w:val="center"/>
          </w:tcPr>
          <w:p w14:paraId="57431525">
            <w:pPr>
              <w:widowControl/>
              <w:shd w:val="clear" w:color="auto" w:fill="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小写</w:t>
            </w:r>
          </w:p>
        </w:tc>
        <w:tc>
          <w:tcPr>
            <w:tcW w:w="6185" w:type="dxa"/>
            <w:vAlign w:val="center"/>
          </w:tcPr>
          <w:p w14:paraId="2834FB9A">
            <w:pPr>
              <w:shd w:val="clear" w:color="auto" w:fill="auto"/>
              <w:jc w:val="center"/>
              <w:rPr>
                <w:rFonts w:hint="eastAsia" w:ascii="宋体" w:hAnsi="宋体" w:eastAsia="宋体" w:cs="宋体"/>
                <w:color w:val="auto"/>
                <w:szCs w:val="21"/>
                <w:highlight w:val="none"/>
              </w:rPr>
            </w:pPr>
          </w:p>
        </w:tc>
      </w:tr>
      <w:tr w14:paraId="71A5B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continue"/>
            <w:vAlign w:val="center"/>
          </w:tcPr>
          <w:p w14:paraId="14E70FD2">
            <w:pPr>
              <w:shd w:val="clear" w:color="auto" w:fill="auto"/>
              <w:jc w:val="center"/>
              <w:rPr>
                <w:rFonts w:hint="eastAsia" w:ascii="宋体" w:hAnsi="宋体" w:eastAsia="宋体" w:cs="宋体"/>
                <w:color w:val="auto"/>
                <w:szCs w:val="21"/>
                <w:highlight w:val="none"/>
              </w:rPr>
            </w:pPr>
          </w:p>
        </w:tc>
        <w:tc>
          <w:tcPr>
            <w:tcW w:w="974" w:type="dxa"/>
            <w:tcBorders>
              <w:top w:val="single" w:color="auto" w:sz="4" w:space="0"/>
              <w:bottom w:val="single" w:color="auto" w:sz="4" w:space="0"/>
            </w:tcBorders>
            <w:vAlign w:val="center"/>
          </w:tcPr>
          <w:p w14:paraId="0D71C53F">
            <w:pPr>
              <w:widowControl/>
              <w:shd w:val="clear" w:color="auto" w:fill="auto"/>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大写</w:t>
            </w:r>
          </w:p>
        </w:tc>
        <w:tc>
          <w:tcPr>
            <w:tcW w:w="6185" w:type="dxa"/>
            <w:vAlign w:val="center"/>
          </w:tcPr>
          <w:p w14:paraId="628E338A">
            <w:pPr>
              <w:shd w:val="clear" w:color="auto" w:fill="auto"/>
              <w:jc w:val="center"/>
              <w:rPr>
                <w:rFonts w:hint="eastAsia" w:ascii="宋体" w:hAnsi="宋体" w:eastAsia="宋体" w:cs="宋体"/>
                <w:color w:val="auto"/>
                <w:szCs w:val="21"/>
                <w:highlight w:val="none"/>
              </w:rPr>
            </w:pPr>
          </w:p>
        </w:tc>
      </w:tr>
    </w:tbl>
    <w:p w14:paraId="286C314D">
      <w:pPr>
        <w:shd w:val="clear" w:color="auto" w:fill="auto"/>
        <w:spacing w:line="500" w:lineRule="exact"/>
        <w:ind w:firstLine="411" w:firstLineChars="196"/>
        <w:rPr>
          <w:rFonts w:hint="eastAsia" w:ascii="宋体" w:hAnsi="宋体" w:eastAsia="宋体" w:cs="宋体"/>
          <w:color w:val="auto"/>
          <w:szCs w:val="21"/>
          <w:highlight w:val="none"/>
        </w:rPr>
      </w:pPr>
      <w:bookmarkStart w:id="179" w:name="_Toc23717"/>
      <w:r>
        <w:rPr>
          <w:rFonts w:hint="eastAsia" w:ascii="宋体" w:hAnsi="宋体" w:eastAsia="宋体" w:cs="宋体"/>
          <w:color w:val="auto"/>
          <w:szCs w:val="21"/>
          <w:highlight w:val="none"/>
        </w:rPr>
        <w:t>填写说明：</w:t>
      </w:r>
    </w:p>
    <w:p w14:paraId="24FF076B">
      <w:pPr>
        <w:shd w:val="clear" w:color="auto" w:fill="auto"/>
        <w:spacing w:line="500" w:lineRule="exact"/>
        <w:ind w:firstLine="411" w:firstLineChars="196"/>
        <w:rPr>
          <w:rFonts w:hint="eastAsia" w:ascii="宋体" w:hAnsi="宋体" w:eastAsia="宋体" w:cs="宋体"/>
          <w:color w:val="auto"/>
          <w:szCs w:val="21"/>
          <w:highlight w:val="none"/>
        </w:rPr>
      </w:pPr>
      <w:r>
        <w:rPr>
          <w:rFonts w:hint="eastAsia" w:ascii="宋体" w:hAnsi="宋体" w:eastAsia="宋体" w:cs="宋体"/>
          <w:color w:val="auto"/>
          <w:szCs w:val="21"/>
          <w:highlight w:val="none"/>
        </w:rPr>
        <w:t>1.开标时，本表中的内容与投标文件中的投标函、货物价格明细表及分项价格表的内容不一致的，以本表为准；大写金额与小写金额不一致的，以大写金额为准；总价金额与按单价汇总金额不一致的，以单价金额计算结果为准；单价金额小数点有明显错位的，应以总价为准，并修改单价。</w:t>
      </w:r>
    </w:p>
    <w:p w14:paraId="05F070B4">
      <w:pPr>
        <w:shd w:val="clear" w:color="auto" w:fill="auto"/>
        <w:spacing w:line="500" w:lineRule="exact"/>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.投标总价为招标范围所列全部招标项目的报价总和，并应与投标报价明细表及分项价格表保持一致。</w:t>
      </w:r>
    </w:p>
    <w:p w14:paraId="0B1F241C">
      <w:pPr>
        <w:shd w:val="clear" w:color="auto" w:fill="auto"/>
        <w:spacing w:line="500" w:lineRule="exact"/>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.投标报价不得填报选择性报价。</w:t>
      </w:r>
    </w:p>
    <w:p w14:paraId="3A866940">
      <w:pPr>
        <w:shd w:val="clear" w:color="auto" w:fill="auto"/>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w:t>
      </w:r>
      <w:r>
        <w:rPr>
          <w:rFonts w:hint="eastAsia" w:ascii="宋体" w:hAnsi="宋体" w:eastAsia="宋体" w:cs="宋体"/>
          <w:color w:val="auto"/>
          <w:szCs w:val="21"/>
          <w:highlight w:val="none"/>
          <w:u w:val="single"/>
        </w:rPr>
        <w:t xml:space="preserve">    （加盖公章）     </w:t>
      </w:r>
      <w:r>
        <w:rPr>
          <w:rFonts w:hint="eastAsia" w:ascii="宋体" w:hAnsi="宋体" w:eastAsia="宋体" w:cs="宋体"/>
          <w:color w:val="auto"/>
          <w:szCs w:val="21"/>
          <w:highlight w:val="none"/>
        </w:rPr>
        <w:t xml:space="preserve">       </w:t>
      </w:r>
    </w:p>
    <w:p w14:paraId="7B750178">
      <w:pPr>
        <w:shd w:val="clear" w:color="auto" w:fill="auto"/>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法定代表人签字或盖章：</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0AA9F04C">
      <w:pPr>
        <w:shd w:val="clear" w:color="auto" w:fill="auto"/>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授权代表签字或盖章：</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31720977">
      <w:pPr>
        <w:shd w:val="clear" w:color="auto" w:fill="auto"/>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签署日期：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月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643E6083">
      <w:pPr>
        <w:shd w:val="clear" w:color="auto" w:fill="auto"/>
        <w:spacing w:line="500" w:lineRule="exact"/>
        <w:ind w:firstLine="420" w:firstLineChars="200"/>
        <w:rPr>
          <w:rFonts w:hint="eastAsia" w:ascii="宋体" w:hAnsi="宋体" w:eastAsia="宋体" w:cs="宋体"/>
          <w:color w:val="auto"/>
          <w:szCs w:val="21"/>
          <w:highlight w:val="none"/>
          <w:lang w:eastAsia="zh-CN"/>
        </w:rPr>
      </w:pPr>
    </w:p>
    <w:p w14:paraId="155920EE">
      <w:pPr>
        <w:shd w:val="clear" w:color="auto" w:fill="auto"/>
        <w:spacing w:line="500" w:lineRule="exact"/>
        <w:ind w:firstLine="420" w:firstLineChars="200"/>
        <w:rPr>
          <w:rFonts w:hint="eastAsia" w:ascii="宋体" w:hAnsi="宋体" w:eastAsia="宋体" w:cs="宋体"/>
          <w:color w:val="auto"/>
          <w:szCs w:val="21"/>
          <w:highlight w:val="none"/>
          <w:lang w:eastAsia="zh-CN"/>
        </w:rPr>
      </w:pPr>
    </w:p>
    <w:p w14:paraId="56AC9630">
      <w:pPr>
        <w:shd w:val="clear" w:color="auto" w:fill="auto"/>
        <w:spacing w:line="500" w:lineRule="exact"/>
        <w:ind w:firstLine="420" w:firstLineChars="200"/>
        <w:rPr>
          <w:rFonts w:hint="eastAsia" w:ascii="宋体" w:hAnsi="宋体" w:eastAsia="宋体" w:cs="宋体"/>
          <w:color w:val="auto"/>
          <w:szCs w:val="21"/>
          <w:highlight w:val="none"/>
          <w:lang w:eastAsia="zh-CN"/>
        </w:rPr>
      </w:pPr>
    </w:p>
    <w:p w14:paraId="6C148F97">
      <w:pPr>
        <w:pStyle w:val="6"/>
        <w:rPr>
          <w:rFonts w:hint="eastAsia" w:ascii="宋体" w:hAnsi="宋体" w:eastAsia="宋体" w:cs="宋体"/>
          <w:color w:val="auto"/>
          <w:szCs w:val="21"/>
          <w:highlight w:val="none"/>
          <w:lang w:eastAsia="zh-CN"/>
        </w:rPr>
      </w:pPr>
    </w:p>
    <w:p w14:paraId="6383E4B9">
      <w:pPr>
        <w:rPr>
          <w:rFonts w:hint="eastAsia" w:ascii="宋体" w:hAnsi="宋体" w:eastAsia="宋体" w:cs="宋体"/>
          <w:color w:val="auto"/>
          <w:szCs w:val="21"/>
          <w:highlight w:val="none"/>
          <w:lang w:eastAsia="zh-CN"/>
        </w:rPr>
      </w:pPr>
    </w:p>
    <w:bookmarkEnd w:id="179"/>
    <w:p w14:paraId="3B888935">
      <w:pPr>
        <w:pStyle w:val="3"/>
        <w:numPr>
          <w:ilvl w:val="1"/>
          <w:numId w:val="0"/>
        </w:numPr>
        <w:shd w:val="clear" w:color="auto" w:fill="auto"/>
        <w:spacing w:before="0" w:line="240" w:lineRule="atLeast"/>
        <w:ind w:leftChars="0"/>
        <w:jc w:val="center"/>
        <w:rPr>
          <w:rFonts w:hint="eastAsia" w:ascii="宋体" w:hAnsi="宋体" w:eastAsia="宋体" w:cs="宋体"/>
          <w:b/>
          <w:bCs/>
          <w:color w:val="auto"/>
          <w:sz w:val="24"/>
          <w:highlight w:val="none"/>
        </w:rPr>
      </w:pPr>
      <w:bookmarkStart w:id="180" w:name="_Toc515647818"/>
      <w:bookmarkStart w:id="181" w:name="_Toc6977"/>
      <w:bookmarkStart w:id="182" w:name="_Toc20897"/>
      <w:bookmarkStart w:id="183" w:name="_Toc10313"/>
      <w:bookmarkStart w:id="184" w:name="_Toc1881"/>
      <w:bookmarkStart w:id="185" w:name="_Toc216582815"/>
      <w:bookmarkStart w:id="186" w:name="_Toc29660"/>
      <w:bookmarkStart w:id="187" w:name="_Toc28959"/>
      <w:bookmarkStart w:id="188" w:name="_Toc216582817"/>
      <w:bookmarkStart w:id="189" w:name="_Toc515647820"/>
      <w:bookmarkStart w:id="190" w:name="_Toc22563"/>
      <w:r>
        <w:rPr>
          <w:rFonts w:hint="eastAsia" w:ascii="宋体" w:hAnsi="宋体" w:cs="宋体"/>
          <w:b/>
          <w:bCs/>
          <w:color w:val="auto"/>
          <w:sz w:val="24"/>
          <w:highlight w:val="none"/>
          <w:lang w:val="en-US" w:eastAsia="zh-CN"/>
        </w:rPr>
        <w:t>3、</w:t>
      </w:r>
      <w:r>
        <w:rPr>
          <w:rFonts w:hint="eastAsia" w:ascii="宋体" w:hAnsi="宋体" w:eastAsia="宋体" w:cs="宋体"/>
          <w:b/>
          <w:bCs/>
          <w:color w:val="auto"/>
          <w:sz w:val="24"/>
          <w:highlight w:val="none"/>
        </w:rPr>
        <w:t>投标分项报价表</w:t>
      </w:r>
      <w:bookmarkEnd w:id="180"/>
      <w:bookmarkEnd w:id="181"/>
      <w:bookmarkEnd w:id="182"/>
      <w:bookmarkEnd w:id="183"/>
      <w:bookmarkEnd w:id="184"/>
      <w:bookmarkEnd w:id="185"/>
      <w:bookmarkEnd w:id="186"/>
    </w:p>
    <w:p w14:paraId="7AC9661E">
      <w:pPr>
        <w:pStyle w:val="13"/>
        <w:shd w:val="clear" w:color="auto" w:fill="auto"/>
        <w:spacing w:line="240" w:lineRule="atLeast"/>
        <w:ind w:left="1080" w:leftChars="257" w:hanging="540"/>
        <w:rPr>
          <w:rFonts w:hint="eastAsia" w:ascii="宋体" w:hAnsi="宋体" w:eastAsia="宋体" w:cs="宋体"/>
          <w:color w:val="auto"/>
          <w:sz w:val="24"/>
          <w:highlight w:val="none"/>
        </w:rPr>
      </w:pPr>
    </w:p>
    <w:p w14:paraId="1F27D8C2">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79" w:leftChars="257" w:hanging="539"/>
        <w:textAlignment w:val="auto"/>
        <w:rPr>
          <w:rFonts w:hint="eastAsia" w:ascii="宋体" w:hAnsi="宋体" w:eastAsia="宋体" w:cs="宋体"/>
          <w:color w:val="auto"/>
          <w:sz w:val="21"/>
          <w:szCs w:val="21"/>
          <w:highlight w:val="none"/>
        </w:rPr>
      </w:pPr>
      <w:bookmarkStart w:id="191" w:name="_Toc12170"/>
      <w:r>
        <w:rPr>
          <w:rFonts w:hint="eastAsia" w:ascii="宋体" w:hAnsi="宋体" w:eastAsia="宋体" w:cs="宋体"/>
          <w:color w:val="auto"/>
          <w:sz w:val="21"/>
          <w:szCs w:val="21"/>
          <w:highlight w:val="none"/>
        </w:rPr>
        <w:t xml:space="preserve">项目名称: </w:t>
      </w:r>
    </w:p>
    <w:p w14:paraId="4A99EF9A">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79" w:leftChars="257" w:hanging="53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标项</w:t>
      </w:r>
      <w:r>
        <w:rPr>
          <w:rFonts w:hint="eastAsia" w:ascii="宋体" w:hAnsi="宋体" w:eastAsia="宋体" w:cs="宋体"/>
          <w:color w:val="auto"/>
          <w:sz w:val="21"/>
          <w:szCs w:val="21"/>
          <w:highlight w:val="none"/>
        </w:rPr>
        <w:t>名称:</w:t>
      </w:r>
    </w:p>
    <w:p w14:paraId="3FB274C8">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79" w:leftChars="257" w:hanging="53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项目编号: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w:t>
      </w:r>
    </w:p>
    <w:p w14:paraId="0C2834C2">
      <w:pPr>
        <w:pStyle w:val="13"/>
        <w:shd w:val="clear" w:color="auto" w:fill="auto"/>
        <w:spacing w:line="240" w:lineRule="atLeast"/>
        <w:ind w:left="1080" w:leftChars="257" w:hanging="540"/>
        <w:jc w:val="center"/>
        <w:rPr>
          <w:rFonts w:hint="eastAsia" w:ascii="宋体" w:hAnsi="宋体" w:eastAsia="宋体" w:cs="宋体"/>
          <w:color w:val="auto"/>
          <w:sz w:val="21"/>
          <w:szCs w:val="21"/>
          <w:highlight w:val="none"/>
        </w:rPr>
      </w:pPr>
      <w:r>
        <w:rPr>
          <w:rFonts w:hint="eastAsia"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w:t>
      </w:r>
      <w:r>
        <w:rPr>
          <w:rFonts w:hint="eastAsia" w:hAnsi="宋体" w:cs="宋体"/>
          <w:color w:val="auto"/>
          <w:sz w:val="21"/>
          <w:szCs w:val="21"/>
          <w:highlight w:val="none"/>
          <w:lang w:val="en-US" w:eastAsia="zh-CN"/>
        </w:rPr>
        <w:t xml:space="preserve">                 </w:t>
      </w:r>
      <w:r>
        <w:rPr>
          <w:rFonts w:hint="eastAsia" w:ascii="仿宋" w:hAnsi="仿宋" w:eastAsia="仿宋" w:cs="仿宋"/>
          <w:color w:val="auto"/>
          <w:sz w:val="21"/>
          <w:szCs w:val="21"/>
          <w:highlight w:val="none"/>
          <w:lang w:val="en-US" w:eastAsia="zh-CN"/>
        </w:rPr>
        <w:t xml:space="preserve"> </w:t>
      </w:r>
      <w:r>
        <w:rPr>
          <w:rFonts w:hint="eastAsia" w:ascii="宋体" w:hAnsi="宋体" w:eastAsia="宋体" w:cs="宋体"/>
          <w:color w:val="auto"/>
          <w:sz w:val="21"/>
          <w:szCs w:val="21"/>
          <w:highlight w:val="none"/>
        </w:rPr>
        <w:t>单位：元（人民币）</w:t>
      </w:r>
    </w:p>
    <w:tbl>
      <w:tblPr>
        <w:tblStyle w:val="29"/>
        <w:tblW w:w="101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1599"/>
        <w:gridCol w:w="1310"/>
        <w:gridCol w:w="868"/>
        <w:gridCol w:w="1075"/>
        <w:gridCol w:w="975"/>
        <w:gridCol w:w="1350"/>
        <w:gridCol w:w="802"/>
        <w:gridCol w:w="720"/>
        <w:gridCol w:w="720"/>
      </w:tblGrid>
      <w:tr w14:paraId="0DB8E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778" w:type="dxa"/>
            <w:vAlign w:val="center"/>
          </w:tcPr>
          <w:p w14:paraId="723F0C86">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1599" w:type="dxa"/>
            <w:vAlign w:val="center"/>
          </w:tcPr>
          <w:p w14:paraId="457DC0D7">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标的</w:t>
            </w:r>
            <w:r>
              <w:rPr>
                <w:rFonts w:hint="eastAsia" w:hAnsi="宋体" w:eastAsia="宋体" w:cs="宋体"/>
                <w:color w:val="auto"/>
                <w:sz w:val="21"/>
                <w:szCs w:val="21"/>
                <w:highlight w:val="none"/>
                <w:lang w:val="en-US" w:eastAsia="zh-CN"/>
              </w:rPr>
              <w:t>名称</w:t>
            </w:r>
          </w:p>
        </w:tc>
        <w:tc>
          <w:tcPr>
            <w:tcW w:w="1310" w:type="dxa"/>
            <w:vAlign w:val="center"/>
          </w:tcPr>
          <w:p w14:paraId="33C9EA35">
            <w:pPr>
              <w:pStyle w:val="13"/>
              <w:shd w:val="clear" w:color="auto" w:fill="auto"/>
              <w:spacing w:line="240" w:lineRule="atLeast"/>
              <w:jc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型号和规格</w:t>
            </w:r>
          </w:p>
        </w:tc>
        <w:tc>
          <w:tcPr>
            <w:tcW w:w="868" w:type="dxa"/>
            <w:vAlign w:val="center"/>
          </w:tcPr>
          <w:p w14:paraId="6C6B1D2B">
            <w:pPr>
              <w:pStyle w:val="13"/>
              <w:shd w:val="clear" w:color="auto" w:fill="auto"/>
              <w:spacing w:line="240" w:lineRule="atLeast"/>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数量</w:t>
            </w:r>
          </w:p>
        </w:tc>
        <w:tc>
          <w:tcPr>
            <w:tcW w:w="1075" w:type="dxa"/>
            <w:vAlign w:val="center"/>
          </w:tcPr>
          <w:p w14:paraId="44A7E096">
            <w:pPr>
              <w:pStyle w:val="13"/>
              <w:shd w:val="clear" w:color="auto" w:fill="auto"/>
              <w:spacing w:line="240" w:lineRule="atLeast"/>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单位</w:t>
            </w:r>
          </w:p>
        </w:tc>
        <w:tc>
          <w:tcPr>
            <w:tcW w:w="975" w:type="dxa"/>
            <w:vAlign w:val="center"/>
          </w:tcPr>
          <w:p w14:paraId="3BFA14B4">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品牌</w:t>
            </w:r>
          </w:p>
        </w:tc>
        <w:tc>
          <w:tcPr>
            <w:tcW w:w="1350" w:type="dxa"/>
            <w:vAlign w:val="center"/>
          </w:tcPr>
          <w:p w14:paraId="6AAB95A2">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制造商名称</w:t>
            </w:r>
          </w:p>
        </w:tc>
        <w:tc>
          <w:tcPr>
            <w:tcW w:w="802" w:type="dxa"/>
            <w:vAlign w:val="center"/>
          </w:tcPr>
          <w:p w14:paraId="3F4A134A">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单价</w:t>
            </w:r>
          </w:p>
        </w:tc>
        <w:tc>
          <w:tcPr>
            <w:tcW w:w="720" w:type="dxa"/>
            <w:vAlign w:val="center"/>
          </w:tcPr>
          <w:p w14:paraId="586E8033">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总价</w:t>
            </w:r>
          </w:p>
        </w:tc>
        <w:tc>
          <w:tcPr>
            <w:tcW w:w="720" w:type="dxa"/>
            <w:vAlign w:val="center"/>
          </w:tcPr>
          <w:p w14:paraId="6F99513E">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备注</w:t>
            </w:r>
          </w:p>
        </w:tc>
      </w:tr>
      <w:tr w14:paraId="5FF7B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778" w:type="dxa"/>
            <w:vAlign w:val="center"/>
          </w:tcPr>
          <w:p w14:paraId="3338DDCD">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599" w:type="dxa"/>
            <w:vAlign w:val="center"/>
          </w:tcPr>
          <w:p w14:paraId="4B155429">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p>
        </w:tc>
        <w:tc>
          <w:tcPr>
            <w:tcW w:w="1310" w:type="dxa"/>
            <w:vAlign w:val="center"/>
          </w:tcPr>
          <w:p w14:paraId="240436BE">
            <w:pPr>
              <w:pStyle w:val="13"/>
              <w:shd w:val="clear" w:color="auto" w:fill="auto"/>
              <w:spacing w:line="240" w:lineRule="atLeast"/>
              <w:ind w:left="1080" w:leftChars="257" w:hanging="540"/>
              <w:jc w:val="center"/>
              <w:rPr>
                <w:rFonts w:hint="eastAsia" w:ascii="宋体" w:hAnsi="宋体" w:eastAsia="宋体" w:cs="宋体"/>
                <w:color w:val="auto"/>
                <w:sz w:val="21"/>
                <w:szCs w:val="21"/>
                <w:highlight w:val="none"/>
                <w:lang w:val="en-US" w:eastAsia="zh-CN"/>
              </w:rPr>
            </w:pPr>
          </w:p>
        </w:tc>
        <w:tc>
          <w:tcPr>
            <w:tcW w:w="868" w:type="dxa"/>
            <w:vAlign w:val="center"/>
          </w:tcPr>
          <w:p w14:paraId="6BFCE101">
            <w:pPr>
              <w:pStyle w:val="13"/>
              <w:shd w:val="clear" w:color="auto" w:fill="auto"/>
              <w:spacing w:line="240" w:lineRule="atLeast"/>
              <w:ind w:left="1080" w:leftChars="257" w:hanging="540"/>
              <w:jc w:val="center"/>
              <w:rPr>
                <w:rFonts w:hint="eastAsia" w:ascii="宋体" w:hAnsi="宋体" w:eastAsia="宋体" w:cs="宋体"/>
                <w:color w:val="auto"/>
                <w:sz w:val="21"/>
                <w:szCs w:val="21"/>
                <w:highlight w:val="none"/>
                <w:lang w:val="en-US" w:eastAsia="zh-CN"/>
              </w:rPr>
            </w:pPr>
          </w:p>
        </w:tc>
        <w:tc>
          <w:tcPr>
            <w:tcW w:w="1075" w:type="dxa"/>
            <w:vAlign w:val="center"/>
          </w:tcPr>
          <w:p w14:paraId="3206B608">
            <w:pPr>
              <w:pStyle w:val="13"/>
              <w:shd w:val="clear" w:color="auto" w:fill="auto"/>
              <w:spacing w:line="240" w:lineRule="atLeast"/>
              <w:ind w:left="1080" w:leftChars="257" w:hanging="540"/>
              <w:jc w:val="center"/>
              <w:rPr>
                <w:rFonts w:hint="eastAsia" w:ascii="宋体" w:hAnsi="宋体" w:eastAsia="宋体" w:cs="宋体"/>
                <w:color w:val="auto"/>
                <w:sz w:val="21"/>
                <w:szCs w:val="21"/>
                <w:highlight w:val="none"/>
                <w:lang w:val="en-US" w:eastAsia="zh-CN"/>
              </w:rPr>
            </w:pPr>
          </w:p>
        </w:tc>
        <w:tc>
          <w:tcPr>
            <w:tcW w:w="975" w:type="dxa"/>
            <w:vAlign w:val="center"/>
          </w:tcPr>
          <w:p w14:paraId="2CC3F5F0">
            <w:pPr>
              <w:pStyle w:val="13"/>
              <w:shd w:val="clear" w:color="auto" w:fill="auto"/>
              <w:spacing w:line="240" w:lineRule="atLeast"/>
              <w:ind w:left="1080" w:leftChars="257" w:hanging="540"/>
              <w:jc w:val="center"/>
              <w:rPr>
                <w:rFonts w:hint="eastAsia" w:ascii="宋体" w:hAnsi="宋体" w:eastAsia="宋体" w:cs="宋体"/>
                <w:color w:val="auto"/>
                <w:sz w:val="21"/>
                <w:szCs w:val="21"/>
                <w:highlight w:val="none"/>
                <w:lang w:val="en-US" w:eastAsia="zh-CN"/>
              </w:rPr>
            </w:pPr>
          </w:p>
        </w:tc>
        <w:tc>
          <w:tcPr>
            <w:tcW w:w="1350" w:type="dxa"/>
            <w:vAlign w:val="center"/>
          </w:tcPr>
          <w:p w14:paraId="00FAA508">
            <w:pPr>
              <w:pStyle w:val="13"/>
              <w:shd w:val="clear" w:color="auto" w:fill="auto"/>
              <w:spacing w:line="240" w:lineRule="atLeast"/>
              <w:ind w:left="1080" w:leftChars="257" w:hanging="540"/>
              <w:jc w:val="center"/>
              <w:rPr>
                <w:rFonts w:hint="eastAsia" w:ascii="宋体" w:hAnsi="宋体" w:eastAsia="宋体" w:cs="宋体"/>
                <w:color w:val="auto"/>
                <w:sz w:val="21"/>
                <w:szCs w:val="21"/>
                <w:highlight w:val="none"/>
                <w:lang w:val="en-US" w:eastAsia="zh-CN"/>
              </w:rPr>
            </w:pPr>
          </w:p>
        </w:tc>
        <w:tc>
          <w:tcPr>
            <w:tcW w:w="802" w:type="dxa"/>
            <w:vAlign w:val="center"/>
          </w:tcPr>
          <w:p w14:paraId="34EFB971">
            <w:pPr>
              <w:pStyle w:val="13"/>
              <w:shd w:val="clear" w:color="auto" w:fill="auto"/>
              <w:spacing w:line="240" w:lineRule="atLeast"/>
              <w:ind w:left="1080" w:leftChars="257" w:hanging="540"/>
              <w:jc w:val="center"/>
              <w:rPr>
                <w:rFonts w:hint="eastAsia" w:ascii="宋体" w:hAnsi="宋体" w:eastAsia="宋体" w:cs="宋体"/>
                <w:color w:val="auto"/>
                <w:sz w:val="21"/>
                <w:szCs w:val="21"/>
                <w:highlight w:val="none"/>
                <w:lang w:val="en-US" w:eastAsia="zh-CN"/>
              </w:rPr>
            </w:pPr>
          </w:p>
        </w:tc>
        <w:tc>
          <w:tcPr>
            <w:tcW w:w="720" w:type="dxa"/>
            <w:vAlign w:val="center"/>
          </w:tcPr>
          <w:p w14:paraId="25EA9125">
            <w:pPr>
              <w:pStyle w:val="13"/>
              <w:shd w:val="clear" w:color="auto" w:fill="auto"/>
              <w:spacing w:line="240" w:lineRule="atLeast"/>
              <w:ind w:left="1080" w:leftChars="257" w:hanging="540"/>
              <w:jc w:val="center"/>
              <w:rPr>
                <w:rFonts w:hint="eastAsia" w:ascii="宋体" w:hAnsi="宋体" w:eastAsia="宋体" w:cs="宋体"/>
                <w:color w:val="auto"/>
                <w:sz w:val="21"/>
                <w:szCs w:val="21"/>
                <w:highlight w:val="none"/>
                <w:lang w:val="en-US" w:eastAsia="zh-CN"/>
              </w:rPr>
            </w:pPr>
          </w:p>
        </w:tc>
        <w:tc>
          <w:tcPr>
            <w:tcW w:w="720" w:type="dxa"/>
            <w:vAlign w:val="center"/>
          </w:tcPr>
          <w:p w14:paraId="438B7168">
            <w:pPr>
              <w:pStyle w:val="13"/>
              <w:shd w:val="clear" w:color="auto" w:fill="auto"/>
              <w:spacing w:line="240" w:lineRule="atLeast"/>
              <w:ind w:left="1080" w:leftChars="257" w:hanging="540"/>
              <w:jc w:val="center"/>
              <w:rPr>
                <w:rFonts w:hint="eastAsia" w:ascii="宋体" w:hAnsi="宋体" w:eastAsia="宋体" w:cs="宋体"/>
                <w:color w:val="auto"/>
                <w:sz w:val="21"/>
                <w:szCs w:val="21"/>
                <w:highlight w:val="none"/>
                <w:lang w:val="en-US" w:eastAsia="zh-CN"/>
              </w:rPr>
            </w:pPr>
          </w:p>
        </w:tc>
      </w:tr>
      <w:tr w14:paraId="7903E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78" w:type="dxa"/>
            <w:vAlign w:val="center"/>
          </w:tcPr>
          <w:p w14:paraId="5502E3A3">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599" w:type="dxa"/>
            <w:vAlign w:val="center"/>
          </w:tcPr>
          <w:p w14:paraId="488546C4">
            <w:pPr>
              <w:pStyle w:val="13"/>
              <w:shd w:val="clear" w:color="auto" w:fill="auto"/>
              <w:spacing w:line="240" w:lineRule="atLeast"/>
              <w:jc w:val="both"/>
              <w:rPr>
                <w:rFonts w:hint="eastAsia" w:ascii="宋体" w:hAnsi="宋体" w:eastAsia="宋体" w:cs="宋体"/>
                <w:color w:val="auto"/>
                <w:sz w:val="21"/>
                <w:szCs w:val="21"/>
                <w:highlight w:val="none"/>
                <w:lang w:val="en-US" w:eastAsia="zh-CN"/>
              </w:rPr>
            </w:pPr>
          </w:p>
        </w:tc>
        <w:tc>
          <w:tcPr>
            <w:tcW w:w="1310" w:type="dxa"/>
            <w:vAlign w:val="center"/>
          </w:tcPr>
          <w:p w14:paraId="268C34DA">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868" w:type="dxa"/>
            <w:vAlign w:val="center"/>
          </w:tcPr>
          <w:p w14:paraId="49EA7074">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1075" w:type="dxa"/>
            <w:vAlign w:val="center"/>
          </w:tcPr>
          <w:p w14:paraId="139A96CF">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975" w:type="dxa"/>
            <w:vAlign w:val="center"/>
          </w:tcPr>
          <w:p w14:paraId="6CCCEEC0">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1350" w:type="dxa"/>
            <w:vAlign w:val="center"/>
          </w:tcPr>
          <w:p w14:paraId="30E9D212">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802" w:type="dxa"/>
            <w:vAlign w:val="center"/>
          </w:tcPr>
          <w:p w14:paraId="575E2268">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720" w:type="dxa"/>
            <w:vAlign w:val="center"/>
          </w:tcPr>
          <w:p w14:paraId="469994D4">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720" w:type="dxa"/>
            <w:vAlign w:val="center"/>
          </w:tcPr>
          <w:p w14:paraId="4DE83707">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r>
      <w:tr w14:paraId="3671E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78" w:type="dxa"/>
            <w:vAlign w:val="center"/>
          </w:tcPr>
          <w:p w14:paraId="5475A14C">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599" w:type="dxa"/>
            <w:vAlign w:val="center"/>
          </w:tcPr>
          <w:p w14:paraId="586FBE3B">
            <w:pPr>
              <w:pStyle w:val="13"/>
              <w:shd w:val="clear" w:color="auto" w:fill="auto"/>
              <w:spacing w:line="240" w:lineRule="atLeast"/>
              <w:jc w:val="both"/>
              <w:rPr>
                <w:rFonts w:hint="eastAsia" w:ascii="宋体" w:hAnsi="宋体" w:eastAsia="宋体" w:cs="宋体"/>
                <w:color w:val="auto"/>
                <w:sz w:val="21"/>
                <w:szCs w:val="21"/>
                <w:highlight w:val="none"/>
                <w:lang w:val="en-US" w:eastAsia="zh-CN"/>
              </w:rPr>
            </w:pPr>
          </w:p>
        </w:tc>
        <w:tc>
          <w:tcPr>
            <w:tcW w:w="1310" w:type="dxa"/>
            <w:vAlign w:val="center"/>
          </w:tcPr>
          <w:p w14:paraId="7EEB0344">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868" w:type="dxa"/>
            <w:vAlign w:val="center"/>
          </w:tcPr>
          <w:p w14:paraId="031B4B12">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1075" w:type="dxa"/>
            <w:vAlign w:val="center"/>
          </w:tcPr>
          <w:p w14:paraId="691A9174">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975" w:type="dxa"/>
            <w:vAlign w:val="center"/>
          </w:tcPr>
          <w:p w14:paraId="209054B1">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1350" w:type="dxa"/>
            <w:vAlign w:val="center"/>
          </w:tcPr>
          <w:p w14:paraId="44B55129">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802" w:type="dxa"/>
            <w:vAlign w:val="center"/>
          </w:tcPr>
          <w:p w14:paraId="13527331">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720" w:type="dxa"/>
            <w:vAlign w:val="center"/>
          </w:tcPr>
          <w:p w14:paraId="263C6E40">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720" w:type="dxa"/>
            <w:vAlign w:val="center"/>
          </w:tcPr>
          <w:p w14:paraId="747B8EE5">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r>
      <w:tr w14:paraId="0F2CE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78" w:type="dxa"/>
            <w:vAlign w:val="center"/>
          </w:tcPr>
          <w:p w14:paraId="27E10704">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599" w:type="dxa"/>
            <w:vAlign w:val="center"/>
          </w:tcPr>
          <w:p w14:paraId="1380875A">
            <w:pPr>
              <w:pStyle w:val="13"/>
              <w:shd w:val="clear" w:color="auto" w:fill="auto"/>
              <w:spacing w:line="240" w:lineRule="atLeast"/>
              <w:jc w:val="both"/>
              <w:rPr>
                <w:rFonts w:hint="eastAsia" w:ascii="宋体" w:hAnsi="宋体" w:eastAsia="宋体" w:cs="宋体"/>
                <w:color w:val="auto"/>
                <w:sz w:val="21"/>
                <w:szCs w:val="21"/>
                <w:highlight w:val="none"/>
                <w:lang w:val="en-US" w:eastAsia="zh-CN"/>
              </w:rPr>
            </w:pPr>
          </w:p>
        </w:tc>
        <w:tc>
          <w:tcPr>
            <w:tcW w:w="1310" w:type="dxa"/>
            <w:vAlign w:val="center"/>
          </w:tcPr>
          <w:p w14:paraId="76410102">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868" w:type="dxa"/>
            <w:vAlign w:val="center"/>
          </w:tcPr>
          <w:p w14:paraId="73FD15BE">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1075" w:type="dxa"/>
            <w:vAlign w:val="center"/>
          </w:tcPr>
          <w:p w14:paraId="4D51C882">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975" w:type="dxa"/>
            <w:vAlign w:val="center"/>
          </w:tcPr>
          <w:p w14:paraId="30541F88">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1350" w:type="dxa"/>
            <w:vAlign w:val="center"/>
          </w:tcPr>
          <w:p w14:paraId="138BF9B5">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802" w:type="dxa"/>
            <w:vAlign w:val="center"/>
          </w:tcPr>
          <w:p w14:paraId="1C0A6E78">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720" w:type="dxa"/>
            <w:vAlign w:val="center"/>
          </w:tcPr>
          <w:p w14:paraId="46C053DB">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720" w:type="dxa"/>
            <w:vAlign w:val="center"/>
          </w:tcPr>
          <w:p w14:paraId="36886A89">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r>
      <w:tr w14:paraId="70C2D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778" w:type="dxa"/>
            <w:vAlign w:val="center"/>
          </w:tcPr>
          <w:p w14:paraId="263B0684">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1599" w:type="dxa"/>
            <w:vAlign w:val="center"/>
          </w:tcPr>
          <w:p w14:paraId="5510718A">
            <w:pPr>
              <w:pStyle w:val="13"/>
              <w:shd w:val="clear" w:color="auto" w:fill="auto"/>
              <w:spacing w:line="240" w:lineRule="atLeast"/>
              <w:jc w:val="both"/>
              <w:rPr>
                <w:rFonts w:hint="eastAsia" w:ascii="宋体" w:hAnsi="宋体" w:eastAsia="宋体" w:cs="宋体"/>
                <w:color w:val="auto"/>
                <w:sz w:val="21"/>
                <w:szCs w:val="21"/>
                <w:highlight w:val="none"/>
                <w:lang w:val="en-US" w:eastAsia="zh-CN"/>
              </w:rPr>
            </w:pPr>
          </w:p>
        </w:tc>
        <w:tc>
          <w:tcPr>
            <w:tcW w:w="1310" w:type="dxa"/>
            <w:vAlign w:val="center"/>
          </w:tcPr>
          <w:p w14:paraId="3FCA5841">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868" w:type="dxa"/>
            <w:vAlign w:val="center"/>
          </w:tcPr>
          <w:p w14:paraId="4068E226">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1075" w:type="dxa"/>
            <w:vAlign w:val="center"/>
          </w:tcPr>
          <w:p w14:paraId="0C353B88">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975" w:type="dxa"/>
            <w:vAlign w:val="center"/>
          </w:tcPr>
          <w:p w14:paraId="4E3E546A">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1350" w:type="dxa"/>
            <w:vAlign w:val="center"/>
          </w:tcPr>
          <w:p w14:paraId="2A0BF1CA">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802" w:type="dxa"/>
            <w:vAlign w:val="center"/>
          </w:tcPr>
          <w:p w14:paraId="27DF54A8">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720" w:type="dxa"/>
            <w:vAlign w:val="center"/>
          </w:tcPr>
          <w:p w14:paraId="5B16987D">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c>
          <w:tcPr>
            <w:tcW w:w="720" w:type="dxa"/>
            <w:vAlign w:val="center"/>
          </w:tcPr>
          <w:p w14:paraId="2C93C0F4">
            <w:pPr>
              <w:pStyle w:val="13"/>
              <w:shd w:val="clear" w:color="auto" w:fill="auto"/>
              <w:spacing w:line="240" w:lineRule="atLeast"/>
              <w:ind w:left="1080" w:leftChars="257" w:hanging="540"/>
              <w:jc w:val="both"/>
              <w:rPr>
                <w:rFonts w:hint="eastAsia" w:ascii="宋体" w:hAnsi="宋体" w:eastAsia="宋体" w:cs="宋体"/>
                <w:color w:val="auto"/>
                <w:sz w:val="21"/>
                <w:szCs w:val="21"/>
                <w:highlight w:val="none"/>
                <w:lang w:val="en-US" w:eastAsia="zh-CN"/>
              </w:rPr>
            </w:pPr>
          </w:p>
        </w:tc>
      </w:tr>
      <w:tr w14:paraId="6D023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78" w:type="dxa"/>
            <w:vAlign w:val="center"/>
          </w:tcPr>
          <w:p w14:paraId="24D3425E">
            <w:pPr>
              <w:pStyle w:val="13"/>
              <w:shd w:val="clear" w:color="auto" w:fill="auto"/>
              <w:spacing w:line="240" w:lineRule="atLeast"/>
              <w:ind w:left="1080" w:leftChars="257" w:hanging="540"/>
              <w:jc w:val="both"/>
              <w:rPr>
                <w:rFonts w:hint="eastAsia" w:hAnsi="宋体" w:eastAsia="宋体" w:cs="宋体"/>
                <w:color w:val="auto"/>
                <w:sz w:val="21"/>
                <w:szCs w:val="21"/>
                <w:highlight w:val="none"/>
                <w:lang w:val="en-US" w:eastAsia="zh-CN"/>
              </w:rPr>
            </w:pPr>
          </w:p>
        </w:tc>
        <w:tc>
          <w:tcPr>
            <w:tcW w:w="9419" w:type="dxa"/>
            <w:gridSpan w:val="9"/>
            <w:vAlign w:val="center"/>
          </w:tcPr>
          <w:p w14:paraId="4301BCE6">
            <w:pPr>
              <w:pStyle w:val="13"/>
              <w:shd w:val="clear" w:color="auto" w:fill="auto"/>
              <w:spacing w:line="240" w:lineRule="atLeast"/>
              <w:ind w:left="1080" w:leftChars="257" w:hanging="540"/>
              <w:jc w:val="both"/>
              <w:rPr>
                <w:rFonts w:hint="eastAsia" w:hAnsi="宋体" w:eastAsia="宋体" w:cs="宋体"/>
                <w:color w:val="auto"/>
                <w:sz w:val="21"/>
                <w:szCs w:val="21"/>
                <w:highlight w:val="none"/>
                <w:lang w:val="en-US" w:eastAsia="zh-CN"/>
              </w:rPr>
            </w:pPr>
            <w:r>
              <w:rPr>
                <w:rFonts w:hint="eastAsia" w:hAnsi="宋体" w:eastAsia="宋体" w:cs="宋体"/>
                <w:color w:val="auto"/>
                <w:sz w:val="21"/>
                <w:szCs w:val="21"/>
                <w:highlight w:val="none"/>
                <w:lang w:val="en-US" w:eastAsia="zh-CN"/>
              </w:rPr>
              <w:t>总计（元）：</w:t>
            </w:r>
          </w:p>
        </w:tc>
      </w:tr>
    </w:tbl>
    <w:p w14:paraId="295C0417">
      <w:pPr>
        <w:pStyle w:val="13"/>
        <w:shd w:val="clear" w:color="auto" w:fill="auto"/>
        <w:spacing w:line="240" w:lineRule="atLeast"/>
        <w:ind w:left="1080" w:leftChars="257" w:hanging="540"/>
        <w:rPr>
          <w:rFonts w:hint="eastAsia" w:ascii="宋体" w:hAnsi="宋体" w:eastAsia="宋体" w:cs="宋体"/>
          <w:color w:val="auto"/>
          <w:sz w:val="21"/>
          <w:szCs w:val="21"/>
          <w:highlight w:val="none"/>
        </w:rPr>
      </w:pPr>
    </w:p>
    <w:p w14:paraId="2CA74F1C">
      <w:pPr>
        <w:pStyle w:val="13"/>
        <w:shd w:val="clear" w:color="auto" w:fill="auto"/>
        <w:spacing w:line="240" w:lineRule="atLeast"/>
        <w:ind w:left="1080" w:leftChars="257" w:hanging="54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法定代表人或其委托代理人签字或盖章: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rPr>
        <w:t xml:space="preserve">                 </w:t>
      </w:r>
    </w:p>
    <w:p w14:paraId="5707FEE8">
      <w:pPr>
        <w:pStyle w:val="13"/>
        <w:shd w:val="clear" w:color="auto" w:fill="auto"/>
        <w:tabs>
          <w:tab w:val="left" w:pos="5370"/>
        </w:tabs>
        <w:spacing w:line="240" w:lineRule="atLeast"/>
        <w:ind w:left="1080" w:leftChars="257" w:hanging="54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投标人(盖单位章):</w:t>
      </w:r>
      <w:r>
        <w:rPr>
          <w:rFonts w:hint="eastAsia" w:ascii="宋体" w:hAnsi="宋体" w:eastAsia="宋体" w:cs="宋体"/>
          <w:color w:val="auto"/>
          <w:sz w:val="21"/>
          <w:szCs w:val="21"/>
          <w:highlight w:val="none"/>
          <w:u w:val="single"/>
        </w:rPr>
        <w:tab/>
      </w:r>
    </w:p>
    <w:p w14:paraId="4564CF82">
      <w:pPr>
        <w:pStyle w:val="13"/>
        <w:spacing w:line="240" w:lineRule="atLeast"/>
        <w:ind w:left="1080" w:leftChars="257" w:hanging="540"/>
        <w:rPr>
          <w:rFonts w:hint="eastAsia" w:ascii="宋体" w:hAnsi="宋体" w:eastAsia="宋体" w:cs="Times New Roman"/>
          <w:color w:val="auto"/>
          <w:sz w:val="24"/>
          <w:highlight w:val="none"/>
        </w:rPr>
      </w:pPr>
    </w:p>
    <w:p w14:paraId="221D9731">
      <w:pPr>
        <w:pStyle w:val="13"/>
        <w:spacing w:line="240" w:lineRule="atLeast"/>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注:1.如果按单价计算的结果与总价不一致,以单价为准修正总价。</w:t>
      </w:r>
    </w:p>
    <w:p w14:paraId="0FA5C6F5">
      <w:pPr>
        <w:pStyle w:val="13"/>
        <w:spacing w:line="240" w:lineRule="atLeast"/>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val="en-US" w:eastAsia="zh-CN"/>
        </w:rPr>
        <w:t>2.</w:t>
      </w:r>
      <w:r>
        <w:rPr>
          <w:rFonts w:hint="eastAsia" w:ascii="宋体" w:hAnsi="宋体" w:eastAsia="宋体" w:cs="Times New Roman"/>
          <w:color w:val="auto"/>
          <w:sz w:val="24"/>
          <w:highlight w:val="none"/>
        </w:rPr>
        <w:t>如果开标一览表（报价表）内容与投标文件中明细表内容不一致的，以开标一览表（报价表）内容为准。</w:t>
      </w:r>
    </w:p>
    <w:p w14:paraId="7D181C12">
      <w:pPr>
        <w:pStyle w:val="14"/>
        <w:numPr>
          <w:ilvl w:val="0"/>
          <w:numId w:val="0"/>
        </w:numPr>
        <w:ind w:left="909" w:leftChars="0"/>
        <w:rPr>
          <w:color w:val="auto"/>
          <w:highlight w:val="none"/>
        </w:rPr>
      </w:pPr>
    </w:p>
    <w:p w14:paraId="72F03CF5">
      <w:pPr>
        <w:pStyle w:val="13"/>
        <w:shd w:val="clear" w:color="auto" w:fill="auto"/>
        <w:spacing w:line="240" w:lineRule="atLeast"/>
        <w:ind w:left="1074" w:leftChars="455" w:hanging="119" w:hangingChars="57"/>
        <w:rPr>
          <w:rFonts w:hint="eastAsia" w:ascii="宋体" w:hAnsi="宋体" w:eastAsia="宋体" w:cs="宋体"/>
          <w:color w:val="auto"/>
          <w:sz w:val="21"/>
          <w:szCs w:val="21"/>
          <w:highlight w:val="none"/>
        </w:rPr>
      </w:pPr>
    </w:p>
    <w:p w14:paraId="2D46D960">
      <w:pPr>
        <w:pStyle w:val="13"/>
        <w:shd w:val="clear" w:color="auto" w:fill="auto"/>
        <w:spacing w:line="240" w:lineRule="atLeast"/>
        <w:ind w:left="1080"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05151820">
      <w:pPr>
        <w:pStyle w:val="13"/>
        <w:spacing w:line="240" w:lineRule="atLeast"/>
        <w:jc w:val="center"/>
        <w:rPr>
          <w:rFonts w:hAnsi="宋体"/>
          <w:b/>
          <w:bCs/>
          <w:color w:val="auto"/>
          <w:sz w:val="24"/>
          <w:highlight w:val="none"/>
        </w:rPr>
      </w:pPr>
      <w:bookmarkStart w:id="192" w:name="_Toc14037"/>
      <w:bookmarkStart w:id="193" w:name="_Toc216582816"/>
      <w:bookmarkStart w:id="194" w:name="_Toc515647819"/>
      <w:bookmarkStart w:id="195" w:name="_Toc18267"/>
      <w:bookmarkStart w:id="196" w:name="_Toc4012"/>
      <w:r>
        <w:rPr>
          <w:rFonts w:hint="eastAsia" w:ascii="宋体" w:hAnsi="宋体" w:eastAsia="宋体" w:cs="宋体"/>
          <w:b/>
          <w:bCs/>
          <w:color w:val="auto"/>
          <w:sz w:val="24"/>
          <w:highlight w:val="none"/>
          <w:lang w:val="en-US" w:eastAsia="zh-CN"/>
        </w:rPr>
        <w:t>4、</w:t>
      </w:r>
      <w:r>
        <w:rPr>
          <w:rFonts w:hint="eastAsia" w:hAnsi="宋体"/>
          <w:b/>
          <w:bCs/>
          <w:color w:val="auto"/>
          <w:sz w:val="24"/>
          <w:highlight w:val="none"/>
        </w:rPr>
        <w:t>货物说明一览表</w:t>
      </w:r>
      <w:bookmarkEnd w:id="192"/>
      <w:bookmarkEnd w:id="193"/>
      <w:bookmarkEnd w:id="194"/>
      <w:bookmarkEnd w:id="195"/>
      <w:bookmarkEnd w:id="196"/>
    </w:p>
    <w:p w14:paraId="43193BCF">
      <w:pPr>
        <w:pStyle w:val="13"/>
        <w:spacing w:line="240" w:lineRule="atLeast"/>
        <w:ind w:left="1080" w:leftChars="257" w:hanging="540"/>
        <w:rPr>
          <w:rFonts w:hAnsi="宋体"/>
          <w:color w:val="auto"/>
          <w:sz w:val="24"/>
          <w:highlight w:val="none"/>
        </w:rPr>
      </w:pPr>
    </w:p>
    <w:p w14:paraId="562A67FF">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79" w:leftChars="257" w:hanging="53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项目名称: </w:t>
      </w:r>
    </w:p>
    <w:p w14:paraId="6C7A5C49">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79" w:leftChars="257" w:hanging="53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标项</w:t>
      </w:r>
      <w:r>
        <w:rPr>
          <w:rFonts w:hint="eastAsia" w:ascii="宋体" w:hAnsi="宋体" w:eastAsia="宋体" w:cs="宋体"/>
          <w:color w:val="auto"/>
          <w:sz w:val="21"/>
          <w:szCs w:val="21"/>
          <w:highlight w:val="none"/>
        </w:rPr>
        <w:t>名称:</w:t>
      </w:r>
    </w:p>
    <w:p w14:paraId="3A9F7612">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79" w:leftChars="257" w:hanging="539"/>
        <w:textAlignment w:val="auto"/>
        <w:rPr>
          <w:rFonts w:hAnsi="宋体"/>
          <w:color w:val="auto"/>
          <w:sz w:val="24"/>
          <w:highlight w:val="none"/>
        </w:rPr>
      </w:pPr>
      <w:r>
        <w:rPr>
          <w:rFonts w:hint="eastAsia" w:ascii="宋体" w:hAnsi="宋体" w:eastAsia="宋体" w:cs="宋体"/>
          <w:color w:val="auto"/>
          <w:sz w:val="21"/>
          <w:szCs w:val="21"/>
          <w:highlight w:val="none"/>
        </w:rPr>
        <w:t xml:space="preserve">项目编号: </w:t>
      </w:r>
      <w:r>
        <w:rPr>
          <w:rFonts w:hint="eastAsia" w:hAnsi="宋体"/>
          <w:color w:val="auto"/>
          <w:sz w:val="24"/>
          <w:highlight w:val="none"/>
        </w:rPr>
        <w:t xml:space="preserve">                                       </w:t>
      </w:r>
    </w:p>
    <w:p w14:paraId="666623CD">
      <w:pPr>
        <w:pStyle w:val="13"/>
        <w:spacing w:line="240" w:lineRule="atLeast"/>
        <w:ind w:left="1080" w:leftChars="257" w:hanging="540"/>
        <w:rPr>
          <w:rFonts w:hAnsi="宋体"/>
          <w:color w:val="auto"/>
          <w:sz w:val="24"/>
          <w:highlight w:val="none"/>
        </w:rPr>
      </w:pPr>
    </w:p>
    <w:tbl>
      <w:tblPr>
        <w:tblStyle w:val="29"/>
        <w:tblW w:w="8644"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1601"/>
        <w:gridCol w:w="1225"/>
        <w:gridCol w:w="1138"/>
        <w:gridCol w:w="1275"/>
        <w:gridCol w:w="1250"/>
        <w:gridCol w:w="1459"/>
      </w:tblGrid>
      <w:tr w14:paraId="6682C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696" w:type="dxa"/>
          </w:tcPr>
          <w:p w14:paraId="0A7A7988">
            <w:pPr>
              <w:jc w:val="center"/>
              <w:rPr>
                <w:rFonts w:ascii="宋体" w:hAnsi="宋体"/>
                <w:color w:val="auto"/>
                <w:sz w:val="21"/>
                <w:szCs w:val="21"/>
                <w:highlight w:val="none"/>
                <w:u w:color="000000"/>
              </w:rPr>
            </w:pPr>
            <w:r>
              <w:rPr>
                <w:rFonts w:hint="eastAsia" w:ascii="宋体" w:hAnsi="宋体"/>
                <w:color w:val="auto"/>
                <w:sz w:val="21"/>
                <w:szCs w:val="21"/>
                <w:highlight w:val="none"/>
                <w:u w:color="000000"/>
              </w:rPr>
              <w:t>序号</w:t>
            </w:r>
          </w:p>
        </w:tc>
        <w:tc>
          <w:tcPr>
            <w:tcW w:w="1601" w:type="dxa"/>
          </w:tcPr>
          <w:p w14:paraId="62ECBB43">
            <w:pPr>
              <w:jc w:val="center"/>
              <w:rPr>
                <w:rFonts w:ascii="宋体" w:hAnsi="宋体"/>
                <w:color w:val="auto"/>
                <w:sz w:val="21"/>
                <w:szCs w:val="21"/>
                <w:highlight w:val="none"/>
                <w:u w:color="000000"/>
              </w:rPr>
            </w:pPr>
            <w:r>
              <w:rPr>
                <w:rFonts w:hint="eastAsia" w:ascii="宋体" w:hAnsi="宋体"/>
                <w:color w:val="auto"/>
                <w:sz w:val="21"/>
                <w:szCs w:val="21"/>
                <w:highlight w:val="none"/>
                <w:u w:color="000000"/>
              </w:rPr>
              <w:t>货物名称</w:t>
            </w:r>
          </w:p>
        </w:tc>
        <w:tc>
          <w:tcPr>
            <w:tcW w:w="1225" w:type="dxa"/>
          </w:tcPr>
          <w:p w14:paraId="0B457697">
            <w:pPr>
              <w:jc w:val="center"/>
              <w:rPr>
                <w:rFonts w:ascii="宋体" w:hAnsi="宋体"/>
                <w:color w:val="auto"/>
                <w:sz w:val="21"/>
                <w:szCs w:val="21"/>
                <w:highlight w:val="none"/>
                <w:u w:color="000000"/>
              </w:rPr>
            </w:pPr>
            <w:r>
              <w:rPr>
                <w:rFonts w:hint="eastAsia" w:ascii="宋体" w:hAnsi="宋体"/>
                <w:color w:val="auto"/>
                <w:sz w:val="21"/>
                <w:szCs w:val="21"/>
                <w:highlight w:val="none"/>
                <w:u w:color="000000"/>
              </w:rPr>
              <w:t>主要规格</w:t>
            </w:r>
          </w:p>
        </w:tc>
        <w:tc>
          <w:tcPr>
            <w:tcW w:w="1138" w:type="dxa"/>
          </w:tcPr>
          <w:p w14:paraId="4A0D7314">
            <w:pPr>
              <w:jc w:val="center"/>
              <w:rPr>
                <w:rFonts w:ascii="宋体" w:hAnsi="宋体"/>
                <w:color w:val="auto"/>
                <w:sz w:val="21"/>
                <w:szCs w:val="21"/>
                <w:highlight w:val="none"/>
                <w:u w:color="000000"/>
              </w:rPr>
            </w:pPr>
            <w:r>
              <w:rPr>
                <w:rFonts w:hint="eastAsia" w:ascii="宋体" w:hAnsi="宋体"/>
                <w:color w:val="auto"/>
                <w:sz w:val="21"/>
                <w:szCs w:val="21"/>
                <w:highlight w:val="none"/>
                <w:u w:color="000000"/>
              </w:rPr>
              <w:t>数量</w:t>
            </w:r>
          </w:p>
        </w:tc>
        <w:tc>
          <w:tcPr>
            <w:tcW w:w="1275" w:type="dxa"/>
          </w:tcPr>
          <w:p w14:paraId="297212C1">
            <w:pPr>
              <w:jc w:val="center"/>
              <w:rPr>
                <w:rFonts w:ascii="宋体" w:hAnsi="宋体"/>
                <w:color w:val="auto"/>
                <w:sz w:val="21"/>
                <w:szCs w:val="21"/>
                <w:highlight w:val="none"/>
                <w:u w:color="000000"/>
              </w:rPr>
            </w:pPr>
            <w:r>
              <w:rPr>
                <w:rFonts w:hint="eastAsia" w:ascii="宋体" w:hAnsi="宋体"/>
                <w:color w:val="auto"/>
                <w:sz w:val="21"/>
                <w:szCs w:val="21"/>
                <w:highlight w:val="none"/>
                <w:u w:color="000000"/>
              </w:rPr>
              <w:t>交货期</w:t>
            </w:r>
          </w:p>
        </w:tc>
        <w:tc>
          <w:tcPr>
            <w:tcW w:w="1250" w:type="dxa"/>
          </w:tcPr>
          <w:p w14:paraId="2F96F079">
            <w:pPr>
              <w:jc w:val="center"/>
              <w:rPr>
                <w:rFonts w:ascii="宋体" w:hAnsi="宋体"/>
                <w:color w:val="auto"/>
                <w:sz w:val="21"/>
                <w:szCs w:val="21"/>
                <w:highlight w:val="none"/>
                <w:u w:color="000000"/>
              </w:rPr>
            </w:pPr>
            <w:r>
              <w:rPr>
                <w:rFonts w:hint="eastAsia" w:ascii="宋体" w:hAnsi="宋体"/>
                <w:color w:val="auto"/>
                <w:sz w:val="21"/>
                <w:szCs w:val="21"/>
                <w:highlight w:val="none"/>
                <w:u w:color="000000"/>
              </w:rPr>
              <w:t>交货地点</w:t>
            </w:r>
          </w:p>
        </w:tc>
        <w:tc>
          <w:tcPr>
            <w:tcW w:w="1459" w:type="dxa"/>
          </w:tcPr>
          <w:p w14:paraId="5CCF1EBF">
            <w:pPr>
              <w:jc w:val="center"/>
              <w:rPr>
                <w:rFonts w:ascii="宋体" w:hAnsi="宋体"/>
                <w:color w:val="auto"/>
                <w:sz w:val="21"/>
                <w:szCs w:val="21"/>
                <w:highlight w:val="none"/>
                <w:u w:color="000000"/>
              </w:rPr>
            </w:pPr>
            <w:r>
              <w:rPr>
                <w:rFonts w:hint="eastAsia" w:ascii="宋体" w:hAnsi="宋体"/>
                <w:color w:val="auto"/>
                <w:sz w:val="21"/>
                <w:szCs w:val="21"/>
                <w:highlight w:val="none"/>
                <w:u w:color="000000"/>
              </w:rPr>
              <w:t>其它</w:t>
            </w:r>
          </w:p>
        </w:tc>
      </w:tr>
      <w:tr w14:paraId="3F93A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696" w:type="dxa"/>
          </w:tcPr>
          <w:p w14:paraId="202F140F">
            <w:pPr>
              <w:pStyle w:val="13"/>
              <w:spacing w:line="240" w:lineRule="atLeast"/>
              <w:ind w:left="1080" w:leftChars="257" w:hanging="540"/>
              <w:rPr>
                <w:rFonts w:hAnsi="宋体"/>
                <w:color w:val="auto"/>
                <w:sz w:val="21"/>
                <w:szCs w:val="21"/>
                <w:highlight w:val="none"/>
              </w:rPr>
            </w:pPr>
          </w:p>
        </w:tc>
        <w:tc>
          <w:tcPr>
            <w:tcW w:w="1601" w:type="dxa"/>
          </w:tcPr>
          <w:p w14:paraId="716C8145">
            <w:pPr>
              <w:pStyle w:val="13"/>
              <w:spacing w:line="240" w:lineRule="atLeast"/>
              <w:ind w:left="1080" w:leftChars="257" w:hanging="540"/>
              <w:rPr>
                <w:rFonts w:hAnsi="宋体"/>
                <w:color w:val="auto"/>
                <w:sz w:val="21"/>
                <w:szCs w:val="21"/>
                <w:highlight w:val="none"/>
              </w:rPr>
            </w:pPr>
          </w:p>
        </w:tc>
        <w:tc>
          <w:tcPr>
            <w:tcW w:w="1225" w:type="dxa"/>
          </w:tcPr>
          <w:p w14:paraId="3F896B7A">
            <w:pPr>
              <w:pStyle w:val="13"/>
              <w:spacing w:line="240" w:lineRule="atLeast"/>
              <w:ind w:left="1080" w:leftChars="257" w:hanging="540"/>
              <w:rPr>
                <w:rFonts w:hAnsi="宋体"/>
                <w:color w:val="auto"/>
                <w:sz w:val="21"/>
                <w:szCs w:val="21"/>
                <w:highlight w:val="none"/>
              </w:rPr>
            </w:pPr>
          </w:p>
        </w:tc>
        <w:tc>
          <w:tcPr>
            <w:tcW w:w="1138" w:type="dxa"/>
          </w:tcPr>
          <w:p w14:paraId="4BE4CE47">
            <w:pPr>
              <w:pStyle w:val="13"/>
              <w:spacing w:line="240" w:lineRule="atLeast"/>
              <w:ind w:left="1080" w:leftChars="257" w:hanging="540"/>
              <w:rPr>
                <w:rFonts w:hAnsi="宋体"/>
                <w:color w:val="auto"/>
                <w:sz w:val="21"/>
                <w:szCs w:val="21"/>
                <w:highlight w:val="none"/>
              </w:rPr>
            </w:pPr>
          </w:p>
        </w:tc>
        <w:tc>
          <w:tcPr>
            <w:tcW w:w="1275" w:type="dxa"/>
          </w:tcPr>
          <w:p w14:paraId="4C5B3C98">
            <w:pPr>
              <w:pStyle w:val="13"/>
              <w:spacing w:line="240" w:lineRule="atLeast"/>
              <w:ind w:left="1080" w:leftChars="257" w:hanging="540"/>
              <w:rPr>
                <w:rFonts w:hAnsi="宋体"/>
                <w:color w:val="auto"/>
                <w:sz w:val="21"/>
                <w:szCs w:val="21"/>
                <w:highlight w:val="none"/>
              </w:rPr>
            </w:pPr>
          </w:p>
        </w:tc>
        <w:tc>
          <w:tcPr>
            <w:tcW w:w="1250" w:type="dxa"/>
          </w:tcPr>
          <w:p w14:paraId="343199A4">
            <w:pPr>
              <w:pStyle w:val="13"/>
              <w:spacing w:line="240" w:lineRule="atLeast"/>
              <w:ind w:left="1080" w:leftChars="257" w:hanging="540"/>
              <w:rPr>
                <w:rFonts w:hAnsi="宋体"/>
                <w:color w:val="auto"/>
                <w:sz w:val="21"/>
                <w:szCs w:val="21"/>
                <w:highlight w:val="none"/>
              </w:rPr>
            </w:pPr>
          </w:p>
        </w:tc>
        <w:tc>
          <w:tcPr>
            <w:tcW w:w="1459" w:type="dxa"/>
          </w:tcPr>
          <w:p w14:paraId="1DC1F348">
            <w:pPr>
              <w:pStyle w:val="13"/>
              <w:spacing w:line="240" w:lineRule="atLeast"/>
              <w:ind w:left="1080" w:leftChars="257" w:hanging="540"/>
              <w:rPr>
                <w:rFonts w:hAnsi="宋体"/>
                <w:color w:val="auto"/>
                <w:sz w:val="21"/>
                <w:szCs w:val="21"/>
                <w:highlight w:val="none"/>
              </w:rPr>
            </w:pPr>
          </w:p>
        </w:tc>
      </w:tr>
      <w:tr w14:paraId="32422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696" w:type="dxa"/>
          </w:tcPr>
          <w:p w14:paraId="2D95A13D">
            <w:pPr>
              <w:pStyle w:val="13"/>
              <w:spacing w:line="240" w:lineRule="atLeast"/>
              <w:ind w:left="1080" w:leftChars="257" w:hanging="540"/>
              <w:rPr>
                <w:rFonts w:hAnsi="宋体"/>
                <w:color w:val="auto"/>
                <w:sz w:val="21"/>
                <w:szCs w:val="21"/>
                <w:highlight w:val="none"/>
              </w:rPr>
            </w:pPr>
          </w:p>
        </w:tc>
        <w:tc>
          <w:tcPr>
            <w:tcW w:w="1601" w:type="dxa"/>
          </w:tcPr>
          <w:p w14:paraId="27FC3537">
            <w:pPr>
              <w:pStyle w:val="13"/>
              <w:spacing w:line="240" w:lineRule="atLeast"/>
              <w:ind w:left="1080" w:leftChars="257" w:hanging="540"/>
              <w:rPr>
                <w:rFonts w:hAnsi="宋体"/>
                <w:color w:val="auto"/>
                <w:sz w:val="21"/>
                <w:szCs w:val="21"/>
                <w:highlight w:val="none"/>
              </w:rPr>
            </w:pPr>
          </w:p>
        </w:tc>
        <w:tc>
          <w:tcPr>
            <w:tcW w:w="1225" w:type="dxa"/>
          </w:tcPr>
          <w:p w14:paraId="1B831AC3">
            <w:pPr>
              <w:pStyle w:val="13"/>
              <w:spacing w:line="240" w:lineRule="atLeast"/>
              <w:ind w:left="1080" w:leftChars="257" w:hanging="540"/>
              <w:rPr>
                <w:rFonts w:hAnsi="宋体"/>
                <w:color w:val="auto"/>
                <w:sz w:val="21"/>
                <w:szCs w:val="21"/>
                <w:highlight w:val="none"/>
              </w:rPr>
            </w:pPr>
          </w:p>
        </w:tc>
        <w:tc>
          <w:tcPr>
            <w:tcW w:w="1138" w:type="dxa"/>
          </w:tcPr>
          <w:p w14:paraId="7F4328D9">
            <w:pPr>
              <w:pStyle w:val="13"/>
              <w:spacing w:line="240" w:lineRule="atLeast"/>
              <w:ind w:left="1080" w:leftChars="257" w:hanging="540"/>
              <w:rPr>
                <w:rFonts w:hAnsi="宋体"/>
                <w:color w:val="auto"/>
                <w:sz w:val="21"/>
                <w:szCs w:val="21"/>
                <w:highlight w:val="none"/>
              </w:rPr>
            </w:pPr>
          </w:p>
        </w:tc>
        <w:tc>
          <w:tcPr>
            <w:tcW w:w="1275" w:type="dxa"/>
          </w:tcPr>
          <w:p w14:paraId="193F6467">
            <w:pPr>
              <w:pStyle w:val="13"/>
              <w:spacing w:line="240" w:lineRule="atLeast"/>
              <w:ind w:left="1080" w:leftChars="257" w:hanging="540"/>
              <w:rPr>
                <w:rFonts w:hAnsi="宋体"/>
                <w:color w:val="auto"/>
                <w:sz w:val="21"/>
                <w:szCs w:val="21"/>
                <w:highlight w:val="none"/>
              </w:rPr>
            </w:pPr>
          </w:p>
        </w:tc>
        <w:tc>
          <w:tcPr>
            <w:tcW w:w="1250" w:type="dxa"/>
          </w:tcPr>
          <w:p w14:paraId="46281837">
            <w:pPr>
              <w:pStyle w:val="13"/>
              <w:spacing w:line="240" w:lineRule="atLeast"/>
              <w:ind w:left="1080" w:leftChars="257" w:hanging="540"/>
              <w:rPr>
                <w:rFonts w:hAnsi="宋体"/>
                <w:color w:val="auto"/>
                <w:sz w:val="21"/>
                <w:szCs w:val="21"/>
                <w:highlight w:val="none"/>
              </w:rPr>
            </w:pPr>
          </w:p>
        </w:tc>
        <w:tc>
          <w:tcPr>
            <w:tcW w:w="1459" w:type="dxa"/>
          </w:tcPr>
          <w:p w14:paraId="70B945F6">
            <w:pPr>
              <w:pStyle w:val="13"/>
              <w:spacing w:line="240" w:lineRule="atLeast"/>
              <w:ind w:left="1080" w:leftChars="257" w:hanging="540"/>
              <w:rPr>
                <w:rFonts w:hAnsi="宋体"/>
                <w:color w:val="auto"/>
                <w:sz w:val="21"/>
                <w:szCs w:val="21"/>
                <w:highlight w:val="none"/>
              </w:rPr>
            </w:pPr>
          </w:p>
        </w:tc>
      </w:tr>
      <w:tr w14:paraId="430BA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696" w:type="dxa"/>
          </w:tcPr>
          <w:p w14:paraId="6BD351E5">
            <w:pPr>
              <w:pStyle w:val="13"/>
              <w:spacing w:line="240" w:lineRule="atLeast"/>
              <w:ind w:left="1080" w:leftChars="257" w:hanging="540"/>
              <w:rPr>
                <w:rFonts w:hAnsi="宋体"/>
                <w:color w:val="auto"/>
                <w:sz w:val="21"/>
                <w:szCs w:val="21"/>
                <w:highlight w:val="none"/>
              </w:rPr>
            </w:pPr>
          </w:p>
        </w:tc>
        <w:tc>
          <w:tcPr>
            <w:tcW w:w="1601" w:type="dxa"/>
          </w:tcPr>
          <w:p w14:paraId="6EAB65FE">
            <w:pPr>
              <w:pStyle w:val="13"/>
              <w:spacing w:line="240" w:lineRule="atLeast"/>
              <w:ind w:left="1080" w:leftChars="257" w:hanging="540"/>
              <w:rPr>
                <w:rFonts w:hAnsi="宋体"/>
                <w:color w:val="auto"/>
                <w:sz w:val="21"/>
                <w:szCs w:val="21"/>
                <w:highlight w:val="none"/>
              </w:rPr>
            </w:pPr>
          </w:p>
        </w:tc>
        <w:tc>
          <w:tcPr>
            <w:tcW w:w="1225" w:type="dxa"/>
          </w:tcPr>
          <w:p w14:paraId="1C8A706F">
            <w:pPr>
              <w:pStyle w:val="13"/>
              <w:spacing w:line="240" w:lineRule="atLeast"/>
              <w:ind w:left="1080" w:leftChars="257" w:hanging="540"/>
              <w:rPr>
                <w:rFonts w:hAnsi="宋体"/>
                <w:color w:val="auto"/>
                <w:sz w:val="21"/>
                <w:szCs w:val="21"/>
                <w:highlight w:val="none"/>
              </w:rPr>
            </w:pPr>
          </w:p>
        </w:tc>
        <w:tc>
          <w:tcPr>
            <w:tcW w:w="1138" w:type="dxa"/>
          </w:tcPr>
          <w:p w14:paraId="14723C69">
            <w:pPr>
              <w:pStyle w:val="13"/>
              <w:spacing w:line="240" w:lineRule="atLeast"/>
              <w:ind w:left="1080" w:leftChars="257" w:hanging="540"/>
              <w:rPr>
                <w:rFonts w:hAnsi="宋体"/>
                <w:color w:val="auto"/>
                <w:sz w:val="21"/>
                <w:szCs w:val="21"/>
                <w:highlight w:val="none"/>
              </w:rPr>
            </w:pPr>
          </w:p>
        </w:tc>
        <w:tc>
          <w:tcPr>
            <w:tcW w:w="1275" w:type="dxa"/>
          </w:tcPr>
          <w:p w14:paraId="7292601F">
            <w:pPr>
              <w:pStyle w:val="13"/>
              <w:spacing w:line="240" w:lineRule="atLeast"/>
              <w:ind w:left="1080" w:leftChars="257" w:hanging="540"/>
              <w:rPr>
                <w:rFonts w:hAnsi="宋体"/>
                <w:color w:val="auto"/>
                <w:sz w:val="21"/>
                <w:szCs w:val="21"/>
                <w:highlight w:val="none"/>
              </w:rPr>
            </w:pPr>
          </w:p>
        </w:tc>
        <w:tc>
          <w:tcPr>
            <w:tcW w:w="1250" w:type="dxa"/>
          </w:tcPr>
          <w:p w14:paraId="0D00FE31">
            <w:pPr>
              <w:pStyle w:val="13"/>
              <w:spacing w:line="240" w:lineRule="atLeast"/>
              <w:ind w:left="1080" w:leftChars="257" w:hanging="540"/>
              <w:rPr>
                <w:rFonts w:hAnsi="宋体"/>
                <w:color w:val="auto"/>
                <w:sz w:val="21"/>
                <w:szCs w:val="21"/>
                <w:highlight w:val="none"/>
              </w:rPr>
            </w:pPr>
          </w:p>
        </w:tc>
        <w:tc>
          <w:tcPr>
            <w:tcW w:w="1459" w:type="dxa"/>
          </w:tcPr>
          <w:p w14:paraId="088C6A66">
            <w:pPr>
              <w:pStyle w:val="13"/>
              <w:spacing w:line="240" w:lineRule="atLeast"/>
              <w:ind w:left="1080" w:leftChars="257" w:hanging="540"/>
              <w:rPr>
                <w:rFonts w:hAnsi="宋体"/>
                <w:color w:val="auto"/>
                <w:sz w:val="21"/>
                <w:szCs w:val="21"/>
                <w:highlight w:val="none"/>
              </w:rPr>
            </w:pPr>
          </w:p>
        </w:tc>
      </w:tr>
      <w:tr w14:paraId="23EC4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696" w:type="dxa"/>
          </w:tcPr>
          <w:p w14:paraId="4DBCEAE5">
            <w:pPr>
              <w:pStyle w:val="13"/>
              <w:spacing w:line="240" w:lineRule="atLeast"/>
              <w:ind w:left="1080" w:leftChars="257" w:hanging="540"/>
              <w:rPr>
                <w:rFonts w:hAnsi="宋体"/>
                <w:color w:val="auto"/>
                <w:sz w:val="21"/>
                <w:szCs w:val="21"/>
                <w:highlight w:val="none"/>
              </w:rPr>
            </w:pPr>
          </w:p>
        </w:tc>
        <w:tc>
          <w:tcPr>
            <w:tcW w:w="1601" w:type="dxa"/>
          </w:tcPr>
          <w:p w14:paraId="50FF2C84">
            <w:pPr>
              <w:pStyle w:val="13"/>
              <w:spacing w:line="240" w:lineRule="atLeast"/>
              <w:ind w:left="1080" w:leftChars="257" w:hanging="540"/>
              <w:rPr>
                <w:rFonts w:hAnsi="宋体"/>
                <w:color w:val="auto"/>
                <w:sz w:val="21"/>
                <w:szCs w:val="21"/>
                <w:highlight w:val="none"/>
              </w:rPr>
            </w:pPr>
          </w:p>
        </w:tc>
        <w:tc>
          <w:tcPr>
            <w:tcW w:w="1225" w:type="dxa"/>
          </w:tcPr>
          <w:p w14:paraId="7AA979E3">
            <w:pPr>
              <w:pStyle w:val="13"/>
              <w:spacing w:line="240" w:lineRule="atLeast"/>
              <w:ind w:left="1080" w:leftChars="257" w:hanging="540"/>
              <w:rPr>
                <w:rFonts w:hAnsi="宋体"/>
                <w:color w:val="auto"/>
                <w:sz w:val="21"/>
                <w:szCs w:val="21"/>
                <w:highlight w:val="none"/>
              </w:rPr>
            </w:pPr>
          </w:p>
        </w:tc>
        <w:tc>
          <w:tcPr>
            <w:tcW w:w="1138" w:type="dxa"/>
          </w:tcPr>
          <w:p w14:paraId="612BBFCC">
            <w:pPr>
              <w:pStyle w:val="13"/>
              <w:spacing w:line="240" w:lineRule="atLeast"/>
              <w:ind w:left="1080" w:leftChars="257" w:hanging="540"/>
              <w:rPr>
                <w:rFonts w:hAnsi="宋体"/>
                <w:color w:val="auto"/>
                <w:sz w:val="21"/>
                <w:szCs w:val="21"/>
                <w:highlight w:val="none"/>
              </w:rPr>
            </w:pPr>
          </w:p>
        </w:tc>
        <w:tc>
          <w:tcPr>
            <w:tcW w:w="1275" w:type="dxa"/>
          </w:tcPr>
          <w:p w14:paraId="5D2480E6">
            <w:pPr>
              <w:pStyle w:val="13"/>
              <w:spacing w:line="240" w:lineRule="atLeast"/>
              <w:ind w:left="1080" w:leftChars="257" w:hanging="540"/>
              <w:rPr>
                <w:rFonts w:hAnsi="宋体"/>
                <w:color w:val="auto"/>
                <w:sz w:val="21"/>
                <w:szCs w:val="21"/>
                <w:highlight w:val="none"/>
              </w:rPr>
            </w:pPr>
          </w:p>
        </w:tc>
        <w:tc>
          <w:tcPr>
            <w:tcW w:w="1250" w:type="dxa"/>
          </w:tcPr>
          <w:p w14:paraId="79EC9299">
            <w:pPr>
              <w:pStyle w:val="13"/>
              <w:spacing w:line="240" w:lineRule="atLeast"/>
              <w:ind w:left="1080" w:leftChars="257" w:hanging="540"/>
              <w:rPr>
                <w:rFonts w:hAnsi="宋体"/>
                <w:color w:val="auto"/>
                <w:sz w:val="21"/>
                <w:szCs w:val="21"/>
                <w:highlight w:val="none"/>
              </w:rPr>
            </w:pPr>
          </w:p>
        </w:tc>
        <w:tc>
          <w:tcPr>
            <w:tcW w:w="1459" w:type="dxa"/>
          </w:tcPr>
          <w:p w14:paraId="6D0BE7A7">
            <w:pPr>
              <w:pStyle w:val="13"/>
              <w:spacing w:line="240" w:lineRule="atLeast"/>
              <w:ind w:left="1080" w:leftChars="257" w:hanging="540"/>
              <w:rPr>
                <w:rFonts w:hAnsi="宋体"/>
                <w:color w:val="auto"/>
                <w:sz w:val="21"/>
                <w:szCs w:val="21"/>
                <w:highlight w:val="none"/>
              </w:rPr>
            </w:pPr>
          </w:p>
        </w:tc>
      </w:tr>
      <w:tr w14:paraId="5BB1B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696" w:type="dxa"/>
          </w:tcPr>
          <w:p w14:paraId="795F4CB8">
            <w:pPr>
              <w:pStyle w:val="13"/>
              <w:spacing w:line="240" w:lineRule="atLeast"/>
              <w:ind w:left="1080" w:leftChars="257" w:hanging="540"/>
              <w:rPr>
                <w:rFonts w:hAnsi="宋体"/>
                <w:color w:val="auto"/>
                <w:sz w:val="21"/>
                <w:szCs w:val="21"/>
                <w:highlight w:val="none"/>
              </w:rPr>
            </w:pPr>
          </w:p>
        </w:tc>
        <w:tc>
          <w:tcPr>
            <w:tcW w:w="1601" w:type="dxa"/>
          </w:tcPr>
          <w:p w14:paraId="18B5D697">
            <w:pPr>
              <w:pStyle w:val="13"/>
              <w:spacing w:line="240" w:lineRule="atLeast"/>
              <w:ind w:left="1080" w:leftChars="257" w:hanging="540"/>
              <w:rPr>
                <w:rFonts w:hAnsi="宋体"/>
                <w:color w:val="auto"/>
                <w:sz w:val="21"/>
                <w:szCs w:val="21"/>
                <w:highlight w:val="none"/>
              </w:rPr>
            </w:pPr>
          </w:p>
        </w:tc>
        <w:tc>
          <w:tcPr>
            <w:tcW w:w="1225" w:type="dxa"/>
          </w:tcPr>
          <w:p w14:paraId="73CC51D2">
            <w:pPr>
              <w:pStyle w:val="13"/>
              <w:spacing w:line="240" w:lineRule="atLeast"/>
              <w:ind w:left="1080" w:leftChars="257" w:hanging="540"/>
              <w:rPr>
                <w:rFonts w:hAnsi="宋体"/>
                <w:color w:val="auto"/>
                <w:sz w:val="21"/>
                <w:szCs w:val="21"/>
                <w:highlight w:val="none"/>
              </w:rPr>
            </w:pPr>
          </w:p>
        </w:tc>
        <w:tc>
          <w:tcPr>
            <w:tcW w:w="1138" w:type="dxa"/>
          </w:tcPr>
          <w:p w14:paraId="6E0D09ED">
            <w:pPr>
              <w:pStyle w:val="13"/>
              <w:spacing w:line="240" w:lineRule="atLeast"/>
              <w:ind w:left="1080" w:leftChars="257" w:hanging="540"/>
              <w:rPr>
                <w:rFonts w:hAnsi="宋体"/>
                <w:color w:val="auto"/>
                <w:sz w:val="21"/>
                <w:szCs w:val="21"/>
                <w:highlight w:val="none"/>
              </w:rPr>
            </w:pPr>
          </w:p>
        </w:tc>
        <w:tc>
          <w:tcPr>
            <w:tcW w:w="1275" w:type="dxa"/>
          </w:tcPr>
          <w:p w14:paraId="2A25822A">
            <w:pPr>
              <w:pStyle w:val="13"/>
              <w:spacing w:line="240" w:lineRule="atLeast"/>
              <w:ind w:left="1080" w:leftChars="257" w:hanging="540"/>
              <w:rPr>
                <w:rFonts w:hAnsi="宋体"/>
                <w:color w:val="auto"/>
                <w:sz w:val="21"/>
                <w:szCs w:val="21"/>
                <w:highlight w:val="none"/>
              </w:rPr>
            </w:pPr>
          </w:p>
        </w:tc>
        <w:tc>
          <w:tcPr>
            <w:tcW w:w="1250" w:type="dxa"/>
          </w:tcPr>
          <w:p w14:paraId="0E9E4EFD">
            <w:pPr>
              <w:pStyle w:val="13"/>
              <w:spacing w:line="240" w:lineRule="atLeast"/>
              <w:ind w:left="1080" w:leftChars="257" w:hanging="540"/>
              <w:rPr>
                <w:rFonts w:hAnsi="宋体"/>
                <w:color w:val="auto"/>
                <w:sz w:val="21"/>
                <w:szCs w:val="21"/>
                <w:highlight w:val="none"/>
              </w:rPr>
            </w:pPr>
          </w:p>
        </w:tc>
        <w:tc>
          <w:tcPr>
            <w:tcW w:w="1459" w:type="dxa"/>
          </w:tcPr>
          <w:p w14:paraId="1ACC8D40">
            <w:pPr>
              <w:pStyle w:val="13"/>
              <w:spacing w:line="240" w:lineRule="atLeast"/>
              <w:ind w:left="1080" w:leftChars="257" w:hanging="540"/>
              <w:rPr>
                <w:rFonts w:hAnsi="宋体"/>
                <w:color w:val="auto"/>
                <w:sz w:val="21"/>
                <w:szCs w:val="21"/>
                <w:highlight w:val="none"/>
              </w:rPr>
            </w:pPr>
          </w:p>
        </w:tc>
      </w:tr>
      <w:tr w14:paraId="19321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696" w:type="dxa"/>
          </w:tcPr>
          <w:p w14:paraId="007DEDDF">
            <w:pPr>
              <w:pStyle w:val="13"/>
              <w:spacing w:line="240" w:lineRule="atLeast"/>
              <w:ind w:left="1080" w:leftChars="257" w:hanging="540"/>
              <w:rPr>
                <w:rFonts w:hAnsi="宋体"/>
                <w:color w:val="auto"/>
                <w:sz w:val="21"/>
                <w:szCs w:val="21"/>
                <w:highlight w:val="none"/>
              </w:rPr>
            </w:pPr>
          </w:p>
        </w:tc>
        <w:tc>
          <w:tcPr>
            <w:tcW w:w="1601" w:type="dxa"/>
          </w:tcPr>
          <w:p w14:paraId="58C9F8E4">
            <w:pPr>
              <w:pStyle w:val="13"/>
              <w:spacing w:line="240" w:lineRule="atLeast"/>
              <w:ind w:left="1080" w:leftChars="257" w:hanging="540"/>
              <w:rPr>
                <w:rFonts w:hAnsi="宋体"/>
                <w:color w:val="auto"/>
                <w:sz w:val="21"/>
                <w:szCs w:val="21"/>
                <w:highlight w:val="none"/>
              </w:rPr>
            </w:pPr>
          </w:p>
        </w:tc>
        <w:tc>
          <w:tcPr>
            <w:tcW w:w="1225" w:type="dxa"/>
          </w:tcPr>
          <w:p w14:paraId="581CB216">
            <w:pPr>
              <w:pStyle w:val="13"/>
              <w:spacing w:line="240" w:lineRule="atLeast"/>
              <w:ind w:left="1080" w:leftChars="257" w:hanging="540"/>
              <w:rPr>
                <w:rFonts w:hAnsi="宋体"/>
                <w:color w:val="auto"/>
                <w:sz w:val="21"/>
                <w:szCs w:val="21"/>
                <w:highlight w:val="none"/>
              </w:rPr>
            </w:pPr>
          </w:p>
        </w:tc>
        <w:tc>
          <w:tcPr>
            <w:tcW w:w="1138" w:type="dxa"/>
          </w:tcPr>
          <w:p w14:paraId="0C49275C">
            <w:pPr>
              <w:pStyle w:val="13"/>
              <w:spacing w:line="240" w:lineRule="atLeast"/>
              <w:ind w:left="1080" w:leftChars="257" w:hanging="540"/>
              <w:rPr>
                <w:rFonts w:hAnsi="宋体"/>
                <w:color w:val="auto"/>
                <w:sz w:val="21"/>
                <w:szCs w:val="21"/>
                <w:highlight w:val="none"/>
              </w:rPr>
            </w:pPr>
          </w:p>
        </w:tc>
        <w:tc>
          <w:tcPr>
            <w:tcW w:w="1275" w:type="dxa"/>
          </w:tcPr>
          <w:p w14:paraId="21804399">
            <w:pPr>
              <w:pStyle w:val="13"/>
              <w:spacing w:line="240" w:lineRule="atLeast"/>
              <w:ind w:left="1080" w:leftChars="257" w:hanging="540"/>
              <w:rPr>
                <w:rFonts w:hAnsi="宋体"/>
                <w:color w:val="auto"/>
                <w:sz w:val="21"/>
                <w:szCs w:val="21"/>
                <w:highlight w:val="none"/>
              </w:rPr>
            </w:pPr>
          </w:p>
        </w:tc>
        <w:tc>
          <w:tcPr>
            <w:tcW w:w="1250" w:type="dxa"/>
          </w:tcPr>
          <w:p w14:paraId="7753FD78">
            <w:pPr>
              <w:pStyle w:val="13"/>
              <w:spacing w:line="240" w:lineRule="atLeast"/>
              <w:ind w:left="1080" w:leftChars="257" w:hanging="540"/>
              <w:rPr>
                <w:rFonts w:hAnsi="宋体"/>
                <w:color w:val="auto"/>
                <w:sz w:val="21"/>
                <w:szCs w:val="21"/>
                <w:highlight w:val="none"/>
              </w:rPr>
            </w:pPr>
          </w:p>
        </w:tc>
        <w:tc>
          <w:tcPr>
            <w:tcW w:w="1459" w:type="dxa"/>
          </w:tcPr>
          <w:p w14:paraId="5DD101C3">
            <w:pPr>
              <w:pStyle w:val="13"/>
              <w:spacing w:line="240" w:lineRule="atLeast"/>
              <w:ind w:left="1080" w:leftChars="257" w:hanging="540"/>
              <w:rPr>
                <w:rFonts w:hAnsi="宋体"/>
                <w:color w:val="auto"/>
                <w:sz w:val="21"/>
                <w:szCs w:val="21"/>
                <w:highlight w:val="none"/>
              </w:rPr>
            </w:pPr>
          </w:p>
        </w:tc>
      </w:tr>
      <w:tr w14:paraId="7A88A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696" w:type="dxa"/>
          </w:tcPr>
          <w:p w14:paraId="0217BD7F">
            <w:pPr>
              <w:pStyle w:val="13"/>
              <w:spacing w:line="240" w:lineRule="atLeast"/>
              <w:ind w:left="1080" w:leftChars="257" w:hanging="540"/>
              <w:rPr>
                <w:rFonts w:hAnsi="宋体"/>
                <w:color w:val="auto"/>
                <w:sz w:val="21"/>
                <w:szCs w:val="21"/>
                <w:highlight w:val="none"/>
              </w:rPr>
            </w:pPr>
          </w:p>
        </w:tc>
        <w:tc>
          <w:tcPr>
            <w:tcW w:w="1601" w:type="dxa"/>
          </w:tcPr>
          <w:p w14:paraId="65BA4738">
            <w:pPr>
              <w:pStyle w:val="13"/>
              <w:spacing w:line="240" w:lineRule="atLeast"/>
              <w:ind w:left="1080" w:leftChars="257" w:hanging="540"/>
              <w:rPr>
                <w:rFonts w:hAnsi="宋体"/>
                <w:color w:val="auto"/>
                <w:sz w:val="21"/>
                <w:szCs w:val="21"/>
                <w:highlight w:val="none"/>
              </w:rPr>
            </w:pPr>
          </w:p>
        </w:tc>
        <w:tc>
          <w:tcPr>
            <w:tcW w:w="1225" w:type="dxa"/>
          </w:tcPr>
          <w:p w14:paraId="2C4D0058">
            <w:pPr>
              <w:pStyle w:val="13"/>
              <w:spacing w:line="240" w:lineRule="atLeast"/>
              <w:ind w:left="1080" w:leftChars="257" w:hanging="540"/>
              <w:rPr>
                <w:rFonts w:hAnsi="宋体"/>
                <w:color w:val="auto"/>
                <w:sz w:val="21"/>
                <w:szCs w:val="21"/>
                <w:highlight w:val="none"/>
              </w:rPr>
            </w:pPr>
          </w:p>
        </w:tc>
        <w:tc>
          <w:tcPr>
            <w:tcW w:w="1138" w:type="dxa"/>
          </w:tcPr>
          <w:p w14:paraId="20B2C69C">
            <w:pPr>
              <w:pStyle w:val="13"/>
              <w:spacing w:line="240" w:lineRule="atLeast"/>
              <w:ind w:left="1080" w:leftChars="257" w:hanging="540"/>
              <w:rPr>
                <w:rFonts w:hAnsi="宋体"/>
                <w:color w:val="auto"/>
                <w:sz w:val="21"/>
                <w:szCs w:val="21"/>
                <w:highlight w:val="none"/>
              </w:rPr>
            </w:pPr>
          </w:p>
        </w:tc>
        <w:tc>
          <w:tcPr>
            <w:tcW w:w="1275" w:type="dxa"/>
          </w:tcPr>
          <w:p w14:paraId="32623452">
            <w:pPr>
              <w:pStyle w:val="13"/>
              <w:spacing w:line="240" w:lineRule="atLeast"/>
              <w:ind w:left="1080" w:leftChars="257" w:hanging="540"/>
              <w:rPr>
                <w:rFonts w:hAnsi="宋体"/>
                <w:color w:val="auto"/>
                <w:sz w:val="21"/>
                <w:szCs w:val="21"/>
                <w:highlight w:val="none"/>
              </w:rPr>
            </w:pPr>
          </w:p>
        </w:tc>
        <w:tc>
          <w:tcPr>
            <w:tcW w:w="1250" w:type="dxa"/>
          </w:tcPr>
          <w:p w14:paraId="3B7EB81A">
            <w:pPr>
              <w:pStyle w:val="13"/>
              <w:spacing w:line="240" w:lineRule="atLeast"/>
              <w:ind w:left="1080" w:leftChars="257" w:hanging="540"/>
              <w:rPr>
                <w:rFonts w:hAnsi="宋体"/>
                <w:color w:val="auto"/>
                <w:sz w:val="21"/>
                <w:szCs w:val="21"/>
                <w:highlight w:val="none"/>
              </w:rPr>
            </w:pPr>
          </w:p>
        </w:tc>
        <w:tc>
          <w:tcPr>
            <w:tcW w:w="1459" w:type="dxa"/>
          </w:tcPr>
          <w:p w14:paraId="759DE222">
            <w:pPr>
              <w:pStyle w:val="13"/>
              <w:spacing w:line="240" w:lineRule="atLeast"/>
              <w:ind w:left="1080" w:leftChars="257" w:hanging="540"/>
              <w:rPr>
                <w:rFonts w:hAnsi="宋体"/>
                <w:color w:val="auto"/>
                <w:sz w:val="21"/>
                <w:szCs w:val="21"/>
                <w:highlight w:val="none"/>
              </w:rPr>
            </w:pPr>
          </w:p>
        </w:tc>
      </w:tr>
      <w:tr w14:paraId="0DC72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696" w:type="dxa"/>
          </w:tcPr>
          <w:p w14:paraId="70C2EAB1">
            <w:pPr>
              <w:pStyle w:val="13"/>
              <w:spacing w:line="240" w:lineRule="atLeast"/>
              <w:ind w:left="1080" w:leftChars="257" w:hanging="540"/>
              <w:rPr>
                <w:rFonts w:hAnsi="宋体"/>
                <w:color w:val="auto"/>
                <w:sz w:val="21"/>
                <w:szCs w:val="21"/>
                <w:highlight w:val="none"/>
              </w:rPr>
            </w:pPr>
          </w:p>
        </w:tc>
        <w:tc>
          <w:tcPr>
            <w:tcW w:w="1601" w:type="dxa"/>
          </w:tcPr>
          <w:p w14:paraId="741A1A05">
            <w:pPr>
              <w:pStyle w:val="13"/>
              <w:spacing w:line="240" w:lineRule="atLeast"/>
              <w:ind w:left="1080" w:leftChars="257" w:hanging="540"/>
              <w:rPr>
                <w:rFonts w:hAnsi="宋体"/>
                <w:color w:val="auto"/>
                <w:sz w:val="21"/>
                <w:szCs w:val="21"/>
                <w:highlight w:val="none"/>
              </w:rPr>
            </w:pPr>
          </w:p>
        </w:tc>
        <w:tc>
          <w:tcPr>
            <w:tcW w:w="1225" w:type="dxa"/>
          </w:tcPr>
          <w:p w14:paraId="5B90AA5B">
            <w:pPr>
              <w:pStyle w:val="13"/>
              <w:spacing w:line="240" w:lineRule="atLeast"/>
              <w:ind w:left="1080" w:leftChars="257" w:hanging="540"/>
              <w:rPr>
                <w:rFonts w:hAnsi="宋体"/>
                <w:color w:val="auto"/>
                <w:sz w:val="21"/>
                <w:szCs w:val="21"/>
                <w:highlight w:val="none"/>
              </w:rPr>
            </w:pPr>
          </w:p>
        </w:tc>
        <w:tc>
          <w:tcPr>
            <w:tcW w:w="1138" w:type="dxa"/>
          </w:tcPr>
          <w:p w14:paraId="0965B815">
            <w:pPr>
              <w:pStyle w:val="13"/>
              <w:spacing w:line="240" w:lineRule="atLeast"/>
              <w:ind w:left="1080" w:leftChars="257" w:hanging="540"/>
              <w:rPr>
                <w:rFonts w:hAnsi="宋体"/>
                <w:color w:val="auto"/>
                <w:sz w:val="21"/>
                <w:szCs w:val="21"/>
                <w:highlight w:val="none"/>
              </w:rPr>
            </w:pPr>
          </w:p>
        </w:tc>
        <w:tc>
          <w:tcPr>
            <w:tcW w:w="1275" w:type="dxa"/>
          </w:tcPr>
          <w:p w14:paraId="2DF844EB">
            <w:pPr>
              <w:pStyle w:val="13"/>
              <w:spacing w:line="240" w:lineRule="atLeast"/>
              <w:ind w:left="1080" w:leftChars="257" w:hanging="540"/>
              <w:rPr>
                <w:rFonts w:hAnsi="宋体"/>
                <w:color w:val="auto"/>
                <w:sz w:val="21"/>
                <w:szCs w:val="21"/>
                <w:highlight w:val="none"/>
              </w:rPr>
            </w:pPr>
          </w:p>
        </w:tc>
        <w:tc>
          <w:tcPr>
            <w:tcW w:w="1250" w:type="dxa"/>
          </w:tcPr>
          <w:p w14:paraId="62CBE921">
            <w:pPr>
              <w:pStyle w:val="13"/>
              <w:spacing w:line="240" w:lineRule="atLeast"/>
              <w:ind w:left="1080" w:leftChars="257" w:hanging="540"/>
              <w:rPr>
                <w:rFonts w:hAnsi="宋体"/>
                <w:color w:val="auto"/>
                <w:sz w:val="21"/>
                <w:szCs w:val="21"/>
                <w:highlight w:val="none"/>
              </w:rPr>
            </w:pPr>
          </w:p>
        </w:tc>
        <w:tc>
          <w:tcPr>
            <w:tcW w:w="1459" w:type="dxa"/>
          </w:tcPr>
          <w:p w14:paraId="055A5963">
            <w:pPr>
              <w:pStyle w:val="13"/>
              <w:spacing w:line="240" w:lineRule="atLeast"/>
              <w:ind w:left="1080" w:leftChars="257" w:hanging="540"/>
              <w:rPr>
                <w:rFonts w:hAnsi="宋体"/>
                <w:color w:val="auto"/>
                <w:sz w:val="21"/>
                <w:szCs w:val="21"/>
                <w:highlight w:val="none"/>
              </w:rPr>
            </w:pPr>
          </w:p>
        </w:tc>
      </w:tr>
    </w:tbl>
    <w:p w14:paraId="630EEC6A">
      <w:pPr>
        <w:pStyle w:val="13"/>
        <w:spacing w:line="240" w:lineRule="atLeast"/>
        <w:ind w:left="1080" w:leftChars="257" w:hanging="540"/>
        <w:rPr>
          <w:rFonts w:hAnsi="宋体"/>
          <w:color w:val="auto"/>
          <w:sz w:val="21"/>
          <w:szCs w:val="21"/>
          <w:highlight w:val="none"/>
        </w:rPr>
      </w:pPr>
    </w:p>
    <w:p w14:paraId="5352AFFF">
      <w:pPr>
        <w:pStyle w:val="13"/>
        <w:spacing w:line="240" w:lineRule="atLeast"/>
        <w:ind w:left="1080" w:leftChars="257" w:hanging="540"/>
        <w:rPr>
          <w:rFonts w:hAnsi="宋体"/>
          <w:color w:val="auto"/>
          <w:sz w:val="21"/>
          <w:szCs w:val="21"/>
          <w:highlight w:val="none"/>
        </w:rPr>
      </w:pPr>
      <w:r>
        <w:rPr>
          <w:rFonts w:hint="eastAsia" w:hAnsi="宋体"/>
          <w:color w:val="auto"/>
          <w:sz w:val="21"/>
          <w:szCs w:val="21"/>
          <w:highlight w:val="none"/>
        </w:rPr>
        <w:t>法定代表人或其委托代理人签字或盖章:</w:t>
      </w:r>
      <w:r>
        <w:rPr>
          <w:rFonts w:hint="eastAsia" w:hAnsi="宋体"/>
          <w:color w:val="auto"/>
          <w:sz w:val="21"/>
          <w:szCs w:val="21"/>
          <w:highlight w:val="none"/>
          <w:u w:val="single"/>
        </w:rPr>
        <w:t xml:space="preserve"> </w:t>
      </w:r>
      <w:r>
        <w:rPr>
          <w:rFonts w:hint="eastAsia" w:hAnsi="宋体"/>
          <w:color w:val="auto"/>
          <w:sz w:val="21"/>
          <w:szCs w:val="21"/>
          <w:highlight w:val="none"/>
          <w:u w:val="single"/>
        </w:rPr>
        <w:tab/>
      </w:r>
      <w:r>
        <w:rPr>
          <w:rFonts w:hint="eastAsia" w:hAnsi="宋体"/>
          <w:color w:val="auto"/>
          <w:sz w:val="21"/>
          <w:szCs w:val="21"/>
          <w:highlight w:val="none"/>
          <w:u w:val="single"/>
        </w:rPr>
        <w:t xml:space="preserve">                 </w:t>
      </w:r>
    </w:p>
    <w:p w14:paraId="3660A4E3">
      <w:pPr>
        <w:pStyle w:val="13"/>
        <w:tabs>
          <w:tab w:val="left" w:pos="5370"/>
        </w:tabs>
        <w:spacing w:line="240" w:lineRule="atLeast"/>
        <w:ind w:left="1080" w:leftChars="257" w:hanging="540"/>
        <w:rPr>
          <w:rFonts w:hAnsi="宋体"/>
          <w:color w:val="auto"/>
          <w:sz w:val="21"/>
          <w:szCs w:val="21"/>
          <w:highlight w:val="none"/>
          <w:u w:val="single"/>
        </w:rPr>
      </w:pPr>
      <w:r>
        <w:rPr>
          <w:rFonts w:hint="eastAsia" w:hAnsi="宋体"/>
          <w:color w:val="auto"/>
          <w:sz w:val="21"/>
          <w:szCs w:val="21"/>
          <w:highlight w:val="none"/>
        </w:rPr>
        <w:t>投标人(盖单位章):</w:t>
      </w:r>
      <w:r>
        <w:rPr>
          <w:rFonts w:hint="eastAsia" w:hAnsi="宋体"/>
          <w:color w:val="auto"/>
          <w:sz w:val="21"/>
          <w:szCs w:val="21"/>
          <w:highlight w:val="none"/>
          <w:u w:val="single"/>
        </w:rPr>
        <w:tab/>
      </w:r>
    </w:p>
    <w:p w14:paraId="60F52B12">
      <w:pPr>
        <w:pStyle w:val="3"/>
        <w:numPr>
          <w:ilvl w:val="0"/>
          <w:numId w:val="0"/>
        </w:numPr>
        <w:shd w:val="clear" w:color="auto" w:fill="auto"/>
        <w:spacing w:before="0" w:line="240" w:lineRule="atLeast"/>
        <w:jc w:val="both"/>
        <w:rPr>
          <w:rFonts w:hint="eastAsia" w:ascii="宋体" w:hAnsi="宋体" w:eastAsia="宋体" w:cs="宋体"/>
          <w:b/>
          <w:bCs/>
          <w:color w:val="auto"/>
          <w:sz w:val="21"/>
          <w:szCs w:val="21"/>
          <w:highlight w:val="none"/>
          <w:lang w:val="en-US" w:eastAsia="zh-CN"/>
        </w:rPr>
      </w:pPr>
    </w:p>
    <w:p w14:paraId="77BAF939">
      <w:pPr>
        <w:ind w:firstLine="630" w:firstLineChars="300"/>
        <w:rPr>
          <w:rFonts w:hint="eastAsia"/>
          <w:color w:val="auto"/>
          <w:sz w:val="21"/>
          <w:szCs w:val="21"/>
          <w:highlight w:val="none"/>
          <w:lang w:val="en-US" w:eastAsia="zh-CN"/>
        </w:rPr>
      </w:pPr>
      <w:r>
        <w:rPr>
          <w:rFonts w:hint="eastAsia"/>
          <w:color w:val="auto"/>
          <w:sz w:val="21"/>
          <w:szCs w:val="21"/>
          <w:highlight w:val="none"/>
          <w:lang w:val="en-US" w:eastAsia="zh-CN"/>
        </w:rPr>
        <w:t>注: 各项货物详细技术性能应另页描述。</w:t>
      </w:r>
    </w:p>
    <w:p w14:paraId="733B504E">
      <w:pPr>
        <w:rPr>
          <w:rFonts w:hint="eastAsia"/>
          <w:color w:val="auto"/>
          <w:highlight w:val="none"/>
          <w:lang w:val="en-US" w:eastAsia="zh-CN"/>
        </w:rPr>
        <w:sectPr>
          <w:footerReference r:id="rId8" w:type="default"/>
          <w:pgSz w:w="11900" w:h="16838"/>
          <w:pgMar w:top="1431" w:right="1505" w:bottom="1570" w:left="1510" w:header="0" w:footer="1409" w:gutter="0"/>
          <w:pgNumType w:fmt="decimal"/>
          <w:cols w:space="720" w:num="1"/>
        </w:sectPr>
      </w:pPr>
    </w:p>
    <w:p w14:paraId="21C81C03">
      <w:pPr>
        <w:pStyle w:val="3"/>
        <w:numPr>
          <w:ilvl w:val="0"/>
          <w:numId w:val="0"/>
        </w:numPr>
        <w:shd w:val="clear" w:color="auto" w:fill="auto"/>
        <w:spacing w:before="0" w:line="240" w:lineRule="atLeast"/>
        <w:jc w:val="center"/>
        <w:rPr>
          <w:rFonts w:hint="eastAsia" w:ascii="宋体" w:hAnsi="宋体" w:eastAsia="宋体" w:cs="宋体"/>
          <w:b/>
          <w:bCs/>
          <w:color w:val="auto"/>
          <w:sz w:val="24"/>
          <w:highlight w:val="none"/>
        </w:rPr>
      </w:pPr>
      <w:bookmarkStart w:id="197" w:name="_Toc30490"/>
      <w:bookmarkStart w:id="198" w:name="_Toc17302"/>
      <w:r>
        <w:rPr>
          <w:rFonts w:hint="eastAsia" w:ascii="宋体" w:hAnsi="宋体" w:cs="宋体"/>
          <w:b/>
          <w:bCs/>
          <w:color w:val="auto"/>
          <w:sz w:val="24"/>
          <w:highlight w:val="none"/>
          <w:lang w:val="en-US" w:eastAsia="zh-CN"/>
        </w:rPr>
        <w:t>5</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rPr>
        <w:t>技术规格偏离表</w:t>
      </w:r>
      <w:bookmarkEnd w:id="187"/>
      <w:bookmarkEnd w:id="188"/>
      <w:bookmarkEnd w:id="189"/>
      <w:bookmarkEnd w:id="190"/>
      <w:bookmarkEnd w:id="191"/>
      <w:bookmarkEnd w:id="197"/>
      <w:bookmarkEnd w:id="198"/>
    </w:p>
    <w:p w14:paraId="43CE9C2C">
      <w:pPr>
        <w:pStyle w:val="13"/>
        <w:shd w:val="clear" w:color="auto" w:fill="auto"/>
        <w:spacing w:line="240" w:lineRule="atLeast"/>
        <w:ind w:left="1084" w:leftChars="257" w:hanging="540"/>
        <w:rPr>
          <w:rFonts w:hint="eastAsia" w:ascii="宋体" w:hAnsi="宋体" w:eastAsia="宋体" w:cs="宋体"/>
          <w:color w:val="auto"/>
          <w:sz w:val="24"/>
          <w:highlight w:val="none"/>
        </w:rPr>
      </w:pPr>
    </w:p>
    <w:p w14:paraId="24BA255A">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83" w:leftChars="257" w:hanging="53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项目名称: </w:t>
      </w:r>
    </w:p>
    <w:p w14:paraId="34B4C622">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83" w:leftChars="257" w:hanging="53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标项</w:t>
      </w:r>
      <w:r>
        <w:rPr>
          <w:rFonts w:hint="eastAsia" w:ascii="宋体" w:hAnsi="宋体" w:eastAsia="宋体" w:cs="宋体"/>
          <w:color w:val="auto"/>
          <w:sz w:val="21"/>
          <w:szCs w:val="21"/>
          <w:highlight w:val="none"/>
        </w:rPr>
        <w:t>名称:</w:t>
      </w:r>
    </w:p>
    <w:p w14:paraId="39E965A5">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83" w:leftChars="257" w:hanging="539"/>
        <w:textAlignment w:val="auto"/>
        <w:rPr>
          <w:rFonts w:hint="eastAsia" w:ascii="宋体" w:hAnsi="宋体" w:eastAsia="宋体" w:cs="宋体"/>
          <w:color w:val="auto"/>
          <w:sz w:val="24"/>
          <w:highlight w:val="none"/>
        </w:rPr>
      </w:pPr>
      <w:r>
        <w:rPr>
          <w:rFonts w:hint="eastAsia" w:ascii="宋体" w:hAnsi="宋体" w:eastAsia="宋体" w:cs="宋体"/>
          <w:color w:val="auto"/>
          <w:sz w:val="21"/>
          <w:szCs w:val="21"/>
          <w:highlight w:val="none"/>
        </w:rPr>
        <w:t xml:space="preserve">项目编号: </w:t>
      </w:r>
      <w:r>
        <w:rPr>
          <w:rFonts w:hint="eastAsia" w:hAnsi="宋体"/>
          <w:color w:val="auto"/>
          <w:sz w:val="24"/>
          <w:highlight w:val="none"/>
        </w:rPr>
        <w:t xml:space="preserve"> </w:t>
      </w:r>
      <w:r>
        <w:rPr>
          <w:rFonts w:hint="eastAsia" w:ascii="宋体" w:hAnsi="宋体" w:eastAsia="宋体" w:cs="宋体"/>
          <w:color w:val="auto"/>
          <w:sz w:val="24"/>
          <w:highlight w:val="none"/>
        </w:rPr>
        <w:t xml:space="preserve">           </w:t>
      </w:r>
    </w:p>
    <w:p w14:paraId="4AD7DC34">
      <w:pPr>
        <w:pStyle w:val="13"/>
        <w:shd w:val="clear" w:color="auto" w:fill="auto"/>
        <w:spacing w:line="240" w:lineRule="atLeast"/>
        <w:ind w:left="1084" w:leftChars="257" w:hanging="540"/>
        <w:rPr>
          <w:rFonts w:hint="eastAsia" w:ascii="宋体" w:hAnsi="宋体" w:eastAsia="宋体" w:cs="宋体"/>
          <w:color w:val="auto"/>
          <w:sz w:val="24"/>
          <w:highlight w:val="none"/>
        </w:rPr>
      </w:pPr>
    </w:p>
    <w:tbl>
      <w:tblPr>
        <w:tblStyle w:val="29"/>
        <w:tblW w:w="83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1521"/>
        <w:gridCol w:w="1454"/>
        <w:gridCol w:w="1338"/>
        <w:gridCol w:w="2448"/>
        <w:gridCol w:w="750"/>
      </w:tblGrid>
      <w:tr w14:paraId="623B3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886" w:type="dxa"/>
            <w:vAlign w:val="center"/>
          </w:tcPr>
          <w:p w14:paraId="73E43E45">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1521" w:type="dxa"/>
            <w:vAlign w:val="center"/>
          </w:tcPr>
          <w:p w14:paraId="073F0D1E">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标的名称</w:t>
            </w:r>
          </w:p>
        </w:tc>
        <w:tc>
          <w:tcPr>
            <w:tcW w:w="1454" w:type="dxa"/>
            <w:vAlign w:val="center"/>
          </w:tcPr>
          <w:p w14:paraId="66661287">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招标规格</w:t>
            </w:r>
          </w:p>
        </w:tc>
        <w:tc>
          <w:tcPr>
            <w:tcW w:w="1338" w:type="dxa"/>
            <w:vAlign w:val="center"/>
          </w:tcPr>
          <w:p w14:paraId="6112533F">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投标规格</w:t>
            </w:r>
          </w:p>
        </w:tc>
        <w:tc>
          <w:tcPr>
            <w:tcW w:w="2448" w:type="dxa"/>
            <w:vAlign w:val="center"/>
          </w:tcPr>
          <w:p w14:paraId="33F0BBAD">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偏离</w:t>
            </w:r>
          </w:p>
        </w:tc>
        <w:tc>
          <w:tcPr>
            <w:tcW w:w="750" w:type="dxa"/>
            <w:vAlign w:val="center"/>
          </w:tcPr>
          <w:p w14:paraId="183AB4E5">
            <w:pPr>
              <w:pStyle w:val="13"/>
              <w:shd w:val="clear" w:color="auto" w:fill="auto"/>
              <w:spacing w:line="24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说明</w:t>
            </w:r>
          </w:p>
        </w:tc>
      </w:tr>
      <w:tr w14:paraId="4005B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886" w:type="dxa"/>
            <w:vAlign w:val="top"/>
          </w:tcPr>
          <w:p w14:paraId="4BDE4DB7">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521" w:type="dxa"/>
            <w:vAlign w:val="top"/>
          </w:tcPr>
          <w:p w14:paraId="0FDAED85">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454" w:type="dxa"/>
            <w:vAlign w:val="top"/>
          </w:tcPr>
          <w:p w14:paraId="7818F1FA">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338" w:type="dxa"/>
            <w:vAlign w:val="top"/>
          </w:tcPr>
          <w:p w14:paraId="74A57FB8">
            <w:pPr>
              <w:pStyle w:val="13"/>
              <w:shd w:val="clear" w:color="auto" w:fill="auto"/>
              <w:spacing w:line="240" w:lineRule="atLeast"/>
              <w:ind w:left="1084" w:leftChars="257" w:hanging="540"/>
              <w:rPr>
                <w:rFonts w:hint="eastAsia" w:ascii="宋体" w:hAnsi="宋体" w:eastAsia="宋体" w:cs="宋体"/>
                <w:color w:val="auto"/>
                <w:sz w:val="21"/>
                <w:szCs w:val="16"/>
                <w:highlight w:val="none"/>
                <w:lang w:val="en-US" w:eastAsia="zh-CN"/>
              </w:rPr>
            </w:pPr>
          </w:p>
        </w:tc>
        <w:tc>
          <w:tcPr>
            <w:tcW w:w="2448" w:type="dxa"/>
            <w:vAlign w:val="center"/>
          </w:tcPr>
          <w:p w14:paraId="2DEEB957">
            <w:pPr>
              <w:pStyle w:val="13"/>
              <w:keepNext w:val="0"/>
              <w:keepLines w:val="0"/>
              <w:pageBreakBefore w:val="0"/>
              <w:widowControl w:val="0"/>
              <w:shd w:val="clear" w:color="auto" w:fill="auto"/>
              <w:kinsoku/>
              <w:wordWrap/>
              <w:overflowPunct/>
              <w:topLinePunct w:val="0"/>
              <w:autoSpaceDE/>
              <w:autoSpaceDN/>
              <w:bidi w:val="0"/>
              <w:adjustRightInd/>
              <w:snapToGrid/>
              <w:spacing w:line="240" w:lineRule="atLeast"/>
              <w:jc w:val="left"/>
              <w:textAlignment w:val="auto"/>
              <w:rPr>
                <w:rFonts w:hint="default" w:ascii="宋体" w:hAnsi="宋体" w:eastAsia="宋体" w:cs="宋体"/>
                <w:color w:val="auto"/>
                <w:sz w:val="21"/>
                <w:szCs w:val="16"/>
                <w:highlight w:val="none"/>
                <w:lang w:val="en-US" w:eastAsia="zh-CN"/>
              </w:rPr>
            </w:pPr>
            <w:r>
              <w:rPr>
                <w:rFonts w:hint="eastAsia" w:hAnsi="宋体" w:eastAsia="宋体" w:cs="宋体"/>
                <w:b/>
                <w:bCs/>
                <w:color w:val="auto"/>
                <w:sz w:val="21"/>
                <w:szCs w:val="16"/>
                <w:highlight w:val="none"/>
                <w:u w:val="single" w:color="auto"/>
                <w:lang w:val="en-US" w:eastAsia="zh-CN"/>
              </w:rPr>
              <w:t>如有正偏离需提供证明材料，证明材料附后(并注明页码)</w:t>
            </w:r>
          </w:p>
        </w:tc>
        <w:tc>
          <w:tcPr>
            <w:tcW w:w="750" w:type="dxa"/>
            <w:vAlign w:val="top"/>
          </w:tcPr>
          <w:p w14:paraId="135F4FEC">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49AE4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886" w:type="dxa"/>
            <w:vAlign w:val="top"/>
          </w:tcPr>
          <w:p w14:paraId="2A3A4AFC">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521" w:type="dxa"/>
            <w:vAlign w:val="top"/>
          </w:tcPr>
          <w:p w14:paraId="141F156E">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454" w:type="dxa"/>
            <w:vAlign w:val="top"/>
          </w:tcPr>
          <w:p w14:paraId="2AFFC8F2">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338" w:type="dxa"/>
            <w:vAlign w:val="top"/>
          </w:tcPr>
          <w:p w14:paraId="192B640F">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448" w:type="dxa"/>
            <w:vAlign w:val="top"/>
          </w:tcPr>
          <w:p w14:paraId="4D2F0534">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750" w:type="dxa"/>
            <w:vAlign w:val="top"/>
          </w:tcPr>
          <w:p w14:paraId="6AAF2BC5">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60A4A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886" w:type="dxa"/>
            <w:vAlign w:val="top"/>
          </w:tcPr>
          <w:p w14:paraId="22645A7C">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521" w:type="dxa"/>
            <w:vAlign w:val="top"/>
          </w:tcPr>
          <w:p w14:paraId="42923258">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454" w:type="dxa"/>
            <w:vAlign w:val="top"/>
          </w:tcPr>
          <w:p w14:paraId="64AE1819">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338" w:type="dxa"/>
            <w:vAlign w:val="top"/>
          </w:tcPr>
          <w:p w14:paraId="594DB9BD">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448" w:type="dxa"/>
            <w:vAlign w:val="top"/>
          </w:tcPr>
          <w:p w14:paraId="3697E2D3">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750" w:type="dxa"/>
            <w:vAlign w:val="top"/>
          </w:tcPr>
          <w:p w14:paraId="00DF4018">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5EE43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886" w:type="dxa"/>
            <w:vAlign w:val="top"/>
          </w:tcPr>
          <w:p w14:paraId="323DCBAD">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521" w:type="dxa"/>
            <w:vAlign w:val="top"/>
          </w:tcPr>
          <w:p w14:paraId="320A5ECA">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454" w:type="dxa"/>
            <w:vAlign w:val="top"/>
          </w:tcPr>
          <w:p w14:paraId="30B8CB20">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338" w:type="dxa"/>
            <w:vAlign w:val="top"/>
          </w:tcPr>
          <w:p w14:paraId="3B30E4E3">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448" w:type="dxa"/>
            <w:vAlign w:val="top"/>
          </w:tcPr>
          <w:p w14:paraId="13767A74">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750" w:type="dxa"/>
            <w:vAlign w:val="top"/>
          </w:tcPr>
          <w:p w14:paraId="5AFE736F">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3603B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886" w:type="dxa"/>
            <w:vAlign w:val="top"/>
          </w:tcPr>
          <w:p w14:paraId="6AA0AECC">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521" w:type="dxa"/>
            <w:vAlign w:val="top"/>
          </w:tcPr>
          <w:p w14:paraId="1D4FA9FC">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454" w:type="dxa"/>
            <w:vAlign w:val="top"/>
          </w:tcPr>
          <w:p w14:paraId="6130B4A1">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338" w:type="dxa"/>
            <w:vAlign w:val="top"/>
          </w:tcPr>
          <w:p w14:paraId="3E0C7E8F">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448" w:type="dxa"/>
            <w:vAlign w:val="top"/>
          </w:tcPr>
          <w:p w14:paraId="049937D5">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750" w:type="dxa"/>
            <w:vAlign w:val="top"/>
          </w:tcPr>
          <w:p w14:paraId="6013F579">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65A1E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886" w:type="dxa"/>
            <w:vAlign w:val="top"/>
          </w:tcPr>
          <w:p w14:paraId="73BF043C">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521" w:type="dxa"/>
            <w:vAlign w:val="top"/>
          </w:tcPr>
          <w:p w14:paraId="701EEC47">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454" w:type="dxa"/>
            <w:vAlign w:val="top"/>
          </w:tcPr>
          <w:p w14:paraId="44E5D9A2">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338" w:type="dxa"/>
            <w:vAlign w:val="top"/>
          </w:tcPr>
          <w:p w14:paraId="3765944B">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448" w:type="dxa"/>
            <w:vAlign w:val="top"/>
          </w:tcPr>
          <w:p w14:paraId="22F659D6">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750" w:type="dxa"/>
            <w:vAlign w:val="top"/>
          </w:tcPr>
          <w:p w14:paraId="215E8F79">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39994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886" w:type="dxa"/>
            <w:vAlign w:val="top"/>
          </w:tcPr>
          <w:p w14:paraId="5A4D3A97">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521" w:type="dxa"/>
            <w:vAlign w:val="top"/>
          </w:tcPr>
          <w:p w14:paraId="3C65D02E">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454" w:type="dxa"/>
            <w:vAlign w:val="top"/>
          </w:tcPr>
          <w:p w14:paraId="20455BD2">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338" w:type="dxa"/>
            <w:vAlign w:val="top"/>
          </w:tcPr>
          <w:p w14:paraId="4CC9F2B6">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448" w:type="dxa"/>
            <w:vAlign w:val="top"/>
          </w:tcPr>
          <w:p w14:paraId="30A6199E">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750" w:type="dxa"/>
            <w:vAlign w:val="top"/>
          </w:tcPr>
          <w:p w14:paraId="789C3223">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684FE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886" w:type="dxa"/>
            <w:vAlign w:val="top"/>
          </w:tcPr>
          <w:p w14:paraId="411D5113">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521" w:type="dxa"/>
            <w:vAlign w:val="top"/>
          </w:tcPr>
          <w:p w14:paraId="561F6366">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454" w:type="dxa"/>
            <w:vAlign w:val="top"/>
          </w:tcPr>
          <w:p w14:paraId="25ED41ED">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338" w:type="dxa"/>
            <w:vAlign w:val="top"/>
          </w:tcPr>
          <w:p w14:paraId="48EFC9B2">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448" w:type="dxa"/>
            <w:vAlign w:val="top"/>
          </w:tcPr>
          <w:p w14:paraId="3001CAC4">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750" w:type="dxa"/>
            <w:vAlign w:val="top"/>
          </w:tcPr>
          <w:p w14:paraId="2E03C2FD">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2D92A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886" w:type="dxa"/>
            <w:vAlign w:val="top"/>
          </w:tcPr>
          <w:p w14:paraId="197BBF0F">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521" w:type="dxa"/>
            <w:vAlign w:val="top"/>
          </w:tcPr>
          <w:p w14:paraId="76E331C5">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454" w:type="dxa"/>
            <w:vAlign w:val="top"/>
          </w:tcPr>
          <w:p w14:paraId="0159EFF8">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338" w:type="dxa"/>
            <w:vAlign w:val="top"/>
          </w:tcPr>
          <w:p w14:paraId="623E9CD4">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448" w:type="dxa"/>
            <w:vAlign w:val="top"/>
          </w:tcPr>
          <w:p w14:paraId="2BA8B4E6">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750" w:type="dxa"/>
            <w:vAlign w:val="top"/>
          </w:tcPr>
          <w:p w14:paraId="7A88149B">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0B317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886" w:type="dxa"/>
            <w:vAlign w:val="top"/>
          </w:tcPr>
          <w:p w14:paraId="11E2F013">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521" w:type="dxa"/>
            <w:vAlign w:val="top"/>
          </w:tcPr>
          <w:p w14:paraId="1217DE38">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454" w:type="dxa"/>
            <w:vAlign w:val="top"/>
          </w:tcPr>
          <w:p w14:paraId="219A56D7">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338" w:type="dxa"/>
            <w:vAlign w:val="top"/>
          </w:tcPr>
          <w:p w14:paraId="1F4AFBDB">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448" w:type="dxa"/>
            <w:vAlign w:val="top"/>
          </w:tcPr>
          <w:p w14:paraId="5E8562D7">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750" w:type="dxa"/>
            <w:vAlign w:val="top"/>
          </w:tcPr>
          <w:p w14:paraId="4CA3C776">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7FDF6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886" w:type="dxa"/>
            <w:vAlign w:val="top"/>
          </w:tcPr>
          <w:p w14:paraId="7E776763">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521" w:type="dxa"/>
            <w:vAlign w:val="top"/>
          </w:tcPr>
          <w:p w14:paraId="788D8791">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454" w:type="dxa"/>
            <w:vAlign w:val="top"/>
          </w:tcPr>
          <w:p w14:paraId="523755F1">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338" w:type="dxa"/>
            <w:vAlign w:val="top"/>
          </w:tcPr>
          <w:p w14:paraId="76EFDCBF">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448" w:type="dxa"/>
            <w:vAlign w:val="top"/>
          </w:tcPr>
          <w:p w14:paraId="439BF273">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750" w:type="dxa"/>
            <w:vAlign w:val="top"/>
          </w:tcPr>
          <w:p w14:paraId="305340E1">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1E743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886" w:type="dxa"/>
            <w:vAlign w:val="top"/>
          </w:tcPr>
          <w:p w14:paraId="396F3EDE">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521" w:type="dxa"/>
            <w:vAlign w:val="top"/>
          </w:tcPr>
          <w:p w14:paraId="707546D2">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454" w:type="dxa"/>
            <w:vAlign w:val="top"/>
          </w:tcPr>
          <w:p w14:paraId="0E25E67A">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338" w:type="dxa"/>
            <w:vAlign w:val="top"/>
          </w:tcPr>
          <w:p w14:paraId="242B25D4">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448" w:type="dxa"/>
            <w:vAlign w:val="top"/>
          </w:tcPr>
          <w:p w14:paraId="4C2039F7">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750" w:type="dxa"/>
            <w:vAlign w:val="top"/>
          </w:tcPr>
          <w:p w14:paraId="461BC93F">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26A3E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886" w:type="dxa"/>
            <w:vAlign w:val="top"/>
          </w:tcPr>
          <w:p w14:paraId="735D0B8E">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521" w:type="dxa"/>
            <w:vAlign w:val="top"/>
          </w:tcPr>
          <w:p w14:paraId="21471E8F">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454" w:type="dxa"/>
            <w:vAlign w:val="top"/>
          </w:tcPr>
          <w:p w14:paraId="7B61CA38">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338" w:type="dxa"/>
            <w:vAlign w:val="top"/>
          </w:tcPr>
          <w:p w14:paraId="05FC4DBD">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448" w:type="dxa"/>
            <w:vAlign w:val="top"/>
          </w:tcPr>
          <w:p w14:paraId="78600642">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750" w:type="dxa"/>
            <w:vAlign w:val="top"/>
          </w:tcPr>
          <w:p w14:paraId="10D83886">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bl>
    <w:p w14:paraId="4AE7AA88">
      <w:pPr>
        <w:pStyle w:val="13"/>
        <w:shd w:val="clear" w:color="auto" w:fill="auto"/>
        <w:spacing w:line="240" w:lineRule="atLeast"/>
        <w:ind w:left="1084" w:leftChars="257" w:hanging="540"/>
        <w:rPr>
          <w:rFonts w:hint="eastAsia" w:ascii="宋体" w:hAnsi="宋体" w:eastAsia="宋体" w:cs="宋体"/>
          <w:color w:val="auto"/>
          <w:sz w:val="24"/>
          <w:highlight w:val="none"/>
        </w:rPr>
      </w:pPr>
    </w:p>
    <w:p w14:paraId="58AC0FA7">
      <w:pPr>
        <w:pStyle w:val="13"/>
        <w:shd w:val="clear" w:color="auto" w:fill="auto"/>
        <w:spacing w:line="240" w:lineRule="atLeast"/>
        <w:ind w:left="1084" w:leftChars="257" w:hanging="540"/>
        <w:rPr>
          <w:rFonts w:hint="eastAsia" w:ascii="宋体" w:hAnsi="宋体" w:eastAsia="宋体" w:cs="宋体"/>
          <w:color w:val="auto"/>
          <w:sz w:val="24"/>
          <w:highlight w:val="none"/>
          <w:lang w:eastAsia="zh-CN"/>
        </w:rPr>
      </w:pPr>
    </w:p>
    <w:p w14:paraId="1B52226F">
      <w:pPr>
        <w:pStyle w:val="13"/>
        <w:shd w:val="clear" w:color="auto" w:fill="auto"/>
        <w:spacing w:line="240" w:lineRule="atLeast"/>
        <w:ind w:left="1084"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法定代表人或其委托代理人签字或盖章: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rPr>
        <w:tab/>
      </w:r>
      <w:r>
        <w:rPr>
          <w:rFonts w:hint="eastAsia" w:ascii="宋体" w:hAnsi="宋体" w:eastAsia="宋体" w:cs="宋体"/>
          <w:color w:val="auto"/>
          <w:sz w:val="24"/>
          <w:highlight w:val="none"/>
          <w:u w:val="single"/>
        </w:rPr>
        <w:t xml:space="preserve">                 </w:t>
      </w:r>
    </w:p>
    <w:p w14:paraId="62281B6A">
      <w:pPr>
        <w:pStyle w:val="13"/>
        <w:shd w:val="clear" w:color="auto" w:fill="auto"/>
        <w:tabs>
          <w:tab w:val="left" w:pos="5370"/>
        </w:tabs>
        <w:spacing w:line="240" w:lineRule="atLeast"/>
        <w:ind w:left="1084" w:leftChars="257" w:hanging="54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投标人(盖单位章):</w:t>
      </w:r>
      <w:r>
        <w:rPr>
          <w:rFonts w:hint="eastAsia" w:ascii="宋体" w:hAnsi="宋体" w:eastAsia="宋体" w:cs="宋体"/>
          <w:color w:val="auto"/>
          <w:sz w:val="24"/>
          <w:highlight w:val="none"/>
          <w:u w:val="single"/>
        </w:rPr>
        <w:tab/>
      </w:r>
    </w:p>
    <w:p w14:paraId="57326751">
      <w:pPr>
        <w:pStyle w:val="13"/>
        <w:shd w:val="clear" w:color="auto" w:fill="auto"/>
        <w:tabs>
          <w:tab w:val="left" w:pos="5580"/>
        </w:tabs>
        <w:spacing w:line="240" w:lineRule="atLeast"/>
        <w:ind w:left="1084"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日期：          年    月      日</w:t>
      </w:r>
      <w:r>
        <w:rPr>
          <w:rFonts w:hint="eastAsia" w:ascii="宋体" w:hAnsi="宋体" w:eastAsia="宋体" w:cs="宋体"/>
          <w:color w:val="auto"/>
          <w:sz w:val="24"/>
          <w:highlight w:val="none"/>
          <w:u w:val="single"/>
        </w:rPr>
        <w:br w:type="page"/>
      </w:r>
    </w:p>
    <w:p w14:paraId="3E3B06EB">
      <w:pPr>
        <w:pStyle w:val="3"/>
        <w:numPr>
          <w:ilvl w:val="0"/>
          <w:numId w:val="0"/>
        </w:numPr>
        <w:shd w:val="clear" w:color="auto" w:fill="auto"/>
        <w:spacing w:before="0" w:line="240" w:lineRule="atLeast"/>
        <w:jc w:val="center"/>
        <w:rPr>
          <w:rFonts w:hint="eastAsia" w:ascii="宋体" w:hAnsi="宋体" w:eastAsia="宋体" w:cs="宋体"/>
          <w:b/>
          <w:bCs/>
          <w:color w:val="auto"/>
          <w:sz w:val="24"/>
          <w:highlight w:val="none"/>
        </w:rPr>
      </w:pPr>
      <w:bookmarkStart w:id="199" w:name="_Toc216582818"/>
      <w:bookmarkStart w:id="200" w:name="_Toc515647821"/>
      <w:bookmarkStart w:id="201" w:name="_Toc20836"/>
      <w:bookmarkStart w:id="202" w:name="_Toc23"/>
      <w:bookmarkStart w:id="203" w:name="_Toc1980"/>
      <w:bookmarkStart w:id="204" w:name="_Toc16459"/>
      <w:bookmarkStart w:id="205" w:name="_Toc21391"/>
      <w:r>
        <w:rPr>
          <w:rFonts w:hint="eastAsia" w:ascii="宋体" w:hAnsi="宋体" w:cs="宋体"/>
          <w:b/>
          <w:bCs/>
          <w:color w:val="auto"/>
          <w:sz w:val="24"/>
          <w:highlight w:val="none"/>
          <w:lang w:val="en-US" w:eastAsia="zh-CN"/>
        </w:rPr>
        <w:t>6</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商务条款偏离表</w:t>
      </w:r>
      <w:bookmarkEnd w:id="199"/>
      <w:r>
        <w:rPr>
          <w:rFonts w:hint="eastAsia" w:ascii="宋体" w:hAnsi="宋体" w:eastAsia="宋体" w:cs="宋体"/>
          <w:b/>
          <w:bCs/>
          <w:color w:val="auto"/>
          <w:sz w:val="24"/>
          <w:highlight w:val="none"/>
        </w:rPr>
        <w:t>（投标文件格式</w:t>
      </w:r>
      <w:r>
        <w:rPr>
          <w:rFonts w:hint="eastAsia" w:ascii="宋体" w:hAnsi="宋体" w:eastAsia="宋体" w:cs="宋体"/>
          <w:b/>
          <w:bCs/>
          <w:color w:val="auto"/>
          <w:sz w:val="24"/>
          <w:highlight w:val="none"/>
          <w:lang w:eastAsia="zh-CN"/>
        </w:rPr>
        <w:t>九</w:t>
      </w:r>
      <w:r>
        <w:rPr>
          <w:rFonts w:hint="eastAsia" w:ascii="宋体" w:hAnsi="宋体" w:eastAsia="宋体" w:cs="宋体"/>
          <w:b/>
          <w:bCs/>
          <w:color w:val="auto"/>
          <w:sz w:val="24"/>
          <w:highlight w:val="none"/>
        </w:rPr>
        <w:t>）</w:t>
      </w:r>
      <w:bookmarkEnd w:id="200"/>
      <w:bookmarkEnd w:id="201"/>
      <w:bookmarkEnd w:id="202"/>
      <w:bookmarkEnd w:id="203"/>
      <w:bookmarkEnd w:id="204"/>
      <w:bookmarkEnd w:id="205"/>
    </w:p>
    <w:p w14:paraId="318E065C">
      <w:pPr>
        <w:pStyle w:val="13"/>
        <w:shd w:val="clear" w:color="auto" w:fill="auto"/>
        <w:spacing w:line="240" w:lineRule="atLeast"/>
        <w:ind w:left="1084" w:leftChars="257" w:hanging="540"/>
        <w:rPr>
          <w:rFonts w:hint="eastAsia" w:ascii="宋体" w:hAnsi="宋体" w:eastAsia="宋体" w:cs="宋体"/>
          <w:color w:val="auto"/>
          <w:sz w:val="24"/>
          <w:highlight w:val="none"/>
        </w:rPr>
      </w:pPr>
    </w:p>
    <w:p w14:paraId="7E63774E">
      <w:pPr>
        <w:pStyle w:val="13"/>
        <w:shd w:val="clear" w:color="auto" w:fill="auto"/>
        <w:spacing w:line="240" w:lineRule="atLeast"/>
        <w:ind w:left="1084" w:leftChars="257" w:hanging="540"/>
        <w:rPr>
          <w:rFonts w:hint="eastAsia" w:ascii="宋体" w:hAnsi="宋体" w:eastAsia="宋体" w:cs="宋体"/>
          <w:color w:val="auto"/>
          <w:sz w:val="24"/>
          <w:highlight w:val="none"/>
        </w:rPr>
      </w:pPr>
    </w:p>
    <w:p w14:paraId="2E8972FB">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83" w:leftChars="257" w:hanging="53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项目名称: </w:t>
      </w:r>
    </w:p>
    <w:p w14:paraId="5B751E40">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83" w:leftChars="257" w:hanging="53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标项</w:t>
      </w:r>
      <w:r>
        <w:rPr>
          <w:rFonts w:hint="eastAsia" w:ascii="宋体" w:hAnsi="宋体" w:eastAsia="宋体" w:cs="宋体"/>
          <w:color w:val="auto"/>
          <w:sz w:val="21"/>
          <w:szCs w:val="21"/>
          <w:highlight w:val="none"/>
        </w:rPr>
        <w:t>名称:</w:t>
      </w:r>
    </w:p>
    <w:p w14:paraId="3BA99C99">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1083" w:leftChars="257" w:hanging="539"/>
        <w:textAlignment w:val="auto"/>
        <w:rPr>
          <w:rFonts w:hint="eastAsia" w:ascii="宋体" w:hAnsi="宋体" w:eastAsia="宋体" w:cs="宋体"/>
          <w:color w:val="auto"/>
          <w:sz w:val="22"/>
          <w:szCs w:val="18"/>
          <w:highlight w:val="none"/>
        </w:rPr>
      </w:pPr>
      <w:r>
        <w:rPr>
          <w:rFonts w:hint="eastAsia" w:ascii="宋体" w:hAnsi="宋体" w:eastAsia="宋体" w:cs="宋体"/>
          <w:color w:val="auto"/>
          <w:sz w:val="21"/>
          <w:szCs w:val="21"/>
          <w:highlight w:val="none"/>
        </w:rPr>
        <w:t xml:space="preserve">项目编号: </w:t>
      </w:r>
      <w:r>
        <w:rPr>
          <w:rFonts w:hint="eastAsia" w:hAnsi="宋体"/>
          <w:color w:val="auto"/>
          <w:sz w:val="24"/>
          <w:highlight w:val="none"/>
        </w:rPr>
        <w:t xml:space="preserve"> </w:t>
      </w:r>
      <w:r>
        <w:rPr>
          <w:rFonts w:hint="eastAsia" w:ascii="宋体" w:hAnsi="宋体" w:eastAsia="宋体" w:cs="宋体"/>
          <w:color w:val="auto"/>
          <w:sz w:val="22"/>
          <w:szCs w:val="18"/>
          <w:highlight w:val="none"/>
        </w:rPr>
        <w:t xml:space="preserve">     </w:t>
      </w:r>
    </w:p>
    <w:p w14:paraId="72E4599A">
      <w:pPr>
        <w:pStyle w:val="13"/>
        <w:shd w:val="clear" w:color="auto" w:fill="auto"/>
        <w:spacing w:line="240" w:lineRule="atLeast"/>
        <w:ind w:left="1084" w:leftChars="257" w:hanging="540"/>
        <w:rPr>
          <w:rFonts w:hint="eastAsia" w:ascii="宋体" w:hAnsi="宋体" w:eastAsia="宋体" w:cs="宋体"/>
          <w:color w:val="auto"/>
          <w:sz w:val="22"/>
          <w:szCs w:val="18"/>
          <w:highlight w:val="none"/>
        </w:rPr>
      </w:pPr>
    </w:p>
    <w:tbl>
      <w:tblPr>
        <w:tblStyle w:val="29"/>
        <w:tblW w:w="78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2882"/>
        <w:gridCol w:w="2882"/>
        <w:gridCol w:w="1029"/>
      </w:tblGrid>
      <w:tr w14:paraId="17E37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54ACFAB1">
            <w:pPr>
              <w:pStyle w:val="13"/>
              <w:shd w:val="clear" w:color="auto" w:fill="auto"/>
              <w:spacing w:line="240" w:lineRule="atLeast"/>
              <w:jc w:val="center"/>
              <w:rPr>
                <w:rFonts w:hint="eastAsia" w:ascii="宋体" w:hAnsi="宋体" w:eastAsia="宋体" w:cs="宋体"/>
                <w:color w:val="auto"/>
                <w:sz w:val="22"/>
                <w:szCs w:val="18"/>
                <w:highlight w:val="none"/>
                <w:lang w:val="en-US" w:eastAsia="zh-CN"/>
              </w:rPr>
            </w:pPr>
            <w:r>
              <w:rPr>
                <w:rFonts w:hint="eastAsia" w:ascii="宋体" w:hAnsi="宋体" w:eastAsia="宋体" w:cs="宋体"/>
                <w:color w:val="auto"/>
                <w:sz w:val="22"/>
                <w:szCs w:val="18"/>
                <w:highlight w:val="none"/>
                <w:lang w:val="en-US" w:eastAsia="zh-CN"/>
              </w:rPr>
              <w:t>序号</w:t>
            </w:r>
          </w:p>
        </w:tc>
        <w:tc>
          <w:tcPr>
            <w:tcW w:w="2882" w:type="dxa"/>
            <w:vAlign w:val="top"/>
          </w:tcPr>
          <w:p w14:paraId="3BB80D2F">
            <w:pPr>
              <w:pStyle w:val="13"/>
              <w:shd w:val="clear" w:color="auto" w:fill="auto"/>
              <w:spacing w:line="240" w:lineRule="atLeast"/>
              <w:jc w:val="center"/>
              <w:rPr>
                <w:rFonts w:hint="eastAsia" w:ascii="宋体" w:hAnsi="宋体" w:eastAsia="宋体" w:cs="宋体"/>
                <w:color w:val="auto"/>
                <w:sz w:val="22"/>
                <w:szCs w:val="18"/>
                <w:highlight w:val="none"/>
                <w:lang w:val="en-US" w:eastAsia="zh-CN"/>
              </w:rPr>
            </w:pPr>
            <w:r>
              <w:rPr>
                <w:rFonts w:hint="eastAsia" w:hAnsi="宋体" w:cs="宋体"/>
                <w:color w:val="auto"/>
                <w:sz w:val="22"/>
                <w:szCs w:val="18"/>
                <w:highlight w:val="none"/>
                <w:lang w:val="en-US" w:eastAsia="zh-CN"/>
              </w:rPr>
              <w:t>招标</w:t>
            </w:r>
            <w:r>
              <w:rPr>
                <w:rFonts w:hint="eastAsia" w:hAnsi="宋体" w:eastAsia="宋体" w:cs="宋体"/>
                <w:color w:val="auto"/>
                <w:sz w:val="22"/>
                <w:szCs w:val="18"/>
                <w:highlight w:val="none"/>
                <w:lang w:val="en-US" w:eastAsia="zh-CN"/>
              </w:rPr>
              <w:t>文件</w:t>
            </w:r>
            <w:r>
              <w:rPr>
                <w:rFonts w:hint="eastAsia" w:ascii="宋体" w:hAnsi="宋体" w:eastAsia="宋体" w:cs="宋体"/>
                <w:color w:val="auto"/>
                <w:sz w:val="22"/>
                <w:szCs w:val="18"/>
                <w:highlight w:val="none"/>
                <w:lang w:val="en-US" w:eastAsia="zh-CN"/>
              </w:rPr>
              <w:t>的商务条款</w:t>
            </w:r>
          </w:p>
        </w:tc>
        <w:tc>
          <w:tcPr>
            <w:tcW w:w="2882" w:type="dxa"/>
            <w:vAlign w:val="top"/>
          </w:tcPr>
          <w:p w14:paraId="7C08FD3C">
            <w:pPr>
              <w:pStyle w:val="13"/>
              <w:shd w:val="clear" w:color="auto" w:fill="auto"/>
              <w:spacing w:line="240" w:lineRule="atLeast"/>
              <w:jc w:val="center"/>
              <w:rPr>
                <w:rFonts w:hint="eastAsia" w:ascii="宋体" w:hAnsi="宋体" w:eastAsia="宋体" w:cs="宋体"/>
                <w:color w:val="auto"/>
                <w:sz w:val="22"/>
                <w:szCs w:val="18"/>
                <w:highlight w:val="none"/>
                <w:lang w:val="en-US" w:eastAsia="zh-CN"/>
              </w:rPr>
            </w:pPr>
            <w:r>
              <w:rPr>
                <w:rFonts w:hint="eastAsia" w:ascii="宋体" w:hAnsi="宋体" w:eastAsia="宋体" w:cs="宋体"/>
                <w:color w:val="auto"/>
                <w:sz w:val="22"/>
                <w:szCs w:val="18"/>
                <w:highlight w:val="none"/>
                <w:lang w:val="en-US" w:eastAsia="zh-CN"/>
              </w:rPr>
              <w:t>投标文件的商务条款</w:t>
            </w:r>
          </w:p>
        </w:tc>
        <w:tc>
          <w:tcPr>
            <w:tcW w:w="1029" w:type="dxa"/>
            <w:vAlign w:val="top"/>
          </w:tcPr>
          <w:p w14:paraId="5BDC172F">
            <w:pPr>
              <w:pStyle w:val="13"/>
              <w:shd w:val="clear" w:color="auto" w:fill="auto"/>
              <w:spacing w:line="240" w:lineRule="atLeast"/>
              <w:jc w:val="center"/>
              <w:rPr>
                <w:rFonts w:hint="eastAsia" w:ascii="宋体" w:hAnsi="宋体" w:eastAsia="宋体" w:cs="宋体"/>
                <w:color w:val="auto"/>
                <w:sz w:val="22"/>
                <w:szCs w:val="18"/>
                <w:highlight w:val="none"/>
                <w:lang w:val="en-US" w:eastAsia="zh-CN"/>
              </w:rPr>
            </w:pPr>
            <w:r>
              <w:rPr>
                <w:rFonts w:hint="eastAsia" w:ascii="宋体" w:hAnsi="宋体" w:eastAsia="宋体" w:cs="宋体"/>
                <w:color w:val="auto"/>
                <w:sz w:val="22"/>
                <w:szCs w:val="18"/>
                <w:highlight w:val="none"/>
                <w:lang w:val="en-US" w:eastAsia="zh-CN"/>
              </w:rPr>
              <w:t>说明</w:t>
            </w:r>
          </w:p>
        </w:tc>
      </w:tr>
      <w:tr w14:paraId="54818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33A04E19">
            <w:pPr>
              <w:pStyle w:val="13"/>
              <w:shd w:val="clear" w:color="auto" w:fill="auto"/>
              <w:spacing w:line="240" w:lineRule="atLeast"/>
              <w:ind w:left="1084" w:leftChars="257" w:hanging="540"/>
              <w:rPr>
                <w:rFonts w:hint="eastAsia" w:ascii="宋体" w:hAnsi="宋体" w:eastAsia="宋体" w:cs="宋体"/>
                <w:color w:val="auto"/>
                <w:sz w:val="22"/>
                <w:szCs w:val="18"/>
                <w:highlight w:val="none"/>
                <w:lang w:val="en-US" w:eastAsia="zh-CN"/>
              </w:rPr>
            </w:pPr>
          </w:p>
        </w:tc>
        <w:tc>
          <w:tcPr>
            <w:tcW w:w="2882" w:type="dxa"/>
            <w:vAlign w:val="top"/>
          </w:tcPr>
          <w:p w14:paraId="24E6F3C6">
            <w:pPr>
              <w:pStyle w:val="13"/>
              <w:shd w:val="clear" w:color="auto" w:fill="auto"/>
              <w:spacing w:line="240" w:lineRule="atLeast"/>
              <w:ind w:left="1084" w:leftChars="257" w:hanging="540"/>
              <w:jc w:val="center"/>
              <w:rPr>
                <w:rFonts w:hint="eastAsia" w:ascii="宋体" w:hAnsi="宋体" w:eastAsia="宋体" w:cs="宋体"/>
                <w:color w:val="auto"/>
                <w:sz w:val="22"/>
                <w:szCs w:val="18"/>
                <w:highlight w:val="none"/>
                <w:lang w:val="en-US" w:eastAsia="zh-CN"/>
              </w:rPr>
            </w:pPr>
          </w:p>
        </w:tc>
        <w:tc>
          <w:tcPr>
            <w:tcW w:w="2882" w:type="dxa"/>
            <w:vAlign w:val="top"/>
          </w:tcPr>
          <w:p w14:paraId="662DF15E">
            <w:pPr>
              <w:pStyle w:val="13"/>
              <w:shd w:val="clear" w:color="auto" w:fill="auto"/>
              <w:spacing w:line="240" w:lineRule="atLeast"/>
              <w:ind w:left="1084" w:leftChars="257" w:hanging="540"/>
              <w:jc w:val="center"/>
              <w:rPr>
                <w:rFonts w:hint="eastAsia" w:ascii="宋体" w:hAnsi="宋体" w:eastAsia="宋体" w:cs="宋体"/>
                <w:color w:val="auto"/>
                <w:sz w:val="22"/>
                <w:szCs w:val="18"/>
                <w:highlight w:val="none"/>
                <w:lang w:val="en-US" w:eastAsia="zh-CN"/>
              </w:rPr>
            </w:pPr>
          </w:p>
        </w:tc>
        <w:tc>
          <w:tcPr>
            <w:tcW w:w="1029" w:type="dxa"/>
            <w:vAlign w:val="top"/>
          </w:tcPr>
          <w:p w14:paraId="0B482111">
            <w:pPr>
              <w:pStyle w:val="13"/>
              <w:shd w:val="clear" w:color="auto" w:fill="auto"/>
              <w:spacing w:line="240" w:lineRule="atLeast"/>
              <w:ind w:left="1084" w:leftChars="257" w:hanging="540"/>
              <w:rPr>
                <w:rFonts w:hint="eastAsia" w:ascii="宋体" w:hAnsi="宋体" w:eastAsia="宋体" w:cs="宋体"/>
                <w:color w:val="auto"/>
                <w:sz w:val="22"/>
                <w:szCs w:val="18"/>
                <w:highlight w:val="none"/>
                <w:lang w:val="en-US" w:eastAsia="zh-CN"/>
              </w:rPr>
            </w:pPr>
          </w:p>
        </w:tc>
      </w:tr>
      <w:tr w14:paraId="351F0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3F255474">
            <w:pPr>
              <w:pStyle w:val="13"/>
              <w:shd w:val="clear" w:color="auto" w:fill="auto"/>
              <w:spacing w:line="240" w:lineRule="atLeast"/>
              <w:ind w:left="1084" w:leftChars="257" w:hanging="540"/>
              <w:rPr>
                <w:rFonts w:hint="eastAsia" w:ascii="宋体" w:hAnsi="宋体" w:eastAsia="宋体" w:cs="宋体"/>
                <w:color w:val="auto"/>
                <w:sz w:val="22"/>
                <w:szCs w:val="18"/>
                <w:highlight w:val="none"/>
                <w:lang w:val="en-US" w:eastAsia="zh-CN"/>
              </w:rPr>
            </w:pPr>
          </w:p>
        </w:tc>
        <w:tc>
          <w:tcPr>
            <w:tcW w:w="2882" w:type="dxa"/>
            <w:vAlign w:val="top"/>
          </w:tcPr>
          <w:p w14:paraId="13C02164">
            <w:pPr>
              <w:pStyle w:val="13"/>
              <w:shd w:val="clear" w:color="auto" w:fill="auto"/>
              <w:spacing w:line="240" w:lineRule="atLeast"/>
              <w:ind w:left="1084" w:leftChars="257" w:hanging="540"/>
              <w:rPr>
                <w:rFonts w:hint="eastAsia" w:ascii="宋体" w:hAnsi="宋体" w:eastAsia="宋体" w:cs="宋体"/>
                <w:color w:val="auto"/>
                <w:sz w:val="22"/>
                <w:szCs w:val="18"/>
                <w:highlight w:val="none"/>
                <w:lang w:val="en-US" w:eastAsia="zh-CN"/>
              </w:rPr>
            </w:pPr>
          </w:p>
        </w:tc>
        <w:tc>
          <w:tcPr>
            <w:tcW w:w="2882" w:type="dxa"/>
            <w:vAlign w:val="top"/>
          </w:tcPr>
          <w:p w14:paraId="75CA6B60">
            <w:pPr>
              <w:pStyle w:val="13"/>
              <w:shd w:val="clear" w:color="auto" w:fill="auto"/>
              <w:spacing w:line="240" w:lineRule="atLeast"/>
              <w:ind w:left="1084" w:leftChars="257" w:hanging="540"/>
              <w:rPr>
                <w:rFonts w:hint="eastAsia" w:ascii="宋体" w:hAnsi="宋体" w:eastAsia="宋体" w:cs="宋体"/>
                <w:color w:val="auto"/>
                <w:sz w:val="22"/>
                <w:szCs w:val="18"/>
                <w:highlight w:val="none"/>
                <w:lang w:val="en-US" w:eastAsia="zh-CN"/>
              </w:rPr>
            </w:pPr>
          </w:p>
        </w:tc>
        <w:tc>
          <w:tcPr>
            <w:tcW w:w="1029" w:type="dxa"/>
            <w:vAlign w:val="top"/>
          </w:tcPr>
          <w:p w14:paraId="6F2C6890">
            <w:pPr>
              <w:pStyle w:val="13"/>
              <w:shd w:val="clear" w:color="auto" w:fill="auto"/>
              <w:spacing w:line="240" w:lineRule="atLeast"/>
              <w:ind w:left="1084" w:leftChars="257" w:hanging="540"/>
              <w:rPr>
                <w:rFonts w:hint="eastAsia" w:ascii="宋体" w:hAnsi="宋体" w:eastAsia="宋体" w:cs="宋体"/>
                <w:color w:val="auto"/>
                <w:sz w:val="22"/>
                <w:szCs w:val="18"/>
                <w:highlight w:val="none"/>
                <w:lang w:val="en-US" w:eastAsia="zh-CN"/>
              </w:rPr>
            </w:pPr>
          </w:p>
        </w:tc>
      </w:tr>
      <w:tr w14:paraId="4461C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43B35845">
            <w:pPr>
              <w:pStyle w:val="13"/>
              <w:shd w:val="clear" w:color="auto" w:fill="auto"/>
              <w:spacing w:line="240" w:lineRule="atLeast"/>
              <w:ind w:left="1084" w:leftChars="257" w:hanging="540"/>
              <w:rPr>
                <w:rFonts w:hint="eastAsia" w:ascii="宋体" w:hAnsi="宋体" w:eastAsia="宋体" w:cs="宋体"/>
                <w:color w:val="auto"/>
                <w:sz w:val="22"/>
                <w:szCs w:val="18"/>
                <w:highlight w:val="none"/>
                <w:lang w:val="en-US" w:eastAsia="zh-CN"/>
              </w:rPr>
            </w:pPr>
          </w:p>
        </w:tc>
        <w:tc>
          <w:tcPr>
            <w:tcW w:w="2882" w:type="dxa"/>
            <w:vAlign w:val="top"/>
          </w:tcPr>
          <w:p w14:paraId="40886D18">
            <w:pPr>
              <w:pStyle w:val="13"/>
              <w:shd w:val="clear" w:color="auto" w:fill="auto"/>
              <w:spacing w:line="240" w:lineRule="atLeast"/>
              <w:ind w:left="1084" w:leftChars="257" w:hanging="540"/>
              <w:rPr>
                <w:rFonts w:hint="eastAsia" w:ascii="宋体" w:hAnsi="宋体" w:eastAsia="宋体" w:cs="宋体"/>
                <w:color w:val="auto"/>
                <w:sz w:val="22"/>
                <w:szCs w:val="18"/>
                <w:highlight w:val="none"/>
                <w:lang w:val="en-US" w:eastAsia="zh-CN"/>
              </w:rPr>
            </w:pPr>
          </w:p>
        </w:tc>
        <w:tc>
          <w:tcPr>
            <w:tcW w:w="2882" w:type="dxa"/>
            <w:vAlign w:val="top"/>
          </w:tcPr>
          <w:p w14:paraId="5D1C13A6">
            <w:pPr>
              <w:pStyle w:val="13"/>
              <w:shd w:val="clear" w:color="auto" w:fill="auto"/>
              <w:spacing w:line="240" w:lineRule="atLeast"/>
              <w:ind w:left="1084" w:leftChars="257" w:hanging="540"/>
              <w:rPr>
                <w:rFonts w:hint="eastAsia" w:ascii="宋体" w:hAnsi="宋体" w:eastAsia="宋体" w:cs="宋体"/>
                <w:color w:val="auto"/>
                <w:sz w:val="22"/>
                <w:szCs w:val="18"/>
                <w:highlight w:val="none"/>
                <w:lang w:val="en-US" w:eastAsia="zh-CN"/>
              </w:rPr>
            </w:pPr>
          </w:p>
        </w:tc>
        <w:tc>
          <w:tcPr>
            <w:tcW w:w="1029" w:type="dxa"/>
            <w:vAlign w:val="top"/>
          </w:tcPr>
          <w:p w14:paraId="6E366AE1">
            <w:pPr>
              <w:pStyle w:val="13"/>
              <w:shd w:val="clear" w:color="auto" w:fill="auto"/>
              <w:spacing w:line="240" w:lineRule="atLeast"/>
              <w:ind w:left="1084" w:leftChars="257" w:hanging="540"/>
              <w:rPr>
                <w:rFonts w:hint="eastAsia" w:ascii="宋体" w:hAnsi="宋体" w:eastAsia="宋体" w:cs="宋体"/>
                <w:color w:val="auto"/>
                <w:sz w:val="22"/>
                <w:szCs w:val="18"/>
                <w:highlight w:val="none"/>
                <w:lang w:val="en-US" w:eastAsia="zh-CN"/>
              </w:rPr>
            </w:pPr>
          </w:p>
        </w:tc>
      </w:tr>
      <w:tr w14:paraId="56A64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23F17358">
            <w:pPr>
              <w:pStyle w:val="13"/>
              <w:shd w:val="clear" w:color="auto" w:fill="auto"/>
              <w:spacing w:line="240" w:lineRule="atLeast"/>
              <w:ind w:left="1084" w:leftChars="257" w:hanging="540"/>
              <w:rPr>
                <w:rFonts w:hint="eastAsia" w:ascii="宋体" w:hAnsi="宋体" w:eastAsia="宋体" w:cs="宋体"/>
                <w:color w:val="auto"/>
                <w:sz w:val="22"/>
                <w:szCs w:val="18"/>
                <w:highlight w:val="none"/>
                <w:lang w:val="en-US" w:eastAsia="zh-CN"/>
              </w:rPr>
            </w:pPr>
          </w:p>
        </w:tc>
        <w:tc>
          <w:tcPr>
            <w:tcW w:w="2882" w:type="dxa"/>
            <w:vAlign w:val="top"/>
          </w:tcPr>
          <w:p w14:paraId="1DE9C7B0">
            <w:pPr>
              <w:pStyle w:val="13"/>
              <w:shd w:val="clear" w:color="auto" w:fill="auto"/>
              <w:spacing w:line="240" w:lineRule="atLeast"/>
              <w:ind w:left="1084" w:leftChars="257" w:hanging="540"/>
              <w:rPr>
                <w:rFonts w:hint="eastAsia" w:ascii="宋体" w:hAnsi="宋体" w:eastAsia="宋体" w:cs="宋体"/>
                <w:color w:val="auto"/>
                <w:sz w:val="22"/>
                <w:szCs w:val="18"/>
                <w:highlight w:val="none"/>
                <w:lang w:val="en-US" w:eastAsia="zh-CN"/>
              </w:rPr>
            </w:pPr>
          </w:p>
        </w:tc>
        <w:tc>
          <w:tcPr>
            <w:tcW w:w="2882" w:type="dxa"/>
            <w:vAlign w:val="top"/>
          </w:tcPr>
          <w:p w14:paraId="3860F95C">
            <w:pPr>
              <w:pStyle w:val="13"/>
              <w:shd w:val="clear" w:color="auto" w:fill="auto"/>
              <w:spacing w:line="240" w:lineRule="atLeast"/>
              <w:ind w:left="1084" w:leftChars="257" w:hanging="540"/>
              <w:rPr>
                <w:rFonts w:hint="eastAsia" w:ascii="宋体" w:hAnsi="宋体" w:eastAsia="宋体" w:cs="宋体"/>
                <w:color w:val="auto"/>
                <w:sz w:val="22"/>
                <w:szCs w:val="18"/>
                <w:highlight w:val="none"/>
                <w:lang w:val="en-US" w:eastAsia="zh-CN"/>
              </w:rPr>
            </w:pPr>
          </w:p>
        </w:tc>
        <w:tc>
          <w:tcPr>
            <w:tcW w:w="1029" w:type="dxa"/>
            <w:vAlign w:val="top"/>
          </w:tcPr>
          <w:p w14:paraId="24763D31">
            <w:pPr>
              <w:pStyle w:val="13"/>
              <w:shd w:val="clear" w:color="auto" w:fill="auto"/>
              <w:spacing w:line="240" w:lineRule="atLeast"/>
              <w:ind w:left="1084" w:leftChars="257" w:hanging="540"/>
              <w:rPr>
                <w:rFonts w:hint="eastAsia" w:ascii="宋体" w:hAnsi="宋体" w:eastAsia="宋体" w:cs="宋体"/>
                <w:color w:val="auto"/>
                <w:sz w:val="22"/>
                <w:szCs w:val="18"/>
                <w:highlight w:val="none"/>
                <w:lang w:val="en-US" w:eastAsia="zh-CN"/>
              </w:rPr>
            </w:pPr>
          </w:p>
        </w:tc>
      </w:tr>
      <w:tr w14:paraId="5994C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5947D0CC">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5EFF6258">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72DDEBF4">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029" w:type="dxa"/>
            <w:vAlign w:val="top"/>
          </w:tcPr>
          <w:p w14:paraId="594E9D5A">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4D411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71C9FE10">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71C93B6A">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467392BE">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029" w:type="dxa"/>
            <w:vAlign w:val="top"/>
          </w:tcPr>
          <w:p w14:paraId="244344FE">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242A9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6EF893C1">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1F9B57E7">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086FA7CC">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029" w:type="dxa"/>
            <w:vAlign w:val="top"/>
          </w:tcPr>
          <w:p w14:paraId="17F69109">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617E3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72524D5E">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23EA54CD">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31E60A13">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029" w:type="dxa"/>
            <w:vAlign w:val="top"/>
          </w:tcPr>
          <w:p w14:paraId="456A1B33">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211CD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51FD3F51">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6B6F79F0">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7CB11AEA">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029" w:type="dxa"/>
            <w:vAlign w:val="top"/>
          </w:tcPr>
          <w:p w14:paraId="2BA291B8">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46F19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768E9B37">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5158CF06">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0C040B51">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029" w:type="dxa"/>
            <w:vAlign w:val="top"/>
          </w:tcPr>
          <w:p w14:paraId="3A4478CC">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4C345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09AA2599">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3CC9D192">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3D4677C0">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029" w:type="dxa"/>
            <w:vAlign w:val="top"/>
          </w:tcPr>
          <w:p w14:paraId="4AA3CF6F">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28C9C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65D13364">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65B60480">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03D0ECDD">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029" w:type="dxa"/>
            <w:vAlign w:val="top"/>
          </w:tcPr>
          <w:p w14:paraId="1187B2DE">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76710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38BA9DFF">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371CA39A">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7E288910">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029" w:type="dxa"/>
            <w:vAlign w:val="top"/>
          </w:tcPr>
          <w:p w14:paraId="170B903F">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35800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1620C632">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1F8515DE">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4C0646DE">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029" w:type="dxa"/>
            <w:vAlign w:val="top"/>
          </w:tcPr>
          <w:p w14:paraId="03846659">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r w14:paraId="0D592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84" w:type="dxa"/>
            <w:vAlign w:val="top"/>
          </w:tcPr>
          <w:p w14:paraId="22AD2643">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0AF14B5D">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2882" w:type="dxa"/>
            <w:vAlign w:val="top"/>
          </w:tcPr>
          <w:p w14:paraId="7EA04156">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c>
          <w:tcPr>
            <w:tcW w:w="1029" w:type="dxa"/>
            <w:vAlign w:val="top"/>
          </w:tcPr>
          <w:p w14:paraId="439E2B42">
            <w:pPr>
              <w:pStyle w:val="13"/>
              <w:shd w:val="clear" w:color="auto" w:fill="auto"/>
              <w:spacing w:line="240" w:lineRule="atLeast"/>
              <w:ind w:left="1084" w:leftChars="257" w:hanging="540"/>
              <w:rPr>
                <w:rFonts w:hint="eastAsia" w:ascii="宋体" w:hAnsi="宋体" w:eastAsia="宋体" w:cs="宋体"/>
                <w:color w:val="auto"/>
                <w:sz w:val="24"/>
                <w:highlight w:val="none"/>
                <w:lang w:val="en-US" w:eastAsia="zh-CN"/>
              </w:rPr>
            </w:pPr>
          </w:p>
        </w:tc>
      </w:tr>
    </w:tbl>
    <w:p w14:paraId="5E913BA7">
      <w:pPr>
        <w:pStyle w:val="13"/>
        <w:shd w:val="clear" w:color="auto" w:fill="auto"/>
        <w:spacing w:line="240" w:lineRule="atLeast"/>
        <w:ind w:left="1084" w:leftChars="257" w:hanging="540"/>
        <w:rPr>
          <w:rFonts w:hint="eastAsia" w:ascii="宋体" w:hAnsi="宋体" w:eastAsia="宋体" w:cs="宋体"/>
          <w:color w:val="auto"/>
          <w:sz w:val="24"/>
          <w:highlight w:val="none"/>
        </w:rPr>
      </w:pPr>
    </w:p>
    <w:p w14:paraId="2F7C6AD2">
      <w:pPr>
        <w:pStyle w:val="13"/>
        <w:shd w:val="clear" w:color="auto" w:fill="auto"/>
        <w:spacing w:line="240" w:lineRule="atLeast"/>
        <w:ind w:left="1084" w:leftChars="257" w:hanging="540"/>
        <w:rPr>
          <w:rFonts w:hint="eastAsia" w:ascii="宋体" w:hAnsi="宋体" w:eastAsia="宋体" w:cs="宋体"/>
          <w:color w:val="auto"/>
          <w:sz w:val="24"/>
          <w:highlight w:val="none"/>
        </w:rPr>
      </w:pPr>
    </w:p>
    <w:p w14:paraId="0B831E44">
      <w:pPr>
        <w:pStyle w:val="13"/>
        <w:shd w:val="clear" w:color="auto" w:fill="auto"/>
        <w:spacing w:line="240" w:lineRule="atLeast"/>
        <w:ind w:left="1084" w:leftChars="257" w:hanging="540"/>
        <w:rPr>
          <w:rFonts w:hint="eastAsia" w:ascii="宋体" w:hAnsi="宋体" w:eastAsia="宋体" w:cs="宋体"/>
          <w:color w:val="auto"/>
          <w:sz w:val="22"/>
          <w:szCs w:val="18"/>
          <w:highlight w:val="none"/>
        </w:rPr>
      </w:pPr>
      <w:r>
        <w:rPr>
          <w:rFonts w:hint="eastAsia" w:ascii="宋体" w:hAnsi="宋体" w:eastAsia="宋体" w:cs="宋体"/>
          <w:color w:val="auto"/>
          <w:sz w:val="22"/>
          <w:szCs w:val="18"/>
          <w:highlight w:val="none"/>
        </w:rPr>
        <w:t>法定代表人或其委托代理人签字或盖章:</w:t>
      </w:r>
      <w:r>
        <w:rPr>
          <w:rFonts w:hint="eastAsia" w:ascii="宋体" w:hAnsi="宋体" w:eastAsia="宋体" w:cs="宋体"/>
          <w:color w:val="auto"/>
          <w:sz w:val="22"/>
          <w:szCs w:val="18"/>
          <w:highlight w:val="none"/>
          <w:u w:val="single"/>
        </w:rPr>
        <w:t xml:space="preserve"> </w:t>
      </w:r>
      <w:r>
        <w:rPr>
          <w:rFonts w:hint="eastAsia" w:ascii="宋体" w:hAnsi="宋体" w:eastAsia="宋体" w:cs="宋体"/>
          <w:color w:val="auto"/>
          <w:sz w:val="22"/>
          <w:szCs w:val="18"/>
          <w:highlight w:val="none"/>
          <w:u w:val="single"/>
        </w:rPr>
        <w:tab/>
      </w:r>
      <w:r>
        <w:rPr>
          <w:rFonts w:hint="eastAsia" w:ascii="宋体" w:hAnsi="宋体" w:eastAsia="宋体" w:cs="宋体"/>
          <w:color w:val="auto"/>
          <w:sz w:val="22"/>
          <w:szCs w:val="18"/>
          <w:highlight w:val="none"/>
          <w:u w:val="single"/>
        </w:rPr>
        <w:t xml:space="preserve">                 </w:t>
      </w:r>
    </w:p>
    <w:p w14:paraId="365CFA44">
      <w:pPr>
        <w:pStyle w:val="13"/>
        <w:shd w:val="clear" w:color="auto" w:fill="auto"/>
        <w:tabs>
          <w:tab w:val="left" w:pos="5370"/>
        </w:tabs>
        <w:spacing w:line="240" w:lineRule="atLeast"/>
        <w:ind w:left="1084" w:leftChars="257" w:hanging="540"/>
        <w:rPr>
          <w:rFonts w:hint="eastAsia" w:ascii="宋体" w:hAnsi="宋体" w:eastAsia="宋体" w:cs="宋体"/>
          <w:color w:val="auto"/>
          <w:sz w:val="22"/>
          <w:szCs w:val="18"/>
          <w:highlight w:val="none"/>
          <w:u w:val="single"/>
        </w:rPr>
      </w:pPr>
      <w:r>
        <w:rPr>
          <w:rFonts w:hint="eastAsia" w:ascii="宋体" w:hAnsi="宋体" w:eastAsia="宋体" w:cs="宋体"/>
          <w:color w:val="auto"/>
          <w:sz w:val="22"/>
          <w:szCs w:val="18"/>
          <w:highlight w:val="none"/>
        </w:rPr>
        <w:t>投标人(盖单位章):</w:t>
      </w:r>
      <w:r>
        <w:rPr>
          <w:rFonts w:hint="eastAsia" w:ascii="宋体" w:hAnsi="宋体" w:eastAsia="宋体" w:cs="宋体"/>
          <w:color w:val="auto"/>
          <w:sz w:val="22"/>
          <w:szCs w:val="18"/>
          <w:highlight w:val="none"/>
          <w:u w:val="single"/>
        </w:rPr>
        <w:tab/>
      </w:r>
    </w:p>
    <w:p w14:paraId="0899D48B">
      <w:pPr>
        <w:pStyle w:val="83"/>
        <w:keepNext w:val="0"/>
        <w:keepLines w:val="0"/>
        <w:widowControl w:val="0"/>
        <w:shd w:val="clear" w:color="auto" w:fill="auto"/>
        <w:bidi w:val="0"/>
        <w:spacing w:before="0" w:after="0" w:line="240" w:lineRule="auto"/>
        <w:ind w:left="0" w:right="0" w:firstLine="420"/>
        <w:jc w:val="center"/>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206" w:name="_Toc515647823"/>
      <w:bookmarkStart w:id="207" w:name="_Toc2963"/>
      <w:bookmarkStart w:id="208" w:name="_Toc10725"/>
      <w:bookmarkStart w:id="209" w:name="_Toc21312"/>
      <w:bookmarkStart w:id="210" w:name="_Toc30795"/>
      <w:bookmarkStart w:id="211" w:name="_Toc515647827"/>
      <w:bookmarkStart w:id="212" w:name="_Toc28099"/>
    </w:p>
    <w:p w14:paraId="5388D50D">
      <w:pPr>
        <w:pStyle w:val="83"/>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b/>
          <w:bCs/>
          <w:color w:val="auto"/>
          <w:spacing w:val="0"/>
          <w:w w:val="100"/>
          <w:position w:val="0"/>
          <w:sz w:val="36"/>
          <w:szCs w:val="36"/>
          <w:highlight w:val="none"/>
          <w:lang w:val="en-US" w:eastAsia="zh-CN"/>
        </w:rPr>
      </w:pPr>
      <w:r>
        <w:rPr>
          <w:rFonts w:hint="eastAsia" w:cs="宋体"/>
          <w:b/>
          <w:bCs/>
          <w:color w:val="auto"/>
          <w:spacing w:val="0"/>
          <w:w w:val="100"/>
          <w:position w:val="0"/>
          <w:sz w:val="24"/>
          <w:szCs w:val="24"/>
          <w:highlight w:val="none"/>
          <w:lang w:val="en-US" w:eastAsia="zh-CN"/>
        </w:rPr>
        <w:t>7</w:t>
      </w:r>
      <w:r>
        <w:rPr>
          <w:rFonts w:hint="eastAsia" w:ascii="宋体" w:hAnsi="宋体" w:eastAsia="宋体" w:cs="宋体"/>
          <w:b/>
          <w:bCs/>
          <w:color w:val="auto"/>
          <w:spacing w:val="0"/>
          <w:w w:val="100"/>
          <w:position w:val="0"/>
          <w:sz w:val="24"/>
          <w:szCs w:val="24"/>
          <w:highlight w:val="none"/>
          <w:lang w:val="en-US" w:eastAsia="zh-CN"/>
        </w:rPr>
        <w:t>、投标人基本情况表</w:t>
      </w:r>
    </w:p>
    <w:p w14:paraId="7551A10D">
      <w:pPr>
        <w:pStyle w:val="10"/>
        <w:numPr>
          <w:ilvl w:val="0"/>
          <w:numId w:val="0"/>
        </w:numPr>
        <w:kinsoku w:val="0"/>
        <w:overflowPunct w:val="0"/>
        <w:spacing w:before="5"/>
        <w:ind w:leftChars="0" w:right="0" w:rightChars="0"/>
        <w:rPr>
          <w:rFonts w:hint="eastAsia" w:ascii="仿宋" w:hAnsi="仿宋" w:eastAsia="仿宋" w:cs="仿宋"/>
          <w:b/>
          <w:bCs/>
          <w:color w:val="auto"/>
          <w:sz w:val="6"/>
          <w:szCs w:val="6"/>
          <w:highlight w:val="none"/>
        </w:rPr>
      </w:pPr>
    </w:p>
    <w:tbl>
      <w:tblPr>
        <w:tblStyle w:val="29"/>
        <w:tblW w:w="8639" w:type="dxa"/>
        <w:jc w:val="center"/>
        <w:tblLayout w:type="fixed"/>
        <w:tblCellMar>
          <w:top w:w="0" w:type="dxa"/>
          <w:left w:w="0" w:type="dxa"/>
          <w:bottom w:w="0" w:type="dxa"/>
          <w:right w:w="0" w:type="dxa"/>
        </w:tblCellMar>
      </w:tblPr>
      <w:tblGrid>
        <w:gridCol w:w="1231"/>
        <w:gridCol w:w="1432"/>
        <w:gridCol w:w="842"/>
        <w:gridCol w:w="488"/>
        <w:gridCol w:w="1331"/>
        <w:gridCol w:w="455"/>
        <w:gridCol w:w="910"/>
        <w:gridCol w:w="1950"/>
      </w:tblGrid>
      <w:tr w14:paraId="6CAD7307">
        <w:tblPrEx>
          <w:tblCellMar>
            <w:top w:w="0" w:type="dxa"/>
            <w:left w:w="0" w:type="dxa"/>
            <w:bottom w:w="0" w:type="dxa"/>
            <w:right w:w="0" w:type="dxa"/>
          </w:tblCellMar>
        </w:tblPrEx>
        <w:trPr>
          <w:trHeight w:val="852" w:hRule="exact"/>
          <w:jc w:val="center"/>
        </w:trPr>
        <w:tc>
          <w:tcPr>
            <w:tcW w:w="1231" w:type="dxa"/>
            <w:tcBorders>
              <w:top w:val="single" w:color="000000" w:sz="4" w:space="0"/>
              <w:left w:val="single" w:color="000000" w:sz="4" w:space="0"/>
              <w:bottom w:val="single" w:color="000000" w:sz="4" w:space="0"/>
              <w:right w:val="single" w:color="000000" w:sz="4" w:space="0"/>
            </w:tcBorders>
            <w:vAlign w:val="top"/>
          </w:tcPr>
          <w:p w14:paraId="675E3901">
            <w:pPr>
              <w:pStyle w:val="58"/>
              <w:kinsoku w:val="0"/>
              <w:overflowPunct w:val="0"/>
              <w:spacing w:before="145"/>
              <w:ind w:left="13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单位名称</w:t>
            </w:r>
          </w:p>
        </w:tc>
        <w:tc>
          <w:tcPr>
            <w:tcW w:w="7408" w:type="dxa"/>
            <w:gridSpan w:val="7"/>
            <w:tcBorders>
              <w:top w:val="single" w:color="000000" w:sz="4" w:space="0"/>
              <w:left w:val="single" w:color="000000" w:sz="4" w:space="0"/>
              <w:bottom w:val="single" w:color="000000" w:sz="4" w:space="0"/>
              <w:right w:val="single" w:color="000000" w:sz="4" w:space="0"/>
            </w:tcBorders>
            <w:vAlign w:val="top"/>
          </w:tcPr>
          <w:p w14:paraId="18801380">
            <w:pPr>
              <w:rPr>
                <w:rFonts w:hint="eastAsia" w:ascii="宋体" w:hAnsi="宋体" w:eastAsia="宋体" w:cs="宋体"/>
                <w:color w:val="auto"/>
                <w:sz w:val="21"/>
                <w:szCs w:val="21"/>
                <w:highlight w:val="none"/>
              </w:rPr>
            </w:pPr>
          </w:p>
        </w:tc>
      </w:tr>
      <w:tr w14:paraId="1E233514">
        <w:tblPrEx>
          <w:tblCellMar>
            <w:top w:w="0" w:type="dxa"/>
            <w:left w:w="0" w:type="dxa"/>
            <w:bottom w:w="0" w:type="dxa"/>
            <w:right w:w="0" w:type="dxa"/>
          </w:tblCellMar>
        </w:tblPrEx>
        <w:trPr>
          <w:trHeight w:val="852" w:hRule="exact"/>
          <w:jc w:val="center"/>
        </w:trPr>
        <w:tc>
          <w:tcPr>
            <w:tcW w:w="1231" w:type="dxa"/>
            <w:tcBorders>
              <w:top w:val="single" w:color="000000" w:sz="4" w:space="0"/>
              <w:left w:val="single" w:color="000000" w:sz="4" w:space="0"/>
              <w:bottom w:val="single" w:color="000000" w:sz="4" w:space="0"/>
              <w:right w:val="single" w:color="000000" w:sz="4" w:space="0"/>
            </w:tcBorders>
            <w:vAlign w:val="top"/>
          </w:tcPr>
          <w:p w14:paraId="1FFF076A">
            <w:pPr>
              <w:pStyle w:val="58"/>
              <w:kinsoku w:val="0"/>
              <w:overflowPunct w:val="0"/>
              <w:spacing w:before="145"/>
              <w:ind w:left="13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单位地址</w:t>
            </w:r>
          </w:p>
        </w:tc>
        <w:tc>
          <w:tcPr>
            <w:tcW w:w="7408" w:type="dxa"/>
            <w:gridSpan w:val="7"/>
            <w:tcBorders>
              <w:top w:val="single" w:color="000000" w:sz="4" w:space="0"/>
              <w:left w:val="single" w:color="000000" w:sz="4" w:space="0"/>
              <w:bottom w:val="single" w:color="000000" w:sz="4" w:space="0"/>
              <w:right w:val="single" w:color="000000" w:sz="4" w:space="0"/>
            </w:tcBorders>
            <w:vAlign w:val="top"/>
          </w:tcPr>
          <w:p w14:paraId="5C860DFF">
            <w:pPr>
              <w:rPr>
                <w:rFonts w:hint="eastAsia" w:ascii="宋体" w:hAnsi="宋体" w:eastAsia="宋体" w:cs="宋体"/>
                <w:color w:val="auto"/>
                <w:sz w:val="21"/>
                <w:szCs w:val="21"/>
                <w:highlight w:val="none"/>
              </w:rPr>
            </w:pPr>
          </w:p>
        </w:tc>
      </w:tr>
      <w:tr w14:paraId="6C1AF1F9">
        <w:tblPrEx>
          <w:tblCellMar>
            <w:top w:w="0" w:type="dxa"/>
            <w:left w:w="0" w:type="dxa"/>
            <w:bottom w:w="0" w:type="dxa"/>
            <w:right w:w="0" w:type="dxa"/>
          </w:tblCellMar>
        </w:tblPrEx>
        <w:trPr>
          <w:trHeight w:val="852" w:hRule="exact"/>
          <w:jc w:val="center"/>
        </w:trPr>
        <w:tc>
          <w:tcPr>
            <w:tcW w:w="1231" w:type="dxa"/>
            <w:tcBorders>
              <w:top w:val="single" w:color="000000" w:sz="4" w:space="0"/>
              <w:left w:val="single" w:color="000000" w:sz="4" w:space="0"/>
              <w:bottom w:val="single" w:color="000000" w:sz="4" w:space="0"/>
              <w:right w:val="single" w:color="000000" w:sz="4" w:space="0"/>
            </w:tcBorders>
            <w:vAlign w:val="top"/>
          </w:tcPr>
          <w:p w14:paraId="405B3607">
            <w:pPr>
              <w:pStyle w:val="58"/>
              <w:kinsoku w:val="0"/>
              <w:overflowPunct w:val="0"/>
              <w:spacing w:before="145"/>
              <w:ind w:left="13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主管部门</w:t>
            </w:r>
          </w:p>
        </w:tc>
        <w:tc>
          <w:tcPr>
            <w:tcW w:w="7408" w:type="dxa"/>
            <w:gridSpan w:val="7"/>
            <w:tcBorders>
              <w:top w:val="single" w:color="000000" w:sz="4" w:space="0"/>
              <w:left w:val="single" w:color="000000" w:sz="4" w:space="0"/>
              <w:bottom w:val="single" w:color="000000" w:sz="4" w:space="0"/>
              <w:right w:val="single" w:color="000000" w:sz="4" w:space="0"/>
            </w:tcBorders>
            <w:vAlign w:val="top"/>
          </w:tcPr>
          <w:p w14:paraId="6FFAA8E6">
            <w:pPr>
              <w:rPr>
                <w:rFonts w:hint="eastAsia" w:ascii="宋体" w:hAnsi="宋体" w:eastAsia="宋体" w:cs="宋体"/>
                <w:color w:val="auto"/>
                <w:sz w:val="21"/>
                <w:szCs w:val="21"/>
                <w:highlight w:val="none"/>
              </w:rPr>
            </w:pPr>
          </w:p>
        </w:tc>
      </w:tr>
      <w:tr w14:paraId="23D99E0E">
        <w:tblPrEx>
          <w:tblCellMar>
            <w:top w:w="0" w:type="dxa"/>
            <w:left w:w="0" w:type="dxa"/>
            <w:bottom w:w="0" w:type="dxa"/>
            <w:right w:w="0" w:type="dxa"/>
          </w:tblCellMar>
        </w:tblPrEx>
        <w:trPr>
          <w:trHeight w:val="852" w:hRule="exact"/>
          <w:jc w:val="center"/>
        </w:trPr>
        <w:tc>
          <w:tcPr>
            <w:tcW w:w="1231" w:type="dxa"/>
            <w:tcBorders>
              <w:top w:val="single" w:color="000000" w:sz="4" w:space="0"/>
              <w:left w:val="single" w:color="000000" w:sz="4" w:space="0"/>
              <w:bottom w:val="single" w:color="000000" w:sz="4" w:space="0"/>
              <w:right w:val="single" w:color="000000" w:sz="4" w:space="0"/>
            </w:tcBorders>
            <w:vAlign w:val="top"/>
          </w:tcPr>
          <w:p w14:paraId="0FDE6E34">
            <w:pPr>
              <w:pStyle w:val="58"/>
              <w:kinsoku w:val="0"/>
              <w:overflowPunct w:val="0"/>
              <w:spacing w:before="145"/>
              <w:ind w:left="13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成立时间</w:t>
            </w:r>
          </w:p>
        </w:tc>
        <w:tc>
          <w:tcPr>
            <w:tcW w:w="2274" w:type="dxa"/>
            <w:gridSpan w:val="2"/>
            <w:tcBorders>
              <w:top w:val="single" w:color="000000" w:sz="4" w:space="0"/>
              <w:left w:val="single" w:color="000000" w:sz="4" w:space="0"/>
              <w:bottom w:val="single" w:color="000000" w:sz="4" w:space="0"/>
              <w:right w:val="single" w:color="000000" w:sz="4" w:space="0"/>
            </w:tcBorders>
            <w:vAlign w:val="top"/>
          </w:tcPr>
          <w:p w14:paraId="4F2266B6">
            <w:pPr>
              <w:rPr>
                <w:rFonts w:hint="eastAsia" w:ascii="宋体" w:hAnsi="宋体" w:eastAsia="宋体" w:cs="宋体"/>
                <w:color w:val="auto"/>
                <w:sz w:val="21"/>
                <w:szCs w:val="21"/>
                <w:highlight w:val="none"/>
              </w:rPr>
            </w:pPr>
          </w:p>
        </w:tc>
        <w:tc>
          <w:tcPr>
            <w:tcW w:w="2274" w:type="dxa"/>
            <w:gridSpan w:val="3"/>
            <w:tcBorders>
              <w:top w:val="single" w:color="000000" w:sz="4" w:space="0"/>
              <w:left w:val="single" w:color="000000" w:sz="4" w:space="0"/>
              <w:bottom w:val="single" w:color="000000" w:sz="4" w:space="0"/>
              <w:right w:val="single" w:color="000000" w:sz="4" w:space="0"/>
            </w:tcBorders>
            <w:vAlign w:val="top"/>
          </w:tcPr>
          <w:p w14:paraId="166AFAAC">
            <w:pPr>
              <w:pStyle w:val="58"/>
              <w:kinsoku w:val="0"/>
              <w:overflowPunct w:val="0"/>
              <w:spacing w:before="145"/>
              <w:ind w:left="18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注册资金（万元）</w:t>
            </w:r>
          </w:p>
        </w:tc>
        <w:tc>
          <w:tcPr>
            <w:tcW w:w="2860" w:type="dxa"/>
            <w:gridSpan w:val="2"/>
            <w:tcBorders>
              <w:top w:val="single" w:color="000000" w:sz="4" w:space="0"/>
              <w:left w:val="single" w:color="000000" w:sz="4" w:space="0"/>
              <w:bottom w:val="single" w:color="000000" w:sz="4" w:space="0"/>
              <w:right w:val="single" w:color="000000" w:sz="4" w:space="0"/>
            </w:tcBorders>
            <w:vAlign w:val="top"/>
          </w:tcPr>
          <w:p w14:paraId="3735B6D9">
            <w:pPr>
              <w:rPr>
                <w:rFonts w:hint="eastAsia" w:ascii="宋体" w:hAnsi="宋体" w:eastAsia="宋体" w:cs="宋体"/>
                <w:color w:val="auto"/>
                <w:sz w:val="21"/>
                <w:szCs w:val="21"/>
                <w:highlight w:val="none"/>
              </w:rPr>
            </w:pPr>
          </w:p>
        </w:tc>
      </w:tr>
      <w:tr w14:paraId="566A4C33">
        <w:tblPrEx>
          <w:tblCellMar>
            <w:top w:w="0" w:type="dxa"/>
            <w:left w:w="0" w:type="dxa"/>
            <w:bottom w:w="0" w:type="dxa"/>
            <w:right w:w="0" w:type="dxa"/>
          </w:tblCellMar>
        </w:tblPrEx>
        <w:trPr>
          <w:trHeight w:val="852" w:hRule="exact"/>
          <w:jc w:val="center"/>
        </w:trPr>
        <w:tc>
          <w:tcPr>
            <w:tcW w:w="1231" w:type="dxa"/>
            <w:tcBorders>
              <w:top w:val="single" w:color="000000" w:sz="4" w:space="0"/>
              <w:left w:val="single" w:color="000000" w:sz="4" w:space="0"/>
              <w:bottom w:val="single" w:color="000000" w:sz="4" w:space="0"/>
              <w:right w:val="single" w:color="000000" w:sz="4" w:space="0"/>
            </w:tcBorders>
            <w:vAlign w:val="top"/>
          </w:tcPr>
          <w:p w14:paraId="38DA0611">
            <w:pPr>
              <w:pStyle w:val="58"/>
              <w:kinsoku w:val="0"/>
              <w:overflowPunct w:val="0"/>
              <w:spacing w:before="146"/>
              <w:ind w:left="13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单位性质</w:t>
            </w:r>
          </w:p>
        </w:tc>
        <w:tc>
          <w:tcPr>
            <w:tcW w:w="7408" w:type="dxa"/>
            <w:gridSpan w:val="7"/>
            <w:tcBorders>
              <w:top w:val="single" w:color="000000" w:sz="4" w:space="0"/>
              <w:left w:val="single" w:color="000000" w:sz="4" w:space="0"/>
              <w:bottom w:val="single" w:color="000000" w:sz="4" w:space="0"/>
              <w:right w:val="single" w:color="000000" w:sz="4" w:space="0"/>
            </w:tcBorders>
            <w:vAlign w:val="top"/>
          </w:tcPr>
          <w:p w14:paraId="552BBB2F">
            <w:pPr>
              <w:rPr>
                <w:rFonts w:hint="eastAsia" w:ascii="宋体" w:hAnsi="宋体" w:eastAsia="宋体" w:cs="宋体"/>
                <w:color w:val="auto"/>
                <w:sz w:val="21"/>
                <w:szCs w:val="21"/>
                <w:highlight w:val="none"/>
              </w:rPr>
            </w:pPr>
          </w:p>
        </w:tc>
      </w:tr>
      <w:tr w14:paraId="1362B38C">
        <w:tblPrEx>
          <w:tblCellMar>
            <w:top w:w="0" w:type="dxa"/>
            <w:left w:w="0" w:type="dxa"/>
            <w:bottom w:w="0" w:type="dxa"/>
            <w:right w:w="0" w:type="dxa"/>
          </w:tblCellMar>
        </w:tblPrEx>
        <w:trPr>
          <w:trHeight w:val="1150" w:hRule="exact"/>
          <w:jc w:val="center"/>
        </w:trPr>
        <w:tc>
          <w:tcPr>
            <w:tcW w:w="1231" w:type="dxa"/>
            <w:tcBorders>
              <w:top w:val="single" w:color="000000" w:sz="4" w:space="0"/>
              <w:left w:val="single" w:color="000000" w:sz="4" w:space="0"/>
              <w:bottom w:val="single" w:color="000000" w:sz="4" w:space="0"/>
              <w:right w:val="single" w:color="000000" w:sz="4" w:space="0"/>
            </w:tcBorders>
            <w:vAlign w:val="top"/>
          </w:tcPr>
          <w:p w14:paraId="2D5331BA">
            <w:pPr>
              <w:pStyle w:val="58"/>
              <w:kinsoku w:val="0"/>
              <w:overflowPunct w:val="0"/>
              <w:spacing w:before="141" w:line="312" w:lineRule="exact"/>
              <w:ind w:left="257" w:right="133" w:hanging="1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投标期间 联系人</w:t>
            </w:r>
          </w:p>
        </w:tc>
        <w:tc>
          <w:tcPr>
            <w:tcW w:w="1432" w:type="dxa"/>
            <w:tcBorders>
              <w:top w:val="single" w:color="000000" w:sz="4" w:space="0"/>
              <w:left w:val="single" w:color="000000" w:sz="4" w:space="0"/>
              <w:bottom w:val="single" w:color="000000" w:sz="4" w:space="0"/>
              <w:right w:val="single" w:color="000000" w:sz="4" w:space="0"/>
            </w:tcBorders>
            <w:vAlign w:val="top"/>
          </w:tcPr>
          <w:p w14:paraId="11A26357">
            <w:pPr>
              <w:rPr>
                <w:rFonts w:hint="eastAsia" w:ascii="宋体" w:hAnsi="宋体" w:eastAsia="宋体" w:cs="宋体"/>
                <w:color w:val="auto"/>
                <w:sz w:val="21"/>
                <w:szCs w:val="21"/>
                <w:highlight w:val="none"/>
              </w:rPr>
            </w:pPr>
          </w:p>
        </w:tc>
        <w:tc>
          <w:tcPr>
            <w:tcW w:w="1330" w:type="dxa"/>
            <w:gridSpan w:val="2"/>
            <w:tcBorders>
              <w:top w:val="single" w:color="000000" w:sz="4" w:space="0"/>
              <w:left w:val="single" w:color="000000" w:sz="4" w:space="0"/>
              <w:bottom w:val="single" w:color="000000" w:sz="4" w:space="0"/>
              <w:right w:val="single" w:color="000000" w:sz="4" w:space="0"/>
            </w:tcBorders>
            <w:vAlign w:val="top"/>
          </w:tcPr>
          <w:p w14:paraId="4E918134">
            <w:pPr>
              <w:pStyle w:val="58"/>
              <w:kinsoku w:val="0"/>
              <w:overflowPunct w:val="0"/>
              <w:spacing w:before="4"/>
              <w:rPr>
                <w:rFonts w:hint="eastAsia" w:ascii="宋体" w:hAnsi="宋体" w:eastAsia="宋体" w:cs="宋体"/>
                <w:b/>
                <w:bCs/>
                <w:color w:val="auto"/>
                <w:sz w:val="21"/>
                <w:szCs w:val="21"/>
                <w:highlight w:val="none"/>
              </w:rPr>
            </w:pPr>
          </w:p>
          <w:p w14:paraId="043F8FB1">
            <w:pPr>
              <w:pStyle w:val="58"/>
              <w:kinsoku w:val="0"/>
              <w:overflowPunct w:val="0"/>
              <w:ind w:left="366"/>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 话</w:t>
            </w:r>
          </w:p>
        </w:tc>
        <w:tc>
          <w:tcPr>
            <w:tcW w:w="1331" w:type="dxa"/>
            <w:tcBorders>
              <w:top w:val="single" w:color="000000" w:sz="4" w:space="0"/>
              <w:left w:val="single" w:color="000000" w:sz="4" w:space="0"/>
              <w:bottom w:val="single" w:color="000000" w:sz="4" w:space="0"/>
              <w:right w:val="single" w:color="000000" w:sz="4" w:space="0"/>
            </w:tcBorders>
            <w:vAlign w:val="top"/>
          </w:tcPr>
          <w:p w14:paraId="6B7B73AF">
            <w:pPr>
              <w:rPr>
                <w:rFonts w:hint="eastAsia" w:ascii="宋体" w:hAnsi="宋体" w:eastAsia="宋体" w:cs="宋体"/>
                <w:color w:val="auto"/>
                <w:sz w:val="21"/>
                <w:szCs w:val="21"/>
                <w:highlight w:val="none"/>
              </w:rPr>
            </w:pPr>
          </w:p>
        </w:tc>
        <w:tc>
          <w:tcPr>
            <w:tcW w:w="1365" w:type="dxa"/>
            <w:gridSpan w:val="2"/>
            <w:tcBorders>
              <w:top w:val="single" w:color="000000" w:sz="4" w:space="0"/>
              <w:left w:val="single" w:color="000000" w:sz="4" w:space="0"/>
              <w:bottom w:val="single" w:color="000000" w:sz="4" w:space="0"/>
              <w:right w:val="single" w:color="000000" w:sz="4" w:space="0"/>
            </w:tcBorders>
            <w:vAlign w:val="top"/>
          </w:tcPr>
          <w:p w14:paraId="1DC83D4C">
            <w:pPr>
              <w:pStyle w:val="58"/>
              <w:kinsoku w:val="0"/>
              <w:overflowPunct w:val="0"/>
              <w:spacing w:before="4"/>
              <w:rPr>
                <w:rFonts w:hint="eastAsia" w:ascii="宋体" w:hAnsi="宋体" w:eastAsia="宋体" w:cs="宋体"/>
                <w:b/>
                <w:bCs/>
                <w:color w:val="auto"/>
                <w:sz w:val="21"/>
                <w:szCs w:val="21"/>
                <w:highlight w:val="none"/>
              </w:rPr>
            </w:pPr>
          </w:p>
          <w:p w14:paraId="2E50EAE4">
            <w:pPr>
              <w:pStyle w:val="58"/>
              <w:kinsoku w:val="0"/>
              <w:overflowPunct w:val="0"/>
              <w:ind w:left="38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 真</w:t>
            </w:r>
          </w:p>
        </w:tc>
        <w:tc>
          <w:tcPr>
            <w:tcW w:w="1950" w:type="dxa"/>
            <w:tcBorders>
              <w:top w:val="single" w:color="000000" w:sz="4" w:space="0"/>
              <w:left w:val="single" w:color="000000" w:sz="4" w:space="0"/>
              <w:bottom w:val="single" w:color="000000" w:sz="4" w:space="0"/>
              <w:right w:val="single" w:color="000000" w:sz="4" w:space="0"/>
            </w:tcBorders>
            <w:vAlign w:val="top"/>
          </w:tcPr>
          <w:p w14:paraId="716A9058">
            <w:pPr>
              <w:rPr>
                <w:rFonts w:hint="eastAsia" w:ascii="宋体" w:hAnsi="宋体" w:eastAsia="宋体" w:cs="宋体"/>
                <w:color w:val="auto"/>
                <w:sz w:val="21"/>
                <w:szCs w:val="21"/>
                <w:highlight w:val="none"/>
              </w:rPr>
            </w:pPr>
          </w:p>
        </w:tc>
      </w:tr>
      <w:tr w14:paraId="72DCB97A">
        <w:tblPrEx>
          <w:tblCellMar>
            <w:top w:w="0" w:type="dxa"/>
            <w:left w:w="0" w:type="dxa"/>
            <w:bottom w:w="0" w:type="dxa"/>
            <w:right w:w="0" w:type="dxa"/>
          </w:tblCellMar>
        </w:tblPrEx>
        <w:trPr>
          <w:trHeight w:val="1150" w:hRule="exact"/>
          <w:jc w:val="center"/>
        </w:trPr>
        <w:tc>
          <w:tcPr>
            <w:tcW w:w="1231" w:type="dxa"/>
            <w:tcBorders>
              <w:top w:val="single" w:color="000000" w:sz="4" w:space="0"/>
              <w:left w:val="single" w:color="000000" w:sz="4" w:space="0"/>
              <w:bottom w:val="single" w:color="000000" w:sz="4" w:space="0"/>
              <w:right w:val="single" w:color="000000" w:sz="4" w:space="0"/>
            </w:tcBorders>
            <w:vAlign w:val="top"/>
          </w:tcPr>
          <w:p w14:paraId="131F746D">
            <w:pPr>
              <w:pStyle w:val="58"/>
              <w:kinsoku w:val="0"/>
              <w:overflowPunct w:val="0"/>
              <w:spacing w:before="141" w:line="312" w:lineRule="exact"/>
              <w:ind w:left="257" w:right="133" w:hanging="1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职工总数</w:t>
            </w:r>
          </w:p>
        </w:tc>
        <w:tc>
          <w:tcPr>
            <w:tcW w:w="7408" w:type="dxa"/>
            <w:gridSpan w:val="7"/>
            <w:tcBorders>
              <w:top w:val="single" w:color="000000" w:sz="4" w:space="0"/>
              <w:left w:val="single" w:color="000000" w:sz="4" w:space="0"/>
              <w:bottom w:val="single" w:color="000000" w:sz="4" w:space="0"/>
              <w:right w:val="single" w:color="000000" w:sz="4" w:space="0"/>
            </w:tcBorders>
            <w:vAlign w:val="top"/>
          </w:tcPr>
          <w:p w14:paraId="018699DA">
            <w:pPr>
              <w:pStyle w:val="58"/>
              <w:kinsoku w:val="0"/>
              <w:overflowPunct w:val="0"/>
              <w:spacing w:before="144"/>
              <w:rPr>
                <w:rFonts w:hint="eastAsia" w:ascii="宋体" w:hAnsi="宋体" w:eastAsia="宋体" w:cs="宋体"/>
                <w:color w:val="auto"/>
                <w:sz w:val="21"/>
                <w:szCs w:val="21"/>
                <w:highlight w:val="none"/>
              </w:rPr>
            </w:pPr>
          </w:p>
        </w:tc>
      </w:tr>
      <w:tr w14:paraId="29B9C8B1">
        <w:tblPrEx>
          <w:tblCellMar>
            <w:top w:w="0" w:type="dxa"/>
            <w:left w:w="0" w:type="dxa"/>
            <w:bottom w:w="0" w:type="dxa"/>
            <w:right w:w="0" w:type="dxa"/>
          </w:tblCellMar>
        </w:tblPrEx>
        <w:trPr>
          <w:trHeight w:val="2009" w:hRule="exact"/>
          <w:jc w:val="center"/>
        </w:trPr>
        <w:tc>
          <w:tcPr>
            <w:tcW w:w="1231" w:type="dxa"/>
            <w:tcBorders>
              <w:top w:val="single" w:color="000000" w:sz="4" w:space="0"/>
              <w:left w:val="single" w:color="000000" w:sz="4" w:space="0"/>
              <w:bottom w:val="single" w:color="000000" w:sz="4" w:space="0"/>
              <w:right w:val="single" w:color="000000" w:sz="4" w:space="0"/>
            </w:tcBorders>
            <w:vAlign w:val="top"/>
          </w:tcPr>
          <w:p w14:paraId="739B99A7">
            <w:pPr>
              <w:pStyle w:val="58"/>
              <w:kinsoku w:val="0"/>
              <w:overflowPunct w:val="0"/>
              <w:spacing w:line="237" w:lineRule="auto"/>
              <w:ind w:left="497" w:right="493"/>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 位 概 况</w:t>
            </w:r>
          </w:p>
        </w:tc>
        <w:tc>
          <w:tcPr>
            <w:tcW w:w="7408" w:type="dxa"/>
            <w:gridSpan w:val="7"/>
            <w:tcBorders>
              <w:top w:val="single" w:color="000000" w:sz="4" w:space="0"/>
              <w:left w:val="single" w:color="000000" w:sz="4" w:space="0"/>
              <w:bottom w:val="single" w:color="000000" w:sz="4" w:space="0"/>
              <w:right w:val="single" w:color="000000" w:sz="4" w:space="0"/>
            </w:tcBorders>
            <w:vAlign w:val="top"/>
          </w:tcPr>
          <w:p w14:paraId="37C6B3AC">
            <w:pPr>
              <w:rPr>
                <w:rFonts w:hint="eastAsia" w:ascii="宋体" w:hAnsi="宋体" w:eastAsia="宋体" w:cs="宋体"/>
                <w:color w:val="auto"/>
                <w:sz w:val="21"/>
                <w:szCs w:val="21"/>
                <w:highlight w:val="none"/>
              </w:rPr>
            </w:pPr>
          </w:p>
        </w:tc>
      </w:tr>
    </w:tbl>
    <w:p w14:paraId="0DB51AD7">
      <w:pPr>
        <w:pStyle w:val="84"/>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2404E3E3">
      <w:pPr>
        <w:pStyle w:val="84"/>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334ADA7C">
      <w:pPr>
        <w:pStyle w:val="84"/>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741224D6">
      <w:pPr>
        <w:pStyle w:val="84"/>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03031D10">
      <w:pPr>
        <w:pStyle w:val="84"/>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4C50436C">
      <w:pPr>
        <w:pStyle w:val="84"/>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23DB125F">
      <w:pPr>
        <w:pStyle w:val="84"/>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75D249CF">
      <w:pPr>
        <w:pStyle w:val="84"/>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b/>
          <w:color w:val="auto"/>
          <w:sz w:val="30"/>
          <w:szCs w:val="30"/>
          <w:highlight w:val="none"/>
        </w:rPr>
      </w:pPr>
    </w:p>
    <w:p w14:paraId="2B72364B">
      <w:pPr>
        <w:pStyle w:val="84"/>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b/>
          <w:color w:val="auto"/>
          <w:sz w:val="30"/>
          <w:szCs w:val="30"/>
          <w:highlight w:val="none"/>
        </w:rPr>
      </w:pPr>
    </w:p>
    <w:p w14:paraId="6A96BC58">
      <w:pPr>
        <w:pStyle w:val="84"/>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b/>
          <w:color w:val="auto"/>
          <w:sz w:val="30"/>
          <w:szCs w:val="30"/>
          <w:highlight w:val="none"/>
        </w:rPr>
      </w:pPr>
    </w:p>
    <w:p w14:paraId="560AC705">
      <w:pPr>
        <w:pStyle w:val="10"/>
        <w:numPr>
          <w:ilvl w:val="0"/>
          <w:numId w:val="0"/>
        </w:numPr>
        <w:kinsoku w:val="0"/>
        <w:overflowPunct w:val="0"/>
        <w:spacing w:before="34" w:line="357" w:lineRule="auto"/>
        <w:ind w:left="480" w:leftChars="0" w:right="126" w:rightChars="0"/>
        <w:jc w:val="center"/>
        <w:rPr>
          <w:rFonts w:hint="eastAsia" w:ascii="宋体" w:hAnsi="宋体" w:eastAsia="宋体" w:cs="宋体"/>
          <w:b/>
          <w:bCs/>
          <w:color w:val="auto"/>
          <w:w w:val="90"/>
          <w:sz w:val="24"/>
          <w:szCs w:val="24"/>
          <w:highlight w:val="none"/>
          <w:lang w:eastAsia="zh-CN"/>
        </w:rPr>
      </w:pPr>
      <w:r>
        <w:rPr>
          <w:rFonts w:hint="eastAsia" w:ascii="宋体" w:hAnsi="宋体" w:cs="宋体"/>
          <w:b w:val="0"/>
          <w:bCs/>
          <w:color w:val="auto"/>
          <w:kern w:val="0"/>
          <w:sz w:val="24"/>
          <w:szCs w:val="24"/>
          <w:highlight w:val="none"/>
          <w:lang w:val="en-US" w:eastAsia="zh-CN"/>
        </w:rPr>
        <w:t>8</w:t>
      </w:r>
      <w:r>
        <w:rPr>
          <w:rFonts w:hint="eastAsia" w:ascii="宋体" w:hAnsi="宋体" w:eastAsia="宋体" w:cs="宋体"/>
          <w:b w:val="0"/>
          <w:bCs/>
          <w:color w:val="auto"/>
          <w:kern w:val="0"/>
          <w:sz w:val="24"/>
          <w:szCs w:val="24"/>
          <w:highlight w:val="none"/>
          <w:lang w:val="en-US" w:eastAsia="zh-CN"/>
        </w:rPr>
        <w:t>、</w:t>
      </w:r>
      <w:r>
        <w:rPr>
          <w:rFonts w:hint="eastAsia" w:ascii="宋体" w:hAnsi="宋体" w:eastAsia="宋体" w:cs="宋体"/>
          <w:b/>
          <w:bCs/>
          <w:color w:val="auto"/>
          <w:w w:val="90"/>
          <w:sz w:val="24"/>
          <w:szCs w:val="24"/>
          <w:highlight w:val="none"/>
        </w:rPr>
        <w:t>近年类似项目业绩</w:t>
      </w:r>
      <w:r>
        <w:rPr>
          <w:rFonts w:hint="eastAsia" w:ascii="宋体" w:hAnsi="宋体" w:eastAsia="宋体" w:cs="宋体"/>
          <w:b/>
          <w:bCs/>
          <w:color w:val="auto"/>
          <w:w w:val="90"/>
          <w:sz w:val="24"/>
          <w:szCs w:val="24"/>
          <w:highlight w:val="none"/>
          <w:lang w:eastAsia="zh-CN"/>
        </w:rPr>
        <w:t>表</w:t>
      </w:r>
    </w:p>
    <w:p w14:paraId="79CD9A1A">
      <w:pPr>
        <w:pStyle w:val="10"/>
        <w:numPr>
          <w:ilvl w:val="0"/>
          <w:numId w:val="0"/>
        </w:numPr>
        <w:kinsoku w:val="0"/>
        <w:overflowPunct w:val="0"/>
        <w:ind w:leftChars="0" w:right="0" w:rightChars="0"/>
        <w:rPr>
          <w:rFonts w:hint="eastAsia" w:ascii="仿宋" w:hAnsi="仿宋" w:eastAsia="仿宋" w:cs="仿宋"/>
          <w:b/>
          <w:bCs/>
          <w:color w:val="auto"/>
          <w:sz w:val="20"/>
          <w:szCs w:val="20"/>
          <w:highlight w:val="none"/>
        </w:rPr>
      </w:pPr>
    </w:p>
    <w:tbl>
      <w:tblPr>
        <w:tblStyle w:val="29"/>
        <w:tblW w:w="9115" w:type="dxa"/>
        <w:jc w:val="center"/>
        <w:tblLayout w:type="fixed"/>
        <w:tblCellMar>
          <w:top w:w="0" w:type="dxa"/>
          <w:left w:w="10" w:type="dxa"/>
          <w:bottom w:w="0" w:type="dxa"/>
          <w:right w:w="10" w:type="dxa"/>
        </w:tblCellMar>
      </w:tblPr>
      <w:tblGrid>
        <w:gridCol w:w="1919"/>
        <w:gridCol w:w="7196"/>
      </w:tblGrid>
      <w:tr w14:paraId="2E63B8B8">
        <w:tblPrEx>
          <w:tblCellMar>
            <w:top w:w="0" w:type="dxa"/>
            <w:left w:w="10" w:type="dxa"/>
            <w:bottom w:w="0" w:type="dxa"/>
            <w:right w:w="10" w:type="dxa"/>
          </w:tblCellMar>
        </w:tblPrEx>
        <w:trPr>
          <w:trHeight w:val="511" w:hRule="exact"/>
          <w:jc w:val="center"/>
        </w:trPr>
        <w:tc>
          <w:tcPr>
            <w:tcW w:w="1919" w:type="dxa"/>
            <w:tcBorders>
              <w:top w:val="single" w:color="auto" w:sz="4" w:space="0"/>
              <w:left w:val="single" w:color="auto" w:sz="4" w:space="0"/>
            </w:tcBorders>
            <w:vAlign w:val="center"/>
          </w:tcPr>
          <w:p w14:paraId="0FAB6A87">
            <w:pPr>
              <w:pStyle w:val="85"/>
              <w:keepNext w:val="0"/>
              <w:keepLines w:val="0"/>
              <w:widowControl w:val="0"/>
              <w:shd w:val="clear" w:color="auto" w:fill="auto"/>
              <w:bidi w:val="0"/>
              <w:spacing w:before="0" w:after="0" w:line="240" w:lineRule="auto"/>
              <w:ind w:left="0" w:right="0" w:firstLine="0"/>
              <w:jc w:val="center"/>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项目名称</w:t>
            </w:r>
          </w:p>
        </w:tc>
        <w:tc>
          <w:tcPr>
            <w:tcW w:w="7196" w:type="dxa"/>
            <w:tcBorders>
              <w:top w:val="single" w:color="auto" w:sz="4" w:space="0"/>
              <w:left w:val="single" w:color="auto" w:sz="4" w:space="0"/>
              <w:right w:val="single" w:color="auto" w:sz="4" w:space="0"/>
            </w:tcBorders>
            <w:vAlign w:val="top"/>
          </w:tcPr>
          <w:p w14:paraId="251E3455">
            <w:pPr>
              <w:widowControl w:val="0"/>
              <w:rPr>
                <w:rFonts w:hint="eastAsia" w:ascii="宋体" w:hAnsi="宋体" w:eastAsia="宋体" w:cs="宋体"/>
                <w:color w:val="auto"/>
                <w:sz w:val="21"/>
                <w:szCs w:val="21"/>
                <w:highlight w:val="none"/>
              </w:rPr>
            </w:pPr>
          </w:p>
        </w:tc>
      </w:tr>
      <w:tr w14:paraId="23488E10">
        <w:tblPrEx>
          <w:tblCellMar>
            <w:top w:w="0" w:type="dxa"/>
            <w:left w:w="10" w:type="dxa"/>
            <w:bottom w:w="0" w:type="dxa"/>
            <w:right w:w="10" w:type="dxa"/>
          </w:tblCellMar>
        </w:tblPrEx>
        <w:trPr>
          <w:trHeight w:val="518" w:hRule="exact"/>
          <w:jc w:val="center"/>
        </w:trPr>
        <w:tc>
          <w:tcPr>
            <w:tcW w:w="1919" w:type="dxa"/>
            <w:tcBorders>
              <w:top w:val="single" w:color="auto" w:sz="4" w:space="0"/>
              <w:left w:val="single" w:color="auto" w:sz="4" w:space="0"/>
            </w:tcBorders>
            <w:vAlign w:val="center"/>
          </w:tcPr>
          <w:p w14:paraId="47EC1D89">
            <w:pPr>
              <w:pStyle w:val="85"/>
              <w:keepNext w:val="0"/>
              <w:keepLines w:val="0"/>
              <w:widowControl w:val="0"/>
              <w:shd w:val="clear" w:color="auto" w:fill="auto"/>
              <w:bidi w:val="0"/>
              <w:spacing w:before="120" w:after="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项目单位名称</w:t>
            </w:r>
          </w:p>
        </w:tc>
        <w:tc>
          <w:tcPr>
            <w:tcW w:w="7196" w:type="dxa"/>
            <w:tcBorders>
              <w:top w:val="single" w:color="auto" w:sz="4" w:space="0"/>
              <w:left w:val="single" w:color="auto" w:sz="4" w:space="0"/>
              <w:right w:val="single" w:color="auto" w:sz="4" w:space="0"/>
            </w:tcBorders>
            <w:vAlign w:val="top"/>
          </w:tcPr>
          <w:p w14:paraId="33E2F2D3">
            <w:pPr>
              <w:widowControl w:val="0"/>
              <w:rPr>
                <w:rFonts w:hint="eastAsia" w:ascii="宋体" w:hAnsi="宋体" w:eastAsia="宋体" w:cs="宋体"/>
                <w:color w:val="auto"/>
                <w:sz w:val="21"/>
                <w:szCs w:val="21"/>
                <w:highlight w:val="none"/>
              </w:rPr>
            </w:pPr>
          </w:p>
        </w:tc>
      </w:tr>
      <w:tr w14:paraId="3730A09A">
        <w:tblPrEx>
          <w:tblCellMar>
            <w:top w:w="0" w:type="dxa"/>
            <w:left w:w="10" w:type="dxa"/>
            <w:bottom w:w="0" w:type="dxa"/>
            <w:right w:w="10" w:type="dxa"/>
          </w:tblCellMar>
        </w:tblPrEx>
        <w:trPr>
          <w:trHeight w:val="724" w:hRule="exact"/>
          <w:jc w:val="center"/>
        </w:trPr>
        <w:tc>
          <w:tcPr>
            <w:tcW w:w="1919" w:type="dxa"/>
            <w:tcBorders>
              <w:top w:val="single" w:color="auto" w:sz="4" w:space="0"/>
              <w:left w:val="single" w:color="auto" w:sz="4" w:space="0"/>
            </w:tcBorders>
            <w:vAlign w:val="center"/>
          </w:tcPr>
          <w:p w14:paraId="6A2F3F5D">
            <w:pPr>
              <w:pStyle w:val="85"/>
              <w:keepNext w:val="0"/>
              <w:keepLines w:val="0"/>
              <w:widowControl w:val="0"/>
              <w:shd w:val="clear" w:color="auto" w:fill="auto"/>
              <w:bidi w:val="0"/>
              <w:spacing w:before="0" w:after="0" w:line="320" w:lineRule="exact"/>
              <w:ind w:left="0" w:right="0" w:firstLine="0"/>
              <w:jc w:val="center"/>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项目单位联系姓名及联系方式</w:t>
            </w:r>
          </w:p>
        </w:tc>
        <w:tc>
          <w:tcPr>
            <w:tcW w:w="7196" w:type="dxa"/>
            <w:tcBorders>
              <w:top w:val="single" w:color="auto" w:sz="4" w:space="0"/>
              <w:left w:val="single" w:color="auto" w:sz="4" w:space="0"/>
              <w:right w:val="single" w:color="auto" w:sz="4" w:space="0"/>
            </w:tcBorders>
            <w:vAlign w:val="top"/>
          </w:tcPr>
          <w:p w14:paraId="08CD3E10">
            <w:pPr>
              <w:widowControl w:val="0"/>
              <w:rPr>
                <w:rFonts w:hint="eastAsia" w:ascii="宋体" w:hAnsi="宋体" w:eastAsia="宋体" w:cs="宋体"/>
                <w:color w:val="auto"/>
                <w:sz w:val="21"/>
                <w:szCs w:val="21"/>
                <w:highlight w:val="none"/>
              </w:rPr>
            </w:pPr>
          </w:p>
        </w:tc>
      </w:tr>
      <w:tr w14:paraId="4AA83300">
        <w:tblPrEx>
          <w:tblCellMar>
            <w:top w:w="0" w:type="dxa"/>
            <w:left w:w="10" w:type="dxa"/>
            <w:bottom w:w="0" w:type="dxa"/>
            <w:right w:w="10" w:type="dxa"/>
          </w:tblCellMar>
        </w:tblPrEx>
        <w:trPr>
          <w:trHeight w:val="634" w:hRule="exact"/>
          <w:jc w:val="center"/>
        </w:trPr>
        <w:tc>
          <w:tcPr>
            <w:tcW w:w="1919" w:type="dxa"/>
            <w:tcBorders>
              <w:top w:val="single" w:color="auto" w:sz="4" w:space="0"/>
              <w:left w:val="single" w:color="auto" w:sz="4" w:space="0"/>
            </w:tcBorders>
            <w:vAlign w:val="center"/>
          </w:tcPr>
          <w:p w14:paraId="3BE41208">
            <w:pPr>
              <w:pStyle w:val="85"/>
              <w:keepNext w:val="0"/>
              <w:keepLines w:val="0"/>
              <w:widowControl w:val="0"/>
              <w:shd w:val="clear" w:color="auto" w:fill="auto"/>
              <w:bidi w:val="0"/>
              <w:spacing w:before="0" w:after="0" w:line="240" w:lineRule="auto"/>
              <w:ind w:left="0" w:right="0" w:firstLine="0"/>
              <w:jc w:val="center"/>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合同金额</w:t>
            </w:r>
          </w:p>
        </w:tc>
        <w:tc>
          <w:tcPr>
            <w:tcW w:w="7196" w:type="dxa"/>
            <w:tcBorders>
              <w:top w:val="single" w:color="auto" w:sz="4" w:space="0"/>
              <w:left w:val="single" w:color="auto" w:sz="4" w:space="0"/>
              <w:right w:val="single" w:color="auto" w:sz="4" w:space="0"/>
            </w:tcBorders>
            <w:vAlign w:val="top"/>
          </w:tcPr>
          <w:p w14:paraId="17FFE16F">
            <w:pPr>
              <w:widowControl w:val="0"/>
              <w:rPr>
                <w:rFonts w:hint="eastAsia" w:ascii="宋体" w:hAnsi="宋体" w:eastAsia="宋体" w:cs="宋体"/>
                <w:color w:val="auto"/>
                <w:sz w:val="21"/>
                <w:szCs w:val="21"/>
                <w:highlight w:val="none"/>
              </w:rPr>
            </w:pPr>
          </w:p>
        </w:tc>
      </w:tr>
      <w:tr w14:paraId="08D490C3">
        <w:tblPrEx>
          <w:tblCellMar>
            <w:top w:w="0" w:type="dxa"/>
            <w:left w:w="10" w:type="dxa"/>
            <w:bottom w:w="0" w:type="dxa"/>
            <w:right w:w="10" w:type="dxa"/>
          </w:tblCellMar>
        </w:tblPrEx>
        <w:trPr>
          <w:trHeight w:val="637" w:hRule="exact"/>
          <w:jc w:val="center"/>
        </w:trPr>
        <w:tc>
          <w:tcPr>
            <w:tcW w:w="1919" w:type="dxa"/>
            <w:tcBorders>
              <w:top w:val="single" w:color="auto" w:sz="4" w:space="0"/>
              <w:left w:val="single" w:color="auto" w:sz="4" w:space="0"/>
            </w:tcBorders>
            <w:vAlign w:val="center"/>
          </w:tcPr>
          <w:p w14:paraId="3895A345">
            <w:pPr>
              <w:pStyle w:val="85"/>
              <w:keepNext w:val="0"/>
              <w:keepLines w:val="0"/>
              <w:widowControl w:val="0"/>
              <w:shd w:val="clear" w:color="auto" w:fill="auto"/>
              <w:bidi w:val="0"/>
              <w:spacing w:before="0" w:after="0" w:line="306" w:lineRule="exact"/>
              <w:ind w:left="0" w:right="0" w:firstLine="0"/>
              <w:jc w:val="center"/>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项目负责人姓名</w:t>
            </w:r>
          </w:p>
        </w:tc>
        <w:tc>
          <w:tcPr>
            <w:tcW w:w="7196" w:type="dxa"/>
            <w:tcBorders>
              <w:top w:val="single" w:color="auto" w:sz="4" w:space="0"/>
              <w:left w:val="single" w:color="auto" w:sz="4" w:space="0"/>
              <w:right w:val="single" w:color="auto" w:sz="4" w:space="0"/>
            </w:tcBorders>
            <w:vAlign w:val="top"/>
          </w:tcPr>
          <w:p w14:paraId="7990DAC2">
            <w:pPr>
              <w:widowControl w:val="0"/>
              <w:rPr>
                <w:rFonts w:hint="eastAsia" w:ascii="宋体" w:hAnsi="宋体" w:eastAsia="宋体" w:cs="宋体"/>
                <w:color w:val="auto"/>
                <w:sz w:val="21"/>
                <w:szCs w:val="21"/>
                <w:highlight w:val="none"/>
              </w:rPr>
            </w:pPr>
          </w:p>
        </w:tc>
      </w:tr>
      <w:tr w14:paraId="4BCF6126">
        <w:tblPrEx>
          <w:tblCellMar>
            <w:top w:w="0" w:type="dxa"/>
            <w:left w:w="10" w:type="dxa"/>
            <w:bottom w:w="0" w:type="dxa"/>
            <w:right w:w="10" w:type="dxa"/>
          </w:tblCellMar>
        </w:tblPrEx>
        <w:trPr>
          <w:trHeight w:val="482" w:hRule="exact"/>
          <w:jc w:val="center"/>
        </w:trPr>
        <w:tc>
          <w:tcPr>
            <w:tcW w:w="1919" w:type="dxa"/>
            <w:tcBorders>
              <w:top w:val="single" w:color="auto" w:sz="4" w:space="0"/>
              <w:left w:val="single" w:color="auto" w:sz="4" w:space="0"/>
            </w:tcBorders>
            <w:vAlign w:val="center"/>
          </w:tcPr>
          <w:p w14:paraId="47C1ECCB">
            <w:pPr>
              <w:pStyle w:val="85"/>
              <w:keepNext w:val="0"/>
              <w:keepLines w:val="0"/>
              <w:widowControl w:val="0"/>
              <w:shd w:val="clear" w:color="auto" w:fill="auto"/>
              <w:bidi w:val="0"/>
              <w:spacing w:before="120" w:after="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项目实施时间</w:t>
            </w:r>
          </w:p>
        </w:tc>
        <w:tc>
          <w:tcPr>
            <w:tcW w:w="7196" w:type="dxa"/>
            <w:tcBorders>
              <w:top w:val="single" w:color="auto" w:sz="4" w:space="0"/>
              <w:left w:val="single" w:color="auto" w:sz="4" w:space="0"/>
              <w:right w:val="single" w:color="auto" w:sz="4" w:space="0"/>
            </w:tcBorders>
            <w:vAlign w:val="top"/>
          </w:tcPr>
          <w:p w14:paraId="6BE7866F">
            <w:pPr>
              <w:widowControl w:val="0"/>
              <w:rPr>
                <w:rFonts w:hint="eastAsia" w:ascii="宋体" w:hAnsi="宋体" w:eastAsia="宋体" w:cs="宋体"/>
                <w:color w:val="auto"/>
                <w:sz w:val="21"/>
                <w:szCs w:val="21"/>
                <w:highlight w:val="none"/>
              </w:rPr>
            </w:pPr>
          </w:p>
        </w:tc>
      </w:tr>
      <w:tr w14:paraId="1F8114AD">
        <w:tblPrEx>
          <w:tblCellMar>
            <w:top w:w="0" w:type="dxa"/>
            <w:left w:w="10" w:type="dxa"/>
            <w:bottom w:w="0" w:type="dxa"/>
            <w:right w:w="10" w:type="dxa"/>
          </w:tblCellMar>
        </w:tblPrEx>
        <w:trPr>
          <w:trHeight w:val="1699" w:hRule="exact"/>
          <w:jc w:val="center"/>
        </w:trPr>
        <w:tc>
          <w:tcPr>
            <w:tcW w:w="1919" w:type="dxa"/>
            <w:tcBorders>
              <w:top w:val="single" w:color="auto" w:sz="4" w:space="0"/>
              <w:left w:val="single" w:color="auto" w:sz="4" w:space="0"/>
              <w:bottom w:val="single" w:color="auto" w:sz="4" w:space="0"/>
            </w:tcBorders>
            <w:vAlign w:val="center"/>
          </w:tcPr>
          <w:p w14:paraId="6E44D973">
            <w:pPr>
              <w:pStyle w:val="85"/>
              <w:keepNext w:val="0"/>
              <w:keepLines w:val="0"/>
              <w:widowControl w:val="0"/>
              <w:shd w:val="clear" w:color="auto" w:fill="auto"/>
              <w:bidi w:val="0"/>
              <w:spacing w:before="0" w:after="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项目内容说明</w:t>
            </w:r>
          </w:p>
        </w:tc>
        <w:tc>
          <w:tcPr>
            <w:tcW w:w="7196" w:type="dxa"/>
            <w:tcBorders>
              <w:top w:val="single" w:color="auto" w:sz="4" w:space="0"/>
              <w:left w:val="single" w:color="auto" w:sz="4" w:space="0"/>
              <w:bottom w:val="single" w:color="auto" w:sz="4" w:space="0"/>
              <w:right w:val="single" w:color="auto" w:sz="4" w:space="0"/>
            </w:tcBorders>
            <w:vAlign w:val="top"/>
          </w:tcPr>
          <w:p w14:paraId="2D81B2A0">
            <w:pPr>
              <w:widowControl w:val="0"/>
              <w:rPr>
                <w:rFonts w:hint="eastAsia" w:ascii="宋体" w:hAnsi="宋体" w:eastAsia="宋体" w:cs="宋体"/>
                <w:color w:val="auto"/>
                <w:sz w:val="21"/>
                <w:szCs w:val="21"/>
                <w:highlight w:val="none"/>
              </w:rPr>
            </w:pPr>
          </w:p>
        </w:tc>
      </w:tr>
    </w:tbl>
    <w:p w14:paraId="7785E3CC">
      <w:pPr>
        <w:rPr>
          <w:rFonts w:hint="eastAsia" w:ascii="仿宋" w:hAnsi="仿宋" w:eastAsia="仿宋" w:cs="仿宋"/>
          <w:color w:val="auto"/>
          <w:spacing w:val="-1"/>
          <w:kern w:val="0"/>
          <w:sz w:val="24"/>
          <w:highlight w:val="none"/>
        </w:rPr>
      </w:pPr>
    </w:p>
    <w:p w14:paraId="6B25D45D">
      <w:pPr>
        <w:pStyle w:val="10"/>
        <w:numPr>
          <w:ilvl w:val="0"/>
          <w:numId w:val="0"/>
        </w:numPr>
        <w:tabs>
          <w:tab w:val="left" w:pos="8227"/>
        </w:tabs>
        <w:kinsoku w:val="0"/>
        <w:overflowPunct w:val="0"/>
        <w:spacing w:line="381" w:lineRule="auto"/>
        <w:ind w:left="1680" w:leftChars="0" w:right="118" w:rightChars="0"/>
        <w:rPr>
          <w:rFonts w:hint="eastAsia" w:ascii="宋体" w:hAnsi="宋体" w:eastAsia="宋体" w:cs="宋体"/>
          <w:color w:val="auto"/>
          <w:sz w:val="21"/>
          <w:szCs w:val="21"/>
          <w:highlight w:val="none"/>
        </w:rPr>
      </w:pPr>
    </w:p>
    <w:p w14:paraId="39CE3A90">
      <w:pPr>
        <w:pStyle w:val="10"/>
        <w:numPr>
          <w:ilvl w:val="0"/>
          <w:numId w:val="0"/>
        </w:numPr>
        <w:tabs>
          <w:tab w:val="left" w:pos="8227"/>
        </w:tabs>
        <w:kinsoku w:val="0"/>
        <w:overflowPunct w:val="0"/>
        <w:spacing w:line="381" w:lineRule="auto"/>
        <w:ind w:left="1680" w:leftChars="0" w:right="118" w:rightChars="0"/>
        <w:rPr>
          <w:rFonts w:hint="eastAsia" w:ascii="宋体" w:hAnsi="宋体" w:eastAsia="宋体" w:cs="宋体"/>
          <w:color w:val="auto"/>
          <w:sz w:val="21"/>
          <w:szCs w:val="21"/>
          <w:highlight w:val="none"/>
        </w:rPr>
      </w:pPr>
    </w:p>
    <w:p w14:paraId="144BE337">
      <w:pPr>
        <w:pStyle w:val="10"/>
        <w:numPr>
          <w:ilvl w:val="0"/>
          <w:numId w:val="0"/>
        </w:numPr>
        <w:tabs>
          <w:tab w:val="left" w:pos="8227"/>
        </w:tabs>
        <w:kinsoku w:val="0"/>
        <w:overflowPunct w:val="0"/>
        <w:spacing w:line="381" w:lineRule="auto"/>
        <w:ind w:left="1680" w:leftChars="0" w:right="118" w:rightChars="0"/>
        <w:rPr>
          <w:rFonts w:hint="eastAsia" w:ascii="宋体" w:hAnsi="宋体" w:eastAsia="宋体" w:cs="宋体"/>
          <w:color w:val="auto"/>
          <w:sz w:val="21"/>
          <w:szCs w:val="21"/>
          <w:highlight w:val="none"/>
        </w:rPr>
      </w:pPr>
    </w:p>
    <w:p w14:paraId="2DB7F2CD">
      <w:pPr>
        <w:pStyle w:val="10"/>
        <w:numPr>
          <w:ilvl w:val="0"/>
          <w:numId w:val="0"/>
        </w:numPr>
        <w:tabs>
          <w:tab w:val="left" w:pos="8227"/>
        </w:tabs>
        <w:kinsoku w:val="0"/>
        <w:overflowPunct w:val="0"/>
        <w:spacing w:line="381" w:lineRule="auto"/>
        <w:ind w:left="1680" w:leftChars="0" w:right="118" w:rightChars="0"/>
        <w:rPr>
          <w:rFonts w:hint="eastAsia" w:ascii="宋体" w:hAnsi="宋体" w:eastAsia="宋体" w:cs="宋体"/>
          <w:color w:val="auto"/>
          <w:sz w:val="21"/>
          <w:szCs w:val="21"/>
          <w:highlight w:val="none"/>
        </w:rPr>
      </w:pPr>
    </w:p>
    <w:p w14:paraId="1E1E1960">
      <w:pPr>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投标人：</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（盖章）</w:t>
      </w:r>
    </w:p>
    <w:p w14:paraId="7E611989">
      <w:pPr>
        <w:pStyle w:val="21"/>
        <w:rPr>
          <w:rFonts w:hint="eastAsia"/>
          <w:highlight w:val="none"/>
          <w:lang w:val="en-US" w:eastAsia="zh-CN"/>
        </w:rPr>
      </w:pPr>
    </w:p>
    <w:p w14:paraId="56BCF764">
      <w:pPr>
        <w:pStyle w:val="10"/>
        <w:numPr>
          <w:ilvl w:val="0"/>
          <w:numId w:val="0"/>
        </w:numPr>
        <w:tabs>
          <w:tab w:val="left" w:pos="8227"/>
        </w:tabs>
        <w:kinsoku w:val="0"/>
        <w:overflowPunct w:val="0"/>
        <w:spacing w:line="381" w:lineRule="auto"/>
        <w:ind w:left="1680" w:leftChars="0" w:right="118" w:rightChars="0"/>
        <w:rPr>
          <w:rFonts w:hint="eastAsia" w:ascii="宋体" w:hAnsi="宋体" w:eastAsia="宋体" w:cs="宋体"/>
          <w:color w:val="auto"/>
          <w:w w:val="95"/>
          <w:sz w:val="21"/>
          <w:szCs w:val="21"/>
          <w:highlight w:val="none"/>
        </w:rPr>
      </w:pPr>
      <w:r>
        <w:rPr>
          <w:rFonts w:hint="eastAsia" w:ascii="宋体" w:hAnsi="宋体" w:eastAsia="宋体" w:cs="宋体"/>
          <w:color w:val="auto"/>
          <w:sz w:val="21"/>
          <w:szCs w:val="21"/>
          <w:highlight w:val="none"/>
        </w:rPr>
        <w:t>法定代表人或被授权人：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kern w:val="2"/>
          <w:sz w:val="21"/>
          <w:szCs w:val="21"/>
          <w:highlight w:val="none"/>
          <w:lang w:val="en-US" w:eastAsia="zh-CN" w:bidi="ar-SA"/>
        </w:rPr>
        <w:t>(签字或盖章）</w:t>
      </w:r>
    </w:p>
    <w:p w14:paraId="45D08CE3">
      <w:pPr>
        <w:pStyle w:val="10"/>
        <w:numPr>
          <w:ilvl w:val="0"/>
          <w:numId w:val="0"/>
        </w:numPr>
        <w:tabs>
          <w:tab w:val="left" w:pos="5551"/>
          <w:tab w:val="left" w:pos="6511"/>
          <w:tab w:val="left" w:pos="7111"/>
          <w:tab w:val="left" w:pos="7711"/>
        </w:tabs>
        <w:kinsoku w:val="0"/>
        <w:overflowPunct w:val="0"/>
        <w:spacing w:before="46"/>
        <w:ind w:right="0" w:rightChars="0" w:firstLine="3816" w:firstLineChars="18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rPr>
        <w:t>日</w:t>
      </w:r>
    </w:p>
    <w:p w14:paraId="4D426246">
      <w:pPr>
        <w:pStyle w:val="83"/>
        <w:keepNext w:val="0"/>
        <w:keepLines w:val="0"/>
        <w:widowControl w:val="0"/>
        <w:shd w:val="clear" w:color="auto" w:fill="auto"/>
        <w:bidi w:val="0"/>
        <w:spacing w:before="0" w:after="580" w:line="240" w:lineRule="auto"/>
        <w:ind w:left="0" w:right="0" w:firstLine="360"/>
        <w:jc w:val="left"/>
        <w:rPr>
          <w:rFonts w:hint="eastAsia" w:ascii="仿宋" w:hAnsi="仿宋" w:eastAsia="仿宋" w:cs="仿宋"/>
          <w:color w:val="auto"/>
          <w:spacing w:val="0"/>
          <w:w w:val="100"/>
          <w:position w:val="0"/>
          <w:highlight w:val="none"/>
        </w:rPr>
      </w:pPr>
    </w:p>
    <w:p w14:paraId="57D055B1">
      <w:pPr>
        <w:pStyle w:val="3"/>
        <w:numPr>
          <w:ilvl w:val="0"/>
          <w:numId w:val="0"/>
        </w:numPr>
        <w:shd w:val="clear" w:color="auto" w:fill="auto"/>
        <w:spacing w:before="0" w:line="240" w:lineRule="atLeast"/>
        <w:jc w:val="both"/>
        <w:rPr>
          <w:rFonts w:hint="eastAsia" w:ascii="宋体" w:hAnsi="宋体" w:eastAsia="宋体" w:cs="宋体"/>
          <w:color w:val="auto"/>
          <w:highlight w:val="none"/>
        </w:rPr>
      </w:pPr>
    </w:p>
    <w:p w14:paraId="2BED2EA2">
      <w:pPr>
        <w:rPr>
          <w:rFonts w:hint="eastAsia" w:ascii="宋体" w:hAnsi="宋体" w:eastAsia="宋体" w:cs="宋体"/>
          <w:color w:val="auto"/>
          <w:highlight w:val="none"/>
        </w:rPr>
      </w:pPr>
    </w:p>
    <w:p w14:paraId="34ACBAB4">
      <w:pPr>
        <w:pStyle w:val="4"/>
        <w:jc w:val="center"/>
        <w:rPr>
          <w:rFonts w:hint="eastAsia" w:ascii="宋体" w:hAnsi="宋体" w:eastAsia="宋体" w:cs="宋体"/>
          <w:b/>
          <w:bCs/>
          <w:color w:val="auto"/>
          <w:sz w:val="24"/>
          <w:highlight w:val="none"/>
          <w:lang w:val="en-US" w:eastAsia="zh-CN"/>
        </w:rPr>
      </w:pPr>
      <w:bookmarkStart w:id="213" w:name="_Toc6707"/>
      <w:bookmarkStart w:id="214" w:name="_Toc19122"/>
      <w:r>
        <w:rPr>
          <w:rFonts w:hint="eastAsia" w:ascii="宋体" w:hAnsi="宋体" w:cs="宋体"/>
          <w:b/>
          <w:bCs/>
          <w:color w:val="auto"/>
          <w:kern w:val="0"/>
          <w:sz w:val="24"/>
          <w:szCs w:val="20"/>
          <w:highlight w:val="none"/>
          <w:u w:val="none"/>
          <w:lang w:val="en-US" w:eastAsia="zh-CN" w:bidi="ar-SA"/>
        </w:rPr>
        <w:t>9</w:t>
      </w:r>
      <w:r>
        <w:rPr>
          <w:rFonts w:hint="eastAsia" w:ascii="宋体" w:hAnsi="宋体" w:eastAsia="宋体" w:cs="宋体"/>
          <w:b/>
          <w:bCs/>
          <w:color w:val="auto"/>
          <w:kern w:val="0"/>
          <w:sz w:val="24"/>
          <w:szCs w:val="20"/>
          <w:highlight w:val="none"/>
          <w:u w:val="none"/>
          <w:lang w:val="en-US" w:eastAsia="zh-CN" w:bidi="ar-SA"/>
        </w:rPr>
        <w:t>、中小企业声明函(货物)</w:t>
      </w:r>
      <w:bookmarkEnd w:id="213"/>
      <w:bookmarkEnd w:id="214"/>
    </w:p>
    <w:bookmarkEnd w:id="206"/>
    <w:bookmarkEnd w:id="207"/>
    <w:bookmarkEnd w:id="208"/>
    <w:bookmarkEnd w:id="209"/>
    <w:p w14:paraId="1E4924E8">
      <w:pPr>
        <w:widowControl/>
        <w:spacing w:before="100" w:beforeAutospacing="1" w:after="100" w:afterAutospacing="1" w:line="330" w:lineRule="atLeast"/>
        <w:ind w:firstLine="424" w:firstLineChars="200"/>
        <w:jc w:val="left"/>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本公司（联合体）郑重声明，根据《政府采购促进中小企业发展管理办法》（财库[2020]46号）的规定，本公司（联合体）参加（单位名称）的（项目名称）采购活动，提供的货物全部由符合政策要求的中小企业制造。相关企业（含联合体中的中小企业、签订分包意向协议的中小企业）的具体情况如下：</w:t>
      </w:r>
    </w:p>
    <w:p w14:paraId="798FB62B">
      <w:pPr>
        <w:widowControl/>
        <w:spacing w:before="100" w:beforeAutospacing="1" w:after="100" w:afterAutospacing="1" w:line="330" w:lineRule="atLeast"/>
        <w:ind w:firstLine="424" w:firstLineChars="200"/>
        <w:jc w:val="left"/>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1.    （标的名称），属于    （采购文件中明确的所属行业） ；制造商为   （企业名称），从业人员      人，营业收入为        万元，资产总额为     万元，属于（中型企业、小型企业、微型企业）；</w:t>
      </w:r>
    </w:p>
    <w:p w14:paraId="0630A46E">
      <w:pPr>
        <w:widowControl/>
        <w:spacing w:before="100" w:beforeAutospacing="1" w:after="100" w:afterAutospacing="1" w:line="330" w:lineRule="atLeast"/>
        <w:ind w:firstLine="424" w:firstLineChars="200"/>
        <w:jc w:val="left"/>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2.      （标的名称），属于    （采购文件中明确的所属行业） ；制造商为    （企业名称），从业人员    人，营业收入为    万元，资产总额为    万元，属于   （中型企业、小型企业、微型企业）；</w:t>
      </w:r>
    </w:p>
    <w:p w14:paraId="0B5CF504">
      <w:pPr>
        <w:widowControl/>
        <w:spacing w:before="100" w:beforeAutospacing="1" w:after="100" w:afterAutospacing="1" w:line="330" w:lineRule="atLeast"/>
        <w:ind w:firstLine="424" w:firstLineChars="200"/>
        <w:jc w:val="left"/>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w:t>
      </w:r>
    </w:p>
    <w:p w14:paraId="2BC821AC">
      <w:pPr>
        <w:widowControl/>
        <w:spacing w:before="100" w:beforeAutospacing="1" w:after="100" w:afterAutospacing="1" w:line="330" w:lineRule="atLeast"/>
        <w:ind w:firstLine="424" w:firstLineChars="200"/>
        <w:jc w:val="left"/>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以上企业，不属于大企业的分支机构，不存在控股股东为大企业的情形，也不存在与大企业的负责人为同一人的情形。</w:t>
      </w:r>
    </w:p>
    <w:p w14:paraId="4AA2CFCD">
      <w:pPr>
        <w:widowControl/>
        <w:spacing w:before="100" w:beforeAutospacing="1" w:after="100" w:afterAutospacing="1" w:line="330" w:lineRule="atLeast"/>
        <w:ind w:firstLine="424" w:firstLineChars="200"/>
        <w:jc w:val="left"/>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 xml:space="preserve">本企业对上述声明内容的真实性负责。如有虚假，将依法承担相应责任。                   </w:t>
      </w:r>
    </w:p>
    <w:p w14:paraId="2C5ACEB2">
      <w:pPr>
        <w:pStyle w:val="7"/>
        <w:rPr>
          <w:rFonts w:hint="eastAsia"/>
          <w:color w:val="auto"/>
          <w:sz w:val="21"/>
          <w:szCs w:val="21"/>
          <w:highlight w:val="none"/>
        </w:rPr>
      </w:pPr>
    </w:p>
    <w:p w14:paraId="47D2DFC3">
      <w:pPr>
        <w:widowControl/>
        <w:spacing w:before="100" w:beforeAutospacing="1" w:after="100" w:afterAutospacing="1" w:line="330" w:lineRule="atLeast"/>
        <w:ind w:firstLine="4558" w:firstLineChars="2150"/>
        <w:jc w:val="left"/>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 xml:space="preserve"> 企业名称（盖章）：</w:t>
      </w:r>
    </w:p>
    <w:p w14:paraId="6C42D22A">
      <w:pPr>
        <w:widowControl/>
        <w:spacing w:before="100" w:beforeAutospacing="1" w:after="100" w:afterAutospacing="1" w:line="330" w:lineRule="atLeast"/>
        <w:ind w:left="5422" w:leftChars="2508" w:hanging="106" w:hangingChars="50"/>
        <w:jc w:val="left"/>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rPr>
        <w:t xml:space="preserve">                                               日期</w:t>
      </w:r>
      <w:r>
        <w:rPr>
          <w:rFonts w:hint="eastAsia" w:ascii="宋体" w:hAnsi="宋体" w:cs="宋体"/>
          <w:color w:val="auto"/>
          <w:kern w:val="0"/>
          <w:sz w:val="21"/>
          <w:szCs w:val="21"/>
          <w:highlight w:val="none"/>
          <w:lang w:eastAsia="zh-CN"/>
        </w:rPr>
        <w:t>：</w:t>
      </w:r>
    </w:p>
    <w:p w14:paraId="276A339F">
      <w:pPr>
        <w:widowControl/>
        <w:spacing w:before="100" w:beforeAutospacing="1" w:after="100" w:afterAutospacing="1" w:line="330" w:lineRule="atLeast"/>
        <w:ind w:firstLine="2756" w:firstLineChars="1300"/>
        <w:jc w:val="left"/>
        <w:rPr>
          <w:rFonts w:ascii="宋体" w:hAnsi="宋体" w:cs="宋体"/>
          <w:color w:val="auto"/>
          <w:kern w:val="0"/>
          <w:sz w:val="21"/>
          <w:szCs w:val="21"/>
          <w:highlight w:val="none"/>
        </w:rPr>
      </w:pPr>
    </w:p>
    <w:p w14:paraId="5CBB2EAA">
      <w:pPr>
        <w:widowControl/>
        <w:kinsoku/>
        <w:topLinePunct w:val="0"/>
        <w:bidi w:val="0"/>
        <w:spacing w:before="100" w:beforeAutospacing="1" w:after="100" w:afterAutospacing="1" w:line="380" w:lineRule="exact"/>
        <w:ind w:firstLine="3146" w:firstLineChars="13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w:t>
      </w:r>
    </w:p>
    <w:p w14:paraId="57016BC2">
      <w:pPr>
        <w:pStyle w:val="53"/>
        <w:kinsoku/>
        <w:topLinePunct w:val="0"/>
        <w:bidi w:val="0"/>
        <w:spacing w:line="380" w:lineRule="exact"/>
        <w:rPr>
          <w:rFonts w:hint="eastAsia" w:ascii="宋体" w:hAnsi="宋体" w:eastAsia="宋体" w:cs="宋体"/>
          <w:color w:val="auto"/>
          <w:kern w:val="0"/>
          <w:sz w:val="24"/>
          <w:highlight w:val="none"/>
        </w:rPr>
      </w:pPr>
    </w:p>
    <w:p w14:paraId="1CEAF531">
      <w:pPr>
        <w:pStyle w:val="53"/>
        <w:kinsoku/>
        <w:topLinePunct w:val="0"/>
        <w:bidi w:val="0"/>
        <w:spacing w:line="380" w:lineRule="exact"/>
        <w:rPr>
          <w:rFonts w:hint="eastAsia" w:ascii="宋体" w:hAnsi="宋体" w:eastAsia="宋体" w:cs="宋体"/>
          <w:color w:val="auto"/>
          <w:kern w:val="0"/>
          <w:sz w:val="24"/>
          <w:highlight w:val="none"/>
        </w:rPr>
      </w:pPr>
    </w:p>
    <w:p w14:paraId="561677F5">
      <w:pPr>
        <w:keepNext w:val="0"/>
        <w:keepLines w:val="0"/>
        <w:widowControl/>
        <w:suppressLineNumbers w:val="0"/>
        <w:jc w:val="left"/>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kern w:val="0"/>
          <w:sz w:val="18"/>
          <w:szCs w:val="18"/>
          <w:highlight w:val="none"/>
          <w:lang w:val="en-US" w:eastAsia="zh-CN" w:bidi="ar"/>
        </w:rPr>
        <w:t>注：从业人员、营业收入、资产总额填报上一年度数据，无上一年度数据的新成立企业可不填报。</w:t>
      </w:r>
    </w:p>
    <w:p w14:paraId="29E68C12">
      <w:pPr>
        <w:widowControl/>
        <w:kinsoku/>
        <w:topLinePunct w:val="0"/>
        <w:bidi w:val="0"/>
        <w:spacing w:before="100" w:beforeAutospacing="1" w:after="100" w:afterAutospacing="1" w:line="380" w:lineRule="exact"/>
        <w:ind w:firstLine="420"/>
        <w:jc w:val="left"/>
        <w:rPr>
          <w:rFonts w:hint="eastAsia" w:ascii="宋体" w:hAnsi="宋体" w:eastAsia="宋体" w:cs="宋体"/>
          <w:color w:val="auto"/>
          <w:kern w:val="0"/>
          <w:sz w:val="24"/>
          <w:highlight w:val="none"/>
        </w:rPr>
      </w:pPr>
    </w:p>
    <w:p w14:paraId="537FFFDB">
      <w:pPr>
        <w:kinsoku/>
        <w:topLinePunct w:val="0"/>
        <w:bidi w:val="0"/>
        <w:spacing w:line="380" w:lineRule="exact"/>
        <w:rPr>
          <w:rFonts w:hint="eastAsia" w:ascii="宋体" w:hAnsi="宋体" w:eastAsia="宋体" w:cs="宋体"/>
          <w:color w:val="auto"/>
          <w:highlight w:val="none"/>
        </w:rPr>
      </w:pPr>
      <w:bookmarkStart w:id="215" w:name="_Toc10977"/>
      <w:bookmarkStart w:id="216" w:name="_Toc515647824"/>
      <w:bookmarkStart w:id="217" w:name="_Toc11803"/>
      <w:bookmarkStart w:id="218" w:name="_Toc10877"/>
    </w:p>
    <w:bookmarkEnd w:id="215"/>
    <w:bookmarkEnd w:id="216"/>
    <w:bookmarkEnd w:id="217"/>
    <w:bookmarkEnd w:id="218"/>
    <w:p w14:paraId="538C4333">
      <w:pPr>
        <w:pStyle w:val="3"/>
        <w:numPr>
          <w:ilvl w:val="0"/>
          <w:numId w:val="0"/>
        </w:numPr>
        <w:shd w:val="clear" w:color="auto" w:fill="auto"/>
        <w:spacing w:before="0" w:line="240" w:lineRule="atLeast"/>
        <w:jc w:val="center"/>
        <w:rPr>
          <w:rFonts w:hint="eastAsia" w:ascii="宋体" w:hAnsi="宋体" w:eastAsia="宋体" w:cs="宋体"/>
          <w:b/>
          <w:bCs/>
          <w:color w:val="auto"/>
          <w:sz w:val="24"/>
          <w:highlight w:val="none"/>
          <w:lang w:val="en-US" w:eastAsia="zh-CN"/>
        </w:rPr>
      </w:pPr>
      <w:bookmarkStart w:id="219" w:name="_Toc19284"/>
      <w:bookmarkStart w:id="220" w:name="OLE_LINK14"/>
      <w:bookmarkStart w:id="221" w:name="OLE_LINK13"/>
      <w:bookmarkStart w:id="222" w:name="_Toc515647825"/>
      <w:bookmarkStart w:id="223" w:name="_Toc23068"/>
      <w:bookmarkStart w:id="224" w:name="_Toc8010"/>
      <w:r>
        <w:rPr>
          <w:rFonts w:hint="eastAsia" w:ascii="宋体" w:hAnsi="宋体" w:eastAsia="宋体" w:cs="宋体"/>
          <w:b/>
          <w:bCs/>
          <w:color w:val="auto"/>
          <w:highlight w:val="none"/>
        </w:rPr>
        <w:t xml:space="preserve"> </w:t>
      </w:r>
      <w:bookmarkEnd w:id="219"/>
      <w:bookmarkEnd w:id="220"/>
      <w:bookmarkEnd w:id="221"/>
      <w:bookmarkEnd w:id="222"/>
      <w:bookmarkEnd w:id="223"/>
      <w:bookmarkEnd w:id="224"/>
      <w:bookmarkStart w:id="225" w:name="_Toc6386"/>
    </w:p>
    <w:p w14:paraId="3E9AE689">
      <w:pPr>
        <w:spacing w:line="360" w:lineRule="auto"/>
        <w:jc w:val="center"/>
        <w:rPr>
          <w:rFonts w:hint="eastAsia" w:asciiTheme="minorEastAsia" w:hAnsiTheme="minorEastAsia" w:eastAsiaTheme="minorEastAsia" w:cstheme="minorEastAsia"/>
          <w:b/>
          <w:bCs/>
          <w:color w:val="auto"/>
          <w:sz w:val="36"/>
          <w:szCs w:val="36"/>
          <w:highlight w:val="none"/>
          <w:lang w:val="en-US" w:eastAsia="zh-CN" w:bidi="en-US"/>
        </w:rPr>
      </w:pPr>
      <w:bookmarkStart w:id="226" w:name="_Toc5426"/>
      <w:bookmarkStart w:id="227" w:name="_Toc7513"/>
    </w:p>
    <w:p w14:paraId="2B9B4DF0">
      <w:pPr>
        <w:spacing w:line="360" w:lineRule="auto"/>
        <w:jc w:val="center"/>
        <w:rPr>
          <w:rFonts w:hint="eastAsia" w:asciiTheme="minorEastAsia" w:hAnsiTheme="minorEastAsia" w:eastAsiaTheme="minorEastAsia" w:cstheme="minorEastAsia"/>
          <w:b/>
          <w:bCs/>
          <w:color w:val="auto"/>
          <w:sz w:val="28"/>
          <w:szCs w:val="28"/>
          <w:highlight w:val="none"/>
          <w:lang w:val="en-US" w:eastAsia="zh-CN" w:bidi="en-US"/>
        </w:rPr>
      </w:pPr>
      <w:r>
        <w:rPr>
          <w:rFonts w:hint="eastAsia" w:asciiTheme="minorEastAsia" w:hAnsiTheme="minorEastAsia" w:eastAsiaTheme="minorEastAsia" w:cstheme="minorEastAsia"/>
          <w:b/>
          <w:bCs/>
          <w:color w:val="auto"/>
          <w:sz w:val="28"/>
          <w:szCs w:val="28"/>
          <w:highlight w:val="none"/>
          <w:lang w:val="en-US" w:eastAsia="zh-CN" w:bidi="en-US"/>
        </w:rPr>
        <w:t>10、关于符合本国产品标准的声明函</w:t>
      </w:r>
    </w:p>
    <w:p w14:paraId="20C69499">
      <w:pPr>
        <w:adjustRightInd w:val="0"/>
        <w:snapToGrid w:val="0"/>
        <w:spacing w:line="360" w:lineRule="auto"/>
        <w:ind w:firstLine="530" w:firstLineChars="250"/>
        <w:rPr>
          <w:rFonts w:hint="eastAsia" w:ascii="宋体" w:hAnsi="宋体" w:eastAsia="宋体" w:cs="Times New Roman"/>
          <w:b/>
          <w:bCs/>
          <w:color w:val="auto"/>
          <w:sz w:val="21"/>
          <w:szCs w:val="21"/>
          <w:highlight w:val="none"/>
          <w:lang w:val="en-US" w:eastAsia="zh-CN"/>
        </w:rPr>
      </w:pPr>
    </w:p>
    <w:p w14:paraId="79C8DD12">
      <w:pPr>
        <w:adjustRightInd w:val="0"/>
        <w:snapToGrid w:val="0"/>
        <w:spacing w:line="360" w:lineRule="auto"/>
        <w:ind w:firstLine="530" w:firstLineChars="250"/>
        <w:rPr>
          <w:rFonts w:hint="eastAsia" w:ascii="宋体" w:hAnsi="宋体" w:eastAsia="宋体" w:cs="Times New Roman"/>
          <w:b/>
          <w:bCs/>
          <w:color w:val="auto"/>
          <w:sz w:val="21"/>
          <w:szCs w:val="21"/>
          <w:highlight w:val="none"/>
          <w:lang w:val="en-US" w:eastAsia="zh-CN"/>
        </w:rPr>
      </w:pPr>
      <w:r>
        <w:rPr>
          <w:rFonts w:hint="eastAsia" w:ascii="宋体" w:hAnsi="宋体" w:eastAsia="宋体" w:cs="Times New Roman"/>
          <w:b/>
          <w:bCs/>
          <w:color w:val="auto"/>
          <w:sz w:val="21"/>
          <w:szCs w:val="21"/>
          <w:highlight w:val="none"/>
          <w:lang w:val="en-US" w:eastAsia="zh-CN"/>
        </w:rPr>
        <w:t>注：</w:t>
      </w:r>
    </w:p>
    <w:p w14:paraId="397843F4">
      <w:pPr>
        <w:adjustRightInd w:val="0"/>
        <w:snapToGrid w:val="0"/>
        <w:spacing w:line="360" w:lineRule="auto"/>
        <w:ind w:firstLine="530" w:firstLineChars="250"/>
        <w:rPr>
          <w:rFonts w:hint="eastAsia" w:ascii="宋体" w:hAnsi="宋体" w:eastAsia="宋体" w:cs="Times New Roman"/>
          <w:b/>
          <w:bCs/>
          <w:color w:val="auto"/>
          <w:sz w:val="21"/>
          <w:szCs w:val="21"/>
          <w:highlight w:val="none"/>
          <w:lang w:val="en-US" w:eastAsia="zh-CN"/>
        </w:rPr>
      </w:pPr>
      <w:r>
        <w:rPr>
          <w:rFonts w:hint="eastAsia" w:ascii="宋体" w:hAnsi="宋体" w:eastAsia="宋体" w:cs="Times New Roman"/>
          <w:b/>
          <w:bCs/>
          <w:color w:val="auto"/>
          <w:sz w:val="21"/>
          <w:szCs w:val="21"/>
          <w:highlight w:val="none"/>
          <w:lang w:val="en-US" w:eastAsia="zh-CN"/>
        </w:rPr>
        <w:t>1.《</w:t>
      </w:r>
      <w:r>
        <w:rPr>
          <w:rFonts w:hint="eastAsia" w:ascii="宋体" w:hAnsi="宋体" w:eastAsia="宋体" w:cs="Times New Roman"/>
          <w:b/>
          <w:bCs/>
          <w:color w:val="auto"/>
          <w:sz w:val="21"/>
          <w:szCs w:val="21"/>
          <w:highlight w:val="none"/>
        </w:rPr>
        <w:t>国务院办公厅关于在政府采购中实施本国产品标准及相关政策的通知</w:t>
      </w:r>
      <w:r>
        <w:rPr>
          <w:rFonts w:hint="eastAsia" w:ascii="宋体" w:hAnsi="宋体" w:eastAsia="宋体" w:cs="Times New Roman"/>
          <w:b/>
          <w:bCs/>
          <w:color w:val="auto"/>
          <w:sz w:val="21"/>
          <w:szCs w:val="21"/>
          <w:highlight w:val="none"/>
          <w:lang w:eastAsia="zh-CN"/>
        </w:rPr>
        <w:t>》</w:t>
      </w:r>
      <w:r>
        <w:rPr>
          <w:rFonts w:hint="eastAsia" w:ascii="宋体" w:hAnsi="宋体" w:eastAsia="宋体" w:cs="Times New Roman"/>
          <w:b/>
          <w:bCs/>
          <w:color w:val="auto"/>
          <w:sz w:val="21"/>
          <w:szCs w:val="21"/>
          <w:highlight w:val="none"/>
          <w:lang w:val="en-US" w:eastAsia="zh-CN"/>
        </w:rPr>
        <w:t xml:space="preserve"> 第三条：三、对本国产品的支持政策：政府采购活动中既有本国产品又有非本国产品参与竞争的，依法对本国产品给予价格评审优惠，对本国产品的报价给予20%的价格扣除，用扣除后的价格参与评审。</w:t>
      </w:r>
    </w:p>
    <w:p w14:paraId="24B16B74">
      <w:pPr>
        <w:adjustRightInd w:val="0"/>
        <w:snapToGrid w:val="0"/>
        <w:spacing w:line="360" w:lineRule="auto"/>
        <w:ind w:firstLine="530" w:firstLineChars="250"/>
        <w:rPr>
          <w:rFonts w:hint="eastAsia" w:ascii="宋体" w:hAnsi="宋体" w:eastAsia="宋体" w:cs="Times New Roman"/>
          <w:b/>
          <w:bCs/>
          <w:color w:val="auto"/>
          <w:sz w:val="21"/>
          <w:szCs w:val="21"/>
          <w:highlight w:val="none"/>
          <w:lang w:val="en-US" w:eastAsia="zh-CN"/>
        </w:rPr>
      </w:pPr>
      <w:r>
        <w:rPr>
          <w:rFonts w:hint="eastAsia" w:ascii="宋体" w:hAnsi="宋体" w:eastAsia="宋体" w:cs="Times New Roman"/>
          <w:b/>
          <w:bCs/>
          <w:color w:val="auto"/>
          <w:sz w:val="21"/>
          <w:szCs w:val="21"/>
          <w:highlight w:val="none"/>
          <w:lang w:val="en-US" w:eastAsia="zh-CN"/>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7EEFE07">
      <w:pPr>
        <w:adjustRightInd w:val="0"/>
        <w:snapToGrid w:val="0"/>
        <w:spacing w:line="360" w:lineRule="auto"/>
        <w:ind w:firstLine="530" w:firstLineChars="250"/>
        <w:rPr>
          <w:rFonts w:hint="eastAsia" w:ascii="宋体" w:hAnsi="宋体" w:eastAsia="宋体" w:cs="Times New Roman"/>
          <w:b/>
          <w:bCs/>
          <w:color w:val="auto"/>
          <w:sz w:val="21"/>
          <w:szCs w:val="21"/>
          <w:highlight w:val="none"/>
          <w:lang w:val="en-US" w:eastAsia="zh-CN"/>
        </w:rPr>
      </w:pPr>
      <w:r>
        <w:rPr>
          <w:rFonts w:hint="eastAsia" w:ascii="宋体" w:hAnsi="宋体" w:eastAsia="宋体" w:cs="Times New Roman"/>
          <w:b/>
          <w:bCs/>
          <w:color w:val="auto"/>
          <w:sz w:val="21"/>
          <w:szCs w:val="21"/>
          <w:highlight w:val="none"/>
          <w:lang w:val="en-US" w:eastAsia="zh-CN"/>
        </w:rPr>
        <w:t>投标人提供所投产品如全部为进口产品，或者提供符合本国标准的产品成本之和未占全部产品成本之和的比例未达到80%以上时，可不提供此声明函。</w:t>
      </w:r>
    </w:p>
    <w:p w14:paraId="7CE8B6F6">
      <w:pPr>
        <w:adjustRightInd w:val="0"/>
        <w:snapToGrid w:val="0"/>
        <w:spacing w:line="360" w:lineRule="auto"/>
        <w:ind w:firstLine="530" w:firstLineChars="250"/>
        <w:rPr>
          <w:rFonts w:hint="eastAsia" w:ascii="宋体" w:hAnsi="宋体" w:eastAsia="宋体" w:cs="Times New Roman"/>
          <w:b/>
          <w:bCs/>
          <w:color w:val="auto"/>
          <w:sz w:val="21"/>
          <w:szCs w:val="21"/>
          <w:highlight w:val="none"/>
          <w:lang w:val="en-US" w:eastAsia="zh-CN"/>
        </w:rPr>
      </w:pPr>
      <w:r>
        <w:rPr>
          <w:rFonts w:hint="eastAsia" w:ascii="宋体" w:hAnsi="宋体" w:eastAsia="宋体" w:cs="Times New Roman"/>
          <w:b/>
          <w:bCs/>
          <w:color w:val="auto"/>
          <w:sz w:val="21"/>
          <w:szCs w:val="21"/>
          <w:highlight w:val="none"/>
          <w:lang w:val="en-US" w:eastAsia="zh-CN"/>
        </w:rPr>
        <w:t>如项目不接受进口产品，可不提供此声明函。</w:t>
      </w:r>
    </w:p>
    <w:p w14:paraId="4750532C">
      <w:pPr>
        <w:adjustRightInd w:val="0"/>
        <w:snapToGrid w:val="0"/>
        <w:spacing w:line="360" w:lineRule="auto"/>
        <w:ind w:firstLine="530" w:firstLineChars="250"/>
        <w:rPr>
          <w:rFonts w:hint="eastAsia" w:ascii="宋体" w:hAnsi="宋体" w:eastAsia="宋体" w:cs="Times New Roman"/>
          <w:b/>
          <w:bCs/>
          <w:color w:val="auto"/>
          <w:sz w:val="21"/>
          <w:szCs w:val="21"/>
          <w:highlight w:val="none"/>
          <w:lang w:val="en-US" w:eastAsia="zh-CN"/>
        </w:rPr>
      </w:pPr>
      <w:r>
        <w:rPr>
          <w:rFonts w:hint="eastAsia" w:ascii="宋体" w:hAnsi="宋体" w:eastAsia="宋体" w:cs="Times New Roman"/>
          <w:b/>
          <w:bCs/>
          <w:color w:val="auto"/>
          <w:sz w:val="21"/>
          <w:szCs w:val="21"/>
          <w:highlight w:val="none"/>
          <w:lang w:val="en-US" w:eastAsia="zh-CN"/>
        </w:rPr>
        <w:t>未提供此声明函，则不享受相关</w:t>
      </w:r>
      <w:r>
        <w:rPr>
          <w:rFonts w:hint="eastAsia" w:ascii="宋体" w:hAnsi="宋体" w:eastAsia="宋体" w:cs="Times New Roman"/>
          <w:b/>
          <w:bCs/>
          <w:color w:val="auto"/>
          <w:sz w:val="21"/>
          <w:szCs w:val="21"/>
          <w:highlight w:val="none"/>
        </w:rPr>
        <w:t>政策</w:t>
      </w:r>
      <w:r>
        <w:rPr>
          <w:rFonts w:hint="eastAsia" w:ascii="宋体" w:hAnsi="宋体" w:eastAsia="宋体" w:cs="Times New Roman"/>
          <w:b/>
          <w:bCs/>
          <w:color w:val="auto"/>
          <w:sz w:val="21"/>
          <w:szCs w:val="21"/>
          <w:highlight w:val="none"/>
          <w:lang w:val="en-US" w:eastAsia="zh-CN"/>
        </w:rPr>
        <w:t>的优惠。</w:t>
      </w:r>
    </w:p>
    <w:p w14:paraId="1F552181">
      <w:pPr>
        <w:spacing w:line="360" w:lineRule="auto"/>
        <w:jc w:val="center"/>
        <w:rPr>
          <w:rFonts w:hint="eastAsia" w:asciiTheme="minorEastAsia" w:hAnsiTheme="minorEastAsia" w:eastAsiaTheme="minorEastAsia" w:cstheme="minorEastAsia"/>
          <w:b/>
          <w:bCs/>
          <w:color w:val="auto"/>
          <w:sz w:val="36"/>
          <w:szCs w:val="36"/>
          <w:highlight w:val="none"/>
          <w:lang w:val="en-US" w:eastAsia="zh-CN" w:bidi="en-US"/>
        </w:rPr>
      </w:pPr>
    </w:p>
    <w:p w14:paraId="38167953">
      <w:pPr>
        <w:spacing w:line="360" w:lineRule="auto"/>
        <w:jc w:val="center"/>
        <w:rPr>
          <w:rFonts w:hint="eastAsia" w:asciiTheme="minorEastAsia" w:hAnsiTheme="minorEastAsia" w:eastAsiaTheme="minorEastAsia" w:cstheme="minorEastAsia"/>
          <w:b/>
          <w:bCs/>
          <w:color w:val="auto"/>
          <w:sz w:val="36"/>
          <w:szCs w:val="36"/>
          <w:highlight w:val="none"/>
          <w:lang w:val="en-US" w:eastAsia="zh-CN" w:bidi="en-US"/>
        </w:rPr>
      </w:pPr>
    </w:p>
    <w:p w14:paraId="35540411">
      <w:pPr>
        <w:spacing w:line="360" w:lineRule="auto"/>
        <w:jc w:val="center"/>
        <w:rPr>
          <w:rFonts w:hint="eastAsia" w:asciiTheme="minorEastAsia" w:hAnsiTheme="minorEastAsia" w:eastAsiaTheme="minorEastAsia" w:cstheme="minorEastAsia"/>
          <w:b/>
          <w:bCs/>
          <w:color w:val="auto"/>
          <w:sz w:val="36"/>
          <w:szCs w:val="36"/>
          <w:highlight w:val="none"/>
          <w:lang w:val="en-US" w:eastAsia="zh-CN" w:bidi="en-US"/>
        </w:rPr>
      </w:pPr>
    </w:p>
    <w:p w14:paraId="4E8A18AA">
      <w:pPr>
        <w:spacing w:line="360" w:lineRule="auto"/>
        <w:jc w:val="center"/>
        <w:rPr>
          <w:rFonts w:hint="eastAsia" w:asciiTheme="minorEastAsia" w:hAnsiTheme="minorEastAsia" w:eastAsiaTheme="minorEastAsia" w:cstheme="minorEastAsia"/>
          <w:b/>
          <w:bCs/>
          <w:color w:val="auto"/>
          <w:sz w:val="36"/>
          <w:szCs w:val="36"/>
          <w:highlight w:val="none"/>
          <w:lang w:val="en-US" w:eastAsia="zh-CN" w:bidi="en-US"/>
        </w:rPr>
      </w:pPr>
    </w:p>
    <w:p w14:paraId="64B9B3EE">
      <w:pPr>
        <w:spacing w:line="360" w:lineRule="auto"/>
        <w:jc w:val="center"/>
        <w:rPr>
          <w:rFonts w:hint="eastAsia" w:asciiTheme="minorEastAsia" w:hAnsiTheme="minorEastAsia" w:eastAsiaTheme="minorEastAsia" w:cstheme="minorEastAsia"/>
          <w:b/>
          <w:bCs/>
          <w:color w:val="auto"/>
          <w:sz w:val="36"/>
          <w:szCs w:val="36"/>
          <w:highlight w:val="none"/>
          <w:lang w:val="en-US" w:eastAsia="zh-CN" w:bidi="en-US"/>
        </w:rPr>
      </w:pPr>
    </w:p>
    <w:p w14:paraId="03F280A0">
      <w:pPr>
        <w:spacing w:line="360" w:lineRule="auto"/>
        <w:jc w:val="center"/>
        <w:rPr>
          <w:rFonts w:hint="eastAsia" w:asciiTheme="minorEastAsia" w:hAnsiTheme="minorEastAsia" w:eastAsiaTheme="minorEastAsia" w:cstheme="minorEastAsia"/>
          <w:b/>
          <w:bCs/>
          <w:color w:val="auto"/>
          <w:sz w:val="36"/>
          <w:szCs w:val="36"/>
          <w:highlight w:val="none"/>
          <w:lang w:val="en-US" w:eastAsia="zh-CN" w:bidi="en-US"/>
        </w:rPr>
      </w:pPr>
    </w:p>
    <w:p w14:paraId="0D801655">
      <w:pPr>
        <w:spacing w:line="360" w:lineRule="auto"/>
        <w:jc w:val="center"/>
        <w:rPr>
          <w:rFonts w:hint="eastAsia" w:asciiTheme="minorEastAsia" w:hAnsiTheme="minorEastAsia" w:eastAsiaTheme="minorEastAsia" w:cstheme="minorEastAsia"/>
          <w:b/>
          <w:bCs/>
          <w:color w:val="auto"/>
          <w:sz w:val="36"/>
          <w:szCs w:val="36"/>
          <w:highlight w:val="none"/>
          <w:lang w:val="en-US" w:eastAsia="zh-CN" w:bidi="en-US"/>
        </w:rPr>
      </w:pPr>
    </w:p>
    <w:p w14:paraId="2D6BBBF3">
      <w:pPr>
        <w:spacing w:line="360" w:lineRule="auto"/>
        <w:jc w:val="center"/>
        <w:rPr>
          <w:rFonts w:hint="eastAsia" w:asciiTheme="minorEastAsia" w:hAnsiTheme="minorEastAsia" w:eastAsiaTheme="minorEastAsia" w:cstheme="minorEastAsia"/>
          <w:b/>
          <w:bCs/>
          <w:color w:val="auto"/>
          <w:sz w:val="36"/>
          <w:szCs w:val="36"/>
          <w:highlight w:val="none"/>
          <w:lang w:val="en-US" w:eastAsia="zh-CN" w:bidi="en-US"/>
        </w:rPr>
      </w:pPr>
    </w:p>
    <w:p w14:paraId="78EA1070">
      <w:pPr>
        <w:spacing w:line="360" w:lineRule="auto"/>
        <w:jc w:val="center"/>
        <w:rPr>
          <w:rFonts w:hint="eastAsia" w:asciiTheme="minorEastAsia" w:hAnsiTheme="minorEastAsia" w:eastAsiaTheme="minorEastAsia" w:cstheme="minorEastAsia"/>
          <w:b/>
          <w:bCs/>
          <w:color w:val="auto"/>
          <w:sz w:val="36"/>
          <w:szCs w:val="36"/>
          <w:highlight w:val="none"/>
          <w:lang w:val="en-US" w:eastAsia="zh-CN" w:bidi="en-US"/>
        </w:rPr>
      </w:pPr>
    </w:p>
    <w:p w14:paraId="31EF8082">
      <w:pPr>
        <w:spacing w:line="360" w:lineRule="auto"/>
        <w:jc w:val="center"/>
        <w:rPr>
          <w:rFonts w:hint="eastAsia" w:asciiTheme="minorEastAsia" w:hAnsiTheme="minorEastAsia" w:eastAsiaTheme="minorEastAsia" w:cstheme="minorEastAsia"/>
          <w:b/>
          <w:bCs/>
          <w:color w:val="auto"/>
          <w:sz w:val="36"/>
          <w:szCs w:val="36"/>
          <w:highlight w:val="none"/>
          <w:lang w:val="en-US" w:eastAsia="zh-CN" w:bidi="en-US"/>
        </w:rPr>
      </w:pPr>
    </w:p>
    <w:p w14:paraId="2F84FD8E">
      <w:pPr>
        <w:pStyle w:val="46"/>
        <w:tabs>
          <w:tab w:val="left" w:pos="715"/>
        </w:tabs>
        <w:rPr>
          <w:rFonts w:hint="eastAsia"/>
          <w:color w:val="auto"/>
          <w:highlight w:val="none"/>
          <w:lang w:val="en-US" w:eastAsia="zh-CN"/>
        </w:rPr>
      </w:pPr>
    </w:p>
    <w:p w14:paraId="1423AC55">
      <w:pPr>
        <w:adjustRightInd w:val="0"/>
        <w:snapToGrid w:val="0"/>
        <w:spacing w:before="50" w:line="360" w:lineRule="auto"/>
        <w:jc w:val="center"/>
        <w:rPr>
          <w:rFonts w:hint="eastAsia" w:ascii="黑体" w:hAnsi="宋体" w:eastAsia="黑体" w:cs="Times New Roman"/>
          <w:color w:val="auto"/>
          <w:sz w:val="28"/>
          <w:szCs w:val="28"/>
          <w:highlight w:val="none"/>
        </w:rPr>
      </w:pPr>
      <w:r>
        <w:rPr>
          <w:rFonts w:hint="eastAsia" w:ascii="黑体" w:hAnsi="宋体" w:eastAsia="黑体" w:cs="Times New Roman"/>
          <w:color w:val="auto"/>
          <w:sz w:val="28"/>
          <w:szCs w:val="28"/>
          <w:highlight w:val="none"/>
        </w:rPr>
        <w:t>关于符合本国产品标准的声明函</w:t>
      </w:r>
    </w:p>
    <w:p w14:paraId="5D0DA980">
      <w:pPr>
        <w:adjustRightInd w:val="0"/>
        <w:snapToGrid w:val="0"/>
        <w:spacing w:line="440" w:lineRule="exact"/>
        <w:ind w:firstLine="448" w:firstLineChars="20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本公司（单位）郑重声明，根据《国务院办公厅关于在政府采购中实施本国产品标准及相关政策的通知》（国办发〔2025〕34号）的规定，本公司（单位）提供的以下产品属于本国产品。具体情况如下：</w:t>
      </w:r>
    </w:p>
    <w:p w14:paraId="20101510">
      <w:pPr>
        <w:adjustRightInd w:val="0"/>
        <w:snapToGrid w:val="0"/>
        <w:spacing w:line="440" w:lineRule="exact"/>
        <w:ind w:firstLine="448" w:firstLineChars="20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1.</w:t>
      </w:r>
      <w:r>
        <w:rPr>
          <w:rFonts w:hint="eastAsia" w:ascii="宋体" w:hAnsi="宋体" w:eastAsia="宋体" w:cs="宋体"/>
          <w:color w:val="auto"/>
          <w:spacing w:val="6"/>
          <w:sz w:val="21"/>
          <w:szCs w:val="21"/>
          <w:highlight w:val="none"/>
          <w:u w:val="single"/>
        </w:rPr>
        <w:t>（产品名称1）</w:t>
      </w:r>
      <w:r>
        <w:rPr>
          <w:rFonts w:hint="eastAsia" w:ascii="宋体" w:hAnsi="宋体" w:eastAsia="宋体" w:cs="宋体"/>
          <w:color w:val="auto"/>
          <w:spacing w:val="6"/>
          <w:sz w:val="21"/>
          <w:szCs w:val="21"/>
          <w:highlight w:val="none"/>
        </w:rPr>
        <w:t>1，</w:t>
      </w:r>
      <w:r>
        <w:rPr>
          <w:rFonts w:hint="eastAsia" w:ascii="宋体" w:hAnsi="宋体" w:eastAsia="宋体" w:cs="宋体"/>
          <w:color w:val="auto"/>
          <w:spacing w:val="6"/>
          <w:sz w:val="21"/>
          <w:szCs w:val="21"/>
          <w:highlight w:val="none"/>
          <w:u w:val="single"/>
        </w:rPr>
        <w:t>生产厂为（厂名）</w:t>
      </w:r>
      <w:r>
        <w:rPr>
          <w:rFonts w:hint="eastAsia" w:ascii="宋体" w:hAnsi="宋体" w:eastAsia="宋体" w:cs="宋体"/>
          <w:color w:val="auto"/>
          <w:spacing w:val="6"/>
          <w:sz w:val="21"/>
          <w:szCs w:val="21"/>
          <w:highlight w:val="none"/>
        </w:rPr>
        <w:t>2，</w:t>
      </w:r>
      <w:r>
        <w:rPr>
          <w:rFonts w:hint="eastAsia" w:ascii="宋体" w:hAnsi="宋体" w:eastAsia="宋体" w:cs="宋体"/>
          <w:color w:val="auto"/>
          <w:spacing w:val="6"/>
          <w:sz w:val="21"/>
          <w:szCs w:val="21"/>
          <w:highlight w:val="none"/>
          <w:u w:val="single"/>
        </w:rPr>
        <w:t>厂址为（生产厂址）</w:t>
      </w:r>
      <w:r>
        <w:rPr>
          <w:rFonts w:hint="eastAsia" w:ascii="宋体" w:hAnsi="宋体" w:eastAsia="宋体" w:cs="宋体"/>
          <w:color w:val="auto"/>
          <w:spacing w:val="6"/>
          <w:sz w:val="21"/>
          <w:szCs w:val="21"/>
          <w:highlight w:val="none"/>
        </w:rPr>
        <w:t>。</w:t>
      </w:r>
      <w:r>
        <w:rPr>
          <w:rFonts w:hint="eastAsia" w:ascii="宋体" w:hAnsi="宋体" w:eastAsia="宋体" w:cs="宋体"/>
          <w:color w:val="auto"/>
          <w:spacing w:val="6"/>
          <w:sz w:val="21"/>
          <w:szCs w:val="21"/>
          <w:highlight w:val="none"/>
          <w:u w:val="single"/>
        </w:rPr>
        <w:t>（产品名称1）</w:t>
      </w:r>
      <w:r>
        <w:rPr>
          <w:rFonts w:hint="eastAsia" w:ascii="宋体" w:hAnsi="宋体" w:eastAsia="宋体" w:cs="宋体"/>
          <w:color w:val="auto"/>
          <w:spacing w:val="6"/>
          <w:sz w:val="21"/>
          <w:szCs w:val="21"/>
          <w:highlight w:val="none"/>
        </w:rPr>
        <w:t>的中国境内生产的组件成本占比≥</w:t>
      </w:r>
      <w:r>
        <w:rPr>
          <w:rFonts w:hint="eastAsia" w:ascii="宋体" w:hAnsi="宋体" w:eastAsia="宋体" w:cs="宋体"/>
          <w:color w:val="auto"/>
          <w:spacing w:val="6"/>
          <w:sz w:val="21"/>
          <w:szCs w:val="21"/>
          <w:highlight w:val="none"/>
          <w:u w:val="single"/>
        </w:rPr>
        <w:t>（规定比例）</w:t>
      </w:r>
      <w:r>
        <w:rPr>
          <w:rFonts w:hint="eastAsia" w:ascii="宋体" w:hAnsi="宋体" w:eastAsia="宋体" w:cs="宋体"/>
          <w:color w:val="auto"/>
          <w:spacing w:val="6"/>
          <w:sz w:val="21"/>
          <w:szCs w:val="21"/>
          <w:highlight w:val="none"/>
        </w:rPr>
        <w:t>3。</w:t>
      </w:r>
      <w:r>
        <w:rPr>
          <w:rFonts w:hint="eastAsia" w:ascii="宋体" w:hAnsi="宋体" w:eastAsia="宋体" w:cs="宋体"/>
          <w:color w:val="auto"/>
          <w:spacing w:val="6"/>
          <w:sz w:val="21"/>
          <w:szCs w:val="21"/>
          <w:highlight w:val="none"/>
          <w:u w:val="single"/>
        </w:rPr>
        <w:t>（产品名称1）</w:t>
      </w:r>
      <w:r>
        <w:rPr>
          <w:rFonts w:hint="eastAsia" w:ascii="宋体" w:hAnsi="宋体" w:eastAsia="宋体" w:cs="宋体"/>
          <w:color w:val="auto"/>
          <w:spacing w:val="6"/>
          <w:sz w:val="21"/>
          <w:szCs w:val="21"/>
          <w:highlight w:val="none"/>
        </w:rPr>
        <w:t>的</w:t>
      </w:r>
      <w:r>
        <w:rPr>
          <w:rFonts w:hint="eastAsia" w:ascii="宋体" w:hAnsi="宋体" w:eastAsia="宋体" w:cs="宋体"/>
          <w:color w:val="auto"/>
          <w:spacing w:val="6"/>
          <w:sz w:val="21"/>
          <w:szCs w:val="21"/>
          <w:highlight w:val="none"/>
          <w:u w:val="single"/>
        </w:rPr>
        <w:t>（关键组件）</w:t>
      </w:r>
      <w:r>
        <w:rPr>
          <w:rFonts w:hint="eastAsia" w:ascii="宋体" w:hAnsi="宋体" w:eastAsia="宋体" w:cs="宋体"/>
          <w:color w:val="auto"/>
          <w:spacing w:val="6"/>
          <w:sz w:val="21"/>
          <w:szCs w:val="21"/>
          <w:highlight w:val="none"/>
        </w:rPr>
        <w:t>4在中国境内生产。（</w:t>
      </w:r>
      <w:r>
        <w:rPr>
          <w:rFonts w:hint="eastAsia" w:ascii="宋体" w:hAnsi="宋体" w:eastAsia="宋体" w:cs="宋体"/>
          <w:color w:val="auto"/>
          <w:spacing w:val="6"/>
          <w:sz w:val="21"/>
          <w:szCs w:val="21"/>
          <w:highlight w:val="none"/>
          <w:u w:val="single"/>
        </w:rPr>
        <w:t>产品名称1）</w:t>
      </w:r>
      <w:r>
        <w:rPr>
          <w:rFonts w:hint="eastAsia" w:ascii="宋体" w:hAnsi="宋体" w:eastAsia="宋体" w:cs="宋体"/>
          <w:color w:val="auto"/>
          <w:spacing w:val="6"/>
          <w:sz w:val="21"/>
          <w:szCs w:val="21"/>
          <w:highlight w:val="none"/>
        </w:rPr>
        <w:t>的</w:t>
      </w:r>
      <w:r>
        <w:rPr>
          <w:rFonts w:hint="eastAsia" w:ascii="宋体" w:hAnsi="宋体" w:eastAsia="宋体" w:cs="宋体"/>
          <w:color w:val="auto"/>
          <w:spacing w:val="6"/>
          <w:sz w:val="21"/>
          <w:szCs w:val="21"/>
          <w:highlight w:val="none"/>
          <w:u w:val="single"/>
        </w:rPr>
        <w:t>（关键工序）</w:t>
      </w:r>
      <w:r>
        <w:rPr>
          <w:rFonts w:hint="eastAsia" w:ascii="宋体" w:hAnsi="宋体" w:eastAsia="宋体" w:cs="宋体"/>
          <w:color w:val="auto"/>
          <w:spacing w:val="6"/>
          <w:sz w:val="21"/>
          <w:szCs w:val="21"/>
          <w:highlight w:val="none"/>
        </w:rPr>
        <w:t>5在中国境内完成。</w:t>
      </w:r>
    </w:p>
    <w:p w14:paraId="5D1AC402">
      <w:pPr>
        <w:adjustRightInd w:val="0"/>
        <w:snapToGrid w:val="0"/>
        <w:spacing w:line="440" w:lineRule="exact"/>
        <w:ind w:firstLine="448" w:firstLineChars="20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1.</w:t>
      </w:r>
      <w:r>
        <w:rPr>
          <w:rFonts w:hint="eastAsia" w:ascii="宋体" w:hAnsi="宋体" w:eastAsia="宋体" w:cs="宋体"/>
          <w:color w:val="auto"/>
          <w:spacing w:val="6"/>
          <w:sz w:val="21"/>
          <w:szCs w:val="21"/>
          <w:highlight w:val="none"/>
          <w:u w:val="single"/>
        </w:rPr>
        <w:t>（产品名称</w:t>
      </w:r>
      <w:r>
        <w:rPr>
          <w:rFonts w:hint="eastAsia" w:ascii="宋体" w:hAnsi="宋体" w:eastAsia="宋体" w:cs="宋体"/>
          <w:color w:val="auto"/>
          <w:spacing w:val="6"/>
          <w:sz w:val="21"/>
          <w:szCs w:val="21"/>
          <w:highlight w:val="none"/>
          <w:u w:val="single"/>
          <w:lang w:val="en-US" w:eastAsia="zh-CN"/>
        </w:rPr>
        <w:t>2</w:t>
      </w:r>
      <w:r>
        <w:rPr>
          <w:rFonts w:hint="eastAsia" w:ascii="宋体" w:hAnsi="宋体" w:eastAsia="宋体" w:cs="宋体"/>
          <w:color w:val="auto"/>
          <w:spacing w:val="6"/>
          <w:sz w:val="21"/>
          <w:szCs w:val="21"/>
          <w:highlight w:val="none"/>
          <w:u w:val="single"/>
        </w:rPr>
        <w:t>）</w:t>
      </w:r>
      <w:r>
        <w:rPr>
          <w:rFonts w:hint="eastAsia" w:ascii="宋体" w:hAnsi="宋体" w:eastAsia="宋体" w:cs="宋体"/>
          <w:color w:val="auto"/>
          <w:spacing w:val="6"/>
          <w:sz w:val="21"/>
          <w:szCs w:val="21"/>
          <w:highlight w:val="none"/>
        </w:rPr>
        <w:t>1，</w:t>
      </w:r>
      <w:r>
        <w:rPr>
          <w:rFonts w:hint="eastAsia" w:ascii="宋体" w:hAnsi="宋体" w:eastAsia="宋体" w:cs="宋体"/>
          <w:color w:val="auto"/>
          <w:spacing w:val="6"/>
          <w:sz w:val="21"/>
          <w:szCs w:val="21"/>
          <w:highlight w:val="none"/>
          <w:u w:val="single"/>
        </w:rPr>
        <w:t>生产厂为（厂名）</w:t>
      </w:r>
      <w:r>
        <w:rPr>
          <w:rFonts w:hint="eastAsia" w:ascii="宋体" w:hAnsi="宋体" w:eastAsia="宋体" w:cs="宋体"/>
          <w:color w:val="auto"/>
          <w:spacing w:val="6"/>
          <w:sz w:val="21"/>
          <w:szCs w:val="21"/>
          <w:highlight w:val="none"/>
        </w:rPr>
        <w:t>2，</w:t>
      </w:r>
      <w:r>
        <w:rPr>
          <w:rFonts w:hint="eastAsia" w:ascii="宋体" w:hAnsi="宋体" w:eastAsia="宋体" w:cs="宋体"/>
          <w:color w:val="auto"/>
          <w:spacing w:val="6"/>
          <w:sz w:val="21"/>
          <w:szCs w:val="21"/>
          <w:highlight w:val="none"/>
          <w:u w:val="single"/>
        </w:rPr>
        <w:t>厂址为（生产厂址）</w:t>
      </w:r>
      <w:r>
        <w:rPr>
          <w:rFonts w:hint="eastAsia" w:ascii="宋体" w:hAnsi="宋体" w:eastAsia="宋体" w:cs="宋体"/>
          <w:color w:val="auto"/>
          <w:spacing w:val="6"/>
          <w:sz w:val="21"/>
          <w:szCs w:val="21"/>
          <w:highlight w:val="none"/>
        </w:rPr>
        <w:t>。</w:t>
      </w:r>
      <w:r>
        <w:rPr>
          <w:rFonts w:hint="eastAsia" w:ascii="宋体" w:hAnsi="宋体" w:eastAsia="宋体" w:cs="宋体"/>
          <w:color w:val="auto"/>
          <w:spacing w:val="6"/>
          <w:sz w:val="21"/>
          <w:szCs w:val="21"/>
          <w:highlight w:val="none"/>
          <w:u w:val="single"/>
        </w:rPr>
        <w:t>（产品名称</w:t>
      </w:r>
      <w:r>
        <w:rPr>
          <w:rFonts w:hint="eastAsia" w:ascii="宋体" w:hAnsi="宋体" w:eastAsia="宋体" w:cs="宋体"/>
          <w:color w:val="auto"/>
          <w:spacing w:val="6"/>
          <w:sz w:val="21"/>
          <w:szCs w:val="21"/>
          <w:highlight w:val="none"/>
          <w:u w:val="single"/>
          <w:lang w:val="en-US" w:eastAsia="zh-CN"/>
        </w:rPr>
        <w:t>2</w:t>
      </w:r>
      <w:r>
        <w:rPr>
          <w:rFonts w:hint="eastAsia" w:ascii="宋体" w:hAnsi="宋体" w:eastAsia="宋体" w:cs="宋体"/>
          <w:color w:val="auto"/>
          <w:spacing w:val="6"/>
          <w:sz w:val="21"/>
          <w:szCs w:val="21"/>
          <w:highlight w:val="none"/>
          <w:u w:val="single"/>
        </w:rPr>
        <w:t>）</w:t>
      </w:r>
      <w:r>
        <w:rPr>
          <w:rFonts w:hint="eastAsia" w:ascii="宋体" w:hAnsi="宋体" w:eastAsia="宋体" w:cs="宋体"/>
          <w:color w:val="auto"/>
          <w:spacing w:val="6"/>
          <w:sz w:val="21"/>
          <w:szCs w:val="21"/>
          <w:highlight w:val="none"/>
        </w:rPr>
        <w:t>的中国境内生产的组件成本占比≥</w:t>
      </w:r>
      <w:r>
        <w:rPr>
          <w:rFonts w:hint="eastAsia" w:ascii="宋体" w:hAnsi="宋体" w:eastAsia="宋体" w:cs="宋体"/>
          <w:color w:val="auto"/>
          <w:spacing w:val="6"/>
          <w:sz w:val="21"/>
          <w:szCs w:val="21"/>
          <w:highlight w:val="none"/>
          <w:u w:val="single"/>
        </w:rPr>
        <w:t>（规定比例）</w:t>
      </w:r>
      <w:r>
        <w:rPr>
          <w:rFonts w:hint="eastAsia" w:ascii="宋体" w:hAnsi="宋体" w:eastAsia="宋体" w:cs="宋体"/>
          <w:color w:val="auto"/>
          <w:spacing w:val="6"/>
          <w:sz w:val="21"/>
          <w:szCs w:val="21"/>
          <w:highlight w:val="none"/>
        </w:rPr>
        <w:t>3。</w:t>
      </w:r>
      <w:r>
        <w:rPr>
          <w:rFonts w:hint="eastAsia" w:ascii="宋体" w:hAnsi="宋体" w:eastAsia="宋体" w:cs="宋体"/>
          <w:color w:val="auto"/>
          <w:spacing w:val="6"/>
          <w:sz w:val="21"/>
          <w:szCs w:val="21"/>
          <w:highlight w:val="none"/>
          <w:u w:val="single"/>
        </w:rPr>
        <w:t>（产品名称</w:t>
      </w:r>
      <w:r>
        <w:rPr>
          <w:rFonts w:hint="eastAsia" w:ascii="宋体" w:hAnsi="宋体" w:eastAsia="宋体" w:cs="宋体"/>
          <w:color w:val="auto"/>
          <w:spacing w:val="6"/>
          <w:sz w:val="21"/>
          <w:szCs w:val="21"/>
          <w:highlight w:val="none"/>
          <w:u w:val="single"/>
          <w:lang w:val="en-US" w:eastAsia="zh-CN"/>
        </w:rPr>
        <w:t>2</w:t>
      </w:r>
      <w:r>
        <w:rPr>
          <w:rFonts w:hint="eastAsia" w:ascii="宋体" w:hAnsi="宋体" w:eastAsia="宋体" w:cs="宋体"/>
          <w:color w:val="auto"/>
          <w:spacing w:val="6"/>
          <w:sz w:val="21"/>
          <w:szCs w:val="21"/>
          <w:highlight w:val="none"/>
          <w:u w:val="single"/>
        </w:rPr>
        <w:t>）</w:t>
      </w:r>
      <w:r>
        <w:rPr>
          <w:rFonts w:hint="eastAsia" w:ascii="宋体" w:hAnsi="宋体" w:eastAsia="宋体" w:cs="宋体"/>
          <w:color w:val="auto"/>
          <w:spacing w:val="6"/>
          <w:sz w:val="21"/>
          <w:szCs w:val="21"/>
          <w:highlight w:val="none"/>
        </w:rPr>
        <w:t>的</w:t>
      </w:r>
      <w:r>
        <w:rPr>
          <w:rFonts w:hint="eastAsia" w:ascii="宋体" w:hAnsi="宋体" w:eastAsia="宋体" w:cs="宋体"/>
          <w:color w:val="auto"/>
          <w:spacing w:val="6"/>
          <w:sz w:val="21"/>
          <w:szCs w:val="21"/>
          <w:highlight w:val="none"/>
          <w:u w:val="single"/>
        </w:rPr>
        <w:t>（关键组件）</w:t>
      </w:r>
      <w:r>
        <w:rPr>
          <w:rFonts w:hint="eastAsia" w:ascii="宋体" w:hAnsi="宋体" w:eastAsia="宋体" w:cs="宋体"/>
          <w:color w:val="auto"/>
          <w:spacing w:val="6"/>
          <w:sz w:val="21"/>
          <w:szCs w:val="21"/>
          <w:highlight w:val="none"/>
        </w:rPr>
        <w:t>4在中国境内生产。（</w:t>
      </w:r>
      <w:r>
        <w:rPr>
          <w:rFonts w:hint="eastAsia" w:ascii="宋体" w:hAnsi="宋体" w:eastAsia="宋体" w:cs="宋体"/>
          <w:color w:val="auto"/>
          <w:spacing w:val="6"/>
          <w:sz w:val="21"/>
          <w:szCs w:val="21"/>
          <w:highlight w:val="none"/>
          <w:u w:val="single"/>
        </w:rPr>
        <w:t>产品名称1）</w:t>
      </w:r>
      <w:r>
        <w:rPr>
          <w:rFonts w:hint="eastAsia" w:ascii="宋体" w:hAnsi="宋体" w:eastAsia="宋体" w:cs="宋体"/>
          <w:color w:val="auto"/>
          <w:spacing w:val="6"/>
          <w:sz w:val="21"/>
          <w:szCs w:val="21"/>
          <w:highlight w:val="none"/>
        </w:rPr>
        <w:t>的</w:t>
      </w:r>
      <w:r>
        <w:rPr>
          <w:rFonts w:hint="eastAsia" w:ascii="宋体" w:hAnsi="宋体" w:eastAsia="宋体" w:cs="宋体"/>
          <w:color w:val="auto"/>
          <w:spacing w:val="6"/>
          <w:sz w:val="21"/>
          <w:szCs w:val="21"/>
          <w:highlight w:val="none"/>
          <w:u w:val="single"/>
        </w:rPr>
        <w:t>（关键工序）</w:t>
      </w:r>
      <w:r>
        <w:rPr>
          <w:rFonts w:hint="eastAsia" w:ascii="宋体" w:hAnsi="宋体" w:eastAsia="宋体" w:cs="宋体"/>
          <w:color w:val="auto"/>
          <w:spacing w:val="6"/>
          <w:sz w:val="21"/>
          <w:szCs w:val="21"/>
          <w:highlight w:val="none"/>
        </w:rPr>
        <w:t>5在中国境内完成。</w:t>
      </w:r>
    </w:p>
    <w:p w14:paraId="60C7B525">
      <w:pPr>
        <w:adjustRightInd w:val="0"/>
        <w:snapToGrid w:val="0"/>
        <w:spacing w:line="440" w:lineRule="exact"/>
        <w:ind w:firstLine="448" w:firstLineChars="20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w:t>
      </w:r>
    </w:p>
    <w:p w14:paraId="34AA8629">
      <w:pPr>
        <w:adjustRightInd w:val="0"/>
        <w:snapToGrid w:val="0"/>
        <w:spacing w:line="440" w:lineRule="exact"/>
        <w:ind w:firstLine="448" w:firstLineChars="20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w:t>
      </w:r>
    </w:p>
    <w:p w14:paraId="75076980">
      <w:pPr>
        <w:adjustRightInd w:val="0"/>
        <w:snapToGrid w:val="0"/>
        <w:spacing w:line="440" w:lineRule="exact"/>
        <w:ind w:firstLine="448" w:firstLineChars="20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本公司（单位）对上述声明内容的真实性负责。如有虚假，愿承担相应法律责任。</w:t>
      </w:r>
    </w:p>
    <w:p w14:paraId="2D02B747">
      <w:pPr>
        <w:adjustRightInd w:val="0"/>
        <w:snapToGrid w:val="0"/>
        <w:spacing w:line="440" w:lineRule="exact"/>
        <w:ind w:firstLine="448" w:firstLineChars="20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 </w:t>
      </w:r>
    </w:p>
    <w:p w14:paraId="607E925B">
      <w:pPr>
        <w:adjustRightInd w:val="0"/>
        <w:snapToGrid w:val="0"/>
        <w:spacing w:line="440" w:lineRule="exact"/>
        <w:ind w:firstLine="448" w:firstLineChars="200"/>
        <w:jc w:val="right"/>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公司（单位）名称（盖章）：　        </w:t>
      </w:r>
    </w:p>
    <w:p w14:paraId="314C49CE">
      <w:pPr>
        <w:adjustRightInd w:val="0"/>
        <w:snapToGrid w:val="0"/>
        <w:spacing w:line="440" w:lineRule="exact"/>
        <w:ind w:firstLine="448" w:firstLineChars="200"/>
        <w:jc w:val="right"/>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日期：　     年　  月　  日         </w:t>
      </w:r>
    </w:p>
    <w:p w14:paraId="22877090">
      <w:pPr>
        <w:adjustRightInd w:val="0"/>
        <w:snapToGrid w:val="0"/>
        <w:spacing w:line="440" w:lineRule="exact"/>
        <w:ind w:firstLine="448" w:firstLineChars="20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1.产品如有型号，请在“产品名称”栏一并填写。</w:t>
      </w:r>
    </w:p>
    <w:p w14:paraId="78C8A732">
      <w:pPr>
        <w:adjustRightInd w:val="0"/>
        <w:snapToGrid w:val="0"/>
        <w:spacing w:line="440" w:lineRule="exact"/>
        <w:ind w:firstLine="448" w:firstLineChars="20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2.生产厂名与厂址应与生产厂营业执照载明的相关信息保持一致。</w:t>
      </w:r>
    </w:p>
    <w:p w14:paraId="27A8B335">
      <w:pPr>
        <w:adjustRightInd w:val="0"/>
        <w:snapToGrid w:val="0"/>
        <w:spacing w:line="440" w:lineRule="exact"/>
        <w:ind w:firstLine="448" w:firstLineChars="20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3.该产品的中国境内生产的组件成本占比相关要求实施前，“规定比例”栏可不填，下同。</w:t>
      </w:r>
    </w:p>
    <w:p w14:paraId="5055D988">
      <w:pPr>
        <w:adjustRightInd w:val="0"/>
        <w:snapToGrid w:val="0"/>
        <w:spacing w:line="440" w:lineRule="exact"/>
        <w:ind w:firstLine="448" w:firstLineChars="20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4.该产品的关键组件要求实施前，“关键组件”栏可不填，下同。</w:t>
      </w:r>
    </w:p>
    <w:p w14:paraId="4E1F687C">
      <w:pPr>
        <w:adjustRightInd w:val="0"/>
        <w:snapToGrid w:val="0"/>
        <w:spacing w:line="440" w:lineRule="exact"/>
        <w:ind w:firstLine="448" w:firstLineChars="200"/>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5.该产品的关键工序要求实施前，“关键工序”栏可不填，下同。</w:t>
      </w:r>
    </w:p>
    <w:p w14:paraId="65AFCE87">
      <w:pPr>
        <w:spacing w:line="360" w:lineRule="auto"/>
        <w:jc w:val="center"/>
        <w:rPr>
          <w:rFonts w:hint="eastAsia" w:asciiTheme="minorEastAsia" w:hAnsiTheme="minorEastAsia" w:eastAsiaTheme="minorEastAsia" w:cstheme="minorEastAsia"/>
          <w:b/>
          <w:bCs/>
          <w:color w:val="auto"/>
          <w:sz w:val="36"/>
          <w:szCs w:val="36"/>
          <w:highlight w:val="none"/>
          <w:lang w:val="en-US" w:eastAsia="zh-CN" w:bidi="en-US"/>
        </w:rPr>
      </w:pPr>
    </w:p>
    <w:p w14:paraId="203352B1">
      <w:pPr>
        <w:pStyle w:val="46"/>
        <w:rPr>
          <w:rFonts w:hint="eastAsia" w:asciiTheme="minorEastAsia" w:hAnsiTheme="minorEastAsia" w:eastAsiaTheme="minorEastAsia" w:cstheme="minorEastAsia"/>
          <w:b/>
          <w:bCs/>
          <w:color w:val="auto"/>
          <w:sz w:val="36"/>
          <w:szCs w:val="36"/>
          <w:highlight w:val="none"/>
          <w:lang w:val="en-US" w:eastAsia="zh-CN" w:bidi="en-US"/>
        </w:rPr>
      </w:pPr>
    </w:p>
    <w:p w14:paraId="52923034">
      <w:pPr>
        <w:pStyle w:val="46"/>
        <w:rPr>
          <w:rFonts w:hint="eastAsia" w:asciiTheme="minorEastAsia" w:hAnsiTheme="minorEastAsia" w:eastAsiaTheme="minorEastAsia" w:cstheme="minorEastAsia"/>
          <w:b/>
          <w:bCs/>
          <w:color w:val="auto"/>
          <w:sz w:val="36"/>
          <w:szCs w:val="36"/>
          <w:highlight w:val="none"/>
          <w:lang w:val="en-US" w:eastAsia="zh-CN" w:bidi="en-US"/>
        </w:rPr>
      </w:pPr>
    </w:p>
    <w:p w14:paraId="2AEC7C8A">
      <w:pPr>
        <w:pStyle w:val="46"/>
        <w:rPr>
          <w:rFonts w:hint="eastAsia" w:asciiTheme="minorEastAsia" w:hAnsiTheme="minorEastAsia" w:eastAsiaTheme="minorEastAsia" w:cstheme="minorEastAsia"/>
          <w:b/>
          <w:bCs/>
          <w:color w:val="auto"/>
          <w:sz w:val="36"/>
          <w:szCs w:val="36"/>
          <w:highlight w:val="none"/>
          <w:lang w:val="en-US" w:eastAsia="zh-CN" w:bidi="en-US"/>
        </w:rPr>
      </w:pPr>
    </w:p>
    <w:p w14:paraId="51B0E0B1">
      <w:pPr>
        <w:pStyle w:val="46"/>
        <w:rPr>
          <w:rFonts w:hint="eastAsia" w:asciiTheme="minorEastAsia" w:hAnsiTheme="minorEastAsia" w:eastAsiaTheme="minorEastAsia" w:cstheme="minorEastAsia"/>
          <w:b/>
          <w:bCs/>
          <w:color w:val="auto"/>
          <w:sz w:val="36"/>
          <w:szCs w:val="36"/>
          <w:highlight w:val="none"/>
          <w:lang w:val="en-US" w:eastAsia="zh-CN" w:bidi="en-US"/>
        </w:rPr>
      </w:pPr>
    </w:p>
    <w:p w14:paraId="60B94038">
      <w:pPr>
        <w:pStyle w:val="3"/>
        <w:numPr>
          <w:ilvl w:val="0"/>
          <w:numId w:val="0"/>
        </w:numPr>
        <w:shd w:val="clear" w:color="auto" w:fill="auto"/>
        <w:spacing w:before="0" w:line="240" w:lineRule="atLeast"/>
        <w:jc w:val="both"/>
        <w:rPr>
          <w:rFonts w:hint="eastAsia" w:ascii="宋体" w:hAnsi="宋体" w:cs="宋体"/>
          <w:b/>
          <w:bCs/>
          <w:color w:val="auto"/>
          <w:sz w:val="24"/>
          <w:highlight w:val="none"/>
          <w:lang w:val="en-US" w:eastAsia="zh-CN"/>
        </w:rPr>
      </w:pPr>
    </w:p>
    <w:p w14:paraId="36EA1299">
      <w:pPr>
        <w:pStyle w:val="3"/>
        <w:numPr>
          <w:ilvl w:val="0"/>
          <w:numId w:val="0"/>
        </w:numPr>
        <w:shd w:val="clear" w:color="auto" w:fill="auto"/>
        <w:spacing w:before="0" w:line="240" w:lineRule="atLeast"/>
        <w:jc w:val="both"/>
        <w:rPr>
          <w:rFonts w:hint="eastAsia" w:ascii="宋体" w:hAnsi="宋体" w:eastAsia="宋体" w:cs="宋体"/>
          <w:b/>
          <w:bCs/>
          <w:color w:val="auto"/>
          <w:sz w:val="24"/>
          <w:highlight w:val="none"/>
        </w:rPr>
      </w:pPr>
      <w:r>
        <w:rPr>
          <w:rFonts w:hint="eastAsia" w:ascii="宋体" w:hAnsi="宋体" w:cs="宋体"/>
          <w:b/>
          <w:bCs/>
          <w:color w:val="auto"/>
          <w:sz w:val="24"/>
          <w:highlight w:val="none"/>
          <w:lang w:val="en-US" w:eastAsia="zh-CN"/>
        </w:rPr>
        <w:t>11</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投标人关联单位的说明</w:t>
      </w:r>
      <w:bookmarkEnd w:id="210"/>
      <w:bookmarkEnd w:id="211"/>
      <w:bookmarkEnd w:id="212"/>
      <w:bookmarkEnd w:id="225"/>
      <w:r>
        <w:rPr>
          <w:rFonts w:hint="eastAsia" w:ascii="宋体" w:hAnsi="宋体" w:eastAsia="宋体" w:cs="宋体"/>
          <w:b/>
          <w:bCs/>
          <w:color w:val="auto"/>
          <w:sz w:val="24"/>
          <w:highlight w:val="none"/>
          <w:lang w:eastAsia="zh-CN"/>
        </w:rPr>
        <w:t>（格式自拟）</w:t>
      </w:r>
      <w:bookmarkEnd w:id="226"/>
      <w:bookmarkEnd w:id="227"/>
    </w:p>
    <w:p w14:paraId="44DF901B">
      <w:pPr>
        <w:pStyle w:val="6"/>
        <w:shd w:val="clear" w:color="auto" w:fill="auto"/>
        <w:jc w:val="center"/>
        <w:rPr>
          <w:rFonts w:hint="eastAsia" w:ascii="宋体" w:hAnsi="宋体" w:eastAsia="宋体" w:cs="宋体"/>
          <w:color w:val="auto"/>
          <w:highlight w:val="none"/>
        </w:rPr>
      </w:pPr>
    </w:p>
    <w:p w14:paraId="1E56F3EF">
      <w:pPr>
        <w:pStyle w:val="6"/>
        <w:shd w:val="clear" w:color="auto" w:fill="auto"/>
        <w:ind w:firstLine="424" w:firstLineChars="200"/>
        <w:rPr>
          <w:rFonts w:hint="eastAsia" w:ascii="宋体" w:hAnsi="宋体" w:eastAsia="宋体" w:cs="宋体"/>
          <w:color w:val="auto"/>
          <w:sz w:val="21"/>
          <w:szCs w:val="16"/>
          <w:highlight w:val="none"/>
        </w:rPr>
      </w:pPr>
      <w:r>
        <w:rPr>
          <w:rFonts w:hint="eastAsia" w:ascii="宋体" w:hAnsi="宋体" w:eastAsia="宋体" w:cs="宋体"/>
          <w:color w:val="auto"/>
          <w:sz w:val="21"/>
          <w:szCs w:val="16"/>
          <w:highlight w:val="none"/>
        </w:rPr>
        <w:t>说明：投标人应当如实披露与本单位存在下列关联关系的单位名称：</w:t>
      </w:r>
    </w:p>
    <w:p w14:paraId="2007BF4D">
      <w:pPr>
        <w:pStyle w:val="6"/>
        <w:shd w:val="clear" w:color="auto" w:fill="auto"/>
        <w:ind w:firstLine="424" w:firstLineChars="200"/>
        <w:rPr>
          <w:rFonts w:hint="eastAsia" w:ascii="宋体" w:hAnsi="宋体" w:eastAsia="宋体" w:cs="宋体"/>
          <w:color w:val="auto"/>
          <w:sz w:val="21"/>
          <w:szCs w:val="16"/>
          <w:highlight w:val="none"/>
          <w:lang w:eastAsia="zh-CN"/>
        </w:rPr>
      </w:pPr>
      <w:r>
        <w:rPr>
          <w:rFonts w:hint="eastAsia" w:ascii="宋体" w:hAnsi="宋体" w:eastAsia="宋体" w:cs="宋体"/>
          <w:color w:val="auto"/>
          <w:sz w:val="21"/>
          <w:szCs w:val="16"/>
          <w:highlight w:val="none"/>
        </w:rPr>
        <w:t>（1）与投标人单位负责人为同一人的其他单位；</w:t>
      </w:r>
    </w:p>
    <w:p w14:paraId="7D52254B">
      <w:pPr>
        <w:pStyle w:val="6"/>
        <w:shd w:val="clear" w:color="auto" w:fill="auto"/>
        <w:ind w:firstLine="424" w:firstLineChars="200"/>
        <w:rPr>
          <w:rFonts w:hint="eastAsia" w:ascii="宋体" w:hAnsi="宋体" w:eastAsia="宋体" w:cs="宋体"/>
          <w:color w:val="auto"/>
          <w:sz w:val="21"/>
          <w:szCs w:val="16"/>
          <w:highlight w:val="none"/>
        </w:rPr>
      </w:pPr>
      <w:r>
        <w:rPr>
          <w:rFonts w:hint="eastAsia" w:ascii="宋体" w:hAnsi="宋体" w:eastAsia="宋体" w:cs="宋体"/>
          <w:color w:val="auto"/>
          <w:sz w:val="21"/>
          <w:szCs w:val="16"/>
          <w:highlight w:val="none"/>
        </w:rPr>
        <w:t>（2）与投标人存在直接控股、管理关系的其他单位。</w:t>
      </w:r>
    </w:p>
    <w:p w14:paraId="6E884573">
      <w:pPr>
        <w:pStyle w:val="6"/>
        <w:shd w:val="clear" w:color="auto" w:fill="auto"/>
        <w:ind w:firstLine="0"/>
        <w:rPr>
          <w:rFonts w:hint="eastAsia" w:ascii="宋体" w:hAnsi="宋体" w:eastAsia="宋体" w:cs="宋体"/>
          <w:color w:val="auto"/>
          <w:highlight w:val="none"/>
        </w:rPr>
      </w:pPr>
      <w:bookmarkStart w:id="228" w:name="_Toc17333"/>
      <w:bookmarkStart w:id="229" w:name="_Toc515647828"/>
      <w:bookmarkStart w:id="230" w:name="_Toc7414"/>
    </w:p>
    <w:p w14:paraId="6CB5D48C">
      <w:pPr>
        <w:pStyle w:val="53"/>
        <w:shd w:val="clear" w:color="auto" w:fill="auto"/>
        <w:ind w:left="0" w:leftChars="0" w:firstLine="0" w:firstLineChars="0"/>
        <w:rPr>
          <w:rFonts w:hint="eastAsia" w:ascii="宋体" w:hAnsi="宋体" w:eastAsia="宋体" w:cs="宋体"/>
          <w:color w:val="auto"/>
          <w:highlight w:val="none"/>
        </w:rPr>
      </w:pPr>
    </w:p>
    <w:p w14:paraId="42B63209">
      <w:pPr>
        <w:pStyle w:val="53"/>
        <w:shd w:val="clear" w:color="auto" w:fill="auto"/>
        <w:ind w:left="0" w:leftChars="0" w:firstLine="0" w:firstLineChars="0"/>
        <w:rPr>
          <w:rFonts w:hint="eastAsia" w:ascii="宋体" w:hAnsi="宋体" w:eastAsia="宋体" w:cs="宋体"/>
          <w:color w:val="auto"/>
          <w:highlight w:val="none"/>
        </w:rPr>
      </w:pPr>
    </w:p>
    <w:p w14:paraId="1DCD20CE">
      <w:pPr>
        <w:pStyle w:val="53"/>
        <w:shd w:val="clear" w:color="auto" w:fill="auto"/>
        <w:rPr>
          <w:rFonts w:hint="eastAsia" w:ascii="宋体" w:hAnsi="宋体" w:eastAsia="宋体" w:cs="宋体"/>
          <w:color w:val="auto"/>
          <w:highlight w:val="none"/>
        </w:rPr>
      </w:pPr>
    </w:p>
    <w:bookmarkEnd w:id="228"/>
    <w:bookmarkEnd w:id="229"/>
    <w:bookmarkEnd w:id="230"/>
    <w:p w14:paraId="678FF510">
      <w:pPr>
        <w:pStyle w:val="3"/>
        <w:numPr>
          <w:ilvl w:val="1"/>
          <w:numId w:val="0"/>
        </w:numPr>
        <w:shd w:val="clear" w:color="auto" w:fill="auto"/>
        <w:spacing w:before="0" w:line="240" w:lineRule="atLeast"/>
        <w:jc w:val="center"/>
        <w:rPr>
          <w:rFonts w:hint="eastAsia" w:ascii="宋体" w:hAnsi="宋体" w:eastAsia="宋体" w:cs="宋体"/>
          <w:b/>
          <w:bCs/>
          <w:color w:val="auto"/>
          <w:sz w:val="24"/>
          <w:highlight w:val="none"/>
          <w:lang w:val="en-US" w:eastAsia="zh-CN"/>
        </w:rPr>
      </w:pPr>
    </w:p>
    <w:p w14:paraId="6330E99E">
      <w:pPr>
        <w:pStyle w:val="3"/>
        <w:numPr>
          <w:ilvl w:val="1"/>
          <w:numId w:val="0"/>
        </w:numPr>
        <w:shd w:val="clear" w:color="auto" w:fill="auto"/>
        <w:spacing w:before="0" w:line="240" w:lineRule="atLeast"/>
        <w:jc w:val="center"/>
        <w:rPr>
          <w:rFonts w:hint="eastAsia" w:ascii="宋体" w:hAnsi="宋体" w:eastAsia="宋体" w:cs="宋体"/>
          <w:b/>
          <w:bCs/>
          <w:color w:val="auto"/>
          <w:sz w:val="24"/>
          <w:highlight w:val="none"/>
          <w:lang w:val="en-US" w:eastAsia="zh-CN"/>
        </w:rPr>
      </w:pPr>
    </w:p>
    <w:p w14:paraId="3907337F">
      <w:pPr>
        <w:pStyle w:val="3"/>
        <w:numPr>
          <w:ilvl w:val="1"/>
          <w:numId w:val="0"/>
        </w:numPr>
        <w:shd w:val="clear" w:color="auto" w:fill="auto"/>
        <w:spacing w:before="0" w:line="240" w:lineRule="atLeast"/>
        <w:jc w:val="both"/>
        <w:rPr>
          <w:rFonts w:hint="eastAsia" w:ascii="宋体" w:hAnsi="宋体" w:eastAsia="宋体" w:cs="宋体"/>
          <w:b/>
          <w:bCs/>
          <w:color w:val="auto"/>
          <w:sz w:val="24"/>
          <w:highlight w:val="none"/>
          <w:lang w:eastAsia="zh-CN"/>
        </w:rPr>
      </w:pPr>
      <w:bookmarkStart w:id="231" w:name="_Toc13692"/>
      <w:bookmarkStart w:id="232" w:name="_Toc20132"/>
      <w:r>
        <w:rPr>
          <w:rFonts w:hint="eastAsia" w:ascii="宋体" w:hAnsi="宋体" w:cs="宋体"/>
          <w:b/>
          <w:bCs/>
          <w:color w:val="auto"/>
          <w:sz w:val="24"/>
          <w:highlight w:val="none"/>
          <w:lang w:val="en-US" w:eastAsia="zh-CN"/>
        </w:rPr>
        <w:t>12</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lang w:eastAsia="zh-CN"/>
        </w:rPr>
        <w:t>评分标准和细则中技术部分证明材料（格式自拟）</w:t>
      </w:r>
      <w:bookmarkEnd w:id="231"/>
      <w:bookmarkEnd w:id="232"/>
    </w:p>
    <w:p w14:paraId="77A0D217">
      <w:pPr>
        <w:pStyle w:val="3"/>
        <w:numPr>
          <w:ilvl w:val="1"/>
          <w:numId w:val="0"/>
        </w:numPr>
        <w:shd w:val="clear" w:color="auto" w:fill="auto"/>
        <w:spacing w:before="0" w:line="240" w:lineRule="atLeast"/>
        <w:ind w:leftChars="257"/>
        <w:jc w:val="center"/>
        <w:rPr>
          <w:rFonts w:hint="eastAsia" w:ascii="宋体" w:hAnsi="宋体" w:eastAsia="宋体" w:cs="宋体"/>
          <w:color w:val="auto"/>
          <w:sz w:val="24"/>
          <w:highlight w:val="none"/>
          <w:lang w:val="en-US" w:eastAsia="zh-CN"/>
        </w:rPr>
      </w:pPr>
    </w:p>
    <w:p w14:paraId="6BFEF9A5">
      <w:pPr>
        <w:pStyle w:val="3"/>
        <w:numPr>
          <w:ilvl w:val="1"/>
          <w:numId w:val="0"/>
        </w:numPr>
        <w:shd w:val="clear" w:color="auto" w:fill="auto"/>
        <w:spacing w:before="0" w:line="240" w:lineRule="atLeast"/>
        <w:ind w:leftChars="257"/>
        <w:jc w:val="center"/>
        <w:rPr>
          <w:rFonts w:hint="eastAsia" w:ascii="宋体" w:hAnsi="宋体" w:eastAsia="宋体" w:cs="宋体"/>
          <w:color w:val="auto"/>
          <w:sz w:val="24"/>
          <w:highlight w:val="none"/>
          <w:lang w:val="en-US" w:eastAsia="zh-CN"/>
        </w:rPr>
      </w:pPr>
    </w:p>
    <w:p w14:paraId="60BE482C">
      <w:pPr>
        <w:pStyle w:val="13"/>
        <w:shd w:val="clear" w:color="auto" w:fill="auto"/>
        <w:tabs>
          <w:tab w:val="left" w:pos="5580"/>
        </w:tabs>
        <w:spacing w:line="360" w:lineRule="auto"/>
        <w:ind w:left="1084" w:leftChars="257" w:hanging="540"/>
        <w:rPr>
          <w:rFonts w:hint="eastAsia" w:ascii="宋体" w:hAnsi="宋体" w:eastAsia="宋体" w:cs="宋体"/>
          <w:color w:val="auto"/>
          <w:sz w:val="21"/>
          <w:szCs w:val="16"/>
          <w:highlight w:val="none"/>
          <w:lang w:eastAsia="zh-CN"/>
        </w:rPr>
      </w:pPr>
      <w:r>
        <w:rPr>
          <w:rFonts w:hint="eastAsia" w:ascii="宋体" w:hAnsi="宋体" w:eastAsia="宋体" w:cs="宋体"/>
          <w:color w:val="auto"/>
          <w:sz w:val="21"/>
          <w:szCs w:val="16"/>
          <w:highlight w:val="none"/>
        </w:rPr>
        <w:t>说明：1.应提供</w:t>
      </w:r>
      <w:r>
        <w:rPr>
          <w:rFonts w:hint="eastAsia" w:ascii="宋体" w:hAnsi="宋体" w:eastAsia="宋体" w:cs="宋体"/>
          <w:color w:val="auto"/>
          <w:sz w:val="21"/>
          <w:szCs w:val="16"/>
          <w:highlight w:val="none"/>
          <w:u w:val="single" w:color="auto"/>
          <w:lang w:eastAsia="zh-CN"/>
        </w:rPr>
        <w:t>评分标准和细则中技术部分</w:t>
      </w:r>
      <w:r>
        <w:rPr>
          <w:rFonts w:hint="eastAsia" w:ascii="宋体" w:hAnsi="宋体" w:eastAsia="宋体" w:cs="宋体"/>
          <w:color w:val="auto"/>
          <w:sz w:val="21"/>
          <w:szCs w:val="16"/>
          <w:highlight w:val="none"/>
        </w:rPr>
        <w:t>要求的其他资格证明文件</w:t>
      </w:r>
      <w:r>
        <w:rPr>
          <w:rFonts w:hint="eastAsia" w:hAnsi="宋体" w:eastAsia="宋体" w:cs="宋体"/>
          <w:color w:val="auto"/>
          <w:sz w:val="21"/>
          <w:szCs w:val="16"/>
          <w:highlight w:val="none"/>
          <w:lang w:eastAsia="zh-CN"/>
        </w:rPr>
        <w:t>。</w:t>
      </w:r>
    </w:p>
    <w:p w14:paraId="54045A90">
      <w:pPr>
        <w:pStyle w:val="13"/>
        <w:shd w:val="clear" w:color="auto" w:fill="auto"/>
        <w:tabs>
          <w:tab w:val="left" w:pos="5580"/>
        </w:tabs>
        <w:spacing w:line="360" w:lineRule="auto"/>
        <w:ind w:firstLine="1060" w:firstLineChars="500"/>
        <w:rPr>
          <w:rFonts w:hint="eastAsia" w:ascii="宋体" w:hAnsi="宋体" w:eastAsia="宋体" w:cs="宋体"/>
          <w:color w:val="auto"/>
          <w:sz w:val="21"/>
          <w:szCs w:val="16"/>
          <w:highlight w:val="none"/>
        </w:rPr>
      </w:pPr>
      <w:r>
        <w:rPr>
          <w:rFonts w:hint="eastAsia" w:ascii="宋体" w:hAnsi="宋体" w:eastAsia="宋体" w:cs="宋体"/>
          <w:color w:val="auto"/>
          <w:sz w:val="21"/>
          <w:szCs w:val="16"/>
          <w:highlight w:val="none"/>
        </w:rPr>
        <w:t>2.复印件上应加盖本单位章（自然人投标的无需盖章，需要签字）。</w:t>
      </w:r>
    </w:p>
    <w:p w14:paraId="0E533A27">
      <w:pPr>
        <w:pStyle w:val="13"/>
        <w:shd w:val="clear" w:color="auto" w:fill="auto"/>
        <w:tabs>
          <w:tab w:val="left" w:pos="5580"/>
        </w:tabs>
        <w:spacing w:line="240" w:lineRule="atLeast"/>
        <w:ind w:left="1267" w:leftChars="344" w:hanging="538"/>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7A77CC3A">
      <w:pPr>
        <w:shd w:val="clear" w:color="auto" w:fill="auto"/>
        <w:rPr>
          <w:rFonts w:hint="eastAsia" w:ascii="宋体" w:hAnsi="宋体" w:eastAsia="宋体" w:cs="宋体"/>
          <w:color w:val="auto"/>
          <w:sz w:val="24"/>
          <w:highlight w:val="none"/>
          <w:lang w:val="en-US" w:eastAsia="zh-CN"/>
        </w:rPr>
      </w:pPr>
    </w:p>
    <w:p w14:paraId="51504085">
      <w:pPr>
        <w:pStyle w:val="3"/>
        <w:numPr>
          <w:ilvl w:val="1"/>
          <w:numId w:val="0"/>
        </w:numPr>
        <w:shd w:val="clear" w:color="auto" w:fill="auto"/>
        <w:spacing w:before="0" w:line="240" w:lineRule="atLeast"/>
        <w:ind w:leftChars="257"/>
        <w:jc w:val="center"/>
        <w:rPr>
          <w:rFonts w:hint="eastAsia" w:ascii="宋体" w:hAnsi="宋体" w:eastAsia="宋体" w:cs="宋体"/>
          <w:color w:val="auto"/>
          <w:sz w:val="24"/>
          <w:highlight w:val="none"/>
          <w:lang w:val="en-US" w:eastAsia="zh-CN"/>
        </w:rPr>
      </w:pPr>
    </w:p>
    <w:p w14:paraId="668116C8">
      <w:pPr>
        <w:pStyle w:val="3"/>
        <w:numPr>
          <w:ilvl w:val="1"/>
          <w:numId w:val="0"/>
        </w:numPr>
        <w:shd w:val="clear" w:color="auto" w:fill="auto"/>
        <w:spacing w:before="0" w:line="240" w:lineRule="atLeast"/>
        <w:jc w:val="both"/>
        <w:rPr>
          <w:rFonts w:hint="eastAsia" w:ascii="宋体" w:hAnsi="宋体" w:eastAsia="宋体" w:cs="宋体"/>
          <w:b/>
          <w:bCs/>
          <w:color w:val="auto"/>
          <w:sz w:val="24"/>
          <w:highlight w:val="none"/>
          <w:lang w:eastAsia="zh-CN"/>
        </w:rPr>
      </w:pPr>
      <w:bookmarkStart w:id="233" w:name="_Toc25327"/>
      <w:bookmarkStart w:id="234" w:name="_Toc19391"/>
      <w:r>
        <w:rPr>
          <w:rFonts w:hint="eastAsia" w:ascii="宋体" w:hAnsi="宋体" w:cs="宋体"/>
          <w:b/>
          <w:bCs/>
          <w:color w:val="auto"/>
          <w:sz w:val="24"/>
          <w:highlight w:val="none"/>
          <w:lang w:val="en-US" w:eastAsia="zh-CN"/>
        </w:rPr>
        <w:t>13</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lang w:eastAsia="zh-CN"/>
        </w:rPr>
        <w:t>评分标准和细则中商务部分证明材料（格式自拟）</w:t>
      </w:r>
      <w:bookmarkEnd w:id="233"/>
      <w:bookmarkEnd w:id="234"/>
    </w:p>
    <w:p w14:paraId="35B1FB88">
      <w:pPr>
        <w:pStyle w:val="13"/>
        <w:shd w:val="clear" w:color="auto" w:fill="auto"/>
        <w:tabs>
          <w:tab w:val="left" w:pos="5580"/>
        </w:tabs>
        <w:spacing w:line="240" w:lineRule="atLeast"/>
        <w:ind w:left="1084" w:leftChars="257" w:hanging="540"/>
        <w:rPr>
          <w:rFonts w:hint="eastAsia" w:ascii="宋体" w:hAnsi="宋体" w:eastAsia="宋体" w:cs="宋体"/>
          <w:color w:val="auto"/>
          <w:sz w:val="24"/>
          <w:highlight w:val="none"/>
        </w:rPr>
      </w:pPr>
    </w:p>
    <w:p w14:paraId="48F512A6">
      <w:pPr>
        <w:pStyle w:val="13"/>
        <w:shd w:val="clear" w:color="auto" w:fill="auto"/>
        <w:tabs>
          <w:tab w:val="left" w:pos="5580"/>
        </w:tabs>
        <w:spacing w:line="240" w:lineRule="atLeast"/>
        <w:ind w:left="1084" w:leftChars="257" w:hanging="540"/>
        <w:rPr>
          <w:rFonts w:hint="eastAsia" w:ascii="宋体" w:hAnsi="宋体" w:eastAsia="宋体" w:cs="宋体"/>
          <w:color w:val="auto"/>
          <w:sz w:val="24"/>
          <w:highlight w:val="none"/>
        </w:rPr>
      </w:pPr>
    </w:p>
    <w:p w14:paraId="5FF8847D">
      <w:pPr>
        <w:pStyle w:val="13"/>
        <w:shd w:val="clear" w:color="auto" w:fill="auto"/>
        <w:tabs>
          <w:tab w:val="left" w:pos="5580"/>
        </w:tabs>
        <w:spacing w:line="360" w:lineRule="auto"/>
        <w:ind w:left="1084" w:leftChars="257" w:hanging="540"/>
        <w:rPr>
          <w:rFonts w:hint="eastAsia" w:ascii="宋体" w:hAnsi="宋体" w:eastAsia="宋体" w:cs="宋体"/>
          <w:color w:val="auto"/>
          <w:sz w:val="21"/>
          <w:szCs w:val="16"/>
          <w:highlight w:val="none"/>
        </w:rPr>
      </w:pPr>
      <w:r>
        <w:rPr>
          <w:rFonts w:hint="eastAsia" w:ascii="宋体" w:hAnsi="宋体" w:eastAsia="宋体" w:cs="宋体"/>
          <w:color w:val="auto"/>
          <w:sz w:val="21"/>
          <w:szCs w:val="16"/>
          <w:highlight w:val="none"/>
        </w:rPr>
        <w:t>说明</w:t>
      </w:r>
      <w:r>
        <w:rPr>
          <w:rFonts w:hint="eastAsia" w:ascii="宋体" w:hAnsi="宋体" w:eastAsia="宋体" w:cs="宋体"/>
          <w:color w:val="auto"/>
          <w:sz w:val="21"/>
          <w:szCs w:val="16"/>
          <w:highlight w:val="none"/>
          <w:lang w:val="en-US" w:eastAsia="zh-CN"/>
        </w:rPr>
        <w:t>.</w:t>
      </w:r>
      <w:r>
        <w:rPr>
          <w:rFonts w:hint="eastAsia" w:ascii="宋体" w:hAnsi="宋体" w:eastAsia="宋体" w:cs="宋体"/>
          <w:color w:val="auto"/>
          <w:sz w:val="21"/>
          <w:szCs w:val="16"/>
          <w:highlight w:val="none"/>
        </w:rPr>
        <w:t>1.应提供</w:t>
      </w:r>
      <w:r>
        <w:rPr>
          <w:rFonts w:hint="eastAsia" w:ascii="宋体" w:hAnsi="宋体" w:eastAsia="宋体" w:cs="宋体"/>
          <w:color w:val="auto"/>
          <w:sz w:val="21"/>
          <w:szCs w:val="16"/>
          <w:highlight w:val="none"/>
          <w:lang w:eastAsia="zh-CN"/>
        </w:rPr>
        <w:t>评分标准和细则中商务部分</w:t>
      </w:r>
      <w:r>
        <w:rPr>
          <w:rFonts w:hint="eastAsia" w:ascii="宋体" w:hAnsi="宋体" w:eastAsia="宋体" w:cs="宋体"/>
          <w:color w:val="auto"/>
          <w:sz w:val="21"/>
          <w:szCs w:val="16"/>
          <w:highlight w:val="none"/>
        </w:rPr>
        <w:t>要求的其他资格证明文件。</w:t>
      </w:r>
    </w:p>
    <w:p w14:paraId="5F501DE2">
      <w:pPr>
        <w:pStyle w:val="13"/>
        <w:shd w:val="clear" w:color="auto" w:fill="auto"/>
        <w:tabs>
          <w:tab w:val="left" w:pos="5580"/>
        </w:tabs>
        <w:spacing w:line="360" w:lineRule="auto"/>
        <w:ind w:left="1148" w:leftChars="485" w:hanging="120" w:hangingChars="57"/>
        <w:rPr>
          <w:rFonts w:hint="eastAsia" w:ascii="宋体" w:hAnsi="宋体" w:eastAsia="宋体" w:cs="宋体"/>
          <w:color w:val="auto"/>
          <w:sz w:val="21"/>
          <w:szCs w:val="16"/>
          <w:highlight w:val="none"/>
        </w:rPr>
      </w:pPr>
      <w:r>
        <w:rPr>
          <w:rFonts w:hint="eastAsia" w:ascii="宋体" w:hAnsi="宋体" w:eastAsia="宋体" w:cs="宋体"/>
          <w:color w:val="auto"/>
          <w:sz w:val="21"/>
          <w:szCs w:val="16"/>
          <w:highlight w:val="none"/>
        </w:rPr>
        <w:t>2.复印件上应加盖本单位章（自然人投标的无需盖章，需要签字）。</w:t>
      </w:r>
    </w:p>
    <w:p w14:paraId="2E1A0B30">
      <w:pPr>
        <w:pStyle w:val="13"/>
        <w:shd w:val="clear" w:color="auto" w:fill="auto"/>
        <w:tabs>
          <w:tab w:val="left" w:pos="5580"/>
        </w:tabs>
        <w:spacing w:line="360" w:lineRule="auto"/>
        <w:ind w:left="1084" w:leftChars="257" w:hanging="540"/>
        <w:rPr>
          <w:rFonts w:hint="eastAsia" w:ascii="宋体" w:hAnsi="宋体" w:eastAsia="宋体" w:cs="宋体"/>
          <w:color w:val="auto"/>
          <w:sz w:val="21"/>
          <w:szCs w:val="16"/>
          <w:highlight w:val="none"/>
        </w:rPr>
      </w:pPr>
      <w:r>
        <w:rPr>
          <w:rFonts w:hint="eastAsia" w:ascii="宋体" w:hAnsi="宋体" w:eastAsia="宋体" w:cs="宋体"/>
          <w:color w:val="auto"/>
          <w:sz w:val="21"/>
          <w:szCs w:val="16"/>
          <w:highlight w:val="none"/>
        </w:rPr>
        <w:t xml:space="preserve"> </w:t>
      </w:r>
      <w:r>
        <w:rPr>
          <w:rFonts w:hint="eastAsia" w:ascii="宋体" w:hAnsi="宋体" w:eastAsia="宋体" w:cs="宋体"/>
          <w:color w:val="auto"/>
          <w:sz w:val="21"/>
          <w:szCs w:val="16"/>
          <w:highlight w:val="none"/>
          <w:lang w:val="en-US" w:eastAsia="zh-CN"/>
        </w:rPr>
        <w:t xml:space="preserve">   </w:t>
      </w:r>
      <w:r>
        <w:rPr>
          <w:rFonts w:hint="eastAsia" w:ascii="宋体" w:hAnsi="宋体" w:eastAsia="宋体" w:cs="宋体"/>
          <w:color w:val="auto"/>
          <w:sz w:val="21"/>
          <w:szCs w:val="16"/>
          <w:highlight w:val="none"/>
        </w:rPr>
        <w:t>3. （本项目不接受联合体）如果是联合体投标，联合体各方需提供的满足</w:t>
      </w:r>
      <w:r>
        <w:rPr>
          <w:rFonts w:hint="eastAsia" w:hAnsi="宋体" w:cs="宋体"/>
          <w:color w:val="auto"/>
          <w:sz w:val="21"/>
          <w:szCs w:val="16"/>
          <w:highlight w:val="none"/>
          <w:lang w:val="en-US" w:eastAsia="zh-CN"/>
        </w:rPr>
        <w:t>招标</w:t>
      </w:r>
      <w:r>
        <w:rPr>
          <w:rFonts w:hint="eastAsia" w:ascii="宋体" w:hAnsi="宋体" w:eastAsia="宋体" w:cs="宋体"/>
          <w:color w:val="auto"/>
          <w:sz w:val="21"/>
          <w:szCs w:val="16"/>
          <w:highlight w:val="none"/>
          <w:lang w:eastAsia="zh-CN"/>
        </w:rPr>
        <w:t>文件</w:t>
      </w:r>
      <w:r>
        <w:rPr>
          <w:rFonts w:hint="eastAsia" w:ascii="宋体" w:hAnsi="宋体" w:eastAsia="宋体" w:cs="宋体"/>
          <w:color w:val="auto"/>
          <w:sz w:val="21"/>
          <w:szCs w:val="16"/>
          <w:highlight w:val="none"/>
        </w:rPr>
        <w:t>要求的其他资格证明文件。</w:t>
      </w:r>
    </w:p>
    <w:p w14:paraId="7538DA0E">
      <w:pPr>
        <w:pStyle w:val="3"/>
        <w:numPr>
          <w:ilvl w:val="1"/>
          <w:numId w:val="0"/>
        </w:numPr>
        <w:shd w:val="clear" w:color="auto" w:fill="auto"/>
        <w:spacing w:before="0" w:line="240" w:lineRule="atLeast"/>
        <w:ind w:leftChars="257"/>
        <w:jc w:val="center"/>
        <w:rPr>
          <w:rFonts w:hint="eastAsia" w:ascii="宋体" w:hAnsi="宋体" w:eastAsia="宋体" w:cs="宋体"/>
          <w:color w:val="auto"/>
          <w:sz w:val="24"/>
          <w:highlight w:val="none"/>
          <w:lang w:val="en-US" w:eastAsia="zh-CN"/>
        </w:rPr>
      </w:pPr>
    </w:p>
    <w:p w14:paraId="41941924">
      <w:pPr>
        <w:pStyle w:val="3"/>
        <w:numPr>
          <w:ilvl w:val="1"/>
          <w:numId w:val="0"/>
        </w:numPr>
        <w:shd w:val="clear" w:color="auto" w:fill="auto"/>
        <w:spacing w:before="0" w:line="240" w:lineRule="atLeast"/>
        <w:jc w:val="left"/>
        <w:rPr>
          <w:rFonts w:hint="eastAsia" w:ascii="宋体" w:hAnsi="宋体" w:eastAsia="宋体" w:cs="宋体"/>
          <w:color w:val="auto"/>
          <w:sz w:val="24"/>
          <w:highlight w:val="none"/>
          <w:lang w:val="en-US" w:eastAsia="zh-CN"/>
        </w:rPr>
      </w:pPr>
    </w:p>
    <w:p w14:paraId="3AB31B14">
      <w:pPr>
        <w:pStyle w:val="3"/>
        <w:numPr>
          <w:ilvl w:val="1"/>
          <w:numId w:val="0"/>
        </w:numPr>
        <w:shd w:val="clear" w:color="auto" w:fill="auto"/>
        <w:spacing w:before="0" w:line="240" w:lineRule="atLeast"/>
        <w:jc w:val="both"/>
        <w:rPr>
          <w:rFonts w:hint="eastAsia" w:ascii="宋体" w:hAnsi="宋体" w:eastAsia="宋体" w:cs="宋体"/>
          <w:b/>
          <w:bCs/>
          <w:color w:val="auto"/>
          <w:sz w:val="24"/>
          <w:highlight w:val="none"/>
          <w:lang w:eastAsia="zh-CN"/>
        </w:rPr>
      </w:pPr>
      <w:bookmarkStart w:id="235" w:name="_Toc37"/>
      <w:bookmarkStart w:id="236" w:name="_Toc25686"/>
      <w:r>
        <w:rPr>
          <w:rFonts w:hint="eastAsia" w:ascii="宋体" w:hAnsi="宋体" w:cs="宋体"/>
          <w:b/>
          <w:bCs/>
          <w:color w:val="auto"/>
          <w:sz w:val="24"/>
          <w:highlight w:val="none"/>
          <w:lang w:val="en-US" w:eastAsia="zh-CN"/>
        </w:rPr>
        <w:t>14</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lang w:eastAsia="zh-CN"/>
        </w:rPr>
        <w:t>投标人认为有必要提供的其他证明材料（格式自拟）</w:t>
      </w:r>
      <w:bookmarkEnd w:id="235"/>
      <w:bookmarkEnd w:id="236"/>
    </w:p>
    <w:p w14:paraId="36A50F6A">
      <w:pPr>
        <w:shd w:val="clear" w:color="auto" w:fill="auto"/>
        <w:rPr>
          <w:rFonts w:hint="eastAsia" w:ascii="宋体" w:hAnsi="宋体" w:eastAsia="宋体" w:cs="宋体"/>
          <w:color w:val="auto"/>
          <w:highlight w:val="none"/>
        </w:rPr>
      </w:pPr>
    </w:p>
    <w:p w14:paraId="51ABD941">
      <w:pPr>
        <w:pStyle w:val="13"/>
        <w:shd w:val="clear" w:color="auto" w:fill="auto"/>
        <w:tabs>
          <w:tab w:val="left" w:pos="5580"/>
        </w:tabs>
        <w:spacing w:line="360" w:lineRule="auto"/>
        <w:ind w:left="1084" w:leftChars="257" w:hanging="540"/>
        <w:rPr>
          <w:rFonts w:hint="eastAsia" w:ascii="宋体" w:hAnsi="宋体" w:eastAsia="宋体" w:cs="宋体"/>
          <w:color w:val="auto"/>
          <w:sz w:val="21"/>
          <w:szCs w:val="16"/>
          <w:highlight w:val="none"/>
          <w:lang w:val="en-US" w:eastAsia="zh-CN"/>
        </w:rPr>
      </w:pPr>
      <w:r>
        <w:rPr>
          <w:rFonts w:hint="eastAsia" w:ascii="宋体" w:hAnsi="宋体" w:eastAsia="宋体" w:cs="宋体"/>
          <w:color w:val="auto"/>
          <w:sz w:val="21"/>
          <w:szCs w:val="16"/>
          <w:highlight w:val="none"/>
          <w:lang w:val="en-US" w:eastAsia="zh-CN"/>
        </w:rPr>
        <w:t>说明：1.复印件上应加盖本单位章（自然人投标的无需盖章，需要签字）。</w:t>
      </w:r>
    </w:p>
    <w:p w14:paraId="56443AEC">
      <w:pPr>
        <w:pStyle w:val="13"/>
        <w:shd w:val="clear" w:color="auto" w:fill="auto"/>
        <w:tabs>
          <w:tab w:val="left" w:pos="5580"/>
        </w:tabs>
        <w:spacing w:line="360" w:lineRule="auto"/>
        <w:ind w:left="1084" w:leftChars="257" w:hanging="540"/>
        <w:rPr>
          <w:rFonts w:hint="eastAsia"/>
          <w:color w:val="auto"/>
          <w:highlight w:val="none"/>
        </w:rPr>
      </w:pPr>
      <w:r>
        <w:rPr>
          <w:rFonts w:hint="eastAsia" w:ascii="宋体" w:hAnsi="宋体" w:eastAsia="宋体" w:cs="宋体"/>
          <w:color w:val="auto"/>
          <w:sz w:val="21"/>
          <w:szCs w:val="16"/>
          <w:highlight w:val="none"/>
          <w:lang w:val="en-US" w:eastAsia="zh-CN"/>
        </w:rPr>
        <w:t>2.（本项目不接受联合体）如果是联合体投标，联合体各方需提供的满足招标文件要求的其他资格证明文件。</w:t>
      </w:r>
    </w:p>
    <w:p w14:paraId="5A35B208">
      <w:pPr>
        <w:pStyle w:val="13"/>
        <w:shd w:val="clear" w:color="auto" w:fill="auto"/>
        <w:tabs>
          <w:tab w:val="left" w:pos="5580"/>
        </w:tabs>
        <w:spacing w:line="360" w:lineRule="auto"/>
        <w:ind w:left="1084" w:leftChars="257" w:hanging="540"/>
        <w:rPr>
          <w:rFonts w:hint="eastAsia"/>
          <w:color w:val="auto"/>
          <w:highlight w:val="none"/>
        </w:rPr>
      </w:pPr>
    </w:p>
    <w:sectPr>
      <w:headerReference r:id="rId9" w:type="default"/>
      <w:footerReference r:id="rId10" w:type="default"/>
      <w:pgSz w:w="11905" w:h="16838"/>
      <w:pgMar w:top="1440" w:right="1797" w:bottom="1440" w:left="1797" w:header="850" w:footer="992" w:gutter="0"/>
      <w:pgNumType w:fmt="decimal"/>
      <w:cols w:space="0" w:num="1"/>
      <w:rtlGutter w:val="0"/>
      <w:docGrid w:type="linesAndChars" w:linePitch="332" w:charSpace="61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_x000B__x000C_">
    <w:altName w:val="Courier New"/>
    <w:panose1 w:val="00000000000000000000"/>
    <w:charset w:val="00"/>
    <w:family w:val="roman"/>
    <w:pitch w:val="default"/>
    <w:sig w:usb0="00000000" w:usb1="00000000" w:usb2="00000000" w:usb3="00000000" w:csb0="00040001" w:csb1="00000000"/>
  </w:font>
  <w:font w:name="Helvetica">
    <w:altName w:val="Arial"/>
    <w:panose1 w:val="020B0604020202020204"/>
    <w:charset w:val="00"/>
    <w:family w:val="swiss"/>
    <w:pitch w:val="default"/>
    <w:sig w:usb0="00000000" w:usb1="00000000" w:usb2="00000000" w:usb3="00000000" w:csb0="00040001" w:csb1="00000000"/>
  </w:font>
  <w:font w:name="ヒラギノ角ゴ Pro W3">
    <w:altName w:val="Yu Gothic"/>
    <w:panose1 w:val="00000000000000000000"/>
    <w:charset w:val="80"/>
    <w:family w:val="auto"/>
    <w:pitch w:val="default"/>
    <w:sig w:usb0="00000000" w:usb1="00000000" w:usb2="00000012" w:usb3="00000000" w:csb0="0002000D" w:csb1="00000000"/>
  </w:font>
  <w:font w:name="Yu Gothic">
    <w:panose1 w:val="020B0400000000000000"/>
    <w:charset w:val="80"/>
    <w:family w:val="auto"/>
    <w:pitch w:val="default"/>
    <w:sig w:usb0="E00002FF" w:usb1="2AC7FDFF" w:usb2="00000016" w:usb3="00000000" w:csb0="2002009F" w:csb1="00000000"/>
  </w:font>
  <w:font w:name="长城仿宋">
    <w:altName w:val="宋体"/>
    <w:panose1 w:val="02010609000101010101"/>
    <w:charset w:val="86"/>
    <w:family w:val="modern"/>
    <w:pitch w:val="default"/>
    <w:sig w:usb0="00000000" w:usb1="00000000" w:usb2="00000010" w:usb3="00000000" w:csb0="00040000" w:csb1="00000000"/>
  </w:font>
  <w:font w:name="华文仿宋">
    <w:altName w:val="仿宋"/>
    <w:panose1 w:val="02010600040101010101"/>
    <w:charset w:val="86"/>
    <w:family w:val="swiss"/>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Tms Rmn">
    <w:altName w:val="Segoe Print"/>
    <w:panose1 w:val="02020603040505020304"/>
    <w:charset w:val="00"/>
    <w:family w:val="roman"/>
    <w:pitch w:val="default"/>
    <w:sig w:usb0="00000000" w:usb1="00000000" w:usb2="00000000" w:usb3="00000000" w:csb0="00000001" w:csb1="00000000"/>
  </w:font>
  <w:font w:name="新宋体">
    <w:panose1 w:val="02010609030101010101"/>
    <w:charset w:val="86"/>
    <w:family w:val="auto"/>
    <w:pitch w:val="default"/>
    <w:sig w:usb0="00000203" w:usb1="288F0000" w:usb2="00000006" w:usb3="00000000" w:csb0="00040001" w:csb1="00000000"/>
  </w:font>
  <w:font w:name="宋体-18030">
    <w:altName w:val="宋体"/>
    <w:panose1 w:val="00000000000000000000"/>
    <w:charset w:val="86"/>
    <w:family w:val="modern"/>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EC25F">
    <w:pPr>
      <w:pStyle w:val="17"/>
      <w:ind w:right="360"/>
      <w:jc w:val="both"/>
      <w:rPr>
        <w:rFonts w:hint="eastAsia"/>
      </w:rPr>
    </w:pPr>
    <w:r>
      <w:rPr>
        <w:rFonts w:hint="eastAsia"/>
        <w:sz w:val="13"/>
        <w:szCs w:val="13"/>
      </w:rPr>
      <w:t xml:space="preserve"> </w:t>
    </w:r>
    <w:r>
      <w:rPr>
        <w:rFonts w:hint="eastAsia"/>
      </w:rPr>
      <w:t xml:space="preserve">  </w:t>
    </w:r>
    <w:r>
      <w:rPr>
        <w:rFonts w:hint="eastAsia"/>
        <w:sz w:val="21"/>
        <w:szCs w:val="21"/>
      </w:rPr>
      <w:t xml:space="preserve"> </w:t>
    </w:r>
    <w:r>
      <w:rPr>
        <w:rFonts w:hint="eastAsia"/>
        <w:color w:val="800000"/>
        <w:sz w:val="16"/>
        <w:szCs w:val="20"/>
        <w:lang w:val="en-US" w:eastAsia="zh-CN"/>
      </w:rPr>
      <w:t xml:space="preserve">      </w:t>
    </w:r>
  </w:p>
  <w:p w14:paraId="43BDAFE7">
    <w:pPr>
      <w:pStyle w:val="17"/>
      <w:tabs>
        <w:tab w:val="center" w:pos="4320"/>
        <w:tab w:val="right" w:pos="8640"/>
        <w:tab w:val="clear" w:pos="4153"/>
        <w:tab w:val="clear" w:pos="8306"/>
      </w:tab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AC1F0">
    <w:pPr>
      <w:pStyle w:val="17"/>
      <w:ind w:right="360"/>
      <w:jc w:val="both"/>
      <w:rPr>
        <w:rFonts w:hint="eastAsia"/>
      </w:rPr>
    </w:pPr>
    <w:r>
      <w:rPr>
        <w:rFonts w:hint="eastAsia"/>
        <w:sz w:val="13"/>
        <w:szCs w:val="13"/>
      </w:rPr>
      <w:t xml:space="preserve"> </w:t>
    </w:r>
    <w:r>
      <w:rPr>
        <w:rFonts w:hint="eastAsia"/>
      </w:rPr>
      <w:t xml:space="preserve">  </w:t>
    </w:r>
    <w:r>
      <w:rPr>
        <w:rFonts w:hint="eastAsia"/>
        <w:sz w:val="21"/>
        <w:szCs w:val="21"/>
      </w:rPr>
      <w:t xml:space="preserve"> </w:t>
    </w:r>
    <w:r>
      <w:rPr>
        <w:rFonts w:hint="eastAsia"/>
        <w:color w:val="800000"/>
        <w:sz w:val="16"/>
        <w:szCs w:val="20"/>
        <w:lang w:val="en-US" w:eastAsia="zh-CN"/>
      </w:rPr>
      <w:t xml:space="preserve">      </w:t>
    </w:r>
  </w:p>
  <w:p w14:paraId="417A5A9D">
    <w:pPr>
      <w:pStyle w:val="17"/>
      <w:tabs>
        <w:tab w:val="center" w:pos="4320"/>
        <w:tab w:val="right" w:pos="8640"/>
        <w:tab w:val="clear" w:pos="4153"/>
        <w:tab w:val="clear" w:pos="8306"/>
      </w:tabs>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8A250">
    <w:pPr>
      <w:pStyle w:val="17"/>
      <w:ind w:right="360"/>
      <w:jc w:val="both"/>
      <w:rPr>
        <w:rFonts w:hint="eastAsia"/>
      </w:rPr>
    </w:pPr>
    <w:r>
      <w:rPr>
        <w:sz w:val="13"/>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BA96D">
                          <w:pPr>
                            <w:pStyle w:val="1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27BA96D">
                    <w:pPr>
                      <w:pStyle w:val="17"/>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sz w:val="13"/>
        <w:szCs w:val="13"/>
      </w:rPr>
      <w:t xml:space="preserve"> </w:t>
    </w:r>
    <w:r>
      <w:rPr>
        <w:rFonts w:hint="eastAsia"/>
      </w:rPr>
      <w:t xml:space="preserve">  </w:t>
    </w:r>
    <w:r>
      <w:rPr>
        <w:rFonts w:hint="eastAsia"/>
        <w:sz w:val="21"/>
        <w:szCs w:val="21"/>
      </w:rPr>
      <w:t xml:space="preserve"> </w:t>
    </w:r>
    <w:r>
      <w:rPr>
        <w:rFonts w:hint="eastAsia"/>
        <w:color w:val="800000"/>
        <w:sz w:val="16"/>
        <w:szCs w:val="20"/>
        <w:lang w:val="en-US" w:eastAsia="zh-CN"/>
      </w:rPr>
      <w:t xml:space="preserve">     </w:t>
    </w:r>
  </w:p>
  <w:p w14:paraId="60B8FAF8">
    <w:pPr>
      <w:pStyle w:val="17"/>
      <w:tabs>
        <w:tab w:val="center" w:pos="4320"/>
        <w:tab w:val="right" w:pos="8640"/>
        <w:tab w:val="clear" w:pos="4153"/>
        <w:tab w:val="clear" w:pos="8306"/>
      </w:tabs>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77AAE">
    <w:pPr>
      <w:pStyle w:val="17"/>
      <w:ind w:right="360"/>
      <w:jc w:val="both"/>
    </w:pPr>
    <w:r>
      <w:rPr>
        <w:sz w:val="13"/>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DA9A4C">
                          <w:pPr>
                            <w:pStyle w:val="17"/>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23DA9A4C">
                    <w:pPr>
                      <w:pStyle w:val="17"/>
                    </w:pPr>
                    <w:r>
                      <w:fldChar w:fldCharType="begin"/>
                    </w:r>
                    <w:r>
                      <w:instrText xml:space="preserve"> PAGE  \* MERGEFORMAT </w:instrText>
                    </w:r>
                    <w:r>
                      <w:fldChar w:fldCharType="separate"/>
                    </w:r>
                    <w:r>
                      <w:t>49</w:t>
                    </w:r>
                    <w:r>
                      <w:fldChar w:fldCharType="end"/>
                    </w:r>
                  </w:p>
                </w:txbxContent>
              </v:textbox>
            </v:shape>
          </w:pict>
        </mc:Fallback>
      </mc:AlternateContent>
    </w:r>
    <w:r>
      <w:rPr>
        <w:rFonts w:hint="eastAsia"/>
        <w:sz w:val="13"/>
        <w:szCs w:val="13"/>
      </w:rPr>
      <w:t xml:space="preserve"> </w:t>
    </w:r>
    <w:r>
      <w:rPr>
        <w:rFonts w:hint="eastAsia"/>
      </w:rPr>
      <w:t xml:space="preserve">  </w:t>
    </w:r>
  </w:p>
  <w:p w14:paraId="0D89E0C8">
    <w:pPr>
      <w:pStyle w:val="17"/>
      <w:tabs>
        <w:tab w:val="clear" w:pos="4153"/>
        <w:tab w:val="clear" w:pos="8306"/>
      </w:tabs>
      <w:ind w:right="360"/>
      <w:rPr>
        <w:rFonts w:hint="default" w:eastAsia="宋体"/>
        <w:lang w:val="en-US" w:eastAsia="zh-CN"/>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AE431">
    <w:pPr>
      <w:spacing w:line="184" w:lineRule="auto"/>
      <w:ind w:left="4358"/>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D55854">
                          <w:pPr>
                            <w:pStyle w:val="17"/>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15D55854">
                    <w:pPr>
                      <w:pStyle w:val="17"/>
                    </w:pPr>
                    <w:r>
                      <w:fldChar w:fldCharType="begin"/>
                    </w:r>
                    <w:r>
                      <w:instrText xml:space="preserve"> PAGE  \* MERGEFORMAT </w:instrText>
                    </w:r>
                    <w:r>
                      <w:fldChar w:fldCharType="separate"/>
                    </w:r>
                    <w:r>
                      <w:t>67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B400E">
    <w:pPr>
      <w:pStyle w:val="17"/>
      <w:ind w:right="360"/>
      <w:jc w:val="both"/>
      <w:rPr>
        <w:rFonts w:hint="eastAsia"/>
      </w:rPr>
    </w:pPr>
    <w:r>
      <w:rPr>
        <w:sz w:val="16"/>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E68D2B">
                          <w:pPr>
                            <w:pStyle w:val="17"/>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0E68D2B">
                    <w:pPr>
                      <w:pStyle w:val="17"/>
                    </w:pPr>
                    <w:r>
                      <w:fldChar w:fldCharType="begin"/>
                    </w:r>
                    <w:r>
                      <w:instrText xml:space="preserve"> PAGE  \* MERGEFORMAT </w:instrText>
                    </w:r>
                    <w:r>
                      <w:fldChar w:fldCharType="separate"/>
                    </w:r>
                    <w:r>
                      <w:t>74</w:t>
                    </w:r>
                    <w:r>
                      <w:fldChar w:fldCharType="end"/>
                    </w:r>
                  </w:p>
                </w:txbxContent>
              </v:textbox>
            </v:shape>
          </w:pict>
        </mc:Fallback>
      </mc:AlternateContent>
    </w:r>
    <w:r>
      <w:rPr>
        <w:rFonts w:hint="eastAsia"/>
        <w:color w:val="800000"/>
        <w:sz w:val="16"/>
        <w:szCs w:val="20"/>
        <w:lang w:val="en-US" w:eastAsia="zh-CN"/>
      </w:rPr>
      <w:t xml:space="preserve">        </w:t>
    </w:r>
  </w:p>
  <w:p w14:paraId="22685703">
    <w:pPr>
      <w:pStyle w:val="17"/>
      <w:keepNext w:val="0"/>
      <w:keepLines w:val="0"/>
      <w:pageBreakBefore w:val="0"/>
      <w:widowControl w:val="0"/>
      <w:kinsoku/>
      <w:wordWrap/>
      <w:overflowPunct/>
      <w:topLinePunct w:val="0"/>
      <w:autoSpaceDE w:val="0"/>
      <w:autoSpaceDN w:val="0"/>
      <w:bidi w:val="0"/>
      <w:adjustRightInd w:val="0"/>
      <w:snapToGrid w:val="0"/>
      <w:spacing w:line="240" w:lineRule="auto"/>
      <w:ind w:left="7200" w:hanging="7200" w:hangingChars="4000"/>
      <w:jc w:val="both"/>
      <w:textAlignment w:val="auto"/>
      <w:rPr>
        <w:rFonts w:hint="default"/>
        <w:lang w:val="en-US"/>
      </w:rPr>
    </w:pPr>
  </w:p>
  <w:p w14:paraId="1C52C39B">
    <w:pPr>
      <w:pStyle w:val="17"/>
      <w:ind w:right="360"/>
      <w:jc w:val="right"/>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A853A">
    <w:pPr>
      <w:pStyle w:val="18"/>
      <w:pBdr>
        <w:bottom w:val="none" w:color="auto" w:sz="0" w:space="1"/>
      </w:pBdr>
      <w:rPr>
        <w:rFonts w:hint="default"/>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B640A">
    <w:pPr>
      <w:pStyle w:val="18"/>
      <w:pBdr>
        <w:bottom w:val="none" w:color="auto" w:sz="0" w:space="1"/>
      </w:pBdr>
      <w:tabs>
        <w:tab w:val="left" w:pos="3088"/>
        <w:tab w:val="center" w:pos="4260"/>
      </w:tabs>
      <w:jc w:val="left"/>
      <w:rPr>
        <w:rFonts w:hint="eastAsia" w:ascii="宋体" w:hAnsi="宋体" w:eastAsia="宋体" w:cs="宋体"/>
        <w:b w:val="0"/>
        <w:bCs w:val="0"/>
        <w:sz w:val="21"/>
        <w:szCs w:val="21"/>
        <w:lang w:val="en-US" w:eastAsia="zh-CN"/>
      </w:rPr>
    </w:pPr>
    <w:r>
      <w:rPr>
        <w:rFonts w:hint="eastAsia"/>
        <w:lang w:eastAsia="zh-CN"/>
      </w:rPr>
      <w:tab/>
    </w:r>
    <w:r>
      <w:rPr>
        <w:rFonts w:hint="eastAsia"/>
        <w:lang w:eastAsia="zh-CN"/>
      </w:rPr>
      <w:tab/>
    </w:r>
    <w:r>
      <w:rPr>
        <w:rFonts w:hint="eastAsia"/>
        <w:lang w:eastAsia="zh-CN"/>
      </w:rPr>
      <w:tab/>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6C482C"/>
    <w:multiLevelType w:val="singleLevel"/>
    <w:tmpl w:val="B36C482C"/>
    <w:lvl w:ilvl="0" w:tentative="0">
      <w:start w:val="2"/>
      <w:numFmt w:val="chineseCounting"/>
      <w:suff w:val="space"/>
      <w:lvlText w:val="第%1章"/>
      <w:lvlJc w:val="left"/>
      <w:pPr>
        <w:ind w:left="-1816"/>
      </w:pPr>
      <w:rPr>
        <w:rFonts w:hint="eastAsia"/>
      </w:rPr>
    </w:lvl>
  </w:abstractNum>
  <w:abstractNum w:abstractNumId="1">
    <w:nsid w:val="B8A8889F"/>
    <w:multiLevelType w:val="singleLevel"/>
    <w:tmpl w:val="B8A8889F"/>
    <w:lvl w:ilvl="0" w:tentative="0">
      <w:start w:val="2"/>
      <w:numFmt w:val="chineseCounting"/>
      <w:suff w:val="space"/>
      <w:lvlText w:val="（%1）"/>
      <w:lvlJc w:val="left"/>
      <w:rPr>
        <w:rFonts w:hint="eastAsia"/>
      </w:rPr>
    </w:lvl>
  </w:abstractNum>
  <w:abstractNum w:abstractNumId="2">
    <w:nsid w:val="00000000"/>
    <w:multiLevelType w:val="multilevel"/>
    <w:tmpl w:val="00000000"/>
    <w:lvl w:ilvl="0" w:tentative="0">
      <w:start w:val="1"/>
      <w:numFmt w:val="japaneseCounting"/>
      <w:lvlText w:val="%1"/>
      <w:lvlJc w:val="left"/>
      <w:pPr>
        <w:tabs>
          <w:tab w:val="left" w:pos="0"/>
        </w:tabs>
        <w:ind w:left="360" w:hanging="360"/>
      </w:pPr>
      <w:rPr>
        <w:rFonts w:hint="default" w:ascii="宋体" w:hAnsi="宋体" w:eastAsia="宋体"/>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3">
    <w:nsid w:val="0BFF4245"/>
    <w:multiLevelType w:val="singleLevel"/>
    <w:tmpl w:val="0BFF4245"/>
    <w:lvl w:ilvl="0" w:tentative="0">
      <w:start w:val="2"/>
      <w:numFmt w:val="decimal"/>
      <w:suff w:val="space"/>
      <w:lvlText w:val="%1."/>
      <w:lvlJc w:val="left"/>
    </w:lvl>
  </w:abstractNum>
  <w:abstractNum w:abstractNumId="4">
    <w:nsid w:val="11715540"/>
    <w:multiLevelType w:val="multilevel"/>
    <w:tmpl w:val="11715540"/>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5">
    <w:nsid w:val="11A64EEE"/>
    <w:multiLevelType w:val="singleLevel"/>
    <w:tmpl w:val="11A64EEE"/>
    <w:lvl w:ilvl="0" w:tentative="0">
      <w:start w:val="1"/>
      <w:numFmt w:val="chineseCounting"/>
      <w:suff w:val="nothing"/>
      <w:lvlText w:val="%1、"/>
      <w:lvlJc w:val="left"/>
      <w:pPr>
        <w:ind w:left="0"/>
      </w:pPr>
      <w:rPr>
        <w:rFonts w:hint="eastAsia"/>
      </w:rPr>
    </w:lvl>
  </w:abstractNum>
  <w:abstractNum w:abstractNumId="6">
    <w:nsid w:val="26F2549E"/>
    <w:multiLevelType w:val="multilevel"/>
    <w:tmpl w:val="26F2549E"/>
    <w:lvl w:ilvl="0" w:tentative="0">
      <w:start w:val="1"/>
      <w:numFmt w:val="decimal"/>
      <w:lvlText w:val="%1、"/>
      <w:lvlJc w:val="left"/>
      <w:pPr>
        <w:ind w:left="371" w:hanging="360"/>
      </w:pPr>
      <w:rPr>
        <w:rFonts w:hint="default"/>
      </w:rPr>
    </w:lvl>
    <w:lvl w:ilvl="1" w:tentative="0">
      <w:start w:val="1"/>
      <w:numFmt w:val="lowerLetter"/>
      <w:pStyle w:val="3"/>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abstractNum w:abstractNumId="7">
    <w:nsid w:val="374BFB32"/>
    <w:multiLevelType w:val="singleLevel"/>
    <w:tmpl w:val="374BFB32"/>
    <w:lvl w:ilvl="0" w:tentative="0">
      <w:start w:val="1"/>
      <w:numFmt w:val="decimal"/>
      <w:suff w:val="nothing"/>
      <w:lvlText w:val="（%1）"/>
      <w:lvlJc w:val="left"/>
    </w:lvl>
  </w:abstractNum>
  <w:abstractNum w:abstractNumId="8">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68"/>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9">
    <w:nsid w:val="519473F5"/>
    <w:multiLevelType w:val="singleLevel"/>
    <w:tmpl w:val="519473F5"/>
    <w:lvl w:ilvl="0" w:tentative="0">
      <w:start w:val="1"/>
      <w:numFmt w:val="decimal"/>
      <w:lvlText w:val="%1."/>
      <w:lvlJc w:val="left"/>
      <w:pPr>
        <w:tabs>
          <w:tab w:val="left" w:pos="312"/>
        </w:tabs>
      </w:pPr>
    </w:lvl>
  </w:abstractNum>
  <w:abstractNum w:abstractNumId="10">
    <w:nsid w:val="55CD4C99"/>
    <w:multiLevelType w:val="singleLevel"/>
    <w:tmpl w:val="55CD4C99"/>
    <w:lvl w:ilvl="0" w:tentative="0">
      <w:start w:val="1"/>
      <w:numFmt w:val="chineseCounting"/>
      <w:suff w:val="nothing"/>
      <w:lvlText w:val="%1、"/>
      <w:lvlJc w:val="left"/>
    </w:lvl>
  </w:abstractNum>
  <w:abstractNum w:abstractNumId="11">
    <w:nsid w:val="58E42E0E"/>
    <w:multiLevelType w:val="singleLevel"/>
    <w:tmpl w:val="58E42E0E"/>
    <w:lvl w:ilvl="0" w:tentative="0">
      <w:start w:val="2"/>
      <w:numFmt w:val="decimal"/>
      <w:suff w:val="nothing"/>
      <w:lvlText w:val="%1、"/>
      <w:lvlJc w:val="left"/>
    </w:lvl>
  </w:abstractNum>
  <w:abstractNum w:abstractNumId="12">
    <w:nsid w:val="712F340D"/>
    <w:multiLevelType w:val="singleLevel"/>
    <w:tmpl w:val="712F340D"/>
    <w:lvl w:ilvl="0" w:tentative="0">
      <w:start w:val="1"/>
      <w:numFmt w:val="lowerLetter"/>
      <w:lvlText w:val="%1."/>
      <w:lvlJc w:val="left"/>
      <w:pPr>
        <w:tabs>
          <w:tab w:val="left" w:pos="312"/>
        </w:tabs>
      </w:pPr>
    </w:lvl>
  </w:abstractNum>
  <w:abstractNum w:abstractNumId="13">
    <w:nsid w:val="78AA6554"/>
    <w:multiLevelType w:val="multilevel"/>
    <w:tmpl w:val="78AA6554"/>
    <w:lvl w:ilvl="0" w:tentative="0">
      <w:start w:val="1"/>
      <w:numFmt w:val="japaneseCounting"/>
      <w:lvlText w:val="（%1）"/>
      <w:lvlJc w:val="left"/>
      <w:pPr>
        <w:tabs>
          <w:tab w:val="left" w:pos="1725"/>
        </w:tabs>
        <w:ind w:left="1725" w:hanging="1080"/>
      </w:pPr>
      <w:rPr>
        <w:rFonts w:hint="default"/>
        <w:lang w:val="en-US"/>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num w:numId="1">
    <w:abstractNumId w:val="6"/>
  </w:num>
  <w:num w:numId="2">
    <w:abstractNumId w:val="8"/>
  </w:num>
  <w:num w:numId="3">
    <w:abstractNumId w:val="3"/>
  </w:num>
  <w:num w:numId="4">
    <w:abstractNumId w:val="0"/>
  </w:num>
  <w:num w:numId="5">
    <w:abstractNumId w:val="5"/>
  </w:num>
  <w:num w:numId="6">
    <w:abstractNumId w:val="12"/>
  </w:num>
  <w:num w:numId="7">
    <w:abstractNumId w:val="7"/>
  </w:num>
  <w:num w:numId="8">
    <w:abstractNumId w:val="9"/>
  </w:num>
  <w:num w:numId="9">
    <w:abstractNumId w:val="10"/>
  </w:num>
  <w:num w:numId="10">
    <w:abstractNumId w:val="4"/>
  </w:num>
  <w:num w:numId="11">
    <w:abstractNumId w:val="13"/>
  </w:num>
  <w:num w:numId="12">
    <w:abstractNumId w:val="1"/>
  </w:num>
  <w:num w:numId="13">
    <w:abstractNumId w:val="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7"/>
  <w:drawingGridVerticalSpacing w:val="16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JjMDAyOTdiZGU1YTI4YzE1NTA5YWM3MGEyODEwMDEifQ=="/>
  </w:docVars>
  <w:rsids>
    <w:rsidRoot w:val="00AE79E0"/>
    <w:rsid w:val="000008FD"/>
    <w:rsid w:val="00003231"/>
    <w:rsid w:val="00003B78"/>
    <w:rsid w:val="00003F23"/>
    <w:rsid w:val="00005025"/>
    <w:rsid w:val="0000620B"/>
    <w:rsid w:val="0000681E"/>
    <w:rsid w:val="0000682D"/>
    <w:rsid w:val="00011FD2"/>
    <w:rsid w:val="000126C8"/>
    <w:rsid w:val="00012CFA"/>
    <w:rsid w:val="00013187"/>
    <w:rsid w:val="000137F2"/>
    <w:rsid w:val="00014B17"/>
    <w:rsid w:val="000165AB"/>
    <w:rsid w:val="000201C1"/>
    <w:rsid w:val="00021187"/>
    <w:rsid w:val="00021198"/>
    <w:rsid w:val="00021864"/>
    <w:rsid w:val="00023055"/>
    <w:rsid w:val="00023185"/>
    <w:rsid w:val="000242CE"/>
    <w:rsid w:val="00024AD6"/>
    <w:rsid w:val="00026A08"/>
    <w:rsid w:val="000279EA"/>
    <w:rsid w:val="000305D5"/>
    <w:rsid w:val="000319B0"/>
    <w:rsid w:val="00034387"/>
    <w:rsid w:val="00034B72"/>
    <w:rsid w:val="00034BA3"/>
    <w:rsid w:val="00034CDA"/>
    <w:rsid w:val="00034F63"/>
    <w:rsid w:val="0003627F"/>
    <w:rsid w:val="0003679A"/>
    <w:rsid w:val="00040E67"/>
    <w:rsid w:val="00041F06"/>
    <w:rsid w:val="000423B1"/>
    <w:rsid w:val="0004299A"/>
    <w:rsid w:val="000429F1"/>
    <w:rsid w:val="000437CC"/>
    <w:rsid w:val="00043E1C"/>
    <w:rsid w:val="00046FC5"/>
    <w:rsid w:val="00047373"/>
    <w:rsid w:val="000476D9"/>
    <w:rsid w:val="0005173F"/>
    <w:rsid w:val="00051864"/>
    <w:rsid w:val="00051ECE"/>
    <w:rsid w:val="000520FE"/>
    <w:rsid w:val="00053450"/>
    <w:rsid w:val="000538D1"/>
    <w:rsid w:val="00054A43"/>
    <w:rsid w:val="00055123"/>
    <w:rsid w:val="00055AB6"/>
    <w:rsid w:val="00055F34"/>
    <w:rsid w:val="00056350"/>
    <w:rsid w:val="00056A13"/>
    <w:rsid w:val="000576A3"/>
    <w:rsid w:val="00063B93"/>
    <w:rsid w:val="00064417"/>
    <w:rsid w:val="000649EF"/>
    <w:rsid w:val="00065388"/>
    <w:rsid w:val="00065665"/>
    <w:rsid w:val="00067D7A"/>
    <w:rsid w:val="00070288"/>
    <w:rsid w:val="00070340"/>
    <w:rsid w:val="000708C5"/>
    <w:rsid w:val="000712BD"/>
    <w:rsid w:val="000719DB"/>
    <w:rsid w:val="00072AC0"/>
    <w:rsid w:val="000738C2"/>
    <w:rsid w:val="000742BD"/>
    <w:rsid w:val="0007479D"/>
    <w:rsid w:val="00075123"/>
    <w:rsid w:val="00075390"/>
    <w:rsid w:val="0007565B"/>
    <w:rsid w:val="00075BB9"/>
    <w:rsid w:val="00076436"/>
    <w:rsid w:val="00076558"/>
    <w:rsid w:val="00077C43"/>
    <w:rsid w:val="00077D8B"/>
    <w:rsid w:val="0008094E"/>
    <w:rsid w:val="00080A6F"/>
    <w:rsid w:val="000816F2"/>
    <w:rsid w:val="00082869"/>
    <w:rsid w:val="00083463"/>
    <w:rsid w:val="00083CDC"/>
    <w:rsid w:val="00084CC1"/>
    <w:rsid w:val="000852D7"/>
    <w:rsid w:val="00085489"/>
    <w:rsid w:val="000863D1"/>
    <w:rsid w:val="00086A7A"/>
    <w:rsid w:val="00086B28"/>
    <w:rsid w:val="000874E4"/>
    <w:rsid w:val="0008796E"/>
    <w:rsid w:val="00087E9D"/>
    <w:rsid w:val="000901E9"/>
    <w:rsid w:val="00090BD9"/>
    <w:rsid w:val="00090F00"/>
    <w:rsid w:val="00091C9B"/>
    <w:rsid w:val="00091DC7"/>
    <w:rsid w:val="000926F6"/>
    <w:rsid w:val="000942A8"/>
    <w:rsid w:val="00094641"/>
    <w:rsid w:val="00094AC9"/>
    <w:rsid w:val="00095245"/>
    <w:rsid w:val="000955A6"/>
    <w:rsid w:val="00095B6E"/>
    <w:rsid w:val="0009686F"/>
    <w:rsid w:val="000A1761"/>
    <w:rsid w:val="000A184E"/>
    <w:rsid w:val="000A1B3C"/>
    <w:rsid w:val="000A2970"/>
    <w:rsid w:val="000A35E1"/>
    <w:rsid w:val="000A3813"/>
    <w:rsid w:val="000A4619"/>
    <w:rsid w:val="000A48D7"/>
    <w:rsid w:val="000A5705"/>
    <w:rsid w:val="000A6219"/>
    <w:rsid w:val="000A6DD1"/>
    <w:rsid w:val="000A7BFA"/>
    <w:rsid w:val="000A7E34"/>
    <w:rsid w:val="000B0CDF"/>
    <w:rsid w:val="000B19BA"/>
    <w:rsid w:val="000B21F3"/>
    <w:rsid w:val="000B5B49"/>
    <w:rsid w:val="000B5CD6"/>
    <w:rsid w:val="000B5D8E"/>
    <w:rsid w:val="000B71A8"/>
    <w:rsid w:val="000B7353"/>
    <w:rsid w:val="000B7627"/>
    <w:rsid w:val="000B7FDE"/>
    <w:rsid w:val="000C062A"/>
    <w:rsid w:val="000C0D0A"/>
    <w:rsid w:val="000C0D63"/>
    <w:rsid w:val="000C1047"/>
    <w:rsid w:val="000C2C5E"/>
    <w:rsid w:val="000C4AF2"/>
    <w:rsid w:val="000C58C5"/>
    <w:rsid w:val="000C627A"/>
    <w:rsid w:val="000C6774"/>
    <w:rsid w:val="000C68DD"/>
    <w:rsid w:val="000C742F"/>
    <w:rsid w:val="000C7D1B"/>
    <w:rsid w:val="000D07C7"/>
    <w:rsid w:val="000D16D6"/>
    <w:rsid w:val="000D1955"/>
    <w:rsid w:val="000D1963"/>
    <w:rsid w:val="000D260B"/>
    <w:rsid w:val="000D296C"/>
    <w:rsid w:val="000D2BE7"/>
    <w:rsid w:val="000D3BE4"/>
    <w:rsid w:val="000D3FDF"/>
    <w:rsid w:val="000D3FE5"/>
    <w:rsid w:val="000D5BFA"/>
    <w:rsid w:val="000D77C3"/>
    <w:rsid w:val="000E0018"/>
    <w:rsid w:val="000E169F"/>
    <w:rsid w:val="000E18AA"/>
    <w:rsid w:val="000E1F61"/>
    <w:rsid w:val="000E30EA"/>
    <w:rsid w:val="000E3822"/>
    <w:rsid w:val="000E416E"/>
    <w:rsid w:val="000E4C55"/>
    <w:rsid w:val="000E57CE"/>
    <w:rsid w:val="000E5BD2"/>
    <w:rsid w:val="000E6242"/>
    <w:rsid w:val="000E689E"/>
    <w:rsid w:val="000E6A46"/>
    <w:rsid w:val="000E6ED7"/>
    <w:rsid w:val="000F0113"/>
    <w:rsid w:val="000F1DED"/>
    <w:rsid w:val="000F2698"/>
    <w:rsid w:val="000F3E84"/>
    <w:rsid w:val="000F3FFF"/>
    <w:rsid w:val="000F4B95"/>
    <w:rsid w:val="000F6140"/>
    <w:rsid w:val="000F6A98"/>
    <w:rsid w:val="000F6AB9"/>
    <w:rsid w:val="000F6B00"/>
    <w:rsid w:val="000F6D6B"/>
    <w:rsid w:val="000F6DA7"/>
    <w:rsid w:val="000F7DEB"/>
    <w:rsid w:val="001008C8"/>
    <w:rsid w:val="00101800"/>
    <w:rsid w:val="00103AEE"/>
    <w:rsid w:val="00104E2B"/>
    <w:rsid w:val="00104E64"/>
    <w:rsid w:val="0010538C"/>
    <w:rsid w:val="001057AF"/>
    <w:rsid w:val="00110A45"/>
    <w:rsid w:val="00111249"/>
    <w:rsid w:val="001123E7"/>
    <w:rsid w:val="001135FE"/>
    <w:rsid w:val="00113871"/>
    <w:rsid w:val="0011439C"/>
    <w:rsid w:val="00114702"/>
    <w:rsid w:val="00116424"/>
    <w:rsid w:val="001167DB"/>
    <w:rsid w:val="00116D76"/>
    <w:rsid w:val="00117062"/>
    <w:rsid w:val="001170CE"/>
    <w:rsid w:val="001178E2"/>
    <w:rsid w:val="00117DEA"/>
    <w:rsid w:val="00117FAC"/>
    <w:rsid w:val="0012043E"/>
    <w:rsid w:val="001209D4"/>
    <w:rsid w:val="001209D7"/>
    <w:rsid w:val="00120A18"/>
    <w:rsid w:val="00120C83"/>
    <w:rsid w:val="00121289"/>
    <w:rsid w:val="001233FB"/>
    <w:rsid w:val="0012425E"/>
    <w:rsid w:val="0012511F"/>
    <w:rsid w:val="00125392"/>
    <w:rsid w:val="001255D4"/>
    <w:rsid w:val="001263BA"/>
    <w:rsid w:val="00126A4E"/>
    <w:rsid w:val="00126AD8"/>
    <w:rsid w:val="00126DF1"/>
    <w:rsid w:val="001276ED"/>
    <w:rsid w:val="00127742"/>
    <w:rsid w:val="00130067"/>
    <w:rsid w:val="00130C17"/>
    <w:rsid w:val="0013112F"/>
    <w:rsid w:val="0013118B"/>
    <w:rsid w:val="001311ED"/>
    <w:rsid w:val="0013431D"/>
    <w:rsid w:val="00134648"/>
    <w:rsid w:val="001348DF"/>
    <w:rsid w:val="00134FD5"/>
    <w:rsid w:val="0013509E"/>
    <w:rsid w:val="00135535"/>
    <w:rsid w:val="00135AED"/>
    <w:rsid w:val="00135BC4"/>
    <w:rsid w:val="00135F38"/>
    <w:rsid w:val="001369C3"/>
    <w:rsid w:val="00137B6B"/>
    <w:rsid w:val="00137D64"/>
    <w:rsid w:val="00137E4C"/>
    <w:rsid w:val="00141038"/>
    <w:rsid w:val="0014151F"/>
    <w:rsid w:val="00141941"/>
    <w:rsid w:val="00142184"/>
    <w:rsid w:val="0014311D"/>
    <w:rsid w:val="00144467"/>
    <w:rsid w:val="001449E6"/>
    <w:rsid w:val="0014579A"/>
    <w:rsid w:val="00145A0C"/>
    <w:rsid w:val="00145E17"/>
    <w:rsid w:val="00147477"/>
    <w:rsid w:val="0015038C"/>
    <w:rsid w:val="001508B1"/>
    <w:rsid w:val="00152331"/>
    <w:rsid w:val="00152403"/>
    <w:rsid w:val="00152CE0"/>
    <w:rsid w:val="00155001"/>
    <w:rsid w:val="001553F5"/>
    <w:rsid w:val="001554EC"/>
    <w:rsid w:val="00155CDB"/>
    <w:rsid w:val="00156646"/>
    <w:rsid w:val="001568CF"/>
    <w:rsid w:val="00157E12"/>
    <w:rsid w:val="00160800"/>
    <w:rsid w:val="00160863"/>
    <w:rsid w:val="0016087F"/>
    <w:rsid w:val="00160A88"/>
    <w:rsid w:val="001613E7"/>
    <w:rsid w:val="0016174A"/>
    <w:rsid w:val="001620F9"/>
    <w:rsid w:val="00165DAF"/>
    <w:rsid w:val="00167DD2"/>
    <w:rsid w:val="0017046D"/>
    <w:rsid w:val="0017080E"/>
    <w:rsid w:val="00171430"/>
    <w:rsid w:val="001714A4"/>
    <w:rsid w:val="00171FC2"/>
    <w:rsid w:val="001729B3"/>
    <w:rsid w:val="00172D11"/>
    <w:rsid w:val="00172FE9"/>
    <w:rsid w:val="001736ED"/>
    <w:rsid w:val="00173D1D"/>
    <w:rsid w:val="00174925"/>
    <w:rsid w:val="00174E84"/>
    <w:rsid w:val="00175BB3"/>
    <w:rsid w:val="00176570"/>
    <w:rsid w:val="00176A44"/>
    <w:rsid w:val="00176CDE"/>
    <w:rsid w:val="00177851"/>
    <w:rsid w:val="00180275"/>
    <w:rsid w:val="0018175A"/>
    <w:rsid w:val="00182153"/>
    <w:rsid w:val="00183525"/>
    <w:rsid w:val="00183724"/>
    <w:rsid w:val="00184539"/>
    <w:rsid w:val="00184EF2"/>
    <w:rsid w:val="0018523C"/>
    <w:rsid w:val="00186A8D"/>
    <w:rsid w:val="0019046D"/>
    <w:rsid w:val="00191194"/>
    <w:rsid w:val="00192441"/>
    <w:rsid w:val="001924AF"/>
    <w:rsid w:val="00192969"/>
    <w:rsid w:val="00192AB0"/>
    <w:rsid w:val="00193398"/>
    <w:rsid w:val="001935E2"/>
    <w:rsid w:val="00193A65"/>
    <w:rsid w:val="00194057"/>
    <w:rsid w:val="0019444D"/>
    <w:rsid w:val="001966AA"/>
    <w:rsid w:val="00196974"/>
    <w:rsid w:val="00196D5E"/>
    <w:rsid w:val="00196F4B"/>
    <w:rsid w:val="001972EB"/>
    <w:rsid w:val="001A0B29"/>
    <w:rsid w:val="001A12FE"/>
    <w:rsid w:val="001A406A"/>
    <w:rsid w:val="001A62A1"/>
    <w:rsid w:val="001A74C3"/>
    <w:rsid w:val="001B0B9D"/>
    <w:rsid w:val="001B1C75"/>
    <w:rsid w:val="001B2BBF"/>
    <w:rsid w:val="001B522A"/>
    <w:rsid w:val="001B560A"/>
    <w:rsid w:val="001B5738"/>
    <w:rsid w:val="001B6E93"/>
    <w:rsid w:val="001B70B5"/>
    <w:rsid w:val="001B7B84"/>
    <w:rsid w:val="001B7F39"/>
    <w:rsid w:val="001C05AB"/>
    <w:rsid w:val="001C1F35"/>
    <w:rsid w:val="001C2A8A"/>
    <w:rsid w:val="001C3B70"/>
    <w:rsid w:val="001C5539"/>
    <w:rsid w:val="001C59BE"/>
    <w:rsid w:val="001C5DC4"/>
    <w:rsid w:val="001C5E26"/>
    <w:rsid w:val="001C6220"/>
    <w:rsid w:val="001C6B18"/>
    <w:rsid w:val="001D0A93"/>
    <w:rsid w:val="001D2F5F"/>
    <w:rsid w:val="001D446C"/>
    <w:rsid w:val="001D5688"/>
    <w:rsid w:val="001D58FF"/>
    <w:rsid w:val="001D629D"/>
    <w:rsid w:val="001D63FD"/>
    <w:rsid w:val="001D6F3F"/>
    <w:rsid w:val="001D6F45"/>
    <w:rsid w:val="001D7E45"/>
    <w:rsid w:val="001E04F1"/>
    <w:rsid w:val="001E20D3"/>
    <w:rsid w:val="001E2E22"/>
    <w:rsid w:val="001E2FC4"/>
    <w:rsid w:val="001E36B7"/>
    <w:rsid w:val="001E47CD"/>
    <w:rsid w:val="001E5159"/>
    <w:rsid w:val="001E5832"/>
    <w:rsid w:val="001E591A"/>
    <w:rsid w:val="001E68D0"/>
    <w:rsid w:val="001F07C5"/>
    <w:rsid w:val="001F1324"/>
    <w:rsid w:val="001F134E"/>
    <w:rsid w:val="001F14AE"/>
    <w:rsid w:val="001F1946"/>
    <w:rsid w:val="001F26BA"/>
    <w:rsid w:val="001F3378"/>
    <w:rsid w:val="001F4661"/>
    <w:rsid w:val="001F4719"/>
    <w:rsid w:val="001F66D5"/>
    <w:rsid w:val="001F6A1F"/>
    <w:rsid w:val="001F7137"/>
    <w:rsid w:val="001F770C"/>
    <w:rsid w:val="00200094"/>
    <w:rsid w:val="00200808"/>
    <w:rsid w:val="00200C69"/>
    <w:rsid w:val="00201148"/>
    <w:rsid w:val="00202825"/>
    <w:rsid w:val="00202D5B"/>
    <w:rsid w:val="00202F2A"/>
    <w:rsid w:val="002036F3"/>
    <w:rsid w:val="00203F5C"/>
    <w:rsid w:val="00204191"/>
    <w:rsid w:val="0020421A"/>
    <w:rsid w:val="002047D3"/>
    <w:rsid w:val="0020497C"/>
    <w:rsid w:val="00205798"/>
    <w:rsid w:val="00205A83"/>
    <w:rsid w:val="00205DEE"/>
    <w:rsid w:val="00207016"/>
    <w:rsid w:val="0021092F"/>
    <w:rsid w:val="00210BCE"/>
    <w:rsid w:val="002111F8"/>
    <w:rsid w:val="002112B7"/>
    <w:rsid w:val="0021169E"/>
    <w:rsid w:val="00211789"/>
    <w:rsid w:val="00211B64"/>
    <w:rsid w:val="00211C86"/>
    <w:rsid w:val="00211FEE"/>
    <w:rsid w:val="002122F0"/>
    <w:rsid w:val="00212CA5"/>
    <w:rsid w:val="00212EB3"/>
    <w:rsid w:val="00213256"/>
    <w:rsid w:val="0021421B"/>
    <w:rsid w:val="0021435E"/>
    <w:rsid w:val="00217577"/>
    <w:rsid w:val="00217846"/>
    <w:rsid w:val="002203C0"/>
    <w:rsid w:val="002209E8"/>
    <w:rsid w:val="002215D0"/>
    <w:rsid w:val="0022309F"/>
    <w:rsid w:val="00224266"/>
    <w:rsid w:val="002248D5"/>
    <w:rsid w:val="00224BDB"/>
    <w:rsid w:val="00225A4D"/>
    <w:rsid w:val="00225E3E"/>
    <w:rsid w:val="00225E4A"/>
    <w:rsid w:val="00227FEE"/>
    <w:rsid w:val="00230CC1"/>
    <w:rsid w:val="00230D14"/>
    <w:rsid w:val="002314E9"/>
    <w:rsid w:val="00231CB1"/>
    <w:rsid w:val="00232C8A"/>
    <w:rsid w:val="0023334B"/>
    <w:rsid w:val="00234A89"/>
    <w:rsid w:val="00234E10"/>
    <w:rsid w:val="00235478"/>
    <w:rsid w:val="002358C7"/>
    <w:rsid w:val="002362AF"/>
    <w:rsid w:val="002362CC"/>
    <w:rsid w:val="00237506"/>
    <w:rsid w:val="002378D0"/>
    <w:rsid w:val="00237B57"/>
    <w:rsid w:val="00243A1C"/>
    <w:rsid w:val="00243B5E"/>
    <w:rsid w:val="00243C20"/>
    <w:rsid w:val="00243D7D"/>
    <w:rsid w:val="00243ECE"/>
    <w:rsid w:val="00245ACA"/>
    <w:rsid w:val="00246F54"/>
    <w:rsid w:val="0025249A"/>
    <w:rsid w:val="0025326E"/>
    <w:rsid w:val="002541D3"/>
    <w:rsid w:val="00254D18"/>
    <w:rsid w:val="00255705"/>
    <w:rsid w:val="00255C2F"/>
    <w:rsid w:val="00255D4D"/>
    <w:rsid w:val="00257088"/>
    <w:rsid w:val="002574B1"/>
    <w:rsid w:val="0025775C"/>
    <w:rsid w:val="0025785F"/>
    <w:rsid w:val="0026096A"/>
    <w:rsid w:val="00260B60"/>
    <w:rsid w:val="0026120E"/>
    <w:rsid w:val="00261315"/>
    <w:rsid w:val="0026223A"/>
    <w:rsid w:val="002632DC"/>
    <w:rsid w:val="00263F02"/>
    <w:rsid w:val="002648FB"/>
    <w:rsid w:val="00266892"/>
    <w:rsid w:val="00266CC0"/>
    <w:rsid w:val="002672ED"/>
    <w:rsid w:val="0027024E"/>
    <w:rsid w:val="00272390"/>
    <w:rsid w:val="0027543F"/>
    <w:rsid w:val="00275F7E"/>
    <w:rsid w:val="002760E4"/>
    <w:rsid w:val="002768B5"/>
    <w:rsid w:val="00277378"/>
    <w:rsid w:val="0028110D"/>
    <w:rsid w:val="00281371"/>
    <w:rsid w:val="002813D2"/>
    <w:rsid w:val="002819B4"/>
    <w:rsid w:val="0028291E"/>
    <w:rsid w:val="00282FBB"/>
    <w:rsid w:val="00283B88"/>
    <w:rsid w:val="00285CC4"/>
    <w:rsid w:val="00286851"/>
    <w:rsid w:val="00290235"/>
    <w:rsid w:val="00290EB7"/>
    <w:rsid w:val="00291B90"/>
    <w:rsid w:val="00291EBD"/>
    <w:rsid w:val="00293933"/>
    <w:rsid w:val="00295F38"/>
    <w:rsid w:val="00296FAA"/>
    <w:rsid w:val="002970FB"/>
    <w:rsid w:val="00297E16"/>
    <w:rsid w:val="002A07DB"/>
    <w:rsid w:val="002A1959"/>
    <w:rsid w:val="002A3638"/>
    <w:rsid w:val="002A484A"/>
    <w:rsid w:val="002A49E9"/>
    <w:rsid w:val="002A4C87"/>
    <w:rsid w:val="002A4E7F"/>
    <w:rsid w:val="002A51FE"/>
    <w:rsid w:val="002A79FB"/>
    <w:rsid w:val="002A7C46"/>
    <w:rsid w:val="002A7D6F"/>
    <w:rsid w:val="002B08C1"/>
    <w:rsid w:val="002B0A6F"/>
    <w:rsid w:val="002B12D0"/>
    <w:rsid w:val="002B17E9"/>
    <w:rsid w:val="002B1A43"/>
    <w:rsid w:val="002B1ABC"/>
    <w:rsid w:val="002B220A"/>
    <w:rsid w:val="002B28DF"/>
    <w:rsid w:val="002B3EF5"/>
    <w:rsid w:val="002B4721"/>
    <w:rsid w:val="002B635D"/>
    <w:rsid w:val="002B6423"/>
    <w:rsid w:val="002B6D27"/>
    <w:rsid w:val="002B6EAE"/>
    <w:rsid w:val="002B7C85"/>
    <w:rsid w:val="002C1472"/>
    <w:rsid w:val="002C1DFD"/>
    <w:rsid w:val="002C316D"/>
    <w:rsid w:val="002C324F"/>
    <w:rsid w:val="002C32A4"/>
    <w:rsid w:val="002C34A7"/>
    <w:rsid w:val="002C404C"/>
    <w:rsid w:val="002C44F8"/>
    <w:rsid w:val="002C48D8"/>
    <w:rsid w:val="002C50D1"/>
    <w:rsid w:val="002C53E5"/>
    <w:rsid w:val="002C5959"/>
    <w:rsid w:val="002C66EA"/>
    <w:rsid w:val="002C6EE6"/>
    <w:rsid w:val="002C76A3"/>
    <w:rsid w:val="002D16A5"/>
    <w:rsid w:val="002D1856"/>
    <w:rsid w:val="002D269B"/>
    <w:rsid w:val="002D4063"/>
    <w:rsid w:val="002D6C02"/>
    <w:rsid w:val="002D6F6A"/>
    <w:rsid w:val="002D702A"/>
    <w:rsid w:val="002D73D4"/>
    <w:rsid w:val="002D73FE"/>
    <w:rsid w:val="002E00B8"/>
    <w:rsid w:val="002E023A"/>
    <w:rsid w:val="002E05E3"/>
    <w:rsid w:val="002E0CF1"/>
    <w:rsid w:val="002E131F"/>
    <w:rsid w:val="002E3A5F"/>
    <w:rsid w:val="002E3A69"/>
    <w:rsid w:val="002E3A88"/>
    <w:rsid w:val="002E3B8A"/>
    <w:rsid w:val="002E5DDC"/>
    <w:rsid w:val="002E6CBA"/>
    <w:rsid w:val="002E70C0"/>
    <w:rsid w:val="002E779E"/>
    <w:rsid w:val="002F0126"/>
    <w:rsid w:val="002F1C05"/>
    <w:rsid w:val="002F3E1E"/>
    <w:rsid w:val="002F5154"/>
    <w:rsid w:val="002F5668"/>
    <w:rsid w:val="002F6350"/>
    <w:rsid w:val="002F726F"/>
    <w:rsid w:val="002F7307"/>
    <w:rsid w:val="002F775E"/>
    <w:rsid w:val="003002FC"/>
    <w:rsid w:val="00301764"/>
    <w:rsid w:val="0030256A"/>
    <w:rsid w:val="003049E1"/>
    <w:rsid w:val="00304EE7"/>
    <w:rsid w:val="003064DC"/>
    <w:rsid w:val="0030763F"/>
    <w:rsid w:val="0030791A"/>
    <w:rsid w:val="00311D1C"/>
    <w:rsid w:val="00311FE2"/>
    <w:rsid w:val="00312912"/>
    <w:rsid w:val="00312B46"/>
    <w:rsid w:val="003135CA"/>
    <w:rsid w:val="00314E48"/>
    <w:rsid w:val="00315218"/>
    <w:rsid w:val="003169FF"/>
    <w:rsid w:val="0031704D"/>
    <w:rsid w:val="00317374"/>
    <w:rsid w:val="0031782B"/>
    <w:rsid w:val="00317903"/>
    <w:rsid w:val="00317929"/>
    <w:rsid w:val="00320797"/>
    <w:rsid w:val="00321351"/>
    <w:rsid w:val="003215D0"/>
    <w:rsid w:val="003219FF"/>
    <w:rsid w:val="00321B0F"/>
    <w:rsid w:val="00323327"/>
    <w:rsid w:val="003233D3"/>
    <w:rsid w:val="0032368B"/>
    <w:rsid w:val="00323B3C"/>
    <w:rsid w:val="00323B9B"/>
    <w:rsid w:val="00323EE0"/>
    <w:rsid w:val="003250B5"/>
    <w:rsid w:val="00325C3D"/>
    <w:rsid w:val="00327B00"/>
    <w:rsid w:val="00330EEC"/>
    <w:rsid w:val="00331614"/>
    <w:rsid w:val="003316A2"/>
    <w:rsid w:val="003316AA"/>
    <w:rsid w:val="00331951"/>
    <w:rsid w:val="00333612"/>
    <w:rsid w:val="00333F5A"/>
    <w:rsid w:val="00334464"/>
    <w:rsid w:val="00335143"/>
    <w:rsid w:val="0033520E"/>
    <w:rsid w:val="003355DB"/>
    <w:rsid w:val="003360C0"/>
    <w:rsid w:val="00337E3A"/>
    <w:rsid w:val="00341701"/>
    <w:rsid w:val="00341E1B"/>
    <w:rsid w:val="00342063"/>
    <w:rsid w:val="00343AFA"/>
    <w:rsid w:val="00345340"/>
    <w:rsid w:val="00345DC6"/>
    <w:rsid w:val="00347D7F"/>
    <w:rsid w:val="0035000C"/>
    <w:rsid w:val="0035054D"/>
    <w:rsid w:val="00350672"/>
    <w:rsid w:val="003520CF"/>
    <w:rsid w:val="00352130"/>
    <w:rsid w:val="00352629"/>
    <w:rsid w:val="00352961"/>
    <w:rsid w:val="00352F5E"/>
    <w:rsid w:val="003535C3"/>
    <w:rsid w:val="00355078"/>
    <w:rsid w:val="003554BE"/>
    <w:rsid w:val="00355BD8"/>
    <w:rsid w:val="0035755D"/>
    <w:rsid w:val="00357634"/>
    <w:rsid w:val="003607F7"/>
    <w:rsid w:val="0036156D"/>
    <w:rsid w:val="00361C08"/>
    <w:rsid w:val="00362C15"/>
    <w:rsid w:val="003635A5"/>
    <w:rsid w:val="003639F7"/>
    <w:rsid w:val="00363A88"/>
    <w:rsid w:val="00364D6D"/>
    <w:rsid w:val="00365FB8"/>
    <w:rsid w:val="003660EB"/>
    <w:rsid w:val="0036682B"/>
    <w:rsid w:val="00366A3F"/>
    <w:rsid w:val="00366D2F"/>
    <w:rsid w:val="00367050"/>
    <w:rsid w:val="0036779C"/>
    <w:rsid w:val="00370079"/>
    <w:rsid w:val="00370746"/>
    <w:rsid w:val="003714B5"/>
    <w:rsid w:val="003727AA"/>
    <w:rsid w:val="003730CA"/>
    <w:rsid w:val="003733A8"/>
    <w:rsid w:val="00373B52"/>
    <w:rsid w:val="00374236"/>
    <w:rsid w:val="00374A30"/>
    <w:rsid w:val="0037500F"/>
    <w:rsid w:val="00375EBC"/>
    <w:rsid w:val="00376B56"/>
    <w:rsid w:val="00377293"/>
    <w:rsid w:val="003773A5"/>
    <w:rsid w:val="003773CE"/>
    <w:rsid w:val="003773E1"/>
    <w:rsid w:val="0037755A"/>
    <w:rsid w:val="0037765D"/>
    <w:rsid w:val="0037791B"/>
    <w:rsid w:val="00380988"/>
    <w:rsid w:val="003810A2"/>
    <w:rsid w:val="00381168"/>
    <w:rsid w:val="003827D4"/>
    <w:rsid w:val="00382C45"/>
    <w:rsid w:val="00383BED"/>
    <w:rsid w:val="00385827"/>
    <w:rsid w:val="00385E4B"/>
    <w:rsid w:val="0038654B"/>
    <w:rsid w:val="00386A77"/>
    <w:rsid w:val="00386B6F"/>
    <w:rsid w:val="00387676"/>
    <w:rsid w:val="00387770"/>
    <w:rsid w:val="00390418"/>
    <w:rsid w:val="003906A3"/>
    <w:rsid w:val="00390901"/>
    <w:rsid w:val="00390A55"/>
    <w:rsid w:val="00390D6E"/>
    <w:rsid w:val="00391153"/>
    <w:rsid w:val="0039119C"/>
    <w:rsid w:val="00392149"/>
    <w:rsid w:val="00392690"/>
    <w:rsid w:val="00392DE4"/>
    <w:rsid w:val="0039363C"/>
    <w:rsid w:val="00393D4C"/>
    <w:rsid w:val="00394FFF"/>
    <w:rsid w:val="00396C19"/>
    <w:rsid w:val="003A1A8E"/>
    <w:rsid w:val="003A1C83"/>
    <w:rsid w:val="003A1CE5"/>
    <w:rsid w:val="003A1FAF"/>
    <w:rsid w:val="003A24EE"/>
    <w:rsid w:val="003A4F37"/>
    <w:rsid w:val="003A6060"/>
    <w:rsid w:val="003A797D"/>
    <w:rsid w:val="003A7E53"/>
    <w:rsid w:val="003B03F9"/>
    <w:rsid w:val="003B0499"/>
    <w:rsid w:val="003B14CC"/>
    <w:rsid w:val="003B16BA"/>
    <w:rsid w:val="003B25CE"/>
    <w:rsid w:val="003B436D"/>
    <w:rsid w:val="003B4CAB"/>
    <w:rsid w:val="003B6267"/>
    <w:rsid w:val="003B76FC"/>
    <w:rsid w:val="003C01E5"/>
    <w:rsid w:val="003C1D2A"/>
    <w:rsid w:val="003C1E0B"/>
    <w:rsid w:val="003C2AF5"/>
    <w:rsid w:val="003C36AD"/>
    <w:rsid w:val="003C4FF3"/>
    <w:rsid w:val="003C5BF9"/>
    <w:rsid w:val="003C6429"/>
    <w:rsid w:val="003C6DB2"/>
    <w:rsid w:val="003C7068"/>
    <w:rsid w:val="003C7A1D"/>
    <w:rsid w:val="003D1587"/>
    <w:rsid w:val="003D1C4D"/>
    <w:rsid w:val="003D302B"/>
    <w:rsid w:val="003D32A3"/>
    <w:rsid w:val="003D38BA"/>
    <w:rsid w:val="003D44D8"/>
    <w:rsid w:val="003D4675"/>
    <w:rsid w:val="003D6965"/>
    <w:rsid w:val="003E04A9"/>
    <w:rsid w:val="003E0849"/>
    <w:rsid w:val="003E1E30"/>
    <w:rsid w:val="003E2182"/>
    <w:rsid w:val="003E333B"/>
    <w:rsid w:val="003E37E5"/>
    <w:rsid w:val="003E3BF0"/>
    <w:rsid w:val="003E4056"/>
    <w:rsid w:val="003E44EB"/>
    <w:rsid w:val="003E4507"/>
    <w:rsid w:val="003E54FB"/>
    <w:rsid w:val="003E5587"/>
    <w:rsid w:val="003E571E"/>
    <w:rsid w:val="003E5FB3"/>
    <w:rsid w:val="003E6E74"/>
    <w:rsid w:val="003E6F20"/>
    <w:rsid w:val="003E7AEF"/>
    <w:rsid w:val="003F101A"/>
    <w:rsid w:val="003F15CD"/>
    <w:rsid w:val="003F2112"/>
    <w:rsid w:val="003F3F4E"/>
    <w:rsid w:val="003F4963"/>
    <w:rsid w:val="003F51D0"/>
    <w:rsid w:val="003F5810"/>
    <w:rsid w:val="003F5F57"/>
    <w:rsid w:val="003F6082"/>
    <w:rsid w:val="003F60E2"/>
    <w:rsid w:val="003F6180"/>
    <w:rsid w:val="003F6452"/>
    <w:rsid w:val="003F659B"/>
    <w:rsid w:val="003F7825"/>
    <w:rsid w:val="003F7D6D"/>
    <w:rsid w:val="0040044F"/>
    <w:rsid w:val="00400942"/>
    <w:rsid w:val="00400AAA"/>
    <w:rsid w:val="0040108E"/>
    <w:rsid w:val="004019B0"/>
    <w:rsid w:val="00402C0A"/>
    <w:rsid w:val="004039CF"/>
    <w:rsid w:val="00403F19"/>
    <w:rsid w:val="00404DF2"/>
    <w:rsid w:val="00404F09"/>
    <w:rsid w:val="0040537E"/>
    <w:rsid w:val="00405A3C"/>
    <w:rsid w:val="00407458"/>
    <w:rsid w:val="00407A64"/>
    <w:rsid w:val="004100F4"/>
    <w:rsid w:val="00410282"/>
    <w:rsid w:val="0041072B"/>
    <w:rsid w:val="00411E24"/>
    <w:rsid w:val="004126E0"/>
    <w:rsid w:val="00415A8A"/>
    <w:rsid w:val="00415CBE"/>
    <w:rsid w:val="00415D23"/>
    <w:rsid w:val="004161D1"/>
    <w:rsid w:val="00416645"/>
    <w:rsid w:val="00416864"/>
    <w:rsid w:val="00416D19"/>
    <w:rsid w:val="0041780A"/>
    <w:rsid w:val="00417A6E"/>
    <w:rsid w:val="00417BC7"/>
    <w:rsid w:val="00417E88"/>
    <w:rsid w:val="00420C05"/>
    <w:rsid w:val="00420E6D"/>
    <w:rsid w:val="004211C4"/>
    <w:rsid w:val="00421C2B"/>
    <w:rsid w:val="004223C5"/>
    <w:rsid w:val="0042307D"/>
    <w:rsid w:val="004237BE"/>
    <w:rsid w:val="00423B8C"/>
    <w:rsid w:val="00423FF8"/>
    <w:rsid w:val="00426294"/>
    <w:rsid w:val="00426B59"/>
    <w:rsid w:val="0042715C"/>
    <w:rsid w:val="00427EEC"/>
    <w:rsid w:val="004310A8"/>
    <w:rsid w:val="00431381"/>
    <w:rsid w:val="004313CD"/>
    <w:rsid w:val="00431502"/>
    <w:rsid w:val="0043170A"/>
    <w:rsid w:val="004321AD"/>
    <w:rsid w:val="00432D5F"/>
    <w:rsid w:val="00432EA8"/>
    <w:rsid w:val="004338B0"/>
    <w:rsid w:val="00434745"/>
    <w:rsid w:val="0043632B"/>
    <w:rsid w:val="00441BE1"/>
    <w:rsid w:val="00441FA2"/>
    <w:rsid w:val="004424AF"/>
    <w:rsid w:val="004425B4"/>
    <w:rsid w:val="00442945"/>
    <w:rsid w:val="00442AA4"/>
    <w:rsid w:val="00443251"/>
    <w:rsid w:val="0044358F"/>
    <w:rsid w:val="0044399C"/>
    <w:rsid w:val="00444061"/>
    <w:rsid w:val="004441B5"/>
    <w:rsid w:val="0044427D"/>
    <w:rsid w:val="004451E6"/>
    <w:rsid w:val="004460F3"/>
    <w:rsid w:val="0044663D"/>
    <w:rsid w:val="0044683C"/>
    <w:rsid w:val="0045012A"/>
    <w:rsid w:val="004511E3"/>
    <w:rsid w:val="00453782"/>
    <w:rsid w:val="00453849"/>
    <w:rsid w:val="004542CB"/>
    <w:rsid w:val="0045480C"/>
    <w:rsid w:val="00454D19"/>
    <w:rsid w:val="00455612"/>
    <w:rsid w:val="00460038"/>
    <w:rsid w:val="0046010D"/>
    <w:rsid w:val="0046069B"/>
    <w:rsid w:val="004607F9"/>
    <w:rsid w:val="00460B47"/>
    <w:rsid w:val="00460F46"/>
    <w:rsid w:val="00461338"/>
    <w:rsid w:val="00461382"/>
    <w:rsid w:val="00462552"/>
    <w:rsid w:val="004630FD"/>
    <w:rsid w:val="0046401C"/>
    <w:rsid w:val="00464999"/>
    <w:rsid w:val="004658CB"/>
    <w:rsid w:val="00465A0C"/>
    <w:rsid w:val="004667AD"/>
    <w:rsid w:val="004668B1"/>
    <w:rsid w:val="004670CE"/>
    <w:rsid w:val="004672B9"/>
    <w:rsid w:val="00471C43"/>
    <w:rsid w:val="00472037"/>
    <w:rsid w:val="00473549"/>
    <w:rsid w:val="0047382F"/>
    <w:rsid w:val="00473AFE"/>
    <w:rsid w:val="00474D40"/>
    <w:rsid w:val="00474DB3"/>
    <w:rsid w:val="0047507D"/>
    <w:rsid w:val="00476EE9"/>
    <w:rsid w:val="004776DB"/>
    <w:rsid w:val="00477F37"/>
    <w:rsid w:val="00481B35"/>
    <w:rsid w:val="0048235F"/>
    <w:rsid w:val="00482CF4"/>
    <w:rsid w:val="00483728"/>
    <w:rsid w:val="004845DF"/>
    <w:rsid w:val="004849C7"/>
    <w:rsid w:val="004851F9"/>
    <w:rsid w:val="0049006E"/>
    <w:rsid w:val="0049015B"/>
    <w:rsid w:val="004918CC"/>
    <w:rsid w:val="00492569"/>
    <w:rsid w:val="00492EA5"/>
    <w:rsid w:val="004946A1"/>
    <w:rsid w:val="00494B71"/>
    <w:rsid w:val="004962AD"/>
    <w:rsid w:val="004974CC"/>
    <w:rsid w:val="004A381A"/>
    <w:rsid w:val="004A44AE"/>
    <w:rsid w:val="004A4C5E"/>
    <w:rsid w:val="004A5D0F"/>
    <w:rsid w:val="004A6E1F"/>
    <w:rsid w:val="004A7AB9"/>
    <w:rsid w:val="004A7B48"/>
    <w:rsid w:val="004B1083"/>
    <w:rsid w:val="004B2FCE"/>
    <w:rsid w:val="004B3258"/>
    <w:rsid w:val="004B339D"/>
    <w:rsid w:val="004B411D"/>
    <w:rsid w:val="004B4880"/>
    <w:rsid w:val="004B522D"/>
    <w:rsid w:val="004B580C"/>
    <w:rsid w:val="004B6147"/>
    <w:rsid w:val="004B6214"/>
    <w:rsid w:val="004B6278"/>
    <w:rsid w:val="004B7182"/>
    <w:rsid w:val="004B74DD"/>
    <w:rsid w:val="004B7850"/>
    <w:rsid w:val="004C0519"/>
    <w:rsid w:val="004C084D"/>
    <w:rsid w:val="004C0F35"/>
    <w:rsid w:val="004C193F"/>
    <w:rsid w:val="004C1E29"/>
    <w:rsid w:val="004C2023"/>
    <w:rsid w:val="004C2C02"/>
    <w:rsid w:val="004C36C7"/>
    <w:rsid w:val="004C4656"/>
    <w:rsid w:val="004C49F4"/>
    <w:rsid w:val="004C5351"/>
    <w:rsid w:val="004C5697"/>
    <w:rsid w:val="004C5836"/>
    <w:rsid w:val="004C6035"/>
    <w:rsid w:val="004C6194"/>
    <w:rsid w:val="004C6E98"/>
    <w:rsid w:val="004D067C"/>
    <w:rsid w:val="004D072B"/>
    <w:rsid w:val="004D0C9D"/>
    <w:rsid w:val="004D1634"/>
    <w:rsid w:val="004D1A3A"/>
    <w:rsid w:val="004D3FCF"/>
    <w:rsid w:val="004D5837"/>
    <w:rsid w:val="004D5C9E"/>
    <w:rsid w:val="004D7796"/>
    <w:rsid w:val="004E1166"/>
    <w:rsid w:val="004E33E6"/>
    <w:rsid w:val="004E355E"/>
    <w:rsid w:val="004E3A33"/>
    <w:rsid w:val="004E3FCB"/>
    <w:rsid w:val="004E4947"/>
    <w:rsid w:val="004E5558"/>
    <w:rsid w:val="004E628E"/>
    <w:rsid w:val="004F0179"/>
    <w:rsid w:val="004F07B4"/>
    <w:rsid w:val="004F0E55"/>
    <w:rsid w:val="004F1A17"/>
    <w:rsid w:val="004F2179"/>
    <w:rsid w:val="004F2F65"/>
    <w:rsid w:val="004F4107"/>
    <w:rsid w:val="004F4817"/>
    <w:rsid w:val="004F4CE8"/>
    <w:rsid w:val="004F5E5D"/>
    <w:rsid w:val="005005CA"/>
    <w:rsid w:val="00503F0C"/>
    <w:rsid w:val="005049C2"/>
    <w:rsid w:val="00505000"/>
    <w:rsid w:val="00505F35"/>
    <w:rsid w:val="00506243"/>
    <w:rsid w:val="0051007B"/>
    <w:rsid w:val="005109B4"/>
    <w:rsid w:val="00510FF3"/>
    <w:rsid w:val="0051101A"/>
    <w:rsid w:val="005110F6"/>
    <w:rsid w:val="005123B0"/>
    <w:rsid w:val="00512C46"/>
    <w:rsid w:val="005133F8"/>
    <w:rsid w:val="00516E05"/>
    <w:rsid w:val="0051736C"/>
    <w:rsid w:val="0051783C"/>
    <w:rsid w:val="00520213"/>
    <w:rsid w:val="00521398"/>
    <w:rsid w:val="005216F4"/>
    <w:rsid w:val="00521CF7"/>
    <w:rsid w:val="005230ED"/>
    <w:rsid w:val="005238A4"/>
    <w:rsid w:val="00523F17"/>
    <w:rsid w:val="005241CD"/>
    <w:rsid w:val="00524DC0"/>
    <w:rsid w:val="00525CF8"/>
    <w:rsid w:val="00527504"/>
    <w:rsid w:val="0052792F"/>
    <w:rsid w:val="00527D7D"/>
    <w:rsid w:val="00530019"/>
    <w:rsid w:val="00530C83"/>
    <w:rsid w:val="0053165F"/>
    <w:rsid w:val="005324E4"/>
    <w:rsid w:val="0053342C"/>
    <w:rsid w:val="00533A96"/>
    <w:rsid w:val="005355C1"/>
    <w:rsid w:val="005360E0"/>
    <w:rsid w:val="0053718C"/>
    <w:rsid w:val="00537E7F"/>
    <w:rsid w:val="0054056B"/>
    <w:rsid w:val="00541337"/>
    <w:rsid w:val="00541E82"/>
    <w:rsid w:val="00542409"/>
    <w:rsid w:val="0054258E"/>
    <w:rsid w:val="00543761"/>
    <w:rsid w:val="0054384F"/>
    <w:rsid w:val="005438A9"/>
    <w:rsid w:val="00543A5B"/>
    <w:rsid w:val="00544669"/>
    <w:rsid w:val="0054546A"/>
    <w:rsid w:val="00546F61"/>
    <w:rsid w:val="00547251"/>
    <w:rsid w:val="00550481"/>
    <w:rsid w:val="00550683"/>
    <w:rsid w:val="00551490"/>
    <w:rsid w:val="00551BCD"/>
    <w:rsid w:val="00551CEA"/>
    <w:rsid w:val="00552194"/>
    <w:rsid w:val="00552507"/>
    <w:rsid w:val="0055255E"/>
    <w:rsid w:val="00555A2D"/>
    <w:rsid w:val="0055608D"/>
    <w:rsid w:val="00556248"/>
    <w:rsid w:val="005567A5"/>
    <w:rsid w:val="005600B6"/>
    <w:rsid w:val="0056070C"/>
    <w:rsid w:val="0056129C"/>
    <w:rsid w:val="00561DE3"/>
    <w:rsid w:val="00562825"/>
    <w:rsid w:val="00562CB9"/>
    <w:rsid w:val="00563609"/>
    <w:rsid w:val="00563C9B"/>
    <w:rsid w:val="005651DF"/>
    <w:rsid w:val="0056536A"/>
    <w:rsid w:val="005669E9"/>
    <w:rsid w:val="00567C7B"/>
    <w:rsid w:val="005713D9"/>
    <w:rsid w:val="00573793"/>
    <w:rsid w:val="00573BFA"/>
    <w:rsid w:val="0057417D"/>
    <w:rsid w:val="00576042"/>
    <w:rsid w:val="00576110"/>
    <w:rsid w:val="00576136"/>
    <w:rsid w:val="00577870"/>
    <w:rsid w:val="0058030A"/>
    <w:rsid w:val="0058170B"/>
    <w:rsid w:val="00581D96"/>
    <w:rsid w:val="00584303"/>
    <w:rsid w:val="00584D60"/>
    <w:rsid w:val="0058516E"/>
    <w:rsid w:val="005851F3"/>
    <w:rsid w:val="00586659"/>
    <w:rsid w:val="00586D56"/>
    <w:rsid w:val="00587298"/>
    <w:rsid w:val="005904F0"/>
    <w:rsid w:val="00590CD1"/>
    <w:rsid w:val="00592D2A"/>
    <w:rsid w:val="0059415A"/>
    <w:rsid w:val="00594EC0"/>
    <w:rsid w:val="00594F8A"/>
    <w:rsid w:val="00595493"/>
    <w:rsid w:val="005A1204"/>
    <w:rsid w:val="005A2ABF"/>
    <w:rsid w:val="005A5F79"/>
    <w:rsid w:val="005A5F8B"/>
    <w:rsid w:val="005A72E5"/>
    <w:rsid w:val="005A7A1D"/>
    <w:rsid w:val="005A7AEA"/>
    <w:rsid w:val="005B06D3"/>
    <w:rsid w:val="005B0BE5"/>
    <w:rsid w:val="005B1CAE"/>
    <w:rsid w:val="005B214C"/>
    <w:rsid w:val="005B2527"/>
    <w:rsid w:val="005B2632"/>
    <w:rsid w:val="005B33BF"/>
    <w:rsid w:val="005B3815"/>
    <w:rsid w:val="005B4E15"/>
    <w:rsid w:val="005B5A7C"/>
    <w:rsid w:val="005B7348"/>
    <w:rsid w:val="005B79A8"/>
    <w:rsid w:val="005C0C02"/>
    <w:rsid w:val="005C0E14"/>
    <w:rsid w:val="005C14DC"/>
    <w:rsid w:val="005C21FF"/>
    <w:rsid w:val="005C3BA3"/>
    <w:rsid w:val="005C4719"/>
    <w:rsid w:val="005C486A"/>
    <w:rsid w:val="005C528A"/>
    <w:rsid w:val="005C53AD"/>
    <w:rsid w:val="005C5B8B"/>
    <w:rsid w:val="005C5C66"/>
    <w:rsid w:val="005C62AB"/>
    <w:rsid w:val="005C7C3E"/>
    <w:rsid w:val="005C7C54"/>
    <w:rsid w:val="005D0271"/>
    <w:rsid w:val="005D03FC"/>
    <w:rsid w:val="005D1EE1"/>
    <w:rsid w:val="005D2E94"/>
    <w:rsid w:val="005D32B9"/>
    <w:rsid w:val="005D3FF4"/>
    <w:rsid w:val="005D4094"/>
    <w:rsid w:val="005D4866"/>
    <w:rsid w:val="005D50B8"/>
    <w:rsid w:val="005E0B12"/>
    <w:rsid w:val="005E2911"/>
    <w:rsid w:val="005E3267"/>
    <w:rsid w:val="005E37AB"/>
    <w:rsid w:val="005E3CB5"/>
    <w:rsid w:val="005E645C"/>
    <w:rsid w:val="005E7A4E"/>
    <w:rsid w:val="005F0D9A"/>
    <w:rsid w:val="005F265C"/>
    <w:rsid w:val="005F328D"/>
    <w:rsid w:val="005F34DC"/>
    <w:rsid w:val="005F3DE4"/>
    <w:rsid w:val="005F3E1C"/>
    <w:rsid w:val="005F3F5F"/>
    <w:rsid w:val="005F472D"/>
    <w:rsid w:val="005F4F61"/>
    <w:rsid w:val="005F78D5"/>
    <w:rsid w:val="0060096E"/>
    <w:rsid w:val="00600A38"/>
    <w:rsid w:val="00600F75"/>
    <w:rsid w:val="006020B2"/>
    <w:rsid w:val="006026B5"/>
    <w:rsid w:val="00602AF5"/>
    <w:rsid w:val="00603A0D"/>
    <w:rsid w:val="00604420"/>
    <w:rsid w:val="00604D8B"/>
    <w:rsid w:val="0060572C"/>
    <w:rsid w:val="00605E01"/>
    <w:rsid w:val="00605FB4"/>
    <w:rsid w:val="00610392"/>
    <w:rsid w:val="006107B7"/>
    <w:rsid w:val="006130F4"/>
    <w:rsid w:val="00614329"/>
    <w:rsid w:val="006147E7"/>
    <w:rsid w:val="006148C0"/>
    <w:rsid w:val="0061506A"/>
    <w:rsid w:val="006156B1"/>
    <w:rsid w:val="00615D13"/>
    <w:rsid w:val="00615F86"/>
    <w:rsid w:val="00616603"/>
    <w:rsid w:val="00620A41"/>
    <w:rsid w:val="00621166"/>
    <w:rsid w:val="0062163B"/>
    <w:rsid w:val="00621C81"/>
    <w:rsid w:val="0062339E"/>
    <w:rsid w:val="00623D09"/>
    <w:rsid w:val="00623DFC"/>
    <w:rsid w:val="0062440C"/>
    <w:rsid w:val="00624524"/>
    <w:rsid w:val="0062472F"/>
    <w:rsid w:val="00625550"/>
    <w:rsid w:val="00626629"/>
    <w:rsid w:val="00627474"/>
    <w:rsid w:val="00627610"/>
    <w:rsid w:val="00630DA0"/>
    <w:rsid w:val="00632B09"/>
    <w:rsid w:val="00633555"/>
    <w:rsid w:val="00633D90"/>
    <w:rsid w:val="00633EC2"/>
    <w:rsid w:val="006347A2"/>
    <w:rsid w:val="00634E5B"/>
    <w:rsid w:val="00635711"/>
    <w:rsid w:val="00635DBA"/>
    <w:rsid w:val="00635EA4"/>
    <w:rsid w:val="00637445"/>
    <w:rsid w:val="00641F14"/>
    <w:rsid w:val="00642501"/>
    <w:rsid w:val="0064308A"/>
    <w:rsid w:val="00643FD1"/>
    <w:rsid w:val="00644099"/>
    <w:rsid w:val="00644E89"/>
    <w:rsid w:val="00645F55"/>
    <w:rsid w:val="00646A25"/>
    <w:rsid w:val="006476B7"/>
    <w:rsid w:val="006510E8"/>
    <w:rsid w:val="006516DC"/>
    <w:rsid w:val="00651C53"/>
    <w:rsid w:val="0065308D"/>
    <w:rsid w:val="00654004"/>
    <w:rsid w:val="0065443A"/>
    <w:rsid w:val="006600B9"/>
    <w:rsid w:val="0066164D"/>
    <w:rsid w:val="00661C1D"/>
    <w:rsid w:val="00661D5F"/>
    <w:rsid w:val="00662E06"/>
    <w:rsid w:val="00662FB6"/>
    <w:rsid w:val="00663CF3"/>
    <w:rsid w:val="00664193"/>
    <w:rsid w:val="006647FA"/>
    <w:rsid w:val="00664E12"/>
    <w:rsid w:val="0066518D"/>
    <w:rsid w:val="006653DB"/>
    <w:rsid w:val="00666349"/>
    <w:rsid w:val="006665F2"/>
    <w:rsid w:val="00666FE8"/>
    <w:rsid w:val="006671DE"/>
    <w:rsid w:val="006704EB"/>
    <w:rsid w:val="0067089D"/>
    <w:rsid w:val="00671C63"/>
    <w:rsid w:val="006723D5"/>
    <w:rsid w:val="006726D4"/>
    <w:rsid w:val="0067287C"/>
    <w:rsid w:val="00672D10"/>
    <w:rsid w:val="006733E5"/>
    <w:rsid w:val="006736C1"/>
    <w:rsid w:val="00674496"/>
    <w:rsid w:val="00674497"/>
    <w:rsid w:val="006744CD"/>
    <w:rsid w:val="0067499E"/>
    <w:rsid w:val="006756EF"/>
    <w:rsid w:val="00676BD2"/>
    <w:rsid w:val="00677784"/>
    <w:rsid w:val="0068018B"/>
    <w:rsid w:val="00680B45"/>
    <w:rsid w:val="006810F1"/>
    <w:rsid w:val="00681A38"/>
    <w:rsid w:val="00681D83"/>
    <w:rsid w:val="00682F92"/>
    <w:rsid w:val="006847D7"/>
    <w:rsid w:val="006856B6"/>
    <w:rsid w:val="0068609C"/>
    <w:rsid w:val="00686B0B"/>
    <w:rsid w:val="0068706D"/>
    <w:rsid w:val="006874D8"/>
    <w:rsid w:val="00687F19"/>
    <w:rsid w:val="00690638"/>
    <w:rsid w:val="00691076"/>
    <w:rsid w:val="00691098"/>
    <w:rsid w:val="00691980"/>
    <w:rsid w:val="00693E86"/>
    <w:rsid w:val="00694648"/>
    <w:rsid w:val="0069481D"/>
    <w:rsid w:val="00694B5F"/>
    <w:rsid w:val="00694C91"/>
    <w:rsid w:val="00695104"/>
    <w:rsid w:val="00696109"/>
    <w:rsid w:val="00696144"/>
    <w:rsid w:val="00696684"/>
    <w:rsid w:val="00696B27"/>
    <w:rsid w:val="006A10C7"/>
    <w:rsid w:val="006A10D8"/>
    <w:rsid w:val="006A10EF"/>
    <w:rsid w:val="006A1B03"/>
    <w:rsid w:val="006A2518"/>
    <w:rsid w:val="006A39AF"/>
    <w:rsid w:val="006A40CB"/>
    <w:rsid w:val="006A46F3"/>
    <w:rsid w:val="006A5308"/>
    <w:rsid w:val="006A577F"/>
    <w:rsid w:val="006A6B2B"/>
    <w:rsid w:val="006A753C"/>
    <w:rsid w:val="006B0351"/>
    <w:rsid w:val="006B0578"/>
    <w:rsid w:val="006B2A74"/>
    <w:rsid w:val="006B2C55"/>
    <w:rsid w:val="006B32A5"/>
    <w:rsid w:val="006B5339"/>
    <w:rsid w:val="006B5367"/>
    <w:rsid w:val="006B54DA"/>
    <w:rsid w:val="006B5D9B"/>
    <w:rsid w:val="006B5EF9"/>
    <w:rsid w:val="006B66C8"/>
    <w:rsid w:val="006B705F"/>
    <w:rsid w:val="006B7579"/>
    <w:rsid w:val="006B7FDD"/>
    <w:rsid w:val="006C012F"/>
    <w:rsid w:val="006C05A8"/>
    <w:rsid w:val="006C0731"/>
    <w:rsid w:val="006C1DF0"/>
    <w:rsid w:val="006C5277"/>
    <w:rsid w:val="006C61AA"/>
    <w:rsid w:val="006C6996"/>
    <w:rsid w:val="006D2000"/>
    <w:rsid w:val="006D3D6F"/>
    <w:rsid w:val="006D5E67"/>
    <w:rsid w:val="006D6704"/>
    <w:rsid w:val="006D693D"/>
    <w:rsid w:val="006E06DF"/>
    <w:rsid w:val="006E08DB"/>
    <w:rsid w:val="006E13F6"/>
    <w:rsid w:val="006E17C0"/>
    <w:rsid w:val="006E188C"/>
    <w:rsid w:val="006E190E"/>
    <w:rsid w:val="006E19E5"/>
    <w:rsid w:val="006E1FBF"/>
    <w:rsid w:val="006E37EA"/>
    <w:rsid w:val="006E3D4E"/>
    <w:rsid w:val="006E49ED"/>
    <w:rsid w:val="006E5612"/>
    <w:rsid w:val="006E56B3"/>
    <w:rsid w:val="006E6620"/>
    <w:rsid w:val="006E7385"/>
    <w:rsid w:val="006E7B1E"/>
    <w:rsid w:val="006F0A3E"/>
    <w:rsid w:val="006F1BBF"/>
    <w:rsid w:val="006F20E6"/>
    <w:rsid w:val="006F258F"/>
    <w:rsid w:val="006F2DED"/>
    <w:rsid w:val="006F3ACD"/>
    <w:rsid w:val="006F3E63"/>
    <w:rsid w:val="006F46C4"/>
    <w:rsid w:val="006F62AF"/>
    <w:rsid w:val="006F7536"/>
    <w:rsid w:val="0070173D"/>
    <w:rsid w:val="0070339D"/>
    <w:rsid w:val="007033FB"/>
    <w:rsid w:val="007040AD"/>
    <w:rsid w:val="00705C81"/>
    <w:rsid w:val="00705D76"/>
    <w:rsid w:val="0070660A"/>
    <w:rsid w:val="007068A4"/>
    <w:rsid w:val="00707CF0"/>
    <w:rsid w:val="00707F3F"/>
    <w:rsid w:val="00711531"/>
    <w:rsid w:val="00712C7E"/>
    <w:rsid w:val="00712D53"/>
    <w:rsid w:val="007132EF"/>
    <w:rsid w:val="007136B0"/>
    <w:rsid w:val="00714D93"/>
    <w:rsid w:val="00716395"/>
    <w:rsid w:val="00716C51"/>
    <w:rsid w:val="00716CC4"/>
    <w:rsid w:val="00716E17"/>
    <w:rsid w:val="007176FE"/>
    <w:rsid w:val="0071790B"/>
    <w:rsid w:val="00717D6B"/>
    <w:rsid w:val="00721CC5"/>
    <w:rsid w:val="00721D24"/>
    <w:rsid w:val="00722543"/>
    <w:rsid w:val="007230A0"/>
    <w:rsid w:val="00723224"/>
    <w:rsid w:val="0072329B"/>
    <w:rsid w:val="00723C85"/>
    <w:rsid w:val="00725FB7"/>
    <w:rsid w:val="00726199"/>
    <w:rsid w:val="007272AF"/>
    <w:rsid w:val="007272F7"/>
    <w:rsid w:val="00730B1B"/>
    <w:rsid w:val="007312DA"/>
    <w:rsid w:val="0073162E"/>
    <w:rsid w:val="00731D13"/>
    <w:rsid w:val="00732771"/>
    <w:rsid w:val="007349FD"/>
    <w:rsid w:val="00734A42"/>
    <w:rsid w:val="00737C5E"/>
    <w:rsid w:val="00737D64"/>
    <w:rsid w:val="00740DCB"/>
    <w:rsid w:val="007424E4"/>
    <w:rsid w:val="00742777"/>
    <w:rsid w:val="00742D47"/>
    <w:rsid w:val="00743AB1"/>
    <w:rsid w:val="00743E21"/>
    <w:rsid w:val="0074550E"/>
    <w:rsid w:val="00745A35"/>
    <w:rsid w:val="00745A48"/>
    <w:rsid w:val="00745B06"/>
    <w:rsid w:val="00745C40"/>
    <w:rsid w:val="007471FA"/>
    <w:rsid w:val="00747369"/>
    <w:rsid w:val="007473D8"/>
    <w:rsid w:val="00747C72"/>
    <w:rsid w:val="007500CF"/>
    <w:rsid w:val="00750850"/>
    <w:rsid w:val="00750D66"/>
    <w:rsid w:val="00751160"/>
    <w:rsid w:val="00752854"/>
    <w:rsid w:val="007535AE"/>
    <w:rsid w:val="00754C61"/>
    <w:rsid w:val="00754F7F"/>
    <w:rsid w:val="00755347"/>
    <w:rsid w:val="00755C51"/>
    <w:rsid w:val="00755C99"/>
    <w:rsid w:val="00756853"/>
    <w:rsid w:val="007568B6"/>
    <w:rsid w:val="007571A1"/>
    <w:rsid w:val="00757DCD"/>
    <w:rsid w:val="00760288"/>
    <w:rsid w:val="00760490"/>
    <w:rsid w:val="00760A2B"/>
    <w:rsid w:val="007618D8"/>
    <w:rsid w:val="0076208F"/>
    <w:rsid w:val="007625DB"/>
    <w:rsid w:val="00762EF7"/>
    <w:rsid w:val="00763199"/>
    <w:rsid w:val="0076430C"/>
    <w:rsid w:val="00764A1D"/>
    <w:rsid w:val="00764DD4"/>
    <w:rsid w:val="00764F2B"/>
    <w:rsid w:val="00765C55"/>
    <w:rsid w:val="007666F9"/>
    <w:rsid w:val="007709DA"/>
    <w:rsid w:val="00770ABF"/>
    <w:rsid w:val="00770BAD"/>
    <w:rsid w:val="007719B5"/>
    <w:rsid w:val="00771D46"/>
    <w:rsid w:val="00772869"/>
    <w:rsid w:val="00772C02"/>
    <w:rsid w:val="00772F8D"/>
    <w:rsid w:val="00773132"/>
    <w:rsid w:val="00773831"/>
    <w:rsid w:val="00773B01"/>
    <w:rsid w:val="00774875"/>
    <w:rsid w:val="00774E2D"/>
    <w:rsid w:val="00774F6E"/>
    <w:rsid w:val="007802A7"/>
    <w:rsid w:val="00780F12"/>
    <w:rsid w:val="007813CF"/>
    <w:rsid w:val="0078213C"/>
    <w:rsid w:val="0078237E"/>
    <w:rsid w:val="00782936"/>
    <w:rsid w:val="0078381E"/>
    <w:rsid w:val="007844C8"/>
    <w:rsid w:val="0078470F"/>
    <w:rsid w:val="007855F1"/>
    <w:rsid w:val="00785690"/>
    <w:rsid w:val="007903F8"/>
    <w:rsid w:val="00790432"/>
    <w:rsid w:val="007904B9"/>
    <w:rsid w:val="007907E1"/>
    <w:rsid w:val="00790808"/>
    <w:rsid w:val="00790FA5"/>
    <w:rsid w:val="00791822"/>
    <w:rsid w:val="007930D5"/>
    <w:rsid w:val="007936DC"/>
    <w:rsid w:val="007936EA"/>
    <w:rsid w:val="007971A4"/>
    <w:rsid w:val="007974FA"/>
    <w:rsid w:val="00797555"/>
    <w:rsid w:val="00797F1D"/>
    <w:rsid w:val="007A0AC9"/>
    <w:rsid w:val="007A1FAF"/>
    <w:rsid w:val="007A2F88"/>
    <w:rsid w:val="007A3752"/>
    <w:rsid w:val="007A38B9"/>
    <w:rsid w:val="007A427A"/>
    <w:rsid w:val="007A45AA"/>
    <w:rsid w:val="007A4B5E"/>
    <w:rsid w:val="007A59E3"/>
    <w:rsid w:val="007A5F57"/>
    <w:rsid w:val="007A6174"/>
    <w:rsid w:val="007A6A9E"/>
    <w:rsid w:val="007A7059"/>
    <w:rsid w:val="007B13EC"/>
    <w:rsid w:val="007B233C"/>
    <w:rsid w:val="007B2825"/>
    <w:rsid w:val="007B31B9"/>
    <w:rsid w:val="007B462B"/>
    <w:rsid w:val="007B57F4"/>
    <w:rsid w:val="007B78B0"/>
    <w:rsid w:val="007B7E15"/>
    <w:rsid w:val="007C0309"/>
    <w:rsid w:val="007C03E0"/>
    <w:rsid w:val="007C0935"/>
    <w:rsid w:val="007C1BF5"/>
    <w:rsid w:val="007C1F01"/>
    <w:rsid w:val="007C27E1"/>
    <w:rsid w:val="007C31F9"/>
    <w:rsid w:val="007C3DE6"/>
    <w:rsid w:val="007C4012"/>
    <w:rsid w:val="007C460F"/>
    <w:rsid w:val="007C49DF"/>
    <w:rsid w:val="007C4CB0"/>
    <w:rsid w:val="007C57AA"/>
    <w:rsid w:val="007D2649"/>
    <w:rsid w:val="007D269D"/>
    <w:rsid w:val="007D3189"/>
    <w:rsid w:val="007D4838"/>
    <w:rsid w:val="007D51D1"/>
    <w:rsid w:val="007D548E"/>
    <w:rsid w:val="007D6896"/>
    <w:rsid w:val="007D7E77"/>
    <w:rsid w:val="007E022F"/>
    <w:rsid w:val="007E0419"/>
    <w:rsid w:val="007E0A1D"/>
    <w:rsid w:val="007E19D9"/>
    <w:rsid w:val="007E3F20"/>
    <w:rsid w:val="007E4803"/>
    <w:rsid w:val="007E4E45"/>
    <w:rsid w:val="007E61C8"/>
    <w:rsid w:val="007E62E8"/>
    <w:rsid w:val="007E6894"/>
    <w:rsid w:val="007E7E6F"/>
    <w:rsid w:val="007F0E76"/>
    <w:rsid w:val="007F1A84"/>
    <w:rsid w:val="007F411B"/>
    <w:rsid w:val="007F4373"/>
    <w:rsid w:val="007F5CC6"/>
    <w:rsid w:val="007F5DA7"/>
    <w:rsid w:val="007F6DD8"/>
    <w:rsid w:val="007F7A3F"/>
    <w:rsid w:val="00800E1B"/>
    <w:rsid w:val="008011CA"/>
    <w:rsid w:val="00802115"/>
    <w:rsid w:val="0080297F"/>
    <w:rsid w:val="00802AEB"/>
    <w:rsid w:val="00804AA7"/>
    <w:rsid w:val="008050D4"/>
    <w:rsid w:val="00805C97"/>
    <w:rsid w:val="00807409"/>
    <w:rsid w:val="00810D7D"/>
    <w:rsid w:val="0081224C"/>
    <w:rsid w:val="008122F0"/>
    <w:rsid w:val="0081255C"/>
    <w:rsid w:val="008130BC"/>
    <w:rsid w:val="008139AE"/>
    <w:rsid w:val="00814482"/>
    <w:rsid w:val="00814613"/>
    <w:rsid w:val="00815814"/>
    <w:rsid w:val="0081713C"/>
    <w:rsid w:val="00817A3E"/>
    <w:rsid w:val="00817E38"/>
    <w:rsid w:val="008203A0"/>
    <w:rsid w:val="0082098C"/>
    <w:rsid w:val="00821049"/>
    <w:rsid w:val="008221ED"/>
    <w:rsid w:val="0082324A"/>
    <w:rsid w:val="00823410"/>
    <w:rsid w:val="00823934"/>
    <w:rsid w:val="00823C0E"/>
    <w:rsid w:val="00825C04"/>
    <w:rsid w:val="00825FD1"/>
    <w:rsid w:val="0082732D"/>
    <w:rsid w:val="00827D38"/>
    <w:rsid w:val="00830D77"/>
    <w:rsid w:val="00833F56"/>
    <w:rsid w:val="00834226"/>
    <w:rsid w:val="00835041"/>
    <w:rsid w:val="00835338"/>
    <w:rsid w:val="00837C25"/>
    <w:rsid w:val="00837CF8"/>
    <w:rsid w:val="0084055A"/>
    <w:rsid w:val="008409F6"/>
    <w:rsid w:val="00841666"/>
    <w:rsid w:val="0084180C"/>
    <w:rsid w:val="00842054"/>
    <w:rsid w:val="00842DBE"/>
    <w:rsid w:val="00843E13"/>
    <w:rsid w:val="00844277"/>
    <w:rsid w:val="00844DE2"/>
    <w:rsid w:val="00844E9F"/>
    <w:rsid w:val="008477BC"/>
    <w:rsid w:val="008477D1"/>
    <w:rsid w:val="008500B8"/>
    <w:rsid w:val="00853B3C"/>
    <w:rsid w:val="00853BF2"/>
    <w:rsid w:val="008579B9"/>
    <w:rsid w:val="00857D81"/>
    <w:rsid w:val="00860125"/>
    <w:rsid w:val="00860281"/>
    <w:rsid w:val="00864DFD"/>
    <w:rsid w:val="00864EE5"/>
    <w:rsid w:val="0086594A"/>
    <w:rsid w:val="008659FF"/>
    <w:rsid w:val="00870BED"/>
    <w:rsid w:val="00871639"/>
    <w:rsid w:val="008722A9"/>
    <w:rsid w:val="00872B76"/>
    <w:rsid w:val="00874032"/>
    <w:rsid w:val="008742D4"/>
    <w:rsid w:val="00875160"/>
    <w:rsid w:val="00877038"/>
    <w:rsid w:val="00877D18"/>
    <w:rsid w:val="0088034E"/>
    <w:rsid w:val="0088059E"/>
    <w:rsid w:val="00880A20"/>
    <w:rsid w:val="00881014"/>
    <w:rsid w:val="00881613"/>
    <w:rsid w:val="008819D7"/>
    <w:rsid w:val="00882328"/>
    <w:rsid w:val="00882CE4"/>
    <w:rsid w:val="008842B3"/>
    <w:rsid w:val="00884581"/>
    <w:rsid w:val="008848A4"/>
    <w:rsid w:val="00885487"/>
    <w:rsid w:val="0088623C"/>
    <w:rsid w:val="00887001"/>
    <w:rsid w:val="008875EC"/>
    <w:rsid w:val="008876A1"/>
    <w:rsid w:val="00887A30"/>
    <w:rsid w:val="0089204A"/>
    <w:rsid w:val="008925C1"/>
    <w:rsid w:val="00892823"/>
    <w:rsid w:val="00892E73"/>
    <w:rsid w:val="00893590"/>
    <w:rsid w:val="00893596"/>
    <w:rsid w:val="00893C65"/>
    <w:rsid w:val="008946D9"/>
    <w:rsid w:val="00894794"/>
    <w:rsid w:val="0089578A"/>
    <w:rsid w:val="00895FEA"/>
    <w:rsid w:val="00896309"/>
    <w:rsid w:val="00896CB1"/>
    <w:rsid w:val="00896D30"/>
    <w:rsid w:val="008973DD"/>
    <w:rsid w:val="008977E0"/>
    <w:rsid w:val="00897C4E"/>
    <w:rsid w:val="008A084B"/>
    <w:rsid w:val="008A0BEC"/>
    <w:rsid w:val="008A1976"/>
    <w:rsid w:val="008A3A8C"/>
    <w:rsid w:val="008A44AB"/>
    <w:rsid w:val="008A5646"/>
    <w:rsid w:val="008A60BD"/>
    <w:rsid w:val="008A646C"/>
    <w:rsid w:val="008A6591"/>
    <w:rsid w:val="008A68A6"/>
    <w:rsid w:val="008A6CCF"/>
    <w:rsid w:val="008A7BCB"/>
    <w:rsid w:val="008B0347"/>
    <w:rsid w:val="008B20D8"/>
    <w:rsid w:val="008B2C6E"/>
    <w:rsid w:val="008B37D1"/>
    <w:rsid w:val="008B4609"/>
    <w:rsid w:val="008B4713"/>
    <w:rsid w:val="008B4CFE"/>
    <w:rsid w:val="008B6593"/>
    <w:rsid w:val="008B7D9A"/>
    <w:rsid w:val="008C0275"/>
    <w:rsid w:val="008C06ED"/>
    <w:rsid w:val="008C1255"/>
    <w:rsid w:val="008C2893"/>
    <w:rsid w:val="008C2B3A"/>
    <w:rsid w:val="008C2DDF"/>
    <w:rsid w:val="008C382F"/>
    <w:rsid w:val="008C4945"/>
    <w:rsid w:val="008C594C"/>
    <w:rsid w:val="008C59D3"/>
    <w:rsid w:val="008C6AC6"/>
    <w:rsid w:val="008C6DBE"/>
    <w:rsid w:val="008D049E"/>
    <w:rsid w:val="008D08B1"/>
    <w:rsid w:val="008D1ADD"/>
    <w:rsid w:val="008D33DB"/>
    <w:rsid w:val="008D3CBB"/>
    <w:rsid w:val="008D489B"/>
    <w:rsid w:val="008D5020"/>
    <w:rsid w:val="008D6086"/>
    <w:rsid w:val="008D6221"/>
    <w:rsid w:val="008D6FA8"/>
    <w:rsid w:val="008E0008"/>
    <w:rsid w:val="008E0A7B"/>
    <w:rsid w:val="008E111A"/>
    <w:rsid w:val="008E1189"/>
    <w:rsid w:val="008E1259"/>
    <w:rsid w:val="008E265B"/>
    <w:rsid w:val="008E31C0"/>
    <w:rsid w:val="008E3C48"/>
    <w:rsid w:val="008E3C68"/>
    <w:rsid w:val="008E4E76"/>
    <w:rsid w:val="008E5C69"/>
    <w:rsid w:val="008E65EC"/>
    <w:rsid w:val="008E6792"/>
    <w:rsid w:val="008E7021"/>
    <w:rsid w:val="008E7ED9"/>
    <w:rsid w:val="008F0C15"/>
    <w:rsid w:val="008F1365"/>
    <w:rsid w:val="008F1512"/>
    <w:rsid w:val="008F1903"/>
    <w:rsid w:val="008F28AA"/>
    <w:rsid w:val="008F385E"/>
    <w:rsid w:val="008F5A54"/>
    <w:rsid w:val="008F5C39"/>
    <w:rsid w:val="008F5D8C"/>
    <w:rsid w:val="008F63D2"/>
    <w:rsid w:val="008F6C65"/>
    <w:rsid w:val="00900279"/>
    <w:rsid w:val="009009D3"/>
    <w:rsid w:val="0090149D"/>
    <w:rsid w:val="00901BC8"/>
    <w:rsid w:val="009027B1"/>
    <w:rsid w:val="00902A61"/>
    <w:rsid w:val="00902D57"/>
    <w:rsid w:val="00903801"/>
    <w:rsid w:val="009041D4"/>
    <w:rsid w:val="00905320"/>
    <w:rsid w:val="00905904"/>
    <w:rsid w:val="00906B8F"/>
    <w:rsid w:val="00907CB6"/>
    <w:rsid w:val="009100A1"/>
    <w:rsid w:val="009102B6"/>
    <w:rsid w:val="009102F3"/>
    <w:rsid w:val="009106B7"/>
    <w:rsid w:val="00910D50"/>
    <w:rsid w:val="0091102A"/>
    <w:rsid w:val="009113B6"/>
    <w:rsid w:val="009119E7"/>
    <w:rsid w:val="009131EA"/>
    <w:rsid w:val="00913747"/>
    <w:rsid w:val="00913E62"/>
    <w:rsid w:val="00914157"/>
    <w:rsid w:val="00914B70"/>
    <w:rsid w:val="00914D00"/>
    <w:rsid w:val="00916340"/>
    <w:rsid w:val="00917B17"/>
    <w:rsid w:val="00920CBB"/>
    <w:rsid w:val="009215B3"/>
    <w:rsid w:val="0092176E"/>
    <w:rsid w:val="00921771"/>
    <w:rsid w:val="00921855"/>
    <w:rsid w:val="00923804"/>
    <w:rsid w:val="009239A8"/>
    <w:rsid w:val="00924006"/>
    <w:rsid w:val="009250CC"/>
    <w:rsid w:val="009250E4"/>
    <w:rsid w:val="00925B70"/>
    <w:rsid w:val="00925D5A"/>
    <w:rsid w:val="009263DA"/>
    <w:rsid w:val="009269D9"/>
    <w:rsid w:val="00927530"/>
    <w:rsid w:val="0093028F"/>
    <w:rsid w:val="009311BF"/>
    <w:rsid w:val="00931895"/>
    <w:rsid w:val="009339B3"/>
    <w:rsid w:val="00934DF3"/>
    <w:rsid w:val="00934ED4"/>
    <w:rsid w:val="009359C1"/>
    <w:rsid w:val="00936246"/>
    <w:rsid w:val="00936BB8"/>
    <w:rsid w:val="00937A5C"/>
    <w:rsid w:val="009407CC"/>
    <w:rsid w:val="0094119C"/>
    <w:rsid w:val="00941460"/>
    <w:rsid w:val="009416A8"/>
    <w:rsid w:val="009422E8"/>
    <w:rsid w:val="00943EB7"/>
    <w:rsid w:val="00944BB1"/>
    <w:rsid w:val="00947807"/>
    <w:rsid w:val="00947CF9"/>
    <w:rsid w:val="00951727"/>
    <w:rsid w:val="00951F8F"/>
    <w:rsid w:val="00954165"/>
    <w:rsid w:val="00955535"/>
    <w:rsid w:val="00955EEC"/>
    <w:rsid w:val="00956106"/>
    <w:rsid w:val="009568E6"/>
    <w:rsid w:val="0095690D"/>
    <w:rsid w:val="00960C65"/>
    <w:rsid w:val="00960CD9"/>
    <w:rsid w:val="00960E15"/>
    <w:rsid w:val="009615D9"/>
    <w:rsid w:val="00961831"/>
    <w:rsid w:val="0096221C"/>
    <w:rsid w:val="00962495"/>
    <w:rsid w:val="009647EF"/>
    <w:rsid w:val="009670ED"/>
    <w:rsid w:val="00967352"/>
    <w:rsid w:val="00967700"/>
    <w:rsid w:val="0096771D"/>
    <w:rsid w:val="00967DB9"/>
    <w:rsid w:val="00970120"/>
    <w:rsid w:val="00970E0E"/>
    <w:rsid w:val="00971384"/>
    <w:rsid w:val="00971916"/>
    <w:rsid w:val="00971EAA"/>
    <w:rsid w:val="00972013"/>
    <w:rsid w:val="00973749"/>
    <w:rsid w:val="00974546"/>
    <w:rsid w:val="0097537A"/>
    <w:rsid w:val="00975419"/>
    <w:rsid w:val="00975464"/>
    <w:rsid w:val="00975672"/>
    <w:rsid w:val="0097685F"/>
    <w:rsid w:val="0098056A"/>
    <w:rsid w:val="009806FE"/>
    <w:rsid w:val="009816D9"/>
    <w:rsid w:val="009818C1"/>
    <w:rsid w:val="00981A95"/>
    <w:rsid w:val="00981D12"/>
    <w:rsid w:val="00983221"/>
    <w:rsid w:val="0098329F"/>
    <w:rsid w:val="00984000"/>
    <w:rsid w:val="009843FC"/>
    <w:rsid w:val="00985ECF"/>
    <w:rsid w:val="00986A3E"/>
    <w:rsid w:val="009870C7"/>
    <w:rsid w:val="009902FB"/>
    <w:rsid w:val="0099063B"/>
    <w:rsid w:val="0099116A"/>
    <w:rsid w:val="00991417"/>
    <w:rsid w:val="00991503"/>
    <w:rsid w:val="00992311"/>
    <w:rsid w:val="0099271E"/>
    <w:rsid w:val="00992C09"/>
    <w:rsid w:val="00993279"/>
    <w:rsid w:val="00993604"/>
    <w:rsid w:val="00994FDE"/>
    <w:rsid w:val="00995928"/>
    <w:rsid w:val="00995F70"/>
    <w:rsid w:val="009964C4"/>
    <w:rsid w:val="009968A9"/>
    <w:rsid w:val="00997029"/>
    <w:rsid w:val="009973BB"/>
    <w:rsid w:val="009979EA"/>
    <w:rsid w:val="009A01DD"/>
    <w:rsid w:val="009A0E02"/>
    <w:rsid w:val="009A28C4"/>
    <w:rsid w:val="009A36FE"/>
    <w:rsid w:val="009A4126"/>
    <w:rsid w:val="009A48AF"/>
    <w:rsid w:val="009A6664"/>
    <w:rsid w:val="009A786A"/>
    <w:rsid w:val="009B15F0"/>
    <w:rsid w:val="009B1E7B"/>
    <w:rsid w:val="009B20FF"/>
    <w:rsid w:val="009B2A02"/>
    <w:rsid w:val="009B2A70"/>
    <w:rsid w:val="009B572B"/>
    <w:rsid w:val="009B5D14"/>
    <w:rsid w:val="009B6080"/>
    <w:rsid w:val="009B695D"/>
    <w:rsid w:val="009B71DA"/>
    <w:rsid w:val="009B756F"/>
    <w:rsid w:val="009C0D73"/>
    <w:rsid w:val="009C11A8"/>
    <w:rsid w:val="009C3E8F"/>
    <w:rsid w:val="009C44D2"/>
    <w:rsid w:val="009C4DA6"/>
    <w:rsid w:val="009C514B"/>
    <w:rsid w:val="009C52C5"/>
    <w:rsid w:val="009C7253"/>
    <w:rsid w:val="009C796C"/>
    <w:rsid w:val="009C7D7A"/>
    <w:rsid w:val="009C7D96"/>
    <w:rsid w:val="009D176A"/>
    <w:rsid w:val="009D256C"/>
    <w:rsid w:val="009D39E9"/>
    <w:rsid w:val="009D3A7E"/>
    <w:rsid w:val="009D406F"/>
    <w:rsid w:val="009D46A1"/>
    <w:rsid w:val="009D4A03"/>
    <w:rsid w:val="009D506D"/>
    <w:rsid w:val="009D5FBF"/>
    <w:rsid w:val="009E1C4C"/>
    <w:rsid w:val="009E2240"/>
    <w:rsid w:val="009E29A8"/>
    <w:rsid w:val="009E3E09"/>
    <w:rsid w:val="009E4001"/>
    <w:rsid w:val="009E48CC"/>
    <w:rsid w:val="009E5B01"/>
    <w:rsid w:val="009F0055"/>
    <w:rsid w:val="009F113B"/>
    <w:rsid w:val="009F2064"/>
    <w:rsid w:val="009F2164"/>
    <w:rsid w:val="009F2CF8"/>
    <w:rsid w:val="009F33CE"/>
    <w:rsid w:val="009F3D24"/>
    <w:rsid w:val="009F3E85"/>
    <w:rsid w:val="009F4552"/>
    <w:rsid w:val="009F5866"/>
    <w:rsid w:val="009F587C"/>
    <w:rsid w:val="009F628B"/>
    <w:rsid w:val="009F6D38"/>
    <w:rsid w:val="009F70D5"/>
    <w:rsid w:val="00A01176"/>
    <w:rsid w:val="00A02C34"/>
    <w:rsid w:val="00A03F0D"/>
    <w:rsid w:val="00A0458E"/>
    <w:rsid w:val="00A04F33"/>
    <w:rsid w:val="00A0612A"/>
    <w:rsid w:val="00A070EA"/>
    <w:rsid w:val="00A0748F"/>
    <w:rsid w:val="00A0753F"/>
    <w:rsid w:val="00A07754"/>
    <w:rsid w:val="00A10C44"/>
    <w:rsid w:val="00A10F8C"/>
    <w:rsid w:val="00A117A1"/>
    <w:rsid w:val="00A11FFF"/>
    <w:rsid w:val="00A12A65"/>
    <w:rsid w:val="00A12B90"/>
    <w:rsid w:val="00A12DA2"/>
    <w:rsid w:val="00A13A72"/>
    <w:rsid w:val="00A15A35"/>
    <w:rsid w:val="00A16338"/>
    <w:rsid w:val="00A168AC"/>
    <w:rsid w:val="00A20282"/>
    <w:rsid w:val="00A202C8"/>
    <w:rsid w:val="00A202D9"/>
    <w:rsid w:val="00A208DF"/>
    <w:rsid w:val="00A2121E"/>
    <w:rsid w:val="00A21AA1"/>
    <w:rsid w:val="00A21C4D"/>
    <w:rsid w:val="00A21C7D"/>
    <w:rsid w:val="00A223FD"/>
    <w:rsid w:val="00A22490"/>
    <w:rsid w:val="00A22EC8"/>
    <w:rsid w:val="00A2338A"/>
    <w:rsid w:val="00A24C2E"/>
    <w:rsid w:val="00A25559"/>
    <w:rsid w:val="00A25C50"/>
    <w:rsid w:val="00A2784A"/>
    <w:rsid w:val="00A27CB5"/>
    <w:rsid w:val="00A3003E"/>
    <w:rsid w:val="00A3093E"/>
    <w:rsid w:val="00A3095C"/>
    <w:rsid w:val="00A30CD0"/>
    <w:rsid w:val="00A312FE"/>
    <w:rsid w:val="00A3196C"/>
    <w:rsid w:val="00A31CD2"/>
    <w:rsid w:val="00A31CD8"/>
    <w:rsid w:val="00A328EB"/>
    <w:rsid w:val="00A32B6C"/>
    <w:rsid w:val="00A33D86"/>
    <w:rsid w:val="00A34848"/>
    <w:rsid w:val="00A34E38"/>
    <w:rsid w:val="00A35020"/>
    <w:rsid w:val="00A35F68"/>
    <w:rsid w:val="00A3734F"/>
    <w:rsid w:val="00A374B9"/>
    <w:rsid w:val="00A37FDE"/>
    <w:rsid w:val="00A40184"/>
    <w:rsid w:val="00A4065C"/>
    <w:rsid w:val="00A4174E"/>
    <w:rsid w:val="00A41B9C"/>
    <w:rsid w:val="00A42695"/>
    <w:rsid w:val="00A42D81"/>
    <w:rsid w:val="00A443A9"/>
    <w:rsid w:val="00A444D0"/>
    <w:rsid w:val="00A44AC4"/>
    <w:rsid w:val="00A450FD"/>
    <w:rsid w:val="00A45114"/>
    <w:rsid w:val="00A45AC9"/>
    <w:rsid w:val="00A4620E"/>
    <w:rsid w:val="00A467FD"/>
    <w:rsid w:val="00A46894"/>
    <w:rsid w:val="00A501B7"/>
    <w:rsid w:val="00A50BD4"/>
    <w:rsid w:val="00A516DD"/>
    <w:rsid w:val="00A51E34"/>
    <w:rsid w:val="00A52588"/>
    <w:rsid w:val="00A566D5"/>
    <w:rsid w:val="00A567D2"/>
    <w:rsid w:val="00A572A2"/>
    <w:rsid w:val="00A6010A"/>
    <w:rsid w:val="00A605F8"/>
    <w:rsid w:val="00A60EE0"/>
    <w:rsid w:val="00A61456"/>
    <w:rsid w:val="00A6193F"/>
    <w:rsid w:val="00A629C1"/>
    <w:rsid w:val="00A62A44"/>
    <w:rsid w:val="00A62B99"/>
    <w:rsid w:val="00A632EB"/>
    <w:rsid w:val="00A632FE"/>
    <w:rsid w:val="00A63AD6"/>
    <w:rsid w:val="00A64448"/>
    <w:rsid w:val="00A64BD8"/>
    <w:rsid w:val="00A64FBA"/>
    <w:rsid w:val="00A64FCD"/>
    <w:rsid w:val="00A659F2"/>
    <w:rsid w:val="00A65BEE"/>
    <w:rsid w:val="00A67496"/>
    <w:rsid w:val="00A67AF8"/>
    <w:rsid w:val="00A705DC"/>
    <w:rsid w:val="00A70F7E"/>
    <w:rsid w:val="00A71179"/>
    <w:rsid w:val="00A715E1"/>
    <w:rsid w:val="00A71CD7"/>
    <w:rsid w:val="00A72559"/>
    <w:rsid w:val="00A72866"/>
    <w:rsid w:val="00A75B6D"/>
    <w:rsid w:val="00A75FDF"/>
    <w:rsid w:val="00A76242"/>
    <w:rsid w:val="00A76347"/>
    <w:rsid w:val="00A7657F"/>
    <w:rsid w:val="00A76874"/>
    <w:rsid w:val="00A77171"/>
    <w:rsid w:val="00A7793E"/>
    <w:rsid w:val="00A77B5C"/>
    <w:rsid w:val="00A807C2"/>
    <w:rsid w:val="00A81149"/>
    <w:rsid w:val="00A81926"/>
    <w:rsid w:val="00A81E2D"/>
    <w:rsid w:val="00A82819"/>
    <w:rsid w:val="00A8392C"/>
    <w:rsid w:val="00A84379"/>
    <w:rsid w:val="00A845F6"/>
    <w:rsid w:val="00A84C32"/>
    <w:rsid w:val="00A858B6"/>
    <w:rsid w:val="00A858E9"/>
    <w:rsid w:val="00A86180"/>
    <w:rsid w:val="00A86990"/>
    <w:rsid w:val="00A86C04"/>
    <w:rsid w:val="00A9048C"/>
    <w:rsid w:val="00A91899"/>
    <w:rsid w:val="00A91B2B"/>
    <w:rsid w:val="00A931B2"/>
    <w:rsid w:val="00A93736"/>
    <w:rsid w:val="00A93CA9"/>
    <w:rsid w:val="00A94933"/>
    <w:rsid w:val="00A94E4F"/>
    <w:rsid w:val="00A952A6"/>
    <w:rsid w:val="00A957A7"/>
    <w:rsid w:val="00A95C8D"/>
    <w:rsid w:val="00A96147"/>
    <w:rsid w:val="00A96E07"/>
    <w:rsid w:val="00A96E12"/>
    <w:rsid w:val="00A972C5"/>
    <w:rsid w:val="00AA0587"/>
    <w:rsid w:val="00AA0801"/>
    <w:rsid w:val="00AA0DE8"/>
    <w:rsid w:val="00AA273D"/>
    <w:rsid w:val="00AA2CC1"/>
    <w:rsid w:val="00AA2EFA"/>
    <w:rsid w:val="00AA3951"/>
    <w:rsid w:val="00AA3ADB"/>
    <w:rsid w:val="00AA441B"/>
    <w:rsid w:val="00AB1091"/>
    <w:rsid w:val="00AB1E5B"/>
    <w:rsid w:val="00AB227C"/>
    <w:rsid w:val="00AB2B6F"/>
    <w:rsid w:val="00AB3477"/>
    <w:rsid w:val="00AB357C"/>
    <w:rsid w:val="00AB44E6"/>
    <w:rsid w:val="00AB4A2B"/>
    <w:rsid w:val="00AB5034"/>
    <w:rsid w:val="00AB572F"/>
    <w:rsid w:val="00AB60CD"/>
    <w:rsid w:val="00AB6F2C"/>
    <w:rsid w:val="00AB7B80"/>
    <w:rsid w:val="00AC048B"/>
    <w:rsid w:val="00AC1C9C"/>
    <w:rsid w:val="00AC267E"/>
    <w:rsid w:val="00AC3246"/>
    <w:rsid w:val="00AC36A0"/>
    <w:rsid w:val="00AC399B"/>
    <w:rsid w:val="00AC47E1"/>
    <w:rsid w:val="00AC4AC9"/>
    <w:rsid w:val="00AC4EE1"/>
    <w:rsid w:val="00AC50A4"/>
    <w:rsid w:val="00AC6335"/>
    <w:rsid w:val="00AC6A0C"/>
    <w:rsid w:val="00AC7020"/>
    <w:rsid w:val="00AD0CC2"/>
    <w:rsid w:val="00AD12F6"/>
    <w:rsid w:val="00AD15B0"/>
    <w:rsid w:val="00AD1CBD"/>
    <w:rsid w:val="00AD1D1A"/>
    <w:rsid w:val="00AD1E38"/>
    <w:rsid w:val="00AD221E"/>
    <w:rsid w:val="00AD2DB6"/>
    <w:rsid w:val="00AD307C"/>
    <w:rsid w:val="00AD30C8"/>
    <w:rsid w:val="00AD34D4"/>
    <w:rsid w:val="00AD3D94"/>
    <w:rsid w:val="00AD41CC"/>
    <w:rsid w:val="00AD4205"/>
    <w:rsid w:val="00AD46EE"/>
    <w:rsid w:val="00AD50CD"/>
    <w:rsid w:val="00AD5273"/>
    <w:rsid w:val="00AD6858"/>
    <w:rsid w:val="00AD74D5"/>
    <w:rsid w:val="00AD763C"/>
    <w:rsid w:val="00AE0D5E"/>
    <w:rsid w:val="00AE22CE"/>
    <w:rsid w:val="00AE2C01"/>
    <w:rsid w:val="00AE3135"/>
    <w:rsid w:val="00AE3804"/>
    <w:rsid w:val="00AE3CBE"/>
    <w:rsid w:val="00AE5C9B"/>
    <w:rsid w:val="00AE6772"/>
    <w:rsid w:val="00AE79E0"/>
    <w:rsid w:val="00AE7D55"/>
    <w:rsid w:val="00AF0194"/>
    <w:rsid w:val="00AF0580"/>
    <w:rsid w:val="00AF06CF"/>
    <w:rsid w:val="00AF1827"/>
    <w:rsid w:val="00AF2006"/>
    <w:rsid w:val="00AF208F"/>
    <w:rsid w:val="00AF26A1"/>
    <w:rsid w:val="00AF3DAD"/>
    <w:rsid w:val="00AF5BD3"/>
    <w:rsid w:val="00AF5E95"/>
    <w:rsid w:val="00AF7329"/>
    <w:rsid w:val="00B0068A"/>
    <w:rsid w:val="00B00F74"/>
    <w:rsid w:val="00B02336"/>
    <w:rsid w:val="00B02486"/>
    <w:rsid w:val="00B04C8D"/>
    <w:rsid w:val="00B04D5F"/>
    <w:rsid w:val="00B05154"/>
    <w:rsid w:val="00B0534F"/>
    <w:rsid w:val="00B05DCC"/>
    <w:rsid w:val="00B12215"/>
    <w:rsid w:val="00B12BE1"/>
    <w:rsid w:val="00B13674"/>
    <w:rsid w:val="00B13953"/>
    <w:rsid w:val="00B16A4F"/>
    <w:rsid w:val="00B16DEE"/>
    <w:rsid w:val="00B17192"/>
    <w:rsid w:val="00B208E7"/>
    <w:rsid w:val="00B2316F"/>
    <w:rsid w:val="00B232AF"/>
    <w:rsid w:val="00B23F83"/>
    <w:rsid w:val="00B2454B"/>
    <w:rsid w:val="00B24814"/>
    <w:rsid w:val="00B2524B"/>
    <w:rsid w:val="00B2573C"/>
    <w:rsid w:val="00B25DE3"/>
    <w:rsid w:val="00B2626F"/>
    <w:rsid w:val="00B26F34"/>
    <w:rsid w:val="00B27682"/>
    <w:rsid w:val="00B319D1"/>
    <w:rsid w:val="00B330C3"/>
    <w:rsid w:val="00B336C1"/>
    <w:rsid w:val="00B34A54"/>
    <w:rsid w:val="00B34D79"/>
    <w:rsid w:val="00B36C44"/>
    <w:rsid w:val="00B379A1"/>
    <w:rsid w:val="00B37C87"/>
    <w:rsid w:val="00B4003E"/>
    <w:rsid w:val="00B400EF"/>
    <w:rsid w:val="00B41572"/>
    <w:rsid w:val="00B42D59"/>
    <w:rsid w:val="00B4334D"/>
    <w:rsid w:val="00B45C0B"/>
    <w:rsid w:val="00B45C89"/>
    <w:rsid w:val="00B47177"/>
    <w:rsid w:val="00B47A2D"/>
    <w:rsid w:val="00B5021E"/>
    <w:rsid w:val="00B502E8"/>
    <w:rsid w:val="00B5056D"/>
    <w:rsid w:val="00B506FF"/>
    <w:rsid w:val="00B50FF6"/>
    <w:rsid w:val="00B52414"/>
    <w:rsid w:val="00B5343C"/>
    <w:rsid w:val="00B535F4"/>
    <w:rsid w:val="00B53A6F"/>
    <w:rsid w:val="00B53CAD"/>
    <w:rsid w:val="00B54769"/>
    <w:rsid w:val="00B5599A"/>
    <w:rsid w:val="00B55ECC"/>
    <w:rsid w:val="00B56D38"/>
    <w:rsid w:val="00B57380"/>
    <w:rsid w:val="00B60944"/>
    <w:rsid w:val="00B61A33"/>
    <w:rsid w:val="00B61DBE"/>
    <w:rsid w:val="00B61E45"/>
    <w:rsid w:val="00B620C9"/>
    <w:rsid w:val="00B62560"/>
    <w:rsid w:val="00B634CE"/>
    <w:rsid w:val="00B635D6"/>
    <w:rsid w:val="00B639F0"/>
    <w:rsid w:val="00B6438D"/>
    <w:rsid w:val="00B6469B"/>
    <w:rsid w:val="00B6518D"/>
    <w:rsid w:val="00B652EA"/>
    <w:rsid w:val="00B65545"/>
    <w:rsid w:val="00B65886"/>
    <w:rsid w:val="00B6594F"/>
    <w:rsid w:val="00B67247"/>
    <w:rsid w:val="00B67F68"/>
    <w:rsid w:val="00B70670"/>
    <w:rsid w:val="00B71259"/>
    <w:rsid w:val="00B719E8"/>
    <w:rsid w:val="00B71C06"/>
    <w:rsid w:val="00B71FE4"/>
    <w:rsid w:val="00B723D1"/>
    <w:rsid w:val="00B72466"/>
    <w:rsid w:val="00B72A0C"/>
    <w:rsid w:val="00B74320"/>
    <w:rsid w:val="00B743FE"/>
    <w:rsid w:val="00B753CD"/>
    <w:rsid w:val="00B75D60"/>
    <w:rsid w:val="00B7710E"/>
    <w:rsid w:val="00B801AA"/>
    <w:rsid w:val="00B803B2"/>
    <w:rsid w:val="00B80855"/>
    <w:rsid w:val="00B827BF"/>
    <w:rsid w:val="00B82D67"/>
    <w:rsid w:val="00B82EB1"/>
    <w:rsid w:val="00B83506"/>
    <w:rsid w:val="00B83C43"/>
    <w:rsid w:val="00B85F5D"/>
    <w:rsid w:val="00B86290"/>
    <w:rsid w:val="00B86722"/>
    <w:rsid w:val="00B86BF9"/>
    <w:rsid w:val="00B87949"/>
    <w:rsid w:val="00B87968"/>
    <w:rsid w:val="00B87D47"/>
    <w:rsid w:val="00B907DE"/>
    <w:rsid w:val="00B90B20"/>
    <w:rsid w:val="00B91A97"/>
    <w:rsid w:val="00B92058"/>
    <w:rsid w:val="00B93275"/>
    <w:rsid w:val="00B93847"/>
    <w:rsid w:val="00B940D6"/>
    <w:rsid w:val="00B94110"/>
    <w:rsid w:val="00B95DB5"/>
    <w:rsid w:val="00B95EA9"/>
    <w:rsid w:val="00B96128"/>
    <w:rsid w:val="00BA086D"/>
    <w:rsid w:val="00BA27B9"/>
    <w:rsid w:val="00BA29A3"/>
    <w:rsid w:val="00BA2B5A"/>
    <w:rsid w:val="00BA396A"/>
    <w:rsid w:val="00BA3B4D"/>
    <w:rsid w:val="00BA440E"/>
    <w:rsid w:val="00BA46D5"/>
    <w:rsid w:val="00BA4761"/>
    <w:rsid w:val="00BA5988"/>
    <w:rsid w:val="00BA5EA9"/>
    <w:rsid w:val="00BA6677"/>
    <w:rsid w:val="00BA6CF0"/>
    <w:rsid w:val="00BA7B5F"/>
    <w:rsid w:val="00BA7D53"/>
    <w:rsid w:val="00BB07CA"/>
    <w:rsid w:val="00BB13B0"/>
    <w:rsid w:val="00BB2243"/>
    <w:rsid w:val="00BB2472"/>
    <w:rsid w:val="00BB26BD"/>
    <w:rsid w:val="00BB3071"/>
    <w:rsid w:val="00BB4DA8"/>
    <w:rsid w:val="00BB5C9B"/>
    <w:rsid w:val="00BB654C"/>
    <w:rsid w:val="00BB7259"/>
    <w:rsid w:val="00BB78E4"/>
    <w:rsid w:val="00BB7D10"/>
    <w:rsid w:val="00BC08F9"/>
    <w:rsid w:val="00BC2FB5"/>
    <w:rsid w:val="00BC7E1A"/>
    <w:rsid w:val="00BD0CCA"/>
    <w:rsid w:val="00BD0E1B"/>
    <w:rsid w:val="00BD14DA"/>
    <w:rsid w:val="00BD1520"/>
    <w:rsid w:val="00BD16A2"/>
    <w:rsid w:val="00BD17B8"/>
    <w:rsid w:val="00BD4A82"/>
    <w:rsid w:val="00BD4AF5"/>
    <w:rsid w:val="00BD581A"/>
    <w:rsid w:val="00BD6B29"/>
    <w:rsid w:val="00BE021F"/>
    <w:rsid w:val="00BE0B77"/>
    <w:rsid w:val="00BE1113"/>
    <w:rsid w:val="00BE2894"/>
    <w:rsid w:val="00BE28BA"/>
    <w:rsid w:val="00BE418D"/>
    <w:rsid w:val="00BE43EF"/>
    <w:rsid w:val="00BE4D39"/>
    <w:rsid w:val="00BE6C75"/>
    <w:rsid w:val="00BE6CE2"/>
    <w:rsid w:val="00BE6E37"/>
    <w:rsid w:val="00BE6F01"/>
    <w:rsid w:val="00BF0CD5"/>
    <w:rsid w:val="00BF2BAC"/>
    <w:rsid w:val="00BF35F2"/>
    <w:rsid w:val="00BF3885"/>
    <w:rsid w:val="00BF4700"/>
    <w:rsid w:val="00BF5832"/>
    <w:rsid w:val="00BF60FB"/>
    <w:rsid w:val="00BF61DA"/>
    <w:rsid w:val="00BF7616"/>
    <w:rsid w:val="00C012D5"/>
    <w:rsid w:val="00C03ECB"/>
    <w:rsid w:val="00C0410F"/>
    <w:rsid w:val="00C04D71"/>
    <w:rsid w:val="00C055D0"/>
    <w:rsid w:val="00C05A43"/>
    <w:rsid w:val="00C05BD9"/>
    <w:rsid w:val="00C06C13"/>
    <w:rsid w:val="00C074CA"/>
    <w:rsid w:val="00C11480"/>
    <w:rsid w:val="00C1189D"/>
    <w:rsid w:val="00C120BB"/>
    <w:rsid w:val="00C12496"/>
    <w:rsid w:val="00C124FE"/>
    <w:rsid w:val="00C12A5C"/>
    <w:rsid w:val="00C1366B"/>
    <w:rsid w:val="00C136D9"/>
    <w:rsid w:val="00C149D9"/>
    <w:rsid w:val="00C16774"/>
    <w:rsid w:val="00C20685"/>
    <w:rsid w:val="00C2267C"/>
    <w:rsid w:val="00C2287D"/>
    <w:rsid w:val="00C22FE8"/>
    <w:rsid w:val="00C23066"/>
    <w:rsid w:val="00C235C9"/>
    <w:rsid w:val="00C23A65"/>
    <w:rsid w:val="00C23C09"/>
    <w:rsid w:val="00C24E48"/>
    <w:rsid w:val="00C255CB"/>
    <w:rsid w:val="00C261D6"/>
    <w:rsid w:val="00C27ACA"/>
    <w:rsid w:val="00C308AD"/>
    <w:rsid w:val="00C30E75"/>
    <w:rsid w:val="00C31167"/>
    <w:rsid w:val="00C31EAC"/>
    <w:rsid w:val="00C348FC"/>
    <w:rsid w:val="00C34A09"/>
    <w:rsid w:val="00C35560"/>
    <w:rsid w:val="00C36D02"/>
    <w:rsid w:val="00C40878"/>
    <w:rsid w:val="00C408BB"/>
    <w:rsid w:val="00C40B12"/>
    <w:rsid w:val="00C40BF0"/>
    <w:rsid w:val="00C41E74"/>
    <w:rsid w:val="00C41EEE"/>
    <w:rsid w:val="00C42716"/>
    <w:rsid w:val="00C428C5"/>
    <w:rsid w:val="00C4294E"/>
    <w:rsid w:val="00C448B7"/>
    <w:rsid w:val="00C45DB4"/>
    <w:rsid w:val="00C45F58"/>
    <w:rsid w:val="00C469A0"/>
    <w:rsid w:val="00C46E5A"/>
    <w:rsid w:val="00C47624"/>
    <w:rsid w:val="00C47AC3"/>
    <w:rsid w:val="00C5028A"/>
    <w:rsid w:val="00C504A0"/>
    <w:rsid w:val="00C5082A"/>
    <w:rsid w:val="00C50869"/>
    <w:rsid w:val="00C51262"/>
    <w:rsid w:val="00C52038"/>
    <w:rsid w:val="00C525D6"/>
    <w:rsid w:val="00C53851"/>
    <w:rsid w:val="00C55002"/>
    <w:rsid w:val="00C55728"/>
    <w:rsid w:val="00C55B56"/>
    <w:rsid w:val="00C56EFF"/>
    <w:rsid w:val="00C6012A"/>
    <w:rsid w:val="00C612F0"/>
    <w:rsid w:val="00C61852"/>
    <w:rsid w:val="00C61AEE"/>
    <w:rsid w:val="00C625B0"/>
    <w:rsid w:val="00C631A9"/>
    <w:rsid w:val="00C633B9"/>
    <w:rsid w:val="00C63952"/>
    <w:rsid w:val="00C63D99"/>
    <w:rsid w:val="00C6488D"/>
    <w:rsid w:val="00C65AE3"/>
    <w:rsid w:val="00C66EE0"/>
    <w:rsid w:val="00C672F4"/>
    <w:rsid w:val="00C700B2"/>
    <w:rsid w:val="00C704CE"/>
    <w:rsid w:val="00C70CCA"/>
    <w:rsid w:val="00C72F5C"/>
    <w:rsid w:val="00C7318D"/>
    <w:rsid w:val="00C731B6"/>
    <w:rsid w:val="00C74632"/>
    <w:rsid w:val="00C74FB7"/>
    <w:rsid w:val="00C7504C"/>
    <w:rsid w:val="00C75318"/>
    <w:rsid w:val="00C7575F"/>
    <w:rsid w:val="00C75938"/>
    <w:rsid w:val="00C759C1"/>
    <w:rsid w:val="00C76BB7"/>
    <w:rsid w:val="00C76D91"/>
    <w:rsid w:val="00C80471"/>
    <w:rsid w:val="00C809B8"/>
    <w:rsid w:val="00C810F3"/>
    <w:rsid w:val="00C82E85"/>
    <w:rsid w:val="00C83C54"/>
    <w:rsid w:val="00C83E16"/>
    <w:rsid w:val="00C84924"/>
    <w:rsid w:val="00C84E8A"/>
    <w:rsid w:val="00C8793D"/>
    <w:rsid w:val="00C87B1E"/>
    <w:rsid w:val="00C90018"/>
    <w:rsid w:val="00C90BFA"/>
    <w:rsid w:val="00C92600"/>
    <w:rsid w:val="00C93782"/>
    <w:rsid w:val="00C93E4A"/>
    <w:rsid w:val="00C94BBA"/>
    <w:rsid w:val="00C94EA9"/>
    <w:rsid w:val="00C95513"/>
    <w:rsid w:val="00C95C89"/>
    <w:rsid w:val="00C96C17"/>
    <w:rsid w:val="00CA0FEE"/>
    <w:rsid w:val="00CA1540"/>
    <w:rsid w:val="00CA1659"/>
    <w:rsid w:val="00CA2763"/>
    <w:rsid w:val="00CA3355"/>
    <w:rsid w:val="00CA3699"/>
    <w:rsid w:val="00CA3BB0"/>
    <w:rsid w:val="00CA3D6A"/>
    <w:rsid w:val="00CA4DA6"/>
    <w:rsid w:val="00CA6301"/>
    <w:rsid w:val="00CA7A4C"/>
    <w:rsid w:val="00CB1B6F"/>
    <w:rsid w:val="00CB1E84"/>
    <w:rsid w:val="00CB289A"/>
    <w:rsid w:val="00CB328A"/>
    <w:rsid w:val="00CB37BA"/>
    <w:rsid w:val="00CB4157"/>
    <w:rsid w:val="00CB4437"/>
    <w:rsid w:val="00CB4A4F"/>
    <w:rsid w:val="00CB5402"/>
    <w:rsid w:val="00CB5AB1"/>
    <w:rsid w:val="00CB5C99"/>
    <w:rsid w:val="00CB637D"/>
    <w:rsid w:val="00CB7BB1"/>
    <w:rsid w:val="00CB7F68"/>
    <w:rsid w:val="00CC3265"/>
    <w:rsid w:val="00CC3EB7"/>
    <w:rsid w:val="00CC4C2A"/>
    <w:rsid w:val="00CC55FF"/>
    <w:rsid w:val="00CC69A1"/>
    <w:rsid w:val="00CC6EFE"/>
    <w:rsid w:val="00CC7BAB"/>
    <w:rsid w:val="00CD0675"/>
    <w:rsid w:val="00CD0684"/>
    <w:rsid w:val="00CD148C"/>
    <w:rsid w:val="00CD185E"/>
    <w:rsid w:val="00CD1D2C"/>
    <w:rsid w:val="00CD21B9"/>
    <w:rsid w:val="00CD2FC8"/>
    <w:rsid w:val="00CD3933"/>
    <w:rsid w:val="00CD3D29"/>
    <w:rsid w:val="00CD3D4F"/>
    <w:rsid w:val="00CD3E25"/>
    <w:rsid w:val="00CD3FB0"/>
    <w:rsid w:val="00CD4F6D"/>
    <w:rsid w:val="00CD5121"/>
    <w:rsid w:val="00CD5A03"/>
    <w:rsid w:val="00CD67D6"/>
    <w:rsid w:val="00CD6B69"/>
    <w:rsid w:val="00CD7CAF"/>
    <w:rsid w:val="00CE11E9"/>
    <w:rsid w:val="00CE11FE"/>
    <w:rsid w:val="00CE17F2"/>
    <w:rsid w:val="00CE24B4"/>
    <w:rsid w:val="00CE258D"/>
    <w:rsid w:val="00CE279C"/>
    <w:rsid w:val="00CE30D5"/>
    <w:rsid w:val="00CE470E"/>
    <w:rsid w:val="00CE58BA"/>
    <w:rsid w:val="00CE7CA4"/>
    <w:rsid w:val="00CE7E87"/>
    <w:rsid w:val="00CF0E20"/>
    <w:rsid w:val="00CF1B95"/>
    <w:rsid w:val="00CF210B"/>
    <w:rsid w:val="00CF2CDE"/>
    <w:rsid w:val="00CF2F34"/>
    <w:rsid w:val="00CF302C"/>
    <w:rsid w:val="00CF3462"/>
    <w:rsid w:val="00CF4433"/>
    <w:rsid w:val="00CF55CB"/>
    <w:rsid w:val="00CF572B"/>
    <w:rsid w:val="00CF5C36"/>
    <w:rsid w:val="00CF6C37"/>
    <w:rsid w:val="00CF6F8E"/>
    <w:rsid w:val="00CF711F"/>
    <w:rsid w:val="00CF7C7A"/>
    <w:rsid w:val="00CF7E51"/>
    <w:rsid w:val="00CF7F16"/>
    <w:rsid w:val="00D001EF"/>
    <w:rsid w:val="00D01418"/>
    <w:rsid w:val="00D01613"/>
    <w:rsid w:val="00D0287F"/>
    <w:rsid w:val="00D02E1A"/>
    <w:rsid w:val="00D02E6B"/>
    <w:rsid w:val="00D0475A"/>
    <w:rsid w:val="00D05A65"/>
    <w:rsid w:val="00D05CE8"/>
    <w:rsid w:val="00D079E0"/>
    <w:rsid w:val="00D1002A"/>
    <w:rsid w:val="00D10107"/>
    <w:rsid w:val="00D10AE1"/>
    <w:rsid w:val="00D1291A"/>
    <w:rsid w:val="00D133F8"/>
    <w:rsid w:val="00D136C0"/>
    <w:rsid w:val="00D13798"/>
    <w:rsid w:val="00D14704"/>
    <w:rsid w:val="00D149CA"/>
    <w:rsid w:val="00D14B54"/>
    <w:rsid w:val="00D15181"/>
    <w:rsid w:val="00D153B0"/>
    <w:rsid w:val="00D16DF7"/>
    <w:rsid w:val="00D16F70"/>
    <w:rsid w:val="00D1768D"/>
    <w:rsid w:val="00D17B8B"/>
    <w:rsid w:val="00D17DCF"/>
    <w:rsid w:val="00D20F6E"/>
    <w:rsid w:val="00D21313"/>
    <w:rsid w:val="00D213C7"/>
    <w:rsid w:val="00D222CF"/>
    <w:rsid w:val="00D242C6"/>
    <w:rsid w:val="00D255C8"/>
    <w:rsid w:val="00D2600A"/>
    <w:rsid w:val="00D26BF4"/>
    <w:rsid w:val="00D3001E"/>
    <w:rsid w:val="00D31C9B"/>
    <w:rsid w:val="00D32354"/>
    <w:rsid w:val="00D328D6"/>
    <w:rsid w:val="00D32C4F"/>
    <w:rsid w:val="00D34183"/>
    <w:rsid w:val="00D3432B"/>
    <w:rsid w:val="00D353D9"/>
    <w:rsid w:val="00D3573E"/>
    <w:rsid w:val="00D36292"/>
    <w:rsid w:val="00D36BE7"/>
    <w:rsid w:val="00D400FF"/>
    <w:rsid w:val="00D402A3"/>
    <w:rsid w:val="00D405CB"/>
    <w:rsid w:val="00D414D6"/>
    <w:rsid w:val="00D429C3"/>
    <w:rsid w:val="00D438DE"/>
    <w:rsid w:val="00D441B4"/>
    <w:rsid w:val="00D4616E"/>
    <w:rsid w:val="00D463AA"/>
    <w:rsid w:val="00D50142"/>
    <w:rsid w:val="00D50CF9"/>
    <w:rsid w:val="00D51288"/>
    <w:rsid w:val="00D51578"/>
    <w:rsid w:val="00D52C26"/>
    <w:rsid w:val="00D52CB4"/>
    <w:rsid w:val="00D53932"/>
    <w:rsid w:val="00D53F62"/>
    <w:rsid w:val="00D555F9"/>
    <w:rsid w:val="00D556F1"/>
    <w:rsid w:val="00D5619D"/>
    <w:rsid w:val="00D56ADB"/>
    <w:rsid w:val="00D56C5D"/>
    <w:rsid w:val="00D56F77"/>
    <w:rsid w:val="00D6008F"/>
    <w:rsid w:val="00D60DB7"/>
    <w:rsid w:val="00D613AE"/>
    <w:rsid w:val="00D61943"/>
    <w:rsid w:val="00D62BD7"/>
    <w:rsid w:val="00D63369"/>
    <w:rsid w:val="00D63413"/>
    <w:rsid w:val="00D64361"/>
    <w:rsid w:val="00D64870"/>
    <w:rsid w:val="00D64AAF"/>
    <w:rsid w:val="00D64C8B"/>
    <w:rsid w:val="00D659E4"/>
    <w:rsid w:val="00D661E3"/>
    <w:rsid w:val="00D66282"/>
    <w:rsid w:val="00D6681A"/>
    <w:rsid w:val="00D66BEA"/>
    <w:rsid w:val="00D6722E"/>
    <w:rsid w:val="00D6731B"/>
    <w:rsid w:val="00D70410"/>
    <w:rsid w:val="00D71682"/>
    <w:rsid w:val="00D72721"/>
    <w:rsid w:val="00D74EA2"/>
    <w:rsid w:val="00D75089"/>
    <w:rsid w:val="00D75A42"/>
    <w:rsid w:val="00D81951"/>
    <w:rsid w:val="00D819E4"/>
    <w:rsid w:val="00D829CD"/>
    <w:rsid w:val="00D8305D"/>
    <w:rsid w:val="00D83759"/>
    <w:rsid w:val="00D84259"/>
    <w:rsid w:val="00D842AF"/>
    <w:rsid w:val="00D844AF"/>
    <w:rsid w:val="00D849CC"/>
    <w:rsid w:val="00D85D34"/>
    <w:rsid w:val="00D86AB3"/>
    <w:rsid w:val="00D86D1E"/>
    <w:rsid w:val="00D87115"/>
    <w:rsid w:val="00D87B1F"/>
    <w:rsid w:val="00D9013D"/>
    <w:rsid w:val="00D90539"/>
    <w:rsid w:val="00D90B62"/>
    <w:rsid w:val="00D912FA"/>
    <w:rsid w:val="00D91D17"/>
    <w:rsid w:val="00D91D38"/>
    <w:rsid w:val="00D91EDB"/>
    <w:rsid w:val="00D927DD"/>
    <w:rsid w:val="00D92C17"/>
    <w:rsid w:val="00D934D8"/>
    <w:rsid w:val="00D9467E"/>
    <w:rsid w:val="00D95823"/>
    <w:rsid w:val="00D958FA"/>
    <w:rsid w:val="00D974CF"/>
    <w:rsid w:val="00D97904"/>
    <w:rsid w:val="00D97E0B"/>
    <w:rsid w:val="00DA02A1"/>
    <w:rsid w:val="00DA0F36"/>
    <w:rsid w:val="00DA21E6"/>
    <w:rsid w:val="00DA2DBF"/>
    <w:rsid w:val="00DA2F8B"/>
    <w:rsid w:val="00DA2FDB"/>
    <w:rsid w:val="00DA3FC0"/>
    <w:rsid w:val="00DA475F"/>
    <w:rsid w:val="00DA50C3"/>
    <w:rsid w:val="00DA5358"/>
    <w:rsid w:val="00DA5E0D"/>
    <w:rsid w:val="00DA618B"/>
    <w:rsid w:val="00DA6A3B"/>
    <w:rsid w:val="00DA6C8E"/>
    <w:rsid w:val="00DA6E25"/>
    <w:rsid w:val="00DA7549"/>
    <w:rsid w:val="00DA7628"/>
    <w:rsid w:val="00DA78ED"/>
    <w:rsid w:val="00DA79B2"/>
    <w:rsid w:val="00DA7AEB"/>
    <w:rsid w:val="00DA7BB8"/>
    <w:rsid w:val="00DB0546"/>
    <w:rsid w:val="00DB0570"/>
    <w:rsid w:val="00DB0B57"/>
    <w:rsid w:val="00DB1A0B"/>
    <w:rsid w:val="00DB1A8A"/>
    <w:rsid w:val="00DB22EC"/>
    <w:rsid w:val="00DB2842"/>
    <w:rsid w:val="00DB5120"/>
    <w:rsid w:val="00DB5AE9"/>
    <w:rsid w:val="00DB63E0"/>
    <w:rsid w:val="00DB67B2"/>
    <w:rsid w:val="00DB6970"/>
    <w:rsid w:val="00DB6E92"/>
    <w:rsid w:val="00DB7515"/>
    <w:rsid w:val="00DC0B7E"/>
    <w:rsid w:val="00DC1C58"/>
    <w:rsid w:val="00DC2451"/>
    <w:rsid w:val="00DC2610"/>
    <w:rsid w:val="00DC2A70"/>
    <w:rsid w:val="00DC2BB3"/>
    <w:rsid w:val="00DC4673"/>
    <w:rsid w:val="00DC4CE9"/>
    <w:rsid w:val="00DC5812"/>
    <w:rsid w:val="00DC5C08"/>
    <w:rsid w:val="00DC634F"/>
    <w:rsid w:val="00DC749B"/>
    <w:rsid w:val="00DC7FE1"/>
    <w:rsid w:val="00DD0974"/>
    <w:rsid w:val="00DD1BE8"/>
    <w:rsid w:val="00DD2808"/>
    <w:rsid w:val="00DD472F"/>
    <w:rsid w:val="00DD4954"/>
    <w:rsid w:val="00DD4C91"/>
    <w:rsid w:val="00DD5F88"/>
    <w:rsid w:val="00DD6AF7"/>
    <w:rsid w:val="00DD7F04"/>
    <w:rsid w:val="00DE03AC"/>
    <w:rsid w:val="00DE0744"/>
    <w:rsid w:val="00DE0912"/>
    <w:rsid w:val="00DE0CE7"/>
    <w:rsid w:val="00DE11AA"/>
    <w:rsid w:val="00DE250C"/>
    <w:rsid w:val="00DE2D9B"/>
    <w:rsid w:val="00DE35DC"/>
    <w:rsid w:val="00DE4C68"/>
    <w:rsid w:val="00DE5439"/>
    <w:rsid w:val="00DE547D"/>
    <w:rsid w:val="00DE69D6"/>
    <w:rsid w:val="00DE6D58"/>
    <w:rsid w:val="00DE7091"/>
    <w:rsid w:val="00DE7C48"/>
    <w:rsid w:val="00DE7F94"/>
    <w:rsid w:val="00DF05BF"/>
    <w:rsid w:val="00DF0BFC"/>
    <w:rsid w:val="00DF1933"/>
    <w:rsid w:val="00DF2054"/>
    <w:rsid w:val="00DF2B2F"/>
    <w:rsid w:val="00DF383A"/>
    <w:rsid w:val="00DF3C46"/>
    <w:rsid w:val="00DF7B68"/>
    <w:rsid w:val="00E006FE"/>
    <w:rsid w:val="00E00923"/>
    <w:rsid w:val="00E00A9F"/>
    <w:rsid w:val="00E02DFF"/>
    <w:rsid w:val="00E03F70"/>
    <w:rsid w:val="00E042CE"/>
    <w:rsid w:val="00E055A6"/>
    <w:rsid w:val="00E10940"/>
    <w:rsid w:val="00E112B0"/>
    <w:rsid w:val="00E11603"/>
    <w:rsid w:val="00E12696"/>
    <w:rsid w:val="00E12FC8"/>
    <w:rsid w:val="00E13276"/>
    <w:rsid w:val="00E133DB"/>
    <w:rsid w:val="00E140D6"/>
    <w:rsid w:val="00E14B8C"/>
    <w:rsid w:val="00E163FB"/>
    <w:rsid w:val="00E1664D"/>
    <w:rsid w:val="00E16941"/>
    <w:rsid w:val="00E16BC3"/>
    <w:rsid w:val="00E20B42"/>
    <w:rsid w:val="00E22006"/>
    <w:rsid w:val="00E2221B"/>
    <w:rsid w:val="00E22A59"/>
    <w:rsid w:val="00E236A0"/>
    <w:rsid w:val="00E26279"/>
    <w:rsid w:val="00E27B8C"/>
    <w:rsid w:val="00E3247D"/>
    <w:rsid w:val="00E329E8"/>
    <w:rsid w:val="00E32C2F"/>
    <w:rsid w:val="00E32E78"/>
    <w:rsid w:val="00E33305"/>
    <w:rsid w:val="00E3376D"/>
    <w:rsid w:val="00E33A5A"/>
    <w:rsid w:val="00E342A5"/>
    <w:rsid w:val="00E346CB"/>
    <w:rsid w:val="00E35217"/>
    <w:rsid w:val="00E373F6"/>
    <w:rsid w:val="00E37DFC"/>
    <w:rsid w:val="00E37E76"/>
    <w:rsid w:val="00E410E7"/>
    <w:rsid w:val="00E417AC"/>
    <w:rsid w:val="00E41B52"/>
    <w:rsid w:val="00E433B4"/>
    <w:rsid w:val="00E44618"/>
    <w:rsid w:val="00E4489E"/>
    <w:rsid w:val="00E453E2"/>
    <w:rsid w:val="00E46769"/>
    <w:rsid w:val="00E4694A"/>
    <w:rsid w:val="00E5115E"/>
    <w:rsid w:val="00E512E4"/>
    <w:rsid w:val="00E51AA6"/>
    <w:rsid w:val="00E53016"/>
    <w:rsid w:val="00E530BF"/>
    <w:rsid w:val="00E53911"/>
    <w:rsid w:val="00E53AD9"/>
    <w:rsid w:val="00E53EDA"/>
    <w:rsid w:val="00E546B0"/>
    <w:rsid w:val="00E54C1A"/>
    <w:rsid w:val="00E54E1B"/>
    <w:rsid w:val="00E56A0C"/>
    <w:rsid w:val="00E57FD7"/>
    <w:rsid w:val="00E605CA"/>
    <w:rsid w:val="00E60D97"/>
    <w:rsid w:val="00E62D0A"/>
    <w:rsid w:val="00E63ADC"/>
    <w:rsid w:val="00E64A01"/>
    <w:rsid w:val="00E64D67"/>
    <w:rsid w:val="00E6520C"/>
    <w:rsid w:val="00E65C38"/>
    <w:rsid w:val="00E66CE3"/>
    <w:rsid w:val="00E67725"/>
    <w:rsid w:val="00E67BE5"/>
    <w:rsid w:val="00E70134"/>
    <w:rsid w:val="00E701D5"/>
    <w:rsid w:val="00E71065"/>
    <w:rsid w:val="00E7150A"/>
    <w:rsid w:val="00E716B6"/>
    <w:rsid w:val="00E7190B"/>
    <w:rsid w:val="00E7341C"/>
    <w:rsid w:val="00E7398E"/>
    <w:rsid w:val="00E73B80"/>
    <w:rsid w:val="00E73D2F"/>
    <w:rsid w:val="00E74078"/>
    <w:rsid w:val="00E74536"/>
    <w:rsid w:val="00E74992"/>
    <w:rsid w:val="00E74C71"/>
    <w:rsid w:val="00E74E3A"/>
    <w:rsid w:val="00E7605E"/>
    <w:rsid w:val="00E76DE1"/>
    <w:rsid w:val="00E77574"/>
    <w:rsid w:val="00E77AC8"/>
    <w:rsid w:val="00E8081E"/>
    <w:rsid w:val="00E80E44"/>
    <w:rsid w:val="00E81909"/>
    <w:rsid w:val="00E84074"/>
    <w:rsid w:val="00E84877"/>
    <w:rsid w:val="00E84A88"/>
    <w:rsid w:val="00E85453"/>
    <w:rsid w:val="00E863F8"/>
    <w:rsid w:val="00E86CC2"/>
    <w:rsid w:val="00E86E07"/>
    <w:rsid w:val="00E86E5E"/>
    <w:rsid w:val="00E876B6"/>
    <w:rsid w:val="00E9005B"/>
    <w:rsid w:val="00E90F76"/>
    <w:rsid w:val="00E91F98"/>
    <w:rsid w:val="00E924F6"/>
    <w:rsid w:val="00E92561"/>
    <w:rsid w:val="00E9292D"/>
    <w:rsid w:val="00E9395D"/>
    <w:rsid w:val="00E943F3"/>
    <w:rsid w:val="00E961FD"/>
    <w:rsid w:val="00E96E96"/>
    <w:rsid w:val="00E97FDF"/>
    <w:rsid w:val="00EA0702"/>
    <w:rsid w:val="00EA1CC0"/>
    <w:rsid w:val="00EA42C7"/>
    <w:rsid w:val="00EA4449"/>
    <w:rsid w:val="00EA4579"/>
    <w:rsid w:val="00EA5675"/>
    <w:rsid w:val="00EA66D1"/>
    <w:rsid w:val="00EA7677"/>
    <w:rsid w:val="00EB2D3E"/>
    <w:rsid w:val="00EB2F2E"/>
    <w:rsid w:val="00EB3E30"/>
    <w:rsid w:val="00EB4A95"/>
    <w:rsid w:val="00EB533C"/>
    <w:rsid w:val="00EB641D"/>
    <w:rsid w:val="00EB6EC1"/>
    <w:rsid w:val="00EB6FB3"/>
    <w:rsid w:val="00EB7189"/>
    <w:rsid w:val="00EB789B"/>
    <w:rsid w:val="00EC02CD"/>
    <w:rsid w:val="00EC0ABA"/>
    <w:rsid w:val="00EC1FC3"/>
    <w:rsid w:val="00EC2D5A"/>
    <w:rsid w:val="00EC30CB"/>
    <w:rsid w:val="00EC375B"/>
    <w:rsid w:val="00EC40C3"/>
    <w:rsid w:val="00EC4F2E"/>
    <w:rsid w:val="00EC6E5C"/>
    <w:rsid w:val="00EC6F9C"/>
    <w:rsid w:val="00EC7131"/>
    <w:rsid w:val="00EC720E"/>
    <w:rsid w:val="00EC7C65"/>
    <w:rsid w:val="00EC7F98"/>
    <w:rsid w:val="00ED2248"/>
    <w:rsid w:val="00ED2A3A"/>
    <w:rsid w:val="00ED3A1F"/>
    <w:rsid w:val="00ED3EFC"/>
    <w:rsid w:val="00ED4054"/>
    <w:rsid w:val="00ED4956"/>
    <w:rsid w:val="00ED5AB8"/>
    <w:rsid w:val="00ED7B42"/>
    <w:rsid w:val="00EE124D"/>
    <w:rsid w:val="00EE332D"/>
    <w:rsid w:val="00EE3592"/>
    <w:rsid w:val="00EE36F9"/>
    <w:rsid w:val="00EE4177"/>
    <w:rsid w:val="00EE648B"/>
    <w:rsid w:val="00EE68FD"/>
    <w:rsid w:val="00EE7C38"/>
    <w:rsid w:val="00EF0BB8"/>
    <w:rsid w:val="00EF0E62"/>
    <w:rsid w:val="00EF0EBF"/>
    <w:rsid w:val="00EF1922"/>
    <w:rsid w:val="00EF1FC9"/>
    <w:rsid w:val="00EF262F"/>
    <w:rsid w:val="00EF2817"/>
    <w:rsid w:val="00EF2A7B"/>
    <w:rsid w:val="00EF3BA9"/>
    <w:rsid w:val="00EF4457"/>
    <w:rsid w:val="00EF4D8E"/>
    <w:rsid w:val="00EF52FD"/>
    <w:rsid w:val="00EF5B50"/>
    <w:rsid w:val="00EF63E9"/>
    <w:rsid w:val="00EF6CBB"/>
    <w:rsid w:val="00EF7015"/>
    <w:rsid w:val="00EF7271"/>
    <w:rsid w:val="00EF7A2C"/>
    <w:rsid w:val="00F001FE"/>
    <w:rsid w:val="00F00500"/>
    <w:rsid w:val="00F00A68"/>
    <w:rsid w:val="00F00A84"/>
    <w:rsid w:val="00F01554"/>
    <w:rsid w:val="00F02A29"/>
    <w:rsid w:val="00F033D9"/>
    <w:rsid w:val="00F03723"/>
    <w:rsid w:val="00F037C6"/>
    <w:rsid w:val="00F03E68"/>
    <w:rsid w:val="00F04239"/>
    <w:rsid w:val="00F04FEA"/>
    <w:rsid w:val="00F05A1D"/>
    <w:rsid w:val="00F0698C"/>
    <w:rsid w:val="00F06CDD"/>
    <w:rsid w:val="00F070AC"/>
    <w:rsid w:val="00F07BFF"/>
    <w:rsid w:val="00F105E7"/>
    <w:rsid w:val="00F11B1D"/>
    <w:rsid w:val="00F1226A"/>
    <w:rsid w:val="00F1258C"/>
    <w:rsid w:val="00F131AB"/>
    <w:rsid w:val="00F151AC"/>
    <w:rsid w:val="00F15514"/>
    <w:rsid w:val="00F1568B"/>
    <w:rsid w:val="00F16B36"/>
    <w:rsid w:val="00F17B6E"/>
    <w:rsid w:val="00F2036F"/>
    <w:rsid w:val="00F21178"/>
    <w:rsid w:val="00F22270"/>
    <w:rsid w:val="00F22CA5"/>
    <w:rsid w:val="00F2307A"/>
    <w:rsid w:val="00F23E3B"/>
    <w:rsid w:val="00F240B0"/>
    <w:rsid w:val="00F261CC"/>
    <w:rsid w:val="00F30086"/>
    <w:rsid w:val="00F30959"/>
    <w:rsid w:val="00F312A0"/>
    <w:rsid w:val="00F3159C"/>
    <w:rsid w:val="00F31E22"/>
    <w:rsid w:val="00F31E26"/>
    <w:rsid w:val="00F31FC6"/>
    <w:rsid w:val="00F31FF4"/>
    <w:rsid w:val="00F32175"/>
    <w:rsid w:val="00F3233D"/>
    <w:rsid w:val="00F325B2"/>
    <w:rsid w:val="00F33C79"/>
    <w:rsid w:val="00F354F4"/>
    <w:rsid w:val="00F35940"/>
    <w:rsid w:val="00F36936"/>
    <w:rsid w:val="00F36A38"/>
    <w:rsid w:val="00F3735B"/>
    <w:rsid w:val="00F37467"/>
    <w:rsid w:val="00F37779"/>
    <w:rsid w:val="00F37B12"/>
    <w:rsid w:val="00F37B74"/>
    <w:rsid w:val="00F40DF4"/>
    <w:rsid w:val="00F4130C"/>
    <w:rsid w:val="00F41788"/>
    <w:rsid w:val="00F41D7B"/>
    <w:rsid w:val="00F42085"/>
    <w:rsid w:val="00F43602"/>
    <w:rsid w:val="00F43736"/>
    <w:rsid w:val="00F45082"/>
    <w:rsid w:val="00F45675"/>
    <w:rsid w:val="00F45B5A"/>
    <w:rsid w:val="00F46670"/>
    <w:rsid w:val="00F4686A"/>
    <w:rsid w:val="00F46DD5"/>
    <w:rsid w:val="00F5006D"/>
    <w:rsid w:val="00F508E4"/>
    <w:rsid w:val="00F51128"/>
    <w:rsid w:val="00F5277E"/>
    <w:rsid w:val="00F55257"/>
    <w:rsid w:val="00F553A9"/>
    <w:rsid w:val="00F558D1"/>
    <w:rsid w:val="00F55ADC"/>
    <w:rsid w:val="00F56628"/>
    <w:rsid w:val="00F5666C"/>
    <w:rsid w:val="00F566BA"/>
    <w:rsid w:val="00F56CC8"/>
    <w:rsid w:val="00F57B80"/>
    <w:rsid w:val="00F60472"/>
    <w:rsid w:val="00F604D1"/>
    <w:rsid w:val="00F61447"/>
    <w:rsid w:val="00F61698"/>
    <w:rsid w:val="00F61AF2"/>
    <w:rsid w:val="00F6209B"/>
    <w:rsid w:val="00F6252F"/>
    <w:rsid w:val="00F6253A"/>
    <w:rsid w:val="00F628FE"/>
    <w:rsid w:val="00F63A74"/>
    <w:rsid w:val="00F64798"/>
    <w:rsid w:val="00F64A4B"/>
    <w:rsid w:val="00F64B74"/>
    <w:rsid w:val="00F653F9"/>
    <w:rsid w:val="00F66F40"/>
    <w:rsid w:val="00F66FFC"/>
    <w:rsid w:val="00F6732E"/>
    <w:rsid w:val="00F67835"/>
    <w:rsid w:val="00F70005"/>
    <w:rsid w:val="00F704A5"/>
    <w:rsid w:val="00F72D0E"/>
    <w:rsid w:val="00F73507"/>
    <w:rsid w:val="00F75724"/>
    <w:rsid w:val="00F75DAA"/>
    <w:rsid w:val="00F76380"/>
    <w:rsid w:val="00F76509"/>
    <w:rsid w:val="00F7681B"/>
    <w:rsid w:val="00F76EDB"/>
    <w:rsid w:val="00F7717A"/>
    <w:rsid w:val="00F77419"/>
    <w:rsid w:val="00F80AB8"/>
    <w:rsid w:val="00F812D5"/>
    <w:rsid w:val="00F836BB"/>
    <w:rsid w:val="00F851C1"/>
    <w:rsid w:val="00F85C26"/>
    <w:rsid w:val="00F86142"/>
    <w:rsid w:val="00F8753B"/>
    <w:rsid w:val="00F92A28"/>
    <w:rsid w:val="00F92C0D"/>
    <w:rsid w:val="00F92C86"/>
    <w:rsid w:val="00F92F34"/>
    <w:rsid w:val="00F9336D"/>
    <w:rsid w:val="00F9400D"/>
    <w:rsid w:val="00F948A4"/>
    <w:rsid w:val="00F963DD"/>
    <w:rsid w:val="00F972CD"/>
    <w:rsid w:val="00F97950"/>
    <w:rsid w:val="00F97EA2"/>
    <w:rsid w:val="00FA155D"/>
    <w:rsid w:val="00FA2094"/>
    <w:rsid w:val="00FA2EB8"/>
    <w:rsid w:val="00FA365D"/>
    <w:rsid w:val="00FA36E8"/>
    <w:rsid w:val="00FA37CC"/>
    <w:rsid w:val="00FA7A2E"/>
    <w:rsid w:val="00FB1492"/>
    <w:rsid w:val="00FB1BF3"/>
    <w:rsid w:val="00FB1C90"/>
    <w:rsid w:val="00FB1EA1"/>
    <w:rsid w:val="00FB2E6A"/>
    <w:rsid w:val="00FB3ADF"/>
    <w:rsid w:val="00FB4720"/>
    <w:rsid w:val="00FB49F4"/>
    <w:rsid w:val="00FB4B82"/>
    <w:rsid w:val="00FB4F70"/>
    <w:rsid w:val="00FB67B4"/>
    <w:rsid w:val="00FB71F1"/>
    <w:rsid w:val="00FB731B"/>
    <w:rsid w:val="00FB7FB0"/>
    <w:rsid w:val="00FC052F"/>
    <w:rsid w:val="00FC2C14"/>
    <w:rsid w:val="00FC30FA"/>
    <w:rsid w:val="00FC38F4"/>
    <w:rsid w:val="00FC3C14"/>
    <w:rsid w:val="00FC45B8"/>
    <w:rsid w:val="00FC5154"/>
    <w:rsid w:val="00FC6FC5"/>
    <w:rsid w:val="00FC747E"/>
    <w:rsid w:val="00FC74B8"/>
    <w:rsid w:val="00FD134E"/>
    <w:rsid w:val="00FD173C"/>
    <w:rsid w:val="00FD1750"/>
    <w:rsid w:val="00FD1DD8"/>
    <w:rsid w:val="00FD34D9"/>
    <w:rsid w:val="00FD3564"/>
    <w:rsid w:val="00FD480F"/>
    <w:rsid w:val="00FD487A"/>
    <w:rsid w:val="00FD751A"/>
    <w:rsid w:val="00FE0B38"/>
    <w:rsid w:val="00FE1206"/>
    <w:rsid w:val="00FE1797"/>
    <w:rsid w:val="00FE190E"/>
    <w:rsid w:val="00FE1D88"/>
    <w:rsid w:val="00FE2703"/>
    <w:rsid w:val="00FE60E1"/>
    <w:rsid w:val="00FE67CB"/>
    <w:rsid w:val="00FE7E4B"/>
    <w:rsid w:val="00FF0585"/>
    <w:rsid w:val="00FF151A"/>
    <w:rsid w:val="00FF191B"/>
    <w:rsid w:val="00FF2228"/>
    <w:rsid w:val="00FF2493"/>
    <w:rsid w:val="00FF25EF"/>
    <w:rsid w:val="00FF2A4E"/>
    <w:rsid w:val="00FF3172"/>
    <w:rsid w:val="00FF366A"/>
    <w:rsid w:val="00FF41B1"/>
    <w:rsid w:val="00FF452F"/>
    <w:rsid w:val="00FF4CA8"/>
    <w:rsid w:val="00FF4E67"/>
    <w:rsid w:val="00FF4F99"/>
    <w:rsid w:val="00FF695D"/>
    <w:rsid w:val="00FF70A0"/>
    <w:rsid w:val="00FF7322"/>
    <w:rsid w:val="00FF77A2"/>
    <w:rsid w:val="00FF792F"/>
    <w:rsid w:val="00FF7B66"/>
    <w:rsid w:val="00FF7F07"/>
    <w:rsid w:val="010827C0"/>
    <w:rsid w:val="010C0502"/>
    <w:rsid w:val="012B1DC1"/>
    <w:rsid w:val="01437C9C"/>
    <w:rsid w:val="014743B3"/>
    <w:rsid w:val="014E61FE"/>
    <w:rsid w:val="014F04E5"/>
    <w:rsid w:val="01596D86"/>
    <w:rsid w:val="015B4FE6"/>
    <w:rsid w:val="016F283F"/>
    <w:rsid w:val="01807F57"/>
    <w:rsid w:val="01920401"/>
    <w:rsid w:val="0195644C"/>
    <w:rsid w:val="019E4202"/>
    <w:rsid w:val="01A072D2"/>
    <w:rsid w:val="01A324E9"/>
    <w:rsid w:val="01A83F1C"/>
    <w:rsid w:val="01B87B26"/>
    <w:rsid w:val="01C072D1"/>
    <w:rsid w:val="01C62F65"/>
    <w:rsid w:val="01EE141B"/>
    <w:rsid w:val="01F92B9A"/>
    <w:rsid w:val="020143AE"/>
    <w:rsid w:val="02162160"/>
    <w:rsid w:val="02405F8A"/>
    <w:rsid w:val="02535260"/>
    <w:rsid w:val="0255198A"/>
    <w:rsid w:val="025A0CF5"/>
    <w:rsid w:val="02637F53"/>
    <w:rsid w:val="027212CD"/>
    <w:rsid w:val="027423B3"/>
    <w:rsid w:val="028D1F0F"/>
    <w:rsid w:val="028E7BDF"/>
    <w:rsid w:val="02A4476B"/>
    <w:rsid w:val="02B472A9"/>
    <w:rsid w:val="02C95469"/>
    <w:rsid w:val="02D34744"/>
    <w:rsid w:val="02D61B95"/>
    <w:rsid w:val="03101E00"/>
    <w:rsid w:val="033E4DA4"/>
    <w:rsid w:val="0360329F"/>
    <w:rsid w:val="03623ADD"/>
    <w:rsid w:val="036A59B4"/>
    <w:rsid w:val="03936EA0"/>
    <w:rsid w:val="03977E2B"/>
    <w:rsid w:val="03AD7D9D"/>
    <w:rsid w:val="03B44E81"/>
    <w:rsid w:val="03D7492F"/>
    <w:rsid w:val="03DE3CAC"/>
    <w:rsid w:val="03E11484"/>
    <w:rsid w:val="03F62DA4"/>
    <w:rsid w:val="040636B7"/>
    <w:rsid w:val="044004C3"/>
    <w:rsid w:val="04552530"/>
    <w:rsid w:val="0465519A"/>
    <w:rsid w:val="04955C4F"/>
    <w:rsid w:val="04B05277"/>
    <w:rsid w:val="04B14A54"/>
    <w:rsid w:val="04BD7D66"/>
    <w:rsid w:val="04D23811"/>
    <w:rsid w:val="04E86924"/>
    <w:rsid w:val="05087233"/>
    <w:rsid w:val="050D4295"/>
    <w:rsid w:val="05371AF0"/>
    <w:rsid w:val="0548574A"/>
    <w:rsid w:val="0548762F"/>
    <w:rsid w:val="054A03AF"/>
    <w:rsid w:val="05534E65"/>
    <w:rsid w:val="05544350"/>
    <w:rsid w:val="05812B41"/>
    <w:rsid w:val="05B35C7F"/>
    <w:rsid w:val="05C5291B"/>
    <w:rsid w:val="05CC630A"/>
    <w:rsid w:val="05D02834"/>
    <w:rsid w:val="05E64C20"/>
    <w:rsid w:val="05ED6429"/>
    <w:rsid w:val="05EE44AE"/>
    <w:rsid w:val="05F45A09"/>
    <w:rsid w:val="060607F3"/>
    <w:rsid w:val="064A0705"/>
    <w:rsid w:val="06804B5B"/>
    <w:rsid w:val="06897EFF"/>
    <w:rsid w:val="06A04F45"/>
    <w:rsid w:val="06A61794"/>
    <w:rsid w:val="06A905A2"/>
    <w:rsid w:val="06AF7AFE"/>
    <w:rsid w:val="06B04F83"/>
    <w:rsid w:val="06D500D3"/>
    <w:rsid w:val="06D53145"/>
    <w:rsid w:val="06D86978"/>
    <w:rsid w:val="06F537E7"/>
    <w:rsid w:val="074143D2"/>
    <w:rsid w:val="07443158"/>
    <w:rsid w:val="074E6108"/>
    <w:rsid w:val="076369A2"/>
    <w:rsid w:val="07C66477"/>
    <w:rsid w:val="07D41F0B"/>
    <w:rsid w:val="07EF451C"/>
    <w:rsid w:val="08083F2A"/>
    <w:rsid w:val="080A62FE"/>
    <w:rsid w:val="081C73D8"/>
    <w:rsid w:val="082779D0"/>
    <w:rsid w:val="08305869"/>
    <w:rsid w:val="083640B7"/>
    <w:rsid w:val="08386081"/>
    <w:rsid w:val="08744BDF"/>
    <w:rsid w:val="088F1F3E"/>
    <w:rsid w:val="089E6217"/>
    <w:rsid w:val="08A3733C"/>
    <w:rsid w:val="08A92ADB"/>
    <w:rsid w:val="08BA4CE8"/>
    <w:rsid w:val="08BD6586"/>
    <w:rsid w:val="08BE09DC"/>
    <w:rsid w:val="08C12DDB"/>
    <w:rsid w:val="08C77405"/>
    <w:rsid w:val="08C96CD9"/>
    <w:rsid w:val="08D82CBE"/>
    <w:rsid w:val="08DF2475"/>
    <w:rsid w:val="08E421C5"/>
    <w:rsid w:val="08F32F05"/>
    <w:rsid w:val="08F63846"/>
    <w:rsid w:val="08F830FA"/>
    <w:rsid w:val="091F4B4B"/>
    <w:rsid w:val="09234945"/>
    <w:rsid w:val="092A4459"/>
    <w:rsid w:val="0965738E"/>
    <w:rsid w:val="097F5D4A"/>
    <w:rsid w:val="09B12BB7"/>
    <w:rsid w:val="09B96D4E"/>
    <w:rsid w:val="09F101AC"/>
    <w:rsid w:val="09F547F1"/>
    <w:rsid w:val="09FC6C3A"/>
    <w:rsid w:val="0A1641A0"/>
    <w:rsid w:val="0A374116"/>
    <w:rsid w:val="0A3E54A5"/>
    <w:rsid w:val="0A425D09"/>
    <w:rsid w:val="0A560047"/>
    <w:rsid w:val="0A5B6057"/>
    <w:rsid w:val="0A615213"/>
    <w:rsid w:val="0A7669ED"/>
    <w:rsid w:val="0A7F7F97"/>
    <w:rsid w:val="0ACA4847"/>
    <w:rsid w:val="0AD361DF"/>
    <w:rsid w:val="0AD96F7B"/>
    <w:rsid w:val="0AF049F1"/>
    <w:rsid w:val="0AF139A7"/>
    <w:rsid w:val="0AF91674"/>
    <w:rsid w:val="0AFD2C6A"/>
    <w:rsid w:val="0B516CFE"/>
    <w:rsid w:val="0B5A00BC"/>
    <w:rsid w:val="0B5A7BE7"/>
    <w:rsid w:val="0BAD4690"/>
    <w:rsid w:val="0BAF7383"/>
    <w:rsid w:val="0BB97AC8"/>
    <w:rsid w:val="0BBE18C3"/>
    <w:rsid w:val="0BCA09F3"/>
    <w:rsid w:val="0BCE4606"/>
    <w:rsid w:val="0BCF5D24"/>
    <w:rsid w:val="0BED0F30"/>
    <w:rsid w:val="0BFE51B8"/>
    <w:rsid w:val="0C174BC2"/>
    <w:rsid w:val="0C1A784C"/>
    <w:rsid w:val="0C503BC1"/>
    <w:rsid w:val="0C540FAF"/>
    <w:rsid w:val="0C7D722D"/>
    <w:rsid w:val="0C881CA5"/>
    <w:rsid w:val="0CAA0BCF"/>
    <w:rsid w:val="0CB912C3"/>
    <w:rsid w:val="0CB97FA9"/>
    <w:rsid w:val="0CC71781"/>
    <w:rsid w:val="0CCB1770"/>
    <w:rsid w:val="0CCE5B94"/>
    <w:rsid w:val="0CD10F85"/>
    <w:rsid w:val="0CE642FD"/>
    <w:rsid w:val="0CEF39AD"/>
    <w:rsid w:val="0CF91220"/>
    <w:rsid w:val="0CFF1A4A"/>
    <w:rsid w:val="0D327C6B"/>
    <w:rsid w:val="0D3F1B32"/>
    <w:rsid w:val="0D3F4664"/>
    <w:rsid w:val="0D5F286E"/>
    <w:rsid w:val="0D8B7369"/>
    <w:rsid w:val="0D9F4315"/>
    <w:rsid w:val="0DC256A0"/>
    <w:rsid w:val="0DD75F00"/>
    <w:rsid w:val="0DDE5D44"/>
    <w:rsid w:val="0DEB14A0"/>
    <w:rsid w:val="0DEB54DD"/>
    <w:rsid w:val="0E096438"/>
    <w:rsid w:val="0E0C2E16"/>
    <w:rsid w:val="0E33119A"/>
    <w:rsid w:val="0E484B44"/>
    <w:rsid w:val="0E4B4795"/>
    <w:rsid w:val="0E9A156A"/>
    <w:rsid w:val="0EA53D44"/>
    <w:rsid w:val="0EAF4BC3"/>
    <w:rsid w:val="0EBB3568"/>
    <w:rsid w:val="0EEF05BA"/>
    <w:rsid w:val="0F0F11BE"/>
    <w:rsid w:val="0F2203CF"/>
    <w:rsid w:val="0F272863"/>
    <w:rsid w:val="0F2C78B5"/>
    <w:rsid w:val="0F49256A"/>
    <w:rsid w:val="0F4B48EC"/>
    <w:rsid w:val="0F515C7A"/>
    <w:rsid w:val="0F6256F4"/>
    <w:rsid w:val="0F6B6857"/>
    <w:rsid w:val="0F865924"/>
    <w:rsid w:val="0FA21F87"/>
    <w:rsid w:val="0FAC2639"/>
    <w:rsid w:val="0FB2671F"/>
    <w:rsid w:val="0FBE6BCF"/>
    <w:rsid w:val="0FBF4B97"/>
    <w:rsid w:val="10130368"/>
    <w:rsid w:val="102E514F"/>
    <w:rsid w:val="1040599F"/>
    <w:rsid w:val="10460B3E"/>
    <w:rsid w:val="104C77C0"/>
    <w:rsid w:val="106043C7"/>
    <w:rsid w:val="1061783B"/>
    <w:rsid w:val="10696D40"/>
    <w:rsid w:val="1090553E"/>
    <w:rsid w:val="10BF71E9"/>
    <w:rsid w:val="10C75DB2"/>
    <w:rsid w:val="10D241D0"/>
    <w:rsid w:val="10D66437"/>
    <w:rsid w:val="10F36FE9"/>
    <w:rsid w:val="11105DEF"/>
    <w:rsid w:val="111123A7"/>
    <w:rsid w:val="11281FAC"/>
    <w:rsid w:val="1132247A"/>
    <w:rsid w:val="11511AAD"/>
    <w:rsid w:val="11660481"/>
    <w:rsid w:val="11714438"/>
    <w:rsid w:val="117C475F"/>
    <w:rsid w:val="11812847"/>
    <w:rsid w:val="11A227BD"/>
    <w:rsid w:val="11A62B78"/>
    <w:rsid w:val="11D10160"/>
    <w:rsid w:val="11D84431"/>
    <w:rsid w:val="11FD72E8"/>
    <w:rsid w:val="1204469C"/>
    <w:rsid w:val="12135469"/>
    <w:rsid w:val="121E04E8"/>
    <w:rsid w:val="12200177"/>
    <w:rsid w:val="125B6DD1"/>
    <w:rsid w:val="1260229D"/>
    <w:rsid w:val="126E04C4"/>
    <w:rsid w:val="12900868"/>
    <w:rsid w:val="129245E0"/>
    <w:rsid w:val="129C545E"/>
    <w:rsid w:val="12BD50E3"/>
    <w:rsid w:val="12C10A21"/>
    <w:rsid w:val="13386F35"/>
    <w:rsid w:val="13441AE5"/>
    <w:rsid w:val="13441D7E"/>
    <w:rsid w:val="134C6DD6"/>
    <w:rsid w:val="136D666B"/>
    <w:rsid w:val="137966B3"/>
    <w:rsid w:val="139F799A"/>
    <w:rsid w:val="13AE71F7"/>
    <w:rsid w:val="13B17C71"/>
    <w:rsid w:val="13CE17D5"/>
    <w:rsid w:val="13D670B7"/>
    <w:rsid w:val="13E96481"/>
    <w:rsid w:val="13F0510A"/>
    <w:rsid w:val="1405689D"/>
    <w:rsid w:val="141A44CC"/>
    <w:rsid w:val="14236387"/>
    <w:rsid w:val="1425441D"/>
    <w:rsid w:val="14301B0C"/>
    <w:rsid w:val="14320CB2"/>
    <w:rsid w:val="1447684F"/>
    <w:rsid w:val="14711FFC"/>
    <w:rsid w:val="147C18B9"/>
    <w:rsid w:val="147E2158"/>
    <w:rsid w:val="14970D4A"/>
    <w:rsid w:val="14A44EB1"/>
    <w:rsid w:val="14AD4DB8"/>
    <w:rsid w:val="14C34F24"/>
    <w:rsid w:val="14C4258A"/>
    <w:rsid w:val="153B4ABB"/>
    <w:rsid w:val="15A10F61"/>
    <w:rsid w:val="15AF3B9B"/>
    <w:rsid w:val="15C13494"/>
    <w:rsid w:val="15CF16A7"/>
    <w:rsid w:val="15EC220C"/>
    <w:rsid w:val="15F555B1"/>
    <w:rsid w:val="160C46A9"/>
    <w:rsid w:val="16116963"/>
    <w:rsid w:val="161E3404"/>
    <w:rsid w:val="162B6642"/>
    <w:rsid w:val="165C73DE"/>
    <w:rsid w:val="167504A0"/>
    <w:rsid w:val="169C77DB"/>
    <w:rsid w:val="16B014D8"/>
    <w:rsid w:val="16C60CFC"/>
    <w:rsid w:val="16CD208A"/>
    <w:rsid w:val="16CF63D5"/>
    <w:rsid w:val="170A6E3A"/>
    <w:rsid w:val="17122A20"/>
    <w:rsid w:val="1720040C"/>
    <w:rsid w:val="172A03A2"/>
    <w:rsid w:val="17410382"/>
    <w:rsid w:val="174B2FAF"/>
    <w:rsid w:val="174E3C66"/>
    <w:rsid w:val="175005C5"/>
    <w:rsid w:val="17636B8E"/>
    <w:rsid w:val="17881110"/>
    <w:rsid w:val="178E0747"/>
    <w:rsid w:val="179915DB"/>
    <w:rsid w:val="17AB1CDB"/>
    <w:rsid w:val="17AC4596"/>
    <w:rsid w:val="17BA0860"/>
    <w:rsid w:val="17BF33D7"/>
    <w:rsid w:val="17CE60BA"/>
    <w:rsid w:val="17F45202"/>
    <w:rsid w:val="17F81389"/>
    <w:rsid w:val="17FF1CA5"/>
    <w:rsid w:val="181212F2"/>
    <w:rsid w:val="18581E27"/>
    <w:rsid w:val="186576DB"/>
    <w:rsid w:val="1870581D"/>
    <w:rsid w:val="18852DC4"/>
    <w:rsid w:val="18B43EE8"/>
    <w:rsid w:val="18EC1704"/>
    <w:rsid w:val="18FD19C8"/>
    <w:rsid w:val="19091C74"/>
    <w:rsid w:val="192D0BBE"/>
    <w:rsid w:val="193F608C"/>
    <w:rsid w:val="19940024"/>
    <w:rsid w:val="19B73F44"/>
    <w:rsid w:val="19EB3998"/>
    <w:rsid w:val="19EF056A"/>
    <w:rsid w:val="19F811CC"/>
    <w:rsid w:val="19FB2026"/>
    <w:rsid w:val="1A134CA0"/>
    <w:rsid w:val="1A1C0075"/>
    <w:rsid w:val="1A2235E4"/>
    <w:rsid w:val="1A304E0A"/>
    <w:rsid w:val="1A3470A0"/>
    <w:rsid w:val="1A497C7A"/>
    <w:rsid w:val="1A705206"/>
    <w:rsid w:val="1A8769F4"/>
    <w:rsid w:val="1A943AF7"/>
    <w:rsid w:val="1AC63078"/>
    <w:rsid w:val="1ADC3C25"/>
    <w:rsid w:val="1ADE6EE4"/>
    <w:rsid w:val="1AE654C9"/>
    <w:rsid w:val="1AFC1A94"/>
    <w:rsid w:val="1B0E57C2"/>
    <w:rsid w:val="1B2558AF"/>
    <w:rsid w:val="1B2C68C9"/>
    <w:rsid w:val="1B2F50C2"/>
    <w:rsid w:val="1B642891"/>
    <w:rsid w:val="1B8A22F8"/>
    <w:rsid w:val="1B9B7430"/>
    <w:rsid w:val="1BA710FC"/>
    <w:rsid w:val="1BA809D0"/>
    <w:rsid w:val="1BAD4A8B"/>
    <w:rsid w:val="1BB67591"/>
    <w:rsid w:val="1BC43BCD"/>
    <w:rsid w:val="1BC872C4"/>
    <w:rsid w:val="1BC8769B"/>
    <w:rsid w:val="1BCE1685"/>
    <w:rsid w:val="1C041A94"/>
    <w:rsid w:val="1C170483"/>
    <w:rsid w:val="1C456AEB"/>
    <w:rsid w:val="1C5D6A38"/>
    <w:rsid w:val="1C7A05BE"/>
    <w:rsid w:val="1C817B9F"/>
    <w:rsid w:val="1C8C41A9"/>
    <w:rsid w:val="1C913B90"/>
    <w:rsid w:val="1C982E58"/>
    <w:rsid w:val="1C9A47BD"/>
    <w:rsid w:val="1CAA2094"/>
    <w:rsid w:val="1CB338B2"/>
    <w:rsid w:val="1CF52D14"/>
    <w:rsid w:val="1D076741"/>
    <w:rsid w:val="1D0F3860"/>
    <w:rsid w:val="1D2A5E93"/>
    <w:rsid w:val="1D374A97"/>
    <w:rsid w:val="1D5C49B8"/>
    <w:rsid w:val="1D6227F8"/>
    <w:rsid w:val="1D6313FC"/>
    <w:rsid w:val="1D644556"/>
    <w:rsid w:val="1D992CC6"/>
    <w:rsid w:val="1DAB29F9"/>
    <w:rsid w:val="1DAB7C59"/>
    <w:rsid w:val="1DBD1371"/>
    <w:rsid w:val="1DC96A0D"/>
    <w:rsid w:val="1DD3037F"/>
    <w:rsid w:val="1DE1661E"/>
    <w:rsid w:val="1DFE291F"/>
    <w:rsid w:val="1E107F84"/>
    <w:rsid w:val="1E140948"/>
    <w:rsid w:val="1E141822"/>
    <w:rsid w:val="1E171E3D"/>
    <w:rsid w:val="1E356518"/>
    <w:rsid w:val="1E385966"/>
    <w:rsid w:val="1E674B72"/>
    <w:rsid w:val="1E6E5F01"/>
    <w:rsid w:val="1E7A17B5"/>
    <w:rsid w:val="1E7D1FC4"/>
    <w:rsid w:val="1E82375A"/>
    <w:rsid w:val="1E8F1470"/>
    <w:rsid w:val="1E990AA4"/>
    <w:rsid w:val="1E9B4284"/>
    <w:rsid w:val="1EC41FC5"/>
    <w:rsid w:val="1EE42889"/>
    <w:rsid w:val="1F334A54"/>
    <w:rsid w:val="1F4C5B16"/>
    <w:rsid w:val="1F69491A"/>
    <w:rsid w:val="1F852551"/>
    <w:rsid w:val="1FA73631"/>
    <w:rsid w:val="1FBB64FE"/>
    <w:rsid w:val="1FC009DE"/>
    <w:rsid w:val="1FC35DD8"/>
    <w:rsid w:val="1FF90AD1"/>
    <w:rsid w:val="20074B9B"/>
    <w:rsid w:val="200E1CB4"/>
    <w:rsid w:val="201448F3"/>
    <w:rsid w:val="202B3CAA"/>
    <w:rsid w:val="2056004D"/>
    <w:rsid w:val="205F5715"/>
    <w:rsid w:val="206B2007"/>
    <w:rsid w:val="207B4905"/>
    <w:rsid w:val="20A04297"/>
    <w:rsid w:val="20A756FA"/>
    <w:rsid w:val="20C20C31"/>
    <w:rsid w:val="20C84D12"/>
    <w:rsid w:val="20F62D92"/>
    <w:rsid w:val="210F6386"/>
    <w:rsid w:val="212A7077"/>
    <w:rsid w:val="213F1DD6"/>
    <w:rsid w:val="21543824"/>
    <w:rsid w:val="215B0BFD"/>
    <w:rsid w:val="215D55BF"/>
    <w:rsid w:val="2197751D"/>
    <w:rsid w:val="21A6126D"/>
    <w:rsid w:val="21BA77C5"/>
    <w:rsid w:val="21CD2F3E"/>
    <w:rsid w:val="21E40288"/>
    <w:rsid w:val="22020A77"/>
    <w:rsid w:val="220F1E76"/>
    <w:rsid w:val="223613C5"/>
    <w:rsid w:val="223E3706"/>
    <w:rsid w:val="224B61D7"/>
    <w:rsid w:val="225D0766"/>
    <w:rsid w:val="226D2EE9"/>
    <w:rsid w:val="227F3C44"/>
    <w:rsid w:val="22813E3B"/>
    <w:rsid w:val="228159E2"/>
    <w:rsid w:val="228850B7"/>
    <w:rsid w:val="22A14C18"/>
    <w:rsid w:val="22A2261D"/>
    <w:rsid w:val="22D14F53"/>
    <w:rsid w:val="22D7204B"/>
    <w:rsid w:val="22DB5B2F"/>
    <w:rsid w:val="22F4274D"/>
    <w:rsid w:val="231352C9"/>
    <w:rsid w:val="23411CCC"/>
    <w:rsid w:val="23447230"/>
    <w:rsid w:val="23580F2E"/>
    <w:rsid w:val="23871B0E"/>
    <w:rsid w:val="23B343B6"/>
    <w:rsid w:val="23DB0465"/>
    <w:rsid w:val="23DE59BA"/>
    <w:rsid w:val="23EB7FF4"/>
    <w:rsid w:val="23F5103C"/>
    <w:rsid w:val="240E27FB"/>
    <w:rsid w:val="2426102C"/>
    <w:rsid w:val="24305A06"/>
    <w:rsid w:val="2460453E"/>
    <w:rsid w:val="24613453"/>
    <w:rsid w:val="247D50F0"/>
    <w:rsid w:val="24A43F77"/>
    <w:rsid w:val="24B16B47"/>
    <w:rsid w:val="24C82820"/>
    <w:rsid w:val="24D16C22"/>
    <w:rsid w:val="24D273AD"/>
    <w:rsid w:val="24D740D4"/>
    <w:rsid w:val="24EF141E"/>
    <w:rsid w:val="24F07B93"/>
    <w:rsid w:val="24F409A9"/>
    <w:rsid w:val="25011339"/>
    <w:rsid w:val="25035BE9"/>
    <w:rsid w:val="250E6BE2"/>
    <w:rsid w:val="256E3D48"/>
    <w:rsid w:val="25C731DB"/>
    <w:rsid w:val="25CE54D7"/>
    <w:rsid w:val="25F50CB6"/>
    <w:rsid w:val="26096D3F"/>
    <w:rsid w:val="2610789E"/>
    <w:rsid w:val="26163EB5"/>
    <w:rsid w:val="26251D06"/>
    <w:rsid w:val="26252180"/>
    <w:rsid w:val="26321F0A"/>
    <w:rsid w:val="26445799"/>
    <w:rsid w:val="264864F4"/>
    <w:rsid w:val="267267AA"/>
    <w:rsid w:val="26867B60"/>
    <w:rsid w:val="26B4725E"/>
    <w:rsid w:val="26C568DA"/>
    <w:rsid w:val="26CD6696"/>
    <w:rsid w:val="26D1527F"/>
    <w:rsid w:val="26D905D7"/>
    <w:rsid w:val="26EA6665"/>
    <w:rsid w:val="26F93445"/>
    <w:rsid w:val="27120687"/>
    <w:rsid w:val="271635D9"/>
    <w:rsid w:val="273116CC"/>
    <w:rsid w:val="273A2810"/>
    <w:rsid w:val="2746688A"/>
    <w:rsid w:val="275F0ADD"/>
    <w:rsid w:val="276A7481"/>
    <w:rsid w:val="276B6060"/>
    <w:rsid w:val="27822A1D"/>
    <w:rsid w:val="278F23C0"/>
    <w:rsid w:val="27946C03"/>
    <w:rsid w:val="27B2145C"/>
    <w:rsid w:val="27BB71B0"/>
    <w:rsid w:val="27FA7131"/>
    <w:rsid w:val="281A0EA7"/>
    <w:rsid w:val="282317CB"/>
    <w:rsid w:val="28435545"/>
    <w:rsid w:val="287700A8"/>
    <w:rsid w:val="287C121A"/>
    <w:rsid w:val="28896941"/>
    <w:rsid w:val="28962D82"/>
    <w:rsid w:val="28B41B74"/>
    <w:rsid w:val="28C22024"/>
    <w:rsid w:val="28DA4193"/>
    <w:rsid w:val="28E374EB"/>
    <w:rsid w:val="28E76FDC"/>
    <w:rsid w:val="28F73E6F"/>
    <w:rsid w:val="28FB2A87"/>
    <w:rsid w:val="290129D3"/>
    <w:rsid w:val="29037B8D"/>
    <w:rsid w:val="29427E51"/>
    <w:rsid w:val="294C32E2"/>
    <w:rsid w:val="294C5091"/>
    <w:rsid w:val="297F5466"/>
    <w:rsid w:val="298D5275"/>
    <w:rsid w:val="29AB2B08"/>
    <w:rsid w:val="29E66BFE"/>
    <w:rsid w:val="29F3785E"/>
    <w:rsid w:val="29F56D48"/>
    <w:rsid w:val="29F85218"/>
    <w:rsid w:val="2A016BA2"/>
    <w:rsid w:val="2A0B6CFA"/>
    <w:rsid w:val="2A0D0CC4"/>
    <w:rsid w:val="2A1B2201"/>
    <w:rsid w:val="2A241B69"/>
    <w:rsid w:val="2A3140FD"/>
    <w:rsid w:val="2A4364DF"/>
    <w:rsid w:val="2A613DAE"/>
    <w:rsid w:val="2AC8240E"/>
    <w:rsid w:val="2AE474F4"/>
    <w:rsid w:val="2AE91610"/>
    <w:rsid w:val="2AF23A16"/>
    <w:rsid w:val="2AF72431"/>
    <w:rsid w:val="2B2058A0"/>
    <w:rsid w:val="2B2D0EF2"/>
    <w:rsid w:val="2B337822"/>
    <w:rsid w:val="2B3F09F3"/>
    <w:rsid w:val="2B5B5A5F"/>
    <w:rsid w:val="2B69661F"/>
    <w:rsid w:val="2B6A0D6E"/>
    <w:rsid w:val="2BA271EA"/>
    <w:rsid w:val="2BAE7D76"/>
    <w:rsid w:val="2BB46F1D"/>
    <w:rsid w:val="2BC3635D"/>
    <w:rsid w:val="2BC4664C"/>
    <w:rsid w:val="2BCD7395"/>
    <w:rsid w:val="2BCE4856"/>
    <w:rsid w:val="2BE05F64"/>
    <w:rsid w:val="2BEC2B5B"/>
    <w:rsid w:val="2BEF7F55"/>
    <w:rsid w:val="2C0B1EB7"/>
    <w:rsid w:val="2C3708A1"/>
    <w:rsid w:val="2C387B4E"/>
    <w:rsid w:val="2C446EDF"/>
    <w:rsid w:val="2C740C6A"/>
    <w:rsid w:val="2C8F5842"/>
    <w:rsid w:val="2CAC49C9"/>
    <w:rsid w:val="2CBA5B43"/>
    <w:rsid w:val="2CFE750E"/>
    <w:rsid w:val="2D05394C"/>
    <w:rsid w:val="2D0F7889"/>
    <w:rsid w:val="2D874C30"/>
    <w:rsid w:val="2D8D5C78"/>
    <w:rsid w:val="2DBC123C"/>
    <w:rsid w:val="2DC10A56"/>
    <w:rsid w:val="2DEA30CA"/>
    <w:rsid w:val="2DF42E5B"/>
    <w:rsid w:val="2E0A670D"/>
    <w:rsid w:val="2E0D4939"/>
    <w:rsid w:val="2E230507"/>
    <w:rsid w:val="2E2E7FCB"/>
    <w:rsid w:val="2E6874E2"/>
    <w:rsid w:val="2E734E6D"/>
    <w:rsid w:val="2E777000"/>
    <w:rsid w:val="2E7806D6"/>
    <w:rsid w:val="2E787052"/>
    <w:rsid w:val="2E95797D"/>
    <w:rsid w:val="2EA27501"/>
    <w:rsid w:val="2EAE5EE7"/>
    <w:rsid w:val="2EB07E70"/>
    <w:rsid w:val="2EB57107"/>
    <w:rsid w:val="2EE46E89"/>
    <w:rsid w:val="2EFB34D5"/>
    <w:rsid w:val="2F1F319B"/>
    <w:rsid w:val="2F2B74F6"/>
    <w:rsid w:val="2F3B6BD2"/>
    <w:rsid w:val="2F3C2100"/>
    <w:rsid w:val="2F3E7857"/>
    <w:rsid w:val="2F4762E4"/>
    <w:rsid w:val="2F5E167A"/>
    <w:rsid w:val="2F624773"/>
    <w:rsid w:val="2F6824F8"/>
    <w:rsid w:val="2F731833"/>
    <w:rsid w:val="2F9060E8"/>
    <w:rsid w:val="2F9706CB"/>
    <w:rsid w:val="2F971030"/>
    <w:rsid w:val="2F995D6E"/>
    <w:rsid w:val="2FCA4F61"/>
    <w:rsid w:val="2FD30DC5"/>
    <w:rsid w:val="2FD32B3D"/>
    <w:rsid w:val="2FE00F3D"/>
    <w:rsid w:val="2FEC4067"/>
    <w:rsid w:val="2FED05C9"/>
    <w:rsid w:val="2FEE6EA1"/>
    <w:rsid w:val="2FF01822"/>
    <w:rsid w:val="2FF02C24"/>
    <w:rsid w:val="2FF40230"/>
    <w:rsid w:val="30246A80"/>
    <w:rsid w:val="30517430"/>
    <w:rsid w:val="305C0CAD"/>
    <w:rsid w:val="305C687C"/>
    <w:rsid w:val="307325D9"/>
    <w:rsid w:val="307B625B"/>
    <w:rsid w:val="309D08C8"/>
    <w:rsid w:val="30B11ABF"/>
    <w:rsid w:val="30C312E5"/>
    <w:rsid w:val="30C51EF2"/>
    <w:rsid w:val="30D328A2"/>
    <w:rsid w:val="30E31FB7"/>
    <w:rsid w:val="31320090"/>
    <w:rsid w:val="31322DBE"/>
    <w:rsid w:val="315A2315"/>
    <w:rsid w:val="316D3DF6"/>
    <w:rsid w:val="318750EF"/>
    <w:rsid w:val="318C73AC"/>
    <w:rsid w:val="31C530CA"/>
    <w:rsid w:val="31D976DD"/>
    <w:rsid w:val="31E71DFA"/>
    <w:rsid w:val="31EF5153"/>
    <w:rsid w:val="31F2015C"/>
    <w:rsid w:val="31F67EDC"/>
    <w:rsid w:val="31FB3AF8"/>
    <w:rsid w:val="325D5CAE"/>
    <w:rsid w:val="32625925"/>
    <w:rsid w:val="329A50BF"/>
    <w:rsid w:val="32B06690"/>
    <w:rsid w:val="32CC7242"/>
    <w:rsid w:val="32CF0C02"/>
    <w:rsid w:val="32E53E60"/>
    <w:rsid w:val="32FC70BF"/>
    <w:rsid w:val="3330483A"/>
    <w:rsid w:val="333252F7"/>
    <w:rsid w:val="333E257D"/>
    <w:rsid w:val="335B142E"/>
    <w:rsid w:val="337C0898"/>
    <w:rsid w:val="337C33E4"/>
    <w:rsid w:val="337E22EA"/>
    <w:rsid w:val="339A40AC"/>
    <w:rsid w:val="33C10429"/>
    <w:rsid w:val="340379C6"/>
    <w:rsid w:val="340A0F6C"/>
    <w:rsid w:val="341774EA"/>
    <w:rsid w:val="343C6007"/>
    <w:rsid w:val="3474525E"/>
    <w:rsid w:val="348231C8"/>
    <w:rsid w:val="348778C5"/>
    <w:rsid w:val="349756CD"/>
    <w:rsid w:val="34AB35B3"/>
    <w:rsid w:val="34B1049E"/>
    <w:rsid w:val="34BB1D0D"/>
    <w:rsid w:val="34DB703E"/>
    <w:rsid w:val="352B6080"/>
    <w:rsid w:val="352E7A4E"/>
    <w:rsid w:val="355D1BDD"/>
    <w:rsid w:val="356C1893"/>
    <w:rsid w:val="35931E3C"/>
    <w:rsid w:val="35B00755"/>
    <w:rsid w:val="35BF7503"/>
    <w:rsid w:val="35C81F43"/>
    <w:rsid w:val="35CB6407"/>
    <w:rsid w:val="35F273D0"/>
    <w:rsid w:val="35FF1075"/>
    <w:rsid w:val="3608233F"/>
    <w:rsid w:val="36201D7F"/>
    <w:rsid w:val="36312BA6"/>
    <w:rsid w:val="363B0967"/>
    <w:rsid w:val="363E3E80"/>
    <w:rsid w:val="36400397"/>
    <w:rsid w:val="364147F8"/>
    <w:rsid w:val="36636652"/>
    <w:rsid w:val="369E2CA4"/>
    <w:rsid w:val="36A54032"/>
    <w:rsid w:val="36AB0D07"/>
    <w:rsid w:val="36B85B13"/>
    <w:rsid w:val="36CA51EA"/>
    <w:rsid w:val="36E7289C"/>
    <w:rsid w:val="36F44901"/>
    <w:rsid w:val="36F9346E"/>
    <w:rsid w:val="3701395E"/>
    <w:rsid w:val="370C2303"/>
    <w:rsid w:val="371216F3"/>
    <w:rsid w:val="371562DB"/>
    <w:rsid w:val="37256F21"/>
    <w:rsid w:val="37321D6A"/>
    <w:rsid w:val="37555A58"/>
    <w:rsid w:val="375D0992"/>
    <w:rsid w:val="376E6B1A"/>
    <w:rsid w:val="37816EE8"/>
    <w:rsid w:val="37B26BC7"/>
    <w:rsid w:val="37BA272F"/>
    <w:rsid w:val="37D56B99"/>
    <w:rsid w:val="37DF7667"/>
    <w:rsid w:val="380059E1"/>
    <w:rsid w:val="380546C2"/>
    <w:rsid w:val="380B4369"/>
    <w:rsid w:val="3810197F"/>
    <w:rsid w:val="3819510D"/>
    <w:rsid w:val="382F7F59"/>
    <w:rsid w:val="383117BB"/>
    <w:rsid w:val="38392C84"/>
    <w:rsid w:val="385D6D40"/>
    <w:rsid w:val="3898459D"/>
    <w:rsid w:val="389C3213"/>
    <w:rsid w:val="38B4677D"/>
    <w:rsid w:val="38B95B73"/>
    <w:rsid w:val="38D65532"/>
    <w:rsid w:val="38ED08FE"/>
    <w:rsid w:val="393022D9"/>
    <w:rsid w:val="39585248"/>
    <w:rsid w:val="39682C9F"/>
    <w:rsid w:val="398E34A3"/>
    <w:rsid w:val="39A607ED"/>
    <w:rsid w:val="39C0030D"/>
    <w:rsid w:val="39C462DB"/>
    <w:rsid w:val="39D17F47"/>
    <w:rsid w:val="39DD3329"/>
    <w:rsid w:val="39E15BEA"/>
    <w:rsid w:val="3A2332A8"/>
    <w:rsid w:val="3A4E20D5"/>
    <w:rsid w:val="3A704957"/>
    <w:rsid w:val="3A7A7584"/>
    <w:rsid w:val="3AA16C0F"/>
    <w:rsid w:val="3AB45034"/>
    <w:rsid w:val="3AB535E1"/>
    <w:rsid w:val="3ACE07FD"/>
    <w:rsid w:val="3AF96F3C"/>
    <w:rsid w:val="3AFF6407"/>
    <w:rsid w:val="3B117EE8"/>
    <w:rsid w:val="3B1461A6"/>
    <w:rsid w:val="3B4E1274"/>
    <w:rsid w:val="3B6A75F8"/>
    <w:rsid w:val="3B7F7163"/>
    <w:rsid w:val="3B8A2759"/>
    <w:rsid w:val="3BA20BFD"/>
    <w:rsid w:val="3BA24FE4"/>
    <w:rsid w:val="3BA42B0A"/>
    <w:rsid w:val="3BC35686"/>
    <w:rsid w:val="3BC40B50"/>
    <w:rsid w:val="3BD01B51"/>
    <w:rsid w:val="3C003D8D"/>
    <w:rsid w:val="3C0D5D01"/>
    <w:rsid w:val="3C1934F8"/>
    <w:rsid w:val="3C26586A"/>
    <w:rsid w:val="3C3917A1"/>
    <w:rsid w:val="3C4D6CFE"/>
    <w:rsid w:val="3C51713E"/>
    <w:rsid w:val="3C526997"/>
    <w:rsid w:val="3C5C2847"/>
    <w:rsid w:val="3C925059"/>
    <w:rsid w:val="3C9568F7"/>
    <w:rsid w:val="3CB5559F"/>
    <w:rsid w:val="3CBC2B52"/>
    <w:rsid w:val="3CBE52C8"/>
    <w:rsid w:val="3CC870FB"/>
    <w:rsid w:val="3CE753A4"/>
    <w:rsid w:val="3D1F312E"/>
    <w:rsid w:val="3D3D7AE5"/>
    <w:rsid w:val="3D471ABF"/>
    <w:rsid w:val="3D6A7724"/>
    <w:rsid w:val="3D8E3A72"/>
    <w:rsid w:val="3D9D1B37"/>
    <w:rsid w:val="3DA17A9D"/>
    <w:rsid w:val="3DDB0390"/>
    <w:rsid w:val="3DDC1163"/>
    <w:rsid w:val="3DE11DF4"/>
    <w:rsid w:val="3E3711E2"/>
    <w:rsid w:val="3E375EB7"/>
    <w:rsid w:val="3E421533"/>
    <w:rsid w:val="3E4E44C1"/>
    <w:rsid w:val="3E5949F3"/>
    <w:rsid w:val="3E5B7AE8"/>
    <w:rsid w:val="3E6E73FF"/>
    <w:rsid w:val="3E7741A0"/>
    <w:rsid w:val="3E8D5E6B"/>
    <w:rsid w:val="3EA64DEB"/>
    <w:rsid w:val="3EC7548D"/>
    <w:rsid w:val="3ED01430"/>
    <w:rsid w:val="3EDC25BB"/>
    <w:rsid w:val="3EE906FE"/>
    <w:rsid w:val="3EF9316D"/>
    <w:rsid w:val="3F0B6C2D"/>
    <w:rsid w:val="3F66594E"/>
    <w:rsid w:val="3F796D91"/>
    <w:rsid w:val="3F9733C2"/>
    <w:rsid w:val="3FA30497"/>
    <w:rsid w:val="3FA763B0"/>
    <w:rsid w:val="3FAA7FC2"/>
    <w:rsid w:val="3FC512A1"/>
    <w:rsid w:val="3FD247CD"/>
    <w:rsid w:val="3FD414E4"/>
    <w:rsid w:val="40175FA1"/>
    <w:rsid w:val="4024246B"/>
    <w:rsid w:val="40384169"/>
    <w:rsid w:val="40CB1E84"/>
    <w:rsid w:val="40D43E92"/>
    <w:rsid w:val="40D45C40"/>
    <w:rsid w:val="40DB5220"/>
    <w:rsid w:val="40E81C84"/>
    <w:rsid w:val="40F94293"/>
    <w:rsid w:val="410E46E1"/>
    <w:rsid w:val="41322966"/>
    <w:rsid w:val="4157061F"/>
    <w:rsid w:val="41662610"/>
    <w:rsid w:val="41921B27"/>
    <w:rsid w:val="41D75722"/>
    <w:rsid w:val="420C765B"/>
    <w:rsid w:val="421D3616"/>
    <w:rsid w:val="425132C0"/>
    <w:rsid w:val="42636FFD"/>
    <w:rsid w:val="42683117"/>
    <w:rsid w:val="42721D88"/>
    <w:rsid w:val="42785FB7"/>
    <w:rsid w:val="429E34F1"/>
    <w:rsid w:val="42AA6865"/>
    <w:rsid w:val="42B702DA"/>
    <w:rsid w:val="42C57F36"/>
    <w:rsid w:val="42CC7E5F"/>
    <w:rsid w:val="42D27F5D"/>
    <w:rsid w:val="42EA6221"/>
    <w:rsid w:val="42EF4755"/>
    <w:rsid w:val="431E7646"/>
    <w:rsid w:val="43421586"/>
    <w:rsid w:val="43430E5B"/>
    <w:rsid w:val="434A46EC"/>
    <w:rsid w:val="435C7A89"/>
    <w:rsid w:val="436C51DF"/>
    <w:rsid w:val="438020AF"/>
    <w:rsid w:val="43941B2C"/>
    <w:rsid w:val="43CB2F74"/>
    <w:rsid w:val="43E7452D"/>
    <w:rsid w:val="43E84655"/>
    <w:rsid w:val="44044A8E"/>
    <w:rsid w:val="444711C8"/>
    <w:rsid w:val="444A568D"/>
    <w:rsid w:val="444C4C47"/>
    <w:rsid w:val="44531998"/>
    <w:rsid w:val="44590819"/>
    <w:rsid w:val="445B488C"/>
    <w:rsid w:val="446E48E9"/>
    <w:rsid w:val="44717149"/>
    <w:rsid w:val="44784B34"/>
    <w:rsid w:val="447B1C4D"/>
    <w:rsid w:val="448D3CA6"/>
    <w:rsid w:val="44A45929"/>
    <w:rsid w:val="44F87A23"/>
    <w:rsid w:val="450F3328"/>
    <w:rsid w:val="453252CE"/>
    <w:rsid w:val="453A4CCF"/>
    <w:rsid w:val="45597105"/>
    <w:rsid w:val="455E0086"/>
    <w:rsid w:val="45640302"/>
    <w:rsid w:val="456A4DC4"/>
    <w:rsid w:val="456C63D5"/>
    <w:rsid w:val="45763405"/>
    <w:rsid w:val="458A53A7"/>
    <w:rsid w:val="45A2455E"/>
    <w:rsid w:val="45B51542"/>
    <w:rsid w:val="45B85B30"/>
    <w:rsid w:val="45D862F6"/>
    <w:rsid w:val="45E73FDA"/>
    <w:rsid w:val="45F079B0"/>
    <w:rsid w:val="45FF375F"/>
    <w:rsid w:val="461A4D4F"/>
    <w:rsid w:val="46293689"/>
    <w:rsid w:val="46341BEB"/>
    <w:rsid w:val="464E1FF0"/>
    <w:rsid w:val="464E7D0F"/>
    <w:rsid w:val="465A35BD"/>
    <w:rsid w:val="465D0485"/>
    <w:rsid w:val="465F0134"/>
    <w:rsid w:val="469519C5"/>
    <w:rsid w:val="46C44060"/>
    <w:rsid w:val="46D93AEF"/>
    <w:rsid w:val="46DA6F1F"/>
    <w:rsid w:val="46F704FB"/>
    <w:rsid w:val="47113641"/>
    <w:rsid w:val="473B4C7D"/>
    <w:rsid w:val="4742292E"/>
    <w:rsid w:val="47460F19"/>
    <w:rsid w:val="475A2DB1"/>
    <w:rsid w:val="475E2568"/>
    <w:rsid w:val="47615D53"/>
    <w:rsid w:val="47842674"/>
    <w:rsid w:val="478E57A6"/>
    <w:rsid w:val="47910749"/>
    <w:rsid w:val="4795427E"/>
    <w:rsid w:val="479C7B19"/>
    <w:rsid w:val="479F32A6"/>
    <w:rsid w:val="47A143A2"/>
    <w:rsid w:val="47A3636C"/>
    <w:rsid w:val="47A9256D"/>
    <w:rsid w:val="47AF4D11"/>
    <w:rsid w:val="47B9126E"/>
    <w:rsid w:val="48042E5B"/>
    <w:rsid w:val="48322A33"/>
    <w:rsid w:val="48492E5F"/>
    <w:rsid w:val="48515DC8"/>
    <w:rsid w:val="4866371A"/>
    <w:rsid w:val="487447D4"/>
    <w:rsid w:val="48A95C04"/>
    <w:rsid w:val="48CE652C"/>
    <w:rsid w:val="48D91605"/>
    <w:rsid w:val="48DC7D87"/>
    <w:rsid w:val="48F91335"/>
    <w:rsid w:val="48F97216"/>
    <w:rsid w:val="48FF3A76"/>
    <w:rsid w:val="49005E88"/>
    <w:rsid w:val="492275A4"/>
    <w:rsid w:val="49446E29"/>
    <w:rsid w:val="495A158B"/>
    <w:rsid w:val="4972249A"/>
    <w:rsid w:val="497955D6"/>
    <w:rsid w:val="498A3508"/>
    <w:rsid w:val="49B16CC5"/>
    <w:rsid w:val="49C9699B"/>
    <w:rsid w:val="49DD50AA"/>
    <w:rsid w:val="49E73F04"/>
    <w:rsid w:val="4A061B4C"/>
    <w:rsid w:val="4A355CC3"/>
    <w:rsid w:val="4A405240"/>
    <w:rsid w:val="4A496086"/>
    <w:rsid w:val="4A6C513B"/>
    <w:rsid w:val="4A74295D"/>
    <w:rsid w:val="4A8A64BF"/>
    <w:rsid w:val="4A92483C"/>
    <w:rsid w:val="4AAC5537"/>
    <w:rsid w:val="4AB45A91"/>
    <w:rsid w:val="4AC11C68"/>
    <w:rsid w:val="4AC170EF"/>
    <w:rsid w:val="4ACD4CEF"/>
    <w:rsid w:val="4ACE1952"/>
    <w:rsid w:val="4AEF15D8"/>
    <w:rsid w:val="4B005883"/>
    <w:rsid w:val="4B036369"/>
    <w:rsid w:val="4B0B0B93"/>
    <w:rsid w:val="4B26353C"/>
    <w:rsid w:val="4B2C6EA1"/>
    <w:rsid w:val="4B2F358D"/>
    <w:rsid w:val="4B34391F"/>
    <w:rsid w:val="4B386DCB"/>
    <w:rsid w:val="4B3A7B4E"/>
    <w:rsid w:val="4B430756"/>
    <w:rsid w:val="4B533C05"/>
    <w:rsid w:val="4B61791F"/>
    <w:rsid w:val="4B7778F3"/>
    <w:rsid w:val="4B7818BD"/>
    <w:rsid w:val="4B7A0F54"/>
    <w:rsid w:val="4B7B24F3"/>
    <w:rsid w:val="4B850B76"/>
    <w:rsid w:val="4BA86C84"/>
    <w:rsid w:val="4BA97CC9"/>
    <w:rsid w:val="4BAA2B56"/>
    <w:rsid w:val="4BE40D01"/>
    <w:rsid w:val="4C4C09CF"/>
    <w:rsid w:val="4C4D6CFC"/>
    <w:rsid w:val="4C7E4CB1"/>
    <w:rsid w:val="4CA02851"/>
    <w:rsid w:val="4CAA5507"/>
    <w:rsid w:val="4CC20384"/>
    <w:rsid w:val="4CC21042"/>
    <w:rsid w:val="4CC54AC0"/>
    <w:rsid w:val="4D141FE0"/>
    <w:rsid w:val="4D1473C4"/>
    <w:rsid w:val="4D227D33"/>
    <w:rsid w:val="4D3A507C"/>
    <w:rsid w:val="4D5D0D6B"/>
    <w:rsid w:val="4D646B23"/>
    <w:rsid w:val="4D780CB4"/>
    <w:rsid w:val="4D78484A"/>
    <w:rsid w:val="4D867E2A"/>
    <w:rsid w:val="4DAC05E6"/>
    <w:rsid w:val="4DAC22C8"/>
    <w:rsid w:val="4DC126F3"/>
    <w:rsid w:val="4DC236BE"/>
    <w:rsid w:val="4DF06083"/>
    <w:rsid w:val="4DFC4A28"/>
    <w:rsid w:val="4E0524B6"/>
    <w:rsid w:val="4E0E5897"/>
    <w:rsid w:val="4E1118B3"/>
    <w:rsid w:val="4E20058F"/>
    <w:rsid w:val="4E4242CC"/>
    <w:rsid w:val="4E5403C0"/>
    <w:rsid w:val="4E5F5F0E"/>
    <w:rsid w:val="4E6239DF"/>
    <w:rsid w:val="4E677615"/>
    <w:rsid w:val="4E767FEC"/>
    <w:rsid w:val="4E943B74"/>
    <w:rsid w:val="4EA96528"/>
    <w:rsid w:val="4EC56BC8"/>
    <w:rsid w:val="4ED079B5"/>
    <w:rsid w:val="4ED127FF"/>
    <w:rsid w:val="4ED96A7E"/>
    <w:rsid w:val="4F18763F"/>
    <w:rsid w:val="4F1D2EA8"/>
    <w:rsid w:val="4F540514"/>
    <w:rsid w:val="4F6666E3"/>
    <w:rsid w:val="4F702FD7"/>
    <w:rsid w:val="4F742507"/>
    <w:rsid w:val="4F9622BF"/>
    <w:rsid w:val="4F9C22EA"/>
    <w:rsid w:val="4F9D18F3"/>
    <w:rsid w:val="4F9F566B"/>
    <w:rsid w:val="4FA5516E"/>
    <w:rsid w:val="4FA72771"/>
    <w:rsid w:val="4FAE052E"/>
    <w:rsid w:val="4FB22195"/>
    <w:rsid w:val="4FDE2637"/>
    <w:rsid w:val="4FF359B6"/>
    <w:rsid w:val="4FF43C08"/>
    <w:rsid w:val="4FFE3062"/>
    <w:rsid w:val="50023B39"/>
    <w:rsid w:val="500372D1"/>
    <w:rsid w:val="50184C79"/>
    <w:rsid w:val="501C7B3E"/>
    <w:rsid w:val="50772144"/>
    <w:rsid w:val="509E3C03"/>
    <w:rsid w:val="509F114C"/>
    <w:rsid w:val="50C01628"/>
    <w:rsid w:val="50C65FDD"/>
    <w:rsid w:val="50C77758"/>
    <w:rsid w:val="50E028B4"/>
    <w:rsid w:val="50E344A6"/>
    <w:rsid w:val="50E53551"/>
    <w:rsid w:val="5119769F"/>
    <w:rsid w:val="51271000"/>
    <w:rsid w:val="51566FA2"/>
    <w:rsid w:val="515C7B07"/>
    <w:rsid w:val="515D758B"/>
    <w:rsid w:val="51671CB2"/>
    <w:rsid w:val="517D674F"/>
    <w:rsid w:val="518014CC"/>
    <w:rsid w:val="518B234A"/>
    <w:rsid w:val="51917235"/>
    <w:rsid w:val="51A27E07"/>
    <w:rsid w:val="51B11960"/>
    <w:rsid w:val="51BC6150"/>
    <w:rsid w:val="51C93B39"/>
    <w:rsid w:val="51D3784E"/>
    <w:rsid w:val="51D84E64"/>
    <w:rsid w:val="51ED2FE7"/>
    <w:rsid w:val="51EF0B3A"/>
    <w:rsid w:val="5200468D"/>
    <w:rsid w:val="520B596A"/>
    <w:rsid w:val="52135752"/>
    <w:rsid w:val="5226253D"/>
    <w:rsid w:val="522D7877"/>
    <w:rsid w:val="523336B1"/>
    <w:rsid w:val="524871C6"/>
    <w:rsid w:val="52583D9D"/>
    <w:rsid w:val="526D37FE"/>
    <w:rsid w:val="52C728C5"/>
    <w:rsid w:val="52E57E15"/>
    <w:rsid w:val="52E930E9"/>
    <w:rsid w:val="52EB0BC7"/>
    <w:rsid w:val="52FD43C9"/>
    <w:rsid w:val="531B187C"/>
    <w:rsid w:val="531C291E"/>
    <w:rsid w:val="533C110A"/>
    <w:rsid w:val="536A3A27"/>
    <w:rsid w:val="537137C2"/>
    <w:rsid w:val="53737AE7"/>
    <w:rsid w:val="5394300C"/>
    <w:rsid w:val="53A25729"/>
    <w:rsid w:val="53DE35D5"/>
    <w:rsid w:val="5403105C"/>
    <w:rsid w:val="54335D8B"/>
    <w:rsid w:val="543E122D"/>
    <w:rsid w:val="544544DB"/>
    <w:rsid w:val="54454A38"/>
    <w:rsid w:val="54603722"/>
    <w:rsid w:val="5460414F"/>
    <w:rsid w:val="54680721"/>
    <w:rsid w:val="546A1F5A"/>
    <w:rsid w:val="546E385E"/>
    <w:rsid w:val="546E6143"/>
    <w:rsid w:val="54752E3E"/>
    <w:rsid w:val="54994D7E"/>
    <w:rsid w:val="54B76D9A"/>
    <w:rsid w:val="54BE2A37"/>
    <w:rsid w:val="54C44B46"/>
    <w:rsid w:val="54D23DEC"/>
    <w:rsid w:val="54D34337"/>
    <w:rsid w:val="54DA5D8D"/>
    <w:rsid w:val="54ED35AA"/>
    <w:rsid w:val="551D40DC"/>
    <w:rsid w:val="55264138"/>
    <w:rsid w:val="55436A98"/>
    <w:rsid w:val="554E2EA4"/>
    <w:rsid w:val="55515659"/>
    <w:rsid w:val="5575284B"/>
    <w:rsid w:val="55A044C0"/>
    <w:rsid w:val="55B921AE"/>
    <w:rsid w:val="55C217A6"/>
    <w:rsid w:val="55CE071D"/>
    <w:rsid w:val="55F964C0"/>
    <w:rsid w:val="561B17C3"/>
    <w:rsid w:val="56313709"/>
    <w:rsid w:val="56463DBE"/>
    <w:rsid w:val="5646557D"/>
    <w:rsid w:val="565A665B"/>
    <w:rsid w:val="566B44F9"/>
    <w:rsid w:val="568000FE"/>
    <w:rsid w:val="56C63E25"/>
    <w:rsid w:val="56CE1E48"/>
    <w:rsid w:val="56D76FBC"/>
    <w:rsid w:val="572E5FD7"/>
    <w:rsid w:val="57405985"/>
    <w:rsid w:val="57441971"/>
    <w:rsid w:val="5747052B"/>
    <w:rsid w:val="574D0B96"/>
    <w:rsid w:val="5753390A"/>
    <w:rsid w:val="576C0528"/>
    <w:rsid w:val="57790E97"/>
    <w:rsid w:val="577949F3"/>
    <w:rsid w:val="577F3267"/>
    <w:rsid w:val="5781344E"/>
    <w:rsid w:val="578923D3"/>
    <w:rsid w:val="57AC4DC9"/>
    <w:rsid w:val="57C837F3"/>
    <w:rsid w:val="57D27E9C"/>
    <w:rsid w:val="57F90EFC"/>
    <w:rsid w:val="58002426"/>
    <w:rsid w:val="580C5867"/>
    <w:rsid w:val="5815139C"/>
    <w:rsid w:val="58405511"/>
    <w:rsid w:val="5846533A"/>
    <w:rsid w:val="584E6149"/>
    <w:rsid w:val="585A65D3"/>
    <w:rsid w:val="58672BD5"/>
    <w:rsid w:val="587868EA"/>
    <w:rsid w:val="587873A1"/>
    <w:rsid w:val="587C29ED"/>
    <w:rsid w:val="587D598D"/>
    <w:rsid w:val="589F3852"/>
    <w:rsid w:val="58A81A34"/>
    <w:rsid w:val="58BB798B"/>
    <w:rsid w:val="58DC16DE"/>
    <w:rsid w:val="58E3481A"/>
    <w:rsid w:val="58E77E9A"/>
    <w:rsid w:val="59142C25"/>
    <w:rsid w:val="59154646"/>
    <w:rsid w:val="592A069B"/>
    <w:rsid w:val="5935428B"/>
    <w:rsid w:val="594D6137"/>
    <w:rsid w:val="59537423"/>
    <w:rsid w:val="59637709"/>
    <w:rsid w:val="59695434"/>
    <w:rsid w:val="59853B23"/>
    <w:rsid w:val="598B2F92"/>
    <w:rsid w:val="599B3347"/>
    <w:rsid w:val="59C363FA"/>
    <w:rsid w:val="59CA7788"/>
    <w:rsid w:val="59D06384"/>
    <w:rsid w:val="59D46859"/>
    <w:rsid w:val="59D92638"/>
    <w:rsid w:val="59EB363D"/>
    <w:rsid w:val="59F359C5"/>
    <w:rsid w:val="5A292701"/>
    <w:rsid w:val="5A382944"/>
    <w:rsid w:val="5A6E2A15"/>
    <w:rsid w:val="5A737E20"/>
    <w:rsid w:val="5A7D0C9E"/>
    <w:rsid w:val="5AA705B3"/>
    <w:rsid w:val="5AD00570"/>
    <w:rsid w:val="5AD908F4"/>
    <w:rsid w:val="5AEC4883"/>
    <w:rsid w:val="5AF31651"/>
    <w:rsid w:val="5AF54CD9"/>
    <w:rsid w:val="5B105132"/>
    <w:rsid w:val="5B156152"/>
    <w:rsid w:val="5B314FB8"/>
    <w:rsid w:val="5B395408"/>
    <w:rsid w:val="5B445318"/>
    <w:rsid w:val="5B4F43E9"/>
    <w:rsid w:val="5B5136E8"/>
    <w:rsid w:val="5B8542BD"/>
    <w:rsid w:val="5B8E5745"/>
    <w:rsid w:val="5B931646"/>
    <w:rsid w:val="5B935A55"/>
    <w:rsid w:val="5B9E6053"/>
    <w:rsid w:val="5BA71952"/>
    <w:rsid w:val="5BB22788"/>
    <w:rsid w:val="5BB74B5E"/>
    <w:rsid w:val="5BC15105"/>
    <w:rsid w:val="5BEF0AD5"/>
    <w:rsid w:val="5C0E64BD"/>
    <w:rsid w:val="5C0F3B78"/>
    <w:rsid w:val="5C36729C"/>
    <w:rsid w:val="5C520E7C"/>
    <w:rsid w:val="5C5611D3"/>
    <w:rsid w:val="5C581567"/>
    <w:rsid w:val="5C5D06C1"/>
    <w:rsid w:val="5C6E5A67"/>
    <w:rsid w:val="5C85608F"/>
    <w:rsid w:val="5C8C4325"/>
    <w:rsid w:val="5C8F671E"/>
    <w:rsid w:val="5CA33EE6"/>
    <w:rsid w:val="5CC055C4"/>
    <w:rsid w:val="5CC07DD9"/>
    <w:rsid w:val="5CFF1FDC"/>
    <w:rsid w:val="5D0D35F8"/>
    <w:rsid w:val="5D123E93"/>
    <w:rsid w:val="5D174309"/>
    <w:rsid w:val="5D1C654D"/>
    <w:rsid w:val="5D2017FC"/>
    <w:rsid w:val="5D553BC7"/>
    <w:rsid w:val="5D752101"/>
    <w:rsid w:val="5D7855A5"/>
    <w:rsid w:val="5D8D744A"/>
    <w:rsid w:val="5D924A61"/>
    <w:rsid w:val="5D9702C9"/>
    <w:rsid w:val="5DA165FC"/>
    <w:rsid w:val="5DB449D7"/>
    <w:rsid w:val="5DB9023F"/>
    <w:rsid w:val="5DC23869"/>
    <w:rsid w:val="5DC62A8F"/>
    <w:rsid w:val="5DCA7D57"/>
    <w:rsid w:val="5DDA5580"/>
    <w:rsid w:val="5DE013A7"/>
    <w:rsid w:val="5DE057CC"/>
    <w:rsid w:val="5E096374"/>
    <w:rsid w:val="5E257683"/>
    <w:rsid w:val="5E6C3504"/>
    <w:rsid w:val="5E6D4E5F"/>
    <w:rsid w:val="5E7A5967"/>
    <w:rsid w:val="5E8343A9"/>
    <w:rsid w:val="5E875C48"/>
    <w:rsid w:val="5E9D190F"/>
    <w:rsid w:val="5EB278DF"/>
    <w:rsid w:val="5EBF4451"/>
    <w:rsid w:val="5ECF7C24"/>
    <w:rsid w:val="5EDD0749"/>
    <w:rsid w:val="5EFA2F5D"/>
    <w:rsid w:val="5EFF6126"/>
    <w:rsid w:val="5F0E6877"/>
    <w:rsid w:val="5F1405A9"/>
    <w:rsid w:val="5F4E2C09"/>
    <w:rsid w:val="5F7C47FC"/>
    <w:rsid w:val="5F805623"/>
    <w:rsid w:val="5F9251D4"/>
    <w:rsid w:val="5FB4164A"/>
    <w:rsid w:val="5FC66CDE"/>
    <w:rsid w:val="5FCD2324"/>
    <w:rsid w:val="5FDC0F7A"/>
    <w:rsid w:val="5FE327A5"/>
    <w:rsid w:val="5FF41E65"/>
    <w:rsid w:val="600E3D76"/>
    <w:rsid w:val="602045A6"/>
    <w:rsid w:val="6031230F"/>
    <w:rsid w:val="603E5F7A"/>
    <w:rsid w:val="604F09E7"/>
    <w:rsid w:val="6051475F"/>
    <w:rsid w:val="60675D31"/>
    <w:rsid w:val="606E61E9"/>
    <w:rsid w:val="609620D1"/>
    <w:rsid w:val="6099055F"/>
    <w:rsid w:val="60BE0A02"/>
    <w:rsid w:val="60D17C50"/>
    <w:rsid w:val="61152866"/>
    <w:rsid w:val="615151FD"/>
    <w:rsid w:val="6162299C"/>
    <w:rsid w:val="617701F5"/>
    <w:rsid w:val="617A1A94"/>
    <w:rsid w:val="619075D0"/>
    <w:rsid w:val="61CA2EC1"/>
    <w:rsid w:val="61CE7FA1"/>
    <w:rsid w:val="61DC44FC"/>
    <w:rsid w:val="61E01854"/>
    <w:rsid w:val="61EE5D3F"/>
    <w:rsid w:val="622017F1"/>
    <w:rsid w:val="62404A8B"/>
    <w:rsid w:val="62482C19"/>
    <w:rsid w:val="626910C3"/>
    <w:rsid w:val="627604AD"/>
    <w:rsid w:val="6278143F"/>
    <w:rsid w:val="62B66301"/>
    <w:rsid w:val="62DD1EB5"/>
    <w:rsid w:val="62F35FA1"/>
    <w:rsid w:val="62FB30A8"/>
    <w:rsid w:val="63154001"/>
    <w:rsid w:val="633914DA"/>
    <w:rsid w:val="633D39F4"/>
    <w:rsid w:val="633F2F95"/>
    <w:rsid w:val="634467FD"/>
    <w:rsid w:val="634E31D8"/>
    <w:rsid w:val="63744BF1"/>
    <w:rsid w:val="6375205B"/>
    <w:rsid w:val="637C5F97"/>
    <w:rsid w:val="63937429"/>
    <w:rsid w:val="63955212"/>
    <w:rsid w:val="63A4104A"/>
    <w:rsid w:val="63A469EA"/>
    <w:rsid w:val="63B079EF"/>
    <w:rsid w:val="63D0339F"/>
    <w:rsid w:val="6413263F"/>
    <w:rsid w:val="64175F22"/>
    <w:rsid w:val="641B57B0"/>
    <w:rsid w:val="64370110"/>
    <w:rsid w:val="646A3415"/>
    <w:rsid w:val="647C3D75"/>
    <w:rsid w:val="647E318E"/>
    <w:rsid w:val="64944B56"/>
    <w:rsid w:val="64AD0656"/>
    <w:rsid w:val="64B27796"/>
    <w:rsid w:val="64CA1A25"/>
    <w:rsid w:val="64E83DE8"/>
    <w:rsid w:val="64EC3D37"/>
    <w:rsid w:val="64EE1A97"/>
    <w:rsid w:val="65031979"/>
    <w:rsid w:val="65306815"/>
    <w:rsid w:val="654F790E"/>
    <w:rsid w:val="656A17E0"/>
    <w:rsid w:val="65797468"/>
    <w:rsid w:val="657B402C"/>
    <w:rsid w:val="65810E59"/>
    <w:rsid w:val="65817895"/>
    <w:rsid w:val="658E039D"/>
    <w:rsid w:val="65924CA9"/>
    <w:rsid w:val="65B46B2F"/>
    <w:rsid w:val="65C26A8E"/>
    <w:rsid w:val="65D200F0"/>
    <w:rsid w:val="65E51C8D"/>
    <w:rsid w:val="65F83E57"/>
    <w:rsid w:val="65FF6E40"/>
    <w:rsid w:val="660D2ED6"/>
    <w:rsid w:val="660E0C4E"/>
    <w:rsid w:val="661204ED"/>
    <w:rsid w:val="6612135A"/>
    <w:rsid w:val="665705F5"/>
    <w:rsid w:val="6659207B"/>
    <w:rsid w:val="66630D48"/>
    <w:rsid w:val="66747C6D"/>
    <w:rsid w:val="66AE7DC2"/>
    <w:rsid w:val="66BE68C6"/>
    <w:rsid w:val="66D6776C"/>
    <w:rsid w:val="66D85CF0"/>
    <w:rsid w:val="66E8749F"/>
    <w:rsid w:val="66FE03D7"/>
    <w:rsid w:val="672A3F5C"/>
    <w:rsid w:val="672C66EE"/>
    <w:rsid w:val="673849B2"/>
    <w:rsid w:val="674D4335"/>
    <w:rsid w:val="67726657"/>
    <w:rsid w:val="678A4ED6"/>
    <w:rsid w:val="67BB05DB"/>
    <w:rsid w:val="67BD26DA"/>
    <w:rsid w:val="67E840F7"/>
    <w:rsid w:val="67FE6CF2"/>
    <w:rsid w:val="68024591"/>
    <w:rsid w:val="680D18B3"/>
    <w:rsid w:val="68120612"/>
    <w:rsid w:val="68281903"/>
    <w:rsid w:val="682B3AE8"/>
    <w:rsid w:val="68402155"/>
    <w:rsid w:val="68744C4B"/>
    <w:rsid w:val="688A35DC"/>
    <w:rsid w:val="6896352A"/>
    <w:rsid w:val="68AA1941"/>
    <w:rsid w:val="68D51FF8"/>
    <w:rsid w:val="68D61FDD"/>
    <w:rsid w:val="68DB3760"/>
    <w:rsid w:val="68F41093"/>
    <w:rsid w:val="69177787"/>
    <w:rsid w:val="69232A11"/>
    <w:rsid w:val="69240081"/>
    <w:rsid w:val="69252C2D"/>
    <w:rsid w:val="692B0715"/>
    <w:rsid w:val="694F6758"/>
    <w:rsid w:val="695E2B47"/>
    <w:rsid w:val="69647A27"/>
    <w:rsid w:val="6965127B"/>
    <w:rsid w:val="69721525"/>
    <w:rsid w:val="6973579F"/>
    <w:rsid w:val="69874162"/>
    <w:rsid w:val="69886D18"/>
    <w:rsid w:val="699C0B46"/>
    <w:rsid w:val="699E6EDB"/>
    <w:rsid w:val="69B01DD4"/>
    <w:rsid w:val="69C02CC6"/>
    <w:rsid w:val="6A0C5CC5"/>
    <w:rsid w:val="6A0D4726"/>
    <w:rsid w:val="6A1011E7"/>
    <w:rsid w:val="6A1F767C"/>
    <w:rsid w:val="6A3E462E"/>
    <w:rsid w:val="6A432F56"/>
    <w:rsid w:val="6A5C61DA"/>
    <w:rsid w:val="6A627569"/>
    <w:rsid w:val="6A7D5EFC"/>
    <w:rsid w:val="6A7D7D3F"/>
    <w:rsid w:val="6A885221"/>
    <w:rsid w:val="6A9C2A7B"/>
    <w:rsid w:val="6A9C5931"/>
    <w:rsid w:val="6AD14FD7"/>
    <w:rsid w:val="6AEE467C"/>
    <w:rsid w:val="6AFB3C45"/>
    <w:rsid w:val="6B295798"/>
    <w:rsid w:val="6B2B3029"/>
    <w:rsid w:val="6B2E30B1"/>
    <w:rsid w:val="6B327947"/>
    <w:rsid w:val="6B4B7BFC"/>
    <w:rsid w:val="6BC517DE"/>
    <w:rsid w:val="6BC92D5B"/>
    <w:rsid w:val="6BD20370"/>
    <w:rsid w:val="6BDC2A11"/>
    <w:rsid w:val="6BE0108D"/>
    <w:rsid w:val="6BE85984"/>
    <w:rsid w:val="6C4179F9"/>
    <w:rsid w:val="6C7964CA"/>
    <w:rsid w:val="6C7D68DC"/>
    <w:rsid w:val="6C810E50"/>
    <w:rsid w:val="6C9D768E"/>
    <w:rsid w:val="6CD02422"/>
    <w:rsid w:val="6CD24F75"/>
    <w:rsid w:val="6D08089B"/>
    <w:rsid w:val="6D2356D5"/>
    <w:rsid w:val="6D286921"/>
    <w:rsid w:val="6D374CDD"/>
    <w:rsid w:val="6D437B25"/>
    <w:rsid w:val="6D4603CA"/>
    <w:rsid w:val="6D633D24"/>
    <w:rsid w:val="6D635AD2"/>
    <w:rsid w:val="6D6C0E2A"/>
    <w:rsid w:val="6D7A376E"/>
    <w:rsid w:val="6D8760FC"/>
    <w:rsid w:val="6D924ED4"/>
    <w:rsid w:val="6DDA7911"/>
    <w:rsid w:val="6E0B340C"/>
    <w:rsid w:val="6E1F559C"/>
    <w:rsid w:val="6E4072ED"/>
    <w:rsid w:val="6E74415F"/>
    <w:rsid w:val="6E9A3775"/>
    <w:rsid w:val="6EC425A0"/>
    <w:rsid w:val="6EDD7D09"/>
    <w:rsid w:val="6EED1237"/>
    <w:rsid w:val="6EEE0533"/>
    <w:rsid w:val="6F155591"/>
    <w:rsid w:val="6F280D81"/>
    <w:rsid w:val="6F3911E0"/>
    <w:rsid w:val="6F564781"/>
    <w:rsid w:val="6F712728"/>
    <w:rsid w:val="6F944336"/>
    <w:rsid w:val="6FA110A6"/>
    <w:rsid w:val="6FA4659E"/>
    <w:rsid w:val="6FAD4F96"/>
    <w:rsid w:val="6FBB5526"/>
    <w:rsid w:val="6FBB7E47"/>
    <w:rsid w:val="6FC64B3E"/>
    <w:rsid w:val="6FD5610C"/>
    <w:rsid w:val="6FF144E1"/>
    <w:rsid w:val="70055F6E"/>
    <w:rsid w:val="700A0487"/>
    <w:rsid w:val="70393F60"/>
    <w:rsid w:val="703F3483"/>
    <w:rsid w:val="704D66CD"/>
    <w:rsid w:val="706E6C67"/>
    <w:rsid w:val="70903082"/>
    <w:rsid w:val="70A13A33"/>
    <w:rsid w:val="70A408DB"/>
    <w:rsid w:val="70A52F39"/>
    <w:rsid w:val="70CF206B"/>
    <w:rsid w:val="70D34E08"/>
    <w:rsid w:val="70E60EF4"/>
    <w:rsid w:val="70EF5AB4"/>
    <w:rsid w:val="71272EDB"/>
    <w:rsid w:val="71411CC9"/>
    <w:rsid w:val="714D6F6C"/>
    <w:rsid w:val="71502811"/>
    <w:rsid w:val="715031A7"/>
    <w:rsid w:val="71517F97"/>
    <w:rsid w:val="71864485"/>
    <w:rsid w:val="71B763EC"/>
    <w:rsid w:val="71C10F2E"/>
    <w:rsid w:val="71C87C41"/>
    <w:rsid w:val="71C93E5C"/>
    <w:rsid w:val="722453CB"/>
    <w:rsid w:val="722D73CC"/>
    <w:rsid w:val="72365B57"/>
    <w:rsid w:val="72611287"/>
    <w:rsid w:val="727E0C6F"/>
    <w:rsid w:val="72987FCC"/>
    <w:rsid w:val="72BB5F8B"/>
    <w:rsid w:val="72BB6655"/>
    <w:rsid w:val="72C712E1"/>
    <w:rsid w:val="72FA1A10"/>
    <w:rsid w:val="73322ECF"/>
    <w:rsid w:val="73552361"/>
    <w:rsid w:val="73662167"/>
    <w:rsid w:val="736E6E10"/>
    <w:rsid w:val="73952CB3"/>
    <w:rsid w:val="73C52DD8"/>
    <w:rsid w:val="73C55FFA"/>
    <w:rsid w:val="73C60B68"/>
    <w:rsid w:val="73D43285"/>
    <w:rsid w:val="73E54BC7"/>
    <w:rsid w:val="741713C4"/>
    <w:rsid w:val="741A7914"/>
    <w:rsid w:val="744A0A36"/>
    <w:rsid w:val="747B5DF7"/>
    <w:rsid w:val="74827CE0"/>
    <w:rsid w:val="74A52E74"/>
    <w:rsid w:val="7501589A"/>
    <w:rsid w:val="75092F11"/>
    <w:rsid w:val="750E4A73"/>
    <w:rsid w:val="75132265"/>
    <w:rsid w:val="751853F4"/>
    <w:rsid w:val="751C6001"/>
    <w:rsid w:val="751F49D4"/>
    <w:rsid w:val="75243513"/>
    <w:rsid w:val="75267495"/>
    <w:rsid w:val="752C54C6"/>
    <w:rsid w:val="75686957"/>
    <w:rsid w:val="75B82C33"/>
    <w:rsid w:val="75F93477"/>
    <w:rsid w:val="75FE6CDF"/>
    <w:rsid w:val="761A4816"/>
    <w:rsid w:val="762C55FB"/>
    <w:rsid w:val="76772852"/>
    <w:rsid w:val="767C4B99"/>
    <w:rsid w:val="76962A74"/>
    <w:rsid w:val="769D3F76"/>
    <w:rsid w:val="76B3769D"/>
    <w:rsid w:val="76D36956"/>
    <w:rsid w:val="770E2F52"/>
    <w:rsid w:val="77110A7B"/>
    <w:rsid w:val="771D3195"/>
    <w:rsid w:val="77420E4E"/>
    <w:rsid w:val="7754065E"/>
    <w:rsid w:val="7758241F"/>
    <w:rsid w:val="77701C87"/>
    <w:rsid w:val="77713ED2"/>
    <w:rsid w:val="77893118"/>
    <w:rsid w:val="77A3073D"/>
    <w:rsid w:val="77AB1CCE"/>
    <w:rsid w:val="77CE2B0A"/>
    <w:rsid w:val="77F838AE"/>
    <w:rsid w:val="780E7E28"/>
    <w:rsid w:val="781B0555"/>
    <w:rsid w:val="782347DB"/>
    <w:rsid w:val="78280044"/>
    <w:rsid w:val="783571CB"/>
    <w:rsid w:val="784E07A8"/>
    <w:rsid w:val="78533409"/>
    <w:rsid w:val="78705799"/>
    <w:rsid w:val="78774B27"/>
    <w:rsid w:val="787765F1"/>
    <w:rsid w:val="78D26A7E"/>
    <w:rsid w:val="78DB3308"/>
    <w:rsid w:val="78E710B2"/>
    <w:rsid w:val="78F47401"/>
    <w:rsid w:val="78F9553C"/>
    <w:rsid w:val="79426EE3"/>
    <w:rsid w:val="795804B5"/>
    <w:rsid w:val="79747C17"/>
    <w:rsid w:val="798C63B0"/>
    <w:rsid w:val="79940026"/>
    <w:rsid w:val="799F7E92"/>
    <w:rsid w:val="79A74F98"/>
    <w:rsid w:val="79B56FF2"/>
    <w:rsid w:val="79EE2BC7"/>
    <w:rsid w:val="79F24465"/>
    <w:rsid w:val="7A162C99"/>
    <w:rsid w:val="7A1642FF"/>
    <w:rsid w:val="7A173ECC"/>
    <w:rsid w:val="7A1C5986"/>
    <w:rsid w:val="7A2B0CDA"/>
    <w:rsid w:val="7A396538"/>
    <w:rsid w:val="7A5B230E"/>
    <w:rsid w:val="7A6D4434"/>
    <w:rsid w:val="7A72753A"/>
    <w:rsid w:val="7A777060"/>
    <w:rsid w:val="7A8377B3"/>
    <w:rsid w:val="7AA404E2"/>
    <w:rsid w:val="7ADA1C60"/>
    <w:rsid w:val="7AF47429"/>
    <w:rsid w:val="7B046B46"/>
    <w:rsid w:val="7B0862D8"/>
    <w:rsid w:val="7B130B37"/>
    <w:rsid w:val="7B1B4787"/>
    <w:rsid w:val="7B245CF4"/>
    <w:rsid w:val="7B30793B"/>
    <w:rsid w:val="7B334FEE"/>
    <w:rsid w:val="7B406A51"/>
    <w:rsid w:val="7B6B4CD9"/>
    <w:rsid w:val="7B6C0849"/>
    <w:rsid w:val="7B6C46EB"/>
    <w:rsid w:val="7B963516"/>
    <w:rsid w:val="7B9B00FB"/>
    <w:rsid w:val="7BF7374C"/>
    <w:rsid w:val="7C01654E"/>
    <w:rsid w:val="7C09018C"/>
    <w:rsid w:val="7C1C3A1B"/>
    <w:rsid w:val="7C3A2988"/>
    <w:rsid w:val="7C3C5E6C"/>
    <w:rsid w:val="7C420122"/>
    <w:rsid w:val="7C480CB4"/>
    <w:rsid w:val="7C541224"/>
    <w:rsid w:val="7C675C0A"/>
    <w:rsid w:val="7C727ADF"/>
    <w:rsid w:val="7C743D1E"/>
    <w:rsid w:val="7CDA4E8F"/>
    <w:rsid w:val="7CE87DA1"/>
    <w:rsid w:val="7CF02627"/>
    <w:rsid w:val="7D114D01"/>
    <w:rsid w:val="7D741635"/>
    <w:rsid w:val="7D954157"/>
    <w:rsid w:val="7DD547CA"/>
    <w:rsid w:val="7DDC6E34"/>
    <w:rsid w:val="7E1A21A1"/>
    <w:rsid w:val="7E1E378D"/>
    <w:rsid w:val="7E205AED"/>
    <w:rsid w:val="7E23216E"/>
    <w:rsid w:val="7E261365"/>
    <w:rsid w:val="7E527ABB"/>
    <w:rsid w:val="7E751182"/>
    <w:rsid w:val="7E8E57B1"/>
    <w:rsid w:val="7EA07D6A"/>
    <w:rsid w:val="7EA41695"/>
    <w:rsid w:val="7EAC1347"/>
    <w:rsid w:val="7ED52983"/>
    <w:rsid w:val="7ED63B1E"/>
    <w:rsid w:val="7ED96E19"/>
    <w:rsid w:val="7EDB201C"/>
    <w:rsid w:val="7EE747B5"/>
    <w:rsid w:val="7F1F491B"/>
    <w:rsid w:val="7F245858"/>
    <w:rsid w:val="7F60009A"/>
    <w:rsid w:val="7F642AD3"/>
    <w:rsid w:val="7F674346"/>
    <w:rsid w:val="7F891D24"/>
    <w:rsid w:val="7F89287A"/>
    <w:rsid w:val="7F947D6D"/>
    <w:rsid w:val="7F9A1827"/>
    <w:rsid w:val="7FA22F78"/>
    <w:rsid w:val="7FA27CF2"/>
    <w:rsid w:val="7FA91A6A"/>
    <w:rsid w:val="7FAF4BA7"/>
    <w:rsid w:val="7FB201B2"/>
    <w:rsid w:val="7FB3011B"/>
    <w:rsid w:val="7FBA3291"/>
    <w:rsid w:val="7FBD72C3"/>
    <w:rsid w:val="7FD12D6F"/>
    <w:rsid w:val="7FF00AD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numPr>
        <w:ilvl w:val="1"/>
        <w:numId w:val="1"/>
      </w:numPr>
      <w:adjustRightInd w:val="0"/>
      <w:spacing w:line="360" w:lineRule="atLeast"/>
      <w:textAlignment w:val="baseline"/>
      <w:outlineLvl w:val="1"/>
    </w:pPr>
    <w:rPr>
      <w:kern w:val="0"/>
      <w:sz w:val="24"/>
      <w:szCs w:val="20"/>
    </w:rPr>
  </w:style>
  <w:style w:type="paragraph" w:styleId="4">
    <w:name w:val="heading 3"/>
    <w:basedOn w:val="1"/>
    <w:next w:val="1"/>
    <w:qFormat/>
    <w:uiPriority w:val="0"/>
    <w:pPr>
      <w:keepNext/>
      <w:keepLines/>
      <w:spacing w:before="260" w:after="260" w:line="416" w:lineRule="atLeast"/>
      <w:jc w:val="both"/>
      <w:textAlignment w:val="baseline"/>
      <w:outlineLvl w:val="2"/>
    </w:pPr>
    <w:rPr>
      <w:b/>
      <w:bCs/>
      <w:color w:val="000000"/>
      <w:sz w:val="32"/>
      <w:szCs w:val="32"/>
      <w:u w:val="none" w:color="000000"/>
      <w:lang w:val="en-US" w:eastAsia="zh-CN" w:bidi="ar-SA"/>
    </w:rPr>
  </w:style>
  <w:style w:type="paragraph" w:styleId="5">
    <w:name w:val="heading 4"/>
    <w:basedOn w:val="1"/>
    <w:next w:val="1"/>
    <w:qFormat/>
    <w:uiPriority w:val="1"/>
    <w:pPr>
      <w:ind w:left="652"/>
      <w:outlineLvl w:val="3"/>
    </w:pPr>
    <w:rPr>
      <w:b/>
      <w:bCs/>
      <w:sz w:val="30"/>
      <w:szCs w:val="30"/>
    </w:rPr>
  </w:style>
  <w:style w:type="character" w:default="1" w:styleId="31">
    <w:name w:val="Default Paragraph Font"/>
    <w:semiHidden/>
    <w:qFormat/>
    <w:uiPriority w:val="0"/>
  </w:style>
  <w:style w:type="table" w:default="1" w:styleId="29">
    <w:name w:val="Normal Table"/>
    <w:semiHidden/>
    <w:qFormat/>
    <w:uiPriority w:val="0"/>
    <w:tblPr>
      <w:tblCellMar>
        <w:top w:w="0" w:type="dxa"/>
        <w:left w:w="108" w:type="dxa"/>
        <w:bottom w:w="0" w:type="dxa"/>
        <w:right w:w="108" w:type="dxa"/>
      </w:tblCellMar>
    </w:tblPr>
  </w:style>
  <w:style w:type="paragraph" w:styleId="6">
    <w:name w:val="Normal Indent"/>
    <w:basedOn w:val="1"/>
    <w:qFormat/>
    <w:uiPriority w:val="0"/>
    <w:pPr>
      <w:adjustRightInd w:val="0"/>
      <w:spacing w:line="360" w:lineRule="atLeast"/>
      <w:ind w:firstLine="482"/>
      <w:textAlignment w:val="baseline"/>
    </w:pPr>
    <w:rPr>
      <w:kern w:val="0"/>
      <w:sz w:val="24"/>
      <w:szCs w:val="20"/>
    </w:rPr>
  </w:style>
  <w:style w:type="paragraph" w:styleId="7">
    <w:name w:val="toa heading"/>
    <w:basedOn w:val="1"/>
    <w:next w:val="1"/>
    <w:unhideWhenUsed/>
    <w:qFormat/>
    <w:uiPriority w:val="99"/>
    <w:pPr>
      <w:spacing w:before="120"/>
    </w:pPr>
    <w:rPr>
      <w:rFonts w:ascii="Cambria" w:hAnsi="Cambria"/>
      <w:sz w:val="24"/>
    </w:rPr>
  </w:style>
  <w:style w:type="paragraph" w:styleId="8">
    <w:name w:val="annotation text"/>
    <w:basedOn w:val="1"/>
    <w:qFormat/>
    <w:uiPriority w:val="0"/>
    <w:pPr>
      <w:jc w:val="left"/>
    </w:pPr>
  </w:style>
  <w:style w:type="paragraph" w:styleId="9">
    <w:name w:val="index 6"/>
    <w:next w:val="1"/>
    <w:qFormat/>
    <w:uiPriority w:val="0"/>
    <w:pPr>
      <w:widowControl w:val="0"/>
      <w:ind w:firstLine="840"/>
      <w:jc w:val="both"/>
    </w:pPr>
    <w:rPr>
      <w:rFonts w:ascii="Calibri" w:hAnsi="Calibri" w:eastAsia="宋体" w:cs="Arial"/>
      <w:kern w:val="2"/>
      <w:sz w:val="21"/>
      <w:szCs w:val="24"/>
      <w:lang w:val="en-US" w:eastAsia="zh-CN" w:bidi="ar-SA"/>
    </w:rPr>
  </w:style>
  <w:style w:type="paragraph" w:styleId="10">
    <w:name w:val="Body Text"/>
    <w:basedOn w:val="1"/>
    <w:link w:val="47"/>
    <w:qFormat/>
    <w:uiPriority w:val="0"/>
    <w:pPr>
      <w:spacing w:after="120"/>
    </w:pPr>
  </w:style>
  <w:style w:type="paragraph" w:styleId="11">
    <w:name w:val="Body Text Indent"/>
    <w:basedOn w:val="1"/>
    <w:next w:val="1"/>
    <w:qFormat/>
    <w:uiPriority w:val="0"/>
    <w:pPr>
      <w:spacing w:after="120"/>
      <w:ind w:left="200" w:leftChars="200"/>
    </w:pPr>
  </w:style>
  <w:style w:type="paragraph" w:styleId="12">
    <w:name w:val="toc 3"/>
    <w:basedOn w:val="1"/>
    <w:next w:val="1"/>
    <w:qFormat/>
    <w:uiPriority w:val="39"/>
    <w:pPr>
      <w:tabs>
        <w:tab w:val="right" w:leader="dot" w:pos="9288"/>
      </w:tabs>
      <w:ind w:left="400" w:leftChars="400"/>
    </w:pPr>
    <w:rPr>
      <w:rFonts w:ascii="宋体"/>
    </w:rPr>
  </w:style>
  <w:style w:type="paragraph" w:styleId="13">
    <w:name w:val="Plain Text"/>
    <w:basedOn w:val="1"/>
    <w:next w:val="14"/>
    <w:link w:val="48"/>
    <w:qFormat/>
    <w:uiPriority w:val="0"/>
    <w:rPr>
      <w:rFonts w:ascii="宋体"/>
      <w:color w:val="000000"/>
      <w:szCs w:val="20"/>
      <w:u w:val="none" w:color="000000"/>
    </w:rPr>
  </w:style>
  <w:style w:type="paragraph" w:styleId="14">
    <w:name w:val="index 7"/>
    <w:basedOn w:val="1"/>
    <w:next w:val="1"/>
    <w:qFormat/>
    <w:uiPriority w:val="0"/>
    <w:pPr>
      <w:autoSpaceDE/>
      <w:autoSpaceDN/>
      <w:adjustRightInd/>
      <w:ind w:left="1200" w:leftChars="1200"/>
    </w:pPr>
    <w:rPr>
      <w:color w:val="auto"/>
      <w:kern w:val="2"/>
      <w:szCs w:val="24"/>
    </w:rPr>
  </w:style>
  <w:style w:type="paragraph" w:styleId="15">
    <w:name w:val="Date"/>
    <w:basedOn w:val="1"/>
    <w:next w:val="1"/>
    <w:link w:val="49"/>
    <w:qFormat/>
    <w:uiPriority w:val="0"/>
    <w:rPr>
      <w:rFonts w:ascii="Arial" w:hAnsi="Arial" w:eastAsia="仿宋_GB2312"/>
      <w:color w:val="000000"/>
      <w:sz w:val="32"/>
      <w:szCs w:val="20"/>
      <w:u w:val="none" w:color="000000"/>
    </w:rPr>
  </w:style>
  <w:style w:type="paragraph" w:styleId="16">
    <w:name w:val="Body Text Indent 2"/>
    <w:basedOn w:val="1"/>
    <w:qFormat/>
    <w:uiPriority w:val="0"/>
    <w:pPr>
      <w:widowControl/>
      <w:spacing w:after="120" w:line="480" w:lineRule="auto"/>
      <w:ind w:left="420" w:leftChars="200"/>
      <w:jc w:val="left"/>
    </w:pPr>
    <w:rPr>
      <w:rFonts w:ascii="Times New Roman" w:hAnsi="Times New Roman"/>
      <w:kern w:val="0"/>
      <w:sz w:val="20"/>
      <w:szCs w:val="20"/>
    </w:rPr>
  </w:style>
  <w:style w:type="paragraph" w:styleId="17">
    <w:name w:val="footer"/>
    <w:basedOn w:val="1"/>
    <w:link w:val="50"/>
    <w:qFormat/>
    <w:uiPriority w:val="0"/>
    <w:pPr>
      <w:tabs>
        <w:tab w:val="center" w:pos="4153"/>
        <w:tab w:val="right" w:pos="8306"/>
      </w:tabs>
      <w:snapToGrid w:val="0"/>
      <w:jc w:val="left"/>
    </w:pPr>
    <w:rPr>
      <w:sz w:val="18"/>
      <w:szCs w:val="18"/>
    </w:rPr>
  </w:style>
  <w:style w:type="paragraph" w:styleId="18">
    <w:name w:val="header"/>
    <w:basedOn w:val="1"/>
    <w:link w:val="51"/>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39"/>
  </w:style>
  <w:style w:type="paragraph" w:styleId="20">
    <w:name w:val="List"/>
    <w:basedOn w:val="1"/>
    <w:qFormat/>
    <w:uiPriority w:val="0"/>
    <w:pPr>
      <w:adjustRightInd/>
      <w:snapToGrid/>
      <w:spacing w:after="0"/>
      <w:ind w:left="200" w:hanging="200" w:hangingChars="200"/>
      <w:contextualSpacing/>
    </w:pPr>
    <w:rPr>
      <w:rFonts w:ascii="Times New Roman" w:hAnsi="Times New Roman" w:eastAsia="宋体"/>
      <w:sz w:val="20"/>
      <w:szCs w:val="20"/>
    </w:rPr>
  </w:style>
  <w:style w:type="paragraph" w:styleId="21">
    <w:name w:val="footnote text"/>
    <w:basedOn w:val="1"/>
    <w:qFormat/>
    <w:uiPriority w:val="0"/>
    <w:pPr>
      <w:snapToGrid w:val="0"/>
      <w:jc w:val="left"/>
    </w:pPr>
    <w:rPr>
      <w:rFonts w:ascii="Times New Roman" w:hAnsi="Times New Roman" w:eastAsia="宋体" w:cs="Times New Roman"/>
      <w:sz w:val="18"/>
    </w:rPr>
  </w:style>
  <w:style w:type="paragraph" w:styleId="22">
    <w:name w:val="table of figures"/>
    <w:basedOn w:val="1"/>
    <w:next w:val="1"/>
    <w:unhideWhenUsed/>
    <w:qFormat/>
    <w:uiPriority w:val="99"/>
    <w:pPr>
      <w:ind w:left="200" w:leftChars="200" w:hanging="200" w:hangingChars="200"/>
    </w:pPr>
    <w:rPr>
      <w:rFonts w:ascii="Times New Roman" w:hAnsi="Times New Roman" w:eastAsia="宋体" w:cs="Times New Roman"/>
    </w:rPr>
  </w:style>
  <w:style w:type="paragraph" w:styleId="23">
    <w:name w:val="toc 2"/>
    <w:basedOn w:val="1"/>
    <w:next w:val="1"/>
    <w:qFormat/>
    <w:uiPriority w:val="39"/>
    <w:pPr>
      <w:ind w:left="200" w:leftChars="200"/>
    </w:pPr>
  </w:style>
  <w:style w:type="paragraph" w:styleId="24">
    <w:name w:val="Body Text 2"/>
    <w:basedOn w:val="1"/>
    <w:qFormat/>
    <w:uiPriority w:val="0"/>
    <w:pPr>
      <w:tabs>
        <w:tab w:val="left" w:pos="0"/>
      </w:tabs>
      <w:spacing w:line="400" w:lineRule="atLeast"/>
    </w:pPr>
    <w:rPr>
      <w:rFonts w:ascii="Arial" w:hAnsi="Arial"/>
      <w:color w:val="000000"/>
    </w:rPr>
  </w:style>
  <w:style w:type="paragraph" w:styleId="25">
    <w:name w:val="Normal (Web)"/>
    <w:basedOn w:val="1"/>
    <w:link w:val="95"/>
    <w:qFormat/>
    <w:uiPriority w:val="0"/>
    <w:pPr>
      <w:widowControl/>
      <w:spacing w:before="100" w:beforeAutospacing="1" w:after="100" w:afterAutospacing="1"/>
      <w:jc w:val="left"/>
    </w:pPr>
    <w:rPr>
      <w:rFonts w:ascii="宋体" w:hAnsi="宋体" w:cs="宋体"/>
      <w:kern w:val="0"/>
      <w:sz w:val="24"/>
    </w:rPr>
  </w:style>
  <w:style w:type="paragraph" w:styleId="26">
    <w:name w:val="Title"/>
    <w:basedOn w:val="1"/>
    <w:next w:val="1"/>
    <w:link w:val="81"/>
    <w:qFormat/>
    <w:uiPriority w:val="0"/>
    <w:pPr>
      <w:spacing w:before="240" w:after="60"/>
      <w:ind w:left="425" w:hanging="425"/>
      <w:jc w:val="center"/>
      <w:outlineLvl w:val="0"/>
    </w:pPr>
    <w:rPr>
      <w:rFonts w:ascii="Arial" w:hAnsi="Arial" w:cs="Arial"/>
      <w:b/>
      <w:bCs/>
      <w:sz w:val="32"/>
      <w:szCs w:val="32"/>
    </w:rPr>
  </w:style>
  <w:style w:type="paragraph" w:styleId="27">
    <w:name w:val="Body Text First Indent"/>
    <w:basedOn w:val="10"/>
    <w:next w:val="1"/>
    <w:unhideWhenUsed/>
    <w:qFormat/>
    <w:uiPriority w:val="0"/>
    <w:pPr>
      <w:adjustRightInd/>
      <w:spacing w:after="120" w:line="240" w:lineRule="auto"/>
      <w:ind w:firstLine="420" w:firstLineChars="100"/>
      <w:jc w:val="both"/>
    </w:pPr>
    <w:rPr>
      <w:rFonts w:ascii="Times New Roman"/>
      <w:kern w:val="2"/>
      <w:sz w:val="21"/>
      <w:szCs w:val="24"/>
    </w:rPr>
  </w:style>
  <w:style w:type="paragraph" w:styleId="28">
    <w:name w:val="Body Text First Indent 2"/>
    <w:basedOn w:val="11"/>
    <w:next w:val="10"/>
    <w:unhideWhenUsed/>
    <w:qFormat/>
    <w:uiPriority w:val="99"/>
    <w:pPr>
      <w:spacing w:after="120" w:line="240" w:lineRule="auto"/>
      <w:ind w:left="420" w:leftChars="200" w:firstLine="420"/>
    </w:pPr>
    <w:rPr>
      <w:rFonts w:cs="宋体"/>
      <w:sz w:val="21"/>
      <w:szCs w:val="21"/>
    </w:rPr>
  </w:style>
  <w:style w:type="table" w:styleId="30">
    <w:name w:val="Table Grid"/>
    <w:basedOn w:val="2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qFormat/>
    <w:uiPriority w:val="0"/>
    <w:rPr>
      <w:b/>
    </w:rPr>
  </w:style>
  <w:style w:type="character" w:styleId="33">
    <w:name w:val="page number"/>
    <w:basedOn w:val="31"/>
    <w:qFormat/>
    <w:uiPriority w:val="0"/>
  </w:style>
  <w:style w:type="character" w:styleId="34">
    <w:name w:val="FollowedHyperlink"/>
    <w:qFormat/>
    <w:uiPriority w:val="0"/>
    <w:rPr>
      <w:color w:val="333333"/>
      <w:u w:val="none"/>
    </w:rPr>
  </w:style>
  <w:style w:type="character" w:styleId="35">
    <w:name w:val="Emphasis"/>
    <w:basedOn w:val="31"/>
    <w:qFormat/>
    <w:uiPriority w:val="0"/>
    <w:rPr>
      <w:i/>
    </w:rPr>
  </w:style>
  <w:style w:type="character" w:styleId="36">
    <w:name w:val="HTML Definition"/>
    <w:basedOn w:val="31"/>
    <w:qFormat/>
    <w:uiPriority w:val="0"/>
  </w:style>
  <w:style w:type="character" w:styleId="37">
    <w:name w:val="HTML Typewriter"/>
    <w:basedOn w:val="31"/>
    <w:qFormat/>
    <w:uiPriority w:val="0"/>
    <w:rPr>
      <w:rFonts w:ascii="monospace" w:hAnsi="monospace" w:eastAsia="monospace" w:cs="monospace"/>
      <w:sz w:val="20"/>
    </w:rPr>
  </w:style>
  <w:style w:type="character" w:styleId="38">
    <w:name w:val="HTML Acronym"/>
    <w:basedOn w:val="31"/>
    <w:qFormat/>
    <w:uiPriority w:val="0"/>
  </w:style>
  <w:style w:type="character" w:styleId="39">
    <w:name w:val="HTML Variable"/>
    <w:basedOn w:val="31"/>
    <w:qFormat/>
    <w:uiPriority w:val="0"/>
  </w:style>
  <w:style w:type="character" w:styleId="40">
    <w:name w:val="Hyperlink"/>
    <w:basedOn w:val="31"/>
    <w:qFormat/>
    <w:uiPriority w:val="99"/>
    <w:rPr>
      <w:color w:val="0000FF"/>
      <w:u w:val="single"/>
    </w:rPr>
  </w:style>
  <w:style w:type="character" w:styleId="41">
    <w:name w:val="HTML Code"/>
    <w:basedOn w:val="31"/>
    <w:qFormat/>
    <w:uiPriority w:val="0"/>
    <w:rPr>
      <w:rFonts w:hint="default" w:ascii="monospace" w:hAnsi="monospace" w:eastAsia="monospace" w:cs="monospace"/>
      <w:sz w:val="20"/>
    </w:rPr>
  </w:style>
  <w:style w:type="character" w:styleId="42">
    <w:name w:val="annotation reference"/>
    <w:qFormat/>
    <w:uiPriority w:val="0"/>
    <w:rPr>
      <w:rFonts w:ascii="Times New Roman" w:hAnsi="Times New Roman" w:eastAsia="宋体" w:cs="Times New Roman"/>
      <w:sz w:val="21"/>
      <w:szCs w:val="21"/>
    </w:rPr>
  </w:style>
  <w:style w:type="character" w:styleId="43">
    <w:name w:val="HTML Cite"/>
    <w:basedOn w:val="31"/>
    <w:qFormat/>
    <w:uiPriority w:val="0"/>
  </w:style>
  <w:style w:type="character" w:styleId="44">
    <w:name w:val="HTML Keyboard"/>
    <w:basedOn w:val="31"/>
    <w:qFormat/>
    <w:uiPriority w:val="0"/>
    <w:rPr>
      <w:rFonts w:hint="default" w:ascii="monospace" w:hAnsi="monospace" w:eastAsia="monospace" w:cs="monospace"/>
      <w:sz w:val="20"/>
    </w:rPr>
  </w:style>
  <w:style w:type="character" w:styleId="45">
    <w:name w:val="HTML Sample"/>
    <w:basedOn w:val="31"/>
    <w:qFormat/>
    <w:uiPriority w:val="0"/>
    <w:rPr>
      <w:rFonts w:hint="default" w:ascii="monospace" w:hAnsi="monospace" w:eastAsia="monospace" w:cs="monospace"/>
    </w:rPr>
  </w:style>
  <w:style w:type="paragraph" w:customStyle="1" w:styleId="46">
    <w:name w:val="_Style 2"/>
    <w:basedOn w:val="1"/>
    <w:qFormat/>
    <w:uiPriority w:val="0"/>
    <w:pPr>
      <w:ind w:firstLine="200" w:firstLineChars="200"/>
    </w:pPr>
    <w:rPr>
      <w:rFonts w:ascii="Calibri" w:hAnsi="Calibri"/>
      <w:sz w:val="28"/>
      <w:szCs w:val="22"/>
    </w:rPr>
  </w:style>
  <w:style w:type="character" w:customStyle="1" w:styleId="47">
    <w:name w:val="正文文本 Char"/>
    <w:link w:val="10"/>
    <w:semiHidden/>
    <w:qFormat/>
    <w:locked/>
    <w:uiPriority w:val="0"/>
    <w:rPr>
      <w:rFonts w:eastAsia="宋体"/>
      <w:kern w:val="2"/>
      <w:sz w:val="21"/>
      <w:szCs w:val="24"/>
      <w:lang w:val="en-US" w:eastAsia="zh-CN" w:bidi="ar-SA"/>
    </w:rPr>
  </w:style>
  <w:style w:type="character" w:customStyle="1" w:styleId="48">
    <w:name w:val="纯文本 Char"/>
    <w:link w:val="13"/>
    <w:qFormat/>
    <w:uiPriority w:val="0"/>
    <w:rPr>
      <w:rFonts w:ascii="宋体"/>
      <w:color w:val="000000"/>
      <w:kern w:val="2"/>
      <w:sz w:val="21"/>
      <w:u w:val="none" w:color="000000"/>
    </w:rPr>
  </w:style>
  <w:style w:type="character" w:customStyle="1" w:styleId="49">
    <w:name w:val="日期 Char"/>
    <w:link w:val="15"/>
    <w:qFormat/>
    <w:uiPriority w:val="0"/>
    <w:rPr>
      <w:rFonts w:ascii="Arial" w:hAnsi="Arial" w:eastAsia="仿宋_GB2312"/>
      <w:color w:val="000000"/>
      <w:kern w:val="2"/>
      <w:sz w:val="32"/>
      <w:u w:val="none" w:color="000000"/>
      <w:lang w:val="en-US" w:eastAsia="zh-CN" w:bidi="ar-SA"/>
    </w:rPr>
  </w:style>
  <w:style w:type="character" w:customStyle="1" w:styleId="50">
    <w:name w:val="页脚 Char"/>
    <w:link w:val="17"/>
    <w:qFormat/>
    <w:locked/>
    <w:uiPriority w:val="0"/>
    <w:rPr>
      <w:rFonts w:eastAsia="宋体"/>
      <w:kern w:val="2"/>
      <w:sz w:val="18"/>
      <w:szCs w:val="18"/>
      <w:lang w:val="en-US" w:eastAsia="zh-CN" w:bidi="ar-SA"/>
    </w:rPr>
  </w:style>
  <w:style w:type="character" w:customStyle="1" w:styleId="51">
    <w:name w:val="页眉 Char"/>
    <w:link w:val="18"/>
    <w:qFormat/>
    <w:locked/>
    <w:uiPriority w:val="0"/>
    <w:rPr>
      <w:rFonts w:eastAsia="宋体"/>
      <w:kern w:val="2"/>
      <w:sz w:val="18"/>
      <w:szCs w:val="18"/>
      <w:lang w:val="en-US" w:eastAsia="zh-CN" w:bidi="ar-SA"/>
    </w:rPr>
  </w:style>
  <w:style w:type="paragraph" w:customStyle="1" w:styleId="52">
    <w:name w:val="正文缩进1"/>
    <w:basedOn w:val="1"/>
    <w:qFormat/>
    <w:uiPriority w:val="0"/>
    <w:pPr>
      <w:ind w:firstLine="420" w:firstLineChars="200"/>
    </w:pPr>
  </w:style>
  <w:style w:type="paragraph" w:customStyle="1" w:styleId="53">
    <w:name w:val="正文格式"/>
    <w:basedOn w:val="1"/>
    <w:qFormat/>
    <w:uiPriority w:val="99"/>
    <w:pPr>
      <w:widowControl/>
      <w:adjustRightInd w:val="0"/>
      <w:snapToGrid w:val="0"/>
      <w:spacing w:line="400" w:lineRule="atLeast"/>
      <w:ind w:firstLine="482"/>
      <w:textAlignment w:val="baseline"/>
    </w:pPr>
    <w:rPr>
      <w:rFonts w:ascii="Times New Roman" w:hAnsi="Times New Roman"/>
      <w:kern w:val="0"/>
      <w:sz w:val="24"/>
    </w:rPr>
  </w:style>
  <w:style w:type="character" w:customStyle="1" w:styleId="54">
    <w:name w:val="font01"/>
    <w:basedOn w:val="31"/>
    <w:qFormat/>
    <w:uiPriority w:val="0"/>
    <w:rPr>
      <w:rFonts w:hint="eastAsia" w:ascii="宋体" w:hAnsi="宋体" w:eastAsia="宋体" w:cs="宋体"/>
      <w:color w:val="000000"/>
      <w:sz w:val="22"/>
      <w:szCs w:val="22"/>
      <w:u w:val="none"/>
    </w:rPr>
  </w:style>
  <w:style w:type="character" w:customStyle="1" w:styleId="55">
    <w:name w:val="font111"/>
    <w:basedOn w:val="31"/>
    <w:qFormat/>
    <w:uiPriority w:val="0"/>
    <w:rPr>
      <w:rFonts w:ascii="Arial" w:hAnsi="Arial" w:cs="Arial"/>
      <w:color w:val="000000"/>
      <w:sz w:val="18"/>
      <w:szCs w:val="18"/>
      <w:u w:val="none"/>
    </w:rPr>
  </w:style>
  <w:style w:type="character" w:customStyle="1" w:styleId="56">
    <w:name w:val="Body Text Char"/>
    <w:qFormat/>
    <w:locked/>
    <w:uiPriority w:val="0"/>
    <w:rPr>
      <w:rFonts w:ascii="宋体" w:hAnsi="Arial"/>
      <w:sz w:val="28"/>
    </w:rPr>
  </w:style>
  <w:style w:type="paragraph" w:customStyle="1" w:styleId="57">
    <w:name w:val="black1"/>
    <w:basedOn w:val="1"/>
    <w:qFormat/>
    <w:uiPriority w:val="0"/>
    <w:pPr>
      <w:widowControl/>
      <w:spacing w:before="100" w:beforeLines="0" w:beforeAutospacing="1" w:after="100" w:afterLines="0" w:afterAutospacing="1" w:line="280" w:lineRule="atLeast"/>
      <w:jc w:val="left"/>
    </w:pPr>
    <w:rPr>
      <w:rFonts w:ascii="_x000B__x000C_" w:hAnsi="_x000B__x000C_"/>
      <w:color w:val="000000"/>
      <w:kern w:val="0"/>
      <w:sz w:val="18"/>
      <w:szCs w:val="18"/>
    </w:rPr>
  </w:style>
  <w:style w:type="paragraph" w:customStyle="1" w:styleId="58">
    <w:name w:val="Table Paragraph"/>
    <w:basedOn w:val="1"/>
    <w:qFormat/>
    <w:uiPriority w:val="1"/>
  </w:style>
  <w:style w:type="paragraph" w:customStyle="1" w:styleId="59">
    <w:name w:val="Body 1"/>
    <w:qFormat/>
    <w:uiPriority w:val="0"/>
    <w:pPr>
      <w:outlineLvl w:val="0"/>
    </w:pPr>
    <w:rPr>
      <w:rFonts w:ascii="Helvetica" w:hAnsi="Helvetica" w:eastAsia="ヒラギノ角ゴ Pro W3" w:cs="Times New Roman"/>
      <w:color w:val="000000"/>
      <w:sz w:val="22"/>
      <w:lang w:val="en-US" w:eastAsia="zh-CN" w:bidi="ar-SA"/>
    </w:rPr>
  </w:style>
  <w:style w:type="paragraph" w:customStyle="1" w:styleId="60">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61">
    <w:name w:val="Char"/>
    <w:basedOn w:val="1"/>
    <w:next w:val="1"/>
    <w:qFormat/>
    <w:uiPriority w:val="0"/>
    <w:pPr>
      <w:widowControl/>
      <w:spacing w:line="360" w:lineRule="auto"/>
      <w:jc w:val="left"/>
    </w:pPr>
    <w:rPr>
      <w:kern w:val="0"/>
      <w:szCs w:val="20"/>
      <w:lang w:eastAsia="en-US"/>
    </w:rPr>
  </w:style>
  <w:style w:type="paragraph" w:customStyle="1" w:styleId="62">
    <w:name w:val="文档正文"/>
    <w:basedOn w:val="1"/>
    <w:qFormat/>
    <w:uiPriority w:val="0"/>
    <w:pPr>
      <w:adjustRightInd w:val="0"/>
      <w:spacing w:line="312" w:lineRule="atLeast"/>
      <w:ind w:firstLine="567"/>
      <w:textAlignment w:val="baseline"/>
    </w:pPr>
    <w:rPr>
      <w:rFonts w:ascii="长城仿宋" w:eastAsia="长城仿宋"/>
      <w:kern w:val="0"/>
      <w:sz w:val="28"/>
      <w:szCs w:val="20"/>
    </w:rPr>
  </w:style>
  <w:style w:type="paragraph" w:customStyle="1" w:styleId="63">
    <w:name w:val="p0"/>
    <w:basedOn w:val="1"/>
    <w:qFormat/>
    <w:uiPriority w:val="0"/>
    <w:pPr>
      <w:widowControl/>
      <w:jc w:val="left"/>
    </w:pPr>
    <w:rPr>
      <w:rFonts w:ascii="宋体" w:hAnsi="宋体" w:cs="宋体"/>
      <w:kern w:val="0"/>
      <w:sz w:val="18"/>
      <w:szCs w:val="18"/>
    </w:rPr>
  </w:style>
  <w:style w:type="paragraph" w:customStyle="1" w:styleId="64">
    <w:name w:val="WPS Plain"/>
    <w:qFormat/>
    <w:uiPriority w:val="0"/>
    <w:rPr>
      <w:rFonts w:ascii="Times New Roman" w:hAnsi="Times New Roman" w:eastAsia="宋体" w:cs="Times New Roman"/>
      <w:lang w:val="en-US" w:eastAsia="zh-CN" w:bidi="ar-SA"/>
    </w:rPr>
  </w:style>
  <w:style w:type="paragraph" w:customStyle="1" w:styleId="65">
    <w:name w:val="节标题"/>
    <w:basedOn w:val="1"/>
    <w:next w:val="1"/>
    <w:qFormat/>
    <w:uiPriority w:val="0"/>
    <w:pPr>
      <w:widowControl/>
      <w:spacing w:line="289" w:lineRule="atLeast"/>
      <w:jc w:val="center"/>
      <w:textAlignment w:val="baseline"/>
    </w:pPr>
    <w:rPr>
      <w:color w:val="000000"/>
      <w:kern w:val="0"/>
      <w:sz w:val="28"/>
      <w:szCs w:val="20"/>
      <w:u w:val="none" w:color="000000"/>
    </w:rPr>
  </w:style>
  <w:style w:type="paragraph" w:styleId="66">
    <w:name w:val="List Paragraph"/>
    <w:basedOn w:val="1"/>
    <w:qFormat/>
    <w:uiPriority w:val="0"/>
    <w:pPr>
      <w:spacing w:line="360" w:lineRule="auto"/>
      <w:ind w:firstLine="420" w:firstLineChars="200"/>
    </w:pPr>
    <w:rPr>
      <w:rFonts w:ascii="宋体" w:hAnsi="宋体" w:cs="宋体"/>
      <w:sz w:val="24"/>
    </w:rPr>
  </w:style>
  <w:style w:type="paragraph" w:customStyle="1" w:styleId="67">
    <w:name w:val="样式 左侧:  0 厘米 悬挂缩进: 2.5 字符"/>
    <w:basedOn w:val="1"/>
    <w:qFormat/>
    <w:uiPriority w:val="0"/>
    <w:pPr>
      <w:ind w:left="525" w:hanging="525" w:hangingChars="250"/>
    </w:pPr>
    <w:rPr>
      <w:szCs w:val="20"/>
    </w:rPr>
  </w:style>
  <w:style w:type="paragraph" w:customStyle="1" w:styleId="68">
    <w:name w:val="标题 5（有编号）（绿盟科技）"/>
    <w:basedOn w:val="1"/>
    <w:next w:val="60"/>
    <w:qFormat/>
    <w:uiPriority w:val="0"/>
    <w:pPr>
      <w:keepNext/>
      <w:keepLines/>
      <w:numPr>
        <w:ilvl w:val="4"/>
        <w:numId w:val="2"/>
      </w:numPr>
      <w:spacing w:before="280" w:after="156" w:line="377" w:lineRule="auto"/>
      <w:jc w:val="left"/>
      <w:outlineLvl w:val="4"/>
    </w:pPr>
    <w:rPr>
      <w:rFonts w:ascii="Arial" w:hAnsi="Arial" w:eastAsia="黑体"/>
      <w:b/>
      <w:sz w:val="24"/>
      <w:szCs w:val="28"/>
    </w:rPr>
  </w:style>
  <w:style w:type="paragraph" w:customStyle="1" w:styleId="69">
    <w:name w:val="Default"/>
    <w:basedOn w:val="26"/>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0">
    <w:name w:val="图例"/>
    <w:basedOn w:val="1"/>
    <w:qFormat/>
    <w:uiPriority w:val="0"/>
    <w:pPr>
      <w:spacing w:before="120" w:beforeLines="0" w:after="120" w:afterLines="0" w:line="360" w:lineRule="auto"/>
      <w:jc w:val="center"/>
    </w:pPr>
    <w:rPr>
      <w:rFonts w:eastAsia="仿宋_GB2312"/>
      <w:b/>
      <w:sz w:val="24"/>
    </w:rPr>
  </w:style>
  <w:style w:type="character" w:customStyle="1" w:styleId="71">
    <w:name w:val="font71"/>
    <w:basedOn w:val="31"/>
    <w:qFormat/>
    <w:uiPriority w:val="0"/>
    <w:rPr>
      <w:rFonts w:hint="default" w:ascii="Calibri" w:hAnsi="Calibri" w:cs="Calibri"/>
      <w:b/>
      <w:bCs/>
      <w:color w:val="000000"/>
      <w:sz w:val="21"/>
      <w:szCs w:val="21"/>
      <w:u w:val="none"/>
    </w:rPr>
  </w:style>
  <w:style w:type="character" w:customStyle="1" w:styleId="72">
    <w:name w:val="font61"/>
    <w:basedOn w:val="31"/>
    <w:qFormat/>
    <w:uiPriority w:val="0"/>
    <w:rPr>
      <w:rFonts w:hint="eastAsia" w:ascii="华文仿宋" w:hAnsi="华文仿宋" w:eastAsia="华文仿宋" w:cs="华文仿宋"/>
      <w:color w:val="000000"/>
      <w:sz w:val="21"/>
      <w:szCs w:val="21"/>
      <w:u w:val="none"/>
    </w:rPr>
  </w:style>
  <w:style w:type="character" w:customStyle="1" w:styleId="73">
    <w:name w:val="font91"/>
    <w:basedOn w:val="31"/>
    <w:qFormat/>
    <w:uiPriority w:val="0"/>
    <w:rPr>
      <w:rFonts w:hint="default" w:ascii="Calibri" w:hAnsi="Calibri" w:cs="Calibri"/>
      <w:b/>
      <w:bCs/>
      <w:color w:val="FF0000"/>
      <w:sz w:val="21"/>
      <w:szCs w:val="21"/>
      <w:u w:val="none"/>
    </w:rPr>
  </w:style>
  <w:style w:type="character" w:customStyle="1" w:styleId="74">
    <w:name w:val="font101"/>
    <w:basedOn w:val="31"/>
    <w:qFormat/>
    <w:uiPriority w:val="0"/>
    <w:rPr>
      <w:rFonts w:hint="eastAsia" w:ascii="宋体" w:hAnsi="宋体" w:eastAsia="宋体" w:cs="宋体"/>
      <w:color w:val="000000"/>
      <w:sz w:val="21"/>
      <w:szCs w:val="21"/>
      <w:u w:val="none"/>
    </w:rPr>
  </w:style>
  <w:style w:type="character" w:customStyle="1" w:styleId="75">
    <w:name w:val="font81"/>
    <w:basedOn w:val="31"/>
    <w:qFormat/>
    <w:uiPriority w:val="0"/>
    <w:rPr>
      <w:rFonts w:hint="default" w:ascii="Calibri" w:hAnsi="Calibri" w:cs="Calibri"/>
      <w:color w:val="000000"/>
      <w:sz w:val="21"/>
      <w:szCs w:val="21"/>
      <w:u w:val="none"/>
    </w:rPr>
  </w:style>
  <w:style w:type="character" w:customStyle="1" w:styleId="76">
    <w:name w:val="first-child"/>
    <w:basedOn w:val="31"/>
    <w:qFormat/>
    <w:uiPriority w:val="0"/>
  </w:style>
  <w:style w:type="character" w:customStyle="1" w:styleId="77">
    <w:name w:val="layui-layer-tabnow"/>
    <w:basedOn w:val="31"/>
    <w:qFormat/>
    <w:uiPriority w:val="0"/>
    <w:rPr>
      <w:bdr w:val="single" w:color="CCCCCC" w:sz="6" w:space="0"/>
      <w:shd w:val="clear" w:fill="FFFFFF"/>
    </w:rPr>
  </w:style>
  <w:style w:type="paragraph" w:customStyle="1" w:styleId="78">
    <w:name w:val="标书正文"/>
    <w:basedOn w:val="1"/>
    <w:qFormat/>
    <w:uiPriority w:val="0"/>
    <w:pPr>
      <w:spacing w:line="560" w:lineRule="exact"/>
      <w:ind w:firstLine="723" w:firstLineChars="200"/>
      <w:jc w:val="center"/>
    </w:pPr>
    <w:rPr>
      <w:rFonts w:ascii="仿宋_GB2312" w:eastAsia="仿宋_GB2312"/>
      <w:b/>
      <w:sz w:val="36"/>
    </w:rPr>
  </w:style>
  <w:style w:type="paragraph" w:customStyle="1" w:styleId="79">
    <w:name w:val="答复表头"/>
    <w:basedOn w:val="80"/>
    <w:next w:val="1"/>
    <w:qFormat/>
    <w:uiPriority w:val="0"/>
    <w:pPr>
      <w:tabs>
        <w:tab w:val="left" w:pos="480"/>
      </w:tabs>
    </w:pPr>
    <w:rPr>
      <w:b/>
    </w:rPr>
  </w:style>
  <w:style w:type="paragraph" w:customStyle="1" w:styleId="80">
    <w:name w:val="正表头"/>
    <w:basedOn w:val="1"/>
    <w:qFormat/>
    <w:uiPriority w:val="0"/>
    <w:pPr>
      <w:tabs>
        <w:tab w:val="left" w:pos="480"/>
      </w:tabs>
      <w:autoSpaceDE w:val="0"/>
      <w:autoSpaceDN w:val="0"/>
      <w:adjustRightInd w:val="0"/>
      <w:jc w:val="center"/>
      <w:textAlignment w:val="baseline"/>
    </w:pPr>
    <w:rPr>
      <w:rFonts w:ascii="宋体" w:hAnsi="Tms Rmn"/>
      <w:color w:val="000000"/>
      <w:kern w:val="0"/>
    </w:rPr>
  </w:style>
  <w:style w:type="character" w:customStyle="1" w:styleId="81">
    <w:name w:val="标题 字符"/>
    <w:link w:val="26"/>
    <w:qFormat/>
    <w:uiPriority w:val="0"/>
    <w:rPr>
      <w:rFonts w:ascii="Arial" w:hAnsi="Arial" w:cs="Arial"/>
      <w:b/>
      <w:bCs/>
      <w:sz w:val="32"/>
      <w:szCs w:val="32"/>
    </w:rPr>
  </w:style>
  <w:style w:type="character" w:customStyle="1" w:styleId="82">
    <w:name w:val="NormalCharacter"/>
    <w:semiHidden/>
    <w:qFormat/>
    <w:uiPriority w:val="0"/>
  </w:style>
  <w:style w:type="paragraph" w:customStyle="1" w:styleId="83">
    <w:name w:val="Body text|2"/>
    <w:basedOn w:val="1"/>
    <w:qFormat/>
    <w:uiPriority w:val="0"/>
    <w:pPr>
      <w:widowControl w:val="0"/>
      <w:shd w:val="clear" w:color="auto" w:fill="auto"/>
      <w:spacing w:after="260"/>
      <w:ind w:firstLine="140"/>
    </w:pPr>
    <w:rPr>
      <w:rFonts w:ascii="宋体" w:hAnsi="宋体" w:eastAsia="宋体" w:cs="宋体"/>
      <w:sz w:val="30"/>
      <w:szCs w:val="30"/>
      <w:u w:val="none"/>
      <w:shd w:val="clear" w:color="auto" w:fill="auto"/>
      <w:lang w:val="zh-TW" w:eastAsia="zh-TW" w:bidi="zh-TW"/>
    </w:rPr>
  </w:style>
  <w:style w:type="paragraph" w:customStyle="1" w:styleId="84">
    <w:name w:val="Body text|1"/>
    <w:basedOn w:val="1"/>
    <w:qFormat/>
    <w:uiPriority w:val="0"/>
    <w:pPr>
      <w:widowControl w:val="0"/>
      <w:shd w:val="clear" w:color="auto" w:fill="auto"/>
      <w:spacing w:line="454" w:lineRule="auto"/>
      <w:ind w:firstLine="140"/>
    </w:pPr>
    <w:rPr>
      <w:rFonts w:ascii="宋体" w:hAnsi="宋体" w:eastAsia="宋体" w:cs="宋体"/>
      <w:sz w:val="22"/>
      <w:szCs w:val="22"/>
      <w:u w:val="none"/>
      <w:shd w:val="clear" w:color="auto" w:fill="auto"/>
      <w:lang w:val="zh-TW" w:eastAsia="zh-TW" w:bidi="zh-TW"/>
    </w:rPr>
  </w:style>
  <w:style w:type="paragraph" w:customStyle="1" w:styleId="85">
    <w:name w:val="Other|1"/>
    <w:basedOn w:val="1"/>
    <w:qFormat/>
    <w:uiPriority w:val="0"/>
    <w:pPr>
      <w:widowControl w:val="0"/>
      <w:shd w:val="clear" w:color="auto" w:fill="auto"/>
      <w:spacing w:line="454" w:lineRule="auto"/>
      <w:ind w:firstLine="140"/>
    </w:pPr>
    <w:rPr>
      <w:rFonts w:ascii="宋体" w:hAnsi="宋体" w:eastAsia="宋体" w:cs="宋体"/>
      <w:sz w:val="22"/>
      <w:szCs w:val="22"/>
      <w:u w:val="none"/>
      <w:shd w:val="clear" w:color="auto" w:fill="auto"/>
      <w:lang w:val="zh-TW" w:eastAsia="zh-TW" w:bidi="zh-TW"/>
    </w:rPr>
  </w:style>
  <w:style w:type="table" w:customStyle="1" w:styleId="86">
    <w:name w:val="Table Normal"/>
    <w:semiHidden/>
    <w:unhideWhenUsed/>
    <w:qFormat/>
    <w:uiPriority w:val="0"/>
    <w:tblPr>
      <w:tblCellMar>
        <w:top w:w="0" w:type="dxa"/>
        <w:left w:w="0" w:type="dxa"/>
        <w:bottom w:w="0" w:type="dxa"/>
        <w:right w:w="0" w:type="dxa"/>
      </w:tblCellMar>
    </w:tblPr>
  </w:style>
  <w:style w:type="character" w:customStyle="1" w:styleId="87">
    <w:name w:val="font112"/>
    <w:basedOn w:val="31"/>
    <w:qFormat/>
    <w:uiPriority w:val="0"/>
    <w:rPr>
      <w:rFonts w:hint="eastAsia" w:ascii="宋体" w:hAnsi="宋体" w:eastAsia="宋体" w:cs="宋体"/>
      <w:color w:val="FF0000"/>
      <w:sz w:val="18"/>
      <w:szCs w:val="18"/>
      <w:u w:val="none"/>
    </w:rPr>
  </w:style>
  <w:style w:type="character" w:customStyle="1" w:styleId="88">
    <w:name w:val="font21"/>
    <w:basedOn w:val="31"/>
    <w:qFormat/>
    <w:uiPriority w:val="0"/>
    <w:rPr>
      <w:rFonts w:hint="eastAsia" w:ascii="宋体" w:hAnsi="宋体" w:eastAsia="宋体" w:cs="宋体"/>
      <w:color w:val="000000"/>
      <w:sz w:val="18"/>
      <w:szCs w:val="18"/>
      <w:u w:val="none"/>
    </w:rPr>
  </w:style>
  <w:style w:type="character" w:customStyle="1" w:styleId="89">
    <w:name w:val="font41"/>
    <w:basedOn w:val="31"/>
    <w:qFormat/>
    <w:uiPriority w:val="0"/>
    <w:rPr>
      <w:rFonts w:hint="eastAsia" w:ascii="宋体" w:hAnsi="宋体" w:eastAsia="宋体" w:cs="宋体"/>
      <w:b/>
      <w:bCs/>
      <w:color w:val="000000"/>
      <w:sz w:val="18"/>
      <w:szCs w:val="18"/>
      <w:u w:val="none"/>
    </w:rPr>
  </w:style>
  <w:style w:type="character" w:customStyle="1" w:styleId="90">
    <w:name w:val="font11"/>
    <w:basedOn w:val="31"/>
    <w:qFormat/>
    <w:uiPriority w:val="0"/>
    <w:rPr>
      <w:rFonts w:hint="eastAsia" w:ascii="宋体" w:hAnsi="宋体" w:eastAsia="宋体" w:cs="宋体"/>
      <w:color w:val="000000"/>
      <w:sz w:val="18"/>
      <w:szCs w:val="18"/>
      <w:u w:val="none"/>
    </w:rPr>
  </w:style>
  <w:style w:type="paragraph" w:customStyle="1" w:styleId="91">
    <w:name w:val="首行缩进"/>
    <w:basedOn w:val="1"/>
    <w:qFormat/>
    <w:uiPriority w:val="0"/>
    <w:pPr>
      <w:spacing w:line="360" w:lineRule="auto"/>
      <w:ind w:firstLine="480" w:firstLineChars="200"/>
    </w:pPr>
    <w:rPr>
      <w:sz w:val="24"/>
      <w:szCs w:val="22"/>
      <w:lang w:val="zh-CN"/>
    </w:rPr>
  </w:style>
  <w:style w:type="paragraph" w:customStyle="1" w:styleId="92">
    <w:name w:val="样式 10 磅"/>
    <w:qFormat/>
    <w:uiPriority w:val="0"/>
    <w:pPr>
      <w:widowControl w:val="0"/>
      <w:jc w:val="both"/>
    </w:pPr>
    <w:rPr>
      <w:rFonts w:ascii="Calibri" w:hAnsi="Calibri" w:eastAsia="宋体" w:cs="Times New Roman"/>
      <w:kern w:val="2"/>
      <w:sz w:val="21"/>
      <w:szCs w:val="24"/>
      <w:lang w:val="en-US" w:eastAsia="zh-CN" w:bidi="ar-SA"/>
    </w:rPr>
  </w:style>
  <w:style w:type="paragraph" w:customStyle="1" w:styleId="93">
    <w:name w:val="样式 样式 左侧:  2 字符 + 左侧:  0.85 厘米 首行缩进:  2 字符1"/>
    <w:basedOn w:val="1"/>
    <w:qFormat/>
    <w:uiPriority w:val="0"/>
    <w:pPr>
      <w:ind w:left="482" w:firstLine="200" w:firstLineChars="200"/>
    </w:pPr>
    <w:rPr>
      <w:szCs w:val="20"/>
    </w:rPr>
  </w:style>
  <w:style w:type="paragraph" w:customStyle="1" w:styleId="94">
    <w:name w:val="Table Text"/>
    <w:basedOn w:val="1"/>
    <w:semiHidden/>
    <w:qFormat/>
    <w:uiPriority w:val="0"/>
    <w:rPr>
      <w:rFonts w:ascii="Arial" w:hAnsi="Arial" w:eastAsia="Arial" w:cs="Arial"/>
      <w:sz w:val="21"/>
      <w:szCs w:val="21"/>
      <w:lang w:val="en-US" w:eastAsia="en-US" w:bidi="ar-SA"/>
    </w:rPr>
  </w:style>
  <w:style w:type="character" w:customStyle="1" w:styleId="95">
    <w:name w:val="普通(网站) Char"/>
    <w:link w:val="25"/>
    <w:qFormat/>
    <w:locked/>
    <w:uiPriority w:val="0"/>
    <w:rPr>
      <w:rFonts w:ascii="宋体" w:hAnsi="宋体" w:cs="宋体"/>
      <w:kern w:val="0"/>
      <w:sz w:val="24"/>
    </w:rPr>
  </w:style>
  <w:style w:type="paragraph" w:styleId="96">
    <w:name w:val="No Spacing"/>
    <w:basedOn w:val="1"/>
    <w:qFormat/>
    <w:uiPriority w:val="1"/>
    <w:pPr>
      <w:widowControl w:val="0"/>
      <w:jc w:val="center"/>
    </w:pPr>
    <w:rPr>
      <w:rFonts w:eastAsia="黑体"/>
      <w:kern w:val="2"/>
      <w:sz w:val="30"/>
      <w:szCs w:val="24"/>
      <w:lang w:val="en-US" w:eastAsia="zh-CN" w:bidi="ar-SA"/>
    </w:rPr>
  </w:style>
  <w:style w:type="paragraph" w:customStyle="1" w:styleId="97">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98">
    <w:name w:val="font51"/>
    <w:basedOn w:val="3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MSCD龙帝国技术社区 Htpp://Bbs.Mscode.Cc</Company>
  <Pages>87</Pages>
  <Words>25742</Words>
  <Characters>27499</Characters>
  <Lines>1</Lines>
  <Paragraphs>1</Paragraphs>
  <TotalTime>0</TotalTime>
  <ScaleCrop>false</ScaleCrop>
  <LinksUpToDate>false</LinksUpToDate>
  <CharactersWithSpaces>28481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2014-07-12T00:56:00Z</dcterms:created>
  <dc:creator>陈倩倩</dc:creator>
  <cp:lastModifiedBy>前戏</cp:lastModifiedBy>
  <cp:lastPrinted>2026-09-10T03:14:00Z</cp:lastPrinted>
  <dcterms:modified xsi:type="dcterms:W3CDTF">2026-09-15T05:27:29Z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8C7A92F7B1C147BF88B9CC2EA9AC3ECC_13</vt:lpwstr>
  </property>
  <property fmtid="{D5CDD505-2E9C-101B-9397-08002B2CF9AE}" pid="4" name="KSOTemplateDocerSaveRecord">
    <vt:lpwstr>eyJoZGlkIjoiYzJmMjljNzVlZDZlODlkMTA5NjIxY2JkMTZjMTMwYmUiLCJ1c2VySWQiOiI2MTEwMzkxMDcifQ==</vt:lpwstr>
  </property>
</Properties>
</file>