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6E59E">
      <w:pPr>
        <w:jc w:val="center"/>
        <w:rPr>
          <w:rFonts w:hint="eastAsia" w:ascii="仿宋" w:hAnsi="仿宋" w:eastAsia="仿宋" w:cs="仿宋"/>
          <w:b/>
          <w:bCs/>
          <w:color w:val="auto"/>
          <w:sz w:val="60"/>
          <w:szCs w:val="60"/>
          <w:highlight w:val="none"/>
        </w:rPr>
      </w:pPr>
      <w:r>
        <w:rPr>
          <w:rFonts w:hint="eastAsia" w:ascii="仿宋" w:hAnsi="仿宋" w:eastAsia="仿宋" w:cs="仿宋"/>
          <w:b/>
          <w:bCs/>
          <w:color w:val="auto"/>
          <w:sz w:val="60"/>
          <w:szCs w:val="60"/>
          <w:highlight w:val="none"/>
          <w:lang w:val="en-US" w:eastAsia="zh-CN"/>
        </w:rPr>
        <w:t xml:space="preserve">   2026年墨玉县京和协作结核病防治攻坚提质项目-固投部分</w:t>
      </w:r>
    </w:p>
    <w:p w14:paraId="342C6286">
      <w:pPr>
        <w:jc w:val="center"/>
        <w:rPr>
          <w:rFonts w:hint="eastAsia" w:ascii="仿宋" w:hAnsi="仿宋" w:eastAsia="仿宋" w:cs="仿宋"/>
          <w:b/>
          <w:bCs/>
          <w:color w:val="auto"/>
          <w:sz w:val="60"/>
          <w:szCs w:val="60"/>
          <w:highlight w:val="none"/>
        </w:rPr>
      </w:pPr>
    </w:p>
    <w:p w14:paraId="2F100533">
      <w:pPr>
        <w:jc w:val="center"/>
        <w:rPr>
          <w:rFonts w:hint="eastAsia" w:ascii="仿宋" w:hAnsi="仿宋" w:eastAsia="仿宋" w:cs="仿宋"/>
          <w:b/>
          <w:bCs/>
          <w:color w:val="auto"/>
          <w:sz w:val="60"/>
          <w:szCs w:val="60"/>
          <w:highlight w:val="none"/>
        </w:rPr>
      </w:pPr>
    </w:p>
    <w:p w14:paraId="6C654741">
      <w:pPr>
        <w:jc w:val="center"/>
        <w:rPr>
          <w:rFonts w:hint="eastAsia" w:ascii="仿宋" w:hAnsi="仿宋" w:eastAsia="仿宋" w:cs="仿宋"/>
          <w:color w:val="auto"/>
          <w:sz w:val="28"/>
          <w:szCs w:val="28"/>
          <w:highlight w:val="none"/>
        </w:rPr>
      </w:pPr>
      <w:r>
        <w:rPr>
          <w:rFonts w:hint="eastAsia" w:ascii="仿宋" w:hAnsi="仿宋" w:eastAsia="仿宋" w:cs="仿宋"/>
          <w:b/>
          <w:bCs/>
          <w:color w:val="auto"/>
          <w:sz w:val="60"/>
          <w:szCs w:val="60"/>
          <w:highlight w:val="none"/>
        </w:rPr>
        <w:t>公开招标文件</w:t>
      </w:r>
    </w:p>
    <w:p w14:paraId="7AB4C4C8">
      <w:pPr>
        <w:pStyle w:val="141"/>
        <w:rPr>
          <w:rFonts w:ascii="宋体" w:hAnsi="宋体" w:cs="宋体"/>
          <w:color w:val="auto"/>
          <w:sz w:val="28"/>
          <w:szCs w:val="28"/>
          <w:highlight w:val="none"/>
        </w:rPr>
      </w:pPr>
    </w:p>
    <w:p w14:paraId="2DAC7D17">
      <w:pPr>
        <w:pStyle w:val="8"/>
        <w:rPr>
          <w:rFonts w:hint="eastAsia"/>
          <w:color w:val="auto"/>
          <w:highlight w:val="none"/>
        </w:rPr>
      </w:pPr>
    </w:p>
    <w:p w14:paraId="0C01A39D">
      <w:pPr>
        <w:rPr>
          <w:color w:val="auto"/>
          <w:highlight w:val="none"/>
          <w:lang w:val="zh-CN"/>
        </w:rPr>
      </w:pPr>
    </w:p>
    <w:p w14:paraId="341D20E6">
      <w:pPr>
        <w:pStyle w:val="141"/>
        <w:rPr>
          <w:color w:val="auto"/>
          <w:highlight w:val="none"/>
          <w:lang w:val="zh-CN"/>
        </w:rPr>
      </w:pPr>
    </w:p>
    <w:p w14:paraId="12486F2A">
      <w:pPr>
        <w:pStyle w:val="141"/>
        <w:rPr>
          <w:color w:val="auto"/>
          <w:highlight w:val="none"/>
          <w:lang w:val="zh-CN"/>
        </w:rPr>
      </w:pPr>
    </w:p>
    <w:p w14:paraId="797DFFC5">
      <w:pPr>
        <w:pStyle w:val="141"/>
        <w:rPr>
          <w:color w:val="auto"/>
          <w:highlight w:val="none"/>
          <w:lang w:val="zh-CN"/>
        </w:rPr>
      </w:pPr>
    </w:p>
    <w:p w14:paraId="631C2FB7">
      <w:pPr>
        <w:pStyle w:val="141"/>
        <w:rPr>
          <w:color w:val="auto"/>
          <w:highlight w:val="none"/>
          <w:lang w:val="zh-CN"/>
        </w:rPr>
      </w:pPr>
    </w:p>
    <w:p w14:paraId="5D9545E2">
      <w:pPr>
        <w:pStyle w:val="141"/>
        <w:rPr>
          <w:color w:val="auto"/>
          <w:highlight w:val="none"/>
          <w:lang w:val="zh-CN"/>
        </w:rPr>
      </w:pPr>
    </w:p>
    <w:p w14:paraId="141AC14E">
      <w:pPr>
        <w:ind w:left="0" w:leftChars="0" w:firstLine="0" w:firstLineChars="0"/>
        <w:rPr>
          <w:rFonts w:hint="eastAsia"/>
          <w:color w:val="auto"/>
          <w:highlight w:val="none"/>
          <w:lang w:val="zh-CN"/>
        </w:rPr>
      </w:pPr>
    </w:p>
    <w:p w14:paraId="1E02D768">
      <w:pPr>
        <w:tabs>
          <w:tab w:val="left" w:pos="3240"/>
          <w:tab w:val="left" w:pos="3420"/>
        </w:tabs>
        <w:spacing w:line="360" w:lineRule="auto"/>
        <w:jc w:val="left"/>
        <w:rPr>
          <w:rFonts w:hint="eastAsia" w:ascii="仿宋" w:hAnsi="仿宋" w:eastAsia="仿宋" w:cs="仿宋"/>
          <w:bCs/>
          <w:color w:val="auto"/>
          <w:sz w:val="36"/>
          <w:szCs w:val="36"/>
          <w:highlight w:val="none"/>
          <w:lang w:val="en-US" w:eastAsia="zh-CN"/>
        </w:rPr>
      </w:pPr>
      <w:r>
        <w:rPr>
          <w:rFonts w:hint="eastAsia" w:ascii="仿宋" w:hAnsi="仿宋" w:eastAsia="仿宋" w:cs="仿宋"/>
          <w:bCs/>
          <w:color w:val="auto"/>
          <w:sz w:val="36"/>
          <w:szCs w:val="36"/>
          <w:highlight w:val="none"/>
        </w:rPr>
        <w:t>项目名称：</w:t>
      </w:r>
      <w:r>
        <w:rPr>
          <w:rFonts w:hint="eastAsia" w:ascii="仿宋" w:hAnsi="仿宋" w:eastAsia="仿宋" w:cs="仿宋"/>
          <w:bCs/>
          <w:color w:val="auto"/>
          <w:sz w:val="36"/>
          <w:szCs w:val="36"/>
          <w:highlight w:val="none"/>
          <w:lang w:val="en-US" w:eastAsia="zh-CN"/>
        </w:rPr>
        <w:t>2026年墨玉县京和协作结核病防治攻坚提质项目-固投部分</w:t>
      </w:r>
    </w:p>
    <w:p w14:paraId="6A0177DB">
      <w:pPr>
        <w:tabs>
          <w:tab w:val="left" w:pos="3240"/>
          <w:tab w:val="left" w:pos="3420"/>
        </w:tabs>
        <w:spacing w:line="360" w:lineRule="auto"/>
        <w:jc w:val="left"/>
        <w:rPr>
          <w:rFonts w:hint="default" w:ascii="仿宋" w:hAnsi="仿宋" w:eastAsia="仿宋" w:cs="仿宋"/>
          <w:bCs/>
          <w:color w:val="auto"/>
          <w:sz w:val="36"/>
          <w:szCs w:val="36"/>
          <w:highlight w:val="none"/>
          <w:lang w:val="en-US" w:eastAsia="zh-CN"/>
        </w:rPr>
      </w:pPr>
      <w:r>
        <w:rPr>
          <w:rFonts w:hint="eastAsia" w:ascii="仿宋" w:hAnsi="仿宋" w:eastAsia="仿宋" w:cs="仿宋"/>
          <w:bCs/>
          <w:color w:val="auto"/>
          <w:sz w:val="36"/>
          <w:szCs w:val="36"/>
          <w:highlight w:val="none"/>
        </w:rPr>
        <w:t>项目编号/包号：</w:t>
      </w:r>
      <w:r>
        <w:rPr>
          <w:rFonts w:hint="eastAsia" w:ascii="仿宋" w:hAnsi="仿宋" w:eastAsia="仿宋" w:cs="仿宋"/>
          <w:bCs/>
          <w:color w:val="auto"/>
          <w:sz w:val="36"/>
          <w:szCs w:val="36"/>
          <w:highlight w:val="none"/>
          <w:lang w:val="en-US" w:eastAsia="zh-CN"/>
        </w:rPr>
        <w:t>MYXY(GK)-2026-020</w:t>
      </w:r>
    </w:p>
    <w:p w14:paraId="5427E5B9">
      <w:pPr>
        <w:tabs>
          <w:tab w:val="left" w:pos="3240"/>
          <w:tab w:val="left" w:pos="3420"/>
        </w:tabs>
        <w:spacing w:line="360" w:lineRule="auto"/>
        <w:jc w:val="left"/>
        <w:rPr>
          <w:rFonts w:hint="eastAsia" w:ascii="仿宋" w:hAnsi="仿宋" w:eastAsia="仿宋" w:cs="仿宋"/>
          <w:bCs/>
          <w:color w:val="auto"/>
          <w:sz w:val="36"/>
          <w:szCs w:val="36"/>
          <w:highlight w:val="none"/>
          <w:lang w:val="en-US" w:eastAsia="zh-CN"/>
        </w:rPr>
      </w:pPr>
      <w:r>
        <w:rPr>
          <w:rFonts w:hint="eastAsia" w:ascii="仿宋" w:hAnsi="仿宋" w:eastAsia="仿宋" w:cs="仿宋"/>
          <w:bCs/>
          <w:color w:val="auto"/>
          <w:sz w:val="36"/>
          <w:szCs w:val="36"/>
          <w:highlight w:val="none"/>
        </w:rPr>
        <w:t>采购人：</w:t>
      </w:r>
      <w:r>
        <w:rPr>
          <w:rFonts w:hint="eastAsia" w:ascii="仿宋" w:hAnsi="仿宋" w:eastAsia="仿宋" w:cs="仿宋"/>
          <w:bCs/>
          <w:color w:val="auto"/>
          <w:sz w:val="36"/>
          <w:szCs w:val="36"/>
          <w:highlight w:val="none"/>
          <w:lang w:val="en-US" w:eastAsia="zh-CN"/>
        </w:rPr>
        <w:t>墨玉县疾病预防控制中心</w:t>
      </w:r>
    </w:p>
    <w:p w14:paraId="1A189827">
      <w:pPr>
        <w:tabs>
          <w:tab w:val="left" w:pos="3240"/>
          <w:tab w:val="left" w:pos="3420"/>
        </w:tabs>
        <w:spacing w:line="360" w:lineRule="auto"/>
        <w:jc w:val="left"/>
        <w:rPr>
          <w:rFonts w:hint="eastAsia" w:ascii="仿宋" w:hAnsi="仿宋" w:eastAsia="仿宋" w:cs="仿宋"/>
          <w:bCs/>
          <w:color w:val="auto"/>
          <w:sz w:val="36"/>
          <w:szCs w:val="36"/>
          <w:highlight w:val="none"/>
          <w:lang w:eastAsia="zh-CN"/>
        </w:rPr>
      </w:pPr>
      <w:r>
        <w:rPr>
          <w:rFonts w:hint="eastAsia" w:ascii="仿宋" w:hAnsi="仿宋" w:eastAsia="仿宋" w:cs="仿宋"/>
          <w:bCs/>
          <w:color w:val="auto"/>
          <w:sz w:val="36"/>
          <w:szCs w:val="36"/>
          <w:highlight w:val="none"/>
        </w:rPr>
        <w:t>采购代理机构：</w:t>
      </w:r>
      <w:r>
        <w:rPr>
          <w:rFonts w:hint="eastAsia" w:ascii="仿宋" w:hAnsi="仿宋" w:eastAsia="仿宋" w:cs="仿宋"/>
          <w:bCs/>
          <w:color w:val="auto"/>
          <w:sz w:val="36"/>
          <w:szCs w:val="36"/>
          <w:highlight w:val="none"/>
          <w:lang w:eastAsia="zh-CN"/>
        </w:rPr>
        <w:t>新疆宣烨项目管理咨询有限公司</w:t>
      </w:r>
    </w:p>
    <w:p w14:paraId="3CFA76AC">
      <w:pPr>
        <w:autoSpaceDE w:val="0"/>
        <w:autoSpaceDN w:val="0"/>
        <w:jc w:val="center"/>
        <w:rPr>
          <w:rFonts w:hint="eastAsia" w:ascii="宋体" w:hAnsi="宋体" w:cs="宋体"/>
          <w:bCs/>
          <w:color w:val="auto"/>
          <w:sz w:val="44"/>
          <w:szCs w:val="44"/>
          <w:highlight w:val="none"/>
          <w:lang w:val="zh-CN"/>
        </w:rPr>
      </w:pPr>
    </w:p>
    <w:p w14:paraId="3793A9E1">
      <w:pPr>
        <w:tabs>
          <w:tab w:val="left" w:pos="3240"/>
          <w:tab w:val="left" w:pos="3420"/>
        </w:tabs>
        <w:spacing w:line="360" w:lineRule="auto"/>
        <w:jc w:val="center"/>
        <w:rPr>
          <w:rFonts w:hint="default" w:ascii="仿宋" w:hAnsi="仿宋" w:eastAsia="仿宋" w:cs="仿宋"/>
          <w:bCs/>
          <w:color w:val="auto"/>
          <w:sz w:val="36"/>
          <w:szCs w:val="36"/>
          <w:highlight w:val="none"/>
          <w:lang w:val="en-US"/>
        </w:rPr>
        <w:sectPr>
          <w:headerReference r:id="rId5" w:type="default"/>
          <w:footerReference r:id="rId6" w:type="default"/>
          <w:type w:val="continuous"/>
          <w:pgSz w:w="11905" w:h="16838"/>
          <w:pgMar w:top="1304" w:right="964" w:bottom="1020" w:left="1191" w:header="567" w:footer="454" w:gutter="0"/>
          <w:pgNumType w:fmt="decimal"/>
          <w:cols w:space="720" w:num="1"/>
          <w:rtlGutter w:val="0"/>
          <w:docGrid w:type="lines" w:linePitch="317" w:charSpace="0"/>
        </w:sectPr>
      </w:pPr>
      <w:r>
        <w:rPr>
          <w:rFonts w:hint="eastAsia" w:ascii="仿宋" w:hAnsi="仿宋" w:eastAsia="仿宋" w:cs="仿宋"/>
          <w:bCs/>
          <w:color w:val="auto"/>
          <w:sz w:val="36"/>
          <w:szCs w:val="36"/>
          <w:highlight w:val="none"/>
          <w:lang w:eastAsia="zh-CN"/>
        </w:rPr>
        <w:t>2026年</w:t>
      </w:r>
      <w:r>
        <w:rPr>
          <w:rFonts w:hint="eastAsia" w:ascii="仿宋" w:hAnsi="仿宋" w:eastAsia="仿宋" w:cs="仿宋"/>
          <w:bCs/>
          <w:color w:val="auto"/>
          <w:sz w:val="36"/>
          <w:szCs w:val="36"/>
          <w:highlight w:val="none"/>
          <w:lang w:val="en-US" w:eastAsia="zh-CN"/>
        </w:rPr>
        <w:t>10</w:t>
      </w:r>
      <w:r>
        <w:rPr>
          <w:rFonts w:hint="eastAsia" w:ascii="仿宋" w:hAnsi="仿宋" w:eastAsia="仿宋" w:cs="仿宋"/>
          <w:bCs/>
          <w:color w:val="auto"/>
          <w:sz w:val="36"/>
          <w:szCs w:val="36"/>
          <w:highlight w:val="none"/>
          <w:lang w:eastAsia="zh-CN"/>
        </w:rPr>
        <w:t>月</w:t>
      </w:r>
    </w:p>
    <w:p w14:paraId="23F237FF">
      <w:pPr>
        <w:snapToGrid w:val="0"/>
        <w:spacing w:line="700" w:lineRule="exact"/>
        <w:ind w:left="0" w:leftChars="0" w:firstLine="0" w:firstLineChars="0"/>
        <w:rPr>
          <w:rFonts w:hint="eastAsia" w:ascii="宋体" w:hAnsi="宋体"/>
          <w:bCs/>
          <w:color w:val="auto"/>
          <w:sz w:val="28"/>
          <w:szCs w:val="28"/>
          <w:highlight w:val="none"/>
          <w:lang w:eastAsia="zh-CN"/>
        </w:rPr>
      </w:pPr>
    </w:p>
    <w:p w14:paraId="0CB764A3">
      <w:pPr>
        <w:snapToGrid w:val="0"/>
        <w:spacing w:line="700" w:lineRule="exact"/>
        <w:ind w:left="-26" w:leftChars="-95" w:hanging="173" w:hangingChars="62"/>
        <w:rPr>
          <w:rFonts w:hint="eastAsia" w:ascii="仿宋" w:hAnsi="仿宋" w:eastAsia="仿宋" w:cs="仿宋"/>
          <w:bCs/>
          <w:color w:val="auto"/>
          <w:sz w:val="28"/>
          <w:szCs w:val="28"/>
          <w:highlight w:val="yellow"/>
          <w:lang w:val="en-US" w:eastAsia="zh-CN"/>
        </w:rPr>
      </w:pPr>
      <w:r>
        <w:rPr>
          <w:rFonts w:hint="eastAsia" w:ascii="仿宋" w:hAnsi="仿宋" w:eastAsia="仿宋" w:cs="仿宋"/>
          <w:bCs/>
          <w:color w:val="auto"/>
          <w:sz w:val="28"/>
          <w:szCs w:val="28"/>
          <w:highlight w:val="none"/>
          <w:lang w:eastAsia="zh-CN"/>
        </w:rPr>
        <w:br w:type="page"/>
      </w:r>
      <w:r>
        <w:rPr>
          <w:rFonts w:hint="eastAsia" w:ascii="仿宋" w:hAnsi="仿宋" w:eastAsia="仿宋" w:cs="仿宋"/>
          <w:bCs/>
          <w:color w:val="auto"/>
          <w:sz w:val="28"/>
          <w:szCs w:val="28"/>
          <w:highlight w:val="none"/>
          <w:lang w:eastAsia="zh-CN"/>
        </w:rPr>
        <w:t>项目</w:t>
      </w:r>
      <w:r>
        <w:rPr>
          <w:rFonts w:hint="eastAsia" w:ascii="仿宋" w:hAnsi="仿宋" w:eastAsia="仿宋" w:cs="仿宋"/>
          <w:bCs/>
          <w:color w:val="auto"/>
          <w:sz w:val="28"/>
          <w:szCs w:val="28"/>
          <w:highlight w:val="none"/>
        </w:rPr>
        <w:t>名称：</w:t>
      </w:r>
      <w:r>
        <w:rPr>
          <w:rFonts w:hint="eastAsia" w:ascii="仿宋" w:hAnsi="仿宋" w:eastAsia="仿宋" w:cs="仿宋"/>
          <w:bCs/>
          <w:color w:val="auto"/>
          <w:sz w:val="28"/>
          <w:szCs w:val="28"/>
          <w:highlight w:val="none"/>
          <w:lang w:val="en-US" w:eastAsia="zh-CN"/>
        </w:rPr>
        <w:t>2026年墨玉县京和协作结核病防治攻坚提质项目-固投部分</w:t>
      </w:r>
    </w:p>
    <w:p w14:paraId="1B4867EF">
      <w:pPr>
        <w:snapToGrid w:val="0"/>
        <w:spacing w:line="700" w:lineRule="exact"/>
        <w:ind w:left="-26" w:leftChars="-95" w:hanging="173" w:hangingChars="62"/>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eastAsia="zh-CN"/>
        </w:rPr>
        <w:t>采购</w:t>
      </w:r>
      <w:r>
        <w:rPr>
          <w:rFonts w:hint="eastAsia" w:ascii="仿宋" w:hAnsi="仿宋" w:eastAsia="仿宋" w:cs="仿宋"/>
          <w:bCs/>
          <w:color w:val="auto"/>
          <w:sz w:val="28"/>
          <w:szCs w:val="28"/>
          <w:highlight w:val="none"/>
        </w:rPr>
        <w:t>人</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盖章</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墨玉县疾病预防控制中心</w:t>
      </w:r>
    </w:p>
    <w:p w14:paraId="3B851BE5">
      <w:pPr>
        <w:snapToGrid w:val="0"/>
        <w:spacing w:line="700" w:lineRule="exact"/>
        <w:ind w:left="-26" w:leftChars="-95" w:hanging="173" w:hangingChars="62"/>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法定代表人或其委托代理人</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（签字或盖章）</w:t>
      </w:r>
    </w:p>
    <w:p w14:paraId="4FB2E1E4">
      <w:pPr>
        <w:snapToGrid w:val="0"/>
        <w:spacing w:line="700" w:lineRule="exact"/>
        <w:ind w:left="-26" w:leftChars="-95" w:hanging="173" w:hangingChars="62"/>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联系人：</w:t>
      </w:r>
      <w:r>
        <w:rPr>
          <w:rFonts w:hint="eastAsia" w:ascii="仿宋" w:hAnsi="仿宋" w:eastAsia="仿宋" w:cs="仿宋"/>
          <w:bCs/>
          <w:color w:val="auto"/>
          <w:sz w:val="28"/>
          <w:szCs w:val="28"/>
          <w:highlight w:val="none"/>
          <w:lang w:val="en-US" w:eastAsia="zh-CN"/>
        </w:rPr>
        <w:t>尼加提</w:t>
      </w:r>
    </w:p>
    <w:p w14:paraId="0AF81D70">
      <w:pPr>
        <w:snapToGrid w:val="0"/>
        <w:spacing w:line="700" w:lineRule="exact"/>
        <w:ind w:left="-26" w:leftChars="-95" w:hanging="173" w:hangingChars="62"/>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联系电话</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0903-6513926</w:t>
      </w:r>
    </w:p>
    <w:p w14:paraId="7F2E31A0">
      <w:pPr>
        <w:snapToGrid w:val="0"/>
        <w:spacing w:line="700" w:lineRule="exact"/>
        <w:ind w:left="-26" w:leftChars="-95" w:hanging="173" w:hangingChars="62"/>
        <w:rPr>
          <w:rFonts w:hint="eastAsia" w:ascii="仿宋" w:hAnsi="仿宋" w:eastAsia="仿宋" w:cs="仿宋"/>
          <w:bCs/>
          <w:color w:val="auto"/>
          <w:sz w:val="28"/>
          <w:szCs w:val="28"/>
          <w:highlight w:val="none"/>
        </w:rPr>
      </w:pPr>
    </w:p>
    <w:p w14:paraId="7FF1A5E3">
      <w:pPr>
        <w:snapToGrid w:val="0"/>
        <w:spacing w:line="700" w:lineRule="exact"/>
        <w:ind w:left="-26" w:leftChars="-95" w:hanging="173" w:hangingChars="62"/>
        <w:rPr>
          <w:rFonts w:hint="eastAsia" w:ascii="仿宋" w:hAnsi="仿宋" w:eastAsia="仿宋" w:cs="仿宋"/>
          <w:bCs/>
          <w:color w:val="auto"/>
          <w:sz w:val="28"/>
          <w:szCs w:val="28"/>
          <w:highlight w:val="none"/>
        </w:rPr>
      </w:pPr>
    </w:p>
    <w:p w14:paraId="736863E8">
      <w:pPr>
        <w:snapToGrid w:val="0"/>
        <w:spacing w:line="700" w:lineRule="exact"/>
        <w:ind w:left="-26" w:leftChars="-95" w:hanging="173" w:hangingChars="62"/>
        <w:rPr>
          <w:rFonts w:hint="eastAsia" w:ascii="仿宋" w:hAnsi="仿宋" w:eastAsia="仿宋" w:cs="仿宋"/>
          <w:bCs/>
          <w:color w:val="auto"/>
          <w:sz w:val="28"/>
          <w:szCs w:val="28"/>
          <w:highlight w:val="none"/>
        </w:rPr>
      </w:pPr>
    </w:p>
    <w:p w14:paraId="52738136">
      <w:pPr>
        <w:snapToGrid w:val="0"/>
        <w:spacing w:line="700" w:lineRule="exact"/>
        <w:ind w:left="-26" w:leftChars="-95" w:hanging="173" w:hangingChars="62"/>
        <w:rPr>
          <w:rFonts w:hint="eastAsia" w:ascii="仿宋" w:hAnsi="仿宋" w:eastAsia="仿宋" w:cs="仿宋"/>
          <w:bCs/>
          <w:color w:val="auto"/>
          <w:sz w:val="28"/>
          <w:szCs w:val="28"/>
          <w:highlight w:val="none"/>
        </w:rPr>
      </w:pPr>
    </w:p>
    <w:p w14:paraId="5ABC95F4">
      <w:pPr>
        <w:snapToGrid w:val="0"/>
        <w:spacing w:line="700" w:lineRule="exact"/>
        <w:ind w:left="-26" w:leftChars="-95" w:hanging="173" w:hangingChars="62"/>
        <w:rPr>
          <w:rFonts w:hint="eastAsia" w:ascii="仿宋" w:hAnsi="仿宋" w:eastAsia="仿宋" w:cs="仿宋"/>
          <w:bCs/>
          <w:color w:val="auto"/>
          <w:sz w:val="28"/>
          <w:szCs w:val="28"/>
          <w:highlight w:val="none"/>
        </w:rPr>
      </w:pPr>
    </w:p>
    <w:p w14:paraId="3C3287C5">
      <w:pPr>
        <w:snapToGrid w:val="0"/>
        <w:spacing w:line="700" w:lineRule="exact"/>
        <w:ind w:left="-26" w:leftChars="-95" w:hanging="173" w:hangingChars="62"/>
        <w:rPr>
          <w:rFonts w:hint="eastAsia" w:ascii="仿宋" w:hAnsi="仿宋" w:eastAsia="仿宋" w:cs="仿宋"/>
          <w:bCs/>
          <w:color w:val="auto"/>
          <w:sz w:val="28"/>
          <w:szCs w:val="28"/>
          <w:highlight w:val="none"/>
        </w:rPr>
      </w:pPr>
    </w:p>
    <w:p w14:paraId="6419790F">
      <w:pPr>
        <w:snapToGrid w:val="0"/>
        <w:spacing w:line="700" w:lineRule="exact"/>
        <w:ind w:left="-26" w:leftChars="-95" w:hanging="173" w:hangingChars="62"/>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招标代理机构</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盖章</w:t>
      </w:r>
      <w:r>
        <w:rPr>
          <w:rFonts w:hint="eastAsia" w:ascii="仿宋" w:hAnsi="仿宋" w:eastAsia="仿宋" w:cs="仿宋"/>
          <w:bCs/>
          <w:color w:val="auto"/>
          <w:sz w:val="28"/>
          <w:szCs w:val="28"/>
          <w:highlight w:val="none"/>
          <w:lang w:eastAsia="zh-CN"/>
        </w:rPr>
        <w:t>）</w:t>
      </w:r>
      <w:bookmarkStart w:id="0" w:name="OLE_LINK18"/>
      <w:r>
        <w:rPr>
          <w:rFonts w:hint="eastAsia" w:ascii="仿宋" w:hAnsi="仿宋" w:eastAsia="仿宋" w:cs="仿宋"/>
          <w:bCs/>
          <w:color w:val="auto"/>
          <w:sz w:val="28"/>
          <w:szCs w:val="28"/>
          <w:highlight w:val="none"/>
          <w:lang w:eastAsia="zh-CN"/>
        </w:rPr>
        <w:t>新疆宣烨项目管理咨询有限公司</w:t>
      </w:r>
    </w:p>
    <w:bookmarkEnd w:id="0"/>
    <w:p w14:paraId="0D547251">
      <w:pPr>
        <w:snapToGrid w:val="0"/>
        <w:spacing w:line="700" w:lineRule="exact"/>
        <w:ind w:left="-26" w:leftChars="-95" w:hanging="173" w:hangingChars="62"/>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法定代表人或其委托代理人</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（签字或盖章）</w:t>
      </w:r>
    </w:p>
    <w:p w14:paraId="559A2F1C">
      <w:pPr>
        <w:snapToGrid w:val="0"/>
        <w:spacing w:line="700" w:lineRule="exact"/>
        <w:ind w:left="-26" w:leftChars="-95" w:hanging="173" w:hangingChars="62"/>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联系人：</w:t>
      </w:r>
      <w:r>
        <w:rPr>
          <w:rFonts w:hint="eastAsia" w:ascii="仿宋" w:hAnsi="仿宋" w:eastAsia="仿宋" w:cs="仿宋"/>
          <w:bCs/>
          <w:color w:val="auto"/>
          <w:sz w:val="28"/>
          <w:szCs w:val="28"/>
          <w:highlight w:val="none"/>
          <w:lang w:val="en-US" w:eastAsia="zh-CN"/>
        </w:rPr>
        <w:t>阿力亚</w:t>
      </w:r>
    </w:p>
    <w:p w14:paraId="244ABAA9">
      <w:pPr>
        <w:snapToGrid w:val="0"/>
        <w:spacing w:line="700" w:lineRule="exact"/>
        <w:ind w:left="-26" w:leftChars="-95" w:hanging="173" w:hangingChars="62"/>
        <w:rPr>
          <w:rFonts w:hint="eastAsia" w:ascii="仿宋" w:hAnsi="仿宋" w:eastAsia="仿宋" w:cs="仿宋"/>
          <w:b/>
          <w:bCs/>
          <w:color w:val="auto"/>
          <w:sz w:val="28"/>
          <w:szCs w:val="28"/>
          <w:highlight w:val="none"/>
          <w:lang w:eastAsia="zh-CN"/>
        </w:rPr>
      </w:pPr>
      <w:r>
        <w:rPr>
          <w:rFonts w:hint="eastAsia" w:ascii="仿宋" w:hAnsi="仿宋" w:eastAsia="仿宋" w:cs="仿宋"/>
          <w:bCs/>
          <w:color w:val="auto"/>
          <w:sz w:val="28"/>
          <w:szCs w:val="28"/>
          <w:highlight w:val="none"/>
        </w:rPr>
        <w:t>联系电话：</w:t>
      </w:r>
      <w:r>
        <w:rPr>
          <w:rFonts w:hint="eastAsia" w:ascii="仿宋" w:hAnsi="仿宋" w:eastAsia="仿宋" w:cs="仿宋"/>
          <w:bCs/>
          <w:color w:val="auto"/>
          <w:sz w:val="28"/>
          <w:szCs w:val="28"/>
          <w:highlight w:val="none"/>
          <w:lang w:eastAsia="zh-CN"/>
        </w:rPr>
        <w:t>0903-2936333</w:t>
      </w:r>
    </w:p>
    <w:p w14:paraId="1EBB59AE">
      <w:pPr>
        <w:rPr>
          <w:rFonts w:ascii="宋体" w:hAnsi="宋体"/>
          <w:b/>
          <w:bCs/>
          <w:color w:val="auto"/>
          <w:sz w:val="28"/>
          <w:szCs w:val="28"/>
          <w:highlight w:val="none"/>
        </w:rPr>
      </w:pPr>
    </w:p>
    <w:p w14:paraId="4F080AC2">
      <w:pPr>
        <w:pStyle w:val="20"/>
        <w:ind w:firstLine="480"/>
        <w:rPr>
          <w:color w:val="auto"/>
          <w:highlight w:val="none"/>
        </w:rPr>
      </w:pPr>
    </w:p>
    <w:p w14:paraId="386E016E">
      <w:pPr>
        <w:pStyle w:val="20"/>
        <w:ind w:firstLine="480"/>
        <w:rPr>
          <w:color w:val="auto"/>
          <w:highlight w:val="none"/>
        </w:rPr>
      </w:pPr>
    </w:p>
    <w:p w14:paraId="7599CFAC">
      <w:pPr>
        <w:ind w:left="141" w:hanging="141"/>
        <w:rPr>
          <w:rFonts w:hint="eastAsia" w:ascii="宋体" w:hAnsi="宋体"/>
          <w:b/>
          <w:bCs/>
          <w:color w:val="auto"/>
          <w:sz w:val="28"/>
          <w:szCs w:val="28"/>
          <w:highlight w:val="none"/>
        </w:rPr>
        <w:sectPr>
          <w:headerReference r:id="rId8" w:type="first"/>
          <w:footerReference r:id="rId10" w:type="first"/>
          <w:headerReference r:id="rId7" w:type="default"/>
          <w:footerReference r:id="rId9" w:type="default"/>
          <w:footnotePr>
            <w:numFmt w:val="decimalHalfWidth"/>
          </w:footnotePr>
          <w:endnotePr>
            <w:numFmt w:val="chineseCounting"/>
          </w:endnotePr>
          <w:type w:val="continuous"/>
          <w:pgSz w:w="11905" w:h="16838"/>
          <w:pgMar w:top="1304" w:right="964" w:bottom="1020" w:left="1191" w:header="567" w:footer="454" w:gutter="0"/>
          <w:pgNumType w:fmt="decimal"/>
          <w:cols w:space="720" w:num="1"/>
          <w:rtlGutter w:val="0"/>
          <w:docGrid w:type="lines" w:linePitch="317" w:charSpace="0"/>
        </w:sectPr>
      </w:pPr>
    </w:p>
    <w:p w14:paraId="6B4AF1DA">
      <w:pPr>
        <w:pStyle w:val="117"/>
        <w:jc w:val="both"/>
        <w:rPr>
          <w:rFonts w:hint="eastAsia" w:ascii="宋体" w:hAnsi="宋体" w:eastAsia="宋体"/>
          <w:b/>
          <w:bCs/>
          <w:color w:val="auto"/>
          <w:sz w:val="28"/>
          <w:szCs w:val="28"/>
          <w:highlight w:val="none"/>
          <w:lang w:eastAsia="zh-CN"/>
        </w:rPr>
      </w:pPr>
    </w:p>
    <w:p w14:paraId="27FE5CD1">
      <w:pPr>
        <w:pStyle w:val="117"/>
        <w:jc w:val="both"/>
        <w:rPr>
          <w:rFonts w:hint="eastAsia" w:ascii="宋体" w:hAnsi="宋体" w:eastAsia="宋体"/>
          <w:b/>
          <w:bCs/>
          <w:color w:val="auto"/>
          <w:sz w:val="28"/>
          <w:szCs w:val="28"/>
          <w:highlight w:val="none"/>
          <w:lang w:eastAsia="zh-CN"/>
        </w:rPr>
      </w:pPr>
    </w:p>
    <w:p w14:paraId="594D5E6B">
      <w:pPr>
        <w:pStyle w:val="117"/>
        <w:jc w:val="both"/>
        <w:rPr>
          <w:rFonts w:hint="eastAsia" w:ascii="宋体" w:hAnsi="宋体"/>
          <w:b/>
          <w:bCs/>
          <w:color w:val="auto"/>
          <w:sz w:val="28"/>
          <w:szCs w:val="28"/>
          <w:highlight w:val="none"/>
        </w:rPr>
      </w:pPr>
    </w:p>
    <w:p w14:paraId="741A61D1">
      <w:pPr>
        <w:overflowPunct w:val="0"/>
        <w:ind w:left="439" w:leftChars="209" w:firstLine="3740" w:firstLineChars="850"/>
        <w:jc w:val="both"/>
        <w:rPr>
          <w:rFonts w:hint="eastAsia" w:ascii="仿宋" w:hAnsi="仿宋" w:eastAsia="仿宋" w:cs="仿宋"/>
          <w:color w:val="auto"/>
          <w:kern w:val="0"/>
          <w:sz w:val="44"/>
          <w:szCs w:val="44"/>
          <w:highlight w:val="none"/>
        </w:rPr>
        <w:sectPr>
          <w:footerReference r:id="rId11" w:type="default"/>
          <w:type w:val="continuous"/>
          <w:pgSz w:w="11905" w:h="16838"/>
          <w:pgMar w:top="1304" w:right="964" w:bottom="1020" w:left="1191" w:header="567" w:footer="454" w:gutter="0"/>
          <w:pgNumType w:fmt="decimal"/>
          <w:cols w:space="720" w:num="1"/>
          <w:rtlGutter w:val="0"/>
          <w:docGrid w:type="lines" w:linePitch="317" w:charSpace="0"/>
        </w:sectPr>
      </w:pPr>
    </w:p>
    <w:p w14:paraId="4907DCF6">
      <w:pPr>
        <w:overflowPunct w:val="0"/>
        <w:ind w:left="439" w:leftChars="209" w:firstLine="3740" w:firstLineChars="850"/>
        <w:jc w:val="both"/>
        <w:rPr>
          <w:rFonts w:hint="eastAsia" w:ascii="仿宋" w:hAnsi="仿宋" w:eastAsia="仿宋" w:cs="仿宋"/>
          <w:b w:val="0"/>
          <w:color w:val="auto"/>
          <w:sz w:val="28"/>
          <w:szCs w:val="32"/>
          <w:highlight w:val="none"/>
        </w:rPr>
      </w:pPr>
      <w:r>
        <w:rPr>
          <w:rFonts w:hint="eastAsia" w:ascii="仿宋" w:hAnsi="仿宋" w:eastAsia="仿宋" w:cs="仿宋"/>
          <w:color w:val="auto"/>
          <w:kern w:val="0"/>
          <w:sz w:val="44"/>
          <w:szCs w:val="44"/>
          <w:highlight w:val="none"/>
        </w:rPr>
        <w:t>目录</w:t>
      </w: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TOC \o "1-1" \h \u </w:instrText>
      </w:r>
      <w:r>
        <w:rPr>
          <w:rFonts w:hint="eastAsia" w:ascii="仿宋" w:hAnsi="仿宋" w:eastAsia="仿宋" w:cs="仿宋"/>
          <w:color w:val="auto"/>
          <w:sz w:val="32"/>
          <w:szCs w:val="32"/>
          <w:highlight w:val="none"/>
        </w:rPr>
        <w:fldChar w:fldCharType="separate"/>
      </w:r>
      <w:r>
        <w:rPr>
          <w:rFonts w:hint="eastAsia" w:ascii="仿宋" w:hAnsi="仿宋" w:eastAsia="仿宋" w:cs="仿宋"/>
          <w:b w:val="0"/>
          <w:color w:val="auto"/>
          <w:sz w:val="28"/>
          <w:szCs w:val="36"/>
          <w:highlight w:val="none"/>
        </w:rPr>
        <w:fldChar w:fldCharType="begin"/>
      </w:r>
      <w:r>
        <w:rPr>
          <w:rFonts w:hint="eastAsia" w:ascii="仿宋" w:hAnsi="仿宋" w:eastAsia="仿宋" w:cs="仿宋"/>
          <w:b w:val="0"/>
          <w:color w:val="auto"/>
          <w:sz w:val="28"/>
          <w:szCs w:val="36"/>
          <w:highlight w:val="none"/>
        </w:rPr>
        <w:instrText xml:space="preserve"> TOC \o "1-1" \h \z \u </w:instrText>
      </w:r>
      <w:r>
        <w:rPr>
          <w:rFonts w:hint="eastAsia" w:ascii="仿宋" w:hAnsi="仿宋" w:eastAsia="仿宋" w:cs="仿宋"/>
          <w:b w:val="0"/>
          <w:color w:val="auto"/>
          <w:sz w:val="28"/>
          <w:szCs w:val="36"/>
          <w:highlight w:val="none"/>
        </w:rPr>
        <w:fldChar w:fldCharType="separate"/>
      </w:r>
    </w:p>
    <w:p w14:paraId="058A3390">
      <w:pPr>
        <w:pStyle w:val="56"/>
        <w:tabs>
          <w:tab w:val="left" w:pos="1050"/>
          <w:tab w:val="right" w:leader="dot" w:pos="8937"/>
        </w:tabs>
        <w:spacing w:line="360" w:lineRule="auto"/>
        <w:rPr>
          <w:rFonts w:hint="eastAsia" w:ascii="仿宋" w:hAnsi="仿宋" w:eastAsia="仿宋" w:cs="仿宋"/>
          <w:b w:val="0"/>
          <w:color w:val="auto"/>
          <w:sz w:val="28"/>
          <w:szCs w:val="32"/>
          <w:highlight w:val="none"/>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"_Toc99301419"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第一章</w:t>
      </w:r>
      <w:r>
        <w:rPr>
          <w:rStyle w:val="82"/>
          <w:rFonts w:hint="eastAsia" w:ascii="仿宋" w:hAnsi="仿宋" w:eastAsia="仿宋" w:cs="仿宋"/>
          <w:color w:val="auto"/>
          <w:sz w:val="28"/>
          <w:szCs w:val="36"/>
          <w:highlight w:val="none"/>
          <w:lang w:val="en-US" w:eastAsia="zh-CN"/>
        </w:rPr>
        <w:t>招标公告</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lang w:val="en-US" w:eastAsia="zh-CN"/>
        </w:rPr>
        <w:t>4</w:t>
      </w:r>
      <w:r>
        <w:rPr>
          <w:rFonts w:hint="eastAsia" w:ascii="仿宋" w:hAnsi="仿宋" w:eastAsia="仿宋" w:cs="仿宋"/>
          <w:color w:val="auto"/>
          <w:sz w:val="28"/>
          <w:szCs w:val="36"/>
          <w:highlight w:val="none"/>
        </w:rPr>
        <w:fldChar w:fldCharType="end"/>
      </w:r>
    </w:p>
    <w:p w14:paraId="45BC3951">
      <w:pPr>
        <w:pStyle w:val="56"/>
        <w:tabs>
          <w:tab w:val="left" w:pos="1050"/>
          <w:tab w:val="right" w:leader="dot" w:pos="8937"/>
        </w:tabs>
        <w:spacing w:line="360" w:lineRule="auto"/>
        <w:rPr>
          <w:rFonts w:hint="eastAsia" w:ascii="仿宋" w:hAnsi="仿宋" w:eastAsia="仿宋" w:cs="仿宋"/>
          <w:b w:val="0"/>
          <w:color w:val="auto"/>
          <w:sz w:val="28"/>
          <w:szCs w:val="32"/>
          <w:highlight w:val="none"/>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"_Toc99301420"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第二章投标人须知</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lang w:val="en-US" w:eastAsia="zh-CN"/>
        </w:rPr>
        <w:t>8</w:t>
      </w:r>
      <w:r>
        <w:rPr>
          <w:rFonts w:hint="eastAsia" w:ascii="仿宋" w:hAnsi="仿宋" w:eastAsia="仿宋" w:cs="仿宋"/>
          <w:color w:val="auto"/>
          <w:sz w:val="28"/>
          <w:szCs w:val="36"/>
          <w:highlight w:val="none"/>
        </w:rPr>
        <w:fldChar w:fldCharType="end"/>
      </w:r>
    </w:p>
    <w:p w14:paraId="5CCF333B">
      <w:pPr>
        <w:pStyle w:val="56"/>
        <w:tabs>
          <w:tab w:val="left" w:pos="1050"/>
          <w:tab w:val="right" w:leader="dot" w:pos="8937"/>
        </w:tabs>
        <w:spacing w:line="360" w:lineRule="auto"/>
        <w:rPr>
          <w:rFonts w:hint="eastAsia" w:ascii="仿宋" w:hAnsi="仿宋" w:eastAsia="仿宋" w:cs="仿宋"/>
          <w:b w:val="0"/>
          <w:color w:val="auto"/>
          <w:sz w:val="28"/>
          <w:szCs w:val="32"/>
          <w:highlight w:val="none"/>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"_Toc99301421"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第三章资格审查</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_Toc99301421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3</w:t>
      </w:r>
      <w:r>
        <w:rPr>
          <w:rFonts w:hint="eastAsia" w:ascii="仿宋" w:hAnsi="仿宋" w:eastAsia="仿宋" w:cs="仿宋"/>
          <w:color w:val="auto"/>
          <w:sz w:val="28"/>
          <w:szCs w:val="36"/>
          <w:highlight w:val="none"/>
          <w:lang w:val="en-US" w:eastAsia="zh-CN"/>
        </w:rPr>
        <w:t>9</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44B119C2">
      <w:pPr>
        <w:pStyle w:val="56"/>
        <w:tabs>
          <w:tab w:val="left" w:pos="1050"/>
          <w:tab w:val="right" w:leader="dot" w:pos="8937"/>
        </w:tabs>
        <w:spacing w:line="360" w:lineRule="auto"/>
        <w:rPr>
          <w:rFonts w:hint="eastAsia" w:ascii="仿宋" w:hAnsi="仿宋" w:eastAsia="仿宋" w:cs="仿宋"/>
          <w:b w:val="0"/>
          <w:color w:val="auto"/>
          <w:sz w:val="28"/>
          <w:szCs w:val="32"/>
          <w:highlight w:val="none"/>
          <w:lang w:val="en-US" w:eastAsia="zh-CN"/>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"_Toc99301423"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第四章评标程序、评标方法和评标标准</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lang w:val="en-US" w:eastAsia="zh-CN"/>
        </w:rPr>
        <w:t>4</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lang w:val="en-US" w:eastAsia="zh-CN"/>
        </w:rPr>
        <w:t>1</w:t>
      </w:r>
    </w:p>
    <w:p w14:paraId="516836CD">
      <w:pPr>
        <w:pStyle w:val="56"/>
        <w:tabs>
          <w:tab w:val="left" w:pos="1050"/>
          <w:tab w:val="right" w:leader="dot" w:pos="8937"/>
        </w:tabs>
        <w:spacing w:line="360" w:lineRule="auto"/>
        <w:rPr>
          <w:rFonts w:hint="eastAsia" w:ascii="仿宋" w:hAnsi="仿宋" w:eastAsia="仿宋" w:cs="仿宋"/>
          <w:b w:val="0"/>
          <w:color w:val="auto"/>
          <w:sz w:val="28"/>
          <w:szCs w:val="32"/>
          <w:highlight w:val="none"/>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"_Toc99301424"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第五章采购需求</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_Toc99301424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4</w:t>
      </w:r>
      <w:r>
        <w:rPr>
          <w:rFonts w:hint="eastAsia" w:ascii="仿宋" w:hAnsi="仿宋" w:eastAsia="仿宋" w:cs="仿宋"/>
          <w:color w:val="auto"/>
          <w:sz w:val="28"/>
          <w:szCs w:val="36"/>
          <w:highlight w:val="none"/>
          <w:lang w:val="en-US" w:eastAsia="zh-CN"/>
        </w:rPr>
        <w:t>8</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7593E93A">
      <w:pPr>
        <w:pStyle w:val="56"/>
        <w:tabs>
          <w:tab w:val="left" w:pos="1050"/>
          <w:tab w:val="right" w:leader="dot" w:pos="8937"/>
        </w:tabs>
        <w:spacing w:line="360" w:lineRule="auto"/>
        <w:rPr>
          <w:rFonts w:hint="eastAsia" w:ascii="仿宋" w:hAnsi="仿宋" w:eastAsia="仿宋" w:cs="仿宋"/>
          <w:b w:val="0"/>
          <w:color w:val="auto"/>
          <w:sz w:val="28"/>
          <w:szCs w:val="32"/>
          <w:highlight w:val="none"/>
          <w:lang w:val="en-US" w:eastAsia="zh-CN"/>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"_Toc99301425"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第六章拟签订的合同文本</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lang w:val="en-US" w:eastAsia="zh-CN"/>
        </w:rPr>
        <w:t>5</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lang w:val="en-US" w:eastAsia="zh-CN"/>
        </w:rPr>
        <w:t>7</w:t>
      </w:r>
    </w:p>
    <w:p w14:paraId="5EB93690">
      <w:pPr>
        <w:pStyle w:val="56"/>
        <w:tabs>
          <w:tab w:val="left" w:pos="1050"/>
          <w:tab w:val="right" w:leader="dot" w:pos="8937"/>
        </w:tabs>
        <w:spacing w:line="360" w:lineRule="auto"/>
        <w:rPr>
          <w:rFonts w:hint="eastAsia" w:ascii="仿宋" w:hAnsi="仿宋" w:eastAsia="仿宋" w:cs="仿宋"/>
          <w:b w:val="0"/>
          <w:color w:val="auto"/>
          <w:sz w:val="28"/>
          <w:szCs w:val="32"/>
          <w:highlight w:val="none"/>
          <w:lang w:val="en-US" w:eastAsia="zh-CN"/>
        </w:rPr>
      </w:pP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HYPERLINK \l "_Toc99301426" </w:instrText>
      </w:r>
      <w:r>
        <w:rPr>
          <w:rFonts w:hint="eastAsia" w:ascii="仿宋" w:hAnsi="仿宋" w:eastAsia="仿宋" w:cs="仿宋"/>
          <w:color w:val="auto"/>
          <w:sz w:val="28"/>
          <w:szCs w:val="36"/>
          <w:highlight w:val="none"/>
        </w:rPr>
        <w:fldChar w:fldCharType="separate"/>
      </w:r>
      <w:r>
        <w:rPr>
          <w:rStyle w:val="82"/>
          <w:rFonts w:hint="eastAsia" w:ascii="仿宋" w:hAnsi="仿宋" w:eastAsia="仿宋" w:cs="仿宋"/>
          <w:color w:val="auto"/>
          <w:sz w:val="28"/>
          <w:szCs w:val="36"/>
          <w:highlight w:val="none"/>
        </w:rPr>
        <w:t>第七章投标文件格式</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lang w:val="en-US" w:eastAsia="zh-CN"/>
        </w:rPr>
        <w:t>7</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lang w:val="en-US" w:eastAsia="zh-CN"/>
        </w:rPr>
        <w:t>4</w:t>
      </w:r>
    </w:p>
    <w:p w14:paraId="68637371">
      <w:pPr>
        <w:rPr>
          <w:color w:val="auto"/>
          <w:highlight w:val="none"/>
        </w:rPr>
      </w:pPr>
      <w:r>
        <w:rPr>
          <w:rFonts w:hint="eastAsia" w:ascii="仿宋" w:hAnsi="仿宋" w:eastAsia="仿宋" w:cs="仿宋"/>
          <w:b w:val="0"/>
          <w:color w:val="auto"/>
          <w:sz w:val="28"/>
          <w:szCs w:val="36"/>
          <w:highlight w:val="none"/>
        </w:rPr>
        <w:fldChar w:fldCharType="end"/>
      </w:r>
      <w:r>
        <w:rPr>
          <w:rFonts w:hint="eastAsia" w:ascii="仿宋" w:hAnsi="仿宋" w:eastAsia="仿宋" w:cs="仿宋"/>
          <w:color w:val="auto"/>
          <w:sz w:val="36"/>
          <w:szCs w:val="44"/>
          <w:highlight w:val="none"/>
        </w:rPr>
        <w:fldChar w:fldCharType="end"/>
      </w:r>
    </w:p>
    <w:p w14:paraId="17BC4DD8">
      <w:pPr>
        <w:ind w:left="0" w:firstLine="0" w:firstLineChars="0"/>
        <w:jc w:val="center"/>
        <w:outlineLvl w:val="0"/>
        <w:rPr>
          <w:rFonts w:hint="eastAsia" w:ascii="宋体" w:hAnsi="宋体"/>
          <w:b/>
          <w:color w:val="auto"/>
          <w:sz w:val="28"/>
          <w:szCs w:val="28"/>
          <w:highlight w:val="none"/>
        </w:rPr>
      </w:pPr>
      <w:bookmarkStart w:id="1" w:name="_Toc17774"/>
    </w:p>
    <w:p w14:paraId="5CE1FD59">
      <w:pPr>
        <w:ind w:left="0" w:firstLine="0" w:firstLineChars="0"/>
        <w:jc w:val="center"/>
        <w:outlineLvl w:val="0"/>
        <w:rPr>
          <w:rFonts w:hint="eastAsia" w:ascii="宋体" w:hAnsi="宋体"/>
          <w:b/>
          <w:color w:val="auto"/>
          <w:sz w:val="28"/>
          <w:szCs w:val="28"/>
          <w:highlight w:val="none"/>
        </w:rPr>
      </w:pPr>
    </w:p>
    <w:p w14:paraId="1DBFC6B9">
      <w:pPr>
        <w:ind w:left="0" w:firstLine="0" w:firstLineChars="0"/>
        <w:jc w:val="center"/>
        <w:outlineLvl w:val="0"/>
        <w:rPr>
          <w:rFonts w:hint="eastAsia" w:ascii="宋体" w:hAnsi="宋体"/>
          <w:b/>
          <w:color w:val="auto"/>
          <w:sz w:val="28"/>
          <w:szCs w:val="28"/>
          <w:highlight w:val="none"/>
        </w:rPr>
      </w:pPr>
    </w:p>
    <w:p w14:paraId="48B585AE">
      <w:pPr>
        <w:ind w:left="0" w:firstLine="0" w:firstLineChars="0"/>
        <w:jc w:val="center"/>
        <w:outlineLvl w:val="0"/>
        <w:rPr>
          <w:rFonts w:hint="eastAsia" w:ascii="宋体" w:hAnsi="宋体"/>
          <w:b/>
          <w:color w:val="auto"/>
          <w:sz w:val="28"/>
          <w:szCs w:val="28"/>
          <w:highlight w:val="none"/>
        </w:rPr>
      </w:pPr>
    </w:p>
    <w:p w14:paraId="4817DE76">
      <w:pPr>
        <w:pStyle w:val="4"/>
        <w:rPr>
          <w:rFonts w:hint="eastAsia" w:ascii="宋体" w:hAnsi="宋体"/>
          <w:b/>
          <w:color w:val="auto"/>
          <w:sz w:val="28"/>
          <w:szCs w:val="28"/>
          <w:highlight w:val="none"/>
        </w:rPr>
      </w:pPr>
    </w:p>
    <w:p w14:paraId="6D299610">
      <w:pPr>
        <w:rPr>
          <w:rFonts w:hint="eastAsia" w:ascii="宋体" w:hAnsi="宋体"/>
          <w:b/>
          <w:color w:val="auto"/>
          <w:sz w:val="28"/>
          <w:szCs w:val="28"/>
          <w:highlight w:val="none"/>
        </w:rPr>
      </w:pPr>
    </w:p>
    <w:p w14:paraId="46DCD65C">
      <w:pPr>
        <w:pStyle w:val="4"/>
        <w:rPr>
          <w:rFonts w:hint="eastAsia" w:ascii="宋体" w:hAnsi="宋体"/>
          <w:b/>
          <w:color w:val="auto"/>
          <w:sz w:val="28"/>
          <w:szCs w:val="28"/>
          <w:highlight w:val="none"/>
        </w:rPr>
      </w:pPr>
    </w:p>
    <w:p w14:paraId="33140267">
      <w:pPr>
        <w:ind w:left="0" w:firstLine="0" w:firstLineChars="0"/>
        <w:jc w:val="both"/>
        <w:outlineLvl w:val="0"/>
        <w:rPr>
          <w:rFonts w:hint="eastAsia" w:ascii="方正小标宋简体" w:hAnsi="方正小标宋简体" w:eastAsia="方正小标宋简体" w:cs="方正小标宋简体"/>
          <w:b/>
          <w:color w:val="auto"/>
          <w:sz w:val="28"/>
          <w:szCs w:val="28"/>
          <w:highlight w:val="none"/>
        </w:rPr>
      </w:pPr>
    </w:p>
    <w:p w14:paraId="6BD22977">
      <w:pPr>
        <w:ind w:left="0" w:firstLine="0" w:firstLineChars="0"/>
        <w:jc w:val="both"/>
        <w:outlineLvl w:val="0"/>
        <w:rPr>
          <w:rFonts w:hint="eastAsia" w:ascii="方正小标宋简体" w:hAnsi="方正小标宋简体" w:eastAsia="方正小标宋简体" w:cs="方正小标宋简体"/>
          <w:b/>
          <w:color w:val="auto"/>
          <w:sz w:val="28"/>
          <w:szCs w:val="28"/>
          <w:highlight w:val="none"/>
        </w:rPr>
      </w:pPr>
    </w:p>
    <w:p w14:paraId="3BE277AE">
      <w:pPr>
        <w:ind w:left="0" w:firstLine="0" w:firstLineChars="0"/>
        <w:jc w:val="both"/>
        <w:outlineLvl w:val="0"/>
        <w:rPr>
          <w:rFonts w:hint="eastAsia" w:ascii="方正小标宋简体" w:hAnsi="方正小标宋简体" w:eastAsia="方正小标宋简体" w:cs="方正小标宋简体"/>
          <w:b/>
          <w:color w:val="auto"/>
          <w:sz w:val="28"/>
          <w:szCs w:val="28"/>
          <w:highlight w:val="none"/>
        </w:rPr>
      </w:pPr>
    </w:p>
    <w:p w14:paraId="2DA072BD">
      <w:pPr>
        <w:ind w:left="0" w:firstLine="0" w:firstLineChars="0"/>
        <w:jc w:val="center"/>
        <w:outlineLvl w:val="0"/>
        <w:rPr>
          <w:rFonts w:hint="eastAsia" w:ascii="仿宋" w:hAnsi="仿宋" w:eastAsia="仿宋" w:cs="仿宋"/>
          <w:b/>
          <w:color w:val="auto"/>
          <w:sz w:val="28"/>
          <w:szCs w:val="28"/>
          <w:highlight w:val="none"/>
        </w:rPr>
        <w:sectPr>
          <w:footerReference r:id="rId12" w:type="default"/>
          <w:pgSz w:w="11905" w:h="16838"/>
          <w:pgMar w:top="1304" w:right="964" w:bottom="1020" w:left="1191" w:header="567" w:footer="454" w:gutter="0"/>
          <w:pgNumType w:fmt="decimal"/>
          <w:cols w:space="720" w:num="1"/>
          <w:rtlGutter w:val="0"/>
          <w:docGrid w:type="lines" w:linePitch="317" w:charSpace="0"/>
        </w:sectPr>
      </w:pPr>
    </w:p>
    <w:p w14:paraId="70F4E1E9">
      <w:pPr>
        <w:ind w:left="0" w:firstLine="0" w:firstLineChars="0"/>
        <w:jc w:val="center"/>
        <w:outlineLvl w:val="0"/>
        <w:rPr>
          <w:rFonts w:hint="eastAsia" w:ascii="仿宋" w:hAnsi="仿宋" w:eastAsia="仿宋" w:cs="仿宋"/>
          <w:b w:val="0"/>
          <w:bCs w:val="0"/>
          <w:color w:val="auto"/>
          <w:sz w:val="20"/>
          <w:szCs w:val="20"/>
          <w:highlight w:val="none"/>
          <w:lang w:val="en-US" w:eastAsia="zh-CN"/>
        </w:rPr>
      </w:pPr>
      <w:bookmarkStart w:id="2" w:name="OLE_LINK8"/>
      <w:r>
        <w:rPr>
          <w:rFonts w:hint="eastAsia" w:ascii="仿宋" w:hAnsi="仿宋" w:eastAsia="仿宋" w:cs="仿宋"/>
          <w:b/>
          <w:color w:val="auto"/>
          <w:sz w:val="36"/>
          <w:szCs w:val="36"/>
          <w:highlight w:val="none"/>
        </w:rPr>
        <w:t>第一章招标公告</w:t>
      </w:r>
      <w:bookmarkEnd w:id="1"/>
    </w:p>
    <w:p w14:paraId="409DC865">
      <w:pPr>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2026年墨玉县京和协作结核病防治攻坚提质项目-固投部分</w:t>
      </w:r>
    </w:p>
    <w:p w14:paraId="67D03AE6">
      <w:pPr>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highlight w:val="none"/>
        </w:rPr>
      </w:pPr>
      <w:r>
        <w:rPr>
          <w:rFonts w:hint="eastAsia" w:ascii="仿宋" w:hAnsi="仿宋" w:eastAsia="仿宋" w:cs="仿宋"/>
          <w:b/>
          <w:bCs/>
          <w:color w:val="auto"/>
          <w:sz w:val="28"/>
          <w:szCs w:val="28"/>
          <w:highlight w:val="none"/>
          <w:lang w:val="en-US" w:eastAsia="zh-CN"/>
        </w:rPr>
        <w:t>公开招标公告</w:t>
      </w:r>
    </w:p>
    <w:p w14:paraId="2468BB68">
      <w:pPr>
        <w:pageBreakBefore w:val="0"/>
        <w:pBdr>
          <w:top w:val="single" w:color="auto" w:sz="4" w:space="0"/>
          <w:left w:val="single" w:color="auto" w:sz="4" w:space="4"/>
          <w:bottom w:val="single" w:color="auto" w:sz="4" w:space="1"/>
          <w:right w:val="single" w:color="auto" w:sz="4" w:space="4"/>
        </w:pBdr>
        <w:kinsoku/>
        <w:wordWrap/>
        <w:overflowPunct/>
        <w:topLinePunct w:val="0"/>
        <w:autoSpaceDE/>
        <w:autoSpaceDN/>
        <w:bidi w:val="0"/>
        <w:adjustRightInd/>
        <w:spacing w:line="240" w:lineRule="auto"/>
        <w:textAlignment w:val="auto"/>
        <w:rPr>
          <w:rFonts w:hint="eastAsia" w:ascii="仿宋" w:hAnsi="仿宋" w:eastAsia="仿宋" w:cs="仿宋"/>
          <w:i w:val="0"/>
          <w:iCs w:val="0"/>
          <w:caps w:val="0"/>
          <w:color w:val="auto"/>
          <w:spacing w:val="0"/>
          <w:kern w:val="0"/>
          <w:sz w:val="24"/>
          <w:szCs w:val="24"/>
          <w:highlight w:val="none"/>
          <w:lang w:val="en-US" w:eastAsia="zh-CN" w:bidi="ar-SA"/>
        </w:rPr>
      </w:pPr>
      <w:bookmarkStart w:id="3" w:name="_Toc35393790"/>
      <w:bookmarkStart w:id="4" w:name="_Toc28359079"/>
      <w:bookmarkStart w:id="5" w:name="_Toc35393621"/>
      <w:bookmarkStart w:id="6" w:name="_Hlk24379207"/>
      <w:bookmarkStart w:id="7" w:name="_Toc28359002"/>
      <w:r>
        <w:rPr>
          <w:rFonts w:hint="eastAsia" w:ascii="仿宋" w:hAnsi="仿宋" w:eastAsia="仿宋" w:cs="仿宋"/>
          <w:i w:val="0"/>
          <w:iCs w:val="0"/>
          <w:caps w:val="0"/>
          <w:color w:val="auto"/>
          <w:spacing w:val="0"/>
          <w:kern w:val="0"/>
          <w:sz w:val="24"/>
          <w:szCs w:val="24"/>
          <w:highlight w:val="none"/>
          <w:lang w:val="en-US" w:eastAsia="zh-CN" w:bidi="ar-SA"/>
        </w:rPr>
        <w:t>项目概况</w:t>
      </w:r>
    </w:p>
    <w:p w14:paraId="63321538">
      <w:pPr>
        <w:pageBreakBefore w:val="0"/>
        <w:pBdr>
          <w:top w:val="single" w:color="auto" w:sz="4" w:space="0"/>
          <w:left w:val="single" w:color="auto" w:sz="4" w:space="4"/>
          <w:bottom w:val="single" w:color="auto" w:sz="4" w:space="1"/>
          <w:right w:val="single" w:color="auto" w:sz="4" w:space="4"/>
        </w:pBdr>
        <w:kinsoku/>
        <w:wordWrap/>
        <w:overflowPunct/>
        <w:topLinePunct w:val="0"/>
        <w:autoSpaceDE/>
        <w:autoSpaceDN/>
        <w:bidi w:val="0"/>
        <w:adjustRightInd/>
        <w:spacing w:line="240" w:lineRule="auto"/>
        <w:ind w:left="0" w:leftChars="0" w:firstLine="480" w:firstLineChars="200"/>
        <w:textAlignment w:val="auto"/>
        <w:rPr>
          <w:rFonts w:hint="eastAsia" w:ascii="仿宋" w:hAnsi="仿宋" w:eastAsia="仿宋" w:cs="仿宋"/>
          <w:i w:val="0"/>
          <w:iCs w:val="0"/>
          <w:caps w:val="0"/>
          <w:color w:val="auto"/>
          <w:spacing w:val="0"/>
          <w:kern w:val="0"/>
          <w:sz w:val="24"/>
          <w:szCs w:val="24"/>
          <w:highlight w:val="none"/>
          <w:lang w:val="en-US" w:eastAsia="zh-CN" w:bidi="ar-SA"/>
        </w:rPr>
      </w:pPr>
      <w:r>
        <w:rPr>
          <w:rFonts w:hint="eastAsia" w:ascii="仿宋" w:hAnsi="仿宋" w:eastAsia="仿宋" w:cs="仿宋"/>
          <w:i w:val="0"/>
          <w:iCs w:val="0"/>
          <w:caps w:val="0"/>
          <w:color w:val="auto"/>
          <w:spacing w:val="0"/>
          <w:kern w:val="0"/>
          <w:sz w:val="24"/>
          <w:szCs w:val="24"/>
          <w:highlight w:val="none"/>
          <w:lang w:val="en-US" w:eastAsia="zh-CN" w:bidi="ar-SA"/>
        </w:rPr>
        <w:t>2026年墨玉县京和协作结核病防治攻坚提质项目-固投部分的潜在投标人应登录政采云平台https://www.zcygov.cn/在线申请获取采购文件（进入“项目采购”应用，在获取采购文件菜单中选择项目，申请获取采购文件），并于2026年11月03日11点00分（北京时间）前递交投标文件。</w:t>
      </w:r>
    </w:p>
    <w:bookmarkEnd w:id="3"/>
    <w:bookmarkEnd w:id="4"/>
    <w:bookmarkEnd w:id="5"/>
    <w:bookmarkEnd w:id="6"/>
    <w:bookmarkEnd w:id="7"/>
    <w:p w14:paraId="544ACF51">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outlineLvl w:val="9"/>
        <w:rPr>
          <w:rFonts w:hint="eastAsia" w:ascii="宋体" w:hAnsi="宋体" w:eastAsia="宋体" w:cs="宋体"/>
          <w:b w:val="0"/>
          <w:bCs w:val="0"/>
          <w:i w:val="0"/>
          <w:iCs w:val="0"/>
          <w:color w:val="auto"/>
          <w:kern w:val="2"/>
          <w:sz w:val="24"/>
          <w:szCs w:val="24"/>
          <w:highlight w:val="none"/>
          <w:lang w:val="en-US" w:eastAsia="zh-CN" w:bidi="ar-SA"/>
        </w:rPr>
      </w:pPr>
    </w:p>
    <w:p w14:paraId="35B2971A">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Style w:val="78"/>
          <w:rFonts w:ascii="黑体" w:hAnsi="宋体" w:eastAsia="黑体" w:cs="黑体"/>
          <w:b/>
          <w:i w:val="0"/>
          <w:iCs w:val="0"/>
          <w:caps w:val="0"/>
          <w:color w:val="auto"/>
          <w:spacing w:val="0"/>
          <w:sz w:val="27"/>
          <w:szCs w:val="27"/>
          <w:highlight w:val="none"/>
        </w:rPr>
      </w:pPr>
      <w:bookmarkStart w:id="8" w:name="_Toc24430"/>
      <w:bookmarkStart w:id="9" w:name="_Toc30392"/>
      <w:bookmarkStart w:id="10" w:name="_Toc27595"/>
      <w:r>
        <w:rPr>
          <w:rFonts w:hint="eastAsia" w:ascii="仿宋" w:hAnsi="仿宋" w:eastAsia="仿宋" w:cs="仿宋"/>
          <w:b/>
          <w:bCs/>
          <w:i w:val="0"/>
          <w:iCs w:val="0"/>
          <w:caps w:val="0"/>
          <w:color w:val="auto"/>
          <w:spacing w:val="0"/>
          <w:kern w:val="0"/>
          <w:sz w:val="24"/>
          <w:szCs w:val="24"/>
          <w:highlight w:val="none"/>
          <w:lang w:val="en-US" w:eastAsia="zh-CN" w:bidi="ar"/>
        </w:rPr>
        <w:t>一、项目基本情况</w:t>
      </w:r>
      <w:bookmarkEnd w:id="8"/>
      <w:bookmarkEnd w:id="9"/>
      <w:bookmarkEnd w:id="10"/>
    </w:p>
    <w:p w14:paraId="70843377">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项目编号：</w:t>
      </w:r>
      <w:r>
        <w:rPr>
          <w:rFonts w:hint="eastAsia" w:ascii="仿宋" w:hAnsi="仿宋" w:eastAsia="仿宋" w:cs="仿宋"/>
          <w:i w:val="0"/>
          <w:iCs w:val="0"/>
          <w:caps w:val="0"/>
          <w:color w:val="auto"/>
          <w:spacing w:val="0"/>
          <w:sz w:val="24"/>
          <w:szCs w:val="24"/>
          <w:highlight w:val="none"/>
          <w:lang w:val="en-US" w:eastAsia="zh-CN"/>
        </w:rPr>
        <w:t>MYXY(GK)-2026-020</w:t>
      </w:r>
    </w:p>
    <w:p w14:paraId="128BCC7D">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textAlignment w:val="auto"/>
        <w:rPr>
          <w:rFonts w:hint="default" w:ascii="仿宋" w:hAnsi="仿宋" w:eastAsia="仿宋" w:cs="仿宋"/>
          <w:i w:val="0"/>
          <w:iCs w:val="0"/>
          <w:caps w:val="0"/>
          <w:color w:val="auto"/>
          <w:spacing w:val="0"/>
          <w:sz w:val="24"/>
          <w:szCs w:val="24"/>
          <w:highlight w:val="none"/>
          <w:lang w:val="en-US"/>
        </w:rPr>
      </w:pPr>
      <w:r>
        <w:rPr>
          <w:rFonts w:hint="eastAsia" w:ascii="仿宋" w:hAnsi="仿宋" w:eastAsia="仿宋" w:cs="仿宋"/>
          <w:i w:val="0"/>
          <w:iCs w:val="0"/>
          <w:caps w:val="0"/>
          <w:color w:val="auto"/>
          <w:spacing w:val="0"/>
          <w:sz w:val="24"/>
          <w:szCs w:val="24"/>
          <w:highlight w:val="none"/>
        </w:rPr>
        <w:t>项目名称：</w:t>
      </w:r>
      <w:r>
        <w:rPr>
          <w:rFonts w:hint="eastAsia" w:ascii="仿宋" w:hAnsi="仿宋" w:eastAsia="仿宋" w:cs="仿宋"/>
          <w:i w:val="0"/>
          <w:iCs w:val="0"/>
          <w:caps w:val="0"/>
          <w:color w:val="auto"/>
          <w:spacing w:val="0"/>
          <w:sz w:val="24"/>
          <w:szCs w:val="24"/>
          <w:highlight w:val="none"/>
          <w:lang w:val="en-US" w:eastAsia="zh-CN"/>
        </w:rPr>
        <w:t>2026年墨玉县京和协作·结核病防治攻坚提质项目-固投部分</w:t>
      </w:r>
    </w:p>
    <w:p w14:paraId="40A3D5AE">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采购方式：</w:t>
      </w:r>
      <w:r>
        <w:rPr>
          <w:rFonts w:hint="eastAsia" w:ascii="仿宋" w:hAnsi="仿宋" w:eastAsia="仿宋" w:cs="仿宋"/>
          <w:i w:val="0"/>
          <w:iCs w:val="0"/>
          <w:caps w:val="0"/>
          <w:color w:val="auto"/>
          <w:spacing w:val="0"/>
          <w:sz w:val="24"/>
          <w:szCs w:val="24"/>
          <w:highlight w:val="none"/>
          <w:lang w:val="en-US" w:eastAsia="zh-CN"/>
        </w:rPr>
        <w:t>公开招标</w:t>
      </w:r>
    </w:p>
    <w:p w14:paraId="549B558C">
      <w:pPr>
        <w:keepNext w:val="0"/>
        <w:keepLines w:val="0"/>
        <w:widowControl/>
        <w:suppressLineNumbers w:val="0"/>
        <w:jc w:val="left"/>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预算金额：</w:t>
      </w:r>
      <w:bookmarkStart w:id="11" w:name="_Toc15068"/>
      <w:r>
        <w:rPr>
          <w:rFonts w:hint="eastAsia" w:ascii="仿宋" w:hAnsi="仿宋" w:eastAsia="仿宋" w:cs="仿宋"/>
          <w:i w:val="0"/>
          <w:iCs w:val="0"/>
          <w:caps w:val="0"/>
          <w:color w:val="auto"/>
          <w:spacing w:val="0"/>
          <w:sz w:val="24"/>
          <w:szCs w:val="24"/>
          <w:highlight w:val="none"/>
          <w:lang w:val="en-US" w:eastAsia="zh-CN"/>
        </w:rPr>
        <w:t>290万元</w:t>
      </w:r>
    </w:p>
    <w:p w14:paraId="73339E40">
      <w:pPr>
        <w:keepNext w:val="0"/>
        <w:keepLines w:val="0"/>
        <w:widowControl/>
        <w:suppressLineNumbers w:val="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最高限价：</w:t>
      </w:r>
      <w:r>
        <w:rPr>
          <w:rFonts w:hint="eastAsia" w:ascii="仿宋" w:hAnsi="仿宋" w:eastAsia="仿宋" w:cs="仿宋"/>
          <w:i w:val="0"/>
          <w:iCs w:val="0"/>
          <w:caps w:val="0"/>
          <w:color w:val="auto"/>
          <w:spacing w:val="0"/>
          <w:sz w:val="24"/>
          <w:szCs w:val="24"/>
          <w:highlight w:val="none"/>
          <w:lang w:val="en-US" w:eastAsia="zh-CN"/>
        </w:rPr>
        <w:t>290万元</w:t>
      </w:r>
    </w:p>
    <w:p w14:paraId="4CFD050D">
      <w:pPr>
        <w:pStyle w:val="70"/>
        <w:keepNext w:val="0"/>
        <w:keepLines w:val="0"/>
        <w:pageBreakBefore w:val="0"/>
        <w:widowControl/>
        <w:numPr>
          <w:ilvl w:val="0"/>
          <w:numId w:val="0"/>
        </w:numPr>
        <w:suppressLineNumbers w:val="0"/>
        <w:kinsoku/>
        <w:wordWrap/>
        <w:overflowPunct/>
        <w:topLinePunct w:val="0"/>
        <w:autoSpaceDE/>
        <w:autoSpaceDN/>
        <w:bidi w:val="0"/>
        <w:adjustRightInd/>
        <w:spacing w:before="75" w:beforeAutospacing="0" w:after="75" w:afterAutospacing="0" w:line="240" w:lineRule="auto"/>
        <w:ind w:right="0" w:rightChars="0"/>
        <w:textAlignment w:val="auto"/>
        <w:rPr>
          <w:rFonts w:hint="eastAsia" w:ascii="仿宋" w:hAnsi="仿宋" w:eastAsia="仿宋" w:cs="仿宋"/>
          <w:i w:val="0"/>
          <w:iCs w:val="0"/>
          <w:caps w:val="0"/>
          <w:color w:val="auto"/>
          <w:spacing w:val="0"/>
          <w:sz w:val="24"/>
          <w:szCs w:val="24"/>
          <w:highlight w:val="cyan"/>
          <w:lang w:val="en-US" w:eastAsia="zh-CN"/>
        </w:rPr>
      </w:pPr>
      <w:r>
        <w:rPr>
          <w:rFonts w:hint="eastAsia" w:ascii="仿宋" w:hAnsi="仿宋" w:eastAsia="仿宋" w:cs="仿宋"/>
          <w:i w:val="0"/>
          <w:iCs w:val="0"/>
          <w:caps w:val="0"/>
          <w:color w:val="auto"/>
          <w:spacing w:val="0"/>
          <w:sz w:val="24"/>
          <w:szCs w:val="24"/>
          <w:highlight w:val="none"/>
          <w:lang w:val="en-US" w:eastAsia="zh-CN"/>
        </w:rPr>
        <w:t>资金来源：</w:t>
      </w:r>
      <w:bookmarkEnd w:id="11"/>
      <w:r>
        <w:rPr>
          <w:rFonts w:hint="eastAsia" w:ascii="仿宋" w:hAnsi="仿宋" w:eastAsia="仿宋" w:cs="仿宋"/>
          <w:i w:val="0"/>
          <w:iCs w:val="0"/>
          <w:caps w:val="0"/>
          <w:color w:val="auto"/>
          <w:spacing w:val="0"/>
          <w:sz w:val="24"/>
          <w:szCs w:val="24"/>
          <w:highlight w:val="none"/>
          <w:lang w:val="en-US" w:eastAsia="zh-CN"/>
        </w:rPr>
        <w:t>北京市援疆资金</w:t>
      </w:r>
    </w:p>
    <w:p w14:paraId="10307589">
      <w:pPr>
        <w:pStyle w:val="70"/>
        <w:keepNext w:val="0"/>
        <w:keepLines w:val="0"/>
        <w:pageBreakBefore w:val="0"/>
        <w:widowControl/>
        <w:numPr>
          <w:ilvl w:val="0"/>
          <w:numId w:val="0"/>
        </w:numPr>
        <w:suppressLineNumbers w:val="0"/>
        <w:kinsoku/>
        <w:wordWrap/>
        <w:overflowPunct/>
        <w:topLinePunct w:val="0"/>
        <w:autoSpaceDE/>
        <w:autoSpaceDN/>
        <w:bidi w:val="0"/>
        <w:adjustRightInd/>
        <w:spacing w:before="75" w:beforeAutospacing="0" w:after="75" w:afterAutospacing="0" w:line="240" w:lineRule="auto"/>
        <w:ind w:right="0" w:rightChars="0"/>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采购需求：购置20台肺功能检测仪，用于全县结核病患者治愈后康复评估、随诊监测及肺功能动态追踪管理。（具体详见采购需求）</w:t>
      </w:r>
    </w:p>
    <w:p w14:paraId="39CE0C27">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textAlignment w:val="auto"/>
        <w:rPr>
          <w:rFonts w:hint="eastAsia" w:ascii="仿宋" w:hAnsi="仿宋" w:eastAsia="仿宋" w:cs="仿宋"/>
          <w:i w:val="0"/>
          <w:iCs w:val="0"/>
          <w:caps w:val="0"/>
          <w:color w:val="auto"/>
          <w:spacing w:val="0"/>
          <w:sz w:val="24"/>
          <w:szCs w:val="24"/>
          <w:highlight w:val="yellow"/>
          <w:lang w:eastAsia="zh-CN"/>
        </w:rPr>
      </w:pPr>
      <w:r>
        <w:rPr>
          <w:rFonts w:hint="eastAsia" w:ascii="仿宋" w:hAnsi="仿宋" w:eastAsia="仿宋" w:cs="仿宋"/>
          <w:i w:val="0"/>
          <w:iCs w:val="0"/>
          <w:caps w:val="0"/>
          <w:color w:val="auto"/>
          <w:spacing w:val="0"/>
          <w:sz w:val="24"/>
          <w:szCs w:val="24"/>
          <w:highlight w:val="none"/>
        </w:rPr>
        <w:t>合同履约期限：</w:t>
      </w:r>
      <w:r>
        <w:rPr>
          <w:rFonts w:hint="eastAsia" w:ascii="仿宋" w:hAnsi="仿宋" w:eastAsia="仿宋" w:cs="仿宋"/>
          <w:i w:val="0"/>
          <w:iCs w:val="0"/>
          <w:caps w:val="0"/>
          <w:color w:val="auto"/>
          <w:spacing w:val="0"/>
          <w:sz w:val="24"/>
          <w:szCs w:val="24"/>
          <w:highlight w:val="none"/>
          <w:lang w:val="en-US" w:eastAsia="zh-CN"/>
        </w:rPr>
        <w:t>30天</w:t>
      </w:r>
      <w:r>
        <w:rPr>
          <w:rFonts w:hint="eastAsia" w:ascii="仿宋" w:hAnsi="仿宋" w:eastAsia="仿宋" w:cs="仿宋"/>
          <w:i w:val="0"/>
          <w:iCs w:val="0"/>
          <w:caps w:val="0"/>
          <w:color w:val="auto"/>
          <w:spacing w:val="0"/>
          <w:sz w:val="24"/>
          <w:szCs w:val="24"/>
          <w:highlight w:val="none"/>
        </w:rPr>
        <w:t>（具体以与业主签订的合同为准）</w:t>
      </w:r>
    </w:p>
    <w:p w14:paraId="3A73192C">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default" w:ascii="仿宋" w:hAnsi="仿宋" w:eastAsia="仿宋" w:cs="仿宋"/>
          <w:b/>
          <w:bCs/>
          <w:i w:val="0"/>
          <w:iCs w:val="0"/>
          <w:caps w:val="0"/>
          <w:color w:val="auto"/>
          <w:spacing w:val="0"/>
          <w:kern w:val="0"/>
          <w:sz w:val="24"/>
          <w:szCs w:val="24"/>
          <w:highlight w:val="none"/>
          <w:lang w:val="en-US" w:eastAsia="zh-CN" w:bidi="ar"/>
        </w:rPr>
      </w:pPr>
      <w:bookmarkStart w:id="12" w:name="_Toc11569"/>
      <w:bookmarkStart w:id="13" w:name="_Toc22510"/>
      <w:bookmarkStart w:id="14" w:name="_Toc22990"/>
      <w:r>
        <w:rPr>
          <w:rFonts w:hint="eastAsia" w:ascii="仿宋" w:hAnsi="仿宋" w:eastAsia="仿宋" w:cs="仿宋"/>
          <w:b/>
          <w:bCs/>
          <w:i w:val="0"/>
          <w:iCs w:val="0"/>
          <w:caps w:val="0"/>
          <w:color w:val="auto"/>
          <w:spacing w:val="0"/>
          <w:kern w:val="0"/>
          <w:sz w:val="24"/>
          <w:szCs w:val="24"/>
          <w:highlight w:val="none"/>
          <w:lang w:val="en-US" w:eastAsia="zh-CN" w:bidi="ar"/>
        </w:rPr>
        <w:t>本项目（否）接受联合体投标：</w:t>
      </w:r>
    </w:p>
    <w:p w14:paraId="1B4C7097">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二、申请人的资格要求：</w:t>
      </w:r>
      <w:bookmarkEnd w:id="12"/>
      <w:bookmarkEnd w:id="13"/>
      <w:bookmarkEnd w:id="14"/>
    </w:p>
    <w:p w14:paraId="5159E8D3">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leftChars="0" w:right="0" w:firstLine="0" w:firstLineChars="0"/>
        <w:textAlignment w:val="auto"/>
        <w:outlineLvl w:val="2"/>
        <w:rPr>
          <w:rFonts w:hint="eastAsia" w:ascii="仿宋" w:hAnsi="仿宋" w:eastAsia="仿宋" w:cs="仿宋"/>
          <w:i w:val="0"/>
          <w:iCs w:val="0"/>
          <w:caps w:val="0"/>
          <w:color w:val="auto"/>
          <w:spacing w:val="0"/>
          <w:sz w:val="24"/>
          <w:szCs w:val="24"/>
          <w:highlight w:val="none"/>
          <w:lang w:val="en-US" w:eastAsia="zh-CN"/>
        </w:rPr>
      </w:pPr>
      <w:bookmarkStart w:id="15" w:name="_Toc23893"/>
      <w:bookmarkStart w:id="16" w:name="OLE_LINK3"/>
      <w:r>
        <w:rPr>
          <w:rFonts w:hint="eastAsia" w:ascii="仿宋" w:hAnsi="仿宋" w:eastAsia="仿宋" w:cs="仿宋"/>
          <w:i w:val="0"/>
          <w:iCs w:val="0"/>
          <w:caps w:val="0"/>
          <w:color w:val="auto"/>
          <w:spacing w:val="0"/>
          <w:sz w:val="24"/>
          <w:szCs w:val="24"/>
          <w:highlight w:val="none"/>
          <w:lang w:val="en-US" w:eastAsia="zh-CN"/>
        </w:rPr>
        <w:t>1.满足《中华人民共和国政府采购法》第二十二条规定；</w:t>
      </w:r>
      <w:bookmarkEnd w:id="15"/>
    </w:p>
    <w:p w14:paraId="29D53006">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sz w:val="24"/>
          <w:szCs w:val="24"/>
          <w:highlight w:val="none"/>
          <w:lang w:val="en-US" w:eastAsia="zh-CN"/>
        </w:rPr>
        <w:t>2.落实政府采购政策需满足的资格要求：</w:t>
      </w:r>
    </w:p>
    <w:p w14:paraId="34A40D8E">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2.1中小企业政策：本项目不专门面向中小企业</w:t>
      </w:r>
    </w:p>
    <w:p w14:paraId="3BAB574A">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☑本项目不专门面向中小企业预留采购份额。</w:t>
      </w:r>
    </w:p>
    <w:p w14:paraId="3E707157">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□本项目专门面向□中小□小微企业采购。即：提供的货物或服务全部由符合政策要求的中小/小微企业制造、服务全部由符合政策要求的中小/小微企业承接。</w:t>
      </w:r>
    </w:p>
    <w:p w14:paraId="09BFE202">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□本项目预留部分采购项目预算专门面向中小企业采购。对于预留份额，提供的货物由符合政策要求的中小企业制造、服务由符合政策要求的中小企业承接。预留份额通过以下措施进行：</w:t>
      </w:r>
    </w:p>
    <w:p w14:paraId="42303D9B">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2.2其他落实政府采购政策的资格要求</w:t>
      </w:r>
    </w:p>
    <w:p w14:paraId="70B24FF8">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（1）财政部、工业和信息化部《关于印发〈政府采购促进中小企业发展管理办法》的通知》（财库〔2020〕46号）和《关于进一步加大政府采购支持中小企业力度的通知》（财库〔2022〕19号）执行；</w:t>
      </w:r>
    </w:p>
    <w:p w14:paraId="4FE92254">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（2）财政部、民政部、中国残疾人联合会《关于促进残疾人就业政府采购政策的通知》（财库〔2017〕141号）；</w:t>
      </w:r>
    </w:p>
    <w:p w14:paraId="24B2E317">
      <w:pPr>
        <w:pStyle w:val="45"/>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（3）财政部、司法部《关于政府采购支持监狱企业发展有关问题的通知》（财库〔2014〕68号）；</w:t>
      </w:r>
    </w:p>
    <w:p w14:paraId="1966D114">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标项1：</w:t>
      </w:r>
    </w:p>
    <w:p w14:paraId="17116833">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具有独立承担民事责任的能力，如投标人是企业（包括合伙企业），应提供在工商部门注册的有效“企业法人证书”或“营业执照”；如投标人是事业单位，应提供有效的“事业单位法人证书”；投标人是非企业专业服务机构的，应提供执业许可证等证明文件；如投标人是个体工商户，应提供有效的“个体工商户营业执照”；如投标人是自然人，应提供有效的自然人身份证明；</w:t>
      </w:r>
    </w:p>
    <w:p w14:paraId="566957BF">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具有良好的商业信誉和健全的财务会计制度，提供2025年度由第三方财务审计机构出具的在注册会计师行业统一监管平台备案赋码的财务审计报告（2026年新成立的公司按实际发生的情况提供银行出具的资信证明）；</w:t>
      </w:r>
    </w:p>
    <w:p w14:paraId="02D3283D">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（3）提供税务机关出具的2026年近三个月内任意一个月的完税证明或依法报税资料（新成立不足1个月的按实际情况提供，成立时间超过1个月的零申报的需提供依法报税资料）；</w:t>
      </w:r>
    </w:p>
    <w:p w14:paraId="1E4B66E0">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法定代表人需提供法定代表人证明书及法定代表人身份证，委托代理人需提供法定代表人授权委托书及委托代理人身份证，被委托人必须是投标人法人或正式员工，需提供社保部门出具2026年任意连续三个月的缴纳社保证明（社保缴费凭证或个人明细表），成立不足三个月的按实际提供；</w:t>
      </w:r>
    </w:p>
    <w:p w14:paraId="4ABD0F73">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5）投标人近三年内如在“信用中国网www.creditchina.gov.cn”被列入失信被执行人、重大税收违法案件当事人名单、政府采购严重违法失信行为记录名单的（尚在处罚期内的）；在“中国政府采购网（www.ccgp.gov.cn）”被列入政府采购严重违法失信行为记录名单的（尚在处罚期内的）；在“国家企业信用信息公示系统（http://www.gsxt.gov.cn）”列入严重违法失信企业名单（黑名单）信息，将拒绝其参加本次政府采购活动；</w:t>
      </w:r>
    </w:p>
    <w:p w14:paraId="7E270603">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（6）具有履行合同所必需的设备和专业技术能力的承诺书；</w:t>
      </w:r>
    </w:p>
    <w:p w14:paraId="1AB1247D">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（7）提供针对本次项目《反商业贿赂承诺书》；</w:t>
      </w:r>
    </w:p>
    <w:p w14:paraId="4E756777">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（8）参与政府采购活动前 3 年内在经营活动中没有重大违法记录及未被财政部门禁止参加政府采购活动的承诺书；</w:t>
      </w:r>
    </w:p>
    <w:p w14:paraId="21337A9E">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（9）单位负责人为同一人或者存在直接控股、管理关系的不同投标人，不得参加同一合同项下的政府采购活动，提供《投标人资格声明函》；</w:t>
      </w:r>
    </w:p>
    <w:p w14:paraId="5C3E2285">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（10）投标保证金（或保函）有效缴纳凭证；</w:t>
      </w:r>
    </w:p>
    <w:p w14:paraId="3EC64BAF">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jc w:val="left"/>
        <w:textAlignment w:val="auto"/>
        <w:rPr>
          <w:rFonts w:hint="eastAsia" w:ascii="仿宋" w:hAnsi="仿宋" w:eastAsia="仿宋" w:cs="仿宋"/>
          <w:i w:val="0"/>
          <w:iCs w:val="0"/>
          <w:caps w:val="0"/>
          <w:color w:val="auto"/>
          <w:spacing w:val="0"/>
          <w:sz w:val="24"/>
          <w:szCs w:val="24"/>
          <w:highlight w:val="none"/>
          <w:lang w:val="en-US" w:eastAsia="zh-CN"/>
        </w:rPr>
      </w:pPr>
      <w:bookmarkStart w:id="17" w:name="_Toc5294"/>
      <w:r>
        <w:rPr>
          <w:rFonts w:hint="eastAsia" w:ascii="仿宋" w:hAnsi="仿宋" w:eastAsia="仿宋" w:cs="仿宋"/>
          <w:i w:val="0"/>
          <w:iCs w:val="0"/>
          <w:caps w:val="0"/>
          <w:color w:val="auto"/>
          <w:spacing w:val="0"/>
          <w:sz w:val="24"/>
          <w:szCs w:val="24"/>
          <w:highlight w:val="none"/>
          <w:lang w:val="en-US" w:eastAsia="zh-CN"/>
        </w:rPr>
        <w:t>（11）</w:t>
      </w:r>
      <w:bookmarkEnd w:id="17"/>
      <w:r>
        <w:rPr>
          <w:rFonts w:hint="eastAsia" w:ascii="仿宋" w:hAnsi="仿宋" w:eastAsia="仿宋" w:cs="仿宋"/>
          <w:i w:val="0"/>
          <w:iCs w:val="0"/>
          <w:caps w:val="0"/>
          <w:color w:val="auto"/>
          <w:spacing w:val="0"/>
          <w:sz w:val="24"/>
          <w:szCs w:val="24"/>
          <w:highlight w:val="none"/>
          <w:lang w:val="en-US" w:eastAsia="zh-CN"/>
        </w:rPr>
        <w:t>①若所投产品为第二类医疗器械，生产商须提供有效的《医疗器械生产许可证》及所投产品的《医疗器械注册证》，代理商或经销商须提供有效的《第二类医疗器械经营备案凭证》及所投产品的《医疗器械注册证》；②若所投产品为第三类医疗器械，生产商须提供有效的《医疗器械生产许可证》及所投产品的《医疗器械注册证》，代理商或经销商须提供有效的《医疗器械经营许可证》及所投产品的《医疗器械注册证》；③若所投产品不属于上述医疗器械管理范围的，可按要求提供证明文件并加盖公章。</w:t>
      </w:r>
    </w:p>
    <w:p w14:paraId="7DC73D30">
      <w:pPr>
        <w:pStyle w:val="70"/>
        <w:keepNext w:val="0"/>
        <w:keepLines w:val="0"/>
        <w:pageBreakBefore w:val="0"/>
        <w:widowControl/>
        <w:suppressLineNumbers w:val="0"/>
        <w:kinsoku/>
        <w:wordWrap/>
        <w:overflowPunct/>
        <w:topLinePunct w:val="0"/>
        <w:autoSpaceDE/>
        <w:autoSpaceDN/>
        <w:bidi w:val="0"/>
        <w:adjustRightInd/>
        <w:spacing w:before="75" w:beforeAutospacing="0" w:after="75" w:afterAutospacing="0" w:line="240" w:lineRule="auto"/>
        <w:ind w:left="0" w:right="0" w:firstLine="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（12）本项目不接受联合体投标。</w:t>
      </w:r>
    </w:p>
    <w:bookmarkEnd w:id="16"/>
    <w:p w14:paraId="23494601">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bookmarkStart w:id="18" w:name="_Toc29122"/>
      <w:bookmarkStart w:id="19" w:name="_Toc4096"/>
      <w:bookmarkStart w:id="20" w:name="_Toc14519"/>
      <w:r>
        <w:rPr>
          <w:rFonts w:hint="eastAsia" w:ascii="仿宋" w:hAnsi="仿宋" w:eastAsia="仿宋" w:cs="仿宋"/>
          <w:b/>
          <w:bCs/>
          <w:i w:val="0"/>
          <w:iCs w:val="0"/>
          <w:caps w:val="0"/>
          <w:color w:val="auto"/>
          <w:spacing w:val="0"/>
          <w:kern w:val="0"/>
          <w:sz w:val="24"/>
          <w:szCs w:val="24"/>
          <w:highlight w:val="none"/>
          <w:lang w:val="en-US" w:eastAsia="zh-CN" w:bidi="ar"/>
        </w:rPr>
        <w:t>三、获取招标文件</w:t>
      </w:r>
      <w:bookmarkEnd w:id="18"/>
      <w:bookmarkEnd w:id="19"/>
      <w:bookmarkEnd w:id="20"/>
    </w:p>
    <w:p w14:paraId="3587393E">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yellow"/>
          <w:lang w:val="en-US" w:eastAsia="zh-CN"/>
        </w:rPr>
      </w:pPr>
      <w:r>
        <w:rPr>
          <w:rFonts w:hint="eastAsia" w:ascii="仿宋" w:hAnsi="仿宋" w:eastAsia="仿宋" w:cs="仿宋"/>
          <w:i w:val="0"/>
          <w:iCs w:val="0"/>
          <w:caps w:val="0"/>
          <w:color w:val="auto"/>
          <w:spacing w:val="0"/>
          <w:sz w:val="24"/>
          <w:szCs w:val="24"/>
          <w:highlight w:val="none"/>
          <w:lang w:val="en-US" w:eastAsia="zh-CN"/>
        </w:rPr>
        <w:t>时间：2026年10月14日起至2026年10月21日，每天上午00:00至12:00，下午12:00至23:59</w:t>
      </w:r>
    </w:p>
    <w:p w14:paraId="19B2427D">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地点：政采云平台https://www.zcygov.cn/线上获取</w:t>
      </w:r>
    </w:p>
    <w:p w14:paraId="36338099">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方式：供应商登录政采云平台https://www.zcygov.cn/在线申请获取采购文件（进入“项目采购”应用，在获取采购文件菜单中选择项目，申请获取采购文件）</w:t>
      </w:r>
    </w:p>
    <w:p w14:paraId="2B64272B">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售价（元）：0</w:t>
      </w:r>
    </w:p>
    <w:p w14:paraId="3FCBC1BE">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bookmarkStart w:id="21" w:name="_Toc20322"/>
      <w:bookmarkStart w:id="22" w:name="_Toc4068"/>
      <w:bookmarkStart w:id="23" w:name="_Toc4398"/>
      <w:r>
        <w:rPr>
          <w:rFonts w:hint="eastAsia" w:ascii="仿宋" w:hAnsi="仿宋" w:eastAsia="仿宋" w:cs="仿宋"/>
          <w:b/>
          <w:bCs/>
          <w:i w:val="0"/>
          <w:iCs w:val="0"/>
          <w:caps w:val="0"/>
          <w:color w:val="auto"/>
          <w:spacing w:val="0"/>
          <w:kern w:val="0"/>
          <w:sz w:val="24"/>
          <w:szCs w:val="24"/>
          <w:highlight w:val="none"/>
          <w:lang w:val="en-US" w:eastAsia="zh-CN" w:bidi="ar"/>
        </w:rPr>
        <w:t>四、提交投标文件截止时间、开标时间和地点</w:t>
      </w:r>
      <w:bookmarkEnd w:id="21"/>
      <w:bookmarkEnd w:id="22"/>
      <w:bookmarkEnd w:id="23"/>
    </w:p>
    <w:p w14:paraId="30C2CEDB">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提交投标文件截止时间：</w:t>
      </w:r>
      <w:r>
        <w:rPr>
          <w:rFonts w:hint="eastAsia" w:ascii="仿宋" w:hAnsi="仿宋" w:eastAsia="仿宋" w:cs="仿宋"/>
          <w:i w:val="0"/>
          <w:iCs w:val="0"/>
          <w:caps w:val="0"/>
          <w:color w:val="auto"/>
          <w:spacing w:val="0"/>
          <w:kern w:val="0"/>
          <w:sz w:val="24"/>
          <w:szCs w:val="24"/>
          <w:highlight w:val="none"/>
          <w:lang w:val="en-US" w:eastAsia="zh-CN" w:bidi="ar-SA"/>
        </w:rPr>
        <w:t>2026年11月03日</w:t>
      </w:r>
      <w:r>
        <w:rPr>
          <w:rFonts w:hint="eastAsia" w:ascii="仿宋" w:hAnsi="仿宋" w:eastAsia="仿宋" w:cs="仿宋"/>
          <w:i w:val="0"/>
          <w:iCs w:val="0"/>
          <w:caps w:val="0"/>
          <w:color w:val="auto"/>
          <w:spacing w:val="0"/>
          <w:sz w:val="24"/>
          <w:szCs w:val="24"/>
          <w:highlight w:val="none"/>
          <w:lang w:val="en-US" w:eastAsia="zh-CN"/>
        </w:rPr>
        <w:t>上午11:00（北京时间）</w:t>
      </w:r>
    </w:p>
    <w:p w14:paraId="02556C2F">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投标地点：投标人应于</w:t>
      </w:r>
      <w:r>
        <w:rPr>
          <w:rFonts w:hint="eastAsia" w:ascii="仿宋" w:hAnsi="仿宋" w:eastAsia="仿宋" w:cs="仿宋"/>
          <w:i w:val="0"/>
          <w:iCs w:val="0"/>
          <w:caps w:val="0"/>
          <w:color w:val="auto"/>
          <w:spacing w:val="0"/>
          <w:kern w:val="0"/>
          <w:sz w:val="24"/>
          <w:szCs w:val="24"/>
          <w:highlight w:val="none"/>
          <w:lang w:val="en-US" w:eastAsia="zh-CN" w:bidi="ar-SA"/>
        </w:rPr>
        <w:t>2026年11月03日</w:t>
      </w:r>
      <w:r>
        <w:rPr>
          <w:rFonts w:hint="eastAsia" w:ascii="仿宋" w:hAnsi="仿宋" w:eastAsia="仿宋" w:cs="仿宋"/>
          <w:i w:val="0"/>
          <w:iCs w:val="0"/>
          <w:caps w:val="0"/>
          <w:color w:val="auto"/>
          <w:spacing w:val="0"/>
          <w:sz w:val="24"/>
          <w:szCs w:val="24"/>
          <w:highlight w:val="none"/>
          <w:lang w:val="en-US" w:eastAsia="zh-CN"/>
        </w:rPr>
        <w:t>上午11:00（北京时间）之前将电子投标文件上传到新疆政府采购平台。应按照本项目招标文件和新疆政府采购平台的要求编制、加密传输投标文件。</w:t>
      </w:r>
    </w:p>
    <w:p w14:paraId="61B78C9E">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开标时间：</w:t>
      </w:r>
      <w:r>
        <w:rPr>
          <w:rFonts w:hint="eastAsia" w:ascii="仿宋" w:hAnsi="仿宋" w:eastAsia="仿宋" w:cs="仿宋"/>
          <w:i w:val="0"/>
          <w:iCs w:val="0"/>
          <w:caps w:val="0"/>
          <w:color w:val="auto"/>
          <w:spacing w:val="0"/>
          <w:kern w:val="0"/>
          <w:sz w:val="24"/>
          <w:szCs w:val="24"/>
          <w:highlight w:val="none"/>
          <w:lang w:val="en-US" w:eastAsia="zh-CN" w:bidi="ar-SA"/>
        </w:rPr>
        <w:t>2026年11月03日</w:t>
      </w:r>
      <w:r>
        <w:rPr>
          <w:rFonts w:hint="eastAsia" w:ascii="仿宋" w:hAnsi="仿宋" w:eastAsia="仿宋" w:cs="仿宋"/>
          <w:i w:val="0"/>
          <w:iCs w:val="0"/>
          <w:caps w:val="0"/>
          <w:color w:val="auto"/>
          <w:spacing w:val="0"/>
          <w:sz w:val="24"/>
          <w:szCs w:val="24"/>
          <w:highlight w:val="none"/>
          <w:lang w:val="en-US" w:eastAsia="zh-CN"/>
        </w:rPr>
        <w:t>上午11:00（北京时间）</w:t>
      </w:r>
    </w:p>
    <w:p w14:paraId="74B86DF7">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开标地点：</w:t>
      </w:r>
      <w:bookmarkStart w:id="24" w:name="_Toc9151"/>
      <w:bookmarkStart w:id="25" w:name="_Toc30941"/>
      <w:bookmarkStart w:id="26" w:name="_Toc19015"/>
      <w:r>
        <w:rPr>
          <w:rFonts w:hint="eastAsia" w:ascii="仿宋" w:hAnsi="仿宋" w:eastAsia="仿宋" w:cs="仿宋"/>
          <w:b w:val="0"/>
          <w:bCs w:val="0"/>
          <w:i w:val="0"/>
          <w:iCs w:val="0"/>
          <w:caps w:val="0"/>
          <w:color w:val="auto"/>
          <w:spacing w:val="0"/>
          <w:sz w:val="24"/>
          <w:szCs w:val="24"/>
          <w:highlight w:val="none"/>
          <w:lang w:val="en-US" w:eastAsia="zh-CN"/>
        </w:rPr>
        <w:t>政采云平台（</w:t>
      </w:r>
      <w:r>
        <w:rPr>
          <w:rFonts w:hint="eastAsia" w:ascii="仿宋" w:hAnsi="仿宋" w:eastAsia="仿宋" w:cs="仿宋"/>
          <w:b w:val="0"/>
          <w:bCs w:val="0"/>
          <w:i w:val="0"/>
          <w:iCs w:val="0"/>
          <w:caps w:val="0"/>
          <w:color w:val="auto"/>
          <w:spacing w:val="0"/>
          <w:sz w:val="24"/>
          <w:szCs w:val="24"/>
          <w:highlight w:val="none"/>
          <w:lang w:val="en-US" w:eastAsia="zh-CN"/>
        </w:rPr>
        <w:fldChar w:fldCharType="begin"/>
      </w:r>
      <w:r>
        <w:rPr>
          <w:rFonts w:hint="eastAsia" w:ascii="仿宋" w:hAnsi="仿宋" w:eastAsia="仿宋" w:cs="仿宋"/>
          <w:b w:val="0"/>
          <w:bCs w:val="0"/>
          <w:i w:val="0"/>
          <w:iCs w:val="0"/>
          <w:caps w:val="0"/>
          <w:color w:val="auto"/>
          <w:spacing w:val="0"/>
          <w:sz w:val="24"/>
          <w:szCs w:val="24"/>
          <w:highlight w:val="none"/>
          <w:lang w:val="en-US" w:eastAsia="zh-CN"/>
        </w:rPr>
        <w:instrText xml:space="preserve"> HYPERLINK "https://www.zcygov.cn/" </w:instrText>
      </w:r>
      <w:r>
        <w:rPr>
          <w:rFonts w:hint="eastAsia" w:ascii="仿宋" w:hAnsi="仿宋" w:eastAsia="仿宋" w:cs="仿宋"/>
          <w:b w:val="0"/>
          <w:bCs w:val="0"/>
          <w:i w:val="0"/>
          <w:iCs w:val="0"/>
          <w:caps w:val="0"/>
          <w:color w:val="auto"/>
          <w:spacing w:val="0"/>
          <w:sz w:val="24"/>
          <w:szCs w:val="24"/>
          <w:highlight w:val="none"/>
          <w:lang w:val="en-US" w:eastAsia="zh-CN"/>
        </w:rPr>
        <w:fldChar w:fldCharType="separate"/>
      </w:r>
      <w:r>
        <w:rPr>
          <w:rFonts w:hint="eastAsia" w:ascii="仿宋" w:hAnsi="仿宋" w:eastAsia="仿宋" w:cs="仿宋"/>
          <w:b w:val="0"/>
          <w:bCs w:val="0"/>
          <w:i w:val="0"/>
          <w:iCs w:val="0"/>
          <w:caps w:val="0"/>
          <w:color w:val="auto"/>
          <w:spacing w:val="0"/>
          <w:sz w:val="24"/>
          <w:szCs w:val="24"/>
          <w:highlight w:val="none"/>
          <w:lang w:val="en-US" w:eastAsia="zh-CN"/>
        </w:rPr>
        <w:t>https://www.zcygov.cn/</w:t>
      </w:r>
      <w:r>
        <w:rPr>
          <w:rFonts w:hint="eastAsia" w:ascii="仿宋" w:hAnsi="仿宋" w:eastAsia="仿宋" w:cs="仿宋"/>
          <w:b w:val="0"/>
          <w:bCs w:val="0"/>
          <w:i w:val="0"/>
          <w:iCs w:val="0"/>
          <w:caps w:val="0"/>
          <w:color w:val="auto"/>
          <w:spacing w:val="0"/>
          <w:sz w:val="24"/>
          <w:szCs w:val="24"/>
          <w:highlight w:val="none"/>
          <w:lang w:val="en-US" w:eastAsia="zh-CN"/>
        </w:rPr>
        <w:fldChar w:fldCharType="end"/>
      </w:r>
      <w:r>
        <w:rPr>
          <w:rFonts w:hint="eastAsia" w:ascii="仿宋" w:hAnsi="仿宋" w:eastAsia="仿宋" w:cs="仿宋"/>
          <w:b w:val="0"/>
          <w:bCs w:val="0"/>
          <w:i w:val="0"/>
          <w:iCs w:val="0"/>
          <w:caps w:val="0"/>
          <w:color w:val="auto"/>
          <w:spacing w:val="0"/>
          <w:sz w:val="24"/>
          <w:szCs w:val="24"/>
          <w:highlight w:val="none"/>
          <w:lang w:val="en-US" w:eastAsia="zh-CN"/>
        </w:rPr>
        <w:t>）不见面开标</w:t>
      </w:r>
    </w:p>
    <w:p w14:paraId="7E7175AF">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五、公告期限</w:t>
      </w:r>
      <w:bookmarkEnd w:id="24"/>
      <w:bookmarkEnd w:id="25"/>
      <w:bookmarkEnd w:id="26"/>
    </w:p>
    <w:p w14:paraId="245F52AF">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自本公告发布之日起5个工作日。</w:t>
      </w:r>
    </w:p>
    <w:p w14:paraId="197AD09A">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bookmarkStart w:id="27" w:name="_Toc32428"/>
      <w:bookmarkStart w:id="28" w:name="_Toc1504"/>
      <w:bookmarkStart w:id="29" w:name="_Toc2426"/>
      <w:r>
        <w:rPr>
          <w:rFonts w:hint="eastAsia" w:ascii="仿宋" w:hAnsi="仿宋" w:eastAsia="仿宋" w:cs="仿宋"/>
          <w:b/>
          <w:bCs/>
          <w:i w:val="0"/>
          <w:iCs w:val="0"/>
          <w:caps w:val="0"/>
          <w:color w:val="auto"/>
          <w:spacing w:val="0"/>
          <w:kern w:val="0"/>
          <w:sz w:val="24"/>
          <w:szCs w:val="24"/>
          <w:highlight w:val="none"/>
          <w:lang w:val="en-US" w:eastAsia="zh-CN" w:bidi="ar"/>
        </w:rPr>
        <w:t>六、其他补充事宜</w:t>
      </w:r>
      <w:bookmarkEnd w:id="27"/>
      <w:bookmarkEnd w:id="28"/>
      <w:bookmarkEnd w:id="29"/>
    </w:p>
    <w:p w14:paraId="1F4EFC44">
      <w:pPr>
        <w:pStyle w:val="70"/>
        <w:keepNext w:val="0"/>
        <w:keepLines w:val="0"/>
        <w:widowControl/>
        <w:suppressLineNumbers w:val="0"/>
        <w:spacing w:before="75" w:beforeAutospacing="0" w:after="75" w:afterAutospacing="0" w:line="240" w:lineRule="auto"/>
        <w:ind w:right="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1.本项目实行网上投标，采用电子投标文件。若供应商参与投标，自行承担投标一切费用。</w:t>
      </w:r>
    </w:p>
    <w:p w14:paraId="7F6F7BAF">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2.各供应商应在开标前确保成为新疆维吾尔自治区政府采购网正式注册入库供应商，并完成CA数字证书申领。因未注册入库、未办理CA数字证书等原因造成无法投标或投标失败等后果由供应商自行承担。</w:t>
      </w:r>
    </w:p>
    <w:p w14:paraId="6D29441F">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95763进行咨询。</w:t>
      </w:r>
    </w:p>
    <w:p w14:paraId="0024D995">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4.有意向参与新疆区域电子开评标的供应商，可访问新疆数字证书认证中心官方网站（https://www.xjca.com.cn/）或下载“新疆政务通”APP自行进行申领。如需咨询，请联系新疆CA服务热线0991-2819290。</w:t>
      </w:r>
    </w:p>
    <w:p w14:paraId="52FFDF9E">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b/>
          <w:bCs/>
          <w:i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sz w:val="24"/>
          <w:szCs w:val="24"/>
          <w:highlight w:val="none"/>
          <w:lang w:val="en-US" w:eastAsia="zh-CN"/>
        </w:rPr>
        <w:t>5.根据财政部、工业和信息化部关于印发《政府采购促进中小企业发展管理办法》的通知（财库〔2020〕46号），投标人及其所投产品的制造商均属于《工业和信息化部、国家统计局、国家发展和改革委员会、财政部关于印发中小企业划型标准规定的通知》（工信部联企业〔2011〕450号）中规定的小型、微型企业标准的，按文件格式提供《中小企业声明函》等政府采购政策文件。《财政部发展改革委生态环境部市场监管总局关于调整优化节能产品、环境标志产品政府采购执行机制的通知》（财库〔2019〕9号）。</w:t>
      </w:r>
    </w:p>
    <w:p w14:paraId="30F4CA5F">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bCs/>
          <w:i w:val="0"/>
          <w:caps w:val="0"/>
          <w:color w:val="auto"/>
          <w:spacing w:val="0"/>
          <w:kern w:val="0"/>
          <w:sz w:val="24"/>
          <w:szCs w:val="24"/>
          <w:highlight w:val="none"/>
          <w:vertAlign w:val="baseline"/>
          <w:lang w:val="en-US" w:eastAsia="zh-CN" w:bidi="ar"/>
        </w:rPr>
        <w:t>特别强调：</w:t>
      </w:r>
    </w:p>
    <w:p w14:paraId="3763E072">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对于未预留份额专门面向中小企业的采购项目，以及预留份额项目中的非预留部分采购包，采购人、采购代理机构应当对符合规定的小微企业报价给予10％～20％（工程项目为6％～10％）的扣除，用扣除后的价格参加评审。适用招标投标法的政府采购工程建设项目，采用综合评估法但未采用低价优先法计算价格分的，评标时应当在采用原报价进行评分的基础上增加其价得分的6％～10％作为其价格分。</w:t>
      </w:r>
    </w:p>
    <w:p w14:paraId="09819D5D">
      <w:pPr>
        <w:pStyle w:val="70"/>
        <w:keepNext w:val="0"/>
        <w:keepLines w:val="0"/>
        <w:widowControl/>
        <w:suppressLineNumbers w:val="0"/>
        <w:spacing w:before="75" w:beforeAutospacing="0" w:after="75" w:afterAutospacing="0" w:line="240" w:lineRule="auto"/>
        <w:ind w:left="0" w:leftChars="0" w:right="0" w:firstLine="0" w:firstLineChars="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接受大中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4％～6％（工程项目为2％～4％）的扣除，用扣除后的价格参加评审。适用招标投标法的政府采购工程建设项目，采用综合评估法但未采用低价优先法计算价格分的，评标时应当在采用原报价进行评分的基础上增加其价格得分的2％～4％作为其价格分。</w:t>
      </w:r>
    </w:p>
    <w:p w14:paraId="66B79041">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bookmarkStart w:id="30" w:name="_Toc3331"/>
      <w:bookmarkStart w:id="31" w:name="_Toc3294"/>
      <w:bookmarkStart w:id="32" w:name="_Toc9402"/>
    </w:p>
    <w:p w14:paraId="4F3E15C2">
      <w:pPr>
        <w:rPr>
          <w:rFonts w:hint="eastAsia" w:ascii="仿宋" w:hAnsi="仿宋" w:eastAsia="仿宋" w:cs="仿宋"/>
          <w:b/>
          <w:bCs/>
          <w:i w:val="0"/>
          <w:iCs w:val="0"/>
          <w:caps w:val="0"/>
          <w:color w:val="auto"/>
          <w:spacing w:val="0"/>
          <w:kern w:val="0"/>
          <w:sz w:val="24"/>
          <w:szCs w:val="24"/>
          <w:highlight w:val="none"/>
          <w:lang w:val="en-US" w:eastAsia="zh-CN" w:bidi="ar"/>
        </w:rPr>
      </w:pPr>
    </w:p>
    <w:p w14:paraId="474EA9E8">
      <w:pPr>
        <w:pStyle w:val="3"/>
        <w:pageBreakBefore w:val="0"/>
        <w:widowControl w:val="0"/>
        <w:kinsoku/>
        <w:wordWrap/>
        <w:overflowPunct/>
        <w:topLinePunct w:val="0"/>
        <w:autoSpaceDE/>
        <w:autoSpaceDN/>
        <w:bidi w:val="0"/>
        <w:adjustRightInd/>
        <w:snapToGrid/>
        <w:spacing w:before="0" w:after="0" w:line="360" w:lineRule="auto"/>
        <w:ind w:left="0" w:leftChars="0" w:firstLine="0" w:firstLineChars="0"/>
        <w:jc w:val="both"/>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七、对本次采购提出询问，请按以下方式联系</w:t>
      </w:r>
      <w:bookmarkEnd w:id="30"/>
      <w:bookmarkEnd w:id="31"/>
      <w:bookmarkEnd w:id="32"/>
    </w:p>
    <w:p w14:paraId="164C3A19">
      <w:pPr>
        <w:pStyle w:val="141"/>
        <w:spacing w:line="360" w:lineRule="auto"/>
        <w:rPr>
          <w:rFonts w:hint="eastAsia" w:ascii="仿宋" w:hAnsi="仿宋" w:eastAsia="仿宋" w:cs="仿宋"/>
          <w:i w:val="0"/>
          <w:iCs w:val="0"/>
          <w:caps w:val="0"/>
          <w:color w:val="auto"/>
          <w:spacing w:val="0"/>
          <w:kern w:val="0"/>
          <w:sz w:val="24"/>
          <w:szCs w:val="24"/>
          <w:highlight w:val="none"/>
          <w:lang w:val="en-US" w:eastAsia="zh-CN" w:bidi="ar"/>
        </w:rPr>
      </w:pPr>
      <w:bookmarkStart w:id="33" w:name="_Toc7331"/>
      <w:r>
        <w:rPr>
          <w:rFonts w:hint="eastAsia" w:ascii="仿宋" w:hAnsi="仿宋" w:eastAsia="仿宋" w:cs="仿宋"/>
          <w:i w:val="0"/>
          <w:iCs w:val="0"/>
          <w:caps w:val="0"/>
          <w:color w:val="auto"/>
          <w:spacing w:val="0"/>
          <w:kern w:val="0"/>
          <w:sz w:val="24"/>
          <w:szCs w:val="24"/>
          <w:highlight w:val="none"/>
          <w:lang w:val="en-US" w:eastAsia="zh-CN" w:bidi="ar"/>
        </w:rPr>
        <w:t>1.本项目采购人：</w:t>
      </w:r>
      <w:bookmarkEnd w:id="33"/>
      <w:r>
        <w:rPr>
          <w:rFonts w:hint="eastAsia" w:ascii="仿宋" w:hAnsi="仿宋" w:eastAsia="仿宋" w:cs="仿宋"/>
          <w:i w:val="0"/>
          <w:iCs w:val="0"/>
          <w:caps w:val="0"/>
          <w:color w:val="auto"/>
          <w:spacing w:val="0"/>
          <w:kern w:val="0"/>
          <w:sz w:val="24"/>
          <w:szCs w:val="24"/>
          <w:highlight w:val="none"/>
          <w:lang w:val="en-US" w:eastAsia="zh-CN" w:bidi="ar"/>
        </w:rPr>
        <w:t>墨玉县疾病预防控制中心       </w:t>
      </w:r>
    </w:p>
    <w:p w14:paraId="780092F8">
      <w:pPr>
        <w:pStyle w:val="141"/>
        <w:numPr>
          <w:ilvl w:val="0"/>
          <w:numId w:val="0"/>
        </w:numPr>
        <w:spacing w:line="360" w:lineRule="auto"/>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联系人姓名：尼加提     </w:t>
      </w:r>
    </w:p>
    <w:p w14:paraId="2111CDB3">
      <w:pPr>
        <w:pStyle w:val="141"/>
        <w:numPr>
          <w:ilvl w:val="0"/>
          <w:numId w:val="0"/>
        </w:numPr>
        <w:spacing w:line="360" w:lineRule="auto"/>
        <w:rPr>
          <w:rFonts w:hint="eastAsia" w:ascii="仿宋" w:hAnsi="仿宋" w:eastAsia="仿宋" w:cs="仿宋"/>
          <w:i w:val="0"/>
          <w:iCs w:val="0"/>
          <w:caps w:val="0"/>
          <w:color w:val="auto"/>
          <w:spacing w:val="0"/>
          <w:kern w:val="0"/>
          <w:sz w:val="24"/>
          <w:szCs w:val="24"/>
          <w:highlight w:val="yellow"/>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联系电话：</w:t>
      </w:r>
      <w:bookmarkStart w:id="34" w:name="OLE_LINK30"/>
      <w:bookmarkStart w:id="35" w:name="_Toc1309"/>
      <w:r>
        <w:rPr>
          <w:rFonts w:hint="eastAsia" w:ascii="仿宋" w:hAnsi="仿宋" w:eastAsia="仿宋" w:cs="仿宋"/>
          <w:i w:val="0"/>
          <w:iCs w:val="0"/>
          <w:caps w:val="0"/>
          <w:color w:val="auto"/>
          <w:spacing w:val="0"/>
          <w:kern w:val="0"/>
          <w:sz w:val="24"/>
          <w:szCs w:val="24"/>
          <w:highlight w:val="none"/>
          <w:lang w:val="en-US" w:eastAsia="zh-CN" w:bidi="ar"/>
        </w:rPr>
        <w:t>0903-</w:t>
      </w:r>
      <w:bookmarkEnd w:id="34"/>
      <w:r>
        <w:rPr>
          <w:rFonts w:hint="eastAsia" w:ascii="仿宋" w:hAnsi="仿宋" w:eastAsia="仿宋" w:cs="仿宋"/>
          <w:i w:val="0"/>
          <w:iCs w:val="0"/>
          <w:caps w:val="0"/>
          <w:color w:val="auto"/>
          <w:spacing w:val="0"/>
          <w:kern w:val="0"/>
          <w:sz w:val="24"/>
          <w:szCs w:val="24"/>
          <w:highlight w:val="none"/>
          <w:lang w:val="en-US" w:eastAsia="zh-CN" w:bidi="ar"/>
        </w:rPr>
        <w:t>6513926</w:t>
      </w:r>
    </w:p>
    <w:p w14:paraId="742631AD">
      <w:pPr>
        <w:pStyle w:val="141"/>
        <w:numPr>
          <w:ilvl w:val="0"/>
          <w:numId w:val="0"/>
        </w:numPr>
        <w:spacing w:line="360" w:lineRule="auto"/>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2.采购代理机构：</w:t>
      </w:r>
      <w:bookmarkEnd w:id="35"/>
      <w:r>
        <w:rPr>
          <w:rFonts w:hint="eastAsia" w:ascii="仿宋" w:hAnsi="仿宋" w:eastAsia="仿宋" w:cs="仿宋"/>
          <w:i w:val="0"/>
          <w:iCs w:val="0"/>
          <w:caps w:val="0"/>
          <w:color w:val="auto"/>
          <w:spacing w:val="0"/>
          <w:kern w:val="0"/>
          <w:sz w:val="24"/>
          <w:szCs w:val="24"/>
          <w:highlight w:val="none"/>
          <w:lang w:val="en-US" w:eastAsia="zh-CN" w:bidi="ar"/>
        </w:rPr>
        <w:t>新疆宣烨项目管理咨询有限公司</w:t>
      </w:r>
    </w:p>
    <w:p w14:paraId="302A70B3">
      <w:pPr>
        <w:pStyle w:val="70"/>
        <w:keepNext w:val="0"/>
        <w:keepLines w:val="0"/>
        <w:widowControl/>
        <w:suppressLineNumbers w:val="0"/>
        <w:spacing w:before="75" w:beforeAutospacing="0" w:after="75" w:afterAutospacing="0" w:line="360" w:lineRule="auto"/>
        <w:ind w:left="0" w:leftChars="0" w:right="0" w:firstLine="0" w:firstLineChars="0"/>
        <w:jc w:val="left"/>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地址：</w:t>
      </w:r>
      <w:r>
        <w:rPr>
          <w:rFonts w:hint="eastAsia" w:ascii="仿宋" w:hAnsi="仿宋" w:eastAsia="仿宋" w:cs="仿宋"/>
          <w:i w:val="0"/>
          <w:iCs w:val="0"/>
          <w:caps w:val="0"/>
          <w:color w:val="auto"/>
          <w:spacing w:val="0"/>
          <w:sz w:val="24"/>
          <w:szCs w:val="24"/>
          <w:highlight w:val="none"/>
          <w:lang w:val="en-US" w:eastAsia="zh-CN"/>
        </w:rPr>
        <w:t>和田地区墨玉县其尼巴格街办乐民社区内01号门面二楼</w:t>
      </w:r>
      <w:r>
        <w:rPr>
          <w:rFonts w:hint="eastAsia" w:ascii="仿宋" w:hAnsi="仿宋" w:eastAsia="仿宋" w:cs="仿宋"/>
          <w:i w:val="0"/>
          <w:iCs w:val="0"/>
          <w:caps w:val="0"/>
          <w:color w:val="auto"/>
          <w:spacing w:val="0"/>
          <w:kern w:val="0"/>
          <w:sz w:val="24"/>
          <w:szCs w:val="24"/>
          <w:highlight w:val="none"/>
          <w:lang w:val="en-US" w:eastAsia="zh-CN" w:bidi="ar"/>
        </w:rPr>
        <w:t>           </w:t>
      </w:r>
    </w:p>
    <w:p w14:paraId="04DAAB7C">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项目联系人：阿力亚</w:t>
      </w:r>
    </w:p>
    <w:p w14:paraId="5540CE31">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联系电话：0903-2936333</w:t>
      </w:r>
      <w:bookmarkEnd w:id="2"/>
    </w:p>
    <w:p w14:paraId="4D5E23F9">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3.同级政府采购监督管理部门</w:t>
      </w:r>
    </w:p>
    <w:p w14:paraId="2A409774">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名称：墨玉县财政局</w:t>
      </w:r>
    </w:p>
    <w:p w14:paraId="7930EF79">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地址：墨玉县行政服务中心</w:t>
      </w:r>
    </w:p>
    <w:p w14:paraId="200ED8FE">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联系人：杨先生</w:t>
      </w:r>
    </w:p>
    <w:p w14:paraId="5F81B636">
      <w:pPr>
        <w:pStyle w:val="164"/>
        <w:keepNext w:val="0"/>
        <w:keepLines w:val="0"/>
        <w:pageBreakBefore w:val="0"/>
        <w:widowControl w:val="0"/>
        <w:kinsoku/>
        <w:wordWrap/>
        <w:overflowPunct/>
        <w:topLinePunct w:val="0"/>
        <w:autoSpaceDE/>
        <w:autoSpaceDN/>
        <w:bidi w:val="0"/>
        <w:adjustRightInd/>
        <w:snapToGrid/>
        <w:spacing w:line="360" w:lineRule="auto"/>
        <w:ind w:firstLine="0"/>
        <w:jc w:val="left"/>
        <w:outlineLvl w:val="9"/>
        <w:rPr>
          <w:rFonts w:hint="default"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监督投诉电话：0903-6565062</w:t>
      </w:r>
    </w:p>
    <w:p w14:paraId="304B3156">
      <w:pPr>
        <w:pStyle w:val="164"/>
        <w:keepNext w:val="0"/>
        <w:keepLines w:val="0"/>
        <w:pageBreakBefore w:val="0"/>
        <w:widowControl w:val="0"/>
        <w:kinsoku/>
        <w:wordWrap/>
        <w:overflowPunct/>
        <w:topLinePunct w:val="0"/>
        <w:autoSpaceDE/>
        <w:autoSpaceDN/>
        <w:bidi w:val="0"/>
        <w:adjustRightInd/>
        <w:snapToGrid/>
        <w:spacing w:line="240" w:lineRule="auto"/>
        <w:ind w:firstLine="0"/>
        <w:jc w:val="left"/>
        <w:outlineLvl w:val="9"/>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特别提醒：</w:t>
      </w:r>
    </w:p>
    <w:p w14:paraId="0F0224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1.投标企业采用银行转账或电汇的方式的，投标保证金由投标人基本账户汇出（投标保证金需一笔汇出，分笔汇出银行系统将不予统计），且不得以分公司的名义转账，投标保证金需于公告发布之日起至投标截止时间前汇至我单位专用账户，超过时间则不予认可。投标单位须在汇款单备注栏标明：XXX项目XXX包段（标段）或采购项目编号。该项目不换取保证金收据，由银行出具投标企业保证金缴纳情况。晚于规定时间缴纳保证金的企业一切责任将由贵公司自行承担。</w:t>
      </w:r>
    </w:p>
    <w:p w14:paraId="5ADD5FA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2.投标企业下载招标文件后请仔细阅读，如对招标文件内容有质疑，投标人应在投标截止7日前按招标文件中载明的邮箱3228327977@qq.com，以书面形式通知招标人。招标人认为必要时，将（澄清）修改后的公告发布在新疆政府采购网，敬请投标企业及时关注。在规定期限内投标企业未提出质疑的视为投标企业默认招标文件不存在质疑的相关问题。超过招标文件质疑时间将不再接受投标企业所提出的质疑。</w:t>
      </w:r>
    </w:p>
    <w:p w14:paraId="7F3151C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3.注：废标项目投标保证金在后续项目再次招标时银行系统不做统计，请投标企业及时办理退款，中标企业签订政府采购合同后，携带合同原件一份及以上资料办理退投标保证金事宜。</w:t>
      </w:r>
    </w:p>
    <w:p w14:paraId="1E1229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4.电子保函使用方法：1、登录新疆维吾尔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bookmarkStart w:id="36" w:name="_Toc16152"/>
    </w:p>
    <w:p w14:paraId="2FFBB60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方正小标宋简体" w:hAnsi="方正小标宋简体" w:eastAsia="方正小标宋简体" w:cs="方正小标宋简体"/>
          <w:b/>
          <w:color w:val="auto"/>
          <w:sz w:val="28"/>
          <w:szCs w:val="28"/>
          <w:highlight w:val="none"/>
        </w:rPr>
      </w:pPr>
    </w:p>
    <w:p w14:paraId="10F4FCD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outlineLvl w:val="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r>
        <w:rPr>
          <w:rFonts w:hint="eastAsia" w:ascii="仿宋" w:hAnsi="仿宋" w:eastAsia="仿宋" w:cs="仿宋"/>
          <w:b/>
          <w:color w:val="auto"/>
          <w:sz w:val="28"/>
          <w:szCs w:val="28"/>
          <w:highlight w:val="none"/>
        </w:rPr>
        <w:t>第二章投标人须知</w:t>
      </w:r>
      <w:bookmarkEnd w:id="36"/>
    </w:p>
    <w:p w14:paraId="4FEFC503">
      <w:pPr>
        <w:widowControl/>
        <w:spacing w:line="320" w:lineRule="exact"/>
        <w:ind w:left="141" w:hanging="141"/>
        <w:jc w:val="center"/>
        <w:outlineLvl w:val="1"/>
        <w:rPr>
          <w:rFonts w:hint="eastAsia" w:ascii="仿宋" w:hAnsi="仿宋" w:eastAsia="仿宋" w:cs="仿宋"/>
          <w:b/>
          <w:color w:val="auto"/>
          <w:sz w:val="28"/>
          <w:szCs w:val="28"/>
          <w:highlight w:val="none"/>
        </w:rPr>
      </w:pPr>
      <w:bookmarkStart w:id="37" w:name="_Toc10036"/>
      <w:r>
        <w:rPr>
          <w:rFonts w:hint="eastAsia" w:ascii="仿宋" w:hAnsi="仿宋" w:eastAsia="仿宋" w:cs="仿宋"/>
          <w:b/>
          <w:color w:val="auto"/>
          <w:sz w:val="28"/>
          <w:szCs w:val="28"/>
          <w:highlight w:val="none"/>
        </w:rPr>
        <w:t>投标人须知前附表</w:t>
      </w:r>
      <w:bookmarkEnd w:id="37"/>
    </w:p>
    <w:p w14:paraId="1FF47F85">
      <w:pPr>
        <w:widowControl/>
        <w:spacing w:line="320" w:lineRule="exact"/>
        <w:ind w:left="141" w:hanging="141"/>
        <w:jc w:val="center"/>
        <w:rPr>
          <w:rFonts w:ascii="宋体" w:hAnsi="宋体"/>
          <w:b/>
          <w:color w:val="auto"/>
          <w:sz w:val="28"/>
          <w:szCs w:val="28"/>
          <w:highlight w:val="none"/>
        </w:rPr>
      </w:pPr>
    </w:p>
    <w:tbl>
      <w:tblPr>
        <w:tblStyle w:val="7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21"/>
        <w:gridCol w:w="1550"/>
        <w:gridCol w:w="7512"/>
      </w:tblGrid>
      <w:tr w14:paraId="64F96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tcBorders>
              <w:top w:val="single" w:color="auto" w:sz="12" w:space="0"/>
            </w:tcBorders>
            <w:noWrap w:val="0"/>
            <w:vAlign w:val="center"/>
          </w:tcPr>
          <w:p w14:paraId="0E8375E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550" w:type="dxa"/>
            <w:tcBorders>
              <w:top w:val="single" w:color="auto" w:sz="12" w:space="0"/>
              <w:right w:val="single" w:color="auto" w:sz="4" w:space="0"/>
            </w:tcBorders>
            <w:noWrap w:val="0"/>
            <w:vAlign w:val="center"/>
          </w:tcPr>
          <w:p w14:paraId="5AAC3E5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条款名称</w:t>
            </w:r>
          </w:p>
        </w:tc>
        <w:tc>
          <w:tcPr>
            <w:tcW w:w="7512" w:type="dxa"/>
            <w:tcBorders>
              <w:top w:val="single" w:color="auto" w:sz="12" w:space="0"/>
              <w:left w:val="single" w:color="auto" w:sz="4" w:space="0"/>
            </w:tcBorders>
            <w:noWrap w:val="0"/>
            <w:vAlign w:val="center"/>
          </w:tcPr>
          <w:p w14:paraId="5DB9547B">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说明和要求</w:t>
            </w:r>
          </w:p>
        </w:tc>
      </w:tr>
      <w:tr w14:paraId="64C09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75EC3005">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550" w:type="dxa"/>
            <w:tcBorders>
              <w:right w:val="single" w:color="auto" w:sz="4" w:space="0"/>
            </w:tcBorders>
            <w:noWrap w:val="0"/>
            <w:vAlign w:val="center"/>
          </w:tcPr>
          <w:p w14:paraId="1FFC7A5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w:t>
            </w:r>
          </w:p>
        </w:tc>
        <w:tc>
          <w:tcPr>
            <w:tcW w:w="7512" w:type="dxa"/>
            <w:tcBorders>
              <w:left w:val="single" w:color="auto" w:sz="4" w:space="0"/>
            </w:tcBorders>
            <w:noWrap w:val="0"/>
            <w:vAlign w:val="center"/>
          </w:tcPr>
          <w:p w14:paraId="5A13A3F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rPr>
              <w:t>名称：</w:t>
            </w:r>
            <w:r>
              <w:rPr>
                <w:rFonts w:hint="eastAsia" w:ascii="仿宋" w:hAnsi="仿宋" w:eastAsia="仿宋" w:cs="仿宋"/>
                <w:color w:val="auto"/>
                <w:kern w:val="0"/>
                <w:sz w:val="24"/>
                <w:szCs w:val="24"/>
                <w:highlight w:val="none"/>
                <w:lang w:val="en-US" w:eastAsia="zh-CN"/>
              </w:rPr>
              <w:t>墨玉县疾病预防控制中心</w:t>
            </w:r>
          </w:p>
          <w:p w14:paraId="0F404C4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地址：墨玉县农贸市场路561号</w:t>
            </w:r>
            <w:r>
              <w:rPr>
                <w:rFonts w:hint="eastAsia" w:ascii="仿宋" w:hAnsi="仿宋" w:eastAsia="仿宋" w:cs="仿宋"/>
                <w:b w:val="0"/>
                <w:bCs w:val="0"/>
                <w:color w:val="auto"/>
                <w:kern w:val="2"/>
                <w:sz w:val="24"/>
                <w:szCs w:val="24"/>
                <w:highlight w:val="none"/>
                <w:lang w:val="en-US" w:eastAsia="zh-CN" w:bidi="ar-SA"/>
              </w:rPr>
              <w:t>  </w:t>
            </w:r>
          </w:p>
          <w:p w14:paraId="1FA3869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zh-CN" w:eastAsia="zh-CN"/>
              </w:rPr>
              <w:t>联系人：尼加提</w:t>
            </w:r>
          </w:p>
          <w:p w14:paraId="50C0918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zh-CN" w:eastAsia="zh-CN"/>
              </w:rPr>
              <w:t>电话：0903-6513926</w:t>
            </w:r>
          </w:p>
        </w:tc>
      </w:tr>
      <w:tr w14:paraId="6B428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29F76BA">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550" w:type="dxa"/>
            <w:tcBorders>
              <w:right w:val="single" w:color="auto" w:sz="4" w:space="0"/>
            </w:tcBorders>
            <w:noWrap w:val="0"/>
            <w:vAlign w:val="center"/>
          </w:tcPr>
          <w:p w14:paraId="6430C0E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代理机构</w:t>
            </w:r>
          </w:p>
        </w:tc>
        <w:tc>
          <w:tcPr>
            <w:tcW w:w="7512" w:type="dxa"/>
            <w:tcBorders>
              <w:left w:val="single" w:color="auto" w:sz="4" w:space="0"/>
            </w:tcBorders>
            <w:noWrap w:val="0"/>
            <w:vAlign w:val="center"/>
          </w:tcPr>
          <w:p w14:paraId="139676A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eastAsia="zh-CN"/>
              </w:rPr>
              <w:t>新疆宣烨项目管理咨询有限公司</w:t>
            </w:r>
          </w:p>
          <w:p w14:paraId="7567D2C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color w:val="auto"/>
                <w:sz w:val="24"/>
                <w:szCs w:val="24"/>
                <w:highlight w:val="none"/>
              </w:rPr>
              <w:t>地址：</w:t>
            </w:r>
            <w:r>
              <w:rPr>
                <w:rFonts w:hint="eastAsia" w:ascii="仿宋" w:hAnsi="仿宋" w:eastAsia="仿宋" w:cs="仿宋"/>
                <w:i w:val="0"/>
                <w:iCs w:val="0"/>
                <w:caps w:val="0"/>
                <w:color w:val="auto"/>
                <w:spacing w:val="0"/>
                <w:sz w:val="24"/>
                <w:szCs w:val="24"/>
                <w:highlight w:val="none"/>
                <w:lang w:val="en-US" w:eastAsia="zh-CN"/>
              </w:rPr>
              <w:t>和田地区墨玉县其尼巴格街办乐民社区内01号门面二楼</w:t>
            </w:r>
          </w:p>
          <w:p w14:paraId="757DA6B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val="en-US" w:eastAsia="zh-CN"/>
              </w:rPr>
              <w:t>阿力亚</w:t>
            </w:r>
          </w:p>
          <w:p w14:paraId="3951830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lang w:eastAsia="zh-CN"/>
              </w:rPr>
              <w:t>0903-2936333</w:t>
            </w:r>
          </w:p>
        </w:tc>
      </w:tr>
      <w:tr w14:paraId="647AA3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A04936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550" w:type="dxa"/>
            <w:tcBorders>
              <w:right w:val="single" w:color="auto" w:sz="4" w:space="0"/>
            </w:tcBorders>
            <w:noWrap w:val="0"/>
            <w:vAlign w:val="center"/>
          </w:tcPr>
          <w:p w14:paraId="43D6F4D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采购项目名称</w:t>
            </w:r>
            <w:r>
              <w:rPr>
                <w:rFonts w:hint="eastAsia" w:ascii="仿宋" w:hAnsi="仿宋" w:eastAsia="仿宋" w:cs="仿宋"/>
                <w:color w:val="auto"/>
                <w:sz w:val="24"/>
                <w:szCs w:val="24"/>
                <w:highlight w:val="none"/>
                <w:lang w:eastAsia="zh-CN"/>
              </w:rPr>
              <w:t>及编号</w:t>
            </w:r>
          </w:p>
        </w:tc>
        <w:tc>
          <w:tcPr>
            <w:tcW w:w="7512" w:type="dxa"/>
            <w:tcBorders>
              <w:left w:val="single" w:color="auto" w:sz="4" w:space="0"/>
            </w:tcBorders>
            <w:noWrap w:val="0"/>
            <w:vAlign w:val="center"/>
          </w:tcPr>
          <w:p w14:paraId="059CA6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项目名称：2026年墨玉县京和协作·结核病防治攻坚提质项目-固投部分</w:t>
            </w:r>
            <w:r>
              <w:rPr>
                <w:rFonts w:hint="eastAsia" w:ascii="仿宋" w:hAnsi="仿宋" w:eastAsia="仿宋" w:cs="仿宋"/>
                <w:color w:val="auto"/>
                <w:sz w:val="24"/>
                <w:szCs w:val="24"/>
                <w:highlight w:val="none"/>
                <w:lang w:eastAsia="zh-CN"/>
              </w:rPr>
              <w:t>项目</w:t>
            </w:r>
          </w:p>
          <w:p w14:paraId="23FAA13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编号：</w:t>
            </w:r>
            <w:r>
              <w:rPr>
                <w:rFonts w:hint="eastAsia" w:ascii="仿宋" w:hAnsi="仿宋" w:eastAsia="仿宋" w:cs="仿宋"/>
                <w:color w:val="auto"/>
                <w:sz w:val="24"/>
                <w:szCs w:val="24"/>
                <w:highlight w:val="none"/>
                <w:lang w:val="en-US" w:eastAsia="zh-CN"/>
              </w:rPr>
              <w:t>MYXY(GK)-2026-020</w:t>
            </w:r>
          </w:p>
        </w:tc>
      </w:tr>
      <w:tr w14:paraId="497D7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D8DBD2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1550" w:type="dxa"/>
            <w:tcBorders>
              <w:right w:val="single" w:color="auto" w:sz="4" w:space="0"/>
            </w:tcBorders>
            <w:noWrap w:val="0"/>
            <w:vAlign w:val="center"/>
          </w:tcPr>
          <w:p w14:paraId="19E38CB3">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采购内容</w:t>
            </w:r>
          </w:p>
        </w:tc>
        <w:tc>
          <w:tcPr>
            <w:tcW w:w="7512" w:type="dxa"/>
            <w:tcBorders>
              <w:left w:val="single" w:color="auto" w:sz="4" w:space="0"/>
            </w:tcBorders>
            <w:noWrap w:val="0"/>
            <w:vAlign w:val="center"/>
          </w:tcPr>
          <w:p w14:paraId="212C99C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采购需求：购置20台肺功能检测仪，用于全县结核病患者治愈后康复评估、随诊监测及肺功能动态追踪管理。（具体详见采购需求）</w:t>
            </w:r>
            <w:r>
              <w:rPr>
                <w:rFonts w:hint="eastAsia" w:ascii="仿宋" w:hAnsi="仿宋" w:eastAsia="仿宋" w:cs="仿宋"/>
                <w:i w:val="0"/>
                <w:iCs w:val="0"/>
                <w:caps w:val="0"/>
                <w:color w:val="auto"/>
                <w:spacing w:val="0"/>
                <w:sz w:val="24"/>
                <w:szCs w:val="24"/>
                <w:highlight w:val="none"/>
                <w:lang w:val="en-US" w:eastAsia="zh-CN"/>
              </w:rPr>
              <w:t>。</w:t>
            </w:r>
          </w:p>
        </w:tc>
      </w:tr>
      <w:tr w14:paraId="55FDC5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6F68EB1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1550" w:type="dxa"/>
            <w:tcBorders>
              <w:right w:val="single" w:color="auto" w:sz="4" w:space="0"/>
            </w:tcBorders>
            <w:noWrap w:val="0"/>
            <w:vAlign w:val="center"/>
          </w:tcPr>
          <w:p w14:paraId="781E9523">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资金来源</w:t>
            </w:r>
          </w:p>
        </w:tc>
        <w:tc>
          <w:tcPr>
            <w:tcW w:w="7512" w:type="dxa"/>
            <w:tcBorders>
              <w:left w:val="single" w:color="auto" w:sz="4" w:space="0"/>
            </w:tcBorders>
            <w:noWrap w:val="0"/>
            <w:vAlign w:val="center"/>
          </w:tcPr>
          <w:p w14:paraId="7CE661D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北京市援疆资金</w:t>
            </w:r>
          </w:p>
        </w:tc>
      </w:tr>
      <w:tr w14:paraId="0F785E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4591FD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1550" w:type="dxa"/>
            <w:tcBorders>
              <w:right w:val="single" w:color="auto" w:sz="4" w:space="0"/>
            </w:tcBorders>
            <w:noWrap w:val="0"/>
            <w:vAlign w:val="center"/>
          </w:tcPr>
          <w:p w14:paraId="20311624">
            <w:pPr>
              <w:keepNext w:val="0"/>
              <w:keepLines w:val="0"/>
              <w:pageBreakBefore w:val="0"/>
              <w:tabs>
                <w:tab w:val="left" w:pos="900"/>
              </w:tabs>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采购概算价</w:t>
            </w:r>
          </w:p>
        </w:tc>
        <w:tc>
          <w:tcPr>
            <w:tcW w:w="7512" w:type="dxa"/>
            <w:tcBorders>
              <w:left w:val="single" w:color="auto" w:sz="4" w:space="0"/>
            </w:tcBorders>
            <w:noWrap w:val="0"/>
            <w:vAlign w:val="center"/>
          </w:tcPr>
          <w:p w14:paraId="692D0C1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最高限价：290万元</w:t>
            </w:r>
          </w:p>
          <w:p w14:paraId="576B9E69">
            <w:pPr>
              <w:keepNext w:val="0"/>
              <w:keepLines w:val="0"/>
              <w:pageBreakBefore w:val="0"/>
              <w:tabs>
                <w:tab w:val="left" w:pos="900"/>
              </w:tabs>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b/>
                <w:bCs/>
                <w:color w:val="auto"/>
                <w:kern w:val="0"/>
                <w:sz w:val="24"/>
                <w:szCs w:val="24"/>
                <w:highlight w:val="none"/>
              </w:rPr>
              <w:t>投标报价高于预算限价按废标处理，敬请投标人注意</w:t>
            </w:r>
            <w:r>
              <w:rPr>
                <w:rFonts w:hint="eastAsia" w:ascii="仿宋" w:hAnsi="仿宋" w:eastAsia="仿宋" w:cs="仿宋"/>
                <w:b/>
                <w:bCs/>
                <w:color w:val="auto"/>
                <w:kern w:val="0"/>
                <w:sz w:val="24"/>
                <w:szCs w:val="24"/>
                <w:highlight w:val="none"/>
                <w:lang w:eastAsia="zh-CN"/>
              </w:rPr>
              <w:t>！</w:t>
            </w:r>
          </w:p>
        </w:tc>
      </w:tr>
      <w:tr w14:paraId="22F4C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1064D52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1550" w:type="dxa"/>
            <w:tcBorders>
              <w:right w:val="single" w:color="auto" w:sz="4" w:space="0"/>
            </w:tcBorders>
            <w:noWrap w:val="0"/>
            <w:vAlign w:val="center"/>
          </w:tcPr>
          <w:p w14:paraId="7C11FAC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采购方式</w:t>
            </w:r>
          </w:p>
        </w:tc>
        <w:tc>
          <w:tcPr>
            <w:tcW w:w="7512" w:type="dxa"/>
            <w:tcBorders>
              <w:left w:val="single" w:color="auto" w:sz="4" w:space="0"/>
            </w:tcBorders>
            <w:noWrap w:val="0"/>
            <w:vAlign w:val="center"/>
          </w:tcPr>
          <w:p w14:paraId="16C9E2AA">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公开招标</w:t>
            </w:r>
          </w:p>
        </w:tc>
      </w:tr>
      <w:tr w14:paraId="61060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007010DA">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1550" w:type="dxa"/>
            <w:tcBorders>
              <w:right w:val="single" w:color="auto" w:sz="4" w:space="0"/>
            </w:tcBorders>
            <w:noWrap w:val="0"/>
            <w:vAlign w:val="center"/>
          </w:tcPr>
          <w:p w14:paraId="29A5811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评标方法</w:t>
            </w:r>
          </w:p>
        </w:tc>
        <w:tc>
          <w:tcPr>
            <w:tcW w:w="7512" w:type="dxa"/>
            <w:tcBorders>
              <w:left w:val="single" w:color="auto" w:sz="4" w:space="0"/>
            </w:tcBorders>
            <w:noWrap w:val="0"/>
            <w:vAlign w:val="center"/>
          </w:tcPr>
          <w:p w14:paraId="1F30A5F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根据《政府采购货物和服务招标投标管理办法》（中华人民共和国财政部令第87号）规定的评审标准，采用综合评分法。</w:t>
            </w:r>
          </w:p>
        </w:tc>
      </w:tr>
      <w:tr w14:paraId="7CFB08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79FAB07A">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550" w:type="dxa"/>
            <w:tcBorders>
              <w:right w:val="single" w:color="auto" w:sz="4" w:space="0"/>
            </w:tcBorders>
            <w:noWrap w:val="0"/>
            <w:vAlign w:val="center"/>
          </w:tcPr>
          <w:p w14:paraId="0011B90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信息公告媒体</w:t>
            </w:r>
          </w:p>
        </w:tc>
        <w:tc>
          <w:tcPr>
            <w:tcW w:w="7512" w:type="dxa"/>
            <w:tcBorders>
              <w:left w:val="single" w:color="auto" w:sz="4" w:space="0"/>
            </w:tcBorders>
            <w:noWrap w:val="0"/>
            <w:vAlign w:val="center"/>
          </w:tcPr>
          <w:p w14:paraId="1828182E">
            <w:pPr>
              <w:keepNext w:val="0"/>
              <w:keepLines w:val="0"/>
              <w:pageBreakBefore w:val="0"/>
              <w:kinsoku/>
              <w:wordWrap/>
              <w:overflowPunct/>
              <w:topLinePunct w:val="0"/>
              <w:autoSpaceDE/>
              <w:autoSpaceDN/>
              <w:bidi w:val="0"/>
              <w:adjustRightInd/>
              <w:snapToGrid/>
              <w:spacing w:line="300" w:lineRule="exact"/>
              <w:ind w:left="0" w:right="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新疆政府采购网（http://www.ccgp-xinjiang.gov.cn/）</w:t>
            </w:r>
          </w:p>
        </w:tc>
      </w:tr>
      <w:tr w14:paraId="05856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7CE1E12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550" w:type="dxa"/>
            <w:tcBorders>
              <w:right w:val="single" w:color="auto" w:sz="4" w:space="0"/>
            </w:tcBorders>
            <w:noWrap w:val="0"/>
            <w:vAlign w:val="center"/>
          </w:tcPr>
          <w:p w14:paraId="714F23E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资格要求</w:t>
            </w:r>
          </w:p>
        </w:tc>
        <w:tc>
          <w:tcPr>
            <w:tcW w:w="7512" w:type="dxa"/>
            <w:tcBorders>
              <w:left w:val="single" w:color="auto" w:sz="4" w:space="0"/>
            </w:tcBorders>
            <w:noWrap w:val="0"/>
            <w:vAlign w:val="center"/>
          </w:tcPr>
          <w:p w14:paraId="27290B10">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具有独立承担民事责任的能力，如投标人是企业（包括合伙企业），应提供在工商部门注册的有效“企业法人证书”或“营业执照”；如投标人是事业单位，应提供有效的“事业单位法人证书”；投标人是非企业专业服务机构的，应提供执业许可证等证明文件；如投标人是个体工商户，应提供有效的“个体工商户营业执照”；如投标人是自然人，应提供有效的自然人身份证明；</w:t>
            </w:r>
          </w:p>
          <w:p w14:paraId="2F1F446A">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具有良好的商业信誉和健全的财务会计制度，提供2025年度由第三方财务审计机构出具的在注册会计师行业统一监管平台备案赋码的财务审计报告（2026年新成立的公司按实际发生的情况提供银行出具的资信证明）；</w:t>
            </w:r>
          </w:p>
          <w:p w14:paraId="6985E13C">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（3）提供税务机关出具的2026年近三个月内任意一个月的完税证明或依法报税资料（新成立不足1个月的按实际情况提供，成立时间超过1个月的零申报的需提供依法报税资料）；</w:t>
            </w:r>
          </w:p>
          <w:p w14:paraId="3BA06859">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法定代表人需提供法定代表人证明书及法定代表人身份证，委托代理人需提供法定代表人授权委托书及委托代理人身份证，被委托人必须是投标人法人或正式员工，需提供社保部门出具2026年任意连续三个月的缴纳社保证明（社保缴费凭证或个人明细表），成立不足三个月的按实际提供；</w:t>
            </w:r>
          </w:p>
          <w:p w14:paraId="74E566C9">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5）投标人近三年内如在“信用中国网www.creditchina.gov.cn”被列入失信被执行人、重大税收违法案件当事人名单、政府采购严重违法失信行为记录名单的（尚在处罚期内的）；在“中国政府采购网（www.ccgp.gov.cn）”被列入政府采购严重违法失信行为记录名单的（尚在处罚期内的）；在“国家企业信用信息公示系统（http://www.gsxt.gov.cn）”列入严重违法失信企业名单（黑名单）信息，将拒绝其参加本次政府采购活动；</w:t>
            </w:r>
          </w:p>
          <w:p w14:paraId="01B22239">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（6）具有履行合同所必需的设备和专业技术能力的承诺书；</w:t>
            </w:r>
          </w:p>
          <w:p w14:paraId="41605CEF">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（7）提供针对本次项目《反商业贿赂承诺书》；</w:t>
            </w:r>
          </w:p>
          <w:p w14:paraId="4448A28F">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（8）参与政府采购活动前 3 年内在经营活动中没有重大违法记录及未被财政部门禁止参加政府采购活动的承诺书；</w:t>
            </w:r>
          </w:p>
          <w:p w14:paraId="1698647E">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（9）单位负责人为同一人或者存在直接控股、管理关系的不同投标人，不得参加同一合同项下的政府采购活动，提供《投标人资格声明函》；</w:t>
            </w:r>
          </w:p>
          <w:p w14:paraId="558C378F">
            <w:pPr>
              <w:pStyle w:val="70"/>
              <w:keepNext w:val="0"/>
              <w:keepLines w:val="0"/>
              <w:widowControl/>
              <w:suppressLineNumbers w:val="0"/>
              <w:spacing w:before="75" w:beforeAutospacing="0" w:after="75" w:afterAutospacing="0" w:line="240" w:lineRule="auto"/>
              <w:ind w:left="0" w:right="0" w:firstLine="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（10）投标保证金（或保函）有效缴纳凭证；</w:t>
            </w:r>
          </w:p>
          <w:p w14:paraId="490212D2">
            <w:pPr>
              <w:pStyle w:val="70"/>
              <w:keepNext w:val="0"/>
              <w:keepLines w:val="0"/>
              <w:widowControl/>
              <w:suppressLineNumbers w:val="0"/>
              <w:spacing w:before="75" w:beforeAutospacing="0" w:after="75" w:afterAutospacing="0" w:line="240" w:lineRule="auto"/>
              <w:ind w:left="0" w:right="0" w:firstLine="0"/>
              <w:jc w:val="left"/>
              <w:outlineLvl w:val="2"/>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11）①若所投产品为第二类医疗器械，生产商须提供有效的《医疗器械生产许可证》及所投产品的《医疗器械注册证》，代理商或经销商须提供有效的《第二类医疗器械经营备案凭证》及所投产品的《医疗器械注册证》；②若所投产品为第三类医疗器械，生产商须提供有效的《医疗器械生产许可证》及所投产品的《医疗器械注册证》，代理商或经销商须提供有效的《医疗器械经营许可证》及所投产品的《医疗器械注册证》；③若所投产品不属于上述医疗器械管理范围的，可按要求提供证明文件并加盖公章。</w:t>
            </w:r>
          </w:p>
          <w:p w14:paraId="73938D96">
            <w:pPr>
              <w:pStyle w:val="70"/>
              <w:keepNext w:val="0"/>
              <w:keepLines w:val="0"/>
              <w:widowControl/>
              <w:suppressLineNumbers w:val="0"/>
              <w:spacing w:before="75" w:beforeAutospacing="0" w:after="75" w:afterAutospacing="0" w:line="240" w:lineRule="auto"/>
              <w:ind w:left="0" w:right="0" w:firstLine="0"/>
              <w:jc w:val="left"/>
              <w:outlineLvl w:val="2"/>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（12）本项目不接受联合体投标。</w:t>
            </w:r>
          </w:p>
        </w:tc>
      </w:tr>
      <w:tr w14:paraId="5CDC3F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4E31375">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1550" w:type="dxa"/>
            <w:tcBorders>
              <w:right w:val="single" w:color="auto" w:sz="4" w:space="0"/>
            </w:tcBorders>
            <w:noWrap w:val="0"/>
            <w:vAlign w:val="center"/>
          </w:tcPr>
          <w:p w14:paraId="3B172EF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val="0"/>
                <w:bCs w:val="0"/>
                <w:color w:val="auto"/>
                <w:sz w:val="24"/>
                <w:szCs w:val="24"/>
                <w:highlight w:val="none"/>
                <w:lang w:val="en-US" w:eastAsia="zh-CN"/>
              </w:rPr>
              <w:t>供货</w:t>
            </w:r>
            <w:r>
              <w:rPr>
                <w:rFonts w:hint="eastAsia" w:ascii="仿宋" w:hAnsi="仿宋" w:eastAsia="仿宋" w:cs="仿宋"/>
                <w:b w:val="0"/>
                <w:bCs w:val="0"/>
                <w:color w:val="auto"/>
                <w:sz w:val="24"/>
                <w:szCs w:val="24"/>
                <w:highlight w:val="none"/>
              </w:rPr>
              <w:t>期</w:t>
            </w:r>
          </w:p>
        </w:tc>
        <w:tc>
          <w:tcPr>
            <w:tcW w:w="7512" w:type="dxa"/>
            <w:tcBorders>
              <w:left w:val="single" w:color="auto" w:sz="4" w:space="0"/>
            </w:tcBorders>
            <w:noWrap w:val="0"/>
            <w:vAlign w:val="center"/>
          </w:tcPr>
          <w:p w14:paraId="3906838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30天（具体以与业主签订的合同为准）；</w:t>
            </w:r>
          </w:p>
        </w:tc>
      </w:tr>
      <w:tr w14:paraId="2C4B42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06A55E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1550" w:type="dxa"/>
            <w:tcBorders>
              <w:right w:val="single" w:color="auto" w:sz="4" w:space="0"/>
            </w:tcBorders>
            <w:noWrap w:val="0"/>
            <w:vAlign w:val="center"/>
          </w:tcPr>
          <w:p w14:paraId="1A840195">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供货地点</w:t>
            </w:r>
          </w:p>
        </w:tc>
        <w:tc>
          <w:tcPr>
            <w:tcW w:w="7512" w:type="dxa"/>
            <w:tcBorders>
              <w:left w:val="single" w:color="auto" w:sz="4" w:space="0"/>
            </w:tcBorders>
            <w:noWrap w:val="0"/>
            <w:vAlign w:val="center"/>
          </w:tcPr>
          <w:p w14:paraId="5B32EBC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墨玉县疾控中心（甲方指定地点，具体以合同签订为准）</w:t>
            </w:r>
          </w:p>
        </w:tc>
      </w:tr>
      <w:tr w14:paraId="4CB4AA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31C99B95">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3</w:t>
            </w:r>
          </w:p>
        </w:tc>
        <w:tc>
          <w:tcPr>
            <w:tcW w:w="1550" w:type="dxa"/>
            <w:tcBorders>
              <w:right w:val="single" w:color="auto" w:sz="4" w:space="0"/>
            </w:tcBorders>
            <w:noWrap w:val="0"/>
            <w:vAlign w:val="center"/>
          </w:tcPr>
          <w:p w14:paraId="20FDFE4C">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质量要求</w:t>
            </w:r>
          </w:p>
        </w:tc>
        <w:tc>
          <w:tcPr>
            <w:tcW w:w="7512" w:type="dxa"/>
            <w:tcBorders>
              <w:left w:val="single" w:color="auto" w:sz="4" w:space="0"/>
            </w:tcBorders>
            <w:noWrap w:val="0"/>
            <w:vAlign w:val="center"/>
          </w:tcPr>
          <w:p w14:paraId="6E704B9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符合强制性的国家技术质量规范以及采购人相关要求</w:t>
            </w:r>
          </w:p>
        </w:tc>
      </w:tr>
      <w:tr w14:paraId="729A2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713917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1550" w:type="dxa"/>
            <w:tcBorders>
              <w:right w:val="single" w:color="auto" w:sz="4" w:space="0"/>
            </w:tcBorders>
            <w:noWrap w:val="0"/>
            <w:vAlign w:val="center"/>
          </w:tcPr>
          <w:p w14:paraId="1A2146A0">
            <w:pPr>
              <w:spacing w:line="360" w:lineRule="exact"/>
              <w:ind w:left="120" w:leftChars="0" w:right="62" w:rightChars="0" w:hanging="120" w:hangingChars="5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shd w:val="clear" w:color="auto" w:fill="auto"/>
                <w:lang w:val="en-US" w:eastAsia="zh-CN"/>
              </w:rPr>
              <w:t>合同付款方式</w:t>
            </w:r>
          </w:p>
        </w:tc>
        <w:tc>
          <w:tcPr>
            <w:tcW w:w="7512" w:type="dxa"/>
            <w:tcBorders>
              <w:left w:val="single" w:color="auto" w:sz="4" w:space="0"/>
            </w:tcBorders>
            <w:noWrap w:val="0"/>
            <w:vAlign w:val="center"/>
          </w:tcPr>
          <w:p w14:paraId="3D29CCB5">
            <w:pPr>
              <w:keepNext w:val="0"/>
              <w:keepLines w:val="0"/>
              <w:pageBreakBefore w:val="0"/>
              <w:kinsoku/>
              <w:wordWrap/>
              <w:overflowPunct/>
              <w:topLinePunct w:val="0"/>
              <w:autoSpaceDE/>
              <w:autoSpaceDN/>
              <w:bidi w:val="0"/>
              <w:adjustRightInd/>
              <w:snapToGrid/>
              <w:spacing w:line="240" w:lineRule="auto"/>
              <w:ind w:left="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付款方式：本项目按项目进度分四次拨付，具体要求为：</w:t>
            </w:r>
          </w:p>
          <w:p w14:paraId="6C1219C7">
            <w:pPr>
              <w:keepNext w:val="0"/>
              <w:keepLines w:val="0"/>
              <w:pageBreakBefore w:val="0"/>
              <w:numPr>
                <w:ilvl w:val="0"/>
                <w:numId w:val="0"/>
              </w:numPr>
              <w:kinsoku/>
              <w:wordWrap/>
              <w:overflowPunct/>
              <w:topLinePunct w:val="0"/>
              <w:autoSpaceDE/>
              <w:autoSpaceDN/>
              <w:bidi w:val="0"/>
              <w:adjustRightInd/>
              <w:snapToGrid/>
              <w:spacing w:line="240" w:lineRule="auto"/>
              <w:ind w:leftChars="0" w:right="0" w:rightChars="0"/>
              <w:jc w:val="both"/>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乙方履约保证金缴纳完成合同签订后，支付合同价款的30%；货物交付后支付合同价款的30%；验收合格后，设备调试完成后支付合同价款的30%，设备使用培训完成满足甲方使用要求后未出现质量问题支付剩余10%，具体金额以合同价款为准。（</w:t>
            </w:r>
            <w:r>
              <w:rPr>
                <w:rFonts w:hint="eastAsia" w:ascii="仿宋" w:hAnsi="仿宋" w:eastAsia="仿宋" w:cs="仿宋"/>
                <w:b w:val="0"/>
                <w:bCs w:val="0"/>
                <w:color w:val="auto"/>
                <w:sz w:val="24"/>
                <w:szCs w:val="24"/>
                <w:highlight w:val="none"/>
                <w:lang w:val="en-US" w:eastAsia="zh-CN"/>
              </w:rPr>
              <w:t>具体以合同签订为准</w:t>
            </w:r>
            <w:r>
              <w:rPr>
                <w:rFonts w:hint="eastAsia" w:ascii="仿宋" w:hAnsi="仿宋" w:eastAsia="仿宋" w:cs="仿宋"/>
                <w:color w:val="auto"/>
                <w:kern w:val="2"/>
                <w:sz w:val="24"/>
                <w:szCs w:val="24"/>
                <w:highlight w:val="none"/>
                <w:lang w:val="en-US" w:eastAsia="zh-CN" w:bidi="ar-SA"/>
              </w:rPr>
              <w:t>）</w:t>
            </w:r>
          </w:p>
        </w:tc>
      </w:tr>
      <w:tr w14:paraId="2E035F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D75D373">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550" w:type="dxa"/>
            <w:tcBorders>
              <w:right w:val="single" w:color="auto" w:sz="4" w:space="0"/>
            </w:tcBorders>
            <w:noWrap w:val="0"/>
            <w:vAlign w:val="center"/>
          </w:tcPr>
          <w:p w14:paraId="4F70A85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验收要求</w:t>
            </w:r>
          </w:p>
        </w:tc>
        <w:tc>
          <w:tcPr>
            <w:tcW w:w="7512" w:type="dxa"/>
            <w:tcBorders>
              <w:left w:val="single" w:color="auto" w:sz="4" w:space="0"/>
            </w:tcBorders>
            <w:noWrap w:val="0"/>
            <w:vAlign w:val="center"/>
          </w:tcPr>
          <w:p w14:paraId="1D315716">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default" w:ascii="仿宋" w:hAnsi="仿宋" w:eastAsia="仿宋" w:cs="仿宋"/>
                <w:color w:val="auto"/>
                <w:sz w:val="24"/>
                <w:szCs w:val="24"/>
                <w:highlight w:val="none"/>
                <w:lang w:val="en-US"/>
              </w:rPr>
            </w:pPr>
            <w:r>
              <w:rPr>
                <w:rFonts w:hint="default" w:ascii="仿宋" w:hAnsi="仿宋" w:eastAsia="仿宋" w:cs="仿宋"/>
                <w:color w:val="auto"/>
                <w:sz w:val="24"/>
                <w:szCs w:val="24"/>
                <w:highlight w:val="none"/>
                <w:lang w:val="en-US"/>
              </w:rPr>
              <w:t>根据国家有关规定、招标文件、中标方的投标文件以及合同约定的内容和验收标准进行验收。</w:t>
            </w:r>
          </w:p>
        </w:tc>
      </w:tr>
      <w:tr w14:paraId="687954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06FE30AB">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6</w:t>
            </w:r>
          </w:p>
        </w:tc>
        <w:tc>
          <w:tcPr>
            <w:tcW w:w="1550" w:type="dxa"/>
            <w:tcBorders>
              <w:right w:val="single" w:color="auto" w:sz="4" w:space="0"/>
            </w:tcBorders>
            <w:noWrap w:val="0"/>
            <w:vAlign w:val="center"/>
          </w:tcPr>
          <w:p w14:paraId="26FFB45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联合体投标</w:t>
            </w:r>
          </w:p>
        </w:tc>
        <w:tc>
          <w:tcPr>
            <w:tcW w:w="7512" w:type="dxa"/>
            <w:tcBorders>
              <w:left w:val="single" w:color="auto" w:sz="4" w:space="0"/>
            </w:tcBorders>
            <w:noWrap w:val="0"/>
            <w:vAlign w:val="center"/>
          </w:tcPr>
          <w:p w14:paraId="29CBC869">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不接受</w:t>
            </w:r>
          </w:p>
        </w:tc>
      </w:tr>
      <w:tr w14:paraId="41ADB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053E3B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p>
        </w:tc>
        <w:tc>
          <w:tcPr>
            <w:tcW w:w="1550" w:type="dxa"/>
            <w:tcBorders>
              <w:right w:val="single" w:color="auto" w:sz="4" w:space="0"/>
            </w:tcBorders>
            <w:noWrap w:val="0"/>
            <w:vAlign w:val="center"/>
          </w:tcPr>
          <w:p w14:paraId="26364C13">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踏勘</w:t>
            </w:r>
            <w:r>
              <w:rPr>
                <w:rFonts w:hint="eastAsia" w:ascii="仿宋" w:hAnsi="仿宋" w:eastAsia="仿宋" w:cs="仿宋"/>
                <w:color w:val="auto"/>
                <w:sz w:val="24"/>
                <w:szCs w:val="24"/>
                <w:highlight w:val="none"/>
              </w:rPr>
              <w:t>现场</w:t>
            </w:r>
          </w:p>
        </w:tc>
        <w:tc>
          <w:tcPr>
            <w:tcW w:w="7512" w:type="dxa"/>
            <w:tcBorders>
              <w:left w:val="single" w:color="auto" w:sz="4" w:space="0"/>
            </w:tcBorders>
            <w:noWrap w:val="0"/>
            <w:vAlign w:val="center"/>
          </w:tcPr>
          <w:p w14:paraId="0004153A">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不组织</w:t>
            </w:r>
          </w:p>
        </w:tc>
      </w:tr>
      <w:tr w14:paraId="26FD5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2BE8E8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1550" w:type="dxa"/>
            <w:tcBorders>
              <w:right w:val="single" w:color="auto" w:sz="4" w:space="0"/>
            </w:tcBorders>
            <w:noWrap w:val="0"/>
            <w:vAlign w:val="center"/>
          </w:tcPr>
          <w:p w14:paraId="4D9ACC0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分包</w:t>
            </w:r>
          </w:p>
        </w:tc>
        <w:tc>
          <w:tcPr>
            <w:tcW w:w="7512" w:type="dxa"/>
            <w:tcBorders>
              <w:left w:val="single" w:color="auto" w:sz="4" w:space="0"/>
            </w:tcBorders>
            <w:noWrap w:val="0"/>
            <w:vAlign w:val="center"/>
          </w:tcPr>
          <w:p w14:paraId="66D6DC00">
            <w:pPr>
              <w:shd w:val="clear" w:color="auto" w:fill="auto"/>
              <w:spacing w:line="440" w:lineRule="exact"/>
              <w:ind w:left="120" w:leftChars="0" w:right="62" w:rightChars="0" w:hanging="120" w:hangingChars="5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不允许</w:t>
            </w:r>
          </w:p>
        </w:tc>
      </w:tr>
      <w:tr w14:paraId="2954E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1E21FB2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1550" w:type="dxa"/>
            <w:tcBorders>
              <w:right w:val="single" w:color="auto" w:sz="4" w:space="0"/>
            </w:tcBorders>
            <w:noWrap w:val="0"/>
            <w:vAlign w:val="center"/>
          </w:tcPr>
          <w:p w14:paraId="01489374">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转包</w:t>
            </w:r>
          </w:p>
        </w:tc>
        <w:tc>
          <w:tcPr>
            <w:tcW w:w="7512" w:type="dxa"/>
            <w:tcBorders>
              <w:left w:val="single" w:color="auto" w:sz="4" w:space="0"/>
            </w:tcBorders>
            <w:noWrap w:val="0"/>
            <w:vAlign w:val="center"/>
          </w:tcPr>
          <w:p w14:paraId="6EBCA9EE">
            <w:pPr>
              <w:shd w:val="clear" w:color="auto" w:fill="auto"/>
              <w:spacing w:line="440" w:lineRule="exact"/>
              <w:ind w:left="120" w:leftChars="0" w:right="62" w:rightChars="0" w:hanging="120" w:hangingChars="5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不接受</w:t>
            </w:r>
          </w:p>
        </w:tc>
      </w:tr>
      <w:tr w14:paraId="27F1E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D5B606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1550" w:type="dxa"/>
            <w:tcBorders>
              <w:right w:val="single" w:color="auto" w:sz="4" w:space="0"/>
            </w:tcBorders>
            <w:noWrap w:val="0"/>
            <w:vAlign w:val="center"/>
          </w:tcPr>
          <w:p w14:paraId="34E6E68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构成招标文件的其他文件</w:t>
            </w:r>
          </w:p>
        </w:tc>
        <w:tc>
          <w:tcPr>
            <w:tcW w:w="7512" w:type="dxa"/>
            <w:tcBorders>
              <w:left w:val="single" w:color="auto" w:sz="4" w:space="0"/>
            </w:tcBorders>
            <w:noWrap w:val="0"/>
            <w:vAlign w:val="center"/>
          </w:tcPr>
          <w:p w14:paraId="5ACD868B">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招标文件的澄清、修改书及有关补充通知为招标文件的有效组成部分</w:t>
            </w:r>
            <w:r>
              <w:rPr>
                <w:rFonts w:hint="eastAsia" w:ascii="仿宋" w:hAnsi="仿宋" w:eastAsia="仿宋" w:cs="仿宋"/>
                <w:color w:val="auto"/>
                <w:sz w:val="24"/>
                <w:szCs w:val="24"/>
                <w:highlight w:val="none"/>
                <w:lang w:eastAsia="zh-CN"/>
              </w:rPr>
              <w:t>。</w:t>
            </w:r>
          </w:p>
        </w:tc>
      </w:tr>
      <w:tr w14:paraId="2E0BA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11ED3F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1550" w:type="dxa"/>
            <w:tcBorders>
              <w:right w:val="single" w:color="auto" w:sz="4" w:space="0"/>
            </w:tcBorders>
            <w:noWrap w:val="0"/>
            <w:vAlign w:val="center"/>
          </w:tcPr>
          <w:p w14:paraId="354CBA1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投标截止时间</w:t>
            </w:r>
          </w:p>
        </w:tc>
        <w:tc>
          <w:tcPr>
            <w:tcW w:w="7512" w:type="dxa"/>
            <w:tcBorders>
              <w:left w:val="single" w:color="auto" w:sz="4" w:space="0"/>
            </w:tcBorders>
            <w:noWrap w:val="0"/>
            <w:vAlign w:val="center"/>
          </w:tcPr>
          <w:p w14:paraId="5BF5C405">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SA"/>
              </w:rPr>
              <w:t>2026年11月03日</w:t>
            </w:r>
            <w:r>
              <w:rPr>
                <w:rFonts w:hint="eastAsia" w:ascii="仿宋" w:hAnsi="仿宋" w:eastAsia="仿宋" w:cs="仿宋"/>
                <w:color w:val="auto"/>
                <w:sz w:val="24"/>
                <w:szCs w:val="24"/>
                <w:highlight w:val="none"/>
              </w:rPr>
              <w:t>上午11:00（北京时间）</w:t>
            </w:r>
          </w:p>
        </w:tc>
      </w:tr>
      <w:tr w14:paraId="03ECE2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3DDF000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1550" w:type="dxa"/>
            <w:tcBorders>
              <w:right w:val="single" w:color="auto" w:sz="4" w:space="0"/>
            </w:tcBorders>
            <w:noWrap w:val="0"/>
            <w:vAlign w:val="center"/>
          </w:tcPr>
          <w:p w14:paraId="510AEEB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w:t>
            </w:r>
            <w:r>
              <w:rPr>
                <w:rFonts w:hint="eastAsia" w:ascii="仿宋" w:hAnsi="仿宋" w:eastAsia="仿宋" w:cs="仿宋"/>
                <w:bCs/>
                <w:color w:val="auto"/>
                <w:sz w:val="24"/>
                <w:szCs w:val="24"/>
                <w:highlight w:val="none"/>
              </w:rPr>
              <w:t>有效期</w:t>
            </w:r>
          </w:p>
        </w:tc>
        <w:tc>
          <w:tcPr>
            <w:tcW w:w="7512" w:type="dxa"/>
            <w:tcBorders>
              <w:left w:val="single" w:color="auto" w:sz="4" w:space="0"/>
            </w:tcBorders>
            <w:noWrap w:val="0"/>
            <w:vAlign w:val="center"/>
          </w:tcPr>
          <w:p w14:paraId="1C697C85">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90</w:t>
            </w:r>
            <w:r>
              <w:rPr>
                <w:rFonts w:hint="eastAsia" w:ascii="仿宋" w:hAnsi="仿宋" w:eastAsia="仿宋" w:cs="仿宋"/>
                <w:color w:val="auto"/>
                <w:sz w:val="24"/>
                <w:szCs w:val="24"/>
                <w:highlight w:val="none"/>
              </w:rPr>
              <w:t>日历天（从投标截止之日算起）</w:t>
            </w:r>
          </w:p>
        </w:tc>
      </w:tr>
      <w:tr w14:paraId="348E8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72C6B84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1550" w:type="dxa"/>
            <w:tcBorders>
              <w:right w:val="single" w:color="auto" w:sz="4" w:space="0"/>
            </w:tcBorders>
            <w:noWrap w:val="0"/>
            <w:vAlign w:val="center"/>
          </w:tcPr>
          <w:p w14:paraId="62B39665">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tc>
        <w:tc>
          <w:tcPr>
            <w:tcW w:w="7512" w:type="dxa"/>
            <w:tcBorders>
              <w:left w:val="single" w:color="auto" w:sz="4" w:space="0"/>
            </w:tcBorders>
            <w:noWrap w:val="0"/>
            <w:vAlign w:val="center"/>
          </w:tcPr>
          <w:p w14:paraId="495AE2AB">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投标保证金的形式：转账、</w:t>
            </w:r>
            <w:r>
              <w:rPr>
                <w:rFonts w:hint="eastAsia" w:ascii="仿宋" w:hAnsi="仿宋" w:eastAsia="仿宋" w:cs="仿宋"/>
                <w:b/>
                <w:bCs/>
                <w:color w:val="auto"/>
                <w:sz w:val="24"/>
                <w:szCs w:val="24"/>
                <w:highlight w:val="none"/>
                <w:lang w:val="en-US" w:eastAsia="zh-CN"/>
              </w:rPr>
              <w:t>电汇、保函</w:t>
            </w:r>
          </w:p>
          <w:p w14:paraId="60AFE0C5">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投标保证金的金额：</w:t>
            </w:r>
            <w:bookmarkStart w:id="38" w:name="OLE_LINK5"/>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000.00元（</w:t>
            </w:r>
            <w:r>
              <w:rPr>
                <w:rFonts w:hint="eastAsia" w:ascii="仿宋" w:hAnsi="仿宋" w:eastAsia="仿宋" w:cs="仿宋"/>
                <w:b/>
                <w:bCs/>
                <w:color w:val="auto"/>
                <w:sz w:val="24"/>
                <w:szCs w:val="24"/>
                <w:highlight w:val="none"/>
                <w:lang w:val="en-US" w:eastAsia="zh-CN"/>
              </w:rPr>
              <w:t>叁万元整</w:t>
            </w:r>
            <w:r>
              <w:rPr>
                <w:rFonts w:hint="eastAsia" w:ascii="仿宋" w:hAnsi="仿宋" w:eastAsia="仿宋" w:cs="仿宋"/>
                <w:b/>
                <w:bCs/>
                <w:color w:val="auto"/>
                <w:sz w:val="24"/>
                <w:szCs w:val="24"/>
                <w:highlight w:val="none"/>
              </w:rPr>
              <w:t>）</w:t>
            </w:r>
            <w:bookmarkEnd w:id="38"/>
          </w:p>
          <w:p w14:paraId="5586F2BA">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投标保证金缴纳账户：</w:t>
            </w:r>
          </w:p>
          <w:p w14:paraId="3D3D37D5">
            <w:pPr>
              <w:pageBreakBefore w:val="0"/>
              <w:kinsoku/>
              <w:wordWrap/>
              <w:overflowPunct/>
              <w:topLinePunct w:val="0"/>
              <w:autoSpaceDE/>
              <w:autoSpaceDN/>
              <w:bidi w:val="0"/>
              <w:adjustRightInd/>
              <w:snapToGrid/>
              <w:spacing w:line="360" w:lineRule="exact"/>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1.开户银行：中国工商银行墨玉县支行；</w:t>
            </w:r>
          </w:p>
          <w:p w14:paraId="37CB49A2">
            <w:pPr>
              <w:pageBreakBefore w:val="0"/>
              <w:kinsoku/>
              <w:wordWrap/>
              <w:overflowPunct/>
              <w:topLinePunct w:val="0"/>
              <w:autoSpaceDE/>
              <w:autoSpaceDN/>
              <w:bidi w:val="0"/>
              <w:adjustRightInd/>
              <w:snapToGrid/>
              <w:spacing w:line="360" w:lineRule="exact"/>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2.收款单位：墨玉县疾病预防控制中心；</w:t>
            </w:r>
          </w:p>
          <w:p w14:paraId="60DCFE3B">
            <w:pPr>
              <w:pageBreakBefore w:val="0"/>
              <w:kinsoku/>
              <w:wordWrap/>
              <w:overflowPunct/>
              <w:topLinePunct w:val="0"/>
              <w:autoSpaceDE/>
              <w:autoSpaceDN/>
              <w:bidi w:val="0"/>
              <w:adjustRightInd/>
              <w:snapToGrid/>
              <w:spacing w:line="360" w:lineRule="exact"/>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3.银行账号：3015384009026403740；</w:t>
            </w:r>
          </w:p>
          <w:p w14:paraId="66BF9CC6">
            <w:pPr>
              <w:keepNext w:val="0"/>
              <w:keepLines w:val="0"/>
              <w:pageBreakBefore w:val="0"/>
              <w:kinsoku/>
              <w:wordWrap/>
              <w:overflowPunct/>
              <w:topLinePunct w:val="0"/>
              <w:autoSpaceDE/>
              <w:autoSpaceDN/>
              <w:bidi w:val="0"/>
              <w:adjustRightInd/>
              <w:snapToGrid/>
              <w:spacing w:line="240" w:lineRule="auto"/>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1.采用银行转账或电汇的方式的，由报名单位基本账户于公告发布之日起至投标截止时间前汇至保证金指定账户，不得以现金和其他形式缴纳，不得以分公司、办事处或其他机构的名义缴纳，报名单位在缴纳保证金时，需在进账凭证上明确资金用途、项目名称，以便查对核实。投标保证金缴纳截止时间为递交投标文件截止时间，无须换取收据。</w:t>
            </w:r>
          </w:p>
          <w:p w14:paraId="7716448A">
            <w:pPr>
              <w:keepNext w:val="0"/>
              <w:keepLines w:val="0"/>
              <w:pageBreakBefore w:val="0"/>
              <w:kinsoku/>
              <w:wordWrap/>
              <w:overflowPunct/>
              <w:topLinePunct w:val="0"/>
              <w:autoSpaceDE/>
              <w:autoSpaceDN/>
              <w:bidi w:val="0"/>
              <w:adjustRightInd/>
              <w:snapToGrid/>
              <w:spacing w:line="240" w:lineRule="auto"/>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电子保函使用方法：1、登录新疆维吾尔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p w14:paraId="75CC8D92">
            <w:pPr>
              <w:keepNext w:val="0"/>
              <w:keepLines w:val="0"/>
              <w:pageBreakBefore w:val="0"/>
              <w:shd w:val="clear" w:color="auto" w:fill="auto"/>
              <w:kinsoku/>
              <w:wordWrap/>
              <w:overflowPunct/>
              <w:topLinePunct w:val="0"/>
              <w:autoSpaceDE/>
              <w:autoSpaceDN/>
              <w:bidi w:val="0"/>
              <w:adjustRightInd/>
              <w:snapToGrid/>
              <w:spacing w:line="300" w:lineRule="exact"/>
              <w:ind w:left="0" w:right="0" w:firstLine="0" w:firstLineChars="0"/>
              <w:jc w:val="both"/>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保函投保金额（元）：30</w:t>
            </w:r>
            <w:r>
              <w:rPr>
                <w:rFonts w:hint="eastAsia" w:ascii="仿宋" w:hAnsi="仿宋" w:eastAsia="仿宋" w:cs="仿宋"/>
                <w:b/>
                <w:bCs/>
                <w:color w:val="auto"/>
                <w:sz w:val="24"/>
                <w:szCs w:val="24"/>
                <w:highlight w:val="none"/>
              </w:rPr>
              <w:t>000.00元（</w:t>
            </w:r>
            <w:r>
              <w:rPr>
                <w:rFonts w:hint="eastAsia" w:ascii="仿宋" w:hAnsi="仿宋" w:eastAsia="仿宋" w:cs="仿宋"/>
                <w:b/>
                <w:bCs/>
                <w:color w:val="auto"/>
                <w:sz w:val="24"/>
                <w:szCs w:val="24"/>
                <w:highlight w:val="none"/>
                <w:lang w:val="en-US" w:eastAsia="zh-CN"/>
              </w:rPr>
              <w:t>叁万元整</w:t>
            </w:r>
            <w:r>
              <w:rPr>
                <w:rFonts w:hint="eastAsia" w:ascii="仿宋" w:hAnsi="仿宋" w:eastAsia="仿宋" w:cs="仿宋"/>
                <w:b/>
                <w:bCs/>
                <w:color w:val="auto"/>
                <w:sz w:val="24"/>
                <w:szCs w:val="24"/>
                <w:highlight w:val="none"/>
              </w:rPr>
              <w:t>）</w:t>
            </w:r>
          </w:p>
          <w:p w14:paraId="39BD6758">
            <w:pPr>
              <w:keepNext w:val="0"/>
              <w:keepLines w:val="0"/>
              <w:pageBreakBefore w:val="0"/>
              <w:kinsoku/>
              <w:wordWrap/>
              <w:overflowPunct/>
              <w:topLinePunct w:val="0"/>
              <w:autoSpaceDE/>
              <w:autoSpaceDN/>
              <w:bidi w:val="0"/>
              <w:adjustRightInd/>
              <w:snapToGrid/>
              <w:spacing w:line="240" w:lineRule="auto"/>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保函承保期限：2026年11月03日—2027年02月01日（90日历天）</w:t>
            </w:r>
            <w:bookmarkStart w:id="39" w:name="OLE_LINK7"/>
            <w:bookmarkEnd w:id="39"/>
          </w:p>
        </w:tc>
      </w:tr>
      <w:tr w14:paraId="3A934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CC7ED1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1550" w:type="dxa"/>
            <w:tcBorders>
              <w:right w:val="single" w:color="auto" w:sz="4" w:space="0"/>
            </w:tcBorders>
            <w:noWrap w:val="0"/>
            <w:vAlign w:val="center"/>
          </w:tcPr>
          <w:p w14:paraId="071A017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签字盖章</w:t>
            </w:r>
          </w:p>
        </w:tc>
        <w:tc>
          <w:tcPr>
            <w:tcW w:w="7512" w:type="dxa"/>
            <w:tcBorders>
              <w:left w:val="single" w:color="auto" w:sz="4" w:space="0"/>
            </w:tcBorders>
            <w:noWrap w:val="0"/>
            <w:vAlign w:val="center"/>
          </w:tcPr>
          <w:p w14:paraId="5D96CC47">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投标人必须按照招标文件的规定和要求签字、盖章</w:t>
            </w:r>
          </w:p>
        </w:tc>
      </w:tr>
      <w:tr w14:paraId="43F6E0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77A3515C">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p>
        </w:tc>
        <w:tc>
          <w:tcPr>
            <w:tcW w:w="1550" w:type="dxa"/>
            <w:tcBorders>
              <w:right w:val="single" w:color="auto" w:sz="4" w:space="0"/>
            </w:tcBorders>
            <w:noWrap w:val="0"/>
            <w:vAlign w:val="center"/>
          </w:tcPr>
          <w:p w14:paraId="68B9F38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递交投标文件的地点及方式</w:t>
            </w:r>
          </w:p>
        </w:tc>
        <w:tc>
          <w:tcPr>
            <w:tcW w:w="7512" w:type="dxa"/>
            <w:tcBorders>
              <w:left w:val="single" w:color="auto" w:sz="4" w:space="0"/>
            </w:tcBorders>
            <w:noWrap w:val="0"/>
            <w:vAlign w:val="center"/>
          </w:tcPr>
          <w:p w14:paraId="53B3B412">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开标时间：2026年11月03日11：00（北京时间）</w:t>
            </w:r>
          </w:p>
          <w:p w14:paraId="414A7056">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bCs/>
                <w:color w:val="auto"/>
                <w:sz w:val="24"/>
                <w:szCs w:val="24"/>
                <w:highlight w:val="none"/>
                <w:lang w:val="en-US" w:eastAsia="zh-CN"/>
              </w:rPr>
              <w:t>开标地点：政采云平台（</w:t>
            </w:r>
            <w:r>
              <w:rPr>
                <w:rFonts w:hint="eastAsia" w:ascii="仿宋" w:hAnsi="仿宋" w:eastAsia="仿宋" w:cs="仿宋"/>
                <w:bCs/>
                <w:color w:val="auto"/>
                <w:sz w:val="24"/>
                <w:szCs w:val="24"/>
                <w:highlight w:val="none"/>
                <w:lang w:val="en-US" w:eastAsia="zh-CN"/>
              </w:rPr>
              <w:fldChar w:fldCharType="begin"/>
            </w:r>
            <w:r>
              <w:rPr>
                <w:rFonts w:hint="eastAsia" w:ascii="仿宋" w:hAnsi="仿宋" w:eastAsia="仿宋" w:cs="仿宋"/>
                <w:bCs/>
                <w:color w:val="auto"/>
                <w:sz w:val="24"/>
                <w:szCs w:val="24"/>
                <w:highlight w:val="none"/>
                <w:lang w:val="en-US" w:eastAsia="zh-CN"/>
              </w:rPr>
              <w:instrText xml:space="preserve"> HYPERLINK "https://www.zcygov.cn/" </w:instrText>
            </w:r>
            <w:r>
              <w:rPr>
                <w:rFonts w:hint="eastAsia" w:ascii="仿宋" w:hAnsi="仿宋" w:eastAsia="仿宋" w:cs="仿宋"/>
                <w:bCs/>
                <w:color w:val="auto"/>
                <w:sz w:val="24"/>
                <w:szCs w:val="24"/>
                <w:highlight w:val="none"/>
                <w:lang w:val="en-US" w:eastAsia="zh-CN"/>
              </w:rPr>
              <w:fldChar w:fldCharType="separate"/>
            </w:r>
            <w:r>
              <w:rPr>
                <w:rFonts w:hint="eastAsia" w:ascii="仿宋" w:hAnsi="仿宋" w:eastAsia="仿宋" w:cs="仿宋"/>
                <w:bCs/>
                <w:color w:val="auto"/>
                <w:sz w:val="24"/>
                <w:szCs w:val="24"/>
                <w:highlight w:val="none"/>
                <w:lang w:val="en-US" w:eastAsia="zh-CN"/>
              </w:rPr>
              <w:t>https://www.zcygov.cn/</w:t>
            </w:r>
            <w:r>
              <w:rPr>
                <w:rFonts w:hint="eastAsia" w:ascii="仿宋" w:hAnsi="仿宋" w:eastAsia="仿宋" w:cs="仿宋"/>
                <w:bCs/>
                <w:color w:val="auto"/>
                <w:sz w:val="24"/>
                <w:szCs w:val="24"/>
                <w:highlight w:val="none"/>
                <w:lang w:val="en-US" w:eastAsia="zh-CN"/>
              </w:rPr>
              <w:fldChar w:fldCharType="end"/>
            </w:r>
            <w:r>
              <w:rPr>
                <w:rFonts w:hint="eastAsia" w:ascii="仿宋" w:hAnsi="仿宋" w:eastAsia="仿宋" w:cs="仿宋"/>
                <w:bCs/>
                <w:color w:val="auto"/>
                <w:sz w:val="24"/>
                <w:szCs w:val="24"/>
                <w:highlight w:val="none"/>
                <w:lang w:val="en-US" w:eastAsia="zh-CN"/>
              </w:rPr>
              <w:t>）不见面开标。</w:t>
            </w:r>
          </w:p>
        </w:tc>
      </w:tr>
      <w:tr w14:paraId="06F496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FABF21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w:t>
            </w:r>
          </w:p>
        </w:tc>
        <w:tc>
          <w:tcPr>
            <w:tcW w:w="1550" w:type="dxa"/>
            <w:tcBorders>
              <w:right w:val="single" w:color="auto" w:sz="4" w:space="0"/>
            </w:tcBorders>
            <w:noWrap w:val="0"/>
            <w:vAlign w:val="center"/>
          </w:tcPr>
          <w:p w14:paraId="62FA9244">
            <w:pPr>
              <w:keepNext w:val="0"/>
              <w:keepLines w:val="0"/>
              <w:pageBreakBefore w:val="0"/>
              <w:kinsoku/>
              <w:wordWrap/>
              <w:overflowPunct/>
              <w:topLinePunct w:val="0"/>
              <w:autoSpaceDE/>
              <w:autoSpaceDN/>
              <w:bidi w:val="0"/>
              <w:adjustRightInd/>
              <w:snapToGrid/>
              <w:spacing w:line="300" w:lineRule="exact"/>
              <w:ind w:left="120" w:leftChars="0" w:right="62" w:rightChars="0" w:hanging="120" w:hangingChars="5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标前准备</w:t>
            </w:r>
          </w:p>
        </w:tc>
        <w:tc>
          <w:tcPr>
            <w:tcW w:w="7512" w:type="dxa"/>
            <w:tcBorders>
              <w:left w:val="single" w:color="auto" w:sz="4" w:space="0"/>
            </w:tcBorders>
            <w:noWrap w:val="0"/>
            <w:vAlign w:val="center"/>
          </w:tcPr>
          <w:p w14:paraId="4FBE195B">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1.本项目实行网上投标，采用电子投标文件。供应商应按照相关格式要求上传投标文件即可，无需到现场开标。若供应商参与投标，自行承担投标一切费用。</w:t>
            </w:r>
          </w:p>
          <w:p w14:paraId="68D933AC">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2.各供应商应在开标前确保成为新疆维吾尔自治区政府采购网正式注册入库供应商，并完成CA数字证书申领。因未注册入库、未办理CA数字证书等原因造成无法投标或投标失败等后果由供应商自行承担。</w:t>
            </w:r>
          </w:p>
          <w:p w14:paraId="6C8B7F4D">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本项目为电子招投标，投标人需要使用CA加密设备，有意向参与新疆区域电子开评标的供应商，请访问新疆数字证书认证中心官方网站（https://www.xjca.com.cn/）下载“新疆政务通”APP，自行进行申领。如需咨询，请联系新疆CA服务热线0991-2819290</w:t>
            </w:r>
          </w:p>
          <w:p w14:paraId="370F21C9">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 w:val="0"/>
                <w:bCs w:val="0"/>
                <w:color w:val="auto"/>
                <w:sz w:val="24"/>
                <w:szCs w:val="24"/>
                <w:highlight w:val="none"/>
              </w:rPr>
            </w:pPr>
            <w:r>
              <w:rPr>
                <w:rFonts w:hint="eastAsia" w:ascii="仿宋" w:hAnsi="仿宋" w:eastAsia="仿宋" w:cs="仿宋"/>
                <w:bCs/>
                <w:color w:val="auto"/>
                <w:sz w:val="24"/>
                <w:szCs w:val="24"/>
                <w:highlight w:val="none"/>
                <w:lang w:val="en-US" w:eastAsia="zh-CN"/>
              </w:rPr>
              <w:t>4.供应商下载、安装新疆政府采购电子交易客户端完成后，可通过账号密码或CA登录客户端进行投标文件制作。在使用新疆政府采购投标客户端时，建议使用WIN7及以上操作系统。客户端请至新疆政府采购网（http://www.ccgp-xinjiang.gov.cn/）下载专区查看，如有问题可拨打新疆政府采购客户服务热线95763进行咨询。</w:t>
            </w:r>
          </w:p>
        </w:tc>
      </w:tr>
      <w:tr w14:paraId="2D6C65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1BFD394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p>
        </w:tc>
        <w:tc>
          <w:tcPr>
            <w:tcW w:w="1550" w:type="dxa"/>
            <w:tcBorders>
              <w:right w:val="single" w:color="auto" w:sz="4" w:space="0"/>
            </w:tcBorders>
            <w:noWrap w:val="0"/>
            <w:vAlign w:val="center"/>
          </w:tcPr>
          <w:p w14:paraId="59604B4C">
            <w:pPr>
              <w:spacing w:line="360" w:lineRule="exact"/>
              <w:ind w:left="120" w:leftChars="0" w:right="62" w:rightChars="0" w:hanging="120" w:hangingChars="5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shd w:val="clear" w:color="auto" w:fill="auto"/>
                <w:lang w:eastAsia="zh-CN"/>
              </w:rPr>
              <w:t>招标文件解密时间</w:t>
            </w:r>
          </w:p>
        </w:tc>
        <w:tc>
          <w:tcPr>
            <w:tcW w:w="7512" w:type="dxa"/>
            <w:tcBorders>
              <w:left w:val="single" w:color="auto" w:sz="4" w:space="0"/>
            </w:tcBorders>
            <w:noWrap w:val="0"/>
            <w:vAlign w:val="center"/>
          </w:tcPr>
          <w:p w14:paraId="6AC51170">
            <w:pPr>
              <w:keepNext w:val="0"/>
              <w:keepLines w:val="0"/>
              <w:pageBreakBefore w:val="0"/>
              <w:kinsoku/>
              <w:wordWrap/>
              <w:overflowPunct/>
              <w:topLinePunct w:val="0"/>
              <w:autoSpaceDE/>
              <w:autoSpaceDN/>
              <w:bidi w:val="0"/>
              <w:adjustRightInd/>
              <w:snapToGrid/>
              <w:spacing w:line="300" w:lineRule="exact"/>
              <w:ind w:left="0" w:leftChars="0" w:right="62" w:rightChars="0" w:firstLine="0" w:firstLineChars="0"/>
              <w:jc w:val="both"/>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i w:val="0"/>
                <w:iCs w:val="0"/>
                <w:caps w:val="0"/>
                <w:color w:val="auto"/>
                <w:spacing w:val="0"/>
                <w:kern w:val="0"/>
                <w:sz w:val="24"/>
                <w:szCs w:val="24"/>
                <w:highlight w:val="none"/>
                <w:lang w:val="en-US" w:eastAsia="zh-CN" w:bidi="ar-SA"/>
              </w:rPr>
              <w:t>2026年11月03日</w:t>
            </w:r>
            <w:r>
              <w:rPr>
                <w:rFonts w:hint="eastAsia" w:ascii="仿宋" w:hAnsi="仿宋" w:eastAsia="仿宋" w:cs="仿宋"/>
                <w:b w:val="0"/>
                <w:bCs w:val="0"/>
                <w:color w:val="auto"/>
                <w:sz w:val="24"/>
                <w:szCs w:val="24"/>
                <w:highlight w:val="none"/>
                <w:lang w:eastAsia="zh-CN"/>
              </w:rPr>
              <w:t>11:00</w:t>
            </w: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1:30</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北京时间</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供应商可以登录“</w:t>
            </w:r>
            <w:r>
              <w:rPr>
                <w:rFonts w:hint="eastAsia" w:ascii="仿宋" w:hAnsi="仿宋" w:eastAsia="仿宋" w:cs="仿宋"/>
                <w:b w:val="0"/>
                <w:bCs w:val="0"/>
                <w:color w:val="auto"/>
                <w:sz w:val="24"/>
                <w:szCs w:val="24"/>
                <w:highlight w:val="none"/>
                <w:lang w:val="en-US" w:eastAsia="zh-CN"/>
              </w:rPr>
              <w:t>政采云</w:t>
            </w:r>
            <w:r>
              <w:rPr>
                <w:rFonts w:hint="eastAsia" w:ascii="仿宋" w:hAnsi="仿宋" w:eastAsia="仿宋" w:cs="仿宋"/>
                <w:b w:val="0"/>
                <w:bCs w:val="0"/>
                <w:color w:val="auto"/>
                <w:sz w:val="24"/>
                <w:szCs w:val="24"/>
                <w:highlight w:val="none"/>
              </w:rPr>
              <w:t>”平台，用“项目采购</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开标评标”功能进行解密投标文件。若供应商在规定时间内（</w:t>
            </w:r>
            <w:r>
              <w:rPr>
                <w:rFonts w:hint="eastAsia" w:ascii="仿宋" w:hAnsi="仿宋" w:eastAsia="仿宋" w:cs="仿宋"/>
                <w:i w:val="0"/>
                <w:iCs w:val="0"/>
                <w:caps w:val="0"/>
                <w:color w:val="auto"/>
                <w:spacing w:val="0"/>
                <w:kern w:val="0"/>
                <w:sz w:val="24"/>
                <w:szCs w:val="24"/>
                <w:highlight w:val="none"/>
                <w:lang w:val="en-US" w:eastAsia="zh-CN" w:bidi="ar-SA"/>
              </w:rPr>
              <w:t>2026年11月03日</w:t>
            </w:r>
            <w:r>
              <w:rPr>
                <w:rFonts w:hint="eastAsia" w:ascii="仿宋" w:hAnsi="仿宋" w:eastAsia="仿宋" w:cs="仿宋"/>
                <w:b w:val="0"/>
                <w:bCs w:val="0"/>
                <w:color w:val="auto"/>
                <w:sz w:val="24"/>
                <w:szCs w:val="24"/>
                <w:highlight w:val="none"/>
                <w:lang w:val="en-US" w:eastAsia="zh-CN"/>
              </w:rPr>
              <w:t>上午11</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0前）未按时解密的，视为投标文件撤回。</w:t>
            </w:r>
          </w:p>
        </w:tc>
      </w:tr>
      <w:tr w14:paraId="2269E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3262C77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8</w:t>
            </w:r>
          </w:p>
        </w:tc>
        <w:tc>
          <w:tcPr>
            <w:tcW w:w="1550" w:type="dxa"/>
            <w:tcBorders>
              <w:right w:val="single" w:color="auto" w:sz="4" w:space="0"/>
            </w:tcBorders>
            <w:noWrap w:val="0"/>
            <w:vAlign w:val="center"/>
          </w:tcPr>
          <w:p w14:paraId="61E6A77B">
            <w:pPr>
              <w:spacing w:line="360" w:lineRule="exact"/>
              <w:ind w:left="120" w:leftChars="0" w:right="62" w:rightChars="0" w:hanging="120" w:hangingChars="5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0"/>
                <w:sz w:val="24"/>
                <w:szCs w:val="24"/>
                <w:highlight w:val="none"/>
                <w:shd w:val="clear" w:color="auto" w:fill="auto"/>
              </w:rPr>
              <w:t>招标代理服务费</w:t>
            </w:r>
          </w:p>
        </w:tc>
        <w:tc>
          <w:tcPr>
            <w:tcW w:w="7512" w:type="dxa"/>
            <w:tcBorders>
              <w:left w:val="single" w:color="auto" w:sz="4" w:space="0"/>
            </w:tcBorders>
            <w:noWrap w:val="0"/>
            <w:vAlign w:val="center"/>
          </w:tcPr>
          <w:p w14:paraId="21CA8CA6">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b w:val="0"/>
                <w:bCs w:val="0"/>
                <w:color w:val="auto"/>
                <w:sz w:val="24"/>
                <w:szCs w:val="24"/>
                <w:highlight w:val="none"/>
              </w:rPr>
            </w:pPr>
            <w:bookmarkStart w:id="40" w:name="OLE_LINK34"/>
            <w:r>
              <w:rPr>
                <w:rFonts w:hint="eastAsia" w:ascii="仿宋" w:hAnsi="仿宋" w:eastAsia="仿宋" w:cs="仿宋"/>
                <w:b w:val="0"/>
                <w:bCs w:val="0"/>
                <w:color w:val="auto"/>
                <w:sz w:val="24"/>
                <w:szCs w:val="24"/>
                <w:highlight w:val="none"/>
                <w:lang w:val="en-US" w:eastAsia="zh-CN"/>
              </w:rPr>
              <w:t>代理费收费标准参照以下差额累进法计算（以中标（成交）价为基准），100万元以下，费率为1.5%；100-500万元，费率为0.8%；由中标（成交）单位领取成交通知书时一次性支付。</w:t>
            </w:r>
            <w:bookmarkEnd w:id="40"/>
          </w:p>
        </w:tc>
      </w:tr>
      <w:tr w14:paraId="1BF83D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472F8E3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29</w:t>
            </w:r>
          </w:p>
        </w:tc>
        <w:tc>
          <w:tcPr>
            <w:tcW w:w="1550" w:type="dxa"/>
            <w:tcBorders>
              <w:right w:val="single" w:color="auto" w:sz="4" w:space="0"/>
            </w:tcBorders>
            <w:noWrap w:val="0"/>
            <w:vAlign w:val="center"/>
          </w:tcPr>
          <w:p w14:paraId="1F5AFBC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招标代理服务费付款方式</w:t>
            </w:r>
          </w:p>
        </w:tc>
        <w:tc>
          <w:tcPr>
            <w:tcW w:w="7512" w:type="dxa"/>
            <w:tcBorders>
              <w:left w:val="single" w:color="auto" w:sz="4" w:space="0"/>
            </w:tcBorders>
            <w:noWrap w:val="0"/>
            <w:vAlign w:val="center"/>
          </w:tcPr>
          <w:p w14:paraId="55F50CBE">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公对公转账、电汇或现金</w:t>
            </w:r>
          </w:p>
        </w:tc>
      </w:tr>
      <w:tr w14:paraId="230BB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67810B2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w:t>
            </w:r>
          </w:p>
        </w:tc>
        <w:tc>
          <w:tcPr>
            <w:tcW w:w="1550" w:type="dxa"/>
            <w:tcBorders>
              <w:right w:val="single" w:color="auto" w:sz="4" w:space="0"/>
            </w:tcBorders>
            <w:noWrap w:val="0"/>
            <w:vAlign w:val="center"/>
          </w:tcPr>
          <w:p w14:paraId="7C57EEA4">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w:t>
            </w:r>
            <w:r>
              <w:rPr>
                <w:rFonts w:hint="eastAsia" w:ascii="仿宋" w:hAnsi="仿宋" w:eastAsia="仿宋" w:cs="仿宋"/>
                <w:color w:val="auto"/>
                <w:sz w:val="24"/>
                <w:szCs w:val="24"/>
                <w:highlight w:val="none"/>
                <w:lang w:eastAsia="zh-CN"/>
              </w:rPr>
              <w:t>员会</w:t>
            </w:r>
            <w:r>
              <w:rPr>
                <w:rFonts w:hint="eastAsia" w:ascii="仿宋" w:hAnsi="仿宋" w:eastAsia="仿宋" w:cs="仿宋"/>
                <w:color w:val="auto"/>
                <w:sz w:val="24"/>
                <w:szCs w:val="24"/>
                <w:highlight w:val="none"/>
              </w:rPr>
              <w:t>的组建</w:t>
            </w:r>
          </w:p>
        </w:tc>
        <w:tc>
          <w:tcPr>
            <w:tcW w:w="7512" w:type="dxa"/>
            <w:tcBorders>
              <w:left w:val="single" w:color="auto" w:sz="4" w:space="0"/>
            </w:tcBorders>
            <w:noWrap w:val="0"/>
            <w:vAlign w:val="center"/>
          </w:tcPr>
          <w:p w14:paraId="5974C237">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评标委员会构成：</w:t>
            </w:r>
            <w:r>
              <w:rPr>
                <w:rFonts w:hint="eastAsia" w:ascii="仿宋" w:hAnsi="仿宋" w:eastAsia="仿宋" w:cs="仿宋"/>
                <w:color w:val="000000"/>
                <w:sz w:val="24"/>
                <w:szCs w:val="24"/>
                <w:highlight w:val="none"/>
                <w:u w:val="single"/>
                <w:lang w:val="en-US" w:eastAsia="zh-CN"/>
              </w:rPr>
              <w:t>5</w:t>
            </w:r>
            <w:r>
              <w:rPr>
                <w:rFonts w:hint="eastAsia" w:ascii="仿宋" w:hAnsi="仿宋" w:eastAsia="仿宋" w:cs="仿宋"/>
                <w:color w:val="000000"/>
                <w:sz w:val="24"/>
                <w:szCs w:val="24"/>
                <w:highlight w:val="none"/>
              </w:rPr>
              <w:t>人；其中专家</w:t>
            </w:r>
            <w:r>
              <w:rPr>
                <w:rFonts w:hint="eastAsia" w:ascii="仿宋" w:hAnsi="仿宋" w:eastAsia="仿宋" w:cs="仿宋"/>
                <w:color w:val="000000"/>
                <w:sz w:val="24"/>
                <w:szCs w:val="24"/>
                <w:highlight w:val="none"/>
                <w:u w:val="single"/>
                <w:lang w:val="en-US" w:eastAsia="zh-CN"/>
              </w:rPr>
              <w:t>4</w:t>
            </w:r>
            <w:r>
              <w:rPr>
                <w:rFonts w:hint="eastAsia" w:ascii="仿宋" w:hAnsi="仿宋" w:eastAsia="仿宋" w:cs="仿宋"/>
                <w:color w:val="000000"/>
                <w:sz w:val="24"/>
                <w:szCs w:val="24"/>
                <w:highlight w:val="none"/>
              </w:rPr>
              <w:t>人，采购人代表</w:t>
            </w:r>
            <w:r>
              <w:rPr>
                <w:rFonts w:hint="eastAsia" w:ascii="仿宋" w:hAnsi="仿宋" w:eastAsia="仿宋" w:cs="仿宋"/>
                <w:color w:val="000000"/>
                <w:sz w:val="24"/>
                <w:szCs w:val="24"/>
                <w:highlight w:val="none"/>
                <w:u w:val="single"/>
                <w:lang w:val="en-US" w:eastAsia="zh-CN"/>
              </w:rPr>
              <w:t>1</w:t>
            </w:r>
            <w:r>
              <w:rPr>
                <w:rFonts w:hint="eastAsia" w:ascii="仿宋" w:hAnsi="仿宋" w:eastAsia="仿宋" w:cs="仿宋"/>
                <w:color w:val="000000"/>
                <w:sz w:val="24"/>
                <w:szCs w:val="24"/>
                <w:highlight w:val="none"/>
              </w:rPr>
              <w:t>人。</w:t>
            </w:r>
          </w:p>
          <w:p w14:paraId="1C9581AB">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评标专家确定方式：由招标代理在开标前</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小时在新疆政府采购专家库中随机抽取此次评标专家</w:t>
            </w:r>
            <w:r>
              <w:rPr>
                <w:rFonts w:hint="eastAsia" w:ascii="仿宋" w:hAnsi="仿宋" w:eastAsia="仿宋" w:cs="仿宋"/>
                <w:color w:val="auto"/>
                <w:sz w:val="24"/>
                <w:szCs w:val="24"/>
                <w:highlight w:val="none"/>
                <w:lang w:eastAsia="zh-CN"/>
              </w:rPr>
              <w:t>。</w:t>
            </w:r>
          </w:p>
        </w:tc>
      </w:tr>
      <w:tr w14:paraId="79D16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82" w:hRule="atLeast"/>
          <w:jc w:val="center"/>
        </w:trPr>
        <w:tc>
          <w:tcPr>
            <w:tcW w:w="621" w:type="dxa"/>
            <w:tcBorders>
              <w:top w:val="single" w:color="auto" w:sz="4" w:space="0"/>
            </w:tcBorders>
            <w:noWrap w:val="0"/>
            <w:vAlign w:val="center"/>
          </w:tcPr>
          <w:p w14:paraId="36D9957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w:t>
            </w:r>
          </w:p>
        </w:tc>
        <w:tc>
          <w:tcPr>
            <w:tcW w:w="1550" w:type="dxa"/>
            <w:tcBorders>
              <w:top w:val="single" w:color="auto" w:sz="4" w:space="0"/>
              <w:right w:val="single" w:color="auto" w:sz="4" w:space="0"/>
            </w:tcBorders>
            <w:noWrap w:val="0"/>
            <w:vAlign w:val="center"/>
          </w:tcPr>
          <w:p w14:paraId="1CC535A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w:t>
            </w:r>
          </w:p>
        </w:tc>
        <w:tc>
          <w:tcPr>
            <w:tcW w:w="7512" w:type="dxa"/>
            <w:tcBorders>
              <w:top w:val="single" w:color="auto" w:sz="4" w:space="0"/>
              <w:left w:val="single" w:color="auto" w:sz="4" w:space="0"/>
            </w:tcBorders>
            <w:noWrap w:val="0"/>
            <w:vAlign w:val="center"/>
          </w:tcPr>
          <w:p w14:paraId="761D67B9">
            <w:pPr>
              <w:spacing w:line="300" w:lineRule="exact"/>
              <w:ind w:left="0" w:leftChars="0" w:right="0" w:firstLine="0" w:firstLineChars="0"/>
              <w:rPr>
                <w:rFonts w:hint="eastAsia" w:ascii="仿宋" w:hAnsi="仿宋" w:eastAsia="仿宋" w:cs="仿宋"/>
                <w:color w:val="auto"/>
                <w:sz w:val="24"/>
              </w:rPr>
            </w:pPr>
            <w:r>
              <w:rPr>
                <w:rFonts w:hint="eastAsia" w:ascii="仿宋" w:hAnsi="仿宋" w:eastAsia="仿宋" w:cs="仿宋"/>
                <w:color w:val="auto"/>
                <w:sz w:val="24"/>
                <w:lang w:val="en-US" w:eastAsia="zh-CN"/>
              </w:rPr>
              <w:t>中标</w:t>
            </w:r>
            <w:r>
              <w:rPr>
                <w:rFonts w:hint="eastAsia" w:ascii="仿宋" w:hAnsi="仿宋" w:eastAsia="仿宋" w:cs="仿宋"/>
                <w:color w:val="auto"/>
                <w:sz w:val="24"/>
              </w:rPr>
              <w:t>合同总价的</w:t>
            </w:r>
            <w:r>
              <w:rPr>
                <w:rFonts w:hint="eastAsia" w:ascii="仿宋" w:hAnsi="仿宋" w:eastAsia="仿宋" w:cs="仿宋"/>
                <w:color w:val="auto"/>
                <w:sz w:val="24"/>
                <w:lang w:val="en-US" w:eastAsia="zh-CN"/>
              </w:rPr>
              <w:t>5</w:t>
            </w:r>
            <w:r>
              <w:rPr>
                <w:rFonts w:hint="eastAsia" w:ascii="仿宋" w:hAnsi="仿宋" w:eastAsia="仿宋" w:cs="仿宋"/>
                <w:color w:val="auto"/>
                <w:sz w:val="24"/>
              </w:rPr>
              <w:t>%，根据《中华人民共和国政府采购法实施条例》第四十八条</w:t>
            </w:r>
            <w:r>
              <w:rPr>
                <w:rFonts w:hint="eastAsia" w:ascii="仿宋" w:hAnsi="仿宋" w:eastAsia="仿宋" w:cs="仿宋"/>
                <w:color w:val="auto"/>
                <w:sz w:val="24"/>
                <w:lang w:eastAsia="zh-CN"/>
              </w:rPr>
              <w:t>，履约</w:t>
            </w:r>
            <w:r>
              <w:rPr>
                <w:rFonts w:hint="eastAsia" w:ascii="仿宋" w:hAnsi="仿宋" w:eastAsia="仿宋" w:cs="仿宋"/>
                <w:color w:val="auto"/>
                <w:sz w:val="24"/>
              </w:rPr>
              <w:t>保证金的数额不得超过政府采购合同金额的10%。中标人与招标人签订合同前提交履约保证金，如中标人未按招标文件规定的</w:t>
            </w:r>
            <w:r>
              <w:rPr>
                <w:rFonts w:hint="eastAsia" w:ascii="仿宋" w:hAnsi="仿宋" w:eastAsia="仿宋" w:cs="仿宋"/>
                <w:color w:val="auto"/>
                <w:sz w:val="24"/>
                <w:lang w:val="en-US" w:eastAsia="zh-CN"/>
              </w:rPr>
              <w:t>期限</w:t>
            </w:r>
            <w:r>
              <w:rPr>
                <w:rFonts w:hint="eastAsia" w:ascii="仿宋" w:hAnsi="仿宋" w:eastAsia="仿宋" w:cs="仿宋"/>
                <w:color w:val="auto"/>
                <w:sz w:val="24"/>
              </w:rPr>
              <w:t>服务、实施过程中的设计变更、施工配合、验收配合等服务完毕，则扣除履约保证金。</w:t>
            </w:r>
          </w:p>
          <w:p w14:paraId="4B375476">
            <w:pPr>
              <w:keepNext w:val="0"/>
              <w:keepLines w:val="0"/>
              <w:pageBreakBefore w:val="0"/>
              <w:kinsoku/>
              <w:wordWrap/>
              <w:overflowPunct/>
              <w:topLinePunct w:val="0"/>
              <w:autoSpaceDE/>
              <w:autoSpaceDN/>
              <w:bidi w:val="0"/>
              <w:adjustRightInd/>
              <w:snapToGrid/>
              <w:spacing w:line="300" w:lineRule="exact"/>
              <w:ind w:right="0"/>
              <w:jc w:val="both"/>
              <w:textAlignment w:val="auto"/>
              <w:rPr>
                <w:rFonts w:hint="default" w:ascii="仿宋" w:hAnsi="仿宋" w:eastAsia="仿宋" w:cs="仿宋"/>
                <w:color w:val="auto"/>
                <w:sz w:val="24"/>
                <w:lang w:val="en-US" w:eastAsia="zh-CN"/>
              </w:rPr>
            </w:pPr>
            <w:r>
              <w:rPr>
                <w:rFonts w:hint="eastAsia" w:ascii="仿宋" w:hAnsi="仿宋" w:eastAsia="仿宋" w:cs="仿宋"/>
                <w:color w:val="auto"/>
                <w:sz w:val="24"/>
              </w:rPr>
              <w:t>履约保证金形式：</w:t>
            </w:r>
            <w:r>
              <w:rPr>
                <w:rFonts w:hint="eastAsia" w:ascii="仿宋" w:hAnsi="仿宋" w:eastAsia="仿宋" w:cs="仿宋"/>
                <w:color w:val="auto"/>
                <w:sz w:val="24"/>
                <w:lang w:val="en-US" w:eastAsia="zh-CN"/>
              </w:rPr>
              <w:t>电汇、转账、或电子保函</w:t>
            </w:r>
          </w:p>
          <w:p w14:paraId="2E5D2929">
            <w:pPr>
              <w:pStyle w:val="8"/>
              <w:rPr>
                <w:rFonts w:hint="default"/>
                <w:lang w:eastAsia="zh-CN"/>
              </w:rPr>
            </w:pPr>
            <w:r>
              <w:rPr>
                <w:rFonts w:hint="eastAsia" w:ascii="仿宋" w:hAnsi="仿宋" w:eastAsia="仿宋" w:cs="仿宋"/>
                <w:color w:val="auto"/>
                <w:kern w:val="2"/>
                <w:sz w:val="24"/>
                <w:szCs w:val="24"/>
                <w:highlight w:val="none"/>
                <w:lang w:val="en-US" w:eastAsia="zh-CN" w:bidi="ar-SA"/>
              </w:rPr>
              <w:t>中标供应商与采购人签订合同前另行协商</w:t>
            </w:r>
            <w:r>
              <w:rPr>
                <w:rFonts w:hint="default" w:ascii="仿宋" w:hAnsi="仿宋" w:eastAsia="仿宋" w:cs="仿宋"/>
                <w:color w:val="auto"/>
                <w:kern w:val="2"/>
                <w:sz w:val="24"/>
                <w:szCs w:val="24"/>
                <w:highlight w:val="none"/>
                <w:lang w:eastAsia="zh-CN" w:bidi="ar-SA"/>
              </w:rPr>
              <w:t>。</w:t>
            </w:r>
          </w:p>
        </w:tc>
      </w:tr>
      <w:tr w14:paraId="425392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tcBorders>
              <w:top w:val="single" w:color="auto" w:sz="4" w:space="0"/>
            </w:tcBorders>
            <w:noWrap w:val="0"/>
            <w:vAlign w:val="center"/>
          </w:tcPr>
          <w:p w14:paraId="6092697C">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w:t>
            </w:r>
          </w:p>
        </w:tc>
        <w:tc>
          <w:tcPr>
            <w:tcW w:w="1550" w:type="dxa"/>
            <w:tcBorders>
              <w:top w:val="single" w:color="auto" w:sz="4" w:space="0"/>
              <w:right w:val="single" w:color="auto" w:sz="4" w:space="0"/>
            </w:tcBorders>
            <w:noWrap w:val="0"/>
            <w:vAlign w:val="center"/>
          </w:tcPr>
          <w:p w14:paraId="7D2FF898">
            <w:pPr>
              <w:keepNext w:val="0"/>
              <w:keepLines w:val="0"/>
              <w:pageBreakBefore w:val="0"/>
              <w:kinsoku/>
              <w:wordWrap/>
              <w:overflowPunct/>
              <w:topLinePunct w:val="0"/>
              <w:autoSpaceDE/>
              <w:autoSpaceDN/>
              <w:bidi w:val="0"/>
              <w:adjustRightInd/>
              <w:snapToGrid/>
              <w:spacing w:line="300" w:lineRule="exact"/>
              <w:ind w:right="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政府采购政策支持</w:t>
            </w:r>
          </w:p>
        </w:tc>
        <w:tc>
          <w:tcPr>
            <w:tcW w:w="7512" w:type="dxa"/>
            <w:tcBorders>
              <w:top w:val="single" w:color="auto" w:sz="4" w:space="0"/>
              <w:left w:val="single" w:color="auto" w:sz="4" w:space="0"/>
            </w:tcBorders>
            <w:noWrap w:val="0"/>
            <w:vAlign w:val="top"/>
          </w:tcPr>
          <w:p w14:paraId="2D751F31">
            <w:pPr>
              <w:keepNext w:val="0"/>
              <w:keepLines w:val="0"/>
              <w:pageBreakBefore w:val="0"/>
              <w:numPr>
                <w:ilvl w:val="0"/>
                <w:numId w:val="4"/>
              </w:numPr>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根据工信部等部委发布的《关于印发中小企业划型标准规定的通知》（工信部联企业〔2011〕300号）规定执行。</w:t>
            </w:r>
          </w:p>
          <w:p w14:paraId="7AE0B121">
            <w:pPr>
              <w:keepNext w:val="0"/>
              <w:keepLines w:val="0"/>
              <w:pageBreakBefore w:val="0"/>
              <w:numPr>
                <w:ilvl w:val="0"/>
                <w:numId w:val="4"/>
              </w:numPr>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根据《政府采购促进中小企业发展管理办法》（财库〔2020〕46号）的规定。</w:t>
            </w:r>
          </w:p>
          <w:p w14:paraId="075B5D8B">
            <w:pPr>
              <w:keepNext w:val="0"/>
              <w:keepLines w:val="0"/>
              <w:pageBreakBefore w:val="0"/>
              <w:numPr>
                <w:ilvl w:val="0"/>
                <w:numId w:val="4"/>
              </w:numPr>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根据财政部司法部《关于政府采购支持监狱企业发展有关问题的通知》（财库〔2014〕68号）规定，监狱企业视同小型、微型企业，享受评审中价格扣除等政府采购促进中小企业发展的政策。</w:t>
            </w:r>
          </w:p>
          <w:p w14:paraId="6C049137">
            <w:pPr>
              <w:keepNext w:val="0"/>
              <w:keepLines w:val="0"/>
              <w:pageBreakBefore w:val="0"/>
              <w:numPr>
                <w:ilvl w:val="0"/>
                <w:numId w:val="4"/>
              </w:numPr>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根据财政部民政部中国残疾人联合会《关于促进残疾人就业政府采购政策的通知》（财库〔2017〕141号）规定，残疾人福利性单位视同小型、微型企业，享受评审中价格扣除等政府采购促进中小企业发展的政策。</w:t>
            </w:r>
          </w:p>
          <w:p w14:paraId="285C2238">
            <w:pPr>
              <w:keepNext w:val="0"/>
              <w:keepLines w:val="0"/>
              <w:pageBreakBefore w:val="0"/>
              <w:numPr>
                <w:ilvl w:val="0"/>
                <w:numId w:val="4"/>
              </w:numPr>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价格扣除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w:t>
            </w:r>
          </w:p>
          <w:p w14:paraId="7F94CC14">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供应商应当对《中小企业声明函》、监狱企业证明文件、《残疾人福利性单位声明函》的真实性负责，上述材料与事实不符的，依照《中华人民共和国政府采购法》第七十七条第一款的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中小企业应当提供《中小企业声明函》，监狱企业提供《监狱企业声明函》及其相关的充分的证明材料，残疾人福利性单位提供《残疾人福利性单位声明函》；</w:t>
            </w:r>
          </w:p>
          <w:p w14:paraId="473E0FDE">
            <w:pPr>
              <w:keepNext w:val="0"/>
              <w:keepLines w:val="0"/>
              <w:pageBreakBefore w:val="0"/>
              <w:kinsoku/>
              <w:wordWrap/>
              <w:overflowPunct/>
              <w:topLinePunct w:val="0"/>
              <w:autoSpaceDE/>
              <w:autoSpaceDN/>
              <w:bidi w:val="0"/>
              <w:adjustRightInd/>
              <w:snapToGrid/>
              <w:spacing w:line="300" w:lineRule="exact"/>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本项目所属行业：工业</w:t>
            </w:r>
          </w:p>
        </w:tc>
      </w:tr>
      <w:tr w14:paraId="458138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tcBorders>
              <w:top w:val="single" w:color="auto" w:sz="4" w:space="0"/>
            </w:tcBorders>
            <w:noWrap w:val="0"/>
            <w:vAlign w:val="center"/>
          </w:tcPr>
          <w:p w14:paraId="0CCD8BF5">
            <w:pPr>
              <w:bidi w:val="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w:t>
            </w:r>
          </w:p>
        </w:tc>
        <w:tc>
          <w:tcPr>
            <w:tcW w:w="1550" w:type="dxa"/>
            <w:tcBorders>
              <w:top w:val="single" w:color="auto" w:sz="4" w:space="0"/>
              <w:right w:val="single" w:color="auto" w:sz="4" w:space="0"/>
            </w:tcBorders>
            <w:noWrap w:val="0"/>
            <w:vAlign w:val="center"/>
          </w:tcPr>
          <w:p w14:paraId="1476E58C">
            <w:pPr>
              <w:keepNext w:val="0"/>
              <w:keepLines w:val="0"/>
              <w:pageBreakBefore w:val="0"/>
              <w:kinsoku/>
              <w:wordWrap/>
              <w:overflowPunct/>
              <w:topLinePunct w:val="0"/>
              <w:autoSpaceDE/>
              <w:autoSpaceDN/>
              <w:bidi w:val="0"/>
              <w:adjustRightInd/>
              <w:snapToGrid/>
              <w:spacing w:line="300" w:lineRule="exact"/>
              <w:ind w:left="0" w:leftChars="0" w:right="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关于小微企业报价扣除比例说明</w:t>
            </w:r>
          </w:p>
        </w:tc>
        <w:tc>
          <w:tcPr>
            <w:tcW w:w="7512" w:type="dxa"/>
            <w:tcBorders>
              <w:top w:val="single" w:color="auto" w:sz="4" w:space="0"/>
              <w:left w:val="single" w:color="auto" w:sz="4" w:space="0"/>
            </w:tcBorders>
            <w:noWrap w:val="0"/>
            <w:vAlign w:val="top"/>
          </w:tcPr>
          <w:p w14:paraId="2472C4F3">
            <w:pPr>
              <w:keepNext w:val="0"/>
              <w:keepLines w:val="0"/>
              <w:pageBreakBefore w:val="0"/>
              <w:numPr>
                <w:ilvl w:val="0"/>
                <w:numId w:val="0"/>
              </w:numPr>
              <w:kinsoku/>
              <w:wordWrap/>
              <w:overflowPunct/>
              <w:topLinePunct w:val="0"/>
              <w:autoSpaceDE/>
              <w:autoSpaceDN/>
              <w:bidi w:val="0"/>
              <w:adjustRightInd/>
              <w:snapToGrid/>
              <w:spacing w:line="300" w:lineRule="exact"/>
              <w:ind w:right="0" w:right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1.投标人为非联合体投标的，对其投标货物的制造商为小微型企业的给予</w:t>
            </w: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val="0"/>
                <w:bCs w:val="0"/>
                <w:color w:val="auto"/>
                <w:sz w:val="24"/>
                <w:szCs w:val="24"/>
                <w:highlight w:val="none"/>
                <w:lang w:val="en-US" w:eastAsia="zh-CN"/>
              </w:rPr>
              <w:t>的扣除，以扣除后的报价参与评审。本项目不专门面向中小企业，符合条件的小微型企业按上述规定执行价格评审优惠（报价扣除）</w:t>
            </w:r>
          </w:p>
          <w:p w14:paraId="14979D4B">
            <w:pPr>
              <w:keepNext w:val="0"/>
              <w:keepLines w:val="0"/>
              <w:pageBreakBefore w:val="0"/>
              <w:numPr>
                <w:ilvl w:val="0"/>
                <w:numId w:val="0"/>
              </w:numPr>
              <w:kinsoku/>
              <w:wordWrap/>
              <w:overflowPunct/>
              <w:topLinePunct w:val="0"/>
              <w:autoSpaceDE/>
              <w:autoSpaceDN/>
              <w:bidi w:val="0"/>
              <w:adjustRightInd/>
              <w:snapToGrid/>
              <w:spacing w:line="300" w:lineRule="exact"/>
              <w:ind w:right="0" w:right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4%（4%—6%由采购人在幅度范围内确定）的扣除，用扣除后的价格参加评审。</w:t>
            </w:r>
          </w:p>
          <w:p w14:paraId="236DCFFE">
            <w:pPr>
              <w:keepNext w:val="0"/>
              <w:keepLines w:val="0"/>
              <w:pageBreakBefore w:val="0"/>
              <w:numPr>
                <w:ilvl w:val="0"/>
                <w:numId w:val="0"/>
              </w:numPr>
              <w:kinsoku/>
              <w:wordWrap/>
              <w:overflowPunct/>
              <w:topLinePunct w:val="0"/>
              <w:autoSpaceDE/>
              <w:autoSpaceDN/>
              <w:bidi w:val="0"/>
              <w:adjustRightInd/>
              <w:snapToGrid/>
              <w:spacing w:line="300" w:lineRule="exact"/>
              <w:ind w:right="0" w:right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3.监狱企业、残疾人福利性单位视同小型、微型企业。</w:t>
            </w:r>
          </w:p>
        </w:tc>
      </w:tr>
      <w:tr w14:paraId="1C587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7D24993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w:t>
            </w:r>
          </w:p>
        </w:tc>
        <w:tc>
          <w:tcPr>
            <w:tcW w:w="1550" w:type="dxa"/>
            <w:tcBorders>
              <w:right w:val="single" w:color="auto" w:sz="4" w:space="0"/>
            </w:tcBorders>
            <w:noWrap w:val="0"/>
            <w:vAlign w:val="center"/>
          </w:tcPr>
          <w:p w14:paraId="7DA54DF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其他说明</w:t>
            </w:r>
            <w:r>
              <w:rPr>
                <w:rFonts w:hint="eastAsia" w:ascii="仿宋" w:hAnsi="仿宋" w:eastAsia="仿宋" w:cs="仿宋"/>
                <w:color w:val="auto"/>
                <w:sz w:val="24"/>
                <w:szCs w:val="24"/>
                <w:highlight w:val="none"/>
                <w:lang w:val="en-US" w:eastAsia="zh-CN"/>
              </w:rPr>
              <w:t>1</w:t>
            </w:r>
          </w:p>
        </w:tc>
        <w:tc>
          <w:tcPr>
            <w:tcW w:w="7512" w:type="dxa"/>
            <w:tcBorders>
              <w:left w:val="single" w:color="auto" w:sz="4" w:space="0"/>
            </w:tcBorders>
            <w:noWrap w:val="0"/>
            <w:vAlign w:val="center"/>
          </w:tcPr>
          <w:p w14:paraId="7EFFA59E">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特别提醒：</w:t>
            </w:r>
          </w:p>
          <w:p w14:paraId="0728BD13">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1.所有投标人的报价高于本项目（标项）最高限价额度的视为无效报价（即作否决投标处理）。</w:t>
            </w:r>
          </w:p>
          <w:p w14:paraId="7F8646CC">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color w:val="auto"/>
                <w:sz w:val="24"/>
                <w:szCs w:val="24"/>
                <w:highlight w:val="none"/>
              </w:rPr>
              <w:t>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随机抽取</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其他方式，具体要求：</w:t>
            </w:r>
            <w:r>
              <w:rPr>
                <w:rFonts w:hint="eastAsia" w:ascii="仿宋" w:hAnsi="仿宋" w:eastAsia="仿宋" w:cs="仿宋"/>
                <w:color w:val="auto"/>
                <w:sz w:val="24"/>
                <w:szCs w:val="24"/>
                <w:highlight w:val="none"/>
                <w:u w:val="single"/>
                <w:lang w:val="en-US" w:eastAsia="zh-CN"/>
              </w:rPr>
              <w:t>/</w:t>
            </w:r>
          </w:p>
          <w:p w14:paraId="16A82A14">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投标人的报价明显低于其他投标报价或者在设有标底时明显低于标底，使得其投标报价可能低于其个别成本的，应当要求该投标人作出书面说明并提供相应证明材料。投标人不能合理或者不能提供相应证明材料的，由评标委员会认定该投标人以低于成本报价竞标，其投标视为无效投标。</w:t>
            </w:r>
          </w:p>
          <w:p w14:paraId="12E54A2F">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4.更正补充公告请自行登录新疆政府采购网查看下载。</w:t>
            </w:r>
          </w:p>
          <w:p w14:paraId="79DA7750">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5.采购代理机构将拒绝接受未在政采云平台获取招标文件的投标人的投标文件。</w:t>
            </w:r>
          </w:p>
          <w:p w14:paraId="45BAE880">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6.所有投标单位对招标文件中所有条款如有疑问或异议，请在开标前以书面形式提出，否则不予受理。</w:t>
            </w:r>
          </w:p>
          <w:p w14:paraId="2089581B">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为确保投标保证金的及时退还，结果公示后投标企业需提供保证金汇款凭证、开户许可证复印件、收据并注明开户行行号、联系方式（加盖公司鲜公章）交至新疆宣烨项目管理咨询有限公司办理。（注：废标项目投标保证金在后续项目再次招标时银行系统不做统计，投标企业及时办理退款）。</w:t>
            </w:r>
          </w:p>
          <w:p w14:paraId="4C32C837">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8.本项目资格审查模块由采购人/监督人/招标代理组织进行。</w:t>
            </w:r>
          </w:p>
        </w:tc>
      </w:tr>
      <w:tr w14:paraId="7E7F3B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7" w:hRule="atLeast"/>
          <w:jc w:val="center"/>
        </w:trPr>
        <w:tc>
          <w:tcPr>
            <w:tcW w:w="621" w:type="dxa"/>
            <w:noWrap w:val="0"/>
            <w:vAlign w:val="center"/>
          </w:tcPr>
          <w:p w14:paraId="2B94D93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w:t>
            </w:r>
          </w:p>
        </w:tc>
        <w:tc>
          <w:tcPr>
            <w:tcW w:w="1550" w:type="dxa"/>
            <w:tcBorders>
              <w:right w:val="single" w:color="auto" w:sz="4" w:space="0"/>
            </w:tcBorders>
            <w:noWrap w:val="0"/>
            <w:vAlign w:val="center"/>
          </w:tcPr>
          <w:p w14:paraId="1EF01A9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其他说明</w:t>
            </w:r>
            <w:r>
              <w:rPr>
                <w:rFonts w:hint="eastAsia" w:ascii="仿宋" w:hAnsi="仿宋" w:eastAsia="仿宋" w:cs="仿宋"/>
                <w:color w:val="auto"/>
                <w:sz w:val="24"/>
                <w:szCs w:val="24"/>
                <w:highlight w:val="none"/>
                <w:lang w:val="en-US" w:eastAsia="zh-CN"/>
              </w:rPr>
              <w:t>2</w:t>
            </w:r>
          </w:p>
        </w:tc>
        <w:tc>
          <w:tcPr>
            <w:tcW w:w="7512" w:type="dxa"/>
            <w:tcBorders>
              <w:left w:val="single" w:color="auto" w:sz="4" w:space="0"/>
            </w:tcBorders>
            <w:noWrap w:val="0"/>
            <w:vAlign w:val="center"/>
          </w:tcPr>
          <w:p w14:paraId="3AF04FAC">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招标文件中部分加粗、加下划线、废标、无效标、投标被拒绝字样的条款，为招标的实质性要求和条件，着重提醒各投标人注意，并认真查看招标文件中的每一个条款及要求，因误读招标文件而造成的后果，招标人概不负责。</w:t>
            </w:r>
          </w:p>
          <w:p w14:paraId="1B9390AC">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投标文件中有弄虚作假的内容，其投标文件作废（如假证书、假业绩、隐瞒不良行为记录、夸大荣誉、使用非本单位在职员工的相关证件及不符合招标文件规定的条款等）。在签订合同之前，招标人如发现投标人的投标文件有弄虚作假内容，招标人可拒绝与其签订合同，并将其列入政府采购黑名单。</w:t>
            </w:r>
          </w:p>
          <w:p w14:paraId="522AFA88">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zh-CN" w:eastAsia="zh-CN"/>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lang w:val="zh-CN" w:eastAsia="zh-CN"/>
              </w:rPr>
              <w:t>本项目的招标投标活动以及相关当事人须接受财政监督部门依法实施的监督。</w:t>
            </w:r>
          </w:p>
          <w:p w14:paraId="4B4B3945">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在评标过程中，评标委员会认为投标人的报价明显低于其他通过符合性审查投标人的报价，有可能影响产品质量或者不能诚信履约的，评标委员会应当要求其在评标现场合理的时间内提供成本构成书面说明，并提交相关证明材料。供应商书面说明应当按照国家财务会计制度的规定要求，逐项就供应商提供的货物、工程和服务的成本（应根据供应商企业类型予以区别）、税金及附加、销售费用、管理费用、财务费用等成本构成事项详细陈述。</w:t>
            </w:r>
          </w:p>
          <w:p w14:paraId="5E4C29E0">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1A931C4E">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供应商提供书面说明后，评标委员会应当结合采购项目采购需求、专业实际情况、供应商提供的书面材料等就供应商书面说明进行审查评价。供应商拒绝或者变相拒绝提供有效书面说明或者书面说明不能证明其报价合理性的，评标委员会应当将其投标文件作为无效处理。</w:t>
            </w:r>
          </w:p>
        </w:tc>
      </w:tr>
      <w:tr w14:paraId="421E3D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26C2C89B">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36</w:t>
            </w:r>
          </w:p>
        </w:tc>
        <w:tc>
          <w:tcPr>
            <w:tcW w:w="1550" w:type="dxa"/>
            <w:tcBorders>
              <w:right w:val="single" w:color="auto" w:sz="4" w:space="0"/>
            </w:tcBorders>
            <w:noWrap w:val="0"/>
            <w:vAlign w:val="center"/>
          </w:tcPr>
          <w:p w14:paraId="65DE08E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政府采购异常</w:t>
            </w:r>
          </w:p>
          <w:p w14:paraId="27A2B3BA">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低价审查</w:t>
            </w:r>
          </w:p>
        </w:tc>
        <w:tc>
          <w:tcPr>
            <w:tcW w:w="7512" w:type="dxa"/>
            <w:tcBorders>
              <w:left w:val="single" w:color="auto" w:sz="4" w:space="0"/>
            </w:tcBorders>
            <w:noWrap w:val="0"/>
            <w:vAlign w:val="center"/>
          </w:tcPr>
          <w:p w14:paraId="559295F0">
            <w:pPr>
              <w:keepNext w:val="0"/>
              <w:keepLines w:val="0"/>
              <w:pageBreakBefore w:val="0"/>
              <w:kinsoku/>
              <w:wordWrap/>
              <w:overflowPunct/>
              <w:topLinePunct w:val="0"/>
              <w:autoSpaceDE/>
              <w:autoSpaceDN/>
              <w:bidi w:val="0"/>
              <w:adjustRightInd/>
              <w:snapToGrid/>
              <w:spacing w:line="300" w:lineRule="exact"/>
              <w:ind w:right="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（一）政府采购评审中出现下列情形之一的，评审委员会应当启动异常</w:t>
            </w:r>
          </w:p>
          <w:p w14:paraId="1AE31623">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低价投标（响应）审查程序：</w:t>
            </w:r>
          </w:p>
          <w:p w14:paraId="26B12274">
            <w:pPr>
              <w:keepNext w:val="0"/>
              <w:keepLines w:val="0"/>
              <w:pageBreakBefore w:val="0"/>
              <w:shd w:val="clear" w:color="auto" w:fill="auto"/>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1.投标（响应）报价低于全部通过符合性审查供应商投标（响应）报价平均值65%的，即投标（响应）报价&lt;全部通过符合性审查供应商投标（响应）报价平均值×65%；</w:t>
            </w:r>
          </w:p>
          <w:p w14:paraId="326C4FD1">
            <w:pPr>
              <w:keepNext w:val="0"/>
              <w:keepLines w:val="0"/>
              <w:pageBreakBefore w:val="0"/>
              <w:shd w:val="clear" w:color="auto" w:fill="auto"/>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2.投标（响应）报价低于通过符合性审查的次低报价供应商投标（响应）报价65%的，即投标（响应）报价&lt;通过符合性审查的次低报价供应商投标（响应）报价×65%；</w:t>
            </w:r>
          </w:p>
          <w:p w14:paraId="1C4E4D73">
            <w:pPr>
              <w:keepNext w:val="0"/>
              <w:keepLines w:val="0"/>
              <w:pageBreakBefore w:val="0"/>
              <w:shd w:val="clear" w:color="auto" w:fill="auto"/>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3.投标（响应）报价低于采购项目最高限价65%的，即投标（响应）报价&lt;采购项目最高限价×65%；</w:t>
            </w:r>
          </w:p>
          <w:p w14:paraId="2A5BD3D1">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评审委员会基于专业判断，认为供应商报价过低，有可能影响产品质量或者不能诚信履约的其他情形。采购人可以结合具体项目实际情况，提高上述第1项至第3项中启动异常低价投标（响应）审查的数值标准，但是最高不得超过65%。相关法律法规对供应商报价有规定的，从其规定。</w:t>
            </w:r>
          </w:p>
          <w:p w14:paraId="20E373E8">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00A0B5A">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50837336">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2D5CF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09D07CB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37</w:t>
            </w:r>
          </w:p>
        </w:tc>
        <w:tc>
          <w:tcPr>
            <w:tcW w:w="1550" w:type="dxa"/>
            <w:tcBorders>
              <w:right w:val="single" w:color="auto" w:sz="4" w:space="0"/>
            </w:tcBorders>
            <w:noWrap w:val="0"/>
            <w:vAlign w:val="center"/>
          </w:tcPr>
          <w:p w14:paraId="75EF4B0E">
            <w:pPr>
              <w:shd w:val="clear" w:color="auto" w:fill="auto"/>
              <w:spacing w:line="360" w:lineRule="exact"/>
              <w:ind w:left="120" w:leftChars="0" w:right="62" w:rightChars="0" w:hanging="120" w:hanging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重要提示</w:t>
            </w:r>
          </w:p>
        </w:tc>
        <w:tc>
          <w:tcPr>
            <w:tcW w:w="7512" w:type="dxa"/>
            <w:tcBorders>
              <w:left w:val="single" w:color="auto" w:sz="4" w:space="0"/>
            </w:tcBorders>
            <w:noWrap w:val="0"/>
            <w:vAlign w:val="center"/>
          </w:tcPr>
          <w:p w14:paraId="051C9554">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（1）中标供应商应在规定期限内领取《中标通知书》，若中标供应商未在规定期限内领取《中标通知书》，采购人有权取消中标供应商中标资格，并将相关违约行为报送监管部门，实施信用惩戒；</w:t>
            </w:r>
          </w:p>
          <w:p w14:paraId="37F42B1A">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中标供应商应在规定期限内提交履约担保并与采购人签订合同，若中标供应商未能在规定期限内提交履约担保或签订合同，采购人有权取消中标供应商中标资格，并将相关违约行为报送监管部门，实施信用惩戒；</w:t>
            </w:r>
          </w:p>
          <w:p w14:paraId="29B3A481">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合同签订后，中标供应商存在在规定时间内不组织人员进场开工，不履行供货、安装或服务义务等情况，采购人有权解除合同，并追究违约责任，同时将相关违约行为报送监管部门，记不良行为记录，实施信用惩戒；</w:t>
            </w:r>
          </w:p>
          <w:p w14:paraId="69D5BF25">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（4）中标供应商中标后被监管部门查实存在违法行为，不满足中标条件的，由采购人取消中标资格，并做好项目后续工作；</w:t>
            </w:r>
          </w:p>
          <w:p w14:paraId="3780F9D6">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（5）中标供应商在中标项目发生投诉、信访举报案件、履约存在争议时，拒绝协助配合执法部门调查案件的，采购人可以取消其中标资格或解除合同，并追究其违约责任。</w:t>
            </w:r>
          </w:p>
          <w:p w14:paraId="6F234417">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bookmarkStart w:id="41" w:name="OLE_LINK4"/>
            <w:r>
              <w:rPr>
                <w:rFonts w:hint="eastAsia" w:ascii="仿宋" w:hAnsi="仿宋" w:eastAsia="仿宋" w:cs="仿宋"/>
                <w:b w:val="0"/>
                <w:bCs w:val="0"/>
                <w:color w:val="auto"/>
                <w:sz w:val="24"/>
                <w:szCs w:val="24"/>
                <w:highlight w:val="none"/>
                <w:lang w:val="en-US" w:eastAsia="zh-CN"/>
              </w:rPr>
              <w:t>（6）</w:t>
            </w:r>
            <w:bookmarkEnd w:id="41"/>
            <w:r>
              <w:rPr>
                <w:rFonts w:hint="eastAsia" w:ascii="仿宋" w:hAnsi="仿宋" w:eastAsia="仿宋" w:cs="仿宋"/>
                <w:b w:val="0"/>
                <w:bCs w:val="0"/>
                <w:color w:val="auto"/>
                <w:sz w:val="24"/>
                <w:szCs w:val="24"/>
                <w:highlight w:val="none"/>
                <w:lang w:val="en-US" w:eastAsia="zh-CN"/>
              </w:rPr>
              <w:t>供应商保证设计无抄袭，若出现第三方知识产权纠纷，所有赔偿、诉讼费、停工损失由供应商全额承担，采购人有权单方解除合同、没收履约保证金；</w:t>
            </w:r>
          </w:p>
        </w:tc>
      </w:tr>
      <w:tr w14:paraId="3478B9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07E0448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38</w:t>
            </w:r>
          </w:p>
        </w:tc>
        <w:tc>
          <w:tcPr>
            <w:tcW w:w="1550" w:type="dxa"/>
            <w:tcBorders>
              <w:right w:val="single" w:color="auto" w:sz="4" w:space="0"/>
            </w:tcBorders>
            <w:noWrap w:val="0"/>
            <w:vAlign w:val="center"/>
          </w:tcPr>
          <w:p w14:paraId="568AA1AC">
            <w:pPr>
              <w:shd w:val="clear" w:color="auto" w:fill="auto"/>
              <w:ind w:left="120" w:leftChars="0" w:right="62" w:rightChars="0" w:hanging="120" w:hanging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其他方式采购</w:t>
            </w:r>
          </w:p>
        </w:tc>
        <w:tc>
          <w:tcPr>
            <w:tcW w:w="7512" w:type="dxa"/>
            <w:tcBorders>
              <w:left w:val="single" w:color="auto" w:sz="4" w:space="0"/>
            </w:tcBorders>
            <w:noWrap w:val="0"/>
            <w:vAlign w:val="center"/>
          </w:tcPr>
          <w:p w14:paraId="676B48A8">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公开采购数额标准以上的采购项目，投标截止后供应商不足3家或者通过资格审查或符合性审查的供应商不足3家的，除采购任务取消情形外，根据《政府采购货物和服务招标投标管理办法》（中华人民共和国财政部令第87号）第四十三条规定，按照以下方式处理：</w:t>
            </w:r>
          </w:p>
          <w:p w14:paraId="0E422CCE">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（1）招标文件存在不合理条款或者采购程序不符合规定的，采购人、采购代理机构改正后依法重新采购；</w:t>
            </w:r>
          </w:p>
          <w:p w14:paraId="1F36DF58">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（2）招标文件没有不合理条款、采购程序符合规定，需要采用其他采购方式采购的，采购人应当依法报财政部门批准。</w:t>
            </w:r>
          </w:p>
        </w:tc>
      </w:tr>
      <w:tr w14:paraId="515CF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0754B3A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39</w:t>
            </w:r>
          </w:p>
        </w:tc>
        <w:tc>
          <w:tcPr>
            <w:tcW w:w="1550" w:type="dxa"/>
            <w:tcBorders>
              <w:right w:val="single" w:color="auto" w:sz="4" w:space="0"/>
            </w:tcBorders>
            <w:noWrap w:val="0"/>
            <w:vAlign w:val="center"/>
          </w:tcPr>
          <w:p w14:paraId="02B625EA">
            <w:pPr>
              <w:shd w:val="clear" w:color="auto" w:fill="auto"/>
              <w:ind w:left="120" w:leftChars="0" w:right="62" w:rightChars="0" w:hanging="120" w:hanging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w:t>
            </w:r>
          </w:p>
        </w:tc>
        <w:tc>
          <w:tcPr>
            <w:tcW w:w="7512" w:type="dxa"/>
            <w:tcBorders>
              <w:left w:val="single" w:color="auto" w:sz="4" w:space="0"/>
            </w:tcBorders>
            <w:noWrap w:val="0"/>
            <w:vAlign w:val="center"/>
          </w:tcPr>
          <w:p w14:paraId="64F26CAB">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递交方式：供应商认为招标文件、招标过程或成交结果使自己的合法权益受到损害的，应当在知道或者应知其权益受到损害之日起7个工作日内，以书面或邮件形式一次性向采购人（采购代理机构）提出质疑。</w:t>
            </w:r>
          </w:p>
          <w:p w14:paraId="28F215EB">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本项目依据招标公告在新疆政府采购网上获取招标文件，根据《政府采购法实施条列》第五十三条供应商应知其权益受到损害之日，是指：(一)对可以质疑的采购文件提出质疑的，为收到采购文件之日或者采购文件公告期限届满之日;</w:t>
            </w:r>
          </w:p>
          <w:p w14:paraId="564AF399">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(二)对采购过程提出质疑的，为各采购程序环节结束之日；</w:t>
            </w:r>
          </w:p>
          <w:p w14:paraId="11092E95">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lang w:val="en-US" w:eastAsia="zh-CN"/>
              </w:rPr>
            </w:pPr>
            <w:r>
              <w:rPr>
                <w:rFonts w:hint="eastAsia" w:ascii="仿宋" w:hAnsi="仿宋" w:eastAsia="仿宋" w:cs="仿宋"/>
                <w:b w:val="0"/>
                <w:bCs w:val="0"/>
                <w:color w:val="auto"/>
                <w:sz w:val="24"/>
                <w:szCs w:val="24"/>
                <w:highlight w:val="none"/>
                <w:lang w:val="en-US" w:eastAsia="zh-CN"/>
              </w:rPr>
              <w:t>(三)对中标或者成交结果提出质疑的，为中标或者成交结果公告期限届满之日；</w:t>
            </w:r>
          </w:p>
          <w:p w14:paraId="42E9AB46">
            <w:pPr>
              <w:keepNext w:val="0"/>
              <w:keepLines w:val="0"/>
              <w:pageBreakBefore w:val="0"/>
              <w:kinsoku/>
              <w:wordWrap/>
              <w:overflowPunct/>
              <w:topLinePunct w:val="0"/>
              <w:autoSpaceDE/>
              <w:autoSpaceDN/>
              <w:bidi w:val="0"/>
              <w:adjustRightInd/>
              <w:snapToGrid/>
              <w:spacing w:line="300" w:lineRule="exact"/>
              <w:ind w:left="0" w:right="0" w:firstLine="482"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注：根据《中华人民共和国政府采购法》的规定，供应商质疑不得超出公开招标文件、公开招标过程及公开招标结果的范围及时效限制。</w:t>
            </w:r>
          </w:p>
        </w:tc>
      </w:tr>
      <w:tr w14:paraId="4B47CC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21" w:type="dxa"/>
            <w:noWrap w:val="0"/>
            <w:vAlign w:val="center"/>
          </w:tcPr>
          <w:p w14:paraId="3E3CE55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40</w:t>
            </w:r>
          </w:p>
        </w:tc>
        <w:tc>
          <w:tcPr>
            <w:tcW w:w="1550" w:type="dxa"/>
            <w:tcBorders>
              <w:right w:val="single" w:color="auto" w:sz="4" w:space="0"/>
            </w:tcBorders>
            <w:noWrap w:val="0"/>
            <w:vAlign w:val="center"/>
          </w:tcPr>
          <w:p w14:paraId="5600648C">
            <w:pPr>
              <w:shd w:val="clear" w:color="auto" w:fill="auto"/>
              <w:ind w:left="120" w:leftChars="0" w:right="62" w:rightChars="0" w:hanging="120" w:hanging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投诉</w:t>
            </w:r>
          </w:p>
        </w:tc>
        <w:tc>
          <w:tcPr>
            <w:tcW w:w="7512" w:type="dxa"/>
            <w:tcBorders>
              <w:left w:val="single" w:color="auto" w:sz="4" w:space="0"/>
            </w:tcBorders>
            <w:noWrap w:val="0"/>
            <w:vAlign w:val="center"/>
          </w:tcPr>
          <w:p w14:paraId="4AA0822D">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（1）质疑供应商对采购人、采购代理机构的答复不满意或者采购人、采购代理机构未在规定的时间内作出答复的，可以在答复期满后十五个工作日内向同级政府采购监督管理部门投诉。</w:t>
            </w:r>
          </w:p>
          <w:p w14:paraId="724D057D">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质疑、投诉应当采用书面或邮件形式，质疑书、投诉书均应明确阐述招标文件、采购过程或中标结果中使自己合法权益受到损害的实质性内容，提供相关事实、依据和证据及其来源或线索，便于有关单位调查、答复和处理。</w:t>
            </w:r>
          </w:p>
          <w:p w14:paraId="38E0A0BE">
            <w:pPr>
              <w:keepNext w:val="0"/>
              <w:keepLines w:val="0"/>
              <w:pageBreakBefore w:val="0"/>
              <w:kinsoku/>
              <w:wordWrap/>
              <w:overflowPunct/>
              <w:topLinePunct w:val="0"/>
              <w:autoSpaceDE/>
              <w:autoSpaceDN/>
              <w:bidi w:val="0"/>
              <w:adjustRightInd/>
              <w:snapToGrid/>
              <w:spacing w:line="300" w:lineRule="exact"/>
              <w:ind w:left="0" w:right="0" w:firstLine="482"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注：根据《中华人民共和国政府采购法实施条例》的规定，供应商投诉事项不得超出已质疑事项的范围。</w:t>
            </w:r>
          </w:p>
        </w:tc>
      </w:tr>
      <w:tr w14:paraId="680A3C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9683" w:type="dxa"/>
            <w:gridSpan w:val="3"/>
            <w:noWrap w:val="0"/>
            <w:vAlign w:val="center"/>
          </w:tcPr>
          <w:p w14:paraId="69D8919B">
            <w:pPr>
              <w:spacing w:line="240" w:lineRule="auto"/>
              <w:ind w:left="0" w:right="0" w:firstLine="480" w:firstLineChars="0"/>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投标人必须认真阅读招标文件中所有的事项、格式、条款、承诺函和采购需求等。投标人没有按照招标文件要求提交全部资料，或者投标文件没有对招标文件在各方面都做出实质性响应的，可能导致其投标无效或被拒绝。</w:t>
            </w:r>
          </w:p>
          <w:p w14:paraId="33B45163">
            <w:pPr>
              <w:spacing w:line="240" w:lineRule="auto"/>
              <w:ind w:left="0" w:right="0" w:firstLine="480" w:firstLineChars="0"/>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请注意：供应商需在投标文件截止时间前，将加密投标文件上传至云平台项目采购系统，逾期上传或错误方式投递送达将导致投标无效。</w:t>
            </w:r>
          </w:p>
          <w:p w14:paraId="0BEEE2C8">
            <w:pPr>
              <w:pStyle w:val="141"/>
              <w:ind w:firstLine="482"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投标人应保证在本项目使用的任何产品和服务（包括部分使用）时，不会产生因第三方提出侵犯其专利权、商标权或其他知识产权而引起的法律和经济纠纷，如因专利权、商标权或其他知识产权而引起法律和经济纠纷，投标人应承担所有相关责任，同时不得耽误本项目供货。</w:t>
            </w:r>
          </w:p>
        </w:tc>
      </w:tr>
    </w:tbl>
    <w:p w14:paraId="2D602643">
      <w:pPr>
        <w:spacing w:line="500" w:lineRule="exact"/>
        <w:ind w:left="120" w:hanging="120"/>
        <w:jc w:val="center"/>
        <w:rPr>
          <w:rFonts w:hint="eastAsia" w:ascii="仿宋" w:hAnsi="仿宋" w:eastAsia="仿宋" w:cs="仿宋"/>
          <w:b/>
          <w:color w:val="auto"/>
          <w:sz w:val="28"/>
          <w:szCs w:val="28"/>
          <w:highlight w:val="none"/>
        </w:rPr>
      </w:pPr>
    </w:p>
    <w:p w14:paraId="4FA2E958">
      <w:pPr>
        <w:spacing w:line="500" w:lineRule="exact"/>
        <w:ind w:left="120" w:hanging="120"/>
        <w:jc w:val="center"/>
        <w:rPr>
          <w:rFonts w:hint="eastAsia" w:ascii="仿宋" w:hAnsi="仿宋" w:eastAsia="仿宋" w:cs="仿宋"/>
          <w:b/>
          <w:color w:val="auto"/>
          <w:sz w:val="28"/>
          <w:szCs w:val="28"/>
          <w:highlight w:val="none"/>
        </w:rPr>
      </w:pPr>
    </w:p>
    <w:p w14:paraId="1D458FF1">
      <w:pPr>
        <w:spacing w:line="500" w:lineRule="exact"/>
        <w:ind w:left="0" w:leftChars="0" w:firstLine="0" w:firstLineChars="0"/>
        <w:jc w:val="center"/>
        <w:rPr>
          <w:rFonts w:hint="eastAsia" w:ascii="仿宋" w:hAnsi="仿宋" w:eastAsia="仿宋" w:cs="仿宋"/>
          <w:b/>
          <w:color w:val="auto"/>
          <w:sz w:val="24"/>
          <w:highlight w:val="none"/>
        </w:rPr>
      </w:pPr>
      <w:r>
        <w:rPr>
          <w:rFonts w:hint="eastAsia" w:ascii="仿宋" w:hAnsi="仿宋" w:eastAsia="仿宋" w:cs="仿宋"/>
          <w:b/>
          <w:color w:val="auto"/>
          <w:sz w:val="28"/>
          <w:szCs w:val="28"/>
          <w:highlight w:val="none"/>
        </w:rPr>
        <w:br w:type="page"/>
      </w:r>
      <w:r>
        <w:rPr>
          <w:rFonts w:hint="eastAsia" w:ascii="仿宋" w:hAnsi="仿宋" w:eastAsia="仿宋" w:cs="仿宋"/>
          <w:b/>
          <w:color w:val="auto"/>
          <w:sz w:val="28"/>
          <w:szCs w:val="28"/>
          <w:highlight w:val="none"/>
        </w:rPr>
        <w:t>投标人须知正文部分</w:t>
      </w:r>
    </w:p>
    <w:p w14:paraId="5FF4A621">
      <w:pPr>
        <w:spacing w:line="500" w:lineRule="exact"/>
        <w:ind w:left="120" w:hanging="120"/>
        <w:jc w:val="center"/>
        <w:rPr>
          <w:rFonts w:hint="eastAsia" w:ascii="仿宋" w:hAnsi="仿宋" w:eastAsia="仿宋" w:cs="仿宋"/>
          <w:b/>
          <w:color w:val="auto"/>
          <w:sz w:val="28"/>
          <w:szCs w:val="28"/>
          <w:highlight w:val="none"/>
          <w:lang w:val="en-US" w:eastAsia="zh-CN"/>
        </w:rPr>
      </w:pPr>
      <w:bookmarkStart w:id="42" w:name="_Toc17382"/>
      <w:r>
        <w:rPr>
          <w:rFonts w:hint="eastAsia" w:ascii="仿宋" w:hAnsi="仿宋" w:eastAsia="仿宋" w:cs="仿宋"/>
          <w:b/>
          <w:color w:val="auto"/>
          <w:sz w:val="28"/>
          <w:szCs w:val="28"/>
          <w:highlight w:val="none"/>
          <w:lang w:val="en-US" w:eastAsia="zh-CN"/>
        </w:rPr>
        <w:t>（一）总则</w:t>
      </w:r>
      <w:bookmarkEnd w:id="42"/>
    </w:p>
    <w:p w14:paraId="6FCDE59A">
      <w:pPr>
        <w:spacing w:line="30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（一）适用范围</w:t>
      </w:r>
    </w:p>
    <w:p w14:paraId="2FC6A236">
      <w:pPr>
        <w:spacing w:line="360" w:lineRule="auto"/>
        <w:ind w:left="0" w:right="0" w:firstLine="48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本招标文件适用于2026年墨玉县京和协作结核病防治攻坚提质项目-固投部分的招标、投标、评标、定标、验收、合同履约、付款等行为（法律法规另有规定的，从其规定）。</w:t>
      </w:r>
    </w:p>
    <w:p w14:paraId="25C9C20E">
      <w:pPr>
        <w:spacing w:line="300" w:lineRule="auto"/>
        <w:outlineLvl w:val="1"/>
        <w:rPr>
          <w:rFonts w:hint="eastAsia" w:ascii="仿宋" w:hAnsi="仿宋" w:eastAsia="仿宋" w:cs="仿宋"/>
          <w:b/>
          <w:bCs/>
          <w:color w:val="auto"/>
          <w:sz w:val="24"/>
          <w:szCs w:val="24"/>
          <w:highlight w:val="none"/>
          <w:lang w:val="en-US" w:eastAsia="zh-CN"/>
        </w:rPr>
      </w:pPr>
      <w:bookmarkStart w:id="43" w:name="_Toc13192"/>
      <w:bookmarkStart w:id="44" w:name="_Toc21374"/>
      <w:r>
        <w:rPr>
          <w:rFonts w:hint="eastAsia" w:ascii="仿宋" w:hAnsi="仿宋" w:eastAsia="仿宋" w:cs="仿宋"/>
          <w:b/>
          <w:bCs/>
          <w:color w:val="auto"/>
          <w:sz w:val="24"/>
          <w:szCs w:val="24"/>
          <w:highlight w:val="none"/>
          <w:lang w:val="en-US" w:eastAsia="zh-CN"/>
        </w:rPr>
        <w:t>（二）定义</w:t>
      </w:r>
      <w:bookmarkEnd w:id="43"/>
      <w:bookmarkEnd w:id="44"/>
    </w:p>
    <w:p w14:paraId="291B563C">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1.招标采购单位系指组织本次招标的代理机构（“招标人”）和采购单位。</w:t>
      </w:r>
    </w:p>
    <w:p w14:paraId="54E8DB27">
      <w:pPr>
        <w:spacing w:line="300" w:lineRule="auto"/>
        <w:ind w:left="0" w:leftChars="0" w:firstLine="480" w:firstLineChars="200"/>
        <w:outlineLvl w:val="2"/>
        <w:rPr>
          <w:rFonts w:hint="eastAsia" w:ascii="仿宋" w:hAnsi="仿宋" w:eastAsia="仿宋" w:cs="仿宋"/>
          <w:color w:val="auto"/>
          <w:sz w:val="24"/>
          <w:szCs w:val="24"/>
          <w:highlight w:val="none"/>
          <w:lang w:val="en-US" w:eastAsia="zh-CN"/>
        </w:rPr>
      </w:pPr>
      <w:bookmarkStart w:id="45" w:name="_Toc16199"/>
      <w:r>
        <w:rPr>
          <w:rFonts w:hint="eastAsia" w:ascii="仿宋" w:hAnsi="仿宋" w:eastAsia="仿宋" w:cs="仿宋"/>
          <w:color w:val="auto"/>
          <w:sz w:val="24"/>
          <w:szCs w:val="24"/>
          <w:highlight w:val="none"/>
          <w:lang w:val="en-US" w:eastAsia="zh-CN"/>
        </w:rPr>
        <w:t>2.“投标人”系指向招标方提交投标文件的单位或个人。</w:t>
      </w:r>
      <w:bookmarkEnd w:id="45"/>
    </w:p>
    <w:p w14:paraId="388F03C1">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3.“产品”系指供方按招标文件规定，须向招标人提供的一切服务及其他有关技术资料和材料。</w:t>
      </w:r>
    </w:p>
    <w:p w14:paraId="5BC39337">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4.“服务”系指招标文件规定投标人须承担的技术协助、校准、培训、技术指导以及其他类似的义务。</w:t>
      </w:r>
    </w:p>
    <w:p w14:paraId="1F41E54D">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5.“项目”系指投标人按招标文件规定向招标人提供的产品和服务。</w:t>
      </w:r>
    </w:p>
    <w:p w14:paraId="71E28619">
      <w:pPr>
        <w:spacing w:line="300" w:lineRule="auto"/>
        <w:ind w:left="0" w:leftChars="0" w:firstLine="480" w:firstLineChars="200"/>
        <w:outlineLvl w:val="2"/>
        <w:rPr>
          <w:rFonts w:hint="eastAsia" w:ascii="仿宋" w:hAnsi="仿宋" w:eastAsia="仿宋" w:cs="仿宋"/>
          <w:color w:val="auto"/>
          <w:sz w:val="24"/>
          <w:szCs w:val="24"/>
          <w:highlight w:val="none"/>
          <w:lang w:val="en-US" w:eastAsia="zh-CN"/>
        </w:rPr>
      </w:pPr>
      <w:bookmarkStart w:id="46" w:name="_Toc20586"/>
      <w:r>
        <w:rPr>
          <w:rFonts w:hint="eastAsia" w:ascii="仿宋" w:hAnsi="仿宋" w:eastAsia="仿宋" w:cs="仿宋"/>
          <w:color w:val="auto"/>
          <w:sz w:val="24"/>
          <w:szCs w:val="24"/>
          <w:highlight w:val="none"/>
          <w:lang w:val="en-US" w:eastAsia="zh-CN"/>
        </w:rPr>
        <w:t>6.“书面形式”包括信函、传真、电报等。</w:t>
      </w:r>
      <w:bookmarkEnd w:id="46"/>
    </w:p>
    <w:p w14:paraId="0FCEC2AF">
      <w:pPr>
        <w:spacing w:line="300" w:lineRule="auto"/>
        <w:ind w:left="0" w:leftChars="0"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7.“▲”系指实质性要求条款。</w:t>
      </w:r>
    </w:p>
    <w:p w14:paraId="19E7E59F">
      <w:pPr>
        <w:spacing w:line="300" w:lineRule="auto"/>
        <w:outlineLvl w:val="1"/>
        <w:rPr>
          <w:rFonts w:hint="eastAsia" w:ascii="仿宋" w:hAnsi="仿宋" w:eastAsia="仿宋" w:cs="仿宋"/>
          <w:b/>
          <w:bCs/>
          <w:color w:val="auto"/>
          <w:sz w:val="24"/>
          <w:szCs w:val="24"/>
          <w:highlight w:val="none"/>
          <w:lang w:val="en-US" w:eastAsia="zh-CN"/>
        </w:rPr>
      </w:pPr>
      <w:bookmarkStart w:id="47" w:name="_Toc14030"/>
      <w:bookmarkStart w:id="48" w:name="_Toc15840"/>
      <w:r>
        <w:rPr>
          <w:rFonts w:hint="eastAsia" w:ascii="仿宋" w:hAnsi="仿宋" w:eastAsia="仿宋" w:cs="仿宋"/>
          <w:b/>
          <w:bCs/>
          <w:color w:val="auto"/>
          <w:sz w:val="24"/>
          <w:szCs w:val="24"/>
          <w:highlight w:val="none"/>
          <w:lang w:val="en-US" w:eastAsia="zh-CN"/>
        </w:rPr>
        <w:t>（三）招标方式</w:t>
      </w:r>
      <w:bookmarkEnd w:id="47"/>
      <w:bookmarkEnd w:id="48"/>
    </w:p>
    <w:p w14:paraId="2CFEA866">
      <w:pPr>
        <w:spacing w:line="300" w:lineRule="auto"/>
        <w:ind w:left="239" w:leftChars="114" w:firstLine="360" w:firstLineChars="15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本次招标采用公开招标方式进行。</w:t>
      </w:r>
    </w:p>
    <w:p w14:paraId="48A60A93">
      <w:pPr>
        <w:spacing w:line="300" w:lineRule="auto"/>
        <w:outlineLvl w:val="1"/>
        <w:rPr>
          <w:rFonts w:hint="eastAsia" w:ascii="仿宋" w:hAnsi="仿宋" w:eastAsia="仿宋" w:cs="仿宋"/>
          <w:b/>
          <w:bCs/>
          <w:color w:val="auto"/>
          <w:sz w:val="24"/>
          <w:szCs w:val="24"/>
          <w:highlight w:val="none"/>
          <w:lang w:val="en-US" w:eastAsia="zh-CN"/>
        </w:rPr>
      </w:pPr>
      <w:bookmarkStart w:id="49" w:name="_Toc20843"/>
      <w:bookmarkStart w:id="50" w:name="_Toc18596"/>
      <w:r>
        <w:rPr>
          <w:rFonts w:hint="eastAsia" w:ascii="仿宋" w:hAnsi="仿宋" w:eastAsia="仿宋" w:cs="仿宋"/>
          <w:b/>
          <w:bCs/>
          <w:color w:val="auto"/>
          <w:sz w:val="24"/>
          <w:szCs w:val="24"/>
          <w:highlight w:val="none"/>
          <w:lang w:val="en-US" w:eastAsia="zh-CN"/>
        </w:rPr>
        <w:t>（四）投标报名</w:t>
      </w:r>
      <w:bookmarkEnd w:id="49"/>
      <w:bookmarkEnd w:id="50"/>
    </w:p>
    <w:p w14:paraId="61867B7C">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符合该招标（采购）公告投标人资格要求条件的前提下，可于本公告发布之日起在新疆政府采购网（http://www.ccgp-xinjiang.gov.cn/）的该采购公告附件中直接下载招标（采购）文件并参与投标，不再需要报名，在开标时一并进行资格审核。</w:t>
      </w:r>
    </w:p>
    <w:p w14:paraId="05B3DD41">
      <w:pPr>
        <w:spacing w:line="300" w:lineRule="auto"/>
        <w:outlineLvl w:val="1"/>
        <w:rPr>
          <w:rFonts w:hint="eastAsia" w:ascii="仿宋" w:hAnsi="仿宋" w:eastAsia="仿宋" w:cs="仿宋"/>
          <w:b/>
          <w:bCs/>
          <w:color w:val="auto"/>
          <w:sz w:val="24"/>
          <w:szCs w:val="24"/>
          <w:highlight w:val="none"/>
          <w:lang w:val="en-US" w:eastAsia="zh-CN"/>
        </w:rPr>
      </w:pPr>
      <w:bookmarkStart w:id="51" w:name="_Toc1704"/>
      <w:bookmarkStart w:id="52" w:name="_Toc17293"/>
      <w:r>
        <w:rPr>
          <w:rFonts w:hint="eastAsia" w:ascii="仿宋" w:hAnsi="仿宋" w:eastAsia="仿宋" w:cs="仿宋"/>
          <w:b/>
          <w:bCs/>
          <w:color w:val="auto"/>
          <w:sz w:val="24"/>
          <w:szCs w:val="24"/>
          <w:highlight w:val="none"/>
          <w:lang w:val="en-US" w:eastAsia="zh-CN"/>
        </w:rPr>
        <w:t>（五）投标费用</w:t>
      </w:r>
      <w:bookmarkEnd w:id="51"/>
      <w:bookmarkEnd w:id="52"/>
    </w:p>
    <w:p w14:paraId="7BD4B021">
      <w:pPr>
        <w:spacing w:line="300" w:lineRule="auto"/>
        <w:ind w:left="239" w:leftChars="114" w:firstLine="360" w:firstLineChars="15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不论投标结果如何，投标人均应自行承担所有与投标有关的全部费用。</w:t>
      </w:r>
    </w:p>
    <w:p w14:paraId="3252B37A">
      <w:pPr>
        <w:spacing w:line="300" w:lineRule="auto"/>
        <w:outlineLvl w:val="1"/>
        <w:rPr>
          <w:rFonts w:hint="eastAsia" w:ascii="仿宋" w:hAnsi="仿宋" w:eastAsia="仿宋" w:cs="仿宋"/>
          <w:b/>
          <w:bCs/>
          <w:color w:val="auto"/>
          <w:sz w:val="24"/>
          <w:szCs w:val="24"/>
          <w:highlight w:val="none"/>
          <w:lang w:val="en-US" w:eastAsia="zh-CN"/>
        </w:rPr>
      </w:pPr>
      <w:bookmarkStart w:id="53" w:name="_Toc19554"/>
      <w:bookmarkStart w:id="54" w:name="_Toc22117"/>
      <w:r>
        <w:rPr>
          <w:rFonts w:hint="eastAsia" w:ascii="仿宋" w:hAnsi="仿宋" w:eastAsia="仿宋" w:cs="仿宋"/>
          <w:b/>
          <w:bCs/>
          <w:color w:val="auto"/>
          <w:sz w:val="24"/>
          <w:szCs w:val="24"/>
          <w:highlight w:val="none"/>
          <w:lang w:val="en-US" w:eastAsia="zh-CN"/>
        </w:rPr>
        <w:t>（六）联合体投标</w:t>
      </w:r>
      <w:bookmarkEnd w:id="53"/>
      <w:bookmarkEnd w:id="54"/>
    </w:p>
    <w:p w14:paraId="72918C89">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联合体各方均应当满足《中华人民共和国政府采购法》第二十二条规定的条件，并在投标文件中提供联合体各方的相关证明材料。</w:t>
      </w:r>
    </w:p>
    <w:p w14:paraId="61B4C28A">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联合体各方之间应签订共同投标协议书</w:t>
      </w:r>
      <w:r>
        <w:rPr>
          <w:rFonts w:hint="eastAsia" w:ascii="仿宋" w:hAnsi="仿宋" w:eastAsia="仿宋" w:cs="仿宋"/>
          <w:color w:val="auto"/>
          <w:sz w:val="24"/>
          <w:szCs w:val="24"/>
          <w:highlight w:val="none"/>
          <w:lang w:eastAsia="zh-CN"/>
        </w:rPr>
        <w:t>，并</w:t>
      </w:r>
      <w:r>
        <w:rPr>
          <w:rFonts w:hint="eastAsia" w:ascii="仿宋" w:hAnsi="仿宋" w:eastAsia="仿宋" w:cs="仿宋"/>
          <w:color w:val="auto"/>
          <w:sz w:val="24"/>
          <w:szCs w:val="24"/>
          <w:highlight w:val="none"/>
        </w:rPr>
        <w:t>在投标文件中提交，明确约定联合体各方承担的工作和相应的责任。联合体各方签订共同投标协议书后，不得再以自己名义单独在同一项目（采购包）中投标，也不得组成新的联合体参加同一项目（采购包）投标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若违反规定</w:t>
      </w:r>
      <w:r>
        <w:rPr>
          <w:rFonts w:hint="eastAsia" w:ascii="仿宋" w:hAnsi="仿宋" w:eastAsia="仿宋" w:cs="仿宋"/>
          <w:color w:val="auto"/>
          <w:sz w:val="24"/>
          <w:szCs w:val="24"/>
          <w:highlight w:val="none"/>
          <w:lang w:eastAsia="zh-CN"/>
        </w:rPr>
        <w:t>，则</w:t>
      </w:r>
      <w:r>
        <w:rPr>
          <w:rFonts w:hint="eastAsia" w:ascii="仿宋" w:hAnsi="仿宋" w:eastAsia="仿宋" w:cs="仿宋"/>
          <w:color w:val="auto"/>
          <w:sz w:val="24"/>
          <w:szCs w:val="24"/>
          <w:highlight w:val="none"/>
        </w:rPr>
        <w:t>其参与的所有投标将视为无效投标。</w:t>
      </w:r>
    </w:p>
    <w:p w14:paraId="16DACA89">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w:t>
      </w:r>
      <w:r>
        <w:rPr>
          <w:rFonts w:hint="eastAsia" w:ascii="仿宋" w:hAnsi="仿宋" w:eastAsia="仿宋" w:cs="仿宋"/>
          <w:color w:val="auto"/>
          <w:sz w:val="24"/>
          <w:szCs w:val="24"/>
          <w:highlight w:val="none"/>
          <w:lang w:eastAsia="zh-CN"/>
        </w:rPr>
        <w:t>情况，</w:t>
      </w:r>
      <w:r>
        <w:rPr>
          <w:rFonts w:hint="eastAsia" w:ascii="仿宋" w:hAnsi="仿宋" w:eastAsia="仿宋" w:cs="仿宋"/>
          <w:color w:val="auto"/>
          <w:sz w:val="24"/>
          <w:szCs w:val="24"/>
          <w:highlight w:val="none"/>
        </w:rPr>
        <w:t>以牵头方名义缴纳。</w:t>
      </w:r>
    </w:p>
    <w:p w14:paraId="2860A37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联合体成员存在不良信用记录的，视同联合体存在不良信用记录。</w:t>
      </w:r>
    </w:p>
    <w:p w14:paraId="2868EF32">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6F96AC9F">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联合体各方应当共同与采购人签订采购合同，就合同约定的事项对采购人承担连带责任。</w:t>
      </w:r>
    </w:p>
    <w:p w14:paraId="2731EA3A">
      <w:pPr>
        <w:spacing w:line="300" w:lineRule="auto"/>
        <w:ind w:left="239" w:leftChars="114" w:firstLine="360" w:firstLineChars="150"/>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w:t>
      </w:r>
      <w:r>
        <w:rPr>
          <w:rFonts w:hint="eastAsia" w:ascii="仿宋" w:hAnsi="仿宋" w:eastAsia="仿宋" w:cs="仿宋"/>
          <w:b/>
          <w:bCs/>
          <w:color w:val="auto"/>
          <w:sz w:val="24"/>
          <w:szCs w:val="24"/>
          <w:highlight w:val="none"/>
          <w:lang w:val="en-US" w:eastAsia="zh-CN"/>
        </w:rPr>
        <w:t>本项目不接受联合体投标。</w:t>
      </w:r>
    </w:p>
    <w:p w14:paraId="3A8DC0DE">
      <w:pPr>
        <w:spacing w:line="300" w:lineRule="auto"/>
        <w:outlineLvl w:val="1"/>
        <w:rPr>
          <w:rFonts w:hint="eastAsia" w:ascii="仿宋" w:hAnsi="仿宋" w:eastAsia="仿宋" w:cs="仿宋"/>
          <w:b/>
          <w:bCs/>
          <w:color w:val="auto"/>
          <w:sz w:val="24"/>
          <w:szCs w:val="24"/>
          <w:highlight w:val="none"/>
          <w:lang w:val="en-US" w:eastAsia="zh-CN"/>
        </w:rPr>
      </w:pPr>
      <w:bookmarkStart w:id="55" w:name="_Toc11478"/>
      <w:bookmarkStart w:id="56" w:name="_Toc21389"/>
      <w:r>
        <w:rPr>
          <w:rFonts w:hint="eastAsia" w:ascii="仿宋" w:hAnsi="仿宋" w:eastAsia="仿宋" w:cs="仿宋"/>
          <w:b/>
          <w:bCs/>
          <w:color w:val="auto"/>
          <w:sz w:val="24"/>
          <w:szCs w:val="24"/>
          <w:highlight w:val="none"/>
          <w:lang w:val="en-US" w:eastAsia="zh-CN"/>
        </w:rPr>
        <w:t>（七）转包与分包</w:t>
      </w:r>
      <w:bookmarkEnd w:id="55"/>
      <w:bookmarkEnd w:id="56"/>
    </w:p>
    <w:p w14:paraId="19F670E4">
      <w:pPr>
        <w:spacing w:line="300" w:lineRule="auto"/>
        <w:ind w:left="239" w:leftChars="114" w:firstLine="360" w:firstLineChars="150"/>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1.本项目不允许转包。</w:t>
      </w:r>
    </w:p>
    <w:p w14:paraId="119A1F4A">
      <w:pPr>
        <w:spacing w:line="300" w:lineRule="auto"/>
        <w:ind w:left="239" w:leftChars="114" w:firstLine="360" w:firstLineChars="15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2.本项目不允许分包。</w:t>
      </w:r>
    </w:p>
    <w:p w14:paraId="223E13E5">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3.投标人应仔细阅读招标文件的所有内容，按照招标文件的要求提交投标文件，并对所提供的全部资料的真实性承担法律责任。</w:t>
      </w:r>
    </w:p>
    <w:p w14:paraId="1937A8E1">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投标人在投标活动中提供任何虚假材料，其投标无效，并报监管部门查处；若在中标后发现此类情况，中标人须依照《中华人民共和国消费者权益保护法》第四十九条之规定双倍赔偿招标人，且民事赔偿并不免除违法投标人的行政与刑事责任。</w:t>
      </w:r>
    </w:p>
    <w:p w14:paraId="0E51DE34">
      <w:pPr>
        <w:spacing w:line="300" w:lineRule="auto"/>
        <w:outlineLvl w:val="1"/>
        <w:rPr>
          <w:rFonts w:hint="eastAsia" w:ascii="仿宋" w:hAnsi="仿宋" w:eastAsia="仿宋" w:cs="仿宋"/>
          <w:b/>
          <w:bCs/>
          <w:color w:val="auto"/>
          <w:sz w:val="24"/>
          <w:szCs w:val="24"/>
          <w:highlight w:val="none"/>
          <w:lang w:val="en-US" w:eastAsia="zh-CN"/>
        </w:rPr>
      </w:pPr>
      <w:bookmarkStart w:id="57" w:name="_Toc14774"/>
      <w:bookmarkStart w:id="58" w:name="_Toc4294"/>
      <w:r>
        <w:rPr>
          <w:rFonts w:hint="eastAsia" w:ascii="仿宋" w:hAnsi="仿宋" w:eastAsia="仿宋" w:cs="仿宋"/>
          <w:b/>
          <w:bCs/>
          <w:color w:val="auto"/>
          <w:sz w:val="24"/>
          <w:szCs w:val="24"/>
          <w:highlight w:val="none"/>
          <w:lang w:val="en-US" w:eastAsia="zh-CN"/>
        </w:rPr>
        <w:t>（八）质疑和投诉</w:t>
      </w:r>
      <w:bookmarkEnd w:id="57"/>
      <w:bookmarkEnd w:id="58"/>
    </w:p>
    <w:p w14:paraId="30D9F5CB">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人认为招标文件、招标过程或中标结果使自己的合法权益受到损害的，应当在知道或者应知其权益受到损害之日起七个工作日内，以书面形式向招标人、招标代理机构提出质疑。投标人对招标采购单位的质疑答复不满意或者招标采购单位未在规定时间内作出答复的，可以在答复期满后十五个工作日内向招标人投诉。</w:t>
      </w:r>
    </w:p>
    <w:p w14:paraId="64642550">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疑、投诉应当采用书面形式，质疑书、投诉书均应明确阐述招标文件、招标过程或中标结果中使自己合法权益受到损害的实质性内容，提供相关事实、依据和证据及其来源或线索，便于有关单位调查、答复和处理。</w:t>
      </w:r>
    </w:p>
    <w:p w14:paraId="458A319D">
      <w:pPr>
        <w:spacing w:line="300" w:lineRule="auto"/>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（九）纪律与保密事项</w:t>
      </w:r>
    </w:p>
    <w:p w14:paraId="60376040">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投标人不得相互串通投标报价，不得妨碍其他投标人的公平竞争，不得损害采购人或其他投标人的合法权益，投标人不得以向采购人、评标委员会成员行贿或者采取其他不正当手段谋取中标。</w:t>
      </w:r>
    </w:p>
    <w:p w14:paraId="788B274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在确定中标供应商之前，投标人不得与采购人就投标价格、投标方案等实质性内容进行谈判，也不得私下接触评标委员会成员。</w:t>
      </w:r>
    </w:p>
    <w:p w14:paraId="519569EC">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在确定中标供应商之前，投标人试图在投标文件审查、澄清、比较和评价时对评标委员会、采购人和采购代理机构施加任何影响都可能导致其投标无效。</w:t>
      </w:r>
    </w:p>
    <w:p w14:paraId="24175FE2">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获得本招标文件者，须履行本项目</w:t>
      </w:r>
      <w:r>
        <w:rPr>
          <w:rFonts w:hint="eastAsia" w:ascii="仿宋" w:hAnsi="仿宋" w:eastAsia="仿宋" w:cs="仿宋"/>
          <w:color w:val="auto"/>
          <w:sz w:val="24"/>
          <w:szCs w:val="24"/>
          <w:highlight w:val="none"/>
          <w:lang w:eastAsia="zh-CN"/>
        </w:rPr>
        <w:t>的</w:t>
      </w:r>
      <w:r>
        <w:rPr>
          <w:rFonts w:hint="eastAsia" w:ascii="仿宋" w:hAnsi="仿宋" w:eastAsia="仿宋" w:cs="仿宋"/>
          <w:color w:val="auto"/>
          <w:sz w:val="24"/>
          <w:szCs w:val="24"/>
          <w:highlight w:val="none"/>
        </w:rPr>
        <w:t>保密义务，不得将因本次项目获得的信息向第三人外传，不得将招标文件用作本次投标以外的任何用途。</w:t>
      </w:r>
    </w:p>
    <w:p w14:paraId="04BBEFD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由采购人向投标人提供的图纸、详细资料、样品、模型、模件和所有</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资料，均为保密资料，仅被用于它所规定的用途。除非得到采购人的同意，不能向任何第三方透露。开标结束后，应采购人要求，投标人应归还所有从采购人处获得的保密资料。</w:t>
      </w:r>
    </w:p>
    <w:p w14:paraId="7ADBBBBA">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采购人或采购代理机构有权将供应商提供的所有资料向有关政府部门或评审小组披露。</w:t>
      </w:r>
    </w:p>
    <w:p w14:paraId="363F0E8F">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在采购人或采购代理机构认为适当时</w:t>
      </w:r>
      <w:r>
        <w:rPr>
          <w:rFonts w:hint="eastAsia" w:ascii="仿宋" w:hAnsi="仿宋" w:eastAsia="仿宋" w:cs="仿宋"/>
          <w:color w:val="auto"/>
          <w:sz w:val="24"/>
          <w:szCs w:val="24"/>
          <w:highlight w:val="none"/>
          <w:lang w:eastAsia="zh-CN"/>
        </w:rPr>
        <w:t>，在</w:t>
      </w:r>
      <w:r>
        <w:rPr>
          <w:rFonts w:hint="eastAsia" w:ascii="仿宋" w:hAnsi="仿宋" w:eastAsia="仿宋" w:cs="仿宋"/>
          <w:color w:val="auto"/>
          <w:sz w:val="24"/>
          <w:szCs w:val="24"/>
          <w:highlight w:val="none"/>
        </w:rPr>
        <w:t>国家机关调查、审查、审计时以及其他符合法律规定的情形下，采购人或采购代理机构无须事先征求供应商同意</w:t>
      </w:r>
      <w:r>
        <w:rPr>
          <w:rFonts w:hint="eastAsia" w:ascii="仿宋" w:hAnsi="仿宋" w:eastAsia="仿宋" w:cs="仿宋"/>
          <w:color w:val="auto"/>
          <w:sz w:val="24"/>
          <w:szCs w:val="24"/>
          <w:highlight w:val="none"/>
          <w:lang w:eastAsia="zh-CN"/>
        </w:rPr>
        <w:t>即可</w:t>
      </w:r>
      <w:r>
        <w:rPr>
          <w:rFonts w:hint="eastAsia" w:ascii="仿宋" w:hAnsi="仿宋" w:eastAsia="仿宋" w:cs="仿宋"/>
          <w:color w:val="auto"/>
          <w:sz w:val="24"/>
          <w:szCs w:val="24"/>
          <w:highlight w:val="none"/>
        </w:rPr>
        <w:t>披露关于采购过程、合同文本、签署情况的资料、供应商的名称及地址、响应文件的有关信息以及补充条款等，但应当在合理的必要范围内。</w:t>
      </w:r>
      <w:r>
        <w:rPr>
          <w:rFonts w:hint="eastAsia" w:ascii="仿宋" w:hAnsi="仿宋" w:eastAsia="仿宋" w:cs="仿宋"/>
          <w:color w:val="auto"/>
          <w:sz w:val="24"/>
          <w:szCs w:val="24"/>
          <w:highlight w:val="none"/>
          <w:lang w:eastAsia="zh-CN"/>
        </w:rPr>
        <w:t>对于</w:t>
      </w:r>
      <w:r>
        <w:rPr>
          <w:rFonts w:hint="eastAsia" w:ascii="仿宋" w:hAnsi="仿宋" w:eastAsia="仿宋" w:cs="仿宋"/>
          <w:color w:val="auto"/>
          <w:sz w:val="24"/>
          <w:szCs w:val="24"/>
          <w:highlight w:val="none"/>
        </w:rPr>
        <w:t>任何已经公布过的内容或与之内容相同的资料，以及供应商已经泄露或公开的</w:t>
      </w:r>
      <w:r>
        <w:rPr>
          <w:rFonts w:hint="eastAsia" w:ascii="仿宋" w:hAnsi="仿宋" w:eastAsia="仿宋" w:cs="仿宋"/>
          <w:color w:val="auto"/>
          <w:sz w:val="24"/>
          <w:szCs w:val="24"/>
          <w:highlight w:val="none"/>
          <w:lang w:eastAsia="zh-CN"/>
        </w:rPr>
        <w:t>内容，</w:t>
      </w:r>
      <w:r>
        <w:rPr>
          <w:rFonts w:hint="eastAsia" w:ascii="仿宋" w:hAnsi="仿宋" w:eastAsia="仿宋" w:cs="仿宋"/>
          <w:color w:val="auto"/>
          <w:sz w:val="24"/>
          <w:szCs w:val="24"/>
          <w:highlight w:val="none"/>
        </w:rPr>
        <w:t>无须再承担保密责任。</w:t>
      </w:r>
    </w:p>
    <w:p w14:paraId="1AFE51FB">
      <w:pPr>
        <w:keepNext w:val="0"/>
        <w:keepLines w:val="0"/>
        <w:pageBreakBefore w:val="0"/>
        <w:kinsoku/>
        <w:wordWrap/>
        <w:overflowPunct/>
        <w:topLinePunct w:val="0"/>
        <w:autoSpaceDE/>
        <w:autoSpaceDN/>
        <w:bidi w:val="0"/>
        <w:adjustRightInd/>
        <w:snapToGrid/>
        <w:spacing w:line="300" w:lineRule="exact"/>
        <w:ind w:left="0" w:right="0" w:firstLine="482" w:firstLineChars="200"/>
        <w:jc w:val="both"/>
        <w:textAlignment w:val="auto"/>
        <w:rPr>
          <w:rFonts w:hint="eastAsia" w:ascii="仿宋" w:hAnsi="仿宋" w:eastAsia="仿宋" w:cs="仿宋"/>
          <w:b/>
          <w:bCs/>
          <w:color w:val="auto"/>
          <w:sz w:val="24"/>
          <w:szCs w:val="24"/>
          <w:highlight w:val="none"/>
          <w:lang w:val="en-US" w:eastAsia="zh-CN"/>
        </w:rPr>
      </w:pPr>
      <w:bookmarkStart w:id="59" w:name="_Toc28270"/>
      <w:bookmarkStart w:id="60" w:name="_Toc503212209"/>
      <w:bookmarkStart w:id="61" w:name="_Toc30350"/>
      <w:bookmarkStart w:id="62" w:name="_Toc521014777"/>
      <w:bookmarkStart w:id="63" w:name="_Toc32144"/>
    </w:p>
    <w:p w14:paraId="14DEAE3D">
      <w:pPr>
        <w:keepNext w:val="0"/>
        <w:keepLines w:val="0"/>
        <w:pageBreakBefore w:val="0"/>
        <w:kinsoku/>
        <w:wordWrap/>
        <w:overflowPunct/>
        <w:topLinePunct w:val="0"/>
        <w:autoSpaceDE/>
        <w:autoSpaceDN/>
        <w:bidi w:val="0"/>
        <w:adjustRightInd/>
        <w:snapToGrid/>
        <w:spacing w:line="300" w:lineRule="exact"/>
        <w:ind w:left="0" w:right="0" w:firstLine="482" w:firstLineChars="200"/>
        <w:jc w:val="both"/>
        <w:textAlignment w:val="auto"/>
        <w:rPr>
          <w:rFonts w:hint="eastAsia" w:ascii="仿宋" w:hAnsi="仿宋" w:eastAsia="仿宋" w:cs="仿宋"/>
          <w:b/>
          <w:bCs/>
          <w:color w:val="auto"/>
          <w:sz w:val="24"/>
          <w:szCs w:val="24"/>
          <w:highlight w:val="none"/>
          <w:lang w:val="en-US" w:eastAsia="zh-CN"/>
        </w:rPr>
      </w:pPr>
    </w:p>
    <w:p w14:paraId="624BA0E4">
      <w:pPr>
        <w:keepNext w:val="0"/>
        <w:keepLines w:val="0"/>
        <w:pageBreakBefore w:val="0"/>
        <w:numPr>
          <w:ilvl w:val="0"/>
          <w:numId w:val="5"/>
        </w:numPr>
        <w:kinsoku/>
        <w:wordWrap/>
        <w:overflowPunct/>
        <w:topLinePunct w:val="0"/>
        <w:autoSpaceDE/>
        <w:autoSpaceDN/>
        <w:bidi w:val="0"/>
        <w:adjustRightInd/>
        <w:snapToGrid/>
        <w:spacing w:line="300" w:lineRule="exact"/>
        <w:ind w:left="0" w:right="0" w:firstLine="562" w:firstLineChars="200"/>
        <w:jc w:val="center"/>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招标文件</w:t>
      </w:r>
      <w:bookmarkEnd w:id="59"/>
      <w:bookmarkEnd w:id="60"/>
      <w:bookmarkEnd w:id="61"/>
      <w:bookmarkEnd w:id="62"/>
      <w:bookmarkEnd w:id="63"/>
    </w:p>
    <w:p w14:paraId="0FEEFC76">
      <w:pPr>
        <w:keepNext w:val="0"/>
        <w:keepLines w:val="0"/>
        <w:pageBreakBefore w:val="0"/>
        <w:numPr>
          <w:ilvl w:val="0"/>
          <w:numId w:val="0"/>
        </w:numPr>
        <w:kinsoku/>
        <w:wordWrap/>
        <w:overflowPunct/>
        <w:topLinePunct w:val="0"/>
        <w:autoSpaceDE/>
        <w:autoSpaceDN/>
        <w:bidi w:val="0"/>
        <w:adjustRightInd/>
        <w:snapToGrid/>
        <w:spacing w:line="300" w:lineRule="exact"/>
        <w:ind w:leftChars="200" w:right="0" w:rightChars="0"/>
        <w:jc w:val="both"/>
        <w:textAlignment w:val="auto"/>
        <w:rPr>
          <w:rFonts w:hint="eastAsia" w:ascii="仿宋" w:hAnsi="仿宋" w:eastAsia="仿宋" w:cs="仿宋"/>
          <w:b/>
          <w:bCs/>
          <w:color w:val="auto"/>
          <w:sz w:val="28"/>
          <w:szCs w:val="28"/>
          <w:highlight w:val="none"/>
          <w:lang w:val="en-US" w:eastAsia="zh-CN"/>
        </w:rPr>
      </w:pPr>
    </w:p>
    <w:p w14:paraId="19C2E174">
      <w:pPr>
        <w:keepNext w:val="0"/>
        <w:keepLines w:val="0"/>
        <w:pageBreakBefore w:val="0"/>
        <w:numPr>
          <w:ilvl w:val="0"/>
          <w:numId w:val="0"/>
        </w:numPr>
        <w:kinsoku/>
        <w:wordWrap/>
        <w:overflowPunct/>
        <w:topLinePunct w:val="0"/>
        <w:autoSpaceDE/>
        <w:autoSpaceDN/>
        <w:bidi w:val="0"/>
        <w:adjustRightInd/>
        <w:snapToGrid/>
        <w:spacing w:line="300" w:lineRule="exact"/>
        <w:ind w:leftChars="200" w:right="0" w:rightChars="0"/>
        <w:jc w:val="both"/>
        <w:textAlignment w:val="auto"/>
        <w:rPr>
          <w:rFonts w:hint="eastAsia" w:ascii="仿宋" w:hAnsi="仿宋" w:eastAsia="仿宋" w:cs="仿宋"/>
          <w:b/>
          <w:bCs/>
          <w:color w:val="auto"/>
          <w:sz w:val="28"/>
          <w:szCs w:val="28"/>
          <w:highlight w:val="none"/>
          <w:lang w:val="en-US" w:eastAsia="zh-CN"/>
        </w:rPr>
      </w:pPr>
    </w:p>
    <w:p w14:paraId="4C922B9B">
      <w:pPr>
        <w:keepNext w:val="0"/>
        <w:keepLines w:val="0"/>
        <w:pageBreakBefore w:val="0"/>
        <w:numPr>
          <w:ilvl w:val="0"/>
          <w:numId w:val="0"/>
        </w:numPr>
        <w:kinsoku/>
        <w:wordWrap/>
        <w:overflowPunct/>
        <w:topLinePunct w:val="0"/>
        <w:autoSpaceDE/>
        <w:autoSpaceDN/>
        <w:bidi w:val="0"/>
        <w:adjustRightInd/>
        <w:snapToGrid/>
        <w:spacing w:line="300" w:lineRule="exact"/>
        <w:ind w:right="0" w:rightChars="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（一）招标文件的构成。本招标文件由以下部分组成：</w:t>
      </w:r>
    </w:p>
    <w:p w14:paraId="63F38FD3">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第一章招标公告</w:t>
      </w:r>
    </w:p>
    <w:p w14:paraId="63C9CE07">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第二章投标人须知</w:t>
      </w:r>
    </w:p>
    <w:p w14:paraId="1629A57C">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第三章资格审查</w:t>
      </w:r>
    </w:p>
    <w:p w14:paraId="573B006E">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第四章评标程序、评标方法和评标标准</w:t>
      </w:r>
    </w:p>
    <w:p w14:paraId="5B4E12E6">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第五章采购需求</w:t>
      </w:r>
    </w:p>
    <w:p w14:paraId="756E1E79">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第六章拟签订的合同文本</w:t>
      </w:r>
    </w:p>
    <w:p w14:paraId="27666E1C">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第七章投标文件格式</w:t>
      </w:r>
    </w:p>
    <w:p w14:paraId="50713BD3">
      <w:pPr>
        <w:spacing w:line="300" w:lineRule="auto"/>
        <w:outlineLvl w:val="1"/>
        <w:rPr>
          <w:rFonts w:hint="eastAsia" w:ascii="仿宋" w:hAnsi="仿宋" w:eastAsia="仿宋" w:cs="仿宋"/>
          <w:b/>
          <w:bCs/>
          <w:color w:val="auto"/>
          <w:sz w:val="24"/>
          <w:szCs w:val="24"/>
          <w:highlight w:val="none"/>
          <w:lang w:val="en-US" w:eastAsia="zh-CN"/>
        </w:rPr>
      </w:pPr>
      <w:bookmarkStart w:id="64" w:name="_Toc18044"/>
      <w:bookmarkStart w:id="65" w:name="_Toc12877"/>
      <w:r>
        <w:rPr>
          <w:rFonts w:hint="eastAsia" w:ascii="仿宋" w:hAnsi="仿宋" w:eastAsia="仿宋" w:cs="仿宋"/>
          <w:b/>
          <w:bCs/>
          <w:color w:val="auto"/>
          <w:sz w:val="24"/>
          <w:szCs w:val="24"/>
          <w:highlight w:val="none"/>
          <w:lang w:val="en-US" w:eastAsia="zh-CN"/>
        </w:rPr>
        <w:t>（二）投标人的风险</w:t>
      </w:r>
      <w:bookmarkEnd w:id="64"/>
      <w:bookmarkEnd w:id="65"/>
    </w:p>
    <w:p w14:paraId="3AAFFB73">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投标人没有按照招标文件要求提供全部资料，或者投标人没有对招标文件在各方面作出实质性响应是投标人的风险，并可能导致其投标为无效标。</w:t>
      </w:r>
    </w:p>
    <w:p w14:paraId="270AB2EE">
      <w:pPr>
        <w:spacing w:line="300" w:lineRule="auto"/>
        <w:outlineLvl w:val="1"/>
        <w:rPr>
          <w:rFonts w:hint="eastAsia" w:ascii="仿宋" w:hAnsi="仿宋" w:eastAsia="仿宋" w:cs="仿宋"/>
          <w:b/>
          <w:bCs/>
          <w:color w:val="auto"/>
          <w:sz w:val="24"/>
          <w:szCs w:val="24"/>
          <w:highlight w:val="none"/>
          <w:lang w:val="en-US" w:eastAsia="zh-CN"/>
        </w:rPr>
      </w:pPr>
      <w:bookmarkStart w:id="66" w:name="_Toc27766"/>
      <w:bookmarkStart w:id="67" w:name="_Toc15241"/>
      <w:r>
        <w:rPr>
          <w:rFonts w:hint="eastAsia" w:ascii="仿宋" w:hAnsi="仿宋" w:eastAsia="仿宋" w:cs="仿宋"/>
          <w:b/>
          <w:bCs/>
          <w:color w:val="auto"/>
          <w:sz w:val="24"/>
          <w:szCs w:val="24"/>
          <w:highlight w:val="none"/>
          <w:lang w:val="en-US" w:eastAsia="zh-CN"/>
        </w:rPr>
        <w:t>（三）招标文件的澄清与修改</w:t>
      </w:r>
      <w:bookmarkEnd w:id="66"/>
      <w:bookmarkEnd w:id="67"/>
    </w:p>
    <w:p w14:paraId="3A04C02C">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1.招标代理机构必须以书面形式答复投标人要求澄清的问题，并将不包含问题来源的答复书面通知所有购买招标文件的投标人；除书面答复以外的其他澄清方式及澄清内容均无效。</w:t>
      </w:r>
    </w:p>
    <w:p w14:paraId="0561A3E8">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2.招标文件澄清、答复、修改、补充的内容为招标文件的组成部分。当招标文件与招标文件的答复、澄清、修改、补充通知就同一内容的表述不一致时，以最后发出的书面文件为准。</w:t>
      </w:r>
    </w:p>
    <w:p w14:paraId="261D61A1">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3.招标文件的澄清、答复、修改或补充都应该通过本代理机构以法定形式发布，招标人非通过本机构，不得擅自澄清、答复、修改或补充招标文件。</w:t>
      </w:r>
      <w:bookmarkStart w:id="68" w:name="_Toc27918"/>
      <w:bookmarkStart w:id="69" w:name="_Toc503212210"/>
      <w:bookmarkStart w:id="70" w:name="_Toc765"/>
      <w:bookmarkStart w:id="71" w:name="_Toc10814"/>
      <w:bookmarkStart w:id="72" w:name="_Toc8746"/>
      <w:bookmarkStart w:id="73" w:name="_Toc12173"/>
      <w:bookmarkStart w:id="74" w:name="_Toc521014778"/>
    </w:p>
    <w:p w14:paraId="028875A6">
      <w:pPr>
        <w:spacing w:line="300" w:lineRule="auto"/>
        <w:ind w:left="0" w:leftChars="0" w:firstLine="480" w:firstLineChars="200"/>
        <w:rPr>
          <w:rFonts w:hint="eastAsia" w:ascii="仿宋" w:hAnsi="仿宋" w:eastAsia="仿宋" w:cs="仿宋"/>
          <w:color w:val="auto"/>
          <w:sz w:val="24"/>
          <w:szCs w:val="24"/>
          <w:highlight w:val="none"/>
          <w:lang w:val="en-US" w:eastAsia="zh-CN"/>
        </w:rPr>
      </w:pPr>
    </w:p>
    <w:p w14:paraId="23B1C66C">
      <w:pPr>
        <w:spacing w:line="300" w:lineRule="auto"/>
        <w:ind w:left="0" w:leftChars="0" w:firstLine="0" w:firstLineChars="0"/>
        <w:rPr>
          <w:rFonts w:hint="eastAsia" w:ascii="仿宋" w:hAnsi="仿宋" w:eastAsia="仿宋" w:cs="仿宋"/>
          <w:color w:val="auto"/>
          <w:sz w:val="24"/>
          <w:szCs w:val="24"/>
          <w:highlight w:val="none"/>
          <w:lang w:val="en-US" w:eastAsia="zh-CN"/>
        </w:rPr>
      </w:pPr>
    </w:p>
    <w:p w14:paraId="44DBF8BF">
      <w:pPr>
        <w:spacing w:line="300" w:lineRule="auto"/>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（四）投标文件的编制</w:t>
      </w:r>
      <w:bookmarkEnd w:id="68"/>
      <w:bookmarkEnd w:id="69"/>
      <w:bookmarkEnd w:id="70"/>
      <w:bookmarkEnd w:id="71"/>
      <w:bookmarkEnd w:id="72"/>
      <w:bookmarkEnd w:id="73"/>
      <w:bookmarkEnd w:id="74"/>
    </w:p>
    <w:p w14:paraId="65E78D11">
      <w:pPr>
        <w:spacing w:line="300" w:lineRule="auto"/>
        <w:rPr>
          <w:rFonts w:hint="eastAsia" w:ascii="仿宋" w:hAnsi="仿宋" w:eastAsia="仿宋" w:cs="仿宋"/>
          <w:b/>
          <w:bCs/>
          <w:color w:val="auto"/>
          <w:sz w:val="24"/>
          <w:szCs w:val="24"/>
          <w:highlight w:val="none"/>
        </w:rPr>
      </w:pPr>
      <w:bookmarkStart w:id="75" w:name="_Toc23068"/>
      <w:bookmarkStart w:id="76" w:name="_Toc503212211"/>
      <w:bookmarkStart w:id="77" w:name="_Toc521014779"/>
      <w:bookmarkStart w:id="78" w:name="_Toc29977"/>
      <w:r>
        <w:rPr>
          <w:rFonts w:hint="eastAsia" w:ascii="仿宋" w:hAnsi="仿宋" w:eastAsia="仿宋" w:cs="仿宋"/>
          <w:b/>
          <w:bCs/>
          <w:color w:val="auto"/>
          <w:sz w:val="24"/>
          <w:szCs w:val="24"/>
          <w:highlight w:val="none"/>
        </w:rPr>
        <w:t>投标文件的组成</w:t>
      </w:r>
      <w:bookmarkEnd w:id="75"/>
      <w:bookmarkEnd w:id="76"/>
      <w:bookmarkEnd w:id="77"/>
      <w:bookmarkEnd w:id="78"/>
    </w:p>
    <w:p w14:paraId="10D1147E">
      <w:pPr>
        <w:spacing w:line="300" w:lineRule="auto"/>
        <w:ind w:left="0" w:leftChars="0" w:firstLine="480" w:firstLineChars="200"/>
        <w:outlineLvl w:val="2"/>
        <w:rPr>
          <w:rFonts w:hint="eastAsia" w:ascii="仿宋" w:hAnsi="仿宋" w:eastAsia="仿宋" w:cs="仿宋"/>
          <w:color w:val="auto"/>
          <w:sz w:val="24"/>
          <w:szCs w:val="24"/>
          <w:highlight w:val="none"/>
        </w:rPr>
      </w:pPr>
      <w:bookmarkStart w:id="79" w:name="_Toc21340"/>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投标文件由报价部分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商务</w:t>
      </w:r>
      <w:r>
        <w:rPr>
          <w:rFonts w:hint="eastAsia" w:ascii="仿宋" w:hAnsi="仿宋" w:eastAsia="仿宋" w:cs="仿宋"/>
          <w:color w:val="auto"/>
          <w:sz w:val="24"/>
          <w:szCs w:val="24"/>
          <w:highlight w:val="none"/>
          <w:lang w:val="en-US" w:eastAsia="zh-CN"/>
        </w:rPr>
        <w:t>部分、</w:t>
      </w:r>
      <w:r>
        <w:rPr>
          <w:rFonts w:hint="eastAsia" w:ascii="仿宋" w:hAnsi="仿宋" w:eastAsia="仿宋" w:cs="仿宋"/>
          <w:color w:val="auto"/>
          <w:sz w:val="24"/>
          <w:szCs w:val="24"/>
          <w:highlight w:val="none"/>
        </w:rPr>
        <w:t>技术部分组成。</w:t>
      </w:r>
      <w:bookmarkEnd w:id="79"/>
    </w:p>
    <w:p w14:paraId="462832A6">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投标单位应按招标文件的要求提供招标文件，并保证所有材料的真实性，以确保其投标对招标文件做出实质性的响应。</w:t>
      </w:r>
    </w:p>
    <w:p w14:paraId="2CE11EC1">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招标文件使用的计量单位，应采用国家法定的计量单位。</w:t>
      </w:r>
    </w:p>
    <w:p w14:paraId="2BB474E4">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投标人所递交的投标文件应包含以下文件：</w:t>
      </w:r>
    </w:p>
    <w:p w14:paraId="435B7CC3">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报价部分：</w:t>
      </w:r>
    </w:p>
    <w:p w14:paraId="390159BA">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rPr>
        <w:t>投标函；</w:t>
      </w:r>
    </w:p>
    <w:p w14:paraId="520303BE">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2.</w:t>
      </w:r>
      <w:r>
        <w:rPr>
          <w:rFonts w:hint="eastAsia" w:ascii="仿宋" w:hAnsi="仿宋" w:eastAsia="仿宋" w:cs="仿宋"/>
          <w:b w:val="0"/>
          <w:bCs w:val="0"/>
          <w:color w:val="auto"/>
          <w:sz w:val="24"/>
          <w:szCs w:val="24"/>
          <w:highlight w:val="none"/>
        </w:rPr>
        <w:t>开标一览表；</w:t>
      </w:r>
    </w:p>
    <w:p w14:paraId="0110A964">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0"/>
          <w:sz w:val="24"/>
          <w:szCs w:val="24"/>
          <w:lang w:val="en-US" w:eastAsia="zh-CN" w:bidi="ar-SA"/>
        </w:rPr>
        <w:t>3.投标报价明细表。</w:t>
      </w:r>
    </w:p>
    <w:p w14:paraId="0FEB4549">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商务部分：</w:t>
      </w:r>
    </w:p>
    <w:p w14:paraId="0662CA5C">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rPr>
        <w:t>投标单位简介，并附投标人资质证件等；</w:t>
      </w:r>
    </w:p>
    <w:p w14:paraId="02835FD2">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2.</w:t>
      </w:r>
      <w:r>
        <w:rPr>
          <w:rFonts w:hint="eastAsia" w:ascii="仿宋" w:hAnsi="仿宋" w:eastAsia="仿宋" w:cs="仿宋"/>
          <w:i w:val="0"/>
          <w:iCs w:val="0"/>
          <w:caps w:val="0"/>
          <w:color w:val="auto"/>
          <w:spacing w:val="0"/>
          <w:sz w:val="24"/>
          <w:szCs w:val="24"/>
          <w:highlight w:val="none"/>
          <w:lang w:val="en-US" w:eastAsia="zh-CN"/>
        </w:rPr>
        <w:t>具有独立承担民事责任的能力，如投标人是企业（包括合伙企业），应提供在工商部门注册的有效“企业法人证书”或“营业执照”；如投标人是事业单位，应提供有效的“事业单位法人证书”；投标人是非企业专业服务机构的，应提供执业许可证等证明文件；如投标人是个体工商户，应提供有效的“个体工商户营业执照”；如投标人是自然人，应提供有效的自然人身份证明</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rPr>
        <w:t>（格式见附件）；</w:t>
      </w:r>
    </w:p>
    <w:p w14:paraId="0C1689D9">
      <w:pPr>
        <w:spacing w:line="300" w:lineRule="auto"/>
        <w:ind w:left="0" w:leftChars="0" w:firstLine="480" w:firstLineChars="200"/>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3.</w:t>
      </w:r>
      <w:r>
        <w:rPr>
          <w:rFonts w:hint="eastAsia" w:ascii="仿宋" w:hAnsi="仿宋" w:eastAsia="仿宋" w:cs="仿宋"/>
          <w:b w:val="0"/>
          <w:bCs w:val="0"/>
          <w:color w:val="auto"/>
          <w:sz w:val="24"/>
          <w:szCs w:val="24"/>
          <w:highlight w:val="none"/>
        </w:rPr>
        <w:t>联合体协议书（如是）</w:t>
      </w:r>
      <w:r>
        <w:rPr>
          <w:rFonts w:hint="eastAsia" w:ascii="仿宋" w:hAnsi="仿宋" w:eastAsia="仿宋" w:cs="仿宋"/>
          <w:b w:val="0"/>
          <w:bCs w:val="0"/>
          <w:color w:val="auto"/>
          <w:sz w:val="24"/>
          <w:szCs w:val="24"/>
          <w:highlight w:val="none"/>
          <w:lang w:eastAsia="zh-CN"/>
        </w:rPr>
        <w:t>；</w:t>
      </w:r>
    </w:p>
    <w:p w14:paraId="012A036C">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4.</w:t>
      </w:r>
      <w:r>
        <w:rPr>
          <w:rFonts w:hint="eastAsia" w:ascii="仿宋" w:hAnsi="仿宋" w:eastAsia="仿宋" w:cs="仿宋"/>
          <w:i w:val="0"/>
          <w:iCs w:val="0"/>
          <w:caps w:val="0"/>
          <w:color w:val="auto"/>
          <w:spacing w:val="0"/>
          <w:sz w:val="24"/>
          <w:szCs w:val="24"/>
          <w:highlight w:val="none"/>
          <w:lang w:val="en-US" w:eastAsia="zh-CN"/>
        </w:rPr>
        <w:t>提供税务机关出具的2026年近三个月内任意一个月的完税证明或依法报税资料（新成立不足1个月的按实际情况提供，成立时间超过1个月的零申报的需提供依法报税资料）</w:t>
      </w:r>
      <w:r>
        <w:rPr>
          <w:rFonts w:hint="eastAsia" w:ascii="仿宋" w:hAnsi="仿宋" w:eastAsia="仿宋" w:cs="仿宋"/>
          <w:i w:val="0"/>
          <w:iCs w:val="0"/>
          <w:caps w:val="0"/>
          <w:color w:val="000000"/>
          <w:spacing w:val="0"/>
          <w:sz w:val="24"/>
          <w:szCs w:val="24"/>
          <w:highlight w:val="none"/>
          <w:lang w:val="en-US" w:eastAsia="zh-CN"/>
        </w:rPr>
        <w:t>；提供</w:t>
      </w:r>
      <w:r>
        <w:rPr>
          <w:rFonts w:hint="eastAsia" w:ascii="仿宋" w:hAnsi="仿宋" w:eastAsia="仿宋" w:cs="仿宋"/>
          <w:i w:val="0"/>
          <w:iCs w:val="0"/>
          <w:caps w:val="0"/>
          <w:color w:val="auto"/>
          <w:spacing w:val="0"/>
          <w:sz w:val="24"/>
          <w:szCs w:val="24"/>
          <w:highlight w:val="none"/>
          <w:lang w:val="en-US" w:eastAsia="zh-CN"/>
        </w:rPr>
        <w:t>法定代表人需提供法定代表人证明书及法定代表人身份证，委托代理人需提供法定代表人授权委托书及委托代理人身份证，被委托人必须是投标人法人或正式员工，需提供社保部门出具2026年任意连续三个月的缴纳社保证明（社保缴费凭证或个人明细表），成立不足三个月的按实际提供；</w:t>
      </w:r>
    </w:p>
    <w:p w14:paraId="5A70D4C1">
      <w:pPr>
        <w:pStyle w:val="70"/>
        <w:keepNext w:val="0"/>
        <w:keepLines w:val="0"/>
        <w:widowControl/>
        <w:numPr>
          <w:ilvl w:val="0"/>
          <w:numId w:val="0"/>
        </w:numPr>
        <w:suppressLineNumbers w:val="0"/>
        <w:spacing w:before="75" w:beforeAutospacing="0" w:after="75" w:afterAutospacing="0" w:line="240" w:lineRule="auto"/>
        <w:ind w:right="0" w:rightChars="0"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i w:val="0"/>
          <w:iCs w:val="0"/>
          <w:caps w:val="0"/>
          <w:color w:val="auto"/>
          <w:spacing w:val="0"/>
          <w:sz w:val="24"/>
          <w:szCs w:val="24"/>
          <w:highlight w:val="none"/>
          <w:lang w:val="en-US" w:eastAsia="zh-CN"/>
        </w:rPr>
        <w:t>提供税务机关出具的2026年近三个月内任意一个月的完税证明或依法报税资料（新成立不足1个月的按实际情况提供，成立时间超过1个月的零申报的需提供依法报税资料）</w:t>
      </w:r>
      <w:r>
        <w:rPr>
          <w:rFonts w:hint="eastAsia" w:ascii="仿宋" w:hAnsi="仿宋" w:eastAsia="仿宋" w:cs="仿宋"/>
          <w:spacing w:val="1"/>
          <w:sz w:val="24"/>
          <w:szCs w:val="24"/>
        </w:rPr>
        <w:t>及健全的财务会计制度（健全的财务会计制度需单独提供）</w:t>
      </w:r>
      <w:r>
        <w:rPr>
          <w:rFonts w:hint="eastAsia" w:ascii="仿宋" w:hAnsi="仿宋" w:eastAsia="仿宋" w:cs="仿宋"/>
          <w:b w:val="0"/>
          <w:bCs w:val="0"/>
          <w:color w:val="auto"/>
          <w:sz w:val="24"/>
          <w:szCs w:val="24"/>
          <w:highlight w:val="none"/>
          <w:lang w:val="en-US" w:eastAsia="zh-CN"/>
        </w:rPr>
        <w:t>；</w:t>
      </w:r>
    </w:p>
    <w:p w14:paraId="1D64998C">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根据项目需求提供履行合同所必需的设备和专业技术能力的加盖单位公章的书面承诺函；</w:t>
      </w:r>
    </w:p>
    <w:p w14:paraId="31AF5C2A">
      <w:pPr>
        <w:spacing w:line="300" w:lineRule="auto"/>
        <w:ind w:left="0" w:leftChars="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参加采购活动前3年内，在经营活动中没有重大违法记录：提供《投标人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887FF44">
      <w:pPr>
        <w:pStyle w:val="70"/>
        <w:keepNext w:val="0"/>
        <w:keepLines w:val="0"/>
        <w:widowControl/>
        <w:numPr>
          <w:ilvl w:val="0"/>
          <w:numId w:val="0"/>
        </w:numPr>
        <w:suppressLineNumbers w:val="0"/>
        <w:spacing w:before="75" w:beforeAutospacing="0" w:after="75" w:afterAutospacing="0" w:line="240" w:lineRule="auto"/>
        <w:ind w:right="0" w:rightChars="0" w:firstLine="480" w:firstLineChars="20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i w:val="0"/>
          <w:iCs w:val="0"/>
          <w:caps w:val="0"/>
          <w:color w:val="auto"/>
          <w:spacing w:val="0"/>
          <w:sz w:val="24"/>
          <w:szCs w:val="24"/>
          <w:highlight w:val="none"/>
          <w:lang w:val="en-US" w:eastAsia="zh-CN"/>
        </w:rPr>
        <w:t>投标人近三年内如在“信用中国网www.creditchina.gov.cn”被列入失信被执行人、重大税收违法案件当事人名单、政府采购严重违法失信行为记录名单的（尚在处罚期内的）；在“中国政府采购网（www.ccgp.gov.cn）”被列入政府采购严重违法失信行为记录名单的（尚在处罚期内的）；在“国家企业信用信息公示系统（http://www.gsxt.gov.cn）”列入严重违法失信企业名单（黑名单）信息，将拒绝其参加本次政府采购活动；</w:t>
      </w:r>
    </w:p>
    <w:p w14:paraId="0315F089">
      <w:pPr>
        <w:ind w:left="239" w:leftChars="114" w:firstLine="360" w:firstLineChars="15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9本项目的特定资格要求：</w:t>
      </w:r>
      <w:r>
        <w:rPr>
          <w:rFonts w:hint="eastAsia" w:ascii="仿宋" w:hAnsi="仿宋" w:eastAsia="仿宋" w:cs="仿宋"/>
          <w:i w:val="0"/>
          <w:iCs w:val="0"/>
          <w:caps w:val="0"/>
          <w:color w:val="auto"/>
          <w:spacing w:val="0"/>
          <w:sz w:val="24"/>
          <w:szCs w:val="24"/>
          <w:highlight w:val="none"/>
          <w:lang w:val="en-US" w:eastAsia="zh-CN"/>
        </w:rPr>
        <w:t>①若所投产品为第二类医疗器械，生产商须提供有效的《医疗器械生产许可证》及所投产品的《医疗器械注册证》，代理商或经销商须提供有效的《第二类医疗器械经营备案凭证》及所投产品的《医疗器械注册证》；②若所投产品为第三类医疗器械，生产商须提供有效的《医疗器械生产许可证》及所投产品的《医疗器械注册证》，代理商或经销商须提供有效的《医疗器械经营许可证》及所投产品的《医疗器械注册证》；③若所投产品不属于上述医疗器械管理范围的，可按要求提供证明文件并加盖公章。</w:t>
      </w:r>
    </w:p>
    <w:p w14:paraId="629BF5F2">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10.</w:t>
      </w:r>
      <w:r>
        <w:rPr>
          <w:rFonts w:hint="eastAsia" w:ascii="仿宋" w:hAnsi="仿宋" w:eastAsia="仿宋" w:cs="仿宋"/>
          <w:b w:val="0"/>
          <w:bCs w:val="0"/>
          <w:color w:val="auto"/>
          <w:sz w:val="24"/>
          <w:szCs w:val="24"/>
          <w:highlight w:val="none"/>
        </w:rPr>
        <w:t>投标保证金打款凭证；</w:t>
      </w:r>
    </w:p>
    <w:p w14:paraId="6424F5CC">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偏离表（格式见附件）；</w:t>
      </w:r>
    </w:p>
    <w:p w14:paraId="5D09DAA8">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投标人反商业贿赂承诺书（格式见附件）；</w:t>
      </w:r>
    </w:p>
    <w:p w14:paraId="453C35ED">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无围标、串标等违法违规行为承诺书（格式见附件）；</w:t>
      </w:r>
    </w:p>
    <w:p w14:paraId="0CE6592E">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属于中小企业的投标人（申请享受中小企业扶持政策的）提供《中小企业声明函》，监狱企业提供《监狱企业声明函》及其相关的充分的证明材料，残疾人福利性单位提供《残疾人福利性单位声明函》及其相关的充分的证明材料；</w:t>
      </w:r>
    </w:p>
    <w:p w14:paraId="22ACBF14">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虚假应标承担责任声明（统一格式）；</w:t>
      </w:r>
    </w:p>
    <w:p w14:paraId="256A084E">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关于对本投标文件中资料真实性的承诺书；</w:t>
      </w:r>
    </w:p>
    <w:p w14:paraId="573B06E1">
      <w:pPr>
        <w:spacing w:line="300" w:lineRule="auto"/>
        <w:ind w:left="0" w:leftChars="0" w:firstLine="480" w:firstLineChars="200"/>
        <w:rPr>
          <w:rFonts w:hint="eastAsia" w:ascii="仿宋" w:hAnsi="仿宋" w:eastAsia="仿宋" w:cs="仿宋"/>
          <w:b w:val="0"/>
          <w:bCs w:val="0"/>
          <w:color w:val="auto"/>
          <w:sz w:val="24"/>
          <w:szCs w:val="24"/>
          <w:highlight w:val="yellow"/>
          <w:lang w:eastAsia="zh-CN"/>
        </w:rPr>
      </w:pPr>
      <w:r>
        <w:rPr>
          <w:rFonts w:hint="eastAsia" w:ascii="仿宋" w:hAnsi="仿宋" w:eastAsia="仿宋" w:cs="仿宋"/>
          <w:b w:val="0"/>
          <w:bCs w:val="0"/>
          <w:color w:val="000000"/>
          <w:sz w:val="24"/>
          <w:szCs w:val="24"/>
          <w:highlight w:val="none"/>
          <w:lang w:val="en-US" w:eastAsia="zh-CN"/>
        </w:rPr>
        <w:t>17.</w:t>
      </w:r>
      <w:r>
        <w:rPr>
          <w:rFonts w:hint="eastAsia" w:ascii="仿宋" w:hAnsi="仿宋" w:eastAsia="仿宋" w:cs="仿宋"/>
          <w:b w:val="0"/>
          <w:bCs w:val="0"/>
          <w:color w:val="auto"/>
          <w:sz w:val="24"/>
          <w:szCs w:val="24"/>
          <w:highlight w:val="none"/>
        </w:rPr>
        <w:t>投标人认为有必要提供的声明及文件资料；</w:t>
      </w:r>
    </w:p>
    <w:p w14:paraId="734D3A69">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技术部分：</w:t>
      </w:r>
    </w:p>
    <w:p w14:paraId="392AA16A">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1.实施</w:t>
      </w:r>
      <w:r>
        <w:rPr>
          <w:rFonts w:hint="eastAsia" w:ascii="仿宋" w:hAnsi="仿宋" w:eastAsia="仿宋" w:cs="仿宋"/>
          <w:bCs/>
          <w:color w:val="000000"/>
          <w:kern w:val="0"/>
          <w:sz w:val="24"/>
          <w:szCs w:val="24"/>
          <w:highlight w:val="none"/>
          <w:lang w:val="en-US" w:eastAsia="zh-CN"/>
        </w:rPr>
        <w:t>方案（</w:t>
      </w:r>
      <w:r>
        <w:rPr>
          <w:rFonts w:hint="eastAsia" w:ascii="仿宋" w:hAnsi="仿宋" w:eastAsia="仿宋" w:cs="仿宋"/>
          <w:color w:val="auto"/>
          <w:sz w:val="24"/>
          <w:szCs w:val="24"/>
          <w:highlight w:val="none"/>
          <w:lang w:val="en-US" w:eastAsia="zh-CN"/>
        </w:rPr>
        <w:t>投标人视需要自行编写）；</w:t>
      </w:r>
    </w:p>
    <w:p w14:paraId="33C305A9">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bCs/>
          <w:color w:val="000000"/>
          <w:kern w:val="0"/>
          <w:sz w:val="24"/>
          <w:szCs w:val="24"/>
          <w:highlight w:val="none"/>
          <w:lang w:val="en-US" w:eastAsia="zh-CN"/>
        </w:rPr>
        <w:t>供货方案</w:t>
      </w:r>
      <w:r>
        <w:rPr>
          <w:rFonts w:hint="eastAsia" w:ascii="仿宋" w:hAnsi="仿宋" w:eastAsia="仿宋" w:cs="仿宋"/>
          <w:color w:val="auto"/>
          <w:sz w:val="24"/>
          <w:szCs w:val="24"/>
          <w:highlight w:val="none"/>
          <w:lang w:val="en-US" w:eastAsia="zh-CN"/>
        </w:rPr>
        <w:t>（投标人视需要自行编写）；</w:t>
      </w:r>
    </w:p>
    <w:p w14:paraId="204AFF45">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3.售后</w:t>
      </w:r>
      <w:r>
        <w:rPr>
          <w:rFonts w:hint="eastAsia" w:ascii="仿宋" w:hAnsi="仿宋" w:eastAsia="仿宋" w:cs="仿宋"/>
          <w:bCs/>
          <w:color w:val="000000"/>
          <w:kern w:val="0"/>
          <w:sz w:val="24"/>
          <w:szCs w:val="24"/>
          <w:highlight w:val="none"/>
          <w:lang w:val="en-US" w:eastAsia="zh-CN"/>
        </w:rPr>
        <w:t>服务方案（</w:t>
      </w:r>
      <w:r>
        <w:rPr>
          <w:rFonts w:hint="eastAsia" w:ascii="仿宋" w:hAnsi="仿宋" w:eastAsia="仿宋" w:cs="仿宋"/>
          <w:color w:val="auto"/>
          <w:sz w:val="24"/>
          <w:szCs w:val="24"/>
          <w:highlight w:val="none"/>
          <w:lang w:val="en-US" w:eastAsia="zh-CN"/>
        </w:rPr>
        <w:t>投标人视需要自行编写）；</w:t>
      </w:r>
    </w:p>
    <w:p w14:paraId="2CE03E3C">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bCs/>
          <w:color w:val="000000"/>
          <w:kern w:val="0"/>
          <w:sz w:val="24"/>
          <w:szCs w:val="24"/>
          <w:highlight w:val="none"/>
          <w:lang w:val="en-US" w:eastAsia="zh-CN"/>
        </w:rPr>
        <w:t>应急方案（</w:t>
      </w:r>
      <w:r>
        <w:rPr>
          <w:rFonts w:hint="eastAsia" w:ascii="仿宋" w:hAnsi="仿宋" w:eastAsia="仿宋" w:cs="仿宋"/>
          <w:color w:val="auto"/>
          <w:sz w:val="24"/>
          <w:szCs w:val="24"/>
          <w:highlight w:val="none"/>
          <w:lang w:val="en-US" w:eastAsia="zh-CN"/>
        </w:rPr>
        <w:t>投标人视需要自行编写）；</w:t>
      </w:r>
    </w:p>
    <w:p w14:paraId="2680D2C1">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bCs/>
          <w:color w:val="000000"/>
          <w:kern w:val="0"/>
          <w:sz w:val="24"/>
          <w:szCs w:val="24"/>
          <w:highlight w:val="none"/>
          <w:lang w:val="en-US" w:eastAsia="zh-CN"/>
        </w:rPr>
        <w:t>培训方案</w:t>
      </w:r>
      <w:r>
        <w:rPr>
          <w:rFonts w:hint="eastAsia" w:ascii="仿宋" w:hAnsi="仿宋" w:eastAsia="仿宋" w:cs="仿宋"/>
          <w:color w:val="auto"/>
          <w:sz w:val="24"/>
          <w:szCs w:val="24"/>
          <w:highlight w:val="none"/>
          <w:lang w:val="en-US" w:eastAsia="zh-CN"/>
        </w:rPr>
        <w:t>（投标人视需要自行编写）；</w:t>
      </w:r>
    </w:p>
    <w:p w14:paraId="3F363553">
      <w:pPr>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6.其他有利于投标人的资料（如有）</w:t>
      </w:r>
    </w:p>
    <w:p w14:paraId="4857B5A8">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▲注：法定代表人授权委托书、投标声明书、投标函、投标报价一览表必须由法定代表人签名</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盖章并加盖单位公章。法定代表人授权委托书必须由法定代表人签名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投标声明书、投标函、投标报价一览表</w:t>
      </w:r>
      <w:r>
        <w:rPr>
          <w:rFonts w:hint="eastAsia" w:ascii="仿宋" w:hAnsi="仿宋" w:eastAsia="仿宋" w:cs="仿宋"/>
          <w:color w:val="auto"/>
          <w:sz w:val="24"/>
          <w:szCs w:val="24"/>
          <w:highlight w:val="none"/>
          <w:lang w:val="en-US" w:eastAsia="zh-CN"/>
        </w:rPr>
        <w:t>必须加</w:t>
      </w:r>
      <w:r>
        <w:rPr>
          <w:rFonts w:hint="eastAsia" w:ascii="仿宋" w:hAnsi="仿宋" w:eastAsia="仿宋" w:cs="仿宋"/>
          <w:color w:val="auto"/>
          <w:sz w:val="24"/>
          <w:szCs w:val="24"/>
          <w:highlight w:val="none"/>
        </w:rPr>
        <w:t>盖单位公章</w:t>
      </w:r>
      <w:r>
        <w:rPr>
          <w:rFonts w:hint="eastAsia" w:ascii="仿宋" w:hAnsi="仿宋" w:eastAsia="仿宋" w:cs="仿宋"/>
          <w:color w:val="auto"/>
          <w:sz w:val="24"/>
          <w:szCs w:val="24"/>
          <w:highlight w:val="none"/>
          <w:lang w:val="en-US" w:eastAsia="zh-CN"/>
        </w:rPr>
        <w:t>及授权代表签字</w:t>
      </w:r>
      <w:r>
        <w:rPr>
          <w:rFonts w:hint="eastAsia" w:ascii="仿宋" w:hAnsi="仿宋" w:eastAsia="仿宋" w:cs="仿宋"/>
          <w:color w:val="auto"/>
          <w:sz w:val="24"/>
          <w:szCs w:val="24"/>
          <w:highlight w:val="none"/>
        </w:rPr>
        <w:t>。</w:t>
      </w:r>
    </w:p>
    <w:p w14:paraId="559860E5">
      <w:pPr>
        <w:spacing w:line="300" w:lineRule="auto"/>
        <w:outlineLvl w:val="1"/>
        <w:rPr>
          <w:rFonts w:hint="eastAsia" w:ascii="仿宋" w:hAnsi="仿宋" w:eastAsia="仿宋" w:cs="仿宋"/>
          <w:b/>
          <w:bCs/>
          <w:color w:val="auto"/>
          <w:sz w:val="24"/>
          <w:szCs w:val="24"/>
          <w:highlight w:val="none"/>
        </w:rPr>
      </w:pPr>
      <w:bookmarkStart w:id="80" w:name="_Toc24112"/>
      <w:bookmarkStart w:id="81" w:name="_Toc18015"/>
      <w:bookmarkStart w:id="82" w:name="_Toc503212212"/>
      <w:bookmarkStart w:id="83" w:name="_Toc521014780"/>
      <w:bookmarkStart w:id="84" w:name="_Toc14838"/>
      <w:bookmarkStart w:id="85" w:name="_Toc28971"/>
      <w:r>
        <w:rPr>
          <w:rFonts w:hint="eastAsia" w:ascii="仿宋" w:hAnsi="仿宋" w:eastAsia="仿宋" w:cs="仿宋"/>
          <w:b/>
          <w:bCs/>
          <w:color w:val="auto"/>
          <w:sz w:val="24"/>
          <w:szCs w:val="24"/>
          <w:highlight w:val="none"/>
        </w:rPr>
        <w:t>投标文件的语言及计量</w:t>
      </w:r>
      <w:bookmarkEnd w:id="80"/>
      <w:bookmarkEnd w:id="81"/>
      <w:bookmarkEnd w:id="82"/>
      <w:bookmarkEnd w:id="83"/>
      <w:bookmarkEnd w:id="84"/>
      <w:bookmarkEnd w:id="85"/>
    </w:p>
    <w:p w14:paraId="640BC691">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投标文件以及投标方与招标方就有关投标事宜的所有来往函电，均应以</w:t>
      </w:r>
      <w:r>
        <w:rPr>
          <w:rFonts w:hint="eastAsia" w:ascii="仿宋" w:hAnsi="仿宋" w:eastAsia="仿宋" w:cs="仿宋"/>
          <w:color w:val="auto"/>
          <w:sz w:val="24"/>
          <w:szCs w:val="24"/>
          <w:highlight w:val="none"/>
          <w:lang w:eastAsia="zh-CN"/>
        </w:rPr>
        <w:t>中文</w:t>
      </w:r>
      <w:r>
        <w:rPr>
          <w:rFonts w:hint="eastAsia" w:ascii="仿宋" w:hAnsi="仿宋" w:eastAsia="仿宋" w:cs="仿宋"/>
          <w:color w:val="auto"/>
          <w:sz w:val="24"/>
          <w:szCs w:val="24"/>
          <w:highlight w:val="none"/>
        </w:rPr>
        <w:t>书写。除签名、盖章、专用名称等特殊情形外，以</w:t>
      </w:r>
      <w:r>
        <w:rPr>
          <w:rFonts w:hint="eastAsia" w:ascii="仿宋" w:hAnsi="仿宋" w:eastAsia="仿宋" w:cs="仿宋"/>
          <w:color w:val="auto"/>
          <w:sz w:val="24"/>
          <w:szCs w:val="24"/>
          <w:highlight w:val="none"/>
          <w:lang w:eastAsia="zh-CN"/>
        </w:rPr>
        <w:t>中文</w:t>
      </w:r>
      <w:r>
        <w:rPr>
          <w:rFonts w:hint="eastAsia" w:ascii="仿宋" w:hAnsi="仿宋" w:eastAsia="仿宋" w:cs="仿宋"/>
          <w:color w:val="auto"/>
          <w:sz w:val="24"/>
          <w:szCs w:val="24"/>
          <w:highlight w:val="none"/>
        </w:rPr>
        <w:t>以外的文字表述的投标文件视同未提供。</w:t>
      </w:r>
    </w:p>
    <w:p w14:paraId="31EFC954">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投标计量单位，招标文件已有明确规定的，使用招标文件规定的计量单位；招标文件没有规定的，应采用中华人民共和国法定计量单位（货币单位：人民币元），否则视同未响应。</w:t>
      </w:r>
    </w:p>
    <w:p w14:paraId="718E9032">
      <w:pPr>
        <w:spacing w:line="300" w:lineRule="auto"/>
        <w:rPr>
          <w:rFonts w:hint="eastAsia" w:ascii="仿宋" w:hAnsi="仿宋" w:eastAsia="仿宋" w:cs="仿宋"/>
          <w:b/>
          <w:bCs/>
          <w:color w:val="auto"/>
          <w:sz w:val="24"/>
          <w:szCs w:val="24"/>
          <w:highlight w:val="none"/>
        </w:rPr>
      </w:pPr>
      <w:bookmarkStart w:id="86" w:name="_Toc6985"/>
      <w:bookmarkStart w:id="87" w:name="_Toc503212213"/>
      <w:bookmarkStart w:id="88" w:name="_Toc521014781"/>
      <w:bookmarkStart w:id="89" w:name="_Toc3970"/>
      <w:r>
        <w:rPr>
          <w:rFonts w:hint="eastAsia" w:ascii="仿宋" w:hAnsi="仿宋" w:eastAsia="仿宋" w:cs="仿宋"/>
          <w:b/>
          <w:bCs/>
          <w:color w:val="auto"/>
          <w:sz w:val="24"/>
          <w:szCs w:val="24"/>
          <w:highlight w:val="none"/>
        </w:rPr>
        <w:t>投标报价</w:t>
      </w:r>
      <w:bookmarkEnd w:id="86"/>
      <w:bookmarkEnd w:id="87"/>
      <w:bookmarkEnd w:id="88"/>
      <w:bookmarkEnd w:id="89"/>
    </w:p>
    <w:p w14:paraId="49C9EF65">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报价应在招标报价表上标明单价和总价。单价和总价要相符。价格不一致时，根据《中华人民共和国财政部令第87号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政府采购货物和服务招标投标管理办法》第五十九条</w:t>
      </w:r>
      <w:r>
        <w:rPr>
          <w:rFonts w:hint="eastAsia" w:ascii="仿宋" w:hAnsi="仿宋" w:eastAsia="仿宋" w:cs="仿宋"/>
          <w:color w:val="auto"/>
          <w:sz w:val="24"/>
          <w:szCs w:val="24"/>
          <w:highlight w:val="none"/>
          <w:lang w:eastAsia="zh-CN"/>
        </w:rPr>
        <w:t>“投标文件报价出现前后不一致的”</w:t>
      </w:r>
      <w:r>
        <w:rPr>
          <w:rFonts w:hint="eastAsia" w:ascii="仿宋" w:hAnsi="仿宋" w:eastAsia="仿宋" w:cs="仿宋"/>
          <w:color w:val="auto"/>
          <w:sz w:val="24"/>
          <w:szCs w:val="24"/>
          <w:highlight w:val="none"/>
        </w:rPr>
        <w:t>，除招标文件另有规定外，按照下列规定修正：</w:t>
      </w:r>
    </w:p>
    <w:p w14:paraId="50F0DF7F">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（一）投标文件中开标一览表（报价表）内容与投标文件中相应内容不一致的，以开标一览表（报价表）为准；</w:t>
      </w:r>
    </w:p>
    <w:p w14:paraId="3895354E">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（二）大写金额和小写金额不一致的，以大写金额为准；</w:t>
      </w:r>
    </w:p>
    <w:p w14:paraId="72755790">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（三）单价金额小数点或者百分比有明显错位的，以开标一览表的总价为准，并修改单价；</w:t>
      </w:r>
    </w:p>
    <w:p w14:paraId="6F87A6F3">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（四）总价金额与单价汇总金额不一致的，以单价金额计算结果为准。</w:t>
      </w:r>
    </w:p>
    <w:p w14:paraId="630A6DBC">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供应商应在投标报价表中标明其提供的所有</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及其相关工作范围内所在费用的总价，不接受有任何选择性报价。</w:t>
      </w:r>
    </w:p>
    <w:p w14:paraId="456DE1F4">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报价时应对下列几点特别注明：</w:t>
      </w:r>
    </w:p>
    <w:p w14:paraId="61127DDE">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3.1招标文件中特别要求的备品备件、易损件和专用工具的费用；</w:t>
      </w:r>
    </w:p>
    <w:p w14:paraId="3543951C">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3.2招标文件中特别要求的</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、验收、税费和相关售后服务等费用及其它附带服务的全部费用；</w:t>
      </w:r>
    </w:p>
    <w:p w14:paraId="26AD2326">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3.3国内</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人提供在中华人民共和国制造的，或已在中华人民共和国境内的国外产地的已经进口的货物的国内投标，其货物的交货价，包括制造、组装该货物所使用的零部件及原材料</w:t>
      </w:r>
      <w:r>
        <w:rPr>
          <w:rFonts w:hint="eastAsia" w:ascii="仿宋" w:hAnsi="仿宋" w:eastAsia="仿宋" w:cs="仿宋"/>
          <w:color w:val="auto"/>
          <w:sz w:val="24"/>
          <w:szCs w:val="24"/>
          <w:highlight w:val="none"/>
          <w:lang w:eastAsia="zh-CN"/>
        </w:rPr>
        <w:t>已支</w:t>
      </w:r>
      <w:r>
        <w:rPr>
          <w:rFonts w:hint="eastAsia" w:ascii="仿宋" w:hAnsi="仿宋" w:eastAsia="仿宋" w:cs="仿宋"/>
          <w:color w:val="auto"/>
          <w:sz w:val="24"/>
          <w:szCs w:val="24"/>
          <w:highlight w:val="none"/>
        </w:rPr>
        <w:t>付的全部关税、销售税和其他税（其关税和其他税不分别填写，计入货价内即可）。</w:t>
      </w:r>
    </w:p>
    <w:p w14:paraId="625DA433">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算术性修正。算术性修正是指对招标响应文件的报价明细进行校核，并对其算术上和运算上的差错给予修正。修正的原则如下：</w:t>
      </w:r>
    </w:p>
    <w:p w14:paraId="6441B88E">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4.1当以数字表示的金额与文字表示的金额有差异时，以文字表示的金额为准；</w:t>
      </w:r>
    </w:p>
    <w:p w14:paraId="4B5A6D92">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4.2当单价与数量相乘不等于合价时，以单价计算为准。如果单价有明显的小数点位置差错，应以标出的合价为准，同时对单价予以修正；</w:t>
      </w:r>
    </w:p>
    <w:p w14:paraId="3131C693">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4.3当各明细部分的价格累计不等于合价时，应以各明细的累计计数为准，修正合价。</w:t>
      </w:r>
    </w:p>
    <w:p w14:paraId="29BA1FF5">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4.4按以上原则对算术性差错修正，应取得供应商的同意，并确认修正后最终招标报价。如果供应商拒绝确认，则其招标响应文件将不</w:t>
      </w:r>
      <w:r>
        <w:rPr>
          <w:rFonts w:hint="eastAsia" w:ascii="仿宋" w:hAnsi="仿宋" w:eastAsia="仿宋" w:cs="仿宋"/>
          <w:color w:val="auto"/>
          <w:sz w:val="24"/>
          <w:szCs w:val="24"/>
          <w:highlight w:val="none"/>
          <w:lang w:eastAsia="zh-CN"/>
        </w:rPr>
        <w:t>予</w:t>
      </w:r>
      <w:r>
        <w:rPr>
          <w:rFonts w:hint="eastAsia" w:ascii="仿宋" w:hAnsi="仿宋" w:eastAsia="仿宋" w:cs="仿宋"/>
          <w:color w:val="auto"/>
          <w:sz w:val="24"/>
          <w:szCs w:val="24"/>
          <w:highlight w:val="none"/>
        </w:rPr>
        <w:t>评审并按废标处理，没收其投标担保。</w:t>
      </w:r>
    </w:p>
    <w:p w14:paraId="2DA06D6D">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投标文件只允许有一个报价，有选择的或有条件的报价将不予接受。</w:t>
      </w:r>
    </w:p>
    <w:p w14:paraId="0620F626">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招标代理服务费由中标单</w:t>
      </w:r>
      <w:r>
        <w:rPr>
          <w:rFonts w:hint="eastAsia" w:ascii="仿宋" w:hAnsi="仿宋" w:eastAsia="仿宋" w:cs="仿宋"/>
          <w:color w:val="auto"/>
          <w:sz w:val="24"/>
          <w:szCs w:val="24"/>
          <w:highlight w:val="none"/>
          <w:lang w:eastAsia="zh-CN"/>
        </w:rPr>
        <w:t>位在</w:t>
      </w:r>
      <w:r>
        <w:rPr>
          <w:rFonts w:hint="eastAsia" w:ascii="仿宋" w:hAnsi="仿宋" w:eastAsia="仿宋" w:cs="仿宋"/>
          <w:color w:val="auto"/>
          <w:sz w:val="24"/>
          <w:szCs w:val="24"/>
          <w:highlight w:val="none"/>
        </w:rPr>
        <w:t>领取中标通知书时一次性支付，投标单位在报价时请考虑。</w:t>
      </w:r>
    </w:p>
    <w:p w14:paraId="6F834040">
      <w:pPr>
        <w:spacing w:line="300" w:lineRule="auto"/>
        <w:rPr>
          <w:rFonts w:hint="eastAsia" w:ascii="仿宋" w:hAnsi="仿宋" w:eastAsia="仿宋" w:cs="仿宋"/>
          <w:b/>
          <w:bCs/>
          <w:color w:val="auto"/>
          <w:sz w:val="24"/>
          <w:szCs w:val="24"/>
          <w:highlight w:val="none"/>
        </w:rPr>
      </w:pPr>
      <w:bookmarkStart w:id="90" w:name="_Toc521014782"/>
      <w:bookmarkStart w:id="91" w:name="_Toc503212214"/>
      <w:bookmarkStart w:id="92" w:name="_Toc21211"/>
      <w:bookmarkStart w:id="93" w:name="_Toc21800"/>
      <w:r>
        <w:rPr>
          <w:rFonts w:hint="eastAsia" w:ascii="仿宋" w:hAnsi="仿宋" w:eastAsia="仿宋" w:cs="仿宋"/>
          <w:b/>
          <w:bCs/>
          <w:color w:val="auto"/>
          <w:sz w:val="24"/>
          <w:szCs w:val="24"/>
          <w:highlight w:val="none"/>
        </w:rPr>
        <w:t>投标文件的有效期</w:t>
      </w:r>
      <w:bookmarkEnd w:id="90"/>
      <w:bookmarkEnd w:id="91"/>
      <w:bookmarkEnd w:id="92"/>
      <w:bookmarkEnd w:id="93"/>
    </w:p>
    <w:p w14:paraId="19F5B910">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自投标截止日起</w:t>
      </w:r>
      <w:r>
        <w:rPr>
          <w:rFonts w:hint="eastAsia" w:ascii="仿宋" w:hAnsi="仿宋" w:eastAsia="仿宋" w:cs="仿宋"/>
          <w:color w:val="auto"/>
          <w:sz w:val="24"/>
          <w:szCs w:val="24"/>
          <w:highlight w:val="none"/>
          <w:u w:val="single"/>
        </w:rPr>
        <w:t>90</w:t>
      </w:r>
      <w:r>
        <w:rPr>
          <w:rFonts w:hint="eastAsia" w:ascii="仿宋" w:hAnsi="仿宋" w:eastAsia="仿宋" w:cs="仿宋"/>
          <w:color w:val="auto"/>
          <w:sz w:val="24"/>
          <w:szCs w:val="24"/>
          <w:highlight w:val="none"/>
        </w:rPr>
        <w:t>天投标文件应保持有效。有效期不足的投标文件将被拒绝。</w:t>
      </w:r>
    </w:p>
    <w:p w14:paraId="14F99718">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在特殊情况下，招标人可与投标人协商延长投标书的有效期，这种要求和答复均以书面形式进行。</w:t>
      </w:r>
    </w:p>
    <w:p w14:paraId="74AB4EB4">
      <w:pPr>
        <w:spacing w:line="300" w:lineRule="auto"/>
        <w:ind w:left="0" w:leftChars="0"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投标人可拒绝接受延期要求而不会导致投标保证金被没收。同意延长有效期的投标人需要相应延长投标保证金的有效期，但不能修改投标文件。</w:t>
      </w:r>
    </w:p>
    <w:p w14:paraId="5F82B600">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中标人的投标文件自开标之日起至合同履行完毕止均应保持有效。</w:t>
      </w:r>
    </w:p>
    <w:p w14:paraId="3AF79515">
      <w:pPr>
        <w:spacing w:line="300" w:lineRule="auto"/>
        <w:rPr>
          <w:rFonts w:hint="eastAsia" w:ascii="仿宋" w:hAnsi="仿宋" w:eastAsia="仿宋" w:cs="仿宋"/>
          <w:b/>
          <w:bCs/>
          <w:color w:val="auto"/>
          <w:sz w:val="24"/>
          <w:szCs w:val="24"/>
          <w:highlight w:val="none"/>
        </w:rPr>
      </w:pPr>
      <w:bookmarkStart w:id="94" w:name="_Toc22838"/>
      <w:bookmarkStart w:id="95" w:name="_Toc16117"/>
      <w:bookmarkStart w:id="96" w:name="_Toc521014783"/>
      <w:bookmarkStart w:id="97" w:name="_Toc503212215"/>
      <w:r>
        <w:rPr>
          <w:rFonts w:hint="eastAsia" w:ascii="仿宋" w:hAnsi="仿宋" w:eastAsia="仿宋" w:cs="仿宋"/>
          <w:b/>
          <w:bCs/>
          <w:color w:val="auto"/>
          <w:sz w:val="24"/>
          <w:szCs w:val="24"/>
          <w:highlight w:val="none"/>
        </w:rPr>
        <w:t>投标保证金</w:t>
      </w:r>
      <w:bookmarkEnd w:id="94"/>
      <w:bookmarkEnd w:id="95"/>
      <w:bookmarkEnd w:id="96"/>
      <w:bookmarkEnd w:id="97"/>
    </w:p>
    <w:p w14:paraId="014C8F7A">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投标人须按规定提交投标保证金</w:t>
      </w:r>
      <w:r>
        <w:rPr>
          <w:rFonts w:hint="eastAsia" w:ascii="仿宋" w:hAnsi="仿宋" w:eastAsia="仿宋" w:cs="仿宋"/>
          <w:color w:val="auto"/>
          <w:sz w:val="24"/>
          <w:szCs w:val="24"/>
          <w:highlight w:val="none"/>
          <w:lang w:val="en-US" w:eastAsia="zh-CN"/>
        </w:rPr>
        <w:t>或电子保函</w:t>
      </w:r>
      <w:r>
        <w:rPr>
          <w:rFonts w:hint="eastAsia" w:ascii="仿宋" w:hAnsi="仿宋" w:eastAsia="仿宋" w:cs="仿宋"/>
          <w:color w:val="auto"/>
          <w:sz w:val="24"/>
          <w:szCs w:val="24"/>
          <w:highlight w:val="none"/>
        </w:rPr>
        <w:t>。否则，其投标将被拒绝。</w:t>
      </w:r>
    </w:p>
    <w:p w14:paraId="69A74C50">
      <w:pPr>
        <w:numPr>
          <w:ilvl w:val="0"/>
          <w:numId w:val="0"/>
        </w:numPr>
        <w:spacing w:line="300" w:lineRule="auto"/>
        <w:ind w:right="62" w:rightChars="0"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保证金形式：</w:t>
      </w:r>
      <w:r>
        <w:rPr>
          <w:rFonts w:hint="eastAsia" w:ascii="仿宋" w:hAnsi="仿宋" w:eastAsia="仿宋" w:cs="仿宋"/>
          <w:color w:val="auto"/>
          <w:sz w:val="24"/>
          <w:szCs w:val="24"/>
          <w:highlight w:val="none"/>
          <w:lang w:val="en-US" w:eastAsia="zh-CN"/>
        </w:rPr>
        <w:t>转账、汇款</w:t>
      </w:r>
      <w:r>
        <w:rPr>
          <w:rFonts w:hint="eastAsia" w:ascii="仿宋" w:hAnsi="仿宋" w:eastAsia="仿宋" w:cs="仿宋"/>
          <w:color w:val="auto"/>
          <w:sz w:val="24"/>
          <w:szCs w:val="24"/>
          <w:highlight w:val="none"/>
        </w:rPr>
        <w:t>（必须从基本账户转出）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电子保函</w:t>
      </w:r>
      <w:r>
        <w:rPr>
          <w:rFonts w:hint="eastAsia" w:ascii="仿宋" w:hAnsi="仿宋" w:eastAsia="仿宋" w:cs="仿宋"/>
          <w:color w:val="auto"/>
          <w:sz w:val="24"/>
          <w:szCs w:val="24"/>
          <w:highlight w:val="none"/>
        </w:rPr>
        <w:t>。</w:t>
      </w:r>
    </w:p>
    <w:p w14:paraId="14F91760">
      <w:pPr>
        <w:numPr>
          <w:ilvl w:val="0"/>
          <w:numId w:val="0"/>
        </w:numPr>
        <w:spacing w:line="300" w:lineRule="auto"/>
        <w:ind w:right="62"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未中标人的投标保证金在公示期截止后退还。</w:t>
      </w:r>
    </w:p>
    <w:p w14:paraId="5000472F">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中标人的投标保证金</w:t>
      </w:r>
      <w:r>
        <w:rPr>
          <w:rFonts w:hint="eastAsia" w:ascii="仿宋" w:hAnsi="仿宋" w:eastAsia="仿宋" w:cs="仿宋"/>
          <w:color w:val="auto"/>
          <w:sz w:val="24"/>
          <w:szCs w:val="24"/>
          <w:highlight w:val="none"/>
          <w:lang w:eastAsia="zh-CN"/>
        </w:rPr>
        <w:t>在</w:t>
      </w:r>
      <w:r>
        <w:rPr>
          <w:rFonts w:hint="eastAsia" w:ascii="仿宋" w:hAnsi="仿宋" w:eastAsia="仿宋" w:cs="仿宋"/>
          <w:color w:val="auto"/>
          <w:sz w:val="24"/>
          <w:szCs w:val="24"/>
          <w:highlight w:val="none"/>
        </w:rPr>
        <w:t>签订正式采购合同</w:t>
      </w:r>
      <w:r>
        <w:rPr>
          <w:rFonts w:hint="eastAsia" w:ascii="仿宋" w:hAnsi="仿宋" w:eastAsia="仿宋" w:cs="仿宋"/>
          <w:color w:val="auto"/>
          <w:sz w:val="24"/>
          <w:szCs w:val="24"/>
          <w:highlight w:val="none"/>
          <w:lang w:eastAsia="zh-CN"/>
        </w:rPr>
        <w:t>后，</w:t>
      </w:r>
      <w:r>
        <w:rPr>
          <w:rFonts w:hint="eastAsia" w:ascii="仿宋" w:hAnsi="仿宋" w:eastAsia="仿宋" w:cs="仿宋"/>
          <w:color w:val="auto"/>
          <w:sz w:val="24"/>
          <w:szCs w:val="24"/>
          <w:highlight w:val="none"/>
          <w:lang w:val="en-US" w:eastAsia="zh-CN"/>
        </w:rPr>
        <w:t>需提供一份合同原件及相关材料办理退还投标保证金事宜</w:t>
      </w:r>
      <w:r>
        <w:rPr>
          <w:rFonts w:hint="eastAsia" w:ascii="仿宋" w:hAnsi="仿宋" w:eastAsia="仿宋" w:cs="仿宋"/>
          <w:color w:val="auto"/>
          <w:sz w:val="24"/>
          <w:szCs w:val="24"/>
          <w:highlight w:val="none"/>
        </w:rPr>
        <w:t>。</w:t>
      </w:r>
    </w:p>
    <w:p w14:paraId="4EC63013">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保证金不计息。</w:t>
      </w:r>
    </w:p>
    <w:p w14:paraId="35B205EC">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投标人有下列情形之一的，投标保证金将不予退还：</w:t>
      </w:r>
    </w:p>
    <w:p w14:paraId="0D1E4CD0">
      <w:pPr>
        <w:spacing w:line="300" w:lineRule="auto"/>
        <w:ind w:left="210" w:leftChars="100" w:firstLine="120" w:firstLineChars="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（1）投标人在投标有效期内撤回投标文件的；</w:t>
      </w:r>
    </w:p>
    <w:p w14:paraId="1BCECDCC">
      <w:pPr>
        <w:spacing w:line="300" w:lineRule="auto"/>
        <w:ind w:left="210" w:leftChars="100" w:firstLine="120" w:firstLineChars="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（2）投标人在投标过程中弄虚作假，提供虚假材料的；</w:t>
      </w:r>
    </w:p>
    <w:p w14:paraId="6BF223E7">
      <w:pPr>
        <w:spacing w:line="300" w:lineRule="auto"/>
        <w:ind w:left="210" w:leftChars="100" w:firstLine="120" w:firstLineChars="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（3）中标人无正当理由不与招标人签订合同的；</w:t>
      </w:r>
    </w:p>
    <w:p w14:paraId="1C4B57CC">
      <w:pPr>
        <w:spacing w:line="300" w:lineRule="auto"/>
        <w:ind w:left="210" w:leftChars="100" w:firstLine="120" w:firstLineChars="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（4）其他严重扰乱招投标程序的。</w:t>
      </w:r>
    </w:p>
    <w:p w14:paraId="2A6FC9D7">
      <w:pPr>
        <w:spacing w:line="300" w:lineRule="auto"/>
        <w:rPr>
          <w:rFonts w:hint="eastAsia" w:ascii="仿宋" w:hAnsi="仿宋" w:eastAsia="仿宋" w:cs="仿宋"/>
          <w:b/>
          <w:bCs/>
          <w:color w:val="auto"/>
          <w:sz w:val="24"/>
          <w:szCs w:val="24"/>
          <w:highlight w:val="none"/>
        </w:rPr>
      </w:pPr>
      <w:bookmarkStart w:id="98" w:name="_Toc503212216"/>
      <w:bookmarkStart w:id="99" w:name="_Toc4584"/>
      <w:bookmarkStart w:id="100" w:name="_Toc521014784"/>
      <w:bookmarkStart w:id="101" w:name="_Toc25982"/>
      <w:r>
        <w:rPr>
          <w:rFonts w:hint="eastAsia" w:ascii="仿宋" w:hAnsi="仿宋" w:eastAsia="仿宋" w:cs="仿宋"/>
          <w:b/>
          <w:bCs/>
          <w:color w:val="auto"/>
          <w:sz w:val="24"/>
          <w:szCs w:val="24"/>
          <w:highlight w:val="none"/>
        </w:rPr>
        <w:t>投标文件的签署和</w:t>
      </w:r>
      <w:bookmarkEnd w:id="98"/>
      <w:bookmarkEnd w:id="99"/>
      <w:bookmarkEnd w:id="100"/>
      <w:bookmarkEnd w:id="101"/>
      <w:r>
        <w:rPr>
          <w:rFonts w:hint="eastAsia" w:ascii="仿宋" w:hAnsi="仿宋" w:eastAsia="仿宋" w:cs="仿宋"/>
          <w:b/>
          <w:bCs/>
          <w:color w:val="auto"/>
          <w:sz w:val="24"/>
          <w:szCs w:val="24"/>
          <w:highlight w:val="none"/>
          <w:lang w:eastAsia="zh-CN"/>
        </w:rPr>
        <w:t>递交</w:t>
      </w:r>
    </w:p>
    <w:p w14:paraId="4F7AEF58">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投标人应按本招标文件规定的格式和顺序编制、装订投标文件并标注页码，投标文件内容不完整、编排混乱</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上传不完整</w:t>
      </w:r>
      <w:r>
        <w:rPr>
          <w:rFonts w:hint="eastAsia" w:ascii="仿宋" w:hAnsi="仿宋" w:eastAsia="仿宋" w:cs="仿宋"/>
          <w:color w:val="auto"/>
          <w:sz w:val="24"/>
          <w:szCs w:val="24"/>
          <w:highlight w:val="none"/>
        </w:rPr>
        <w:t>导致投标文件被误读、漏读或者查找不到相关内容的，是投标人的责任。</w:t>
      </w:r>
    </w:p>
    <w:p w14:paraId="5C49C158">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投标人应于</w:t>
      </w:r>
      <w:r>
        <w:rPr>
          <w:rFonts w:hint="eastAsia" w:ascii="仿宋" w:hAnsi="仿宋" w:eastAsia="仿宋" w:cs="仿宋"/>
          <w:color w:val="auto"/>
          <w:sz w:val="24"/>
          <w:szCs w:val="24"/>
          <w:highlight w:val="none"/>
          <w:lang w:eastAsia="zh-CN"/>
        </w:rPr>
        <w:t>2026年1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lang w:val="en-US" w:eastAsia="zh-CN"/>
        </w:rPr>
        <w:t>03</w:t>
      </w:r>
      <w:r>
        <w:rPr>
          <w:rFonts w:hint="eastAsia" w:ascii="仿宋" w:hAnsi="仿宋" w:eastAsia="仿宋" w:cs="仿宋"/>
          <w:color w:val="auto"/>
          <w:sz w:val="24"/>
          <w:szCs w:val="24"/>
          <w:highlight w:val="none"/>
          <w:lang w:eastAsia="zh-CN"/>
        </w:rPr>
        <w:t>日11:00（</w:t>
      </w:r>
      <w:r>
        <w:rPr>
          <w:rFonts w:hint="eastAsia" w:ascii="仿宋" w:hAnsi="仿宋" w:eastAsia="仿宋" w:cs="仿宋"/>
          <w:color w:val="auto"/>
          <w:sz w:val="24"/>
          <w:szCs w:val="24"/>
          <w:highlight w:val="none"/>
          <w:lang w:val="en-US" w:eastAsia="zh-CN"/>
        </w:rPr>
        <w:t>北京时间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前将电子投标文件上传到“</w:t>
      </w:r>
      <w:r>
        <w:rPr>
          <w:rFonts w:hint="eastAsia" w:ascii="仿宋" w:hAnsi="仿宋" w:eastAsia="仿宋" w:cs="仿宋"/>
          <w:color w:val="auto"/>
          <w:sz w:val="24"/>
          <w:szCs w:val="24"/>
          <w:highlight w:val="none"/>
          <w:lang w:eastAsia="zh-CN"/>
        </w:rPr>
        <w:t>新疆政府采购</w:t>
      </w:r>
      <w:r>
        <w:rPr>
          <w:rFonts w:hint="eastAsia" w:ascii="仿宋" w:hAnsi="仿宋" w:eastAsia="仿宋" w:cs="仿宋"/>
          <w:color w:val="auto"/>
          <w:sz w:val="24"/>
          <w:szCs w:val="24"/>
          <w:highlight w:val="none"/>
        </w:rPr>
        <w:t>”平台。应按照本项目招标文件和</w:t>
      </w:r>
      <w:r>
        <w:rPr>
          <w:rFonts w:hint="eastAsia" w:ascii="仿宋" w:hAnsi="仿宋" w:eastAsia="仿宋" w:cs="仿宋"/>
          <w:color w:val="auto"/>
          <w:sz w:val="24"/>
          <w:szCs w:val="24"/>
          <w:highlight w:val="none"/>
          <w:lang w:eastAsia="zh-CN"/>
        </w:rPr>
        <w:t>新疆政府采购</w:t>
      </w:r>
      <w:r>
        <w:rPr>
          <w:rFonts w:hint="eastAsia" w:ascii="仿宋" w:hAnsi="仿宋" w:eastAsia="仿宋" w:cs="仿宋"/>
          <w:color w:val="auto"/>
          <w:sz w:val="24"/>
          <w:szCs w:val="24"/>
          <w:highlight w:val="none"/>
        </w:rPr>
        <w:t>平台的要求编制、加密传输投标文件。供应商在使用系统进行投标的过程中遇到涉及平台使用的任何问题，可致电</w:t>
      </w:r>
      <w:r>
        <w:rPr>
          <w:rFonts w:hint="eastAsia" w:ascii="仿宋" w:hAnsi="仿宋" w:eastAsia="仿宋" w:cs="仿宋"/>
          <w:color w:val="auto"/>
          <w:sz w:val="24"/>
          <w:szCs w:val="24"/>
          <w:highlight w:val="none"/>
          <w:lang w:eastAsia="zh-CN"/>
        </w:rPr>
        <w:t>新疆政府采购</w:t>
      </w:r>
      <w:r>
        <w:rPr>
          <w:rFonts w:hint="eastAsia" w:ascii="仿宋" w:hAnsi="仿宋" w:eastAsia="仿宋" w:cs="仿宋"/>
          <w:color w:val="auto"/>
          <w:sz w:val="24"/>
          <w:szCs w:val="24"/>
          <w:highlight w:val="none"/>
        </w:rPr>
        <w:t>平台技术支持热线咨询，联系方式：</w:t>
      </w:r>
      <w:r>
        <w:rPr>
          <w:rFonts w:hint="eastAsia" w:ascii="仿宋" w:hAnsi="仿宋" w:eastAsia="仿宋" w:cs="仿宋"/>
          <w:color w:val="auto"/>
          <w:sz w:val="24"/>
          <w:szCs w:val="24"/>
          <w:highlight w:val="none"/>
          <w:lang w:val="en-US" w:eastAsia="zh-CN"/>
        </w:rPr>
        <w:t>95763</w:t>
      </w:r>
      <w:r>
        <w:rPr>
          <w:rFonts w:hint="eastAsia" w:ascii="仿宋" w:hAnsi="仿宋" w:eastAsia="仿宋" w:cs="仿宋"/>
          <w:color w:val="auto"/>
          <w:sz w:val="24"/>
          <w:szCs w:val="24"/>
          <w:highlight w:val="none"/>
        </w:rPr>
        <w:t>。</w:t>
      </w:r>
    </w:p>
    <w:p w14:paraId="070F0EC2">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投标文件须由投标人在规定位置盖章并由法定代表人或法定代表人的授权委托人签署，投标人应写全称。</w:t>
      </w:r>
    </w:p>
    <w:p w14:paraId="020C4D28">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投标文件</w:t>
      </w:r>
      <w:r>
        <w:rPr>
          <w:rFonts w:hint="eastAsia" w:ascii="仿宋" w:hAnsi="仿宋" w:eastAsia="仿宋" w:cs="仿宋"/>
          <w:color w:val="auto"/>
          <w:sz w:val="24"/>
          <w:szCs w:val="24"/>
          <w:highlight w:val="none"/>
          <w:lang w:val="en-US" w:eastAsia="zh-CN"/>
        </w:rPr>
        <w:t>应严格响应招标文件要求，表述</w:t>
      </w:r>
      <w:r>
        <w:rPr>
          <w:rFonts w:hint="eastAsia" w:ascii="仿宋" w:hAnsi="仿宋" w:eastAsia="仿宋" w:cs="仿宋"/>
          <w:color w:val="auto"/>
          <w:sz w:val="24"/>
          <w:szCs w:val="24"/>
          <w:highlight w:val="none"/>
        </w:rPr>
        <w:t>不清所引起的后果由投标人负责。</w:t>
      </w:r>
      <w:bookmarkStart w:id="102" w:name="_Toc28926"/>
      <w:bookmarkStart w:id="103" w:name="_Toc9280"/>
    </w:p>
    <w:p w14:paraId="745528D9">
      <w:pPr>
        <w:spacing w:line="300" w:lineRule="auto"/>
        <w:ind w:left="0" w:leftChars="0" w:firstLine="482" w:firstLineChars="200"/>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本项目实行网上投标，采用电子投标文件。若供应商参与投标，自行承担投标一切费用。</w:t>
      </w:r>
    </w:p>
    <w:p w14:paraId="44DBFB36">
      <w:pPr>
        <w:spacing w:line="300" w:lineRule="auto"/>
        <w:ind w:left="0" w:leftChars="0" w:firstLine="482" w:firstLineChars="200"/>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rPr>
        <w:t>各供应商应在开标</w:t>
      </w:r>
      <w:r>
        <w:rPr>
          <w:rFonts w:hint="eastAsia" w:ascii="仿宋" w:hAnsi="仿宋" w:eastAsia="仿宋" w:cs="仿宋"/>
          <w:b/>
          <w:bCs/>
          <w:color w:val="auto"/>
          <w:sz w:val="24"/>
          <w:szCs w:val="24"/>
          <w:highlight w:val="none"/>
          <w:lang w:eastAsia="zh-CN"/>
        </w:rPr>
        <w:t>前</w:t>
      </w:r>
      <w:r>
        <w:rPr>
          <w:rFonts w:hint="eastAsia" w:ascii="仿宋" w:hAnsi="仿宋" w:eastAsia="仿宋" w:cs="仿宋"/>
          <w:b/>
          <w:bCs/>
          <w:color w:val="auto"/>
          <w:sz w:val="24"/>
          <w:szCs w:val="24"/>
          <w:highlight w:val="none"/>
        </w:rPr>
        <w:t>确保成为正式注册入库供应商，并完成CA数字证书申领。因未注册入库、未办理CA数字证书等原因造成无法投标或投标失败等后果由供应商自行承担。</w:t>
      </w:r>
    </w:p>
    <w:p w14:paraId="126E1B33">
      <w:pPr>
        <w:spacing w:line="300" w:lineRule="auto"/>
        <w:ind w:left="0" w:lef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432D2263">
      <w:pPr>
        <w:spacing w:line="300" w:lineRule="auto"/>
        <w:ind w:left="0" w:lef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供应商</w:t>
      </w:r>
      <w:r>
        <w:rPr>
          <w:rFonts w:hint="eastAsia" w:ascii="仿宋" w:hAnsi="仿宋" w:eastAsia="仿宋" w:cs="仿宋"/>
          <w:b/>
          <w:bCs/>
          <w:color w:val="auto"/>
          <w:sz w:val="24"/>
          <w:szCs w:val="24"/>
          <w:highlight w:val="none"/>
          <w:lang w:eastAsia="zh-CN"/>
        </w:rPr>
        <w:t>下载、安装</w:t>
      </w:r>
      <w:r>
        <w:rPr>
          <w:rFonts w:hint="eastAsia" w:ascii="仿宋" w:hAnsi="仿宋" w:eastAsia="仿宋" w:cs="仿宋"/>
          <w:b/>
          <w:bCs/>
          <w:color w:val="auto"/>
          <w:sz w:val="24"/>
          <w:szCs w:val="24"/>
          <w:highlight w:val="none"/>
        </w:rPr>
        <w:t>政采云电子交易</w:t>
      </w:r>
      <w:r>
        <w:rPr>
          <w:rFonts w:hint="eastAsia" w:ascii="仿宋" w:hAnsi="仿宋" w:eastAsia="仿宋" w:cs="仿宋"/>
          <w:b/>
          <w:bCs/>
          <w:color w:val="auto"/>
          <w:sz w:val="24"/>
          <w:szCs w:val="24"/>
          <w:highlight w:val="none"/>
          <w:lang w:eastAsia="zh-CN"/>
        </w:rPr>
        <w:t>客户端</w:t>
      </w:r>
      <w:r>
        <w:rPr>
          <w:rFonts w:hint="eastAsia" w:ascii="仿宋" w:hAnsi="仿宋" w:eastAsia="仿宋" w:cs="仿宋"/>
          <w:b/>
          <w:bCs/>
          <w:color w:val="auto"/>
          <w:sz w:val="24"/>
          <w:szCs w:val="24"/>
          <w:highlight w:val="none"/>
        </w:rPr>
        <w:t>完成后，可通过账号密码或CA登录客户端进行投标文件制作。在使用政采云投标客户端时，建议使用WIN7及以上操作系统。客户端请至新疆政府采购网（</w:t>
      </w:r>
      <w:r>
        <w:rPr>
          <w:rFonts w:hint="eastAsia" w:ascii="仿宋" w:hAnsi="仿宋" w:eastAsia="仿宋" w:cs="仿宋"/>
          <w:b/>
          <w:bCs/>
          <w:color w:val="auto"/>
          <w:sz w:val="24"/>
          <w:szCs w:val="24"/>
          <w:highlight w:val="none"/>
          <w:lang w:eastAsia="zh-CN"/>
        </w:rPr>
        <w:t>http://www.ccgp-xinjiang.gov.cn/</w:t>
      </w:r>
      <w:r>
        <w:rPr>
          <w:rFonts w:hint="eastAsia" w:ascii="仿宋" w:hAnsi="仿宋" w:eastAsia="仿宋" w:cs="仿宋"/>
          <w:b/>
          <w:bCs/>
          <w:color w:val="auto"/>
          <w:sz w:val="24"/>
          <w:szCs w:val="24"/>
          <w:highlight w:val="none"/>
        </w:rPr>
        <w:t>/）下载专区查看，如有问题可拨打政采云客户服务热线400-881-7190进行咨询。</w:t>
      </w:r>
    </w:p>
    <w:p w14:paraId="216466CC">
      <w:pPr>
        <w:spacing w:line="300" w:lineRule="auto"/>
        <w:ind w:left="0" w:lef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lang w:eastAsia="zh-CN"/>
        </w:rPr>
        <w:t>开标时间后</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lang w:eastAsia="zh-CN"/>
        </w:rPr>
        <w:t>分钟内，供应商</w:t>
      </w:r>
      <w:r>
        <w:rPr>
          <w:rFonts w:hint="eastAsia" w:ascii="仿宋" w:hAnsi="仿宋" w:eastAsia="仿宋" w:cs="仿宋"/>
          <w:b/>
          <w:bCs/>
          <w:color w:val="auto"/>
          <w:sz w:val="24"/>
          <w:szCs w:val="24"/>
          <w:highlight w:val="none"/>
        </w:rPr>
        <w:t>可以登录“政采云”平台，</w:t>
      </w:r>
      <w:r>
        <w:rPr>
          <w:rFonts w:hint="eastAsia" w:ascii="仿宋" w:hAnsi="仿宋" w:eastAsia="仿宋" w:cs="仿宋"/>
          <w:b/>
          <w:bCs/>
          <w:color w:val="auto"/>
          <w:sz w:val="24"/>
          <w:szCs w:val="24"/>
          <w:highlight w:val="none"/>
          <w:lang w:eastAsia="zh-CN"/>
        </w:rPr>
        <w:t>使用</w:t>
      </w:r>
      <w:r>
        <w:rPr>
          <w:rFonts w:hint="eastAsia" w:ascii="仿宋" w:hAnsi="仿宋" w:eastAsia="仿宋" w:cs="仿宋"/>
          <w:b/>
          <w:bCs/>
          <w:color w:val="auto"/>
          <w:sz w:val="24"/>
          <w:szCs w:val="24"/>
          <w:highlight w:val="none"/>
        </w:rPr>
        <w:t>“项目采购</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开标评标”功能进行解密投标文件。若供应商在规定时间内未按时解密的，视为投标文件撤回。</w:t>
      </w:r>
    </w:p>
    <w:p w14:paraId="11294BB4">
      <w:pPr>
        <w:spacing w:line="300" w:lineRule="auto"/>
        <w:ind w:left="0" w:lef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因系统（非投标供应商行为）的原因，造成投标供应商未能在规定的解密时限内解密的，请及时与招标代理机构</w:t>
      </w:r>
      <w:r>
        <w:rPr>
          <w:rFonts w:hint="eastAsia" w:ascii="仿宋" w:hAnsi="仿宋" w:eastAsia="仿宋" w:cs="仿宋"/>
          <w:b/>
          <w:bCs/>
          <w:color w:val="auto"/>
          <w:sz w:val="24"/>
          <w:szCs w:val="24"/>
          <w:highlight w:val="none"/>
          <w:lang w:eastAsia="zh-CN"/>
        </w:rPr>
        <w:t>或</w:t>
      </w:r>
      <w:r>
        <w:rPr>
          <w:rFonts w:hint="eastAsia" w:ascii="仿宋" w:hAnsi="仿宋" w:eastAsia="仿宋" w:cs="仿宋"/>
          <w:b/>
          <w:bCs/>
          <w:color w:val="auto"/>
          <w:sz w:val="24"/>
          <w:szCs w:val="24"/>
          <w:highlight w:val="none"/>
        </w:rPr>
        <w:t>新疆政府采购网投标客户端进行联系。</w:t>
      </w:r>
    </w:p>
    <w:p w14:paraId="5C85728D">
      <w:pPr>
        <w:spacing w:line="300" w:lineRule="auto"/>
        <w:ind w:left="0" w:lef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11.</w:t>
      </w:r>
      <w:r>
        <w:rPr>
          <w:rFonts w:hint="eastAsia" w:ascii="仿宋" w:hAnsi="仿宋" w:eastAsia="仿宋" w:cs="仿宋"/>
          <w:b/>
          <w:bCs/>
          <w:color w:val="auto"/>
          <w:sz w:val="24"/>
          <w:szCs w:val="24"/>
          <w:highlight w:val="none"/>
        </w:rPr>
        <w:t>投标文件未按规定上传的，视为其自动放弃投标。</w:t>
      </w:r>
    </w:p>
    <w:bookmarkEnd w:id="102"/>
    <w:bookmarkEnd w:id="103"/>
    <w:p w14:paraId="6563A1DD">
      <w:pPr>
        <w:spacing w:line="300" w:lineRule="auto"/>
        <w:rPr>
          <w:rFonts w:hint="eastAsia" w:ascii="仿宋" w:hAnsi="仿宋" w:eastAsia="仿宋" w:cs="仿宋"/>
          <w:b/>
          <w:bCs/>
          <w:color w:val="auto"/>
          <w:sz w:val="24"/>
          <w:szCs w:val="24"/>
          <w:highlight w:val="none"/>
        </w:rPr>
      </w:pPr>
      <w:bookmarkStart w:id="104" w:name="_Toc521014786"/>
      <w:bookmarkStart w:id="105" w:name="_Toc6355"/>
      <w:bookmarkStart w:id="106" w:name="_Toc503212218"/>
      <w:bookmarkStart w:id="107" w:name="_Toc4197"/>
      <w:r>
        <w:rPr>
          <w:rFonts w:hint="eastAsia" w:ascii="仿宋" w:hAnsi="仿宋" w:eastAsia="仿宋" w:cs="仿宋"/>
          <w:b/>
          <w:bCs/>
          <w:color w:val="auto"/>
          <w:sz w:val="24"/>
          <w:szCs w:val="24"/>
          <w:highlight w:val="none"/>
        </w:rPr>
        <w:t>投标文件的修改、撤回与撤销</w:t>
      </w:r>
    </w:p>
    <w:p w14:paraId="1C5E6F5A">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在提交投标文件截止时间前，投标人可以修改或撤回未解密的电子投标文件，并于提交投标文件截止时间前将修改后重新生成的电子投标文件上传至系统，到达投标文件提交截止时间后，将不允许修改或撤回。</w:t>
      </w:r>
    </w:p>
    <w:p w14:paraId="254BA883">
      <w:pPr>
        <w:spacing w:line="30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投标人在投标截止期后不得修改、撤回投标文件。投标人在投标截止期后修改投标文件的，其投标无效。</w:t>
      </w:r>
    </w:p>
    <w:p w14:paraId="49714E69">
      <w:pPr>
        <w:spacing w:line="300" w:lineRule="auto"/>
        <w:ind w:left="0" w:lef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3.</w:t>
      </w:r>
      <w:r>
        <w:rPr>
          <w:rFonts w:hint="eastAsia" w:ascii="仿宋" w:hAnsi="仿宋" w:eastAsia="仿宋" w:cs="仿宋"/>
          <w:b/>
          <w:bCs/>
          <w:color w:val="auto"/>
          <w:sz w:val="24"/>
          <w:szCs w:val="24"/>
          <w:highlight w:val="none"/>
        </w:rPr>
        <w:t>若供应商在规定的时间内（“投标人须知前附表”</w:t>
      </w:r>
      <w:r>
        <w:rPr>
          <w:rFonts w:hint="eastAsia" w:ascii="仿宋" w:hAnsi="仿宋" w:eastAsia="仿宋" w:cs="仿宋"/>
          <w:b/>
          <w:bCs/>
          <w:color w:val="auto"/>
          <w:sz w:val="24"/>
          <w:szCs w:val="24"/>
          <w:highlight w:val="none"/>
          <w:lang w:eastAsia="zh-CN"/>
        </w:rPr>
        <w:t>的规定</w:t>
      </w:r>
      <w:r>
        <w:rPr>
          <w:rFonts w:hint="eastAsia" w:ascii="仿宋" w:hAnsi="仿宋" w:eastAsia="仿宋" w:cs="仿宋"/>
          <w:b/>
          <w:bCs/>
          <w:color w:val="auto"/>
          <w:sz w:val="24"/>
          <w:szCs w:val="24"/>
          <w:highlight w:val="none"/>
        </w:rPr>
        <w:t>）未能解密的，也将被视为供应商对其投标文件的撤回。</w:t>
      </w:r>
    </w:p>
    <w:p w14:paraId="658FDDDA">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投标文件的解密</w:t>
      </w:r>
    </w:p>
    <w:p w14:paraId="1A9B6CE3">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14:paraId="44426CF0">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投标有效期</w:t>
      </w:r>
    </w:p>
    <w:p w14:paraId="26FA90CC">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投标有效期内投标人撤销投标文件的，采购人或者采购代理机构可以不退还投标保证金（如有）。采用投标保函方式替代保证金的，采购人或者采购代理机构可以向担保机构索赔保证金。</w:t>
      </w:r>
    </w:p>
    <w:p w14:paraId="2C6B247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6B3E8978">
      <w:pPr>
        <w:spacing w:line="30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样品（演示）</w:t>
      </w:r>
      <w:r>
        <w:rPr>
          <w:rFonts w:hint="eastAsia" w:ascii="仿宋" w:hAnsi="仿宋" w:eastAsia="仿宋" w:cs="仿宋"/>
          <w:b/>
          <w:bCs/>
          <w:color w:val="auto"/>
          <w:sz w:val="24"/>
          <w:szCs w:val="24"/>
          <w:highlight w:val="none"/>
          <w:lang w:val="en-US" w:eastAsia="zh-CN"/>
        </w:rPr>
        <w:t>如有</w:t>
      </w:r>
    </w:p>
    <w:p w14:paraId="54CC755D">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招标文件规定投标人提交样品的，样品属于投标文件的组成部分。样品的生产、运输、安装、保全等一切费用由投标人自理。</w:t>
      </w:r>
    </w:p>
    <w:p w14:paraId="17F02B3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投标截止时间前，投标人应将样品</w:t>
      </w:r>
      <w:r>
        <w:rPr>
          <w:rFonts w:hint="eastAsia" w:ascii="仿宋" w:hAnsi="仿宋" w:eastAsia="仿宋" w:cs="仿宋"/>
          <w:color w:val="auto"/>
          <w:sz w:val="24"/>
          <w:szCs w:val="24"/>
          <w:highlight w:val="none"/>
          <w:lang w:eastAsia="zh-CN"/>
        </w:rPr>
        <w:t>送达</w:t>
      </w:r>
      <w:r>
        <w:rPr>
          <w:rFonts w:hint="eastAsia" w:ascii="仿宋" w:hAnsi="仿宋" w:eastAsia="仿宋" w:cs="仿宋"/>
          <w:color w:val="auto"/>
          <w:sz w:val="24"/>
          <w:szCs w:val="24"/>
          <w:highlight w:val="none"/>
        </w:rPr>
        <w:t>指定地点。若需要现场演示的，投标人应提前做好演示准备（包括演示设备）。</w:t>
      </w:r>
    </w:p>
    <w:p w14:paraId="1A7F87B3">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78811B26">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投标无效的情形</w:t>
      </w:r>
      <w:bookmarkEnd w:id="104"/>
      <w:bookmarkEnd w:id="105"/>
      <w:bookmarkEnd w:id="106"/>
      <w:bookmarkEnd w:id="107"/>
    </w:p>
    <w:p w14:paraId="49A0FACA">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实质上没有响应招标文件要求的投标将被视为无效投标。投标人不得通过修正或</w:t>
      </w:r>
      <w:r>
        <w:rPr>
          <w:rFonts w:hint="eastAsia" w:ascii="仿宋" w:hAnsi="仿宋" w:eastAsia="仿宋" w:cs="仿宋"/>
          <w:color w:val="auto"/>
          <w:sz w:val="24"/>
          <w:szCs w:val="24"/>
          <w:highlight w:val="none"/>
          <w:lang w:eastAsia="zh-CN"/>
        </w:rPr>
        <w:t>撤销不符</w:t>
      </w:r>
      <w:r>
        <w:rPr>
          <w:rFonts w:hint="eastAsia" w:ascii="仿宋" w:hAnsi="仿宋" w:eastAsia="仿宋" w:cs="仿宋"/>
          <w:color w:val="auto"/>
          <w:sz w:val="24"/>
          <w:szCs w:val="24"/>
          <w:highlight w:val="none"/>
        </w:rPr>
        <w:t>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bookmarkStart w:id="108" w:name="_Toc13224"/>
      <w:bookmarkStart w:id="109" w:name="_Toc4280"/>
    </w:p>
    <w:p w14:paraId="6DEE2876">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投标文件未按照招标文件要求签署、盖章；</w:t>
      </w:r>
    </w:p>
    <w:p w14:paraId="6580E52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不符合招标文件中规定的资格要求；</w:t>
      </w:r>
    </w:p>
    <w:p w14:paraId="26D1F9B5">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投标报价超过招标文件中规定的预算金额或最高限价；</w:t>
      </w:r>
    </w:p>
    <w:p w14:paraId="4DA86A77">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投标文件含有采购人不能接受的附加条件；</w:t>
      </w:r>
    </w:p>
    <w:p w14:paraId="1A7C765C">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有关</w:t>
      </w:r>
      <w:r>
        <w:rPr>
          <w:rFonts w:hint="eastAsia" w:ascii="仿宋" w:hAnsi="仿宋" w:eastAsia="仿宋" w:cs="仿宋"/>
          <w:color w:val="auto"/>
          <w:sz w:val="24"/>
          <w:szCs w:val="24"/>
          <w:highlight w:val="none"/>
          <w:lang w:eastAsia="zh-CN"/>
        </w:rPr>
        <w:t>法律法规</w:t>
      </w:r>
      <w:r>
        <w:rPr>
          <w:rFonts w:hint="eastAsia" w:ascii="仿宋" w:hAnsi="仿宋" w:eastAsia="仿宋" w:cs="仿宋"/>
          <w:color w:val="auto"/>
          <w:sz w:val="24"/>
          <w:szCs w:val="24"/>
          <w:highlight w:val="none"/>
        </w:rPr>
        <w:t>和规章及招标文件规定的其他无效情形。</w:t>
      </w:r>
    </w:p>
    <w:p w14:paraId="1AB0282C">
      <w:pPr>
        <w:pStyle w:val="3"/>
        <w:numPr>
          <w:ilvl w:val="0"/>
          <w:numId w:val="0"/>
        </w:numPr>
        <w:ind w:leftChars="-50" w:right="62" w:rightChars="0"/>
        <w:jc w:val="center"/>
        <w:rPr>
          <w:rFonts w:hint="eastAsia" w:ascii="仿宋" w:hAnsi="仿宋" w:eastAsia="仿宋" w:cs="仿宋"/>
          <w:b/>
          <w:bCs/>
          <w:color w:val="auto"/>
          <w:kern w:val="2"/>
          <w:sz w:val="28"/>
          <w:szCs w:val="28"/>
          <w:highlight w:val="none"/>
          <w:lang w:val="en-US" w:eastAsia="zh-CN" w:bidi="ar-SA"/>
        </w:rPr>
      </w:pPr>
      <w:bookmarkStart w:id="110" w:name="_Toc503212219"/>
      <w:bookmarkStart w:id="111" w:name="_Toc3022"/>
      <w:bookmarkStart w:id="112" w:name="_Toc11270"/>
      <w:bookmarkStart w:id="113" w:name="_Toc31877"/>
      <w:bookmarkStart w:id="114" w:name="_Toc521014787"/>
      <w:r>
        <w:rPr>
          <w:rFonts w:hint="eastAsia" w:ascii="仿宋" w:hAnsi="仿宋" w:eastAsia="仿宋" w:cs="仿宋"/>
          <w:b/>
          <w:bCs/>
          <w:color w:val="auto"/>
          <w:kern w:val="2"/>
          <w:sz w:val="28"/>
          <w:szCs w:val="28"/>
          <w:highlight w:val="none"/>
          <w:lang w:val="en-US" w:eastAsia="zh-CN" w:bidi="ar-SA"/>
        </w:rPr>
        <w:t>（四）开标</w:t>
      </w:r>
      <w:bookmarkEnd w:id="108"/>
      <w:bookmarkEnd w:id="109"/>
      <w:bookmarkEnd w:id="110"/>
      <w:bookmarkEnd w:id="111"/>
      <w:bookmarkEnd w:id="112"/>
      <w:bookmarkEnd w:id="113"/>
      <w:bookmarkEnd w:id="114"/>
    </w:p>
    <w:p w14:paraId="255AE664">
      <w:pPr>
        <w:pStyle w:val="45"/>
        <w:snapToGrid w:val="0"/>
        <w:spacing w:line="360" w:lineRule="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（一）开标准备</w:t>
      </w:r>
    </w:p>
    <w:p w14:paraId="41603AD0">
      <w:pPr>
        <w:pStyle w:val="45"/>
        <w:snapToGrid w:val="0"/>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招标代理机构将在规定的时间和地点进行开标，投标供应商无需到场，但应按照招标文件要求按时参与网上投标文件解密。（本项目实行网上投标，采用电子投标文件。若供应商参与投标，自行承担投标一切费用；各供应商应在开标前确保成为新疆政府采购网正式注册入库供应商，并完成CA数字证书申领。因未注册入库、未办理CA数字证书等原因造成无法投标或投标失败等后果由供应商自行承担；供应商下载、安装新疆政府采购电子交易客户端完成后，可通过账号密码或CA登录客户端进行投标文件制作。在使用新疆政府采购投标客户端时，建议使用WIN7及以上操作系统。客户端请至新疆政府采购网（</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HYPERLINK "http://www.ccgp-xinjiang.gov.cn/"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kern w:val="2"/>
          <w:sz w:val="24"/>
          <w:szCs w:val="24"/>
          <w:highlight w:val="none"/>
          <w:lang w:val="en-US" w:eastAsia="zh-CN" w:bidi="ar-SA"/>
        </w:rPr>
        <w:t>http://www.ccgp-xinjiang.gov.cn/</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）下载专区查看，如有问题可拨打新疆政府采购客户服务热线95763进行咨询。）</w:t>
      </w:r>
    </w:p>
    <w:p w14:paraId="6B186549">
      <w:pPr>
        <w:pStyle w:val="45"/>
        <w:snapToGrid w:val="0"/>
        <w:spacing w:line="360" w:lineRule="auto"/>
        <w:outlineLvl w:val="1"/>
        <w:rPr>
          <w:rFonts w:hint="eastAsia" w:ascii="仿宋" w:hAnsi="仿宋" w:eastAsia="仿宋" w:cs="仿宋"/>
          <w:b/>
          <w:bCs/>
          <w:color w:val="auto"/>
          <w:kern w:val="2"/>
          <w:sz w:val="24"/>
          <w:szCs w:val="24"/>
          <w:highlight w:val="none"/>
          <w:lang w:val="en-US" w:eastAsia="zh-CN" w:bidi="ar-SA"/>
        </w:rPr>
      </w:pPr>
      <w:bookmarkStart w:id="115" w:name="_Toc1875"/>
      <w:bookmarkStart w:id="116" w:name="_Toc24853"/>
      <w:r>
        <w:rPr>
          <w:rFonts w:hint="eastAsia" w:ascii="仿宋" w:hAnsi="仿宋" w:eastAsia="仿宋" w:cs="仿宋"/>
          <w:b/>
          <w:bCs/>
          <w:color w:val="auto"/>
          <w:kern w:val="2"/>
          <w:sz w:val="24"/>
          <w:szCs w:val="24"/>
          <w:highlight w:val="none"/>
          <w:lang w:val="en-US" w:eastAsia="zh-CN" w:bidi="ar-SA"/>
        </w:rPr>
        <w:t>（二）开标程序：</w:t>
      </w:r>
      <w:bookmarkEnd w:id="115"/>
      <w:bookmarkEnd w:id="116"/>
    </w:p>
    <w:p w14:paraId="0F33F791">
      <w:pPr>
        <w:spacing w:line="360" w:lineRule="auto"/>
        <w:ind w:left="239" w:leftChars="114" w:firstLine="360" w:firstLineChars="150"/>
        <w:rPr>
          <w:rFonts w:hint="eastAsia" w:ascii="仿宋" w:hAnsi="仿宋" w:eastAsia="仿宋" w:cs="仿宋"/>
          <w:color w:val="auto"/>
          <w:sz w:val="24"/>
          <w:szCs w:val="24"/>
          <w:highlight w:val="none"/>
        </w:rPr>
      </w:pPr>
      <w:bookmarkStart w:id="117" w:name="_Toc24288"/>
      <w:bookmarkStart w:id="118" w:name="_Toc3024"/>
      <w:bookmarkStart w:id="119" w:name="_Toc521014788"/>
      <w:bookmarkStart w:id="120" w:name="_Toc20065"/>
      <w:bookmarkStart w:id="121" w:name="_Toc12263"/>
      <w:bookmarkStart w:id="122" w:name="_Toc503212220"/>
      <w:bookmarkStart w:id="123" w:name="_Toc20288"/>
      <w:r>
        <w:rPr>
          <w:rFonts w:hint="eastAsia" w:ascii="仿宋" w:hAnsi="仿宋" w:eastAsia="仿宋" w:cs="仿宋"/>
          <w:color w:val="auto"/>
          <w:sz w:val="24"/>
          <w:szCs w:val="24"/>
          <w:highlight w:val="none"/>
        </w:rPr>
        <w:t>1.1开标程序</w:t>
      </w:r>
    </w:p>
    <w:p w14:paraId="4EC3FA2B">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14:paraId="711FA4C5">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采用现场电子开标的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投标人的法定代表人或其委托代理人应当按照本招标公告载明的时间和地点前往参加开标，并携带编制本项目（采购包）电子投标文件时加密所用的数字证书、存储有备用电子投标文件的U盘前往开标现场。</w:t>
      </w:r>
    </w:p>
    <w:p w14:paraId="2A16E6DE">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采用远程电子开标的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14:paraId="6589BA32">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w:t>
      </w:r>
      <w:r>
        <w:rPr>
          <w:rFonts w:hint="eastAsia" w:ascii="仿宋" w:hAnsi="仿宋" w:eastAsia="仿宋" w:cs="仿宋"/>
          <w:color w:val="auto"/>
          <w:sz w:val="24"/>
          <w:szCs w:val="24"/>
          <w:highlight w:val="none"/>
          <w:lang w:eastAsia="zh-CN"/>
        </w:rPr>
        <w:t>前</w:t>
      </w:r>
      <w:r>
        <w:rPr>
          <w:rFonts w:hint="eastAsia" w:ascii="仿宋" w:hAnsi="仿宋" w:eastAsia="仿宋" w:cs="仿宋"/>
          <w:color w:val="auto"/>
          <w:sz w:val="24"/>
          <w:szCs w:val="24"/>
          <w:highlight w:val="none"/>
        </w:rPr>
        <w:t>须自行对使用电脑的网络环境、驱动安装、客户端安装以及数字证书的有效性等进行检测，确保可以正常使用。</w:t>
      </w:r>
    </w:p>
    <w:p w14:paraId="21C18F16">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1.2开标异议</w:t>
      </w:r>
    </w:p>
    <w:p w14:paraId="54816B9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投标人代表对开标过程和开标记录有疑义，以及认为采购人、采购代理机构相关工作人员有需要回避的情形的，应当场提出询问或者回避申请。投标人未参加开标的，视同认可开标结果。</w:t>
      </w:r>
    </w:p>
    <w:p w14:paraId="7333B5F2">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1.3投标截止时间后，投标人不足须知前附表中约定的有效供应商家数的，不得开标。同时，本次采购活动结束。</w:t>
      </w:r>
    </w:p>
    <w:p w14:paraId="44FA67C2">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1.4开标时出现下列情况的，视为投标无效处理：</w:t>
      </w:r>
    </w:p>
    <w:p w14:paraId="774DEC03">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经检查数字证书无效的；</w:t>
      </w:r>
    </w:p>
    <w:p w14:paraId="55E82455">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因投标人自身原因，未在规定时间内完成电子投标文件解密的；</w:t>
      </w:r>
    </w:p>
    <w:p w14:paraId="1E00EAD8">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如需使用备用电子投标文件解密时，在规定的解密时间内无法提供备用电子投标文件或提供的备用电子投标文件与加密的电子投标文件版本不一致（即两份文件不是通过投标客户端同时加密生成的）。</w:t>
      </w:r>
    </w:p>
    <w:p w14:paraId="72C5F158">
      <w:pPr>
        <w:pStyle w:val="3"/>
        <w:numPr>
          <w:ilvl w:val="0"/>
          <w:numId w:val="0"/>
        </w:numPr>
        <w:ind w:leftChars="-50" w:right="62" w:right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（五）评标</w:t>
      </w:r>
      <w:bookmarkEnd w:id="117"/>
      <w:bookmarkEnd w:id="118"/>
      <w:bookmarkEnd w:id="119"/>
      <w:bookmarkEnd w:id="120"/>
      <w:bookmarkEnd w:id="121"/>
      <w:bookmarkEnd w:id="122"/>
      <w:bookmarkEnd w:id="123"/>
    </w:p>
    <w:p w14:paraId="05C366D9">
      <w:pPr>
        <w:pStyle w:val="45"/>
        <w:snapToGrid w:val="0"/>
        <w:spacing w:line="360" w:lineRule="auto"/>
        <w:outlineLvl w:val="1"/>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（一）组建评标委员会</w:t>
      </w:r>
    </w:p>
    <w:p w14:paraId="014729EA">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评标委员会或评标小组（以下简称评标委员会）的评标工作由招标单位负责组织，具体评标事务由评标委员会负责，并独立履行其法规规定的职责。</w:t>
      </w:r>
    </w:p>
    <w:p w14:paraId="5FE338C3">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本项目评标委员会由评审专家5人组成，其中专家</w:t>
      </w:r>
      <w:r>
        <w:rPr>
          <w:rFonts w:hint="eastAsia" w:ascii="仿宋" w:hAnsi="仿宋" w:eastAsia="仿宋" w:cs="仿宋"/>
          <w:color w:val="000000"/>
          <w:kern w:val="2"/>
          <w:sz w:val="24"/>
          <w:szCs w:val="24"/>
          <w:highlight w:val="none"/>
          <w:u w:val="single"/>
          <w:lang w:val="en-US" w:eastAsia="zh-CN" w:bidi="ar-SA"/>
        </w:rPr>
        <w:t>4</w:t>
      </w:r>
      <w:r>
        <w:rPr>
          <w:rFonts w:hint="eastAsia" w:ascii="仿宋" w:hAnsi="仿宋" w:eastAsia="仿宋" w:cs="仿宋"/>
          <w:color w:val="000000"/>
          <w:kern w:val="2"/>
          <w:sz w:val="24"/>
          <w:szCs w:val="24"/>
          <w:highlight w:val="none"/>
          <w:lang w:val="en-US" w:eastAsia="zh-CN" w:bidi="ar-SA"/>
        </w:rPr>
        <w:t>人，采购人代表</w:t>
      </w:r>
      <w:r>
        <w:rPr>
          <w:rFonts w:hint="eastAsia" w:ascii="仿宋" w:hAnsi="仿宋" w:eastAsia="仿宋" w:cs="仿宋"/>
          <w:color w:val="000000"/>
          <w:kern w:val="2"/>
          <w:sz w:val="24"/>
          <w:szCs w:val="24"/>
          <w:highlight w:val="none"/>
          <w:u w:val="single"/>
          <w:lang w:val="en-US" w:eastAsia="zh-CN" w:bidi="ar-SA"/>
        </w:rPr>
        <w:t>1</w:t>
      </w:r>
      <w:r>
        <w:rPr>
          <w:rFonts w:hint="eastAsia" w:ascii="仿宋" w:hAnsi="仿宋" w:eastAsia="仿宋" w:cs="仿宋"/>
          <w:color w:val="000000"/>
          <w:kern w:val="2"/>
          <w:sz w:val="24"/>
          <w:szCs w:val="24"/>
          <w:highlight w:val="none"/>
          <w:lang w:val="en-US" w:eastAsia="zh-CN" w:bidi="ar-SA"/>
        </w:rPr>
        <w:t>人。</w:t>
      </w:r>
      <w:r>
        <w:rPr>
          <w:rFonts w:hint="eastAsia" w:ascii="仿宋" w:hAnsi="仿宋" w:eastAsia="仿宋" w:cs="仿宋"/>
          <w:color w:val="auto"/>
          <w:kern w:val="2"/>
          <w:sz w:val="24"/>
          <w:szCs w:val="24"/>
          <w:highlight w:val="none"/>
          <w:lang w:val="en-US" w:eastAsia="zh-CN" w:bidi="ar-SA"/>
        </w:rPr>
        <w:t>专家由招标代理机构在开标前48小时在新疆政府采购专家中随机抽取。其中熟悉相关技术方面的专家不得少于成员总数的三分之二。对投标文件进行审查、评估和比较，做出授予合同的建议。</w:t>
      </w:r>
    </w:p>
    <w:p w14:paraId="7A31FAA7">
      <w:pPr>
        <w:pStyle w:val="45"/>
        <w:snapToGrid w:val="0"/>
        <w:spacing w:line="360" w:lineRule="auto"/>
        <w:outlineLvl w:val="1"/>
        <w:rPr>
          <w:rFonts w:hint="eastAsia" w:ascii="仿宋" w:hAnsi="仿宋" w:eastAsia="仿宋" w:cs="仿宋"/>
          <w:b/>
          <w:bCs/>
          <w:color w:val="auto"/>
          <w:kern w:val="2"/>
          <w:sz w:val="24"/>
          <w:szCs w:val="24"/>
          <w:highlight w:val="none"/>
          <w:lang w:val="en-US" w:eastAsia="zh-CN" w:bidi="ar-SA"/>
        </w:rPr>
      </w:pPr>
      <w:bookmarkStart w:id="124" w:name="_Toc27271"/>
      <w:bookmarkStart w:id="125" w:name="_Toc26886"/>
      <w:r>
        <w:rPr>
          <w:rFonts w:hint="eastAsia" w:ascii="仿宋" w:hAnsi="仿宋" w:eastAsia="仿宋" w:cs="仿宋"/>
          <w:b/>
          <w:bCs/>
          <w:color w:val="auto"/>
          <w:kern w:val="2"/>
          <w:sz w:val="24"/>
          <w:szCs w:val="24"/>
          <w:highlight w:val="none"/>
          <w:lang w:val="en-US" w:eastAsia="zh-CN" w:bidi="ar-SA"/>
        </w:rPr>
        <w:t>（二）评标的方式</w:t>
      </w:r>
      <w:bookmarkEnd w:id="124"/>
      <w:bookmarkEnd w:id="125"/>
    </w:p>
    <w:p w14:paraId="6F591DD6">
      <w:pPr>
        <w:pStyle w:val="45"/>
        <w:snapToGrid w:val="0"/>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本项目采用不公开方式评标，评标的依据为《中华人民共和国招标投标法》《中华人民共和国政府采购法》《中华人民共和国财政部令第87号——政府采购货物和服务招标投标管理办法》及招标文件。</w:t>
      </w:r>
    </w:p>
    <w:p w14:paraId="2CF34761">
      <w:pPr>
        <w:spacing w:line="360" w:lineRule="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（三）评标原则</w:t>
      </w:r>
    </w:p>
    <w:p w14:paraId="1E73B393">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2.1评标活动遵循公平、公正、科学和择优的原则，以招标文件和投标文件为评标的基本依据，并按照招标文件规定的评标方法和评标标准进行评标。</w:t>
      </w:r>
    </w:p>
    <w:p w14:paraId="04DA8D68">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2.2评标委员会必须公平、公正、客观，不带任何倾向性和启发性；不得向外界透露任何与评标有关的内容；任何单位和个人不得干扰、影响评标的正常进行；评标委员会及有关工作人员不得私下与投标人接触。</w:t>
      </w:r>
    </w:p>
    <w:p w14:paraId="05633501">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2.3具体评标事项由评标委员会负责，并按招标文件的规定办法进行评审。</w:t>
      </w:r>
    </w:p>
    <w:p w14:paraId="3B8ADE18">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2.4合格投标人不足须知前附表中约定的有效供应商家数的，不得评标。</w:t>
      </w:r>
    </w:p>
    <w:p w14:paraId="795FDFCB">
      <w:pPr>
        <w:spacing w:line="360" w:lineRule="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（四）评标应遵守下列评标纪律：</w:t>
      </w:r>
    </w:p>
    <w:p w14:paraId="3FFBB1BF">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（1）评标情况不得私自外泄，有关信息由新疆宣烨项目管理咨询有限公司统一对外发布。</w:t>
      </w:r>
    </w:p>
    <w:p w14:paraId="365128F5">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（2）对新疆宣烨项目管理咨询有限公司或投标人提供的要求保密的资料，不得摘记翻印和外传。</w:t>
      </w:r>
    </w:p>
    <w:p w14:paraId="7E8EDAE5">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（3）不得收受投标供应商或有关人员的任何礼物，不得串联鼓动其他人袒护某投标人。若与投标人存在利害关系，则应主动声明并回避。</w:t>
      </w:r>
    </w:p>
    <w:p w14:paraId="05A3608C">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（4）全体评委应按照招标文件规定进行评标，一切认定事项应查有实据且不得弄虚作假。</w:t>
      </w:r>
    </w:p>
    <w:p w14:paraId="3F20AAE3">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（5）评标委员会各成员应当独立对每个投标人的投标文件进行评价，并对评价意见承担个人责任。评审过程中，不得发表倾向性言论。</w:t>
      </w:r>
    </w:p>
    <w:p w14:paraId="31E3B75D">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※对违反评标纪律的评委，将取消其评委资格，对评标工作造成严重损失者将予以通报批评乃至追究法律责任。</w:t>
      </w:r>
    </w:p>
    <w:p w14:paraId="707A2F63">
      <w:pPr>
        <w:pStyle w:val="45"/>
        <w:snapToGrid w:val="0"/>
        <w:spacing w:line="360" w:lineRule="auto"/>
        <w:outlineLvl w:val="1"/>
        <w:rPr>
          <w:rFonts w:hint="eastAsia" w:ascii="仿宋" w:hAnsi="仿宋" w:eastAsia="仿宋" w:cs="仿宋"/>
          <w:b/>
          <w:bCs/>
          <w:color w:val="auto"/>
          <w:kern w:val="2"/>
          <w:sz w:val="24"/>
          <w:szCs w:val="24"/>
          <w:highlight w:val="none"/>
          <w:lang w:val="en-US" w:eastAsia="zh-CN" w:bidi="ar-SA"/>
        </w:rPr>
      </w:pPr>
      <w:bookmarkStart w:id="126" w:name="_Toc13223"/>
      <w:bookmarkStart w:id="127" w:name="_Toc4747"/>
      <w:r>
        <w:rPr>
          <w:rFonts w:hint="eastAsia" w:ascii="仿宋" w:hAnsi="仿宋" w:eastAsia="仿宋" w:cs="仿宋"/>
          <w:b/>
          <w:bCs/>
          <w:color w:val="auto"/>
          <w:kern w:val="2"/>
          <w:sz w:val="24"/>
          <w:szCs w:val="24"/>
          <w:highlight w:val="none"/>
          <w:lang w:val="en-US" w:eastAsia="zh-CN" w:bidi="ar-SA"/>
        </w:rPr>
        <w:t>（五）评标程序</w:t>
      </w:r>
      <w:bookmarkEnd w:id="126"/>
      <w:bookmarkEnd w:id="127"/>
    </w:p>
    <w:p w14:paraId="7973B4A9">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1.本项目采用</w:t>
      </w:r>
      <w:r>
        <w:rPr>
          <w:rFonts w:hint="eastAsia" w:ascii="仿宋" w:hAnsi="仿宋" w:eastAsia="仿宋" w:cs="仿宋"/>
          <w:color w:val="auto"/>
          <w:sz w:val="24"/>
          <w:szCs w:val="24"/>
          <w:highlight w:val="none"/>
        </w:rPr>
        <w:t>综合评分法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是指投标文件满足招标文件全部实质性要求，且按照评审因素的量化指标评审得分最高的投标人为中标候选人的评标方法。（最低报价不是中标的唯一依据）</w:t>
      </w:r>
    </w:p>
    <w:p w14:paraId="2604560D">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bookmarkStart w:id="128" w:name="_Toc17462"/>
      <w:r>
        <w:rPr>
          <w:rFonts w:hint="eastAsia" w:ascii="仿宋" w:hAnsi="仿宋" w:eastAsia="仿宋" w:cs="仿宋"/>
          <w:color w:val="auto"/>
          <w:kern w:val="2"/>
          <w:sz w:val="24"/>
          <w:szCs w:val="24"/>
          <w:highlight w:val="none"/>
          <w:lang w:val="en-US" w:eastAsia="zh-CN" w:bidi="ar-SA"/>
        </w:rPr>
        <w:t>2.评标的依据为招标文件和投标文件。</w:t>
      </w:r>
      <w:bookmarkEnd w:id="128"/>
    </w:p>
    <w:p w14:paraId="3168E1F2">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3.评标过程的保密性。开标后，直到授予投标人合同为止，凡是属于审查、澄清、评价和比较的有关资料以及授标建议等均不得向投标人或其他无关的人员透露。</w:t>
      </w:r>
    </w:p>
    <w:p w14:paraId="0BE17696">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4.投标人在评标过程中所进行的试图影响评标结果、有悖于招标规则的活动，可能导致取消其中标资格。</w:t>
      </w:r>
    </w:p>
    <w:p w14:paraId="413C6292">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5.与招标文件有重大偏离的投标文件将被拒绝。且此重大偏离在开标后不许修改。</w:t>
      </w:r>
    </w:p>
    <w:p w14:paraId="0A4FB8D8">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6.根据国家计委等七部委颁发的《评标委员会和评标方法暂行规定》，以下为重大偏离：</w:t>
      </w:r>
    </w:p>
    <w:p w14:paraId="4245D0F7">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（一）投标保证金的缴纳主体与投标人不一致，没有按照招标文件要求提供投标担保，或者所提供的投标担保有瑕疵的；</w:t>
      </w:r>
    </w:p>
    <w:p w14:paraId="72FDA952">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（二）投标文件没有投标人法定代表人或其授权代表签字（章）和加盖投标单位公章；</w:t>
      </w:r>
    </w:p>
    <w:p w14:paraId="633E2CCE">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（三）投标文件记载的招标项目完成期限超过招标文件规定的完成期限；</w:t>
      </w:r>
    </w:p>
    <w:p w14:paraId="49160093">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（四）明显不符合技术规格和技术标准（技术规格、合同条款有偏离情况）；</w:t>
      </w:r>
    </w:p>
    <w:p w14:paraId="44465D16">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（五）商务条款有偏离情况；</w:t>
      </w:r>
    </w:p>
    <w:p w14:paraId="70329D2B">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（六）投标附有招标人不能接受的条件；</w:t>
      </w:r>
    </w:p>
    <w:p w14:paraId="42CA9851">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（七）不符合招标文件中规定的其他实质性要求；</w:t>
      </w:r>
    </w:p>
    <w:p w14:paraId="1F545118">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（八）投标报价不符合招标文件规定的要求；</w:t>
      </w:r>
    </w:p>
    <w:p w14:paraId="338FF4FD">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投标文件有上述情形之一的，视为非实质性响应招标，并按规定作废标处理。招标文件对重大偏差另有规定的，从其规定。</w:t>
      </w:r>
    </w:p>
    <w:p w14:paraId="300C600A">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评标委员会应当审查每一投标文件是否对招标文件提出的所有实质性要求和条件作出响应。未能在实质上响应招标的投标，将作废标处理。</w:t>
      </w:r>
    </w:p>
    <w:p w14:paraId="41FBECBD">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bookmarkStart w:id="129" w:name="_Toc3963"/>
      <w:r>
        <w:rPr>
          <w:rFonts w:hint="eastAsia" w:ascii="仿宋" w:hAnsi="仿宋" w:eastAsia="仿宋" w:cs="仿宋"/>
          <w:color w:val="auto"/>
          <w:kern w:val="2"/>
          <w:sz w:val="24"/>
          <w:szCs w:val="24"/>
          <w:highlight w:val="none"/>
          <w:lang w:val="en-US" w:eastAsia="zh-CN" w:bidi="ar-SA"/>
        </w:rPr>
        <w:t>7.对投标文件的初步审查和响应性确定</w:t>
      </w:r>
      <w:bookmarkEnd w:id="129"/>
    </w:p>
    <w:p w14:paraId="53B733F7">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开标后招标人将审查投标文件的完整性、准确性以及保证金提交、文件签署情况。在审查时，（一）投标文件中开标一览表（报价表）内容与投标文件中相应内容不一致，以开标一览表（报价表）为准；（二）大写金额和小写金额不一致的，以大写金额为准；（三）单价金额小数点或者百分比有明显错位的，以开标一览表的总价为准，并修改单价；（四）总价金额与按单价汇总金额不一致的，以单价金额计算结果为准。若投标人拒绝接受上述修正，其投标将可能被拒绝。</w:t>
      </w:r>
    </w:p>
    <w:p w14:paraId="743959BF">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9.在对投标文件进行详细评估之前，评标委员会将审查每一份投标文件是否对招标文件的要求作出了实质性的响应。实质性响应的投标文件应该与招标文件的全部条款、条件和技术规格相符，而没有重大偏离。</w:t>
      </w:r>
    </w:p>
    <w:p w14:paraId="59E35C3D">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10.招标人判断投标文件的响应性是基于投标文件本身而不靠外部证据。</w:t>
      </w:r>
    </w:p>
    <w:p w14:paraId="7D4D0F94">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11.招标人将拒绝被认定为非响应性的投标，投标人不能通过修正或撤销不符之处而使其投标成为响应性投标。</w:t>
      </w:r>
    </w:p>
    <w:p w14:paraId="51A24787">
      <w:pPr>
        <w:pStyle w:val="45"/>
        <w:snapToGrid w:val="0"/>
        <w:spacing w:line="360" w:lineRule="auto"/>
        <w:outlineLvl w:val="1"/>
        <w:rPr>
          <w:rFonts w:hint="eastAsia" w:ascii="仿宋" w:hAnsi="仿宋" w:eastAsia="仿宋" w:cs="仿宋"/>
          <w:b/>
          <w:bCs/>
          <w:color w:val="auto"/>
          <w:kern w:val="2"/>
          <w:sz w:val="24"/>
          <w:szCs w:val="24"/>
          <w:highlight w:val="none"/>
          <w:lang w:val="en-US" w:eastAsia="zh-CN" w:bidi="ar-SA"/>
        </w:rPr>
      </w:pPr>
      <w:bookmarkStart w:id="130" w:name="_Toc32133"/>
      <w:bookmarkStart w:id="131" w:name="_Toc13450"/>
      <w:r>
        <w:rPr>
          <w:rFonts w:hint="eastAsia" w:ascii="仿宋" w:hAnsi="仿宋" w:eastAsia="仿宋" w:cs="仿宋"/>
          <w:b/>
          <w:bCs/>
          <w:color w:val="auto"/>
          <w:kern w:val="2"/>
          <w:sz w:val="24"/>
          <w:szCs w:val="24"/>
          <w:highlight w:val="none"/>
          <w:lang w:val="en-US" w:eastAsia="zh-CN" w:bidi="ar-SA"/>
        </w:rPr>
        <w:t>（六）澄清问题的形式</w:t>
      </w:r>
      <w:bookmarkEnd w:id="130"/>
      <w:bookmarkEnd w:id="131"/>
    </w:p>
    <w:p w14:paraId="53779F6C">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w:t>
      </w:r>
    </w:p>
    <w:p w14:paraId="3ACCC6C9">
      <w:pPr>
        <w:pStyle w:val="45"/>
        <w:snapToGrid w:val="0"/>
        <w:spacing w:line="360" w:lineRule="auto"/>
        <w:outlineLvl w:val="1"/>
        <w:rPr>
          <w:rFonts w:hint="eastAsia" w:ascii="仿宋" w:hAnsi="仿宋" w:eastAsia="仿宋" w:cs="仿宋"/>
          <w:b/>
          <w:bCs/>
          <w:color w:val="auto"/>
          <w:kern w:val="2"/>
          <w:sz w:val="24"/>
          <w:szCs w:val="24"/>
          <w:highlight w:val="none"/>
          <w:lang w:val="en-US" w:eastAsia="zh-CN" w:bidi="ar-SA"/>
        </w:rPr>
      </w:pPr>
      <w:bookmarkStart w:id="132" w:name="_Toc31156"/>
      <w:bookmarkStart w:id="133" w:name="_Toc30297"/>
      <w:r>
        <w:rPr>
          <w:rFonts w:hint="eastAsia" w:ascii="仿宋" w:hAnsi="仿宋" w:eastAsia="仿宋" w:cs="仿宋"/>
          <w:b/>
          <w:bCs/>
          <w:color w:val="auto"/>
          <w:kern w:val="2"/>
          <w:sz w:val="24"/>
          <w:szCs w:val="24"/>
          <w:highlight w:val="none"/>
          <w:lang w:val="en-US" w:eastAsia="zh-CN" w:bidi="ar-SA"/>
        </w:rPr>
        <w:t>（七）错误修正</w:t>
      </w:r>
      <w:bookmarkEnd w:id="132"/>
      <w:bookmarkEnd w:id="133"/>
    </w:p>
    <w:p w14:paraId="353BBD26">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投标文件如果出现计算或表达上的错误，修正错误的原则如下：</w:t>
      </w:r>
    </w:p>
    <w:p w14:paraId="2918F3FF">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1.投标报价一览表总价与投标报价明细表汇总数不一致的，以投标报价一览表为准；</w:t>
      </w:r>
    </w:p>
    <w:p w14:paraId="3FD6511E">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bookmarkStart w:id="134" w:name="_Toc29280"/>
      <w:r>
        <w:rPr>
          <w:rFonts w:hint="eastAsia" w:ascii="仿宋" w:hAnsi="仿宋" w:eastAsia="仿宋" w:cs="仿宋"/>
          <w:color w:val="auto"/>
          <w:kern w:val="2"/>
          <w:sz w:val="24"/>
          <w:szCs w:val="24"/>
          <w:highlight w:val="none"/>
          <w:lang w:val="en-US" w:eastAsia="zh-CN" w:bidi="ar-SA"/>
        </w:rPr>
        <w:t>2.投标文件的大写金额和小写金额不一致的，以大写金额为准；</w:t>
      </w:r>
      <w:bookmarkEnd w:id="134"/>
    </w:p>
    <w:p w14:paraId="4C20A217">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3.总价金额与按单价汇总金额不一致的，以单价金额计算结果为准；</w:t>
      </w:r>
    </w:p>
    <w:p w14:paraId="2270CA54">
      <w:pPr>
        <w:pStyle w:val="45"/>
        <w:snapToGrid w:val="0"/>
        <w:spacing w:line="360" w:lineRule="auto"/>
        <w:ind w:left="0" w:leftChars="0" w:firstLine="480" w:firstLineChars="200"/>
        <w:outlineLvl w:val="2"/>
        <w:rPr>
          <w:rFonts w:hint="eastAsia" w:ascii="仿宋" w:hAnsi="仿宋" w:eastAsia="仿宋" w:cs="仿宋"/>
          <w:color w:val="auto"/>
          <w:kern w:val="2"/>
          <w:sz w:val="24"/>
          <w:szCs w:val="24"/>
          <w:highlight w:val="none"/>
          <w:lang w:val="en-US" w:eastAsia="zh-CN" w:bidi="ar-SA"/>
        </w:rPr>
      </w:pPr>
      <w:bookmarkStart w:id="135" w:name="_Toc16465"/>
      <w:r>
        <w:rPr>
          <w:rFonts w:hint="eastAsia" w:ascii="仿宋" w:hAnsi="仿宋" w:eastAsia="仿宋" w:cs="仿宋"/>
          <w:color w:val="auto"/>
          <w:kern w:val="2"/>
          <w:sz w:val="24"/>
          <w:szCs w:val="24"/>
          <w:highlight w:val="none"/>
          <w:lang w:val="en-US" w:eastAsia="zh-CN" w:bidi="ar-SA"/>
        </w:rPr>
        <w:t>4.对不同文字文本投标文件的解释发生异议的，以中文文本为准。</w:t>
      </w:r>
      <w:bookmarkEnd w:id="135"/>
    </w:p>
    <w:p w14:paraId="6F357BA6">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按上述修正错误的原则及方法调整或修正投标文件的投标报价，投标人同意并签字确认后，调整后的投标报价对投标人具有约束作用。如果投标人不接受修正后的报价，则其投标将作为无效投标处理。</w:t>
      </w:r>
    </w:p>
    <w:p w14:paraId="4414739B">
      <w:pPr>
        <w:pStyle w:val="45"/>
        <w:snapToGrid w:val="0"/>
        <w:spacing w:line="360" w:lineRule="auto"/>
        <w:ind w:left="0" w:leftChars="0" w:firstLine="0" w:firstLineChars="0"/>
        <w:outlineLvl w:val="1"/>
        <w:rPr>
          <w:rFonts w:hint="eastAsia" w:ascii="仿宋" w:hAnsi="仿宋" w:eastAsia="仿宋" w:cs="仿宋"/>
          <w:b/>
          <w:bCs/>
          <w:color w:val="auto"/>
          <w:kern w:val="2"/>
          <w:sz w:val="24"/>
          <w:szCs w:val="24"/>
          <w:highlight w:val="none"/>
          <w:lang w:val="en-US" w:eastAsia="zh-CN" w:bidi="ar-SA"/>
        </w:rPr>
      </w:pPr>
      <w:bookmarkStart w:id="136" w:name="_Toc15699"/>
      <w:bookmarkStart w:id="137" w:name="_Toc19846"/>
      <w:r>
        <w:rPr>
          <w:rFonts w:hint="eastAsia" w:ascii="仿宋" w:hAnsi="仿宋" w:eastAsia="仿宋" w:cs="仿宋"/>
          <w:b/>
          <w:bCs/>
          <w:color w:val="auto"/>
          <w:kern w:val="2"/>
          <w:sz w:val="24"/>
          <w:szCs w:val="24"/>
          <w:highlight w:val="none"/>
          <w:lang w:val="en-US" w:eastAsia="zh-CN" w:bidi="ar-SA"/>
        </w:rPr>
        <w:t>（八）</w:t>
      </w:r>
      <w:bookmarkEnd w:id="136"/>
      <w:bookmarkEnd w:id="137"/>
      <w:r>
        <w:rPr>
          <w:rFonts w:hint="eastAsia" w:ascii="仿宋" w:hAnsi="仿宋" w:eastAsia="仿宋" w:cs="仿宋"/>
          <w:b/>
          <w:bCs/>
          <w:color w:val="auto"/>
          <w:kern w:val="2"/>
          <w:sz w:val="24"/>
          <w:szCs w:val="24"/>
          <w:highlight w:val="none"/>
          <w:lang w:val="en-US" w:eastAsia="zh-CN" w:bidi="ar-SA"/>
        </w:rPr>
        <w:t>有下列情形之一的，视为投标人串通投标，其投标无效</w:t>
      </w:r>
    </w:p>
    <w:p w14:paraId="52B6C85F">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bookmarkStart w:id="138" w:name="_Toc29743"/>
      <w:bookmarkStart w:id="139" w:name="_Toc9664"/>
      <w:r>
        <w:rPr>
          <w:rFonts w:hint="eastAsia" w:ascii="仿宋" w:hAnsi="仿宋" w:eastAsia="仿宋" w:cs="仿宋"/>
          <w:color w:val="auto"/>
          <w:kern w:val="2"/>
          <w:sz w:val="24"/>
          <w:szCs w:val="24"/>
          <w:highlight w:val="none"/>
          <w:lang w:val="en-US" w:eastAsia="zh-CN" w:bidi="ar-SA"/>
        </w:rPr>
        <w:t>1.不同投标人的投标文件由同一单位或者个人编制；</w:t>
      </w:r>
    </w:p>
    <w:p w14:paraId="6860F471">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2.不同投标人委托同一单位或者个人办理投标事宜；</w:t>
      </w:r>
    </w:p>
    <w:p w14:paraId="2E04C209">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3.不同投标人的投标文件载明的项目管理成员或者联系人员为同一人；</w:t>
      </w:r>
    </w:p>
    <w:p w14:paraId="192CB6C3">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4.不同投标人的投标文件异常一致或者投标报价呈规律性差异；</w:t>
      </w:r>
    </w:p>
    <w:p w14:paraId="3D1960A9">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5.不同投标人的投标文件相互混装；</w:t>
      </w:r>
    </w:p>
    <w:p w14:paraId="27FDE614">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6.不同投标人的投标保证金或购买电子保函支付款为从同一单位或个人的账户转出；</w:t>
      </w:r>
    </w:p>
    <w:p w14:paraId="594D8F0E">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7.投标人上传的电子投标文件使用该项目其他投标人的数字证书加密的或加盖该项目的其他投标人的电子印章的。</w:t>
      </w:r>
    </w:p>
    <w:p w14:paraId="17B47EBA">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说明：在评标过程中发现投标人有上述情形的，评标委员会应当认定其投标无效。同时，项目评审时被认定为串通投标的投标人不得参加该合同项下的采购活动。</w:t>
      </w:r>
    </w:p>
    <w:p w14:paraId="1416733C">
      <w:pPr>
        <w:pStyle w:val="45"/>
        <w:snapToGrid w:val="0"/>
        <w:spacing w:line="360" w:lineRule="auto"/>
        <w:ind w:left="0" w:leftChars="0" w:firstLine="0" w:firstLineChars="0"/>
        <w:outlineLvl w:val="1"/>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（九）评标过程的监控</w:t>
      </w:r>
      <w:bookmarkEnd w:id="138"/>
      <w:bookmarkEnd w:id="139"/>
    </w:p>
    <w:p w14:paraId="64E24574">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本项目评标过程实行录像监控、照片记录，且由监标人员进行现场监督，评标过程中所发生的试图影响评标结果的不公正活动，可能导致其投标被拒绝。</w:t>
      </w:r>
    </w:p>
    <w:p w14:paraId="11229E83">
      <w:pPr>
        <w:pStyle w:val="3"/>
        <w:numPr>
          <w:ilvl w:val="0"/>
          <w:numId w:val="0"/>
        </w:numPr>
        <w:ind w:leftChars="-50" w:right="62" w:rightChars="0"/>
        <w:jc w:val="center"/>
        <w:rPr>
          <w:rFonts w:hint="eastAsia" w:ascii="仿宋" w:hAnsi="仿宋" w:eastAsia="仿宋" w:cs="仿宋"/>
          <w:b/>
          <w:bCs/>
          <w:color w:val="auto"/>
          <w:kern w:val="2"/>
          <w:sz w:val="24"/>
          <w:szCs w:val="24"/>
          <w:highlight w:val="none"/>
          <w:lang w:val="en-US" w:eastAsia="zh-CN" w:bidi="ar-SA"/>
        </w:rPr>
      </w:pPr>
      <w:bookmarkStart w:id="140" w:name="_Toc28372"/>
      <w:bookmarkStart w:id="141" w:name="_Toc21069"/>
      <w:bookmarkStart w:id="142" w:name="_Toc10823"/>
      <w:bookmarkStart w:id="143" w:name="_Toc503212221"/>
      <w:bookmarkStart w:id="144" w:name="_Toc521014789"/>
      <w:bookmarkStart w:id="145" w:name="_Toc26644"/>
      <w:bookmarkStart w:id="146" w:name="_Toc2497"/>
      <w:r>
        <w:rPr>
          <w:rFonts w:hint="eastAsia" w:ascii="仿宋" w:hAnsi="仿宋" w:eastAsia="仿宋" w:cs="仿宋"/>
          <w:b/>
          <w:bCs/>
          <w:color w:val="auto"/>
          <w:kern w:val="2"/>
          <w:sz w:val="28"/>
          <w:szCs w:val="28"/>
          <w:highlight w:val="none"/>
          <w:lang w:val="en-US" w:eastAsia="zh-CN" w:bidi="ar-SA"/>
        </w:rPr>
        <w:t>（六）定标</w:t>
      </w:r>
      <w:bookmarkEnd w:id="140"/>
      <w:bookmarkEnd w:id="141"/>
      <w:bookmarkEnd w:id="142"/>
      <w:bookmarkEnd w:id="143"/>
      <w:bookmarkEnd w:id="144"/>
      <w:bookmarkEnd w:id="145"/>
      <w:bookmarkEnd w:id="146"/>
    </w:p>
    <w:p w14:paraId="1D78BAB5">
      <w:pPr>
        <w:snapToGrid w:val="0"/>
        <w:spacing w:line="360" w:lineRule="auto"/>
        <w:ind w:left="0" w:leftChars="0" w:firstLine="482"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确定中标人：</w:t>
      </w:r>
      <w:r>
        <w:rPr>
          <w:rFonts w:hint="eastAsia" w:ascii="仿宋" w:hAnsi="仿宋" w:eastAsia="仿宋" w:cs="仿宋"/>
          <w:color w:val="auto"/>
          <w:kern w:val="2"/>
          <w:sz w:val="24"/>
          <w:szCs w:val="24"/>
          <w:highlight w:val="none"/>
          <w:lang w:val="en-US" w:eastAsia="zh-CN" w:bidi="ar-SA"/>
        </w:rPr>
        <w:t>本项目由招标人确定评标结果排名第一位的候选人为中标人。</w:t>
      </w:r>
    </w:p>
    <w:p w14:paraId="7879EFB1">
      <w:pPr>
        <w:spacing w:line="360" w:lineRule="auto"/>
        <w:ind w:left="0" w:leftChars="0"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中标公告：</w:t>
      </w:r>
      <w:r>
        <w:rPr>
          <w:rFonts w:hint="eastAsia" w:ascii="仿宋" w:hAnsi="仿宋" w:eastAsia="仿宋" w:cs="仿宋"/>
          <w:color w:val="auto"/>
          <w:sz w:val="24"/>
          <w:szCs w:val="24"/>
          <w:highlight w:val="none"/>
        </w:rPr>
        <w:t>中标供应商确定之日起2个工作日内，采购人或采购代理机构将在新疆政府采购网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http://www.ccgp-xinjiang.gov.cn/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上以公告的形式发布中标结果，中标公告的公告期限为1个工作日。中标公告同时作为采购代理机构通知除中标供应商外的其他投标人没有中标的书面形式，采购代理机构不再</w:t>
      </w:r>
      <w:r>
        <w:rPr>
          <w:rFonts w:hint="eastAsia" w:ascii="仿宋" w:hAnsi="仿宋" w:eastAsia="仿宋" w:cs="仿宋"/>
          <w:color w:val="auto"/>
          <w:sz w:val="24"/>
          <w:szCs w:val="24"/>
          <w:highlight w:val="none"/>
          <w:lang w:eastAsia="zh-CN"/>
        </w:rPr>
        <w:t>以其他方式</w:t>
      </w:r>
      <w:r>
        <w:rPr>
          <w:rFonts w:hint="eastAsia" w:ascii="仿宋" w:hAnsi="仿宋" w:eastAsia="仿宋" w:cs="仿宋"/>
          <w:color w:val="auto"/>
          <w:sz w:val="24"/>
          <w:szCs w:val="24"/>
          <w:highlight w:val="none"/>
        </w:rPr>
        <w:t>另行通知。</w:t>
      </w:r>
    </w:p>
    <w:p w14:paraId="2AE5FADB">
      <w:pPr>
        <w:spacing w:line="360" w:lineRule="auto"/>
        <w:ind w:left="0" w:leftChars="0"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中标通知书：</w:t>
      </w:r>
      <w:r>
        <w:rPr>
          <w:rFonts w:hint="eastAsia" w:ascii="仿宋" w:hAnsi="仿宋" w:eastAsia="仿宋" w:cs="仿宋"/>
          <w:color w:val="auto"/>
          <w:sz w:val="24"/>
          <w:szCs w:val="24"/>
          <w:highlight w:val="none"/>
        </w:rPr>
        <w:t>中标通知书在发布中标公告时，同步</w:t>
      </w:r>
      <w:r>
        <w:rPr>
          <w:rFonts w:hint="eastAsia" w:ascii="仿宋" w:hAnsi="仿宋" w:eastAsia="仿宋" w:cs="仿宋"/>
          <w:color w:val="auto"/>
          <w:sz w:val="24"/>
          <w:szCs w:val="24"/>
          <w:highlight w:val="none"/>
          <w:lang w:eastAsia="zh-CN"/>
        </w:rPr>
        <w:t>发出</w:t>
      </w:r>
      <w:r>
        <w:rPr>
          <w:rFonts w:hint="eastAsia" w:ascii="仿宋" w:hAnsi="仿宋" w:eastAsia="仿宋" w:cs="仿宋"/>
          <w:color w:val="auto"/>
          <w:sz w:val="24"/>
          <w:szCs w:val="24"/>
          <w:highlight w:val="none"/>
        </w:rPr>
        <w:t>中标通知书至中标供应商。中标通知书发出后，采购人不得违法改变中标结果，中标供应商不得放弃中标。中标供应商放弃中标的，应当依法承担相应的法律责任。</w:t>
      </w:r>
    </w:p>
    <w:p w14:paraId="684CF18F">
      <w:pPr>
        <w:spacing w:line="360" w:lineRule="auto"/>
        <w:ind w:left="0" w:leftChars="0"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项目废标处理：</w:t>
      </w:r>
      <w:r>
        <w:rPr>
          <w:rFonts w:hint="eastAsia" w:ascii="仿宋" w:hAnsi="仿宋" w:eastAsia="仿宋" w:cs="仿宋"/>
          <w:color w:val="auto"/>
          <w:sz w:val="24"/>
          <w:szCs w:val="24"/>
          <w:highlight w:val="none"/>
        </w:rPr>
        <w:t>根据《中华人民共和国政府采购法》第三十六条及招标文件的约定，本项目或分包下列情况出现将作废标处理：</w:t>
      </w:r>
    </w:p>
    <w:p w14:paraId="17AE945E">
      <w:pPr>
        <w:spacing w:line="360" w:lineRule="auto"/>
        <w:ind w:left="0" w:lef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w:t>
      </w:r>
    </w:p>
    <w:p w14:paraId="4944B69B">
      <w:pPr>
        <w:spacing w:line="360" w:lineRule="auto"/>
        <w:ind w:left="0" w:lef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（2）出现影响采购公正的违法、违规行为的。</w:t>
      </w:r>
    </w:p>
    <w:p w14:paraId="294FC568">
      <w:pPr>
        <w:spacing w:line="360" w:lineRule="auto"/>
        <w:ind w:left="0" w:lef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（3）投标人的报价均超过了采购预算，采购人不能支付的。</w:t>
      </w:r>
    </w:p>
    <w:p w14:paraId="3921C1AD">
      <w:pPr>
        <w:spacing w:line="360" w:lineRule="auto"/>
        <w:ind w:left="0" w:lef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（4）因重大变故，采购任务取消的。</w:t>
      </w:r>
    </w:p>
    <w:p w14:paraId="0653CBC7">
      <w:pPr>
        <w:spacing w:line="360" w:lineRule="auto"/>
        <w:ind w:left="0" w:lef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对废标的采购项目，评标委员会应出具采购文件是否存在不合理条款的论证意见。</w:t>
      </w:r>
    </w:p>
    <w:p w14:paraId="76E8B1A2">
      <w:pPr>
        <w:spacing w:line="360" w:lineRule="auto"/>
        <w:ind w:left="0" w:leftChars="0"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终止公告：</w:t>
      </w:r>
      <w:r>
        <w:rPr>
          <w:rFonts w:hint="eastAsia" w:ascii="仿宋" w:hAnsi="仿宋" w:eastAsia="仿宋" w:cs="仿宋"/>
          <w:color w:val="auto"/>
          <w:sz w:val="24"/>
          <w:szCs w:val="24"/>
          <w:highlight w:val="none"/>
        </w:rPr>
        <w:t>项目废标后，采购人或采购代理机构将在新疆政府采购网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http://www.ccgp-xinjiang.gov.cn/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上发布终止公告，终止公告的公告期限为1个工作日。</w:t>
      </w:r>
      <w:bookmarkStart w:id="147" w:name="_Toc15327"/>
      <w:bookmarkStart w:id="148" w:name="_Toc503212222"/>
      <w:bookmarkStart w:id="149" w:name="_Toc11259"/>
      <w:bookmarkStart w:id="150" w:name="_Toc521014790"/>
      <w:bookmarkStart w:id="151" w:name="_Toc20063"/>
    </w:p>
    <w:p w14:paraId="4E346B4D">
      <w:pPr>
        <w:snapToGrid w:val="0"/>
        <w:spacing w:line="360" w:lineRule="auto"/>
        <w:ind w:firstLine="562" w:firstLineChars="200"/>
        <w:jc w:val="center"/>
        <w:outlineLvl w:val="1"/>
        <w:rPr>
          <w:rFonts w:hint="eastAsia" w:ascii="仿宋" w:hAnsi="仿宋" w:eastAsia="仿宋" w:cs="仿宋"/>
          <w:color w:val="auto"/>
          <w:sz w:val="28"/>
          <w:szCs w:val="28"/>
          <w:highlight w:val="none"/>
        </w:rPr>
      </w:pPr>
      <w:bookmarkStart w:id="152" w:name="_Toc20117"/>
      <w:bookmarkStart w:id="153" w:name="_Toc20345"/>
      <w:r>
        <w:rPr>
          <w:rFonts w:hint="eastAsia" w:ascii="仿宋" w:hAnsi="仿宋" w:eastAsia="仿宋" w:cs="仿宋"/>
          <w:b/>
          <w:bCs/>
          <w:color w:val="auto"/>
          <w:kern w:val="2"/>
          <w:sz w:val="28"/>
          <w:szCs w:val="28"/>
          <w:highlight w:val="none"/>
          <w:lang w:val="en-US" w:eastAsia="zh-CN" w:bidi="ar-SA"/>
        </w:rPr>
        <w:t>（七）合同授予</w:t>
      </w:r>
      <w:bookmarkEnd w:id="147"/>
      <w:bookmarkEnd w:id="148"/>
      <w:bookmarkEnd w:id="149"/>
      <w:bookmarkEnd w:id="150"/>
      <w:bookmarkEnd w:id="151"/>
      <w:bookmarkEnd w:id="152"/>
      <w:bookmarkEnd w:id="153"/>
    </w:p>
    <w:p w14:paraId="362EA45E">
      <w:pPr>
        <w:spacing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lang w:eastAsia="zh-CN"/>
        </w:rPr>
        <w:t>1.</w:t>
      </w:r>
      <w:r>
        <w:rPr>
          <w:rFonts w:hint="eastAsia" w:ascii="仿宋" w:hAnsi="仿宋" w:eastAsia="仿宋" w:cs="仿宋"/>
          <w:b/>
          <w:color w:val="auto"/>
          <w:sz w:val="24"/>
          <w:szCs w:val="24"/>
          <w:highlight w:val="none"/>
        </w:rPr>
        <w:t>合同签订</w:t>
      </w:r>
    </w:p>
    <w:p w14:paraId="0B6BF618">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采购人应当自《中标通知书》发出之日起二十日内，按照招标文件和中标供应商投标文件的约定，与中标供应商签订合同。所签订的合同不得对招标文件和中标供应商投标文件作实质性修改。超过30天尚未完成政府采购合同签订的政府采购项目，采购人应当登录新疆政府采购网，填报未能依法签订政府采购合同的具体原因、整改措施和预计签订合同时间等信息。</w:t>
      </w:r>
    </w:p>
    <w:p w14:paraId="4D903071">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1.2采购人不得提出试用合格等任何不合理的要求作为签订合同的条件，且不得与中标供应商私下订立背离合同实质性内容的协议。</w:t>
      </w:r>
    </w:p>
    <w:p w14:paraId="64FB0653">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1.3采购人应当自政府采购合同签订之日起2个工作日内，将政府采购合同在省级以上人民政府财政部门指定的媒体上公告，但政府采购合同中涉及国家秘密、商业秘密的内容除外。</w:t>
      </w:r>
    </w:p>
    <w:p w14:paraId="0DCA9497">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采购人应当自政府采购合同签订之日起2个工作日内，登录新疆政府采购网上传政府采购合同扫描版，如实填报政府采购合同的签订时间。依法签订的补充合同，也应在补充合同签订之日起2个工作日内公开并备案采购合同。</w:t>
      </w:r>
    </w:p>
    <w:p w14:paraId="7D2EE3A6">
      <w:pPr>
        <w:spacing w:line="360" w:lineRule="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lang w:eastAsia="zh-CN"/>
        </w:rPr>
        <w:t>2.</w:t>
      </w:r>
      <w:r>
        <w:rPr>
          <w:rFonts w:hint="eastAsia" w:ascii="仿宋" w:hAnsi="仿宋" w:eastAsia="仿宋" w:cs="仿宋"/>
          <w:b/>
          <w:color w:val="auto"/>
          <w:sz w:val="24"/>
          <w:szCs w:val="24"/>
          <w:highlight w:val="none"/>
        </w:rPr>
        <w:t>合同的履行</w:t>
      </w:r>
    </w:p>
    <w:p w14:paraId="6CBFB634">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政府采购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177C2522">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新疆政府采购网上传备案。</w:t>
      </w:r>
    </w:p>
    <w:p w14:paraId="03FD6278">
      <w:pPr>
        <w:spacing w:line="360" w:lineRule="auto"/>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2.3有融资要求的中标供应商可根据自身情况，在新疆政府采购网上自行选择金融机构及其融资产品，凭政府采购中标通知书或政府采购合同向金融机构提出融资申请。</w:t>
      </w:r>
    </w:p>
    <w:p w14:paraId="589F745C">
      <w:pPr>
        <w:snapToGrid w:val="0"/>
        <w:spacing w:line="360" w:lineRule="auto"/>
        <w:ind w:firstLine="562" w:firstLineChars="200"/>
        <w:jc w:val="center"/>
        <w:outlineLvl w:val="1"/>
        <w:rPr>
          <w:rFonts w:hint="eastAsia" w:ascii="宋体" w:hAnsi="宋体" w:eastAsia="宋体" w:cs="宋体"/>
          <w:b/>
          <w:bCs/>
          <w:color w:val="auto"/>
          <w:kern w:val="2"/>
          <w:sz w:val="28"/>
          <w:szCs w:val="28"/>
          <w:highlight w:val="none"/>
          <w:lang w:val="en-US" w:eastAsia="zh-CN" w:bidi="ar-SA"/>
        </w:rPr>
      </w:pPr>
      <w:bookmarkStart w:id="154" w:name="_Toc17664"/>
      <w:bookmarkStart w:id="155" w:name="_Toc115436070"/>
      <w:bookmarkStart w:id="156" w:name="_Toc18703"/>
      <w:bookmarkStart w:id="157" w:name="_Toc28496"/>
    </w:p>
    <w:p w14:paraId="67DA0F3A">
      <w:pPr>
        <w:snapToGrid w:val="0"/>
        <w:spacing w:line="360" w:lineRule="auto"/>
        <w:ind w:firstLine="562" w:firstLineChars="200"/>
        <w:jc w:val="center"/>
        <w:outlineLvl w:val="1"/>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8"/>
          <w:szCs w:val="28"/>
          <w:highlight w:val="none"/>
          <w:lang w:val="en-US" w:eastAsia="zh-CN" w:bidi="ar-SA"/>
        </w:rPr>
        <w:t>（八）法律责任</w:t>
      </w:r>
      <w:bookmarkEnd w:id="154"/>
      <w:bookmarkEnd w:id="155"/>
    </w:p>
    <w:p w14:paraId="043BCC25">
      <w:pPr>
        <w:shd w:val="clear" w:color="auto" w:fill="auto"/>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法律责任</w:t>
      </w:r>
    </w:p>
    <w:p w14:paraId="27DDA2C1">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投标人有下列情形之一的，处以政府采购项目采购金额千分之五以上千分之十以下的罚款，列入不良行为记录名单，在一至三年内禁止参加政府采购活动，并予以公告；有违法所得的，没收违法所得；情节严重的，由工商行政管理机关吊销营业执照；构成犯罪的，依法追究刑事责任：</w:t>
      </w:r>
    </w:p>
    <w:p w14:paraId="358CCA25">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（一）提供虚假材料谋取中标的；</w:t>
      </w:r>
    </w:p>
    <w:p w14:paraId="44A83D1C">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（二）采取不正当手段诋毁、排挤其他投标人的；</w:t>
      </w:r>
    </w:p>
    <w:p w14:paraId="0CB89EA2">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（三）与招标人、采购人、其他投标人恶意串通的；</w:t>
      </w:r>
    </w:p>
    <w:p w14:paraId="1E2D917F">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（四）向招标人、采购人行贿或者提供其他不正当利益的；</w:t>
      </w:r>
    </w:p>
    <w:p w14:paraId="32D70FFB">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（五）在招标过程中与招标人、采购人进行协商谈判、不按照招标文件、投标文件订立合同，或者与采购人另行订立背离合同实质性内容的协议的；</w:t>
      </w:r>
    </w:p>
    <w:p w14:paraId="06A0EE26">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（六）拒绝有关部门监督检查或者提供虚假情况的。</w:t>
      </w:r>
    </w:p>
    <w:p w14:paraId="77BDF203">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投标人有前款第（一）至（五）项情形之一的，中标无效。</w:t>
      </w:r>
    </w:p>
    <w:p w14:paraId="19655CFC">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2.中标人有下列情形之一的，招标人不予退还其交纳的投标保证金；情节严重的，由财政部门将其列入不良行为记录名单，在一至三年内禁止参加政府采购活动，并予以通报：</w:t>
      </w:r>
    </w:p>
    <w:p w14:paraId="1CCB640F">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（一）中标后无正当理由不与采购人签订合同的；</w:t>
      </w:r>
    </w:p>
    <w:p w14:paraId="1F17367C">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（二）将中标项目转让给他人，或者在投标文件中未说明，且未经招标人同意，将中标项目分包给他人的；</w:t>
      </w:r>
    </w:p>
    <w:p w14:paraId="4289B6F5">
      <w:pPr>
        <w:pStyle w:val="45"/>
        <w:snapToGrid w:val="0"/>
        <w:spacing w:line="360" w:lineRule="auto"/>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（三）拒绝履行合同义务的。</w:t>
      </w:r>
    </w:p>
    <w:p w14:paraId="6F8079C6">
      <w:pPr>
        <w:rPr>
          <w:rFonts w:hint="eastAsia"/>
          <w:lang w:val="en-US" w:eastAsia="zh-CN"/>
        </w:rPr>
      </w:pPr>
    </w:p>
    <w:p w14:paraId="04725973">
      <w:pPr>
        <w:numPr>
          <w:ilvl w:val="0"/>
          <w:numId w:val="6"/>
        </w:numPr>
        <w:shd w:val="clear" w:color="auto" w:fill="auto"/>
        <w:spacing w:line="460" w:lineRule="exact"/>
        <w:ind w:leftChars="-50" w:right="62" w:rightChars="0"/>
        <w:jc w:val="center"/>
        <w:outlineLvl w:val="1"/>
        <w:rPr>
          <w:rFonts w:hint="eastAsia" w:ascii="仿宋" w:hAnsi="仿宋" w:eastAsia="仿宋" w:cs="仿宋"/>
          <w:b/>
          <w:color w:val="auto"/>
          <w:sz w:val="28"/>
          <w:szCs w:val="28"/>
          <w:highlight w:val="none"/>
        </w:rPr>
      </w:pPr>
      <w:bookmarkStart w:id="158" w:name="_Toc115436071"/>
      <w:bookmarkStart w:id="159" w:name="_Toc5688"/>
      <w:r>
        <w:rPr>
          <w:rFonts w:hint="eastAsia" w:ascii="仿宋" w:hAnsi="仿宋" w:eastAsia="仿宋" w:cs="仿宋"/>
          <w:b/>
          <w:color w:val="auto"/>
          <w:sz w:val="28"/>
          <w:szCs w:val="28"/>
          <w:highlight w:val="none"/>
        </w:rPr>
        <w:t>特别提示</w:t>
      </w:r>
      <w:bookmarkEnd w:id="156"/>
      <w:bookmarkEnd w:id="157"/>
      <w:bookmarkEnd w:id="158"/>
      <w:bookmarkEnd w:id="159"/>
    </w:p>
    <w:p w14:paraId="2CF1C181">
      <w:pPr>
        <w:numPr>
          <w:ilvl w:val="0"/>
          <w:numId w:val="0"/>
        </w:numPr>
        <w:shd w:val="clear" w:color="auto" w:fill="auto"/>
        <w:spacing w:line="460" w:lineRule="exact"/>
        <w:ind w:right="62" w:rightChars="0"/>
        <w:jc w:val="both"/>
        <w:outlineLvl w:val="1"/>
        <w:rPr>
          <w:rFonts w:hint="eastAsia" w:ascii="仿宋" w:hAnsi="仿宋" w:eastAsia="仿宋" w:cs="仿宋"/>
          <w:b/>
          <w:color w:val="auto"/>
          <w:sz w:val="28"/>
          <w:szCs w:val="28"/>
          <w:highlight w:val="none"/>
        </w:rPr>
      </w:pPr>
    </w:p>
    <w:p w14:paraId="7A77F662">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1.投标人应认真研读招标文件，充分考虑招标文件中的技术要求和合同条款后编制投标文件。</w:t>
      </w:r>
    </w:p>
    <w:p w14:paraId="5CBD9238">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2.如招标文件中未提供的各类表格样式，投标人可另行设计表格样式，但力求内容完整，表达清晰、准确。</w:t>
      </w:r>
    </w:p>
    <w:p w14:paraId="2C22DD98">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3.本项目实行网上投标，采用电子投标文件。若供应商参与投标，自行承担投标一切费用。</w:t>
      </w:r>
    </w:p>
    <w:p w14:paraId="69F8806D">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4.各供应商应在开标前确保成为正式注册入库供应商，并完成CA数字证书申领。因未注册入库、未办理CA数字证书等原因造成无法投标或投标失败等后果由供应商自行承担。</w:t>
      </w:r>
    </w:p>
    <w:p w14:paraId="5CB20D66">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007F0866">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400-881-7190进行咨询。</w:t>
      </w:r>
    </w:p>
    <w:p w14:paraId="62CD6398">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7.本招标文件是根据《中华人民共和国招标投标法》规定编制的，解释权属新疆宣烨项目管理咨询有限公司。</w:t>
      </w:r>
    </w:p>
    <w:p w14:paraId="16D0D61D">
      <w:pPr>
        <w:numPr>
          <w:ilvl w:val="0"/>
          <w:numId w:val="0"/>
        </w:numPr>
        <w:shd w:val="clear" w:color="auto" w:fill="auto"/>
        <w:spacing w:line="460" w:lineRule="exact"/>
        <w:ind w:leftChars="-50" w:right="62" w:rightChars="0"/>
        <w:jc w:val="center"/>
        <w:outlineLvl w:val="1"/>
        <w:rPr>
          <w:rFonts w:hint="eastAsia" w:ascii="宋体" w:hAnsi="宋体" w:eastAsia="宋体" w:cs="宋体"/>
          <w:b/>
          <w:bCs/>
          <w:color w:val="auto"/>
          <w:kern w:val="2"/>
          <w:sz w:val="28"/>
          <w:szCs w:val="28"/>
          <w:highlight w:val="none"/>
          <w:lang w:val="en-US" w:eastAsia="zh-CN" w:bidi="ar-SA"/>
        </w:rPr>
      </w:pPr>
      <w:bookmarkStart w:id="160" w:name="_Toc115436072"/>
      <w:bookmarkStart w:id="161" w:name="_Toc4516"/>
    </w:p>
    <w:p w14:paraId="478F291A">
      <w:pPr>
        <w:numPr>
          <w:ilvl w:val="0"/>
          <w:numId w:val="6"/>
        </w:numPr>
        <w:shd w:val="clear" w:color="auto" w:fill="auto"/>
        <w:spacing w:line="460" w:lineRule="exact"/>
        <w:ind w:left="36" w:leftChars="-50" w:right="62" w:rightChars="0" w:hanging="141" w:hangingChars="50"/>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重新招标和其他方式采购</w:t>
      </w:r>
      <w:bookmarkEnd w:id="160"/>
      <w:bookmarkEnd w:id="161"/>
    </w:p>
    <w:p w14:paraId="7ADB8E4A">
      <w:pPr>
        <w:numPr>
          <w:ilvl w:val="0"/>
          <w:numId w:val="0"/>
        </w:numPr>
        <w:shd w:val="clear" w:color="auto" w:fill="auto"/>
        <w:spacing w:line="460" w:lineRule="exact"/>
        <w:ind w:right="62" w:rightChars="0"/>
        <w:jc w:val="both"/>
        <w:outlineLvl w:val="1"/>
        <w:rPr>
          <w:rFonts w:hint="eastAsia" w:ascii="仿宋" w:hAnsi="仿宋" w:eastAsia="仿宋" w:cs="仿宋"/>
          <w:b/>
          <w:color w:val="auto"/>
          <w:sz w:val="28"/>
          <w:szCs w:val="28"/>
          <w:highlight w:val="none"/>
        </w:rPr>
      </w:pPr>
    </w:p>
    <w:p w14:paraId="6DCD64B8">
      <w:pPr>
        <w:shd w:val="clear" w:color="auto" w:fill="auto"/>
        <w:spacing w:line="46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1.重新招标</w:t>
      </w:r>
    </w:p>
    <w:p w14:paraId="1A1525C8">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1.1在招标采购中，出现下列情形之一的，应当在废标后重新招标：</w:t>
      </w:r>
    </w:p>
    <w:p w14:paraId="24E3DECB">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（1）符合专业条件的供应商或者对招标文件作实质响应的供应商不足三家的；</w:t>
      </w:r>
    </w:p>
    <w:p w14:paraId="43D2374E">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（2）出现影响采购公正的违法、违规行为的；</w:t>
      </w:r>
    </w:p>
    <w:p w14:paraId="74F27F19">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（3）投标人的报价均超过了采购预算，采购人不能支付的；</w:t>
      </w:r>
    </w:p>
    <w:p w14:paraId="58AB9E83">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（4）因重大变故，采购任务取消的。</w:t>
      </w:r>
    </w:p>
    <w:p w14:paraId="44FA710E">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1.2如果排名第一、二的中标候选人，直至排名第三的中标候选人因不可抗力或自身原因放弃中标结果，本次招标宣布失败。招标人应依法按规定重新组织招标。</w:t>
      </w:r>
    </w:p>
    <w:p w14:paraId="71BB9F9D">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2.其他方式采购</w:t>
      </w:r>
    </w:p>
    <w:p w14:paraId="6DAE7D5F">
      <w:pPr>
        <w:shd w:val="clear" w:color="auto" w:fill="auto"/>
        <w:spacing w:line="460" w:lineRule="exact"/>
        <w:ind w:left="0" w:leftChars="0"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2.1需要采取其他方式采购的，应当在采购活动开始前获得设区的市、自治州以上人民政府采购监督管理部门或者政府有关部门批准。</w:t>
      </w:r>
    </w:p>
    <w:p w14:paraId="4604D4FB">
      <w:pPr>
        <w:shd w:val="clear" w:color="auto" w:fill="auto"/>
        <w:spacing w:line="460" w:lineRule="exact"/>
        <w:jc w:val="center"/>
        <w:outlineLvl w:val="1"/>
        <w:rPr>
          <w:rFonts w:hint="eastAsia" w:ascii="宋体" w:hAnsi="宋体" w:eastAsia="宋体" w:cs="宋体"/>
          <w:b/>
          <w:bCs/>
          <w:color w:val="auto"/>
          <w:kern w:val="2"/>
          <w:sz w:val="28"/>
          <w:szCs w:val="28"/>
          <w:highlight w:val="none"/>
          <w:lang w:val="en-US" w:eastAsia="zh-CN" w:bidi="ar-SA"/>
        </w:rPr>
      </w:pPr>
      <w:bookmarkStart w:id="162" w:name="_Toc115436073"/>
      <w:bookmarkStart w:id="163" w:name="_Toc26775"/>
      <w:bookmarkStart w:id="164" w:name="_Toc2805"/>
      <w:bookmarkStart w:id="165" w:name="_Toc13351"/>
    </w:p>
    <w:p w14:paraId="1D088950">
      <w:pPr>
        <w:numPr>
          <w:ilvl w:val="0"/>
          <w:numId w:val="6"/>
        </w:numPr>
        <w:shd w:val="clear" w:color="auto" w:fill="auto"/>
        <w:spacing w:line="460" w:lineRule="exact"/>
        <w:ind w:left="36" w:leftChars="-50" w:hanging="141" w:hangingChars="50"/>
        <w:jc w:val="center"/>
        <w:outlineLvl w:val="1"/>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质疑及答复</w:t>
      </w:r>
      <w:bookmarkEnd w:id="162"/>
      <w:bookmarkEnd w:id="163"/>
      <w:bookmarkEnd w:id="164"/>
      <w:bookmarkEnd w:id="165"/>
      <w:r>
        <w:rPr>
          <w:rFonts w:hint="eastAsia" w:ascii="仿宋" w:hAnsi="仿宋" w:eastAsia="仿宋" w:cs="仿宋"/>
          <w:b/>
          <w:color w:val="auto"/>
          <w:sz w:val="28"/>
          <w:szCs w:val="28"/>
          <w:highlight w:val="none"/>
          <w:lang w:eastAsia="zh-CN"/>
        </w:rPr>
        <w:t>、</w:t>
      </w:r>
      <w:r>
        <w:rPr>
          <w:rFonts w:hint="eastAsia" w:ascii="仿宋" w:hAnsi="仿宋" w:eastAsia="仿宋" w:cs="仿宋"/>
          <w:b/>
          <w:color w:val="auto"/>
          <w:sz w:val="28"/>
          <w:szCs w:val="28"/>
          <w:highlight w:val="none"/>
          <w:lang w:val="en-US" w:eastAsia="zh-CN"/>
        </w:rPr>
        <w:t>投诉</w:t>
      </w:r>
    </w:p>
    <w:p w14:paraId="3B7B19F7">
      <w:pPr>
        <w:numPr>
          <w:ilvl w:val="0"/>
          <w:numId w:val="0"/>
        </w:numPr>
        <w:shd w:val="clear" w:color="auto" w:fill="auto"/>
        <w:spacing w:line="460" w:lineRule="exact"/>
        <w:ind w:leftChars="-100" w:right="62" w:rightChars="0"/>
        <w:jc w:val="both"/>
        <w:outlineLvl w:val="1"/>
        <w:rPr>
          <w:rFonts w:hint="eastAsia" w:ascii="仿宋" w:hAnsi="仿宋" w:eastAsia="仿宋" w:cs="仿宋"/>
          <w:b/>
          <w:color w:val="auto"/>
          <w:sz w:val="28"/>
          <w:szCs w:val="28"/>
          <w:highlight w:val="none"/>
          <w:lang w:val="en-US" w:eastAsia="zh-CN"/>
        </w:rPr>
      </w:pPr>
    </w:p>
    <w:p w14:paraId="5961AC5A">
      <w:pPr>
        <w:shd w:val="clear" w:color="auto" w:fill="auto"/>
        <w:spacing w:line="400" w:lineRule="exac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质疑的提出</w:t>
      </w:r>
      <w:r>
        <w:rPr>
          <w:rFonts w:hint="eastAsia" w:ascii="仿宋" w:hAnsi="仿宋" w:eastAsia="仿宋" w:cs="仿宋"/>
          <w:color w:val="auto"/>
          <w:sz w:val="24"/>
          <w:szCs w:val="24"/>
          <w:highlight w:val="none"/>
        </w:rPr>
        <w:tab/>
      </w:r>
    </w:p>
    <w:p w14:paraId="7CA01FD1">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1本采购文件中所称质疑及答复，是指参加本次采购活动的供应商对政府采购活动中的采购文件、采购过程和中标结果向采购方</w:t>
      </w:r>
      <w:r>
        <w:rPr>
          <w:rFonts w:hint="eastAsia" w:ascii="仿宋" w:hAnsi="仿宋" w:eastAsia="仿宋" w:cs="仿宋"/>
          <w:color w:val="auto"/>
          <w:sz w:val="24"/>
          <w:szCs w:val="24"/>
          <w:highlight w:val="none"/>
          <w:lang w:eastAsia="zh-CN"/>
        </w:rPr>
        <w:t>一次性</w:t>
      </w:r>
      <w:r>
        <w:rPr>
          <w:rFonts w:hint="eastAsia" w:ascii="仿宋" w:hAnsi="仿宋" w:eastAsia="仿宋" w:cs="仿宋"/>
          <w:color w:val="auto"/>
          <w:sz w:val="24"/>
          <w:szCs w:val="24"/>
          <w:highlight w:val="none"/>
        </w:rPr>
        <w:t>提出质疑，采购方答复质疑的行为。</w:t>
      </w:r>
    </w:p>
    <w:p w14:paraId="159F5008">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.2供应商认为采购文件、采购过程和中标结果使自己的权益受到损害的，可以在知道或者应知其权益受到损害之日起7个工作日内，以书面形式</w:t>
      </w:r>
      <w:r>
        <w:rPr>
          <w:rFonts w:hint="eastAsia" w:ascii="仿宋" w:hAnsi="仿宋" w:eastAsia="仿宋" w:cs="仿宋"/>
          <w:color w:val="auto"/>
          <w:sz w:val="24"/>
          <w:szCs w:val="24"/>
          <w:highlight w:val="none"/>
          <w:lang w:eastAsia="zh-CN"/>
        </w:rPr>
        <w:t>一次性</w:t>
      </w:r>
      <w:r>
        <w:rPr>
          <w:rFonts w:hint="eastAsia" w:ascii="仿宋" w:hAnsi="仿宋" w:eastAsia="仿宋" w:cs="仿宋"/>
          <w:color w:val="auto"/>
          <w:sz w:val="24"/>
          <w:szCs w:val="24"/>
          <w:highlight w:val="none"/>
        </w:rPr>
        <w:t>向采购方</w:t>
      </w:r>
      <w:r>
        <w:rPr>
          <w:rFonts w:hint="eastAsia" w:ascii="仿宋" w:hAnsi="仿宋" w:eastAsia="仿宋" w:cs="仿宋"/>
          <w:color w:val="auto"/>
          <w:sz w:val="24"/>
          <w:szCs w:val="24"/>
          <w:highlight w:val="none"/>
          <w:lang w:eastAsia="zh-CN"/>
        </w:rPr>
        <w:t>质疑</w:t>
      </w:r>
      <w:r>
        <w:rPr>
          <w:rFonts w:hint="eastAsia" w:ascii="仿宋" w:hAnsi="仿宋" w:eastAsia="仿宋" w:cs="仿宋"/>
          <w:color w:val="auto"/>
          <w:sz w:val="24"/>
          <w:szCs w:val="24"/>
          <w:highlight w:val="none"/>
        </w:rPr>
        <w:t>。</w:t>
      </w:r>
    </w:p>
    <w:p w14:paraId="34980783">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供应商应知其权益受到损害之日，是指：</w:t>
      </w:r>
    </w:p>
    <w:p w14:paraId="53787A6E">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（一）对可以质疑的采购文件提出质疑的，为收到采购文件之日或者采购文件公告期限届满之日；</w:t>
      </w:r>
    </w:p>
    <w:p w14:paraId="1A2B6501">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（二）对采购过程提出质疑的，为各采购程序环节结束之日；</w:t>
      </w:r>
    </w:p>
    <w:p w14:paraId="5AECC589">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（三）对中标结果提出质疑的，为中标结果公告期限届满之日。</w:t>
      </w:r>
    </w:p>
    <w:p w14:paraId="3AA1DD8B">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对可以质疑的采购文件提出质疑的，质疑人为参与本项目的报价方或潜在报价方。可质疑的文件为采购公告以及采购文件（包括属于其组成部分的澄清、修改、补充文件和评审标准、合同文本等）。</w:t>
      </w:r>
    </w:p>
    <w:p w14:paraId="70181A5D">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对采购过程和中标结果提出质疑的，质疑人为直接参与本项目的报价方。采购过程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即从采购项目信息公告发布起到中标结果公告止，包括采购文件的发出、提交投标文件、投标文件开启、评审等各个采购程序环节。</w:t>
      </w:r>
    </w:p>
    <w:p w14:paraId="098E58E3">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提出质疑应当符合下列条件：</w:t>
      </w:r>
    </w:p>
    <w:p w14:paraId="5A607140">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（一）质疑主体应当符合有关规定；</w:t>
      </w:r>
    </w:p>
    <w:p w14:paraId="6609D92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（二）在质疑法定期限内提出；</w:t>
      </w:r>
    </w:p>
    <w:p w14:paraId="50F663BF">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（三）属于可以提出质疑的政府采购事项受理范围和本项目采购人的管辖权范围；</w:t>
      </w:r>
    </w:p>
    <w:p w14:paraId="68135715">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（四）政府采购</w:t>
      </w:r>
      <w:r>
        <w:rPr>
          <w:rFonts w:hint="eastAsia" w:ascii="仿宋" w:hAnsi="仿宋" w:eastAsia="仿宋" w:cs="仿宋"/>
          <w:color w:val="auto"/>
          <w:sz w:val="24"/>
          <w:szCs w:val="24"/>
          <w:highlight w:val="none"/>
          <w:lang w:eastAsia="zh-CN"/>
        </w:rPr>
        <w:t>法律法规</w:t>
      </w:r>
      <w:r>
        <w:rPr>
          <w:rFonts w:hint="eastAsia" w:ascii="仿宋" w:hAnsi="仿宋" w:eastAsia="仿宋" w:cs="仿宋"/>
          <w:color w:val="auto"/>
          <w:sz w:val="24"/>
          <w:szCs w:val="24"/>
          <w:highlight w:val="none"/>
        </w:rPr>
        <w:t>、规章规定的其他条件。</w:t>
      </w:r>
    </w:p>
    <w:p w14:paraId="5E3A30AB">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rPr>
        <w:t>提出质疑应当具有明确的请求和提供必要的证明材料。明确的请求</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即质疑人在质疑函中提出的，要求采购方对其予以支持的主张。必要的证明材料</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即能够证明质疑人的质疑请求成立的必要材料，包括相关证据、依据和其他有关材料。</w:t>
      </w:r>
    </w:p>
    <w:p w14:paraId="6326B2A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质疑人所提供的证明材料应当具有真实性、合法性以及与质疑事项的关联性和证明力，否则不能作为认定该质疑事项成立的依据。</w:t>
      </w:r>
    </w:p>
    <w:p w14:paraId="21F6EB05">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1.9</w:t>
      </w:r>
      <w:r>
        <w:rPr>
          <w:rFonts w:hint="eastAsia" w:ascii="仿宋" w:hAnsi="仿宋" w:eastAsia="仿宋" w:cs="仿宋"/>
          <w:color w:val="auto"/>
          <w:sz w:val="24"/>
          <w:szCs w:val="24"/>
          <w:highlight w:val="none"/>
        </w:rPr>
        <w:t>质疑人提出质疑时应当提交质疑函。质疑函包括下列内容：</w:t>
      </w:r>
    </w:p>
    <w:p w14:paraId="44E6711E">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（一）提出质疑的质疑人的名称、地址、邮编、联系人及联系电话等；</w:t>
      </w:r>
    </w:p>
    <w:p w14:paraId="010B9859">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（二）质疑项目的名称、编号；</w:t>
      </w:r>
    </w:p>
    <w:p w14:paraId="2D96900B">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w:t>
      </w:r>
    </w:p>
    <w:p w14:paraId="553FD8CE">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（四）事实依据和证明材料；</w:t>
      </w:r>
    </w:p>
    <w:p w14:paraId="75474DD5">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（五）法律依据；</w:t>
      </w:r>
    </w:p>
    <w:p w14:paraId="20895D66">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（六）提出质疑的日期。</w:t>
      </w:r>
    </w:p>
    <w:p w14:paraId="03F86C17">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1.10</w:t>
      </w:r>
      <w:r>
        <w:rPr>
          <w:rFonts w:hint="eastAsia" w:ascii="仿宋" w:hAnsi="仿宋" w:eastAsia="仿宋" w:cs="仿宋"/>
          <w:color w:val="auto"/>
          <w:sz w:val="24"/>
          <w:szCs w:val="24"/>
          <w:highlight w:val="none"/>
        </w:rPr>
        <w:t>质疑函采用实名制。质疑人为自然人的应当由本人签字，并附有效身份证明文件；质疑人为法人或者非法人组织的应当由法定代表人或者负责人签字并加盖公章，并附有效身份证明文件。</w:t>
      </w:r>
    </w:p>
    <w:p w14:paraId="24499DC6">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1.11</w:t>
      </w:r>
      <w:r>
        <w:rPr>
          <w:rFonts w:hint="eastAsia" w:ascii="仿宋" w:hAnsi="仿宋" w:eastAsia="仿宋" w:cs="仿宋"/>
          <w:color w:val="auto"/>
          <w:sz w:val="24"/>
          <w:szCs w:val="24"/>
          <w:highlight w:val="none"/>
        </w:rPr>
        <w:t>质疑人可以委托代理人进行质疑。代理人应当提交授权委托书。授权委托书应当载明委托代理的具体权限、期限和相关事项。</w:t>
      </w:r>
    </w:p>
    <w:p w14:paraId="4798B52C">
      <w:pPr>
        <w:shd w:val="clear" w:color="auto" w:fill="auto"/>
        <w:spacing w:line="400" w:lineRule="exact"/>
        <w:ind w:left="0" w:leftChars="0" w:firstLine="0" w:firstLineChars="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质疑的审查和受理</w:t>
      </w:r>
    </w:p>
    <w:p w14:paraId="00B22210">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.1采购方在收到质疑函后应当及时审查是否符合质疑受理条件，对符合质疑受理条件的，及时予以受理。</w:t>
      </w:r>
    </w:p>
    <w:p w14:paraId="5D1D4741">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.2对不符合质疑受理条件的，分别按照下列不同情形予以处理：</w:t>
      </w:r>
    </w:p>
    <w:p w14:paraId="55BF9B3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（一）质疑函内容不符合规定的，告知质疑人进行修改并重新</w:t>
      </w:r>
      <w:r>
        <w:rPr>
          <w:rFonts w:hint="eastAsia" w:ascii="仿宋" w:hAnsi="仿宋" w:eastAsia="仿宋" w:cs="仿宋"/>
          <w:color w:val="auto"/>
          <w:sz w:val="24"/>
          <w:szCs w:val="24"/>
          <w:highlight w:val="none"/>
          <w:lang w:eastAsia="zh-CN"/>
        </w:rPr>
        <w:t>质疑</w:t>
      </w:r>
      <w:r>
        <w:rPr>
          <w:rFonts w:hint="eastAsia" w:ascii="仿宋" w:hAnsi="仿宋" w:eastAsia="仿宋" w:cs="仿宋"/>
          <w:color w:val="auto"/>
          <w:sz w:val="24"/>
          <w:szCs w:val="24"/>
          <w:highlight w:val="none"/>
        </w:rPr>
        <w:t>。修改后质疑事项仍不具体、不明确或者最终递交质疑函的时间超过质疑法定期限的，不予受理；</w:t>
      </w:r>
    </w:p>
    <w:p w14:paraId="43A3A74D">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（二）质疑主体不符合有关规定的，告知质疑人不予受理；</w:t>
      </w:r>
    </w:p>
    <w:p w14:paraId="4997A8CC">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（三）超过质疑法定期限提出质疑的，告知质疑人不予受理；</w:t>
      </w:r>
    </w:p>
    <w:p w14:paraId="024C0F0A">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（四）对不属于可以提出质疑的政府采购事项提出质疑的，告知质疑人不予受理；</w:t>
      </w:r>
    </w:p>
    <w:p w14:paraId="5511824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（五）质疑不属于本项目采购方管辖的，告知质疑人向有管辖权的采购人提出质疑；</w:t>
      </w:r>
    </w:p>
    <w:p w14:paraId="04ECB786">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（六）质疑不符合其他条件的，告知质疑人不予受理。</w:t>
      </w:r>
    </w:p>
    <w:p w14:paraId="4A5EEDA3">
      <w:pPr>
        <w:shd w:val="clear" w:color="auto" w:fill="auto"/>
        <w:spacing w:line="400" w:lineRule="exact"/>
        <w:ind w:left="0" w:leftChars="0" w:firstLine="0" w:firstLineChars="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质疑的处理和答复</w:t>
      </w:r>
    </w:p>
    <w:p w14:paraId="6E4EFD25">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.1按照《政府采购质疑和投诉办法（财政部94号令）》处理及答复质疑。</w:t>
      </w:r>
    </w:p>
    <w:p w14:paraId="57B14637">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.2采购方受理质疑后，将及时把质疑函发送给被质疑人，并要求其在一定限期</w:t>
      </w:r>
      <w:r>
        <w:rPr>
          <w:rFonts w:hint="eastAsia" w:ascii="仿宋" w:hAnsi="仿宋" w:eastAsia="仿宋" w:cs="仿宋"/>
          <w:color w:val="auto"/>
          <w:sz w:val="24"/>
          <w:szCs w:val="24"/>
          <w:highlight w:val="none"/>
          <w:lang w:eastAsia="zh-CN"/>
        </w:rPr>
        <w:t>内</w:t>
      </w:r>
      <w:r>
        <w:rPr>
          <w:rFonts w:hint="eastAsia" w:ascii="仿宋" w:hAnsi="仿宋" w:eastAsia="仿宋" w:cs="仿宋"/>
          <w:color w:val="auto"/>
          <w:sz w:val="24"/>
          <w:szCs w:val="24"/>
          <w:highlight w:val="none"/>
        </w:rPr>
        <w:t>提交书面答复，同时提供有关证据、依据和相关材料。</w:t>
      </w:r>
    </w:p>
    <w:p w14:paraId="76E80438">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.3对于质疑事项中涉及的问题较多、情况比较复杂的，为了全面查清事实、取得充分的证据，采购方认为有必要时，可以进行调查取证或者组织质证。</w:t>
      </w:r>
    </w:p>
    <w:p w14:paraId="194D607D">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.4对评审过程、中标结果提出质疑的，采购方可以组织原评审委员会协助答复质疑。</w:t>
      </w:r>
    </w:p>
    <w:p w14:paraId="72825E2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.5质疑处理过程中，质疑人书面申请撤回质疑的，将终止质疑处理程序。</w:t>
      </w:r>
    </w:p>
    <w:p w14:paraId="134195A3">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.6质疑人拒绝配合采购方依法对质疑进行调查处理的，采购方将按质疑人自动撤回质疑处理；被质疑人拒绝配合采购方依法对质疑进行调查处理的，采购方将视同其认可质疑事项。</w:t>
      </w:r>
    </w:p>
    <w:p w14:paraId="3740E96A">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.7采购方将在正式受理质疑后7个工作日内作出答复，但处理质疑需要进行调查取证、组织专家评审、质疑人及被质疑人提交或补正材料等所需时间，不计算在质疑处理期限内。</w:t>
      </w:r>
    </w:p>
    <w:p w14:paraId="5C72377F">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.8采购方经调查、论证、核实，认定质疑不能成立的，继续开展采购活动；认定质疑成立的，按照以下情况处理：</w:t>
      </w:r>
    </w:p>
    <w:p w14:paraId="0F9DBD4C">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14:paraId="660A1FF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对采购过程、中标结果提出的质疑未对中标结果构成影响的，继续开展采购活动；对中标结果构成影响但合格报价方仍不少于3家时，依法从合格的中标候选人中另行确定中标报价方，否则将重新开展采购活动。</w:t>
      </w:r>
    </w:p>
    <w:p w14:paraId="14928781">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.9采购方将书面答复质疑，质疑答复包括下列内容：</w:t>
      </w:r>
    </w:p>
    <w:p w14:paraId="16854CD0">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（一）质疑人名称；</w:t>
      </w:r>
    </w:p>
    <w:p w14:paraId="59F1BE11">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（二）收到质疑函的日期、质疑项目名称及编号</w:t>
      </w:r>
      <w:r>
        <w:rPr>
          <w:rFonts w:hint="eastAsia" w:ascii="仿宋" w:hAnsi="仿宋" w:eastAsia="仿宋" w:cs="仿宋"/>
          <w:color w:val="auto"/>
          <w:sz w:val="24"/>
          <w:szCs w:val="24"/>
          <w:highlight w:val="none"/>
          <w:lang w:eastAsia="zh-CN"/>
        </w:rPr>
        <w:t>；</w:t>
      </w:r>
    </w:p>
    <w:p w14:paraId="5FFAAC3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（三）质疑事项、质疑答复的具体内容、事实依据和法律依据；</w:t>
      </w:r>
    </w:p>
    <w:p w14:paraId="1A006FED">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（四）告知质疑人依法投诉的权利；</w:t>
      </w:r>
    </w:p>
    <w:p w14:paraId="421D201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（五）质疑答复日期。</w:t>
      </w:r>
    </w:p>
    <w:p w14:paraId="0D7E1CC6">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.10质疑人有下列行为之一的，属于虚假、恶意质疑，将由采购方建议财政部门将其列入不良行为记录名单，禁止其1至3年内参加政府采购活动：</w:t>
      </w:r>
    </w:p>
    <w:p w14:paraId="15B78234">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（一）受理后发现投诉不符合法定受理条件；</w:t>
      </w:r>
    </w:p>
    <w:p w14:paraId="2783CEE2">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（二）投诉事项缺乏事实依据，投诉事项不成立；</w:t>
      </w:r>
    </w:p>
    <w:p w14:paraId="140754BB">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（三）投诉人捏造事实或者提供虚假材料；</w:t>
      </w:r>
    </w:p>
    <w:p w14:paraId="567ECEDD">
      <w:pPr>
        <w:shd w:val="clear" w:color="auto" w:fill="auto"/>
        <w:spacing w:line="400" w:lineRule="exact"/>
        <w:ind w:left="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（四）投诉人以非法手段取得证明材料。证据来源的合法性存在明显疑问，投诉人无法证明其取得方式合法的，视为以非法手段取得证明材料。</w:t>
      </w:r>
    </w:p>
    <w:p w14:paraId="7447E108">
      <w:pPr>
        <w:shd w:val="clear" w:color="auto" w:fill="auto"/>
        <w:spacing w:line="400" w:lineRule="exact"/>
        <w:ind w:left="0" w:leftChars="0" w:firstLine="480" w:firstLineChars="200"/>
        <w:rPr>
          <w:rFonts w:hint="eastAsia" w:ascii="仿宋" w:hAnsi="仿宋" w:eastAsia="仿宋" w:cs="仿宋"/>
          <w:color w:val="auto"/>
          <w:spacing w:val="8"/>
          <w:sz w:val="24"/>
          <w:szCs w:val="24"/>
          <w:highlight w:val="none"/>
        </w:rPr>
      </w:pPr>
      <w:r>
        <w:rPr>
          <w:rFonts w:hint="eastAsia" w:ascii="仿宋" w:hAnsi="仿宋" w:eastAsia="仿宋" w:cs="仿宋"/>
          <w:color w:val="auto"/>
          <w:sz w:val="24"/>
          <w:szCs w:val="24"/>
          <w:highlight w:val="none"/>
        </w:rPr>
        <w:t>（五）法律法规规定的其他违法情形。</w:t>
      </w:r>
      <w:bookmarkStart w:id="166" w:name="_Toc110010424"/>
      <w:bookmarkStart w:id="167" w:name="_Toc1224"/>
      <w:bookmarkStart w:id="168" w:name="_Toc21178"/>
    </w:p>
    <w:p w14:paraId="499D950C">
      <w:pPr>
        <w:shd w:val="clear" w:color="auto" w:fill="auto"/>
        <w:spacing w:before="101" w:line="224" w:lineRule="auto"/>
        <w:ind w:left="0" w:leftChars="0" w:firstLine="0" w:firstLineChars="0"/>
        <w:outlineLvl w:val="2"/>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附</w:t>
      </w:r>
      <w:r>
        <w:rPr>
          <w:rFonts w:hint="eastAsia" w:ascii="仿宋" w:hAnsi="仿宋" w:eastAsia="仿宋" w:cs="仿宋"/>
          <w:color w:val="auto"/>
          <w:spacing w:val="6"/>
          <w:sz w:val="24"/>
          <w:szCs w:val="24"/>
          <w:highlight w:val="none"/>
        </w:rPr>
        <w:t>件：质疑函范本</w:t>
      </w:r>
      <w:bookmarkEnd w:id="166"/>
      <w:bookmarkEnd w:id="167"/>
      <w:bookmarkEnd w:id="168"/>
    </w:p>
    <w:p w14:paraId="1527CE3E">
      <w:pPr>
        <w:shd w:val="clear" w:color="auto" w:fill="auto"/>
        <w:spacing w:before="101" w:line="225" w:lineRule="auto"/>
        <w:ind w:left="3656"/>
        <w:rPr>
          <w:rFonts w:hint="eastAsia" w:ascii="仿宋" w:hAnsi="仿宋" w:eastAsia="仿宋" w:cs="仿宋"/>
          <w:color w:val="auto"/>
          <w:spacing w:val="24"/>
          <w:sz w:val="24"/>
          <w:szCs w:val="24"/>
          <w:highlight w:val="none"/>
        </w:rPr>
      </w:pPr>
      <w:r>
        <w:rPr>
          <w:rFonts w:hint="eastAsia" w:ascii="仿宋" w:hAnsi="仿宋" w:eastAsia="仿宋" w:cs="仿宋"/>
          <w:color w:val="auto"/>
          <w:spacing w:val="25"/>
          <w:sz w:val="24"/>
          <w:szCs w:val="24"/>
          <w:highlight w:val="none"/>
        </w:rPr>
        <w:t>质</w:t>
      </w:r>
      <w:r>
        <w:rPr>
          <w:rFonts w:hint="eastAsia" w:ascii="仿宋" w:hAnsi="仿宋" w:eastAsia="仿宋" w:cs="仿宋"/>
          <w:color w:val="auto"/>
          <w:spacing w:val="24"/>
          <w:sz w:val="24"/>
          <w:szCs w:val="24"/>
          <w:highlight w:val="none"/>
        </w:rPr>
        <w:t>疑函</w:t>
      </w:r>
      <w:bookmarkStart w:id="169" w:name="_Toc5896"/>
      <w:bookmarkStart w:id="170" w:name="_Toc1299"/>
      <w:bookmarkStart w:id="171" w:name="_Toc110010425"/>
      <w:bookmarkStart w:id="172" w:name="_Toc25739"/>
    </w:p>
    <w:p w14:paraId="3049B4CE">
      <w:pPr>
        <w:shd w:val="clear" w:color="auto" w:fill="auto"/>
        <w:spacing w:before="101" w:line="225" w:lineRule="auto"/>
        <w:ind w:left="3656"/>
        <w:rPr>
          <w:rFonts w:hint="eastAsia" w:ascii="仿宋" w:hAnsi="仿宋" w:eastAsia="仿宋" w:cs="仿宋"/>
          <w:color w:val="auto"/>
          <w:sz w:val="24"/>
          <w:szCs w:val="24"/>
          <w:highlight w:val="none"/>
        </w:rPr>
      </w:pPr>
      <w:r>
        <w:rPr>
          <w:rFonts w:hint="eastAsia" w:ascii="仿宋" w:hAnsi="仿宋" w:eastAsia="仿宋" w:cs="仿宋"/>
          <w:color w:val="auto"/>
          <w:spacing w:val="-2"/>
          <w:position w:val="2"/>
          <w:sz w:val="24"/>
          <w:szCs w:val="24"/>
          <w:highlight w:val="none"/>
        </w:rPr>
        <w:t>一、质</w:t>
      </w:r>
      <w:r>
        <w:rPr>
          <w:rFonts w:hint="eastAsia" w:ascii="仿宋" w:hAnsi="仿宋" w:eastAsia="仿宋" w:cs="仿宋"/>
          <w:color w:val="auto"/>
          <w:spacing w:val="-1"/>
          <w:position w:val="2"/>
          <w:sz w:val="24"/>
          <w:szCs w:val="24"/>
          <w:highlight w:val="none"/>
        </w:rPr>
        <w:t>疑供应商基本信息</w:t>
      </w:r>
      <w:bookmarkEnd w:id="169"/>
      <w:bookmarkEnd w:id="170"/>
      <w:bookmarkEnd w:id="171"/>
      <w:bookmarkEnd w:id="172"/>
    </w:p>
    <w:p w14:paraId="35551B57">
      <w:pPr>
        <w:shd w:val="clear" w:color="auto" w:fill="auto"/>
        <w:spacing w:before="77" w:line="219"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rPr>
        <w:t>质</w:t>
      </w:r>
      <w:r>
        <w:rPr>
          <w:rFonts w:hint="eastAsia" w:ascii="仿宋" w:hAnsi="仿宋" w:eastAsia="仿宋" w:cs="仿宋"/>
          <w:color w:val="auto"/>
          <w:spacing w:val="-2"/>
          <w:sz w:val="24"/>
          <w:szCs w:val="24"/>
          <w:highlight w:val="none"/>
        </w:rPr>
        <w:t>疑供应商：</w:t>
      </w:r>
    </w:p>
    <w:p w14:paraId="24591E50">
      <w:pPr>
        <w:shd w:val="clear" w:color="auto" w:fill="auto"/>
        <w:spacing w:before="212" w:line="220"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4"/>
          <w:sz w:val="24"/>
          <w:szCs w:val="24"/>
          <w:highlight w:val="none"/>
        </w:rPr>
        <w:t>邮编：</w:t>
      </w:r>
    </w:p>
    <w:p w14:paraId="1625E637">
      <w:pPr>
        <w:shd w:val="clear" w:color="auto" w:fill="auto"/>
        <w:spacing w:before="211" w:line="222"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联系人：</w:t>
      </w:r>
      <w:r>
        <w:rPr>
          <w:rFonts w:hint="eastAsia" w:ascii="仿宋" w:hAnsi="仿宋" w:eastAsia="仿宋" w:cs="仿宋"/>
          <w:color w:val="auto"/>
          <w:spacing w:val="-4"/>
          <w:sz w:val="24"/>
          <w:szCs w:val="24"/>
          <w:highlight w:val="none"/>
        </w:rPr>
        <w:t>联系电话：</w:t>
      </w:r>
    </w:p>
    <w:p w14:paraId="1F327620">
      <w:pPr>
        <w:shd w:val="clear" w:color="auto" w:fill="auto"/>
        <w:spacing w:before="205" w:line="220"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rPr>
        <w:t>授</w:t>
      </w:r>
      <w:r>
        <w:rPr>
          <w:rFonts w:hint="eastAsia" w:ascii="仿宋" w:hAnsi="仿宋" w:eastAsia="仿宋" w:cs="仿宋"/>
          <w:color w:val="auto"/>
          <w:spacing w:val="-2"/>
          <w:sz w:val="24"/>
          <w:szCs w:val="24"/>
          <w:highlight w:val="none"/>
        </w:rPr>
        <w:t>权代表：</w:t>
      </w:r>
    </w:p>
    <w:p w14:paraId="721B75C5">
      <w:pPr>
        <w:shd w:val="clear" w:color="auto" w:fill="auto"/>
        <w:spacing w:before="214" w:line="222"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联系</w:t>
      </w:r>
      <w:r>
        <w:rPr>
          <w:rFonts w:hint="eastAsia" w:ascii="仿宋" w:hAnsi="仿宋" w:eastAsia="仿宋" w:cs="仿宋"/>
          <w:color w:val="auto"/>
          <w:spacing w:val="-2"/>
          <w:sz w:val="24"/>
          <w:szCs w:val="24"/>
          <w:highlight w:val="none"/>
        </w:rPr>
        <w:t>电话：</w:t>
      </w:r>
    </w:p>
    <w:p w14:paraId="78AEDBDB">
      <w:pPr>
        <w:shd w:val="clear" w:color="auto" w:fill="auto"/>
        <w:spacing w:before="208" w:line="220"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4"/>
          <w:sz w:val="24"/>
          <w:szCs w:val="24"/>
          <w:highlight w:val="none"/>
        </w:rPr>
        <w:t>邮编：</w:t>
      </w:r>
    </w:p>
    <w:p w14:paraId="438A563A">
      <w:pPr>
        <w:shd w:val="clear" w:color="auto" w:fill="auto"/>
        <w:spacing w:before="209" w:line="371" w:lineRule="exact"/>
        <w:ind w:left="27"/>
        <w:outlineLvl w:val="2"/>
        <w:rPr>
          <w:rFonts w:hint="eastAsia" w:ascii="仿宋" w:hAnsi="仿宋" w:eastAsia="仿宋" w:cs="仿宋"/>
          <w:color w:val="auto"/>
          <w:sz w:val="24"/>
          <w:szCs w:val="24"/>
          <w:highlight w:val="none"/>
        </w:rPr>
      </w:pPr>
      <w:bookmarkStart w:id="173" w:name="_Toc110010426"/>
      <w:bookmarkStart w:id="174" w:name="_Toc3585"/>
      <w:bookmarkStart w:id="175" w:name="_Toc1061"/>
      <w:bookmarkStart w:id="176" w:name="_Toc15098"/>
      <w:r>
        <w:rPr>
          <w:rFonts w:hint="eastAsia" w:ascii="仿宋" w:hAnsi="仿宋" w:eastAsia="仿宋" w:cs="仿宋"/>
          <w:color w:val="auto"/>
          <w:spacing w:val="-2"/>
          <w:position w:val="1"/>
          <w:sz w:val="24"/>
          <w:szCs w:val="24"/>
          <w:highlight w:val="none"/>
        </w:rPr>
        <w:t>二、质疑项</w:t>
      </w:r>
      <w:r>
        <w:rPr>
          <w:rFonts w:hint="eastAsia" w:ascii="仿宋" w:hAnsi="仿宋" w:eastAsia="仿宋" w:cs="仿宋"/>
          <w:color w:val="auto"/>
          <w:spacing w:val="-1"/>
          <w:position w:val="1"/>
          <w:sz w:val="24"/>
          <w:szCs w:val="24"/>
          <w:highlight w:val="none"/>
        </w:rPr>
        <w:t>目基本情况</w:t>
      </w:r>
      <w:bookmarkEnd w:id="173"/>
      <w:bookmarkEnd w:id="174"/>
      <w:bookmarkEnd w:id="175"/>
      <w:bookmarkEnd w:id="176"/>
    </w:p>
    <w:p w14:paraId="4965AF09">
      <w:pPr>
        <w:shd w:val="clear" w:color="auto" w:fill="auto"/>
        <w:spacing w:before="173" w:line="221"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质疑项目</w:t>
      </w:r>
      <w:r>
        <w:rPr>
          <w:rFonts w:hint="eastAsia" w:ascii="仿宋" w:hAnsi="仿宋" w:eastAsia="仿宋" w:cs="仿宋"/>
          <w:color w:val="auto"/>
          <w:spacing w:val="-1"/>
          <w:sz w:val="24"/>
          <w:szCs w:val="24"/>
          <w:highlight w:val="none"/>
        </w:rPr>
        <w:t>的名称：</w:t>
      </w:r>
    </w:p>
    <w:p w14:paraId="25A8C599">
      <w:pPr>
        <w:shd w:val="clear" w:color="auto" w:fill="auto"/>
        <w:spacing w:before="210" w:line="220"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0"/>
          <w:sz w:val="24"/>
          <w:szCs w:val="24"/>
          <w:highlight w:val="none"/>
        </w:rPr>
        <w:t>质疑项</w:t>
      </w:r>
      <w:r>
        <w:rPr>
          <w:rFonts w:hint="eastAsia" w:ascii="仿宋" w:hAnsi="仿宋" w:eastAsia="仿宋" w:cs="仿宋"/>
          <w:color w:val="auto"/>
          <w:spacing w:val="-9"/>
          <w:sz w:val="24"/>
          <w:szCs w:val="24"/>
          <w:highlight w:val="none"/>
        </w:rPr>
        <w:t>目</w:t>
      </w:r>
      <w:r>
        <w:rPr>
          <w:rFonts w:hint="eastAsia" w:ascii="仿宋" w:hAnsi="仿宋" w:eastAsia="仿宋" w:cs="仿宋"/>
          <w:color w:val="auto"/>
          <w:spacing w:val="-5"/>
          <w:sz w:val="24"/>
          <w:szCs w:val="24"/>
          <w:highlight w:val="none"/>
        </w:rPr>
        <w:t>的编号：包号：</w:t>
      </w:r>
    </w:p>
    <w:p w14:paraId="06BDC9D9">
      <w:pPr>
        <w:shd w:val="clear" w:color="auto" w:fill="auto"/>
        <w:spacing w:before="212"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采购人名</w:t>
      </w:r>
      <w:r>
        <w:rPr>
          <w:rFonts w:hint="eastAsia" w:ascii="仿宋" w:hAnsi="仿宋" w:eastAsia="仿宋" w:cs="仿宋"/>
          <w:color w:val="auto"/>
          <w:spacing w:val="-1"/>
          <w:sz w:val="24"/>
          <w:szCs w:val="24"/>
          <w:highlight w:val="none"/>
        </w:rPr>
        <w:t>称：</w:t>
      </w:r>
    </w:p>
    <w:p w14:paraId="3D4DCDD2">
      <w:pPr>
        <w:shd w:val="clear" w:color="auto" w:fill="auto"/>
        <w:spacing w:before="212"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采购</w:t>
      </w:r>
      <w:r>
        <w:rPr>
          <w:rFonts w:hint="eastAsia" w:ascii="仿宋" w:hAnsi="仿宋" w:eastAsia="仿宋" w:cs="仿宋"/>
          <w:color w:val="auto"/>
          <w:spacing w:val="-1"/>
          <w:sz w:val="24"/>
          <w:szCs w:val="24"/>
          <w:highlight w:val="none"/>
        </w:rPr>
        <w:t>文件获取日期：</w:t>
      </w:r>
    </w:p>
    <w:p w14:paraId="72D4A611">
      <w:pPr>
        <w:shd w:val="clear" w:color="auto" w:fill="auto"/>
        <w:spacing w:before="213" w:line="237" w:lineRule="auto"/>
        <w:ind w:left="22"/>
        <w:outlineLvl w:val="2"/>
        <w:rPr>
          <w:rFonts w:hint="eastAsia" w:ascii="仿宋" w:hAnsi="仿宋" w:eastAsia="仿宋" w:cs="仿宋"/>
          <w:color w:val="auto"/>
          <w:sz w:val="24"/>
          <w:szCs w:val="24"/>
          <w:highlight w:val="none"/>
        </w:rPr>
      </w:pPr>
      <w:bookmarkStart w:id="177" w:name="_Toc14686"/>
      <w:bookmarkStart w:id="178" w:name="_Toc110010427"/>
      <w:bookmarkStart w:id="179" w:name="_Toc22496"/>
      <w:bookmarkStart w:id="180" w:name="_Toc32569"/>
      <w:r>
        <w:rPr>
          <w:rFonts w:hint="eastAsia" w:ascii="仿宋" w:hAnsi="仿宋" w:eastAsia="仿宋" w:cs="仿宋"/>
          <w:color w:val="auto"/>
          <w:spacing w:val="-2"/>
          <w:sz w:val="24"/>
          <w:szCs w:val="24"/>
          <w:highlight w:val="none"/>
        </w:rPr>
        <w:t>三</w:t>
      </w:r>
      <w:r>
        <w:rPr>
          <w:rFonts w:hint="eastAsia" w:ascii="仿宋" w:hAnsi="仿宋" w:eastAsia="仿宋" w:cs="仿宋"/>
          <w:color w:val="auto"/>
          <w:spacing w:val="-1"/>
          <w:sz w:val="24"/>
          <w:szCs w:val="24"/>
          <w:highlight w:val="none"/>
        </w:rPr>
        <w:t>、质疑事项具体内容</w:t>
      </w:r>
      <w:bookmarkEnd w:id="177"/>
      <w:bookmarkEnd w:id="178"/>
      <w:bookmarkEnd w:id="179"/>
      <w:bookmarkEnd w:id="180"/>
    </w:p>
    <w:p w14:paraId="74691243">
      <w:pPr>
        <w:shd w:val="clear" w:color="auto" w:fill="auto"/>
        <w:spacing w:before="184" w:line="221"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7"/>
          <w:sz w:val="24"/>
          <w:szCs w:val="24"/>
          <w:highlight w:val="none"/>
        </w:rPr>
        <w:t>质</w:t>
      </w:r>
      <w:r>
        <w:rPr>
          <w:rFonts w:hint="eastAsia" w:ascii="仿宋" w:hAnsi="仿宋" w:eastAsia="仿宋" w:cs="仿宋"/>
          <w:color w:val="auto"/>
          <w:spacing w:val="-11"/>
          <w:sz w:val="24"/>
          <w:szCs w:val="24"/>
          <w:highlight w:val="none"/>
        </w:rPr>
        <w:t>疑事项1：</w:t>
      </w:r>
    </w:p>
    <w:p w14:paraId="559544AC">
      <w:pPr>
        <w:shd w:val="clear" w:color="auto" w:fill="auto"/>
        <w:spacing w:before="211" w:line="219"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事</w:t>
      </w:r>
      <w:r>
        <w:rPr>
          <w:rFonts w:hint="eastAsia" w:ascii="仿宋" w:hAnsi="仿宋" w:eastAsia="仿宋" w:cs="仿宋"/>
          <w:color w:val="auto"/>
          <w:spacing w:val="-2"/>
          <w:sz w:val="24"/>
          <w:szCs w:val="24"/>
          <w:highlight w:val="none"/>
        </w:rPr>
        <w:t>实依据：</w:t>
      </w:r>
    </w:p>
    <w:p w14:paraId="133B06B6">
      <w:pPr>
        <w:shd w:val="clear" w:color="auto" w:fill="auto"/>
        <w:spacing w:before="230" w:line="219"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法律</w:t>
      </w:r>
      <w:r>
        <w:rPr>
          <w:rFonts w:hint="eastAsia" w:ascii="仿宋" w:hAnsi="仿宋" w:eastAsia="仿宋" w:cs="仿宋"/>
          <w:color w:val="auto"/>
          <w:spacing w:val="-2"/>
          <w:sz w:val="24"/>
          <w:szCs w:val="24"/>
          <w:highlight w:val="none"/>
        </w:rPr>
        <w:t>依据：</w:t>
      </w:r>
    </w:p>
    <w:p w14:paraId="44D749D8">
      <w:pPr>
        <w:shd w:val="clear" w:color="auto" w:fill="auto"/>
        <w:spacing w:before="227" w:line="545" w:lineRule="exact"/>
        <w:ind w:left="506"/>
        <w:rPr>
          <w:rFonts w:hint="eastAsia" w:ascii="仿宋" w:hAnsi="仿宋" w:eastAsia="仿宋" w:cs="仿宋"/>
          <w:color w:val="auto"/>
          <w:sz w:val="24"/>
          <w:szCs w:val="24"/>
          <w:highlight w:val="none"/>
        </w:rPr>
      </w:pPr>
      <w:r>
        <w:rPr>
          <w:rFonts w:hint="eastAsia" w:ascii="仿宋" w:hAnsi="仿宋" w:eastAsia="仿宋" w:cs="仿宋"/>
          <w:color w:val="auto"/>
          <w:spacing w:val="-15"/>
          <w:position w:val="19"/>
          <w:sz w:val="24"/>
          <w:szCs w:val="24"/>
          <w:highlight w:val="none"/>
        </w:rPr>
        <w:t>质</w:t>
      </w:r>
      <w:r>
        <w:rPr>
          <w:rFonts w:hint="eastAsia" w:ascii="仿宋" w:hAnsi="仿宋" w:eastAsia="仿宋" w:cs="仿宋"/>
          <w:color w:val="auto"/>
          <w:spacing w:val="-11"/>
          <w:position w:val="19"/>
          <w:sz w:val="24"/>
          <w:szCs w:val="24"/>
          <w:highlight w:val="none"/>
        </w:rPr>
        <w:t>疑事项2</w:t>
      </w:r>
    </w:p>
    <w:p w14:paraId="463ED094">
      <w:pPr>
        <w:shd w:val="clear" w:color="auto" w:fill="auto"/>
        <w:spacing w:line="442" w:lineRule="exact"/>
        <w:ind w:left="522"/>
        <w:rPr>
          <w:rFonts w:hint="eastAsia" w:ascii="仿宋" w:hAnsi="仿宋" w:eastAsia="仿宋" w:cs="仿宋"/>
          <w:color w:val="auto"/>
          <w:sz w:val="24"/>
          <w:szCs w:val="24"/>
          <w:highlight w:val="none"/>
        </w:rPr>
      </w:pPr>
      <w:r>
        <w:rPr>
          <w:rFonts w:hint="eastAsia" w:ascii="仿宋" w:hAnsi="仿宋" w:eastAsia="仿宋" w:cs="仿宋"/>
          <w:color w:val="auto"/>
          <w:position w:val="3"/>
          <w:sz w:val="24"/>
          <w:szCs w:val="24"/>
          <w:highlight w:val="none"/>
        </w:rPr>
        <w:t>……</w:t>
      </w:r>
    </w:p>
    <w:p w14:paraId="623FAA93">
      <w:pPr>
        <w:shd w:val="clear" w:color="auto" w:fill="auto"/>
        <w:jc w:val="center"/>
        <w:rPr>
          <w:rFonts w:hint="eastAsia" w:ascii="仿宋" w:hAnsi="仿宋" w:eastAsia="仿宋" w:cs="仿宋"/>
          <w:color w:val="auto"/>
          <w:sz w:val="24"/>
          <w:szCs w:val="24"/>
          <w:highlight w:val="none"/>
        </w:rPr>
      </w:pPr>
    </w:p>
    <w:p w14:paraId="57860696">
      <w:pPr>
        <w:shd w:val="clear" w:color="auto" w:fill="auto"/>
        <w:spacing w:line="442" w:lineRule="exact"/>
        <w:ind w:left="522"/>
        <w:rPr>
          <w:rFonts w:hint="eastAsia" w:ascii="仿宋" w:hAnsi="仿宋" w:eastAsia="仿宋" w:cs="仿宋"/>
          <w:color w:val="auto"/>
          <w:position w:val="3"/>
          <w:sz w:val="24"/>
          <w:szCs w:val="24"/>
          <w:highlight w:val="none"/>
        </w:rPr>
      </w:pPr>
      <w:r>
        <w:rPr>
          <w:rFonts w:hint="eastAsia" w:ascii="仿宋" w:hAnsi="仿宋" w:eastAsia="仿宋" w:cs="仿宋"/>
          <w:color w:val="auto"/>
          <w:position w:val="3"/>
          <w:sz w:val="24"/>
          <w:szCs w:val="24"/>
          <w:highlight w:val="none"/>
        </w:rPr>
        <w:t>签字</w:t>
      </w:r>
      <w:r>
        <w:rPr>
          <w:rFonts w:hint="eastAsia" w:ascii="仿宋" w:hAnsi="仿宋" w:eastAsia="仿宋" w:cs="仿宋"/>
          <w:color w:val="auto"/>
          <w:position w:val="3"/>
          <w:sz w:val="24"/>
          <w:szCs w:val="24"/>
          <w:highlight w:val="none"/>
          <w:lang w:eastAsia="zh-CN"/>
        </w:rPr>
        <w:t>（</w:t>
      </w:r>
      <w:r>
        <w:rPr>
          <w:rFonts w:hint="eastAsia" w:ascii="仿宋" w:hAnsi="仿宋" w:eastAsia="仿宋" w:cs="仿宋"/>
          <w:color w:val="auto"/>
          <w:position w:val="3"/>
          <w:sz w:val="24"/>
          <w:szCs w:val="24"/>
          <w:highlight w:val="none"/>
        </w:rPr>
        <w:t>签章</w:t>
      </w:r>
      <w:r>
        <w:rPr>
          <w:rFonts w:hint="eastAsia" w:ascii="仿宋" w:hAnsi="仿宋" w:eastAsia="仿宋" w:cs="仿宋"/>
          <w:color w:val="auto"/>
          <w:position w:val="3"/>
          <w:sz w:val="24"/>
          <w:szCs w:val="24"/>
          <w:highlight w:val="none"/>
          <w:lang w:eastAsia="zh-CN"/>
        </w:rPr>
        <w:t>）</w:t>
      </w:r>
      <w:r>
        <w:rPr>
          <w:rFonts w:hint="eastAsia" w:ascii="仿宋" w:hAnsi="仿宋" w:eastAsia="仿宋" w:cs="仿宋"/>
          <w:color w:val="auto"/>
          <w:position w:val="3"/>
          <w:sz w:val="24"/>
          <w:szCs w:val="24"/>
          <w:highlight w:val="none"/>
        </w:rPr>
        <w:t>：日期：</w:t>
      </w:r>
    </w:p>
    <w:p w14:paraId="52128C72">
      <w:pPr>
        <w:shd w:val="clear" w:color="auto" w:fill="auto"/>
        <w:spacing w:before="56" w:line="185" w:lineRule="auto"/>
        <w:rPr>
          <w:rFonts w:hint="eastAsia" w:ascii="仿宋" w:hAnsi="仿宋" w:eastAsia="仿宋" w:cs="仿宋"/>
          <w:color w:val="auto"/>
          <w:sz w:val="24"/>
          <w:szCs w:val="24"/>
          <w:highlight w:val="none"/>
        </w:rPr>
      </w:pPr>
    </w:p>
    <w:p w14:paraId="432F0057">
      <w:pPr>
        <w:shd w:val="clear" w:color="auto" w:fill="auto"/>
        <w:spacing w:line="14" w:lineRule="auto"/>
        <w:rPr>
          <w:rFonts w:hint="eastAsia" w:ascii="仿宋" w:hAnsi="仿宋" w:eastAsia="仿宋" w:cs="仿宋"/>
          <w:color w:val="auto"/>
          <w:sz w:val="24"/>
          <w:szCs w:val="24"/>
          <w:highlight w:val="none"/>
        </w:rPr>
        <w:sectPr>
          <w:footerReference r:id="rId13" w:type="default"/>
          <w:pgSz w:w="11905" w:h="16838"/>
          <w:pgMar w:top="1304" w:right="964" w:bottom="1020" w:left="1191" w:header="567" w:footer="454" w:gutter="0"/>
          <w:pgNumType w:fmt="decimal"/>
          <w:cols w:space="720" w:num="1"/>
          <w:rtlGutter w:val="0"/>
          <w:docGrid w:type="lines" w:linePitch="317" w:charSpace="0"/>
        </w:sectPr>
      </w:pPr>
    </w:p>
    <w:p w14:paraId="536A817A">
      <w:pPr>
        <w:shd w:val="clear" w:color="auto" w:fill="auto"/>
        <w:rPr>
          <w:rFonts w:hint="eastAsia" w:ascii="仿宋" w:hAnsi="仿宋" w:eastAsia="仿宋" w:cs="仿宋"/>
          <w:color w:val="auto"/>
          <w:sz w:val="24"/>
          <w:szCs w:val="24"/>
          <w:highlight w:val="none"/>
        </w:rPr>
        <w:sectPr>
          <w:footerReference r:id="rId14" w:type="default"/>
          <w:type w:val="continuous"/>
          <w:pgSz w:w="11905" w:h="16838"/>
          <w:pgMar w:top="1304" w:right="964" w:bottom="1020" w:left="1191" w:header="567" w:footer="454" w:gutter="0"/>
          <w:pgNumType w:fmt="decimal"/>
          <w:cols w:space="720" w:num="1"/>
          <w:rtlGutter w:val="0"/>
          <w:docGrid w:type="lines" w:linePitch="317" w:charSpace="0"/>
        </w:sectPr>
      </w:pPr>
    </w:p>
    <w:p w14:paraId="225E9200">
      <w:pPr>
        <w:shd w:val="clear" w:color="auto" w:fill="auto"/>
        <w:spacing w:before="91" w:line="22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质疑函制</w:t>
      </w:r>
      <w:r>
        <w:rPr>
          <w:rFonts w:hint="eastAsia" w:ascii="仿宋" w:hAnsi="仿宋" w:eastAsia="仿宋" w:cs="仿宋"/>
          <w:color w:val="auto"/>
          <w:spacing w:val="-1"/>
          <w:sz w:val="24"/>
          <w:szCs w:val="24"/>
          <w:highlight w:val="none"/>
        </w:rPr>
        <w:t>作说明：</w:t>
      </w:r>
    </w:p>
    <w:p w14:paraId="0384F5B1">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1.供应商提出质疑时，应提交质疑函和必要的证明材料。</w:t>
      </w:r>
    </w:p>
    <w:p w14:paraId="3E2E4FF5">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77932F">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3.质疑供应商若对项目的某一分包进行质疑，质疑函中应列明具体分包号。</w:t>
      </w:r>
    </w:p>
    <w:p w14:paraId="4600606F">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4.质疑函的质疑事项应具体、明确，并有必要的事实依据和法律依据。</w:t>
      </w:r>
    </w:p>
    <w:p w14:paraId="65FA7C90">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5.质疑函的质疑请求应与质疑事项相关。</w:t>
      </w:r>
    </w:p>
    <w:p w14:paraId="2B0DB342">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667CF832">
      <w:pPr>
        <w:shd w:val="clear" w:color="auto" w:fill="auto"/>
        <w:spacing w:line="360" w:lineRule="auto"/>
        <w:jc w:val="center"/>
        <w:rPr>
          <w:rFonts w:hint="eastAsia" w:ascii="仿宋" w:hAnsi="仿宋" w:eastAsia="仿宋" w:cs="仿宋"/>
          <w:color w:val="auto"/>
          <w:kern w:val="0"/>
          <w:sz w:val="24"/>
          <w:szCs w:val="24"/>
          <w:highlight w:val="none"/>
        </w:rPr>
      </w:pPr>
    </w:p>
    <w:p w14:paraId="5D64E658">
      <w:pPr>
        <w:shd w:val="clear" w:color="auto" w:fill="auto"/>
        <w:spacing w:before="101" w:line="224" w:lineRule="auto"/>
        <w:ind w:left="49"/>
        <w:outlineLvl w:val="2"/>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rPr>
        <w:br w:type="page"/>
      </w:r>
      <w:bookmarkStart w:id="181" w:name="_Toc110010428"/>
      <w:bookmarkStart w:id="182" w:name="_Toc31259"/>
      <w:bookmarkStart w:id="183" w:name="_Toc22150"/>
      <w:bookmarkStart w:id="184" w:name="_Toc23110"/>
      <w:r>
        <w:rPr>
          <w:rFonts w:hint="eastAsia" w:ascii="仿宋" w:hAnsi="仿宋" w:eastAsia="仿宋" w:cs="仿宋"/>
          <w:color w:val="auto"/>
          <w:spacing w:val="8"/>
          <w:sz w:val="24"/>
          <w:szCs w:val="24"/>
          <w:highlight w:val="none"/>
        </w:rPr>
        <w:t>附</w:t>
      </w:r>
      <w:r>
        <w:rPr>
          <w:rFonts w:hint="eastAsia" w:ascii="仿宋" w:hAnsi="仿宋" w:eastAsia="仿宋" w:cs="仿宋"/>
          <w:color w:val="auto"/>
          <w:spacing w:val="6"/>
          <w:sz w:val="24"/>
          <w:szCs w:val="24"/>
          <w:highlight w:val="none"/>
        </w:rPr>
        <w:t>件：投诉书范本</w:t>
      </w:r>
      <w:bookmarkEnd w:id="181"/>
      <w:bookmarkEnd w:id="182"/>
      <w:bookmarkEnd w:id="183"/>
      <w:bookmarkEnd w:id="184"/>
    </w:p>
    <w:p w14:paraId="319F9D65">
      <w:pPr>
        <w:shd w:val="clear" w:color="auto" w:fill="auto"/>
        <w:spacing w:line="393" w:lineRule="auto"/>
        <w:rPr>
          <w:rFonts w:hint="eastAsia" w:ascii="仿宋" w:hAnsi="仿宋" w:eastAsia="仿宋" w:cs="仿宋"/>
          <w:color w:val="auto"/>
          <w:sz w:val="24"/>
          <w:szCs w:val="24"/>
          <w:highlight w:val="none"/>
        </w:rPr>
      </w:pPr>
    </w:p>
    <w:p w14:paraId="6AEF9CF4">
      <w:pPr>
        <w:shd w:val="clear" w:color="auto" w:fill="auto"/>
        <w:spacing w:before="115" w:line="224"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4"/>
          <w:sz w:val="24"/>
          <w:szCs w:val="24"/>
          <w:highlight w:val="none"/>
        </w:rPr>
        <w:t>投诉</w:t>
      </w:r>
      <w:r>
        <w:rPr>
          <w:rFonts w:hint="eastAsia" w:ascii="仿宋" w:hAnsi="仿宋" w:eastAsia="仿宋" w:cs="仿宋"/>
          <w:color w:val="auto"/>
          <w:spacing w:val="23"/>
          <w:sz w:val="24"/>
          <w:szCs w:val="24"/>
          <w:highlight w:val="none"/>
        </w:rPr>
        <w:t>书</w:t>
      </w:r>
    </w:p>
    <w:p w14:paraId="5EC68537">
      <w:pPr>
        <w:shd w:val="clear" w:color="auto" w:fill="auto"/>
        <w:spacing w:before="265" w:line="434" w:lineRule="exact"/>
        <w:ind w:left="27"/>
        <w:outlineLvl w:val="2"/>
        <w:rPr>
          <w:rFonts w:hint="eastAsia" w:ascii="仿宋" w:hAnsi="仿宋" w:eastAsia="仿宋" w:cs="仿宋"/>
          <w:color w:val="auto"/>
          <w:sz w:val="24"/>
          <w:szCs w:val="24"/>
          <w:highlight w:val="none"/>
        </w:rPr>
      </w:pPr>
      <w:bookmarkStart w:id="185" w:name="_Toc26371"/>
      <w:bookmarkStart w:id="186" w:name="_Toc5746"/>
      <w:bookmarkStart w:id="187" w:name="_Toc110010429"/>
      <w:bookmarkStart w:id="188" w:name="_Toc21592"/>
      <w:r>
        <w:rPr>
          <w:rFonts w:hint="eastAsia" w:ascii="仿宋" w:hAnsi="仿宋" w:eastAsia="仿宋" w:cs="仿宋"/>
          <w:color w:val="auto"/>
          <w:spacing w:val="-2"/>
          <w:position w:val="1"/>
          <w:sz w:val="24"/>
          <w:szCs w:val="24"/>
          <w:highlight w:val="none"/>
        </w:rPr>
        <w:t>一、投诉</w:t>
      </w:r>
      <w:r>
        <w:rPr>
          <w:rFonts w:hint="eastAsia" w:ascii="仿宋" w:hAnsi="仿宋" w:eastAsia="仿宋" w:cs="仿宋"/>
          <w:color w:val="auto"/>
          <w:spacing w:val="-1"/>
          <w:position w:val="1"/>
          <w:sz w:val="24"/>
          <w:szCs w:val="24"/>
          <w:highlight w:val="none"/>
        </w:rPr>
        <w:t>相关主体基本情况</w:t>
      </w:r>
      <w:bookmarkEnd w:id="185"/>
      <w:bookmarkEnd w:id="186"/>
      <w:bookmarkEnd w:id="187"/>
      <w:bookmarkEnd w:id="188"/>
    </w:p>
    <w:p w14:paraId="43EB9784">
      <w:pPr>
        <w:shd w:val="clear" w:color="auto" w:fill="auto"/>
        <w:spacing w:before="1" w:line="220" w:lineRule="auto"/>
        <w:ind w:left="508"/>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rPr>
        <w:t>投</w:t>
      </w:r>
      <w:r>
        <w:rPr>
          <w:rFonts w:hint="eastAsia" w:ascii="仿宋" w:hAnsi="仿宋" w:eastAsia="仿宋" w:cs="仿宋"/>
          <w:color w:val="auto"/>
          <w:spacing w:val="-3"/>
          <w:sz w:val="24"/>
          <w:szCs w:val="24"/>
          <w:highlight w:val="none"/>
        </w:rPr>
        <w:t>诉人：</w:t>
      </w:r>
    </w:p>
    <w:p w14:paraId="4CCA9A0D">
      <w:pPr>
        <w:shd w:val="clear" w:color="auto" w:fill="auto"/>
        <w:spacing w:before="102" w:line="220"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4"/>
          <w:sz w:val="24"/>
          <w:szCs w:val="24"/>
          <w:highlight w:val="none"/>
        </w:rPr>
        <w:t>邮编：</w:t>
      </w:r>
    </w:p>
    <w:p w14:paraId="046E86DD">
      <w:pPr>
        <w:shd w:val="clear" w:color="auto" w:fill="auto"/>
        <w:spacing w:before="101" w:line="220"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法定代</w:t>
      </w:r>
      <w:r>
        <w:rPr>
          <w:rFonts w:hint="eastAsia" w:ascii="仿宋" w:hAnsi="仿宋" w:eastAsia="仿宋" w:cs="仿宋"/>
          <w:color w:val="auto"/>
          <w:spacing w:val="-1"/>
          <w:sz w:val="24"/>
          <w:szCs w:val="24"/>
          <w:highlight w:val="none"/>
        </w:rPr>
        <w:t>表人/主要负责人：</w:t>
      </w:r>
    </w:p>
    <w:p w14:paraId="0EEB427F">
      <w:pPr>
        <w:shd w:val="clear" w:color="auto" w:fill="auto"/>
        <w:spacing w:before="104" w:line="222"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联系</w:t>
      </w:r>
      <w:r>
        <w:rPr>
          <w:rFonts w:hint="eastAsia" w:ascii="仿宋" w:hAnsi="仿宋" w:eastAsia="仿宋" w:cs="仿宋"/>
          <w:color w:val="auto"/>
          <w:spacing w:val="-2"/>
          <w:sz w:val="24"/>
          <w:szCs w:val="24"/>
          <w:highlight w:val="none"/>
        </w:rPr>
        <w:t>电话：</w:t>
      </w:r>
    </w:p>
    <w:p w14:paraId="758523C0">
      <w:pPr>
        <w:shd w:val="clear" w:color="auto" w:fill="auto"/>
        <w:spacing w:before="99" w:line="220"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授权代表：</w:t>
      </w:r>
      <w:r>
        <w:rPr>
          <w:rFonts w:hint="eastAsia" w:ascii="仿宋" w:hAnsi="仿宋" w:eastAsia="仿宋" w:cs="仿宋"/>
          <w:color w:val="auto"/>
          <w:spacing w:val="-4"/>
          <w:sz w:val="24"/>
          <w:szCs w:val="24"/>
          <w:highlight w:val="none"/>
        </w:rPr>
        <w:t>联系电话：</w:t>
      </w:r>
    </w:p>
    <w:p w14:paraId="258E9A8F">
      <w:pPr>
        <w:shd w:val="clear" w:color="auto" w:fill="auto"/>
        <w:spacing w:before="101" w:line="220"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4"/>
          <w:sz w:val="24"/>
          <w:szCs w:val="24"/>
          <w:highlight w:val="none"/>
        </w:rPr>
        <w:t>邮编：</w:t>
      </w:r>
    </w:p>
    <w:p w14:paraId="5C3F8B50">
      <w:pPr>
        <w:shd w:val="clear" w:color="auto" w:fill="auto"/>
        <w:spacing w:before="103" w:line="220"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被</w:t>
      </w:r>
      <w:r>
        <w:rPr>
          <w:rFonts w:hint="eastAsia" w:ascii="仿宋" w:hAnsi="仿宋" w:eastAsia="仿宋" w:cs="仿宋"/>
          <w:color w:val="auto"/>
          <w:spacing w:val="-11"/>
          <w:sz w:val="24"/>
          <w:szCs w:val="24"/>
          <w:highlight w:val="none"/>
        </w:rPr>
        <w:t>投诉人1：</w:t>
      </w:r>
    </w:p>
    <w:p w14:paraId="7640A5EA">
      <w:pPr>
        <w:shd w:val="clear" w:color="auto" w:fill="auto"/>
        <w:spacing w:before="101" w:line="185"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4"/>
          <w:sz w:val="24"/>
          <w:szCs w:val="24"/>
          <w:highlight w:val="none"/>
        </w:rPr>
        <w:t>邮编：</w:t>
      </w:r>
    </w:p>
    <w:p w14:paraId="7799DA83">
      <w:pPr>
        <w:shd w:val="clear" w:color="auto" w:fill="auto"/>
        <w:rPr>
          <w:rFonts w:hint="eastAsia" w:ascii="仿宋" w:hAnsi="仿宋" w:eastAsia="仿宋" w:cs="仿宋"/>
          <w:color w:val="auto"/>
          <w:sz w:val="24"/>
          <w:szCs w:val="24"/>
          <w:highlight w:val="none"/>
        </w:rPr>
      </w:pPr>
    </w:p>
    <w:p w14:paraId="04A6A71E">
      <w:pPr>
        <w:shd w:val="clear" w:color="auto" w:fill="auto"/>
        <w:spacing w:before="103" w:line="220" w:lineRule="auto"/>
        <w:ind w:left="505"/>
        <w:rPr>
          <w:rFonts w:hint="eastAsia" w:ascii="仿宋" w:hAnsi="仿宋" w:eastAsia="仿宋" w:cs="仿宋"/>
          <w:color w:val="auto"/>
          <w:spacing w:val="-17"/>
          <w:sz w:val="24"/>
          <w:szCs w:val="24"/>
          <w:highlight w:val="none"/>
          <w:lang w:eastAsia="zh-CN"/>
        </w:rPr>
      </w:pPr>
      <w:r>
        <w:rPr>
          <w:rFonts w:hint="eastAsia" w:ascii="仿宋" w:hAnsi="仿宋" w:eastAsia="仿宋" w:cs="仿宋"/>
          <w:color w:val="auto"/>
          <w:spacing w:val="-17"/>
          <w:sz w:val="24"/>
          <w:szCs w:val="24"/>
          <w:highlight w:val="none"/>
        </w:rPr>
        <w:t>联系人：联系电话：</w:t>
      </w:r>
    </w:p>
    <w:p w14:paraId="154B7DE6">
      <w:pPr>
        <w:shd w:val="clear" w:color="auto" w:fill="auto"/>
        <w:spacing w:before="103" w:line="220"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7"/>
          <w:sz w:val="24"/>
          <w:szCs w:val="24"/>
          <w:highlight w:val="none"/>
        </w:rPr>
        <w:t>联系人：联系电话：</w:t>
      </w:r>
    </w:p>
    <w:p w14:paraId="67462243">
      <w:pPr>
        <w:shd w:val="clear" w:color="auto" w:fill="auto"/>
        <w:spacing w:before="100" w:line="371" w:lineRule="exact"/>
        <w:ind w:left="27"/>
        <w:outlineLvl w:val="2"/>
        <w:rPr>
          <w:rFonts w:hint="eastAsia" w:ascii="仿宋" w:hAnsi="仿宋" w:eastAsia="仿宋" w:cs="仿宋"/>
          <w:color w:val="auto"/>
          <w:sz w:val="24"/>
          <w:szCs w:val="24"/>
          <w:highlight w:val="none"/>
        </w:rPr>
      </w:pPr>
      <w:bookmarkStart w:id="189" w:name="_Toc27620"/>
      <w:bookmarkStart w:id="190" w:name="_Toc377"/>
      <w:bookmarkStart w:id="191" w:name="_Toc110010430"/>
      <w:bookmarkStart w:id="192" w:name="_Toc25199"/>
      <w:r>
        <w:rPr>
          <w:rFonts w:hint="eastAsia" w:ascii="仿宋" w:hAnsi="仿宋" w:eastAsia="仿宋" w:cs="仿宋"/>
          <w:color w:val="auto"/>
          <w:spacing w:val="-2"/>
          <w:position w:val="1"/>
          <w:sz w:val="24"/>
          <w:szCs w:val="24"/>
          <w:highlight w:val="none"/>
        </w:rPr>
        <w:t>二、投诉项目</w:t>
      </w:r>
      <w:r>
        <w:rPr>
          <w:rFonts w:hint="eastAsia" w:ascii="仿宋" w:hAnsi="仿宋" w:eastAsia="仿宋" w:cs="仿宋"/>
          <w:color w:val="auto"/>
          <w:spacing w:val="-1"/>
          <w:position w:val="1"/>
          <w:sz w:val="24"/>
          <w:szCs w:val="24"/>
          <w:highlight w:val="none"/>
        </w:rPr>
        <w:t>基本情况</w:t>
      </w:r>
      <w:bookmarkEnd w:id="189"/>
      <w:bookmarkEnd w:id="190"/>
      <w:bookmarkEnd w:id="191"/>
      <w:bookmarkEnd w:id="192"/>
    </w:p>
    <w:p w14:paraId="264B296E">
      <w:pPr>
        <w:shd w:val="clear" w:color="auto" w:fill="auto"/>
        <w:spacing w:before="64"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采购项</w:t>
      </w:r>
      <w:r>
        <w:rPr>
          <w:rFonts w:hint="eastAsia" w:ascii="仿宋" w:hAnsi="仿宋" w:eastAsia="仿宋" w:cs="仿宋"/>
          <w:color w:val="auto"/>
          <w:spacing w:val="-1"/>
          <w:sz w:val="24"/>
          <w:szCs w:val="24"/>
          <w:highlight w:val="none"/>
        </w:rPr>
        <w:t>目名称：</w:t>
      </w:r>
    </w:p>
    <w:p w14:paraId="5FD25480">
      <w:pPr>
        <w:shd w:val="clear" w:color="auto" w:fill="auto"/>
        <w:spacing w:before="104"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rPr>
        <w:t>采购项目</w:t>
      </w:r>
      <w:r>
        <w:rPr>
          <w:rFonts w:hint="eastAsia" w:ascii="仿宋" w:hAnsi="仿宋" w:eastAsia="仿宋" w:cs="仿宋"/>
          <w:color w:val="auto"/>
          <w:spacing w:val="-4"/>
          <w:sz w:val="24"/>
          <w:szCs w:val="24"/>
          <w:highlight w:val="none"/>
        </w:rPr>
        <w:t>编号：包号：</w:t>
      </w:r>
    </w:p>
    <w:p w14:paraId="658FBEED">
      <w:pPr>
        <w:shd w:val="clear" w:color="auto" w:fill="auto"/>
        <w:spacing w:before="102"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采购人名</w:t>
      </w:r>
      <w:r>
        <w:rPr>
          <w:rFonts w:hint="eastAsia" w:ascii="仿宋" w:hAnsi="仿宋" w:eastAsia="仿宋" w:cs="仿宋"/>
          <w:color w:val="auto"/>
          <w:spacing w:val="-1"/>
          <w:sz w:val="24"/>
          <w:szCs w:val="24"/>
          <w:highlight w:val="none"/>
        </w:rPr>
        <w:t>称：</w:t>
      </w:r>
    </w:p>
    <w:p w14:paraId="3515C5CD">
      <w:pPr>
        <w:shd w:val="clear" w:color="auto" w:fill="auto"/>
        <w:spacing w:before="105"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代理机构名</w:t>
      </w:r>
      <w:r>
        <w:rPr>
          <w:rFonts w:hint="eastAsia" w:ascii="仿宋" w:hAnsi="仿宋" w:eastAsia="仿宋" w:cs="仿宋"/>
          <w:color w:val="auto"/>
          <w:spacing w:val="-1"/>
          <w:sz w:val="24"/>
          <w:szCs w:val="24"/>
          <w:highlight w:val="none"/>
        </w:rPr>
        <w:t>称：</w:t>
      </w:r>
    </w:p>
    <w:p w14:paraId="33E11A42">
      <w:pPr>
        <w:shd w:val="clear" w:color="auto" w:fill="auto"/>
        <w:spacing w:before="104" w:line="219" w:lineRule="auto"/>
        <w:ind w:left="50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rPr>
        <w:t>采购文件公告</w:t>
      </w:r>
      <w:r>
        <w:rPr>
          <w:rFonts w:hint="eastAsia" w:ascii="仿宋" w:hAnsi="仿宋" w:eastAsia="仿宋" w:cs="仿宋"/>
          <w:color w:val="auto"/>
          <w:spacing w:val="7"/>
          <w:sz w:val="24"/>
          <w:szCs w:val="24"/>
          <w:highlight w:val="none"/>
          <w:lang w:eastAsia="zh-CN"/>
        </w:rPr>
        <w:t>：</w:t>
      </w:r>
      <w:r>
        <w:rPr>
          <w:rFonts w:hint="eastAsia" w:ascii="仿宋" w:hAnsi="仿宋" w:eastAsia="仿宋" w:cs="仿宋"/>
          <w:color w:val="auto"/>
          <w:spacing w:val="7"/>
          <w:sz w:val="24"/>
          <w:szCs w:val="24"/>
          <w:highlight w:val="none"/>
          <w:u w:val="single"/>
        </w:rPr>
        <w:t>是/否</w:t>
      </w:r>
      <w:r>
        <w:rPr>
          <w:rFonts w:hint="eastAsia" w:ascii="仿宋" w:hAnsi="仿宋" w:eastAsia="仿宋" w:cs="仿宋"/>
          <w:color w:val="auto"/>
          <w:spacing w:val="7"/>
          <w:sz w:val="24"/>
          <w:szCs w:val="24"/>
          <w:highlight w:val="none"/>
        </w:rPr>
        <w:t>公告期限</w:t>
      </w:r>
      <w:r>
        <w:rPr>
          <w:rFonts w:hint="eastAsia" w:ascii="仿宋" w:hAnsi="仿宋" w:eastAsia="仿宋" w:cs="仿宋"/>
          <w:color w:val="auto"/>
          <w:spacing w:val="3"/>
          <w:sz w:val="24"/>
          <w:szCs w:val="24"/>
          <w:highlight w:val="none"/>
        </w:rPr>
        <w:t>：</w:t>
      </w:r>
    </w:p>
    <w:p w14:paraId="4F17713A">
      <w:pPr>
        <w:shd w:val="clear" w:color="auto" w:fill="auto"/>
        <w:spacing w:before="103" w:line="287" w:lineRule="auto"/>
        <w:ind w:left="22" w:right="12" w:firstLine="481"/>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rPr>
        <w:t>采购结果公告：</w:t>
      </w:r>
      <w:r>
        <w:rPr>
          <w:rFonts w:hint="eastAsia" w:ascii="仿宋" w:hAnsi="仿宋" w:eastAsia="仿宋" w:cs="仿宋"/>
          <w:color w:val="auto"/>
          <w:spacing w:val="-1"/>
          <w:sz w:val="24"/>
          <w:szCs w:val="24"/>
          <w:highlight w:val="none"/>
          <w:u w:val="single"/>
        </w:rPr>
        <w:t>是/否</w:t>
      </w:r>
      <w:r>
        <w:rPr>
          <w:rFonts w:hint="eastAsia" w:ascii="仿宋" w:hAnsi="仿宋" w:eastAsia="仿宋" w:cs="仿宋"/>
          <w:color w:val="auto"/>
          <w:spacing w:val="-1"/>
          <w:sz w:val="24"/>
          <w:szCs w:val="24"/>
          <w:highlight w:val="none"/>
        </w:rPr>
        <w:t>公告期限：</w:t>
      </w:r>
    </w:p>
    <w:p w14:paraId="45649F75">
      <w:pPr>
        <w:shd w:val="clear" w:color="auto" w:fill="auto"/>
        <w:spacing w:before="100" w:line="371" w:lineRule="exact"/>
        <w:ind w:left="27" w:right="0" w:firstLine="0"/>
        <w:outlineLvl w:val="2"/>
        <w:rPr>
          <w:rFonts w:hint="eastAsia" w:ascii="仿宋" w:hAnsi="仿宋" w:eastAsia="仿宋" w:cs="仿宋"/>
          <w:color w:val="auto"/>
          <w:spacing w:val="-2"/>
          <w:position w:val="1"/>
          <w:sz w:val="24"/>
          <w:szCs w:val="24"/>
          <w:highlight w:val="none"/>
        </w:rPr>
      </w:pPr>
      <w:r>
        <w:rPr>
          <w:rFonts w:hint="eastAsia" w:ascii="仿宋" w:hAnsi="仿宋" w:eastAsia="仿宋" w:cs="仿宋"/>
          <w:color w:val="auto"/>
          <w:spacing w:val="-2"/>
          <w:position w:val="1"/>
          <w:sz w:val="24"/>
          <w:szCs w:val="24"/>
          <w:highlight w:val="none"/>
        </w:rPr>
        <w:t>三、质疑基本情况</w:t>
      </w:r>
    </w:p>
    <w:p w14:paraId="077FB87A">
      <w:pPr>
        <w:shd w:val="clear" w:color="auto" w:fill="auto"/>
        <w:spacing w:before="1" w:line="287" w:lineRule="auto"/>
        <w:ind w:left="23" w:right="11" w:firstLine="484"/>
        <w:rPr>
          <w:rFonts w:hint="eastAsia" w:ascii="仿宋" w:hAnsi="仿宋" w:eastAsia="仿宋" w:cs="仿宋"/>
          <w:color w:val="auto"/>
          <w:sz w:val="24"/>
          <w:szCs w:val="24"/>
          <w:highlight w:val="none"/>
        </w:rPr>
      </w:pPr>
      <w:r>
        <w:rPr>
          <w:rFonts w:hint="eastAsia" w:ascii="仿宋" w:hAnsi="仿宋" w:eastAsia="仿宋" w:cs="仿宋"/>
          <w:color w:val="auto"/>
          <w:spacing w:val="-12"/>
          <w:sz w:val="24"/>
          <w:szCs w:val="24"/>
          <w:highlight w:val="none"/>
        </w:rPr>
        <w:t>投</w:t>
      </w:r>
      <w:r>
        <w:rPr>
          <w:rFonts w:hint="eastAsia" w:ascii="仿宋" w:hAnsi="仿宋" w:eastAsia="仿宋" w:cs="仿宋"/>
          <w:color w:val="auto"/>
          <w:spacing w:val="-6"/>
          <w:sz w:val="24"/>
          <w:szCs w:val="24"/>
          <w:highlight w:val="none"/>
        </w:rPr>
        <w:t>诉人于年月日，向</w:t>
      </w:r>
      <w:r>
        <w:rPr>
          <w:rFonts w:hint="eastAsia" w:ascii="仿宋" w:hAnsi="仿宋" w:eastAsia="仿宋" w:cs="仿宋"/>
          <w:color w:val="auto"/>
          <w:spacing w:val="-4"/>
          <w:sz w:val="24"/>
          <w:szCs w:val="24"/>
          <w:highlight w:val="none"/>
        </w:rPr>
        <w:t>提</w:t>
      </w:r>
      <w:r>
        <w:rPr>
          <w:rFonts w:hint="eastAsia" w:ascii="仿宋" w:hAnsi="仿宋" w:eastAsia="仿宋" w:cs="仿宋"/>
          <w:color w:val="auto"/>
          <w:spacing w:val="-2"/>
          <w:sz w:val="24"/>
          <w:szCs w:val="24"/>
          <w:highlight w:val="none"/>
        </w:rPr>
        <w:t>出质疑，</w:t>
      </w:r>
    </w:p>
    <w:p w14:paraId="36C6F164">
      <w:pPr>
        <w:shd w:val="clear" w:color="auto" w:fill="auto"/>
        <w:spacing w:before="1" w:line="220"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rPr>
        <w:t>质</w:t>
      </w:r>
      <w:r>
        <w:rPr>
          <w:rFonts w:hint="eastAsia" w:ascii="仿宋" w:hAnsi="仿宋" w:eastAsia="仿宋" w:cs="仿宋"/>
          <w:color w:val="auto"/>
          <w:spacing w:val="-2"/>
          <w:sz w:val="24"/>
          <w:szCs w:val="24"/>
          <w:highlight w:val="none"/>
        </w:rPr>
        <w:t>疑事项为：</w:t>
      </w:r>
    </w:p>
    <w:p w14:paraId="7776FB24">
      <w:pPr>
        <w:shd w:val="clear" w:color="auto" w:fill="auto"/>
        <w:spacing w:before="103" w:line="287" w:lineRule="auto"/>
        <w:ind w:left="459" w:right="11" w:firstLine="10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采购人/</w:t>
      </w:r>
      <w:r>
        <w:rPr>
          <w:rFonts w:hint="eastAsia" w:ascii="仿宋" w:hAnsi="仿宋" w:eastAsia="仿宋" w:cs="仿宋"/>
          <w:color w:val="auto"/>
          <w:spacing w:val="-2"/>
          <w:sz w:val="24"/>
          <w:szCs w:val="24"/>
          <w:highlight w:val="none"/>
        </w:rPr>
        <w:t>采购代理机构于年月日，就质疑</w:t>
      </w:r>
      <w:r>
        <w:rPr>
          <w:rFonts w:hint="eastAsia" w:ascii="仿宋" w:hAnsi="仿宋" w:eastAsia="仿宋" w:cs="仿宋"/>
          <w:color w:val="auto"/>
          <w:spacing w:val="-1"/>
          <w:sz w:val="24"/>
          <w:szCs w:val="24"/>
          <w:highlight w:val="none"/>
        </w:rPr>
        <w:t>事项做出了答复/没有在</w:t>
      </w:r>
      <w:r>
        <w:rPr>
          <w:rFonts w:hint="eastAsia" w:ascii="仿宋" w:hAnsi="仿宋" w:eastAsia="仿宋" w:cs="仿宋"/>
          <w:color w:val="auto"/>
          <w:sz w:val="24"/>
          <w:szCs w:val="24"/>
          <w:highlight w:val="none"/>
        </w:rPr>
        <w:t>法定期限内</w:t>
      </w:r>
      <w:r>
        <w:rPr>
          <w:rFonts w:hint="eastAsia" w:ascii="仿宋" w:hAnsi="仿宋" w:eastAsia="仿宋" w:cs="仿宋"/>
          <w:color w:val="auto"/>
          <w:sz w:val="24"/>
          <w:szCs w:val="24"/>
          <w:highlight w:val="none"/>
          <w:lang w:eastAsia="zh-CN"/>
        </w:rPr>
        <w:t>作出</w:t>
      </w:r>
      <w:r>
        <w:rPr>
          <w:rFonts w:hint="eastAsia" w:ascii="仿宋" w:hAnsi="仿宋" w:eastAsia="仿宋" w:cs="仿宋"/>
          <w:color w:val="auto"/>
          <w:sz w:val="24"/>
          <w:szCs w:val="24"/>
          <w:highlight w:val="none"/>
        </w:rPr>
        <w:t>答复。</w:t>
      </w:r>
    </w:p>
    <w:p w14:paraId="1D2132E0">
      <w:pPr>
        <w:shd w:val="clear" w:color="auto" w:fill="auto"/>
        <w:spacing w:before="100" w:line="371" w:lineRule="exact"/>
        <w:ind w:left="27"/>
        <w:outlineLvl w:val="2"/>
        <w:rPr>
          <w:rFonts w:hint="eastAsia" w:ascii="仿宋" w:hAnsi="仿宋" w:eastAsia="仿宋" w:cs="仿宋"/>
          <w:color w:val="auto"/>
          <w:spacing w:val="-2"/>
          <w:position w:val="1"/>
          <w:sz w:val="24"/>
          <w:szCs w:val="24"/>
          <w:highlight w:val="none"/>
        </w:rPr>
      </w:pPr>
      <w:r>
        <w:rPr>
          <w:rFonts w:hint="eastAsia" w:ascii="仿宋" w:hAnsi="仿宋" w:eastAsia="仿宋" w:cs="仿宋"/>
          <w:color w:val="auto"/>
          <w:spacing w:val="-2"/>
          <w:position w:val="1"/>
          <w:sz w:val="24"/>
          <w:szCs w:val="24"/>
          <w:highlight w:val="none"/>
          <w:lang w:val="en-US" w:eastAsia="zh-CN"/>
        </w:rPr>
        <w:t>四</w:t>
      </w:r>
      <w:r>
        <w:rPr>
          <w:rFonts w:hint="eastAsia" w:ascii="仿宋" w:hAnsi="仿宋" w:eastAsia="仿宋" w:cs="仿宋"/>
          <w:color w:val="auto"/>
          <w:spacing w:val="-2"/>
          <w:position w:val="1"/>
          <w:sz w:val="24"/>
          <w:szCs w:val="24"/>
          <w:highlight w:val="none"/>
        </w:rPr>
        <w:t>、投诉事项具体内容</w:t>
      </w:r>
    </w:p>
    <w:p w14:paraId="0C43A165">
      <w:pPr>
        <w:shd w:val="clear" w:color="auto" w:fill="auto"/>
        <w:spacing w:before="98" w:line="221" w:lineRule="auto"/>
        <w:ind w:left="508"/>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6"/>
          <w:sz w:val="24"/>
          <w:szCs w:val="24"/>
          <w:highlight w:val="none"/>
        </w:rPr>
        <w:t>投</w:t>
      </w:r>
      <w:r>
        <w:rPr>
          <w:rFonts w:hint="eastAsia" w:ascii="仿宋" w:hAnsi="仿宋" w:eastAsia="仿宋" w:cs="仿宋"/>
          <w:color w:val="auto"/>
          <w:spacing w:val="-10"/>
          <w:sz w:val="24"/>
          <w:szCs w:val="24"/>
          <w:highlight w:val="none"/>
        </w:rPr>
        <w:t>诉事项1：</w:t>
      </w:r>
    </w:p>
    <w:p w14:paraId="14A617C6">
      <w:pPr>
        <w:shd w:val="clear" w:color="auto" w:fill="auto"/>
        <w:spacing w:before="100" w:line="219" w:lineRule="auto"/>
        <w:ind w:left="50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事</w:t>
      </w:r>
      <w:r>
        <w:rPr>
          <w:rFonts w:hint="eastAsia" w:ascii="仿宋" w:hAnsi="仿宋" w:eastAsia="仿宋" w:cs="仿宋"/>
          <w:color w:val="auto"/>
          <w:spacing w:val="-2"/>
          <w:sz w:val="24"/>
          <w:szCs w:val="24"/>
          <w:highlight w:val="none"/>
        </w:rPr>
        <w:t>实依据：</w:t>
      </w:r>
    </w:p>
    <w:p w14:paraId="75E14AE7">
      <w:pPr>
        <w:shd w:val="clear" w:color="auto" w:fill="auto"/>
        <w:tabs>
          <w:tab w:val="left" w:pos="8322"/>
        </w:tabs>
        <w:spacing w:before="179" w:line="242" w:lineRule="exact"/>
        <w:ind w:left="4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ab/>
      </w:r>
    </w:p>
    <w:p w14:paraId="174715C1">
      <w:pPr>
        <w:shd w:val="clear" w:color="auto" w:fill="auto"/>
        <w:spacing w:before="118" w:line="219" w:lineRule="auto"/>
        <w:ind w:left="50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法律</w:t>
      </w:r>
      <w:r>
        <w:rPr>
          <w:rFonts w:hint="eastAsia" w:ascii="仿宋" w:hAnsi="仿宋" w:eastAsia="仿宋" w:cs="仿宋"/>
          <w:color w:val="auto"/>
          <w:spacing w:val="-2"/>
          <w:sz w:val="24"/>
          <w:szCs w:val="24"/>
          <w:highlight w:val="none"/>
        </w:rPr>
        <w:t>依据：</w:t>
      </w:r>
    </w:p>
    <w:p w14:paraId="29212824">
      <w:pPr>
        <w:shd w:val="clear" w:color="auto" w:fill="auto"/>
        <w:tabs>
          <w:tab w:val="left" w:pos="8322"/>
        </w:tabs>
        <w:spacing w:before="179" w:line="242" w:lineRule="exact"/>
        <w:ind w:left="4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ab/>
      </w:r>
    </w:p>
    <w:p w14:paraId="1D6BE096">
      <w:pPr>
        <w:shd w:val="clear" w:color="auto" w:fill="auto"/>
        <w:spacing w:before="118" w:line="437" w:lineRule="exact"/>
        <w:ind w:left="508"/>
        <w:rPr>
          <w:rFonts w:hint="eastAsia" w:ascii="仿宋" w:hAnsi="仿宋" w:eastAsia="仿宋" w:cs="仿宋"/>
          <w:color w:val="auto"/>
          <w:sz w:val="24"/>
          <w:szCs w:val="24"/>
          <w:highlight w:val="none"/>
        </w:rPr>
      </w:pPr>
      <w:r>
        <w:rPr>
          <w:rFonts w:hint="eastAsia" w:ascii="仿宋" w:hAnsi="仿宋" w:eastAsia="仿宋" w:cs="仿宋"/>
          <w:color w:val="auto"/>
          <w:spacing w:val="-13"/>
          <w:position w:val="11"/>
          <w:sz w:val="24"/>
          <w:szCs w:val="24"/>
          <w:highlight w:val="none"/>
        </w:rPr>
        <w:t>投</w:t>
      </w:r>
      <w:r>
        <w:rPr>
          <w:rFonts w:hint="eastAsia" w:ascii="仿宋" w:hAnsi="仿宋" w:eastAsia="仿宋" w:cs="仿宋"/>
          <w:color w:val="auto"/>
          <w:spacing w:val="-12"/>
          <w:position w:val="11"/>
          <w:sz w:val="24"/>
          <w:szCs w:val="24"/>
          <w:highlight w:val="none"/>
        </w:rPr>
        <w:t>诉事项2</w:t>
      </w:r>
    </w:p>
    <w:p w14:paraId="1E91C78C">
      <w:pPr>
        <w:shd w:val="clear" w:color="auto" w:fill="auto"/>
        <w:spacing w:line="437" w:lineRule="exact"/>
        <w:ind w:left="522"/>
        <w:rPr>
          <w:rFonts w:hint="eastAsia" w:ascii="仿宋" w:hAnsi="仿宋" w:eastAsia="仿宋" w:cs="仿宋"/>
          <w:color w:val="auto"/>
          <w:sz w:val="24"/>
          <w:szCs w:val="24"/>
          <w:highlight w:val="none"/>
        </w:rPr>
      </w:pPr>
      <w:r>
        <w:rPr>
          <w:rFonts w:hint="eastAsia" w:ascii="仿宋" w:hAnsi="仿宋" w:eastAsia="仿宋" w:cs="仿宋"/>
          <w:color w:val="auto"/>
          <w:position w:val="3"/>
          <w:sz w:val="24"/>
          <w:szCs w:val="24"/>
          <w:highlight w:val="none"/>
        </w:rPr>
        <w:t>……</w:t>
      </w:r>
    </w:p>
    <w:p w14:paraId="12FF4C8B">
      <w:pPr>
        <w:shd w:val="clear" w:color="auto" w:fill="auto"/>
        <w:spacing w:line="239" w:lineRule="exact"/>
        <w:rPr>
          <w:rFonts w:hint="eastAsia" w:ascii="仿宋" w:hAnsi="仿宋" w:eastAsia="仿宋" w:cs="仿宋"/>
          <w:color w:val="auto"/>
          <w:sz w:val="24"/>
          <w:szCs w:val="24"/>
          <w:highlight w:val="none"/>
        </w:rPr>
      </w:pPr>
    </w:p>
    <w:p w14:paraId="48382C1A">
      <w:pPr>
        <w:shd w:val="clear" w:color="auto" w:fill="auto"/>
        <w:spacing w:before="56" w:line="437" w:lineRule="exact"/>
        <w:ind w:left="505"/>
        <w:rPr>
          <w:rFonts w:hint="eastAsia" w:ascii="仿宋" w:hAnsi="仿宋" w:eastAsia="仿宋" w:cs="仿宋"/>
          <w:color w:val="auto"/>
          <w:spacing w:val="-1"/>
          <w:position w:val="11"/>
          <w:sz w:val="24"/>
          <w:szCs w:val="24"/>
          <w:highlight w:val="none"/>
          <w:lang w:eastAsia="zh-CN"/>
        </w:rPr>
      </w:pPr>
      <w:r>
        <w:rPr>
          <w:rFonts w:hint="eastAsia" w:ascii="仿宋" w:hAnsi="仿宋" w:eastAsia="仿宋" w:cs="仿宋"/>
          <w:color w:val="auto"/>
          <w:spacing w:val="-2"/>
          <w:position w:val="11"/>
          <w:sz w:val="24"/>
          <w:szCs w:val="24"/>
          <w:highlight w:val="none"/>
        </w:rPr>
        <w:t>签字</w:t>
      </w:r>
      <w:r>
        <w:rPr>
          <w:rFonts w:hint="eastAsia" w:ascii="仿宋" w:hAnsi="仿宋" w:eastAsia="仿宋" w:cs="仿宋"/>
          <w:color w:val="auto"/>
          <w:spacing w:val="-2"/>
          <w:position w:val="11"/>
          <w:sz w:val="24"/>
          <w:szCs w:val="24"/>
          <w:highlight w:val="none"/>
          <w:lang w:eastAsia="zh-CN"/>
        </w:rPr>
        <w:t>（</w:t>
      </w:r>
      <w:r>
        <w:rPr>
          <w:rFonts w:hint="eastAsia" w:ascii="仿宋" w:hAnsi="仿宋" w:eastAsia="仿宋" w:cs="仿宋"/>
          <w:color w:val="auto"/>
          <w:spacing w:val="-2"/>
          <w:position w:val="11"/>
          <w:sz w:val="24"/>
          <w:szCs w:val="24"/>
          <w:highlight w:val="none"/>
        </w:rPr>
        <w:t>签</w:t>
      </w:r>
      <w:r>
        <w:rPr>
          <w:rFonts w:hint="eastAsia" w:ascii="仿宋" w:hAnsi="仿宋" w:eastAsia="仿宋" w:cs="仿宋"/>
          <w:color w:val="auto"/>
          <w:spacing w:val="-1"/>
          <w:position w:val="11"/>
          <w:sz w:val="24"/>
          <w:szCs w:val="24"/>
          <w:highlight w:val="none"/>
        </w:rPr>
        <w:t>章</w:t>
      </w:r>
      <w:r>
        <w:rPr>
          <w:rFonts w:hint="eastAsia" w:ascii="仿宋" w:hAnsi="仿宋" w:eastAsia="仿宋" w:cs="仿宋"/>
          <w:color w:val="auto"/>
          <w:spacing w:val="-1"/>
          <w:position w:val="11"/>
          <w:sz w:val="24"/>
          <w:szCs w:val="24"/>
          <w:highlight w:val="none"/>
          <w:lang w:eastAsia="zh-CN"/>
        </w:rPr>
        <w:t>）</w:t>
      </w:r>
      <w:r>
        <w:rPr>
          <w:rFonts w:hint="eastAsia" w:ascii="仿宋" w:hAnsi="仿宋" w:eastAsia="仿宋" w:cs="仿宋"/>
          <w:color w:val="auto"/>
          <w:spacing w:val="-1"/>
          <w:position w:val="11"/>
          <w:sz w:val="24"/>
          <w:szCs w:val="24"/>
          <w:highlight w:val="none"/>
        </w:rPr>
        <w:t>：</w:t>
      </w:r>
    </w:p>
    <w:p w14:paraId="609F2F76">
      <w:pPr>
        <w:shd w:val="clear" w:color="auto" w:fill="auto"/>
        <w:spacing w:before="56" w:line="437" w:lineRule="exact"/>
        <w:ind w:left="505"/>
        <w:rPr>
          <w:rFonts w:hint="eastAsia" w:ascii="仿宋" w:hAnsi="仿宋" w:eastAsia="仿宋" w:cs="仿宋"/>
          <w:color w:val="auto"/>
          <w:spacing w:val="-1"/>
          <w:position w:val="11"/>
          <w:sz w:val="24"/>
          <w:szCs w:val="24"/>
          <w:highlight w:val="none"/>
          <w:lang w:eastAsia="zh-CN"/>
        </w:rPr>
      </w:pPr>
      <w:r>
        <w:rPr>
          <w:rFonts w:hint="eastAsia" w:ascii="仿宋" w:hAnsi="仿宋" w:eastAsia="仿宋" w:cs="仿宋"/>
          <w:color w:val="auto"/>
          <w:spacing w:val="-20"/>
          <w:sz w:val="24"/>
          <w:szCs w:val="24"/>
          <w:highlight w:val="none"/>
        </w:rPr>
        <w:t>日</w:t>
      </w:r>
      <w:r>
        <w:rPr>
          <w:rFonts w:hint="eastAsia" w:ascii="仿宋" w:hAnsi="仿宋" w:eastAsia="仿宋" w:cs="仿宋"/>
          <w:color w:val="auto"/>
          <w:spacing w:val="-19"/>
          <w:sz w:val="24"/>
          <w:szCs w:val="24"/>
          <w:highlight w:val="none"/>
        </w:rPr>
        <w:t>期：</w:t>
      </w:r>
    </w:p>
    <w:p w14:paraId="215BAAE2">
      <w:pPr>
        <w:shd w:val="clear" w:color="auto" w:fill="auto"/>
        <w:spacing w:line="392" w:lineRule="auto"/>
        <w:rPr>
          <w:rFonts w:hint="eastAsia" w:ascii="仿宋" w:hAnsi="仿宋" w:eastAsia="仿宋" w:cs="仿宋"/>
          <w:color w:val="auto"/>
          <w:sz w:val="24"/>
          <w:szCs w:val="24"/>
          <w:highlight w:val="none"/>
        </w:rPr>
      </w:pPr>
    </w:p>
    <w:p w14:paraId="5F170C31">
      <w:pPr>
        <w:shd w:val="clear" w:color="auto" w:fill="auto"/>
        <w:spacing w:before="91" w:line="219" w:lineRule="auto"/>
        <w:ind w:left="508"/>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投诉书制作说</w:t>
      </w:r>
      <w:r>
        <w:rPr>
          <w:rFonts w:hint="eastAsia" w:ascii="仿宋" w:hAnsi="仿宋" w:eastAsia="仿宋" w:cs="仿宋"/>
          <w:color w:val="auto"/>
          <w:spacing w:val="-1"/>
          <w:sz w:val="24"/>
          <w:szCs w:val="24"/>
          <w:highlight w:val="none"/>
        </w:rPr>
        <w:t>明：</w:t>
      </w:r>
    </w:p>
    <w:p w14:paraId="02F1F192">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1.投诉人提起投诉时，应当提交投诉书和必要的证明材料，并按照被投诉人和与投诉事项有关的供应商数量提供投诉书副本。</w:t>
      </w:r>
    </w:p>
    <w:p w14:paraId="2661275B">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2.投诉人若委托代理人进行投诉的，投诉书应按要求列明“授权代表”的有关内容，并在附件中提交由投诉人签署的授权委托书。授权委托书应载明代理人的姓名或者名称、代理事项、具体权限、期限和相关事项。</w:t>
      </w:r>
    </w:p>
    <w:p w14:paraId="11C48A40">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3.投诉人若对项目的某一分包进行投诉，投诉书中应列明具体分包号。</w:t>
      </w:r>
    </w:p>
    <w:p w14:paraId="1C66EF48">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4.投诉书应简要列明质疑事项，质疑函、质疑答复等作为附件材料提供。</w:t>
      </w:r>
    </w:p>
    <w:p w14:paraId="37B4FB2B">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5.投诉书的投诉事项应具体、明确，并有必要的事实依据和法律依据。</w:t>
      </w:r>
    </w:p>
    <w:p w14:paraId="72502A47">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6.投诉书的投诉请求应与投诉事项相关。</w:t>
      </w:r>
    </w:p>
    <w:p w14:paraId="57A4D271">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7.投诉人为自然人的，投诉书应由本人签字；投诉人为法人或者其他组织的，投诉书应当由法定代表人、主要负责人，或者其授权代表签字或者盖章，并加盖公章。</w:t>
      </w:r>
    </w:p>
    <w:p w14:paraId="52990409">
      <w:pPr>
        <w:shd w:val="clear" w:color="auto" w:fill="auto"/>
        <w:spacing w:line="460" w:lineRule="exact"/>
        <w:ind w:left="0" w:leftChars="0" w:firstLine="0" w:firstLineChars="0"/>
        <w:rPr>
          <w:rFonts w:hint="eastAsia" w:ascii="仿宋" w:hAnsi="仿宋" w:eastAsia="仿宋" w:cs="仿宋"/>
          <w:color w:val="auto"/>
          <w:kern w:val="0"/>
          <w:sz w:val="24"/>
          <w:szCs w:val="24"/>
          <w:highlight w:val="none"/>
          <w:shd w:val="clear" w:color="auto" w:fill="FFFFFF"/>
        </w:rPr>
      </w:pPr>
    </w:p>
    <w:p w14:paraId="4E1DBBC2">
      <w:pPr>
        <w:spacing w:line="360" w:lineRule="auto"/>
        <w:jc w:val="center"/>
        <w:outlineLvl w:val="0"/>
        <w:rPr>
          <w:rFonts w:hint="eastAsia" w:ascii="仿宋" w:hAnsi="仿宋" w:eastAsia="仿宋" w:cs="仿宋"/>
          <w:b/>
          <w:color w:val="auto"/>
          <w:sz w:val="24"/>
          <w:szCs w:val="24"/>
          <w:highlight w:val="none"/>
        </w:rPr>
      </w:pPr>
      <w:bookmarkStart w:id="193" w:name="_Toc99301421"/>
      <w:bookmarkStart w:id="194" w:name="_Toc20110"/>
      <w:bookmarkStart w:id="195" w:name="_Toc503212223"/>
      <w:bookmarkStart w:id="196" w:name="_Toc115436075"/>
      <w:bookmarkStart w:id="197" w:name="_Toc23291"/>
      <w:bookmarkStart w:id="198" w:name="_Toc24395"/>
      <w:bookmarkStart w:id="199" w:name="_Toc4147"/>
      <w:bookmarkStart w:id="200" w:name="_Toc17238"/>
      <w:bookmarkStart w:id="201" w:name="_Toc2362"/>
      <w:bookmarkStart w:id="202" w:name="_Toc23028"/>
      <w:bookmarkStart w:id="203" w:name="_Toc6417"/>
      <w:bookmarkStart w:id="204" w:name="_Toc29710"/>
      <w:bookmarkStart w:id="205" w:name="_Toc115435536"/>
      <w:bookmarkStart w:id="206" w:name="_Toc521014791"/>
      <w:bookmarkStart w:id="207" w:name="_Toc1354"/>
    </w:p>
    <w:p w14:paraId="4367E9D5">
      <w:pPr>
        <w:spacing w:line="360" w:lineRule="auto"/>
        <w:jc w:val="center"/>
        <w:outlineLvl w:val="0"/>
        <w:rPr>
          <w:rFonts w:hint="eastAsia" w:ascii="仿宋" w:hAnsi="仿宋" w:eastAsia="仿宋" w:cs="仿宋"/>
          <w:b/>
          <w:color w:val="auto"/>
          <w:sz w:val="24"/>
          <w:szCs w:val="24"/>
          <w:highlight w:val="none"/>
        </w:rPr>
      </w:pPr>
    </w:p>
    <w:p w14:paraId="48EF309B">
      <w:pPr>
        <w:spacing w:line="360" w:lineRule="auto"/>
        <w:jc w:val="center"/>
        <w:outlineLvl w:val="0"/>
        <w:rPr>
          <w:rFonts w:hint="eastAsia" w:ascii="仿宋" w:hAnsi="仿宋" w:eastAsia="仿宋" w:cs="仿宋"/>
          <w:b/>
          <w:color w:val="auto"/>
          <w:sz w:val="24"/>
          <w:szCs w:val="24"/>
          <w:highlight w:val="none"/>
        </w:rPr>
      </w:pPr>
    </w:p>
    <w:p w14:paraId="2C830F75">
      <w:pPr>
        <w:spacing w:line="360" w:lineRule="auto"/>
        <w:jc w:val="center"/>
        <w:outlineLvl w:val="0"/>
        <w:rPr>
          <w:rFonts w:hint="eastAsia" w:ascii="仿宋" w:hAnsi="仿宋" w:eastAsia="仿宋" w:cs="仿宋"/>
          <w:b/>
          <w:color w:val="auto"/>
          <w:sz w:val="24"/>
          <w:szCs w:val="24"/>
          <w:highlight w:val="none"/>
        </w:rPr>
      </w:pPr>
    </w:p>
    <w:p w14:paraId="2E76D8C2">
      <w:pPr>
        <w:spacing w:line="360" w:lineRule="auto"/>
        <w:jc w:val="center"/>
        <w:outlineLvl w:val="0"/>
        <w:rPr>
          <w:rFonts w:hint="eastAsia" w:ascii="仿宋" w:hAnsi="仿宋" w:eastAsia="仿宋" w:cs="仿宋"/>
          <w:b/>
          <w:color w:val="auto"/>
          <w:sz w:val="24"/>
          <w:szCs w:val="24"/>
          <w:highlight w:val="none"/>
        </w:rPr>
      </w:pPr>
    </w:p>
    <w:p w14:paraId="13533D85">
      <w:pPr>
        <w:spacing w:line="360" w:lineRule="auto"/>
        <w:jc w:val="center"/>
        <w:outlineLvl w:val="0"/>
        <w:rPr>
          <w:rFonts w:hint="eastAsia" w:ascii="仿宋" w:hAnsi="仿宋" w:eastAsia="仿宋" w:cs="仿宋"/>
          <w:b/>
          <w:color w:val="auto"/>
          <w:sz w:val="24"/>
          <w:szCs w:val="24"/>
          <w:highlight w:val="none"/>
        </w:rPr>
      </w:pPr>
    </w:p>
    <w:p w14:paraId="04C2ED4B">
      <w:pPr>
        <w:spacing w:line="360" w:lineRule="auto"/>
        <w:jc w:val="center"/>
        <w:outlineLvl w:val="0"/>
        <w:rPr>
          <w:rFonts w:hint="eastAsia" w:ascii="仿宋" w:hAnsi="仿宋" w:eastAsia="仿宋" w:cs="仿宋"/>
          <w:b/>
          <w:color w:val="auto"/>
          <w:sz w:val="24"/>
          <w:szCs w:val="24"/>
          <w:highlight w:val="none"/>
        </w:rPr>
      </w:pPr>
    </w:p>
    <w:p w14:paraId="09AD1F90">
      <w:pPr>
        <w:spacing w:line="360" w:lineRule="auto"/>
        <w:jc w:val="center"/>
        <w:outlineLvl w:val="0"/>
        <w:rPr>
          <w:rFonts w:hint="eastAsia" w:ascii="仿宋" w:hAnsi="仿宋" w:eastAsia="仿宋" w:cs="仿宋"/>
          <w:b/>
          <w:color w:val="auto"/>
          <w:sz w:val="24"/>
          <w:szCs w:val="24"/>
          <w:highlight w:val="none"/>
        </w:rPr>
      </w:pPr>
    </w:p>
    <w:p w14:paraId="05668AD9">
      <w:pPr>
        <w:spacing w:line="360" w:lineRule="auto"/>
        <w:jc w:val="center"/>
        <w:outlineLvl w:val="0"/>
        <w:rPr>
          <w:rFonts w:hint="eastAsia" w:ascii="仿宋" w:hAnsi="仿宋" w:eastAsia="仿宋" w:cs="仿宋"/>
          <w:b/>
          <w:color w:val="auto"/>
          <w:sz w:val="24"/>
          <w:szCs w:val="24"/>
          <w:highlight w:val="none"/>
        </w:rPr>
      </w:pPr>
    </w:p>
    <w:p w14:paraId="1D40F8E3">
      <w:pPr>
        <w:spacing w:line="360" w:lineRule="auto"/>
        <w:jc w:val="center"/>
        <w:outlineLvl w:val="0"/>
        <w:rPr>
          <w:rFonts w:hint="eastAsia" w:ascii="仿宋" w:hAnsi="仿宋" w:eastAsia="仿宋" w:cs="仿宋"/>
          <w:b/>
          <w:color w:val="auto"/>
          <w:sz w:val="24"/>
          <w:szCs w:val="24"/>
          <w:highlight w:val="none"/>
        </w:rPr>
      </w:pPr>
    </w:p>
    <w:p w14:paraId="27F25193">
      <w:pPr>
        <w:spacing w:line="360" w:lineRule="auto"/>
        <w:jc w:val="center"/>
        <w:outlineLvl w:val="0"/>
        <w:rPr>
          <w:rFonts w:hint="eastAsia" w:ascii="仿宋" w:hAnsi="仿宋" w:eastAsia="仿宋" w:cs="仿宋"/>
          <w:b/>
          <w:color w:val="auto"/>
          <w:sz w:val="24"/>
          <w:szCs w:val="24"/>
          <w:highlight w:val="none"/>
        </w:rPr>
      </w:pPr>
    </w:p>
    <w:p w14:paraId="2636509D">
      <w:pPr>
        <w:spacing w:line="360" w:lineRule="auto"/>
        <w:jc w:val="center"/>
        <w:outlineLvl w:val="0"/>
        <w:rPr>
          <w:rFonts w:hint="eastAsia" w:ascii="仿宋" w:hAnsi="仿宋" w:eastAsia="仿宋" w:cs="仿宋"/>
          <w:b/>
          <w:color w:val="auto"/>
          <w:sz w:val="24"/>
          <w:szCs w:val="24"/>
          <w:highlight w:val="none"/>
        </w:rPr>
      </w:pPr>
    </w:p>
    <w:p w14:paraId="5E85B7BD">
      <w:pPr>
        <w:spacing w:line="360" w:lineRule="auto"/>
        <w:jc w:val="center"/>
        <w:outlineLvl w:val="0"/>
        <w:rPr>
          <w:rFonts w:hint="eastAsia" w:ascii="仿宋" w:hAnsi="仿宋" w:eastAsia="仿宋" w:cs="仿宋"/>
          <w:b/>
          <w:color w:val="auto"/>
          <w:sz w:val="24"/>
          <w:szCs w:val="24"/>
          <w:highlight w:val="none"/>
        </w:rPr>
      </w:pPr>
    </w:p>
    <w:p w14:paraId="58DB0173">
      <w:pPr>
        <w:spacing w:line="360" w:lineRule="auto"/>
        <w:jc w:val="center"/>
        <w:outlineLvl w:val="0"/>
        <w:rPr>
          <w:rFonts w:hint="eastAsia" w:ascii="仿宋" w:hAnsi="仿宋" w:eastAsia="仿宋" w:cs="仿宋"/>
          <w:b/>
          <w:color w:val="auto"/>
          <w:sz w:val="24"/>
          <w:szCs w:val="24"/>
          <w:highlight w:val="none"/>
        </w:rPr>
      </w:pPr>
    </w:p>
    <w:p w14:paraId="0DA7B415">
      <w:pPr>
        <w:spacing w:line="360" w:lineRule="auto"/>
        <w:jc w:val="center"/>
        <w:outlineLvl w:val="0"/>
        <w:rPr>
          <w:rFonts w:hint="eastAsia" w:ascii="仿宋" w:hAnsi="仿宋" w:eastAsia="仿宋" w:cs="仿宋"/>
          <w:b/>
          <w:color w:val="auto"/>
          <w:sz w:val="24"/>
          <w:szCs w:val="24"/>
          <w:highlight w:val="none"/>
        </w:rPr>
      </w:pPr>
    </w:p>
    <w:p w14:paraId="389BE7DE">
      <w:pPr>
        <w:spacing w:line="360" w:lineRule="auto"/>
        <w:jc w:val="center"/>
        <w:outlineLvl w:val="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第三章资格审查</w:t>
      </w:r>
      <w:bookmarkEnd w:id="193"/>
      <w:bookmarkStart w:id="208" w:name="_Toc487900382"/>
    </w:p>
    <w:p w14:paraId="61DFE4E1">
      <w:pPr>
        <w:tabs>
          <w:tab w:val="left" w:pos="360"/>
          <w:tab w:val="left" w:pos="900"/>
        </w:tabs>
        <w:snapToGrid w:val="0"/>
        <w:spacing w:line="360" w:lineRule="auto"/>
        <w:jc w:val="center"/>
        <w:outlineLvl w:val="1"/>
        <w:rPr>
          <w:rFonts w:hint="eastAsia" w:ascii="仿宋" w:hAnsi="仿宋" w:eastAsia="仿宋" w:cs="仿宋"/>
          <w:b/>
          <w:color w:val="auto"/>
          <w:sz w:val="28"/>
          <w:szCs w:val="28"/>
          <w:highlight w:val="none"/>
        </w:rPr>
      </w:pPr>
      <w:bookmarkStart w:id="209" w:name="_Toc99301422"/>
      <w:r>
        <w:rPr>
          <w:rFonts w:hint="eastAsia" w:ascii="仿宋" w:hAnsi="仿宋" w:eastAsia="仿宋" w:cs="仿宋"/>
          <w:b/>
          <w:color w:val="auto"/>
          <w:sz w:val="28"/>
          <w:szCs w:val="28"/>
          <w:highlight w:val="none"/>
        </w:rPr>
        <w:t>一、资格审查程序</w:t>
      </w:r>
      <w:bookmarkEnd w:id="209"/>
    </w:p>
    <w:p w14:paraId="0CD25EE5">
      <w:pPr>
        <w:numPr>
          <w:ilvl w:val="0"/>
          <w:numId w:val="0"/>
        </w:numPr>
        <w:tabs>
          <w:tab w:val="left" w:pos="426"/>
          <w:tab w:val="left" w:pos="851"/>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开标结束后，采购人或采购代理机构将根据《资格审查要求</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的规定，对投标人进行资格审查，并形成资格审查结果。</w:t>
      </w:r>
    </w:p>
    <w:p w14:paraId="0FD72680">
      <w:pPr>
        <w:numPr>
          <w:ilvl w:val="0"/>
          <w:numId w:val="0"/>
        </w:numPr>
        <w:tabs>
          <w:tab w:val="left" w:pos="426"/>
          <w:tab w:val="left" w:pos="851"/>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《资格审查要求》中对格式有要求的，除招标文件另有规定外，均为“实质性格式”文件。</w:t>
      </w:r>
    </w:p>
    <w:p w14:paraId="15C8BD09">
      <w:pPr>
        <w:numPr>
          <w:ilvl w:val="0"/>
          <w:numId w:val="0"/>
        </w:numPr>
        <w:tabs>
          <w:tab w:val="left" w:pos="426"/>
          <w:tab w:val="left" w:pos="851"/>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投标人《资格证明文件》有任何一项不符合《资格审查要求》的，资格审查不合格，其</w:t>
      </w:r>
      <w:r>
        <w:rPr>
          <w:rFonts w:hint="eastAsia" w:ascii="仿宋" w:hAnsi="仿宋" w:eastAsia="仿宋" w:cs="仿宋"/>
          <w:b/>
          <w:color w:val="auto"/>
          <w:sz w:val="24"/>
          <w:szCs w:val="24"/>
          <w:highlight w:val="none"/>
        </w:rPr>
        <w:t>投标无效</w:t>
      </w:r>
      <w:r>
        <w:rPr>
          <w:rFonts w:hint="eastAsia" w:ascii="仿宋" w:hAnsi="仿宋" w:eastAsia="仿宋" w:cs="仿宋"/>
          <w:color w:val="auto"/>
          <w:sz w:val="24"/>
          <w:szCs w:val="24"/>
          <w:highlight w:val="none"/>
        </w:rPr>
        <w:t>。</w:t>
      </w:r>
    </w:p>
    <w:p w14:paraId="024EB9C2">
      <w:pPr>
        <w:numPr>
          <w:ilvl w:val="0"/>
          <w:numId w:val="0"/>
        </w:numPr>
        <w:tabs>
          <w:tab w:val="left" w:pos="426"/>
          <w:tab w:val="left" w:pos="851"/>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资格审查合格的投标人不足3家的，不进行评标。</w:t>
      </w:r>
    </w:p>
    <w:p w14:paraId="3A7935AD">
      <w:pPr>
        <w:tabs>
          <w:tab w:val="left" w:pos="360"/>
          <w:tab w:val="left" w:pos="900"/>
        </w:tabs>
        <w:snapToGrid w:val="0"/>
        <w:spacing w:line="360" w:lineRule="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二、资格审查要求</w:t>
      </w:r>
    </w:p>
    <w:tbl>
      <w:tblPr>
        <w:tblStyle w:val="75"/>
        <w:tblW w:w="10175" w:type="dxa"/>
        <w:jc w:val="center"/>
        <w:tblLayout w:type="fixed"/>
        <w:tblCellMar>
          <w:top w:w="0" w:type="dxa"/>
          <w:left w:w="15" w:type="dxa"/>
          <w:bottom w:w="0" w:type="dxa"/>
          <w:right w:w="15" w:type="dxa"/>
        </w:tblCellMar>
      </w:tblPr>
      <w:tblGrid>
        <w:gridCol w:w="699"/>
        <w:gridCol w:w="6225"/>
        <w:gridCol w:w="1110"/>
        <w:gridCol w:w="1059"/>
        <w:gridCol w:w="1082"/>
      </w:tblGrid>
      <w:tr w14:paraId="0722130B">
        <w:tblPrEx>
          <w:tblCellMar>
            <w:top w:w="0" w:type="dxa"/>
            <w:left w:w="15" w:type="dxa"/>
            <w:bottom w:w="0" w:type="dxa"/>
            <w:right w:w="15" w:type="dxa"/>
          </w:tblCellMar>
        </w:tblPrEx>
        <w:trPr>
          <w:trHeight w:val="366" w:hRule="atLeast"/>
          <w:jc w:val="center"/>
        </w:trPr>
        <w:tc>
          <w:tcPr>
            <w:tcW w:w="6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8A388">
            <w:pPr>
              <w:autoSpaceDN w:val="0"/>
              <w:ind w:left="0" w:leftChars="0" w:firstLine="0" w:firstLineChars="0"/>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序号</w:t>
            </w:r>
          </w:p>
        </w:tc>
        <w:tc>
          <w:tcPr>
            <w:tcW w:w="6225" w:type="dxa"/>
            <w:vMerge w:val="restart"/>
            <w:tcBorders>
              <w:top w:val="single" w:color="000000" w:sz="4" w:space="0"/>
              <w:left w:val="single" w:color="000000" w:sz="4" w:space="0"/>
              <w:bottom w:val="single" w:color="000000" w:sz="4" w:space="0"/>
              <w:right w:val="nil"/>
            </w:tcBorders>
            <w:noWrap w:val="0"/>
            <w:vAlign w:val="center"/>
          </w:tcPr>
          <w:p w14:paraId="3218B291">
            <w:pPr>
              <w:autoSpaceDN w:val="0"/>
              <w:ind w:left="105" w:hanging="105"/>
              <w:jc w:val="center"/>
              <w:textAlignment w:val="center"/>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响应文件审查及响应性</w:t>
            </w:r>
          </w:p>
          <w:p w14:paraId="476FB076">
            <w:pPr>
              <w:autoSpaceDN w:val="0"/>
              <w:ind w:left="105" w:hanging="105"/>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（评审结果为合格/不合格）</w:t>
            </w:r>
          </w:p>
        </w:tc>
        <w:tc>
          <w:tcPr>
            <w:tcW w:w="1110" w:type="dxa"/>
            <w:tcBorders>
              <w:top w:val="single" w:color="000000" w:sz="4" w:space="0"/>
              <w:left w:val="single" w:color="000000" w:sz="4" w:space="0"/>
              <w:bottom w:val="single" w:color="000000" w:sz="4" w:space="0"/>
              <w:right w:val="nil"/>
            </w:tcBorders>
            <w:noWrap w:val="0"/>
            <w:vAlign w:val="center"/>
          </w:tcPr>
          <w:p w14:paraId="045231A2">
            <w:pPr>
              <w:autoSpaceDN w:val="0"/>
              <w:ind w:left="90" w:hanging="90"/>
              <w:jc w:val="center"/>
              <w:textAlignment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公司A</w:t>
            </w:r>
          </w:p>
        </w:tc>
        <w:tc>
          <w:tcPr>
            <w:tcW w:w="1059" w:type="dxa"/>
            <w:tcBorders>
              <w:top w:val="single" w:color="000000" w:sz="4" w:space="0"/>
              <w:left w:val="single" w:color="000000" w:sz="4" w:space="0"/>
              <w:bottom w:val="single" w:color="000000" w:sz="4" w:space="0"/>
              <w:right w:val="nil"/>
            </w:tcBorders>
            <w:noWrap w:val="0"/>
            <w:vAlign w:val="center"/>
          </w:tcPr>
          <w:p w14:paraId="24C02B6A">
            <w:pPr>
              <w:autoSpaceDN w:val="0"/>
              <w:ind w:left="90" w:hanging="90"/>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公司B</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2E7646D8">
            <w:pPr>
              <w:autoSpaceDN w:val="0"/>
              <w:ind w:left="90" w:hanging="90"/>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公司C</w:t>
            </w:r>
          </w:p>
        </w:tc>
      </w:tr>
      <w:tr w14:paraId="0E66248C">
        <w:tblPrEx>
          <w:tblCellMar>
            <w:top w:w="0" w:type="dxa"/>
            <w:left w:w="15" w:type="dxa"/>
            <w:bottom w:w="0" w:type="dxa"/>
            <w:right w:w="15" w:type="dxa"/>
          </w:tblCellMar>
        </w:tblPrEx>
        <w:trPr>
          <w:trHeight w:val="90" w:hRule="atLeast"/>
          <w:jc w:val="center"/>
        </w:trPr>
        <w:tc>
          <w:tcPr>
            <w:tcW w:w="699" w:type="dxa"/>
            <w:vMerge w:val="continue"/>
            <w:tcBorders>
              <w:top w:val="single" w:color="000000" w:sz="4" w:space="0"/>
              <w:left w:val="single" w:color="000000" w:sz="4" w:space="0"/>
              <w:bottom w:val="single" w:color="auto" w:sz="4" w:space="0"/>
              <w:right w:val="single" w:color="000000" w:sz="4" w:space="0"/>
            </w:tcBorders>
            <w:noWrap w:val="0"/>
            <w:vAlign w:val="center"/>
          </w:tcPr>
          <w:p w14:paraId="1F459BE6">
            <w:pPr>
              <w:ind w:left="105" w:hanging="105"/>
              <w:rPr>
                <w:rFonts w:hint="eastAsia" w:ascii="仿宋" w:hAnsi="仿宋" w:eastAsia="仿宋" w:cs="仿宋"/>
                <w:b w:val="0"/>
                <w:bCs w:val="0"/>
                <w:color w:val="auto"/>
                <w:sz w:val="24"/>
                <w:szCs w:val="24"/>
              </w:rPr>
            </w:pPr>
          </w:p>
        </w:tc>
        <w:tc>
          <w:tcPr>
            <w:tcW w:w="6225" w:type="dxa"/>
            <w:vMerge w:val="continue"/>
            <w:tcBorders>
              <w:top w:val="single" w:color="000000" w:sz="4" w:space="0"/>
              <w:left w:val="single" w:color="000000" w:sz="4" w:space="0"/>
              <w:bottom w:val="single" w:color="000000" w:sz="4" w:space="0"/>
              <w:right w:val="nil"/>
            </w:tcBorders>
            <w:noWrap w:val="0"/>
            <w:vAlign w:val="center"/>
          </w:tcPr>
          <w:p w14:paraId="3C2E9DF7">
            <w:pPr>
              <w:ind w:left="105" w:hanging="105"/>
              <w:rPr>
                <w:rFonts w:hint="eastAsia" w:ascii="仿宋" w:hAnsi="仿宋" w:eastAsia="仿宋" w:cs="仿宋"/>
                <w:b w:val="0"/>
                <w:bCs w:val="0"/>
                <w:color w:val="auto"/>
                <w:sz w:val="24"/>
                <w:szCs w:val="24"/>
              </w:rPr>
            </w:pPr>
          </w:p>
        </w:tc>
        <w:tc>
          <w:tcPr>
            <w:tcW w:w="1110" w:type="dxa"/>
            <w:tcBorders>
              <w:top w:val="single" w:color="000000" w:sz="4" w:space="0"/>
              <w:left w:val="single" w:color="000000" w:sz="4" w:space="0"/>
              <w:bottom w:val="single" w:color="000000" w:sz="4" w:space="0"/>
              <w:right w:val="nil"/>
            </w:tcBorders>
            <w:noWrap w:val="0"/>
            <w:vAlign w:val="center"/>
          </w:tcPr>
          <w:p w14:paraId="27993C03">
            <w:pPr>
              <w:autoSpaceDN w:val="0"/>
              <w:ind w:left="105" w:hanging="105"/>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是否合格</w:t>
            </w:r>
          </w:p>
        </w:tc>
        <w:tc>
          <w:tcPr>
            <w:tcW w:w="1059" w:type="dxa"/>
            <w:tcBorders>
              <w:top w:val="single" w:color="000000" w:sz="4" w:space="0"/>
              <w:left w:val="single" w:color="000000" w:sz="4" w:space="0"/>
              <w:bottom w:val="single" w:color="000000" w:sz="4" w:space="0"/>
              <w:right w:val="nil"/>
            </w:tcBorders>
            <w:noWrap w:val="0"/>
            <w:vAlign w:val="center"/>
          </w:tcPr>
          <w:p w14:paraId="3DCFA9BA">
            <w:pPr>
              <w:autoSpaceDN w:val="0"/>
              <w:ind w:left="105" w:hanging="105"/>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是否合格</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28B61FB4">
            <w:pPr>
              <w:autoSpaceDN w:val="0"/>
              <w:ind w:left="105" w:hanging="105"/>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是否合格</w:t>
            </w:r>
          </w:p>
        </w:tc>
      </w:tr>
      <w:tr w14:paraId="5DD89C69">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48D614B8">
            <w:pPr>
              <w:autoSpaceDN w:val="0"/>
              <w:ind w:left="105" w:hanging="105"/>
              <w:jc w:val="center"/>
              <w:textAlignment w:val="center"/>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p>
        </w:tc>
        <w:tc>
          <w:tcPr>
            <w:tcW w:w="6225" w:type="dxa"/>
            <w:tcBorders>
              <w:top w:val="single" w:color="000000" w:sz="4" w:space="0"/>
              <w:left w:val="single" w:color="auto" w:sz="4" w:space="0"/>
              <w:bottom w:val="single" w:color="000000" w:sz="4" w:space="0"/>
              <w:right w:val="nil"/>
            </w:tcBorders>
            <w:noWrap w:val="0"/>
            <w:vAlign w:val="center"/>
          </w:tcPr>
          <w:p w14:paraId="0350E3FD">
            <w:pPr>
              <w:spacing w:line="400" w:lineRule="exact"/>
              <w:ind w:left="105" w:hanging="105"/>
              <w:rPr>
                <w:rFonts w:hint="eastAsia" w:ascii="仿宋" w:hAnsi="仿宋" w:eastAsia="仿宋" w:cs="仿宋"/>
                <w:b w:val="0"/>
                <w:bCs w:val="0"/>
                <w:color w:val="auto"/>
                <w:sz w:val="24"/>
                <w:szCs w:val="24"/>
                <w:lang w:eastAsia="zh-CN"/>
              </w:rPr>
            </w:pPr>
            <w:r>
              <w:rPr>
                <w:rFonts w:hint="eastAsia" w:ascii="仿宋" w:hAnsi="仿宋" w:eastAsia="仿宋" w:cs="仿宋"/>
                <w:i w:val="0"/>
                <w:iCs w:val="0"/>
                <w:caps w:val="0"/>
                <w:color w:val="auto"/>
                <w:spacing w:val="0"/>
                <w:sz w:val="24"/>
                <w:szCs w:val="24"/>
                <w:highlight w:val="none"/>
                <w:lang w:val="en-US" w:eastAsia="zh-CN"/>
              </w:rPr>
              <w:t>具有独立承担民事责任的能力，如投标人是企业（包括合伙企业），应提供在工商部门注册的有效“企业法人证书”或“营业执照”；如投标人是事业单位，应提供有效的“事业单位法人证书”；投标人是非企业专业服务机构的，应提供执业许可证等证明文件；如投标人是个体工商户，应提供有效的“个体工商户营业执照”；如投标人是自然人，应提供有效的自然人身份证明；</w:t>
            </w:r>
          </w:p>
        </w:tc>
        <w:tc>
          <w:tcPr>
            <w:tcW w:w="1110" w:type="dxa"/>
            <w:tcBorders>
              <w:top w:val="single" w:color="000000" w:sz="4" w:space="0"/>
              <w:left w:val="single" w:color="000000" w:sz="4" w:space="0"/>
              <w:bottom w:val="single" w:color="000000" w:sz="4" w:space="0"/>
              <w:right w:val="nil"/>
            </w:tcBorders>
            <w:noWrap w:val="0"/>
            <w:vAlign w:val="center"/>
          </w:tcPr>
          <w:p w14:paraId="678136AA">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5755DF45">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08188195">
            <w:pPr>
              <w:autoSpaceDN w:val="0"/>
              <w:ind w:left="100" w:hanging="100"/>
              <w:jc w:val="center"/>
              <w:textAlignment w:val="center"/>
              <w:rPr>
                <w:rFonts w:hint="eastAsia" w:ascii="仿宋" w:hAnsi="仿宋" w:eastAsia="仿宋" w:cs="仿宋"/>
                <w:b w:val="0"/>
                <w:bCs w:val="0"/>
                <w:color w:val="auto"/>
                <w:sz w:val="24"/>
                <w:szCs w:val="24"/>
              </w:rPr>
            </w:pPr>
          </w:p>
        </w:tc>
      </w:tr>
      <w:tr w14:paraId="2899FBFC">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490922BC">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p>
        </w:tc>
        <w:tc>
          <w:tcPr>
            <w:tcW w:w="6225" w:type="dxa"/>
            <w:tcBorders>
              <w:top w:val="single" w:color="000000" w:sz="4" w:space="0"/>
              <w:left w:val="single" w:color="auto" w:sz="4" w:space="0"/>
              <w:bottom w:val="single" w:color="000000" w:sz="4" w:space="0"/>
              <w:right w:val="nil"/>
            </w:tcBorders>
            <w:noWrap w:val="0"/>
            <w:vAlign w:val="center"/>
          </w:tcPr>
          <w:p w14:paraId="47B3216B">
            <w:pPr>
              <w:spacing w:line="400" w:lineRule="exact"/>
              <w:ind w:left="0" w:leftChars="0" w:firstLine="0" w:firstLineChars="0"/>
              <w:rPr>
                <w:rFonts w:hint="eastAsia" w:ascii="仿宋" w:hAnsi="仿宋" w:eastAsia="仿宋" w:cs="仿宋"/>
                <w:b w:val="0"/>
                <w:bCs w:val="0"/>
                <w:color w:val="auto"/>
                <w:sz w:val="24"/>
                <w:szCs w:val="24"/>
              </w:rPr>
            </w:pPr>
            <w:r>
              <w:rPr>
                <w:rFonts w:hint="eastAsia" w:ascii="仿宋" w:hAnsi="仿宋" w:eastAsia="仿宋" w:cs="仿宋"/>
                <w:i w:val="0"/>
                <w:iCs w:val="0"/>
                <w:caps w:val="0"/>
                <w:color w:val="auto"/>
                <w:spacing w:val="0"/>
                <w:sz w:val="24"/>
                <w:szCs w:val="24"/>
                <w:highlight w:val="none"/>
                <w:lang w:val="en-US" w:eastAsia="zh-CN"/>
              </w:rPr>
              <w:t>具有良好的商业信誉和健全的财务会计制度，提供2025年度由第三方财务审计机构出具的在注册会计师行业统一监管平台备案赋码的财务审计报告（2026年新成立的公司按实际发生的情况提供银行出具的资信证明）；</w:t>
            </w:r>
          </w:p>
        </w:tc>
        <w:tc>
          <w:tcPr>
            <w:tcW w:w="1110" w:type="dxa"/>
            <w:tcBorders>
              <w:top w:val="single" w:color="000000" w:sz="4" w:space="0"/>
              <w:left w:val="single" w:color="000000" w:sz="4" w:space="0"/>
              <w:bottom w:val="single" w:color="000000" w:sz="4" w:space="0"/>
              <w:right w:val="nil"/>
            </w:tcBorders>
            <w:noWrap w:val="0"/>
            <w:vAlign w:val="center"/>
          </w:tcPr>
          <w:p w14:paraId="4D50A06E">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58C04F3A">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568978A7">
            <w:pPr>
              <w:autoSpaceDN w:val="0"/>
              <w:ind w:left="100" w:hanging="100"/>
              <w:jc w:val="center"/>
              <w:textAlignment w:val="center"/>
              <w:rPr>
                <w:rFonts w:hint="eastAsia" w:ascii="仿宋" w:hAnsi="仿宋" w:eastAsia="仿宋" w:cs="仿宋"/>
                <w:b w:val="0"/>
                <w:bCs w:val="0"/>
                <w:color w:val="auto"/>
                <w:sz w:val="24"/>
                <w:szCs w:val="24"/>
              </w:rPr>
            </w:pPr>
          </w:p>
        </w:tc>
      </w:tr>
      <w:tr w14:paraId="35D86D61">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532BE650">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w:t>
            </w:r>
          </w:p>
        </w:tc>
        <w:tc>
          <w:tcPr>
            <w:tcW w:w="6225" w:type="dxa"/>
            <w:tcBorders>
              <w:top w:val="single" w:color="000000" w:sz="4" w:space="0"/>
              <w:left w:val="single" w:color="auto" w:sz="4" w:space="0"/>
              <w:bottom w:val="single" w:color="000000" w:sz="4" w:space="0"/>
              <w:right w:val="nil"/>
            </w:tcBorders>
            <w:noWrap w:val="0"/>
            <w:vAlign w:val="center"/>
          </w:tcPr>
          <w:p w14:paraId="134EB81D">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提供税务机关出具的2026年近三个月内任意一个月的完税证明或依法报税资料（新成立不足1个月的按实际情况提供，成立时间超过1个月的零申报的需提供依法报税资料）；</w:t>
            </w:r>
          </w:p>
        </w:tc>
        <w:tc>
          <w:tcPr>
            <w:tcW w:w="1110" w:type="dxa"/>
            <w:tcBorders>
              <w:top w:val="single" w:color="000000" w:sz="4" w:space="0"/>
              <w:left w:val="single" w:color="000000" w:sz="4" w:space="0"/>
              <w:bottom w:val="single" w:color="000000" w:sz="4" w:space="0"/>
              <w:right w:val="nil"/>
            </w:tcBorders>
            <w:noWrap w:val="0"/>
            <w:vAlign w:val="center"/>
          </w:tcPr>
          <w:p w14:paraId="2FFDDD25">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2B837258">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2B999159">
            <w:pPr>
              <w:autoSpaceDN w:val="0"/>
              <w:ind w:left="100" w:hanging="100"/>
              <w:jc w:val="center"/>
              <w:textAlignment w:val="center"/>
              <w:rPr>
                <w:rFonts w:hint="eastAsia" w:ascii="仿宋" w:hAnsi="仿宋" w:eastAsia="仿宋" w:cs="仿宋"/>
                <w:b w:val="0"/>
                <w:bCs w:val="0"/>
                <w:color w:val="auto"/>
                <w:sz w:val="24"/>
                <w:szCs w:val="24"/>
              </w:rPr>
            </w:pPr>
          </w:p>
        </w:tc>
      </w:tr>
      <w:tr w14:paraId="5C4DD0C4">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016252EC">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w:t>
            </w:r>
          </w:p>
        </w:tc>
        <w:tc>
          <w:tcPr>
            <w:tcW w:w="6225" w:type="dxa"/>
            <w:tcBorders>
              <w:top w:val="single" w:color="000000" w:sz="4" w:space="0"/>
              <w:left w:val="single" w:color="auto" w:sz="4" w:space="0"/>
              <w:bottom w:val="single" w:color="000000" w:sz="4" w:space="0"/>
              <w:right w:val="nil"/>
            </w:tcBorders>
            <w:noWrap w:val="0"/>
            <w:vAlign w:val="center"/>
          </w:tcPr>
          <w:p w14:paraId="5EB329D0">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法定代表人需提供法定代表人证明书及法定代表人身份证，委托代理人需提供法定代表人授权委托书及委托代理人身份证，被委托人必须是投标人法人或正式员工，需提供社保部门出具2026年任意连续三个月的缴纳社保证明（社保缴费凭证或个人明细表），成立不足三个月的按实际提供；</w:t>
            </w:r>
          </w:p>
        </w:tc>
        <w:tc>
          <w:tcPr>
            <w:tcW w:w="1110" w:type="dxa"/>
            <w:tcBorders>
              <w:top w:val="single" w:color="000000" w:sz="4" w:space="0"/>
              <w:left w:val="single" w:color="000000" w:sz="4" w:space="0"/>
              <w:bottom w:val="single" w:color="000000" w:sz="4" w:space="0"/>
              <w:right w:val="nil"/>
            </w:tcBorders>
            <w:noWrap w:val="0"/>
            <w:vAlign w:val="center"/>
          </w:tcPr>
          <w:p w14:paraId="23158C24">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36C8435C">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5EB195D9">
            <w:pPr>
              <w:autoSpaceDN w:val="0"/>
              <w:ind w:left="100" w:hanging="100"/>
              <w:jc w:val="center"/>
              <w:textAlignment w:val="center"/>
              <w:rPr>
                <w:rFonts w:hint="eastAsia" w:ascii="仿宋" w:hAnsi="仿宋" w:eastAsia="仿宋" w:cs="仿宋"/>
                <w:b w:val="0"/>
                <w:bCs w:val="0"/>
                <w:color w:val="auto"/>
                <w:sz w:val="24"/>
                <w:szCs w:val="24"/>
              </w:rPr>
            </w:pPr>
          </w:p>
        </w:tc>
      </w:tr>
      <w:tr w14:paraId="04888C28">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5D59B4BF">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5</w:t>
            </w:r>
          </w:p>
        </w:tc>
        <w:tc>
          <w:tcPr>
            <w:tcW w:w="6225" w:type="dxa"/>
            <w:tcBorders>
              <w:top w:val="single" w:color="000000" w:sz="4" w:space="0"/>
              <w:left w:val="single" w:color="auto" w:sz="4" w:space="0"/>
              <w:bottom w:val="single" w:color="000000" w:sz="4" w:space="0"/>
              <w:right w:val="nil"/>
            </w:tcBorders>
            <w:noWrap w:val="0"/>
            <w:vAlign w:val="center"/>
          </w:tcPr>
          <w:p w14:paraId="1ACA39EA">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投标人近三年内如在“信用中国网www.creditchina.gov.cn”被列入失信被执行人、重大税收违法案件当事人名单、政府采购严重违法失信行为记录名单的（尚在处罚期内的）；在“中国政府采购网（www.ccgp.gov.cn）”被列入政府采购严重违法失信行为记录名单的（尚在处罚期内的）；在“国家企业信用信息公示系统（http://www.gsxt.gov.cn）”列入严重违法失信企业名单（黑名单）信息，将拒绝其参加本次政府采购活动；</w:t>
            </w:r>
          </w:p>
        </w:tc>
        <w:tc>
          <w:tcPr>
            <w:tcW w:w="1110" w:type="dxa"/>
            <w:tcBorders>
              <w:top w:val="single" w:color="000000" w:sz="4" w:space="0"/>
              <w:left w:val="single" w:color="000000" w:sz="4" w:space="0"/>
              <w:bottom w:val="single" w:color="000000" w:sz="4" w:space="0"/>
              <w:right w:val="nil"/>
            </w:tcBorders>
            <w:noWrap w:val="0"/>
            <w:vAlign w:val="center"/>
          </w:tcPr>
          <w:p w14:paraId="0DD56ED3">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728C7154">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22867DE8">
            <w:pPr>
              <w:autoSpaceDN w:val="0"/>
              <w:ind w:left="100" w:hanging="100"/>
              <w:jc w:val="center"/>
              <w:textAlignment w:val="center"/>
              <w:rPr>
                <w:rFonts w:hint="eastAsia" w:ascii="仿宋" w:hAnsi="仿宋" w:eastAsia="仿宋" w:cs="仿宋"/>
                <w:b w:val="0"/>
                <w:bCs w:val="0"/>
                <w:color w:val="auto"/>
                <w:sz w:val="24"/>
                <w:szCs w:val="24"/>
              </w:rPr>
            </w:pPr>
          </w:p>
        </w:tc>
      </w:tr>
      <w:tr w14:paraId="0A0F3AFF">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7E281FEF">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6</w:t>
            </w:r>
          </w:p>
        </w:tc>
        <w:tc>
          <w:tcPr>
            <w:tcW w:w="6225" w:type="dxa"/>
            <w:tcBorders>
              <w:top w:val="single" w:color="000000" w:sz="4" w:space="0"/>
              <w:left w:val="single" w:color="auto" w:sz="4" w:space="0"/>
              <w:bottom w:val="single" w:color="000000" w:sz="4" w:space="0"/>
              <w:right w:val="nil"/>
            </w:tcBorders>
            <w:noWrap w:val="0"/>
            <w:vAlign w:val="center"/>
          </w:tcPr>
          <w:p w14:paraId="3CDD5341">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具有履行合同所必需的设备和专业技术能力的承诺书；</w:t>
            </w:r>
          </w:p>
        </w:tc>
        <w:tc>
          <w:tcPr>
            <w:tcW w:w="1110" w:type="dxa"/>
            <w:tcBorders>
              <w:top w:val="single" w:color="000000" w:sz="4" w:space="0"/>
              <w:left w:val="single" w:color="000000" w:sz="4" w:space="0"/>
              <w:bottom w:val="single" w:color="000000" w:sz="4" w:space="0"/>
              <w:right w:val="nil"/>
            </w:tcBorders>
            <w:noWrap w:val="0"/>
            <w:vAlign w:val="center"/>
          </w:tcPr>
          <w:p w14:paraId="485BD8BB">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093FE79F">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74B07EE7">
            <w:pPr>
              <w:autoSpaceDN w:val="0"/>
              <w:ind w:left="100" w:hanging="100"/>
              <w:jc w:val="center"/>
              <w:textAlignment w:val="center"/>
              <w:rPr>
                <w:rFonts w:hint="eastAsia" w:ascii="仿宋" w:hAnsi="仿宋" w:eastAsia="仿宋" w:cs="仿宋"/>
                <w:b w:val="0"/>
                <w:bCs w:val="0"/>
                <w:color w:val="auto"/>
                <w:sz w:val="24"/>
                <w:szCs w:val="24"/>
              </w:rPr>
            </w:pPr>
          </w:p>
        </w:tc>
      </w:tr>
      <w:tr w14:paraId="3FBFAD7B">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49E90D6A">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7</w:t>
            </w:r>
          </w:p>
        </w:tc>
        <w:tc>
          <w:tcPr>
            <w:tcW w:w="6225" w:type="dxa"/>
            <w:tcBorders>
              <w:top w:val="single" w:color="000000" w:sz="4" w:space="0"/>
              <w:left w:val="single" w:color="auto" w:sz="4" w:space="0"/>
              <w:bottom w:val="single" w:color="000000" w:sz="4" w:space="0"/>
              <w:right w:val="nil"/>
            </w:tcBorders>
            <w:noWrap w:val="0"/>
            <w:vAlign w:val="center"/>
          </w:tcPr>
          <w:p w14:paraId="287AC7D4">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提供针对本次项目《反商业贿赂承诺书》；</w:t>
            </w:r>
          </w:p>
        </w:tc>
        <w:tc>
          <w:tcPr>
            <w:tcW w:w="1110" w:type="dxa"/>
            <w:tcBorders>
              <w:top w:val="single" w:color="000000" w:sz="4" w:space="0"/>
              <w:left w:val="single" w:color="000000" w:sz="4" w:space="0"/>
              <w:bottom w:val="single" w:color="000000" w:sz="4" w:space="0"/>
              <w:right w:val="nil"/>
            </w:tcBorders>
            <w:noWrap w:val="0"/>
            <w:vAlign w:val="center"/>
          </w:tcPr>
          <w:p w14:paraId="51C4C198">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2A0030F7">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2B130CA2">
            <w:pPr>
              <w:autoSpaceDN w:val="0"/>
              <w:ind w:left="100" w:hanging="100"/>
              <w:jc w:val="center"/>
              <w:textAlignment w:val="center"/>
              <w:rPr>
                <w:rFonts w:hint="eastAsia" w:ascii="仿宋" w:hAnsi="仿宋" w:eastAsia="仿宋" w:cs="仿宋"/>
                <w:b w:val="0"/>
                <w:bCs w:val="0"/>
                <w:color w:val="auto"/>
                <w:sz w:val="24"/>
                <w:szCs w:val="24"/>
              </w:rPr>
            </w:pPr>
          </w:p>
        </w:tc>
      </w:tr>
      <w:tr w14:paraId="7EAE2F4A">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63CA1AD9">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8</w:t>
            </w:r>
          </w:p>
        </w:tc>
        <w:tc>
          <w:tcPr>
            <w:tcW w:w="6225" w:type="dxa"/>
            <w:tcBorders>
              <w:top w:val="single" w:color="000000" w:sz="4" w:space="0"/>
              <w:left w:val="single" w:color="auto" w:sz="4" w:space="0"/>
              <w:bottom w:val="single" w:color="000000" w:sz="4" w:space="0"/>
              <w:right w:val="nil"/>
            </w:tcBorders>
            <w:noWrap w:val="0"/>
            <w:vAlign w:val="center"/>
          </w:tcPr>
          <w:p w14:paraId="34BEF8A4">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参与政府采购活动前 3 年内在经营活动中没有重大违法记录及未被财政部门禁止参加政府采购活动的承诺书；</w:t>
            </w:r>
          </w:p>
        </w:tc>
        <w:tc>
          <w:tcPr>
            <w:tcW w:w="1110" w:type="dxa"/>
            <w:tcBorders>
              <w:top w:val="single" w:color="000000" w:sz="4" w:space="0"/>
              <w:left w:val="single" w:color="000000" w:sz="4" w:space="0"/>
              <w:bottom w:val="single" w:color="000000" w:sz="4" w:space="0"/>
              <w:right w:val="nil"/>
            </w:tcBorders>
            <w:noWrap w:val="0"/>
            <w:vAlign w:val="center"/>
          </w:tcPr>
          <w:p w14:paraId="743ACDBB">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19E96991">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666FCCE9">
            <w:pPr>
              <w:autoSpaceDN w:val="0"/>
              <w:ind w:left="100" w:hanging="100"/>
              <w:jc w:val="center"/>
              <w:textAlignment w:val="center"/>
              <w:rPr>
                <w:rFonts w:hint="eastAsia" w:ascii="仿宋" w:hAnsi="仿宋" w:eastAsia="仿宋" w:cs="仿宋"/>
                <w:b w:val="0"/>
                <w:bCs w:val="0"/>
                <w:color w:val="auto"/>
                <w:sz w:val="24"/>
                <w:szCs w:val="24"/>
              </w:rPr>
            </w:pPr>
          </w:p>
        </w:tc>
      </w:tr>
      <w:tr w14:paraId="057317CE">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14:paraId="6802C299">
            <w:pPr>
              <w:autoSpaceDN w:val="0"/>
              <w:ind w:left="105" w:hanging="105"/>
              <w:jc w:val="center"/>
              <w:textAlignment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9</w:t>
            </w:r>
          </w:p>
        </w:tc>
        <w:tc>
          <w:tcPr>
            <w:tcW w:w="6225" w:type="dxa"/>
            <w:tcBorders>
              <w:top w:val="single" w:color="000000" w:sz="4" w:space="0"/>
              <w:left w:val="single" w:color="auto" w:sz="4" w:space="0"/>
              <w:bottom w:val="single" w:color="000000" w:sz="4" w:space="0"/>
              <w:right w:val="nil"/>
            </w:tcBorders>
            <w:noWrap w:val="0"/>
            <w:vAlign w:val="center"/>
          </w:tcPr>
          <w:p w14:paraId="35CCC833">
            <w:pPr>
              <w:spacing w:line="400" w:lineRule="exact"/>
              <w:ind w:left="0" w:leftChars="0" w:firstLine="0" w:firstLineChars="0"/>
              <w:rPr>
                <w:rFonts w:hint="eastAsia" w:ascii="仿宋" w:hAnsi="仿宋" w:eastAsia="仿宋" w:cs="仿宋"/>
                <w:b w:val="0"/>
                <w:bCs w:val="0"/>
                <w:color w:val="auto"/>
                <w:sz w:val="24"/>
                <w:szCs w:val="24"/>
                <w:lang w:val="en-US" w:eastAsia="zh-CN"/>
              </w:rPr>
            </w:pPr>
            <w:r>
              <w:rPr>
                <w:rFonts w:hint="eastAsia" w:ascii="仿宋" w:hAnsi="仿宋" w:eastAsia="仿宋" w:cs="仿宋"/>
                <w:i w:val="0"/>
                <w:iCs w:val="0"/>
                <w:caps w:val="0"/>
                <w:color w:val="auto"/>
                <w:spacing w:val="0"/>
                <w:sz w:val="24"/>
                <w:szCs w:val="24"/>
                <w:highlight w:val="none"/>
                <w:lang w:val="en-US" w:eastAsia="zh-CN"/>
              </w:rPr>
              <w:t>单位负责人为同一人或者存在直接控股、管理关系的不同投标人，不得参加同一合同项下的政府采购活动，提供《投标人资格声明函》；</w:t>
            </w:r>
          </w:p>
        </w:tc>
        <w:tc>
          <w:tcPr>
            <w:tcW w:w="1110" w:type="dxa"/>
            <w:tcBorders>
              <w:top w:val="single" w:color="000000" w:sz="4" w:space="0"/>
              <w:left w:val="single" w:color="000000" w:sz="4" w:space="0"/>
              <w:bottom w:val="single" w:color="000000" w:sz="4" w:space="0"/>
              <w:right w:val="nil"/>
            </w:tcBorders>
            <w:noWrap w:val="0"/>
            <w:vAlign w:val="center"/>
          </w:tcPr>
          <w:p w14:paraId="005C282C">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50E27D75">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0F89F40A">
            <w:pPr>
              <w:autoSpaceDN w:val="0"/>
              <w:ind w:left="100" w:hanging="100"/>
              <w:jc w:val="center"/>
              <w:textAlignment w:val="center"/>
              <w:rPr>
                <w:rFonts w:hint="eastAsia" w:ascii="仿宋" w:hAnsi="仿宋" w:eastAsia="仿宋" w:cs="仿宋"/>
                <w:b w:val="0"/>
                <w:bCs w:val="0"/>
                <w:color w:val="auto"/>
                <w:sz w:val="24"/>
                <w:szCs w:val="24"/>
              </w:rPr>
            </w:pPr>
          </w:p>
        </w:tc>
      </w:tr>
      <w:tr w14:paraId="3ECDDFA4">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000000" w:sz="4" w:space="0"/>
              <w:bottom w:val="single" w:color="000000" w:sz="4" w:space="0"/>
              <w:right w:val="single" w:color="000000" w:sz="4" w:space="0"/>
            </w:tcBorders>
            <w:noWrap w:val="0"/>
            <w:vAlign w:val="center"/>
          </w:tcPr>
          <w:p w14:paraId="74C82A55">
            <w:pPr>
              <w:autoSpaceDN w:val="0"/>
              <w:ind w:left="105" w:hanging="105"/>
              <w:jc w:val="center"/>
              <w:textAlignment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10</w:t>
            </w:r>
          </w:p>
        </w:tc>
        <w:tc>
          <w:tcPr>
            <w:tcW w:w="6225" w:type="dxa"/>
            <w:tcBorders>
              <w:top w:val="single" w:color="000000" w:sz="4" w:space="0"/>
              <w:left w:val="single" w:color="000000" w:sz="4" w:space="0"/>
              <w:bottom w:val="single" w:color="000000" w:sz="4" w:space="0"/>
              <w:right w:val="nil"/>
            </w:tcBorders>
            <w:noWrap w:val="0"/>
            <w:vAlign w:val="center"/>
          </w:tcPr>
          <w:p w14:paraId="0E4F8EE0">
            <w:pPr>
              <w:autoSpaceDN w:val="0"/>
              <w:snapToGrid w:val="0"/>
              <w:spacing w:line="240" w:lineRule="auto"/>
              <w:ind w:left="105" w:hanging="105"/>
              <w:textAlignment w:val="center"/>
              <w:rPr>
                <w:rFonts w:hint="eastAsia" w:ascii="仿宋" w:hAnsi="仿宋" w:eastAsia="仿宋" w:cs="仿宋"/>
                <w:b w:val="0"/>
                <w:bCs w:val="0"/>
                <w:color w:val="auto"/>
                <w:sz w:val="24"/>
                <w:szCs w:val="24"/>
                <w:lang w:eastAsia="zh-CN"/>
              </w:rPr>
            </w:pPr>
            <w:r>
              <w:rPr>
                <w:rFonts w:hint="eastAsia" w:ascii="仿宋" w:hAnsi="仿宋" w:eastAsia="仿宋" w:cs="仿宋"/>
                <w:i w:val="0"/>
                <w:iCs w:val="0"/>
                <w:caps w:val="0"/>
                <w:color w:val="auto"/>
                <w:spacing w:val="0"/>
                <w:sz w:val="24"/>
                <w:szCs w:val="24"/>
                <w:highlight w:val="none"/>
                <w:lang w:val="en-US" w:eastAsia="zh-CN"/>
              </w:rPr>
              <w:t>投标保证金（或保函）有效缴纳凭证；</w:t>
            </w:r>
          </w:p>
        </w:tc>
        <w:tc>
          <w:tcPr>
            <w:tcW w:w="1110" w:type="dxa"/>
            <w:tcBorders>
              <w:top w:val="single" w:color="000000" w:sz="4" w:space="0"/>
              <w:left w:val="single" w:color="000000" w:sz="4" w:space="0"/>
              <w:bottom w:val="single" w:color="000000" w:sz="4" w:space="0"/>
              <w:right w:val="nil"/>
            </w:tcBorders>
            <w:noWrap w:val="0"/>
            <w:vAlign w:val="center"/>
          </w:tcPr>
          <w:p w14:paraId="526E5923">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6336BE5D">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506C26D6">
            <w:pPr>
              <w:autoSpaceDN w:val="0"/>
              <w:ind w:left="100" w:hanging="100"/>
              <w:jc w:val="center"/>
              <w:textAlignment w:val="center"/>
              <w:rPr>
                <w:rFonts w:hint="eastAsia" w:ascii="仿宋" w:hAnsi="仿宋" w:eastAsia="仿宋" w:cs="仿宋"/>
                <w:b w:val="0"/>
                <w:bCs w:val="0"/>
                <w:color w:val="auto"/>
                <w:sz w:val="24"/>
                <w:szCs w:val="24"/>
              </w:rPr>
            </w:pPr>
          </w:p>
        </w:tc>
      </w:tr>
      <w:tr w14:paraId="62E09FCB">
        <w:tblPrEx>
          <w:tblCellMar>
            <w:top w:w="0" w:type="dxa"/>
            <w:left w:w="15" w:type="dxa"/>
            <w:bottom w:w="0" w:type="dxa"/>
            <w:right w:w="15" w:type="dxa"/>
          </w:tblCellMar>
        </w:tblPrEx>
        <w:trPr>
          <w:trHeight w:val="90" w:hRule="atLeast"/>
          <w:jc w:val="center"/>
        </w:trPr>
        <w:tc>
          <w:tcPr>
            <w:tcW w:w="699" w:type="dxa"/>
            <w:tcBorders>
              <w:top w:val="single" w:color="auto" w:sz="4" w:space="0"/>
              <w:left w:val="single" w:color="000000" w:sz="4" w:space="0"/>
              <w:bottom w:val="single" w:color="000000" w:sz="4" w:space="0"/>
              <w:right w:val="single" w:color="000000" w:sz="4" w:space="0"/>
            </w:tcBorders>
            <w:noWrap w:val="0"/>
            <w:vAlign w:val="center"/>
          </w:tcPr>
          <w:p w14:paraId="63E0A23E">
            <w:pPr>
              <w:autoSpaceDN w:val="0"/>
              <w:spacing w:line="240" w:lineRule="auto"/>
              <w:ind w:left="0" w:right="0" w:firstLine="0" w:firstLineChars="0"/>
              <w:jc w:val="center"/>
              <w:textAlignment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11</w:t>
            </w:r>
          </w:p>
        </w:tc>
        <w:tc>
          <w:tcPr>
            <w:tcW w:w="6225" w:type="dxa"/>
            <w:tcBorders>
              <w:top w:val="single" w:color="000000" w:sz="4" w:space="0"/>
              <w:left w:val="single" w:color="000000" w:sz="4" w:space="0"/>
              <w:bottom w:val="single" w:color="000000" w:sz="4" w:space="0"/>
              <w:right w:val="nil"/>
            </w:tcBorders>
            <w:noWrap w:val="0"/>
            <w:vAlign w:val="center"/>
          </w:tcPr>
          <w:p w14:paraId="69A1A447">
            <w:pPr>
              <w:autoSpaceDN w:val="0"/>
              <w:snapToGrid w:val="0"/>
              <w:spacing w:line="240" w:lineRule="auto"/>
              <w:ind w:left="0" w:right="0" w:firstLine="0" w:firstLineChars="0"/>
              <w:jc w:val="both"/>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aps w:val="0"/>
                <w:color w:val="auto"/>
                <w:spacing w:val="0"/>
                <w:sz w:val="24"/>
                <w:szCs w:val="24"/>
                <w:highlight w:val="none"/>
                <w:lang w:val="en-US" w:eastAsia="zh-CN"/>
              </w:rPr>
              <w:t>①若所投产品为第二类医疗器械，生产商须提供有效的《医疗器械生产许可证》及所投产品的《医疗器械注册证》，代理商或经销商须提供有效的《第二类医疗器械经营备案凭证》及所投产品的《医疗器械注册证》；②若所投产品为第三类医疗器械，生产商须提供有效的《医疗器械生产许可证》及所投产品的《医疗器械注册证》，代理商或经销商须提供有效的《医疗器械经营许可证》及所投产品的《医疗器械注册证》；③若所投产品不属于上述医疗器械管理范围的，可按要求提供证明文件并加盖公章。</w:t>
            </w:r>
          </w:p>
        </w:tc>
        <w:tc>
          <w:tcPr>
            <w:tcW w:w="1110" w:type="dxa"/>
            <w:tcBorders>
              <w:top w:val="single" w:color="000000" w:sz="4" w:space="0"/>
              <w:left w:val="single" w:color="000000" w:sz="4" w:space="0"/>
              <w:bottom w:val="single" w:color="000000" w:sz="4" w:space="0"/>
              <w:right w:val="nil"/>
            </w:tcBorders>
            <w:noWrap w:val="0"/>
            <w:vAlign w:val="center"/>
          </w:tcPr>
          <w:p w14:paraId="58F72EED">
            <w:pPr>
              <w:autoSpaceDN w:val="0"/>
              <w:ind w:left="100" w:hanging="100"/>
              <w:jc w:val="center"/>
              <w:textAlignment w:val="center"/>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single" w:color="000000" w:sz="4" w:space="0"/>
              <w:right w:val="nil"/>
            </w:tcBorders>
            <w:noWrap w:val="0"/>
            <w:vAlign w:val="center"/>
          </w:tcPr>
          <w:p w14:paraId="480DCE97">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3BD60051">
            <w:pPr>
              <w:autoSpaceDN w:val="0"/>
              <w:ind w:left="100" w:hanging="100"/>
              <w:jc w:val="center"/>
              <w:textAlignment w:val="center"/>
              <w:rPr>
                <w:rFonts w:hint="eastAsia" w:ascii="仿宋" w:hAnsi="仿宋" w:eastAsia="仿宋" w:cs="仿宋"/>
                <w:b w:val="0"/>
                <w:bCs w:val="0"/>
                <w:color w:val="auto"/>
                <w:sz w:val="24"/>
                <w:szCs w:val="24"/>
              </w:rPr>
            </w:pPr>
          </w:p>
        </w:tc>
      </w:tr>
      <w:tr w14:paraId="270B18BD">
        <w:tblPrEx>
          <w:tblCellMar>
            <w:top w:w="0" w:type="dxa"/>
            <w:left w:w="15" w:type="dxa"/>
            <w:bottom w:w="0" w:type="dxa"/>
            <w:right w:w="15" w:type="dxa"/>
          </w:tblCellMar>
        </w:tblPrEx>
        <w:trPr>
          <w:trHeight w:val="322" w:hRule="atLeast"/>
          <w:jc w:val="center"/>
        </w:trPr>
        <w:tc>
          <w:tcPr>
            <w:tcW w:w="6924" w:type="dxa"/>
            <w:gridSpan w:val="2"/>
            <w:tcBorders>
              <w:top w:val="single" w:color="000000" w:sz="4" w:space="0"/>
              <w:left w:val="single" w:color="000000" w:sz="4" w:space="0"/>
              <w:bottom w:val="nil"/>
              <w:right w:val="single" w:color="000000" w:sz="4" w:space="0"/>
            </w:tcBorders>
            <w:noWrap w:val="0"/>
            <w:vAlign w:val="center"/>
          </w:tcPr>
          <w:p w14:paraId="4FB6A069">
            <w:pPr>
              <w:autoSpaceDN w:val="0"/>
              <w:ind w:left="105" w:hanging="105"/>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评审结果</w:t>
            </w:r>
          </w:p>
        </w:tc>
        <w:tc>
          <w:tcPr>
            <w:tcW w:w="1110" w:type="dxa"/>
            <w:tcBorders>
              <w:top w:val="single" w:color="000000" w:sz="4" w:space="0"/>
              <w:left w:val="single" w:color="000000" w:sz="4" w:space="0"/>
              <w:bottom w:val="single" w:color="000000" w:sz="4" w:space="0"/>
              <w:right w:val="nil"/>
            </w:tcBorders>
            <w:noWrap w:val="0"/>
            <w:vAlign w:val="center"/>
          </w:tcPr>
          <w:p w14:paraId="6D012472">
            <w:pPr>
              <w:widowControl/>
              <w:snapToGrid w:val="0"/>
              <w:spacing w:line="240" w:lineRule="auto"/>
              <w:ind w:left="105" w:hanging="105"/>
              <w:jc w:val="left"/>
              <w:rPr>
                <w:rFonts w:hint="eastAsia" w:ascii="仿宋" w:hAnsi="仿宋" w:eastAsia="仿宋" w:cs="仿宋"/>
                <w:b w:val="0"/>
                <w:bCs w:val="0"/>
                <w:color w:val="auto"/>
                <w:sz w:val="24"/>
                <w:szCs w:val="24"/>
              </w:rPr>
            </w:pPr>
          </w:p>
        </w:tc>
        <w:tc>
          <w:tcPr>
            <w:tcW w:w="1059" w:type="dxa"/>
            <w:tcBorders>
              <w:top w:val="single" w:color="000000" w:sz="4" w:space="0"/>
              <w:left w:val="single" w:color="000000" w:sz="4" w:space="0"/>
              <w:bottom w:val="nil"/>
              <w:right w:val="single" w:color="000000" w:sz="4" w:space="0"/>
            </w:tcBorders>
            <w:noWrap w:val="0"/>
            <w:vAlign w:val="center"/>
          </w:tcPr>
          <w:p w14:paraId="7F819DD3">
            <w:pPr>
              <w:autoSpaceDN w:val="0"/>
              <w:ind w:left="100" w:hanging="100"/>
              <w:jc w:val="center"/>
              <w:textAlignment w:val="center"/>
              <w:rPr>
                <w:rFonts w:hint="eastAsia" w:ascii="仿宋" w:hAnsi="仿宋" w:eastAsia="仿宋" w:cs="仿宋"/>
                <w:b w:val="0"/>
                <w:bCs w:val="0"/>
                <w:color w:val="auto"/>
                <w:sz w:val="24"/>
                <w:szCs w:val="24"/>
              </w:rPr>
            </w:pP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6A3BA9C1">
            <w:pPr>
              <w:autoSpaceDN w:val="0"/>
              <w:ind w:left="100" w:hanging="100"/>
              <w:jc w:val="center"/>
              <w:textAlignment w:val="center"/>
              <w:rPr>
                <w:rFonts w:hint="eastAsia" w:ascii="仿宋" w:hAnsi="仿宋" w:eastAsia="仿宋" w:cs="仿宋"/>
                <w:b w:val="0"/>
                <w:bCs w:val="0"/>
                <w:color w:val="auto"/>
                <w:sz w:val="24"/>
                <w:szCs w:val="24"/>
              </w:rPr>
            </w:pPr>
          </w:p>
        </w:tc>
      </w:tr>
      <w:tr w14:paraId="01EAF6BF">
        <w:tblPrEx>
          <w:tblCellMar>
            <w:top w:w="0" w:type="dxa"/>
            <w:left w:w="15" w:type="dxa"/>
            <w:bottom w:w="0" w:type="dxa"/>
            <w:right w:w="15" w:type="dxa"/>
          </w:tblCellMar>
        </w:tblPrEx>
        <w:trPr>
          <w:trHeight w:val="643" w:hRule="atLeast"/>
          <w:jc w:val="center"/>
        </w:trPr>
        <w:tc>
          <w:tcPr>
            <w:tcW w:w="10175" w:type="dxa"/>
            <w:gridSpan w:val="5"/>
            <w:tcBorders>
              <w:top w:val="single" w:color="000000" w:sz="4" w:space="0"/>
              <w:left w:val="single" w:color="000000" w:sz="4" w:space="0"/>
              <w:bottom w:val="single" w:color="000000" w:sz="4" w:space="0"/>
              <w:right w:val="single" w:color="000000" w:sz="4" w:space="0"/>
            </w:tcBorders>
            <w:noWrap w:val="0"/>
            <w:vAlign w:val="center"/>
          </w:tcPr>
          <w:p w14:paraId="4A91FB3B">
            <w:pPr>
              <w:autoSpaceDN w:val="0"/>
              <w:ind w:left="110" w:hanging="110"/>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sz w:val="22"/>
                <w:szCs w:val="22"/>
              </w:rPr>
              <w:t>“√”表示合格；“×”表示不合格，一项不合格为无效投标处，如不合格，请在结果中写明原因。</w:t>
            </w:r>
          </w:p>
        </w:tc>
        <w:bookmarkStart w:id="210" w:name="_Hlt487972895"/>
      </w:tr>
      <w:bookmarkEnd w:id="208"/>
      <w:bookmarkEnd w:id="210"/>
    </w:tbl>
    <w:p w14:paraId="3CB125AC">
      <w:pPr>
        <w:spacing w:line="360" w:lineRule="auto"/>
        <w:ind w:left="0" w:leftChars="0" w:firstLine="0" w:firstLineChars="0"/>
        <w:jc w:val="center"/>
        <w:outlineLvl w:val="0"/>
        <w:rPr>
          <w:rFonts w:hint="eastAsia" w:ascii="仿宋" w:hAnsi="仿宋" w:eastAsia="仿宋" w:cs="仿宋"/>
          <w:b/>
          <w:color w:val="auto"/>
          <w:sz w:val="28"/>
          <w:szCs w:val="28"/>
          <w:highlight w:val="none"/>
        </w:rPr>
      </w:pPr>
      <w:bookmarkStart w:id="211" w:name="_Toc99301423"/>
    </w:p>
    <w:p w14:paraId="17D24F8F">
      <w:pPr>
        <w:spacing w:line="360" w:lineRule="auto"/>
        <w:ind w:left="0" w:leftChars="0" w:firstLine="0" w:firstLineChars="0"/>
        <w:jc w:val="center"/>
        <w:outlineLvl w:val="0"/>
        <w:rPr>
          <w:rFonts w:hint="eastAsia" w:ascii="仿宋" w:hAnsi="仿宋" w:eastAsia="仿宋" w:cs="仿宋"/>
          <w:b/>
          <w:color w:val="auto"/>
          <w:sz w:val="28"/>
          <w:szCs w:val="28"/>
          <w:highlight w:val="none"/>
        </w:rPr>
      </w:pPr>
    </w:p>
    <w:p w14:paraId="19FB42A1">
      <w:pPr>
        <w:spacing w:line="360" w:lineRule="auto"/>
        <w:ind w:left="0" w:leftChars="0" w:firstLine="0" w:firstLineChars="0"/>
        <w:jc w:val="center"/>
        <w:outlineLvl w:val="0"/>
        <w:rPr>
          <w:rFonts w:hint="eastAsia" w:ascii="仿宋" w:hAnsi="仿宋" w:eastAsia="仿宋" w:cs="仿宋"/>
          <w:b/>
          <w:color w:val="auto"/>
          <w:sz w:val="28"/>
          <w:szCs w:val="28"/>
          <w:highlight w:val="none"/>
        </w:rPr>
      </w:pPr>
    </w:p>
    <w:p w14:paraId="1B46F3C1">
      <w:pPr>
        <w:spacing w:line="360" w:lineRule="auto"/>
        <w:ind w:left="0" w:leftChars="0" w:firstLine="0" w:firstLineChars="0"/>
        <w:jc w:val="center"/>
        <w:outlineLvl w:val="0"/>
        <w:rPr>
          <w:rFonts w:hint="eastAsia" w:ascii="仿宋" w:hAnsi="仿宋" w:eastAsia="仿宋" w:cs="仿宋"/>
          <w:b/>
          <w:color w:val="auto"/>
          <w:sz w:val="24"/>
          <w:szCs w:val="24"/>
          <w:highlight w:val="none"/>
        </w:rPr>
      </w:pPr>
      <w:r>
        <w:rPr>
          <w:rFonts w:hint="eastAsia" w:ascii="仿宋" w:hAnsi="仿宋" w:eastAsia="仿宋" w:cs="仿宋"/>
          <w:b/>
          <w:color w:val="auto"/>
          <w:sz w:val="28"/>
          <w:szCs w:val="28"/>
          <w:highlight w:val="none"/>
        </w:rPr>
        <w:t>第四章</w:t>
      </w:r>
      <w:bookmarkStart w:id="212" w:name="_Hlt164229061"/>
      <w:bookmarkEnd w:id="212"/>
      <w:r>
        <w:rPr>
          <w:rFonts w:hint="eastAsia" w:ascii="仿宋" w:hAnsi="仿宋" w:eastAsia="仿宋" w:cs="仿宋"/>
          <w:b/>
          <w:color w:val="auto"/>
          <w:sz w:val="28"/>
          <w:szCs w:val="28"/>
          <w:highlight w:val="none"/>
        </w:rPr>
        <w:t>评标程序、评标方法和评标标准</w:t>
      </w:r>
      <w:bookmarkEnd w:id="211"/>
    </w:p>
    <w:p w14:paraId="6EF5620C">
      <w:pPr>
        <w:tabs>
          <w:tab w:val="left" w:pos="360"/>
          <w:tab w:val="left" w:pos="900"/>
        </w:tabs>
        <w:snapToGrid w:val="0"/>
        <w:spacing w:line="360" w:lineRule="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一、评标方法</w:t>
      </w:r>
    </w:p>
    <w:p w14:paraId="703E2547">
      <w:pPr>
        <w:numPr>
          <w:ilvl w:val="0"/>
          <w:numId w:val="0"/>
        </w:numPr>
        <w:tabs>
          <w:tab w:val="left" w:pos="360"/>
        </w:tabs>
        <w:snapToGrid w:val="0"/>
        <w:spacing w:line="360" w:lineRule="auto"/>
        <w:ind w:right="62" w:rightChars="0"/>
        <w:outlineLvl w:val="1"/>
        <w:rPr>
          <w:rFonts w:hint="eastAsia" w:ascii="仿宋" w:hAnsi="仿宋" w:eastAsia="仿宋" w:cs="仿宋"/>
          <w:color w:val="auto"/>
          <w:sz w:val="24"/>
          <w:szCs w:val="24"/>
          <w:highlight w:val="none"/>
        </w:rPr>
      </w:pPr>
      <w:bookmarkStart w:id="213" w:name="_Toc264969231"/>
      <w:bookmarkStart w:id="214" w:name="_Toc142311043"/>
      <w:bookmarkStart w:id="215" w:name="_Toc150774746"/>
      <w:bookmarkStart w:id="216" w:name="_Toc265228379"/>
      <w:bookmarkStart w:id="217" w:name="_Toc151193855"/>
      <w:bookmarkStart w:id="218" w:name="_Toc226337237"/>
      <w:bookmarkStart w:id="219" w:name="_Toc151193639"/>
      <w:bookmarkStart w:id="220" w:name="_Toc305158809"/>
      <w:bookmarkStart w:id="221" w:name="_Toc149720834"/>
      <w:bookmarkStart w:id="222" w:name="_Toc195842906"/>
      <w:bookmarkStart w:id="223" w:name="_Toc164229382"/>
      <w:bookmarkStart w:id="224" w:name="_Toc150774641"/>
      <w:bookmarkStart w:id="225" w:name="_Toc151190168"/>
      <w:bookmarkStart w:id="226" w:name="_Toc151193929"/>
      <w:bookmarkStart w:id="227" w:name="_Toc151193711"/>
      <w:bookmarkStart w:id="228" w:name="_Toc151193783"/>
      <w:bookmarkStart w:id="229" w:name="_Toc127151541"/>
      <w:bookmarkStart w:id="230" w:name="_Toc226309785"/>
      <w:bookmarkStart w:id="231" w:name="_Toc127161455"/>
      <w:bookmarkStart w:id="232" w:name="_Toc226965731"/>
      <w:bookmarkStart w:id="233" w:name="_Toc164608810"/>
      <w:bookmarkStart w:id="234" w:name="_Toc164608655"/>
      <w:bookmarkStart w:id="235" w:name="_Toc164229236"/>
      <w:bookmarkStart w:id="236" w:name="_Toc226965814"/>
      <w:bookmarkStart w:id="237" w:name="_Toc164351635"/>
      <w:bookmarkStart w:id="238" w:name="_Toc127151742"/>
      <w:bookmarkStart w:id="239" w:name="_Toc150480779"/>
      <w:bookmarkStart w:id="240" w:name="_Toc305158883"/>
      <w:bookmarkStart w:id="241" w:name="_Toc150509292"/>
      <w:bookmarkStart w:id="242" w:name="_Toc353873941"/>
      <w:bookmarkStart w:id="243" w:name="_Toc353825551"/>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投标文件的符合性审查</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5D7D683A">
      <w:pPr>
        <w:numPr>
          <w:ilvl w:val="0"/>
          <w:numId w:val="0"/>
        </w:numPr>
        <w:tabs>
          <w:tab w:val="left" w:pos="1080"/>
        </w:tabs>
        <w:snapToGrid w:val="0"/>
        <w:spacing w:line="360" w:lineRule="auto"/>
        <w:ind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评标委员会对资格审查合格的投标人的投标文件进行符合性审查，以确定其是否满足招标文件的实质性要求。</w:t>
      </w:r>
      <w:bookmarkStart w:id="244" w:name="_Toc520356167"/>
    </w:p>
    <w:p w14:paraId="3457BD51">
      <w:pPr>
        <w:numPr>
          <w:ilvl w:val="0"/>
          <w:numId w:val="0"/>
        </w:numPr>
        <w:tabs>
          <w:tab w:val="left" w:pos="1080"/>
        </w:tabs>
        <w:snapToGrid w:val="0"/>
        <w:spacing w:line="360" w:lineRule="auto"/>
        <w:ind w:right="62" w:rightChars="0"/>
        <w:rPr>
          <w:rFonts w:hint="eastAsia" w:ascii="宋体" w:hAnsi="宋体" w:eastAsia="宋体" w:cs="宋体"/>
          <w:b/>
          <w:color w:val="auto"/>
          <w:sz w:val="28"/>
          <w:szCs w:val="28"/>
          <w:highlight w:val="none"/>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244"/>
      <w:r>
        <w:rPr>
          <w:rFonts w:hint="eastAsia" w:ascii="仿宋" w:hAnsi="仿宋" w:eastAsia="仿宋" w:cs="仿宋"/>
          <w:color w:val="auto"/>
          <w:sz w:val="24"/>
          <w:szCs w:val="24"/>
          <w:highlight w:val="none"/>
        </w:rPr>
        <w:t>要求的，</w:t>
      </w:r>
      <w:r>
        <w:rPr>
          <w:rFonts w:hint="eastAsia" w:ascii="仿宋" w:hAnsi="仿宋" w:eastAsia="仿宋" w:cs="仿宋"/>
          <w:b/>
          <w:color w:val="auto"/>
          <w:sz w:val="24"/>
          <w:szCs w:val="24"/>
          <w:highlight w:val="none"/>
        </w:rPr>
        <w:t>投标无效</w:t>
      </w:r>
      <w:r>
        <w:rPr>
          <w:rFonts w:hint="eastAsia" w:ascii="仿宋" w:hAnsi="仿宋" w:eastAsia="仿宋" w:cs="仿宋"/>
          <w:color w:val="auto"/>
          <w:sz w:val="24"/>
          <w:szCs w:val="24"/>
          <w:highlight w:val="none"/>
        </w:rPr>
        <w:t>。</w:t>
      </w:r>
    </w:p>
    <w:p w14:paraId="2B9D2E5A">
      <w:pPr>
        <w:tabs>
          <w:tab w:val="left" w:pos="900"/>
          <w:tab w:val="left" w:pos="1080"/>
          <w:tab w:val="left" w:pos="1589"/>
        </w:tabs>
        <w:snapToGrid w:val="0"/>
        <w:spacing w:line="360" w:lineRule="auto"/>
        <w:ind w:leftChars="-170" w:hanging="416" w:hangingChars="148"/>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符合性审查要求</w:t>
      </w:r>
    </w:p>
    <w:tbl>
      <w:tblPr>
        <w:tblStyle w:val="187"/>
        <w:tblW w:w="968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7"/>
        <w:gridCol w:w="845"/>
        <w:gridCol w:w="5408"/>
        <w:gridCol w:w="646"/>
        <w:gridCol w:w="672"/>
        <w:gridCol w:w="576"/>
        <w:gridCol w:w="502"/>
      </w:tblGrid>
      <w:tr w14:paraId="1318A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1037" w:type="dxa"/>
            <w:vMerge w:val="restart"/>
            <w:tcBorders>
              <w:top w:val="single" w:color="000000" w:sz="10" w:space="0"/>
              <w:left w:val="single" w:color="000000" w:sz="10" w:space="0"/>
              <w:bottom w:val="nil"/>
            </w:tcBorders>
            <w:noWrap w:val="0"/>
            <w:vAlign w:val="top"/>
          </w:tcPr>
          <w:p w14:paraId="5BA2F1E9">
            <w:pPr>
              <w:pStyle w:val="188"/>
              <w:spacing w:before="269" w:line="229" w:lineRule="auto"/>
              <w:ind w:left="162"/>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评审项</w:t>
            </w:r>
          </w:p>
        </w:tc>
        <w:tc>
          <w:tcPr>
            <w:tcW w:w="845" w:type="dxa"/>
            <w:vMerge w:val="restart"/>
            <w:tcBorders>
              <w:top w:val="single" w:color="000000" w:sz="10" w:space="0"/>
              <w:bottom w:val="nil"/>
            </w:tcBorders>
            <w:noWrap w:val="0"/>
            <w:vAlign w:val="top"/>
          </w:tcPr>
          <w:p w14:paraId="369C875D">
            <w:pPr>
              <w:pStyle w:val="188"/>
              <w:spacing w:before="269" w:line="230" w:lineRule="auto"/>
              <w:ind w:left="172"/>
              <w:jc w:val="center"/>
              <w:rPr>
                <w:rFonts w:hint="eastAsia" w:ascii="仿宋" w:hAnsi="仿宋" w:eastAsia="仿宋" w:cs="仿宋"/>
                <w:color w:val="auto"/>
                <w:sz w:val="24"/>
                <w:szCs w:val="24"/>
              </w:rPr>
            </w:pPr>
            <w:r>
              <w:rPr>
                <w:rFonts w:hint="eastAsia" w:ascii="仿宋" w:hAnsi="仿宋" w:eastAsia="仿宋" w:cs="仿宋"/>
                <w:color w:val="auto"/>
                <w:spacing w:val="6"/>
                <w:sz w:val="24"/>
                <w:szCs w:val="24"/>
              </w:rPr>
              <w:t>序号</w:t>
            </w:r>
          </w:p>
        </w:tc>
        <w:tc>
          <w:tcPr>
            <w:tcW w:w="5408" w:type="dxa"/>
            <w:vMerge w:val="restart"/>
            <w:tcBorders>
              <w:top w:val="single" w:color="000000" w:sz="10" w:space="0"/>
              <w:bottom w:val="nil"/>
              <w:right w:val="single" w:color="000000" w:sz="2" w:space="0"/>
            </w:tcBorders>
            <w:noWrap w:val="0"/>
            <w:vAlign w:val="top"/>
          </w:tcPr>
          <w:p w14:paraId="34174E7F">
            <w:pPr>
              <w:pStyle w:val="188"/>
              <w:spacing w:before="270" w:line="228" w:lineRule="auto"/>
              <w:ind w:left="2252"/>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评审内容</w:t>
            </w:r>
          </w:p>
        </w:tc>
        <w:tc>
          <w:tcPr>
            <w:tcW w:w="2396" w:type="dxa"/>
            <w:gridSpan w:val="4"/>
            <w:tcBorders>
              <w:top w:val="single" w:color="000000" w:sz="10" w:space="0"/>
              <w:left w:val="single" w:color="000000" w:sz="2" w:space="0"/>
              <w:bottom w:val="single" w:color="000000" w:sz="2" w:space="0"/>
              <w:right w:val="single" w:color="000000" w:sz="10" w:space="0"/>
            </w:tcBorders>
            <w:noWrap w:val="0"/>
            <w:vAlign w:val="top"/>
          </w:tcPr>
          <w:p w14:paraId="0B09FA29">
            <w:pPr>
              <w:pStyle w:val="188"/>
              <w:spacing w:before="58" w:line="229" w:lineRule="auto"/>
              <w:ind w:left="544"/>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投标企业名称</w:t>
            </w:r>
          </w:p>
        </w:tc>
      </w:tr>
      <w:tr w14:paraId="0CC82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037" w:type="dxa"/>
            <w:vMerge w:val="continue"/>
            <w:tcBorders>
              <w:top w:val="nil"/>
              <w:left w:val="single" w:color="000000" w:sz="10" w:space="0"/>
            </w:tcBorders>
            <w:noWrap w:val="0"/>
            <w:vAlign w:val="top"/>
          </w:tcPr>
          <w:p w14:paraId="1D73B102">
            <w:pPr>
              <w:jc w:val="center"/>
              <w:rPr>
                <w:rFonts w:hint="eastAsia" w:ascii="仿宋" w:hAnsi="仿宋" w:eastAsia="仿宋" w:cs="仿宋"/>
                <w:color w:val="auto"/>
                <w:sz w:val="24"/>
                <w:szCs w:val="24"/>
              </w:rPr>
            </w:pPr>
          </w:p>
        </w:tc>
        <w:tc>
          <w:tcPr>
            <w:tcW w:w="845" w:type="dxa"/>
            <w:vMerge w:val="continue"/>
            <w:tcBorders>
              <w:top w:val="nil"/>
            </w:tcBorders>
            <w:noWrap w:val="0"/>
            <w:vAlign w:val="top"/>
          </w:tcPr>
          <w:p w14:paraId="4C67E914">
            <w:pPr>
              <w:jc w:val="center"/>
              <w:rPr>
                <w:rFonts w:hint="eastAsia" w:ascii="仿宋" w:hAnsi="仿宋" w:eastAsia="仿宋" w:cs="仿宋"/>
                <w:color w:val="auto"/>
                <w:sz w:val="24"/>
                <w:szCs w:val="24"/>
              </w:rPr>
            </w:pPr>
          </w:p>
        </w:tc>
        <w:tc>
          <w:tcPr>
            <w:tcW w:w="5408" w:type="dxa"/>
            <w:vMerge w:val="continue"/>
            <w:tcBorders>
              <w:top w:val="nil"/>
              <w:right w:val="single" w:color="000000" w:sz="2" w:space="0"/>
            </w:tcBorders>
            <w:noWrap w:val="0"/>
            <w:vAlign w:val="top"/>
          </w:tcPr>
          <w:p w14:paraId="36F4B8E2">
            <w:pPr>
              <w:jc w:val="center"/>
              <w:rPr>
                <w:rFonts w:hint="eastAsia" w:ascii="仿宋" w:hAnsi="仿宋" w:eastAsia="仿宋" w:cs="仿宋"/>
                <w:color w:val="auto"/>
                <w:sz w:val="24"/>
                <w:szCs w:val="24"/>
              </w:rPr>
            </w:pPr>
          </w:p>
        </w:tc>
        <w:tc>
          <w:tcPr>
            <w:tcW w:w="646" w:type="dxa"/>
            <w:tcBorders>
              <w:top w:val="single" w:color="000000" w:sz="2" w:space="0"/>
              <w:left w:val="single" w:color="000000" w:sz="2" w:space="0"/>
              <w:right w:val="single" w:color="000000" w:sz="2" w:space="0"/>
            </w:tcBorders>
            <w:noWrap w:val="0"/>
            <w:vAlign w:val="top"/>
          </w:tcPr>
          <w:p w14:paraId="554D7C5C">
            <w:pPr>
              <w:spacing w:before="53" w:line="195" w:lineRule="auto"/>
              <w:ind w:left="135"/>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2" w:type="dxa"/>
            <w:tcBorders>
              <w:top w:val="single" w:color="000000" w:sz="2" w:space="0"/>
              <w:left w:val="single" w:color="000000" w:sz="2" w:space="0"/>
            </w:tcBorders>
            <w:noWrap w:val="0"/>
            <w:vAlign w:val="top"/>
          </w:tcPr>
          <w:p w14:paraId="2555EE2B">
            <w:pPr>
              <w:spacing w:before="53" w:line="195" w:lineRule="auto"/>
              <w:ind w:left="117"/>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576" w:type="dxa"/>
            <w:noWrap w:val="0"/>
            <w:vAlign w:val="top"/>
          </w:tcPr>
          <w:p w14:paraId="00500589">
            <w:pPr>
              <w:spacing w:before="53" w:line="195" w:lineRule="auto"/>
              <w:ind w:left="121"/>
              <w:jc w:val="center"/>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502" w:type="dxa"/>
            <w:tcBorders>
              <w:right w:val="single" w:color="000000" w:sz="10" w:space="0"/>
            </w:tcBorders>
            <w:noWrap w:val="0"/>
            <w:vAlign w:val="top"/>
          </w:tcPr>
          <w:p w14:paraId="55BA7FE8">
            <w:pPr>
              <w:pStyle w:val="188"/>
              <w:spacing w:before="31" w:line="325" w:lineRule="exact"/>
              <w:ind w:left="136"/>
              <w:jc w:val="center"/>
              <w:rPr>
                <w:rFonts w:hint="eastAsia" w:ascii="仿宋" w:hAnsi="仿宋" w:eastAsia="仿宋" w:cs="仿宋"/>
                <w:color w:val="auto"/>
                <w:sz w:val="24"/>
                <w:szCs w:val="24"/>
              </w:rPr>
            </w:pPr>
            <w:r>
              <w:rPr>
                <w:rFonts w:hint="eastAsia" w:ascii="仿宋" w:hAnsi="仿宋" w:eastAsia="仿宋" w:cs="仿宋"/>
                <w:color w:val="auto"/>
                <w:position w:val="3"/>
                <w:sz w:val="24"/>
                <w:szCs w:val="24"/>
              </w:rPr>
              <w:t>…</w:t>
            </w:r>
          </w:p>
        </w:tc>
      </w:tr>
      <w:tr w14:paraId="5E044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1037" w:type="dxa"/>
            <w:vMerge w:val="restart"/>
            <w:tcBorders>
              <w:left w:val="single" w:color="000000" w:sz="10" w:space="0"/>
              <w:bottom w:val="nil"/>
            </w:tcBorders>
            <w:noWrap w:val="0"/>
            <w:textDirection w:val="tbRlV"/>
            <w:vAlign w:val="top"/>
          </w:tcPr>
          <w:p w14:paraId="09179654">
            <w:pPr>
              <w:pStyle w:val="188"/>
              <w:spacing w:before="310" w:line="216"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符合性审查</w:t>
            </w:r>
          </w:p>
        </w:tc>
        <w:tc>
          <w:tcPr>
            <w:tcW w:w="845" w:type="dxa"/>
            <w:noWrap w:val="0"/>
            <w:vAlign w:val="top"/>
          </w:tcPr>
          <w:p w14:paraId="59946679">
            <w:pPr>
              <w:spacing w:before="245" w:line="195" w:lineRule="auto"/>
              <w:ind w:left="350"/>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5408" w:type="dxa"/>
            <w:tcBorders>
              <w:right w:val="single" w:color="000000" w:sz="2" w:space="0"/>
            </w:tcBorders>
            <w:noWrap w:val="0"/>
            <w:vAlign w:val="top"/>
          </w:tcPr>
          <w:p w14:paraId="3DF93FA1">
            <w:pPr>
              <w:pStyle w:val="188"/>
              <w:spacing w:before="255" w:line="219" w:lineRule="auto"/>
              <w:ind w:left="107"/>
              <w:rPr>
                <w:rFonts w:hint="eastAsia" w:ascii="仿宋" w:hAnsi="仿宋" w:eastAsia="仿宋" w:cs="仿宋"/>
                <w:color w:val="auto"/>
                <w:sz w:val="24"/>
                <w:szCs w:val="24"/>
              </w:rPr>
            </w:pPr>
            <w:r>
              <w:rPr>
                <w:rFonts w:hint="eastAsia" w:ascii="仿宋" w:hAnsi="仿宋" w:eastAsia="仿宋" w:cs="仿宋"/>
                <w:color w:val="auto"/>
                <w:spacing w:val="-1"/>
                <w:sz w:val="24"/>
                <w:szCs w:val="24"/>
              </w:rPr>
              <w:t>投标文件是否按招标文件要求签署、盖章；</w:t>
            </w:r>
          </w:p>
        </w:tc>
        <w:tc>
          <w:tcPr>
            <w:tcW w:w="646" w:type="dxa"/>
            <w:tcBorders>
              <w:left w:val="single" w:color="000000" w:sz="2" w:space="0"/>
              <w:right w:val="single" w:color="000000" w:sz="2" w:space="0"/>
            </w:tcBorders>
            <w:noWrap w:val="0"/>
            <w:vAlign w:val="top"/>
          </w:tcPr>
          <w:p w14:paraId="132CCC93">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6A838578">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2BAB7466">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037CAFA2">
            <w:pPr>
              <w:rPr>
                <w:rFonts w:hint="eastAsia" w:ascii="仿宋" w:hAnsi="仿宋" w:eastAsia="仿宋" w:cs="仿宋"/>
                <w:color w:val="auto"/>
                <w:sz w:val="24"/>
                <w:szCs w:val="24"/>
              </w:rPr>
            </w:pPr>
          </w:p>
        </w:tc>
      </w:tr>
      <w:tr w14:paraId="03D30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37" w:type="dxa"/>
            <w:vMerge w:val="continue"/>
            <w:tcBorders>
              <w:top w:val="nil"/>
              <w:left w:val="single" w:color="000000" w:sz="10" w:space="0"/>
              <w:bottom w:val="nil"/>
            </w:tcBorders>
            <w:noWrap w:val="0"/>
            <w:textDirection w:val="tbRlV"/>
            <w:vAlign w:val="top"/>
          </w:tcPr>
          <w:p w14:paraId="550879DA">
            <w:pPr>
              <w:jc w:val="center"/>
              <w:rPr>
                <w:rFonts w:hint="eastAsia" w:ascii="仿宋" w:hAnsi="仿宋" w:eastAsia="仿宋" w:cs="仿宋"/>
                <w:color w:val="auto"/>
                <w:sz w:val="24"/>
                <w:szCs w:val="24"/>
              </w:rPr>
            </w:pPr>
          </w:p>
        </w:tc>
        <w:tc>
          <w:tcPr>
            <w:tcW w:w="845" w:type="dxa"/>
            <w:noWrap w:val="0"/>
            <w:vAlign w:val="top"/>
          </w:tcPr>
          <w:p w14:paraId="164FD1F8">
            <w:pPr>
              <w:spacing w:before="229" w:line="195" w:lineRule="auto"/>
              <w:ind w:left="330"/>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5408" w:type="dxa"/>
            <w:tcBorders>
              <w:right w:val="single" w:color="000000" w:sz="2" w:space="0"/>
            </w:tcBorders>
            <w:noWrap w:val="0"/>
            <w:vAlign w:val="top"/>
          </w:tcPr>
          <w:p w14:paraId="46FFE913">
            <w:pPr>
              <w:pStyle w:val="188"/>
              <w:spacing w:before="239" w:line="219" w:lineRule="auto"/>
              <w:ind w:left="107"/>
              <w:rPr>
                <w:rFonts w:hint="eastAsia" w:ascii="仿宋" w:hAnsi="仿宋" w:eastAsia="仿宋" w:cs="仿宋"/>
                <w:color w:val="auto"/>
                <w:sz w:val="24"/>
                <w:szCs w:val="24"/>
              </w:rPr>
            </w:pPr>
            <w:r>
              <w:rPr>
                <w:rFonts w:hint="eastAsia" w:ascii="仿宋" w:hAnsi="仿宋" w:eastAsia="仿宋" w:cs="仿宋"/>
                <w:color w:val="auto"/>
                <w:spacing w:val="-1"/>
                <w:sz w:val="24"/>
                <w:szCs w:val="24"/>
              </w:rPr>
              <w:t>投标文件是否不齐全或者内容虚假的；</w:t>
            </w:r>
          </w:p>
        </w:tc>
        <w:tc>
          <w:tcPr>
            <w:tcW w:w="646" w:type="dxa"/>
            <w:tcBorders>
              <w:left w:val="single" w:color="000000" w:sz="2" w:space="0"/>
              <w:right w:val="single" w:color="000000" w:sz="2" w:space="0"/>
            </w:tcBorders>
            <w:noWrap w:val="0"/>
            <w:vAlign w:val="top"/>
          </w:tcPr>
          <w:p w14:paraId="390557AC">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783D04A3">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746EBBB9">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687194B1">
            <w:pPr>
              <w:rPr>
                <w:rFonts w:hint="eastAsia" w:ascii="仿宋" w:hAnsi="仿宋" w:eastAsia="仿宋" w:cs="仿宋"/>
                <w:color w:val="auto"/>
                <w:sz w:val="24"/>
                <w:szCs w:val="24"/>
              </w:rPr>
            </w:pPr>
          </w:p>
        </w:tc>
      </w:tr>
      <w:tr w14:paraId="1C901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1037" w:type="dxa"/>
            <w:vMerge w:val="continue"/>
            <w:tcBorders>
              <w:top w:val="nil"/>
              <w:left w:val="single" w:color="000000" w:sz="10" w:space="0"/>
              <w:bottom w:val="nil"/>
            </w:tcBorders>
            <w:noWrap w:val="0"/>
            <w:textDirection w:val="tbRlV"/>
            <w:vAlign w:val="top"/>
          </w:tcPr>
          <w:p w14:paraId="427AED85">
            <w:pPr>
              <w:jc w:val="center"/>
              <w:rPr>
                <w:rFonts w:hint="eastAsia" w:ascii="仿宋" w:hAnsi="仿宋" w:eastAsia="仿宋" w:cs="仿宋"/>
                <w:color w:val="auto"/>
                <w:sz w:val="24"/>
                <w:szCs w:val="24"/>
              </w:rPr>
            </w:pPr>
          </w:p>
        </w:tc>
        <w:tc>
          <w:tcPr>
            <w:tcW w:w="845" w:type="dxa"/>
            <w:noWrap w:val="0"/>
            <w:vAlign w:val="top"/>
          </w:tcPr>
          <w:p w14:paraId="04589021">
            <w:pPr>
              <w:spacing w:line="287" w:lineRule="auto"/>
              <w:jc w:val="center"/>
              <w:rPr>
                <w:rFonts w:hint="eastAsia" w:ascii="仿宋" w:hAnsi="仿宋" w:eastAsia="仿宋" w:cs="仿宋"/>
                <w:color w:val="auto"/>
                <w:sz w:val="24"/>
                <w:szCs w:val="24"/>
              </w:rPr>
            </w:pPr>
          </w:p>
          <w:p w14:paraId="27F7484B">
            <w:pPr>
              <w:spacing w:before="57" w:line="195" w:lineRule="auto"/>
              <w:ind w:left="334"/>
              <w:jc w:val="center"/>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5408" w:type="dxa"/>
            <w:tcBorders>
              <w:right w:val="single" w:color="000000" w:sz="2" w:space="0"/>
            </w:tcBorders>
            <w:noWrap w:val="0"/>
            <w:vAlign w:val="top"/>
          </w:tcPr>
          <w:p w14:paraId="01392809">
            <w:pPr>
              <w:pStyle w:val="188"/>
              <w:spacing w:before="120" w:line="475" w:lineRule="exact"/>
              <w:ind w:left="107"/>
              <w:rPr>
                <w:rFonts w:hint="eastAsia" w:ascii="仿宋" w:hAnsi="仿宋" w:eastAsia="仿宋" w:cs="仿宋"/>
                <w:color w:val="auto"/>
                <w:sz w:val="24"/>
                <w:szCs w:val="24"/>
              </w:rPr>
            </w:pPr>
            <w:r>
              <w:rPr>
                <w:rFonts w:hint="eastAsia" w:ascii="仿宋" w:hAnsi="仿宋" w:eastAsia="仿宋" w:cs="仿宋"/>
                <w:color w:val="auto"/>
                <w:spacing w:val="-1"/>
                <w:position w:val="17"/>
                <w:sz w:val="24"/>
                <w:szCs w:val="24"/>
              </w:rPr>
              <w:t>投标文件记载的招标项目</w:t>
            </w:r>
            <w:r>
              <w:rPr>
                <w:rFonts w:hint="eastAsia" w:ascii="仿宋" w:hAnsi="仿宋" w:eastAsia="仿宋" w:cs="仿宋"/>
                <w:color w:val="auto"/>
                <w:spacing w:val="-1"/>
                <w:position w:val="17"/>
                <w:sz w:val="24"/>
                <w:szCs w:val="24"/>
                <w:lang w:val="en-US" w:eastAsia="zh-CN"/>
              </w:rPr>
              <w:t>交货</w:t>
            </w:r>
            <w:r>
              <w:rPr>
                <w:rFonts w:hint="eastAsia" w:ascii="仿宋" w:hAnsi="仿宋" w:eastAsia="仿宋" w:cs="仿宋"/>
                <w:color w:val="auto"/>
                <w:spacing w:val="-1"/>
                <w:position w:val="17"/>
                <w:sz w:val="24"/>
                <w:szCs w:val="24"/>
              </w:rPr>
              <w:t>期是否超过招标文</w:t>
            </w:r>
          </w:p>
          <w:p w14:paraId="2DED8EA2">
            <w:pPr>
              <w:pStyle w:val="188"/>
              <w:spacing w:line="220" w:lineRule="auto"/>
              <w:ind w:left="103"/>
              <w:rPr>
                <w:rFonts w:hint="eastAsia" w:ascii="仿宋" w:hAnsi="仿宋" w:eastAsia="仿宋" w:cs="仿宋"/>
                <w:color w:val="auto"/>
                <w:sz w:val="24"/>
                <w:szCs w:val="24"/>
              </w:rPr>
            </w:pPr>
            <w:r>
              <w:rPr>
                <w:rFonts w:hint="eastAsia" w:ascii="仿宋" w:hAnsi="仿宋" w:eastAsia="仿宋" w:cs="仿宋"/>
                <w:color w:val="auto"/>
                <w:spacing w:val="-2"/>
                <w:sz w:val="24"/>
                <w:szCs w:val="24"/>
              </w:rPr>
              <w:t>件规定的</w:t>
            </w:r>
            <w:r>
              <w:rPr>
                <w:rFonts w:hint="eastAsia" w:ascii="仿宋" w:hAnsi="仿宋" w:eastAsia="仿宋" w:cs="仿宋"/>
                <w:color w:val="auto"/>
                <w:spacing w:val="-2"/>
                <w:sz w:val="24"/>
                <w:szCs w:val="24"/>
                <w:lang w:val="en-US" w:eastAsia="zh-CN"/>
              </w:rPr>
              <w:t>供货</w:t>
            </w:r>
            <w:r>
              <w:rPr>
                <w:rFonts w:hint="eastAsia" w:ascii="仿宋" w:hAnsi="仿宋" w:eastAsia="仿宋" w:cs="仿宋"/>
                <w:color w:val="auto"/>
                <w:spacing w:val="-2"/>
                <w:sz w:val="24"/>
                <w:szCs w:val="24"/>
              </w:rPr>
              <w:t>期；</w:t>
            </w:r>
          </w:p>
        </w:tc>
        <w:tc>
          <w:tcPr>
            <w:tcW w:w="646" w:type="dxa"/>
            <w:tcBorders>
              <w:left w:val="single" w:color="000000" w:sz="2" w:space="0"/>
              <w:right w:val="single" w:color="000000" w:sz="2" w:space="0"/>
            </w:tcBorders>
            <w:noWrap w:val="0"/>
            <w:vAlign w:val="top"/>
          </w:tcPr>
          <w:p w14:paraId="27A6EBF7">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0C88DF88">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2854C857">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27AD9CF7">
            <w:pPr>
              <w:rPr>
                <w:rFonts w:hint="eastAsia" w:ascii="仿宋" w:hAnsi="仿宋" w:eastAsia="仿宋" w:cs="仿宋"/>
                <w:color w:val="auto"/>
                <w:sz w:val="24"/>
                <w:szCs w:val="24"/>
              </w:rPr>
            </w:pPr>
          </w:p>
        </w:tc>
      </w:tr>
      <w:tr w14:paraId="1E845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037" w:type="dxa"/>
            <w:vMerge w:val="continue"/>
            <w:tcBorders>
              <w:top w:val="nil"/>
              <w:left w:val="single" w:color="000000" w:sz="10" w:space="0"/>
              <w:bottom w:val="nil"/>
            </w:tcBorders>
            <w:noWrap w:val="0"/>
            <w:textDirection w:val="tbRlV"/>
            <w:vAlign w:val="top"/>
          </w:tcPr>
          <w:p w14:paraId="1485BA08">
            <w:pPr>
              <w:jc w:val="center"/>
              <w:rPr>
                <w:rFonts w:hint="eastAsia" w:ascii="仿宋" w:hAnsi="仿宋" w:eastAsia="仿宋" w:cs="仿宋"/>
                <w:color w:val="auto"/>
                <w:sz w:val="24"/>
                <w:szCs w:val="24"/>
              </w:rPr>
            </w:pPr>
          </w:p>
        </w:tc>
        <w:tc>
          <w:tcPr>
            <w:tcW w:w="845" w:type="dxa"/>
            <w:noWrap w:val="0"/>
            <w:vAlign w:val="top"/>
          </w:tcPr>
          <w:p w14:paraId="7874A617">
            <w:pPr>
              <w:spacing w:before="119" w:line="195" w:lineRule="auto"/>
              <w:ind w:left="329"/>
              <w:jc w:val="center"/>
              <w:rPr>
                <w:rFonts w:hint="eastAsia" w:ascii="仿宋" w:hAnsi="仿宋" w:eastAsia="仿宋" w:cs="仿宋"/>
                <w:color w:val="auto"/>
                <w:sz w:val="24"/>
                <w:szCs w:val="24"/>
              </w:rPr>
            </w:pPr>
            <w:r>
              <w:rPr>
                <w:rFonts w:hint="eastAsia" w:ascii="仿宋" w:hAnsi="仿宋" w:eastAsia="仿宋" w:cs="仿宋"/>
                <w:color w:val="auto"/>
                <w:spacing w:val="1"/>
                <w:sz w:val="24"/>
                <w:szCs w:val="24"/>
              </w:rPr>
              <w:t>4</w:t>
            </w:r>
          </w:p>
        </w:tc>
        <w:tc>
          <w:tcPr>
            <w:tcW w:w="5408" w:type="dxa"/>
            <w:tcBorders>
              <w:right w:val="single" w:color="000000" w:sz="2" w:space="0"/>
            </w:tcBorders>
            <w:noWrap w:val="0"/>
            <w:vAlign w:val="top"/>
          </w:tcPr>
          <w:p w14:paraId="20C34CBA">
            <w:pPr>
              <w:pStyle w:val="188"/>
              <w:spacing w:before="129" w:line="220" w:lineRule="auto"/>
              <w:ind w:left="107"/>
              <w:rPr>
                <w:rFonts w:hint="eastAsia" w:ascii="仿宋" w:hAnsi="仿宋" w:eastAsia="仿宋" w:cs="仿宋"/>
                <w:color w:val="auto"/>
                <w:sz w:val="24"/>
                <w:szCs w:val="24"/>
              </w:rPr>
            </w:pPr>
            <w:r>
              <w:rPr>
                <w:rFonts w:hint="eastAsia" w:ascii="仿宋" w:hAnsi="仿宋" w:eastAsia="仿宋" w:cs="仿宋"/>
                <w:color w:val="auto"/>
                <w:spacing w:val="-1"/>
                <w:sz w:val="24"/>
                <w:szCs w:val="24"/>
              </w:rPr>
              <w:t>投标有效期是否满足招标文件要求的；</w:t>
            </w:r>
          </w:p>
        </w:tc>
        <w:tc>
          <w:tcPr>
            <w:tcW w:w="646" w:type="dxa"/>
            <w:tcBorders>
              <w:left w:val="single" w:color="000000" w:sz="2" w:space="0"/>
              <w:right w:val="single" w:color="000000" w:sz="2" w:space="0"/>
            </w:tcBorders>
            <w:noWrap w:val="0"/>
            <w:vAlign w:val="top"/>
          </w:tcPr>
          <w:p w14:paraId="706DAC8A">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57727FCF">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4A5FFADA">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06E1014F">
            <w:pPr>
              <w:rPr>
                <w:rFonts w:hint="eastAsia" w:ascii="仿宋" w:hAnsi="仿宋" w:eastAsia="仿宋" w:cs="仿宋"/>
                <w:color w:val="auto"/>
                <w:sz w:val="24"/>
                <w:szCs w:val="24"/>
              </w:rPr>
            </w:pPr>
          </w:p>
        </w:tc>
      </w:tr>
      <w:tr w14:paraId="25DA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1037" w:type="dxa"/>
            <w:vMerge w:val="continue"/>
            <w:tcBorders>
              <w:top w:val="nil"/>
              <w:left w:val="single" w:color="000000" w:sz="10" w:space="0"/>
              <w:bottom w:val="nil"/>
            </w:tcBorders>
            <w:noWrap w:val="0"/>
            <w:textDirection w:val="tbRlV"/>
            <w:vAlign w:val="top"/>
          </w:tcPr>
          <w:p w14:paraId="1034244C">
            <w:pPr>
              <w:jc w:val="center"/>
              <w:rPr>
                <w:rFonts w:hint="eastAsia" w:ascii="仿宋" w:hAnsi="仿宋" w:eastAsia="仿宋" w:cs="仿宋"/>
                <w:color w:val="auto"/>
                <w:sz w:val="24"/>
                <w:szCs w:val="24"/>
              </w:rPr>
            </w:pPr>
          </w:p>
        </w:tc>
        <w:tc>
          <w:tcPr>
            <w:tcW w:w="845" w:type="dxa"/>
            <w:noWrap w:val="0"/>
            <w:vAlign w:val="top"/>
          </w:tcPr>
          <w:p w14:paraId="04AEE563">
            <w:pPr>
              <w:spacing w:line="265" w:lineRule="auto"/>
              <w:ind w:left="0" w:leftChars="0" w:firstLine="0" w:firstLineChars="0"/>
              <w:jc w:val="both"/>
              <w:rPr>
                <w:rFonts w:hint="eastAsia" w:ascii="仿宋" w:hAnsi="仿宋" w:eastAsia="仿宋" w:cs="仿宋"/>
                <w:color w:val="auto"/>
                <w:sz w:val="24"/>
                <w:szCs w:val="24"/>
              </w:rPr>
            </w:pPr>
          </w:p>
          <w:p w14:paraId="45DB2F03">
            <w:pPr>
              <w:spacing w:before="57" w:line="192" w:lineRule="auto"/>
              <w:ind w:left="335"/>
              <w:jc w:val="center"/>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5408" w:type="dxa"/>
            <w:tcBorders>
              <w:right w:val="single" w:color="000000" w:sz="2" w:space="0"/>
            </w:tcBorders>
            <w:noWrap w:val="0"/>
            <w:vAlign w:val="top"/>
          </w:tcPr>
          <w:p w14:paraId="4BB713EB">
            <w:pPr>
              <w:pStyle w:val="188"/>
              <w:spacing w:before="123" w:line="365" w:lineRule="auto"/>
              <w:ind w:left="0" w:leftChars="0" w:right="265" w:firstLine="0" w:firstLineChars="0"/>
              <w:jc w:val="both"/>
              <w:rPr>
                <w:rFonts w:hint="eastAsia" w:ascii="仿宋" w:hAnsi="仿宋" w:eastAsia="仿宋" w:cs="仿宋"/>
                <w:color w:val="auto"/>
                <w:sz w:val="24"/>
                <w:szCs w:val="24"/>
              </w:rPr>
            </w:pPr>
            <w:r>
              <w:rPr>
                <w:rFonts w:hint="eastAsia" w:ascii="仿宋" w:hAnsi="仿宋" w:eastAsia="仿宋" w:cs="仿宋"/>
                <w:color w:val="auto"/>
                <w:spacing w:val="-2"/>
                <w:sz w:val="24"/>
                <w:szCs w:val="24"/>
              </w:rPr>
              <w:t>投标报价是否高于采购控制价且投</w:t>
            </w:r>
            <w:r>
              <w:rPr>
                <w:rFonts w:hint="eastAsia" w:ascii="仿宋" w:hAnsi="仿宋" w:eastAsia="仿宋" w:cs="仿宋"/>
                <w:color w:val="auto"/>
                <w:spacing w:val="-1"/>
                <w:sz w:val="24"/>
                <w:szCs w:val="24"/>
              </w:rPr>
              <w:t>标报价是否为唯一报价，有多个报价时是否明确</w:t>
            </w:r>
            <w:r>
              <w:rPr>
                <w:rFonts w:hint="eastAsia" w:ascii="仿宋" w:hAnsi="仿宋" w:eastAsia="仿宋" w:cs="仿宋"/>
                <w:color w:val="auto"/>
                <w:spacing w:val="-2"/>
                <w:sz w:val="24"/>
                <w:szCs w:val="24"/>
              </w:rPr>
              <w:t>有效力的报价；</w:t>
            </w:r>
          </w:p>
        </w:tc>
        <w:tc>
          <w:tcPr>
            <w:tcW w:w="646" w:type="dxa"/>
            <w:tcBorders>
              <w:left w:val="single" w:color="000000" w:sz="2" w:space="0"/>
              <w:right w:val="single" w:color="000000" w:sz="2" w:space="0"/>
            </w:tcBorders>
            <w:noWrap w:val="0"/>
            <w:vAlign w:val="top"/>
          </w:tcPr>
          <w:p w14:paraId="1F3C7F37">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59982A31">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31C30B7A">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0198031B">
            <w:pPr>
              <w:rPr>
                <w:rFonts w:hint="eastAsia" w:ascii="仿宋" w:hAnsi="仿宋" w:eastAsia="仿宋" w:cs="仿宋"/>
                <w:color w:val="auto"/>
                <w:sz w:val="24"/>
                <w:szCs w:val="24"/>
              </w:rPr>
            </w:pPr>
          </w:p>
        </w:tc>
      </w:tr>
      <w:tr w14:paraId="5F4E5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37" w:type="dxa"/>
            <w:vMerge w:val="continue"/>
            <w:tcBorders>
              <w:top w:val="nil"/>
              <w:left w:val="single" w:color="000000" w:sz="10" w:space="0"/>
              <w:bottom w:val="nil"/>
            </w:tcBorders>
            <w:noWrap w:val="0"/>
            <w:textDirection w:val="tbRlV"/>
            <w:vAlign w:val="top"/>
          </w:tcPr>
          <w:p w14:paraId="0D775642">
            <w:pPr>
              <w:jc w:val="center"/>
              <w:rPr>
                <w:rFonts w:hint="eastAsia" w:ascii="仿宋" w:hAnsi="仿宋" w:eastAsia="仿宋" w:cs="仿宋"/>
                <w:color w:val="auto"/>
                <w:sz w:val="24"/>
                <w:szCs w:val="24"/>
              </w:rPr>
            </w:pPr>
          </w:p>
        </w:tc>
        <w:tc>
          <w:tcPr>
            <w:tcW w:w="845" w:type="dxa"/>
            <w:noWrap w:val="0"/>
            <w:vAlign w:val="top"/>
          </w:tcPr>
          <w:p w14:paraId="0DD1AF76">
            <w:pPr>
              <w:spacing w:before="174" w:line="195" w:lineRule="auto"/>
              <w:ind w:left="334"/>
              <w:jc w:val="center"/>
              <w:rPr>
                <w:rFonts w:hint="eastAsia" w:ascii="仿宋" w:hAnsi="仿宋" w:eastAsia="仿宋" w:cs="仿宋"/>
                <w:color w:val="auto"/>
                <w:sz w:val="24"/>
                <w:szCs w:val="24"/>
              </w:rPr>
            </w:pPr>
            <w:r>
              <w:rPr>
                <w:rFonts w:hint="eastAsia" w:ascii="仿宋" w:hAnsi="仿宋" w:eastAsia="仿宋" w:cs="仿宋"/>
                <w:color w:val="auto"/>
                <w:sz w:val="24"/>
                <w:szCs w:val="24"/>
              </w:rPr>
              <w:t>6</w:t>
            </w:r>
          </w:p>
        </w:tc>
        <w:tc>
          <w:tcPr>
            <w:tcW w:w="5408" w:type="dxa"/>
            <w:tcBorders>
              <w:right w:val="single" w:color="000000" w:sz="2" w:space="0"/>
            </w:tcBorders>
            <w:noWrap w:val="0"/>
            <w:vAlign w:val="top"/>
          </w:tcPr>
          <w:p w14:paraId="1D04420E">
            <w:pPr>
              <w:pStyle w:val="188"/>
              <w:spacing w:before="183" w:line="220" w:lineRule="auto"/>
              <w:ind w:left="107"/>
              <w:rPr>
                <w:rFonts w:hint="eastAsia" w:ascii="仿宋" w:hAnsi="仿宋" w:eastAsia="仿宋" w:cs="仿宋"/>
                <w:color w:val="auto"/>
                <w:sz w:val="24"/>
                <w:szCs w:val="24"/>
              </w:rPr>
            </w:pPr>
            <w:r>
              <w:rPr>
                <w:rFonts w:hint="eastAsia" w:ascii="仿宋" w:hAnsi="仿宋" w:eastAsia="仿宋" w:cs="仿宋"/>
                <w:color w:val="auto"/>
                <w:spacing w:val="-1"/>
                <w:sz w:val="24"/>
                <w:szCs w:val="24"/>
              </w:rPr>
              <w:t>投标文件的内容是否满足招标内容及要求；</w:t>
            </w:r>
          </w:p>
        </w:tc>
        <w:tc>
          <w:tcPr>
            <w:tcW w:w="646" w:type="dxa"/>
            <w:tcBorders>
              <w:left w:val="single" w:color="000000" w:sz="2" w:space="0"/>
              <w:right w:val="single" w:color="000000" w:sz="2" w:space="0"/>
            </w:tcBorders>
            <w:noWrap w:val="0"/>
            <w:vAlign w:val="top"/>
          </w:tcPr>
          <w:p w14:paraId="0863918C">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5D7B102E">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0E88EE8C">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0B4DE446">
            <w:pPr>
              <w:rPr>
                <w:rFonts w:hint="eastAsia" w:ascii="仿宋" w:hAnsi="仿宋" w:eastAsia="仿宋" w:cs="仿宋"/>
                <w:color w:val="auto"/>
                <w:sz w:val="24"/>
                <w:szCs w:val="24"/>
              </w:rPr>
            </w:pPr>
          </w:p>
        </w:tc>
      </w:tr>
      <w:tr w14:paraId="53CE6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37" w:type="dxa"/>
            <w:vMerge w:val="continue"/>
            <w:tcBorders>
              <w:top w:val="nil"/>
              <w:left w:val="single" w:color="000000" w:sz="10" w:space="0"/>
              <w:bottom w:val="nil"/>
            </w:tcBorders>
            <w:noWrap w:val="0"/>
            <w:textDirection w:val="tbRlV"/>
            <w:vAlign w:val="top"/>
          </w:tcPr>
          <w:p w14:paraId="7E6363A2">
            <w:pPr>
              <w:jc w:val="center"/>
              <w:rPr>
                <w:rFonts w:hint="eastAsia" w:ascii="仿宋" w:hAnsi="仿宋" w:eastAsia="仿宋" w:cs="仿宋"/>
                <w:color w:val="auto"/>
                <w:sz w:val="24"/>
                <w:szCs w:val="24"/>
              </w:rPr>
            </w:pPr>
          </w:p>
        </w:tc>
        <w:tc>
          <w:tcPr>
            <w:tcW w:w="845" w:type="dxa"/>
            <w:noWrap w:val="0"/>
            <w:vAlign w:val="top"/>
          </w:tcPr>
          <w:p w14:paraId="36635467">
            <w:pPr>
              <w:spacing w:before="179" w:line="192" w:lineRule="auto"/>
              <w:ind w:left="333"/>
              <w:jc w:val="center"/>
              <w:rPr>
                <w:rFonts w:hint="eastAsia" w:ascii="仿宋" w:hAnsi="仿宋" w:eastAsia="仿宋" w:cs="仿宋"/>
                <w:color w:val="auto"/>
                <w:sz w:val="24"/>
                <w:szCs w:val="24"/>
              </w:rPr>
            </w:pPr>
            <w:r>
              <w:rPr>
                <w:rFonts w:hint="eastAsia" w:ascii="仿宋" w:hAnsi="仿宋" w:eastAsia="仿宋" w:cs="仿宋"/>
                <w:color w:val="auto"/>
                <w:sz w:val="24"/>
                <w:szCs w:val="24"/>
              </w:rPr>
              <w:t>7</w:t>
            </w:r>
          </w:p>
        </w:tc>
        <w:tc>
          <w:tcPr>
            <w:tcW w:w="5408" w:type="dxa"/>
            <w:tcBorders>
              <w:right w:val="single" w:color="000000" w:sz="2" w:space="0"/>
            </w:tcBorders>
            <w:noWrap w:val="0"/>
            <w:vAlign w:val="top"/>
          </w:tcPr>
          <w:p w14:paraId="1DDA058C">
            <w:pPr>
              <w:pStyle w:val="188"/>
              <w:spacing w:before="186" w:line="220" w:lineRule="auto"/>
              <w:ind w:left="109"/>
              <w:rPr>
                <w:rFonts w:hint="eastAsia" w:ascii="仿宋" w:hAnsi="仿宋" w:eastAsia="仿宋" w:cs="仿宋"/>
                <w:color w:val="auto"/>
                <w:sz w:val="24"/>
                <w:szCs w:val="24"/>
              </w:rPr>
            </w:pPr>
            <w:r>
              <w:rPr>
                <w:rFonts w:hint="eastAsia" w:ascii="仿宋" w:hAnsi="仿宋" w:eastAsia="仿宋" w:cs="仿宋"/>
                <w:color w:val="auto"/>
                <w:spacing w:val="-2"/>
                <w:sz w:val="24"/>
                <w:szCs w:val="24"/>
              </w:rPr>
              <w:t>商务</w:t>
            </w:r>
            <w:r>
              <w:rPr>
                <w:rFonts w:hint="eastAsia" w:ascii="仿宋" w:hAnsi="仿宋" w:eastAsia="仿宋" w:cs="仿宋"/>
                <w:color w:val="auto"/>
                <w:spacing w:val="-2"/>
                <w:sz w:val="24"/>
                <w:szCs w:val="24"/>
                <w:lang w:eastAsia="zh-CN"/>
              </w:rPr>
              <w:t>、</w:t>
            </w:r>
            <w:r>
              <w:rPr>
                <w:rFonts w:hint="eastAsia" w:ascii="仿宋" w:hAnsi="仿宋" w:eastAsia="仿宋" w:cs="仿宋"/>
                <w:color w:val="auto"/>
                <w:spacing w:val="-2"/>
                <w:sz w:val="24"/>
                <w:szCs w:val="24"/>
                <w:lang w:val="en-US" w:eastAsia="zh-CN"/>
              </w:rPr>
              <w:t>技术</w:t>
            </w:r>
            <w:r>
              <w:rPr>
                <w:rFonts w:hint="eastAsia" w:ascii="仿宋" w:hAnsi="仿宋" w:eastAsia="仿宋" w:cs="仿宋"/>
                <w:color w:val="auto"/>
                <w:spacing w:val="-2"/>
                <w:sz w:val="24"/>
                <w:szCs w:val="24"/>
              </w:rPr>
              <w:t>条款是否有偏离情况的；</w:t>
            </w:r>
          </w:p>
        </w:tc>
        <w:tc>
          <w:tcPr>
            <w:tcW w:w="646" w:type="dxa"/>
            <w:tcBorders>
              <w:left w:val="single" w:color="000000" w:sz="2" w:space="0"/>
              <w:right w:val="single" w:color="000000" w:sz="2" w:space="0"/>
            </w:tcBorders>
            <w:noWrap w:val="0"/>
            <w:vAlign w:val="top"/>
          </w:tcPr>
          <w:p w14:paraId="2EFF3E26">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0FF28FA3">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2DAEF1D4">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056A8C29">
            <w:pPr>
              <w:rPr>
                <w:rFonts w:hint="eastAsia" w:ascii="仿宋" w:hAnsi="仿宋" w:eastAsia="仿宋" w:cs="仿宋"/>
                <w:color w:val="auto"/>
                <w:sz w:val="24"/>
                <w:szCs w:val="24"/>
              </w:rPr>
            </w:pPr>
          </w:p>
        </w:tc>
      </w:tr>
      <w:tr w14:paraId="6026C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37" w:type="dxa"/>
            <w:vMerge w:val="continue"/>
            <w:tcBorders>
              <w:top w:val="nil"/>
              <w:left w:val="single" w:color="000000" w:sz="10" w:space="0"/>
              <w:bottom w:val="nil"/>
            </w:tcBorders>
            <w:noWrap w:val="0"/>
            <w:textDirection w:val="tbRlV"/>
            <w:vAlign w:val="top"/>
          </w:tcPr>
          <w:p w14:paraId="13D6EE4A">
            <w:pPr>
              <w:jc w:val="center"/>
              <w:rPr>
                <w:rFonts w:hint="eastAsia" w:ascii="仿宋" w:hAnsi="仿宋" w:eastAsia="仿宋" w:cs="仿宋"/>
                <w:color w:val="auto"/>
                <w:sz w:val="24"/>
                <w:szCs w:val="24"/>
              </w:rPr>
            </w:pPr>
          </w:p>
        </w:tc>
        <w:tc>
          <w:tcPr>
            <w:tcW w:w="845" w:type="dxa"/>
            <w:noWrap w:val="0"/>
            <w:vAlign w:val="top"/>
          </w:tcPr>
          <w:p w14:paraId="41BBBC64">
            <w:pPr>
              <w:spacing w:before="179" w:line="195" w:lineRule="auto"/>
              <w:ind w:left="338"/>
              <w:jc w:val="center"/>
              <w:rPr>
                <w:rFonts w:hint="eastAsia" w:ascii="仿宋" w:hAnsi="仿宋" w:eastAsia="仿宋" w:cs="仿宋"/>
                <w:color w:val="auto"/>
                <w:sz w:val="24"/>
                <w:szCs w:val="24"/>
              </w:rPr>
            </w:pPr>
            <w:r>
              <w:rPr>
                <w:rFonts w:hint="eastAsia" w:ascii="仿宋" w:hAnsi="仿宋" w:eastAsia="仿宋" w:cs="仿宋"/>
                <w:color w:val="auto"/>
                <w:sz w:val="24"/>
                <w:szCs w:val="24"/>
              </w:rPr>
              <w:t>8</w:t>
            </w:r>
          </w:p>
        </w:tc>
        <w:tc>
          <w:tcPr>
            <w:tcW w:w="5408" w:type="dxa"/>
            <w:tcBorders>
              <w:right w:val="single" w:color="000000" w:sz="2" w:space="0"/>
            </w:tcBorders>
            <w:noWrap w:val="0"/>
            <w:vAlign w:val="top"/>
          </w:tcPr>
          <w:p w14:paraId="785229DB">
            <w:pPr>
              <w:pStyle w:val="188"/>
              <w:spacing w:before="189" w:line="219" w:lineRule="auto"/>
              <w:ind w:left="107"/>
              <w:rPr>
                <w:rFonts w:hint="eastAsia" w:ascii="仿宋" w:hAnsi="仿宋" w:eastAsia="仿宋" w:cs="仿宋"/>
                <w:color w:val="auto"/>
                <w:sz w:val="24"/>
                <w:szCs w:val="24"/>
              </w:rPr>
            </w:pPr>
            <w:r>
              <w:rPr>
                <w:rFonts w:hint="eastAsia" w:ascii="仿宋" w:hAnsi="仿宋" w:eastAsia="仿宋" w:cs="仿宋"/>
                <w:color w:val="auto"/>
                <w:spacing w:val="-1"/>
                <w:sz w:val="24"/>
                <w:szCs w:val="24"/>
              </w:rPr>
              <w:t>投标文件是否附有招标人不能接受条件的；</w:t>
            </w:r>
          </w:p>
        </w:tc>
        <w:tc>
          <w:tcPr>
            <w:tcW w:w="646" w:type="dxa"/>
            <w:tcBorders>
              <w:left w:val="single" w:color="000000" w:sz="2" w:space="0"/>
              <w:right w:val="single" w:color="000000" w:sz="2" w:space="0"/>
            </w:tcBorders>
            <w:noWrap w:val="0"/>
            <w:vAlign w:val="top"/>
          </w:tcPr>
          <w:p w14:paraId="0B3C241D">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658FA3D1">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5E460E47">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7023FB67">
            <w:pPr>
              <w:rPr>
                <w:rFonts w:hint="eastAsia" w:ascii="仿宋" w:hAnsi="仿宋" w:eastAsia="仿宋" w:cs="仿宋"/>
                <w:color w:val="auto"/>
                <w:sz w:val="24"/>
                <w:szCs w:val="24"/>
              </w:rPr>
            </w:pPr>
          </w:p>
        </w:tc>
      </w:tr>
      <w:tr w14:paraId="61FBD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1037" w:type="dxa"/>
            <w:vMerge w:val="continue"/>
            <w:tcBorders>
              <w:top w:val="nil"/>
              <w:left w:val="single" w:color="000000" w:sz="10" w:space="0"/>
              <w:bottom w:val="nil"/>
            </w:tcBorders>
            <w:noWrap w:val="0"/>
            <w:textDirection w:val="tbRlV"/>
            <w:vAlign w:val="top"/>
          </w:tcPr>
          <w:p w14:paraId="747D5C4E">
            <w:pPr>
              <w:jc w:val="center"/>
              <w:rPr>
                <w:rFonts w:hint="eastAsia" w:ascii="仿宋" w:hAnsi="仿宋" w:eastAsia="仿宋" w:cs="仿宋"/>
                <w:color w:val="auto"/>
                <w:sz w:val="24"/>
                <w:szCs w:val="24"/>
              </w:rPr>
            </w:pPr>
          </w:p>
        </w:tc>
        <w:tc>
          <w:tcPr>
            <w:tcW w:w="845" w:type="dxa"/>
            <w:noWrap w:val="0"/>
            <w:vAlign w:val="top"/>
          </w:tcPr>
          <w:p w14:paraId="6D5E847E">
            <w:pPr>
              <w:spacing w:line="299" w:lineRule="auto"/>
              <w:jc w:val="center"/>
              <w:rPr>
                <w:rFonts w:hint="eastAsia" w:ascii="仿宋" w:hAnsi="仿宋" w:eastAsia="仿宋" w:cs="仿宋"/>
                <w:color w:val="auto"/>
                <w:sz w:val="24"/>
                <w:szCs w:val="24"/>
              </w:rPr>
            </w:pPr>
          </w:p>
          <w:p w14:paraId="5673C3F4">
            <w:pPr>
              <w:spacing w:before="58" w:line="195" w:lineRule="auto"/>
              <w:ind w:left="334"/>
              <w:jc w:val="center"/>
              <w:rPr>
                <w:rFonts w:hint="eastAsia" w:ascii="仿宋" w:hAnsi="仿宋" w:eastAsia="仿宋" w:cs="仿宋"/>
                <w:color w:val="auto"/>
                <w:sz w:val="24"/>
                <w:szCs w:val="24"/>
              </w:rPr>
            </w:pPr>
            <w:r>
              <w:rPr>
                <w:rFonts w:hint="eastAsia" w:ascii="仿宋" w:hAnsi="仿宋" w:eastAsia="仿宋" w:cs="仿宋"/>
                <w:color w:val="auto"/>
                <w:sz w:val="24"/>
                <w:szCs w:val="24"/>
              </w:rPr>
              <w:t>9</w:t>
            </w:r>
          </w:p>
        </w:tc>
        <w:tc>
          <w:tcPr>
            <w:tcW w:w="5408" w:type="dxa"/>
            <w:tcBorders>
              <w:right w:val="single" w:color="000000" w:sz="2" w:space="0"/>
            </w:tcBorders>
            <w:noWrap w:val="0"/>
            <w:vAlign w:val="top"/>
          </w:tcPr>
          <w:p w14:paraId="3A135C8D">
            <w:pPr>
              <w:pStyle w:val="188"/>
              <w:spacing w:before="133" w:line="475" w:lineRule="exact"/>
              <w:ind w:left="108"/>
              <w:rPr>
                <w:rFonts w:hint="eastAsia" w:ascii="仿宋" w:hAnsi="仿宋" w:eastAsia="仿宋" w:cs="仿宋"/>
                <w:color w:val="auto"/>
                <w:sz w:val="24"/>
                <w:szCs w:val="24"/>
              </w:rPr>
            </w:pPr>
            <w:r>
              <w:rPr>
                <w:rFonts w:hint="eastAsia" w:ascii="仿宋" w:hAnsi="仿宋" w:eastAsia="仿宋" w:cs="仿宋"/>
                <w:color w:val="auto"/>
                <w:spacing w:val="-1"/>
                <w:position w:val="17"/>
                <w:sz w:val="24"/>
                <w:szCs w:val="24"/>
              </w:rPr>
              <w:t>是否存在</w:t>
            </w:r>
            <w:r>
              <w:rPr>
                <w:rFonts w:hint="eastAsia" w:ascii="仿宋" w:hAnsi="仿宋" w:eastAsia="仿宋" w:cs="仿宋"/>
                <w:color w:val="auto"/>
                <w:spacing w:val="-1"/>
                <w:position w:val="17"/>
                <w:sz w:val="24"/>
                <w:szCs w:val="24"/>
                <w:lang w:eastAsia="zh-CN"/>
              </w:rPr>
              <w:t>法律法规</w:t>
            </w:r>
            <w:r>
              <w:rPr>
                <w:rFonts w:hint="eastAsia" w:ascii="仿宋" w:hAnsi="仿宋" w:eastAsia="仿宋" w:cs="仿宋"/>
                <w:color w:val="auto"/>
                <w:spacing w:val="-1"/>
                <w:position w:val="17"/>
                <w:sz w:val="24"/>
                <w:szCs w:val="24"/>
              </w:rPr>
              <w:t>和招标文件规定的其他无效</w:t>
            </w:r>
          </w:p>
          <w:p w14:paraId="4B24B618">
            <w:pPr>
              <w:pStyle w:val="188"/>
              <w:spacing w:before="1" w:line="220" w:lineRule="auto"/>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pacing w:val="-3"/>
                <w:sz w:val="24"/>
                <w:szCs w:val="24"/>
              </w:rPr>
              <w:t>情形；</w:t>
            </w:r>
          </w:p>
        </w:tc>
        <w:tc>
          <w:tcPr>
            <w:tcW w:w="646" w:type="dxa"/>
            <w:tcBorders>
              <w:left w:val="single" w:color="000000" w:sz="2" w:space="0"/>
              <w:right w:val="single" w:color="000000" w:sz="2" w:space="0"/>
            </w:tcBorders>
            <w:noWrap w:val="0"/>
            <w:vAlign w:val="top"/>
          </w:tcPr>
          <w:p w14:paraId="00AD6715">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14A53AEC">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2D124CED">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0361936F">
            <w:pPr>
              <w:rPr>
                <w:rFonts w:hint="eastAsia" w:ascii="仿宋" w:hAnsi="仿宋" w:eastAsia="仿宋" w:cs="仿宋"/>
                <w:color w:val="auto"/>
                <w:sz w:val="24"/>
                <w:szCs w:val="24"/>
              </w:rPr>
            </w:pPr>
          </w:p>
        </w:tc>
      </w:tr>
      <w:tr w14:paraId="53A7A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1037" w:type="dxa"/>
            <w:vMerge w:val="continue"/>
            <w:tcBorders>
              <w:top w:val="nil"/>
              <w:left w:val="single" w:color="000000" w:sz="10" w:space="0"/>
            </w:tcBorders>
            <w:noWrap w:val="0"/>
            <w:textDirection w:val="tbRlV"/>
            <w:vAlign w:val="top"/>
          </w:tcPr>
          <w:p w14:paraId="206D1B60">
            <w:pPr>
              <w:jc w:val="center"/>
              <w:rPr>
                <w:rFonts w:hint="eastAsia" w:ascii="仿宋" w:hAnsi="仿宋" w:eastAsia="仿宋" w:cs="仿宋"/>
                <w:color w:val="auto"/>
                <w:sz w:val="24"/>
                <w:szCs w:val="24"/>
              </w:rPr>
            </w:pPr>
          </w:p>
        </w:tc>
        <w:tc>
          <w:tcPr>
            <w:tcW w:w="845" w:type="dxa"/>
            <w:noWrap w:val="0"/>
            <w:vAlign w:val="top"/>
          </w:tcPr>
          <w:p w14:paraId="360CFF92">
            <w:pPr>
              <w:spacing w:line="304" w:lineRule="auto"/>
              <w:jc w:val="center"/>
              <w:rPr>
                <w:rFonts w:hint="eastAsia" w:ascii="仿宋" w:hAnsi="仿宋" w:eastAsia="仿宋" w:cs="仿宋"/>
                <w:color w:val="auto"/>
                <w:sz w:val="24"/>
                <w:szCs w:val="24"/>
              </w:rPr>
            </w:pPr>
          </w:p>
          <w:p w14:paraId="33EAFE83">
            <w:pPr>
              <w:spacing w:before="58" w:line="195" w:lineRule="auto"/>
              <w:ind w:left="297"/>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10</w:t>
            </w:r>
          </w:p>
        </w:tc>
        <w:tc>
          <w:tcPr>
            <w:tcW w:w="5408" w:type="dxa"/>
            <w:tcBorders>
              <w:right w:val="single" w:color="000000" w:sz="2" w:space="0"/>
            </w:tcBorders>
            <w:noWrap w:val="0"/>
            <w:vAlign w:val="top"/>
          </w:tcPr>
          <w:p w14:paraId="73661B86">
            <w:pPr>
              <w:pStyle w:val="188"/>
              <w:spacing w:before="135" w:line="476" w:lineRule="exact"/>
              <w:ind w:left="107"/>
              <w:rPr>
                <w:rFonts w:hint="eastAsia" w:ascii="仿宋" w:hAnsi="仿宋" w:eastAsia="仿宋" w:cs="仿宋"/>
                <w:color w:val="auto"/>
                <w:sz w:val="24"/>
                <w:szCs w:val="24"/>
              </w:rPr>
            </w:pPr>
            <w:r>
              <w:rPr>
                <w:rFonts w:hint="eastAsia" w:ascii="仿宋" w:hAnsi="仿宋" w:eastAsia="仿宋" w:cs="仿宋"/>
                <w:color w:val="auto"/>
                <w:spacing w:val="-1"/>
                <w:position w:val="17"/>
                <w:sz w:val="24"/>
                <w:szCs w:val="24"/>
              </w:rPr>
              <w:t>投标文件中所提供的相关证明材料及文件是否清</w:t>
            </w:r>
          </w:p>
          <w:p w14:paraId="7224C132">
            <w:pPr>
              <w:pStyle w:val="188"/>
              <w:spacing w:line="220" w:lineRule="auto"/>
              <w:ind w:left="114"/>
              <w:rPr>
                <w:rFonts w:hint="eastAsia" w:ascii="仿宋" w:hAnsi="仿宋" w:eastAsia="仿宋" w:cs="仿宋"/>
                <w:color w:val="auto"/>
                <w:sz w:val="24"/>
                <w:szCs w:val="24"/>
                <w:lang w:eastAsia="zh-CN"/>
              </w:rPr>
            </w:pPr>
            <w:r>
              <w:rPr>
                <w:rFonts w:hint="eastAsia" w:ascii="仿宋" w:hAnsi="仿宋" w:eastAsia="仿宋" w:cs="仿宋"/>
                <w:color w:val="auto"/>
                <w:spacing w:val="-3"/>
                <w:sz w:val="24"/>
                <w:szCs w:val="24"/>
              </w:rPr>
              <w:t>晰、具有较强辨识度</w:t>
            </w:r>
            <w:r>
              <w:rPr>
                <w:rFonts w:hint="eastAsia" w:ascii="仿宋" w:hAnsi="仿宋" w:eastAsia="仿宋" w:cs="仿宋"/>
                <w:color w:val="auto"/>
                <w:spacing w:val="-3"/>
                <w:sz w:val="24"/>
                <w:szCs w:val="24"/>
                <w:lang w:eastAsia="zh-CN"/>
              </w:rPr>
              <w:t>；</w:t>
            </w:r>
          </w:p>
        </w:tc>
        <w:tc>
          <w:tcPr>
            <w:tcW w:w="646" w:type="dxa"/>
            <w:tcBorders>
              <w:left w:val="single" w:color="000000" w:sz="2" w:space="0"/>
              <w:right w:val="single" w:color="000000" w:sz="2" w:space="0"/>
            </w:tcBorders>
            <w:noWrap w:val="0"/>
            <w:vAlign w:val="top"/>
          </w:tcPr>
          <w:p w14:paraId="339B58CB">
            <w:pPr>
              <w:rPr>
                <w:rFonts w:hint="eastAsia" w:ascii="仿宋" w:hAnsi="仿宋" w:eastAsia="仿宋" w:cs="仿宋"/>
                <w:color w:val="auto"/>
                <w:sz w:val="24"/>
                <w:szCs w:val="24"/>
              </w:rPr>
            </w:pPr>
          </w:p>
        </w:tc>
        <w:tc>
          <w:tcPr>
            <w:tcW w:w="672" w:type="dxa"/>
            <w:tcBorders>
              <w:left w:val="single" w:color="000000" w:sz="2" w:space="0"/>
            </w:tcBorders>
            <w:noWrap w:val="0"/>
            <w:vAlign w:val="top"/>
          </w:tcPr>
          <w:p w14:paraId="3FE1621E">
            <w:pPr>
              <w:rPr>
                <w:rFonts w:hint="eastAsia" w:ascii="仿宋" w:hAnsi="仿宋" w:eastAsia="仿宋" w:cs="仿宋"/>
                <w:color w:val="auto"/>
                <w:sz w:val="24"/>
                <w:szCs w:val="24"/>
              </w:rPr>
            </w:pPr>
          </w:p>
        </w:tc>
        <w:tc>
          <w:tcPr>
            <w:tcW w:w="576" w:type="dxa"/>
            <w:tcBorders>
              <w:right w:val="single" w:color="000000" w:sz="2" w:space="0"/>
            </w:tcBorders>
            <w:noWrap w:val="0"/>
            <w:vAlign w:val="top"/>
          </w:tcPr>
          <w:p w14:paraId="221014B7">
            <w:pPr>
              <w:rPr>
                <w:rFonts w:hint="eastAsia" w:ascii="仿宋" w:hAnsi="仿宋" w:eastAsia="仿宋" w:cs="仿宋"/>
                <w:color w:val="auto"/>
                <w:sz w:val="24"/>
                <w:szCs w:val="24"/>
              </w:rPr>
            </w:pPr>
          </w:p>
        </w:tc>
        <w:tc>
          <w:tcPr>
            <w:tcW w:w="502" w:type="dxa"/>
            <w:tcBorders>
              <w:left w:val="single" w:color="000000" w:sz="2" w:space="0"/>
              <w:right w:val="single" w:color="000000" w:sz="10" w:space="0"/>
            </w:tcBorders>
            <w:noWrap w:val="0"/>
            <w:vAlign w:val="top"/>
          </w:tcPr>
          <w:p w14:paraId="2C096B15">
            <w:pPr>
              <w:rPr>
                <w:rFonts w:hint="eastAsia" w:ascii="仿宋" w:hAnsi="仿宋" w:eastAsia="仿宋" w:cs="仿宋"/>
                <w:color w:val="auto"/>
                <w:sz w:val="24"/>
                <w:szCs w:val="24"/>
              </w:rPr>
            </w:pPr>
          </w:p>
        </w:tc>
      </w:tr>
      <w:tr w14:paraId="4990A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7290" w:type="dxa"/>
            <w:gridSpan w:val="3"/>
            <w:tcBorders>
              <w:left w:val="single" w:color="000000" w:sz="10" w:space="0"/>
              <w:bottom w:val="single" w:color="000000" w:sz="10" w:space="0"/>
              <w:right w:val="single" w:color="000000" w:sz="2" w:space="0"/>
            </w:tcBorders>
            <w:noWrap w:val="0"/>
            <w:vAlign w:val="top"/>
          </w:tcPr>
          <w:p w14:paraId="1EA43FB3">
            <w:pPr>
              <w:pStyle w:val="188"/>
              <w:spacing w:before="55" w:line="221" w:lineRule="auto"/>
              <w:ind w:left="112"/>
              <w:rPr>
                <w:rFonts w:hint="eastAsia" w:ascii="仿宋" w:hAnsi="仿宋" w:eastAsia="仿宋" w:cs="仿宋"/>
                <w:color w:val="auto"/>
                <w:sz w:val="24"/>
                <w:szCs w:val="24"/>
              </w:rPr>
            </w:pPr>
            <w:r>
              <w:rPr>
                <w:rFonts w:hint="eastAsia" w:ascii="仿宋" w:hAnsi="仿宋" w:eastAsia="仿宋" w:cs="仿宋"/>
                <w:color w:val="auto"/>
                <w:spacing w:val="-3"/>
                <w:sz w:val="24"/>
                <w:szCs w:val="24"/>
              </w:rPr>
              <w:t>结论：通过评审打“√”未通过评审“×”</w:t>
            </w:r>
          </w:p>
        </w:tc>
        <w:tc>
          <w:tcPr>
            <w:tcW w:w="646" w:type="dxa"/>
            <w:tcBorders>
              <w:left w:val="single" w:color="000000" w:sz="2" w:space="0"/>
              <w:bottom w:val="single" w:color="000000" w:sz="10" w:space="0"/>
              <w:right w:val="single" w:color="000000" w:sz="2" w:space="0"/>
            </w:tcBorders>
            <w:noWrap w:val="0"/>
            <w:vAlign w:val="top"/>
          </w:tcPr>
          <w:p w14:paraId="54374939">
            <w:pPr>
              <w:rPr>
                <w:rFonts w:hint="eastAsia" w:ascii="仿宋" w:hAnsi="仿宋" w:eastAsia="仿宋" w:cs="仿宋"/>
                <w:color w:val="auto"/>
                <w:sz w:val="24"/>
                <w:szCs w:val="24"/>
              </w:rPr>
            </w:pPr>
          </w:p>
        </w:tc>
        <w:tc>
          <w:tcPr>
            <w:tcW w:w="672" w:type="dxa"/>
            <w:tcBorders>
              <w:left w:val="single" w:color="000000" w:sz="2" w:space="0"/>
              <w:bottom w:val="single" w:color="000000" w:sz="10" w:space="0"/>
            </w:tcBorders>
            <w:noWrap w:val="0"/>
            <w:vAlign w:val="top"/>
          </w:tcPr>
          <w:p w14:paraId="0234BAB7">
            <w:pPr>
              <w:rPr>
                <w:rFonts w:hint="eastAsia" w:ascii="仿宋" w:hAnsi="仿宋" w:eastAsia="仿宋" w:cs="仿宋"/>
                <w:color w:val="auto"/>
                <w:sz w:val="24"/>
                <w:szCs w:val="24"/>
              </w:rPr>
            </w:pPr>
          </w:p>
        </w:tc>
        <w:tc>
          <w:tcPr>
            <w:tcW w:w="576" w:type="dxa"/>
            <w:tcBorders>
              <w:bottom w:val="single" w:color="000000" w:sz="10" w:space="0"/>
            </w:tcBorders>
            <w:noWrap w:val="0"/>
            <w:vAlign w:val="top"/>
          </w:tcPr>
          <w:p w14:paraId="38883DFB">
            <w:pPr>
              <w:rPr>
                <w:rFonts w:hint="eastAsia" w:ascii="仿宋" w:hAnsi="仿宋" w:eastAsia="仿宋" w:cs="仿宋"/>
                <w:color w:val="auto"/>
                <w:sz w:val="24"/>
                <w:szCs w:val="24"/>
              </w:rPr>
            </w:pPr>
          </w:p>
        </w:tc>
        <w:tc>
          <w:tcPr>
            <w:tcW w:w="502" w:type="dxa"/>
            <w:tcBorders>
              <w:bottom w:val="single" w:color="000000" w:sz="10" w:space="0"/>
              <w:right w:val="single" w:color="000000" w:sz="10" w:space="0"/>
            </w:tcBorders>
            <w:noWrap w:val="0"/>
            <w:vAlign w:val="top"/>
          </w:tcPr>
          <w:p w14:paraId="1C692FAC">
            <w:pPr>
              <w:rPr>
                <w:rFonts w:hint="eastAsia" w:ascii="仿宋" w:hAnsi="仿宋" w:eastAsia="仿宋" w:cs="仿宋"/>
                <w:color w:val="auto"/>
                <w:sz w:val="24"/>
                <w:szCs w:val="24"/>
              </w:rPr>
            </w:pPr>
          </w:p>
        </w:tc>
      </w:tr>
    </w:tbl>
    <w:p w14:paraId="54535A63">
      <w:pPr>
        <w:numPr>
          <w:ilvl w:val="0"/>
          <w:numId w:val="0"/>
        </w:numPr>
        <w:tabs>
          <w:tab w:val="left" w:pos="360"/>
        </w:tabs>
        <w:snapToGrid w:val="0"/>
        <w:spacing w:line="360" w:lineRule="auto"/>
        <w:ind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投标文件有关事项的澄清或者说明</w:t>
      </w:r>
    </w:p>
    <w:p w14:paraId="34592C9D">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7961DD13">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rFonts w:hint="eastAsia" w:ascii="仿宋" w:hAnsi="仿宋" w:eastAsia="仿宋" w:cs="仿宋"/>
          <w:b/>
          <w:color w:val="auto"/>
          <w:sz w:val="24"/>
          <w:szCs w:val="24"/>
          <w:highlight w:val="none"/>
        </w:rPr>
        <w:t>无效投标处理</w:t>
      </w:r>
      <w:r>
        <w:rPr>
          <w:rFonts w:hint="eastAsia" w:ascii="仿宋" w:hAnsi="仿宋" w:eastAsia="仿宋" w:cs="仿宋"/>
          <w:color w:val="auto"/>
          <w:sz w:val="24"/>
          <w:szCs w:val="24"/>
          <w:highlight w:val="none"/>
        </w:rPr>
        <w:t>。</w:t>
      </w:r>
    </w:p>
    <w:p w14:paraId="5A430BA2">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仿宋" w:hAnsi="仿宋" w:eastAsia="仿宋" w:cs="仿宋"/>
          <w:b/>
          <w:color w:val="auto"/>
          <w:sz w:val="24"/>
          <w:szCs w:val="24"/>
          <w:highlight w:val="none"/>
        </w:rPr>
        <w:t>投标无效</w:t>
      </w:r>
      <w:r>
        <w:rPr>
          <w:rFonts w:hint="eastAsia" w:ascii="仿宋" w:hAnsi="仿宋" w:eastAsia="仿宋" w:cs="仿宋"/>
          <w:color w:val="auto"/>
          <w:sz w:val="24"/>
          <w:szCs w:val="24"/>
          <w:highlight w:val="none"/>
        </w:rPr>
        <w:t>。</w:t>
      </w:r>
    </w:p>
    <w:p w14:paraId="51D90425">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投标文件报价出现前后不一致的，按照下列规定修正：</w:t>
      </w:r>
    </w:p>
    <w:p w14:paraId="6E712825">
      <w:pPr>
        <w:numPr>
          <w:ilvl w:val="0"/>
          <w:numId w:val="0"/>
        </w:numPr>
        <w:tabs>
          <w:tab w:val="left" w:pos="1080"/>
          <w:tab w:val="left" w:pos="1589"/>
          <w:tab w:val="left" w:pos="2035"/>
          <w:tab w:val="left" w:pos="2114"/>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2.4.1</w:t>
      </w:r>
      <w:r>
        <w:rPr>
          <w:rFonts w:hint="eastAsia" w:ascii="仿宋" w:hAnsi="仿宋" w:eastAsia="仿宋" w:cs="仿宋"/>
          <w:color w:val="auto"/>
          <w:sz w:val="24"/>
          <w:szCs w:val="24"/>
          <w:highlight w:val="none"/>
        </w:rPr>
        <w:t>招标文件对于报价修正是否另有规定：</w:t>
      </w:r>
    </w:p>
    <w:p w14:paraId="3891D73C">
      <w:pPr>
        <w:tabs>
          <w:tab w:val="left" w:pos="1080"/>
          <w:tab w:val="left" w:pos="1589"/>
          <w:tab w:val="left" w:pos="2035"/>
          <w:tab w:val="left" w:pos="2114"/>
        </w:tabs>
        <w:snapToGrid w:val="0"/>
        <w:spacing w:line="360" w:lineRule="auto"/>
        <w:ind w:left="2035"/>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□有，具体规定为：______________</w:t>
      </w:r>
    </w:p>
    <w:p w14:paraId="21558E4E">
      <w:pPr>
        <w:tabs>
          <w:tab w:val="left" w:pos="1080"/>
          <w:tab w:val="left" w:pos="1589"/>
          <w:tab w:val="left" w:pos="2035"/>
          <w:tab w:val="left" w:pos="2114"/>
        </w:tabs>
        <w:snapToGrid w:val="0"/>
        <w:spacing w:line="360" w:lineRule="auto"/>
        <w:ind w:left="203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□无，按下述2.4.2-2.4.7项规定修正。</w:t>
      </w:r>
    </w:p>
    <w:p w14:paraId="67ED45DF">
      <w:pPr>
        <w:numPr>
          <w:ilvl w:val="0"/>
          <w:numId w:val="0"/>
        </w:numPr>
        <w:tabs>
          <w:tab w:val="left" w:pos="2035"/>
          <w:tab w:val="left" w:pos="2114"/>
          <w:tab w:val="left" w:pos="2977"/>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2.4.2</w:t>
      </w:r>
      <w:r>
        <w:rPr>
          <w:rFonts w:hint="eastAsia" w:ascii="仿宋" w:hAnsi="仿宋" w:eastAsia="仿宋" w:cs="仿宋"/>
          <w:color w:val="auto"/>
          <w:sz w:val="24"/>
          <w:szCs w:val="24"/>
          <w:highlight w:val="none"/>
        </w:rPr>
        <w:t>单独递交的开标一览表（报价表）与投标文件中开标一览表（报价表）内容不一致的，以单独递交的开标一览表（报价表）为准；</w:t>
      </w:r>
    </w:p>
    <w:p w14:paraId="27898B72">
      <w:pPr>
        <w:numPr>
          <w:ilvl w:val="0"/>
          <w:numId w:val="0"/>
        </w:numPr>
        <w:tabs>
          <w:tab w:val="left" w:pos="2035"/>
          <w:tab w:val="left" w:pos="2114"/>
          <w:tab w:val="left" w:pos="2977"/>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2.4.3</w:t>
      </w:r>
      <w:r>
        <w:rPr>
          <w:rFonts w:hint="eastAsia" w:ascii="仿宋" w:hAnsi="仿宋" w:eastAsia="仿宋" w:cs="仿宋"/>
          <w:color w:val="auto"/>
          <w:sz w:val="24"/>
          <w:szCs w:val="24"/>
          <w:highlight w:val="none"/>
        </w:rPr>
        <w:t>投标文件中开标一览表（报价表）内容与投标文件中相应内容不一致的，以开标一览表（报价表）为准；</w:t>
      </w:r>
    </w:p>
    <w:p w14:paraId="68C8A46A">
      <w:pPr>
        <w:numPr>
          <w:ilvl w:val="0"/>
          <w:numId w:val="0"/>
        </w:numPr>
        <w:tabs>
          <w:tab w:val="left" w:pos="2035"/>
          <w:tab w:val="left" w:pos="2114"/>
          <w:tab w:val="left" w:pos="2977"/>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2.4.4</w:t>
      </w:r>
      <w:r>
        <w:rPr>
          <w:rFonts w:hint="eastAsia" w:ascii="仿宋" w:hAnsi="仿宋" w:eastAsia="仿宋" w:cs="仿宋"/>
          <w:color w:val="auto"/>
          <w:sz w:val="24"/>
          <w:szCs w:val="24"/>
          <w:highlight w:val="none"/>
        </w:rPr>
        <w:t>大写金额和小写金额不一致的，以大写金额为准；</w:t>
      </w:r>
    </w:p>
    <w:p w14:paraId="3E7617F0">
      <w:pPr>
        <w:numPr>
          <w:ilvl w:val="0"/>
          <w:numId w:val="0"/>
        </w:numPr>
        <w:tabs>
          <w:tab w:val="left" w:pos="2035"/>
          <w:tab w:val="left" w:pos="2114"/>
          <w:tab w:val="left" w:pos="2977"/>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2.4.5</w:t>
      </w:r>
      <w:r>
        <w:rPr>
          <w:rFonts w:hint="eastAsia" w:ascii="仿宋" w:hAnsi="仿宋" w:eastAsia="仿宋" w:cs="仿宋"/>
          <w:color w:val="auto"/>
          <w:sz w:val="24"/>
          <w:szCs w:val="24"/>
          <w:highlight w:val="none"/>
        </w:rPr>
        <w:t>单价金额小数点或者百分比有明显错位的，以开标一览表的总价为准，并修改单价；</w:t>
      </w:r>
    </w:p>
    <w:p w14:paraId="424C75E7">
      <w:pPr>
        <w:numPr>
          <w:ilvl w:val="0"/>
          <w:numId w:val="0"/>
        </w:numPr>
        <w:tabs>
          <w:tab w:val="left" w:pos="2035"/>
          <w:tab w:val="left" w:pos="2114"/>
          <w:tab w:val="left" w:pos="2977"/>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2.4.6</w:t>
      </w:r>
      <w:r>
        <w:rPr>
          <w:rFonts w:hint="eastAsia" w:ascii="仿宋" w:hAnsi="仿宋" w:eastAsia="仿宋" w:cs="仿宋"/>
          <w:color w:val="auto"/>
          <w:sz w:val="24"/>
          <w:szCs w:val="24"/>
          <w:highlight w:val="none"/>
        </w:rPr>
        <w:t>总价金额与按单价汇总金额不一致的，以单价金额计算结果为准。</w:t>
      </w:r>
    </w:p>
    <w:p w14:paraId="75302F16">
      <w:pPr>
        <w:numPr>
          <w:ilvl w:val="0"/>
          <w:numId w:val="0"/>
        </w:numPr>
        <w:tabs>
          <w:tab w:val="left" w:pos="1080"/>
          <w:tab w:val="left" w:pos="1589"/>
          <w:tab w:val="left" w:pos="2035"/>
          <w:tab w:val="left" w:pos="2114"/>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2.4.7</w:t>
      </w:r>
      <w:r>
        <w:rPr>
          <w:rFonts w:hint="eastAsia" w:ascii="仿宋" w:hAnsi="仿宋" w:eastAsia="仿宋" w:cs="仿宋"/>
          <w:color w:val="auto"/>
          <w:sz w:val="24"/>
          <w:szCs w:val="24"/>
          <w:highlight w:val="none"/>
        </w:rPr>
        <w:t>同时出现两种以上不一致的，按照前款规定的顺序修正。修正后的报价经投标人书面确认后产生约束力，投标人不确认的，其</w:t>
      </w:r>
      <w:r>
        <w:rPr>
          <w:rFonts w:hint="eastAsia" w:ascii="仿宋" w:hAnsi="仿宋" w:eastAsia="仿宋" w:cs="仿宋"/>
          <w:b/>
          <w:color w:val="auto"/>
          <w:sz w:val="24"/>
          <w:szCs w:val="24"/>
          <w:highlight w:val="none"/>
        </w:rPr>
        <w:t>投标无效</w:t>
      </w:r>
      <w:r>
        <w:rPr>
          <w:rFonts w:hint="eastAsia" w:ascii="仿宋" w:hAnsi="仿宋" w:eastAsia="仿宋" w:cs="仿宋"/>
          <w:color w:val="auto"/>
          <w:sz w:val="24"/>
          <w:szCs w:val="24"/>
          <w:highlight w:val="none"/>
        </w:rPr>
        <w:t>。</w:t>
      </w:r>
    </w:p>
    <w:p w14:paraId="11F4E362">
      <w:pPr>
        <w:numPr>
          <w:ilvl w:val="0"/>
          <w:numId w:val="0"/>
        </w:numPr>
        <w:tabs>
          <w:tab w:val="left" w:pos="360"/>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投标文件的比较和评价</w:t>
      </w:r>
      <w:bookmarkEnd w:id="242"/>
      <w:bookmarkEnd w:id="243"/>
    </w:p>
    <w:p w14:paraId="3F3632D4">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评标委员会将按照招标文件中规定的评标方法和标准，对符合性审查合格的投标文件进行商务和技术评估，综合比较与评价；未通过符合性审查的投标文件不得进入比较与评价。</w:t>
      </w:r>
    </w:p>
    <w:p w14:paraId="5830E761">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评标方法和评标标准</w:t>
      </w:r>
    </w:p>
    <w:p w14:paraId="11E66AB2">
      <w:pPr>
        <w:numPr>
          <w:ilvl w:val="0"/>
          <w:numId w:val="0"/>
        </w:numPr>
        <w:tabs>
          <w:tab w:val="left" w:pos="1080"/>
          <w:tab w:val="left" w:pos="1589"/>
          <w:tab w:val="left" w:pos="2035"/>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3.2.1</w:t>
      </w:r>
      <w:r>
        <w:rPr>
          <w:rFonts w:hint="eastAsia" w:ascii="仿宋" w:hAnsi="仿宋" w:eastAsia="仿宋" w:cs="仿宋"/>
          <w:color w:val="auto"/>
          <w:sz w:val="24"/>
          <w:szCs w:val="24"/>
          <w:highlight w:val="none"/>
        </w:rPr>
        <w:t>本项目采用的评标方法为：</w:t>
      </w:r>
    </w:p>
    <w:p w14:paraId="5DEE7C32">
      <w:pPr>
        <w:tabs>
          <w:tab w:val="left" w:pos="900"/>
          <w:tab w:val="left" w:pos="1589"/>
          <w:tab w:val="left" w:pos="1701"/>
        </w:tabs>
        <w:snapToGrid w:val="0"/>
        <w:spacing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753C920">
      <w:pPr>
        <w:tabs>
          <w:tab w:val="left" w:pos="900"/>
          <w:tab w:val="left" w:pos="1589"/>
          <w:tab w:val="left" w:pos="1701"/>
        </w:tabs>
        <w:snapToGrid w:val="0"/>
        <w:spacing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□最低评标价法，指投标文件满足招标文件全部实质性要求，且投标报价最低的投标人为中标候选人的评标方法。</w:t>
      </w:r>
    </w:p>
    <w:p w14:paraId="73772AA5">
      <w:pPr>
        <w:numPr>
          <w:ilvl w:val="0"/>
          <w:numId w:val="0"/>
        </w:numPr>
        <w:tabs>
          <w:tab w:val="left" w:pos="1080"/>
          <w:tab w:val="left" w:pos="1589"/>
          <w:tab w:val="left" w:pos="2035"/>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2.4.2</w:t>
      </w:r>
      <w:r>
        <w:rPr>
          <w:rFonts w:hint="eastAsia" w:ascii="仿宋" w:hAnsi="仿宋" w:eastAsia="仿宋" w:cs="仿宋"/>
          <w:color w:val="auto"/>
          <w:sz w:val="24"/>
          <w:szCs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仿宋" w:hAnsi="仿宋" w:eastAsia="仿宋" w:cs="仿宋"/>
          <w:b/>
          <w:color w:val="auto"/>
          <w:sz w:val="24"/>
          <w:szCs w:val="24"/>
          <w:highlight w:val="none"/>
        </w:rPr>
        <w:t>投标无效</w:t>
      </w:r>
      <w:r>
        <w:rPr>
          <w:rFonts w:hint="eastAsia" w:ascii="仿宋" w:hAnsi="仿宋" w:eastAsia="仿宋" w:cs="仿宋"/>
          <w:color w:val="auto"/>
          <w:sz w:val="24"/>
          <w:szCs w:val="24"/>
          <w:highlight w:val="none"/>
        </w:rPr>
        <w:t>。</w:t>
      </w:r>
    </w:p>
    <w:p w14:paraId="75F76B4F">
      <w:pPr>
        <w:tabs>
          <w:tab w:val="left" w:pos="1080"/>
          <w:tab w:val="left" w:pos="1589"/>
          <w:tab w:val="left" w:pos="2035"/>
        </w:tabs>
        <w:snapToGrid w:val="0"/>
        <w:spacing w:line="360" w:lineRule="auto"/>
        <w:ind w:left="203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随机抽取</w:t>
      </w:r>
    </w:p>
    <w:p w14:paraId="5DDFDF98">
      <w:pPr>
        <w:tabs>
          <w:tab w:val="left" w:pos="1080"/>
          <w:tab w:val="left" w:pos="1589"/>
          <w:tab w:val="left" w:pos="2035"/>
        </w:tabs>
        <w:snapToGrid w:val="0"/>
        <w:spacing w:line="360" w:lineRule="auto"/>
        <w:ind w:left="2035"/>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□其他方式，具体要求：</w:t>
      </w:r>
      <w:r>
        <w:rPr>
          <w:rFonts w:hint="eastAsia" w:ascii="仿宋" w:hAnsi="仿宋" w:eastAsia="仿宋" w:cs="仿宋"/>
          <w:color w:val="auto"/>
          <w:sz w:val="24"/>
          <w:szCs w:val="24"/>
          <w:highlight w:val="none"/>
          <w:u w:val="single"/>
        </w:rPr>
        <w:t>_</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_</w:t>
      </w:r>
    </w:p>
    <w:p w14:paraId="6C5992A2">
      <w:pPr>
        <w:numPr>
          <w:ilvl w:val="0"/>
          <w:numId w:val="0"/>
        </w:numPr>
        <w:tabs>
          <w:tab w:val="left" w:pos="1080"/>
          <w:tab w:val="left" w:pos="1589"/>
          <w:tab w:val="left" w:pos="2035"/>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2.4.3</w:t>
      </w:r>
      <w:r>
        <w:rPr>
          <w:rFonts w:hint="eastAsia" w:ascii="仿宋" w:hAnsi="仿宋" w:eastAsia="仿宋" w:cs="仿宋"/>
          <w:color w:val="auto"/>
          <w:sz w:val="24"/>
          <w:szCs w:val="24"/>
          <w:highlight w:val="none"/>
        </w:rPr>
        <w:t>非政府强制采购的节能产品或环境标志产品，依据品目清单和认证证书实施政府优先采购。优先采购的具体规定（如涉及）</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rPr>
        <w:t>。</w:t>
      </w:r>
    </w:p>
    <w:p w14:paraId="24C4AB87">
      <w:pPr>
        <w:numPr>
          <w:ilvl w:val="0"/>
          <w:numId w:val="0"/>
        </w:numPr>
        <w:tabs>
          <w:tab w:val="left" w:pos="1080"/>
          <w:tab w:val="left" w:pos="1589"/>
          <w:tab w:val="left" w:pos="2035"/>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2.4.4</w:t>
      </w:r>
      <w:r>
        <w:rPr>
          <w:rFonts w:hint="eastAsia" w:ascii="仿宋" w:hAnsi="仿宋" w:eastAsia="仿宋" w:cs="仿宋"/>
          <w:color w:val="auto"/>
          <w:sz w:val="24"/>
          <w:szCs w:val="24"/>
          <w:highlight w:val="none"/>
        </w:rPr>
        <w:t>于无线局域网认证产品政府采购清单中的产品，优先采购的具体规定（如涉及）</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rPr>
        <w:t>。</w:t>
      </w:r>
    </w:p>
    <w:p w14:paraId="4DF8C510">
      <w:pPr>
        <w:numPr>
          <w:ilvl w:val="0"/>
          <w:numId w:val="0"/>
        </w:numPr>
        <w:tabs>
          <w:tab w:val="left" w:pos="360"/>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确定</w:t>
      </w:r>
      <w:bookmarkStart w:id="245" w:name="_Toc226309790"/>
      <w:bookmarkStart w:id="246" w:name="_Toc520356170"/>
      <w:bookmarkStart w:id="247" w:name="_Toc164229387"/>
      <w:bookmarkStart w:id="248" w:name="_Toc164608815"/>
      <w:bookmarkStart w:id="249" w:name="_Toc164229241"/>
      <w:bookmarkStart w:id="250" w:name="_Toc151193716"/>
      <w:bookmarkStart w:id="251" w:name="_Toc149720839"/>
      <w:bookmarkStart w:id="252" w:name="_Toc151190173"/>
      <w:bookmarkStart w:id="253" w:name="_Toc142311048"/>
      <w:bookmarkStart w:id="254" w:name="_Toc151193934"/>
      <w:bookmarkStart w:id="255" w:name="_Toc265228384"/>
      <w:bookmarkStart w:id="256" w:name="_Toc150480784"/>
      <w:bookmarkStart w:id="257" w:name="_Toc127151747"/>
      <w:bookmarkStart w:id="258" w:name="_Toc151193860"/>
      <w:bookmarkStart w:id="259" w:name="_Toc127161460"/>
      <w:bookmarkStart w:id="260" w:name="_Toc164351640"/>
      <w:bookmarkStart w:id="261" w:name="_Toc226337242"/>
      <w:bookmarkStart w:id="262" w:name="_Toc151193788"/>
      <w:bookmarkStart w:id="263" w:name="_Toc150509297"/>
      <w:bookmarkStart w:id="264" w:name="_Toc226965819"/>
      <w:bookmarkStart w:id="265" w:name="_Toc150774646"/>
      <w:bookmarkStart w:id="266" w:name="_Toc264969236"/>
      <w:bookmarkStart w:id="267" w:name="_Toc164608660"/>
      <w:bookmarkStart w:id="268" w:name="_Toc305158888"/>
      <w:bookmarkStart w:id="269" w:name="_Toc226965736"/>
      <w:bookmarkStart w:id="270" w:name="_Toc150774751"/>
      <w:bookmarkStart w:id="271" w:name="_Toc195842911"/>
      <w:bookmarkStart w:id="272" w:name="_Toc305158814"/>
      <w:bookmarkStart w:id="273" w:name="_Toc127151546"/>
      <w:bookmarkStart w:id="274" w:name="_Toc151193644"/>
      <w:bookmarkStart w:id="275" w:name="_Ref467307010"/>
      <w:r>
        <w:rPr>
          <w:rFonts w:hint="eastAsia" w:ascii="仿宋" w:hAnsi="仿宋" w:eastAsia="仿宋" w:cs="仿宋"/>
          <w:color w:val="auto"/>
          <w:sz w:val="24"/>
          <w:szCs w:val="24"/>
          <w:highlight w:val="none"/>
        </w:rPr>
        <w:t>中标候选人名单</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0415C264">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2.6</w:t>
      </w:r>
      <w:r>
        <w:rPr>
          <w:rFonts w:hint="eastAsia" w:ascii="仿宋" w:hAnsi="仿宋" w:eastAsia="仿宋" w:cs="仿宋"/>
          <w:color w:val="auto"/>
          <w:sz w:val="24"/>
          <w:szCs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A1B415">
      <w:pPr>
        <w:pStyle w:val="45"/>
        <w:tabs>
          <w:tab w:val="left" w:pos="900"/>
          <w:tab w:val="left" w:pos="2127"/>
        </w:tabs>
        <w:adjustRightInd w:val="0"/>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随机抽取</w:t>
      </w:r>
    </w:p>
    <w:p w14:paraId="47C18DFD">
      <w:pPr>
        <w:pStyle w:val="45"/>
        <w:tabs>
          <w:tab w:val="left" w:pos="900"/>
          <w:tab w:val="left" w:pos="2127"/>
        </w:tabs>
        <w:adjustRightInd w:val="0"/>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□其他方式，具体要求：</w:t>
      </w:r>
      <w:r>
        <w:rPr>
          <w:rFonts w:hint="eastAsia" w:ascii="仿宋" w:hAnsi="仿宋" w:eastAsia="仿宋" w:cs="仿宋"/>
          <w:color w:val="auto"/>
          <w:sz w:val="24"/>
          <w:szCs w:val="24"/>
          <w:highlight w:val="none"/>
          <w:u w:val="single"/>
          <w:lang w:val="en-US" w:eastAsia="zh-CN"/>
        </w:rPr>
        <w:t>/</w:t>
      </w:r>
    </w:p>
    <w:p w14:paraId="02D3D395">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40DCEAB">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12BF702">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2.9</w:t>
      </w:r>
      <w:r>
        <w:rPr>
          <w:rFonts w:hint="eastAsia" w:ascii="仿宋" w:hAnsi="仿宋" w:eastAsia="仿宋" w:cs="仿宋"/>
          <w:color w:val="auto"/>
          <w:sz w:val="24"/>
          <w:szCs w:val="24"/>
          <w:highlight w:val="none"/>
        </w:rPr>
        <w:t>评标委员会要对评分汇总情况进行复核，特别是对排名第一的、报价最低的、投标或响应文件被认定为无效的情形进行重点复核。</w:t>
      </w:r>
    </w:p>
    <w:p w14:paraId="5AC364BF">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2.10</w:t>
      </w:r>
      <w:r>
        <w:rPr>
          <w:rFonts w:hint="eastAsia" w:ascii="仿宋" w:hAnsi="仿宋" w:eastAsia="仿宋" w:cs="仿宋"/>
          <w:color w:val="auto"/>
          <w:sz w:val="24"/>
          <w:szCs w:val="24"/>
          <w:highlight w:val="none"/>
        </w:rPr>
        <w:t>评标委员会将根据各投标人的评标排序，依次推荐本项目（各采购包）的中标候选人，起草并签署评标报告。本项目（各采购包）评标委员会共（各）推荐___名中标候选人。</w:t>
      </w:r>
    </w:p>
    <w:p w14:paraId="2CD6FFE6">
      <w:pPr>
        <w:numPr>
          <w:ilvl w:val="0"/>
          <w:numId w:val="0"/>
        </w:numPr>
        <w:tabs>
          <w:tab w:val="left" w:pos="360"/>
        </w:tabs>
        <w:snapToGrid w:val="0"/>
        <w:spacing w:line="360" w:lineRule="auto"/>
        <w:ind w:leftChars="-50" w:right="62" w:rightChars="0"/>
        <w:outlineLvl w:val="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报告违法行为</w:t>
      </w:r>
    </w:p>
    <w:p w14:paraId="4C0553ED">
      <w:pPr>
        <w:numPr>
          <w:ilvl w:val="0"/>
          <w:numId w:val="0"/>
        </w:numPr>
        <w:tabs>
          <w:tab w:val="left" w:pos="1080"/>
        </w:tabs>
        <w:snapToGrid w:val="0"/>
        <w:spacing w:line="360" w:lineRule="auto"/>
        <w:ind w:leftChars="-50" w:right="62"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评标委员会在评标过程中发现投标人有行贿、提供虚假材料或者串通等违法行为时，有向采购人、采购代理机构或者有关部门报告的职责。</w:t>
      </w:r>
    </w:p>
    <w:p w14:paraId="2E5F6DF6">
      <w:pPr>
        <w:widowControl/>
        <w:numPr>
          <w:ilvl w:val="0"/>
          <w:numId w:val="7"/>
        </w:numPr>
        <w:spacing w:line="240" w:lineRule="auto"/>
        <w:ind w:left="0" w:right="0" w:firstLine="0" w:firstLineChars="0"/>
        <w:jc w:val="center"/>
        <w:rPr>
          <w:rFonts w:hint="eastAsia" w:ascii="仿宋" w:hAnsi="仿宋" w:eastAsia="仿宋" w:cs="仿宋"/>
          <w:color w:val="auto"/>
          <w:sz w:val="24"/>
          <w:szCs w:val="24"/>
          <w:highlight w:val="none"/>
        </w:rPr>
      </w:pPr>
      <w:r>
        <w:rPr>
          <w:rFonts w:hint="eastAsia" w:ascii="仿宋" w:hAnsi="仿宋" w:eastAsia="仿宋" w:cs="仿宋"/>
          <w:b/>
          <w:color w:val="auto"/>
          <w:sz w:val="28"/>
          <w:szCs w:val="28"/>
          <w:highlight w:val="none"/>
        </w:rPr>
        <w:t>评标标准</w:t>
      </w:r>
    </w:p>
    <w:tbl>
      <w:tblPr>
        <w:tblStyle w:val="75"/>
        <w:tblpPr w:leftFromText="180" w:rightFromText="180" w:vertAnchor="text" w:horzAnchor="page" w:tblpXSpec="center" w:tblpY="1079"/>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229"/>
        <w:gridCol w:w="968"/>
        <w:gridCol w:w="6525"/>
      </w:tblGrid>
      <w:tr w14:paraId="49CC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621" w:type="pct"/>
            <w:noWrap w:val="0"/>
            <w:vAlign w:val="center"/>
          </w:tcPr>
          <w:p w14:paraId="7DADFFA4">
            <w:pPr>
              <w:pStyle w:val="69"/>
              <w:spacing w:line="240" w:lineRule="auto"/>
              <w:ind w:left="0" w:right="0" w:firstLine="0" w:firstLineChars="0"/>
              <w:jc w:val="center"/>
              <w:rPr>
                <w:rFonts w:hint="eastAsia" w:ascii="仿宋" w:hAnsi="仿宋" w:eastAsia="仿宋" w:cs="仿宋"/>
                <w:b/>
                <w:bCs w:val="0"/>
                <w:color w:val="000000"/>
                <w:sz w:val="24"/>
                <w:szCs w:val="24"/>
                <w:highlight w:val="none"/>
              </w:rPr>
            </w:pPr>
            <w:r>
              <w:rPr>
                <w:rFonts w:hint="eastAsia" w:ascii="仿宋" w:hAnsi="仿宋" w:eastAsia="仿宋" w:cs="仿宋"/>
                <w:b/>
                <w:bCs w:val="0"/>
                <w:color w:val="000000"/>
                <w:sz w:val="24"/>
                <w:szCs w:val="24"/>
                <w:highlight w:val="none"/>
              </w:rPr>
              <w:t>序号</w:t>
            </w:r>
          </w:p>
        </w:tc>
        <w:tc>
          <w:tcPr>
            <w:tcW w:w="617" w:type="pct"/>
            <w:noWrap w:val="0"/>
            <w:vAlign w:val="center"/>
          </w:tcPr>
          <w:p w14:paraId="1F93C9DD">
            <w:pPr>
              <w:pStyle w:val="69"/>
              <w:spacing w:line="240" w:lineRule="auto"/>
              <w:ind w:left="0" w:right="0" w:firstLine="0" w:firstLineChars="0"/>
              <w:jc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评分因素</w:t>
            </w:r>
          </w:p>
        </w:tc>
        <w:tc>
          <w:tcPr>
            <w:tcW w:w="486" w:type="pct"/>
            <w:noWrap w:val="0"/>
            <w:vAlign w:val="center"/>
          </w:tcPr>
          <w:p w14:paraId="2608A8B0">
            <w:pPr>
              <w:pStyle w:val="69"/>
              <w:spacing w:line="240" w:lineRule="auto"/>
              <w:ind w:left="0" w:right="0" w:firstLine="0" w:firstLineChars="0"/>
              <w:jc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分数</w:t>
            </w:r>
          </w:p>
        </w:tc>
        <w:tc>
          <w:tcPr>
            <w:tcW w:w="3274" w:type="pct"/>
            <w:noWrap w:val="0"/>
            <w:vAlign w:val="center"/>
          </w:tcPr>
          <w:p w14:paraId="16FD9853">
            <w:pPr>
              <w:pStyle w:val="69"/>
              <w:spacing w:line="240" w:lineRule="auto"/>
              <w:ind w:left="0" w:right="0" w:firstLine="0" w:firstLineChars="0"/>
              <w:jc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评分标准（评分四舍五入保留2位小数）</w:t>
            </w:r>
          </w:p>
        </w:tc>
      </w:tr>
      <w:tr w14:paraId="5072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621" w:type="pct"/>
            <w:noWrap w:val="0"/>
            <w:vAlign w:val="center"/>
          </w:tcPr>
          <w:p w14:paraId="0A4BA896">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报价部分</w:t>
            </w:r>
          </w:p>
          <w:p w14:paraId="1304F905">
            <w:pPr>
              <w:autoSpaceDE w:val="0"/>
              <w:autoSpaceDN w:val="0"/>
              <w:adjustRightInd w:val="0"/>
              <w:spacing w:line="240" w:lineRule="auto"/>
              <w:ind w:left="0" w:right="0" w:firstLine="0" w:firstLineChars="0"/>
              <w:jc w:val="left"/>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（30分）</w:t>
            </w:r>
          </w:p>
        </w:tc>
        <w:tc>
          <w:tcPr>
            <w:tcW w:w="617" w:type="pct"/>
            <w:noWrap w:val="0"/>
            <w:vAlign w:val="center"/>
          </w:tcPr>
          <w:p w14:paraId="75762717">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投标报价</w:t>
            </w:r>
          </w:p>
        </w:tc>
        <w:tc>
          <w:tcPr>
            <w:tcW w:w="486" w:type="pct"/>
            <w:noWrap w:val="0"/>
            <w:vAlign w:val="center"/>
          </w:tcPr>
          <w:p w14:paraId="0685B2A1">
            <w:pPr>
              <w:autoSpaceDE w:val="0"/>
              <w:autoSpaceDN w:val="0"/>
              <w:adjustRightInd w:val="0"/>
              <w:spacing w:line="240" w:lineRule="auto"/>
              <w:ind w:left="0" w:right="0" w:firstLine="0" w:firstLineChars="0"/>
              <w:jc w:val="center"/>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30分</w:t>
            </w:r>
          </w:p>
        </w:tc>
        <w:tc>
          <w:tcPr>
            <w:tcW w:w="3274" w:type="pct"/>
            <w:noWrap w:val="0"/>
            <w:vAlign w:val="center"/>
          </w:tcPr>
          <w:p w14:paraId="7A1B97BA">
            <w:pPr>
              <w:autoSpaceDE w:val="0"/>
              <w:autoSpaceDN w:val="0"/>
              <w:adjustRightInd w:val="0"/>
              <w:spacing w:line="240" w:lineRule="auto"/>
              <w:ind w:left="0" w:leftChars="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价格分应当采用低价优先法计算，即满足招标文件要求且投标价格最低的投标报价为评标基准价，其价格分为满分。其他投标人的价格分统一按照下列公式计算：</w:t>
            </w:r>
          </w:p>
          <w:p w14:paraId="34FDFD9B">
            <w:pPr>
              <w:autoSpaceDE w:val="0"/>
              <w:autoSpaceDN w:val="0"/>
              <w:adjustRightInd w:val="0"/>
              <w:spacing w:line="240" w:lineRule="auto"/>
              <w:ind w:left="0" w:leftChars="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投标报价得分=（评标基准价／投标报价）×30</w:t>
            </w:r>
          </w:p>
          <w:p w14:paraId="46BD3A36">
            <w:pPr>
              <w:autoSpaceDE w:val="0"/>
              <w:autoSpaceDN w:val="0"/>
              <w:adjustRightInd w:val="0"/>
              <w:spacing w:line="240" w:lineRule="auto"/>
              <w:ind w:left="0" w:leftChars="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备注：投标报价得分四舍五入后，小数点后保留两位有效数。</w:t>
            </w:r>
          </w:p>
        </w:tc>
      </w:tr>
      <w:tr w14:paraId="7E0B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1" w:type="pct"/>
            <w:vMerge w:val="restart"/>
            <w:noWrap w:val="0"/>
            <w:vAlign w:val="center"/>
          </w:tcPr>
          <w:p w14:paraId="28E38CAB">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商务部分（4分）</w:t>
            </w:r>
          </w:p>
          <w:p w14:paraId="754157B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center"/>
          </w:tcPr>
          <w:p w14:paraId="1762C842">
            <w:pPr>
              <w:autoSpaceDE w:val="0"/>
              <w:autoSpaceDN w:val="0"/>
              <w:adjustRightInd w:val="0"/>
              <w:spacing w:line="240" w:lineRule="auto"/>
              <w:ind w:left="0" w:right="0" w:firstLine="0" w:firstLineChars="0"/>
              <w:jc w:val="center"/>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color w:val="auto"/>
                <w:sz w:val="24"/>
                <w:szCs w:val="24"/>
                <w:highlight w:val="none"/>
                <w:lang w:val="en-US" w:eastAsia="zh-CN"/>
              </w:rPr>
              <w:t>业绩</w:t>
            </w:r>
          </w:p>
        </w:tc>
        <w:tc>
          <w:tcPr>
            <w:tcW w:w="486" w:type="pct"/>
            <w:noWrap w:val="0"/>
            <w:vAlign w:val="center"/>
          </w:tcPr>
          <w:p w14:paraId="65AB66C7">
            <w:pPr>
              <w:autoSpaceDE w:val="0"/>
              <w:autoSpaceDN w:val="0"/>
              <w:adjustRightInd w:val="0"/>
              <w:spacing w:line="240" w:lineRule="auto"/>
              <w:ind w:left="0" w:right="0" w:firstLine="0" w:firstLineChars="0"/>
              <w:jc w:val="center"/>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4分</w:t>
            </w:r>
          </w:p>
        </w:tc>
        <w:tc>
          <w:tcPr>
            <w:tcW w:w="3274" w:type="pct"/>
            <w:noWrap w:val="0"/>
            <w:vAlign w:val="center"/>
          </w:tcPr>
          <w:p w14:paraId="3365EC03">
            <w:pPr>
              <w:autoSpaceDE w:val="0"/>
              <w:autoSpaceDN w:val="0"/>
              <w:adjustRightInd w:val="0"/>
              <w:spacing w:line="240" w:lineRule="auto"/>
              <w:ind w:left="0" w:leftChars="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投标人或所投品牌制造商提供近三年(2023年8月至投标截止时间，以合同签订日期为准)已完成的类似业绩一个得2分，最多得4分。</w:t>
            </w:r>
          </w:p>
          <w:p w14:paraId="5B0167A9">
            <w:pPr>
              <w:autoSpaceDE w:val="0"/>
              <w:autoSpaceDN w:val="0"/>
              <w:adjustRightInd w:val="0"/>
              <w:spacing w:line="240" w:lineRule="auto"/>
              <w:ind w:left="0" w:leftChars="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证明材料包括：①中标（成交）通知书、②项目合同关键页、③已完成的业绩可提供验收报告。合同签订在近三个月的可不提供验收报告。不提供或提供不完整、不清晰导致专家无法判断均不得分。</w:t>
            </w:r>
          </w:p>
        </w:tc>
      </w:tr>
      <w:tr w14:paraId="58F3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21" w:type="pct"/>
            <w:vMerge w:val="restart"/>
            <w:noWrap w:val="0"/>
            <w:vAlign w:val="center"/>
          </w:tcPr>
          <w:p w14:paraId="0A938298">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default" w:ascii="仿宋" w:hAnsi="仿宋" w:eastAsia="仿宋" w:cs="仿宋"/>
                <w:bCs/>
                <w:color w:val="000000"/>
                <w:kern w:val="0"/>
                <w:sz w:val="24"/>
                <w:szCs w:val="24"/>
                <w:highlight w:val="none"/>
                <w:lang w:eastAsia="zh-CN"/>
              </w:rPr>
              <w:t>技术部分（66分）</w:t>
            </w:r>
          </w:p>
        </w:tc>
        <w:tc>
          <w:tcPr>
            <w:tcW w:w="617" w:type="pct"/>
            <w:noWrap w:val="0"/>
            <w:vAlign w:val="center"/>
          </w:tcPr>
          <w:p w14:paraId="098147E9">
            <w:pPr>
              <w:autoSpaceDE w:val="0"/>
              <w:autoSpaceDN w:val="0"/>
              <w:adjustRightInd w:val="0"/>
              <w:spacing w:line="240" w:lineRule="auto"/>
              <w:ind w:left="0" w:leftChars="0" w:right="0" w:firstLine="0" w:firstLineChars="0"/>
              <w:jc w:val="left"/>
              <w:rPr>
                <w:rFonts w:hint="eastAsia" w:ascii="仿宋" w:hAnsi="仿宋" w:eastAsia="仿宋" w:cs="仿宋"/>
                <w:bCs/>
                <w:color w:val="000000"/>
                <w:kern w:val="0"/>
                <w:sz w:val="24"/>
                <w:szCs w:val="24"/>
                <w:highlight w:val="none"/>
                <w:lang w:val="en-US" w:eastAsia="zh-CN"/>
              </w:rPr>
            </w:pPr>
          </w:p>
          <w:p w14:paraId="1B301713">
            <w:pPr>
              <w:autoSpaceDE w:val="0"/>
              <w:autoSpaceDN w:val="0"/>
              <w:adjustRightInd w:val="0"/>
              <w:spacing w:line="240" w:lineRule="auto"/>
              <w:ind w:left="0" w:leftChars="0" w:right="0" w:rightChars="0" w:firstLine="0" w:firstLineChars="0"/>
              <w:jc w:val="center"/>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color w:val="auto"/>
                <w:sz w:val="24"/>
                <w:szCs w:val="24"/>
                <w:highlight w:val="none"/>
                <w:lang w:val="en-US" w:eastAsia="zh-CN"/>
              </w:rPr>
              <w:t>技术参数及性能指标</w:t>
            </w:r>
          </w:p>
        </w:tc>
        <w:tc>
          <w:tcPr>
            <w:tcW w:w="486" w:type="pct"/>
            <w:noWrap w:val="0"/>
            <w:vAlign w:val="center"/>
          </w:tcPr>
          <w:p w14:paraId="141DFB7D">
            <w:pPr>
              <w:autoSpaceDE w:val="0"/>
              <w:autoSpaceDN w:val="0"/>
              <w:adjustRightInd w:val="0"/>
              <w:spacing w:line="240" w:lineRule="auto"/>
              <w:ind w:left="0" w:right="0" w:firstLine="0" w:firstLineChars="0"/>
              <w:jc w:val="center"/>
              <w:rPr>
                <w:rFonts w:hint="eastAsia" w:ascii="仿宋" w:hAnsi="仿宋" w:eastAsia="仿宋" w:cs="仿宋"/>
                <w:bCs/>
                <w:color w:val="000000"/>
                <w:kern w:val="0"/>
                <w:sz w:val="24"/>
                <w:szCs w:val="24"/>
                <w:highlight w:val="none"/>
                <w:lang w:val="en-US" w:eastAsia="zh-CN"/>
              </w:rPr>
            </w:pPr>
          </w:p>
          <w:p w14:paraId="3DE6C417">
            <w:pPr>
              <w:autoSpaceDE w:val="0"/>
              <w:autoSpaceDN w:val="0"/>
              <w:adjustRightInd w:val="0"/>
              <w:spacing w:line="240" w:lineRule="auto"/>
              <w:ind w:left="0" w:right="0" w:firstLine="0" w:firstLineChars="0"/>
              <w:jc w:val="center"/>
              <w:rPr>
                <w:rFonts w:hint="eastAsia" w:ascii="仿宋" w:hAnsi="仿宋" w:eastAsia="仿宋" w:cs="仿宋"/>
                <w:bCs/>
                <w:color w:val="000000"/>
                <w:kern w:val="0"/>
                <w:sz w:val="24"/>
                <w:szCs w:val="24"/>
                <w:highlight w:val="none"/>
                <w:lang w:val="en-US" w:eastAsia="zh-CN"/>
              </w:rPr>
            </w:pPr>
          </w:p>
          <w:p w14:paraId="35CA2DF9">
            <w:pPr>
              <w:autoSpaceDE w:val="0"/>
              <w:autoSpaceDN w:val="0"/>
              <w:adjustRightInd w:val="0"/>
              <w:spacing w:line="240" w:lineRule="auto"/>
              <w:ind w:left="0" w:leftChars="0" w:right="0" w:rightChars="0" w:firstLine="0" w:firstLineChars="0"/>
              <w:jc w:val="left"/>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30分</w:t>
            </w:r>
          </w:p>
          <w:p w14:paraId="3D351131">
            <w:pPr>
              <w:autoSpaceDE w:val="0"/>
              <w:autoSpaceDN w:val="0"/>
              <w:adjustRightInd w:val="0"/>
              <w:spacing w:line="240" w:lineRule="auto"/>
              <w:ind w:left="0" w:leftChars="0" w:right="0" w:rightChars="0" w:firstLine="0" w:firstLineChars="0"/>
              <w:jc w:val="left"/>
              <w:rPr>
                <w:rFonts w:hint="eastAsia" w:ascii="仿宋" w:hAnsi="仿宋" w:eastAsia="仿宋" w:cs="仿宋"/>
                <w:bCs/>
                <w:color w:val="000000"/>
                <w:kern w:val="0"/>
                <w:sz w:val="24"/>
                <w:szCs w:val="24"/>
                <w:highlight w:val="none"/>
                <w:lang w:val="en-US" w:eastAsia="zh-CN"/>
              </w:rPr>
            </w:pPr>
          </w:p>
          <w:p w14:paraId="2EB09DA2">
            <w:pPr>
              <w:autoSpaceDE w:val="0"/>
              <w:autoSpaceDN w:val="0"/>
              <w:adjustRightInd w:val="0"/>
              <w:spacing w:line="240" w:lineRule="auto"/>
              <w:ind w:left="0" w:leftChars="0" w:right="0" w:rightChars="0" w:firstLine="0" w:firstLineChars="0"/>
              <w:jc w:val="both"/>
              <w:rPr>
                <w:rFonts w:hint="eastAsia" w:ascii="仿宋" w:hAnsi="仿宋" w:eastAsia="仿宋" w:cs="仿宋"/>
                <w:bCs/>
                <w:color w:val="000000"/>
                <w:kern w:val="0"/>
                <w:sz w:val="24"/>
                <w:szCs w:val="24"/>
                <w:highlight w:val="none"/>
                <w:lang w:val="en-US" w:eastAsia="zh-CN"/>
              </w:rPr>
            </w:pPr>
          </w:p>
        </w:tc>
        <w:tc>
          <w:tcPr>
            <w:tcW w:w="3274" w:type="pct"/>
            <w:tcBorders>
              <w:top w:val="single" w:color="auto" w:sz="4" w:space="0"/>
            </w:tcBorders>
            <w:noWrap w:val="0"/>
            <w:vAlign w:val="center"/>
          </w:tcPr>
          <w:p w14:paraId="669E28D3">
            <w:pPr>
              <w:autoSpaceDE w:val="0"/>
              <w:autoSpaceDN w:val="0"/>
              <w:adjustRightInd w:val="0"/>
              <w:spacing w:line="240" w:lineRule="auto"/>
              <w:ind w:left="0" w:leftChars="0" w:right="0" w:rightChars="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针对招标文件技术参数，满足招标文件要求，全部满足要求得30分。其中带“▲”标志的为重要指标，每有一项不满足或负偏离的扣3分；其余参数指标每有一项不满足或负偏离的扣1.5分，扣完为止。(注:投标人需如实填写所投产品参数;并提供能够证明其参数真实有效的证明文件（有效的第三方检测报告、白皮书、设备彩页等），若证明文件无法证明参数真实有效，视为负偏离或以评审小组集体意见为准)。其中“★”为实质性参数不允许出现负偏离，否则作投标无效处理。</w:t>
            </w:r>
          </w:p>
        </w:tc>
      </w:tr>
      <w:tr w14:paraId="3661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21" w:type="pct"/>
            <w:vMerge w:val="continue"/>
            <w:noWrap w:val="0"/>
            <w:vAlign w:val="center"/>
          </w:tcPr>
          <w:p w14:paraId="3F9E546F">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top"/>
          </w:tcPr>
          <w:p w14:paraId="4107EA57">
            <w:pPr>
              <w:pStyle w:val="188"/>
              <w:spacing w:line="249"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2115BAD3">
            <w:pPr>
              <w:pStyle w:val="188"/>
              <w:spacing w:line="249"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4381C960">
            <w:pPr>
              <w:pStyle w:val="188"/>
              <w:spacing w:line="250"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46BC65A4">
            <w:pPr>
              <w:pStyle w:val="188"/>
              <w:spacing w:line="250"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7E447981">
            <w:pPr>
              <w:spacing w:before="95" w:line="184" w:lineRule="auto"/>
              <w:ind w:left="0" w:leftChars="0" w:right="0" w:rightChars="0" w:firstLine="0" w:firstLineChars="0"/>
              <w:rPr>
                <w:rFonts w:hint="eastAsia"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实施方案</w:t>
            </w:r>
          </w:p>
        </w:tc>
        <w:tc>
          <w:tcPr>
            <w:tcW w:w="486" w:type="pct"/>
            <w:noWrap w:val="0"/>
            <w:vAlign w:val="top"/>
          </w:tcPr>
          <w:p w14:paraId="743EA1FD">
            <w:pPr>
              <w:pStyle w:val="188"/>
              <w:spacing w:line="244"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6CA9C7E9">
            <w:pPr>
              <w:pStyle w:val="188"/>
              <w:spacing w:line="244"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6158CF29">
            <w:pPr>
              <w:pStyle w:val="188"/>
              <w:spacing w:line="244"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7DBCD2E3">
            <w:pPr>
              <w:pStyle w:val="188"/>
              <w:spacing w:line="245"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639505A6">
            <w:pPr>
              <w:spacing w:before="95" w:line="227" w:lineRule="auto"/>
              <w:ind w:right="0" w:rightChars="0"/>
              <w:rPr>
                <w:rFonts w:hint="default"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7分</w:t>
            </w:r>
          </w:p>
        </w:tc>
        <w:tc>
          <w:tcPr>
            <w:tcW w:w="3274" w:type="pct"/>
            <w:tcBorders>
              <w:top w:val="single" w:color="auto" w:sz="4" w:space="0"/>
            </w:tcBorders>
            <w:noWrap w:val="0"/>
            <w:vAlign w:val="top"/>
          </w:tcPr>
          <w:p w14:paraId="236FCAB7">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根据投标人针对本项目编制详细的实施方案：</w:t>
            </w:r>
          </w:p>
          <w:p w14:paraId="0243207A">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1.项目实施措施及进度计划；2.质量、交付使用期限方案；3.缺陷设备更换方案; 4货物检验标准及方法;5.项目人员组织配备保障;6.退货、换货流程及质量管控措施;7.进度保障措施方案；内容完整能够保证设备及配套设施高质量实施、切实可行的，得7分；每缺少一项内容扣1分，虽有项但内容存在缺陷的每项扣0.5分，扣完为止，未提供不得分。</w:t>
            </w:r>
          </w:p>
          <w:p w14:paraId="05295529">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注：内容存在缺陷是指：①该项内容描述前后不一致、条理不清仅做概述；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不完善或与本项目实际情况不符。</w:t>
            </w:r>
          </w:p>
        </w:tc>
      </w:tr>
      <w:tr w14:paraId="0943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21" w:type="pct"/>
            <w:vMerge w:val="continue"/>
            <w:noWrap w:val="0"/>
            <w:vAlign w:val="center"/>
          </w:tcPr>
          <w:p w14:paraId="0B710B0B">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top"/>
          </w:tcPr>
          <w:p w14:paraId="448FEF76">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026FB92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309AAAD5">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59688345">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0899558B">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681253C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36017D20">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2BD3350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供货方案</w:t>
            </w:r>
          </w:p>
        </w:tc>
        <w:tc>
          <w:tcPr>
            <w:tcW w:w="486" w:type="pct"/>
            <w:noWrap w:val="0"/>
            <w:vAlign w:val="top"/>
          </w:tcPr>
          <w:p w14:paraId="0DAA80F3">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0AE045A5">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13541B3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4B36EA53">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1E087087">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39C84F4E">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6B7CD7B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p w14:paraId="0304B783">
            <w:pPr>
              <w:autoSpaceDE w:val="0"/>
              <w:autoSpaceDN w:val="0"/>
              <w:adjustRightInd w:val="0"/>
              <w:spacing w:line="240" w:lineRule="auto"/>
              <w:ind w:left="0" w:right="0" w:firstLine="0" w:firstLineChars="0"/>
              <w:jc w:val="left"/>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17分</w:t>
            </w:r>
          </w:p>
        </w:tc>
        <w:tc>
          <w:tcPr>
            <w:tcW w:w="3274" w:type="pct"/>
            <w:noWrap w:val="0"/>
            <w:vAlign w:val="top"/>
          </w:tcPr>
          <w:p w14:paraId="62347256">
            <w:pPr>
              <w:autoSpaceDE w:val="0"/>
              <w:autoSpaceDN w:val="0"/>
              <w:adjustRightInd w:val="0"/>
              <w:spacing w:line="240" w:lineRule="auto"/>
              <w:ind w:left="0" w:right="0" w:firstLine="0" w:firstLineChars="0"/>
              <w:jc w:val="left"/>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1、根据投标人针对本项目编制详细的供货方案，①产品来源②供货方式③运输方式④车辆安排⑤设备包装⑥装卸货措施⑦设备仓储⑧防护措施⑨路途人员安全保障措施及安全教育培训⑩运途紧急情况应对措施等进行评定，以上方案内容均提供且完整详细的得15分；每缺少一项内容或内容不详细扣1.5分，虽有项但内容存在缺陷的每项扣1分，扣完为止，未提供不得分。</w:t>
            </w:r>
          </w:p>
          <w:p w14:paraId="7C2CCD2F">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2、</w:t>
            </w:r>
            <w:bookmarkStart w:id="575" w:name="_GoBack"/>
            <w:r>
              <w:rPr>
                <w:rFonts w:hint="eastAsia" w:ascii="仿宋" w:hAnsi="仿宋" w:eastAsia="仿宋" w:cs="仿宋"/>
                <w:bCs/>
                <w:color w:val="000000"/>
                <w:kern w:val="0"/>
                <w:sz w:val="24"/>
                <w:szCs w:val="24"/>
                <w:highlight w:val="none"/>
                <w:lang w:val="en-US" w:eastAsia="zh-CN"/>
              </w:rPr>
              <w:t>在满足本项目供货时间的基础上，每少5天得1分，最多得2分。</w:t>
            </w:r>
            <w:bookmarkEnd w:id="575"/>
          </w:p>
          <w:p w14:paraId="1B5EE73B">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注：内容存在缺陷是指：①该项内容描述前后不一致、条理不清仅做概述；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不完善或与本项目实际情况不符。</w:t>
            </w:r>
          </w:p>
        </w:tc>
      </w:tr>
      <w:tr w14:paraId="70CC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1" w:type="pct"/>
            <w:vMerge w:val="continue"/>
            <w:noWrap w:val="0"/>
            <w:vAlign w:val="center"/>
          </w:tcPr>
          <w:p w14:paraId="1A358810">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center"/>
          </w:tcPr>
          <w:p w14:paraId="4BFD259C">
            <w:pPr>
              <w:autoSpaceDE w:val="0"/>
              <w:autoSpaceDN w:val="0"/>
              <w:adjustRightInd w:val="0"/>
              <w:spacing w:line="240" w:lineRule="auto"/>
              <w:ind w:left="0" w:right="0" w:firstLine="0" w:firstLineChars="0"/>
              <w:jc w:val="center"/>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质保时间</w:t>
            </w:r>
          </w:p>
        </w:tc>
        <w:tc>
          <w:tcPr>
            <w:tcW w:w="486" w:type="pct"/>
            <w:noWrap w:val="0"/>
            <w:vAlign w:val="center"/>
          </w:tcPr>
          <w:p w14:paraId="4D80EFE3">
            <w:pPr>
              <w:autoSpaceDE w:val="0"/>
              <w:autoSpaceDN w:val="0"/>
              <w:adjustRightInd w:val="0"/>
              <w:spacing w:line="240" w:lineRule="auto"/>
              <w:ind w:left="0" w:right="0" w:firstLine="0" w:firstLineChars="0"/>
              <w:jc w:val="left"/>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1分</w:t>
            </w:r>
          </w:p>
        </w:tc>
        <w:tc>
          <w:tcPr>
            <w:tcW w:w="3274" w:type="pct"/>
            <w:noWrap w:val="0"/>
            <w:vAlign w:val="center"/>
          </w:tcPr>
          <w:p w14:paraId="68764634">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所有产品免费质保期:在满足采购文件要求的基础上，每增加1年得0.25分，最多得1分。</w:t>
            </w:r>
          </w:p>
        </w:tc>
      </w:tr>
      <w:tr w14:paraId="3AF7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1" w:type="pct"/>
            <w:noWrap w:val="0"/>
            <w:vAlign w:val="center"/>
          </w:tcPr>
          <w:p w14:paraId="6905B068">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top"/>
          </w:tcPr>
          <w:p w14:paraId="421DD537">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p>
          <w:p w14:paraId="51FC8036">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p>
          <w:p w14:paraId="3C33E940">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p>
          <w:p w14:paraId="01D5DDFC">
            <w:pPr>
              <w:autoSpaceDE w:val="0"/>
              <w:autoSpaceDN w:val="0"/>
              <w:adjustRightInd w:val="0"/>
              <w:spacing w:line="240" w:lineRule="auto"/>
              <w:ind w:left="0" w:leftChars="0" w:right="0" w:firstLine="0" w:firstLineChars="0"/>
              <w:jc w:val="both"/>
              <w:rPr>
                <w:rFonts w:hint="default"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售后服务方案</w:t>
            </w:r>
          </w:p>
        </w:tc>
        <w:tc>
          <w:tcPr>
            <w:tcW w:w="486" w:type="pct"/>
            <w:noWrap w:val="0"/>
            <w:vAlign w:val="top"/>
          </w:tcPr>
          <w:p w14:paraId="15AEF0CB">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p>
          <w:p w14:paraId="0351161F">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p>
          <w:p w14:paraId="10D216DD">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p>
          <w:p w14:paraId="12502104">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6 分</w:t>
            </w:r>
          </w:p>
        </w:tc>
        <w:tc>
          <w:tcPr>
            <w:tcW w:w="3274" w:type="pct"/>
            <w:noWrap w:val="0"/>
            <w:vAlign w:val="top"/>
          </w:tcPr>
          <w:p w14:paraId="33CDEB3C">
            <w:pPr>
              <w:autoSpaceDE w:val="0"/>
              <w:autoSpaceDN w:val="0"/>
              <w:adjustRightInd w:val="0"/>
              <w:spacing w:line="240" w:lineRule="auto"/>
              <w:ind w:left="0" w:leftChars="0" w:right="0" w:firstLine="0" w:firstLineChars="0"/>
              <w:jc w:val="both"/>
              <w:rPr>
                <w:rFonts w:hint="eastAsia" w:ascii="仿宋" w:hAnsi="仿宋" w:eastAsia="仿宋" w:cs="仿宋"/>
                <w:bCs/>
                <w:color w:val="000000"/>
                <w:kern w:val="0"/>
                <w:sz w:val="24"/>
                <w:szCs w:val="24"/>
                <w:highlight w:val="none"/>
                <w:lang w:val="en-US" w:eastAsia="zh-CN"/>
              </w:rPr>
            </w:pPr>
            <w:r>
              <w:rPr>
                <w:rFonts w:hint="eastAsia" w:ascii="仿宋" w:hAnsi="仿宋" w:eastAsia="仿宋" w:cs="仿宋"/>
                <w:bCs/>
                <w:color w:val="000000"/>
                <w:kern w:val="0"/>
                <w:sz w:val="24"/>
                <w:szCs w:val="24"/>
                <w:highlight w:val="none"/>
                <w:lang w:val="en-US" w:eastAsia="zh-CN"/>
              </w:rPr>
              <w:t>根据投标人提供的售后服务方案： ①售后服务机构 （上门现场服务提供售后服务机构合作协议等作为佐证材料）； ②电话热线、E-MAIL、远程技术、现场支持、跟踪回访服务计划； ③质保期内及质保期外的维修服务及其他增值服务措施； 质保体系 （包括但不限于质量管控的标准、方法和程序等）； ④制造商提供的设备保修及售后服务承诺 （含售后服务响应时间）； 进行评定， 以上内容均提供的得 6 分； 每缺少一项内容扣1.5 分，虽有项但内容存在缺陷的每项扣 1 分，扣完为止，未提供不得分。注：内容存在缺陷是指：①该项内容描述前后不一致、条理不清仅做概述；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不完善或与本项目实际情况不符。</w:t>
            </w:r>
          </w:p>
        </w:tc>
      </w:tr>
      <w:tr w14:paraId="0E3E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1" w:type="pct"/>
            <w:noWrap w:val="0"/>
            <w:vAlign w:val="center"/>
          </w:tcPr>
          <w:p w14:paraId="1E5E988F">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top"/>
          </w:tcPr>
          <w:p w14:paraId="45289D86">
            <w:pPr>
              <w:pStyle w:val="188"/>
              <w:spacing w:line="292"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1474112C">
            <w:pPr>
              <w:pStyle w:val="188"/>
              <w:spacing w:line="293"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1B9DFE58">
            <w:pPr>
              <w:pStyle w:val="188"/>
              <w:spacing w:line="293"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68878FB8">
            <w:pPr>
              <w:spacing w:before="94" w:line="184" w:lineRule="auto"/>
              <w:ind w:left="0" w:leftChars="0" w:right="0" w:rightChars="0" w:firstLine="0" w:firstLineChars="0"/>
              <w:rPr>
                <w:rFonts w:hint="default"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应急方案</w:t>
            </w:r>
          </w:p>
        </w:tc>
        <w:tc>
          <w:tcPr>
            <w:tcW w:w="486" w:type="pct"/>
            <w:noWrap w:val="0"/>
            <w:vAlign w:val="top"/>
          </w:tcPr>
          <w:p w14:paraId="3A7498B4">
            <w:pPr>
              <w:pStyle w:val="188"/>
              <w:spacing w:line="279"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689CC350">
            <w:pPr>
              <w:pStyle w:val="188"/>
              <w:spacing w:line="279"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233A7893">
            <w:pPr>
              <w:pStyle w:val="188"/>
              <w:spacing w:line="279"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2559054C">
            <w:pPr>
              <w:spacing w:before="94" w:line="227" w:lineRule="auto"/>
              <w:ind w:left="0" w:leftChars="0" w:right="0" w:rightChars="0" w:firstLine="0" w:firstLineChars="0"/>
              <w:rPr>
                <w:rFonts w:hint="eastAsia"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2 分</w:t>
            </w:r>
          </w:p>
        </w:tc>
        <w:tc>
          <w:tcPr>
            <w:tcW w:w="3274" w:type="pct"/>
            <w:noWrap w:val="0"/>
            <w:vAlign w:val="top"/>
          </w:tcPr>
          <w:p w14:paraId="0D6FEFCB">
            <w:pPr>
              <w:spacing w:before="87" w:line="276" w:lineRule="auto"/>
              <w:ind w:left="0" w:leftChars="0" w:right="0" w:rightChars="0" w:firstLine="0" w:firstLineChars="0"/>
              <w:rPr>
                <w:rFonts w:hint="eastAsia"/>
                <w:lang w:val="en-US" w:eastAsia="zh-CN"/>
              </w:rPr>
            </w:pPr>
            <w:r>
              <w:rPr>
                <w:rFonts w:hint="eastAsia" w:ascii="仿宋" w:hAnsi="仿宋" w:eastAsia="仿宋" w:cs="仿宋"/>
                <w:bCs/>
                <w:color w:val="000000"/>
                <w:kern w:val="0"/>
                <w:sz w:val="24"/>
                <w:szCs w:val="24"/>
                <w:highlight w:val="none"/>
                <w:lang w:val="en-US" w:eastAsia="zh-CN" w:bidi="ar-SA"/>
              </w:rPr>
              <w:t>由投标人根据采购人实际情况提供相适应的方案， 根据方案的合理性、适用性及可操作性进行评分。包括①紧急故障处理预案及故障维修响应时间、②备品备件供应及提供备用替代设备、定期巡检维护方案等， 以上内容均提供的得 2 分， 每缺少一项或</w:t>
            </w:r>
            <w:r>
              <w:rPr>
                <w:rFonts w:hint="eastAsia" w:ascii="仿宋" w:hAnsi="仿宋" w:eastAsia="仿宋" w:cs="仿宋"/>
                <w:bCs/>
                <w:color w:val="000000"/>
                <w:kern w:val="0"/>
                <w:sz w:val="24"/>
                <w:szCs w:val="24"/>
                <w:highlight w:val="none"/>
                <w:lang w:val="en-US" w:eastAsia="zh-CN"/>
              </w:rPr>
              <w:t>内容存在缺陷的每项</w:t>
            </w:r>
            <w:r>
              <w:rPr>
                <w:rFonts w:hint="eastAsia" w:ascii="仿宋" w:hAnsi="仿宋" w:eastAsia="仿宋" w:cs="仿宋"/>
                <w:bCs/>
                <w:color w:val="000000"/>
                <w:kern w:val="0"/>
                <w:sz w:val="24"/>
                <w:szCs w:val="24"/>
                <w:highlight w:val="none"/>
                <w:lang w:val="en-US" w:eastAsia="zh-CN" w:bidi="ar-SA"/>
              </w:rPr>
              <w:t>扣  1 分，扣完为止。</w:t>
            </w:r>
            <w:r>
              <w:rPr>
                <w:rFonts w:hint="eastAsia" w:ascii="仿宋" w:hAnsi="仿宋" w:eastAsia="仿宋" w:cs="仿宋"/>
                <w:bCs/>
                <w:color w:val="000000"/>
                <w:kern w:val="0"/>
                <w:sz w:val="24"/>
                <w:szCs w:val="24"/>
                <w:highlight w:val="none"/>
                <w:lang w:val="en-US" w:eastAsia="zh-CN"/>
              </w:rPr>
              <w:t>注：内容存在缺陷是指：①该项内容描述前后不一致、条理不清仅做概述；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不完善或与本项目实际情况不符。</w:t>
            </w:r>
          </w:p>
        </w:tc>
      </w:tr>
      <w:tr w14:paraId="7728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1" w:type="pct"/>
            <w:noWrap w:val="0"/>
            <w:vAlign w:val="center"/>
          </w:tcPr>
          <w:p w14:paraId="39C9B6C2">
            <w:pPr>
              <w:autoSpaceDE w:val="0"/>
              <w:autoSpaceDN w:val="0"/>
              <w:adjustRightInd w:val="0"/>
              <w:spacing w:line="240" w:lineRule="auto"/>
              <w:ind w:left="0" w:right="0" w:firstLine="0" w:firstLineChars="0"/>
              <w:jc w:val="left"/>
              <w:rPr>
                <w:rFonts w:hint="eastAsia" w:ascii="仿宋" w:hAnsi="仿宋" w:eastAsia="仿宋" w:cs="仿宋"/>
                <w:bCs/>
                <w:color w:val="000000"/>
                <w:kern w:val="0"/>
                <w:sz w:val="24"/>
                <w:szCs w:val="24"/>
                <w:highlight w:val="none"/>
                <w:lang w:val="en-US" w:eastAsia="zh-CN"/>
              </w:rPr>
            </w:pPr>
          </w:p>
        </w:tc>
        <w:tc>
          <w:tcPr>
            <w:tcW w:w="617" w:type="pct"/>
            <w:noWrap w:val="0"/>
            <w:vAlign w:val="top"/>
          </w:tcPr>
          <w:p w14:paraId="3A186F22">
            <w:pPr>
              <w:pStyle w:val="188"/>
              <w:spacing w:line="242"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7A7C0E35">
            <w:pPr>
              <w:pStyle w:val="188"/>
              <w:spacing w:line="243"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519FB011">
            <w:pPr>
              <w:pStyle w:val="188"/>
              <w:spacing w:line="243"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713CA99C">
            <w:pPr>
              <w:spacing w:before="94" w:line="184" w:lineRule="auto"/>
              <w:ind w:left="0" w:leftChars="0" w:right="0" w:rightChars="0" w:firstLine="0" w:firstLineChars="0"/>
              <w:rPr>
                <w:rFonts w:hint="default"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培训方案</w:t>
            </w:r>
          </w:p>
        </w:tc>
        <w:tc>
          <w:tcPr>
            <w:tcW w:w="486" w:type="pct"/>
            <w:noWrap w:val="0"/>
            <w:vAlign w:val="top"/>
          </w:tcPr>
          <w:p w14:paraId="516BF3E9">
            <w:pPr>
              <w:pStyle w:val="188"/>
              <w:spacing w:line="310"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4331DBC2">
            <w:pPr>
              <w:pStyle w:val="188"/>
              <w:spacing w:line="310" w:lineRule="auto"/>
              <w:ind w:left="0" w:right="0" w:firstLine="0" w:firstLineChars="0"/>
              <w:rPr>
                <w:rFonts w:hint="eastAsia" w:ascii="仿宋" w:hAnsi="仿宋" w:eastAsia="仿宋" w:cs="仿宋"/>
                <w:bCs/>
                <w:color w:val="000000"/>
                <w:kern w:val="0"/>
                <w:sz w:val="24"/>
                <w:szCs w:val="24"/>
                <w:highlight w:val="none"/>
                <w:lang w:val="en-US" w:eastAsia="zh-CN" w:bidi="ar-SA"/>
              </w:rPr>
            </w:pPr>
          </w:p>
          <w:p w14:paraId="17523B4C">
            <w:pPr>
              <w:spacing w:before="94" w:line="227" w:lineRule="auto"/>
              <w:ind w:left="0" w:leftChars="0" w:right="0" w:rightChars="0" w:firstLine="0" w:firstLineChars="0"/>
              <w:rPr>
                <w:rFonts w:hint="eastAsia"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3 分</w:t>
            </w:r>
          </w:p>
        </w:tc>
        <w:tc>
          <w:tcPr>
            <w:tcW w:w="3274" w:type="pct"/>
            <w:noWrap w:val="0"/>
            <w:vAlign w:val="top"/>
          </w:tcPr>
          <w:p w14:paraId="3B1AA21D">
            <w:pPr>
              <w:spacing w:before="90" w:line="300" w:lineRule="auto"/>
              <w:ind w:left="0" w:leftChars="0" w:right="0" w:rightChars="0" w:firstLine="0" w:firstLineChars="0"/>
              <w:jc w:val="both"/>
              <w:rPr>
                <w:rFonts w:hint="eastAsia" w:ascii="仿宋" w:hAnsi="仿宋" w:eastAsia="仿宋" w:cs="仿宋"/>
                <w:bCs/>
                <w:color w:val="000000"/>
                <w:kern w:val="0"/>
                <w:sz w:val="24"/>
                <w:szCs w:val="24"/>
                <w:highlight w:val="none"/>
                <w:lang w:val="en-US" w:eastAsia="zh-CN" w:bidi="ar-SA"/>
              </w:rPr>
            </w:pPr>
            <w:r>
              <w:rPr>
                <w:rFonts w:hint="eastAsia" w:ascii="仿宋" w:hAnsi="仿宋" w:eastAsia="仿宋" w:cs="仿宋"/>
                <w:bCs/>
                <w:color w:val="000000"/>
                <w:kern w:val="0"/>
                <w:sz w:val="24"/>
                <w:szCs w:val="24"/>
                <w:highlight w:val="none"/>
                <w:lang w:val="en-US" w:eastAsia="zh-CN" w:bidi="ar-SA"/>
              </w:rPr>
              <w:t>投标人针对本项目提供全面、 内容详尽、具有针对性的人员培训方案 ，内容包括但不限于： ①人员培训服务方案； ②科学性和针对性的培训内容； ③科学的培训效果考评体系； 以上内容每缺一项扣 1 分； 仅做简单概述、 内容有误、阐述不清、条理不清等情况的每处扣 0.5 分， 扣完为止。</w:t>
            </w:r>
            <w:r>
              <w:rPr>
                <w:rFonts w:hint="eastAsia" w:ascii="仿宋" w:hAnsi="仿宋" w:eastAsia="仿宋" w:cs="仿宋"/>
                <w:bCs/>
                <w:color w:val="000000"/>
                <w:kern w:val="0"/>
                <w:sz w:val="24"/>
                <w:szCs w:val="24"/>
                <w:highlight w:val="none"/>
                <w:lang w:val="en-US" w:eastAsia="zh-CN"/>
              </w:rPr>
              <w:t>注：</w:t>
            </w:r>
            <w:r>
              <w:rPr>
                <w:rFonts w:hint="eastAsia" w:ascii="仿宋" w:hAnsi="仿宋" w:eastAsia="仿宋" w:cs="仿宋"/>
                <w:bCs/>
                <w:color w:val="000000"/>
                <w:kern w:val="0"/>
                <w:sz w:val="24"/>
                <w:szCs w:val="24"/>
                <w:highlight w:val="none"/>
                <w:lang w:val="en-US" w:eastAsia="zh-CN" w:bidi="ar-SA"/>
              </w:rPr>
              <w:t>阐述不清、条理不清是指：</w:t>
            </w:r>
            <w:r>
              <w:rPr>
                <w:rFonts w:hint="eastAsia" w:ascii="仿宋" w:hAnsi="仿宋" w:eastAsia="仿宋" w:cs="仿宋"/>
                <w:bCs/>
                <w:color w:val="000000"/>
                <w:kern w:val="0"/>
                <w:sz w:val="24"/>
                <w:szCs w:val="24"/>
                <w:highlight w:val="none"/>
                <w:lang w:val="en-US" w:eastAsia="zh-CN"/>
              </w:rPr>
              <w:t>①该项内容描述前后不一致、条理不清仅做概述；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不完善或与本项目实际情况不符。</w:t>
            </w:r>
          </w:p>
        </w:tc>
      </w:tr>
      <w:tr w14:paraId="4C70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center"/>
          </w:tcPr>
          <w:p w14:paraId="2B704A63">
            <w:pPr>
              <w:autoSpaceDE w:val="0"/>
              <w:autoSpaceDN w:val="0"/>
              <w:adjustRightInd w:val="0"/>
              <w:spacing w:line="240" w:lineRule="auto"/>
              <w:ind w:left="0" w:leftChars="0" w:right="0" w:rightChars="0" w:firstLine="0" w:firstLineChars="0"/>
              <w:jc w:val="both"/>
              <w:rPr>
                <w:rFonts w:hint="eastAsia" w:ascii="仿宋" w:hAnsi="仿宋" w:eastAsia="仿宋" w:cs="仿宋"/>
                <w:b/>
                <w:bCs w:val="0"/>
                <w:color w:val="000000"/>
                <w:kern w:val="0"/>
                <w:sz w:val="24"/>
                <w:szCs w:val="24"/>
                <w:highlight w:val="none"/>
                <w:lang w:val="en-US" w:eastAsia="zh-CN"/>
              </w:rPr>
            </w:pPr>
            <w:r>
              <w:rPr>
                <w:rFonts w:hint="eastAsia" w:ascii="仿宋" w:hAnsi="仿宋" w:eastAsia="仿宋" w:cs="仿宋"/>
                <w:b/>
                <w:bCs w:val="0"/>
                <w:color w:val="000000"/>
                <w:kern w:val="0"/>
                <w:sz w:val="24"/>
                <w:szCs w:val="24"/>
                <w:highlight w:val="none"/>
                <w:lang w:val="en-US" w:eastAsia="zh-CN" w:bidi="ar-SA"/>
              </w:rPr>
              <w:t>注： 评审得分合计 100 分， 评分计算结果保留两位小数， 第三位小数四舍五入。</w:t>
            </w:r>
          </w:p>
        </w:tc>
      </w:tr>
    </w:tbl>
    <w:p w14:paraId="2EF67248">
      <w:pPr>
        <w:spacing w:line="360" w:lineRule="auto"/>
        <w:ind w:left="0" w:leftChars="0" w:firstLine="0" w:firstLineChars="0"/>
        <w:jc w:val="center"/>
        <w:outlineLvl w:val="0"/>
        <w:rPr>
          <w:rFonts w:hint="eastAsia" w:ascii="仿宋" w:hAnsi="仿宋" w:eastAsia="仿宋" w:cs="仿宋"/>
          <w:b/>
          <w:color w:val="auto"/>
          <w:sz w:val="28"/>
          <w:szCs w:val="28"/>
          <w:highlight w:val="none"/>
        </w:rPr>
      </w:pPr>
      <w:bookmarkStart w:id="276" w:name="_Toc99301424"/>
    </w:p>
    <w:p w14:paraId="4C531351">
      <w:pPr>
        <w:spacing w:line="360" w:lineRule="auto"/>
        <w:ind w:left="0" w:leftChars="0" w:firstLine="0" w:firstLineChars="0"/>
        <w:jc w:val="both"/>
        <w:outlineLvl w:val="0"/>
        <w:rPr>
          <w:rFonts w:hint="eastAsia" w:ascii="仿宋" w:hAnsi="仿宋" w:eastAsia="仿宋" w:cs="仿宋"/>
          <w:b/>
          <w:color w:val="auto"/>
          <w:sz w:val="28"/>
          <w:szCs w:val="28"/>
          <w:highlight w:val="none"/>
        </w:rPr>
      </w:pPr>
    </w:p>
    <w:p w14:paraId="4F9B88C0">
      <w:pPr>
        <w:spacing w:line="360" w:lineRule="auto"/>
        <w:ind w:left="0" w:leftChars="0" w:firstLine="0" w:firstLineChars="0"/>
        <w:jc w:val="both"/>
        <w:outlineLvl w:val="0"/>
        <w:rPr>
          <w:rFonts w:hint="eastAsia" w:ascii="仿宋" w:hAnsi="仿宋" w:eastAsia="仿宋" w:cs="仿宋"/>
          <w:b/>
          <w:color w:val="auto"/>
          <w:sz w:val="28"/>
          <w:szCs w:val="28"/>
          <w:highlight w:val="none"/>
        </w:rPr>
      </w:pPr>
    </w:p>
    <w:p w14:paraId="265AB4D6">
      <w:pPr>
        <w:spacing w:line="360" w:lineRule="auto"/>
        <w:ind w:left="0" w:leftChars="0" w:firstLine="0" w:firstLineChars="0"/>
        <w:jc w:val="center"/>
        <w:outlineLvl w:val="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r>
        <w:rPr>
          <w:rFonts w:hint="eastAsia" w:ascii="仿宋" w:hAnsi="仿宋" w:eastAsia="仿宋" w:cs="仿宋"/>
          <w:b/>
          <w:color w:val="auto"/>
          <w:sz w:val="28"/>
          <w:szCs w:val="28"/>
          <w:highlight w:val="none"/>
        </w:rPr>
        <w:t>第五章采购需求</w:t>
      </w:r>
      <w:bookmarkEnd w:id="276"/>
    </w:p>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14:paraId="045429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2" w:firstLineChars="200"/>
        <w:jc w:val="center"/>
        <w:textAlignment w:val="auto"/>
        <w:rPr>
          <w:rFonts w:hint="eastAsia" w:ascii="仿宋" w:hAnsi="仿宋" w:eastAsia="仿宋" w:cs="仿宋"/>
          <w:b/>
          <w:bCs/>
          <w:color w:val="auto"/>
          <w:sz w:val="28"/>
          <w:szCs w:val="36"/>
        </w:rPr>
      </w:pPr>
      <w:bookmarkStart w:id="277" w:name="_Toc2874"/>
      <w:r>
        <w:rPr>
          <w:rFonts w:hint="eastAsia" w:ascii="仿宋" w:hAnsi="仿宋" w:eastAsia="仿宋" w:cs="仿宋"/>
          <w:b/>
          <w:bCs/>
          <w:color w:val="auto"/>
          <w:sz w:val="28"/>
          <w:szCs w:val="36"/>
        </w:rPr>
        <w:t>技术参数</w:t>
      </w:r>
    </w:p>
    <w:p w14:paraId="1AF3D68E">
      <w:pPr>
        <w:pStyle w:val="8"/>
        <w:spacing w:before="118" w:line="221" w:lineRule="auto"/>
        <w:ind w:left="69"/>
        <w:rPr>
          <w:b/>
          <w:bCs/>
          <w:spacing w:val="-4"/>
        </w:rPr>
      </w:pPr>
      <w:r>
        <w:rPr>
          <w:b/>
          <w:bCs/>
          <w:spacing w:val="-4"/>
        </w:rPr>
        <w:t>一、工作原理</w:t>
      </w:r>
    </w:p>
    <w:p w14:paraId="039A590E">
      <w:pPr>
        <w:pStyle w:val="8"/>
        <w:spacing w:before="214" w:line="385" w:lineRule="auto"/>
        <w:ind w:left="69" w:right="582" w:firstLine="380"/>
      </w:pPr>
      <w:r>
        <w:rPr>
          <w:spacing w:val="-1"/>
        </w:rPr>
        <w:t>★1、应用技术：超声波传感器技术来测量患者用力肺活量(</w:t>
      </w:r>
      <w:r>
        <w:rPr>
          <w:spacing w:val="-43"/>
        </w:rPr>
        <w:t xml:space="preserve"> </w:t>
      </w:r>
      <w:r>
        <w:rPr>
          <w:rFonts w:ascii="Times New Roman" w:hAnsi="Times New Roman" w:eastAsia="Times New Roman" w:cs="Times New Roman"/>
          <w:spacing w:val="-1"/>
        </w:rPr>
        <w:t>FVC)</w:t>
      </w:r>
      <w:r>
        <w:rPr>
          <w:rFonts w:hint="eastAsia" w:ascii="Times New Roman" w:hAnsi="Times New Roman" w:eastAsia="宋体" w:cs="Times New Roman"/>
          <w:spacing w:val="-1"/>
          <w:lang w:eastAsia="zh-CN"/>
        </w:rPr>
        <w:t>，</w:t>
      </w:r>
      <w:r>
        <w:rPr>
          <w:spacing w:val="-2"/>
        </w:rPr>
        <w:t>肺活量(</w:t>
      </w:r>
      <w:r>
        <w:rPr>
          <w:spacing w:val="-42"/>
        </w:rPr>
        <w:t xml:space="preserve"> </w:t>
      </w:r>
      <w:r>
        <w:rPr>
          <w:rFonts w:ascii="Times New Roman" w:hAnsi="Times New Roman" w:eastAsia="Times New Roman" w:cs="Times New Roman"/>
          <w:spacing w:val="-2"/>
        </w:rPr>
        <w:t>VC)</w:t>
      </w:r>
      <w:r>
        <w:rPr>
          <w:rFonts w:hint="eastAsia" w:ascii="Times New Roman" w:hAnsi="Times New Roman" w:eastAsia="宋体" w:cs="Times New Roman"/>
          <w:spacing w:val="-2"/>
          <w:lang w:eastAsia="zh-CN"/>
        </w:rPr>
        <w:t>，</w:t>
      </w:r>
      <w:r>
        <w:rPr>
          <w:spacing w:val="-2"/>
        </w:rPr>
        <w:t>最大自主通</w:t>
      </w:r>
      <w:r>
        <w:rPr>
          <w:spacing w:val="1"/>
        </w:rPr>
        <w:t>气量(</w:t>
      </w:r>
      <w:r>
        <w:rPr>
          <w:spacing w:val="-39"/>
        </w:rPr>
        <w:t xml:space="preserve"> </w:t>
      </w:r>
      <w:r>
        <w:rPr>
          <w:rFonts w:ascii="Times New Roman" w:hAnsi="Times New Roman" w:eastAsia="Times New Roman" w:cs="Times New Roman"/>
        </w:rPr>
        <w:t>MVV</w:t>
      </w:r>
      <w:r>
        <w:rPr>
          <w:rFonts w:ascii="Times New Roman" w:hAnsi="Times New Roman" w:eastAsia="Times New Roman" w:cs="Times New Roman"/>
          <w:spacing w:val="1"/>
        </w:rPr>
        <w:t>)</w:t>
      </w:r>
      <w:r>
        <w:rPr>
          <w:rFonts w:hint="eastAsia" w:ascii="Times New Roman" w:hAnsi="Times New Roman" w:eastAsia="宋体" w:cs="Times New Roman"/>
          <w:spacing w:val="1"/>
          <w:lang w:eastAsia="zh-CN"/>
        </w:rPr>
        <w:t>，</w:t>
      </w:r>
      <w:r>
        <w:rPr>
          <w:spacing w:val="1"/>
        </w:rPr>
        <w:t>每分钟通气量(</w:t>
      </w:r>
      <w:r>
        <w:rPr>
          <w:spacing w:val="-42"/>
        </w:rPr>
        <w:t xml:space="preserve"> </w:t>
      </w:r>
      <w:r>
        <w:rPr>
          <w:rFonts w:ascii="Times New Roman" w:hAnsi="Times New Roman" w:eastAsia="Times New Roman" w:cs="Times New Roman"/>
        </w:rPr>
        <w:t>MV</w:t>
      </w:r>
      <w:r>
        <w:rPr>
          <w:rFonts w:ascii="Times New Roman" w:hAnsi="Times New Roman" w:eastAsia="Times New Roman" w:cs="Times New Roman"/>
          <w:spacing w:val="1"/>
        </w:rPr>
        <w:t>)</w:t>
      </w:r>
      <w:r>
        <w:rPr>
          <w:rFonts w:hint="eastAsia" w:ascii="Times New Roman" w:hAnsi="Times New Roman" w:eastAsia="宋体" w:cs="Times New Roman"/>
          <w:spacing w:val="1"/>
          <w:lang w:eastAsia="zh-CN"/>
        </w:rPr>
        <w:t>，</w:t>
      </w:r>
      <w:r>
        <w:rPr>
          <w:spacing w:val="1"/>
        </w:rPr>
        <w:t>舒张试验(</w:t>
      </w:r>
      <w:r>
        <w:rPr>
          <w:spacing w:val="-43"/>
        </w:rPr>
        <w:t xml:space="preserve"> </w:t>
      </w:r>
      <w:r>
        <w:rPr>
          <w:rFonts w:ascii="Times New Roman" w:hAnsi="Times New Roman" w:eastAsia="Times New Roman" w:cs="Times New Roman"/>
        </w:rPr>
        <w:t>BD</w:t>
      </w:r>
      <w:r>
        <w:rPr>
          <w:rFonts w:ascii="Times New Roman" w:hAnsi="Times New Roman" w:eastAsia="Times New Roman" w:cs="Times New Roman"/>
          <w:spacing w:val="1"/>
        </w:rPr>
        <w:t>)</w:t>
      </w:r>
      <w:r>
        <w:rPr>
          <w:rFonts w:ascii="Times New Roman" w:hAnsi="Times New Roman" w:eastAsia="Times New Roman" w:cs="Times New Roman"/>
          <w:spacing w:val="7"/>
        </w:rPr>
        <w:t xml:space="preserve"> </w:t>
      </w:r>
      <w:r>
        <w:rPr>
          <w:spacing w:val="1"/>
        </w:rPr>
        <w:t>的肺功能检查仪。</w:t>
      </w:r>
    </w:p>
    <w:p w14:paraId="0633ADE4">
      <w:pPr>
        <w:pStyle w:val="8"/>
        <w:spacing w:before="36" w:line="219" w:lineRule="auto"/>
        <w:ind w:left="450"/>
      </w:pPr>
      <w:r>
        <w:rPr>
          <w:rFonts w:ascii="Times New Roman" w:hAnsi="Times New Roman" w:eastAsia="Times New Roman" w:cs="Times New Roman"/>
          <w:spacing w:val="-4"/>
        </w:rPr>
        <w:t>2</w:t>
      </w:r>
      <w:r>
        <w:rPr>
          <w:spacing w:val="-4"/>
        </w:rPr>
        <w:t>、测量气体流量采用时差法的基本原理</w:t>
      </w:r>
    </w:p>
    <w:p w14:paraId="0B02069E">
      <w:pPr>
        <w:pStyle w:val="8"/>
        <w:spacing w:before="118" w:line="221" w:lineRule="auto"/>
        <w:ind w:left="69"/>
      </w:pPr>
      <w:r>
        <w:rPr>
          <w:spacing w:val="-4"/>
        </w:rPr>
        <w:t>二、</w:t>
      </w:r>
      <w:r>
        <w:rPr>
          <w:b/>
          <w:bCs/>
          <w:spacing w:val="-4"/>
        </w:rPr>
        <w:t>功能要求</w:t>
      </w:r>
    </w:p>
    <w:p w14:paraId="734F0422">
      <w:pPr>
        <w:pStyle w:val="8"/>
        <w:spacing w:before="113" w:line="402" w:lineRule="auto"/>
        <w:ind w:left="69" w:right="565" w:firstLine="380"/>
      </w:pPr>
      <w:r>
        <w:rPr>
          <w:spacing w:val="-5"/>
        </w:rPr>
        <w:t>▲1、检测模块：肺通气功能检查(</w:t>
      </w:r>
      <w:r>
        <w:rPr>
          <w:spacing w:val="-34"/>
        </w:rPr>
        <w:t xml:space="preserve"> </w:t>
      </w:r>
      <w:r>
        <w:rPr>
          <w:rFonts w:ascii="Times New Roman" w:hAnsi="Times New Roman" w:eastAsia="Times New Roman" w:cs="Times New Roman"/>
          <w:spacing w:val="-5"/>
        </w:rPr>
        <w:t>FVC</w:t>
      </w:r>
      <w:r>
        <w:rPr>
          <w:rFonts w:ascii="Times New Roman" w:hAnsi="Times New Roman" w:eastAsia="Times New Roman" w:cs="Times New Roman"/>
          <w:spacing w:val="-31"/>
        </w:rPr>
        <w:t xml:space="preserve"> </w:t>
      </w:r>
      <w:r>
        <w:rPr>
          <w:spacing w:val="-5"/>
        </w:rPr>
        <w:t>、</w:t>
      </w:r>
      <w:r>
        <w:rPr>
          <w:rFonts w:ascii="Times New Roman" w:hAnsi="Times New Roman" w:eastAsia="Times New Roman" w:cs="Times New Roman"/>
          <w:spacing w:val="-5"/>
        </w:rPr>
        <w:t>VC)</w:t>
      </w:r>
      <w:r>
        <w:rPr>
          <w:rFonts w:ascii="Times New Roman" w:hAnsi="Times New Roman" w:eastAsia="Times New Roman" w:cs="Times New Roman"/>
          <w:spacing w:val="-31"/>
        </w:rPr>
        <w:t xml:space="preserve"> </w:t>
      </w:r>
      <w:r>
        <w:rPr>
          <w:spacing w:val="-5"/>
        </w:rPr>
        <w:t>、</w:t>
      </w:r>
      <w:r>
        <w:rPr>
          <w:spacing w:val="-33"/>
        </w:rPr>
        <w:t xml:space="preserve"> </w:t>
      </w:r>
      <w:r>
        <w:rPr>
          <w:spacing w:val="-5"/>
        </w:rPr>
        <w:t>支气管舒张试验等；实时显示流量容积(</w:t>
      </w:r>
      <w:r>
        <w:rPr>
          <w:spacing w:val="-52"/>
        </w:rPr>
        <w:t xml:space="preserve"> </w:t>
      </w:r>
      <w:r>
        <w:rPr>
          <w:rFonts w:ascii="Times New Roman" w:hAnsi="Times New Roman" w:eastAsia="Times New Roman" w:cs="Times New Roman"/>
          <w:spacing w:val="-5"/>
        </w:rPr>
        <w:t>F-V)</w:t>
      </w:r>
      <w:r>
        <w:rPr>
          <w:rFonts w:ascii="Times New Roman" w:hAnsi="Times New Roman" w:eastAsia="Times New Roman" w:cs="Times New Roman"/>
          <w:spacing w:val="13"/>
        </w:rPr>
        <w:t xml:space="preserve">  </w:t>
      </w:r>
      <w:r>
        <w:rPr>
          <w:spacing w:val="-5"/>
        </w:rPr>
        <w:t>曲</w:t>
      </w:r>
      <w:r>
        <w:rPr>
          <w:spacing w:val="-1"/>
        </w:rPr>
        <w:t>线、时间容积(</w:t>
      </w:r>
      <w:r>
        <w:rPr>
          <w:spacing w:val="-35"/>
        </w:rPr>
        <w:t xml:space="preserve"> </w:t>
      </w:r>
      <w:r>
        <w:rPr>
          <w:rFonts w:ascii="Times New Roman" w:hAnsi="Times New Roman" w:eastAsia="Times New Roman" w:cs="Times New Roman"/>
          <w:spacing w:val="-1"/>
        </w:rPr>
        <w:t>V-T)</w:t>
      </w:r>
      <w:r>
        <w:rPr>
          <w:spacing w:val="-1"/>
        </w:rPr>
        <w:t>曲线、药物舒张(</w:t>
      </w:r>
      <w:r>
        <w:rPr>
          <w:spacing w:val="-42"/>
        </w:rPr>
        <w:t xml:space="preserve"> </w:t>
      </w:r>
      <w:r>
        <w:rPr>
          <w:rFonts w:ascii="Times New Roman" w:hAnsi="Times New Roman" w:eastAsia="Times New Roman" w:cs="Times New Roman"/>
          <w:spacing w:val="-1"/>
        </w:rPr>
        <w:t>BD)</w:t>
      </w:r>
      <w:r>
        <w:rPr>
          <w:spacing w:val="-1"/>
        </w:rPr>
        <w:t>试验等；</w:t>
      </w:r>
    </w:p>
    <w:p w14:paraId="688139FE">
      <w:pPr>
        <w:pStyle w:val="8"/>
        <w:spacing w:before="25" w:line="218" w:lineRule="auto"/>
        <w:ind w:left="450"/>
      </w:pPr>
      <w:r>
        <w:rPr>
          <w:spacing w:val="-7"/>
        </w:rPr>
        <w:t>▲2、具有工作台账模块：检测结果统计及报告导出；</w:t>
      </w:r>
    </w:p>
    <w:p w14:paraId="77E6972A">
      <w:pPr>
        <w:pStyle w:val="8"/>
        <w:spacing w:before="222" w:line="219" w:lineRule="auto"/>
        <w:ind w:left="450"/>
      </w:pPr>
      <w:r>
        <w:rPr>
          <w:spacing w:val="-3"/>
        </w:rPr>
        <w:t>3、具有数据通讯模块：支持对接医院</w:t>
      </w:r>
      <w:r>
        <w:rPr>
          <w:rFonts w:ascii="Times New Roman" w:hAnsi="Times New Roman" w:eastAsia="Times New Roman" w:cs="Times New Roman"/>
          <w:spacing w:val="-3"/>
        </w:rPr>
        <w:t>HIS</w:t>
      </w:r>
      <w:r>
        <w:rPr>
          <w:spacing w:val="-3"/>
        </w:rPr>
        <w:t>系统；支持多中心及分级诊疗工作模式等功能；</w:t>
      </w:r>
    </w:p>
    <w:p w14:paraId="634D0A1D">
      <w:pPr>
        <w:pStyle w:val="8"/>
        <w:spacing w:before="209" w:line="219" w:lineRule="auto"/>
        <w:ind w:left="450"/>
      </w:pPr>
      <w:r>
        <w:rPr>
          <w:spacing w:val="-2"/>
        </w:rPr>
        <w:t>▲4、具备</w:t>
      </w:r>
      <w:r>
        <w:rPr>
          <w:rFonts w:ascii="Times New Roman" w:hAnsi="Times New Roman" w:eastAsia="Times New Roman" w:cs="Times New Roman"/>
          <w:spacing w:val="-2"/>
        </w:rPr>
        <w:t xml:space="preserve">COPD </w:t>
      </w:r>
      <w:r>
        <w:rPr>
          <w:spacing w:val="-2"/>
        </w:rPr>
        <w:t>评级或</w:t>
      </w:r>
      <w:r>
        <w:rPr>
          <w:rFonts w:ascii="Times New Roman" w:hAnsi="Times New Roman" w:eastAsia="Times New Roman" w:cs="Times New Roman"/>
          <w:spacing w:val="-2"/>
        </w:rPr>
        <w:t xml:space="preserve">ATS-ERS </w:t>
      </w:r>
      <w:r>
        <w:rPr>
          <w:spacing w:val="-2"/>
        </w:rPr>
        <w:t>评级、</w:t>
      </w:r>
      <w:r>
        <w:rPr>
          <w:rFonts w:ascii="Times New Roman" w:hAnsi="Times New Roman" w:eastAsia="Times New Roman" w:cs="Times New Roman"/>
          <w:spacing w:val="-2"/>
        </w:rPr>
        <w:t xml:space="preserve">PEF </w:t>
      </w:r>
      <w:r>
        <w:rPr>
          <w:spacing w:val="-2"/>
        </w:rPr>
        <w:t>变异率筛查；</w:t>
      </w:r>
    </w:p>
    <w:p w14:paraId="2DE875A6">
      <w:pPr>
        <w:pStyle w:val="8"/>
        <w:spacing w:before="229" w:line="402" w:lineRule="auto"/>
        <w:ind w:left="69" w:right="391" w:firstLine="380"/>
      </w:pPr>
      <w:r>
        <w:rPr>
          <w:spacing w:val="-7"/>
        </w:rPr>
        <w:t>▲5、具有中国人预计值6、账号管理及设置模块：账号及密码管理，账户基本信息配置，版本升级、</w:t>
      </w:r>
      <w:r>
        <w:rPr>
          <w:spacing w:val="13"/>
        </w:rPr>
        <w:t xml:space="preserve"> </w:t>
      </w:r>
      <w:r>
        <w:rPr>
          <w:spacing w:val="-6"/>
        </w:rPr>
        <w:t>设备管理、预计值选择、数据同步等；</w:t>
      </w:r>
    </w:p>
    <w:p w14:paraId="63A81A8C">
      <w:pPr>
        <w:pStyle w:val="8"/>
        <w:spacing w:before="1" w:line="217" w:lineRule="auto"/>
        <w:ind w:left="450"/>
      </w:pPr>
      <w:r>
        <w:rPr>
          <w:rFonts w:ascii="Times New Roman" w:hAnsi="Times New Roman" w:eastAsia="Times New Roman" w:cs="Times New Roman"/>
          <w:spacing w:val="-3"/>
        </w:rPr>
        <w:t>7</w:t>
      </w:r>
      <w:r>
        <w:rPr>
          <w:spacing w:val="-3"/>
        </w:rPr>
        <w:t>、具有报告生成及打印模块：支持多种报告模板，包括肺量</w:t>
      </w:r>
      <w:r>
        <w:rPr>
          <w:spacing w:val="-4"/>
        </w:rPr>
        <w:t>计检查、支气管舒张试验；</w:t>
      </w:r>
    </w:p>
    <w:p w14:paraId="1F96AF2B">
      <w:pPr>
        <w:pStyle w:val="8"/>
        <w:spacing w:before="220" w:line="218" w:lineRule="auto"/>
        <w:ind w:left="450"/>
      </w:pPr>
      <w:r>
        <w:rPr>
          <w:rFonts w:ascii="Times New Roman" w:hAnsi="Times New Roman" w:eastAsia="Times New Roman" w:cs="Times New Roman"/>
          <w:spacing w:val="-2"/>
        </w:rPr>
        <w:t>8</w:t>
      </w:r>
      <w:r>
        <w:rPr>
          <w:spacing w:val="-2"/>
        </w:rPr>
        <w:t>、具有质控管理模块：容量定标、线性验证，并形成质控报告；自动计</w:t>
      </w:r>
      <w:r>
        <w:rPr>
          <w:spacing w:val="-3"/>
        </w:rPr>
        <w:t>算质控评级；</w:t>
      </w:r>
    </w:p>
    <w:p w14:paraId="7279B9BE">
      <w:pPr>
        <w:pStyle w:val="8"/>
        <w:spacing w:before="213" w:line="219" w:lineRule="auto"/>
        <w:ind w:left="450"/>
      </w:pPr>
      <w:r>
        <w:rPr>
          <w:rFonts w:ascii="Times New Roman" w:hAnsi="Times New Roman" w:eastAsia="Times New Roman" w:cs="Times New Roman"/>
          <w:spacing w:val="-5"/>
        </w:rPr>
        <w:t>9</w:t>
      </w:r>
      <w:r>
        <w:rPr>
          <w:spacing w:val="-5"/>
        </w:rPr>
        <w:t>、具有随访问卷模块；</w:t>
      </w:r>
    </w:p>
    <w:p w14:paraId="5259944D">
      <w:pPr>
        <w:pStyle w:val="8"/>
        <w:spacing w:before="219" w:line="315" w:lineRule="auto"/>
        <w:ind w:left="49" w:right="384" w:firstLine="400"/>
      </w:pPr>
      <w:r>
        <w:rPr>
          <w:rFonts w:ascii="Times New Roman" w:hAnsi="Times New Roman" w:eastAsia="Times New Roman" w:cs="Times New Roman"/>
          <w:spacing w:val="-2"/>
        </w:rPr>
        <w:t>10</w:t>
      </w:r>
      <w:r>
        <w:rPr>
          <w:spacing w:val="-2"/>
        </w:rPr>
        <w:t>、具有肺功能检查对象信息收集及管理模块：可录入检查对象基本信息、症状、危险因素、呼吸</w:t>
      </w:r>
      <w:r>
        <w:rPr>
          <w:spacing w:val="-1"/>
        </w:rPr>
        <w:t>系统疾病史、身体测量结果、禁忌症、及定期的慢阻肺高危人</w:t>
      </w:r>
      <w:r>
        <w:rPr>
          <w:spacing w:val="-2"/>
        </w:rPr>
        <w:t>群及患者的随访管理等信息；</w:t>
      </w:r>
    </w:p>
    <w:p w14:paraId="3F85DF44">
      <w:pPr>
        <w:pStyle w:val="8"/>
        <w:spacing w:before="199" w:line="219" w:lineRule="auto"/>
        <w:ind w:left="450"/>
      </w:pPr>
      <w:r>
        <w:rPr>
          <w:rFonts w:ascii="Times New Roman" w:hAnsi="Times New Roman" w:eastAsia="Times New Roman" w:cs="Times New Roman"/>
          <w:spacing w:val="-5"/>
        </w:rPr>
        <w:t>11</w:t>
      </w:r>
      <w:r>
        <w:rPr>
          <w:spacing w:val="-5"/>
        </w:rPr>
        <w:t>、支持无线数据互联功能；</w:t>
      </w:r>
    </w:p>
    <w:p w14:paraId="00511C53">
      <w:pPr>
        <w:pStyle w:val="8"/>
        <w:spacing w:before="228" w:line="219" w:lineRule="auto"/>
        <w:ind w:left="450"/>
      </w:pPr>
      <w:r>
        <w:rPr>
          <w:spacing w:val="-2"/>
        </w:rPr>
        <w:t>12、支持单台仪器离线工作或与</w:t>
      </w:r>
      <w:r>
        <w:rPr>
          <w:rFonts w:ascii="Times New Roman" w:hAnsi="Times New Roman" w:eastAsia="Times New Roman" w:cs="Times New Roman"/>
          <w:spacing w:val="-2"/>
        </w:rPr>
        <w:t>PC</w:t>
      </w:r>
      <w:r>
        <w:rPr>
          <w:spacing w:val="-2"/>
        </w:rPr>
        <w:t>端联机工作模式；</w:t>
      </w:r>
    </w:p>
    <w:p w14:paraId="15F8A50D">
      <w:pPr>
        <w:pStyle w:val="8"/>
        <w:spacing w:before="228" w:line="405" w:lineRule="auto"/>
        <w:ind w:right="369" w:firstLine="450"/>
        <w:rPr>
          <w:rFonts w:ascii="Arial"/>
          <w:sz w:val="21"/>
        </w:rPr>
      </w:pPr>
      <w:r>
        <w:rPr>
          <w:spacing w:val="-1"/>
        </w:rPr>
        <w:t>▲13、支持预约功能，可提前将患者信息输入主机，且主机可</w:t>
      </w:r>
      <w:r>
        <w:rPr>
          <w:spacing w:val="-2"/>
        </w:rPr>
        <w:t>脱离电脑工作，通过扫码方式获取主</w:t>
      </w:r>
      <w:r>
        <w:t xml:space="preserve"> </w:t>
      </w:r>
      <w:r>
        <w:rPr>
          <w:spacing w:val="-7"/>
        </w:rPr>
        <w:t>机内的患者信息</w:t>
      </w:r>
      <w:r>
        <w:rPr>
          <w:rFonts w:hint="eastAsia"/>
          <w:spacing w:val="-7"/>
          <w:lang w:eastAsia="zh-CN"/>
        </w:rPr>
        <w:t>；</w:t>
      </w:r>
    </w:p>
    <w:p w14:paraId="2987591B">
      <w:pPr>
        <w:pStyle w:val="8"/>
        <w:spacing w:before="72" w:line="219" w:lineRule="auto"/>
        <w:ind w:left="410"/>
      </w:pPr>
      <w:r>
        <w:rPr>
          <w:rFonts w:ascii="Times New Roman" w:hAnsi="Times New Roman" w:eastAsia="Times New Roman" w:cs="Times New Roman"/>
          <w:spacing w:val="-1"/>
        </w:rPr>
        <w:t>14</w:t>
      </w:r>
      <w:r>
        <w:rPr>
          <w:rFonts w:ascii="Times New Roman" w:hAnsi="Times New Roman" w:eastAsia="Times New Roman" w:cs="Times New Roman"/>
          <w:spacing w:val="-30"/>
        </w:rPr>
        <w:t xml:space="preserve"> </w:t>
      </w:r>
      <w:r>
        <w:rPr>
          <w:spacing w:val="-1"/>
        </w:rPr>
        <w:t>、定标桶≥3升，仪器支持容量定标、三流速线性验证；</w:t>
      </w:r>
    </w:p>
    <w:p w14:paraId="0C89A802">
      <w:pPr>
        <w:pStyle w:val="8"/>
        <w:spacing w:before="229" w:line="219" w:lineRule="auto"/>
        <w:ind w:left="450"/>
      </w:pPr>
      <w:r>
        <w:rPr>
          <w:spacing w:val="-2"/>
        </w:rPr>
        <w:t>▲15、多种患者信息输入模式：包括读卡身份证、</w:t>
      </w:r>
      <w:r>
        <w:rPr>
          <w:spacing w:val="-3"/>
        </w:rPr>
        <w:t>扫码枪等模式；</w:t>
      </w:r>
    </w:p>
    <w:p w14:paraId="15E881DA">
      <w:pPr>
        <w:pStyle w:val="8"/>
        <w:spacing w:before="209" w:line="219" w:lineRule="auto"/>
        <w:ind w:left="450"/>
      </w:pPr>
      <w:r>
        <w:rPr>
          <w:spacing w:val="5"/>
        </w:rPr>
        <w:t>16、具备自动测量环境参数(温度、湿度、大气压)</w:t>
      </w:r>
      <w:r>
        <w:rPr>
          <w:spacing w:val="4"/>
        </w:rPr>
        <w:t>并进行</w:t>
      </w:r>
      <w:r>
        <w:rPr>
          <w:spacing w:val="-61"/>
        </w:rPr>
        <w:t xml:space="preserve"> </w:t>
      </w:r>
      <w:r>
        <w:rPr>
          <w:rFonts w:ascii="Times New Roman" w:hAnsi="Times New Roman" w:eastAsia="Times New Roman" w:cs="Times New Roman"/>
        </w:rPr>
        <w:t>BTPS</w:t>
      </w:r>
      <w:r>
        <w:rPr>
          <w:spacing w:val="4"/>
        </w:rPr>
        <w:t>自动修正功能。</w:t>
      </w:r>
    </w:p>
    <w:p w14:paraId="38E6FBE8">
      <w:pPr>
        <w:pStyle w:val="8"/>
        <w:spacing w:before="238" w:line="219" w:lineRule="auto"/>
        <w:ind w:left="410"/>
      </w:pPr>
      <w:r>
        <w:t>▲17、可拓展升级接口，外接气体分析模块，如</w:t>
      </w:r>
      <w:r>
        <w:rPr>
          <w:rFonts w:ascii="Times New Roman" w:hAnsi="Times New Roman" w:eastAsia="Times New Roman" w:cs="Times New Roman"/>
        </w:rPr>
        <w:t>FENO</w:t>
      </w:r>
      <w:r>
        <w:t>呼出气一氧化氮浓度气道炎症分析。</w:t>
      </w:r>
    </w:p>
    <w:p w14:paraId="3469BD45">
      <w:pPr>
        <w:pStyle w:val="8"/>
        <w:spacing w:before="210" w:line="219" w:lineRule="auto"/>
        <w:ind w:left="450"/>
      </w:pPr>
      <w:r>
        <w:rPr>
          <w:spacing w:val="-8"/>
        </w:rPr>
        <w:t>▲18、显示屏≥10英寸；</w:t>
      </w:r>
    </w:p>
    <w:p w14:paraId="6B8966FA">
      <w:pPr>
        <w:pStyle w:val="8"/>
        <w:spacing w:before="218" w:line="219" w:lineRule="auto"/>
        <w:ind w:left="410"/>
      </w:pPr>
      <w:r>
        <w:t>19、数据接口：采用蓝牙2.0协议和</w:t>
      </w:r>
      <w:r>
        <w:rPr>
          <w:spacing w:val="-36"/>
        </w:rPr>
        <w:t xml:space="preserve"> </w:t>
      </w:r>
      <w:r>
        <w:rPr>
          <w:rFonts w:ascii="Times New Roman" w:hAnsi="Times New Roman" w:eastAsia="Times New Roman" w:cs="Times New Roman"/>
        </w:rPr>
        <w:t xml:space="preserve">USB2.0 </w:t>
      </w:r>
      <w:r>
        <w:t>协议；</w:t>
      </w:r>
    </w:p>
    <w:p w14:paraId="678F111C">
      <w:pPr>
        <w:pStyle w:val="8"/>
        <w:spacing w:before="43" w:line="219" w:lineRule="auto"/>
        <w:ind w:left="530"/>
        <w:rPr>
          <w:b/>
          <w:bCs/>
        </w:rPr>
      </w:pPr>
      <w:r>
        <w:rPr>
          <w:b/>
          <w:bCs/>
          <w:spacing w:val="-10"/>
        </w:rPr>
        <w:t>三、量程和精度：</w:t>
      </w:r>
    </w:p>
    <w:p w14:paraId="48BF395B">
      <w:pPr>
        <w:pStyle w:val="8"/>
        <w:spacing w:before="216" w:line="212" w:lineRule="auto"/>
        <w:ind w:left="870"/>
        <w:rPr>
          <w:sz w:val="24"/>
          <w:szCs w:val="24"/>
        </w:rPr>
      </w:pPr>
      <w:r>
        <w:rPr>
          <w:spacing w:val="-6"/>
          <w:sz w:val="24"/>
          <w:szCs w:val="24"/>
        </w:rPr>
        <w:t>1、</w:t>
      </w:r>
      <w:r>
        <w:rPr>
          <w:rFonts w:ascii="Times New Roman" w:hAnsi="Times New Roman" w:eastAsia="Times New Roman" w:cs="Times New Roman"/>
          <w:spacing w:val="-6"/>
          <w:sz w:val="24"/>
          <w:szCs w:val="24"/>
        </w:rPr>
        <w:t xml:space="preserve">FVC      </w:t>
      </w:r>
      <w:r>
        <w:rPr>
          <w:spacing w:val="-6"/>
          <w:sz w:val="24"/>
          <w:szCs w:val="24"/>
        </w:rPr>
        <w:t>量程：0.5～8</w:t>
      </w:r>
      <w:r>
        <w:rPr>
          <w:rFonts w:ascii="Times New Roman" w:hAnsi="Times New Roman" w:eastAsia="Times New Roman" w:cs="Times New Roman"/>
          <w:spacing w:val="-6"/>
          <w:sz w:val="24"/>
          <w:szCs w:val="24"/>
        </w:rPr>
        <w:t>L</w:t>
      </w:r>
      <w:r>
        <w:rPr>
          <w:rFonts w:hint="eastAsia" w:ascii="Times New Roman" w:hAnsi="Times New Roman" w:eastAsia="宋体" w:cs="Times New Roman"/>
          <w:spacing w:val="-6"/>
          <w:sz w:val="24"/>
          <w:szCs w:val="24"/>
          <w:lang w:eastAsia="zh-CN"/>
        </w:rPr>
        <w:t>；</w:t>
      </w:r>
      <w:r>
        <w:rPr>
          <w:rFonts w:ascii="Times New Roman" w:hAnsi="Times New Roman" w:eastAsia="Times New Roman" w:cs="Times New Roman"/>
          <w:spacing w:val="-6"/>
          <w:sz w:val="24"/>
          <w:szCs w:val="24"/>
        </w:rPr>
        <w:t xml:space="preserve">  </w:t>
      </w:r>
      <w:r>
        <w:rPr>
          <w:spacing w:val="-6"/>
          <w:sz w:val="24"/>
          <w:szCs w:val="24"/>
        </w:rPr>
        <w:t>精确度：±3%。</w:t>
      </w:r>
    </w:p>
    <w:p w14:paraId="0F9106DD">
      <w:pPr>
        <w:pStyle w:val="8"/>
        <w:spacing w:before="237" w:line="212" w:lineRule="auto"/>
        <w:ind w:left="870"/>
        <w:rPr>
          <w:sz w:val="24"/>
          <w:szCs w:val="24"/>
        </w:rPr>
      </w:pPr>
      <w:r>
        <w:rPr>
          <w:sz w:val="24"/>
          <w:szCs w:val="24"/>
        </w:rPr>
        <w:t>2、</w:t>
      </w:r>
      <w:r>
        <w:rPr>
          <w:rFonts w:ascii="Times New Roman" w:hAnsi="Times New Roman" w:eastAsia="Times New Roman" w:cs="Times New Roman"/>
          <w:sz w:val="24"/>
          <w:szCs w:val="24"/>
        </w:rPr>
        <w:t xml:space="preserve">PEF      </w:t>
      </w:r>
      <w:r>
        <w:rPr>
          <w:sz w:val="24"/>
          <w:szCs w:val="24"/>
        </w:rPr>
        <w:t>量程：0～14</w:t>
      </w:r>
      <w:r>
        <w:rPr>
          <w:rFonts w:ascii="Times New Roman" w:hAnsi="Times New Roman" w:eastAsia="Times New Roman" w:cs="Times New Roman"/>
          <w:sz w:val="24"/>
          <w:szCs w:val="24"/>
        </w:rPr>
        <w:t>L/s</w:t>
      </w:r>
      <w:r>
        <w:rPr>
          <w:rFonts w:hint="eastAsia" w:ascii="Times New Roman" w:hAnsi="Times New Roman" w:eastAsia="宋体" w:cs="Times New Roman"/>
          <w:sz w:val="24"/>
          <w:szCs w:val="24"/>
          <w:lang w:eastAsia="zh-CN"/>
        </w:rPr>
        <w:t>；</w:t>
      </w:r>
      <w:r>
        <w:rPr>
          <w:rFonts w:ascii="Times New Roman" w:hAnsi="Times New Roman" w:eastAsia="Times New Roman" w:cs="Times New Roman"/>
          <w:sz w:val="24"/>
          <w:szCs w:val="24"/>
        </w:rPr>
        <w:t xml:space="preserve">  </w:t>
      </w:r>
      <w:r>
        <w:rPr>
          <w:sz w:val="24"/>
          <w:szCs w:val="24"/>
        </w:rPr>
        <w:t>精确度：±10%</w:t>
      </w:r>
      <w:r>
        <w:rPr>
          <w:rFonts w:hint="eastAsia"/>
          <w:sz w:val="24"/>
          <w:szCs w:val="24"/>
          <w:lang w:eastAsia="zh-CN"/>
        </w:rPr>
        <w:t>；</w:t>
      </w:r>
      <w:r>
        <w:rPr>
          <w:sz w:val="24"/>
          <w:szCs w:val="24"/>
        </w:rPr>
        <w:t>测试重复性： ±5%,。</w:t>
      </w:r>
    </w:p>
    <w:p w14:paraId="47EFE262">
      <w:pPr>
        <w:pStyle w:val="8"/>
        <w:spacing w:before="218" w:line="212" w:lineRule="auto"/>
        <w:ind w:left="870"/>
        <w:rPr>
          <w:sz w:val="24"/>
          <w:szCs w:val="24"/>
        </w:rPr>
      </w:pPr>
      <w:r>
        <w:rPr>
          <w:spacing w:val="-8"/>
          <w:sz w:val="24"/>
          <w:szCs w:val="24"/>
        </w:rPr>
        <w:t>3、</w:t>
      </w:r>
      <w:r>
        <w:rPr>
          <w:rFonts w:ascii="Times New Roman" w:hAnsi="Times New Roman" w:eastAsia="Times New Roman" w:cs="Times New Roman"/>
          <w:spacing w:val="-8"/>
          <w:sz w:val="24"/>
          <w:szCs w:val="24"/>
        </w:rPr>
        <w:t>VC</w:t>
      </w:r>
      <w:r>
        <w:rPr>
          <w:rFonts w:ascii="Times New Roman" w:hAnsi="Times New Roman" w:eastAsia="Times New Roman" w:cs="Times New Roman"/>
          <w:spacing w:val="9"/>
          <w:sz w:val="24"/>
          <w:szCs w:val="24"/>
        </w:rPr>
        <w:t xml:space="preserve">     </w:t>
      </w:r>
      <w:r>
        <w:rPr>
          <w:spacing w:val="-8"/>
          <w:sz w:val="24"/>
          <w:szCs w:val="24"/>
        </w:rPr>
        <w:t>量程：0.5～8</w:t>
      </w:r>
      <w:r>
        <w:rPr>
          <w:rFonts w:ascii="Times New Roman" w:hAnsi="Times New Roman" w:eastAsia="Times New Roman" w:cs="Times New Roman"/>
          <w:spacing w:val="-8"/>
          <w:sz w:val="24"/>
          <w:szCs w:val="24"/>
        </w:rPr>
        <w:t>L</w:t>
      </w:r>
      <w:r>
        <w:rPr>
          <w:rFonts w:hint="eastAsia" w:ascii="Times New Roman" w:hAnsi="Times New Roman" w:eastAsia="宋体" w:cs="Times New Roman"/>
          <w:spacing w:val="-8"/>
          <w:sz w:val="24"/>
          <w:szCs w:val="24"/>
          <w:lang w:eastAsia="zh-CN"/>
        </w:rPr>
        <w:t>；</w:t>
      </w:r>
      <w:r>
        <w:rPr>
          <w:rFonts w:ascii="Times New Roman" w:hAnsi="Times New Roman" w:eastAsia="Times New Roman" w:cs="Times New Roman"/>
          <w:spacing w:val="-8"/>
          <w:sz w:val="24"/>
          <w:szCs w:val="24"/>
        </w:rPr>
        <w:t xml:space="preserve">  </w:t>
      </w:r>
      <w:r>
        <w:rPr>
          <w:spacing w:val="-8"/>
          <w:sz w:val="24"/>
          <w:szCs w:val="24"/>
        </w:rPr>
        <w:t>精确度：±3%。</w:t>
      </w:r>
    </w:p>
    <w:p w14:paraId="3E16327F">
      <w:pPr>
        <w:pStyle w:val="8"/>
        <w:spacing w:before="230" w:line="219" w:lineRule="auto"/>
        <w:ind w:left="870"/>
        <w:rPr>
          <w:sz w:val="24"/>
          <w:szCs w:val="24"/>
        </w:rPr>
      </w:pPr>
      <w:r>
        <w:rPr>
          <w:rFonts w:ascii="Times New Roman" w:hAnsi="Times New Roman" w:eastAsia="Times New Roman" w:cs="Times New Roman"/>
          <w:spacing w:val="-9"/>
          <w:sz w:val="24"/>
          <w:szCs w:val="24"/>
        </w:rPr>
        <w:t>4</w:t>
      </w:r>
      <w:r>
        <w:rPr>
          <w:spacing w:val="-9"/>
          <w:sz w:val="24"/>
          <w:szCs w:val="24"/>
        </w:rPr>
        <w:t>、</w:t>
      </w:r>
      <w:r>
        <w:rPr>
          <w:rFonts w:ascii="Times New Roman" w:hAnsi="Times New Roman" w:eastAsia="Times New Roman" w:cs="Times New Roman"/>
          <w:spacing w:val="-9"/>
          <w:sz w:val="24"/>
          <w:szCs w:val="24"/>
        </w:rPr>
        <w:t xml:space="preserve">MVV      </w:t>
      </w:r>
      <w:r>
        <w:rPr>
          <w:spacing w:val="-9"/>
          <w:sz w:val="24"/>
          <w:szCs w:val="24"/>
        </w:rPr>
        <w:t xml:space="preserve">量程：0-250 </w:t>
      </w:r>
      <w:r>
        <w:rPr>
          <w:rFonts w:ascii="Times New Roman" w:hAnsi="Times New Roman" w:eastAsia="Times New Roman" w:cs="Times New Roman"/>
          <w:spacing w:val="-9"/>
          <w:sz w:val="24"/>
          <w:szCs w:val="24"/>
        </w:rPr>
        <w:t xml:space="preserve">L/min </w:t>
      </w:r>
      <w:r>
        <w:rPr>
          <w:rFonts w:hint="eastAsia" w:ascii="Times New Roman" w:hAnsi="Times New Roman" w:eastAsia="宋体" w:cs="Times New Roman"/>
          <w:spacing w:val="-9"/>
          <w:sz w:val="24"/>
          <w:szCs w:val="24"/>
          <w:lang w:eastAsia="zh-CN"/>
        </w:rPr>
        <w:t>；</w:t>
      </w:r>
      <w:r>
        <w:rPr>
          <w:spacing w:val="24"/>
          <w:sz w:val="24"/>
          <w:szCs w:val="24"/>
        </w:rPr>
        <w:t xml:space="preserve"> </w:t>
      </w:r>
      <w:r>
        <w:rPr>
          <w:spacing w:val="-9"/>
          <w:sz w:val="24"/>
          <w:szCs w:val="24"/>
        </w:rPr>
        <w:t>精确</w:t>
      </w:r>
      <w:r>
        <w:rPr>
          <w:spacing w:val="-10"/>
          <w:sz w:val="24"/>
          <w:szCs w:val="24"/>
        </w:rPr>
        <w:t>度：±10%。</w:t>
      </w:r>
    </w:p>
    <w:p w14:paraId="637EF0BB">
      <w:pPr>
        <w:pStyle w:val="8"/>
        <w:spacing w:before="188" w:line="219" w:lineRule="auto"/>
        <w:ind w:left="543"/>
        <w:outlineLvl w:val="3"/>
        <w:rPr>
          <w:sz w:val="24"/>
          <w:szCs w:val="24"/>
        </w:rPr>
      </w:pPr>
      <w:r>
        <w:rPr>
          <w:b/>
          <w:bCs/>
          <w:spacing w:val="-18"/>
          <w:sz w:val="24"/>
          <w:szCs w:val="24"/>
        </w:rPr>
        <w:t>四、测试参数：</w:t>
      </w:r>
    </w:p>
    <w:p w14:paraId="0CFCAEB4">
      <w:pPr>
        <w:pStyle w:val="8"/>
        <w:spacing w:before="216" w:line="219" w:lineRule="auto"/>
        <w:ind w:left="870"/>
        <w:rPr>
          <w:sz w:val="24"/>
          <w:szCs w:val="24"/>
        </w:rPr>
      </w:pPr>
      <w:r>
        <w:rPr>
          <w:spacing w:val="-8"/>
          <w:sz w:val="24"/>
          <w:szCs w:val="24"/>
        </w:rPr>
        <w:t>1、</w:t>
      </w:r>
      <w:r>
        <w:rPr>
          <w:rFonts w:ascii="Times New Roman" w:hAnsi="Times New Roman" w:eastAsia="Times New Roman" w:cs="Times New Roman"/>
          <w:spacing w:val="-8"/>
          <w:sz w:val="24"/>
          <w:szCs w:val="24"/>
        </w:rPr>
        <w:t xml:space="preserve">FVC  </w:t>
      </w:r>
      <w:r>
        <w:rPr>
          <w:spacing w:val="-8"/>
          <w:sz w:val="24"/>
          <w:szCs w:val="24"/>
        </w:rPr>
        <w:t>用力呼气量；</w:t>
      </w:r>
    </w:p>
    <w:p w14:paraId="1E1A3083">
      <w:pPr>
        <w:pStyle w:val="8"/>
        <w:spacing w:before="209" w:line="219" w:lineRule="auto"/>
        <w:ind w:left="870"/>
        <w:rPr>
          <w:sz w:val="24"/>
          <w:szCs w:val="24"/>
        </w:rPr>
      </w:pPr>
      <w:r>
        <w:rPr>
          <w:spacing w:val="11"/>
          <w:sz w:val="24"/>
          <w:szCs w:val="24"/>
        </w:rPr>
        <w:t>2、</w:t>
      </w:r>
      <w:r>
        <w:rPr>
          <w:rFonts w:ascii="Times New Roman" w:hAnsi="Times New Roman" w:eastAsia="Times New Roman" w:cs="Times New Roman"/>
          <w:sz w:val="24"/>
          <w:szCs w:val="24"/>
        </w:rPr>
        <w:t>FEV</w:t>
      </w:r>
      <w:r>
        <w:rPr>
          <w:rFonts w:ascii="Times New Roman" w:hAnsi="Times New Roman" w:eastAsia="Times New Roman" w:cs="Times New Roman"/>
          <w:spacing w:val="11"/>
          <w:sz w:val="24"/>
          <w:szCs w:val="24"/>
        </w:rPr>
        <w:t xml:space="preserve">1  </w:t>
      </w:r>
      <w:r>
        <w:rPr>
          <w:spacing w:val="11"/>
          <w:sz w:val="24"/>
          <w:szCs w:val="24"/>
        </w:rPr>
        <w:t>第1秒用力呼气量；</w:t>
      </w:r>
    </w:p>
    <w:p w14:paraId="6D12DA66">
      <w:pPr>
        <w:pStyle w:val="8"/>
        <w:spacing w:before="209" w:line="219" w:lineRule="auto"/>
        <w:ind w:left="870"/>
        <w:rPr>
          <w:sz w:val="24"/>
          <w:szCs w:val="24"/>
        </w:rPr>
      </w:pPr>
      <w:r>
        <w:rPr>
          <w:spacing w:val="-5"/>
          <w:sz w:val="24"/>
          <w:szCs w:val="24"/>
        </w:rPr>
        <w:t>3、</w:t>
      </w:r>
      <w:r>
        <w:rPr>
          <w:rFonts w:ascii="Times New Roman" w:hAnsi="Times New Roman" w:eastAsia="Times New Roman" w:cs="Times New Roman"/>
          <w:spacing w:val="-5"/>
          <w:sz w:val="24"/>
          <w:szCs w:val="24"/>
        </w:rPr>
        <w:t>FEV1%FVC  1</w:t>
      </w:r>
      <w:r>
        <w:rPr>
          <w:spacing w:val="-5"/>
          <w:sz w:val="24"/>
          <w:szCs w:val="24"/>
        </w:rPr>
        <w:t>秒</w:t>
      </w:r>
      <w:r>
        <w:rPr>
          <w:spacing w:val="-16"/>
          <w:sz w:val="24"/>
          <w:szCs w:val="24"/>
        </w:rPr>
        <w:t xml:space="preserve"> </w:t>
      </w:r>
      <w:r>
        <w:rPr>
          <w:spacing w:val="-5"/>
          <w:sz w:val="24"/>
          <w:szCs w:val="24"/>
        </w:rPr>
        <w:t>率</w:t>
      </w:r>
      <w:r>
        <w:rPr>
          <w:spacing w:val="-41"/>
          <w:sz w:val="24"/>
          <w:szCs w:val="24"/>
        </w:rPr>
        <w:t xml:space="preserve"> </w:t>
      </w:r>
      <w:r>
        <w:rPr>
          <w:spacing w:val="-5"/>
          <w:sz w:val="24"/>
          <w:szCs w:val="24"/>
        </w:rPr>
        <w:t>；</w:t>
      </w:r>
    </w:p>
    <w:p w14:paraId="599F85A7">
      <w:pPr>
        <w:pStyle w:val="8"/>
        <w:spacing w:before="248" w:line="219" w:lineRule="auto"/>
        <w:ind w:left="870"/>
        <w:rPr>
          <w:sz w:val="24"/>
          <w:szCs w:val="24"/>
        </w:rPr>
      </w:pPr>
      <w:r>
        <w:rPr>
          <w:spacing w:val="12"/>
          <w:sz w:val="24"/>
          <w:szCs w:val="24"/>
        </w:rPr>
        <w:t>4、</w:t>
      </w:r>
      <w:r>
        <w:rPr>
          <w:rFonts w:ascii="Times New Roman" w:hAnsi="Times New Roman" w:eastAsia="Times New Roman" w:cs="Times New Roman"/>
          <w:sz w:val="24"/>
          <w:szCs w:val="24"/>
        </w:rPr>
        <w:t>PEF</w:t>
      </w:r>
      <w:r>
        <w:rPr>
          <w:rFonts w:ascii="Times New Roman" w:hAnsi="Times New Roman" w:eastAsia="Times New Roman" w:cs="Times New Roman"/>
          <w:spacing w:val="26"/>
          <w:sz w:val="24"/>
          <w:szCs w:val="24"/>
        </w:rPr>
        <w:t xml:space="preserve">  </w:t>
      </w:r>
      <w:r>
        <w:rPr>
          <w:spacing w:val="12"/>
          <w:sz w:val="24"/>
          <w:szCs w:val="24"/>
        </w:rPr>
        <w:t>最大呼气峰值流量；</w:t>
      </w:r>
    </w:p>
    <w:p w14:paraId="616C9EA2">
      <w:pPr>
        <w:pStyle w:val="8"/>
        <w:spacing w:before="223" w:line="219" w:lineRule="auto"/>
        <w:ind w:left="870"/>
        <w:rPr>
          <w:sz w:val="24"/>
          <w:szCs w:val="24"/>
        </w:rPr>
      </w:pPr>
      <w:r>
        <w:rPr>
          <w:spacing w:val="5"/>
          <w:sz w:val="24"/>
          <w:szCs w:val="24"/>
        </w:rPr>
        <w:t>5、</w:t>
      </w:r>
      <w:r>
        <w:rPr>
          <w:rFonts w:ascii="Times New Roman" w:hAnsi="Times New Roman" w:eastAsia="Times New Roman" w:cs="Times New Roman"/>
          <w:sz w:val="24"/>
          <w:szCs w:val="24"/>
        </w:rPr>
        <w:t>MEF</w:t>
      </w:r>
      <w:r>
        <w:rPr>
          <w:rFonts w:ascii="Times New Roman" w:hAnsi="Times New Roman" w:eastAsia="Times New Roman" w:cs="Times New Roman"/>
          <w:spacing w:val="5"/>
          <w:sz w:val="24"/>
          <w:szCs w:val="24"/>
        </w:rPr>
        <w:t xml:space="preserve">75  </w:t>
      </w:r>
      <w:r>
        <w:rPr>
          <w:spacing w:val="5"/>
          <w:sz w:val="24"/>
          <w:szCs w:val="24"/>
        </w:rPr>
        <w:t>用力呼出75%肺活量时的瞬间呼气流量；</w:t>
      </w:r>
    </w:p>
    <w:p w14:paraId="2D553BF1">
      <w:pPr>
        <w:pStyle w:val="8"/>
        <w:spacing w:before="220" w:line="219" w:lineRule="auto"/>
        <w:ind w:left="870"/>
        <w:rPr>
          <w:sz w:val="24"/>
          <w:szCs w:val="24"/>
        </w:rPr>
      </w:pPr>
      <w:r>
        <w:rPr>
          <w:spacing w:val="1"/>
          <w:sz w:val="24"/>
          <w:szCs w:val="24"/>
        </w:rPr>
        <w:t>6、</w:t>
      </w:r>
      <w:r>
        <w:rPr>
          <w:rFonts w:ascii="Times New Roman" w:hAnsi="Times New Roman" w:eastAsia="Times New Roman" w:cs="Times New Roman"/>
          <w:sz w:val="24"/>
          <w:szCs w:val="24"/>
        </w:rPr>
        <w:t>MEF</w:t>
      </w:r>
      <w:r>
        <w:rPr>
          <w:rFonts w:ascii="Times New Roman" w:hAnsi="Times New Roman" w:eastAsia="Times New Roman" w:cs="Times New Roman"/>
          <w:spacing w:val="1"/>
          <w:sz w:val="24"/>
          <w:szCs w:val="24"/>
        </w:rPr>
        <w:t xml:space="preserve">50  </w:t>
      </w:r>
      <w:r>
        <w:rPr>
          <w:spacing w:val="1"/>
          <w:sz w:val="24"/>
          <w:szCs w:val="24"/>
        </w:rPr>
        <w:t>用力呼出50%肺活量时的瞬间呼气流量；</w:t>
      </w:r>
    </w:p>
    <w:p w14:paraId="7CBFC1CD">
      <w:pPr>
        <w:pStyle w:val="8"/>
        <w:spacing w:before="219" w:line="219" w:lineRule="auto"/>
        <w:ind w:left="870"/>
        <w:rPr>
          <w:sz w:val="24"/>
          <w:szCs w:val="24"/>
        </w:rPr>
      </w:pPr>
      <w:r>
        <w:rPr>
          <w:spacing w:val="6"/>
          <w:sz w:val="24"/>
          <w:szCs w:val="24"/>
        </w:rPr>
        <w:t>7、</w:t>
      </w:r>
      <w:r>
        <w:rPr>
          <w:rFonts w:ascii="Times New Roman" w:hAnsi="Times New Roman" w:eastAsia="Times New Roman" w:cs="Times New Roman"/>
          <w:sz w:val="24"/>
          <w:szCs w:val="24"/>
        </w:rPr>
        <w:t>MEF</w:t>
      </w:r>
      <w:r>
        <w:rPr>
          <w:rFonts w:ascii="Times New Roman" w:hAnsi="Times New Roman" w:eastAsia="Times New Roman" w:cs="Times New Roman"/>
          <w:spacing w:val="6"/>
          <w:sz w:val="24"/>
          <w:szCs w:val="24"/>
        </w:rPr>
        <w:t>25</w:t>
      </w:r>
      <w:r>
        <w:rPr>
          <w:rFonts w:ascii="Times New Roman" w:hAnsi="Times New Roman" w:eastAsia="Times New Roman" w:cs="Times New Roman"/>
          <w:spacing w:val="47"/>
          <w:w w:val="101"/>
          <w:sz w:val="24"/>
          <w:szCs w:val="24"/>
        </w:rPr>
        <w:t xml:space="preserve"> </w:t>
      </w:r>
      <w:r>
        <w:rPr>
          <w:spacing w:val="6"/>
          <w:sz w:val="24"/>
          <w:szCs w:val="24"/>
        </w:rPr>
        <w:t>用力呼出25%肺活量时的瞬间呼</w:t>
      </w:r>
      <w:r>
        <w:rPr>
          <w:spacing w:val="5"/>
          <w:sz w:val="24"/>
          <w:szCs w:val="24"/>
        </w:rPr>
        <w:t>气流量；</w:t>
      </w:r>
    </w:p>
    <w:p w14:paraId="2470C811">
      <w:pPr>
        <w:pStyle w:val="8"/>
        <w:spacing w:before="219" w:line="219" w:lineRule="auto"/>
        <w:ind w:left="870"/>
        <w:rPr>
          <w:sz w:val="24"/>
          <w:szCs w:val="24"/>
        </w:rPr>
      </w:pPr>
      <w:r>
        <w:rPr>
          <w:spacing w:val="-4"/>
          <w:sz w:val="24"/>
          <w:szCs w:val="24"/>
        </w:rPr>
        <w:t>8、</w:t>
      </w:r>
      <w:r>
        <w:rPr>
          <w:rFonts w:ascii="Times New Roman" w:hAnsi="Times New Roman" w:eastAsia="Times New Roman" w:cs="Times New Roman"/>
          <w:spacing w:val="-4"/>
          <w:sz w:val="24"/>
          <w:szCs w:val="24"/>
        </w:rPr>
        <w:t>MMEF75/25</w:t>
      </w:r>
      <w:r>
        <w:rPr>
          <w:rFonts w:ascii="Times New Roman" w:hAnsi="Times New Roman" w:eastAsia="Times New Roman" w:cs="Times New Roman"/>
          <w:spacing w:val="21"/>
          <w:w w:val="101"/>
          <w:sz w:val="24"/>
          <w:szCs w:val="24"/>
        </w:rPr>
        <w:t xml:space="preserve">  </w:t>
      </w:r>
      <w:r>
        <w:rPr>
          <w:spacing w:val="-4"/>
          <w:sz w:val="24"/>
          <w:szCs w:val="24"/>
        </w:rPr>
        <w:t>最大呼气中期流量；</w:t>
      </w:r>
    </w:p>
    <w:p w14:paraId="3C59C032">
      <w:pPr>
        <w:pStyle w:val="8"/>
        <w:spacing w:before="209" w:line="219" w:lineRule="auto"/>
        <w:ind w:left="870"/>
        <w:rPr>
          <w:sz w:val="24"/>
          <w:szCs w:val="24"/>
        </w:rPr>
      </w:pPr>
      <w:r>
        <w:rPr>
          <w:sz w:val="24"/>
          <w:szCs w:val="24"/>
        </w:rPr>
        <w:t>9、</w:t>
      </w:r>
      <w:r>
        <w:rPr>
          <w:rFonts w:ascii="Times New Roman" w:hAnsi="Times New Roman" w:eastAsia="Times New Roman" w:cs="Times New Roman"/>
          <w:sz w:val="24"/>
          <w:szCs w:val="24"/>
        </w:rPr>
        <w:t xml:space="preserve">FEF50%/75%  </w:t>
      </w:r>
      <w:r>
        <w:rPr>
          <w:sz w:val="24"/>
          <w:szCs w:val="24"/>
        </w:rPr>
        <w:t>最大呼气</w:t>
      </w:r>
      <w:r>
        <w:rPr>
          <w:rFonts w:ascii="Times New Roman" w:hAnsi="Times New Roman" w:eastAsia="Times New Roman" w:cs="Times New Roman"/>
          <w:sz w:val="24"/>
          <w:szCs w:val="24"/>
        </w:rPr>
        <w:t>V75</w:t>
      </w:r>
      <w:r>
        <w:rPr>
          <w:rFonts w:ascii="Times New Roman" w:hAnsi="Times New Roman" w:eastAsia="Times New Roman" w:cs="Times New Roman"/>
          <w:spacing w:val="24"/>
          <w:w w:val="101"/>
          <w:sz w:val="24"/>
          <w:szCs w:val="24"/>
        </w:rPr>
        <w:t xml:space="preserve"> </w:t>
      </w:r>
      <w:r>
        <w:rPr>
          <w:sz w:val="24"/>
          <w:szCs w:val="24"/>
        </w:rPr>
        <w:t>到</w:t>
      </w:r>
      <w:r>
        <w:rPr>
          <w:spacing w:val="-66"/>
          <w:sz w:val="24"/>
          <w:szCs w:val="24"/>
        </w:rPr>
        <w:t xml:space="preserve"> </w:t>
      </w:r>
      <w:r>
        <w:rPr>
          <w:rFonts w:ascii="Times New Roman" w:hAnsi="Times New Roman" w:eastAsia="Times New Roman" w:cs="Times New Roman"/>
          <w:sz w:val="24"/>
          <w:szCs w:val="24"/>
        </w:rPr>
        <w:t>V50</w:t>
      </w:r>
      <w:r>
        <w:rPr>
          <w:rFonts w:ascii="Times New Roman" w:hAnsi="Times New Roman" w:eastAsia="Times New Roman" w:cs="Times New Roman"/>
          <w:spacing w:val="18"/>
          <w:w w:val="101"/>
          <w:sz w:val="24"/>
          <w:szCs w:val="24"/>
        </w:rPr>
        <w:t xml:space="preserve"> </w:t>
      </w:r>
      <w:r>
        <w:rPr>
          <w:sz w:val="24"/>
          <w:szCs w:val="24"/>
        </w:rPr>
        <w:t>之间的流量-体积曲线梯度；</w:t>
      </w:r>
    </w:p>
    <w:p w14:paraId="567AFE2B">
      <w:pPr>
        <w:pStyle w:val="8"/>
        <w:spacing w:before="219" w:line="219" w:lineRule="auto"/>
        <w:ind w:left="870"/>
        <w:rPr>
          <w:sz w:val="24"/>
          <w:szCs w:val="24"/>
        </w:rPr>
      </w:pPr>
      <w:r>
        <w:rPr>
          <w:spacing w:val="11"/>
          <w:sz w:val="24"/>
          <w:szCs w:val="24"/>
        </w:rPr>
        <w:t>10、</w:t>
      </w:r>
      <w:r>
        <w:rPr>
          <w:rFonts w:ascii="Times New Roman" w:hAnsi="Times New Roman" w:eastAsia="Times New Roman" w:cs="Times New Roman"/>
          <w:sz w:val="24"/>
          <w:szCs w:val="24"/>
        </w:rPr>
        <w:t>FEV</w:t>
      </w:r>
      <w:r>
        <w:rPr>
          <w:rFonts w:ascii="Times New Roman" w:hAnsi="Times New Roman" w:eastAsia="Times New Roman" w:cs="Times New Roman"/>
          <w:spacing w:val="11"/>
          <w:sz w:val="24"/>
          <w:szCs w:val="24"/>
        </w:rPr>
        <w:t xml:space="preserve">3  </w:t>
      </w:r>
      <w:r>
        <w:rPr>
          <w:spacing w:val="11"/>
          <w:sz w:val="24"/>
          <w:szCs w:val="24"/>
        </w:rPr>
        <w:t>第3秒用力呼气量；</w:t>
      </w:r>
    </w:p>
    <w:p w14:paraId="1B9A07E5">
      <w:pPr>
        <w:pStyle w:val="8"/>
        <w:spacing w:before="219" w:line="219" w:lineRule="auto"/>
        <w:ind w:left="870"/>
        <w:rPr>
          <w:sz w:val="24"/>
          <w:szCs w:val="24"/>
        </w:rPr>
      </w:pPr>
      <w:r>
        <w:rPr>
          <w:spacing w:val="11"/>
          <w:sz w:val="24"/>
          <w:szCs w:val="24"/>
        </w:rPr>
        <w:t>11、</w:t>
      </w:r>
      <w:r>
        <w:rPr>
          <w:rFonts w:ascii="Times New Roman" w:hAnsi="Times New Roman" w:eastAsia="Times New Roman" w:cs="Times New Roman"/>
          <w:sz w:val="24"/>
          <w:szCs w:val="24"/>
        </w:rPr>
        <w:t>FEV</w:t>
      </w:r>
      <w:r>
        <w:rPr>
          <w:rFonts w:ascii="Times New Roman" w:hAnsi="Times New Roman" w:eastAsia="Times New Roman" w:cs="Times New Roman"/>
          <w:spacing w:val="11"/>
          <w:sz w:val="24"/>
          <w:szCs w:val="24"/>
        </w:rPr>
        <w:t xml:space="preserve">6  </w:t>
      </w:r>
      <w:r>
        <w:rPr>
          <w:spacing w:val="11"/>
          <w:sz w:val="24"/>
          <w:szCs w:val="24"/>
        </w:rPr>
        <w:t>第6秒用力吸气量；</w:t>
      </w:r>
    </w:p>
    <w:p w14:paraId="0092D530">
      <w:pPr>
        <w:pStyle w:val="8"/>
        <w:spacing w:before="219" w:line="219" w:lineRule="auto"/>
        <w:ind w:left="870"/>
        <w:rPr>
          <w:sz w:val="24"/>
          <w:szCs w:val="24"/>
        </w:rPr>
      </w:pPr>
      <w:r>
        <w:rPr>
          <w:rFonts w:ascii="Times New Roman" w:hAnsi="Times New Roman" w:eastAsia="Times New Roman" w:cs="Times New Roman"/>
          <w:spacing w:val="-7"/>
          <w:sz w:val="24"/>
          <w:szCs w:val="24"/>
        </w:rPr>
        <w:t>12</w:t>
      </w:r>
      <w:r>
        <w:rPr>
          <w:spacing w:val="-7"/>
          <w:sz w:val="24"/>
          <w:szCs w:val="24"/>
        </w:rPr>
        <w:t>、</w:t>
      </w:r>
      <w:r>
        <w:rPr>
          <w:rFonts w:ascii="Times New Roman" w:hAnsi="Times New Roman" w:eastAsia="Times New Roman" w:cs="Times New Roman"/>
          <w:spacing w:val="-7"/>
          <w:sz w:val="24"/>
          <w:szCs w:val="24"/>
        </w:rPr>
        <w:t xml:space="preserve">FEV1%VC1 </w:t>
      </w:r>
      <w:r>
        <w:rPr>
          <w:spacing w:val="-7"/>
          <w:sz w:val="24"/>
          <w:szCs w:val="24"/>
        </w:rPr>
        <w:t>秒率；</w:t>
      </w:r>
    </w:p>
    <w:p w14:paraId="349ACED8">
      <w:pPr>
        <w:pStyle w:val="8"/>
        <w:spacing w:before="215" w:line="219" w:lineRule="auto"/>
        <w:ind w:left="870"/>
        <w:rPr>
          <w:sz w:val="24"/>
          <w:szCs w:val="24"/>
        </w:rPr>
      </w:pPr>
      <w:r>
        <w:rPr>
          <w:rFonts w:ascii="Times New Roman" w:hAnsi="Times New Roman" w:eastAsia="Times New Roman" w:cs="Times New Roman"/>
          <w:spacing w:val="-5"/>
          <w:sz w:val="24"/>
          <w:szCs w:val="24"/>
        </w:rPr>
        <w:t>13</w:t>
      </w:r>
      <w:r>
        <w:rPr>
          <w:rFonts w:ascii="Times New Roman" w:hAnsi="Times New Roman" w:eastAsia="Times New Roman" w:cs="Times New Roman"/>
          <w:spacing w:val="-27"/>
          <w:sz w:val="24"/>
          <w:szCs w:val="24"/>
        </w:rPr>
        <w:t xml:space="preserve"> </w:t>
      </w:r>
      <w:r>
        <w:rPr>
          <w:spacing w:val="-5"/>
          <w:sz w:val="24"/>
          <w:szCs w:val="24"/>
        </w:rPr>
        <w:t>、</w:t>
      </w:r>
      <w:r>
        <w:rPr>
          <w:rFonts w:ascii="Times New Roman" w:hAnsi="Times New Roman" w:eastAsia="Times New Roman" w:cs="Times New Roman"/>
          <w:spacing w:val="-5"/>
          <w:sz w:val="24"/>
          <w:szCs w:val="24"/>
        </w:rPr>
        <w:t>PIF</w:t>
      </w:r>
      <w:r>
        <w:rPr>
          <w:rFonts w:ascii="Times New Roman" w:hAnsi="Times New Roman" w:eastAsia="Times New Roman" w:cs="Times New Roman"/>
          <w:spacing w:val="45"/>
          <w:sz w:val="24"/>
          <w:szCs w:val="24"/>
        </w:rPr>
        <w:t xml:space="preserve"> </w:t>
      </w:r>
      <w:r>
        <w:rPr>
          <w:spacing w:val="-5"/>
          <w:sz w:val="24"/>
          <w:szCs w:val="24"/>
        </w:rPr>
        <w:t>最大吸气峰值流量；</w:t>
      </w:r>
    </w:p>
    <w:p w14:paraId="37125FCC">
      <w:pPr>
        <w:pStyle w:val="8"/>
        <w:spacing w:before="239" w:line="219" w:lineRule="auto"/>
        <w:ind w:left="870"/>
        <w:rPr>
          <w:sz w:val="24"/>
          <w:szCs w:val="24"/>
        </w:rPr>
      </w:pPr>
      <w:r>
        <w:rPr>
          <w:spacing w:val="-11"/>
          <w:sz w:val="24"/>
          <w:szCs w:val="24"/>
        </w:rPr>
        <w:t>14、</w:t>
      </w:r>
      <w:r>
        <w:rPr>
          <w:rFonts w:ascii="Times New Roman" w:hAnsi="Times New Roman" w:eastAsia="Times New Roman" w:cs="Times New Roman"/>
          <w:spacing w:val="-11"/>
          <w:sz w:val="24"/>
          <w:szCs w:val="24"/>
        </w:rPr>
        <w:t xml:space="preserve">VT  </w:t>
      </w:r>
      <w:r>
        <w:rPr>
          <w:spacing w:val="-11"/>
          <w:sz w:val="24"/>
          <w:szCs w:val="24"/>
        </w:rPr>
        <w:t>潮气量；</w:t>
      </w:r>
    </w:p>
    <w:p w14:paraId="5E44C845">
      <w:pPr>
        <w:pStyle w:val="8"/>
        <w:spacing w:before="220" w:line="220" w:lineRule="auto"/>
        <w:ind w:left="870"/>
        <w:rPr>
          <w:sz w:val="24"/>
          <w:szCs w:val="24"/>
        </w:rPr>
      </w:pPr>
      <w:r>
        <w:rPr>
          <w:spacing w:val="-8"/>
          <w:sz w:val="24"/>
          <w:szCs w:val="24"/>
        </w:rPr>
        <w:t>15、</w:t>
      </w:r>
      <w:r>
        <w:rPr>
          <w:rFonts w:ascii="Times New Roman" w:hAnsi="Times New Roman" w:eastAsia="Times New Roman" w:cs="Times New Roman"/>
          <w:spacing w:val="-8"/>
          <w:sz w:val="24"/>
          <w:szCs w:val="24"/>
        </w:rPr>
        <w:t xml:space="preserve">VC  </w:t>
      </w:r>
      <w:r>
        <w:rPr>
          <w:spacing w:val="-8"/>
          <w:sz w:val="24"/>
          <w:szCs w:val="24"/>
        </w:rPr>
        <w:t>肺活量；</w:t>
      </w:r>
    </w:p>
    <w:p w14:paraId="4BEF5FAC">
      <w:pPr>
        <w:pStyle w:val="8"/>
        <w:spacing w:before="228" w:line="213" w:lineRule="auto"/>
        <w:ind w:right="7651" w:firstLine="870"/>
        <w:rPr>
          <w:sz w:val="24"/>
          <w:szCs w:val="24"/>
        </w:rPr>
      </w:pPr>
      <w:r>
        <w:rPr>
          <w:spacing w:val="3"/>
          <w:sz w:val="24"/>
          <w:szCs w:val="24"/>
        </w:rPr>
        <w:t>16、</w:t>
      </w:r>
      <w:r>
        <w:rPr>
          <w:rFonts w:ascii="Times New Roman" w:hAnsi="Times New Roman" w:eastAsia="Times New Roman" w:cs="Times New Roman"/>
          <w:sz w:val="24"/>
          <w:szCs w:val="24"/>
        </w:rPr>
        <w:t>IRV</w:t>
      </w:r>
      <w:r>
        <w:rPr>
          <w:rFonts w:ascii="Times New Roman" w:hAnsi="Times New Roman" w:eastAsia="Times New Roman" w:cs="Times New Roman"/>
          <w:spacing w:val="41"/>
          <w:w w:val="101"/>
          <w:sz w:val="24"/>
          <w:szCs w:val="24"/>
        </w:rPr>
        <w:t xml:space="preserve"> </w:t>
      </w:r>
      <w:r>
        <w:rPr>
          <w:spacing w:val="3"/>
          <w:sz w:val="24"/>
          <w:szCs w:val="24"/>
        </w:rPr>
        <w:t>补吸气量；</w:t>
      </w:r>
      <w:r>
        <w:rPr>
          <w:sz w:val="24"/>
          <w:szCs w:val="24"/>
        </w:rPr>
        <w:t xml:space="preserve"> </w:t>
      </w:r>
    </w:p>
    <w:p w14:paraId="7EB506D2">
      <w:pPr>
        <w:pStyle w:val="8"/>
        <w:spacing w:before="132" w:line="220" w:lineRule="auto"/>
        <w:ind w:left="870"/>
        <w:rPr>
          <w:sz w:val="24"/>
          <w:szCs w:val="24"/>
        </w:rPr>
      </w:pPr>
      <w:r>
        <w:rPr>
          <w:spacing w:val="1"/>
          <w:sz w:val="24"/>
          <w:szCs w:val="24"/>
        </w:rPr>
        <w:t>17、</w:t>
      </w:r>
      <w:r>
        <w:rPr>
          <w:rFonts w:ascii="Times New Roman" w:hAnsi="Times New Roman" w:eastAsia="Times New Roman" w:cs="Times New Roman"/>
          <w:sz w:val="24"/>
          <w:szCs w:val="24"/>
        </w:rPr>
        <w:t>ERV</w:t>
      </w:r>
      <w:r>
        <w:rPr>
          <w:rFonts w:ascii="Times New Roman" w:hAnsi="Times New Roman" w:eastAsia="Times New Roman" w:cs="Times New Roman"/>
          <w:spacing w:val="46"/>
          <w:sz w:val="24"/>
          <w:szCs w:val="24"/>
        </w:rPr>
        <w:t xml:space="preserve"> </w:t>
      </w:r>
      <w:r>
        <w:rPr>
          <w:spacing w:val="1"/>
          <w:sz w:val="24"/>
          <w:szCs w:val="24"/>
        </w:rPr>
        <w:t>补呼气量；</w:t>
      </w:r>
    </w:p>
    <w:p w14:paraId="2D075906">
      <w:pPr>
        <w:pStyle w:val="8"/>
        <w:spacing w:before="228" w:line="220" w:lineRule="auto"/>
        <w:ind w:left="870"/>
        <w:rPr>
          <w:sz w:val="24"/>
          <w:szCs w:val="24"/>
        </w:rPr>
      </w:pPr>
      <w:r>
        <w:rPr>
          <w:spacing w:val="-9"/>
          <w:sz w:val="24"/>
          <w:szCs w:val="24"/>
        </w:rPr>
        <w:t>18、</w:t>
      </w:r>
      <w:r>
        <w:rPr>
          <w:rFonts w:ascii="Times New Roman" w:hAnsi="Times New Roman" w:eastAsia="Times New Roman" w:cs="Times New Roman"/>
          <w:spacing w:val="-9"/>
          <w:sz w:val="24"/>
          <w:szCs w:val="24"/>
        </w:rPr>
        <w:t>IC</w:t>
      </w:r>
      <w:r>
        <w:rPr>
          <w:rFonts w:ascii="Times New Roman" w:hAnsi="Times New Roman" w:eastAsia="Times New Roman" w:cs="Times New Roman"/>
          <w:spacing w:val="13"/>
          <w:sz w:val="24"/>
          <w:szCs w:val="24"/>
        </w:rPr>
        <w:t xml:space="preserve">  </w:t>
      </w:r>
      <w:r>
        <w:rPr>
          <w:spacing w:val="-9"/>
          <w:sz w:val="24"/>
          <w:szCs w:val="24"/>
        </w:rPr>
        <w:t>深吸气量；</w:t>
      </w:r>
    </w:p>
    <w:p w14:paraId="611DEC3F">
      <w:pPr>
        <w:pStyle w:val="8"/>
        <w:spacing w:before="237" w:line="219" w:lineRule="auto"/>
        <w:ind w:left="870"/>
        <w:rPr>
          <w:sz w:val="24"/>
          <w:szCs w:val="24"/>
        </w:rPr>
      </w:pPr>
      <w:r>
        <w:rPr>
          <w:rFonts w:ascii="Times New Roman" w:hAnsi="Times New Roman" w:eastAsia="Times New Roman" w:cs="Times New Roman"/>
          <w:spacing w:val="-5"/>
          <w:sz w:val="24"/>
          <w:szCs w:val="24"/>
        </w:rPr>
        <w:t>19</w:t>
      </w:r>
      <w:r>
        <w:rPr>
          <w:rFonts w:ascii="Times New Roman" w:hAnsi="Times New Roman" w:eastAsia="Times New Roman" w:cs="Times New Roman"/>
          <w:spacing w:val="-26"/>
          <w:sz w:val="24"/>
          <w:szCs w:val="24"/>
        </w:rPr>
        <w:t xml:space="preserve"> </w:t>
      </w:r>
      <w:r>
        <w:rPr>
          <w:spacing w:val="-5"/>
          <w:sz w:val="24"/>
          <w:szCs w:val="24"/>
        </w:rPr>
        <w:t>、</w:t>
      </w:r>
      <w:r>
        <w:rPr>
          <w:rFonts w:ascii="Times New Roman" w:hAnsi="Times New Roman" w:eastAsia="Times New Roman" w:cs="Times New Roman"/>
          <w:spacing w:val="-5"/>
          <w:sz w:val="24"/>
          <w:szCs w:val="24"/>
        </w:rPr>
        <w:t>MVV</w:t>
      </w:r>
      <w:r>
        <w:rPr>
          <w:rFonts w:ascii="Times New Roman" w:hAnsi="Times New Roman" w:eastAsia="Times New Roman" w:cs="Times New Roman"/>
          <w:spacing w:val="47"/>
          <w:w w:val="101"/>
          <w:sz w:val="24"/>
          <w:szCs w:val="24"/>
        </w:rPr>
        <w:t xml:space="preserve"> </w:t>
      </w:r>
      <w:r>
        <w:rPr>
          <w:color w:val="3030A0"/>
          <w:spacing w:val="-5"/>
          <w:sz w:val="24"/>
          <w:szCs w:val="24"/>
        </w:rPr>
        <w:t>一</w:t>
      </w:r>
      <w:r>
        <w:rPr>
          <w:spacing w:val="-5"/>
          <w:sz w:val="24"/>
          <w:szCs w:val="24"/>
        </w:rPr>
        <w:t>分钟最大换气量；</w:t>
      </w:r>
    </w:p>
    <w:p w14:paraId="18B12053">
      <w:pPr>
        <w:pStyle w:val="8"/>
        <w:spacing w:before="229" w:line="219" w:lineRule="auto"/>
        <w:ind w:left="870"/>
        <w:rPr>
          <w:sz w:val="24"/>
          <w:szCs w:val="24"/>
        </w:rPr>
      </w:pPr>
      <w:r>
        <w:rPr>
          <w:spacing w:val="4"/>
          <w:sz w:val="24"/>
          <w:szCs w:val="24"/>
        </w:rPr>
        <w:t>20、</w:t>
      </w:r>
      <w:r>
        <w:rPr>
          <w:rFonts w:ascii="Times New Roman" w:hAnsi="Times New Roman" w:eastAsia="Times New Roman" w:cs="Times New Roman"/>
          <w:sz w:val="24"/>
          <w:szCs w:val="24"/>
        </w:rPr>
        <w:t>RR</w:t>
      </w:r>
      <w:r>
        <w:rPr>
          <w:rFonts w:ascii="Times New Roman" w:hAnsi="Times New Roman" w:eastAsia="Times New Roman" w:cs="Times New Roman"/>
          <w:spacing w:val="4"/>
          <w:sz w:val="24"/>
          <w:szCs w:val="24"/>
        </w:rPr>
        <w:t xml:space="preserve">  </w:t>
      </w:r>
      <w:r>
        <w:rPr>
          <w:spacing w:val="4"/>
          <w:sz w:val="24"/>
          <w:szCs w:val="24"/>
        </w:rPr>
        <w:t>一分钟最大换气量潮气量；</w:t>
      </w:r>
    </w:p>
    <w:p w14:paraId="3D4F6F2B">
      <w:pPr>
        <w:pStyle w:val="8"/>
        <w:spacing w:before="229" w:line="219" w:lineRule="auto"/>
        <w:ind w:left="870"/>
        <w:rPr>
          <w:sz w:val="24"/>
          <w:szCs w:val="24"/>
        </w:rPr>
      </w:pPr>
      <w:r>
        <w:rPr>
          <w:spacing w:val="4"/>
          <w:sz w:val="24"/>
          <w:szCs w:val="24"/>
        </w:rPr>
        <w:t>21、</w:t>
      </w:r>
      <w:r>
        <w:rPr>
          <w:rFonts w:ascii="Times New Roman" w:hAnsi="Times New Roman" w:eastAsia="Times New Roman" w:cs="Times New Roman"/>
          <w:sz w:val="24"/>
          <w:szCs w:val="24"/>
        </w:rPr>
        <w:t>VT</w:t>
      </w:r>
      <w:r>
        <w:rPr>
          <w:rFonts w:ascii="Times New Roman" w:hAnsi="Times New Roman" w:eastAsia="Times New Roman" w:cs="Times New Roman"/>
          <w:spacing w:val="4"/>
          <w:sz w:val="24"/>
          <w:szCs w:val="24"/>
        </w:rPr>
        <w:t xml:space="preserve">  </w:t>
      </w:r>
      <w:r>
        <w:rPr>
          <w:spacing w:val="4"/>
          <w:sz w:val="24"/>
          <w:szCs w:val="24"/>
        </w:rPr>
        <w:t>一分钟最大换气量潮气量；</w:t>
      </w:r>
    </w:p>
    <w:p w14:paraId="14F22029">
      <w:pPr>
        <w:pStyle w:val="8"/>
        <w:spacing w:before="229" w:line="219" w:lineRule="auto"/>
        <w:ind w:left="870"/>
        <w:rPr>
          <w:sz w:val="24"/>
          <w:szCs w:val="24"/>
        </w:rPr>
      </w:pPr>
      <w:r>
        <w:rPr>
          <w:spacing w:val="3"/>
          <w:sz w:val="24"/>
          <w:szCs w:val="24"/>
        </w:rPr>
        <w:t>22、</w:t>
      </w:r>
      <w:r>
        <w:rPr>
          <w:rFonts w:ascii="Times New Roman" w:hAnsi="Times New Roman" w:eastAsia="Times New Roman" w:cs="Times New Roman"/>
          <w:sz w:val="24"/>
          <w:szCs w:val="24"/>
        </w:rPr>
        <w:t>FEV</w:t>
      </w:r>
      <w:r>
        <w:rPr>
          <w:rFonts w:ascii="Times New Roman" w:hAnsi="Times New Roman" w:eastAsia="Times New Roman" w:cs="Times New Roman"/>
          <w:spacing w:val="3"/>
          <w:sz w:val="24"/>
          <w:szCs w:val="24"/>
        </w:rPr>
        <w:t>1*35</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pacing w:val="3"/>
          <w:sz w:val="24"/>
          <w:szCs w:val="24"/>
        </w:rPr>
        <w:t>F/V</w:t>
      </w:r>
      <w:r>
        <w:rPr>
          <w:rFonts w:ascii="Times New Roman" w:hAnsi="Times New Roman" w:eastAsia="Times New Roman" w:cs="Times New Roman"/>
          <w:spacing w:val="-18"/>
          <w:sz w:val="24"/>
          <w:szCs w:val="24"/>
        </w:rPr>
        <w:t xml:space="preserve"> </w:t>
      </w:r>
      <w:r>
        <w:rPr>
          <w:spacing w:val="3"/>
          <w:sz w:val="24"/>
          <w:szCs w:val="24"/>
        </w:rPr>
        <w:t>上获得的最大通气量；</w:t>
      </w:r>
    </w:p>
    <w:p w14:paraId="7E134A0A">
      <w:pPr>
        <w:pStyle w:val="8"/>
        <w:spacing w:before="237" w:line="219" w:lineRule="auto"/>
        <w:ind w:left="870"/>
        <w:rPr>
          <w:sz w:val="24"/>
          <w:szCs w:val="24"/>
        </w:rPr>
      </w:pPr>
      <w:r>
        <w:rPr>
          <w:spacing w:val="-1"/>
          <w:sz w:val="24"/>
          <w:szCs w:val="24"/>
        </w:rPr>
        <w:t>23、</w:t>
      </w:r>
      <w:r>
        <w:rPr>
          <w:rFonts w:ascii="Times New Roman" w:hAnsi="Times New Roman" w:eastAsia="Times New Roman" w:cs="Times New Roman"/>
          <w:spacing w:val="-1"/>
          <w:sz w:val="24"/>
          <w:szCs w:val="24"/>
        </w:rPr>
        <w:t xml:space="preserve">MV  </w:t>
      </w:r>
      <w:r>
        <w:rPr>
          <w:spacing w:val="-1"/>
          <w:sz w:val="24"/>
          <w:szCs w:val="24"/>
        </w:rPr>
        <w:t>一分钟平静换气量；</w:t>
      </w:r>
    </w:p>
    <w:p w14:paraId="774B0AEE">
      <w:pPr>
        <w:pStyle w:val="8"/>
        <w:spacing w:before="249" w:line="219" w:lineRule="auto"/>
        <w:ind w:left="870"/>
        <w:rPr>
          <w:sz w:val="24"/>
          <w:szCs w:val="24"/>
        </w:rPr>
      </w:pPr>
      <w:r>
        <w:rPr>
          <w:spacing w:val="5"/>
          <w:sz w:val="24"/>
          <w:szCs w:val="24"/>
        </w:rPr>
        <w:t>24、</w:t>
      </w:r>
      <w:r>
        <w:rPr>
          <w:rFonts w:ascii="Times New Roman" w:hAnsi="Times New Roman" w:eastAsia="Times New Roman" w:cs="Times New Roman"/>
          <w:sz w:val="24"/>
          <w:szCs w:val="24"/>
        </w:rPr>
        <w:t>RR</w:t>
      </w:r>
      <w:r>
        <w:rPr>
          <w:rFonts w:ascii="Times New Roman" w:hAnsi="Times New Roman" w:eastAsia="Times New Roman" w:cs="Times New Roman"/>
          <w:spacing w:val="5"/>
          <w:sz w:val="24"/>
          <w:szCs w:val="24"/>
        </w:rPr>
        <w:t xml:space="preserve">  </w:t>
      </w:r>
      <w:r>
        <w:rPr>
          <w:spacing w:val="5"/>
          <w:sz w:val="24"/>
          <w:szCs w:val="24"/>
        </w:rPr>
        <w:t>一分钟平静换气量百分比；</w:t>
      </w:r>
    </w:p>
    <w:p w14:paraId="3A2EDF8D">
      <w:pPr>
        <w:pStyle w:val="8"/>
        <w:spacing w:before="43" w:line="219" w:lineRule="auto"/>
        <w:ind w:left="393"/>
        <w:outlineLvl w:val="4"/>
        <w:rPr>
          <w:rFonts w:hint="eastAsia" w:eastAsia="宋体"/>
          <w:sz w:val="24"/>
          <w:szCs w:val="24"/>
          <w:lang w:eastAsia="zh-CN"/>
        </w:rPr>
      </w:pPr>
      <w:r>
        <w:rPr>
          <w:b w:val="0"/>
          <w:bCs w:val="0"/>
          <w:spacing w:val="-20"/>
          <w:sz w:val="24"/>
          <w:szCs w:val="24"/>
        </w:rPr>
        <w:t>25、</w:t>
      </w:r>
      <w:r>
        <w:rPr>
          <w:rFonts w:ascii="Times New Roman" w:hAnsi="Times New Roman" w:eastAsia="Times New Roman" w:cs="Times New Roman"/>
          <w:b w:val="0"/>
          <w:bCs w:val="0"/>
          <w:spacing w:val="-20"/>
          <w:sz w:val="24"/>
          <w:szCs w:val="24"/>
        </w:rPr>
        <w:t>VT</w:t>
      </w:r>
      <w:r>
        <w:rPr>
          <w:rFonts w:ascii="Times New Roman" w:hAnsi="Times New Roman" w:eastAsia="Times New Roman" w:cs="Times New Roman"/>
          <w:b w:val="0"/>
          <w:bCs w:val="0"/>
          <w:spacing w:val="37"/>
          <w:w w:val="101"/>
          <w:sz w:val="24"/>
          <w:szCs w:val="24"/>
        </w:rPr>
        <w:t xml:space="preserve"> </w:t>
      </w:r>
      <w:r>
        <w:rPr>
          <w:b w:val="0"/>
          <w:bCs w:val="0"/>
          <w:spacing w:val="-20"/>
          <w:sz w:val="24"/>
          <w:szCs w:val="24"/>
        </w:rPr>
        <w:t>一分钟平静换气量预计值</w:t>
      </w:r>
      <w:r>
        <w:rPr>
          <w:rFonts w:hint="eastAsia"/>
          <w:b w:val="0"/>
          <w:bCs w:val="0"/>
          <w:spacing w:val="-20"/>
          <w:sz w:val="24"/>
          <w:szCs w:val="24"/>
          <w:lang w:eastAsia="zh-CN"/>
        </w:rPr>
        <w:t>；</w:t>
      </w:r>
    </w:p>
    <w:p w14:paraId="233DA6A2">
      <w:pPr>
        <w:pStyle w:val="8"/>
        <w:spacing w:before="209" w:line="223" w:lineRule="auto"/>
        <w:rPr>
          <w:b/>
          <w:bCs/>
          <w:sz w:val="24"/>
          <w:szCs w:val="24"/>
        </w:rPr>
      </w:pPr>
      <w:r>
        <w:rPr>
          <w:b/>
          <w:bCs/>
          <w:spacing w:val="-22"/>
          <w:sz w:val="24"/>
          <w:szCs w:val="24"/>
        </w:rPr>
        <w:t>五、配置</w:t>
      </w:r>
    </w:p>
    <w:p w14:paraId="0DA1ADA3">
      <w:pPr>
        <w:pStyle w:val="8"/>
        <w:spacing w:before="177" w:line="332" w:lineRule="auto"/>
        <w:ind w:left="103" w:right="1114" w:firstLine="279"/>
        <w:rPr>
          <w:b w:val="0"/>
          <w:bCs w:val="0"/>
          <w:spacing w:val="-16"/>
          <w:sz w:val="24"/>
          <w:szCs w:val="24"/>
        </w:rPr>
      </w:pPr>
      <w:r>
        <w:rPr>
          <w:b w:val="0"/>
          <w:bCs w:val="0"/>
          <w:spacing w:val="-15"/>
          <w:sz w:val="24"/>
          <w:szCs w:val="24"/>
        </w:rPr>
        <w:t>由工作台、电脑、测试主机、一次性咬嘴</w:t>
      </w:r>
      <w:r>
        <w:rPr>
          <w:rFonts w:hint="eastAsia"/>
          <w:b w:val="0"/>
          <w:bCs w:val="0"/>
          <w:spacing w:val="-15"/>
          <w:sz w:val="24"/>
          <w:szCs w:val="24"/>
          <w:lang w:val="en-US" w:eastAsia="zh-CN"/>
        </w:rPr>
        <w:t xml:space="preserve"> </w:t>
      </w:r>
      <w:r>
        <w:rPr>
          <w:b w:val="0"/>
          <w:bCs w:val="0"/>
          <w:spacing w:val="-15"/>
          <w:sz w:val="24"/>
          <w:szCs w:val="24"/>
        </w:rPr>
        <w:t>(</w:t>
      </w:r>
      <w:r>
        <w:rPr>
          <w:rFonts w:hint="eastAsia"/>
          <w:b w:val="0"/>
          <w:bCs w:val="0"/>
          <w:spacing w:val="-15"/>
          <w:sz w:val="24"/>
          <w:szCs w:val="24"/>
          <w:lang w:val="en-US" w:eastAsia="zh-CN"/>
        </w:rPr>
        <w:t xml:space="preserve"> </w:t>
      </w:r>
      <w:r>
        <w:rPr>
          <w:b w:val="0"/>
          <w:bCs w:val="0"/>
          <w:spacing w:val="-15"/>
          <w:sz w:val="24"/>
          <w:szCs w:val="24"/>
        </w:rPr>
        <w:t>50套</w:t>
      </w:r>
      <w:r>
        <w:rPr>
          <w:rFonts w:hint="eastAsia"/>
          <w:b w:val="0"/>
          <w:bCs w:val="0"/>
          <w:spacing w:val="-15"/>
          <w:sz w:val="24"/>
          <w:szCs w:val="24"/>
          <w:lang w:val="en-US" w:eastAsia="zh-CN"/>
        </w:rPr>
        <w:t xml:space="preserve"> </w:t>
      </w:r>
      <w:r>
        <w:rPr>
          <w:b w:val="0"/>
          <w:bCs w:val="0"/>
          <w:spacing w:val="-15"/>
          <w:sz w:val="24"/>
          <w:szCs w:val="24"/>
        </w:rPr>
        <w:t>)</w:t>
      </w:r>
      <w:r>
        <w:rPr>
          <w:rFonts w:hint="eastAsia"/>
          <w:b w:val="0"/>
          <w:bCs w:val="0"/>
          <w:spacing w:val="-15"/>
          <w:sz w:val="24"/>
          <w:szCs w:val="24"/>
          <w:lang w:val="en-US" w:eastAsia="zh-CN"/>
        </w:rPr>
        <w:t xml:space="preserve"> </w:t>
      </w:r>
      <w:r>
        <w:rPr>
          <w:b w:val="0"/>
          <w:bCs w:val="0"/>
          <w:spacing w:val="-15"/>
          <w:sz w:val="24"/>
          <w:szCs w:val="24"/>
        </w:rPr>
        <w:t>、打印机、电源适配器、扫码枪或读卡器</w:t>
      </w:r>
      <w:r>
        <w:rPr>
          <w:b w:val="0"/>
          <w:bCs w:val="0"/>
          <w:spacing w:val="-16"/>
          <w:sz w:val="24"/>
          <w:szCs w:val="24"/>
        </w:rPr>
        <w:t>等。</w:t>
      </w:r>
    </w:p>
    <w:p w14:paraId="262ABC63">
      <w:pPr>
        <w:pStyle w:val="8"/>
        <w:spacing w:before="177" w:line="332" w:lineRule="auto"/>
        <w:ind w:left="103" w:right="1114" w:firstLine="279"/>
        <w:rPr>
          <w:rFonts w:hint="default" w:eastAsia="宋体"/>
          <w:b/>
          <w:bCs/>
          <w:spacing w:val="-16"/>
          <w:sz w:val="24"/>
          <w:szCs w:val="24"/>
          <w:lang w:val="en-US" w:eastAsia="zh-CN"/>
        </w:rPr>
      </w:pPr>
      <w:r>
        <w:rPr>
          <w:rFonts w:hint="eastAsia"/>
          <w:b/>
          <w:bCs/>
          <w:spacing w:val="-16"/>
          <w:sz w:val="24"/>
          <w:szCs w:val="24"/>
          <w:lang w:val="en-US" w:eastAsia="zh-CN"/>
        </w:rPr>
        <w:t>六、若中标后提供的所有设备出厂日期须为近一年内（提供相应的承诺书，格式自拟）。</w:t>
      </w:r>
    </w:p>
    <w:p w14:paraId="4C310A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eastAsia" w:ascii="仿宋" w:hAnsi="仿宋" w:eastAsia="仿宋" w:cs="仿宋"/>
          <w:color w:val="auto"/>
          <w:sz w:val="28"/>
          <w:szCs w:val="36"/>
          <w:lang w:val="en-US" w:eastAsia="zh-CN"/>
        </w:rPr>
      </w:pPr>
      <w:r>
        <w:rPr>
          <w:rFonts w:hint="eastAsia" w:ascii="仿宋" w:hAnsi="仿宋" w:eastAsia="仿宋" w:cs="仿宋"/>
          <w:b/>
          <w:bCs/>
          <w:color w:val="auto"/>
          <w:sz w:val="28"/>
          <w:szCs w:val="36"/>
          <w:lang w:val="en-US" w:eastAsia="zh-CN"/>
        </w:rPr>
        <w:br w:type="page"/>
      </w:r>
    </w:p>
    <w:p w14:paraId="63C522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2" w:firstLineChars="200"/>
        <w:jc w:val="center"/>
        <w:textAlignment w:val="auto"/>
        <w:rPr>
          <w:rFonts w:hint="eastAsia" w:ascii="仿宋" w:hAnsi="仿宋" w:eastAsia="仿宋" w:cs="仿宋"/>
          <w:b/>
          <w:bCs/>
          <w:color w:val="auto"/>
          <w:sz w:val="28"/>
          <w:szCs w:val="36"/>
          <w:lang w:val="en-US" w:eastAsia="zh-CN"/>
        </w:rPr>
      </w:pPr>
      <w:r>
        <w:rPr>
          <w:rFonts w:hint="eastAsia" w:ascii="仿宋" w:hAnsi="仿宋" w:eastAsia="仿宋" w:cs="仿宋"/>
          <w:b/>
          <w:bCs/>
          <w:color w:val="auto"/>
          <w:sz w:val="28"/>
          <w:szCs w:val="36"/>
          <w:lang w:val="en-US" w:eastAsia="zh-CN"/>
        </w:rPr>
        <w:t>所招产品的要求</w:t>
      </w:r>
    </w:p>
    <w:p w14:paraId="279FA2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(1)本项目技术参数均为公共参数，无指向性，投标供应商认为该产品指向某一品牌、某一型号，那么该参数均为参考参数，可以根据技术要求及商务要求自行去选择产品品牌和型号。</w:t>
      </w:r>
    </w:p>
    <w:p w14:paraId="73453A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(2)凡技术参数指标执行的国家相关标准、行业标准、地方标准或者其他标准、规范。供应商需要提供投标产品技术支持资料(或证明材料),其中技术支持资料指生产厂家公开发布的印刷资料或检测机构出具的检验报告，若生产厂家公开发布的印刷资料或检测机构出具的检验报告不一致，以检测机构出具的检验报告为准。如供应商技术响应与技术支持资料(或证明材料)不一致，将以技术支持资料(或证明材料)为准。</w:t>
      </w:r>
    </w:p>
    <w:p w14:paraId="2F6C99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(3)本项目不分包。所投产品需详细填写厂家产地、品牌型号，技术规格偏离表不允许把招标文件中的技术参数进行简单复制粘贴，投标产品技术参数必须据实填写并详细对比阐述，否则将导致废标。在评标过程直至签订合同前的任何时间，如经证实发现投标人提供虚假投标资料或信息骗取中标的，或者投标的产品不符合本招标文件要求的技术指标却故意隐瞒不做负偏离说明的，将取消其中标资格，没收其投标保证金，并报主管部门备案</w:t>
      </w:r>
    </w:p>
    <w:p w14:paraId="4F4425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2" w:firstLineChars="200"/>
        <w:jc w:val="center"/>
        <w:textAlignment w:val="auto"/>
        <w:rPr>
          <w:rFonts w:hint="eastAsia" w:ascii="仿宋" w:hAnsi="仿宋" w:eastAsia="仿宋" w:cs="仿宋"/>
          <w:b/>
          <w:bCs/>
          <w:color w:val="auto"/>
          <w:sz w:val="28"/>
          <w:szCs w:val="36"/>
          <w:lang w:val="en-US" w:eastAsia="zh-CN"/>
        </w:rPr>
      </w:pPr>
    </w:p>
    <w:p w14:paraId="63A32A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2" w:firstLineChars="200"/>
        <w:jc w:val="center"/>
        <w:textAlignment w:val="auto"/>
        <w:rPr>
          <w:rFonts w:hint="default" w:ascii="仿宋" w:hAnsi="仿宋" w:eastAsia="仿宋" w:cs="仿宋"/>
          <w:b/>
          <w:bCs/>
          <w:color w:val="auto"/>
          <w:sz w:val="28"/>
          <w:szCs w:val="36"/>
          <w:lang w:val="en-US" w:eastAsia="zh-CN"/>
        </w:rPr>
      </w:pPr>
      <w:r>
        <w:rPr>
          <w:rFonts w:hint="eastAsia" w:ascii="仿宋" w:hAnsi="仿宋" w:eastAsia="仿宋" w:cs="仿宋"/>
          <w:b/>
          <w:bCs/>
          <w:color w:val="auto"/>
          <w:sz w:val="28"/>
          <w:szCs w:val="36"/>
          <w:lang w:val="en-US" w:eastAsia="zh-CN"/>
        </w:rPr>
        <w:t>售后保障</w:t>
      </w:r>
    </w:p>
    <w:bookmarkEnd w:id="277"/>
    <w:p w14:paraId="7F8C94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zh-CN" w:eastAsia="zh-Hans"/>
        </w:rPr>
      </w:pPr>
      <w:bookmarkStart w:id="278" w:name="_Toc11035"/>
      <w:bookmarkStart w:id="279" w:name="_Toc6125"/>
      <w:bookmarkStart w:id="280" w:name="_Toc9510643"/>
      <w:bookmarkStart w:id="281" w:name="_Toc25342"/>
      <w:bookmarkStart w:id="282" w:name="_Toc19415"/>
      <w:r>
        <w:rPr>
          <w:rFonts w:hint="eastAsia" w:ascii="仿宋" w:hAnsi="仿宋" w:eastAsia="仿宋" w:cs="仿宋"/>
          <w:color w:val="auto"/>
          <w:sz w:val="28"/>
          <w:szCs w:val="36"/>
          <w:lang w:val="en-US" w:eastAsia="zh-CN"/>
        </w:rPr>
        <w:t>1、</w:t>
      </w:r>
      <w:r>
        <w:rPr>
          <w:rFonts w:hint="eastAsia" w:ascii="仿宋" w:hAnsi="仿宋" w:eastAsia="仿宋" w:cs="仿宋"/>
          <w:color w:val="auto"/>
          <w:sz w:val="28"/>
          <w:szCs w:val="36"/>
          <w:lang w:val="zh-CN" w:eastAsia="zh-Hans"/>
        </w:rPr>
        <w:t>售后采购要求:承包方应对交货期内及其以后的采购做出承诺，并具有切实可行的措施，不能及时兑现采购承诺内容而受影响，在项目实施过程中，承包方应配合采购人给予相应的汇报和解释，并在投标书中均应明确说明所产生的一切费用由中标单位承担，提供承诺</w:t>
      </w:r>
      <w:r>
        <w:rPr>
          <w:rFonts w:hint="eastAsia" w:ascii="仿宋" w:hAnsi="仿宋" w:eastAsia="仿宋" w:cs="仿宋"/>
          <w:color w:val="auto"/>
          <w:sz w:val="28"/>
          <w:szCs w:val="36"/>
          <w:lang w:val="en-US" w:eastAsia="zh-CN"/>
        </w:rPr>
        <w:t>函，</w:t>
      </w:r>
      <w:r>
        <w:rPr>
          <w:rFonts w:hint="eastAsia" w:ascii="仿宋" w:hAnsi="仿宋" w:eastAsia="仿宋" w:cs="仿宋"/>
          <w:color w:val="auto"/>
          <w:sz w:val="28"/>
          <w:szCs w:val="36"/>
          <w:lang w:val="zh-CN" w:eastAsia="zh-Hans"/>
        </w:rPr>
        <w:t>否则视为不</w:t>
      </w:r>
      <w:r>
        <w:rPr>
          <w:rFonts w:hint="eastAsia" w:ascii="仿宋" w:hAnsi="仿宋" w:eastAsia="仿宋" w:cs="仿宋"/>
          <w:color w:val="auto"/>
          <w:sz w:val="28"/>
          <w:szCs w:val="36"/>
          <w:lang w:val="en-US" w:eastAsia="zh-CN"/>
        </w:rPr>
        <w:t>符合招标</w:t>
      </w:r>
      <w:r>
        <w:rPr>
          <w:rFonts w:hint="eastAsia" w:ascii="仿宋" w:hAnsi="仿宋" w:eastAsia="仿宋" w:cs="仿宋"/>
          <w:color w:val="auto"/>
          <w:sz w:val="28"/>
          <w:szCs w:val="36"/>
          <w:lang w:val="zh-CN" w:eastAsia="zh-Hans"/>
        </w:rPr>
        <w:t>文件</w:t>
      </w:r>
      <w:r>
        <w:rPr>
          <w:rFonts w:hint="eastAsia" w:ascii="仿宋" w:hAnsi="仿宋" w:eastAsia="仿宋" w:cs="仿宋"/>
          <w:color w:val="auto"/>
          <w:sz w:val="28"/>
          <w:szCs w:val="36"/>
          <w:lang w:val="en-US" w:eastAsia="zh-CN"/>
        </w:rPr>
        <w:t>做废标处理</w:t>
      </w:r>
      <w:r>
        <w:rPr>
          <w:rFonts w:hint="eastAsia" w:ascii="仿宋" w:hAnsi="仿宋" w:eastAsia="仿宋" w:cs="仿宋"/>
          <w:color w:val="auto"/>
          <w:sz w:val="28"/>
          <w:szCs w:val="36"/>
          <w:lang w:val="zh-CN" w:eastAsia="zh-Hans"/>
        </w:rPr>
        <w:t>。</w:t>
      </w:r>
    </w:p>
    <w:p w14:paraId="01DBC7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zh-CN" w:eastAsia="zh-Hans"/>
        </w:rPr>
      </w:pPr>
      <w:r>
        <w:rPr>
          <w:rFonts w:hint="eastAsia" w:ascii="仿宋" w:hAnsi="仿宋" w:eastAsia="仿宋" w:cs="仿宋"/>
          <w:color w:val="auto"/>
          <w:sz w:val="28"/>
          <w:szCs w:val="36"/>
          <w:lang w:val="en-US" w:eastAsia="zh-CN"/>
        </w:rPr>
        <w:t>2、</w:t>
      </w:r>
      <w:r>
        <w:rPr>
          <w:rFonts w:hint="eastAsia" w:ascii="仿宋" w:hAnsi="仿宋" w:eastAsia="仿宋" w:cs="仿宋"/>
          <w:color w:val="auto"/>
          <w:sz w:val="28"/>
          <w:szCs w:val="36"/>
          <w:lang w:val="zh-CN" w:eastAsia="zh-Hans"/>
        </w:rPr>
        <w:t>投标人应保证在本项目使用的任何产品和采购(包括部分使用)时，不会产生因第三方提出侵犯其专利权、商标权或其它知识产权而引起的法律和经济纠纷，如因专利权、商标权或其它知识产权而引起法律和经济纠纷，由投标人承担所有相关责任的同时不得耽误本项目供货，</w:t>
      </w:r>
      <w:r>
        <w:rPr>
          <w:rFonts w:hint="eastAsia" w:ascii="仿宋" w:hAnsi="仿宋" w:eastAsia="仿宋" w:cs="仿宋"/>
          <w:color w:val="auto"/>
          <w:sz w:val="28"/>
          <w:szCs w:val="36"/>
          <w:lang w:val="en-US" w:eastAsia="zh-CN"/>
        </w:rPr>
        <w:t>须</w:t>
      </w:r>
      <w:r>
        <w:rPr>
          <w:rFonts w:hint="eastAsia" w:ascii="仿宋" w:hAnsi="仿宋" w:eastAsia="仿宋" w:cs="仿宋"/>
          <w:color w:val="auto"/>
          <w:sz w:val="28"/>
          <w:szCs w:val="36"/>
          <w:lang w:val="zh-CN" w:eastAsia="zh-Hans"/>
        </w:rPr>
        <w:t>提供承诺函。</w:t>
      </w:r>
    </w:p>
    <w:p w14:paraId="10A059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zh-CN" w:eastAsia="zh-Hans"/>
        </w:rPr>
      </w:pPr>
      <w:r>
        <w:rPr>
          <w:rFonts w:hint="eastAsia" w:ascii="仿宋" w:hAnsi="仿宋" w:eastAsia="仿宋" w:cs="仿宋"/>
          <w:color w:val="auto"/>
          <w:sz w:val="28"/>
          <w:szCs w:val="36"/>
          <w:lang w:val="en-US" w:eastAsia="zh-CN"/>
        </w:rPr>
        <w:t>3、</w:t>
      </w:r>
      <w:r>
        <w:rPr>
          <w:rFonts w:hint="eastAsia" w:ascii="仿宋" w:hAnsi="仿宋" w:eastAsia="仿宋" w:cs="仿宋"/>
          <w:color w:val="auto"/>
          <w:sz w:val="28"/>
          <w:szCs w:val="36"/>
          <w:lang w:val="zh-CN" w:eastAsia="zh-Hans"/>
        </w:rPr>
        <w:t>采购需求中所有技术参数要求为实质性响应条款，不响应被视为无效投标。</w:t>
      </w:r>
    </w:p>
    <w:p w14:paraId="065656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zh-CN" w:eastAsia="zh-Hans"/>
        </w:rPr>
      </w:pPr>
      <w:r>
        <w:rPr>
          <w:rFonts w:hint="eastAsia" w:ascii="仿宋" w:hAnsi="仿宋" w:eastAsia="仿宋" w:cs="仿宋"/>
          <w:color w:val="auto"/>
          <w:sz w:val="28"/>
          <w:szCs w:val="36"/>
          <w:lang w:val="en-US" w:eastAsia="zh-CN"/>
        </w:rPr>
        <w:t>4、</w:t>
      </w:r>
      <w:r>
        <w:rPr>
          <w:rFonts w:hint="eastAsia" w:ascii="仿宋" w:hAnsi="仿宋" w:eastAsia="仿宋" w:cs="仿宋"/>
          <w:color w:val="auto"/>
          <w:sz w:val="28"/>
          <w:szCs w:val="36"/>
          <w:lang w:val="zh-CN" w:eastAsia="zh-Hans"/>
        </w:rPr>
        <w:t>采购人组织验收小组按国家有关规定、规范进行验收，必要时邀请相关的专业人员或机构参与验收。因货物质量问题发生争议时，由本地质量技术监督部门鉴定。货物符合质量技术标准的，鉴定费由采购人承担；否则鉴定费由中标人承担，供应商针对此点提供书面承诺</w:t>
      </w:r>
      <w:r>
        <w:rPr>
          <w:rFonts w:hint="eastAsia" w:ascii="仿宋" w:hAnsi="仿宋" w:eastAsia="仿宋" w:cs="仿宋"/>
          <w:color w:val="auto"/>
          <w:sz w:val="28"/>
          <w:szCs w:val="36"/>
          <w:lang w:val="en-US" w:eastAsia="zh-CN"/>
        </w:rPr>
        <w:t>函</w:t>
      </w:r>
      <w:r>
        <w:rPr>
          <w:rFonts w:hint="eastAsia" w:ascii="仿宋" w:hAnsi="仿宋" w:eastAsia="仿宋" w:cs="仿宋"/>
          <w:color w:val="auto"/>
          <w:sz w:val="28"/>
          <w:szCs w:val="36"/>
          <w:lang w:val="zh-CN" w:eastAsia="zh-Hans"/>
        </w:rPr>
        <w:t>。</w:t>
      </w:r>
    </w:p>
    <w:p w14:paraId="595210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zh-CN" w:eastAsia="zh-Hans"/>
        </w:rPr>
      </w:pPr>
      <w:r>
        <w:rPr>
          <w:rFonts w:hint="eastAsia" w:ascii="仿宋" w:hAnsi="仿宋" w:eastAsia="仿宋" w:cs="仿宋"/>
          <w:color w:val="auto"/>
          <w:sz w:val="28"/>
          <w:szCs w:val="36"/>
          <w:lang w:val="en-US" w:eastAsia="zh-CN"/>
        </w:rPr>
        <w:t>5、</w:t>
      </w:r>
      <w:r>
        <w:rPr>
          <w:rFonts w:hint="eastAsia" w:ascii="仿宋" w:hAnsi="仿宋" w:eastAsia="仿宋" w:cs="仿宋"/>
          <w:color w:val="auto"/>
          <w:sz w:val="28"/>
          <w:szCs w:val="36"/>
          <w:lang w:val="zh-CN" w:eastAsia="zh-Hans"/>
        </w:rPr>
        <w:t>在实际供货时，若中标人提供的货物未能达到招标文件的要求和投标文件中的有关承诺，将按有关法规进行处罚，采购人将有权单方面中止合同的执行，并追究因中标人所提供的未达到所承诺准确率产品而产生的所有损失和责任。提供承诺函响应该条款，格式由供应商自拟。</w:t>
      </w:r>
    </w:p>
    <w:p w14:paraId="086F23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eastAsia="zh-CN"/>
        </w:rPr>
      </w:pPr>
      <w:r>
        <w:rPr>
          <w:rFonts w:hint="eastAsia" w:ascii="仿宋" w:hAnsi="仿宋" w:eastAsia="仿宋" w:cs="仿宋"/>
          <w:color w:val="auto"/>
          <w:sz w:val="28"/>
          <w:szCs w:val="36"/>
          <w:lang w:val="en-US" w:eastAsia="zh-CN"/>
        </w:rPr>
        <w:t>6、</w:t>
      </w:r>
      <w:r>
        <w:rPr>
          <w:rFonts w:hint="eastAsia" w:ascii="仿宋" w:hAnsi="仿宋" w:eastAsia="仿宋" w:cs="仿宋"/>
          <w:b/>
          <w:bCs/>
          <w:color w:val="auto"/>
          <w:sz w:val="28"/>
          <w:szCs w:val="36"/>
          <w:lang w:eastAsia="zh-CN"/>
        </w:rPr>
        <w:t>质保期要求:设备整机质保期不少于5年，质保期内因产品质量问题导致的设备故障、零部件损坏等，由</w:t>
      </w:r>
      <w:r>
        <w:rPr>
          <w:rFonts w:hint="eastAsia" w:ascii="仿宋" w:hAnsi="仿宋" w:eastAsia="仿宋" w:cs="仿宋"/>
          <w:b/>
          <w:bCs/>
          <w:color w:val="auto"/>
          <w:sz w:val="28"/>
          <w:szCs w:val="36"/>
          <w:lang w:val="en-US" w:eastAsia="zh-CN"/>
        </w:rPr>
        <w:t>中标单位</w:t>
      </w:r>
      <w:r>
        <w:rPr>
          <w:rFonts w:hint="eastAsia" w:ascii="仿宋" w:hAnsi="仿宋" w:eastAsia="仿宋" w:cs="仿宋"/>
          <w:b/>
          <w:bCs/>
          <w:color w:val="auto"/>
          <w:sz w:val="28"/>
          <w:szCs w:val="36"/>
          <w:lang w:eastAsia="zh-CN"/>
        </w:rPr>
        <w:t>免费维修或更换，确保设备长期稳定运行。</w:t>
      </w:r>
    </w:p>
    <w:p w14:paraId="00F8C8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center"/>
        <w:textAlignment w:val="auto"/>
        <w:rPr>
          <w:rFonts w:hint="eastAsia"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交货要求</w:t>
      </w:r>
    </w:p>
    <w:p w14:paraId="46F691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（1）为了保证货物在运输和装卸过程中的安全，货物包装应符合国家或行业标准规定。 包装均应有良好的防湿、防锈、防潮、防雨、防腐及防碰撞的措施，并适宜当地的气候条件。 凡由于包装不良造成的损失和由此产生的费用均由中标人承担</w:t>
      </w:r>
      <w:r>
        <w:rPr>
          <w:rFonts w:hint="eastAsia" w:ascii="仿宋" w:hAnsi="仿宋" w:eastAsia="仿宋" w:cs="仿宋"/>
          <w:color w:val="auto"/>
          <w:sz w:val="28"/>
          <w:szCs w:val="36"/>
          <w:lang w:val="en-US" w:eastAsia="zh-CN"/>
        </w:rPr>
        <w:t>，</w:t>
      </w:r>
      <w:r>
        <w:rPr>
          <w:rFonts w:hint="default" w:ascii="仿宋" w:hAnsi="仿宋" w:eastAsia="仿宋" w:cs="仿宋"/>
          <w:color w:val="auto"/>
          <w:sz w:val="28"/>
          <w:szCs w:val="36"/>
          <w:lang w:val="en-US" w:eastAsia="zh-CN"/>
        </w:rPr>
        <w:t>投标人提供承诺函</w:t>
      </w:r>
      <w:r>
        <w:rPr>
          <w:rFonts w:hint="eastAsia" w:ascii="仿宋" w:hAnsi="仿宋" w:eastAsia="仿宋" w:cs="仿宋"/>
          <w:color w:val="auto"/>
          <w:sz w:val="28"/>
          <w:szCs w:val="36"/>
          <w:lang w:val="en-US" w:eastAsia="zh-CN"/>
        </w:rPr>
        <w:t>。</w:t>
      </w:r>
      <w:r>
        <w:rPr>
          <w:rFonts w:hint="default" w:ascii="仿宋" w:hAnsi="仿宋" w:eastAsia="仿宋" w:cs="仿宋"/>
          <w:color w:val="auto"/>
          <w:sz w:val="28"/>
          <w:szCs w:val="36"/>
          <w:lang w:val="en-US" w:eastAsia="zh-CN"/>
        </w:rPr>
        <w:t xml:space="preserve"> </w:t>
      </w:r>
    </w:p>
    <w:p w14:paraId="007B60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（2）中标人应当根据采购人实际情况，按与采购人的约定，在规定的时间内将预定的货物数量送到指定地点。</w:t>
      </w:r>
      <w:r>
        <w:rPr>
          <w:rFonts w:hint="default" w:ascii="仿宋" w:hAnsi="仿宋" w:eastAsia="仿宋" w:cs="仿宋"/>
          <w:color w:val="auto"/>
          <w:sz w:val="28"/>
          <w:szCs w:val="36"/>
          <w:shd w:val="clear" w:color="auto" w:fill="auto"/>
          <w:lang w:val="en-US" w:eastAsia="zh-CN"/>
        </w:rPr>
        <w:t>投标人须出具承诺如中标后将准时送货到</w:t>
      </w:r>
      <w:r>
        <w:rPr>
          <w:rFonts w:hint="eastAsia" w:ascii="仿宋" w:hAnsi="仿宋" w:eastAsia="仿宋" w:cs="仿宋"/>
          <w:color w:val="auto"/>
          <w:sz w:val="28"/>
          <w:szCs w:val="36"/>
          <w:shd w:val="clear" w:color="auto" w:fill="auto"/>
          <w:lang w:val="en-US" w:eastAsia="zh-CN"/>
        </w:rPr>
        <w:t>甲方指定地点</w:t>
      </w:r>
      <w:r>
        <w:rPr>
          <w:rFonts w:hint="default" w:ascii="仿宋" w:hAnsi="仿宋" w:eastAsia="仿宋" w:cs="仿宋"/>
          <w:color w:val="auto"/>
          <w:sz w:val="28"/>
          <w:szCs w:val="36"/>
          <w:lang w:val="en-US" w:eastAsia="zh-CN"/>
        </w:rPr>
        <w:t xml:space="preserve">。除客观不可抗力外，中标人不得推迟送货。如确需延迟送货的，中标人应在得知情况的同时告知采购人并 征得采购人同意，由于中标人拖沓造成采购人利益受损的，采购人有权要求中标人赔偿。供货期内中标人若出现延迟送货，经采购人书面提出整改通知，但情况没有改善的，采购人有权取消中标人供货资格，终止中标人供货合同。 </w:t>
      </w:r>
    </w:p>
    <w:p w14:paraId="0D469F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3）在实际供货时，若中标人提供的货物未能达到招标文件的要求和投标文件中的有关承诺，将按有关法规进行处罚，采购人将有权单方面中止合同的执行，并追究因中标人所提供的未达到所承诺准确率产品而产生的所有损失和责任</w:t>
      </w:r>
      <w:r>
        <w:rPr>
          <w:rFonts w:hint="eastAsia" w:ascii="仿宋" w:hAnsi="仿宋" w:eastAsia="仿宋" w:cs="仿宋"/>
          <w:color w:val="auto"/>
          <w:sz w:val="28"/>
          <w:szCs w:val="36"/>
          <w:lang w:val="en-US" w:eastAsia="zh-CN"/>
        </w:rPr>
        <w:t>，</w:t>
      </w:r>
      <w:r>
        <w:rPr>
          <w:rFonts w:hint="default" w:ascii="仿宋" w:hAnsi="仿宋" w:eastAsia="仿宋" w:cs="仿宋"/>
          <w:color w:val="auto"/>
          <w:sz w:val="28"/>
          <w:szCs w:val="36"/>
          <w:lang w:val="en-US" w:eastAsia="zh-CN"/>
        </w:rPr>
        <w:t xml:space="preserve">提供承诺函响应该条款，格式由供应商自拟。 </w:t>
      </w:r>
    </w:p>
    <w:p w14:paraId="400063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4）中标人必须保障产品齐全，保证货物质量、执行国家物价的前提下按约定的货物品种、规格、数量、价格、质量等供货方式来供货，不得以任何借口(如无货，采购量少等)不执行采购人货物采购计划从而影响采购方的紧急用货，保证紧急用货不断档</w:t>
      </w:r>
      <w:r>
        <w:rPr>
          <w:rFonts w:hint="eastAsia" w:ascii="仿宋" w:hAnsi="仿宋" w:eastAsia="仿宋" w:cs="仿宋"/>
          <w:color w:val="auto"/>
          <w:sz w:val="28"/>
          <w:szCs w:val="36"/>
          <w:lang w:val="en-US" w:eastAsia="zh-CN"/>
        </w:rPr>
        <w:t>，</w:t>
      </w:r>
      <w:r>
        <w:rPr>
          <w:rFonts w:hint="default" w:ascii="仿宋" w:hAnsi="仿宋" w:eastAsia="仿宋" w:cs="仿宋"/>
          <w:color w:val="auto"/>
          <w:sz w:val="28"/>
          <w:szCs w:val="36"/>
          <w:lang w:val="en-US" w:eastAsia="zh-CN"/>
        </w:rPr>
        <w:t>投标人提供承诺函</w:t>
      </w:r>
      <w:r>
        <w:rPr>
          <w:rFonts w:hint="eastAsia" w:ascii="仿宋" w:hAnsi="仿宋" w:eastAsia="仿宋" w:cs="仿宋"/>
          <w:color w:val="auto"/>
          <w:sz w:val="28"/>
          <w:szCs w:val="36"/>
          <w:lang w:val="en-US" w:eastAsia="zh-CN"/>
        </w:rPr>
        <w:t>。</w:t>
      </w:r>
    </w:p>
    <w:p w14:paraId="1D52D1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二、</w:t>
      </w:r>
      <w:r>
        <w:rPr>
          <w:rFonts w:hint="default" w:ascii="仿宋" w:hAnsi="仿宋" w:eastAsia="仿宋" w:cs="仿宋"/>
          <w:color w:val="auto"/>
          <w:sz w:val="28"/>
          <w:szCs w:val="36"/>
          <w:lang w:val="en-US" w:eastAsia="zh-CN"/>
        </w:rPr>
        <w:t>退换货要求</w:t>
      </w:r>
    </w:p>
    <w:p w14:paraId="5ADF57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（1）如发现中标人所交付的货物有次品或其他不符合本项目的采购文件要求或不能满足</w:t>
      </w:r>
      <w:r>
        <w:rPr>
          <w:rFonts w:hint="eastAsia" w:ascii="仿宋" w:hAnsi="仿宋" w:eastAsia="仿宋" w:cs="仿宋"/>
          <w:color w:val="auto"/>
          <w:sz w:val="28"/>
          <w:szCs w:val="36"/>
          <w:lang w:val="en-US" w:eastAsia="zh-CN"/>
        </w:rPr>
        <w:t xml:space="preserve">投标文件有关承诺等情况，采购人有权提出退换货处理或按违约处理，供应商针对此点提供书面承诺。 </w:t>
      </w:r>
    </w:p>
    <w:p w14:paraId="743E30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 xml:space="preserve">（2）由中标人负责对需退换货的产品做好相关记录，经中标人、采购人双方签字确认后，方可进行退换货品的工作。 </w:t>
      </w:r>
    </w:p>
    <w:p w14:paraId="278497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 xml:space="preserve">（3）中标人须在确认当天完成所有的退换货工作，退换货工作包括货品的运输、搬运、堆放等，且由此产生的一切费用由中标人承担。 </w:t>
      </w:r>
    </w:p>
    <w:p w14:paraId="011B77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eastAsia"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（4）本项目换货后的产品须满足采购文件要求及投标文件承诺，不得低于原货品的标准要求；中标人也可经采购人同意后，选择同档次或优于原货品的同类产品替换原货品。</w:t>
      </w:r>
    </w:p>
    <w:p w14:paraId="59B1D0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 xml:space="preserve">（5）中标人须严格按照各采购人的指令送货商品的数量，不得随意增减数量，否则，采购人有权拒收。如因市场流通问题确实需要变更的，应事先书面申请，并经采购人同意后方可改变。 </w:t>
      </w:r>
    </w:p>
    <w:p w14:paraId="23832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6）采购人发现采购货物不能正常使用的，中标人须出具承诺应无条件退换。中标人未能履行招标文件和合同所定事项，或供应不合格的、假冒伪劣、以次充好的商品，采购人退货后将记录在案，并对中标人予以处罚，要承担因此产生的一切损失和费用。</w:t>
      </w:r>
    </w:p>
    <w:p w14:paraId="05DC51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eastAsia" w:ascii="仿宋" w:hAnsi="仿宋" w:eastAsia="仿宋" w:cs="仿宋"/>
          <w:color w:val="auto"/>
          <w:sz w:val="28"/>
          <w:szCs w:val="36"/>
          <w:lang w:val="en-US" w:eastAsia="zh-CN"/>
        </w:rPr>
        <w:t>三、</w:t>
      </w:r>
      <w:r>
        <w:rPr>
          <w:rFonts w:hint="default" w:ascii="仿宋" w:hAnsi="仿宋" w:eastAsia="仿宋" w:cs="仿宋"/>
          <w:color w:val="auto"/>
          <w:sz w:val="28"/>
          <w:szCs w:val="36"/>
          <w:lang w:val="en-US" w:eastAsia="zh-CN"/>
        </w:rPr>
        <w:t xml:space="preserve">质量保证及售后采购： </w:t>
      </w:r>
    </w:p>
    <w:p w14:paraId="300614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（1）中标人须严格按照各采购人的指令配送商品的数量，不得随意增减数量，否则，采购人有权拒收。如因市场流通问题确实需要变更的，应事先书面申请，并经采购人同意后方可改变</w:t>
      </w:r>
      <w:r>
        <w:rPr>
          <w:rFonts w:hint="eastAsia" w:ascii="仿宋" w:hAnsi="仿宋" w:eastAsia="仿宋" w:cs="仿宋"/>
          <w:color w:val="auto"/>
          <w:sz w:val="28"/>
          <w:szCs w:val="36"/>
          <w:lang w:val="en-US" w:eastAsia="zh-CN"/>
        </w:rPr>
        <w:t>，</w:t>
      </w:r>
      <w:r>
        <w:rPr>
          <w:rFonts w:hint="default" w:ascii="仿宋" w:hAnsi="仿宋" w:eastAsia="仿宋" w:cs="仿宋"/>
          <w:color w:val="auto"/>
          <w:sz w:val="28"/>
          <w:szCs w:val="36"/>
          <w:lang w:val="en-US" w:eastAsia="zh-CN"/>
        </w:rPr>
        <w:t xml:space="preserve">提供承诺书，格式自拟。 </w:t>
      </w:r>
    </w:p>
    <w:p w14:paraId="1DC375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2）采购人发现采购货物存在质量问题的，中标人应无条件退换。中标人未能履行招标文件和合同所定事项，或供应不合格的、假冒伪劣、以次充好的商品，采购人退货后将记录在案，并对中标人予以处罚，要承担因此产生的一切损失和费用。提供承诺书，格式自拟。</w:t>
      </w:r>
    </w:p>
    <w:p w14:paraId="25F933FF">
      <w:pPr>
        <w:spacing w:line="360" w:lineRule="auto"/>
        <w:ind w:left="0" w:leftChars="0" w:firstLine="0" w:firstLineChars="0"/>
        <w:jc w:val="center"/>
        <w:outlineLvl w:val="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r>
        <w:rPr>
          <w:rFonts w:hint="eastAsia" w:ascii="仿宋" w:hAnsi="仿宋" w:eastAsia="仿宋" w:cs="仿宋"/>
          <w:b/>
          <w:color w:val="auto"/>
          <w:sz w:val="28"/>
          <w:szCs w:val="28"/>
          <w:highlight w:val="none"/>
        </w:rPr>
        <w:t>第六章</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拟签订的合同文本</w:t>
      </w:r>
    </w:p>
    <w:p w14:paraId="73B566C2">
      <w:pPr>
        <w:spacing w:line="480" w:lineRule="auto"/>
        <w:jc w:val="center"/>
        <w:outlineLvl w:val="0"/>
        <w:rPr>
          <w:rFonts w:hint="eastAsia" w:ascii="仿宋" w:hAnsi="仿宋" w:eastAsia="仿宋" w:cs="仿宋"/>
          <w:b/>
          <w:sz w:val="44"/>
          <w:szCs w:val="44"/>
        </w:rPr>
      </w:pPr>
      <w:r>
        <w:rPr>
          <w:rFonts w:hint="eastAsia" w:ascii="仿宋" w:hAnsi="仿宋" w:eastAsia="仿宋" w:cs="仿宋"/>
          <w:b/>
          <w:color w:val="auto"/>
          <w:kern w:val="2"/>
          <w:sz w:val="28"/>
          <w:szCs w:val="28"/>
          <w:highlight w:val="none"/>
          <w:lang w:val="en-US" w:eastAsia="zh-CN" w:bidi="ar-SA"/>
        </w:rPr>
        <w:t xml:space="preserve">     </w:t>
      </w:r>
      <w:r>
        <w:rPr>
          <w:rFonts w:hint="eastAsia" w:ascii="仿宋" w:hAnsi="仿宋" w:eastAsia="仿宋" w:cs="仿宋"/>
          <w:b/>
          <w:color w:val="auto"/>
          <w:kern w:val="2"/>
          <w:sz w:val="28"/>
          <w:szCs w:val="28"/>
          <w:highlight w:val="none"/>
          <w:lang w:val="en-US" w:eastAsia="zh-CN" w:bidi="ar-SA"/>
        </w:rPr>
        <w:br w:type="page"/>
      </w:r>
      <w:bookmarkEnd w:id="278"/>
      <w:bookmarkEnd w:id="279"/>
      <w:bookmarkEnd w:id="280"/>
      <w:bookmarkEnd w:id="281"/>
      <w:bookmarkEnd w:id="282"/>
      <w:r>
        <w:rPr>
          <w:rFonts w:hint="eastAsia" w:ascii="仿宋" w:hAnsi="仿宋" w:eastAsia="仿宋" w:cs="仿宋"/>
          <w:b/>
          <w:sz w:val="44"/>
          <w:szCs w:val="44"/>
        </w:rPr>
        <w:t>政府采购合同参考范本</w:t>
      </w:r>
    </w:p>
    <w:p w14:paraId="7CE8E47C">
      <w:pPr>
        <w:spacing w:line="480" w:lineRule="auto"/>
        <w:jc w:val="center"/>
        <w:outlineLvl w:val="0"/>
        <w:rPr>
          <w:rFonts w:hint="eastAsia" w:ascii="仿宋" w:hAnsi="仿宋" w:eastAsia="仿宋" w:cs="仿宋"/>
          <w:b/>
          <w:sz w:val="24"/>
        </w:rPr>
      </w:pPr>
      <w:bookmarkStart w:id="283" w:name="_Toc31037"/>
      <w:bookmarkStart w:id="284" w:name="_Toc13680"/>
      <w:bookmarkStart w:id="285" w:name="_Toc14258"/>
      <w:bookmarkStart w:id="286" w:name="_Toc17043"/>
      <w:bookmarkStart w:id="287" w:name="_Toc6083"/>
      <w:r>
        <w:rPr>
          <w:rFonts w:hint="eastAsia" w:ascii="仿宋" w:hAnsi="仿宋" w:eastAsia="仿宋" w:cs="仿宋"/>
          <w:b/>
          <w:sz w:val="24"/>
        </w:rPr>
        <w:t>（</w:t>
      </w:r>
      <w:r>
        <w:rPr>
          <w:rFonts w:hint="eastAsia" w:ascii="仿宋" w:hAnsi="仿宋" w:eastAsia="仿宋" w:cs="仿宋"/>
          <w:b/>
          <w:sz w:val="24"/>
          <w:lang w:eastAsia="zh-CN"/>
        </w:rPr>
        <w:t>服务和货物</w:t>
      </w:r>
      <w:r>
        <w:rPr>
          <w:rFonts w:hint="eastAsia" w:ascii="仿宋" w:hAnsi="仿宋" w:eastAsia="仿宋" w:cs="仿宋"/>
          <w:b/>
          <w:sz w:val="24"/>
        </w:rPr>
        <w:t>类）</w:t>
      </w:r>
      <w:bookmarkEnd w:id="283"/>
      <w:bookmarkEnd w:id="284"/>
      <w:bookmarkEnd w:id="285"/>
      <w:bookmarkEnd w:id="286"/>
      <w:bookmarkEnd w:id="287"/>
    </w:p>
    <w:p w14:paraId="6E7D9F5D">
      <w:pPr>
        <w:pStyle w:val="93"/>
        <w:ind w:firstLine="0"/>
        <w:rPr>
          <w:rFonts w:hint="eastAsia" w:ascii="仿宋" w:hAnsi="仿宋" w:eastAsia="仿宋" w:cs="仿宋"/>
          <w:szCs w:val="24"/>
        </w:rPr>
      </w:pPr>
    </w:p>
    <w:p w14:paraId="5F5327CD">
      <w:pPr>
        <w:pStyle w:val="93"/>
        <w:ind w:firstLine="0"/>
        <w:rPr>
          <w:rFonts w:hint="eastAsia" w:ascii="仿宋" w:hAnsi="仿宋" w:eastAsia="仿宋" w:cs="仿宋"/>
          <w:szCs w:val="24"/>
        </w:rPr>
      </w:pPr>
    </w:p>
    <w:p w14:paraId="28E463BE">
      <w:pPr>
        <w:pStyle w:val="93"/>
        <w:ind w:firstLine="0"/>
        <w:rPr>
          <w:rFonts w:hint="eastAsia" w:ascii="仿宋" w:hAnsi="仿宋" w:eastAsia="仿宋" w:cs="仿宋"/>
          <w:szCs w:val="24"/>
        </w:rPr>
      </w:pPr>
    </w:p>
    <w:p w14:paraId="7BB0A1C8">
      <w:pPr>
        <w:pStyle w:val="93"/>
        <w:ind w:firstLine="0"/>
        <w:jc w:val="center"/>
        <w:rPr>
          <w:rFonts w:hint="eastAsia" w:ascii="仿宋" w:hAnsi="仿宋" w:eastAsia="仿宋" w:cs="仿宋"/>
          <w:b/>
          <w:szCs w:val="24"/>
        </w:rPr>
      </w:pPr>
      <w:r>
        <w:rPr>
          <w:rFonts w:hint="eastAsia" w:ascii="仿宋" w:hAnsi="仿宋" w:eastAsia="仿宋" w:cs="仿宋"/>
          <w:b/>
          <w:szCs w:val="24"/>
        </w:rPr>
        <w:t>第一部分合同书</w:t>
      </w:r>
    </w:p>
    <w:p w14:paraId="5A2BA007">
      <w:pPr>
        <w:pStyle w:val="61"/>
        <w:rPr>
          <w:rFonts w:hint="eastAsia" w:ascii="仿宋" w:hAnsi="仿宋" w:eastAsia="仿宋" w:cs="仿宋"/>
        </w:rPr>
      </w:pPr>
    </w:p>
    <w:p w14:paraId="7A5E202C">
      <w:pPr>
        <w:pStyle w:val="61"/>
        <w:rPr>
          <w:rFonts w:hint="eastAsia" w:ascii="仿宋" w:hAnsi="仿宋" w:eastAsia="仿宋" w:cs="仿宋"/>
        </w:rPr>
      </w:pPr>
    </w:p>
    <w:p w14:paraId="4865F055">
      <w:pPr>
        <w:pStyle w:val="61"/>
        <w:rPr>
          <w:rFonts w:hint="eastAsia" w:ascii="仿宋" w:hAnsi="仿宋" w:eastAsia="仿宋" w:cs="仿宋"/>
        </w:rPr>
      </w:pPr>
    </w:p>
    <w:p w14:paraId="490301C3">
      <w:pPr>
        <w:pStyle w:val="61"/>
        <w:rPr>
          <w:rFonts w:hint="eastAsia" w:ascii="仿宋" w:hAnsi="仿宋" w:eastAsia="仿宋" w:cs="仿宋"/>
        </w:rPr>
      </w:pPr>
    </w:p>
    <w:p w14:paraId="6D1D4A36">
      <w:pPr>
        <w:spacing w:before="120" w:line="22" w:lineRule="atLeast"/>
        <w:rPr>
          <w:rFonts w:hint="eastAsia" w:ascii="仿宋" w:hAnsi="仿宋" w:eastAsia="仿宋" w:cs="仿宋"/>
          <w:sz w:val="24"/>
        </w:rPr>
      </w:pPr>
    </w:p>
    <w:p w14:paraId="3ADB0545">
      <w:pPr>
        <w:spacing w:before="120" w:line="22" w:lineRule="atLeast"/>
        <w:ind w:left="960"/>
        <w:rPr>
          <w:rFonts w:hint="eastAsia" w:ascii="仿宋" w:hAnsi="仿宋" w:eastAsia="仿宋" w:cs="仿宋"/>
          <w:sz w:val="24"/>
        </w:rPr>
      </w:pPr>
      <w:r>
        <w:rPr>
          <w:rFonts w:hint="eastAsia" w:ascii="仿宋" w:hAnsi="仿宋" w:eastAsia="仿宋" w:cs="仿宋"/>
          <w:sz w:val="24"/>
        </w:rPr>
        <w:t>项目名称：</w:t>
      </w:r>
    </w:p>
    <w:p w14:paraId="6437CCB8">
      <w:pPr>
        <w:spacing w:before="120" w:line="22" w:lineRule="atLeast"/>
        <w:ind w:left="960"/>
        <w:rPr>
          <w:rFonts w:hint="eastAsia" w:ascii="仿宋" w:hAnsi="仿宋" w:eastAsia="仿宋" w:cs="仿宋"/>
        </w:rPr>
      </w:pPr>
    </w:p>
    <w:p w14:paraId="69517C97">
      <w:pPr>
        <w:pStyle w:val="196"/>
        <w:spacing w:before="120" w:line="22" w:lineRule="atLeast"/>
        <w:rPr>
          <w:rFonts w:hint="eastAsia" w:ascii="仿宋" w:hAnsi="仿宋" w:eastAsia="仿宋" w:cs="仿宋"/>
          <w:szCs w:val="24"/>
        </w:rPr>
      </w:pPr>
    </w:p>
    <w:p w14:paraId="0B74573C">
      <w:pPr>
        <w:rPr>
          <w:rFonts w:hint="eastAsia" w:ascii="仿宋" w:hAnsi="仿宋" w:eastAsia="仿宋" w:cs="仿宋"/>
        </w:rPr>
      </w:pPr>
    </w:p>
    <w:p w14:paraId="65EF47A5">
      <w:pPr>
        <w:spacing w:before="120" w:line="22" w:lineRule="atLeast"/>
        <w:ind w:left="960"/>
        <w:rPr>
          <w:rFonts w:hint="eastAsia" w:ascii="仿宋" w:hAnsi="仿宋" w:eastAsia="仿宋" w:cs="仿宋"/>
          <w:sz w:val="24"/>
          <w:u w:val="single"/>
          <w:lang w:eastAsia="zh-CN"/>
        </w:rPr>
      </w:pPr>
      <w:r>
        <w:rPr>
          <w:rFonts w:hint="eastAsia" w:ascii="仿宋" w:hAnsi="仿宋" w:eastAsia="仿宋" w:cs="仿宋"/>
          <w:sz w:val="24"/>
        </w:rPr>
        <w:t>甲方：</w:t>
      </w:r>
    </w:p>
    <w:p w14:paraId="7D40BF07">
      <w:pPr>
        <w:spacing w:before="120" w:line="22" w:lineRule="atLeast"/>
        <w:rPr>
          <w:rFonts w:hint="eastAsia" w:ascii="仿宋" w:hAnsi="仿宋" w:eastAsia="仿宋" w:cs="仿宋"/>
          <w:sz w:val="24"/>
        </w:rPr>
      </w:pPr>
    </w:p>
    <w:p w14:paraId="496D822D">
      <w:pPr>
        <w:spacing w:before="120" w:line="22" w:lineRule="atLeast"/>
        <w:ind w:left="960"/>
        <w:rPr>
          <w:rFonts w:hint="eastAsia" w:ascii="仿宋" w:hAnsi="仿宋" w:eastAsia="仿宋" w:cs="仿宋"/>
          <w:sz w:val="24"/>
          <w:u w:val="single"/>
          <w:lang w:eastAsia="zh-CN"/>
        </w:rPr>
      </w:pPr>
      <w:r>
        <w:rPr>
          <w:rFonts w:hint="eastAsia" w:ascii="仿宋" w:hAnsi="仿宋" w:eastAsia="仿宋" w:cs="仿宋"/>
          <w:sz w:val="24"/>
        </w:rPr>
        <w:t>乙方：</w:t>
      </w:r>
    </w:p>
    <w:p w14:paraId="269064CD">
      <w:pPr>
        <w:spacing w:before="120" w:line="22" w:lineRule="atLeast"/>
        <w:rPr>
          <w:rFonts w:hint="eastAsia" w:ascii="仿宋" w:hAnsi="仿宋" w:eastAsia="仿宋" w:cs="仿宋"/>
          <w:sz w:val="24"/>
        </w:rPr>
      </w:pPr>
    </w:p>
    <w:p w14:paraId="18481A08">
      <w:pPr>
        <w:spacing w:before="120" w:line="22" w:lineRule="atLeast"/>
        <w:rPr>
          <w:rFonts w:hint="eastAsia" w:ascii="仿宋" w:hAnsi="仿宋" w:eastAsia="仿宋" w:cs="仿宋"/>
          <w:sz w:val="24"/>
          <w:u w:val="single"/>
          <w:lang w:eastAsia="zh-CN"/>
        </w:rPr>
      </w:pPr>
      <w:r>
        <w:rPr>
          <w:rFonts w:hint="eastAsia" w:ascii="仿宋" w:hAnsi="仿宋" w:eastAsia="仿宋" w:cs="仿宋"/>
          <w:sz w:val="24"/>
        </w:rPr>
        <w:t>签订地：</w:t>
      </w:r>
    </w:p>
    <w:p w14:paraId="52179693">
      <w:pPr>
        <w:spacing w:before="120" w:line="22" w:lineRule="atLeast"/>
        <w:rPr>
          <w:rFonts w:hint="eastAsia" w:ascii="仿宋" w:hAnsi="仿宋" w:eastAsia="仿宋" w:cs="仿宋"/>
          <w:sz w:val="24"/>
        </w:rPr>
      </w:pPr>
    </w:p>
    <w:p w14:paraId="7BFB898E">
      <w:pPr>
        <w:spacing w:before="120" w:line="22" w:lineRule="atLeast"/>
        <w:rPr>
          <w:rFonts w:hint="eastAsia" w:ascii="仿宋" w:hAnsi="仿宋" w:eastAsia="仿宋" w:cs="仿宋"/>
          <w:sz w:val="24"/>
          <w:u w:val="single"/>
        </w:rPr>
      </w:pPr>
      <w:r>
        <w:rPr>
          <w:rFonts w:hint="eastAsia" w:ascii="仿宋" w:hAnsi="仿宋" w:eastAsia="仿宋" w:cs="仿宋"/>
          <w:sz w:val="24"/>
        </w:rPr>
        <w:t>签订日期：年月日</w:t>
      </w:r>
    </w:p>
    <w:p w14:paraId="293D9097">
      <w:pPr>
        <w:pStyle w:val="61"/>
        <w:rPr>
          <w:rFonts w:hint="eastAsia" w:ascii="仿宋" w:hAnsi="仿宋" w:eastAsia="仿宋" w:cs="仿宋"/>
        </w:rPr>
        <w:sectPr>
          <w:type w:val="continuous"/>
          <w:pgSz w:w="11907" w:h="16840"/>
          <w:pgMar w:top="1440" w:right="1080" w:bottom="1440" w:left="1080" w:header="510" w:footer="1020" w:gutter="0"/>
          <w:pgNumType w:fmt="decimal"/>
          <w:cols w:space="720" w:num="1"/>
          <w:docGrid w:linePitch="462" w:charSpace="0"/>
        </w:sectPr>
      </w:pPr>
    </w:p>
    <w:p w14:paraId="4628E98F">
      <w:pPr>
        <w:spacing w:line="560" w:lineRule="exact"/>
        <w:ind w:firstLine="480" w:firstLineChars="200"/>
        <w:rPr>
          <w:rFonts w:hint="eastAsia" w:ascii="仿宋" w:hAnsi="仿宋" w:eastAsia="仿宋" w:cs="仿宋"/>
          <w:sz w:val="24"/>
        </w:rPr>
      </w:pPr>
      <w:r>
        <w:rPr>
          <w:rFonts w:hint="eastAsia" w:ascii="仿宋" w:hAnsi="仿宋" w:eastAsia="仿宋" w:cs="仿宋"/>
          <w:sz w:val="24"/>
          <w:u w:val="single"/>
          <w:lang w:val="zh-CN" w:eastAsia="zh-CN"/>
        </w:rPr>
        <w:t>　　　</w:t>
      </w:r>
      <w:r>
        <w:rPr>
          <w:rFonts w:hint="eastAsia" w:ascii="仿宋" w:hAnsi="仿宋" w:eastAsia="仿宋" w:cs="仿宋"/>
          <w:sz w:val="24"/>
          <w:lang w:val="zh-CN" w:eastAsia="zh-CN"/>
        </w:rPr>
        <w:t>年</w:t>
      </w:r>
      <w:r>
        <w:rPr>
          <w:rFonts w:hint="eastAsia" w:ascii="仿宋" w:hAnsi="仿宋" w:eastAsia="仿宋" w:cs="仿宋"/>
          <w:sz w:val="24"/>
          <w:u w:val="single"/>
          <w:lang w:val="zh-CN" w:eastAsia="zh-CN"/>
        </w:rPr>
        <w:t>　　</w:t>
      </w:r>
      <w:r>
        <w:rPr>
          <w:rFonts w:hint="eastAsia" w:ascii="仿宋" w:hAnsi="仿宋" w:eastAsia="仿宋" w:cs="仿宋"/>
          <w:sz w:val="24"/>
          <w:lang w:val="zh-CN" w:eastAsia="zh-CN"/>
        </w:rPr>
        <w:t>月</w:t>
      </w:r>
      <w:r>
        <w:rPr>
          <w:rFonts w:hint="eastAsia" w:ascii="仿宋" w:hAnsi="仿宋" w:eastAsia="仿宋" w:cs="仿宋"/>
          <w:sz w:val="24"/>
          <w:u w:val="single"/>
          <w:lang w:val="zh-CN" w:eastAsia="zh-CN"/>
        </w:rPr>
        <w:t>　　</w:t>
      </w:r>
      <w:r>
        <w:rPr>
          <w:rFonts w:hint="eastAsia" w:ascii="仿宋" w:hAnsi="仿宋" w:eastAsia="仿宋" w:cs="仿宋"/>
          <w:sz w:val="24"/>
          <w:lang w:val="zh-CN" w:eastAsia="zh-CN"/>
        </w:rPr>
        <w:t>日</w:t>
      </w:r>
      <w:r>
        <w:rPr>
          <w:rFonts w:hint="eastAsia" w:ascii="仿宋" w:hAnsi="仿宋" w:eastAsia="仿宋" w:cs="仿宋"/>
          <w:sz w:val="24"/>
        </w:rPr>
        <w:t>，</w:t>
      </w:r>
      <w:r>
        <w:rPr>
          <w:rFonts w:hint="eastAsia" w:ascii="仿宋" w:hAnsi="仿宋" w:eastAsia="仿宋" w:cs="仿宋"/>
          <w:sz w:val="24"/>
          <w:u w:val="single"/>
        </w:rPr>
        <w:t>（采购人名称）</w:t>
      </w:r>
      <w:r>
        <w:rPr>
          <w:rFonts w:hint="eastAsia" w:ascii="仿宋" w:hAnsi="仿宋" w:eastAsia="仿宋" w:cs="仿宋"/>
          <w:sz w:val="24"/>
        </w:rPr>
        <w:t>以</w:t>
      </w:r>
      <w:r>
        <w:rPr>
          <w:rFonts w:hint="eastAsia" w:ascii="仿宋" w:hAnsi="仿宋" w:eastAsia="仿宋" w:cs="仿宋"/>
          <w:sz w:val="24"/>
          <w:u w:val="single"/>
        </w:rPr>
        <w:t>（政府采购方式）</w:t>
      </w:r>
      <w:r>
        <w:rPr>
          <w:rFonts w:hint="eastAsia" w:ascii="仿宋" w:hAnsi="仿宋" w:eastAsia="仿宋" w:cs="仿宋"/>
          <w:sz w:val="24"/>
        </w:rPr>
        <w:t>对</w:t>
      </w:r>
      <w:r>
        <w:rPr>
          <w:rFonts w:hint="eastAsia" w:ascii="仿宋" w:hAnsi="仿宋" w:eastAsia="仿宋" w:cs="仿宋"/>
          <w:sz w:val="24"/>
          <w:u w:val="single"/>
        </w:rPr>
        <w:t>（同前页项目名称）</w:t>
      </w:r>
      <w:r>
        <w:rPr>
          <w:rFonts w:hint="eastAsia" w:ascii="仿宋" w:hAnsi="仿宋" w:eastAsia="仿宋" w:cs="仿宋"/>
          <w:sz w:val="24"/>
        </w:rPr>
        <w:t>项目进行了采购。经</w:t>
      </w:r>
      <w:r>
        <w:rPr>
          <w:rFonts w:hint="eastAsia" w:ascii="仿宋" w:hAnsi="仿宋" w:eastAsia="仿宋" w:cs="仿宋"/>
          <w:sz w:val="24"/>
          <w:u w:val="single"/>
        </w:rPr>
        <w:t>（相关评定主体名称）</w:t>
      </w:r>
      <w:r>
        <w:rPr>
          <w:rFonts w:hint="eastAsia" w:ascii="仿宋" w:hAnsi="仿宋" w:eastAsia="仿宋" w:cs="仿宋"/>
          <w:sz w:val="24"/>
        </w:rPr>
        <w:t>评定，</w:t>
      </w:r>
      <w:r>
        <w:rPr>
          <w:rFonts w:hint="eastAsia" w:ascii="仿宋" w:hAnsi="仿宋" w:eastAsia="仿宋" w:cs="仿宋"/>
          <w:sz w:val="24"/>
          <w:u w:val="single"/>
          <w:lang w:eastAsia="zh-CN"/>
        </w:rPr>
        <w:t>　　　　</w:t>
      </w:r>
      <w:r>
        <w:rPr>
          <w:rFonts w:hint="eastAsia" w:ascii="仿宋" w:hAnsi="仿宋" w:eastAsia="仿宋" w:cs="仿宋"/>
          <w:sz w:val="24"/>
          <w:u w:val="single"/>
        </w:rPr>
        <w:t>（中标供应商名称）</w:t>
      </w:r>
      <w:r>
        <w:rPr>
          <w:rFonts w:hint="eastAsia" w:ascii="仿宋" w:hAnsi="仿宋" w:eastAsia="仿宋" w:cs="仿宋"/>
          <w:sz w:val="24"/>
        </w:rPr>
        <w:t>为该项目中标供应商。现于中标通知书发出之日起三十日内，按照采购文件确定的事项签订本合同。</w:t>
      </w:r>
    </w:p>
    <w:p w14:paraId="49E44991">
      <w:pPr>
        <w:spacing w:line="560" w:lineRule="exact"/>
        <w:ind w:firstLine="480" w:firstLineChars="200"/>
        <w:rPr>
          <w:rFonts w:hint="eastAsia" w:ascii="仿宋" w:hAnsi="仿宋" w:eastAsia="仿宋" w:cs="仿宋"/>
          <w:sz w:val="24"/>
        </w:rPr>
      </w:pPr>
      <w:r>
        <w:rPr>
          <w:rFonts w:hint="eastAsia" w:ascii="仿宋" w:hAnsi="仿宋" w:eastAsia="仿宋" w:cs="仿宋"/>
          <w:sz w:val="24"/>
          <w:lang w:val="zh-CN"/>
        </w:rPr>
        <w:t>根据《</w:t>
      </w:r>
      <w:r>
        <w:rPr>
          <w:rFonts w:hint="eastAsia" w:ascii="仿宋" w:hAnsi="仿宋" w:eastAsia="仿宋" w:cs="仿宋"/>
          <w:sz w:val="24"/>
          <w:lang w:val="en-US" w:eastAsia="zh-CN"/>
        </w:rPr>
        <w:t>中华人民共和国民法典</w:t>
      </w:r>
      <w:r>
        <w:rPr>
          <w:rFonts w:hint="eastAsia" w:ascii="仿宋" w:hAnsi="仿宋" w:eastAsia="仿宋" w:cs="仿宋"/>
          <w:sz w:val="24"/>
          <w:lang w:val="zh-CN"/>
        </w:rPr>
        <w:t>》《中华人民共和国政府采购法》等相关法律法规之规定，按照平等、自愿、公平和诚实信用的原则，经</w:t>
      </w:r>
      <w:r>
        <w:rPr>
          <w:rFonts w:hint="eastAsia" w:ascii="仿宋" w:hAnsi="仿宋" w:eastAsia="仿宋" w:cs="仿宋"/>
          <w:sz w:val="24"/>
          <w:u w:val="single"/>
        </w:rPr>
        <w:t>（采购人名称）</w:t>
      </w:r>
      <w:r>
        <w:rPr>
          <w:rFonts w:hint="eastAsia" w:ascii="仿宋" w:hAnsi="仿宋" w:eastAsia="仿宋" w:cs="仿宋"/>
          <w:sz w:val="24"/>
          <w:u w:val="single"/>
          <w:lang w:eastAsia="zh-CN"/>
        </w:rPr>
        <w:t>（</w:t>
      </w:r>
      <w:r>
        <w:rPr>
          <w:rFonts w:hint="eastAsia" w:ascii="仿宋" w:hAnsi="仿宋" w:eastAsia="仿宋" w:cs="仿宋"/>
          <w:sz w:val="24"/>
          <w:lang w:val="zh-CN"/>
        </w:rPr>
        <w:t>以下简称：甲方）和</w:t>
      </w:r>
      <w:r>
        <w:rPr>
          <w:rFonts w:hint="eastAsia" w:ascii="仿宋" w:hAnsi="仿宋" w:eastAsia="仿宋" w:cs="仿宋"/>
          <w:sz w:val="24"/>
          <w:u w:val="single"/>
        </w:rPr>
        <w:t>（中标供应商名称）</w:t>
      </w:r>
      <w:r>
        <w:rPr>
          <w:rFonts w:hint="eastAsia" w:ascii="仿宋" w:hAnsi="仿宋" w:eastAsia="仿宋" w:cs="仿宋"/>
          <w:sz w:val="24"/>
          <w:u w:val="single"/>
          <w:lang w:eastAsia="zh-CN"/>
        </w:rPr>
        <w:t>（</w:t>
      </w:r>
      <w:r>
        <w:rPr>
          <w:rFonts w:hint="eastAsia" w:ascii="仿宋" w:hAnsi="仿宋" w:eastAsia="仿宋" w:cs="仿宋"/>
          <w:sz w:val="24"/>
          <w:lang w:val="zh-CN"/>
        </w:rPr>
        <w:t>以下简称：乙方）协商一致，约定以下合同</w:t>
      </w:r>
      <w:r>
        <w:rPr>
          <w:rFonts w:hint="eastAsia" w:ascii="仿宋" w:hAnsi="仿宋" w:eastAsia="仿宋" w:cs="仿宋"/>
          <w:sz w:val="24"/>
        </w:rPr>
        <w:t>条款，以兹共同遵守、全面履行。</w:t>
      </w:r>
    </w:p>
    <w:p w14:paraId="206C5275">
      <w:pPr>
        <w:spacing w:line="560" w:lineRule="exact"/>
        <w:ind w:firstLine="482" w:firstLineChars="200"/>
        <w:outlineLvl w:val="0"/>
        <w:rPr>
          <w:rFonts w:hint="eastAsia" w:ascii="仿宋" w:hAnsi="仿宋" w:eastAsia="仿宋" w:cs="仿宋"/>
          <w:sz w:val="24"/>
        </w:rPr>
      </w:pPr>
      <w:bookmarkStart w:id="288" w:name="_Toc21236"/>
      <w:bookmarkStart w:id="289" w:name="_Toc25076"/>
      <w:bookmarkStart w:id="290" w:name="_Toc36838370"/>
      <w:bookmarkStart w:id="291" w:name="_Toc37247723"/>
      <w:bookmarkStart w:id="292" w:name="_Toc30859"/>
      <w:r>
        <w:rPr>
          <w:rFonts w:hint="eastAsia" w:ascii="仿宋" w:hAnsi="仿宋" w:eastAsia="仿宋" w:cs="仿宋"/>
          <w:b/>
          <w:sz w:val="24"/>
        </w:rPr>
        <w:t>1.1合同组成部分</w:t>
      </w:r>
      <w:bookmarkEnd w:id="288"/>
      <w:bookmarkEnd w:id="289"/>
      <w:bookmarkEnd w:id="290"/>
      <w:bookmarkEnd w:id="291"/>
      <w:bookmarkEnd w:id="292"/>
    </w:p>
    <w:p w14:paraId="5300574B">
      <w:pPr>
        <w:spacing w:line="560" w:lineRule="exact"/>
        <w:ind w:firstLine="480" w:firstLineChars="200"/>
        <w:rPr>
          <w:rFonts w:hint="eastAsia" w:ascii="仿宋" w:hAnsi="仿宋" w:eastAsia="仿宋" w:cs="仿宋"/>
          <w:sz w:val="24"/>
        </w:rPr>
      </w:pPr>
      <w:r>
        <w:rPr>
          <w:rFonts w:hint="eastAsia" w:ascii="仿宋" w:hAnsi="仿宋" w:eastAsia="仿宋" w:cs="仿宋"/>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3EDEA46B">
      <w:pPr>
        <w:spacing w:line="560" w:lineRule="exact"/>
        <w:ind w:firstLine="480" w:firstLineChars="200"/>
        <w:rPr>
          <w:rFonts w:hint="eastAsia" w:ascii="仿宋" w:hAnsi="仿宋" w:eastAsia="仿宋" w:cs="仿宋"/>
          <w:sz w:val="24"/>
        </w:rPr>
      </w:pPr>
      <w:r>
        <w:rPr>
          <w:rFonts w:hint="eastAsia" w:ascii="仿宋" w:hAnsi="仿宋" w:eastAsia="仿宋" w:cs="仿宋"/>
          <w:sz w:val="24"/>
        </w:rPr>
        <w:t>1.1.1本合同及其补充合同、变更协议；</w:t>
      </w:r>
    </w:p>
    <w:p w14:paraId="58725752">
      <w:pPr>
        <w:spacing w:line="560" w:lineRule="exact"/>
        <w:ind w:firstLine="480" w:firstLineChars="200"/>
        <w:rPr>
          <w:rFonts w:hint="eastAsia" w:ascii="仿宋" w:hAnsi="仿宋" w:eastAsia="仿宋" w:cs="仿宋"/>
          <w:sz w:val="24"/>
        </w:rPr>
      </w:pPr>
      <w:r>
        <w:rPr>
          <w:rFonts w:hint="eastAsia" w:ascii="仿宋" w:hAnsi="仿宋" w:eastAsia="仿宋" w:cs="仿宋"/>
          <w:sz w:val="24"/>
        </w:rPr>
        <w:t>1.1.2中标通知书；</w:t>
      </w:r>
    </w:p>
    <w:p w14:paraId="23D46D3D">
      <w:pPr>
        <w:spacing w:line="560" w:lineRule="exact"/>
        <w:ind w:firstLine="480" w:firstLineChars="200"/>
        <w:rPr>
          <w:rFonts w:hint="eastAsia" w:ascii="仿宋" w:hAnsi="仿宋" w:eastAsia="仿宋" w:cs="仿宋"/>
          <w:sz w:val="24"/>
        </w:rPr>
      </w:pPr>
      <w:r>
        <w:rPr>
          <w:rFonts w:hint="eastAsia" w:ascii="仿宋" w:hAnsi="仿宋" w:eastAsia="仿宋" w:cs="仿宋"/>
          <w:sz w:val="24"/>
        </w:rPr>
        <w:t>1.1.3投标文件（含澄清或者说明文件）；</w:t>
      </w:r>
    </w:p>
    <w:p w14:paraId="6E0D6F20">
      <w:pPr>
        <w:spacing w:line="560" w:lineRule="exact"/>
        <w:ind w:firstLine="480" w:firstLineChars="200"/>
        <w:rPr>
          <w:rFonts w:hint="eastAsia" w:ascii="仿宋" w:hAnsi="仿宋" w:eastAsia="仿宋" w:cs="仿宋"/>
          <w:sz w:val="24"/>
        </w:rPr>
      </w:pPr>
      <w:r>
        <w:rPr>
          <w:rFonts w:hint="eastAsia" w:ascii="仿宋" w:hAnsi="仿宋" w:eastAsia="仿宋" w:cs="仿宋"/>
          <w:sz w:val="24"/>
        </w:rPr>
        <w:t>1.1.4招标文件（含澄清或者修改文件）；</w:t>
      </w:r>
    </w:p>
    <w:p w14:paraId="5FF4AF26">
      <w:pPr>
        <w:spacing w:line="560" w:lineRule="exact"/>
        <w:ind w:firstLine="480" w:firstLineChars="200"/>
        <w:rPr>
          <w:rFonts w:hint="eastAsia" w:ascii="仿宋" w:hAnsi="仿宋" w:eastAsia="仿宋" w:cs="仿宋"/>
          <w:sz w:val="24"/>
        </w:rPr>
      </w:pPr>
      <w:r>
        <w:rPr>
          <w:rFonts w:hint="eastAsia" w:ascii="仿宋" w:hAnsi="仿宋" w:eastAsia="仿宋" w:cs="仿宋"/>
          <w:sz w:val="24"/>
        </w:rPr>
        <w:t>1.1.5其他相关采购文件。</w:t>
      </w:r>
    </w:p>
    <w:p w14:paraId="401962FB">
      <w:pPr>
        <w:spacing w:line="560" w:lineRule="exact"/>
        <w:ind w:firstLine="482" w:firstLineChars="200"/>
        <w:outlineLvl w:val="0"/>
        <w:rPr>
          <w:rFonts w:hint="eastAsia" w:ascii="仿宋" w:hAnsi="仿宋" w:eastAsia="仿宋" w:cs="仿宋"/>
          <w:b/>
          <w:sz w:val="24"/>
        </w:rPr>
      </w:pPr>
      <w:bookmarkStart w:id="293" w:name="_Toc37247724"/>
      <w:bookmarkStart w:id="294" w:name="_Toc7624"/>
      <w:bookmarkStart w:id="295" w:name="_Toc36838371"/>
      <w:bookmarkStart w:id="296" w:name="_Toc27192"/>
      <w:bookmarkStart w:id="297" w:name="_Toc8423"/>
      <w:r>
        <w:rPr>
          <w:rFonts w:hint="eastAsia" w:ascii="仿宋" w:hAnsi="仿宋" w:eastAsia="仿宋" w:cs="仿宋"/>
          <w:b/>
          <w:sz w:val="24"/>
        </w:rPr>
        <w:t>1.2标的</w:t>
      </w:r>
      <w:bookmarkEnd w:id="293"/>
      <w:bookmarkEnd w:id="294"/>
      <w:bookmarkEnd w:id="295"/>
      <w:bookmarkEnd w:id="296"/>
      <w:bookmarkEnd w:id="297"/>
    </w:p>
    <w:p w14:paraId="437C0027">
      <w:pPr>
        <w:spacing w:line="560" w:lineRule="exact"/>
        <w:ind w:firstLine="480" w:firstLineChars="200"/>
        <w:rPr>
          <w:rFonts w:hint="eastAsia" w:ascii="仿宋" w:hAnsi="仿宋" w:eastAsia="仿宋" w:cs="仿宋"/>
          <w:sz w:val="24"/>
          <w:u w:val="single"/>
        </w:rPr>
      </w:pPr>
      <w:r>
        <w:rPr>
          <w:rFonts w:hint="eastAsia" w:ascii="仿宋" w:hAnsi="仿宋" w:eastAsia="仿宋" w:cs="仿宋"/>
          <w:sz w:val="24"/>
        </w:rPr>
        <w:t>1.2.1标的名称</w:t>
      </w:r>
      <w:r>
        <w:rPr>
          <w:rFonts w:hint="eastAsia" w:ascii="仿宋" w:hAnsi="仿宋" w:eastAsia="仿宋" w:cs="仿宋"/>
          <w:sz w:val="24"/>
          <w:lang w:eastAsia="zh-CN"/>
        </w:rPr>
        <w:t>：</w:t>
      </w:r>
      <w:r>
        <w:rPr>
          <w:rFonts w:hint="eastAsia" w:ascii="仿宋" w:hAnsi="仿宋" w:eastAsia="仿宋" w:cs="仿宋"/>
          <w:sz w:val="24"/>
          <w:lang w:val="en-US" w:eastAsia="zh-CN"/>
        </w:rPr>
        <w:t xml:space="preserve"> 　</w:t>
      </w:r>
    </w:p>
    <w:p w14:paraId="47251023">
      <w:pPr>
        <w:spacing w:line="560" w:lineRule="exact"/>
        <w:ind w:firstLine="480" w:firstLineChars="200"/>
        <w:rPr>
          <w:rFonts w:hint="eastAsia" w:ascii="仿宋" w:hAnsi="仿宋" w:eastAsia="仿宋" w:cs="仿宋"/>
          <w:sz w:val="24"/>
          <w:u w:val="single"/>
        </w:rPr>
      </w:pPr>
      <w:r>
        <w:rPr>
          <w:rFonts w:hint="eastAsia" w:ascii="仿宋" w:hAnsi="仿宋" w:eastAsia="仿宋" w:cs="仿宋"/>
          <w:sz w:val="24"/>
        </w:rPr>
        <w:t>1.2.2标的数量</w:t>
      </w:r>
      <w:r>
        <w:rPr>
          <w:rFonts w:hint="eastAsia" w:ascii="仿宋" w:hAnsi="仿宋" w:eastAsia="仿宋" w:cs="仿宋"/>
          <w:sz w:val="24"/>
          <w:lang w:eastAsia="zh-CN"/>
        </w:rPr>
        <w:t>：</w:t>
      </w:r>
    </w:p>
    <w:p w14:paraId="1534BB1C">
      <w:pPr>
        <w:spacing w:line="560" w:lineRule="exact"/>
        <w:ind w:firstLine="480" w:firstLineChars="200"/>
        <w:rPr>
          <w:rFonts w:hint="eastAsia" w:ascii="仿宋" w:hAnsi="仿宋" w:eastAsia="仿宋" w:cs="仿宋"/>
          <w:sz w:val="24"/>
        </w:rPr>
      </w:pPr>
      <w:r>
        <w:rPr>
          <w:rFonts w:hint="eastAsia" w:ascii="仿宋" w:hAnsi="仿宋" w:eastAsia="仿宋" w:cs="仿宋"/>
          <w:sz w:val="24"/>
        </w:rPr>
        <w:t>1.2.3标的质量：</w:t>
      </w:r>
      <w:r>
        <w:rPr>
          <w:rFonts w:hint="eastAsia" w:ascii="仿宋" w:hAnsi="仿宋" w:eastAsia="仿宋" w:cs="仿宋"/>
          <w:sz w:val="24"/>
          <w:u w:val="single"/>
        </w:rPr>
        <w:t>　　　　</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　　　　　　</w:t>
      </w:r>
      <w:r>
        <w:rPr>
          <w:rFonts w:hint="eastAsia" w:ascii="仿宋" w:hAnsi="仿宋" w:eastAsia="仿宋" w:cs="仿宋"/>
          <w:sz w:val="24"/>
        </w:rPr>
        <w:t>。</w:t>
      </w:r>
    </w:p>
    <w:p w14:paraId="57C7B605">
      <w:pPr>
        <w:spacing w:line="560" w:lineRule="exact"/>
        <w:ind w:firstLine="482" w:firstLineChars="200"/>
        <w:outlineLvl w:val="0"/>
        <w:rPr>
          <w:rFonts w:hint="eastAsia" w:ascii="仿宋" w:hAnsi="仿宋" w:eastAsia="仿宋" w:cs="仿宋"/>
          <w:b/>
          <w:sz w:val="24"/>
        </w:rPr>
      </w:pPr>
      <w:bookmarkStart w:id="298" w:name="_Toc19137"/>
      <w:bookmarkStart w:id="299" w:name="_Toc37247725"/>
      <w:bookmarkStart w:id="300" w:name="_Toc9408"/>
      <w:bookmarkStart w:id="301" w:name="_Toc36838372"/>
      <w:bookmarkStart w:id="302" w:name="_Toc15376"/>
      <w:r>
        <w:rPr>
          <w:rFonts w:hint="eastAsia" w:ascii="仿宋" w:hAnsi="仿宋" w:eastAsia="仿宋" w:cs="仿宋"/>
          <w:b/>
          <w:sz w:val="24"/>
        </w:rPr>
        <w:t>1.3价款</w:t>
      </w:r>
      <w:bookmarkEnd w:id="298"/>
      <w:bookmarkEnd w:id="299"/>
      <w:bookmarkEnd w:id="300"/>
      <w:bookmarkEnd w:id="301"/>
      <w:bookmarkEnd w:id="302"/>
    </w:p>
    <w:p w14:paraId="0A09468C">
      <w:pPr>
        <w:spacing w:line="560" w:lineRule="exact"/>
        <w:ind w:firstLine="480" w:firstLineChars="200"/>
        <w:rPr>
          <w:rFonts w:hint="eastAsia" w:ascii="仿宋" w:hAnsi="仿宋" w:eastAsia="仿宋" w:cs="仿宋"/>
          <w:sz w:val="24"/>
        </w:rPr>
      </w:pPr>
      <w:r>
        <w:rPr>
          <w:rFonts w:hint="eastAsia" w:ascii="仿宋" w:hAnsi="仿宋" w:eastAsia="仿宋" w:cs="仿宋"/>
          <w:sz w:val="24"/>
        </w:rPr>
        <w:t>本合同总价为：￥</w:t>
      </w:r>
      <w:r>
        <w:rPr>
          <w:rFonts w:hint="eastAsia" w:ascii="仿宋" w:hAnsi="仿宋" w:eastAsia="仿宋" w:cs="仿宋"/>
          <w:sz w:val="24"/>
          <w:u w:val="single"/>
          <w:lang w:eastAsia="zh-CN"/>
        </w:rPr>
        <w:t>　　　　</w:t>
      </w:r>
      <w:r>
        <w:rPr>
          <w:rFonts w:hint="eastAsia" w:ascii="仿宋" w:hAnsi="仿宋" w:eastAsia="仿宋" w:cs="仿宋"/>
          <w:sz w:val="24"/>
        </w:rPr>
        <w:t>元（大写：</w:t>
      </w:r>
      <w:r>
        <w:rPr>
          <w:rFonts w:hint="eastAsia" w:ascii="仿宋" w:hAnsi="仿宋" w:eastAsia="仿宋" w:cs="仿宋"/>
          <w:sz w:val="24"/>
          <w:u w:val="single"/>
          <w:lang w:eastAsia="zh-CN"/>
        </w:rPr>
        <w:t>　　　　</w:t>
      </w:r>
      <w:r>
        <w:rPr>
          <w:rFonts w:hint="eastAsia" w:ascii="仿宋" w:hAnsi="仿宋" w:eastAsia="仿宋" w:cs="仿宋"/>
          <w:sz w:val="24"/>
        </w:rPr>
        <w:t>元人民币）。</w:t>
      </w:r>
    </w:p>
    <w:p w14:paraId="78C42E58">
      <w:pPr>
        <w:spacing w:line="560" w:lineRule="exact"/>
        <w:ind w:firstLine="480" w:firstLineChars="200"/>
        <w:rPr>
          <w:rFonts w:hint="eastAsia" w:ascii="仿宋" w:hAnsi="仿宋" w:eastAsia="仿宋" w:cs="仿宋"/>
          <w:sz w:val="24"/>
        </w:rPr>
      </w:pPr>
      <w:r>
        <w:rPr>
          <w:rFonts w:hint="eastAsia" w:ascii="仿宋" w:hAnsi="仿宋" w:eastAsia="仿宋" w:cs="仿宋"/>
          <w:sz w:val="24"/>
        </w:rPr>
        <w:t>该费用为</w:t>
      </w:r>
      <w:r>
        <w:rPr>
          <w:rFonts w:hint="eastAsia" w:ascii="仿宋" w:hAnsi="仿宋" w:eastAsia="仿宋" w:cs="仿宋"/>
          <w:sz w:val="24"/>
          <w:lang w:val="en-US" w:eastAsia="zh-Hans"/>
        </w:rPr>
        <w:t>乙方</w:t>
      </w:r>
      <w:r>
        <w:rPr>
          <w:rFonts w:hint="eastAsia" w:ascii="仿宋" w:hAnsi="仿宋" w:eastAsia="仿宋" w:cs="仿宋"/>
          <w:sz w:val="24"/>
        </w:rPr>
        <w:t>履行本合同项下所有义务的全部费用，除本费用外为本合同的履行</w:t>
      </w:r>
      <w:r>
        <w:rPr>
          <w:rFonts w:hint="eastAsia" w:ascii="仿宋" w:hAnsi="仿宋" w:eastAsia="仿宋" w:cs="仿宋"/>
          <w:sz w:val="24"/>
          <w:lang w:val="en-US" w:eastAsia="zh-Hans"/>
        </w:rPr>
        <w:t>甲方</w:t>
      </w:r>
      <w:r>
        <w:rPr>
          <w:rFonts w:hint="eastAsia" w:ascii="仿宋" w:hAnsi="仿宋" w:eastAsia="仿宋" w:cs="仿宋"/>
          <w:sz w:val="24"/>
        </w:rPr>
        <w:t>无需另行再向</w:t>
      </w:r>
      <w:r>
        <w:rPr>
          <w:rFonts w:hint="eastAsia" w:ascii="仿宋" w:hAnsi="仿宋" w:eastAsia="仿宋" w:cs="仿宋"/>
          <w:sz w:val="24"/>
          <w:lang w:val="en-US" w:eastAsia="zh-Hans"/>
        </w:rPr>
        <w:t>乙方</w:t>
      </w:r>
      <w:r>
        <w:rPr>
          <w:rFonts w:hint="eastAsia" w:ascii="仿宋" w:hAnsi="仿宋" w:eastAsia="仿宋" w:cs="仿宋"/>
          <w:sz w:val="24"/>
        </w:rPr>
        <w:t>支付任何其他费用。</w:t>
      </w:r>
    </w:p>
    <w:p w14:paraId="24751041">
      <w:pPr>
        <w:spacing w:line="560" w:lineRule="exact"/>
        <w:ind w:firstLine="480" w:firstLineChars="200"/>
        <w:rPr>
          <w:rFonts w:hint="eastAsia" w:ascii="仿宋" w:hAnsi="仿宋" w:eastAsia="仿宋" w:cs="仿宋"/>
          <w:sz w:val="24"/>
        </w:rPr>
      </w:pPr>
    </w:p>
    <w:p w14:paraId="7761C138">
      <w:pPr>
        <w:spacing w:line="560" w:lineRule="exact"/>
        <w:ind w:firstLine="480" w:firstLineChars="200"/>
        <w:rPr>
          <w:rFonts w:hint="eastAsia" w:ascii="仿宋" w:hAnsi="仿宋" w:eastAsia="仿宋" w:cs="仿宋"/>
          <w:sz w:val="24"/>
        </w:rPr>
      </w:pPr>
    </w:p>
    <w:p w14:paraId="1EF199A5">
      <w:pPr>
        <w:spacing w:line="560" w:lineRule="exact"/>
        <w:ind w:firstLine="480" w:firstLineChars="200"/>
        <w:rPr>
          <w:rFonts w:hint="eastAsia" w:ascii="仿宋" w:hAnsi="仿宋" w:eastAsia="仿宋" w:cs="仿宋"/>
          <w:sz w:val="24"/>
          <w:u w:val="single"/>
        </w:rPr>
      </w:pPr>
      <w:r>
        <w:rPr>
          <w:rFonts w:hint="eastAsia" w:ascii="仿宋" w:hAnsi="仿宋" w:eastAsia="仿宋" w:cs="仿宋"/>
          <w:sz w:val="24"/>
        </w:rPr>
        <w:t>分项价格：</w:t>
      </w:r>
    </w:p>
    <w:tbl>
      <w:tblPr>
        <w:tblStyle w:val="7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3E8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689D6A8B">
            <w:pPr>
              <w:pStyle w:val="197"/>
              <w:spacing w:line="560" w:lineRule="exact"/>
              <w:jc w:val="center"/>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序号</w:t>
            </w:r>
          </w:p>
        </w:tc>
        <w:tc>
          <w:tcPr>
            <w:tcW w:w="3402" w:type="dxa"/>
            <w:noWrap w:val="0"/>
            <w:vAlign w:val="center"/>
          </w:tcPr>
          <w:p w14:paraId="02AFAC3E">
            <w:pPr>
              <w:pStyle w:val="197"/>
              <w:spacing w:line="560" w:lineRule="exact"/>
              <w:ind w:firstLine="200"/>
              <w:jc w:val="center"/>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分项名称</w:t>
            </w:r>
          </w:p>
        </w:tc>
        <w:tc>
          <w:tcPr>
            <w:tcW w:w="2552" w:type="dxa"/>
            <w:noWrap w:val="0"/>
            <w:vAlign w:val="center"/>
          </w:tcPr>
          <w:p w14:paraId="564CD965">
            <w:pPr>
              <w:pStyle w:val="197"/>
              <w:spacing w:line="560" w:lineRule="exact"/>
              <w:jc w:val="center"/>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分项价格</w:t>
            </w:r>
          </w:p>
        </w:tc>
      </w:tr>
      <w:tr w14:paraId="6C6D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3EEF29BD">
            <w:pPr>
              <w:pStyle w:val="197"/>
              <w:spacing w:line="560" w:lineRule="exact"/>
              <w:ind w:firstLine="200"/>
              <w:jc w:val="center"/>
              <w:rPr>
                <w:rFonts w:hint="eastAsia" w:ascii="仿宋" w:hAnsi="仿宋" w:eastAsia="仿宋" w:cs="仿宋"/>
                <w:color w:val="000000"/>
                <w:kern w:val="2"/>
                <w:sz w:val="24"/>
                <w:szCs w:val="24"/>
              </w:rPr>
            </w:pPr>
          </w:p>
        </w:tc>
        <w:tc>
          <w:tcPr>
            <w:tcW w:w="3402" w:type="dxa"/>
            <w:noWrap w:val="0"/>
            <w:vAlign w:val="center"/>
          </w:tcPr>
          <w:p w14:paraId="283D9027">
            <w:pPr>
              <w:pStyle w:val="197"/>
              <w:spacing w:line="560" w:lineRule="exact"/>
              <w:ind w:firstLine="200"/>
              <w:jc w:val="center"/>
              <w:rPr>
                <w:rFonts w:hint="eastAsia" w:ascii="仿宋" w:hAnsi="仿宋" w:eastAsia="仿宋" w:cs="仿宋"/>
                <w:color w:val="000000"/>
                <w:kern w:val="2"/>
                <w:sz w:val="24"/>
                <w:szCs w:val="24"/>
              </w:rPr>
            </w:pPr>
          </w:p>
        </w:tc>
        <w:tc>
          <w:tcPr>
            <w:tcW w:w="2552" w:type="dxa"/>
            <w:noWrap w:val="0"/>
            <w:vAlign w:val="center"/>
          </w:tcPr>
          <w:p w14:paraId="754C65F2">
            <w:pPr>
              <w:pStyle w:val="197"/>
              <w:spacing w:line="560" w:lineRule="exact"/>
              <w:ind w:firstLine="200"/>
              <w:jc w:val="center"/>
              <w:rPr>
                <w:rFonts w:hint="eastAsia" w:ascii="仿宋" w:hAnsi="仿宋" w:eastAsia="仿宋" w:cs="仿宋"/>
                <w:color w:val="000000"/>
                <w:kern w:val="2"/>
                <w:sz w:val="24"/>
                <w:szCs w:val="24"/>
              </w:rPr>
            </w:pPr>
          </w:p>
        </w:tc>
      </w:tr>
      <w:tr w14:paraId="50A0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21760C5C">
            <w:pPr>
              <w:pStyle w:val="197"/>
              <w:spacing w:line="560" w:lineRule="exact"/>
              <w:ind w:firstLine="200"/>
              <w:jc w:val="center"/>
              <w:rPr>
                <w:rFonts w:hint="eastAsia" w:ascii="仿宋" w:hAnsi="仿宋" w:eastAsia="仿宋" w:cs="仿宋"/>
                <w:color w:val="000000"/>
                <w:kern w:val="2"/>
                <w:sz w:val="24"/>
                <w:szCs w:val="24"/>
              </w:rPr>
            </w:pPr>
          </w:p>
        </w:tc>
        <w:tc>
          <w:tcPr>
            <w:tcW w:w="3402" w:type="dxa"/>
            <w:noWrap w:val="0"/>
            <w:vAlign w:val="center"/>
          </w:tcPr>
          <w:p w14:paraId="7EEBF271">
            <w:pPr>
              <w:pStyle w:val="197"/>
              <w:spacing w:line="560" w:lineRule="exact"/>
              <w:ind w:firstLine="200"/>
              <w:jc w:val="center"/>
              <w:rPr>
                <w:rFonts w:hint="eastAsia" w:ascii="仿宋" w:hAnsi="仿宋" w:eastAsia="仿宋" w:cs="仿宋"/>
                <w:color w:val="000000"/>
                <w:kern w:val="2"/>
                <w:sz w:val="24"/>
                <w:szCs w:val="24"/>
              </w:rPr>
            </w:pPr>
          </w:p>
        </w:tc>
        <w:tc>
          <w:tcPr>
            <w:tcW w:w="2552" w:type="dxa"/>
            <w:noWrap w:val="0"/>
            <w:vAlign w:val="center"/>
          </w:tcPr>
          <w:p w14:paraId="1840F4FE">
            <w:pPr>
              <w:pStyle w:val="197"/>
              <w:spacing w:line="560" w:lineRule="exact"/>
              <w:ind w:firstLine="200"/>
              <w:jc w:val="center"/>
              <w:rPr>
                <w:rFonts w:hint="eastAsia" w:ascii="仿宋" w:hAnsi="仿宋" w:eastAsia="仿宋" w:cs="仿宋"/>
                <w:color w:val="000000"/>
                <w:kern w:val="2"/>
                <w:sz w:val="24"/>
                <w:szCs w:val="24"/>
              </w:rPr>
            </w:pPr>
          </w:p>
        </w:tc>
      </w:tr>
      <w:tr w14:paraId="5B96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0BCAF272">
            <w:pPr>
              <w:pStyle w:val="197"/>
              <w:spacing w:line="560" w:lineRule="exact"/>
              <w:ind w:firstLine="200"/>
              <w:jc w:val="center"/>
              <w:rPr>
                <w:rFonts w:hint="eastAsia" w:ascii="仿宋" w:hAnsi="仿宋" w:eastAsia="仿宋" w:cs="仿宋"/>
                <w:color w:val="000000"/>
                <w:kern w:val="2"/>
                <w:sz w:val="24"/>
                <w:szCs w:val="24"/>
              </w:rPr>
            </w:pPr>
          </w:p>
        </w:tc>
        <w:tc>
          <w:tcPr>
            <w:tcW w:w="3402" w:type="dxa"/>
            <w:noWrap w:val="0"/>
            <w:vAlign w:val="center"/>
          </w:tcPr>
          <w:p w14:paraId="41B97F0D">
            <w:pPr>
              <w:pStyle w:val="197"/>
              <w:spacing w:line="560" w:lineRule="exact"/>
              <w:ind w:firstLine="200"/>
              <w:jc w:val="center"/>
              <w:rPr>
                <w:rFonts w:hint="eastAsia" w:ascii="仿宋" w:hAnsi="仿宋" w:eastAsia="仿宋" w:cs="仿宋"/>
                <w:color w:val="000000"/>
                <w:kern w:val="2"/>
                <w:sz w:val="24"/>
                <w:szCs w:val="24"/>
              </w:rPr>
            </w:pPr>
          </w:p>
        </w:tc>
        <w:tc>
          <w:tcPr>
            <w:tcW w:w="2552" w:type="dxa"/>
            <w:noWrap w:val="0"/>
            <w:vAlign w:val="center"/>
          </w:tcPr>
          <w:p w14:paraId="7E1B939A">
            <w:pPr>
              <w:pStyle w:val="197"/>
              <w:spacing w:line="560" w:lineRule="exact"/>
              <w:ind w:firstLine="200"/>
              <w:jc w:val="center"/>
              <w:rPr>
                <w:rFonts w:hint="eastAsia" w:ascii="仿宋" w:hAnsi="仿宋" w:eastAsia="仿宋" w:cs="仿宋"/>
                <w:color w:val="000000"/>
                <w:kern w:val="2"/>
                <w:sz w:val="24"/>
                <w:szCs w:val="24"/>
              </w:rPr>
            </w:pPr>
          </w:p>
        </w:tc>
      </w:tr>
      <w:tr w14:paraId="700B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A52A90C">
            <w:pPr>
              <w:pStyle w:val="197"/>
              <w:spacing w:line="560" w:lineRule="exact"/>
              <w:ind w:firstLine="200"/>
              <w:jc w:val="center"/>
              <w:rPr>
                <w:rFonts w:hint="eastAsia" w:ascii="仿宋" w:hAnsi="仿宋" w:eastAsia="仿宋" w:cs="仿宋"/>
                <w:color w:val="000000"/>
                <w:kern w:val="2"/>
                <w:sz w:val="24"/>
                <w:szCs w:val="24"/>
              </w:rPr>
            </w:pPr>
          </w:p>
        </w:tc>
        <w:tc>
          <w:tcPr>
            <w:tcW w:w="3402" w:type="dxa"/>
            <w:noWrap w:val="0"/>
            <w:vAlign w:val="center"/>
          </w:tcPr>
          <w:p w14:paraId="6BFE1044">
            <w:pPr>
              <w:pStyle w:val="197"/>
              <w:spacing w:line="560" w:lineRule="exact"/>
              <w:ind w:firstLine="200"/>
              <w:jc w:val="center"/>
              <w:rPr>
                <w:rFonts w:hint="eastAsia" w:ascii="仿宋" w:hAnsi="仿宋" w:eastAsia="仿宋" w:cs="仿宋"/>
                <w:color w:val="000000"/>
                <w:kern w:val="2"/>
                <w:sz w:val="24"/>
                <w:szCs w:val="24"/>
              </w:rPr>
            </w:pPr>
          </w:p>
        </w:tc>
        <w:tc>
          <w:tcPr>
            <w:tcW w:w="2552" w:type="dxa"/>
            <w:noWrap w:val="0"/>
            <w:vAlign w:val="center"/>
          </w:tcPr>
          <w:p w14:paraId="2419CCF4">
            <w:pPr>
              <w:pStyle w:val="197"/>
              <w:spacing w:line="560" w:lineRule="exact"/>
              <w:ind w:firstLine="200"/>
              <w:jc w:val="center"/>
              <w:rPr>
                <w:rFonts w:hint="eastAsia" w:ascii="仿宋" w:hAnsi="仿宋" w:eastAsia="仿宋" w:cs="仿宋"/>
                <w:color w:val="000000"/>
                <w:kern w:val="2"/>
                <w:sz w:val="24"/>
                <w:szCs w:val="24"/>
              </w:rPr>
            </w:pPr>
          </w:p>
        </w:tc>
      </w:tr>
      <w:tr w14:paraId="3AF7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29DFFE83">
            <w:pPr>
              <w:pStyle w:val="197"/>
              <w:spacing w:line="560" w:lineRule="exact"/>
              <w:ind w:firstLine="200"/>
              <w:jc w:val="center"/>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总价</w:t>
            </w:r>
          </w:p>
        </w:tc>
        <w:tc>
          <w:tcPr>
            <w:tcW w:w="2552" w:type="dxa"/>
            <w:noWrap w:val="0"/>
            <w:vAlign w:val="center"/>
          </w:tcPr>
          <w:p w14:paraId="01A4F3FA">
            <w:pPr>
              <w:pStyle w:val="197"/>
              <w:spacing w:line="560" w:lineRule="exact"/>
              <w:ind w:firstLine="200"/>
              <w:jc w:val="center"/>
              <w:rPr>
                <w:rFonts w:hint="eastAsia" w:ascii="仿宋" w:hAnsi="仿宋" w:eastAsia="仿宋" w:cs="仿宋"/>
                <w:color w:val="000000"/>
                <w:kern w:val="2"/>
                <w:sz w:val="24"/>
                <w:szCs w:val="24"/>
              </w:rPr>
            </w:pPr>
          </w:p>
        </w:tc>
      </w:tr>
    </w:tbl>
    <w:p w14:paraId="4AA42A7C">
      <w:pPr>
        <w:spacing w:line="560" w:lineRule="exact"/>
        <w:ind w:firstLine="482" w:firstLineChars="200"/>
        <w:outlineLvl w:val="0"/>
        <w:rPr>
          <w:rFonts w:hint="eastAsia" w:ascii="仿宋" w:hAnsi="仿宋" w:eastAsia="仿宋" w:cs="仿宋"/>
          <w:b/>
          <w:sz w:val="24"/>
        </w:rPr>
      </w:pPr>
      <w:bookmarkStart w:id="303" w:name="_Toc36838373"/>
      <w:bookmarkStart w:id="304" w:name="_Toc27806"/>
      <w:bookmarkStart w:id="305" w:name="_Toc4316"/>
      <w:bookmarkStart w:id="306" w:name="_Toc37247726"/>
      <w:bookmarkStart w:id="307" w:name="_Toc20955"/>
      <w:r>
        <w:rPr>
          <w:rFonts w:hint="eastAsia" w:ascii="仿宋" w:hAnsi="仿宋" w:eastAsia="仿宋" w:cs="仿宋"/>
          <w:b/>
          <w:sz w:val="24"/>
        </w:rPr>
        <w:t>1.4付款方式和发票开具方式</w:t>
      </w:r>
      <w:bookmarkEnd w:id="303"/>
      <w:bookmarkEnd w:id="304"/>
      <w:bookmarkEnd w:id="305"/>
      <w:bookmarkEnd w:id="306"/>
      <w:bookmarkEnd w:id="307"/>
    </w:p>
    <w:p w14:paraId="0A9A48E7">
      <w:pPr>
        <w:spacing w:line="560" w:lineRule="exact"/>
        <w:ind w:firstLine="480" w:firstLineChars="200"/>
        <w:rPr>
          <w:rFonts w:hint="eastAsia" w:ascii="仿宋" w:hAnsi="仿宋" w:eastAsia="仿宋" w:cs="仿宋"/>
          <w:sz w:val="24"/>
          <w:u w:val="single"/>
        </w:rPr>
      </w:pPr>
      <w:r>
        <w:rPr>
          <w:rFonts w:hint="eastAsia" w:ascii="仿宋" w:hAnsi="仿宋" w:eastAsia="仿宋" w:cs="仿宋"/>
          <w:sz w:val="24"/>
        </w:rPr>
        <w:t>1.4.1付款方式</w:t>
      </w:r>
      <w:r>
        <w:rPr>
          <w:rFonts w:hint="eastAsia" w:ascii="仿宋" w:hAnsi="仿宋" w:eastAsia="仿宋" w:cs="仿宋"/>
          <w:sz w:val="24"/>
          <w:lang w:eastAsia="zh-CN"/>
        </w:rPr>
        <w:t>：</w:t>
      </w:r>
      <w:r>
        <w:rPr>
          <w:rFonts w:hint="eastAsia" w:ascii="仿宋" w:hAnsi="仿宋" w:eastAsia="仿宋" w:cs="仿宋"/>
          <w:sz w:val="24"/>
          <w:u w:val="single"/>
          <w:lang w:val="en-US" w:eastAsia="zh-CN"/>
        </w:rPr>
        <w:t xml:space="preserve">       </w:t>
      </w:r>
    </w:p>
    <w:p w14:paraId="33DEBF38">
      <w:pPr>
        <w:spacing w:line="560" w:lineRule="exact"/>
        <w:ind w:firstLine="480" w:firstLineChars="200"/>
        <w:rPr>
          <w:rFonts w:hint="default" w:ascii="仿宋" w:hAnsi="仿宋" w:eastAsia="仿宋" w:cs="仿宋"/>
          <w:sz w:val="24"/>
          <w:lang w:val="en-US"/>
        </w:rPr>
      </w:pPr>
      <w:r>
        <w:rPr>
          <w:rFonts w:hint="eastAsia" w:ascii="仿宋" w:hAnsi="仿宋" w:eastAsia="仿宋" w:cs="仿宋"/>
          <w:sz w:val="24"/>
        </w:rPr>
        <w:t>1.4.2发票开具方式</w:t>
      </w:r>
      <w:r>
        <w:rPr>
          <w:rFonts w:hint="eastAsia" w:ascii="仿宋" w:hAnsi="仿宋" w:eastAsia="仿宋" w:cs="仿宋"/>
          <w:sz w:val="24"/>
          <w:lang w:eastAsia="zh-CN"/>
        </w:rPr>
        <w:t>：</w:t>
      </w:r>
      <w:r>
        <w:rPr>
          <w:rFonts w:hint="eastAsia" w:ascii="仿宋" w:hAnsi="仿宋" w:eastAsia="仿宋" w:cs="仿宋"/>
          <w:sz w:val="24"/>
          <w:u w:val="single"/>
          <w:lang w:val="en-US" w:eastAsia="zh-CN"/>
        </w:rPr>
        <w:t xml:space="preserve">      </w:t>
      </w:r>
    </w:p>
    <w:p w14:paraId="03A6F6B1">
      <w:pPr>
        <w:spacing w:line="560" w:lineRule="exact"/>
        <w:ind w:firstLine="482" w:firstLineChars="200"/>
        <w:outlineLvl w:val="0"/>
        <w:rPr>
          <w:rFonts w:hint="eastAsia" w:ascii="仿宋" w:hAnsi="仿宋" w:eastAsia="仿宋" w:cs="仿宋"/>
          <w:b/>
          <w:sz w:val="24"/>
        </w:rPr>
      </w:pPr>
      <w:bookmarkStart w:id="308" w:name="_Toc21697"/>
      <w:bookmarkStart w:id="309" w:name="_Toc36838374"/>
      <w:bookmarkStart w:id="310" w:name="_Toc37247727"/>
      <w:bookmarkStart w:id="311" w:name="_Toc31799"/>
      <w:r>
        <w:rPr>
          <w:rFonts w:hint="eastAsia" w:ascii="仿宋" w:hAnsi="仿宋" w:eastAsia="仿宋" w:cs="仿宋"/>
          <w:b/>
          <w:sz w:val="24"/>
        </w:rPr>
        <w:t>1.5履行期限、地点和方式</w:t>
      </w:r>
      <w:bookmarkEnd w:id="308"/>
      <w:bookmarkEnd w:id="309"/>
      <w:bookmarkEnd w:id="310"/>
      <w:bookmarkEnd w:id="311"/>
    </w:p>
    <w:p w14:paraId="3ED336D5">
      <w:pPr>
        <w:spacing w:line="560" w:lineRule="exact"/>
        <w:ind w:firstLine="480" w:firstLineChars="200"/>
        <w:rPr>
          <w:rFonts w:hint="default" w:ascii="仿宋" w:hAnsi="仿宋" w:eastAsia="仿宋" w:cs="仿宋"/>
          <w:sz w:val="24"/>
          <w:u w:val="single"/>
          <w:lang w:val="en-US"/>
        </w:rPr>
      </w:pPr>
      <w:r>
        <w:rPr>
          <w:rFonts w:hint="eastAsia" w:ascii="仿宋" w:hAnsi="仿宋" w:eastAsia="仿宋" w:cs="仿宋"/>
          <w:sz w:val="24"/>
        </w:rPr>
        <w:t>1.5.1履行期限</w:t>
      </w:r>
      <w:r>
        <w:rPr>
          <w:rFonts w:hint="eastAsia" w:ascii="仿宋" w:hAnsi="仿宋" w:eastAsia="仿宋" w:cs="仿宋"/>
          <w:sz w:val="24"/>
          <w:lang w:eastAsia="zh-CN"/>
        </w:rPr>
        <w:t>：</w:t>
      </w:r>
      <w:r>
        <w:rPr>
          <w:rFonts w:hint="eastAsia" w:ascii="仿宋" w:hAnsi="仿宋" w:eastAsia="仿宋" w:cs="仿宋"/>
          <w:sz w:val="24"/>
          <w:u w:val="single"/>
          <w:lang w:val="en-US" w:eastAsia="zh-CN"/>
        </w:rPr>
        <w:t xml:space="preserve">        </w:t>
      </w:r>
    </w:p>
    <w:p w14:paraId="6C5C011E">
      <w:pPr>
        <w:spacing w:line="560" w:lineRule="exact"/>
        <w:ind w:firstLine="480" w:firstLineChars="200"/>
        <w:rPr>
          <w:rFonts w:hint="default" w:ascii="Calibri" w:hAnsi="Calibri" w:eastAsia="宋体" w:cs="Times New Roman"/>
          <w:bCs/>
          <w:color w:val="auto"/>
          <w:kern w:val="2"/>
          <w:sz w:val="28"/>
          <w:szCs w:val="28"/>
          <w:u w:val="single"/>
          <w:lang w:val="en-US" w:eastAsia="zh-CN" w:bidi="ar-SA"/>
        </w:rPr>
      </w:pPr>
      <w:r>
        <w:rPr>
          <w:rFonts w:hint="eastAsia" w:ascii="仿宋" w:hAnsi="仿宋" w:eastAsia="仿宋" w:cs="仿宋"/>
          <w:sz w:val="24"/>
        </w:rPr>
        <w:t>1.5.2履行地点</w:t>
      </w:r>
      <w:r>
        <w:rPr>
          <w:rFonts w:hint="eastAsia" w:ascii="仿宋" w:hAnsi="仿宋" w:eastAsia="仿宋" w:cs="仿宋"/>
          <w:sz w:val="24"/>
          <w:lang w:eastAsia="zh-CN"/>
        </w:rPr>
        <w:t>：</w:t>
      </w:r>
      <w:r>
        <w:rPr>
          <w:rFonts w:hint="eastAsia" w:ascii="仿宋" w:hAnsi="仿宋" w:eastAsia="仿宋" w:cs="仿宋"/>
          <w:sz w:val="24"/>
          <w:u w:val="single"/>
          <w:lang w:val="en-US" w:eastAsia="zh-CN"/>
        </w:rPr>
        <w:t xml:space="preserve">         </w:t>
      </w:r>
    </w:p>
    <w:p w14:paraId="6DF4E408">
      <w:pPr>
        <w:spacing w:line="560" w:lineRule="exact"/>
        <w:ind w:firstLine="480" w:firstLineChars="200"/>
        <w:rPr>
          <w:rFonts w:hint="eastAsia" w:ascii="仿宋" w:hAnsi="仿宋" w:eastAsia="仿宋" w:cs="仿宋"/>
          <w:sz w:val="24"/>
        </w:rPr>
      </w:pPr>
      <w:r>
        <w:rPr>
          <w:rFonts w:hint="eastAsia" w:ascii="仿宋" w:hAnsi="仿宋" w:eastAsia="仿宋" w:cs="仿宋"/>
          <w:sz w:val="24"/>
        </w:rPr>
        <w:t>1.5.3履行方式：</w:t>
      </w:r>
      <w:r>
        <w:rPr>
          <w:rFonts w:hint="eastAsia" w:ascii="仿宋" w:hAnsi="仿宋" w:eastAsia="仿宋" w:cs="仿宋"/>
          <w:sz w:val="24"/>
          <w:u w:val="single"/>
        </w:rPr>
        <w:t>　　</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　　　　　　　　</w:t>
      </w:r>
      <w:r>
        <w:rPr>
          <w:rFonts w:hint="eastAsia" w:ascii="仿宋" w:hAnsi="仿宋" w:eastAsia="仿宋" w:cs="仿宋"/>
          <w:sz w:val="24"/>
        </w:rPr>
        <w:t>。</w:t>
      </w:r>
    </w:p>
    <w:p w14:paraId="44305738">
      <w:pPr>
        <w:spacing w:line="560" w:lineRule="exact"/>
        <w:ind w:firstLine="482" w:firstLineChars="200"/>
        <w:outlineLvl w:val="0"/>
        <w:rPr>
          <w:rFonts w:hint="eastAsia" w:ascii="仿宋" w:hAnsi="仿宋" w:eastAsia="仿宋" w:cs="仿宋"/>
          <w:sz w:val="24"/>
          <w:u w:val="single"/>
        </w:rPr>
      </w:pPr>
      <w:bookmarkStart w:id="312" w:name="_Toc14251"/>
      <w:bookmarkStart w:id="313" w:name="_Toc13186"/>
      <w:bookmarkStart w:id="314" w:name="_Toc36838375"/>
      <w:bookmarkStart w:id="315" w:name="_Toc3753"/>
      <w:bookmarkStart w:id="316" w:name="_Toc37247728"/>
      <w:r>
        <w:rPr>
          <w:rFonts w:hint="eastAsia" w:ascii="仿宋" w:hAnsi="仿宋" w:eastAsia="仿宋" w:cs="仿宋"/>
          <w:b/>
          <w:sz w:val="24"/>
        </w:rPr>
        <w:t>1.6违约责任</w:t>
      </w:r>
      <w:bookmarkEnd w:id="312"/>
      <w:bookmarkEnd w:id="313"/>
      <w:bookmarkEnd w:id="314"/>
      <w:bookmarkEnd w:id="315"/>
      <w:bookmarkEnd w:id="316"/>
    </w:p>
    <w:p w14:paraId="2417C92A">
      <w:pPr>
        <w:spacing w:line="560" w:lineRule="exact"/>
        <w:ind w:firstLine="480" w:firstLineChars="200"/>
        <w:rPr>
          <w:rFonts w:hint="eastAsia" w:ascii="仿宋" w:hAnsi="仿宋" w:eastAsia="仿宋" w:cs="仿宋"/>
          <w:sz w:val="24"/>
        </w:rPr>
      </w:pPr>
      <w:r>
        <w:rPr>
          <w:rFonts w:hint="eastAsia" w:ascii="仿宋" w:hAnsi="仿宋" w:eastAsia="仿宋" w:cs="仿宋"/>
          <w:sz w:val="24"/>
        </w:rPr>
        <w:t>1.6.1除不可抗力外，如果乙方没有按照本合同约定的期限、地点和方式履行，那么甲方可要求乙方支付违约金，违约金按每迟延履行一日的应提供而未提供服务价格的</w:t>
      </w:r>
      <w:r>
        <w:rPr>
          <w:rFonts w:hint="eastAsia" w:ascii="仿宋" w:hAnsi="仿宋" w:eastAsia="仿宋" w:cs="仿宋"/>
          <w:sz w:val="24"/>
          <w:u w:val="single"/>
          <w:lang w:val="en-US" w:eastAsia="zh-CN"/>
        </w:rPr>
        <w:t>2</w:t>
      </w:r>
      <w:r>
        <w:rPr>
          <w:rFonts w:hint="eastAsia" w:ascii="仿宋" w:hAnsi="仿宋" w:eastAsia="仿宋" w:cs="仿宋"/>
          <w:sz w:val="24"/>
        </w:rPr>
        <w:t>%计算，最高限额为本合同总价的</w:t>
      </w:r>
      <w:r>
        <w:rPr>
          <w:rFonts w:hint="eastAsia" w:ascii="仿宋" w:hAnsi="仿宋" w:eastAsia="仿宋" w:cs="仿宋"/>
          <w:sz w:val="24"/>
          <w:u w:val="single"/>
          <w:lang w:val="en-US" w:eastAsia="zh-CN"/>
        </w:rPr>
        <w:t>10</w:t>
      </w:r>
      <w:r>
        <w:rPr>
          <w:rFonts w:hint="eastAsia" w:ascii="仿宋" w:hAnsi="仿宋" w:eastAsia="仿宋" w:cs="仿宋"/>
          <w:sz w:val="24"/>
        </w:rPr>
        <w:t>%；迟延履行的违约金计算数额达到前述最高限额之日起，甲方有权在要求乙方支付违约金的同时，书面通知乙方解除本合同；</w:t>
      </w:r>
    </w:p>
    <w:p w14:paraId="2D917E1A">
      <w:pPr>
        <w:spacing w:line="560" w:lineRule="exact"/>
        <w:ind w:firstLine="480" w:firstLineChars="200"/>
        <w:rPr>
          <w:rFonts w:hint="eastAsia" w:ascii="仿宋" w:hAnsi="仿宋" w:eastAsia="仿宋" w:cs="仿宋"/>
          <w:sz w:val="24"/>
        </w:rPr>
      </w:pPr>
      <w:r>
        <w:rPr>
          <w:rFonts w:hint="eastAsia" w:ascii="仿宋" w:hAnsi="仿宋" w:eastAsia="仿宋" w:cs="仿宋"/>
          <w:sz w:val="24"/>
        </w:rPr>
        <w:t>1.6.2除不可抗力外，如果甲方没有按照本合同约定的付款方式付款，那么乙方可要求甲方支付违约金，违约金按每迟延付款一日的应付而未付款的</w:t>
      </w:r>
      <w:r>
        <w:rPr>
          <w:rFonts w:hint="eastAsia" w:ascii="仿宋" w:hAnsi="仿宋" w:eastAsia="仿宋" w:cs="仿宋"/>
          <w:sz w:val="24"/>
          <w:u w:val="single"/>
          <w:lang w:val="en-US" w:eastAsia="zh-CN"/>
        </w:rPr>
        <w:t>1</w:t>
      </w:r>
      <w:r>
        <w:rPr>
          <w:rFonts w:hint="eastAsia" w:ascii="仿宋" w:hAnsi="仿宋" w:eastAsia="仿宋" w:cs="仿宋"/>
          <w:sz w:val="24"/>
        </w:rPr>
        <w:t>%计算，最高限额为本合同总价的</w:t>
      </w:r>
      <w:r>
        <w:rPr>
          <w:rFonts w:hint="eastAsia" w:ascii="仿宋" w:hAnsi="仿宋" w:eastAsia="仿宋" w:cs="仿宋"/>
          <w:sz w:val="24"/>
          <w:u w:val="single"/>
          <w:lang w:val="en-US" w:eastAsia="zh-CN"/>
        </w:rPr>
        <w:t>5</w:t>
      </w:r>
      <w:r>
        <w:rPr>
          <w:rFonts w:hint="eastAsia" w:ascii="仿宋" w:hAnsi="仿宋" w:eastAsia="仿宋" w:cs="仿宋"/>
          <w:sz w:val="24"/>
        </w:rPr>
        <w:t>%；迟延付款的违约金计算数额达到前述最高限额之日起，乙方有权在要求甲方支付违约金的同时，书面通知甲方解除本合同；</w:t>
      </w:r>
    </w:p>
    <w:p w14:paraId="5A6A2DCC">
      <w:pPr>
        <w:spacing w:line="560" w:lineRule="exact"/>
        <w:ind w:firstLine="480" w:firstLineChars="200"/>
        <w:rPr>
          <w:rFonts w:hint="eastAsia" w:ascii="仿宋" w:hAnsi="仿宋" w:eastAsia="仿宋" w:cs="仿宋"/>
          <w:sz w:val="24"/>
        </w:rPr>
      </w:pPr>
      <w:r>
        <w:rPr>
          <w:rFonts w:hint="eastAsia" w:ascii="仿宋" w:hAnsi="仿宋" w:eastAsia="仿宋" w:cs="仿宋"/>
          <w:sz w:val="24"/>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41A1C63B">
      <w:pPr>
        <w:spacing w:line="560" w:lineRule="exact"/>
        <w:ind w:firstLine="480" w:firstLineChars="200"/>
        <w:rPr>
          <w:rFonts w:hint="eastAsia" w:ascii="仿宋" w:hAnsi="仿宋" w:eastAsia="仿宋" w:cs="仿宋"/>
          <w:sz w:val="24"/>
        </w:rPr>
      </w:pPr>
      <w:r>
        <w:rPr>
          <w:rFonts w:hint="eastAsia" w:ascii="仿宋" w:hAnsi="仿宋" w:eastAsia="仿宋" w:cs="仿宋"/>
          <w:sz w:val="24"/>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23CD46F">
      <w:pPr>
        <w:spacing w:line="560" w:lineRule="exact"/>
        <w:ind w:firstLine="480" w:firstLineChars="200"/>
        <w:rPr>
          <w:rFonts w:hint="eastAsia" w:ascii="仿宋" w:hAnsi="仿宋" w:eastAsia="仿宋" w:cs="仿宋"/>
          <w:sz w:val="24"/>
        </w:rPr>
      </w:pPr>
      <w:r>
        <w:rPr>
          <w:rFonts w:hint="eastAsia" w:ascii="仿宋" w:hAnsi="仿宋" w:eastAsia="仿宋" w:cs="仿宋"/>
          <w:sz w:val="24"/>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C73F1B6">
      <w:pPr>
        <w:spacing w:line="560" w:lineRule="exact"/>
        <w:ind w:firstLine="480" w:firstLineChars="200"/>
        <w:rPr>
          <w:rFonts w:hint="eastAsia" w:ascii="仿宋" w:hAnsi="仿宋" w:eastAsia="仿宋" w:cs="仿宋"/>
          <w:sz w:val="24"/>
        </w:rPr>
      </w:pPr>
      <w:r>
        <w:rPr>
          <w:rFonts w:hint="eastAsia" w:ascii="仿宋" w:hAnsi="仿宋" w:eastAsia="仿宋" w:cs="仿宋"/>
          <w:sz w:val="24"/>
        </w:rPr>
        <w:t>1.6.6如果出现政府采购监督管理部门在处理投诉事项期间，书面通知甲方暂停采购活动的情形，或者询问或质疑事项可能影响中标结果的，导致甲方中止履行合同的情形，均不视为甲方违约。</w:t>
      </w:r>
    </w:p>
    <w:p w14:paraId="46B52975">
      <w:pPr>
        <w:spacing w:line="560" w:lineRule="exact"/>
        <w:ind w:firstLine="482" w:firstLineChars="200"/>
        <w:outlineLvl w:val="0"/>
        <w:rPr>
          <w:rFonts w:hint="eastAsia" w:ascii="仿宋" w:hAnsi="仿宋" w:eastAsia="仿宋" w:cs="仿宋"/>
          <w:b/>
          <w:sz w:val="24"/>
        </w:rPr>
      </w:pPr>
      <w:bookmarkStart w:id="317" w:name="_Toc37247729"/>
      <w:bookmarkStart w:id="318" w:name="_Toc4295"/>
      <w:bookmarkStart w:id="319" w:name="_Toc36838376"/>
      <w:bookmarkStart w:id="320" w:name="_Toc18510"/>
      <w:bookmarkStart w:id="321" w:name="_Toc10970"/>
      <w:r>
        <w:rPr>
          <w:rFonts w:hint="eastAsia" w:ascii="仿宋" w:hAnsi="仿宋" w:eastAsia="仿宋" w:cs="仿宋"/>
          <w:b/>
          <w:sz w:val="24"/>
        </w:rPr>
        <w:t>1.7合同争议的解决</w:t>
      </w:r>
      <w:bookmarkEnd w:id="317"/>
      <w:bookmarkEnd w:id="318"/>
      <w:bookmarkEnd w:id="319"/>
      <w:bookmarkEnd w:id="320"/>
      <w:bookmarkEnd w:id="321"/>
    </w:p>
    <w:p w14:paraId="1AECB1B4">
      <w:pPr>
        <w:spacing w:line="560" w:lineRule="exact"/>
        <w:ind w:firstLine="480" w:firstLineChars="200"/>
        <w:rPr>
          <w:rFonts w:hint="default" w:ascii="仿宋" w:hAnsi="仿宋" w:eastAsia="仿宋" w:cs="仿宋"/>
          <w:sz w:val="24"/>
          <w:u w:val="single"/>
          <w:lang w:val="en-US" w:eastAsia="zh-CN"/>
        </w:rPr>
      </w:pPr>
      <w:r>
        <w:rPr>
          <w:rFonts w:hint="eastAsia" w:ascii="仿宋" w:hAnsi="仿宋" w:eastAsia="仿宋" w:cs="仿宋"/>
          <w:sz w:val="24"/>
        </w:rPr>
        <w:t>本合同履行过程中发生的任何争议，双方当事人均可通过和解或者调解解决；不愿和解、调解或者和解、调解不成的，可以选择</w:t>
      </w:r>
      <w:r>
        <w:rPr>
          <w:rFonts w:hint="eastAsia" w:ascii="仿宋" w:hAnsi="仿宋" w:eastAsia="仿宋" w:cs="仿宋"/>
          <w:sz w:val="24"/>
          <w:lang w:eastAsia="zh-CN"/>
        </w:rPr>
        <w:t>下列第几种方式</w:t>
      </w:r>
      <w:r>
        <w:rPr>
          <w:rFonts w:hint="eastAsia" w:ascii="仿宋" w:hAnsi="仿宋" w:eastAsia="仿宋" w:cs="仿宋"/>
          <w:sz w:val="24"/>
        </w:rPr>
        <w:t>解决：</w:t>
      </w:r>
      <w:r>
        <w:rPr>
          <w:rFonts w:hint="eastAsia" w:ascii="仿宋" w:hAnsi="仿宋" w:eastAsia="仿宋" w:cs="仿宋"/>
          <w:sz w:val="24"/>
          <w:u w:val="single"/>
          <w:lang w:val="en-US" w:eastAsia="zh-CN"/>
        </w:rPr>
        <w:t>1.7.2</w:t>
      </w:r>
    </w:p>
    <w:p w14:paraId="6E669417">
      <w:pPr>
        <w:spacing w:line="560" w:lineRule="exact"/>
        <w:ind w:firstLine="480" w:firstLineChars="200"/>
        <w:rPr>
          <w:rFonts w:hint="eastAsia" w:ascii="仿宋" w:hAnsi="仿宋" w:eastAsia="仿宋" w:cs="仿宋"/>
          <w:sz w:val="24"/>
        </w:rPr>
      </w:pPr>
      <w:r>
        <w:rPr>
          <w:rFonts w:hint="eastAsia" w:ascii="仿宋" w:hAnsi="仿宋" w:eastAsia="仿宋" w:cs="仿宋"/>
          <w:sz w:val="24"/>
        </w:rPr>
        <w:t>1.7.1将争议提交</w:t>
      </w:r>
      <w:r>
        <w:rPr>
          <w:rFonts w:hint="eastAsia" w:ascii="仿宋" w:hAnsi="仿宋" w:eastAsia="仿宋" w:cs="仿宋"/>
          <w:sz w:val="24"/>
          <w:u w:val="single"/>
          <w:lang w:val="en-US" w:eastAsia="zh-CN"/>
        </w:rPr>
        <w:t xml:space="preserve">  \  </w:t>
      </w:r>
      <w:r>
        <w:rPr>
          <w:rFonts w:hint="eastAsia" w:ascii="仿宋" w:hAnsi="仿宋" w:eastAsia="仿宋" w:cs="仿宋"/>
          <w:sz w:val="24"/>
        </w:rPr>
        <w:t>仲裁委员会依申请仲裁时其现行有效的仲裁规则裁决；</w:t>
      </w:r>
    </w:p>
    <w:p w14:paraId="4991DC64">
      <w:pPr>
        <w:spacing w:line="560" w:lineRule="exact"/>
        <w:ind w:firstLine="480" w:firstLineChars="200"/>
        <w:rPr>
          <w:rFonts w:hint="eastAsia" w:ascii="仿宋" w:hAnsi="仿宋" w:eastAsia="仿宋" w:cs="仿宋"/>
          <w:sz w:val="24"/>
        </w:rPr>
      </w:pPr>
      <w:r>
        <w:rPr>
          <w:rFonts w:hint="eastAsia" w:ascii="仿宋" w:hAnsi="仿宋" w:eastAsia="仿宋" w:cs="仿宋"/>
          <w:sz w:val="24"/>
        </w:rPr>
        <w:t>1.7.2向</w:t>
      </w:r>
      <w:r>
        <w:rPr>
          <w:rFonts w:hint="eastAsia" w:ascii="仿宋" w:hAnsi="仿宋" w:eastAsia="仿宋" w:cs="仿宋"/>
          <w:sz w:val="24"/>
          <w:u w:val="single"/>
          <w:lang w:val="en-US" w:eastAsia="zh-CN"/>
        </w:rPr>
        <w:t>墨玉县</w:t>
      </w:r>
      <w:r>
        <w:rPr>
          <w:rFonts w:hint="eastAsia" w:ascii="仿宋" w:hAnsi="仿宋" w:eastAsia="仿宋" w:cs="仿宋"/>
          <w:sz w:val="24"/>
        </w:rPr>
        <w:t>人民法院起诉。</w:t>
      </w:r>
    </w:p>
    <w:p w14:paraId="5BB247D3">
      <w:pPr>
        <w:spacing w:line="560" w:lineRule="exact"/>
        <w:ind w:firstLine="482" w:firstLineChars="200"/>
        <w:outlineLvl w:val="0"/>
        <w:rPr>
          <w:rFonts w:hint="eastAsia" w:ascii="仿宋" w:hAnsi="仿宋" w:eastAsia="仿宋" w:cs="仿宋"/>
          <w:b/>
          <w:sz w:val="24"/>
        </w:rPr>
      </w:pPr>
      <w:bookmarkStart w:id="322" w:name="_Toc37247730"/>
      <w:bookmarkStart w:id="323" w:name="_Toc36838377"/>
      <w:bookmarkStart w:id="324" w:name="_Toc29168"/>
      <w:bookmarkStart w:id="325" w:name="_Toc21268"/>
      <w:bookmarkStart w:id="326" w:name="_Toc10357"/>
      <w:r>
        <w:rPr>
          <w:rFonts w:hint="eastAsia" w:ascii="仿宋" w:hAnsi="仿宋" w:eastAsia="仿宋" w:cs="仿宋"/>
          <w:b/>
          <w:sz w:val="24"/>
        </w:rPr>
        <w:t>1.8合同生效</w:t>
      </w:r>
      <w:bookmarkEnd w:id="322"/>
      <w:bookmarkEnd w:id="323"/>
      <w:bookmarkEnd w:id="324"/>
      <w:bookmarkEnd w:id="325"/>
      <w:bookmarkEnd w:id="326"/>
    </w:p>
    <w:p w14:paraId="620C4B6C">
      <w:pPr>
        <w:spacing w:line="560" w:lineRule="exact"/>
        <w:ind w:firstLine="480" w:firstLineChars="200"/>
        <w:rPr>
          <w:rFonts w:hint="eastAsia" w:ascii="仿宋" w:hAnsi="仿宋" w:eastAsia="仿宋" w:cs="仿宋"/>
          <w:b/>
          <w:sz w:val="24"/>
        </w:rPr>
      </w:pPr>
      <w:r>
        <w:rPr>
          <w:rFonts w:hint="eastAsia" w:ascii="仿宋" w:hAnsi="仿宋" w:eastAsia="仿宋" w:cs="仿宋"/>
          <w:sz w:val="24"/>
        </w:rPr>
        <w:t>本合同自双方当事人盖章或者签字时生效。</w:t>
      </w:r>
    </w:p>
    <w:p w14:paraId="75993A2A">
      <w:pPr>
        <w:autoSpaceDE w:val="0"/>
        <w:autoSpaceDN w:val="0"/>
        <w:adjustRightInd w:val="0"/>
        <w:spacing w:line="560" w:lineRule="exact"/>
        <w:rPr>
          <w:rFonts w:hint="eastAsia" w:ascii="仿宋" w:hAnsi="仿宋" w:eastAsia="仿宋" w:cs="仿宋"/>
          <w:sz w:val="24"/>
          <w:lang w:val="zh-CN"/>
        </w:rPr>
      </w:pPr>
    </w:p>
    <w:p w14:paraId="7FF25DC0">
      <w:pPr>
        <w:autoSpaceDE w:val="0"/>
        <w:autoSpaceDN w:val="0"/>
        <w:adjustRightInd w:val="0"/>
        <w:spacing w:line="560" w:lineRule="exact"/>
        <w:rPr>
          <w:rFonts w:hint="eastAsia" w:ascii="仿宋" w:hAnsi="仿宋" w:eastAsia="仿宋" w:cs="仿宋"/>
          <w:b/>
          <w:sz w:val="24"/>
          <w:lang w:val="zh-CN"/>
        </w:rPr>
      </w:pPr>
    </w:p>
    <w:p w14:paraId="1AC306A9">
      <w:pPr>
        <w:autoSpaceDE w:val="0"/>
        <w:autoSpaceDN w:val="0"/>
        <w:adjustRightInd w:val="0"/>
        <w:spacing w:line="560" w:lineRule="exact"/>
        <w:rPr>
          <w:rFonts w:hint="eastAsia" w:ascii="仿宋" w:hAnsi="仿宋" w:eastAsia="仿宋" w:cs="仿宋"/>
          <w:b/>
          <w:sz w:val="24"/>
          <w:lang w:val="zh-CN"/>
        </w:rPr>
      </w:pPr>
    </w:p>
    <w:p w14:paraId="5F9FC1F9">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b/>
          <w:sz w:val="24"/>
          <w:lang w:val="zh-CN"/>
        </w:rPr>
        <w:t>甲方</w:t>
      </w:r>
      <w:r>
        <w:rPr>
          <w:rFonts w:hint="eastAsia" w:ascii="仿宋" w:hAnsi="仿宋" w:eastAsia="仿宋" w:cs="仿宋"/>
          <w:sz w:val="24"/>
          <w:lang w:val="zh-CN"/>
        </w:rPr>
        <w:t>：　　　　　　　　　　　　　　　　　　　　</w:t>
      </w:r>
      <w:r>
        <w:rPr>
          <w:rFonts w:hint="eastAsia" w:ascii="仿宋" w:hAnsi="仿宋" w:eastAsia="仿宋" w:cs="仿宋"/>
          <w:b/>
          <w:sz w:val="24"/>
          <w:lang w:val="zh-CN"/>
        </w:rPr>
        <w:t>乙方</w:t>
      </w:r>
      <w:r>
        <w:rPr>
          <w:rFonts w:hint="eastAsia" w:ascii="仿宋" w:hAnsi="仿宋" w:eastAsia="仿宋" w:cs="仿宋"/>
          <w:sz w:val="24"/>
          <w:lang w:val="zh-CN"/>
        </w:rPr>
        <w:t>：</w:t>
      </w:r>
    </w:p>
    <w:p w14:paraId="291D0A7C">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统一社会信用代码：　　　　　　　　　　　　　统一社会信用代码或身份证号码：</w:t>
      </w:r>
    </w:p>
    <w:p w14:paraId="0DDCA276">
      <w:pPr>
        <w:autoSpaceDE w:val="0"/>
        <w:autoSpaceDN w:val="0"/>
        <w:adjustRightInd w:val="0"/>
        <w:spacing w:line="560" w:lineRule="exact"/>
        <w:rPr>
          <w:rFonts w:hint="eastAsia" w:ascii="仿宋" w:hAnsi="仿宋" w:eastAsia="仿宋" w:cs="仿宋"/>
          <w:sz w:val="24"/>
          <w:lang w:val="zh-CN"/>
        </w:rPr>
      </w:pPr>
    </w:p>
    <w:p w14:paraId="1B098D63">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住所：　　　　　　　　　　　　　　　　　　　住所：</w:t>
      </w:r>
    </w:p>
    <w:p w14:paraId="38B6226A">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法定代表人或法定代表人授权代表（签字）：　　法定代表人或授权代表（签字）：</w:t>
      </w:r>
    </w:p>
    <w:p w14:paraId="57008F8C">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联系人：　　　　　　　　　　　　　　　　　　　联系人：</w:t>
      </w:r>
    </w:p>
    <w:p w14:paraId="034BE08B">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约定送达地址：　　　　　　　　　　　　　　　约定送达地址：</w:t>
      </w:r>
    </w:p>
    <w:p w14:paraId="7F47133D">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邮政编码：　　　　　　　　　　　　　　　　　邮政编码：</w:t>
      </w:r>
    </w:p>
    <w:p w14:paraId="32773832">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电话：　　　　　　　　　　　　　　　　　　　电话：</w:t>
      </w:r>
    </w:p>
    <w:p w14:paraId="00599992">
      <w:pPr>
        <w:autoSpaceDE w:val="0"/>
        <w:autoSpaceDN w:val="0"/>
        <w:adjustRightInd w:val="0"/>
        <w:spacing w:line="560" w:lineRule="exact"/>
        <w:rPr>
          <w:rFonts w:hint="eastAsia" w:ascii="仿宋" w:hAnsi="仿宋" w:eastAsia="仿宋" w:cs="仿宋"/>
          <w:sz w:val="24"/>
          <w:lang w:val="zh-CN"/>
        </w:rPr>
      </w:pPr>
      <w:r>
        <w:rPr>
          <w:rFonts w:hint="eastAsia" w:ascii="仿宋" w:hAnsi="仿宋" w:eastAsia="仿宋" w:cs="仿宋"/>
          <w:sz w:val="24"/>
          <w:lang w:val="zh-CN"/>
        </w:rPr>
        <w:t>传真：　　　　　　　　　　　　　　　　　　　传真：</w:t>
      </w:r>
    </w:p>
    <w:p w14:paraId="434EA1D6">
      <w:pPr>
        <w:autoSpaceDE w:val="0"/>
        <w:autoSpaceDN w:val="0"/>
        <w:adjustRightInd w:val="0"/>
        <w:spacing w:line="560" w:lineRule="exact"/>
        <w:rPr>
          <w:rFonts w:hint="eastAsia" w:ascii="仿宋" w:hAnsi="仿宋" w:eastAsia="仿宋" w:cs="仿宋"/>
          <w:sz w:val="24"/>
        </w:rPr>
      </w:pPr>
      <w:r>
        <w:rPr>
          <w:rFonts w:hint="eastAsia" w:ascii="仿宋" w:hAnsi="仿宋" w:eastAsia="仿宋" w:cs="仿宋"/>
          <w:sz w:val="24"/>
          <w:lang w:val="zh-CN"/>
        </w:rPr>
        <w:t>电子邮箱：　　　　　　　　　　　　　　　　　电子邮箱：</w:t>
      </w:r>
    </w:p>
    <w:p w14:paraId="56754E12">
      <w:pPr>
        <w:autoSpaceDE w:val="0"/>
        <w:autoSpaceDN w:val="0"/>
        <w:adjustRightInd w:val="0"/>
        <w:spacing w:line="560" w:lineRule="exact"/>
        <w:rPr>
          <w:rFonts w:hint="eastAsia" w:ascii="仿宋" w:hAnsi="仿宋" w:eastAsia="仿宋" w:cs="仿宋"/>
          <w:sz w:val="24"/>
          <w:lang w:eastAsia="zh-CN"/>
        </w:rPr>
      </w:pPr>
      <w:r>
        <w:rPr>
          <w:rFonts w:hint="eastAsia" w:ascii="仿宋" w:hAnsi="仿宋" w:eastAsia="仿宋" w:cs="仿宋"/>
          <w:sz w:val="24"/>
        </w:rPr>
        <w:t>开户银行：</w:t>
      </w:r>
      <w:r>
        <w:rPr>
          <w:rFonts w:hint="eastAsia" w:ascii="仿宋" w:hAnsi="仿宋" w:eastAsia="仿宋" w:cs="仿宋"/>
          <w:sz w:val="24"/>
          <w:lang w:val="zh-CN"/>
        </w:rPr>
        <w:t>　　　　　　　　　　　　　　　　　</w:t>
      </w:r>
      <w:r>
        <w:rPr>
          <w:rFonts w:hint="eastAsia" w:ascii="仿宋" w:hAnsi="仿宋" w:eastAsia="仿宋" w:cs="仿宋"/>
          <w:sz w:val="24"/>
        </w:rPr>
        <w:t>开户银行：</w:t>
      </w:r>
    </w:p>
    <w:p w14:paraId="1ED3ECD9">
      <w:pPr>
        <w:autoSpaceDE w:val="0"/>
        <w:autoSpaceDN w:val="0"/>
        <w:adjustRightInd w:val="0"/>
        <w:spacing w:line="560" w:lineRule="exact"/>
        <w:rPr>
          <w:rFonts w:hint="eastAsia" w:ascii="仿宋" w:hAnsi="仿宋" w:eastAsia="仿宋" w:cs="仿宋"/>
          <w:sz w:val="24"/>
          <w:lang w:eastAsia="zh-CN"/>
        </w:rPr>
      </w:pPr>
      <w:r>
        <w:rPr>
          <w:rFonts w:hint="eastAsia" w:ascii="仿宋" w:hAnsi="仿宋" w:eastAsia="仿宋" w:cs="仿宋"/>
          <w:sz w:val="24"/>
        </w:rPr>
        <w:t>开户名称：</w:t>
      </w:r>
      <w:r>
        <w:rPr>
          <w:rFonts w:hint="eastAsia" w:ascii="仿宋" w:hAnsi="仿宋" w:eastAsia="仿宋" w:cs="仿宋"/>
          <w:sz w:val="24"/>
          <w:lang w:val="zh-CN"/>
        </w:rPr>
        <w:t>　　　　　　　　　　　　　　　　　</w:t>
      </w:r>
      <w:r>
        <w:rPr>
          <w:rFonts w:hint="eastAsia" w:ascii="仿宋" w:hAnsi="仿宋" w:eastAsia="仿宋" w:cs="仿宋"/>
          <w:sz w:val="24"/>
        </w:rPr>
        <w:t>开户名称：</w:t>
      </w:r>
    </w:p>
    <w:p w14:paraId="607306EA">
      <w:pPr>
        <w:autoSpaceDE w:val="0"/>
        <w:autoSpaceDN w:val="0"/>
        <w:adjustRightInd w:val="0"/>
        <w:spacing w:line="560" w:lineRule="exact"/>
        <w:rPr>
          <w:rFonts w:hint="eastAsia" w:ascii="仿宋" w:hAnsi="仿宋" w:eastAsia="仿宋" w:cs="仿宋"/>
          <w:sz w:val="24"/>
        </w:rPr>
      </w:pPr>
      <w:r>
        <w:rPr>
          <w:rFonts w:hint="eastAsia" w:ascii="仿宋" w:hAnsi="仿宋" w:eastAsia="仿宋" w:cs="仿宋"/>
          <w:sz w:val="24"/>
        </w:rPr>
        <w:t>开户账号：</w:t>
      </w:r>
      <w:r>
        <w:rPr>
          <w:rFonts w:hint="eastAsia" w:ascii="仿宋" w:hAnsi="仿宋" w:eastAsia="仿宋" w:cs="仿宋"/>
          <w:sz w:val="24"/>
          <w:lang w:val="zh-CN"/>
        </w:rPr>
        <w:t>　　　　　　　　　　　　　　　　　</w:t>
      </w:r>
      <w:r>
        <w:rPr>
          <w:rFonts w:hint="eastAsia" w:ascii="仿宋" w:hAnsi="仿宋" w:eastAsia="仿宋" w:cs="仿宋"/>
          <w:sz w:val="24"/>
        </w:rPr>
        <w:t>开户账号：</w:t>
      </w:r>
    </w:p>
    <w:p w14:paraId="08FE1E0E">
      <w:pPr>
        <w:pStyle w:val="93"/>
        <w:spacing w:line="560" w:lineRule="exact"/>
        <w:ind w:firstLine="200"/>
        <w:jc w:val="center"/>
        <w:rPr>
          <w:rFonts w:hint="eastAsia" w:ascii="仿宋" w:hAnsi="仿宋" w:eastAsia="仿宋" w:cs="仿宋"/>
          <w:b/>
          <w:szCs w:val="24"/>
        </w:rPr>
      </w:pPr>
    </w:p>
    <w:p w14:paraId="1F0A782F">
      <w:pPr>
        <w:rPr>
          <w:rFonts w:hint="eastAsia" w:ascii="仿宋" w:hAnsi="仿宋" w:eastAsia="仿宋" w:cs="仿宋"/>
          <w:b/>
          <w:szCs w:val="24"/>
        </w:rPr>
      </w:pPr>
      <w:r>
        <w:rPr>
          <w:rFonts w:hint="eastAsia" w:ascii="仿宋" w:hAnsi="仿宋" w:eastAsia="仿宋" w:cs="仿宋"/>
          <w:b/>
          <w:szCs w:val="24"/>
        </w:rPr>
        <w:br w:type="page"/>
      </w:r>
    </w:p>
    <w:p w14:paraId="45A9AFE9">
      <w:pPr>
        <w:pStyle w:val="93"/>
        <w:spacing w:line="560" w:lineRule="exact"/>
        <w:ind w:firstLine="200"/>
        <w:jc w:val="center"/>
        <w:rPr>
          <w:rFonts w:hint="eastAsia" w:ascii="仿宋" w:hAnsi="仿宋" w:eastAsia="仿宋" w:cs="仿宋"/>
          <w:b/>
          <w:szCs w:val="24"/>
        </w:rPr>
      </w:pPr>
      <w:r>
        <w:rPr>
          <w:rFonts w:hint="eastAsia" w:ascii="仿宋" w:hAnsi="仿宋" w:eastAsia="仿宋" w:cs="仿宋"/>
          <w:b/>
          <w:szCs w:val="24"/>
        </w:rPr>
        <w:t>第二部分合同一般条款</w:t>
      </w:r>
    </w:p>
    <w:p w14:paraId="3E3BF25E">
      <w:pPr>
        <w:spacing w:line="560" w:lineRule="exact"/>
        <w:ind w:firstLine="482" w:firstLineChars="200"/>
        <w:outlineLvl w:val="0"/>
        <w:rPr>
          <w:rFonts w:hint="eastAsia" w:ascii="仿宋" w:hAnsi="仿宋" w:eastAsia="仿宋" w:cs="仿宋"/>
          <w:b/>
          <w:sz w:val="24"/>
        </w:rPr>
      </w:pPr>
      <w:bookmarkStart w:id="327" w:name="_Toc8424"/>
      <w:bookmarkStart w:id="328" w:name="_Toc26954"/>
      <w:bookmarkStart w:id="329" w:name="_Ref467379214"/>
      <w:bookmarkStart w:id="330" w:name="_Toc5228"/>
      <w:bookmarkStart w:id="331" w:name="_Toc25079"/>
      <w:bookmarkStart w:id="332" w:name="_Ref467379094"/>
      <w:bookmarkStart w:id="333" w:name="_Ref467378463"/>
      <w:bookmarkStart w:id="334" w:name="_Ref467379195"/>
      <w:bookmarkStart w:id="335" w:name="_Toc31297"/>
      <w:bookmarkStart w:id="336" w:name="_Toc19680"/>
      <w:bookmarkStart w:id="337" w:name="_Toc1956"/>
      <w:bookmarkStart w:id="338" w:name="_Ref467379225"/>
      <w:bookmarkStart w:id="339" w:name="_Toc14021"/>
      <w:bookmarkStart w:id="340" w:name="_Toc279701240"/>
      <w:bookmarkStart w:id="341" w:name="_Ref467379205"/>
      <w:bookmarkStart w:id="342" w:name="_Ref467378499"/>
      <w:bookmarkStart w:id="343" w:name="_Toc15818"/>
      <w:bookmarkStart w:id="344" w:name="_Ref467379101"/>
      <w:bookmarkStart w:id="345" w:name="_Ref467379109"/>
      <w:bookmarkStart w:id="346" w:name="_Ref467378404"/>
      <w:bookmarkStart w:id="347" w:name="_Toc5323"/>
      <w:bookmarkStart w:id="348" w:name="_Toc487900349"/>
      <w:bookmarkStart w:id="349" w:name="_Toc259093669"/>
      <w:bookmarkStart w:id="350" w:name="_Toc11187"/>
      <w:r>
        <w:rPr>
          <w:rFonts w:hint="eastAsia" w:ascii="仿宋" w:hAnsi="仿宋" w:eastAsia="仿宋" w:cs="仿宋"/>
          <w:b/>
          <w:sz w:val="24"/>
        </w:rPr>
        <w:t>2.1定义</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51809B00">
      <w:pPr>
        <w:spacing w:line="560" w:lineRule="exact"/>
        <w:ind w:firstLine="480" w:firstLineChars="200"/>
        <w:rPr>
          <w:rFonts w:hint="eastAsia" w:ascii="仿宋" w:hAnsi="仿宋" w:eastAsia="仿宋" w:cs="仿宋"/>
          <w:sz w:val="24"/>
        </w:rPr>
      </w:pPr>
      <w:r>
        <w:rPr>
          <w:rFonts w:hint="eastAsia" w:ascii="仿宋" w:hAnsi="仿宋" w:eastAsia="仿宋" w:cs="仿宋"/>
          <w:sz w:val="24"/>
        </w:rPr>
        <w:t>本合同中的下列词语应按以下内容进行解释：</w:t>
      </w:r>
    </w:p>
    <w:p w14:paraId="777516FB">
      <w:pPr>
        <w:spacing w:line="560" w:lineRule="exact"/>
        <w:ind w:firstLine="480" w:firstLineChars="200"/>
        <w:rPr>
          <w:rFonts w:hint="eastAsia" w:ascii="仿宋" w:hAnsi="仿宋" w:eastAsia="仿宋" w:cs="仿宋"/>
          <w:sz w:val="24"/>
        </w:rPr>
      </w:pPr>
      <w:r>
        <w:rPr>
          <w:rFonts w:hint="eastAsia" w:ascii="仿宋" w:hAnsi="仿宋" w:eastAsia="仿宋" w:cs="仿宋"/>
          <w:sz w:val="24"/>
        </w:rPr>
        <w:t>2.1.1“合同”系指采购人和中标供应商签订的载明双方当事人所达成的协议，并包括所有的附件、附录和构成合同的其他文件。</w:t>
      </w:r>
    </w:p>
    <w:p w14:paraId="3294F4A7">
      <w:pPr>
        <w:spacing w:line="560" w:lineRule="exact"/>
        <w:ind w:firstLine="480" w:firstLineChars="200"/>
        <w:rPr>
          <w:rFonts w:hint="eastAsia" w:ascii="仿宋" w:hAnsi="仿宋" w:eastAsia="仿宋" w:cs="仿宋"/>
          <w:sz w:val="24"/>
        </w:rPr>
      </w:pPr>
      <w:r>
        <w:rPr>
          <w:rFonts w:hint="eastAsia" w:ascii="仿宋" w:hAnsi="仿宋" w:eastAsia="仿宋" w:cs="仿宋"/>
          <w:sz w:val="24"/>
        </w:rPr>
        <w:t>2.1.2“合同价”系指根据合同约定，中标供应商在完全履行合同义务后，采购人应支付给中标供应商的价格。</w:t>
      </w:r>
    </w:p>
    <w:p w14:paraId="3E7E690F">
      <w:pPr>
        <w:spacing w:line="560" w:lineRule="exact"/>
        <w:ind w:firstLine="480" w:firstLineChars="200"/>
        <w:rPr>
          <w:rFonts w:hint="eastAsia" w:ascii="仿宋" w:hAnsi="仿宋" w:eastAsia="仿宋" w:cs="仿宋"/>
          <w:sz w:val="24"/>
        </w:rPr>
      </w:pPr>
      <w:r>
        <w:rPr>
          <w:rFonts w:hint="eastAsia" w:ascii="仿宋" w:hAnsi="仿宋" w:eastAsia="仿宋" w:cs="仿宋"/>
          <w:sz w:val="24"/>
        </w:rPr>
        <w:t>2.1.3“服务”系指中标供应商根据合同约定应向采购人履行的除货物和工程以外的其他政府采购对象，包括采购人自身需要的服务和向社会公众提供的公共服务。</w:t>
      </w:r>
    </w:p>
    <w:p w14:paraId="76B02FC7">
      <w:pPr>
        <w:spacing w:line="560" w:lineRule="exact"/>
        <w:ind w:firstLine="480" w:firstLineChars="200"/>
        <w:rPr>
          <w:rFonts w:hint="eastAsia" w:ascii="仿宋" w:hAnsi="仿宋" w:eastAsia="仿宋" w:cs="仿宋"/>
          <w:sz w:val="24"/>
        </w:rPr>
      </w:pPr>
      <w:bookmarkStart w:id="351" w:name="_Ref467378840"/>
      <w:r>
        <w:rPr>
          <w:rFonts w:hint="eastAsia" w:ascii="仿宋" w:hAnsi="仿宋" w:eastAsia="仿宋" w:cs="仿宋"/>
          <w:sz w:val="24"/>
        </w:rPr>
        <w:t>2.1.4“甲方”系指与中标供应商签署合同的采购人</w:t>
      </w:r>
      <w:bookmarkEnd w:id="351"/>
      <w:r>
        <w:rPr>
          <w:rFonts w:hint="eastAsia" w:ascii="仿宋" w:hAnsi="仿宋" w:eastAsia="仿宋" w:cs="仿宋"/>
          <w:sz w:val="24"/>
        </w:rPr>
        <w:t>；采购人委托采购代理机构代表其与乙方签订合同的，采购人的授权委托书作为合同附件。</w:t>
      </w:r>
    </w:p>
    <w:p w14:paraId="68647F47">
      <w:pPr>
        <w:spacing w:line="560" w:lineRule="exact"/>
        <w:ind w:firstLine="480" w:firstLineChars="200"/>
        <w:rPr>
          <w:rFonts w:hint="eastAsia" w:ascii="仿宋" w:hAnsi="仿宋" w:eastAsia="仿宋" w:cs="仿宋"/>
          <w:sz w:val="24"/>
        </w:rPr>
      </w:pPr>
      <w:bookmarkStart w:id="352" w:name="_Ref467379400"/>
      <w:r>
        <w:rPr>
          <w:rFonts w:hint="eastAsia" w:ascii="仿宋" w:hAnsi="仿宋" w:eastAsia="仿宋" w:cs="仿宋"/>
          <w:sz w:val="24"/>
        </w:rPr>
        <w:t>2.1.5“乙方”系指根据合同约定提供服务的中标供应商</w:t>
      </w:r>
      <w:bookmarkEnd w:id="352"/>
      <w:r>
        <w:rPr>
          <w:rFonts w:hint="eastAsia" w:ascii="仿宋" w:hAnsi="仿宋" w:eastAsia="仿宋" w:cs="仿宋"/>
          <w:sz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5F58698F">
      <w:pPr>
        <w:spacing w:line="560" w:lineRule="exact"/>
        <w:ind w:firstLine="480" w:firstLineChars="200"/>
        <w:rPr>
          <w:rFonts w:hint="eastAsia" w:ascii="仿宋" w:hAnsi="仿宋" w:eastAsia="仿宋" w:cs="仿宋"/>
          <w:sz w:val="24"/>
        </w:rPr>
      </w:pPr>
      <w:bookmarkStart w:id="353" w:name="_Ref467379436"/>
      <w:r>
        <w:rPr>
          <w:rFonts w:hint="eastAsia" w:ascii="仿宋" w:hAnsi="仿宋" w:eastAsia="仿宋" w:cs="仿宋"/>
          <w:sz w:val="24"/>
        </w:rPr>
        <w:t>2.1.6“现场”系指合同约定提供服务的地点。</w:t>
      </w:r>
      <w:bookmarkEnd w:id="353"/>
    </w:p>
    <w:p w14:paraId="2518B5E1">
      <w:pPr>
        <w:spacing w:line="560" w:lineRule="exact"/>
        <w:ind w:firstLine="482" w:firstLineChars="200"/>
        <w:outlineLvl w:val="0"/>
        <w:rPr>
          <w:rFonts w:hint="eastAsia" w:ascii="仿宋" w:hAnsi="仿宋" w:eastAsia="仿宋" w:cs="仿宋"/>
          <w:b/>
          <w:sz w:val="24"/>
        </w:rPr>
      </w:pPr>
      <w:bookmarkStart w:id="354" w:name="_Toc10571"/>
      <w:bookmarkStart w:id="355" w:name="_Toc259093670"/>
      <w:bookmarkStart w:id="356" w:name="_Toc19539"/>
      <w:bookmarkStart w:id="357" w:name="_Toc17575"/>
      <w:bookmarkStart w:id="358" w:name="_Toc9079"/>
      <w:bookmarkStart w:id="359" w:name="_Toc3769"/>
      <w:bookmarkStart w:id="360" w:name="_Toc16752"/>
      <w:bookmarkStart w:id="361" w:name="_Toc14943"/>
      <w:bookmarkStart w:id="362" w:name="_Toc31402"/>
      <w:bookmarkStart w:id="363" w:name="_Toc23979"/>
      <w:bookmarkStart w:id="364" w:name="_Toc31154"/>
      <w:bookmarkStart w:id="365" w:name="_Toc23289"/>
      <w:bookmarkStart w:id="366" w:name="_Toc279701241"/>
      <w:bookmarkStart w:id="367" w:name="_Toc487900350"/>
      <w:r>
        <w:rPr>
          <w:rFonts w:hint="eastAsia" w:ascii="仿宋" w:hAnsi="仿宋" w:eastAsia="仿宋" w:cs="仿宋"/>
          <w:b/>
          <w:sz w:val="24"/>
        </w:rPr>
        <w:t>2.2技术规范</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451DF388">
      <w:pPr>
        <w:spacing w:line="560" w:lineRule="exact"/>
        <w:ind w:firstLine="480" w:firstLineChars="200"/>
        <w:rPr>
          <w:rFonts w:hint="eastAsia" w:ascii="仿宋" w:hAnsi="仿宋" w:eastAsia="仿宋" w:cs="仿宋"/>
          <w:sz w:val="24"/>
        </w:rPr>
      </w:pPr>
      <w:r>
        <w:rPr>
          <w:rFonts w:hint="eastAsia" w:ascii="仿宋" w:hAnsi="仿宋" w:eastAsia="仿宋" w:cs="仿宋"/>
          <w:sz w:val="24"/>
        </w:rPr>
        <w:t>服务所应遵守的技术规范应与采购文件规定的技术规范和技术规范附件</w:t>
      </w:r>
      <w:r>
        <w:rPr>
          <w:rFonts w:hint="eastAsia" w:ascii="仿宋" w:hAnsi="仿宋" w:eastAsia="仿宋" w:cs="仿宋"/>
          <w:sz w:val="24"/>
          <w:lang w:eastAsia="zh-CN"/>
        </w:rPr>
        <w:t>（</w:t>
      </w:r>
      <w:r>
        <w:rPr>
          <w:rFonts w:hint="eastAsia" w:ascii="仿宋" w:hAnsi="仿宋" w:eastAsia="仿宋" w:cs="仿宋"/>
          <w:sz w:val="24"/>
        </w:rPr>
        <w:t>如果有的话</w:t>
      </w:r>
      <w:r>
        <w:rPr>
          <w:rFonts w:hint="eastAsia" w:ascii="仿宋" w:hAnsi="仿宋" w:eastAsia="仿宋" w:cs="仿宋"/>
          <w:sz w:val="24"/>
          <w:lang w:eastAsia="zh-CN"/>
        </w:rPr>
        <w:t>）</w:t>
      </w:r>
      <w:r>
        <w:rPr>
          <w:rFonts w:hint="eastAsia" w:ascii="仿宋" w:hAnsi="仿宋" w:eastAsia="仿宋" w:cs="仿宋"/>
          <w:sz w:val="24"/>
        </w:rPr>
        <w:t>及其技术规范偏差表</w:t>
      </w:r>
      <w:r>
        <w:rPr>
          <w:rFonts w:hint="eastAsia" w:ascii="仿宋" w:hAnsi="仿宋" w:eastAsia="仿宋" w:cs="仿宋"/>
          <w:sz w:val="24"/>
          <w:lang w:eastAsia="zh-CN"/>
        </w:rPr>
        <w:t>（</w:t>
      </w:r>
      <w:r>
        <w:rPr>
          <w:rFonts w:hint="eastAsia" w:ascii="仿宋" w:hAnsi="仿宋" w:eastAsia="仿宋" w:cs="仿宋"/>
          <w:sz w:val="24"/>
        </w:rPr>
        <w:t>如果被甲方接受的话</w:t>
      </w:r>
      <w:r>
        <w:rPr>
          <w:rFonts w:hint="eastAsia" w:ascii="仿宋" w:hAnsi="仿宋" w:eastAsia="仿宋" w:cs="仿宋"/>
          <w:sz w:val="24"/>
          <w:lang w:eastAsia="zh-CN"/>
        </w:rPr>
        <w:t>）</w:t>
      </w:r>
      <w:r>
        <w:rPr>
          <w:rFonts w:hint="eastAsia" w:ascii="仿宋" w:hAnsi="仿宋" w:eastAsia="仿宋" w:cs="仿宋"/>
          <w:sz w:val="24"/>
        </w:rPr>
        <w:t>相一致；如果采购文件中没有技术规范的相应说明，那么应以国家有关部门最新颁布的相应标准和规范为准。</w:t>
      </w:r>
    </w:p>
    <w:p w14:paraId="2842189F">
      <w:pPr>
        <w:spacing w:line="560" w:lineRule="exact"/>
        <w:ind w:firstLine="482" w:firstLineChars="200"/>
        <w:outlineLvl w:val="0"/>
        <w:rPr>
          <w:rFonts w:hint="eastAsia" w:ascii="仿宋" w:hAnsi="仿宋" w:eastAsia="仿宋" w:cs="仿宋"/>
          <w:b/>
          <w:sz w:val="24"/>
        </w:rPr>
      </w:pPr>
      <w:bookmarkStart w:id="368" w:name="_Toc13673"/>
      <w:bookmarkStart w:id="369" w:name="_Toc487900351"/>
      <w:bookmarkStart w:id="370" w:name="_Toc4133"/>
      <w:bookmarkStart w:id="371" w:name="_Toc279701242"/>
      <w:bookmarkStart w:id="372" w:name="_Toc12412"/>
      <w:bookmarkStart w:id="373" w:name="_Toc8693"/>
      <w:bookmarkStart w:id="374" w:name="_Toc696"/>
      <w:bookmarkStart w:id="375" w:name="_Toc14"/>
      <w:bookmarkStart w:id="376" w:name="_Toc10900"/>
      <w:bookmarkStart w:id="377" w:name="_Toc14932"/>
      <w:bookmarkStart w:id="378" w:name="_Toc9161"/>
      <w:bookmarkStart w:id="379" w:name="_Toc259093671"/>
      <w:bookmarkStart w:id="380" w:name="_Toc4984"/>
      <w:bookmarkStart w:id="381" w:name="_Toc27945"/>
      <w:r>
        <w:rPr>
          <w:rFonts w:hint="eastAsia" w:ascii="仿宋" w:hAnsi="仿宋" w:eastAsia="仿宋" w:cs="仿宋"/>
          <w:b/>
          <w:sz w:val="24"/>
        </w:rPr>
        <w:t>2.3知识产权</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595532C4">
      <w:pPr>
        <w:spacing w:line="560" w:lineRule="exact"/>
        <w:ind w:firstLine="480" w:firstLineChars="200"/>
        <w:rPr>
          <w:rFonts w:hint="eastAsia" w:ascii="仿宋" w:hAnsi="仿宋" w:eastAsia="仿宋" w:cs="仿宋"/>
          <w:sz w:val="24"/>
        </w:rPr>
      </w:pPr>
      <w:r>
        <w:rPr>
          <w:rFonts w:hint="eastAsia" w:ascii="仿宋" w:hAnsi="仿宋" w:eastAsia="仿宋" w:cs="仿宋"/>
          <w:sz w:val="24"/>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5456140C">
      <w:pPr>
        <w:spacing w:line="560" w:lineRule="exact"/>
        <w:ind w:firstLine="480" w:firstLineChars="200"/>
        <w:rPr>
          <w:rFonts w:hint="eastAsia" w:ascii="仿宋" w:hAnsi="仿宋" w:eastAsia="仿宋" w:cs="仿宋"/>
          <w:sz w:val="24"/>
        </w:rPr>
      </w:pPr>
      <w:r>
        <w:rPr>
          <w:rFonts w:hint="eastAsia" w:ascii="仿宋" w:hAnsi="仿宋" w:eastAsia="仿宋" w:cs="仿宋"/>
          <w:sz w:val="24"/>
        </w:rPr>
        <w:t>2.3.2合同涉及技术成果的归属和收益的分成办法的，详见</w:t>
      </w:r>
      <w:r>
        <w:rPr>
          <w:rFonts w:hint="eastAsia" w:ascii="仿宋" w:hAnsi="仿宋" w:eastAsia="仿宋" w:cs="仿宋"/>
          <w:b/>
          <w:i/>
          <w:sz w:val="24"/>
          <w:u w:val="single"/>
        </w:rPr>
        <w:t>合同专用条款</w:t>
      </w:r>
      <w:r>
        <w:rPr>
          <w:rFonts w:hint="eastAsia" w:ascii="仿宋" w:hAnsi="仿宋" w:eastAsia="仿宋" w:cs="仿宋"/>
          <w:sz w:val="24"/>
        </w:rPr>
        <w:t>。</w:t>
      </w:r>
    </w:p>
    <w:p w14:paraId="441C4842">
      <w:pPr>
        <w:spacing w:line="560" w:lineRule="exact"/>
        <w:ind w:firstLine="482" w:firstLineChars="200"/>
        <w:rPr>
          <w:rFonts w:hint="eastAsia" w:ascii="仿宋" w:hAnsi="仿宋" w:eastAsia="仿宋" w:cs="仿宋"/>
          <w:b/>
          <w:sz w:val="24"/>
        </w:rPr>
      </w:pPr>
      <w:r>
        <w:rPr>
          <w:rFonts w:hint="eastAsia" w:ascii="仿宋" w:hAnsi="仿宋" w:eastAsia="仿宋" w:cs="仿宋"/>
          <w:b/>
          <w:sz w:val="24"/>
        </w:rPr>
        <w:t>2.4履约检查和问题反馈</w:t>
      </w:r>
    </w:p>
    <w:p w14:paraId="1D6D3E76">
      <w:pPr>
        <w:spacing w:line="560" w:lineRule="exact"/>
        <w:ind w:firstLine="480" w:firstLineChars="200"/>
        <w:rPr>
          <w:rFonts w:hint="eastAsia" w:ascii="仿宋" w:hAnsi="仿宋" w:eastAsia="仿宋" w:cs="仿宋"/>
          <w:sz w:val="24"/>
        </w:rPr>
      </w:pPr>
      <w:bookmarkStart w:id="382" w:name="_Ref467379657"/>
      <w:r>
        <w:rPr>
          <w:rFonts w:hint="eastAsia" w:ascii="仿宋" w:hAnsi="仿宋" w:eastAsia="仿宋" w:cs="仿宋"/>
          <w:sz w:val="24"/>
        </w:rPr>
        <w:t>2.4.1</w:t>
      </w:r>
      <w:bookmarkEnd w:id="382"/>
      <w:bookmarkStart w:id="383" w:name="_Toc186431854"/>
      <w:bookmarkStart w:id="384" w:name="_Toc279701247"/>
      <w:bookmarkStart w:id="385" w:name="_Ref467379807"/>
      <w:bookmarkStart w:id="386" w:name="_Toc487900357"/>
      <w:bookmarkStart w:id="387" w:name="_Ref467379793"/>
      <w:bookmarkStart w:id="388" w:name="_Toc259093676"/>
      <w:r>
        <w:rPr>
          <w:rFonts w:hint="eastAsia" w:ascii="仿宋" w:hAnsi="仿宋" w:eastAsia="仿宋" w:cs="仿宋"/>
          <w:sz w:val="24"/>
        </w:rPr>
        <w:t>甲方有权在其认为必要时，对乙方是否能够按照合同约定提供服务进行履约检查，以确保乙方所提供的服务能够依约满足甲方之项目需求，但不得因履约检查妨碍乙方的正常工作，乙方应予积极配合；</w:t>
      </w:r>
    </w:p>
    <w:p w14:paraId="4A55A25E">
      <w:pPr>
        <w:spacing w:line="560" w:lineRule="exact"/>
        <w:ind w:firstLine="480" w:firstLineChars="200"/>
        <w:rPr>
          <w:rFonts w:hint="eastAsia" w:ascii="仿宋" w:hAnsi="仿宋" w:eastAsia="仿宋" w:cs="仿宋"/>
          <w:sz w:val="24"/>
        </w:rPr>
      </w:pPr>
      <w:r>
        <w:rPr>
          <w:rFonts w:hint="eastAsia" w:ascii="仿宋" w:hAnsi="仿宋" w:eastAsia="仿宋" w:cs="仿宋"/>
          <w:sz w:val="24"/>
        </w:rPr>
        <w:t>2.4.2合同履行期间，甲方有权将履行过程中出现的问题反馈给乙方，双方当事人应以书面形式约定需要完善和改进的内容</w:t>
      </w:r>
      <w:bookmarkEnd w:id="383"/>
      <w:bookmarkStart w:id="389" w:name="_Toc186431855"/>
      <w:r>
        <w:rPr>
          <w:rFonts w:hint="eastAsia" w:ascii="仿宋" w:hAnsi="仿宋" w:eastAsia="仿宋" w:cs="仿宋"/>
          <w:sz w:val="24"/>
        </w:rPr>
        <w:t>。</w:t>
      </w:r>
    </w:p>
    <w:bookmarkEnd w:id="389"/>
    <w:p w14:paraId="7ADE2941">
      <w:pPr>
        <w:spacing w:line="560" w:lineRule="exact"/>
        <w:ind w:firstLine="482" w:firstLineChars="200"/>
        <w:outlineLvl w:val="0"/>
        <w:rPr>
          <w:rFonts w:hint="eastAsia" w:ascii="仿宋" w:hAnsi="仿宋" w:eastAsia="仿宋" w:cs="仿宋"/>
          <w:b/>
          <w:sz w:val="24"/>
        </w:rPr>
      </w:pPr>
      <w:bookmarkStart w:id="390" w:name="_Toc15447"/>
      <w:bookmarkStart w:id="391" w:name="_Toc22388"/>
      <w:bookmarkStart w:id="392" w:name="_Toc29729"/>
      <w:bookmarkStart w:id="393" w:name="_Toc26555"/>
      <w:bookmarkStart w:id="394" w:name="_Toc16883"/>
      <w:bookmarkStart w:id="395" w:name="_Toc21550"/>
      <w:bookmarkStart w:id="396" w:name="_Toc5289"/>
      <w:bookmarkStart w:id="397" w:name="_Toc31233"/>
      <w:bookmarkStart w:id="398" w:name="_Toc22011"/>
      <w:bookmarkStart w:id="399" w:name="_Toc343"/>
      <w:r>
        <w:rPr>
          <w:rFonts w:hint="eastAsia" w:ascii="仿宋" w:hAnsi="仿宋" w:eastAsia="仿宋" w:cs="仿宋"/>
          <w:b/>
          <w:sz w:val="24"/>
        </w:rPr>
        <w:t>2.5结算方式和付款条件</w:t>
      </w:r>
      <w:bookmarkEnd w:id="384"/>
      <w:bookmarkEnd w:id="385"/>
      <w:bookmarkEnd w:id="386"/>
      <w:bookmarkEnd w:id="387"/>
      <w:bookmarkEnd w:id="388"/>
      <w:bookmarkEnd w:id="390"/>
      <w:bookmarkEnd w:id="391"/>
      <w:bookmarkEnd w:id="392"/>
      <w:bookmarkEnd w:id="393"/>
      <w:bookmarkEnd w:id="394"/>
      <w:bookmarkEnd w:id="395"/>
      <w:bookmarkEnd w:id="396"/>
      <w:bookmarkEnd w:id="397"/>
      <w:bookmarkEnd w:id="398"/>
      <w:bookmarkEnd w:id="399"/>
    </w:p>
    <w:p w14:paraId="5D145206">
      <w:pPr>
        <w:spacing w:line="560" w:lineRule="exact"/>
        <w:ind w:firstLine="480" w:firstLineChars="200"/>
        <w:rPr>
          <w:rFonts w:hint="eastAsia" w:ascii="仿宋" w:hAnsi="仿宋" w:eastAsia="仿宋" w:cs="仿宋"/>
          <w:sz w:val="24"/>
        </w:rPr>
      </w:pPr>
      <w:r>
        <w:rPr>
          <w:rFonts w:hint="eastAsia" w:ascii="仿宋" w:hAnsi="仿宋" w:eastAsia="仿宋" w:cs="仿宋"/>
          <w:sz w:val="24"/>
        </w:rPr>
        <w:t>详见</w:t>
      </w:r>
      <w:r>
        <w:rPr>
          <w:rFonts w:hint="eastAsia" w:ascii="仿宋" w:hAnsi="仿宋" w:eastAsia="仿宋" w:cs="仿宋"/>
          <w:b/>
          <w:i/>
          <w:sz w:val="24"/>
          <w:u w:val="single"/>
        </w:rPr>
        <w:t>合同专用条款</w:t>
      </w:r>
      <w:r>
        <w:rPr>
          <w:rFonts w:hint="eastAsia" w:ascii="仿宋" w:hAnsi="仿宋" w:eastAsia="仿宋" w:cs="仿宋"/>
          <w:sz w:val="24"/>
        </w:rPr>
        <w:t>。</w:t>
      </w:r>
    </w:p>
    <w:p w14:paraId="678D6393">
      <w:pPr>
        <w:spacing w:line="560" w:lineRule="exact"/>
        <w:ind w:firstLine="482" w:firstLineChars="200"/>
        <w:outlineLvl w:val="0"/>
        <w:rPr>
          <w:rFonts w:hint="eastAsia" w:ascii="仿宋" w:hAnsi="仿宋" w:eastAsia="仿宋" w:cs="仿宋"/>
          <w:b/>
          <w:sz w:val="24"/>
        </w:rPr>
      </w:pPr>
      <w:bookmarkStart w:id="400" w:name="_Toc259093677"/>
      <w:bookmarkStart w:id="401" w:name="_Toc487900358"/>
      <w:bookmarkStart w:id="402" w:name="_Ref467379852"/>
      <w:bookmarkStart w:id="403" w:name="_Ref467379863"/>
      <w:bookmarkStart w:id="404" w:name="_Toc279701248"/>
      <w:bookmarkStart w:id="405" w:name="_Ref467379923"/>
      <w:bookmarkStart w:id="406" w:name="_Toc29111"/>
      <w:bookmarkStart w:id="407" w:name="_Toc13154"/>
      <w:bookmarkStart w:id="408" w:name="_Toc13253"/>
      <w:bookmarkStart w:id="409" w:name="_Toc19887"/>
      <w:bookmarkStart w:id="410" w:name="_Toc13467"/>
      <w:bookmarkStart w:id="411" w:name="_Toc28362"/>
      <w:bookmarkStart w:id="412" w:name="_Toc18990"/>
      <w:bookmarkStart w:id="413" w:name="_Toc16163"/>
      <w:bookmarkStart w:id="414" w:name="_Toc30507"/>
      <w:bookmarkStart w:id="415" w:name="_Toc19900"/>
      <w:bookmarkStart w:id="416" w:name="_Toc14819"/>
      <w:r>
        <w:rPr>
          <w:rFonts w:hint="eastAsia" w:ascii="仿宋" w:hAnsi="仿宋" w:eastAsia="仿宋" w:cs="仿宋"/>
          <w:b/>
          <w:sz w:val="24"/>
        </w:rPr>
        <w:t>2.6技术资料</w:t>
      </w:r>
      <w:bookmarkEnd w:id="400"/>
      <w:bookmarkEnd w:id="401"/>
      <w:bookmarkEnd w:id="402"/>
      <w:bookmarkEnd w:id="403"/>
      <w:bookmarkEnd w:id="404"/>
      <w:bookmarkEnd w:id="405"/>
      <w:r>
        <w:rPr>
          <w:rFonts w:hint="eastAsia" w:ascii="仿宋" w:hAnsi="仿宋" w:eastAsia="仿宋" w:cs="仿宋"/>
          <w:b/>
          <w:sz w:val="24"/>
        </w:rPr>
        <w:t>和保密义务</w:t>
      </w:r>
      <w:bookmarkEnd w:id="406"/>
      <w:bookmarkEnd w:id="407"/>
      <w:bookmarkEnd w:id="408"/>
      <w:bookmarkEnd w:id="409"/>
      <w:bookmarkEnd w:id="410"/>
      <w:bookmarkEnd w:id="411"/>
      <w:bookmarkEnd w:id="412"/>
      <w:bookmarkEnd w:id="413"/>
      <w:bookmarkEnd w:id="414"/>
      <w:bookmarkEnd w:id="415"/>
      <w:bookmarkEnd w:id="416"/>
    </w:p>
    <w:p w14:paraId="0E5912F3">
      <w:pPr>
        <w:spacing w:line="560" w:lineRule="exact"/>
        <w:ind w:firstLine="480" w:firstLineChars="200"/>
        <w:rPr>
          <w:rFonts w:hint="eastAsia" w:ascii="仿宋" w:hAnsi="仿宋" w:eastAsia="仿宋" w:cs="仿宋"/>
          <w:sz w:val="24"/>
        </w:rPr>
      </w:pPr>
      <w:r>
        <w:rPr>
          <w:rFonts w:hint="eastAsia" w:ascii="仿宋" w:hAnsi="仿宋" w:eastAsia="仿宋" w:cs="仿宋"/>
          <w:sz w:val="24"/>
        </w:rPr>
        <w:t>2.6.1乙方有权依据合同约定和项目需要，向甲方了解有关情况，调阅有关资料等，甲方应予积极配合；</w:t>
      </w:r>
    </w:p>
    <w:p w14:paraId="1D6D72E8">
      <w:pPr>
        <w:spacing w:line="560" w:lineRule="exact"/>
        <w:ind w:firstLine="480" w:firstLineChars="200"/>
        <w:rPr>
          <w:rFonts w:hint="eastAsia" w:ascii="仿宋" w:hAnsi="仿宋" w:eastAsia="仿宋" w:cs="仿宋"/>
          <w:sz w:val="24"/>
        </w:rPr>
      </w:pPr>
      <w:r>
        <w:rPr>
          <w:rFonts w:hint="eastAsia" w:ascii="仿宋" w:hAnsi="仿宋" w:eastAsia="仿宋" w:cs="仿宋"/>
          <w:sz w:val="24"/>
        </w:rPr>
        <w:t>2.6.2乙方有义务妥善保管和保护由甲方提供的前款信息和资料等；</w:t>
      </w:r>
    </w:p>
    <w:p w14:paraId="6D84A260">
      <w:pPr>
        <w:spacing w:line="560" w:lineRule="exact"/>
        <w:ind w:firstLine="480" w:firstLineChars="200"/>
        <w:rPr>
          <w:rFonts w:hint="eastAsia" w:ascii="仿宋" w:hAnsi="仿宋" w:eastAsia="仿宋" w:cs="仿宋"/>
          <w:sz w:val="24"/>
        </w:rPr>
      </w:pPr>
      <w:r>
        <w:rPr>
          <w:rFonts w:hint="eastAsia" w:ascii="仿宋" w:hAnsi="仿宋" w:eastAsia="仿宋" w:cs="仿宋"/>
          <w:sz w:val="24"/>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08002E91">
      <w:pPr>
        <w:spacing w:line="560" w:lineRule="exact"/>
        <w:ind w:firstLine="482" w:firstLineChars="200"/>
        <w:outlineLvl w:val="0"/>
        <w:rPr>
          <w:rFonts w:hint="eastAsia" w:ascii="仿宋" w:hAnsi="仿宋" w:eastAsia="仿宋" w:cs="仿宋"/>
          <w:b/>
          <w:sz w:val="24"/>
        </w:rPr>
      </w:pPr>
      <w:bookmarkStart w:id="417" w:name="_Toc19069"/>
      <w:bookmarkStart w:id="418" w:name="_Toc27817"/>
      <w:bookmarkStart w:id="419" w:name="_Toc29966"/>
      <w:bookmarkStart w:id="420" w:name="_Toc7262"/>
      <w:bookmarkStart w:id="421" w:name="_Toc24239"/>
      <w:bookmarkStart w:id="422" w:name="_Toc16321"/>
      <w:bookmarkStart w:id="423" w:name="_Toc279701252"/>
      <w:bookmarkStart w:id="424" w:name="_Toc487900362"/>
      <w:bookmarkStart w:id="425" w:name="_Toc259093681"/>
      <w:r>
        <w:rPr>
          <w:rFonts w:hint="eastAsia" w:ascii="仿宋" w:hAnsi="仿宋" w:eastAsia="仿宋" w:cs="仿宋"/>
          <w:b/>
          <w:sz w:val="24"/>
        </w:rPr>
        <w:t>2.7质量保证</w:t>
      </w:r>
      <w:bookmarkEnd w:id="417"/>
      <w:bookmarkEnd w:id="418"/>
      <w:bookmarkEnd w:id="419"/>
      <w:bookmarkEnd w:id="420"/>
      <w:bookmarkEnd w:id="421"/>
      <w:bookmarkEnd w:id="422"/>
    </w:p>
    <w:p w14:paraId="3EDD33BB">
      <w:pPr>
        <w:spacing w:line="560" w:lineRule="exact"/>
        <w:ind w:firstLine="480" w:firstLineChars="200"/>
        <w:rPr>
          <w:rFonts w:hint="eastAsia" w:ascii="仿宋" w:hAnsi="仿宋" w:eastAsia="仿宋" w:cs="仿宋"/>
          <w:sz w:val="24"/>
        </w:rPr>
      </w:pPr>
      <w:r>
        <w:rPr>
          <w:rFonts w:hint="eastAsia" w:ascii="仿宋" w:hAnsi="仿宋" w:eastAsia="仿宋" w:cs="仿宋"/>
          <w:sz w:val="24"/>
        </w:rPr>
        <w:t>2.7.1乙方应建立和完善履行合同的内部质量保证体系，并提供相关内部规章制度给甲方，以便甲方进行监督检查；</w:t>
      </w:r>
    </w:p>
    <w:p w14:paraId="32ACFD36">
      <w:pPr>
        <w:spacing w:line="560" w:lineRule="exact"/>
        <w:ind w:firstLine="480" w:firstLineChars="200"/>
        <w:rPr>
          <w:rFonts w:hint="eastAsia" w:ascii="仿宋" w:hAnsi="仿宋" w:eastAsia="仿宋" w:cs="仿宋"/>
          <w:sz w:val="24"/>
        </w:rPr>
      </w:pPr>
      <w:r>
        <w:rPr>
          <w:rFonts w:hint="eastAsia" w:ascii="仿宋" w:hAnsi="仿宋" w:eastAsia="仿宋" w:cs="仿宋"/>
          <w:sz w:val="24"/>
        </w:rPr>
        <w:t>2.7.2乙方应保证履行合同的人员数量和素质、软件和硬件设备的配置、场地、环境和设施等满足全面履行合同的要求，并应接受甲方的监督检查。</w:t>
      </w:r>
    </w:p>
    <w:p w14:paraId="13947DEA">
      <w:pPr>
        <w:spacing w:line="560" w:lineRule="exact"/>
        <w:ind w:firstLine="482" w:firstLineChars="200"/>
        <w:outlineLvl w:val="0"/>
        <w:rPr>
          <w:rFonts w:hint="eastAsia" w:ascii="仿宋" w:hAnsi="仿宋" w:eastAsia="仿宋" w:cs="仿宋"/>
          <w:b/>
          <w:sz w:val="24"/>
        </w:rPr>
      </w:pPr>
      <w:bookmarkStart w:id="426" w:name="_Toc19612"/>
      <w:bookmarkStart w:id="427" w:name="_Toc18767"/>
      <w:bookmarkStart w:id="428" w:name="_Toc22267"/>
      <w:bookmarkStart w:id="429" w:name="_Toc11513"/>
      <w:bookmarkStart w:id="430" w:name="_Toc9815"/>
      <w:bookmarkStart w:id="431" w:name="_Toc15251"/>
      <w:bookmarkStart w:id="432" w:name="_Toc5117"/>
      <w:r>
        <w:rPr>
          <w:rFonts w:hint="eastAsia" w:ascii="仿宋" w:hAnsi="仿宋" w:eastAsia="仿宋" w:cs="仿宋"/>
          <w:b/>
          <w:sz w:val="24"/>
        </w:rPr>
        <w:t>2.8延迟</w:t>
      </w:r>
      <w:bookmarkEnd w:id="423"/>
      <w:bookmarkEnd w:id="424"/>
      <w:bookmarkEnd w:id="425"/>
      <w:r>
        <w:rPr>
          <w:rFonts w:hint="eastAsia" w:ascii="仿宋" w:hAnsi="仿宋" w:eastAsia="仿宋" w:cs="仿宋"/>
          <w:b/>
          <w:sz w:val="24"/>
        </w:rPr>
        <w:t>履行</w:t>
      </w:r>
      <w:bookmarkEnd w:id="426"/>
      <w:bookmarkEnd w:id="427"/>
      <w:bookmarkEnd w:id="428"/>
      <w:bookmarkEnd w:id="429"/>
      <w:bookmarkEnd w:id="430"/>
      <w:bookmarkEnd w:id="431"/>
      <w:bookmarkEnd w:id="432"/>
    </w:p>
    <w:p w14:paraId="16CE398A">
      <w:pPr>
        <w:spacing w:line="560" w:lineRule="exact"/>
        <w:ind w:firstLine="480" w:firstLineChars="200"/>
        <w:rPr>
          <w:rFonts w:hint="eastAsia" w:ascii="仿宋" w:hAnsi="仿宋" w:eastAsia="仿宋" w:cs="仿宋"/>
          <w:sz w:val="24"/>
        </w:rPr>
      </w:pPr>
      <w:r>
        <w:rPr>
          <w:rFonts w:hint="eastAsia" w:ascii="仿宋" w:hAnsi="仿宋" w:eastAsia="仿宋" w:cs="仿宋"/>
          <w:sz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78AF1A36">
      <w:pPr>
        <w:spacing w:line="560" w:lineRule="exact"/>
        <w:ind w:firstLine="482" w:firstLineChars="200"/>
        <w:outlineLvl w:val="0"/>
        <w:rPr>
          <w:rFonts w:hint="eastAsia" w:ascii="仿宋" w:hAnsi="仿宋" w:eastAsia="仿宋" w:cs="仿宋"/>
          <w:b/>
          <w:sz w:val="24"/>
        </w:rPr>
      </w:pPr>
      <w:bookmarkStart w:id="433" w:name="_Toc7148"/>
      <w:bookmarkStart w:id="434" w:name="_Toc1497"/>
      <w:bookmarkStart w:id="435" w:name="_Toc10611"/>
      <w:bookmarkStart w:id="436" w:name="_Toc10186"/>
      <w:bookmarkStart w:id="437" w:name="_Toc30341"/>
      <w:bookmarkStart w:id="438" w:name="_Toc10482"/>
      <w:bookmarkStart w:id="439" w:name="_Toc7169"/>
      <w:bookmarkStart w:id="440" w:name="_Toc279701254"/>
      <w:bookmarkStart w:id="441" w:name="_Toc487900364"/>
      <w:bookmarkStart w:id="442" w:name="_Toc259093683"/>
      <w:bookmarkStart w:id="443" w:name="_Ref467378121"/>
      <w:r>
        <w:rPr>
          <w:rFonts w:hint="eastAsia" w:ascii="仿宋" w:hAnsi="仿宋" w:eastAsia="仿宋" w:cs="仿宋"/>
          <w:b/>
          <w:sz w:val="24"/>
        </w:rPr>
        <w:t>2.9合同变更</w:t>
      </w:r>
      <w:bookmarkEnd w:id="433"/>
      <w:bookmarkEnd w:id="434"/>
      <w:bookmarkEnd w:id="435"/>
      <w:bookmarkEnd w:id="436"/>
      <w:bookmarkEnd w:id="437"/>
      <w:bookmarkEnd w:id="438"/>
      <w:bookmarkEnd w:id="439"/>
    </w:p>
    <w:p w14:paraId="0A2625D2">
      <w:pPr>
        <w:spacing w:line="560" w:lineRule="exact"/>
        <w:ind w:firstLine="480" w:firstLineChars="200"/>
        <w:rPr>
          <w:rFonts w:hint="eastAsia" w:ascii="仿宋" w:hAnsi="仿宋" w:eastAsia="仿宋" w:cs="仿宋"/>
          <w:sz w:val="24"/>
        </w:rPr>
      </w:pPr>
      <w:r>
        <w:rPr>
          <w:rFonts w:hint="eastAsia" w:ascii="仿宋" w:hAnsi="仿宋" w:eastAsia="仿宋" w:cs="仿宋"/>
          <w:sz w:val="24"/>
        </w:rPr>
        <w:t>2.9.1双方当事人协商一致，可以签订书面补充合同的形式变更合同，但不得违背采购文件确定的事项，且如果系追加与合同标的相同的服务的，那么所有补充合同的采购金额不得超过原合同价的10%；</w:t>
      </w:r>
    </w:p>
    <w:p w14:paraId="14CFCCD9">
      <w:pPr>
        <w:spacing w:line="560" w:lineRule="exact"/>
        <w:ind w:firstLine="480" w:firstLineChars="200"/>
        <w:rPr>
          <w:rFonts w:hint="eastAsia" w:ascii="仿宋" w:hAnsi="仿宋" w:eastAsia="仿宋" w:cs="仿宋"/>
          <w:sz w:val="24"/>
        </w:rPr>
      </w:pPr>
      <w:r>
        <w:rPr>
          <w:rFonts w:hint="eastAsia" w:ascii="仿宋" w:hAnsi="仿宋" w:eastAsia="仿宋" w:cs="仿宋"/>
          <w:sz w:val="24"/>
        </w:rPr>
        <w:t>2.9.2合同继续履行将损害国家利益和社会公共利益的，双方当事人应当以书面形式变更合同。有过错的一方应当承担赔偿责任，双方当事人都有过错的，各自承担相应的责任。</w:t>
      </w:r>
      <w:bookmarkStart w:id="444" w:name="_Toc487900369"/>
      <w:bookmarkStart w:id="445" w:name="_Toc259093688"/>
      <w:bookmarkStart w:id="446" w:name="_Toc279701259"/>
    </w:p>
    <w:p w14:paraId="1BE93971">
      <w:pPr>
        <w:spacing w:line="560" w:lineRule="exact"/>
        <w:ind w:firstLine="482" w:firstLineChars="200"/>
        <w:outlineLvl w:val="0"/>
        <w:rPr>
          <w:rFonts w:hint="eastAsia" w:ascii="仿宋" w:hAnsi="仿宋" w:eastAsia="仿宋" w:cs="仿宋"/>
          <w:b/>
          <w:sz w:val="24"/>
        </w:rPr>
      </w:pPr>
      <w:bookmarkStart w:id="447" w:name="_Toc21830"/>
      <w:bookmarkStart w:id="448" w:name="_Toc22713"/>
      <w:bookmarkStart w:id="449" w:name="_Toc442"/>
      <w:bookmarkStart w:id="450" w:name="_Toc23368"/>
      <w:bookmarkStart w:id="451" w:name="_Toc1722"/>
      <w:bookmarkStart w:id="452" w:name="_Toc26689"/>
      <w:bookmarkStart w:id="453" w:name="_Toc9728"/>
      <w:bookmarkStart w:id="454" w:name="_Toc2971"/>
      <w:bookmarkStart w:id="455" w:name="_Toc10663"/>
      <w:bookmarkStart w:id="456" w:name="_Toc22540"/>
      <w:bookmarkStart w:id="457" w:name="_Toc42"/>
      <w:r>
        <w:rPr>
          <w:rFonts w:hint="eastAsia" w:ascii="仿宋" w:hAnsi="仿宋" w:eastAsia="仿宋" w:cs="仿宋"/>
          <w:b/>
          <w:sz w:val="24"/>
        </w:rPr>
        <w:t>2.10合同转让</w:t>
      </w:r>
      <w:bookmarkEnd w:id="444"/>
      <w:bookmarkEnd w:id="445"/>
      <w:bookmarkEnd w:id="446"/>
      <w:r>
        <w:rPr>
          <w:rFonts w:hint="eastAsia" w:ascii="仿宋" w:hAnsi="仿宋" w:eastAsia="仿宋" w:cs="仿宋"/>
          <w:b/>
          <w:sz w:val="24"/>
        </w:rPr>
        <w:t>和分包</w:t>
      </w:r>
      <w:bookmarkEnd w:id="447"/>
      <w:bookmarkEnd w:id="448"/>
      <w:bookmarkEnd w:id="449"/>
      <w:bookmarkEnd w:id="450"/>
      <w:bookmarkEnd w:id="451"/>
      <w:bookmarkEnd w:id="452"/>
      <w:bookmarkEnd w:id="453"/>
      <w:bookmarkEnd w:id="454"/>
      <w:bookmarkEnd w:id="455"/>
      <w:bookmarkEnd w:id="456"/>
      <w:bookmarkEnd w:id="457"/>
    </w:p>
    <w:p w14:paraId="188BAA91">
      <w:pPr>
        <w:spacing w:line="560" w:lineRule="exact"/>
        <w:ind w:firstLine="480" w:firstLineChars="200"/>
        <w:rPr>
          <w:rFonts w:hint="eastAsia" w:ascii="仿宋" w:hAnsi="仿宋" w:eastAsia="仿宋" w:cs="仿宋"/>
          <w:sz w:val="24"/>
        </w:rPr>
      </w:pPr>
      <w:r>
        <w:rPr>
          <w:rFonts w:hint="eastAsia" w:ascii="仿宋" w:hAnsi="仿宋" w:eastAsia="仿宋" w:cs="仿宋"/>
          <w:sz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DF851E4">
      <w:pPr>
        <w:spacing w:line="560" w:lineRule="exact"/>
        <w:ind w:firstLine="482" w:firstLineChars="200"/>
        <w:outlineLvl w:val="0"/>
        <w:rPr>
          <w:rFonts w:hint="eastAsia" w:ascii="仿宋" w:hAnsi="仿宋" w:eastAsia="仿宋" w:cs="仿宋"/>
          <w:b/>
          <w:sz w:val="24"/>
        </w:rPr>
      </w:pPr>
      <w:bookmarkStart w:id="458" w:name="_Toc25571"/>
      <w:bookmarkStart w:id="459" w:name="_Toc32494"/>
      <w:bookmarkStart w:id="460" w:name="_Toc26633"/>
      <w:bookmarkStart w:id="461" w:name="_Toc689"/>
      <w:bookmarkStart w:id="462" w:name="_Toc28842"/>
      <w:bookmarkStart w:id="463" w:name="_Toc14371"/>
      <w:bookmarkStart w:id="464" w:name="_Toc5598"/>
      <w:bookmarkStart w:id="465" w:name="_Toc4720"/>
      <w:bookmarkStart w:id="466" w:name="_Toc20559"/>
      <w:bookmarkStart w:id="467" w:name="_Toc18171"/>
      <w:bookmarkStart w:id="468" w:name="_Toc20017"/>
      <w:r>
        <w:rPr>
          <w:rFonts w:hint="eastAsia" w:ascii="仿宋" w:hAnsi="仿宋" w:eastAsia="仿宋" w:cs="仿宋"/>
          <w:b/>
          <w:sz w:val="24"/>
        </w:rPr>
        <w:t>2.11不可抗力</w:t>
      </w:r>
      <w:bookmarkEnd w:id="458"/>
      <w:bookmarkEnd w:id="459"/>
      <w:bookmarkEnd w:id="460"/>
      <w:bookmarkEnd w:id="461"/>
      <w:bookmarkEnd w:id="462"/>
      <w:bookmarkEnd w:id="463"/>
      <w:bookmarkEnd w:id="464"/>
      <w:bookmarkEnd w:id="465"/>
      <w:bookmarkEnd w:id="466"/>
      <w:bookmarkEnd w:id="467"/>
      <w:bookmarkEnd w:id="468"/>
    </w:p>
    <w:p w14:paraId="5DA46AA1">
      <w:pPr>
        <w:spacing w:line="560" w:lineRule="exact"/>
        <w:ind w:firstLine="480" w:firstLineChars="200"/>
        <w:rPr>
          <w:rFonts w:hint="eastAsia" w:ascii="仿宋" w:hAnsi="仿宋" w:eastAsia="仿宋" w:cs="仿宋"/>
          <w:sz w:val="24"/>
        </w:rPr>
      </w:pPr>
      <w:r>
        <w:rPr>
          <w:rFonts w:hint="eastAsia" w:ascii="仿宋" w:hAnsi="仿宋" w:eastAsia="仿宋" w:cs="仿宋"/>
          <w:sz w:val="24"/>
        </w:rPr>
        <w:t>2.11.1如果任何一方遭遇法律规定的不可抗力，致使合同履行受阻时，履行合同的期限应予延长，延长的期限应相当于不可抗力所影响的时间；</w:t>
      </w:r>
    </w:p>
    <w:p w14:paraId="322466EE">
      <w:pPr>
        <w:spacing w:line="560" w:lineRule="exact"/>
        <w:ind w:firstLine="480" w:firstLineChars="200"/>
        <w:rPr>
          <w:rFonts w:hint="eastAsia" w:ascii="仿宋" w:hAnsi="仿宋" w:eastAsia="仿宋" w:cs="仿宋"/>
          <w:sz w:val="24"/>
        </w:rPr>
      </w:pPr>
      <w:r>
        <w:rPr>
          <w:rFonts w:hint="eastAsia" w:ascii="仿宋" w:hAnsi="仿宋" w:eastAsia="仿宋" w:cs="仿宋"/>
          <w:sz w:val="24"/>
        </w:rPr>
        <w:t>2.11.2因不可抗力致使不能实现合同目的的，当事人可以解除合同；</w:t>
      </w:r>
    </w:p>
    <w:p w14:paraId="556A879D">
      <w:pPr>
        <w:spacing w:line="560" w:lineRule="exact"/>
        <w:ind w:firstLine="480" w:firstLineChars="200"/>
        <w:rPr>
          <w:rFonts w:hint="eastAsia" w:ascii="仿宋" w:hAnsi="仿宋" w:eastAsia="仿宋" w:cs="仿宋"/>
          <w:sz w:val="24"/>
        </w:rPr>
      </w:pPr>
      <w:r>
        <w:rPr>
          <w:rFonts w:hint="eastAsia" w:ascii="仿宋" w:hAnsi="仿宋" w:eastAsia="仿宋" w:cs="仿宋"/>
          <w:sz w:val="24"/>
        </w:rPr>
        <w:t>2.11.3因不可抗力致使合同有变更必要的，双方当事人应在</w:t>
      </w:r>
      <w:r>
        <w:rPr>
          <w:rFonts w:hint="eastAsia" w:ascii="仿宋" w:hAnsi="仿宋" w:eastAsia="仿宋" w:cs="仿宋"/>
          <w:b/>
          <w:i/>
          <w:sz w:val="24"/>
          <w:u w:val="single"/>
        </w:rPr>
        <w:t>合同专用条款</w:t>
      </w:r>
      <w:r>
        <w:rPr>
          <w:rFonts w:hint="eastAsia" w:ascii="仿宋" w:hAnsi="仿宋" w:eastAsia="仿宋" w:cs="仿宋"/>
          <w:sz w:val="24"/>
        </w:rPr>
        <w:t>约定时间内以书面形式变更合同；</w:t>
      </w:r>
    </w:p>
    <w:p w14:paraId="33EFA26A">
      <w:pPr>
        <w:spacing w:line="560" w:lineRule="exact"/>
        <w:ind w:firstLine="480" w:firstLineChars="200"/>
        <w:rPr>
          <w:rFonts w:hint="eastAsia" w:ascii="仿宋" w:hAnsi="仿宋" w:eastAsia="仿宋" w:cs="仿宋"/>
          <w:sz w:val="24"/>
        </w:rPr>
      </w:pPr>
      <w:r>
        <w:rPr>
          <w:rFonts w:hint="eastAsia" w:ascii="仿宋" w:hAnsi="仿宋" w:eastAsia="仿宋" w:cs="仿宋"/>
          <w:sz w:val="24"/>
        </w:rPr>
        <w:t>2.11.4受不可抗力影响的一方在不可抗力发生后，应在</w:t>
      </w:r>
      <w:r>
        <w:rPr>
          <w:rFonts w:hint="eastAsia" w:ascii="仿宋" w:hAnsi="仿宋" w:eastAsia="仿宋" w:cs="仿宋"/>
          <w:b/>
          <w:i/>
          <w:sz w:val="24"/>
          <w:u w:val="single"/>
        </w:rPr>
        <w:t>合同专用条款</w:t>
      </w:r>
      <w:r>
        <w:rPr>
          <w:rFonts w:hint="eastAsia" w:ascii="仿宋" w:hAnsi="仿宋" w:eastAsia="仿宋" w:cs="仿宋"/>
          <w:sz w:val="24"/>
        </w:rPr>
        <w:t>约定时间内以书面形式通知对方当事人，并在</w:t>
      </w:r>
      <w:r>
        <w:rPr>
          <w:rFonts w:hint="eastAsia" w:ascii="仿宋" w:hAnsi="仿宋" w:eastAsia="仿宋" w:cs="仿宋"/>
          <w:b/>
          <w:i/>
          <w:sz w:val="24"/>
          <w:u w:val="single"/>
        </w:rPr>
        <w:t>合同专用条款</w:t>
      </w:r>
      <w:r>
        <w:rPr>
          <w:rFonts w:hint="eastAsia" w:ascii="仿宋" w:hAnsi="仿宋" w:eastAsia="仿宋" w:cs="仿宋"/>
          <w:sz w:val="24"/>
        </w:rPr>
        <w:t>约定时间内，将有关部门出具的证明文件送达对方当事人。</w:t>
      </w:r>
    </w:p>
    <w:p w14:paraId="51A96186">
      <w:pPr>
        <w:spacing w:line="560" w:lineRule="exact"/>
        <w:ind w:firstLine="482" w:firstLineChars="200"/>
        <w:outlineLvl w:val="0"/>
        <w:rPr>
          <w:rFonts w:hint="eastAsia" w:ascii="仿宋" w:hAnsi="仿宋" w:eastAsia="仿宋" w:cs="仿宋"/>
          <w:b/>
          <w:sz w:val="24"/>
        </w:rPr>
      </w:pPr>
      <w:bookmarkStart w:id="469" w:name="_Toc23854"/>
      <w:bookmarkStart w:id="470" w:name="_Toc10221"/>
      <w:bookmarkStart w:id="471" w:name="_Toc259093684"/>
      <w:bookmarkStart w:id="472" w:name="_Toc10072"/>
      <w:bookmarkStart w:id="473" w:name="_Toc11156"/>
      <w:bookmarkStart w:id="474" w:name="_Toc487900365"/>
      <w:bookmarkStart w:id="475" w:name="_Toc279701255"/>
      <w:bookmarkStart w:id="476" w:name="_Toc25783"/>
      <w:bookmarkStart w:id="477" w:name="_Toc24465"/>
      <w:bookmarkStart w:id="478" w:name="_Toc11689"/>
      <w:bookmarkStart w:id="479" w:name="_Toc14115"/>
      <w:bookmarkStart w:id="480" w:name="_Toc11571"/>
      <w:bookmarkStart w:id="481" w:name="_Toc3638"/>
      <w:r>
        <w:rPr>
          <w:rFonts w:hint="eastAsia" w:ascii="仿宋" w:hAnsi="仿宋" w:eastAsia="仿宋" w:cs="仿宋"/>
          <w:b/>
          <w:sz w:val="24"/>
        </w:rPr>
        <w:t>2.12税费</w:t>
      </w:r>
      <w:bookmarkEnd w:id="469"/>
      <w:bookmarkEnd w:id="470"/>
      <w:bookmarkEnd w:id="471"/>
      <w:bookmarkEnd w:id="472"/>
      <w:bookmarkEnd w:id="473"/>
      <w:bookmarkEnd w:id="474"/>
      <w:bookmarkEnd w:id="475"/>
      <w:bookmarkEnd w:id="476"/>
      <w:bookmarkEnd w:id="477"/>
      <w:bookmarkEnd w:id="478"/>
      <w:bookmarkEnd w:id="479"/>
      <w:bookmarkEnd w:id="480"/>
      <w:bookmarkEnd w:id="481"/>
    </w:p>
    <w:p w14:paraId="0E0C9174">
      <w:pPr>
        <w:spacing w:line="560" w:lineRule="exact"/>
        <w:ind w:firstLine="480" w:firstLineChars="200"/>
        <w:rPr>
          <w:rFonts w:hint="eastAsia" w:ascii="仿宋" w:hAnsi="仿宋" w:eastAsia="仿宋" w:cs="仿宋"/>
          <w:sz w:val="24"/>
        </w:rPr>
      </w:pPr>
      <w:r>
        <w:rPr>
          <w:rFonts w:hint="eastAsia" w:ascii="仿宋" w:hAnsi="仿宋" w:eastAsia="仿宋" w:cs="仿宋"/>
          <w:sz w:val="24"/>
        </w:rPr>
        <w:t>与合同有关的一切税费，均按照中华人民共和国法律的相关规定缴纳。</w:t>
      </w:r>
    </w:p>
    <w:p w14:paraId="1F36924D">
      <w:pPr>
        <w:spacing w:line="560" w:lineRule="exact"/>
        <w:ind w:firstLine="482" w:firstLineChars="200"/>
        <w:outlineLvl w:val="0"/>
        <w:rPr>
          <w:rFonts w:hint="eastAsia" w:ascii="仿宋" w:hAnsi="仿宋" w:eastAsia="仿宋" w:cs="仿宋"/>
          <w:b/>
          <w:sz w:val="24"/>
        </w:rPr>
      </w:pPr>
      <w:bookmarkStart w:id="482" w:name="_Toc22803"/>
      <w:bookmarkStart w:id="483" w:name="_Toc259093687"/>
      <w:bookmarkStart w:id="484" w:name="_Toc30105"/>
      <w:bookmarkStart w:id="485" w:name="_Toc26690"/>
      <w:bookmarkStart w:id="486" w:name="_Toc15110"/>
      <w:bookmarkStart w:id="487" w:name="_Toc25525"/>
      <w:bookmarkStart w:id="488" w:name="_Toc279701258"/>
      <w:bookmarkStart w:id="489" w:name="_Toc14814"/>
      <w:bookmarkStart w:id="490" w:name="_Toc7315"/>
      <w:bookmarkStart w:id="491" w:name="_Toc21182"/>
      <w:bookmarkStart w:id="492" w:name="_Toc26883"/>
      <w:bookmarkStart w:id="493" w:name="_Toc29913"/>
      <w:bookmarkStart w:id="494" w:name="_Toc3416"/>
      <w:bookmarkStart w:id="495" w:name="_Toc487900368"/>
      <w:r>
        <w:rPr>
          <w:rFonts w:hint="eastAsia" w:ascii="仿宋" w:hAnsi="仿宋" w:eastAsia="仿宋" w:cs="仿宋"/>
          <w:b/>
          <w:sz w:val="24"/>
        </w:rPr>
        <w:t>2.13乙方破产</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3A08C853">
      <w:pPr>
        <w:spacing w:line="560" w:lineRule="exact"/>
        <w:ind w:firstLine="480" w:firstLineChars="200"/>
        <w:rPr>
          <w:rFonts w:hint="eastAsia" w:ascii="仿宋" w:hAnsi="仿宋" w:eastAsia="仿宋" w:cs="仿宋"/>
          <w:sz w:val="24"/>
        </w:rPr>
      </w:pPr>
      <w:r>
        <w:rPr>
          <w:rFonts w:hint="eastAsia" w:ascii="仿宋" w:hAnsi="仿宋" w:eastAsia="仿宋" w:cs="仿宋"/>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3435ECA">
      <w:pPr>
        <w:spacing w:line="560" w:lineRule="exact"/>
        <w:ind w:firstLine="482" w:firstLineChars="200"/>
        <w:outlineLvl w:val="0"/>
        <w:rPr>
          <w:rFonts w:hint="eastAsia" w:ascii="仿宋" w:hAnsi="仿宋" w:eastAsia="仿宋" w:cs="仿宋"/>
          <w:b/>
          <w:sz w:val="24"/>
        </w:rPr>
      </w:pPr>
      <w:bookmarkStart w:id="496" w:name="_Toc23323"/>
      <w:bookmarkStart w:id="497" w:name="_Toc24088"/>
      <w:bookmarkStart w:id="498" w:name="_Toc18197"/>
      <w:bookmarkStart w:id="499" w:name="_Toc2016"/>
      <w:bookmarkStart w:id="500" w:name="_Toc25051"/>
      <w:bookmarkStart w:id="501" w:name="_Toc31651"/>
      <w:bookmarkStart w:id="502" w:name="_Toc16371"/>
      <w:bookmarkStart w:id="503" w:name="_Toc1123"/>
      <w:bookmarkStart w:id="504" w:name="_Toc13285"/>
      <w:r>
        <w:rPr>
          <w:rFonts w:hint="eastAsia" w:ascii="仿宋" w:hAnsi="仿宋" w:eastAsia="仿宋" w:cs="仿宋"/>
          <w:b/>
          <w:sz w:val="24"/>
        </w:rPr>
        <w:t>2.14合同中止、终止</w:t>
      </w:r>
      <w:bookmarkEnd w:id="496"/>
      <w:bookmarkEnd w:id="497"/>
      <w:bookmarkEnd w:id="498"/>
      <w:bookmarkEnd w:id="499"/>
      <w:bookmarkEnd w:id="500"/>
      <w:bookmarkEnd w:id="501"/>
      <w:bookmarkEnd w:id="502"/>
      <w:bookmarkEnd w:id="503"/>
      <w:bookmarkEnd w:id="504"/>
    </w:p>
    <w:p w14:paraId="0373C8DB">
      <w:pPr>
        <w:spacing w:line="560" w:lineRule="exact"/>
        <w:ind w:firstLine="480" w:firstLineChars="200"/>
        <w:rPr>
          <w:rFonts w:hint="eastAsia" w:ascii="仿宋" w:hAnsi="仿宋" w:eastAsia="仿宋" w:cs="仿宋"/>
          <w:sz w:val="24"/>
        </w:rPr>
      </w:pPr>
      <w:r>
        <w:rPr>
          <w:rFonts w:hint="eastAsia" w:ascii="仿宋" w:hAnsi="仿宋" w:eastAsia="仿宋" w:cs="仿宋"/>
          <w:sz w:val="24"/>
        </w:rPr>
        <w:t>2.14.1双方当事人不得擅自中止或者终止合同；</w:t>
      </w:r>
    </w:p>
    <w:p w14:paraId="2BF56D7C">
      <w:pPr>
        <w:spacing w:line="560" w:lineRule="exact"/>
        <w:ind w:firstLine="480" w:firstLineChars="200"/>
        <w:rPr>
          <w:rFonts w:hint="eastAsia" w:ascii="仿宋" w:hAnsi="仿宋" w:eastAsia="仿宋" w:cs="仿宋"/>
          <w:sz w:val="24"/>
        </w:rPr>
      </w:pPr>
      <w:r>
        <w:rPr>
          <w:rFonts w:hint="eastAsia" w:ascii="仿宋" w:hAnsi="仿宋" w:eastAsia="仿宋" w:cs="仿宋"/>
          <w:sz w:val="24"/>
        </w:rPr>
        <w:t>2.14.2合同继续履行将损害国家利益和社会公共利益的，双方当事人应当中止或者终止合同。有过错的一方应当承担赔偿责任，双方当事人都有过错的，各自承担相应的责任。</w:t>
      </w:r>
    </w:p>
    <w:p w14:paraId="4FD31CF2">
      <w:pPr>
        <w:spacing w:line="560" w:lineRule="exact"/>
        <w:ind w:firstLine="482" w:firstLineChars="200"/>
        <w:outlineLvl w:val="0"/>
        <w:rPr>
          <w:rFonts w:hint="eastAsia" w:ascii="仿宋" w:hAnsi="仿宋" w:eastAsia="仿宋" w:cs="仿宋"/>
          <w:b/>
          <w:sz w:val="24"/>
        </w:rPr>
      </w:pPr>
      <w:bookmarkStart w:id="505" w:name="_Toc14525"/>
      <w:bookmarkStart w:id="506" w:name="_Toc3917"/>
      <w:bookmarkStart w:id="507" w:name="_Toc18644"/>
      <w:bookmarkStart w:id="508" w:name="_Toc1969"/>
      <w:bookmarkStart w:id="509" w:name="_Toc17363"/>
      <w:bookmarkStart w:id="510" w:name="_Toc27212"/>
      <w:bookmarkStart w:id="511" w:name="_Toc31668"/>
      <w:r>
        <w:rPr>
          <w:rFonts w:hint="eastAsia" w:ascii="仿宋" w:hAnsi="仿宋" w:eastAsia="仿宋" w:cs="仿宋"/>
          <w:b/>
          <w:sz w:val="24"/>
        </w:rPr>
        <w:t>2.15检验和验收</w:t>
      </w:r>
      <w:bookmarkEnd w:id="505"/>
      <w:bookmarkEnd w:id="506"/>
      <w:bookmarkEnd w:id="507"/>
      <w:bookmarkEnd w:id="508"/>
      <w:bookmarkEnd w:id="509"/>
      <w:bookmarkEnd w:id="510"/>
      <w:bookmarkEnd w:id="511"/>
    </w:p>
    <w:p w14:paraId="64FEC6E3">
      <w:pPr>
        <w:tabs>
          <w:tab w:val="left" w:pos="360"/>
          <w:tab w:val="left" w:pos="540"/>
          <w:tab w:val="left" w:pos="1080"/>
        </w:tabs>
        <w:spacing w:line="560" w:lineRule="exact"/>
        <w:ind w:firstLine="480" w:firstLineChars="200"/>
        <w:rPr>
          <w:rFonts w:hint="eastAsia" w:ascii="仿宋" w:hAnsi="仿宋" w:eastAsia="仿宋" w:cs="仿宋"/>
          <w:sz w:val="24"/>
        </w:rPr>
      </w:pPr>
      <w:r>
        <w:rPr>
          <w:rFonts w:hint="eastAsia" w:ascii="仿宋" w:hAnsi="仿宋" w:eastAsia="仿宋" w:cs="仿宋"/>
          <w:sz w:val="24"/>
        </w:rPr>
        <w:t>2.15.1乙方按照</w:t>
      </w:r>
      <w:r>
        <w:rPr>
          <w:rFonts w:hint="eastAsia" w:ascii="仿宋" w:hAnsi="仿宋" w:eastAsia="仿宋" w:cs="仿宋"/>
          <w:b/>
          <w:i/>
          <w:sz w:val="24"/>
          <w:u w:val="single"/>
        </w:rPr>
        <w:t>合同专用条款</w:t>
      </w:r>
      <w:r>
        <w:rPr>
          <w:rFonts w:hint="eastAsia" w:ascii="仿宋" w:hAnsi="仿宋" w:eastAsia="仿宋" w:cs="仿宋"/>
          <w:sz w:val="24"/>
        </w:rPr>
        <w:t>的约定，定期提交服务报告，甲方按照</w:t>
      </w:r>
      <w:r>
        <w:rPr>
          <w:rFonts w:hint="eastAsia" w:ascii="仿宋" w:hAnsi="仿宋" w:eastAsia="仿宋" w:cs="仿宋"/>
          <w:b/>
          <w:i/>
          <w:sz w:val="24"/>
          <w:u w:val="single"/>
        </w:rPr>
        <w:t>合同专用条款</w:t>
      </w:r>
      <w:r>
        <w:rPr>
          <w:rFonts w:hint="eastAsia" w:ascii="仿宋" w:hAnsi="仿宋" w:eastAsia="仿宋" w:cs="仿宋"/>
          <w:sz w:val="24"/>
        </w:rPr>
        <w:t>的约定进行定期验收；</w:t>
      </w:r>
    </w:p>
    <w:p w14:paraId="61998E4C">
      <w:pPr>
        <w:tabs>
          <w:tab w:val="left" w:pos="360"/>
          <w:tab w:val="left" w:pos="540"/>
          <w:tab w:val="left" w:pos="1080"/>
        </w:tabs>
        <w:spacing w:line="560" w:lineRule="exact"/>
        <w:ind w:firstLine="480" w:firstLineChars="200"/>
        <w:rPr>
          <w:rFonts w:hint="eastAsia" w:ascii="仿宋" w:hAnsi="仿宋" w:eastAsia="仿宋" w:cs="仿宋"/>
          <w:sz w:val="24"/>
        </w:rPr>
      </w:pPr>
      <w:r>
        <w:rPr>
          <w:rFonts w:hint="eastAsia" w:ascii="仿宋" w:hAnsi="仿宋" w:eastAsia="仿宋" w:cs="仿宋"/>
          <w:sz w:val="24"/>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54AD025B">
      <w:pPr>
        <w:tabs>
          <w:tab w:val="left" w:pos="360"/>
          <w:tab w:val="left" w:pos="540"/>
          <w:tab w:val="left" w:pos="1080"/>
        </w:tabs>
        <w:spacing w:line="560" w:lineRule="exact"/>
        <w:ind w:firstLine="480" w:firstLineChars="200"/>
        <w:rPr>
          <w:rFonts w:hint="eastAsia" w:ascii="仿宋" w:hAnsi="仿宋" w:eastAsia="仿宋" w:cs="仿宋"/>
          <w:sz w:val="24"/>
        </w:rPr>
      </w:pPr>
      <w:r>
        <w:rPr>
          <w:rFonts w:hint="eastAsia" w:ascii="仿宋" w:hAnsi="仿宋" w:eastAsia="仿宋" w:cs="仿宋"/>
          <w:sz w:val="24"/>
        </w:rPr>
        <w:t>2.15.3检验和验收标准、程序等具体内容以及前述验收书的效力详见</w:t>
      </w:r>
      <w:r>
        <w:rPr>
          <w:rFonts w:hint="eastAsia" w:ascii="仿宋" w:hAnsi="仿宋" w:eastAsia="仿宋" w:cs="仿宋"/>
          <w:b/>
          <w:i/>
          <w:sz w:val="24"/>
          <w:u w:val="single"/>
        </w:rPr>
        <w:t>合同专用条款</w:t>
      </w:r>
      <w:r>
        <w:rPr>
          <w:rFonts w:hint="eastAsia" w:ascii="仿宋" w:hAnsi="仿宋" w:eastAsia="仿宋" w:cs="仿宋"/>
          <w:i/>
          <w:sz w:val="24"/>
        </w:rPr>
        <w:t>。</w:t>
      </w:r>
    </w:p>
    <w:bookmarkEnd w:id="440"/>
    <w:bookmarkEnd w:id="441"/>
    <w:bookmarkEnd w:id="442"/>
    <w:bookmarkEnd w:id="443"/>
    <w:p w14:paraId="4B47A25E">
      <w:pPr>
        <w:spacing w:line="560" w:lineRule="exact"/>
        <w:ind w:firstLine="482" w:firstLineChars="200"/>
        <w:outlineLvl w:val="0"/>
        <w:rPr>
          <w:rFonts w:hint="eastAsia" w:ascii="仿宋" w:hAnsi="仿宋" w:eastAsia="仿宋" w:cs="仿宋"/>
          <w:b/>
          <w:sz w:val="24"/>
        </w:rPr>
      </w:pPr>
      <w:bookmarkStart w:id="512" w:name="_Toc279701261"/>
      <w:bookmarkStart w:id="513" w:name="_Toc487900371"/>
      <w:bookmarkStart w:id="514" w:name="_Toc259093690"/>
      <w:bookmarkStart w:id="515" w:name="_Toc31892"/>
      <w:bookmarkStart w:id="516" w:name="_Toc2703"/>
      <w:bookmarkStart w:id="517" w:name="_Toc2308"/>
      <w:bookmarkStart w:id="518" w:name="_Toc9228"/>
      <w:bookmarkStart w:id="519" w:name="_Toc13066"/>
      <w:bookmarkStart w:id="520" w:name="_Toc12666"/>
      <w:bookmarkStart w:id="521" w:name="_Toc20308"/>
      <w:bookmarkStart w:id="522" w:name="_Toc9808"/>
      <w:bookmarkStart w:id="523" w:name="_Toc25198"/>
      <w:bookmarkStart w:id="524" w:name="_Toc12940"/>
      <w:r>
        <w:rPr>
          <w:rFonts w:hint="eastAsia" w:ascii="仿宋" w:hAnsi="仿宋" w:eastAsia="仿宋" w:cs="仿宋"/>
          <w:b/>
          <w:sz w:val="24"/>
        </w:rPr>
        <w:t>2.16通知</w:t>
      </w:r>
      <w:bookmarkEnd w:id="512"/>
      <w:bookmarkEnd w:id="513"/>
      <w:bookmarkEnd w:id="514"/>
      <w:r>
        <w:rPr>
          <w:rFonts w:hint="eastAsia" w:ascii="仿宋" w:hAnsi="仿宋" w:eastAsia="仿宋" w:cs="仿宋"/>
          <w:b/>
          <w:sz w:val="24"/>
        </w:rPr>
        <w:t>和送达</w:t>
      </w:r>
      <w:bookmarkEnd w:id="515"/>
      <w:bookmarkEnd w:id="516"/>
      <w:bookmarkEnd w:id="517"/>
      <w:bookmarkEnd w:id="518"/>
      <w:bookmarkEnd w:id="519"/>
      <w:bookmarkEnd w:id="520"/>
      <w:bookmarkEnd w:id="521"/>
      <w:bookmarkEnd w:id="522"/>
      <w:bookmarkEnd w:id="523"/>
      <w:bookmarkEnd w:id="524"/>
    </w:p>
    <w:p w14:paraId="0DC42FC4">
      <w:pPr>
        <w:spacing w:line="560" w:lineRule="exact"/>
        <w:ind w:firstLine="480" w:firstLineChars="200"/>
        <w:rPr>
          <w:rFonts w:hint="eastAsia" w:ascii="仿宋" w:hAnsi="仿宋" w:eastAsia="仿宋" w:cs="仿宋"/>
          <w:sz w:val="24"/>
        </w:rPr>
      </w:pPr>
      <w:bookmarkStart w:id="525" w:name="_Toc7073"/>
      <w:bookmarkStart w:id="526" w:name="_Toc259093691"/>
      <w:bookmarkStart w:id="527" w:name="_Toc487900372"/>
      <w:bookmarkStart w:id="528" w:name="_Toc279701262"/>
      <w:r>
        <w:rPr>
          <w:rFonts w:hint="eastAsia" w:ascii="仿宋" w:hAnsi="仿宋" w:eastAsia="仿宋" w:cs="仿宋"/>
          <w:sz w:val="24"/>
        </w:rPr>
        <w:t>2.16.1任何一方因履行合同而以合同第一部分尾部所列明的发出的所有通知、文件、材料，均视为已向对方当事人送达；任何一方变更上述送达方式或者地址的，应于个工作日内书面通知对方当事人，在对方当事人收到有关变更通知之前，变更前的约定送达方式或者地址仍视为有效。</w:t>
      </w:r>
      <w:bookmarkEnd w:id="525"/>
    </w:p>
    <w:p w14:paraId="48708A13">
      <w:pPr>
        <w:spacing w:line="560" w:lineRule="exact"/>
        <w:ind w:firstLine="480" w:firstLineChars="200"/>
        <w:rPr>
          <w:rFonts w:hint="eastAsia" w:ascii="仿宋" w:hAnsi="仿宋" w:eastAsia="仿宋" w:cs="仿宋"/>
          <w:sz w:val="24"/>
        </w:rPr>
      </w:pPr>
      <w:bookmarkStart w:id="529" w:name="_Toc27674"/>
      <w:bookmarkStart w:id="530" w:name="_Toc18401"/>
      <w:r>
        <w:rPr>
          <w:rFonts w:hint="eastAsia" w:ascii="仿宋" w:hAnsi="仿宋" w:eastAsia="仿宋" w:cs="仿宋"/>
          <w:sz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529"/>
      <w:bookmarkEnd w:id="530"/>
    </w:p>
    <w:bookmarkEnd w:id="526"/>
    <w:bookmarkEnd w:id="527"/>
    <w:bookmarkEnd w:id="528"/>
    <w:p w14:paraId="0D77C0BC">
      <w:pPr>
        <w:spacing w:line="560" w:lineRule="exact"/>
        <w:ind w:firstLine="482" w:firstLineChars="200"/>
        <w:outlineLvl w:val="0"/>
        <w:rPr>
          <w:rFonts w:hint="eastAsia" w:ascii="仿宋" w:hAnsi="仿宋" w:eastAsia="仿宋" w:cs="仿宋"/>
          <w:b/>
          <w:sz w:val="24"/>
        </w:rPr>
      </w:pPr>
      <w:bookmarkStart w:id="531" w:name="_Toc279701263"/>
      <w:bookmarkStart w:id="532" w:name="_Toc259093692"/>
      <w:bookmarkStart w:id="533" w:name="_Toc22999"/>
      <w:bookmarkStart w:id="534" w:name="_Toc12254"/>
      <w:bookmarkStart w:id="535" w:name="_Toc20808"/>
      <w:bookmarkStart w:id="536" w:name="_Toc156"/>
      <w:bookmarkStart w:id="537" w:name="_Toc28906"/>
      <w:bookmarkStart w:id="538" w:name="_Toc30546"/>
      <w:bookmarkStart w:id="539" w:name="_Toc27644"/>
      <w:bookmarkStart w:id="540" w:name="_Toc11000"/>
      <w:bookmarkStart w:id="541" w:name="_Toc5063"/>
      <w:bookmarkStart w:id="542" w:name="_Toc5955"/>
      <w:bookmarkStart w:id="543" w:name="_Toc14918"/>
      <w:bookmarkStart w:id="544" w:name="_Toc487900373"/>
      <w:r>
        <w:rPr>
          <w:rFonts w:hint="eastAsia" w:ascii="仿宋" w:hAnsi="仿宋" w:eastAsia="仿宋" w:cs="仿宋"/>
          <w:b/>
          <w:sz w:val="24"/>
        </w:rPr>
        <w:t>2.17合同使用的文字和适用的法律</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12A27D40">
      <w:pPr>
        <w:spacing w:line="560" w:lineRule="exact"/>
        <w:ind w:firstLine="480" w:firstLineChars="200"/>
        <w:rPr>
          <w:rFonts w:hint="eastAsia" w:ascii="仿宋" w:hAnsi="仿宋" w:eastAsia="仿宋" w:cs="仿宋"/>
          <w:sz w:val="24"/>
        </w:rPr>
      </w:pPr>
      <w:r>
        <w:rPr>
          <w:rFonts w:hint="eastAsia" w:ascii="仿宋" w:hAnsi="仿宋" w:eastAsia="仿宋" w:cs="仿宋"/>
          <w:sz w:val="24"/>
        </w:rPr>
        <w:t>2.17.1合同使用</w:t>
      </w:r>
      <w:r>
        <w:rPr>
          <w:rFonts w:hint="eastAsia" w:ascii="仿宋" w:hAnsi="仿宋" w:eastAsia="仿宋" w:cs="仿宋"/>
          <w:sz w:val="24"/>
          <w:lang w:eastAsia="zh-CN"/>
        </w:rPr>
        <w:t>汉语书写、变更和</w:t>
      </w:r>
      <w:r>
        <w:rPr>
          <w:rFonts w:hint="eastAsia" w:ascii="仿宋" w:hAnsi="仿宋" w:eastAsia="仿宋" w:cs="仿宋"/>
          <w:sz w:val="24"/>
        </w:rPr>
        <w:t>解释；</w:t>
      </w:r>
    </w:p>
    <w:p w14:paraId="4DA24CC2">
      <w:pPr>
        <w:spacing w:line="560" w:lineRule="exact"/>
        <w:ind w:firstLine="480" w:firstLineChars="200"/>
        <w:rPr>
          <w:rFonts w:hint="eastAsia" w:ascii="仿宋" w:hAnsi="仿宋" w:eastAsia="仿宋" w:cs="仿宋"/>
          <w:sz w:val="24"/>
        </w:rPr>
      </w:pPr>
      <w:r>
        <w:rPr>
          <w:rFonts w:hint="eastAsia" w:ascii="仿宋" w:hAnsi="仿宋" w:eastAsia="仿宋" w:cs="仿宋"/>
          <w:sz w:val="24"/>
        </w:rPr>
        <w:t>2.17.2合同适用中华人民共和国法律。</w:t>
      </w:r>
    </w:p>
    <w:p w14:paraId="61EAFE14">
      <w:pPr>
        <w:spacing w:line="560" w:lineRule="exact"/>
        <w:ind w:firstLine="482" w:firstLineChars="200"/>
        <w:outlineLvl w:val="0"/>
        <w:rPr>
          <w:rFonts w:hint="eastAsia" w:ascii="仿宋" w:hAnsi="仿宋" w:eastAsia="仿宋" w:cs="仿宋"/>
          <w:b/>
          <w:sz w:val="24"/>
        </w:rPr>
      </w:pPr>
      <w:bookmarkStart w:id="545" w:name="_Toc30096"/>
      <w:bookmarkStart w:id="546" w:name="_Toc22266"/>
      <w:bookmarkStart w:id="547" w:name="_Toc27403"/>
      <w:bookmarkStart w:id="548" w:name="_Toc27127"/>
      <w:bookmarkStart w:id="549" w:name="_Toc1492"/>
      <w:bookmarkStart w:id="550" w:name="_Toc26509"/>
      <w:bookmarkStart w:id="551" w:name="_Toc24100"/>
      <w:bookmarkStart w:id="552" w:name="_Toc279701264"/>
      <w:bookmarkStart w:id="553" w:name="_Toc259093693"/>
      <w:bookmarkStart w:id="554" w:name="_Toc11599"/>
      <w:bookmarkStart w:id="555" w:name="_Toc10590"/>
      <w:bookmarkStart w:id="556" w:name="_Toc19789"/>
      <w:bookmarkStart w:id="557" w:name="_Toc18984"/>
      <w:bookmarkStart w:id="558" w:name="_Toc487900374"/>
      <w:r>
        <w:rPr>
          <w:rFonts w:hint="eastAsia" w:ascii="仿宋" w:hAnsi="仿宋" w:eastAsia="仿宋" w:cs="仿宋"/>
          <w:b/>
          <w:sz w:val="24"/>
        </w:rPr>
        <w:t>2.18履约保证金</w:t>
      </w:r>
      <w:bookmarkEnd w:id="545"/>
      <w:bookmarkEnd w:id="546"/>
      <w:bookmarkEnd w:id="547"/>
      <w:bookmarkEnd w:id="548"/>
      <w:bookmarkEnd w:id="549"/>
      <w:bookmarkEnd w:id="550"/>
      <w:bookmarkEnd w:id="551"/>
      <w:bookmarkEnd w:id="552"/>
      <w:bookmarkEnd w:id="553"/>
      <w:bookmarkEnd w:id="554"/>
      <w:bookmarkEnd w:id="555"/>
      <w:bookmarkEnd w:id="556"/>
      <w:bookmarkEnd w:id="557"/>
    </w:p>
    <w:p w14:paraId="126122C4">
      <w:pPr>
        <w:spacing w:line="560" w:lineRule="exact"/>
        <w:ind w:firstLine="480" w:firstLineChars="200"/>
        <w:rPr>
          <w:rFonts w:hint="eastAsia" w:ascii="仿宋" w:hAnsi="仿宋" w:eastAsia="仿宋" w:cs="仿宋"/>
          <w:sz w:val="24"/>
        </w:rPr>
      </w:pPr>
      <w:r>
        <w:rPr>
          <w:rFonts w:hint="eastAsia" w:ascii="仿宋" w:hAnsi="仿宋" w:eastAsia="仿宋" w:cs="仿宋"/>
          <w:sz w:val="24"/>
        </w:rPr>
        <w:t>2.18.1采购文件要求乙方提交履约保证金的，乙方应按</w:t>
      </w:r>
      <w:r>
        <w:rPr>
          <w:rFonts w:hint="eastAsia" w:ascii="仿宋" w:hAnsi="仿宋" w:eastAsia="仿宋" w:cs="仿宋"/>
          <w:b/>
          <w:i/>
          <w:sz w:val="24"/>
          <w:u w:val="single"/>
        </w:rPr>
        <w:t>合同专用条款</w:t>
      </w:r>
      <w:r>
        <w:rPr>
          <w:rFonts w:hint="eastAsia" w:ascii="仿宋" w:hAnsi="仿宋" w:eastAsia="仿宋" w:cs="仿宋"/>
          <w:sz w:val="24"/>
        </w:rPr>
        <w:t>约定的方式，以支票、汇票、本票或者金融机构、担保机构出具的保函等非现金形式，提交不超过合同价</w:t>
      </w:r>
      <w:r>
        <w:rPr>
          <w:rFonts w:hint="eastAsia" w:ascii="仿宋" w:hAnsi="仿宋" w:eastAsia="仿宋" w:cs="仿宋"/>
          <w:sz w:val="24"/>
          <w:lang w:val="en-US" w:eastAsia="zh-CN"/>
        </w:rPr>
        <w:t>5</w:t>
      </w:r>
      <w:r>
        <w:rPr>
          <w:rFonts w:hint="eastAsia" w:ascii="仿宋" w:hAnsi="仿宋" w:eastAsia="仿宋" w:cs="仿宋"/>
          <w:sz w:val="24"/>
        </w:rPr>
        <w:t>%的履约保证金；</w:t>
      </w:r>
    </w:p>
    <w:p w14:paraId="2E0E47CA">
      <w:pPr>
        <w:spacing w:line="560" w:lineRule="exact"/>
        <w:ind w:firstLine="480" w:firstLineChars="200"/>
        <w:rPr>
          <w:rFonts w:hint="eastAsia" w:ascii="仿宋" w:hAnsi="仿宋" w:eastAsia="仿宋" w:cs="仿宋"/>
          <w:sz w:val="24"/>
        </w:rPr>
      </w:pPr>
      <w:r>
        <w:rPr>
          <w:rFonts w:hint="eastAsia" w:ascii="仿宋" w:hAnsi="仿宋" w:eastAsia="仿宋" w:cs="仿宋"/>
          <w:sz w:val="24"/>
        </w:rPr>
        <w:t>2.18.2履约保证金在</w:t>
      </w:r>
      <w:r>
        <w:rPr>
          <w:rFonts w:hint="eastAsia" w:ascii="仿宋" w:hAnsi="仿宋" w:eastAsia="仿宋" w:cs="仿宋"/>
          <w:b/>
          <w:i/>
          <w:sz w:val="24"/>
          <w:u w:val="single"/>
        </w:rPr>
        <w:t>合同专用条款</w:t>
      </w:r>
      <w:r>
        <w:rPr>
          <w:rFonts w:hint="eastAsia" w:ascii="仿宋" w:hAnsi="仿宋" w:eastAsia="仿宋" w:cs="仿宋"/>
          <w:sz w:val="24"/>
        </w:rPr>
        <w:t>约定期间内不予退还或者应完全有效，前述约定期间届满之日起个工作日内，甲方应将履约保证金退还乙方；</w:t>
      </w:r>
    </w:p>
    <w:p w14:paraId="6343BD45">
      <w:pPr>
        <w:spacing w:line="560" w:lineRule="exact"/>
        <w:ind w:firstLine="480" w:firstLineChars="200"/>
        <w:rPr>
          <w:rFonts w:hint="eastAsia" w:ascii="仿宋" w:hAnsi="仿宋" w:eastAsia="仿宋" w:cs="仿宋"/>
          <w:sz w:val="24"/>
        </w:rPr>
      </w:pPr>
      <w:r>
        <w:rPr>
          <w:rFonts w:hint="eastAsia" w:ascii="仿宋" w:hAnsi="仿宋" w:eastAsia="仿宋" w:cs="仿宋"/>
          <w:sz w:val="24"/>
        </w:rPr>
        <w:t>2.18.3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558"/>
    <w:p w14:paraId="058824E0">
      <w:pPr>
        <w:spacing w:line="560" w:lineRule="exact"/>
        <w:ind w:firstLine="482" w:firstLineChars="200"/>
        <w:rPr>
          <w:rFonts w:hint="eastAsia" w:ascii="仿宋" w:hAnsi="仿宋" w:eastAsia="仿宋" w:cs="仿宋"/>
          <w:b/>
          <w:sz w:val="24"/>
        </w:rPr>
      </w:pPr>
      <w:r>
        <w:rPr>
          <w:rFonts w:hint="eastAsia" w:ascii="仿宋" w:hAnsi="仿宋" w:eastAsia="仿宋" w:cs="仿宋"/>
          <w:b/>
          <w:sz w:val="24"/>
        </w:rPr>
        <w:t>2.19合同份数</w:t>
      </w:r>
    </w:p>
    <w:p w14:paraId="20968B68">
      <w:pPr>
        <w:spacing w:line="560" w:lineRule="exact"/>
        <w:ind w:firstLine="480" w:firstLineChars="200"/>
        <w:rPr>
          <w:rFonts w:hint="eastAsia" w:ascii="仿宋" w:hAnsi="仿宋" w:eastAsia="仿宋" w:cs="仿宋"/>
          <w:sz w:val="24"/>
        </w:rPr>
      </w:pPr>
      <w:r>
        <w:rPr>
          <w:rFonts w:hint="eastAsia" w:ascii="仿宋" w:hAnsi="仿宋" w:eastAsia="仿宋" w:cs="仿宋"/>
          <w:sz w:val="24"/>
        </w:rPr>
        <w:t>合同份数按</w:t>
      </w:r>
      <w:r>
        <w:rPr>
          <w:rFonts w:hint="eastAsia" w:ascii="仿宋" w:hAnsi="仿宋" w:eastAsia="仿宋" w:cs="仿宋"/>
          <w:b/>
          <w:i/>
          <w:sz w:val="24"/>
          <w:u w:val="single"/>
        </w:rPr>
        <w:t>合同专用条款</w:t>
      </w:r>
      <w:r>
        <w:rPr>
          <w:rFonts w:hint="eastAsia" w:ascii="仿宋" w:hAnsi="仿宋" w:eastAsia="仿宋" w:cs="仿宋"/>
          <w:sz w:val="24"/>
        </w:rPr>
        <w:t>规定，每份均具有同等法律效力。</w:t>
      </w:r>
    </w:p>
    <w:p w14:paraId="389FB24E">
      <w:pPr>
        <w:pStyle w:val="93"/>
        <w:spacing w:line="560" w:lineRule="exact"/>
        <w:ind w:firstLine="0"/>
        <w:jc w:val="center"/>
        <w:rPr>
          <w:rFonts w:hint="eastAsia" w:ascii="仿宋" w:hAnsi="仿宋" w:eastAsia="仿宋" w:cs="仿宋"/>
          <w:b/>
          <w:szCs w:val="24"/>
        </w:rPr>
      </w:pPr>
      <w:r>
        <w:rPr>
          <w:rFonts w:hint="eastAsia" w:ascii="仿宋" w:hAnsi="仿宋" w:eastAsia="仿宋" w:cs="仿宋"/>
          <w:szCs w:val="24"/>
        </w:rPr>
        <w:br w:type="page"/>
      </w:r>
      <w:bookmarkStart w:id="559" w:name="_Toc331685784"/>
      <w:r>
        <w:rPr>
          <w:rFonts w:hint="eastAsia" w:ascii="仿宋" w:hAnsi="仿宋" w:eastAsia="仿宋" w:cs="仿宋"/>
          <w:b/>
          <w:szCs w:val="24"/>
        </w:rPr>
        <w:t>第三部分合同专用条款</w:t>
      </w:r>
      <w:bookmarkEnd w:id="559"/>
    </w:p>
    <w:p w14:paraId="54A585C5">
      <w:pPr>
        <w:spacing w:line="560" w:lineRule="exact"/>
        <w:ind w:firstLine="480" w:firstLineChars="200"/>
        <w:rPr>
          <w:rFonts w:hint="eastAsia" w:ascii="仿宋" w:hAnsi="仿宋" w:eastAsia="仿宋" w:cs="仿宋"/>
          <w:sz w:val="24"/>
        </w:rPr>
      </w:pPr>
      <w:r>
        <w:rPr>
          <w:rFonts w:hint="eastAsia" w:ascii="仿宋" w:hAnsi="仿宋" w:eastAsia="仿宋" w:cs="仿宋"/>
          <w:sz w:val="24"/>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75"/>
        <w:tblW w:w="4999"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930"/>
        <w:gridCol w:w="8874"/>
      </w:tblGrid>
      <w:tr w14:paraId="72787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474" w:type="pct"/>
            <w:tcBorders>
              <w:left w:val="single" w:color="auto" w:sz="4" w:space="0"/>
            </w:tcBorders>
            <w:noWrap w:val="0"/>
            <w:vAlign w:val="center"/>
          </w:tcPr>
          <w:p w14:paraId="21445FEA">
            <w:pPr>
              <w:spacing w:line="560" w:lineRule="exact"/>
              <w:jc w:val="center"/>
              <w:rPr>
                <w:rFonts w:hint="eastAsia" w:ascii="仿宋" w:hAnsi="仿宋" w:eastAsia="仿宋" w:cs="仿宋"/>
                <w:b/>
                <w:sz w:val="24"/>
              </w:rPr>
            </w:pPr>
            <w:r>
              <w:rPr>
                <w:rFonts w:hint="eastAsia" w:ascii="仿宋" w:hAnsi="仿宋" w:eastAsia="仿宋" w:cs="仿宋"/>
                <w:b/>
                <w:sz w:val="24"/>
              </w:rPr>
              <w:t>条款号</w:t>
            </w:r>
          </w:p>
        </w:tc>
        <w:tc>
          <w:tcPr>
            <w:tcW w:w="4525" w:type="pct"/>
            <w:noWrap w:val="0"/>
            <w:vAlign w:val="center"/>
          </w:tcPr>
          <w:p w14:paraId="04465EAC">
            <w:pPr>
              <w:spacing w:line="560" w:lineRule="exact"/>
              <w:jc w:val="center"/>
              <w:rPr>
                <w:rFonts w:hint="eastAsia" w:ascii="仿宋" w:hAnsi="仿宋" w:eastAsia="仿宋" w:cs="仿宋"/>
                <w:b/>
                <w:sz w:val="24"/>
              </w:rPr>
            </w:pPr>
            <w:r>
              <w:rPr>
                <w:rFonts w:hint="eastAsia" w:ascii="仿宋" w:hAnsi="仿宋" w:eastAsia="仿宋" w:cs="仿宋"/>
                <w:b/>
                <w:sz w:val="24"/>
              </w:rPr>
              <w:t>约定内容</w:t>
            </w:r>
          </w:p>
        </w:tc>
      </w:tr>
      <w:tr w14:paraId="44A43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474" w:type="pct"/>
            <w:tcBorders>
              <w:left w:val="single" w:color="auto" w:sz="4" w:space="0"/>
            </w:tcBorders>
            <w:noWrap w:val="0"/>
            <w:vAlign w:val="center"/>
          </w:tcPr>
          <w:p w14:paraId="4CDD76AD">
            <w:pPr>
              <w:spacing w:line="560" w:lineRule="exact"/>
              <w:rPr>
                <w:rFonts w:hint="eastAsia" w:ascii="仿宋" w:hAnsi="仿宋" w:eastAsia="仿宋" w:cs="仿宋"/>
                <w:sz w:val="24"/>
              </w:rPr>
            </w:pPr>
          </w:p>
        </w:tc>
        <w:tc>
          <w:tcPr>
            <w:tcW w:w="4525" w:type="pct"/>
            <w:noWrap w:val="0"/>
            <w:vAlign w:val="center"/>
          </w:tcPr>
          <w:p w14:paraId="42DE2EC4">
            <w:pPr>
              <w:spacing w:line="560" w:lineRule="exact"/>
              <w:rPr>
                <w:rFonts w:hint="eastAsia" w:ascii="仿宋" w:hAnsi="仿宋" w:eastAsia="仿宋" w:cs="仿宋"/>
                <w:sz w:val="24"/>
              </w:rPr>
            </w:pPr>
          </w:p>
        </w:tc>
      </w:tr>
      <w:tr w14:paraId="28525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474" w:type="pct"/>
            <w:tcBorders>
              <w:left w:val="single" w:color="auto" w:sz="4" w:space="0"/>
            </w:tcBorders>
            <w:noWrap w:val="0"/>
            <w:vAlign w:val="center"/>
          </w:tcPr>
          <w:p w14:paraId="4DFCB3A1">
            <w:pPr>
              <w:spacing w:line="560" w:lineRule="exact"/>
              <w:rPr>
                <w:rFonts w:hint="eastAsia" w:ascii="仿宋" w:hAnsi="仿宋" w:eastAsia="仿宋" w:cs="仿宋"/>
                <w:sz w:val="24"/>
              </w:rPr>
            </w:pPr>
          </w:p>
        </w:tc>
        <w:tc>
          <w:tcPr>
            <w:tcW w:w="4525" w:type="pct"/>
            <w:noWrap w:val="0"/>
            <w:vAlign w:val="center"/>
          </w:tcPr>
          <w:p w14:paraId="14920F8A">
            <w:pPr>
              <w:spacing w:line="560" w:lineRule="exact"/>
              <w:rPr>
                <w:rFonts w:hint="eastAsia" w:ascii="仿宋" w:hAnsi="仿宋" w:eastAsia="仿宋" w:cs="仿宋"/>
                <w:sz w:val="24"/>
              </w:rPr>
            </w:pPr>
          </w:p>
        </w:tc>
      </w:tr>
      <w:tr w14:paraId="5DE23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474" w:type="pct"/>
            <w:tcBorders>
              <w:left w:val="single" w:color="auto" w:sz="4" w:space="0"/>
            </w:tcBorders>
            <w:noWrap w:val="0"/>
            <w:vAlign w:val="center"/>
          </w:tcPr>
          <w:p w14:paraId="445E43FD">
            <w:pPr>
              <w:spacing w:line="560" w:lineRule="exact"/>
              <w:rPr>
                <w:rFonts w:hint="eastAsia" w:ascii="仿宋" w:hAnsi="仿宋" w:eastAsia="仿宋" w:cs="仿宋"/>
                <w:sz w:val="24"/>
              </w:rPr>
            </w:pPr>
          </w:p>
        </w:tc>
        <w:tc>
          <w:tcPr>
            <w:tcW w:w="4525" w:type="pct"/>
            <w:noWrap w:val="0"/>
            <w:vAlign w:val="center"/>
          </w:tcPr>
          <w:p w14:paraId="25DC6714">
            <w:pPr>
              <w:spacing w:line="560" w:lineRule="exact"/>
              <w:rPr>
                <w:rFonts w:hint="eastAsia" w:ascii="仿宋" w:hAnsi="仿宋" w:eastAsia="仿宋" w:cs="仿宋"/>
                <w:sz w:val="24"/>
              </w:rPr>
            </w:pPr>
          </w:p>
        </w:tc>
      </w:tr>
      <w:tr w14:paraId="73F3A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474" w:type="pct"/>
            <w:tcBorders>
              <w:left w:val="single" w:color="auto" w:sz="4" w:space="0"/>
            </w:tcBorders>
            <w:noWrap w:val="0"/>
            <w:vAlign w:val="center"/>
          </w:tcPr>
          <w:p w14:paraId="77E57C7E">
            <w:pPr>
              <w:spacing w:line="560" w:lineRule="exact"/>
              <w:rPr>
                <w:rFonts w:hint="eastAsia" w:ascii="仿宋" w:hAnsi="仿宋" w:eastAsia="仿宋" w:cs="仿宋"/>
                <w:sz w:val="24"/>
              </w:rPr>
            </w:pPr>
          </w:p>
        </w:tc>
        <w:tc>
          <w:tcPr>
            <w:tcW w:w="4525" w:type="pct"/>
            <w:noWrap w:val="0"/>
            <w:vAlign w:val="center"/>
          </w:tcPr>
          <w:p w14:paraId="48C76034">
            <w:pPr>
              <w:spacing w:line="560" w:lineRule="exact"/>
              <w:rPr>
                <w:rFonts w:hint="eastAsia" w:ascii="仿宋" w:hAnsi="仿宋" w:eastAsia="仿宋" w:cs="仿宋"/>
                <w:sz w:val="24"/>
              </w:rPr>
            </w:pPr>
          </w:p>
        </w:tc>
      </w:tr>
      <w:tr w14:paraId="7742D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25E05DE7">
            <w:pPr>
              <w:spacing w:line="560" w:lineRule="exact"/>
              <w:rPr>
                <w:rFonts w:hint="eastAsia" w:ascii="仿宋" w:hAnsi="仿宋" w:eastAsia="仿宋" w:cs="仿宋"/>
                <w:sz w:val="24"/>
              </w:rPr>
            </w:pPr>
          </w:p>
        </w:tc>
        <w:tc>
          <w:tcPr>
            <w:tcW w:w="4525" w:type="pct"/>
            <w:noWrap w:val="0"/>
            <w:vAlign w:val="center"/>
          </w:tcPr>
          <w:p w14:paraId="34433BE1">
            <w:pPr>
              <w:spacing w:line="560" w:lineRule="exact"/>
              <w:rPr>
                <w:rFonts w:hint="eastAsia" w:ascii="仿宋" w:hAnsi="仿宋" w:eastAsia="仿宋" w:cs="仿宋"/>
                <w:sz w:val="24"/>
                <w:u w:val="single"/>
              </w:rPr>
            </w:pPr>
          </w:p>
        </w:tc>
      </w:tr>
      <w:tr w14:paraId="7DDBE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3C86C82A">
            <w:pPr>
              <w:spacing w:line="560" w:lineRule="exact"/>
              <w:rPr>
                <w:rFonts w:hint="eastAsia" w:ascii="仿宋" w:hAnsi="仿宋" w:eastAsia="仿宋" w:cs="仿宋"/>
                <w:sz w:val="24"/>
              </w:rPr>
            </w:pPr>
          </w:p>
        </w:tc>
        <w:tc>
          <w:tcPr>
            <w:tcW w:w="4525" w:type="pct"/>
            <w:noWrap w:val="0"/>
            <w:vAlign w:val="center"/>
          </w:tcPr>
          <w:p w14:paraId="51B88F1E">
            <w:pPr>
              <w:spacing w:line="560" w:lineRule="exact"/>
              <w:rPr>
                <w:rFonts w:hint="eastAsia" w:ascii="仿宋" w:hAnsi="仿宋" w:eastAsia="仿宋" w:cs="仿宋"/>
                <w:sz w:val="24"/>
              </w:rPr>
            </w:pPr>
          </w:p>
        </w:tc>
      </w:tr>
      <w:tr w14:paraId="21098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474" w:type="pct"/>
            <w:tcBorders>
              <w:left w:val="single" w:color="auto" w:sz="4" w:space="0"/>
            </w:tcBorders>
            <w:noWrap w:val="0"/>
            <w:vAlign w:val="center"/>
          </w:tcPr>
          <w:p w14:paraId="4BC01A60">
            <w:pPr>
              <w:spacing w:line="560" w:lineRule="exact"/>
              <w:rPr>
                <w:rFonts w:hint="eastAsia" w:ascii="仿宋" w:hAnsi="仿宋" w:eastAsia="仿宋" w:cs="仿宋"/>
                <w:sz w:val="24"/>
              </w:rPr>
            </w:pPr>
          </w:p>
        </w:tc>
        <w:tc>
          <w:tcPr>
            <w:tcW w:w="4525" w:type="pct"/>
            <w:noWrap w:val="0"/>
            <w:vAlign w:val="center"/>
          </w:tcPr>
          <w:p w14:paraId="29B8D538">
            <w:pPr>
              <w:spacing w:line="560" w:lineRule="exact"/>
              <w:rPr>
                <w:rFonts w:hint="eastAsia" w:ascii="仿宋" w:hAnsi="仿宋" w:eastAsia="仿宋" w:cs="仿宋"/>
                <w:sz w:val="24"/>
                <w:u w:val="single"/>
              </w:rPr>
            </w:pPr>
          </w:p>
        </w:tc>
      </w:tr>
      <w:tr w14:paraId="3CEED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2CAD1F1C">
            <w:pPr>
              <w:spacing w:line="560" w:lineRule="exact"/>
              <w:rPr>
                <w:rFonts w:hint="eastAsia" w:ascii="仿宋" w:hAnsi="仿宋" w:eastAsia="仿宋" w:cs="仿宋"/>
                <w:sz w:val="24"/>
              </w:rPr>
            </w:pPr>
          </w:p>
        </w:tc>
        <w:tc>
          <w:tcPr>
            <w:tcW w:w="4525" w:type="pct"/>
            <w:noWrap w:val="0"/>
            <w:vAlign w:val="center"/>
          </w:tcPr>
          <w:p w14:paraId="4DFB072D">
            <w:pPr>
              <w:spacing w:line="560" w:lineRule="exact"/>
              <w:rPr>
                <w:rFonts w:hint="eastAsia" w:ascii="仿宋" w:hAnsi="仿宋" w:eastAsia="仿宋" w:cs="仿宋"/>
                <w:sz w:val="24"/>
              </w:rPr>
            </w:pPr>
          </w:p>
        </w:tc>
      </w:tr>
      <w:tr w14:paraId="19862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65F61C0F">
            <w:pPr>
              <w:spacing w:line="560" w:lineRule="exact"/>
              <w:rPr>
                <w:rFonts w:hint="eastAsia" w:ascii="仿宋" w:hAnsi="仿宋" w:eastAsia="仿宋" w:cs="仿宋"/>
                <w:sz w:val="24"/>
              </w:rPr>
            </w:pPr>
          </w:p>
        </w:tc>
        <w:tc>
          <w:tcPr>
            <w:tcW w:w="4525" w:type="pct"/>
            <w:noWrap w:val="0"/>
            <w:vAlign w:val="center"/>
          </w:tcPr>
          <w:p w14:paraId="6126C47C">
            <w:pPr>
              <w:spacing w:line="560" w:lineRule="exact"/>
              <w:rPr>
                <w:rFonts w:hint="eastAsia" w:ascii="仿宋" w:hAnsi="仿宋" w:eastAsia="仿宋" w:cs="仿宋"/>
                <w:sz w:val="24"/>
              </w:rPr>
            </w:pPr>
          </w:p>
        </w:tc>
      </w:tr>
      <w:tr w14:paraId="225DA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5B43A6A5">
            <w:pPr>
              <w:spacing w:line="560" w:lineRule="exact"/>
              <w:rPr>
                <w:rFonts w:hint="eastAsia" w:ascii="仿宋" w:hAnsi="仿宋" w:eastAsia="仿宋" w:cs="仿宋"/>
                <w:sz w:val="24"/>
              </w:rPr>
            </w:pPr>
          </w:p>
        </w:tc>
        <w:tc>
          <w:tcPr>
            <w:tcW w:w="4525" w:type="pct"/>
            <w:noWrap w:val="0"/>
            <w:vAlign w:val="center"/>
          </w:tcPr>
          <w:p w14:paraId="4D57F631">
            <w:pPr>
              <w:spacing w:line="560" w:lineRule="exact"/>
              <w:rPr>
                <w:rFonts w:hint="eastAsia" w:ascii="仿宋" w:hAnsi="仿宋" w:eastAsia="仿宋" w:cs="仿宋"/>
                <w:sz w:val="24"/>
              </w:rPr>
            </w:pPr>
          </w:p>
        </w:tc>
      </w:tr>
      <w:tr w14:paraId="03EF9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2454CF45">
            <w:pPr>
              <w:spacing w:line="560" w:lineRule="exact"/>
              <w:rPr>
                <w:rFonts w:hint="eastAsia" w:ascii="仿宋" w:hAnsi="仿宋" w:eastAsia="仿宋" w:cs="仿宋"/>
                <w:sz w:val="24"/>
              </w:rPr>
            </w:pPr>
          </w:p>
        </w:tc>
        <w:tc>
          <w:tcPr>
            <w:tcW w:w="4525" w:type="pct"/>
            <w:noWrap w:val="0"/>
            <w:vAlign w:val="center"/>
          </w:tcPr>
          <w:p w14:paraId="539FC494">
            <w:pPr>
              <w:spacing w:line="560" w:lineRule="exact"/>
              <w:rPr>
                <w:rFonts w:hint="eastAsia" w:ascii="仿宋" w:hAnsi="仿宋" w:eastAsia="仿宋" w:cs="仿宋"/>
                <w:sz w:val="24"/>
              </w:rPr>
            </w:pPr>
          </w:p>
        </w:tc>
      </w:tr>
      <w:tr w14:paraId="07CB9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474" w:type="pct"/>
            <w:tcBorders>
              <w:left w:val="single" w:color="auto" w:sz="4" w:space="0"/>
            </w:tcBorders>
            <w:noWrap w:val="0"/>
            <w:vAlign w:val="center"/>
          </w:tcPr>
          <w:p w14:paraId="36A932D2">
            <w:pPr>
              <w:spacing w:line="560" w:lineRule="exact"/>
              <w:rPr>
                <w:rFonts w:hint="eastAsia" w:ascii="仿宋" w:hAnsi="仿宋" w:eastAsia="仿宋" w:cs="仿宋"/>
                <w:sz w:val="24"/>
              </w:rPr>
            </w:pPr>
          </w:p>
        </w:tc>
        <w:tc>
          <w:tcPr>
            <w:tcW w:w="4525" w:type="pct"/>
            <w:noWrap w:val="0"/>
            <w:vAlign w:val="center"/>
          </w:tcPr>
          <w:p w14:paraId="7B0C54D2">
            <w:pPr>
              <w:spacing w:line="560" w:lineRule="exact"/>
              <w:rPr>
                <w:rFonts w:hint="eastAsia" w:ascii="仿宋" w:hAnsi="仿宋" w:eastAsia="仿宋" w:cs="仿宋"/>
                <w:sz w:val="24"/>
              </w:rPr>
            </w:pPr>
          </w:p>
        </w:tc>
      </w:tr>
    </w:tbl>
    <w:p w14:paraId="7071FFEF">
      <w:pPr>
        <w:pStyle w:val="4"/>
        <w:outlineLvl w:val="9"/>
        <w:rPr>
          <w:rFonts w:hint="eastAsia" w:ascii="仿宋" w:hAnsi="仿宋" w:eastAsia="仿宋" w:cs="仿宋"/>
          <w:color w:val="000000"/>
          <w:sz w:val="30"/>
          <w:szCs w:val="30"/>
        </w:rPr>
      </w:pPr>
    </w:p>
    <w:p w14:paraId="2B1172F6">
      <w:pPr>
        <w:pStyle w:val="20"/>
        <w:rPr>
          <w:rFonts w:hint="eastAsia" w:ascii="仿宋" w:hAnsi="仿宋" w:eastAsia="仿宋" w:cs="仿宋"/>
          <w:color w:val="000000"/>
          <w:sz w:val="30"/>
          <w:szCs w:val="30"/>
        </w:rPr>
      </w:pPr>
    </w:p>
    <w:p w14:paraId="28A3B618">
      <w:pPr>
        <w:pStyle w:val="24"/>
        <w:rPr>
          <w:rFonts w:hint="eastAsia" w:ascii="仿宋" w:hAnsi="仿宋" w:eastAsia="仿宋" w:cs="仿宋"/>
          <w:color w:val="000000"/>
          <w:sz w:val="30"/>
          <w:szCs w:val="30"/>
        </w:rPr>
      </w:pPr>
    </w:p>
    <w:p w14:paraId="1573A1AD">
      <w:pPr>
        <w:keepNext w:val="0"/>
        <w:keepLines w:val="0"/>
        <w:pageBreakBefore w:val="0"/>
        <w:widowControl w:val="0"/>
        <w:kinsoku/>
        <w:wordWrap/>
        <w:overflowPunct/>
        <w:topLinePunct w:val="0"/>
        <w:autoSpaceDE/>
        <w:autoSpaceDN/>
        <w:bidi w:val="0"/>
        <w:adjustRightInd/>
        <w:snapToGrid/>
        <w:spacing w:line="240" w:lineRule="auto"/>
        <w:ind w:left="0" w:leftChars="0" w:right="0" w:firstLine="420" w:firstLineChars="200"/>
        <w:jc w:val="both"/>
        <w:textAlignment w:val="auto"/>
        <w:outlineLvl w:val="0"/>
        <w:rPr>
          <w:rFonts w:ascii="宋体" w:hAnsi="宋体"/>
          <w:color w:val="auto"/>
          <w:szCs w:val="24"/>
          <w:highlight w:val="none"/>
        </w:rPr>
      </w:pPr>
    </w:p>
    <w:p w14:paraId="16777B57">
      <w:pPr>
        <w:spacing w:line="560" w:lineRule="exact"/>
        <w:ind w:firstLine="480" w:firstLineChars="200"/>
        <w:outlineLvl w:val="1"/>
        <w:rPr>
          <w:rFonts w:hint="eastAsia" w:ascii="仿宋" w:hAnsi="仿宋" w:eastAsia="仿宋" w:cs="仿宋"/>
          <w:color w:val="auto"/>
          <w:kern w:val="2"/>
          <w:sz w:val="24"/>
          <w:szCs w:val="24"/>
          <w:highlight w:val="none"/>
          <w:lang w:val="en-US" w:eastAsia="zh-CN" w:bidi="ar-SA"/>
        </w:rPr>
      </w:pPr>
      <w:bookmarkStart w:id="560" w:name="_Toc23594"/>
      <w:r>
        <w:rPr>
          <w:rFonts w:hint="eastAsia" w:ascii="仿宋" w:hAnsi="仿宋" w:eastAsia="仿宋" w:cs="仿宋"/>
          <w:color w:val="auto"/>
          <w:kern w:val="2"/>
          <w:sz w:val="24"/>
          <w:szCs w:val="24"/>
          <w:highlight w:val="none"/>
          <w:lang w:val="en-US" w:eastAsia="zh-CN" w:bidi="ar-SA"/>
        </w:rPr>
        <w:br w:type="page"/>
      </w:r>
      <w:r>
        <w:rPr>
          <w:rFonts w:hint="eastAsia" w:ascii="仿宋" w:hAnsi="仿宋" w:eastAsia="仿宋" w:cs="仿宋"/>
          <w:color w:val="auto"/>
          <w:kern w:val="2"/>
          <w:sz w:val="24"/>
          <w:szCs w:val="24"/>
          <w:highlight w:val="none"/>
          <w:lang w:val="en-US" w:eastAsia="zh-CN" w:bidi="ar-SA"/>
        </w:rPr>
        <w:t>一、投标人提交投标文件须知：</w:t>
      </w:r>
      <w:bookmarkEnd w:id="560"/>
    </w:p>
    <w:p w14:paraId="21A399F0">
      <w:pPr>
        <w:spacing w:line="56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1.投标人应严格按照以下顺序填写和提交下述规定的全部格式文件以及其他有关资料，混乱的编排导致投标文件被误读或评标小组查找不到有效文件是投标人的风险。</w:t>
      </w:r>
    </w:p>
    <w:p w14:paraId="4BF0E414">
      <w:pPr>
        <w:spacing w:line="560" w:lineRule="exact"/>
        <w:ind w:firstLine="480" w:firstLineChars="200"/>
        <w:outlineLvl w:val="2"/>
        <w:rPr>
          <w:rFonts w:hint="eastAsia" w:ascii="仿宋" w:hAnsi="仿宋" w:eastAsia="仿宋" w:cs="仿宋"/>
          <w:color w:val="auto"/>
          <w:kern w:val="2"/>
          <w:sz w:val="24"/>
          <w:szCs w:val="24"/>
          <w:highlight w:val="none"/>
          <w:lang w:val="en-US" w:eastAsia="zh-CN" w:bidi="ar-SA"/>
        </w:rPr>
      </w:pPr>
      <w:bookmarkStart w:id="561" w:name="_Toc23205"/>
      <w:r>
        <w:rPr>
          <w:rFonts w:hint="eastAsia" w:ascii="仿宋" w:hAnsi="仿宋" w:eastAsia="仿宋" w:cs="仿宋"/>
          <w:color w:val="auto"/>
          <w:kern w:val="2"/>
          <w:sz w:val="24"/>
          <w:szCs w:val="24"/>
          <w:highlight w:val="none"/>
          <w:lang w:val="en-US" w:eastAsia="zh-CN" w:bidi="ar-SA"/>
        </w:rPr>
        <w:t>2.所附表格中要求回答的全部问题和/或信息都必须正面回答。</w:t>
      </w:r>
      <w:bookmarkEnd w:id="561"/>
    </w:p>
    <w:p w14:paraId="41EF40B9">
      <w:pPr>
        <w:spacing w:line="56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3.本声明书的签字人应保证全部声明和问题的回答是真实的和准确的。</w:t>
      </w:r>
    </w:p>
    <w:p w14:paraId="1D5E2968">
      <w:pPr>
        <w:spacing w:line="56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4.评标委员会将应用投标人提交的资料根据自己的判断和考虑决定投标人履行合同的合格性及能力。</w:t>
      </w:r>
    </w:p>
    <w:p w14:paraId="6A396E64">
      <w:pPr>
        <w:spacing w:line="560" w:lineRule="exact"/>
        <w:ind w:firstLine="480" w:firstLineChars="200"/>
        <w:outlineLvl w:val="2"/>
        <w:rPr>
          <w:rFonts w:hint="eastAsia" w:ascii="仿宋" w:hAnsi="仿宋" w:eastAsia="仿宋" w:cs="仿宋"/>
          <w:color w:val="auto"/>
          <w:kern w:val="2"/>
          <w:sz w:val="24"/>
          <w:szCs w:val="24"/>
          <w:highlight w:val="none"/>
          <w:lang w:val="en-US" w:eastAsia="zh-CN" w:bidi="ar-SA"/>
        </w:rPr>
      </w:pPr>
      <w:bookmarkStart w:id="562" w:name="_Toc8067"/>
      <w:r>
        <w:rPr>
          <w:rFonts w:hint="eastAsia" w:ascii="仿宋" w:hAnsi="仿宋" w:eastAsia="仿宋" w:cs="仿宋"/>
          <w:color w:val="auto"/>
          <w:kern w:val="2"/>
          <w:sz w:val="24"/>
          <w:szCs w:val="24"/>
          <w:highlight w:val="none"/>
          <w:lang w:val="en-US" w:eastAsia="zh-CN" w:bidi="ar-SA"/>
        </w:rPr>
        <w:t>5.投标人提交的材料将在一定期限内被保密保存，但不退还。</w:t>
      </w:r>
      <w:bookmarkEnd w:id="562"/>
    </w:p>
    <w:p w14:paraId="6138B377">
      <w:pPr>
        <w:spacing w:line="56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6.全部文件应按投标人须知中规定的语言和份数提交。投标文件组成漏项或未按规定的格式编制，内容不全或内容字迹模糊辨认不清的情况，将有可能被评标小组认定为投标无效。</w:t>
      </w:r>
    </w:p>
    <w:p w14:paraId="4AD7678A">
      <w:pPr>
        <w:adjustRightInd w:val="0"/>
        <w:snapToGrid w:val="0"/>
        <w:spacing w:before="50" w:after="50"/>
        <w:rPr>
          <w:rFonts w:ascii="仿宋_GB2312" w:hAnsi="宋体" w:eastAsia="仿宋_GB2312"/>
          <w:color w:val="auto"/>
          <w:sz w:val="32"/>
          <w:highlight w:val="none"/>
        </w:rPr>
      </w:pPr>
    </w:p>
    <w:p w14:paraId="0AA76D2D">
      <w:pPr>
        <w:spacing w:line="360" w:lineRule="auto"/>
        <w:jc w:val="center"/>
        <w:outlineLvl w:val="9"/>
        <w:rPr>
          <w:rFonts w:ascii="仿宋_GB2312" w:hAnsi="宋体" w:eastAsia="仿宋_GB2312"/>
          <w:color w:val="auto"/>
          <w:sz w:val="32"/>
          <w:highlight w:val="none"/>
        </w:rPr>
      </w:pPr>
      <w:r>
        <w:rPr>
          <w:rFonts w:ascii="仿宋_GB2312" w:hAnsi="宋体" w:eastAsia="仿宋_GB2312"/>
          <w:color w:val="auto"/>
          <w:sz w:val="32"/>
          <w:highlight w:val="none"/>
        </w:rPr>
        <w:br w:type="page"/>
      </w:r>
      <w:bookmarkStart w:id="563" w:name="_Toc2253"/>
    </w:p>
    <w:p w14:paraId="536CB24D">
      <w:pPr>
        <w:spacing w:line="360" w:lineRule="auto"/>
        <w:jc w:val="center"/>
        <w:outlineLvl w:val="0"/>
        <w:rPr>
          <w:rFonts w:hint="eastAsia" w:ascii="仿宋" w:hAnsi="仿宋" w:eastAsia="仿宋" w:cs="仿宋"/>
          <w:b/>
          <w:color w:val="auto"/>
          <w:kern w:val="2"/>
          <w:sz w:val="28"/>
          <w:szCs w:val="28"/>
          <w:highlight w:val="none"/>
          <w:lang w:val="en-US" w:eastAsia="zh-CN" w:bidi="ar-SA"/>
        </w:rPr>
      </w:pPr>
      <w:bookmarkStart w:id="564" w:name="_Toc17130"/>
      <w:bookmarkStart w:id="565" w:name="_Toc23960"/>
      <w:r>
        <w:rPr>
          <w:rFonts w:hint="eastAsia" w:ascii="仿宋" w:hAnsi="仿宋" w:eastAsia="仿宋" w:cs="仿宋"/>
          <w:b/>
          <w:color w:val="auto"/>
          <w:kern w:val="2"/>
          <w:sz w:val="28"/>
          <w:szCs w:val="28"/>
          <w:highlight w:val="none"/>
          <w:lang w:val="en-US" w:eastAsia="zh-CN" w:bidi="ar-SA"/>
        </w:rPr>
        <w:t>第七章　投标文件格式</w:t>
      </w:r>
    </w:p>
    <w:p w14:paraId="66BCCC12">
      <w:pPr>
        <w:spacing w:line="360" w:lineRule="auto"/>
        <w:jc w:val="center"/>
        <w:outlineLvl w:val="1"/>
        <w:rPr>
          <w:rFonts w:hint="eastAsia" w:ascii="仿宋" w:hAnsi="仿宋" w:eastAsia="仿宋" w:cs="仿宋"/>
          <w:color w:val="auto"/>
          <w:sz w:val="48"/>
          <w:szCs w:val="48"/>
          <w:highlight w:val="none"/>
        </w:rPr>
      </w:pPr>
      <w:r>
        <w:rPr>
          <w:rFonts w:hint="eastAsia" w:ascii="仿宋" w:hAnsi="仿宋" w:eastAsia="仿宋" w:cs="仿宋"/>
          <w:color w:val="auto"/>
          <w:sz w:val="48"/>
          <w:szCs w:val="48"/>
          <w:highlight w:val="none"/>
          <w:lang w:eastAsia="zh-CN"/>
        </w:rPr>
        <w:t>（</w:t>
      </w:r>
      <w:r>
        <w:rPr>
          <w:rFonts w:hint="eastAsia" w:ascii="仿宋" w:hAnsi="仿宋" w:eastAsia="仿宋" w:cs="仿宋"/>
          <w:color w:val="auto"/>
          <w:sz w:val="48"/>
          <w:szCs w:val="48"/>
          <w:highlight w:val="none"/>
        </w:rPr>
        <w:t>项目名称</w:t>
      </w:r>
      <w:r>
        <w:rPr>
          <w:rFonts w:hint="eastAsia" w:ascii="仿宋" w:hAnsi="仿宋" w:eastAsia="仿宋" w:cs="仿宋"/>
          <w:color w:val="auto"/>
          <w:sz w:val="48"/>
          <w:szCs w:val="48"/>
          <w:highlight w:val="none"/>
          <w:lang w:eastAsia="zh-CN"/>
        </w:rPr>
        <w:t>）</w:t>
      </w:r>
      <w:bookmarkEnd w:id="563"/>
      <w:bookmarkEnd w:id="564"/>
      <w:bookmarkEnd w:id="565"/>
    </w:p>
    <w:p w14:paraId="28F408D9">
      <w:pPr>
        <w:spacing w:line="360" w:lineRule="auto"/>
        <w:jc w:val="center"/>
        <w:outlineLvl w:val="9"/>
        <w:rPr>
          <w:rFonts w:hint="eastAsia" w:ascii="仿宋" w:hAnsi="仿宋" w:eastAsia="仿宋" w:cs="仿宋"/>
          <w:color w:val="auto"/>
          <w:sz w:val="32"/>
          <w:highlight w:val="none"/>
        </w:rPr>
      </w:pPr>
    </w:p>
    <w:p w14:paraId="5A61B688">
      <w:pPr>
        <w:spacing w:line="360" w:lineRule="auto"/>
        <w:jc w:val="center"/>
        <w:outlineLvl w:val="9"/>
        <w:rPr>
          <w:rFonts w:hint="eastAsia" w:ascii="仿宋" w:hAnsi="仿宋" w:eastAsia="仿宋" w:cs="仿宋"/>
          <w:color w:val="auto"/>
          <w:sz w:val="32"/>
          <w:highlight w:val="none"/>
        </w:rPr>
      </w:pPr>
      <w:bookmarkStart w:id="566" w:name="_Toc24951"/>
      <w:r>
        <w:rPr>
          <w:rFonts w:hint="eastAsia" w:ascii="仿宋" w:hAnsi="仿宋" w:eastAsia="仿宋" w:cs="仿宋"/>
          <w:color w:val="auto"/>
          <w:sz w:val="32"/>
          <w:highlight w:val="none"/>
        </w:rPr>
        <w:t>项目编号：</w:t>
      </w:r>
      <w:bookmarkEnd w:id="566"/>
    </w:p>
    <w:p w14:paraId="4384D671">
      <w:pPr>
        <w:spacing w:line="560" w:lineRule="exact"/>
        <w:ind w:firstLine="883" w:firstLineChars="200"/>
        <w:jc w:val="center"/>
        <w:rPr>
          <w:rFonts w:hint="eastAsia" w:ascii="仿宋" w:hAnsi="仿宋" w:eastAsia="仿宋" w:cs="仿宋"/>
          <w:b/>
          <w:bCs/>
          <w:color w:val="auto"/>
          <w:kern w:val="2"/>
          <w:sz w:val="44"/>
          <w:szCs w:val="52"/>
          <w:highlight w:val="none"/>
          <w:lang w:val="en-US" w:eastAsia="zh-CN" w:bidi="ar-SA"/>
        </w:rPr>
      </w:pPr>
    </w:p>
    <w:p w14:paraId="1505224D">
      <w:pPr>
        <w:spacing w:line="360" w:lineRule="auto"/>
        <w:jc w:val="center"/>
        <w:outlineLvl w:val="9"/>
        <w:rPr>
          <w:rFonts w:hint="eastAsia" w:ascii="仿宋" w:hAnsi="仿宋" w:eastAsia="仿宋" w:cs="仿宋"/>
          <w:color w:val="auto"/>
          <w:sz w:val="96"/>
          <w:szCs w:val="96"/>
          <w:highlight w:val="none"/>
          <w:lang w:val="en-US" w:eastAsia="zh-CN"/>
        </w:rPr>
      </w:pPr>
      <w:r>
        <w:rPr>
          <w:rFonts w:hint="eastAsia" w:ascii="仿宋" w:hAnsi="仿宋" w:eastAsia="仿宋" w:cs="仿宋"/>
          <w:color w:val="auto"/>
          <w:sz w:val="96"/>
          <w:szCs w:val="96"/>
          <w:highlight w:val="none"/>
          <w:lang w:val="en-US" w:eastAsia="zh-CN"/>
        </w:rPr>
        <w:t>投</w:t>
      </w:r>
    </w:p>
    <w:p w14:paraId="49639C92">
      <w:pPr>
        <w:spacing w:line="360" w:lineRule="auto"/>
        <w:jc w:val="center"/>
        <w:outlineLvl w:val="9"/>
        <w:rPr>
          <w:rFonts w:hint="eastAsia" w:ascii="仿宋" w:hAnsi="仿宋" w:eastAsia="仿宋" w:cs="仿宋"/>
          <w:color w:val="auto"/>
          <w:sz w:val="96"/>
          <w:szCs w:val="96"/>
          <w:highlight w:val="none"/>
          <w:lang w:val="en-US" w:eastAsia="zh-CN"/>
        </w:rPr>
      </w:pPr>
      <w:r>
        <w:rPr>
          <w:rFonts w:hint="eastAsia" w:ascii="仿宋" w:hAnsi="仿宋" w:eastAsia="仿宋" w:cs="仿宋"/>
          <w:color w:val="auto"/>
          <w:sz w:val="96"/>
          <w:szCs w:val="96"/>
          <w:highlight w:val="none"/>
          <w:lang w:val="en-US" w:eastAsia="zh-CN"/>
        </w:rPr>
        <w:t>标</w:t>
      </w:r>
    </w:p>
    <w:p w14:paraId="0C906B7A">
      <w:pPr>
        <w:spacing w:line="360" w:lineRule="auto"/>
        <w:jc w:val="center"/>
        <w:outlineLvl w:val="9"/>
        <w:rPr>
          <w:rFonts w:hint="eastAsia" w:ascii="仿宋" w:hAnsi="仿宋" w:eastAsia="仿宋" w:cs="仿宋"/>
          <w:color w:val="auto"/>
          <w:sz w:val="96"/>
          <w:szCs w:val="96"/>
          <w:highlight w:val="none"/>
          <w:lang w:val="en-US" w:eastAsia="zh-CN"/>
        </w:rPr>
      </w:pPr>
      <w:r>
        <w:rPr>
          <w:rFonts w:hint="eastAsia" w:ascii="仿宋" w:hAnsi="仿宋" w:eastAsia="仿宋" w:cs="仿宋"/>
          <w:color w:val="auto"/>
          <w:sz w:val="96"/>
          <w:szCs w:val="96"/>
          <w:highlight w:val="none"/>
          <w:lang w:val="en-US" w:eastAsia="zh-CN"/>
        </w:rPr>
        <w:t>文</w:t>
      </w:r>
    </w:p>
    <w:p w14:paraId="16DFF68F">
      <w:pPr>
        <w:spacing w:line="360" w:lineRule="auto"/>
        <w:jc w:val="center"/>
        <w:outlineLvl w:val="9"/>
        <w:rPr>
          <w:rFonts w:hint="eastAsia" w:ascii="仿宋" w:hAnsi="仿宋" w:eastAsia="仿宋" w:cs="仿宋"/>
          <w:color w:val="auto"/>
          <w:sz w:val="96"/>
          <w:szCs w:val="96"/>
          <w:highlight w:val="none"/>
          <w:lang w:val="en-US" w:eastAsia="zh-CN"/>
        </w:rPr>
      </w:pPr>
      <w:r>
        <w:rPr>
          <w:rFonts w:hint="eastAsia" w:ascii="仿宋" w:hAnsi="仿宋" w:eastAsia="仿宋" w:cs="仿宋"/>
          <w:color w:val="auto"/>
          <w:sz w:val="96"/>
          <w:szCs w:val="96"/>
          <w:highlight w:val="none"/>
          <w:lang w:val="en-US" w:eastAsia="zh-CN"/>
        </w:rPr>
        <w:t>件</w:t>
      </w:r>
    </w:p>
    <w:p w14:paraId="18210FC8">
      <w:pPr>
        <w:spacing w:line="560" w:lineRule="exact"/>
        <w:ind w:firstLine="560" w:firstLineChars="200"/>
        <w:rPr>
          <w:rFonts w:hint="eastAsia" w:ascii="仿宋" w:hAnsi="仿宋" w:eastAsia="仿宋" w:cs="仿宋"/>
          <w:color w:val="auto"/>
          <w:kern w:val="2"/>
          <w:sz w:val="28"/>
          <w:szCs w:val="36"/>
          <w:highlight w:val="none"/>
          <w:lang w:val="en-US" w:eastAsia="zh-CN" w:bidi="ar-SA"/>
        </w:rPr>
      </w:pPr>
    </w:p>
    <w:p w14:paraId="673F9D8B">
      <w:pPr>
        <w:spacing w:line="560" w:lineRule="exact"/>
        <w:ind w:firstLine="560" w:firstLineChars="200"/>
        <w:rPr>
          <w:rFonts w:hint="eastAsia" w:ascii="仿宋" w:hAnsi="仿宋" w:eastAsia="仿宋" w:cs="仿宋"/>
          <w:color w:val="auto"/>
          <w:kern w:val="2"/>
          <w:sz w:val="28"/>
          <w:szCs w:val="36"/>
          <w:highlight w:val="none"/>
          <w:lang w:val="en-US" w:eastAsia="zh-CN" w:bidi="ar-SA"/>
        </w:rPr>
      </w:pPr>
    </w:p>
    <w:p w14:paraId="13272795">
      <w:pPr>
        <w:spacing w:line="560" w:lineRule="exact"/>
        <w:ind w:firstLine="560" w:firstLineChars="200"/>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color w:val="auto"/>
          <w:kern w:val="2"/>
          <w:sz w:val="28"/>
          <w:szCs w:val="36"/>
          <w:highlight w:val="none"/>
          <w:lang w:val="en-US" w:eastAsia="zh-CN" w:bidi="ar-SA"/>
        </w:rPr>
        <w:t>投标单位名称：（加盖单位公章）</w:t>
      </w:r>
    </w:p>
    <w:p w14:paraId="0F34C9B4">
      <w:pPr>
        <w:spacing w:line="560" w:lineRule="exact"/>
        <w:ind w:firstLine="560" w:firstLineChars="200"/>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color w:val="auto"/>
          <w:kern w:val="2"/>
          <w:sz w:val="28"/>
          <w:szCs w:val="36"/>
          <w:highlight w:val="none"/>
          <w:lang w:val="en-US" w:eastAsia="zh-CN" w:bidi="ar-SA"/>
        </w:rPr>
        <w:t>投标单位地址：</w:t>
      </w:r>
    </w:p>
    <w:p w14:paraId="1F3EEE63">
      <w:pPr>
        <w:spacing w:line="560" w:lineRule="exact"/>
        <w:ind w:firstLine="560" w:firstLineChars="200"/>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color w:val="auto"/>
          <w:kern w:val="2"/>
          <w:sz w:val="28"/>
          <w:szCs w:val="36"/>
          <w:highlight w:val="none"/>
          <w:lang w:val="en-US" w:eastAsia="zh-CN" w:bidi="ar-SA"/>
        </w:rPr>
        <w:t>法人或法人授权代表（签字或盖章）：</w:t>
      </w:r>
    </w:p>
    <w:p w14:paraId="0A6DCA26">
      <w:pPr>
        <w:spacing w:line="560" w:lineRule="exact"/>
        <w:ind w:firstLine="560" w:firstLineChars="200"/>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color w:val="auto"/>
          <w:kern w:val="2"/>
          <w:sz w:val="28"/>
          <w:szCs w:val="36"/>
          <w:highlight w:val="none"/>
          <w:lang w:val="en-US" w:eastAsia="zh-CN" w:bidi="ar-SA"/>
        </w:rPr>
        <w:t>投标单位联系电话：</w:t>
      </w:r>
    </w:p>
    <w:p w14:paraId="384E0A71">
      <w:pPr>
        <w:spacing w:line="560" w:lineRule="exact"/>
        <w:ind w:firstLine="420" w:firstLineChars="200"/>
        <w:rPr>
          <w:rFonts w:hint="eastAsia" w:ascii="仿宋" w:hAnsi="仿宋" w:eastAsia="仿宋" w:cs="仿宋"/>
          <w:color w:val="auto"/>
          <w:kern w:val="2"/>
          <w:sz w:val="21"/>
          <w:szCs w:val="24"/>
          <w:highlight w:val="none"/>
          <w:lang w:val="en-US" w:eastAsia="zh-CN" w:bidi="ar-SA"/>
        </w:rPr>
      </w:pPr>
    </w:p>
    <w:p w14:paraId="39B57A07">
      <w:pPr>
        <w:spacing w:line="560" w:lineRule="exact"/>
        <w:ind w:firstLine="560" w:firstLineChars="200"/>
        <w:jc w:val="center"/>
        <w:rPr>
          <w:rFonts w:hint="eastAsia" w:ascii="仿宋" w:hAnsi="仿宋" w:eastAsia="仿宋" w:cs="仿宋"/>
          <w:color w:val="auto"/>
          <w:kern w:val="2"/>
          <w:sz w:val="28"/>
          <w:szCs w:val="36"/>
          <w:highlight w:val="none"/>
          <w:lang w:val="en-US" w:eastAsia="zh-CN" w:bidi="ar-SA"/>
        </w:rPr>
      </w:pPr>
      <w:bookmarkStart w:id="567" w:name="_Toc1683"/>
    </w:p>
    <w:p w14:paraId="276A9571">
      <w:pPr>
        <w:spacing w:line="560" w:lineRule="exact"/>
        <w:ind w:firstLine="560" w:firstLineChars="200"/>
        <w:jc w:val="center"/>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color w:val="auto"/>
          <w:kern w:val="2"/>
          <w:sz w:val="28"/>
          <w:szCs w:val="36"/>
          <w:highlight w:val="none"/>
          <w:lang w:val="en-US" w:eastAsia="zh-CN" w:bidi="ar-SA"/>
        </w:rPr>
        <w:t>年月日</w:t>
      </w:r>
      <w:bookmarkEnd w:id="567"/>
    </w:p>
    <w:p w14:paraId="7E471701">
      <w:pPr>
        <w:adjustRightInd w:val="0"/>
        <w:snapToGrid w:val="0"/>
        <w:jc w:val="center"/>
        <w:outlineLvl w:val="9"/>
        <w:rPr>
          <w:rFonts w:ascii="宋体" w:hAnsi="宋体"/>
          <w:b/>
          <w:color w:val="auto"/>
          <w:sz w:val="44"/>
          <w:szCs w:val="44"/>
          <w:highlight w:val="none"/>
        </w:rPr>
      </w:pPr>
    </w:p>
    <w:p w14:paraId="0C107AC7">
      <w:pPr>
        <w:widowControl/>
        <w:spacing w:line="240" w:lineRule="auto"/>
        <w:ind w:left="0" w:leftChars="0" w:firstLine="0" w:firstLineChars="0"/>
        <w:jc w:val="both"/>
        <w:outlineLvl w:val="9"/>
        <w:rPr>
          <w:rFonts w:ascii="宋体" w:hAnsi="宋体"/>
          <w:b/>
          <w:color w:val="auto"/>
          <w:sz w:val="24"/>
          <w:szCs w:val="24"/>
          <w:highlight w:val="none"/>
        </w:rPr>
      </w:pPr>
    </w:p>
    <w:p w14:paraId="3586E816">
      <w:pPr>
        <w:jc w:val="center"/>
        <w:rPr>
          <w:rFonts w:hint="eastAsia" w:ascii="仿宋" w:hAnsi="仿宋" w:eastAsia="仿宋" w:cs="仿宋"/>
          <w:b/>
          <w:bCs/>
          <w:color w:val="auto"/>
          <w:sz w:val="32"/>
          <w:szCs w:val="44"/>
          <w:highlight w:val="none"/>
          <w:lang w:val="en-US" w:eastAsia="zh-CN"/>
        </w:rPr>
      </w:pPr>
      <w:r>
        <w:rPr>
          <w:rFonts w:hint="eastAsia" w:ascii="仿宋" w:hAnsi="仿宋" w:eastAsia="仿宋" w:cs="仿宋"/>
          <w:b/>
          <w:bCs/>
          <w:color w:val="auto"/>
          <w:sz w:val="32"/>
          <w:szCs w:val="44"/>
          <w:highlight w:val="none"/>
          <w:lang w:val="en-US" w:eastAsia="zh-CN"/>
        </w:rPr>
        <w:t>目录</w:t>
      </w:r>
    </w:p>
    <w:p w14:paraId="3F020DDE">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报价部分：</w:t>
      </w:r>
    </w:p>
    <w:p w14:paraId="210B5297">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rPr>
        <w:t>投标函；</w:t>
      </w:r>
    </w:p>
    <w:p w14:paraId="14A13084">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2.</w:t>
      </w:r>
      <w:r>
        <w:rPr>
          <w:rFonts w:hint="eastAsia" w:ascii="仿宋" w:hAnsi="仿宋" w:eastAsia="仿宋" w:cs="仿宋"/>
          <w:b w:val="0"/>
          <w:bCs w:val="0"/>
          <w:color w:val="auto"/>
          <w:sz w:val="24"/>
          <w:szCs w:val="24"/>
          <w:highlight w:val="none"/>
        </w:rPr>
        <w:t>开标一览表；</w:t>
      </w:r>
    </w:p>
    <w:p w14:paraId="2B905ACF">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0"/>
          <w:sz w:val="24"/>
          <w:szCs w:val="24"/>
          <w:lang w:val="en-US" w:eastAsia="zh-CN" w:bidi="ar-SA"/>
        </w:rPr>
        <w:t>3.投标报价明细表。</w:t>
      </w:r>
    </w:p>
    <w:p w14:paraId="4F61989B">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商务部分：</w:t>
      </w:r>
    </w:p>
    <w:p w14:paraId="5159CA69">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rPr>
        <w:t>投标单位简介，并附投标人资质证件等；</w:t>
      </w:r>
    </w:p>
    <w:p w14:paraId="613A11F5">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2.</w:t>
      </w:r>
      <w:r>
        <w:rPr>
          <w:rFonts w:hint="eastAsia" w:ascii="仿宋" w:hAnsi="仿宋" w:eastAsia="仿宋" w:cs="仿宋"/>
          <w:i w:val="0"/>
          <w:iCs w:val="0"/>
          <w:caps w:val="0"/>
          <w:color w:val="auto"/>
          <w:spacing w:val="0"/>
          <w:sz w:val="24"/>
          <w:szCs w:val="24"/>
          <w:highlight w:val="none"/>
          <w:lang w:val="en-US" w:eastAsia="zh-CN"/>
        </w:rPr>
        <w:t>具有独立承担民事责任的能力，如投标人是企业（包括合伙企业），应提供在工商部门注册的有效“企业法人证书”或“营业执照”；如投标人是事业单位，应提供有效的“事业单位法人证书”；投标人是非企业专业服务机构的，应提供执业许可证等证明文件；如投标人是个体工商户，应提供有效的“个体工商户营业执照”；如投标人是自然人，应提供有效的自然人身份证明</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rPr>
        <w:t>（格式见附件）；</w:t>
      </w:r>
    </w:p>
    <w:p w14:paraId="007B6809">
      <w:pPr>
        <w:spacing w:line="300" w:lineRule="auto"/>
        <w:ind w:left="0" w:leftChars="0" w:firstLine="480" w:firstLineChars="200"/>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3.</w:t>
      </w:r>
      <w:r>
        <w:rPr>
          <w:rFonts w:hint="eastAsia" w:ascii="仿宋" w:hAnsi="仿宋" w:eastAsia="仿宋" w:cs="仿宋"/>
          <w:b w:val="0"/>
          <w:bCs w:val="0"/>
          <w:color w:val="auto"/>
          <w:sz w:val="24"/>
          <w:szCs w:val="24"/>
          <w:highlight w:val="none"/>
        </w:rPr>
        <w:t>联合体协议书（如是）</w:t>
      </w:r>
      <w:r>
        <w:rPr>
          <w:rFonts w:hint="eastAsia" w:ascii="仿宋" w:hAnsi="仿宋" w:eastAsia="仿宋" w:cs="仿宋"/>
          <w:b w:val="0"/>
          <w:bCs w:val="0"/>
          <w:color w:val="auto"/>
          <w:sz w:val="24"/>
          <w:szCs w:val="24"/>
          <w:highlight w:val="none"/>
          <w:lang w:eastAsia="zh-CN"/>
        </w:rPr>
        <w:t>；</w:t>
      </w:r>
    </w:p>
    <w:p w14:paraId="321C01FC">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4.</w:t>
      </w:r>
      <w:r>
        <w:rPr>
          <w:rFonts w:hint="eastAsia" w:ascii="仿宋" w:hAnsi="仿宋" w:eastAsia="仿宋" w:cs="仿宋"/>
          <w:i w:val="0"/>
          <w:iCs w:val="0"/>
          <w:caps w:val="0"/>
          <w:color w:val="auto"/>
          <w:spacing w:val="0"/>
          <w:sz w:val="24"/>
          <w:szCs w:val="24"/>
          <w:highlight w:val="none"/>
          <w:lang w:val="en-US" w:eastAsia="zh-CN"/>
        </w:rPr>
        <w:t>提供税务机关出具的2026年近三个月内任意一个月的完税证明或依法报税资料（新成立不足1个月的按实际情况提供，成立时间超过1个月的零申报的需提供依法报税资料）</w:t>
      </w:r>
      <w:r>
        <w:rPr>
          <w:rFonts w:hint="eastAsia" w:ascii="仿宋" w:hAnsi="仿宋" w:eastAsia="仿宋" w:cs="仿宋"/>
          <w:i w:val="0"/>
          <w:iCs w:val="0"/>
          <w:caps w:val="0"/>
          <w:color w:val="000000"/>
          <w:spacing w:val="0"/>
          <w:sz w:val="24"/>
          <w:szCs w:val="24"/>
          <w:highlight w:val="none"/>
          <w:lang w:val="en-US" w:eastAsia="zh-CN"/>
        </w:rPr>
        <w:t>；提供</w:t>
      </w:r>
      <w:r>
        <w:rPr>
          <w:rFonts w:hint="eastAsia" w:ascii="仿宋" w:hAnsi="仿宋" w:eastAsia="仿宋" w:cs="仿宋"/>
          <w:i w:val="0"/>
          <w:iCs w:val="0"/>
          <w:caps w:val="0"/>
          <w:color w:val="auto"/>
          <w:spacing w:val="0"/>
          <w:sz w:val="24"/>
          <w:szCs w:val="24"/>
          <w:highlight w:val="none"/>
          <w:lang w:val="en-US" w:eastAsia="zh-CN"/>
        </w:rPr>
        <w:t>法定代表人需提供法定代表人证明书及法定代表人身份证，委托代理人需提供法定代表人授权委托书及委托代理人身份证，被委托人必须是投标人法人或正式员工，需提供社保部门出具2026年任意连续三个月的缴纳社保证明（社保缴费凭证或个人明细表），成立不足三个月的按实际提供；</w:t>
      </w:r>
    </w:p>
    <w:p w14:paraId="672B1789">
      <w:pPr>
        <w:pStyle w:val="70"/>
        <w:keepNext w:val="0"/>
        <w:keepLines w:val="0"/>
        <w:widowControl/>
        <w:numPr>
          <w:ilvl w:val="0"/>
          <w:numId w:val="0"/>
        </w:numPr>
        <w:suppressLineNumbers w:val="0"/>
        <w:spacing w:before="75" w:beforeAutospacing="0" w:after="75" w:afterAutospacing="0" w:line="240" w:lineRule="auto"/>
        <w:ind w:right="0" w:rightChars="0"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i w:val="0"/>
          <w:iCs w:val="0"/>
          <w:caps w:val="0"/>
          <w:color w:val="auto"/>
          <w:spacing w:val="0"/>
          <w:sz w:val="24"/>
          <w:szCs w:val="24"/>
          <w:highlight w:val="none"/>
          <w:lang w:val="en-US" w:eastAsia="zh-CN"/>
        </w:rPr>
        <w:t>提供税务机关出具的2026年近三个月内任意一个月的完税证明或依法报税资料（新成立不足1个月的按实际情况提供，成立时间超过1个月的零申报的需提供依法报税资料）</w:t>
      </w:r>
      <w:r>
        <w:rPr>
          <w:rFonts w:hint="eastAsia" w:ascii="仿宋" w:hAnsi="仿宋" w:eastAsia="仿宋" w:cs="仿宋"/>
          <w:spacing w:val="1"/>
          <w:sz w:val="24"/>
          <w:szCs w:val="24"/>
        </w:rPr>
        <w:t>及健全的财务会计制度（健全的财务会计制度需单独提供）</w:t>
      </w:r>
      <w:r>
        <w:rPr>
          <w:rFonts w:hint="eastAsia" w:ascii="仿宋" w:hAnsi="仿宋" w:eastAsia="仿宋" w:cs="仿宋"/>
          <w:b w:val="0"/>
          <w:bCs w:val="0"/>
          <w:color w:val="auto"/>
          <w:sz w:val="24"/>
          <w:szCs w:val="24"/>
          <w:highlight w:val="none"/>
          <w:lang w:val="en-US" w:eastAsia="zh-CN"/>
        </w:rPr>
        <w:t>；</w:t>
      </w:r>
    </w:p>
    <w:p w14:paraId="5570D7D5">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根据项目需求提供履行合同所必需的设备和专业技术能力的加盖单位公章的书面承诺函；</w:t>
      </w:r>
    </w:p>
    <w:p w14:paraId="7E0F8A26">
      <w:pPr>
        <w:spacing w:line="300" w:lineRule="auto"/>
        <w:ind w:left="0" w:leftChars="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参加采购活动前3年内，在经营活动中没有重大违法记录：提供《投标人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E41AB80">
      <w:pPr>
        <w:pStyle w:val="70"/>
        <w:keepNext w:val="0"/>
        <w:keepLines w:val="0"/>
        <w:widowControl/>
        <w:numPr>
          <w:ilvl w:val="0"/>
          <w:numId w:val="0"/>
        </w:numPr>
        <w:suppressLineNumbers w:val="0"/>
        <w:spacing w:before="75" w:beforeAutospacing="0" w:after="75" w:afterAutospacing="0" w:line="240" w:lineRule="auto"/>
        <w:ind w:right="0" w:rightChars="0" w:firstLine="480" w:firstLineChars="200"/>
        <w:jc w:val="left"/>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i w:val="0"/>
          <w:iCs w:val="0"/>
          <w:caps w:val="0"/>
          <w:color w:val="auto"/>
          <w:spacing w:val="0"/>
          <w:sz w:val="24"/>
          <w:szCs w:val="24"/>
          <w:highlight w:val="none"/>
          <w:lang w:val="en-US" w:eastAsia="zh-CN"/>
        </w:rPr>
        <w:t>投标人近三年内如在“信用中国网www.creditchina.gov.cn”被列入失信被执行人、重大税收违法案件当事人名单、政府采购严重违法失信行为记录名单的（尚在处罚期内的）；在“中国政府采购网（www.ccgp.gov.cn）”被列入政府采购严重违法失信行为记录名单的（尚在处罚期内的）；在“国家企业信用信息公示系统（http://www.gsxt.gov.cn）”列入严重违法失信企业名单（黑名单）信息，将拒绝其参加本次政府采购活动；</w:t>
      </w:r>
    </w:p>
    <w:p w14:paraId="074E7C39">
      <w:pPr>
        <w:spacing w:line="240" w:lineRule="auto"/>
        <w:ind w:left="239" w:leftChars="114" w:firstLine="360" w:firstLineChars="15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9本项目的特定资格要求：</w:t>
      </w:r>
      <w:r>
        <w:rPr>
          <w:rFonts w:hint="eastAsia" w:ascii="仿宋" w:hAnsi="仿宋" w:eastAsia="仿宋" w:cs="仿宋"/>
          <w:i w:val="0"/>
          <w:iCs w:val="0"/>
          <w:caps w:val="0"/>
          <w:color w:val="auto"/>
          <w:spacing w:val="0"/>
          <w:sz w:val="24"/>
          <w:szCs w:val="24"/>
          <w:highlight w:val="none"/>
          <w:lang w:val="en-US" w:eastAsia="zh-CN"/>
        </w:rPr>
        <w:t>若投标人为生产商，①若所投产品为第二类医疗器械，生产商须提供有效的《医疗器械生产许可证》及所投产品的《医疗器械注册证》，代理商或经销商须提供有效的《第二类医疗器械经营备案凭证》及所投产品的《医疗器械注册证》；②若所投产品为第三类医疗器械，生产商须提供有效的《医疗器械生产许可证》及所投产品的《医疗器械注册证》，代理商或经销商须提供有效的《医疗器械经营许可证》及所投产品的《医疗器械注册证》；③若所投产品不属于上述医疗器械管理范围的，可按要求提供证明文件并加盖公章。</w:t>
      </w:r>
    </w:p>
    <w:p w14:paraId="4472169E">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10.</w:t>
      </w:r>
      <w:r>
        <w:rPr>
          <w:rFonts w:hint="eastAsia" w:ascii="仿宋" w:hAnsi="仿宋" w:eastAsia="仿宋" w:cs="仿宋"/>
          <w:b w:val="0"/>
          <w:bCs w:val="0"/>
          <w:color w:val="auto"/>
          <w:sz w:val="24"/>
          <w:szCs w:val="24"/>
          <w:highlight w:val="none"/>
        </w:rPr>
        <w:t>投标保证金打款凭证；</w:t>
      </w:r>
    </w:p>
    <w:p w14:paraId="193E0A84">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偏离表（格式见附件）；</w:t>
      </w:r>
    </w:p>
    <w:p w14:paraId="23A08767">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投标人反商业贿赂承诺书（格式见附件）；</w:t>
      </w:r>
    </w:p>
    <w:p w14:paraId="3DED0744">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无围标、串标等违法违规行为承诺书（格式见附件）；</w:t>
      </w:r>
    </w:p>
    <w:p w14:paraId="09127B22">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属于中小企业的投标人（申请享受中小企业扶持政策的）提供《中小企业声明函》，监狱企业提供《监狱企业声明函》及其相关的充分的证明材料，残疾人福利性单位提供《残疾人福利性单位声明函》及其相关的充分的证明材料；</w:t>
      </w:r>
    </w:p>
    <w:p w14:paraId="197D6A94">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虚假应标承担责任声明（统一格式）；</w:t>
      </w:r>
    </w:p>
    <w:p w14:paraId="19FD775E">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关于对本投标文件中资料真实性的承诺书；</w:t>
      </w:r>
    </w:p>
    <w:p w14:paraId="450C08BD">
      <w:pPr>
        <w:spacing w:line="300" w:lineRule="auto"/>
        <w:ind w:left="0" w:lef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000000"/>
          <w:sz w:val="24"/>
          <w:szCs w:val="24"/>
          <w:highlight w:val="none"/>
          <w:lang w:val="en-US" w:eastAsia="zh-CN"/>
        </w:rPr>
        <w:t>17.</w:t>
      </w:r>
      <w:r>
        <w:rPr>
          <w:rFonts w:hint="eastAsia" w:ascii="仿宋" w:hAnsi="仿宋" w:eastAsia="仿宋" w:cs="仿宋"/>
          <w:b w:val="0"/>
          <w:bCs w:val="0"/>
          <w:color w:val="auto"/>
          <w:sz w:val="24"/>
          <w:szCs w:val="24"/>
          <w:highlight w:val="none"/>
        </w:rPr>
        <w:t>投标人认为有必要提供的声明及文件资料；</w:t>
      </w:r>
    </w:p>
    <w:p w14:paraId="7542AD52">
      <w:pPr>
        <w:spacing w:line="30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技术部分：</w:t>
      </w:r>
    </w:p>
    <w:p w14:paraId="59A3BDCD">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1.实施</w:t>
      </w:r>
      <w:r>
        <w:rPr>
          <w:rFonts w:hint="eastAsia" w:ascii="仿宋" w:hAnsi="仿宋" w:eastAsia="仿宋" w:cs="仿宋"/>
          <w:bCs/>
          <w:color w:val="000000"/>
          <w:kern w:val="0"/>
          <w:sz w:val="24"/>
          <w:szCs w:val="24"/>
          <w:highlight w:val="none"/>
          <w:lang w:val="en-US" w:eastAsia="zh-CN"/>
        </w:rPr>
        <w:t>方案（</w:t>
      </w:r>
      <w:r>
        <w:rPr>
          <w:rFonts w:hint="eastAsia" w:ascii="仿宋" w:hAnsi="仿宋" w:eastAsia="仿宋" w:cs="仿宋"/>
          <w:color w:val="auto"/>
          <w:sz w:val="24"/>
          <w:szCs w:val="24"/>
          <w:highlight w:val="none"/>
          <w:lang w:val="en-US" w:eastAsia="zh-CN"/>
        </w:rPr>
        <w:t>投标人视需要自行编写）；</w:t>
      </w:r>
    </w:p>
    <w:p w14:paraId="1198B944">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bCs/>
          <w:color w:val="000000"/>
          <w:kern w:val="0"/>
          <w:sz w:val="24"/>
          <w:szCs w:val="24"/>
          <w:highlight w:val="none"/>
          <w:lang w:val="en-US" w:eastAsia="zh-CN"/>
        </w:rPr>
        <w:t>供货方案</w:t>
      </w:r>
      <w:r>
        <w:rPr>
          <w:rFonts w:hint="eastAsia" w:ascii="仿宋" w:hAnsi="仿宋" w:eastAsia="仿宋" w:cs="仿宋"/>
          <w:color w:val="auto"/>
          <w:sz w:val="24"/>
          <w:szCs w:val="24"/>
          <w:highlight w:val="none"/>
          <w:lang w:val="en-US" w:eastAsia="zh-CN"/>
        </w:rPr>
        <w:t>（投标人视需要自行编写）；</w:t>
      </w:r>
    </w:p>
    <w:p w14:paraId="3BEAD1FD">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3.售后</w:t>
      </w:r>
      <w:r>
        <w:rPr>
          <w:rFonts w:hint="eastAsia" w:ascii="仿宋" w:hAnsi="仿宋" w:eastAsia="仿宋" w:cs="仿宋"/>
          <w:bCs/>
          <w:color w:val="000000"/>
          <w:kern w:val="0"/>
          <w:sz w:val="24"/>
          <w:szCs w:val="24"/>
          <w:highlight w:val="none"/>
          <w:lang w:val="en-US" w:eastAsia="zh-CN"/>
        </w:rPr>
        <w:t>服务方案（</w:t>
      </w:r>
      <w:r>
        <w:rPr>
          <w:rFonts w:hint="eastAsia" w:ascii="仿宋" w:hAnsi="仿宋" w:eastAsia="仿宋" w:cs="仿宋"/>
          <w:color w:val="auto"/>
          <w:sz w:val="24"/>
          <w:szCs w:val="24"/>
          <w:highlight w:val="none"/>
          <w:lang w:val="en-US" w:eastAsia="zh-CN"/>
        </w:rPr>
        <w:t>投标人视需要自行编写）；</w:t>
      </w:r>
    </w:p>
    <w:p w14:paraId="43CD139B">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bCs/>
          <w:color w:val="000000"/>
          <w:kern w:val="0"/>
          <w:sz w:val="24"/>
          <w:szCs w:val="24"/>
          <w:highlight w:val="none"/>
          <w:lang w:val="en-US" w:eastAsia="zh-CN"/>
        </w:rPr>
        <w:t>应急方案（</w:t>
      </w:r>
      <w:r>
        <w:rPr>
          <w:rFonts w:hint="eastAsia" w:ascii="仿宋" w:hAnsi="仿宋" w:eastAsia="仿宋" w:cs="仿宋"/>
          <w:color w:val="auto"/>
          <w:sz w:val="24"/>
          <w:szCs w:val="24"/>
          <w:highlight w:val="none"/>
          <w:lang w:val="en-US" w:eastAsia="zh-CN"/>
        </w:rPr>
        <w:t>投标人视需要自行编写）；</w:t>
      </w:r>
    </w:p>
    <w:p w14:paraId="2A862B9E">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bCs/>
          <w:color w:val="000000"/>
          <w:kern w:val="0"/>
          <w:sz w:val="24"/>
          <w:szCs w:val="24"/>
          <w:highlight w:val="none"/>
          <w:lang w:val="en-US" w:eastAsia="zh-CN"/>
        </w:rPr>
        <w:t>培训方案</w:t>
      </w:r>
      <w:r>
        <w:rPr>
          <w:rFonts w:hint="eastAsia" w:ascii="仿宋" w:hAnsi="仿宋" w:eastAsia="仿宋" w:cs="仿宋"/>
          <w:color w:val="auto"/>
          <w:sz w:val="24"/>
          <w:szCs w:val="24"/>
          <w:highlight w:val="none"/>
          <w:lang w:val="en-US" w:eastAsia="zh-CN"/>
        </w:rPr>
        <w:t>（投标人视需要自行编写）；</w:t>
      </w:r>
    </w:p>
    <w:p w14:paraId="7ADA341F">
      <w:pPr>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6.其他有利于投标人的资料（如有）</w:t>
      </w:r>
    </w:p>
    <w:p w14:paraId="0A62B823">
      <w:pPr>
        <w:spacing w:line="300" w:lineRule="auto"/>
        <w:rPr>
          <w:rFonts w:hint="eastAsia" w:ascii="仿宋" w:hAnsi="仿宋" w:eastAsia="仿宋" w:cs="仿宋"/>
          <w:color w:val="auto"/>
          <w:sz w:val="24"/>
          <w:szCs w:val="24"/>
          <w:highlight w:val="none"/>
          <w:lang w:val="en-US" w:eastAsia="zh-CN"/>
        </w:rPr>
      </w:pPr>
    </w:p>
    <w:p w14:paraId="029B4B34">
      <w:pPr>
        <w:spacing w:line="300" w:lineRule="auto"/>
        <w:rPr>
          <w:rFonts w:hint="eastAsia" w:ascii="仿宋" w:hAnsi="仿宋" w:eastAsia="仿宋" w:cs="仿宋"/>
          <w:color w:val="auto"/>
          <w:sz w:val="24"/>
          <w:szCs w:val="24"/>
          <w:highlight w:val="none"/>
          <w:lang w:val="en-US" w:eastAsia="zh-CN"/>
        </w:rPr>
      </w:pPr>
    </w:p>
    <w:p w14:paraId="0BED53CC">
      <w:pPr>
        <w:spacing w:line="300" w:lineRule="auto"/>
        <w:rPr>
          <w:rFonts w:hint="eastAsia" w:ascii="宋体" w:hAnsi="宋体" w:eastAsia="宋体" w:cs="宋体"/>
          <w:color w:val="auto"/>
          <w:sz w:val="24"/>
          <w:szCs w:val="24"/>
          <w:highlight w:val="none"/>
          <w:lang w:eastAsia="zh-CN"/>
        </w:rPr>
        <w:sectPr>
          <w:headerReference r:id="rId15" w:type="default"/>
          <w:footerReference r:id="rId16" w:type="default"/>
          <w:type w:val="continuous"/>
          <w:pgSz w:w="11905" w:h="16838"/>
          <w:pgMar w:top="1304" w:right="964" w:bottom="1020" w:left="1191" w:header="567" w:footer="454" w:gutter="0"/>
          <w:pgNumType w:fmt="decimal"/>
          <w:cols w:space="720" w:num="1"/>
          <w:rtlGutter w:val="0"/>
          <w:docGrid w:type="lines" w:linePitch="317" w:charSpace="0"/>
        </w:sectPr>
      </w:pPr>
      <w:r>
        <w:rPr>
          <w:rFonts w:hint="eastAsia" w:ascii="仿宋" w:hAnsi="仿宋" w:eastAsia="仿宋" w:cs="仿宋"/>
          <w:color w:val="auto"/>
          <w:sz w:val="24"/>
          <w:szCs w:val="24"/>
          <w:highlight w:val="none"/>
          <w:lang w:val="en-US" w:eastAsia="zh-CN"/>
        </w:rPr>
        <w:t>注：1、投标文件必须制作有目录和页码</w:t>
      </w:r>
      <w:bookmarkStart w:id="568" w:name="_Toc26933"/>
      <w:r>
        <w:rPr>
          <w:rFonts w:hint="eastAsia" w:ascii="仿宋" w:hAnsi="仿宋" w:eastAsia="仿宋" w:cs="仿宋"/>
          <w:color w:val="auto"/>
          <w:sz w:val="24"/>
          <w:szCs w:val="24"/>
          <w:highlight w:val="none"/>
          <w:lang w:val="en-US" w:eastAsia="zh-CN"/>
        </w:rPr>
        <w:t>；2、只接受A4纸张大小的投标文件</w:t>
      </w:r>
      <w:bookmarkEnd w:id="568"/>
      <w:r>
        <w:rPr>
          <w:rFonts w:hint="eastAsia" w:ascii="仿宋" w:hAnsi="仿宋" w:eastAsia="仿宋" w:cs="仿宋"/>
          <w:color w:val="auto"/>
          <w:sz w:val="24"/>
          <w:szCs w:val="24"/>
          <w:highlight w:val="none"/>
          <w:lang w:val="en-US" w:eastAsia="zh-CN"/>
        </w:rPr>
        <w:t>；3、投标文件严格按要求制作。</w:t>
      </w:r>
    </w:p>
    <w:p w14:paraId="5F961F54">
      <w:pPr>
        <w:pStyle w:val="45"/>
        <w:jc w:val="center"/>
        <w:outlineLvl w:val="1"/>
        <w:rPr>
          <w:rFonts w:hint="eastAsia" w:ascii="仿宋" w:hAnsi="仿宋" w:eastAsia="仿宋" w:cs="仿宋"/>
          <w:b/>
          <w:bCs/>
          <w:color w:val="auto"/>
          <w:sz w:val="24"/>
          <w:szCs w:val="24"/>
          <w:lang w:val="en-US" w:eastAsia="zh-CN"/>
        </w:rPr>
      </w:pPr>
    </w:p>
    <w:p w14:paraId="4D1A5BB1">
      <w:pPr>
        <w:pStyle w:val="45"/>
        <w:jc w:val="center"/>
        <w:outlineLvl w:val="1"/>
        <w:rPr>
          <w:rFonts w:hint="eastAsia" w:ascii="仿宋" w:hAnsi="仿宋" w:eastAsia="仿宋" w:cs="仿宋"/>
          <w:b/>
          <w:bCs/>
          <w:color w:val="auto"/>
          <w:sz w:val="24"/>
          <w:szCs w:val="24"/>
          <w:lang w:val="en-US" w:eastAsia="zh-CN"/>
        </w:rPr>
      </w:pPr>
    </w:p>
    <w:p w14:paraId="324E43C8">
      <w:pPr>
        <w:pStyle w:val="45"/>
        <w:jc w:val="center"/>
        <w:outlineLvl w:val="1"/>
        <w:rPr>
          <w:rFonts w:hint="eastAsia" w:ascii="仿宋" w:hAnsi="仿宋" w:eastAsia="仿宋" w:cs="仿宋"/>
          <w:b/>
          <w:bCs/>
          <w:color w:val="auto"/>
          <w:sz w:val="24"/>
          <w:szCs w:val="24"/>
          <w:lang w:val="en-US" w:eastAsia="zh-CN"/>
        </w:rPr>
      </w:pPr>
    </w:p>
    <w:p w14:paraId="0983C89E">
      <w:pPr>
        <w:pStyle w:val="45"/>
        <w:jc w:val="center"/>
        <w:outlineLvl w:val="1"/>
        <w:rPr>
          <w:rFonts w:hint="eastAsia" w:ascii="仿宋" w:hAnsi="仿宋" w:eastAsia="仿宋" w:cs="仿宋"/>
          <w:b/>
          <w:bCs/>
          <w:color w:val="auto"/>
          <w:sz w:val="24"/>
          <w:szCs w:val="24"/>
          <w:lang w:val="en-US" w:eastAsia="zh-CN"/>
        </w:rPr>
      </w:pPr>
    </w:p>
    <w:p w14:paraId="5CE396AD">
      <w:pPr>
        <w:pStyle w:val="45"/>
        <w:jc w:val="center"/>
        <w:outlineLvl w:val="1"/>
        <w:rPr>
          <w:rFonts w:hint="eastAsia" w:ascii="仿宋" w:hAnsi="仿宋" w:eastAsia="仿宋" w:cs="仿宋"/>
          <w:b/>
          <w:bCs/>
          <w:color w:val="auto"/>
          <w:sz w:val="24"/>
          <w:szCs w:val="24"/>
          <w:lang w:val="en-US" w:eastAsia="zh-CN"/>
        </w:rPr>
      </w:pPr>
    </w:p>
    <w:p w14:paraId="340A1211">
      <w:pPr>
        <w:pStyle w:val="45"/>
        <w:jc w:val="center"/>
        <w:outlineLvl w:val="1"/>
        <w:rPr>
          <w:rFonts w:hint="eastAsia" w:ascii="仿宋" w:hAnsi="仿宋" w:eastAsia="仿宋" w:cs="仿宋"/>
          <w:b/>
          <w:bCs/>
          <w:color w:val="auto"/>
          <w:sz w:val="24"/>
          <w:szCs w:val="24"/>
          <w:lang w:val="en-US" w:eastAsia="zh-CN"/>
        </w:rPr>
      </w:pPr>
    </w:p>
    <w:p w14:paraId="1BDAB606">
      <w:pPr>
        <w:pStyle w:val="45"/>
        <w:jc w:val="center"/>
        <w:outlineLvl w:val="1"/>
        <w:rPr>
          <w:rFonts w:hint="eastAsia" w:ascii="仿宋" w:hAnsi="仿宋" w:eastAsia="仿宋" w:cs="仿宋"/>
          <w:b/>
          <w:bCs/>
          <w:color w:val="auto"/>
          <w:sz w:val="24"/>
          <w:szCs w:val="24"/>
          <w:lang w:val="en-US" w:eastAsia="zh-CN"/>
        </w:rPr>
      </w:pPr>
    </w:p>
    <w:p w14:paraId="49764C34">
      <w:pPr>
        <w:pStyle w:val="45"/>
        <w:jc w:val="center"/>
        <w:outlineLvl w:val="1"/>
        <w:rPr>
          <w:rFonts w:hint="eastAsia" w:ascii="仿宋" w:hAnsi="仿宋" w:eastAsia="仿宋" w:cs="仿宋"/>
          <w:b/>
          <w:bCs/>
          <w:color w:val="auto"/>
          <w:sz w:val="24"/>
          <w:szCs w:val="24"/>
          <w:lang w:val="en-US" w:eastAsia="zh-CN"/>
        </w:rPr>
      </w:pPr>
    </w:p>
    <w:p w14:paraId="4A6001E2">
      <w:pPr>
        <w:pStyle w:val="45"/>
        <w:jc w:val="center"/>
        <w:outlineLvl w:val="1"/>
        <w:rPr>
          <w:rFonts w:hint="eastAsia" w:ascii="仿宋" w:hAnsi="仿宋" w:eastAsia="仿宋" w:cs="仿宋"/>
          <w:b/>
          <w:bCs/>
          <w:color w:val="auto"/>
          <w:sz w:val="24"/>
          <w:szCs w:val="24"/>
          <w:lang w:val="en-US" w:eastAsia="zh-CN"/>
        </w:rPr>
      </w:pPr>
    </w:p>
    <w:p w14:paraId="6916151E">
      <w:pPr>
        <w:pStyle w:val="46"/>
        <w:ind w:left="0" w:leftChars="0" w:firstLine="0" w:firstLineChars="0"/>
        <w:rPr>
          <w:rFonts w:hint="eastAsia"/>
          <w:lang w:val="en-US" w:eastAsia="zh-CN"/>
        </w:rPr>
      </w:pPr>
    </w:p>
    <w:p w14:paraId="62707F9F">
      <w:pPr>
        <w:pStyle w:val="191"/>
        <w:widowControl/>
        <w:numPr>
          <w:ilvl w:val="0"/>
          <w:numId w:val="0"/>
        </w:numPr>
        <w:spacing w:before="100" w:beforeAutospacing="1" w:after="100" w:afterAutospacing="1"/>
        <w:ind w:left="-105" w:leftChars="-50"/>
        <w:jc w:val="both"/>
        <w:rPr>
          <w:rFonts w:hint="eastAsia" w:ascii="仿宋" w:hAnsi="仿宋" w:eastAsia="仿宋" w:cs="仿宋"/>
          <w:b/>
          <w:bCs w:val="0"/>
          <w:color w:val="auto"/>
          <w:kern w:val="2"/>
          <w:sz w:val="24"/>
          <w:szCs w:val="24"/>
          <w:lang w:val="en-US" w:eastAsia="zh-CN" w:bidi="ar-SA"/>
        </w:rPr>
      </w:pPr>
      <w:r>
        <w:rPr>
          <w:rFonts w:hint="eastAsia" w:ascii="仿宋" w:hAnsi="仿宋" w:eastAsia="仿宋" w:cs="仿宋"/>
          <w:b/>
          <w:bCs w:val="0"/>
          <w:color w:val="auto"/>
          <w:kern w:val="2"/>
          <w:sz w:val="24"/>
          <w:szCs w:val="24"/>
          <w:lang w:val="en-US" w:eastAsia="zh-CN" w:bidi="ar-SA"/>
        </w:rPr>
        <w:t>（一）投标函</w:t>
      </w:r>
    </w:p>
    <w:p w14:paraId="7125789D">
      <w:pPr>
        <w:numPr>
          <w:ilvl w:val="0"/>
          <w:numId w:val="0"/>
        </w:numPr>
        <w:spacing w:line="440" w:lineRule="exact"/>
        <w:jc w:val="center"/>
        <w:rPr>
          <w:rFonts w:hint="eastAsia" w:ascii="仿宋" w:hAnsi="仿宋" w:eastAsia="仿宋" w:cs="仿宋"/>
          <w:b/>
          <w:color w:val="auto"/>
          <w:sz w:val="28"/>
          <w:szCs w:val="28"/>
          <w:lang w:eastAsia="zh-CN"/>
        </w:rPr>
      </w:pPr>
      <w:r>
        <w:rPr>
          <w:rFonts w:hint="eastAsia" w:ascii="仿宋" w:hAnsi="仿宋" w:eastAsia="仿宋" w:cs="仿宋"/>
          <w:b/>
          <w:color w:val="auto"/>
          <w:sz w:val="28"/>
          <w:szCs w:val="28"/>
        </w:rPr>
        <w:t>投标</w:t>
      </w:r>
      <w:r>
        <w:rPr>
          <w:rFonts w:hint="eastAsia" w:ascii="仿宋" w:hAnsi="仿宋" w:eastAsia="仿宋" w:cs="仿宋"/>
          <w:b/>
          <w:color w:val="auto"/>
          <w:sz w:val="28"/>
          <w:szCs w:val="28"/>
          <w:lang w:eastAsia="zh-CN"/>
        </w:rPr>
        <w:t>函</w:t>
      </w:r>
    </w:p>
    <w:p w14:paraId="183BF962">
      <w:pPr>
        <w:pStyle w:val="38"/>
        <w:numPr>
          <w:ilvl w:val="0"/>
          <w:numId w:val="0"/>
        </w:numPr>
        <w:rPr>
          <w:rFonts w:hint="eastAsia" w:ascii="仿宋" w:hAnsi="仿宋" w:eastAsia="仿宋" w:cs="仿宋"/>
          <w:color w:val="auto"/>
          <w:sz w:val="24"/>
          <w:szCs w:val="24"/>
        </w:rPr>
      </w:pPr>
    </w:p>
    <w:p w14:paraId="4BF3ED07">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采购</w:t>
      </w:r>
      <w:r>
        <w:rPr>
          <w:rFonts w:hint="eastAsia" w:ascii="仿宋" w:hAnsi="仿宋" w:eastAsia="仿宋" w:cs="仿宋"/>
          <w:color w:val="auto"/>
          <w:sz w:val="24"/>
          <w:szCs w:val="24"/>
        </w:rPr>
        <w:t>人：：</w:t>
      </w:r>
    </w:p>
    <w:p w14:paraId="0DB7A8E1">
      <w:pPr>
        <w:adjustRightInd w:val="0"/>
        <w:snapToGrid w:val="0"/>
        <w:spacing w:line="360" w:lineRule="auto"/>
        <w:ind w:left="0"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我们收到你们的</w:t>
      </w:r>
      <w:r>
        <w:rPr>
          <w:rFonts w:hint="eastAsia" w:ascii="仿宋" w:hAnsi="仿宋" w:eastAsia="仿宋" w:cs="仿宋"/>
          <w:color w:val="auto"/>
          <w:sz w:val="24"/>
          <w:szCs w:val="24"/>
          <w:u w:val="single"/>
        </w:rPr>
        <w:t>（项目名称）（项目编号：）</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文件，经认真研究，我们决定参加本次</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活动。</w:t>
      </w:r>
    </w:p>
    <w:p w14:paraId="0F0C155C">
      <w:pPr>
        <w:numPr>
          <w:ilvl w:val="0"/>
          <w:numId w:val="8"/>
        </w:numPr>
        <w:adjustRightInd w:val="0"/>
        <w:snapToGrid w:val="0"/>
        <w:spacing w:line="360" w:lineRule="auto"/>
        <w:ind w:firstLine="480" w:firstLineChars="200"/>
        <w:outlineLvl w:val="2"/>
        <w:rPr>
          <w:rFonts w:hint="eastAsia" w:ascii="仿宋" w:hAnsi="仿宋" w:eastAsia="仿宋" w:cs="仿宋"/>
          <w:color w:val="auto"/>
          <w:sz w:val="24"/>
          <w:szCs w:val="24"/>
        </w:rPr>
      </w:pPr>
      <w:bookmarkStart w:id="569" w:name="_Toc15514"/>
      <w:r>
        <w:rPr>
          <w:rFonts w:hint="eastAsia" w:ascii="仿宋" w:hAnsi="仿宋" w:eastAsia="仿宋" w:cs="仿宋"/>
          <w:color w:val="auto"/>
          <w:sz w:val="24"/>
          <w:szCs w:val="24"/>
        </w:rPr>
        <w:t>按照</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中的一切要求，提供招标的相关服务。</w:t>
      </w:r>
      <w:bookmarkEnd w:id="569"/>
    </w:p>
    <w:p w14:paraId="468F3F5F">
      <w:pPr>
        <w:numPr>
          <w:ilvl w:val="0"/>
          <w:numId w:val="0"/>
        </w:numPr>
        <w:adjustRightInd w:val="0"/>
        <w:snapToGrid w:val="0"/>
        <w:spacing w:line="360" w:lineRule="auto"/>
        <w:ind w:firstLine="964" w:firstLineChars="400"/>
        <w:rPr>
          <w:rFonts w:hint="eastAsia"/>
        </w:rPr>
      </w:pPr>
      <w:r>
        <w:rPr>
          <w:rFonts w:hint="eastAsia" w:ascii="仿宋" w:hAnsi="仿宋" w:eastAsia="仿宋" w:cs="仿宋"/>
          <w:b/>
          <w:bCs/>
          <w:color w:val="auto"/>
          <w:sz w:val="24"/>
          <w:szCs w:val="24"/>
          <w:lang w:val="en-US" w:eastAsia="zh-CN"/>
        </w:rPr>
        <w:t>报价：小写：</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rPr>
        <w:t>元</w:t>
      </w:r>
      <w:r>
        <w:rPr>
          <w:rFonts w:hint="eastAsia"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rPr>
        <w:t>大写：</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rPr>
        <w:t>。</w:t>
      </w:r>
    </w:p>
    <w:p w14:paraId="4832D5BC">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如果我们的投标文件被接受，我们将履行</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中规定的每一项义务和要求，按期、按质、按量完成</w:t>
      </w:r>
      <w:r>
        <w:rPr>
          <w:rFonts w:hint="eastAsia" w:ascii="仿宋" w:hAnsi="仿宋" w:eastAsia="仿宋" w:cs="仿宋"/>
          <w:color w:val="auto"/>
          <w:sz w:val="24"/>
          <w:szCs w:val="24"/>
          <w:lang w:val="en-US" w:eastAsia="zh-CN"/>
        </w:rPr>
        <w:t>本次服务</w:t>
      </w:r>
      <w:r>
        <w:rPr>
          <w:rFonts w:hint="eastAsia" w:ascii="仿宋" w:hAnsi="仿宋" w:eastAsia="仿宋" w:cs="仿宋"/>
          <w:color w:val="auto"/>
          <w:sz w:val="24"/>
          <w:szCs w:val="24"/>
        </w:rPr>
        <w:t>。</w:t>
      </w:r>
    </w:p>
    <w:p w14:paraId="04D41161">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我们同意按</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文件的规定，本投标文件的有效期为</w:t>
      </w:r>
      <w:r>
        <w:rPr>
          <w:rFonts w:hint="eastAsia" w:ascii="仿宋" w:hAnsi="仿宋" w:eastAsia="仿宋" w:cs="仿宋"/>
          <w:color w:val="auto"/>
          <w:sz w:val="24"/>
          <w:szCs w:val="24"/>
          <w:lang w:val="en-US" w:eastAsia="zh-CN"/>
        </w:rPr>
        <w:t>90</w:t>
      </w:r>
      <w:r>
        <w:rPr>
          <w:rFonts w:hint="eastAsia" w:ascii="仿宋" w:hAnsi="仿宋" w:eastAsia="仿宋" w:cs="仿宋"/>
          <w:color w:val="auto"/>
          <w:sz w:val="24"/>
          <w:szCs w:val="24"/>
        </w:rPr>
        <w:t>天。</w:t>
      </w:r>
    </w:p>
    <w:p w14:paraId="24741D2D">
      <w:pPr>
        <w:adjustRightInd w:val="0"/>
        <w:snapToGrid w:val="0"/>
        <w:spacing w:line="360" w:lineRule="auto"/>
        <w:ind w:firstLine="480" w:firstLineChars="200"/>
        <w:outlineLvl w:val="2"/>
        <w:rPr>
          <w:rFonts w:hint="eastAsia" w:ascii="仿宋" w:hAnsi="仿宋" w:eastAsia="仿宋" w:cs="仿宋"/>
          <w:color w:val="auto"/>
          <w:sz w:val="24"/>
          <w:szCs w:val="24"/>
        </w:rPr>
      </w:pPr>
      <w:bookmarkStart w:id="570" w:name="_Toc29996"/>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我们愿意提供招标人在</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文件中要求的所有资料。</w:t>
      </w:r>
      <w:bookmarkEnd w:id="570"/>
    </w:p>
    <w:p w14:paraId="2D372917">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我们认为你们有选择或拒绝任何投标者中标的</w:t>
      </w:r>
      <w:r>
        <w:rPr>
          <w:rFonts w:hint="eastAsia" w:ascii="仿宋" w:hAnsi="仿宋" w:eastAsia="仿宋" w:cs="仿宋"/>
          <w:color w:val="auto"/>
          <w:sz w:val="24"/>
          <w:szCs w:val="24"/>
          <w:lang w:eastAsia="zh-CN"/>
        </w:rPr>
        <w:t>权利</w:t>
      </w:r>
      <w:r>
        <w:rPr>
          <w:rFonts w:hint="eastAsia" w:ascii="仿宋" w:hAnsi="仿宋" w:eastAsia="仿宋" w:cs="仿宋"/>
          <w:color w:val="auto"/>
          <w:sz w:val="24"/>
          <w:szCs w:val="24"/>
        </w:rPr>
        <w:t>。我们理解，最低报价不是中标的唯一条件。</w:t>
      </w:r>
    </w:p>
    <w:p w14:paraId="2C16C3A4">
      <w:pPr>
        <w:adjustRightInd w:val="0"/>
        <w:snapToGrid w:val="0"/>
        <w:spacing w:line="360" w:lineRule="auto"/>
        <w:ind w:firstLine="480" w:firstLineChars="200"/>
        <w:outlineLvl w:val="2"/>
        <w:rPr>
          <w:rFonts w:hint="eastAsia" w:ascii="仿宋" w:hAnsi="仿宋" w:eastAsia="仿宋" w:cs="仿宋"/>
          <w:color w:val="auto"/>
          <w:sz w:val="24"/>
          <w:szCs w:val="24"/>
        </w:rPr>
      </w:pPr>
      <w:bookmarkStart w:id="571" w:name="_Toc19169"/>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我们愿按</w:t>
      </w:r>
      <w:r>
        <w:rPr>
          <w:rFonts w:hint="eastAsia" w:ascii="仿宋" w:hAnsi="仿宋" w:eastAsia="仿宋" w:cs="仿宋"/>
          <w:color w:val="auto"/>
          <w:sz w:val="24"/>
          <w:szCs w:val="24"/>
          <w:lang w:eastAsia="zh-CN"/>
        </w:rPr>
        <w:t>中华人民共和国民法典</w:t>
      </w:r>
      <w:r>
        <w:rPr>
          <w:rFonts w:hint="eastAsia" w:ascii="仿宋" w:hAnsi="仿宋" w:eastAsia="仿宋" w:cs="仿宋"/>
          <w:color w:val="auto"/>
          <w:sz w:val="24"/>
          <w:szCs w:val="24"/>
        </w:rPr>
        <w:t>履行自己的全部责任。</w:t>
      </w:r>
      <w:bookmarkEnd w:id="571"/>
    </w:p>
    <w:p w14:paraId="60EC194C">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7.</w:t>
      </w:r>
      <w:r>
        <w:rPr>
          <w:rFonts w:hint="eastAsia" w:ascii="仿宋" w:hAnsi="仿宋" w:eastAsia="仿宋" w:cs="仿宋"/>
          <w:color w:val="auto"/>
          <w:sz w:val="24"/>
          <w:szCs w:val="24"/>
        </w:rPr>
        <w:t>我们愿意遵守国家有关规定和</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文件中规定的收费标准，承付中标服务费。</w:t>
      </w:r>
    </w:p>
    <w:p w14:paraId="6F96C31D">
      <w:pPr>
        <w:adjustRightInd w:val="0"/>
        <w:snapToGrid w:val="0"/>
        <w:spacing w:line="360" w:lineRule="auto"/>
        <w:ind w:firstLine="480" w:firstLineChars="200"/>
        <w:outlineLvl w:val="2"/>
        <w:rPr>
          <w:rFonts w:hint="eastAsia" w:ascii="仿宋" w:hAnsi="仿宋" w:eastAsia="仿宋" w:cs="仿宋"/>
          <w:color w:val="auto"/>
          <w:sz w:val="24"/>
          <w:szCs w:val="24"/>
        </w:rPr>
      </w:pPr>
      <w:bookmarkStart w:id="572" w:name="_Toc17525"/>
      <w:r>
        <w:rPr>
          <w:rFonts w:hint="eastAsia" w:ascii="仿宋" w:hAnsi="仿宋" w:eastAsia="仿宋" w:cs="仿宋"/>
          <w:color w:val="auto"/>
          <w:sz w:val="24"/>
          <w:szCs w:val="24"/>
          <w:lang w:eastAsia="zh-CN"/>
        </w:rPr>
        <w:t>8.</w:t>
      </w:r>
      <w:r>
        <w:rPr>
          <w:rFonts w:hint="eastAsia" w:ascii="仿宋" w:hAnsi="仿宋" w:eastAsia="仿宋" w:cs="仿宋"/>
          <w:color w:val="auto"/>
          <w:sz w:val="24"/>
          <w:szCs w:val="24"/>
        </w:rPr>
        <w:t>该项投标在开标后的全过程中保持有效，不作任何更改和变动。</w:t>
      </w:r>
      <w:bookmarkEnd w:id="572"/>
    </w:p>
    <w:p w14:paraId="34D5D671">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9.</w:t>
      </w:r>
      <w:r>
        <w:rPr>
          <w:rFonts w:hint="eastAsia" w:ascii="仿宋" w:hAnsi="仿宋" w:eastAsia="仿宋" w:cs="仿宋"/>
          <w:color w:val="auto"/>
          <w:sz w:val="24"/>
          <w:szCs w:val="24"/>
        </w:rPr>
        <w:t>我们同意按</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文件规定，交纳元的投标保证金。</w:t>
      </w:r>
    </w:p>
    <w:p w14:paraId="230BB42A">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10.其他</w:t>
      </w:r>
      <w:r>
        <w:rPr>
          <w:rFonts w:hint="eastAsia" w:ascii="仿宋" w:hAnsi="仿宋" w:eastAsia="仿宋" w:cs="仿宋"/>
          <w:color w:val="auto"/>
          <w:sz w:val="24"/>
          <w:szCs w:val="24"/>
        </w:rPr>
        <w:t>说明。</w:t>
      </w:r>
    </w:p>
    <w:p w14:paraId="60D35BFF">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11.</w:t>
      </w:r>
      <w:r>
        <w:rPr>
          <w:rFonts w:hint="eastAsia" w:ascii="仿宋" w:hAnsi="仿宋" w:eastAsia="仿宋" w:cs="仿宋"/>
          <w:color w:val="auto"/>
          <w:sz w:val="24"/>
          <w:szCs w:val="24"/>
        </w:rPr>
        <w:t>所有有关本标书的函电，请按下列地址联系：</w:t>
      </w:r>
    </w:p>
    <w:p w14:paraId="45D9A72E">
      <w:pPr>
        <w:adjustRightInd w:val="0"/>
        <w:snapToGrid w:val="0"/>
        <w:spacing w:line="360" w:lineRule="auto"/>
        <w:ind w:firstLine="480" w:firstLineChars="200"/>
        <w:rPr>
          <w:rFonts w:hint="eastAsia" w:ascii="仿宋" w:hAnsi="仿宋" w:eastAsia="仿宋" w:cs="仿宋"/>
          <w:color w:val="auto"/>
          <w:sz w:val="24"/>
          <w:szCs w:val="24"/>
          <w:u w:val="single"/>
          <w:lang w:eastAsia="zh-CN"/>
        </w:rPr>
      </w:pPr>
      <w:r>
        <w:rPr>
          <w:rFonts w:hint="eastAsia" w:ascii="仿宋" w:hAnsi="仿宋" w:eastAsia="仿宋" w:cs="仿宋"/>
          <w:color w:val="auto"/>
          <w:sz w:val="24"/>
          <w:szCs w:val="24"/>
        </w:rPr>
        <w:t>投标单位：</w:t>
      </w:r>
      <w:r>
        <w:rPr>
          <w:rFonts w:hint="eastAsia" w:ascii="仿宋" w:hAnsi="仿宋" w:eastAsia="仿宋" w:cs="仿宋"/>
          <w:color w:val="auto"/>
          <w:sz w:val="24"/>
          <w:szCs w:val="24"/>
          <w:u w:val="none"/>
        </w:rPr>
        <w:t>（</w:t>
      </w:r>
      <w:r>
        <w:rPr>
          <w:rFonts w:hint="eastAsia" w:ascii="仿宋" w:hAnsi="仿宋" w:eastAsia="仿宋" w:cs="仿宋"/>
          <w:color w:val="auto"/>
          <w:sz w:val="24"/>
          <w:szCs w:val="24"/>
          <w:u w:val="none"/>
          <w:lang w:eastAsia="zh-CN"/>
        </w:rPr>
        <w:t>盖章</w:t>
      </w:r>
      <w:r>
        <w:rPr>
          <w:rFonts w:hint="eastAsia" w:ascii="仿宋" w:hAnsi="仿宋" w:eastAsia="仿宋" w:cs="仿宋"/>
          <w:color w:val="auto"/>
          <w:sz w:val="24"/>
          <w:szCs w:val="24"/>
          <w:u w:val="none"/>
        </w:rPr>
        <w:t>）</w:t>
      </w:r>
    </w:p>
    <w:p w14:paraId="7C79D88C">
      <w:pPr>
        <w:adjustRightInd w:val="0"/>
        <w:snapToGrid w:val="0"/>
        <w:spacing w:line="360" w:lineRule="auto"/>
        <w:ind w:firstLine="480" w:firstLineChars="200"/>
        <w:rPr>
          <w:rFonts w:hint="eastAsia" w:ascii="仿宋" w:hAnsi="仿宋" w:eastAsia="仿宋" w:cs="仿宋"/>
          <w:color w:val="auto"/>
          <w:sz w:val="24"/>
          <w:szCs w:val="24"/>
          <w:u w:val="single"/>
        </w:rPr>
      </w:pPr>
      <w:r>
        <w:rPr>
          <w:rFonts w:hint="eastAsia" w:ascii="仿宋" w:hAnsi="仿宋" w:eastAsia="仿宋" w:cs="仿宋"/>
          <w:color w:val="auto"/>
          <w:sz w:val="24"/>
          <w:szCs w:val="24"/>
        </w:rPr>
        <w:t>法定代表人（签字</w:t>
      </w:r>
      <w:r>
        <w:rPr>
          <w:rFonts w:hint="eastAsia" w:ascii="仿宋" w:hAnsi="仿宋" w:eastAsia="仿宋" w:cs="仿宋"/>
          <w:color w:val="auto"/>
          <w:sz w:val="24"/>
          <w:szCs w:val="24"/>
          <w:lang w:val="en-US" w:eastAsia="zh-CN"/>
        </w:rPr>
        <w:t>或</w:t>
      </w:r>
      <w:r>
        <w:rPr>
          <w:rFonts w:hint="eastAsia" w:ascii="仿宋" w:hAnsi="仿宋" w:eastAsia="仿宋" w:cs="仿宋"/>
          <w:color w:val="auto"/>
          <w:sz w:val="24"/>
          <w:szCs w:val="24"/>
        </w:rPr>
        <w:t>盖章）：</w:t>
      </w:r>
    </w:p>
    <w:p w14:paraId="7946C763">
      <w:pPr>
        <w:adjustRightInd w:val="0"/>
        <w:snapToGrid w:val="0"/>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地址：</w:t>
      </w:r>
    </w:p>
    <w:p w14:paraId="329519C5">
      <w:pPr>
        <w:adjustRightInd w:val="0"/>
        <w:snapToGrid w:val="0"/>
        <w:spacing w:line="360" w:lineRule="auto"/>
        <w:ind w:firstLine="480" w:firstLineChars="200"/>
        <w:rPr>
          <w:rFonts w:hint="eastAsia" w:ascii="仿宋" w:hAnsi="仿宋" w:eastAsia="仿宋" w:cs="仿宋"/>
          <w:b/>
          <w:bCs/>
          <w:color w:val="auto"/>
          <w:sz w:val="24"/>
          <w:szCs w:val="24"/>
          <w:lang w:eastAsia="zh-CN"/>
        </w:rPr>
      </w:pPr>
      <w:r>
        <w:rPr>
          <w:rFonts w:hint="eastAsia" w:ascii="仿宋" w:hAnsi="仿宋" w:eastAsia="仿宋" w:cs="仿宋"/>
          <w:color w:val="auto"/>
          <w:sz w:val="24"/>
          <w:szCs w:val="24"/>
        </w:rPr>
        <w:t>联系人：</w:t>
      </w:r>
    </w:p>
    <w:p w14:paraId="0A2AC188">
      <w:pPr>
        <w:adjustRightInd w:val="0"/>
        <w:snapToGrid w:val="0"/>
        <w:spacing w:line="360" w:lineRule="auto"/>
        <w:ind w:firstLine="480" w:firstLineChars="200"/>
        <w:rPr>
          <w:rFonts w:hint="eastAsia" w:ascii="仿宋" w:hAnsi="仿宋" w:eastAsia="仿宋" w:cs="仿宋"/>
          <w:b/>
          <w:bCs/>
          <w:color w:val="auto"/>
          <w:sz w:val="24"/>
          <w:szCs w:val="24"/>
          <w:lang w:eastAsia="zh-CN"/>
        </w:rPr>
      </w:pPr>
      <w:r>
        <w:rPr>
          <w:rFonts w:hint="eastAsia" w:ascii="仿宋" w:hAnsi="仿宋" w:eastAsia="仿宋" w:cs="仿宋"/>
          <w:color w:val="auto"/>
          <w:sz w:val="24"/>
          <w:szCs w:val="24"/>
        </w:rPr>
        <w:t>电话：</w:t>
      </w:r>
    </w:p>
    <w:p w14:paraId="0E65B4F0">
      <w:pPr>
        <w:adjustRightInd w:val="0"/>
        <w:snapToGrid w:val="0"/>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传真：</w:t>
      </w:r>
    </w:p>
    <w:p w14:paraId="1669C9DD">
      <w:pPr>
        <w:adjustRightInd w:val="0"/>
        <w:snapToGrid w:val="0"/>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邮政编码：</w:t>
      </w:r>
    </w:p>
    <w:p w14:paraId="0A319C90">
      <w:pPr>
        <w:pStyle w:val="191"/>
        <w:widowControl/>
        <w:numPr>
          <w:ilvl w:val="0"/>
          <w:numId w:val="0"/>
        </w:numPr>
        <w:spacing w:before="100" w:beforeAutospacing="1" w:after="100" w:afterAutospacing="1"/>
        <w:jc w:val="righ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日期：</w:t>
      </w:r>
      <w:r>
        <w:rPr>
          <w:rFonts w:hint="eastAsia" w:ascii="仿宋" w:hAnsi="仿宋" w:eastAsia="仿宋" w:cs="仿宋"/>
          <w:color w:val="auto"/>
          <w:sz w:val="24"/>
          <w:szCs w:val="24"/>
        </w:rPr>
        <w:t>年月日</w:t>
      </w:r>
    </w:p>
    <w:p w14:paraId="15A513C5">
      <w:pPr>
        <w:pStyle w:val="191"/>
        <w:widowControl/>
        <w:numPr>
          <w:ilvl w:val="0"/>
          <w:numId w:val="0"/>
        </w:numPr>
        <w:spacing w:before="100" w:beforeAutospacing="1" w:after="100" w:afterAutospacing="1"/>
        <w:jc w:val="right"/>
        <w:rPr>
          <w:rFonts w:hint="eastAsia" w:ascii="仿宋" w:hAnsi="仿宋" w:eastAsia="仿宋" w:cs="仿宋"/>
          <w:color w:val="auto"/>
          <w:sz w:val="24"/>
          <w:szCs w:val="24"/>
        </w:rPr>
      </w:pPr>
    </w:p>
    <w:p w14:paraId="5AA63756">
      <w:pPr>
        <w:pStyle w:val="191"/>
        <w:widowControl/>
        <w:numPr>
          <w:ilvl w:val="0"/>
          <w:numId w:val="0"/>
        </w:numPr>
        <w:spacing w:before="100" w:beforeAutospacing="1" w:after="100" w:afterAutospacing="1"/>
        <w:jc w:val="right"/>
        <w:rPr>
          <w:rFonts w:hint="eastAsia" w:ascii="仿宋" w:hAnsi="仿宋" w:eastAsia="仿宋" w:cs="仿宋"/>
          <w:color w:val="auto"/>
          <w:sz w:val="24"/>
          <w:szCs w:val="24"/>
        </w:rPr>
      </w:pPr>
    </w:p>
    <w:p w14:paraId="54433CDE">
      <w:pPr>
        <w:pStyle w:val="191"/>
        <w:widowControl/>
        <w:numPr>
          <w:ilvl w:val="0"/>
          <w:numId w:val="0"/>
        </w:numPr>
        <w:spacing w:before="100" w:beforeAutospacing="1" w:after="100" w:afterAutospacing="1"/>
        <w:ind w:left="-105" w:leftChars="-50" w:firstLine="0" w:firstLineChars="0"/>
        <w:jc w:val="both"/>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bidi="ar-SA"/>
        </w:rPr>
        <w:t>（二）</w:t>
      </w:r>
      <w:r>
        <w:rPr>
          <w:rFonts w:hint="eastAsia" w:ascii="仿宋" w:hAnsi="仿宋" w:eastAsia="仿宋" w:cs="仿宋"/>
          <w:b/>
          <w:bCs/>
          <w:color w:val="auto"/>
          <w:sz w:val="24"/>
          <w:szCs w:val="24"/>
          <w:lang w:val="en-US" w:eastAsia="zh-CN"/>
        </w:rPr>
        <w:t>开标一览表</w:t>
      </w:r>
    </w:p>
    <w:p w14:paraId="2B7EA7A2">
      <w:pPr>
        <w:numPr>
          <w:ilvl w:val="0"/>
          <w:numId w:val="0"/>
        </w:numPr>
        <w:spacing w:line="440" w:lineRule="exact"/>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开标一览表</w:t>
      </w:r>
    </w:p>
    <w:p w14:paraId="7B58D23C">
      <w:pPr>
        <w:pStyle w:val="141"/>
        <w:rPr>
          <w:rFonts w:hint="eastAsia" w:ascii="仿宋" w:hAnsi="仿宋" w:eastAsia="仿宋" w:cs="仿宋"/>
          <w:color w:val="auto"/>
          <w:sz w:val="24"/>
          <w:szCs w:val="24"/>
          <w:highlight w:val="none"/>
        </w:rPr>
      </w:pPr>
    </w:p>
    <w:p w14:paraId="611435A8">
      <w:pPr>
        <w:pStyle w:val="141"/>
        <w:rPr>
          <w:rFonts w:hint="eastAsia" w:ascii="仿宋" w:hAnsi="仿宋" w:eastAsia="仿宋" w:cs="仿宋"/>
          <w:color w:val="auto"/>
          <w:sz w:val="24"/>
          <w:szCs w:val="24"/>
          <w:highlight w:val="none"/>
        </w:rPr>
      </w:pPr>
    </w:p>
    <w:p w14:paraId="5FB4A22E">
      <w:pPr>
        <w:spacing w:line="370" w:lineRule="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项目名称：</w:t>
      </w:r>
    </w:p>
    <w:p w14:paraId="53C3FEFA">
      <w:pPr>
        <w:spacing w:before="227" w:line="185" w:lineRule="auto"/>
        <w:ind w:firstLine="617"/>
        <w:rPr>
          <w:rFonts w:hint="eastAsia" w:ascii="仿宋" w:hAnsi="仿宋" w:eastAsia="仿宋" w:cs="仿宋"/>
          <w:color w:val="auto"/>
          <w:spacing w:val="1"/>
          <w:sz w:val="24"/>
          <w:szCs w:val="24"/>
          <w:highlight w:val="none"/>
          <w:u w:val="single" w:color="auto"/>
          <w:lang w:eastAsia="zh-CN"/>
        </w:rPr>
      </w:pPr>
      <w:r>
        <w:rPr>
          <w:rFonts w:hint="eastAsia" w:ascii="仿宋" w:hAnsi="仿宋" w:eastAsia="仿宋" w:cs="仿宋"/>
          <w:color w:val="auto"/>
          <w:sz w:val="24"/>
          <w:szCs w:val="24"/>
          <w:highlight w:val="none"/>
        </w:rPr>
        <w:t>项目编号：</w:t>
      </w:r>
    </w:p>
    <w:p w14:paraId="1E7F2D8E">
      <w:pPr>
        <w:spacing w:line="100" w:lineRule="exact"/>
        <w:rPr>
          <w:rFonts w:hint="eastAsia" w:ascii="仿宋" w:hAnsi="仿宋" w:eastAsia="仿宋" w:cs="仿宋"/>
          <w:color w:val="auto"/>
          <w:sz w:val="24"/>
          <w:szCs w:val="24"/>
          <w:highlight w:val="none"/>
        </w:rPr>
      </w:pPr>
    </w:p>
    <w:tbl>
      <w:tblPr>
        <w:tblStyle w:val="75"/>
        <w:tblW w:w="1035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7"/>
        <w:gridCol w:w="2130"/>
        <w:gridCol w:w="4325"/>
        <w:gridCol w:w="2614"/>
        <w:gridCol w:w="687"/>
      </w:tblGrid>
      <w:tr w14:paraId="788DC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4" w:hRule="atLeast"/>
          <w:jc w:val="center"/>
        </w:trPr>
        <w:tc>
          <w:tcPr>
            <w:tcW w:w="597" w:type="dxa"/>
            <w:tcBorders>
              <w:top w:val="single" w:color="auto" w:sz="4" w:space="0"/>
              <w:left w:val="single" w:color="auto" w:sz="4" w:space="0"/>
              <w:right w:val="single" w:color="auto" w:sz="4" w:space="0"/>
            </w:tcBorders>
            <w:noWrap w:val="0"/>
            <w:vAlign w:val="center"/>
          </w:tcPr>
          <w:p w14:paraId="11EA4BF7">
            <w:pPr>
              <w:keepNext w:val="0"/>
              <w:keepLines w:val="0"/>
              <w:widowControl/>
              <w:suppressLineNumbers w:val="0"/>
              <w:jc w:val="right"/>
              <w:textAlignment w:val="center"/>
              <w:rPr>
                <w:rFonts w:hint="eastAsia" w:ascii="宋体" w:hAnsi="宋体"/>
                <w:color w:val="auto"/>
                <w:sz w:val="21"/>
                <w:szCs w:val="21"/>
                <w:highlight w:val="none"/>
              </w:rPr>
            </w:pPr>
            <w:r>
              <w:rPr>
                <w:rFonts w:hint="eastAsia" w:ascii="宋体" w:hAnsi="宋体"/>
                <w:b/>
                <w:color w:val="auto"/>
                <w:sz w:val="21"/>
                <w:szCs w:val="21"/>
                <w:highlight w:val="none"/>
              </w:rPr>
              <w:t>序号</w:t>
            </w:r>
          </w:p>
        </w:tc>
        <w:tc>
          <w:tcPr>
            <w:tcW w:w="2130" w:type="dxa"/>
            <w:tcBorders>
              <w:top w:val="single" w:color="auto" w:sz="4" w:space="0"/>
              <w:left w:val="single" w:color="auto" w:sz="4" w:space="0"/>
              <w:right w:val="single" w:color="auto" w:sz="4" w:space="0"/>
            </w:tcBorders>
            <w:noWrap w:val="0"/>
            <w:vAlign w:val="center"/>
          </w:tcPr>
          <w:p w14:paraId="0973208A">
            <w:pPr>
              <w:snapToGrid w:val="0"/>
              <w:spacing w:line="240" w:lineRule="auto"/>
              <w:jc w:val="center"/>
              <w:rPr>
                <w:rFonts w:hint="eastAsia" w:ascii="宋体" w:hAnsi="宋体"/>
                <w:color w:val="auto"/>
                <w:sz w:val="21"/>
                <w:szCs w:val="21"/>
                <w:highlight w:val="none"/>
              </w:rPr>
            </w:pPr>
            <w:r>
              <w:rPr>
                <w:rFonts w:hint="eastAsia" w:ascii="宋体" w:hAnsi="宋体"/>
                <w:color w:val="auto"/>
                <w:sz w:val="21"/>
                <w:szCs w:val="21"/>
                <w:highlight w:val="none"/>
                <w:lang w:eastAsia="zh-CN"/>
              </w:rPr>
              <w:t>投标人</w:t>
            </w:r>
            <w:r>
              <w:rPr>
                <w:rFonts w:hint="eastAsia" w:ascii="宋体" w:hAnsi="宋体"/>
                <w:color w:val="auto"/>
                <w:sz w:val="21"/>
                <w:szCs w:val="21"/>
                <w:highlight w:val="none"/>
              </w:rPr>
              <w:t>名称</w:t>
            </w:r>
          </w:p>
        </w:tc>
        <w:tc>
          <w:tcPr>
            <w:tcW w:w="4325" w:type="dxa"/>
            <w:tcBorders>
              <w:top w:val="single" w:color="auto" w:sz="4" w:space="0"/>
              <w:left w:val="single" w:color="auto" w:sz="4" w:space="0"/>
              <w:right w:val="single" w:color="auto" w:sz="4" w:space="0"/>
            </w:tcBorders>
            <w:noWrap w:val="0"/>
            <w:vAlign w:val="center"/>
          </w:tcPr>
          <w:p w14:paraId="0E565F16">
            <w:pPr>
              <w:snapToGrid w:val="0"/>
              <w:spacing w:line="400" w:lineRule="exact"/>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采购内容</w:t>
            </w:r>
          </w:p>
        </w:tc>
        <w:tc>
          <w:tcPr>
            <w:tcW w:w="2614" w:type="dxa"/>
            <w:tcBorders>
              <w:top w:val="single" w:color="auto" w:sz="4" w:space="0"/>
              <w:left w:val="single" w:color="auto" w:sz="4" w:space="0"/>
              <w:bottom w:val="single" w:color="auto" w:sz="4" w:space="0"/>
              <w:right w:val="single" w:color="auto" w:sz="4" w:space="0"/>
            </w:tcBorders>
            <w:noWrap w:val="0"/>
            <w:vAlign w:val="center"/>
          </w:tcPr>
          <w:p w14:paraId="0D933F6F">
            <w:pPr>
              <w:snapToGrid w:val="0"/>
              <w:spacing w:line="400" w:lineRule="exact"/>
              <w:jc w:val="center"/>
              <w:rPr>
                <w:rFonts w:hint="default" w:ascii="宋体" w:hAnsi="宋体"/>
                <w:color w:val="auto"/>
                <w:sz w:val="21"/>
                <w:szCs w:val="21"/>
                <w:highlight w:val="none"/>
                <w:lang w:val="en-US"/>
              </w:rPr>
            </w:pPr>
            <w:r>
              <w:rPr>
                <w:rFonts w:hint="eastAsia" w:ascii="宋体" w:hAnsi="宋体"/>
                <w:color w:val="auto"/>
                <w:sz w:val="21"/>
                <w:szCs w:val="21"/>
                <w:highlight w:val="none"/>
                <w:lang w:val="en-US" w:eastAsia="zh-CN"/>
              </w:rPr>
              <w:t>交货期</w:t>
            </w:r>
          </w:p>
        </w:tc>
        <w:tc>
          <w:tcPr>
            <w:tcW w:w="687" w:type="dxa"/>
            <w:tcBorders>
              <w:top w:val="single" w:color="auto" w:sz="4" w:space="0"/>
              <w:left w:val="single" w:color="auto" w:sz="4" w:space="0"/>
              <w:right w:val="single" w:color="auto" w:sz="4" w:space="0"/>
            </w:tcBorders>
            <w:noWrap w:val="0"/>
            <w:vAlign w:val="center"/>
          </w:tcPr>
          <w:p w14:paraId="7736A8F7">
            <w:pPr>
              <w:snapToGrid w:val="0"/>
              <w:spacing w:line="400" w:lineRule="exact"/>
              <w:jc w:val="center"/>
              <w:rPr>
                <w:rFonts w:ascii="宋体" w:hAnsi="宋体"/>
                <w:color w:val="auto"/>
                <w:sz w:val="21"/>
                <w:szCs w:val="21"/>
                <w:highlight w:val="none"/>
              </w:rPr>
            </w:pPr>
            <w:r>
              <w:rPr>
                <w:rFonts w:hint="eastAsia" w:ascii="宋体" w:hAnsi="宋体"/>
                <w:b/>
                <w:color w:val="auto"/>
                <w:sz w:val="21"/>
                <w:szCs w:val="21"/>
                <w:highlight w:val="none"/>
              </w:rPr>
              <w:t>备注</w:t>
            </w:r>
          </w:p>
        </w:tc>
      </w:tr>
      <w:tr w14:paraId="5A5759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30" w:hRule="atLeast"/>
          <w:jc w:val="center"/>
        </w:trPr>
        <w:tc>
          <w:tcPr>
            <w:tcW w:w="597" w:type="dxa"/>
            <w:tcBorders>
              <w:top w:val="single" w:color="auto" w:sz="4" w:space="0"/>
              <w:left w:val="single" w:color="auto" w:sz="4" w:space="0"/>
              <w:right w:val="single" w:color="auto" w:sz="4" w:space="0"/>
            </w:tcBorders>
            <w:noWrap w:val="0"/>
            <w:vAlign w:val="center"/>
          </w:tcPr>
          <w:p w14:paraId="14CA3085">
            <w:pPr>
              <w:keepNext w:val="0"/>
              <w:keepLines w:val="0"/>
              <w:widowControl/>
              <w:suppressLineNumbers w:val="0"/>
              <w:ind w:left="105" w:leftChars="0" w:right="62" w:rightChars="0" w:hanging="105" w:hangingChars="50"/>
              <w:jc w:val="center"/>
              <w:textAlignment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w:t>
            </w:r>
          </w:p>
        </w:tc>
        <w:tc>
          <w:tcPr>
            <w:tcW w:w="2130" w:type="dxa"/>
            <w:tcBorders>
              <w:top w:val="single" w:color="auto" w:sz="4" w:space="0"/>
              <w:left w:val="single" w:color="auto" w:sz="4" w:space="0"/>
              <w:right w:val="single" w:color="auto" w:sz="4" w:space="0"/>
            </w:tcBorders>
            <w:noWrap w:val="0"/>
            <w:vAlign w:val="center"/>
          </w:tcPr>
          <w:p w14:paraId="2480C89C">
            <w:pPr>
              <w:snapToGrid w:val="0"/>
              <w:spacing w:line="400" w:lineRule="exact"/>
              <w:ind w:firstLine="210" w:firstLineChars="100"/>
              <w:jc w:val="center"/>
              <w:rPr>
                <w:rFonts w:hint="eastAsia" w:ascii="宋体" w:hAnsi="宋体" w:eastAsia="宋体"/>
                <w:color w:val="auto"/>
                <w:sz w:val="21"/>
                <w:szCs w:val="21"/>
                <w:highlight w:val="none"/>
                <w:lang w:val="en-US" w:eastAsia="zh-CN"/>
              </w:rPr>
            </w:pPr>
          </w:p>
        </w:tc>
        <w:tc>
          <w:tcPr>
            <w:tcW w:w="4325" w:type="dxa"/>
            <w:tcBorders>
              <w:top w:val="single" w:color="auto" w:sz="4" w:space="0"/>
              <w:left w:val="single" w:color="auto" w:sz="4" w:space="0"/>
              <w:right w:val="single" w:color="auto" w:sz="4" w:space="0"/>
            </w:tcBorders>
            <w:noWrap w:val="0"/>
            <w:vAlign w:val="center"/>
          </w:tcPr>
          <w:p w14:paraId="6A755107">
            <w:pPr>
              <w:snapToGrid w:val="0"/>
              <w:spacing w:line="400" w:lineRule="exact"/>
              <w:jc w:val="center"/>
              <w:rPr>
                <w:rFonts w:ascii="宋体" w:hAnsi="宋体"/>
                <w:color w:val="auto"/>
                <w:sz w:val="21"/>
                <w:szCs w:val="21"/>
                <w:highlight w:val="none"/>
              </w:rPr>
            </w:pPr>
          </w:p>
        </w:tc>
        <w:tc>
          <w:tcPr>
            <w:tcW w:w="2614" w:type="dxa"/>
            <w:tcBorders>
              <w:top w:val="single" w:color="auto" w:sz="4" w:space="0"/>
              <w:left w:val="single" w:color="auto" w:sz="4" w:space="0"/>
              <w:right w:val="single" w:color="auto" w:sz="4" w:space="0"/>
            </w:tcBorders>
            <w:noWrap w:val="0"/>
            <w:vAlign w:val="center"/>
          </w:tcPr>
          <w:p w14:paraId="594128A2">
            <w:pPr>
              <w:snapToGrid w:val="0"/>
              <w:spacing w:line="400" w:lineRule="exact"/>
              <w:jc w:val="center"/>
              <w:rPr>
                <w:rFonts w:ascii="宋体" w:hAnsi="宋体"/>
                <w:color w:val="auto"/>
                <w:sz w:val="21"/>
                <w:szCs w:val="21"/>
                <w:highlight w:val="none"/>
              </w:rPr>
            </w:pPr>
          </w:p>
        </w:tc>
        <w:tc>
          <w:tcPr>
            <w:tcW w:w="687" w:type="dxa"/>
            <w:tcBorders>
              <w:top w:val="single" w:color="auto" w:sz="4" w:space="0"/>
              <w:left w:val="single" w:color="auto" w:sz="4" w:space="0"/>
              <w:bottom w:val="single" w:color="auto" w:sz="4" w:space="0"/>
              <w:right w:val="single" w:color="auto" w:sz="4" w:space="0"/>
            </w:tcBorders>
            <w:noWrap w:val="0"/>
            <w:vAlign w:val="center"/>
          </w:tcPr>
          <w:p w14:paraId="6838F5C6">
            <w:pPr>
              <w:snapToGrid w:val="0"/>
              <w:spacing w:line="400" w:lineRule="exact"/>
              <w:jc w:val="center"/>
              <w:rPr>
                <w:rFonts w:ascii="宋体" w:hAnsi="宋体"/>
                <w:color w:val="auto"/>
                <w:sz w:val="21"/>
                <w:szCs w:val="21"/>
                <w:highlight w:val="none"/>
              </w:rPr>
            </w:pPr>
          </w:p>
        </w:tc>
      </w:tr>
      <w:tr w14:paraId="06CFB5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jc w:val="center"/>
        </w:trPr>
        <w:tc>
          <w:tcPr>
            <w:tcW w:w="597" w:type="dxa"/>
            <w:tcBorders>
              <w:top w:val="single" w:color="auto" w:sz="4" w:space="0"/>
              <w:left w:val="single" w:color="auto" w:sz="4" w:space="0"/>
              <w:bottom w:val="single" w:color="auto" w:sz="4" w:space="0"/>
              <w:right w:val="single" w:color="auto" w:sz="4" w:space="0"/>
            </w:tcBorders>
            <w:noWrap w:val="0"/>
            <w:vAlign w:val="center"/>
          </w:tcPr>
          <w:p w14:paraId="320F2493">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2</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52294212">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宋体" w:hAnsi="宋体"/>
                <w:color w:val="auto"/>
                <w:sz w:val="21"/>
                <w:szCs w:val="21"/>
                <w:highlight w:val="none"/>
                <w:lang w:val="en-US" w:eastAsia="zh-CN"/>
              </w:rPr>
              <w:t>投标总价</w:t>
            </w:r>
          </w:p>
        </w:tc>
        <w:tc>
          <w:tcPr>
            <w:tcW w:w="7626" w:type="dxa"/>
            <w:gridSpan w:val="3"/>
            <w:tcBorders>
              <w:top w:val="single" w:color="auto" w:sz="4" w:space="0"/>
              <w:left w:val="single" w:color="auto" w:sz="4" w:space="0"/>
              <w:bottom w:val="single" w:color="auto" w:sz="4" w:space="0"/>
              <w:right w:val="single" w:color="auto" w:sz="4" w:space="0"/>
            </w:tcBorders>
            <w:noWrap w:val="0"/>
            <w:vAlign w:val="center"/>
          </w:tcPr>
          <w:p w14:paraId="38DD3D1C">
            <w:pPr>
              <w:snapToGrid w:val="0"/>
              <w:spacing w:line="400" w:lineRule="exact"/>
              <w:rPr>
                <w:rFonts w:hint="eastAsia"/>
                <w:color w:val="auto"/>
                <w:sz w:val="21"/>
                <w:szCs w:val="21"/>
                <w:lang w:val="en-US" w:eastAsia="zh-CN"/>
              </w:rPr>
            </w:pPr>
            <w:r>
              <w:rPr>
                <w:rFonts w:hint="eastAsia"/>
                <w:color w:val="auto"/>
                <w:sz w:val="21"/>
                <w:szCs w:val="21"/>
                <w:lang w:val="en-US" w:eastAsia="zh-CN"/>
              </w:rPr>
              <w:t>大写：</w:t>
            </w:r>
          </w:p>
          <w:p w14:paraId="569711AB">
            <w:pPr>
              <w:pStyle w:val="141"/>
              <w:rPr>
                <w:rFonts w:hint="eastAsia"/>
                <w:color w:val="auto"/>
                <w:sz w:val="21"/>
                <w:szCs w:val="21"/>
                <w:lang w:val="en-US" w:eastAsia="zh-CN"/>
              </w:rPr>
            </w:pPr>
          </w:p>
          <w:p w14:paraId="4592F922">
            <w:pPr>
              <w:snapToGrid w:val="0"/>
              <w:spacing w:line="400" w:lineRule="exact"/>
              <w:rPr>
                <w:rFonts w:ascii="宋体" w:hAnsi="宋体"/>
                <w:color w:val="auto"/>
                <w:sz w:val="21"/>
                <w:szCs w:val="21"/>
                <w:highlight w:val="none"/>
              </w:rPr>
            </w:pPr>
            <w:r>
              <w:rPr>
                <w:rFonts w:hint="eastAsia" w:ascii="宋体" w:hAnsi="宋体"/>
                <w:color w:val="auto"/>
                <w:sz w:val="21"/>
                <w:szCs w:val="21"/>
                <w:highlight w:val="none"/>
                <w:lang w:val="en-US" w:eastAsia="zh-CN"/>
              </w:rPr>
              <w:t>小写：（元）</w:t>
            </w:r>
          </w:p>
        </w:tc>
      </w:tr>
    </w:tbl>
    <w:p w14:paraId="0BCF5284">
      <w:pPr>
        <w:adjustRightInd w:val="0"/>
        <w:snapToGrid w:val="0"/>
        <w:spacing w:line="360" w:lineRule="auto"/>
        <w:ind w:firstLine="480" w:firstLineChars="200"/>
        <w:rPr>
          <w:rFonts w:hint="eastAsia" w:ascii="仿宋" w:hAnsi="仿宋" w:eastAsia="仿宋" w:cs="仿宋"/>
          <w:color w:val="auto"/>
          <w:sz w:val="24"/>
          <w:szCs w:val="24"/>
          <w:highlight w:val="none"/>
        </w:rPr>
      </w:pPr>
    </w:p>
    <w:p w14:paraId="65528C00">
      <w:pPr>
        <w:adjustRightInd w:val="0"/>
        <w:snapToGrid w:val="0"/>
        <w:spacing w:line="360" w:lineRule="auto"/>
        <w:ind w:firstLine="480" w:firstLineChars="200"/>
        <w:rPr>
          <w:rFonts w:hint="eastAsia" w:ascii="仿宋" w:hAnsi="仿宋" w:eastAsia="仿宋" w:cs="仿宋"/>
          <w:color w:val="auto"/>
          <w:sz w:val="24"/>
          <w:szCs w:val="24"/>
          <w:highlight w:val="none"/>
        </w:rPr>
      </w:pPr>
    </w:p>
    <w:p w14:paraId="58A1C938">
      <w:pPr>
        <w:adjustRightInd w:val="0"/>
        <w:snapToGrid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投标人名称（</w:t>
      </w:r>
      <w:r>
        <w:rPr>
          <w:rFonts w:hint="eastAsia" w:ascii="仿宋" w:hAnsi="仿宋" w:eastAsia="仿宋" w:cs="仿宋"/>
          <w:color w:val="auto"/>
          <w:sz w:val="24"/>
          <w:szCs w:val="24"/>
          <w:highlight w:val="none"/>
          <w:lang w:eastAsia="zh-CN"/>
        </w:rPr>
        <w:t>盖章</w:t>
      </w:r>
      <w:r>
        <w:rPr>
          <w:rFonts w:hint="eastAsia" w:ascii="仿宋" w:hAnsi="仿宋" w:eastAsia="仿宋" w:cs="仿宋"/>
          <w:color w:val="auto"/>
          <w:sz w:val="24"/>
          <w:szCs w:val="24"/>
          <w:highlight w:val="none"/>
        </w:rPr>
        <w:t>）：</w:t>
      </w:r>
    </w:p>
    <w:p w14:paraId="160BFEC8">
      <w:pPr>
        <w:adjustRightInd w:val="0"/>
        <w:snapToGrid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签字或盖章</w:t>
      </w:r>
      <w:r>
        <w:rPr>
          <w:rFonts w:hint="eastAsia" w:ascii="仿宋" w:hAnsi="仿宋" w:eastAsia="仿宋" w:cs="仿宋"/>
          <w:color w:val="auto"/>
          <w:sz w:val="24"/>
          <w:szCs w:val="24"/>
          <w:highlight w:val="none"/>
        </w:rPr>
        <w:t>）：</w:t>
      </w:r>
    </w:p>
    <w:p w14:paraId="2D8429AE">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日期：年月日</w:t>
      </w:r>
    </w:p>
    <w:p w14:paraId="62B8D607">
      <w:pPr>
        <w:adjustRightInd w:val="0"/>
        <w:snapToGrid w:val="0"/>
        <w:spacing w:line="360" w:lineRule="auto"/>
        <w:ind w:firstLine="480" w:firstLineChars="200"/>
        <w:rPr>
          <w:rFonts w:hint="eastAsia" w:ascii="仿宋" w:hAnsi="仿宋" w:eastAsia="仿宋" w:cs="仿宋"/>
          <w:color w:val="auto"/>
          <w:sz w:val="24"/>
          <w:szCs w:val="24"/>
          <w:highlight w:val="none"/>
        </w:rPr>
      </w:pPr>
    </w:p>
    <w:p w14:paraId="4ADFE7DE">
      <w:pPr>
        <w:adjustRightInd w:val="0"/>
        <w:snapToGrid w:val="0"/>
        <w:spacing w:line="360" w:lineRule="auto"/>
        <w:ind w:firstLine="480" w:firstLineChars="200"/>
        <w:rPr>
          <w:rFonts w:hint="eastAsia" w:ascii="仿宋" w:hAnsi="仿宋" w:eastAsia="仿宋" w:cs="仿宋"/>
          <w:color w:val="auto"/>
          <w:sz w:val="24"/>
          <w:szCs w:val="24"/>
          <w:highlight w:val="none"/>
        </w:rPr>
      </w:pPr>
    </w:p>
    <w:p w14:paraId="09239ECE">
      <w:pPr>
        <w:adjustRightInd w:val="0"/>
        <w:snapToGrid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注：</w:t>
      </w:r>
    </w:p>
    <w:p w14:paraId="19A1E616">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此表在内容一致的情况下，可自行制作。</w:t>
      </w:r>
    </w:p>
    <w:p w14:paraId="2C3073E4">
      <w:pPr>
        <w:numPr>
          <w:ilvl w:val="0"/>
          <w:numId w:val="8"/>
        </w:numPr>
        <w:adjustRightInd w:val="0"/>
        <w:snapToGrid w:val="0"/>
        <w:spacing w:line="360" w:lineRule="auto"/>
        <w:ind w:left="50"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所报金额为投标方的最终报价。</w:t>
      </w:r>
    </w:p>
    <w:p w14:paraId="4654D652">
      <w:pPr>
        <w:numPr>
          <w:ilvl w:val="0"/>
          <w:numId w:val="8"/>
        </w:numPr>
        <w:adjustRightInd w:val="0"/>
        <w:snapToGrid w:val="0"/>
        <w:spacing w:line="360" w:lineRule="auto"/>
        <w:ind w:left="50" w:leftChars="0" w:right="62"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报价为含税金额，税票为增值税专用发票。</w:t>
      </w:r>
    </w:p>
    <w:p w14:paraId="26F6CE84">
      <w:pPr>
        <w:pStyle w:val="191"/>
        <w:widowControl/>
        <w:numPr>
          <w:ilvl w:val="0"/>
          <w:numId w:val="8"/>
        </w:numPr>
        <w:spacing w:before="100" w:beforeAutospacing="1" w:after="100" w:afterAutospacing="1"/>
        <w:ind w:left="50" w:leftChars="0" w:firstLine="480" w:firstLineChars="200"/>
        <w:jc w:val="both"/>
        <w:rPr>
          <w:rFonts w:hint="eastAsia" w:ascii="仿宋" w:hAnsi="仿宋" w:eastAsia="仿宋" w:cs="仿宋"/>
          <w:color w:val="auto"/>
          <w:sz w:val="24"/>
          <w:szCs w:val="24"/>
          <w:highlight w:val="none"/>
          <w:lang w:val="en-US" w:eastAsia="zh-CN"/>
        </w:rPr>
        <w:sectPr>
          <w:type w:val="continuous"/>
          <w:pgSz w:w="11905" w:h="16838"/>
          <w:pgMar w:top="1304" w:right="964" w:bottom="1020" w:left="1191" w:header="567" w:footer="454" w:gutter="0"/>
          <w:pgNumType w:fmt="decimal"/>
          <w:cols w:space="720" w:num="1"/>
          <w:rtlGutter w:val="0"/>
          <w:docGrid w:type="lines" w:linePitch="317" w:charSpace="0"/>
        </w:sectPr>
      </w:pPr>
      <w:r>
        <w:rPr>
          <w:rFonts w:hint="eastAsia" w:ascii="仿宋" w:hAnsi="仿宋" w:eastAsia="仿宋" w:cs="仿宋"/>
          <w:color w:val="auto"/>
          <w:sz w:val="24"/>
          <w:szCs w:val="24"/>
          <w:highlight w:val="none"/>
        </w:rPr>
        <w:t>大写标注：壹、贰、叁、肆、伍、陆、柒、捌、玖、拾、佰、仟、万、亿</w:t>
      </w:r>
      <w:r>
        <w:rPr>
          <w:rFonts w:hint="eastAsia" w:ascii="仿宋" w:hAnsi="仿宋" w:eastAsia="仿宋" w:cs="仿宋"/>
          <w:color w:val="auto"/>
          <w:sz w:val="24"/>
          <w:szCs w:val="24"/>
          <w:highlight w:val="none"/>
          <w:lang w:eastAsia="zh-CN"/>
        </w:rPr>
        <w:t>。</w:t>
      </w:r>
    </w:p>
    <w:p w14:paraId="3C11DA53">
      <w:pPr>
        <w:numPr>
          <w:ilvl w:val="0"/>
          <w:numId w:val="0"/>
        </w:numPr>
        <w:spacing w:line="440" w:lineRule="exact"/>
        <w:ind w:leftChars="0" w:right="62" w:rightChars="0"/>
        <w:jc w:val="left"/>
        <w:rPr>
          <w:rFonts w:hint="eastAsia" w:ascii="仿宋" w:hAnsi="仿宋" w:eastAsia="仿宋" w:cs="仿宋"/>
          <w:b/>
          <w:bCs/>
          <w:color w:val="auto"/>
          <w:kern w:val="0"/>
          <w:sz w:val="24"/>
          <w:szCs w:val="24"/>
          <w:lang w:val="en-US" w:eastAsia="zh-CN" w:bidi="ar-SA"/>
        </w:rPr>
      </w:pPr>
      <w:r>
        <w:rPr>
          <w:rFonts w:hint="eastAsia" w:ascii="仿宋" w:hAnsi="仿宋" w:eastAsia="仿宋" w:cs="仿宋"/>
          <w:b/>
          <w:bCs/>
          <w:color w:val="auto"/>
          <w:sz w:val="24"/>
          <w:szCs w:val="24"/>
          <w:lang w:val="en-US" w:eastAsia="zh-CN"/>
        </w:rPr>
        <w:br w:type="page"/>
      </w:r>
      <w:r>
        <w:rPr>
          <w:rFonts w:hint="eastAsia" w:ascii="仿宋" w:hAnsi="仿宋" w:eastAsia="仿宋" w:cs="仿宋"/>
          <w:b/>
          <w:bCs/>
          <w:color w:val="auto"/>
          <w:sz w:val="24"/>
          <w:szCs w:val="24"/>
          <w:lang w:val="en-US" w:eastAsia="zh-CN"/>
        </w:rPr>
        <w:t>（三）</w:t>
      </w:r>
      <w:r>
        <w:rPr>
          <w:rFonts w:hint="eastAsia" w:ascii="仿宋" w:hAnsi="仿宋" w:eastAsia="仿宋" w:cs="仿宋"/>
          <w:b/>
          <w:bCs/>
          <w:color w:val="auto"/>
          <w:kern w:val="0"/>
          <w:sz w:val="24"/>
          <w:szCs w:val="24"/>
          <w:lang w:val="en-US" w:eastAsia="zh-CN" w:bidi="ar-SA"/>
        </w:rPr>
        <w:t>投标报价明细表</w:t>
      </w:r>
    </w:p>
    <w:p w14:paraId="3FB304B4">
      <w:pPr>
        <w:numPr>
          <w:ilvl w:val="0"/>
          <w:numId w:val="0"/>
        </w:numPr>
        <w:spacing w:line="440" w:lineRule="exact"/>
        <w:ind w:right="62" w:rightChars="0"/>
        <w:jc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投标报价明细表</w:t>
      </w:r>
    </w:p>
    <w:p w14:paraId="202EEB6E">
      <w:pPr>
        <w:spacing w:line="370" w:lineRule="auto"/>
        <w:ind w:left="120" w:hanging="120"/>
        <w:jc w:val="center"/>
        <w:rPr>
          <w:rFonts w:hint="eastAsia" w:ascii="仿宋" w:hAnsi="仿宋" w:eastAsia="仿宋" w:cs="仿宋"/>
          <w:color w:val="auto"/>
          <w:sz w:val="24"/>
        </w:rPr>
      </w:pPr>
    </w:p>
    <w:p w14:paraId="3959BFC8">
      <w:pPr>
        <w:spacing w:line="370" w:lineRule="auto"/>
        <w:ind w:left="120" w:hanging="120"/>
        <w:jc w:val="left"/>
        <w:rPr>
          <w:rFonts w:hint="eastAsia" w:ascii="仿宋" w:hAnsi="仿宋" w:eastAsia="仿宋" w:cs="仿宋"/>
          <w:color w:val="auto"/>
          <w:spacing w:val="-2"/>
          <w:sz w:val="24"/>
          <w:u w:val="single"/>
          <w:lang w:eastAsia="zh-CN"/>
        </w:rPr>
      </w:pPr>
      <w:r>
        <w:rPr>
          <w:rFonts w:hint="eastAsia" w:ascii="仿宋" w:hAnsi="仿宋" w:eastAsia="仿宋" w:cs="仿宋"/>
          <w:color w:val="auto"/>
          <w:sz w:val="24"/>
        </w:rPr>
        <w:t>项目名称：</w:t>
      </w:r>
    </w:p>
    <w:p w14:paraId="37EE4178">
      <w:pPr>
        <w:spacing w:before="150" w:line="185" w:lineRule="auto"/>
        <w:ind w:left="118" w:hanging="118"/>
        <w:jc w:val="left"/>
        <w:rPr>
          <w:rFonts w:hint="eastAsia" w:ascii="仿宋" w:hAnsi="仿宋" w:eastAsia="仿宋" w:cs="仿宋"/>
          <w:color w:val="auto"/>
          <w:spacing w:val="2"/>
          <w:sz w:val="24"/>
          <w:u w:val="single"/>
          <w:lang w:eastAsia="zh-CN"/>
        </w:rPr>
      </w:pPr>
      <w:r>
        <w:rPr>
          <w:rFonts w:hint="eastAsia" w:ascii="仿宋" w:hAnsi="仿宋" w:eastAsia="仿宋" w:cs="仿宋"/>
          <w:color w:val="auto"/>
          <w:spacing w:val="-2"/>
          <w:sz w:val="24"/>
        </w:rPr>
        <w:t>项目编号：</w:t>
      </w:r>
    </w:p>
    <w:p w14:paraId="37D2723C">
      <w:pPr>
        <w:spacing w:line="234" w:lineRule="exact"/>
        <w:ind w:left="120" w:hanging="120"/>
        <w:jc w:val="left"/>
        <w:rPr>
          <w:rFonts w:hint="eastAsia" w:ascii="仿宋" w:hAnsi="仿宋" w:eastAsia="仿宋" w:cs="仿宋"/>
          <w:color w:val="auto"/>
          <w:sz w:val="24"/>
        </w:rPr>
      </w:pPr>
    </w:p>
    <w:tbl>
      <w:tblPr>
        <w:tblStyle w:val="76"/>
        <w:tblpPr w:leftFromText="180" w:rightFromText="180" w:vertAnchor="text" w:horzAnchor="page" w:tblpXSpec="center" w:tblpY="567"/>
        <w:tblOverlap w:val="never"/>
        <w:tblW w:w="10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164"/>
        <w:gridCol w:w="912"/>
        <w:gridCol w:w="1057"/>
        <w:gridCol w:w="1057"/>
        <w:gridCol w:w="1057"/>
        <w:gridCol w:w="1057"/>
        <w:gridCol w:w="1057"/>
        <w:gridCol w:w="1057"/>
        <w:gridCol w:w="1057"/>
      </w:tblGrid>
      <w:tr w14:paraId="329C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095" w:type="dxa"/>
            <w:noWrap w:val="0"/>
            <w:vAlign w:val="center"/>
          </w:tcPr>
          <w:p w14:paraId="1F699B69">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编号</w:t>
            </w:r>
          </w:p>
        </w:tc>
        <w:tc>
          <w:tcPr>
            <w:tcW w:w="1164" w:type="dxa"/>
            <w:noWrap w:val="0"/>
            <w:vAlign w:val="center"/>
          </w:tcPr>
          <w:p w14:paraId="11A1A50C">
            <w:pPr>
              <w:keepNext w:val="0"/>
              <w:keepLines w:val="0"/>
              <w:widowControl/>
              <w:suppressLineNumbers w:val="0"/>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产品名称</w:t>
            </w:r>
          </w:p>
        </w:tc>
        <w:tc>
          <w:tcPr>
            <w:tcW w:w="912" w:type="dxa"/>
            <w:noWrap w:val="0"/>
            <w:vAlign w:val="center"/>
          </w:tcPr>
          <w:p w14:paraId="6DF7096F">
            <w:pPr>
              <w:keepNext w:val="0"/>
              <w:keepLines w:val="0"/>
              <w:widowControl/>
              <w:suppressLineNumbers w:val="0"/>
              <w:jc w:val="center"/>
              <w:rPr>
                <w:rFonts w:hint="default"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规格</w:t>
            </w:r>
            <w:r>
              <w:rPr>
                <w:rFonts w:hint="eastAsia" w:ascii="宋体" w:hAnsi="宋体" w:cs="宋体"/>
                <w:color w:val="000000"/>
                <w:kern w:val="0"/>
                <w:sz w:val="21"/>
                <w:szCs w:val="21"/>
                <w:lang w:val="en-US" w:eastAsia="zh-CN" w:bidi="ar"/>
              </w:rPr>
              <w:t>/型号</w:t>
            </w:r>
          </w:p>
        </w:tc>
        <w:tc>
          <w:tcPr>
            <w:tcW w:w="1057" w:type="dxa"/>
            <w:noWrap w:val="0"/>
            <w:vAlign w:val="center"/>
          </w:tcPr>
          <w:p w14:paraId="087C61ED">
            <w:pPr>
              <w:keepNext w:val="0"/>
              <w:keepLines w:val="0"/>
              <w:widowControl/>
              <w:suppressLineNumbers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产地</w:t>
            </w:r>
          </w:p>
        </w:tc>
        <w:tc>
          <w:tcPr>
            <w:tcW w:w="1057" w:type="dxa"/>
            <w:noWrap w:val="0"/>
            <w:vAlign w:val="center"/>
          </w:tcPr>
          <w:p w14:paraId="38E4636C">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制造商</w:t>
            </w:r>
          </w:p>
          <w:p w14:paraId="2BEC903A">
            <w:pPr>
              <w:keepNext w:val="0"/>
              <w:keepLines w:val="0"/>
              <w:widowControl/>
              <w:suppressLineNumbers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名称</w:t>
            </w:r>
          </w:p>
        </w:tc>
        <w:tc>
          <w:tcPr>
            <w:tcW w:w="1057" w:type="dxa"/>
            <w:noWrap w:val="0"/>
            <w:vAlign w:val="center"/>
          </w:tcPr>
          <w:p w14:paraId="6A5BB9AE">
            <w:pPr>
              <w:keepNext w:val="0"/>
              <w:keepLines w:val="0"/>
              <w:widowControl/>
              <w:suppressLineNumbers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数 量</w:t>
            </w:r>
          </w:p>
        </w:tc>
        <w:tc>
          <w:tcPr>
            <w:tcW w:w="1057" w:type="dxa"/>
            <w:noWrap w:val="0"/>
            <w:vAlign w:val="center"/>
          </w:tcPr>
          <w:p w14:paraId="1BFAA2C5">
            <w:pPr>
              <w:keepNext w:val="0"/>
              <w:keepLines w:val="0"/>
              <w:widowControl/>
              <w:suppressLineNumbers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单位</w:t>
            </w:r>
          </w:p>
        </w:tc>
        <w:tc>
          <w:tcPr>
            <w:tcW w:w="1057" w:type="dxa"/>
            <w:noWrap w:val="0"/>
            <w:vAlign w:val="center"/>
          </w:tcPr>
          <w:p w14:paraId="6FA0D404">
            <w:pPr>
              <w:keepNext w:val="0"/>
              <w:keepLines w:val="0"/>
              <w:widowControl/>
              <w:suppressLineNumbers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单价</w:t>
            </w:r>
          </w:p>
        </w:tc>
        <w:tc>
          <w:tcPr>
            <w:tcW w:w="1057" w:type="dxa"/>
            <w:noWrap w:val="0"/>
            <w:vAlign w:val="center"/>
          </w:tcPr>
          <w:p w14:paraId="2573BBD2">
            <w:pPr>
              <w:keepNext w:val="0"/>
              <w:keepLines w:val="0"/>
              <w:widowControl/>
              <w:suppressLineNumbers w:val="0"/>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总价</w:t>
            </w:r>
          </w:p>
        </w:tc>
        <w:tc>
          <w:tcPr>
            <w:tcW w:w="1057" w:type="dxa"/>
            <w:noWrap w:val="0"/>
            <w:vAlign w:val="center"/>
          </w:tcPr>
          <w:p w14:paraId="6AEBED18">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备注</w:t>
            </w:r>
          </w:p>
        </w:tc>
      </w:tr>
      <w:tr w14:paraId="6460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743997D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164" w:type="dxa"/>
            <w:noWrap w:val="0"/>
            <w:vAlign w:val="center"/>
          </w:tcPr>
          <w:p w14:paraId="3A3A16A0">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526B4032">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45AB0E53">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AE75F37">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93DB5B1">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267FC81">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FE28F93">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03446F98">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7DCD46FE">
            <w:pPr>
              <w:widowControl w:val="0"/>
              <w:jc w:val="center"/>
              <w:rPr>
                <w:rFonts w:hint="eastAsia" w:ascii="宋体" w:hAnsi="宋体" w:eastAsia="宋体" w:cs="宋体"/>
                <w:sz w:val="21"/>
                <w:szCs w:val="21"/>
                <w:vertAlign w:val="baseline"/>
                <w:lang w:val="en-US" w:eastAsia="zh-CN"/>
              </w:rPr>
            </w:pPr>
          </w:p>
        </w:tc>
      </w:tr>
      <w:tr w14:paraId="6979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746825DA">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164" w:type="dxa"/>
            <w:noWrap w:val="0"/>
            <w:vAlign w:val="center"/>
          </w:tcPr>
          <w:p w14:paraId="07730EDB">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47EC1DD5">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118AF97">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542E58C">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FD19B5F">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0D8B34F">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E73F4A3">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4A58E768">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64E1800">
            <w:pPr>
              <w:widowControl w:val="0"/>
              <w:jc w:val="center"/>
              <w:rPr>
                <w:rFonts w:hint="eastAsia" w:ascii="宋体" w:hAnsi="宋体" w:eastAsia="宋体" w:cs="宋体"/>
                <w:sz w:val="21"/>
                <w:szCs w:val="21"/>
                <w:vertAlign w:val="baseline"/>
                <w:lang w:val="en-US" w:eastAsia="zh-CN"/>
              </w:rPr>
            </w:pPr>
          </w:p>
        </w:tc>
      </w:tr>
      <w:tr w14:paraId="3B7C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565FB3F5">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164" w:type="dxa"/>
            <w:noWrap w:val="0"/>
            <w:vAlign w:val="center"/>
          </w:tcPr>
          <w:p w14:paraId="42AB0AF3">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0A42820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6257E5A">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5C44AE9">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EB8964C">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0B74F5E">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3108E62">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F1F62E8">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40B8AC56">
            <w:pPr>
              <w:widowControl w:val="0"/>
              <w:jc w:val="center"/>
              <w:rPr>
                <w:rFonts w:hint="eastAsia" w:ascii="宋体" w:hAnsi="宋体" w:eastAsia="宋体" w:cs="宋体"/>
                <w:sz w:val="21"/>
                <w:szCs w:val="21"/>
                <w:vertAlign w:val="baseline"/>
                <w:lang w:val="en-US" w:eastAsia="zh-CN"/>
              </w:rPr>
            </w:pPr>
          </w:p>
        </w:tc>
      </w:tr>
      <w:tr w14:paraId="7772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21640531">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164" w:type="dxa"/>
            <w:noWrap w:val="0"/>
            <w:vAlign w:val="center"/>
          </w:tcPr>
          <w:p w14:paraId="47831F8A">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6DB43CA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0579A0B2">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4209B86F">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A8BDD3A">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B265F9A">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7C05589">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C476848">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06E4E5D">
            <w:pPr>
              <w:widowControl w:val="0"/>
              <w:jc w:val="center"/>
              <w:rPr>
                <w:rFonts w:hint="eastAsia" w:ascii="宋体" w:hAnsi="宋体" w:eastAsia="宋体" w:cs="宋体"/>
                <w:sz w:val="21"/>
                <w:szCs w:val="21"/>
                <w:vertAlign w:val="baseline"/>
                <w:lang w:val="en-US" w:eastAsia="zh-CN"/>
              </w:rPr>
            </w:pPr>
          </w:p>
        </w:tc>
      </w:tr>
      <w:tr w14:paraId="7ECD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0130AB40">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164" w:type="dxa"/>
            <w:noWrap w:val="0"/>
            <w:vAlign w:val="center"/>
          </w:tcPr>
          <w:p w14:paraId="6D6DA26B">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0D63A842">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B0A32E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983927A">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170294F">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4C2787A6">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B58CDF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4BBBA4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B02ED36">
            <w:pPr>
              <w:widowControl w:val="0"/>
              <w:jc w:val="center"/>
              <w:rPr>
                <w:rFonts w:hint="eastAsia" w:ascii="宋体" w:hAnsi="宋体" w:eastAsia="宋体" w:cs="宋体"/>
                <w:sz w:val="21"/>
                <w:szCs w:val="21"/>
                <w:vertAlign w:val="baseline"/>
                <w:lang w:val="en-US" w:eastAsia="zh-CN"/>
              </w:rPr>
            </w:pPr>
          </w:p>
        </w:tc>
      </w:tr>
      <w:tr w14:paraId="4087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0FA7F44A">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1164" w:type="dxa"/>
            <w:noWrap w:val="0"/>
            <w:vAlign w:val="center"/>
          </w:tcPr>
          <w:p w14:paraId="19560F4D">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085BC084">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70AA236">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B89F73C">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1274FC9">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704E8003">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FCC8C2C">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92492F1">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F5B88B6">
            <w:pPr>
              <w:widowControl w:val="0"/>
              <w:jc w:val="center"/>
              <w:rPr>
                <w:rFonts w:hint="eastAsia" w:ascii="宋体" w:hAnsi="宋体" w:eastAsia="宋体" w:cs="宋体"/>
                <w:sz w:val="21"/>
                <w:szCs w:val="21"/>
                <w:vertAlign w:val="baseline"/>
                <w:lang w:val="en-US" w:eastAsia="zh-CN"/>
              </w:rPr>
            </w:pPr>
          </w:p>
        </w:tc>
      </w:tr>
      <w:tr w14:paraId="4EB8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7000F774">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1164" w:type="dxa"/>
            <w:noWrap w:val="0"/>
            <w:vAlign w:val="center"/>
          </w:tcPr>
          <w:p w14:paraId="20D91901">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644FC17E">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04403E64">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097025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889952C">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8211E53">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7BAEE65E">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64C36B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0DE5683">
            <w:pPr>
              <w:widowControl w:val="0"/>
              <w:jc w:val="center"/>
              <w:rPr>
                <w:rFonts w:hint="eastAsia" w:ascii="宋体" w:hAnsi="宋体" w:eastAsia="宋体" w:cs="宋体"/>
                <w:sz w:val="21"/>
                <w:szCs w:val="21"/>
                <w:vertAlign w:val="baseline"/>
                <w:lang w:val="en-US" w:eastAsia="zh-CN"/>
              </w:rPr>
            </w:pPr>
          </w:p>
        </w:tc>
      </w:tr>
      <w:tr w14:paraId="2DBB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0B3A876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w:t>
            </w:r>
          </w:p>
        </w:tc>
        <w:tc>
          <w:tcPr>
            <w:tcW w:w="1164" w:type="dxa"/>
            <w:noWrap w:val="0"/>
            <w:vAlign w:val="center"/>
          </w:tcPr>
          <w:p w14:paraId="5D98CDDA">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23165A1E">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51F46E0">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7E987C24">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3AAEDFE">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1FD1B9ED">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46536700">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A2167CB">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97EAF48">
            <w:pPr>
              <w:widowControl w:val="0"/>
              <w:jc w:val="center"/>
              <w:rPr>
                <w:rFonts w:hint="eastAsia" w:ascii="宋体" w:hAnsi="宋体" w:eastAsia="宋体" w:cs="宋体"/>
                <w:sz w:val="21"/>
                <w:szCs w:val="21"/>
                <w:vertAlign w:val="baseline"/>
                <w:lang w:val="en-US" w:eastAsia="zh-CN"/>
              </w:rPr>
            </w:pPr>
          </w:p>
        </w:tc>
      </w:tr>
      <w:tr w14:paraId="65D9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569A048B">
            <w:pPr>
              <w:keepNext w:val="0"/>
              <w:keepLines w:val="0"/>
              <w:widowControl/>
              <w:suppressLineNumbers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w:t>
            </w:r>
          </w:p>
        </w:tc>
        <w:tc>
          <w:tcPr>
            <w:tcW w:w="1164" w:type="dxa"/>
            <w:noWrap w:val="0"/>
            <w:vAlign w:val="center"/>
          </w:tcPr>
          <w:p w14:paraId="0CDBB321">
            <w:pPr>
              <w:widowControl w:val="0"/>
              <w:jc w:val="center"/>
              <w:rPr>
                <w:rFonts w:hint="eastAsia" w:ascii="宋体" w:hAnsi="宋体" w:eastAsia="宋体" w:cs="宋体"/>
                <w:sz w:val="21"/>
                <w:szCs w:val="21"/>
                <w:vertAlign w:val="baseline"/>
                <w:lang w:val="en-US" w:eastAsia="zh-CN"/>
              </w:rPr>
            </w:pPr>
          </w:p>
        </w:tc>
        <w:tc>
          <w:tcPr>
            <w:tcW w:w="912" w:type="dxa"/>
            <w:noWrap w:val="0"/>
            <w:vAlign w:val="center"/>
          </w:tcPr>
          <w:p w14:paraId="2CACC55E">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5D836A07">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0D59001">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3C54C650">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12FD47F">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6FB8C265">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7BE11DBF">
            <w:pPr>
              <w:widowControl w:val="0"/>
              <w:jc w:val="center"/>
              <w:rPr>
                <w:rFonts w:hint="eastAsia" w:ascii="宋体" w:hAnsi="宋体" w:eastAsia="宋体" w:cs="宋体"/>
                <w:sz w:val="21"/>
                <w:szCs w:val="21"/>
                <w:vertAlign w:val="baseline"/>
                <w:lang w:val="en-US" w:eastAsia="zh-CN"/>
              </w:rPr>
            </w:pPr>
          </w:p>
        </w:tc>
        <w:tc>
          <w:tcPr>
            <w:tcW w:w="1057" w:type="dxa"/>
            <w:noWrap w:val="0"/>
            <w:vAlign w:val="center"/>
          </w:tcPr>
          <w:p w14:paraId="2DF1DBB4">
            <w:pPr>
              <w:widowControl w:val="0"/>
              <w:jc w:val="center"/>
              <w:rPr>
                <w:rFonts w:hint="eastAsia" w:ascii="宋体" w:hAnsi="宋体" w:eastAsia="宋体" w:cs="宋体"/>
                <w:sz w:val="21"/>
                <w:szCs w:val="21"/>
                <w:vertAlign w:val="baseline"/>
                <w:lang w:val="en-US" w:eastAsia="zh-CN"/>
              </w:rPr>
            </w:pPr>
          </w:p>
        </w:tc>
      </w:tr>
      <w:tr w14:paraId="3159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95" w:type="dxa"/>
            <w:noWrap w:val="0"/>
            <w:vAlign w:val="center"/>
          </w:tcPr>
          <w:p w14:paraId="75C0E18D">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投标</w:t>
            </w:r>
          </w:p>
          <w:p w14:paraId="73A7479B">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总价</w:t>
            </w:r>
          </w:p>
        </w:tc>
        <w:tc>
          <w:tcPr>
            <w:tcW w:w="9475" w:type="dxa"/>
            <w:gridSpan w:val="9"/>
            <w:noWrap w:val="0"/>
            <w:vAlign w:val="center"/>
          </w:tcPr>
          <w:p w14:paraId="597FB4AF">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color w:val="000000"/>
                <w:kern w:val="0"/>
                <w:sz w:val="21"/>
                <w:szCs w:val="21"/>
                <w:lang w:val="en-US" w:eastAsia="zh-CN" w:bidi="ar"/>
              </w:rPr>
              <w:t xml:space="preserve"> 小写 ：                 大写：</w:t>
            </w:r>
          </w:p>
        </w:tc>
      </w:tr>
    </w:tbl>
    <w:p w14:paraId="1ABACBC3">
      <w:pPr>
        <w:spacing w:line="245" w:lineRule="auto"/>
        <w:ind w:left="0" w:firstLine="0" w:firstLineChars="0"/>
        <w:jc w:val="left"/>
        <w:rPr>
          <w:rFonts w:hint="eastAsia" w:ascii="仿宋" w:hAnsi="仿宋" w:eastAsia="仿宋" w:cs="仿宋"/>
          <w:color w:val="auto"/>
          <w:sz w:val="24"/>
        </w:rPr>
      </w:pPr>
    </w:p>
    <w:p w14:paraId="7FDDA7DD">
      <w:pPr>
        <w:spacing w:before="78" w:line="468" w:lineRule="exact"/>
        <w:ind w:left="227" w:leftChars="108" w:firstLine="107" w:firstLineChars="50"/>
        <w:jc w:val="left"/>
        <w:rPr>
          <w:rFonts w:hint="default" w:ascii="仿宋" w:hAnsi="仿宋" w:eastAsia="仿宋" w:cs="仿宋"/>
          <w:color w:val="auto"/>
          <w:sz w:val="24"/>
          <w:lang w:val="en-US"/>
        </w:rPr>
      </w:pPr>
      <w:r>
        <w:rPr>
          <w:rFonts w:hint="eastAsia" w:ascii="仿宋" w:hAnsi="仿宋" w:eastAsia="仿宋" w:cs="仿宋"/>
          <w:color w:val="auto"/>
          <w:spacing w:val="-13"/>
          <w:position w:val="16"/>
          <w:sz w:val="24"/>
        </w:rPr>
        <w:t>投标人名称（盖章</w:t>
      </w:r>
      <w:r>
        <w:rPr>
          <w:rFonts w:hint="eastAsia" w:ascii="仿宋" w:hAnsi="仿宋" w:eastAsia="仿宋" w:cs="仿宋"/>
          <w:color w:val="auto"/>
          <w:spacing w:val="-84"/>
          <w:position w:val="16"/>
          <w:sz w:val="24"/>
        </w:rPr>
        <w:t>）</w:t>
      </w:r>
    </w:p>
    <w:p w14:paraId="510D8959">
      <w:pPr>
        <w:spacing w:before="1" w:line="204" w:lineRule="auto"/>
        <w:ind w:left="227" w:leftChars="108" w:firstLine="107" w:firstLineChars="50"/>
        <w:jc w:val="left"/>
        <w:rPr>
          <w:rFonts w:hint="eastAsia" w:ascii="仿宋" w:hAnsi="仿宋" w:eastAsia="仿宋" w:cs="仿宋"/>
          <w:color w:val="auto"/>
          <w:sz w:val="24"/>
        </w:rPr>
      </w:pPr>
      <w:r>
        <w:rPr>
          <w:rFonts w:hint="eastAsia" w:ascii="仿宋" w:hAnsi="仿宋" w:eastAsia="仿宋" w:cs="仿宋"/>
          <w:color w:val="auto"/>
          <w:spacing w:val="-13"/>
          <w:sz w:val="24"/>
        </w:rPr>
        <w:t>法定代表人（签字或盖章</w:t>
      </w:r>
      <w:r>
        <w:rPr>
          <w:rFonts w:hint="eastAsia" w:ascii="仿宋" w:hAnsi="仿宋" w:eastAsia="仿宋" w:cs="仿宋"/>
          <w:color w:val="auto"/>
          <w:spacing w:val="-84"/>
          <w:sz w:val="24"/>
        </w:rPr>
        <w:t>）</w:t>
      </w:r>
    </w:p>
    <w:p w14:paraId="6118C4C1">
      <w:pPr>
        <w:adjustRightInd w:val="0"/>
        <w:snapToGrid w:val="0"/>
        <w:ind w:left="239" w:leftChars="114" w:firstLine="120" w:firstLineChars="50"/>
        <w:jc w:val="left"/>
        <w:rPr>
          <w:rFonts w:hint="eastAsia" w:ascii="仿宋" w:hAnsi="仿宋" w:eastAsia="仿宋" w:cs="仿宋"/>
          <w:color w:val="auto"/>
          <w:sz w:val="24"/>
        </w:rPr>
      </w:pPr>
    </w:p>
    <w:p w14:paraId="2055061F">
      <w:pPr>
        <w:adjustRightInd w:val="0"/>
        <w:snapToGrid w:val="0"/>
        <w:ind w:left="239" w:leftChars="114" w:firstLine="120" w:firstLineChars="50"/>
        <w:jc w:val="left"/>
        <w:rPr>
          <w:rFonts w:hint="eastAsia" w:ascii="仿宋" w:hAnsi="仿宋" w:eastAsia="仿宋" w:cs="仿宋"/>
          <w:color w:val="auto"/>
          <w:sz w:val="24"/>
        </w:rPr>
      </w:pPr>
      <w:r>
        <w:rPr>
          <w:rFonts w:hint="eastAsia" w:ascii="仿宋" w:hAnsi="仿宋" w:eastAsia="仿宋" w:cs="仿宋"/>
          <w:color w:val="auto"/>
          <w:sz w:val="24"/>
        </w:rPr>
        <w:t>日期：年月日</w:t>
      </w:r>
    </w:p>
    <w:p w14:paraId="5E67939D">
      <w:pPr>
        <w:spacing w:before="79" w:line="185" w:lineRule="auto"/>
        <w:ind w:left="1207" w:leftChars="114" w:hanging="968" w:hangingChars="440"/>
        <w:jc w:val="left"/>
        <w:rPr>
          <w:rFonts w:hint="eastAsia" w:ascii="仿宋" w:hAnsi="仿宋" w:eastAsia="仿宋" w:cs="仿宋"/>
          <w:color w:val="auto"/>
          <w:sz w:val="24"/>
        </w:rPr>
      </w:pPr>
      <w:r>
        <w:rPr>
          <w:rFonts w:hint="eastAsia" w:ascii="仿宋" w:hAnsi="仿宋" w:eastAsia="仿宋" w:cs="仿宋"/>
          <w:color w:val="auto"/>
          <w:spacing w:val="-10"/>
          <w:sz w:val="24"/>
        </w:rPr>
        <w:t>注：1、投标人必须填写报价明细表且明细表中需包含服务需求表中所有内容，否则将导致投标被拒绝。</w:t>
      </w:r>
    </w:p>
    <w:p w14:paraId="0E613716">
      <w:pPr>
        <w:spacing w:before="228" w:line="185" w:lineRule="auto"/>
        <w:ind w:firstLine="654" w:firstLineChars="300"/>
        <w:jc w:val="left"/>
        <w:rPr>
          <w:rFonts w:hint="eastAsia" w:ascii="仿宋" w:hAnsi="仿宋" w:eastAsia="仿宋" w:cs="仿宋"/>
          <w:color w:val="auto"/>
          <w:sz w:val="24"/>
        </w:rPr>
      </w:pPr>
      <w:r>
        <w:rPr>
          <w:rFonts w:hint="eastAsia" w:ascii="仿宋" w:hAnsi="仿宋" w:eastAsia="仿宋" w:cs="仿宋"/>
          <w:color w:val="auto"/>
          <w:spacing w:val="-11"/>
          <w:sz w:val="24"/>
          <w:lang w:eastAsia="zh-CN"/>
        </w:rPr>
        <w:t>2.</w:t>
      </w:r>
      <w:r>
        <w:rPr>
          <w:rFonts w:hint="eastAsia" w:ascii="仿宋" w:hAnsi="仿宋" w:eastAsia="仿宋" w:cs="仿宋"/>
          <w:color w:val="auto"/>
          <w:spacing w:val="-11"/>
          <w:sz w:val="24"/>
        </w:rPr>
        <w:t>报价分析表中的“投标总价”应等于“开标一览表”中的“投标总价”。</w:t>
      </w:r>
    </w:p>
    <w:p w14:paraId="1BA667F5">
      <w:pPr>
        <w:spacing w:before="227" w:line="185" w:lineRule="auto"/>
        <w:ind w:firstLine="702" w:firstLineChars="300"/>
        <w:jc w:val="left"/>
        <w:outlineLvl w:val="2"/>
        <w:rPr>
          <w:rFonts w:hint="eastAsia" w:ascii="仿宋" w:hAnsi="仿宋" w:eastAsia="仿宋" w:cs="仿宋"/>
          <w:color w:val="auto"/>
          <w:spacing w:val="-3"/>
          <w:sz w:val="24"/>
        </w:rPr>
      </w:pPr>
      <w:bookmarkStart w:id="573" w:name="_Toc15566"/>
      <w:r>
        <w:rPr>
          <w:rFonts w:hint="eastAsia" w:ascii="仿宋" w:hAnsi="仿宋" w:eastAsia="仿宋" w:cs="仿宋"/>
          <w:color w:val="auto"/>
          <w:spacing w:val="-3"/>
          <w:sz w:val="24"/>
          <w:lang w:eastAsia="zh-CN"/>
        </w:rPr>
        <w:t>3.</w:t>
      </w:r>
      <w:r>
        <w:rPr>
          <w:rFonts w:hint="eastAsia" w:ascii="仿宋" w:hAnsi="仿宋" w:eastAsia="仿宋" w:cs="仿宋"/>
          <w:color w:val="auto"/>
          <w:spacing w:val="-3"/>
          <w:sz w:val="24"/>
        </w:rPr>
        <w:t>报价项目填报不下的，可自行扩展</w:t>
      </w:r>
      <w:bookmarkEnd w:id="573"/>
      <w:r>
        <w:rPr>
          <w:rFonts w:hint="eastAsia" w:ascii="仿宋" w:hAnsi="仿宋" w:eastAsia="仿宋" w:cs="仿宋"/>
          <w:color w:val="auto"/>
          <w:spacing w:val="-3"/>
          <w:sz w:val="24"/>
        </w:rPr>
        <w:t>。</w:t>
      </w:r>
    </w:p>
    <w:p w14:paraId="0E519F04">
      <w:pPr>
        <w:spacing w:before="227" w:line="185" w:lineRule="auto"/>
        <w:ind w:firstLine="702" w:firstLineChars="300"/>
        <w:jc w:val="left"/>
        <w:outlineLvl w:val="2"/>
        <w:rPr>
          <w:rFonts w:hint="eastAsia" w:ascii="仿宋" w:hAnsi="仿宋" w:eastAsia="仿宋" w:cs="仿宋"/>
          <w:color w:val="auto"/>
          <w:sz w:val="24"/>
        </w:rPr>
      </w:pPr>
      <w:r>
        <w:rPr>
          <w:rFonts w:hint="eastAsia" w:ascii="仿宋" w:hAnsi="仿宋" w:eastAsia="仿宋" w:cs="仿宋"/>
          <w:color w:val="auto"/>
          <w:spacing w:val="-3"/>
          <w:sz w:val="24"/>
          <w:lang w:eastAsia="zh-CN"/>
        </w:rPr>
        <w:t>4.</w:t>
      </w:r>
      <w:r>
        <w:rPr>
          <w:rFonts w:hint="eastAsia" w:ascii="仿宋" w:hAnsi="仿宋" w:eastAsia="仿宋" w:cs="仿宋"/>
          <w:color w:val="auto"/>
          <w:sz w:val="24"/>
        </w:rPr>
        <w:t>此表投标总价填写</w:t>
      </w:r>
      <w:r>
        <w:rPr>
          <w:rFonts w:hint="eastAsia" w:ascii="仿宋" w:hAnsi="仿宋" w:eastAsia="仿宋" w:cs="仿宋"/>
          <w:color w:val="auto"/>
          <w:sz w:val="24"/>
          <w:lang w:val="en-US" w:eastAsia="zh-CN"/>
        </w:rPr>
        <w:t>各项</w:t>
      </w:r>
      <w:r>
        <w:rPr>
          <w:rFonts w:hint="eastAsia" w:ascii="仿宋" w:hAnsi="仿宋" w:eastAsia="仿宋" w:cs="仿宋"/>
          <w:color w:val="auto"/>
          <w:sz w:val="24"/>
        </w:rPr>
        <w:t>费用相加后的总价。</w:t>
      </w:r>
    </w:p>
    <w:p w14:paraId="12F67DDF">
      <w:pPr>
        <w:pStyle w:val="45"/>
        <w:jc w:val="center"/>
        <w:outlineLvl w:val="1"/>
        <w:rPr>
          <w:rFonts w:hint="eastAsia" w:ascii="仿宋" w:hAnsi="仿宋" w:eastAsia="仿宋" w:cs="仿宋"/>
          <w:b/>
          <w:bCs/>
          <w:color w:val="auto"/>
          <w:sz w:val="24"/>
          <w:szCs w:val="24"/>
        </w:rPr>
      </w:pPr>
    </w:p>
    <w:p w14:paraId="0F3C030D">
      <w:pPr>
        <w:pStyle w:val="46"/>
        <w:rPr>
          <w:rFonts w:hint="eastAsia"/>
        </w:rPr>
      </w:pPr>
    </w:p>
    <w:p w14:paraId="42D3812B">
      <w:pPr>
        <w:pStyle w:val="45"/>
        <w:numPr>
          <w:ilvl w:val="0"/>
          <w:numId w:val="0"/>
        </w:numPr>
        <w:ind w:left="141" w:leftChars="0" w:right="62" w:rightChars="0" w:hanging="141" w:hangingChars="50"/>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商务部分</w:t>
      </w:r>
    </w:p>
    <w:p w14:paraId="12493D97">
      <w:pPr>
        <w:pStyle w:val="45"/>
        <w:numPr>
          <w:ilvl w:val="0"/>
          <w:numId w:val="0"/>
        </w:numPr>
        <w:ind w:left="120" w:leftChars="0" w:right="62" w:rightChars="0" w:hanging="120" w:hangingChars="50"/>
        <w:rPr>
          <w:rFonts w:hint="eastAsia" w:ascii="仿宋" w:hAnsi="仿宋" w:eastAsia="仿宋" w:cs="仿宋"/>
          <w:b/>
          <w:bCs/>
          <w:color w:val="auto"/>
          <w:sz w:val="24"/>
          <w:szCs w:val="24"/>
          <w:lang w:val="en-US" w:eastAsia="zh-CN"/>
        </w:rPr>
      </w:pPr>
      <w:r>
        <w:rPr>
          <w:rFonts w:hint="eastAsia" w:ascii="仿宋" w:hAnsi="仿宋" w:eastAsia="仿宋" w:cs="仿宋"/>
          <w:b/>
          <w:bCs/>
          <w:color w:val="auto"/>
          <w:kern w:val="2"/>
          <w:sz w:val="24"/>
          <w:szCs w:val="24"/>
          <w:lang w:val="en-US" w:eastAsia="zh-CN" w:bidi="ar-SA"/>
        </w:rPr>
        <w:t>（一）</w:t>
      </w:r>
      <w:r>
        <w:rPr>
          <w:rFonts w:hint="eastAsia" w:ascii="仿宋" w:hAnsi="仿宋" w:eastAsia="仿宋" w:cs="仿宋"/>
          <w:b/>
          <w:bCs/>
          <w:color w:val="auto"/>
          <w:sz w:val="24"/>
          <w:szCs w:val="24"/>
          <w:lang w:val="en-US" w:eastAsia="zh-CN"/>
        </w:rPr>
        <w:t>、1.投标单位简介，并附投标人资质证件等；</w:t>
      </w:r>
    </w:p>
    <w:p w14:paraId="082022D8">
      <w:pPr>
        <w:jc w:val="center"/>
        <w:rPr>
          <w:rFonts w:hint="eastAsia" w:ascii="仿宋" w:hAnsi="仿宋" w:eastAsia="仿宋" w:cs="仿宋"/>
          <w:b/>
          <w:color w:val="auto"/>
          <w:sz w:val="24"/>
          <w:szCs w:val="24"/>
        </w:rPr>
      </w:pPr>
    </w:p>
    <w:p w14:paraId="6484AAA5">
      <w:pPr>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投标单位简介</w:t>
      </w:r>
      <w:r>
        <w:rPr>
          <w:rFonts w:hint="eastAsia" w:ascii="仿宋" w:hAnsi="仿宋" w:eastAsia="仿宋" w:cs="仿宋"/>
          <w:b/>
          <w:color w:val="auto"/>
          <w:sz w:val="24"/>
          <w:szCs w:val="24"/>
          <w:lang w:eastAsia="zh-CN"/>
        </w:rPr>
        <w:t>（</w:t>
      </w:r>
      <w:r>
        <w:rPr>
          <w:rFonts w:hint="eastAsia" w:ascii="仿宋" w:hAnsi="仿宋" w:eastAsia="仿宋" w:cs="仿宋"/>
          <w:b/>
          <w:color w:val="auto"/>
          <w:sz w:val="24"/>
          <w:szCs w:val="24"/>
        </w:rPr>
        <w:t>投标人自行编制</w:t>
      </w:r>
      <w:r>
        <w:rPr>
          <w:rFonts w:hint="eastAsia" w:ascii="仿宋" w:hAnsi="仿宋" w:eastAsia="仿宋" w:cs="仿宋"/>
          <w:b/>
          <w:color w:val="auto"/>
          <w:sz w:val="24"/>
          <w:szCs w:val="24"/>
          <w:lang w:eastAsia="zh-CN"/>
        </w:rPr>
        <w:t>）</w:t>
      </w:r>
    </w:p>
    <w:p w14:paraId="0C56D376">
      <w:pPr>
        <w:ind w:firstLine="482" w:firstLineChars="200"/>
        <w:rPr>
          <w:rFonts w:hint="eastAsia" w:ascii="仿宋" w:hAnsi="仿宋" w:eastAsia="仿宋" w:cs="仿宋"/>
          <w:b/>
          <w:color w:val="auto"/>
          <w:sz w:val="24"/>
          <w:szCs w:val="24"/>
        </w:rPr>
      </w:pPr>
    </w:p>
    <w:p w14:paraId="7694D8A9">
      <w:pPr>
        <w:numPr>
          <w:ilvl w:val="0"/>
          <w:numId w:val="0"/>
        </w:numPr>
        <w:ind w:leftChars="-50" w:right="62" w:rightChars="0"/>
        <w:rPr>
          <w:rFonts w:hint="eastAsia" w:ascii="仿宋" w:hAnsi="仿宋" w:eastAsia="仿宋" w:cs="仿宋"/>
          <w:b/>
          <w:color w:val="auto"/>
          <w:sz w:val="24"/>
          <w:szCs w:val="24"/>
        </w:rPr>
      </w:pPr>
    </w:p>
    <w:p w14:paraId="26EA89A7">
      <w:pPr>
        <w:numPr>
          <w:ilvl w:val="0"/>
          <w:numId w:val="0"/>
        </w:numPr>
        <w:ind w:leftChars="-50" w:right="62" w:rightChars="0"/>
        <w:rPr>
          <w:rFonts w:hint="eastAsia" w:ascii="仿宋" w:hAnsi="仿宋" w:eastAsia="仿宋" w:cs="仿宋"/>
          <w:b/>
          <w:color w:val="auto"/>
          <w:sz w:val="24"/>
          <w:szCs w:val="24"/>
        </w:rPr>
      </w:pPr>
    </w:p>
    <w:p w14:paraId="253103AD">
      <w:pPr>
        <w:numPr>
          <w:ilvl w:val="0"/>
          <w:numId w:val="0"/>
        </w:numPr>
        <w:ind w:leftChars="-50" w:right="62" w:rightChars="0"/>
        <w:rPr>
          <w:rFonts w:hint="eastAsia" w:ascii="仿宋" w:hAnsi="仿宋" w:eastAsia="仿宋" w:cs="仿宋"/>
          <w:b/>
          <w:color w:val="auto"/>
          <w:sz w:val="24"/>
          <w:szCs w:val="24"/>
        </w:rPr>
      </w:pPr>
      <w:r>
        <w:rPr>
          <w:rFonts w:hint="eastAsia" w:ascii="仿宋" w:hAnsi="仿宋" w:eastAsia="仿宋" w:cs="仿宋"/>
          <w:b/>
          <w:color w:val="auto"/>
          <w:sz w:val="24"/>
          <w:szCs w:val="24"/>
        </w:rPr>
        <w:t>后附：投标人单位相关资质证件</w:t>
      </w:r>
    </w:p>
    <w:p w14:paraId="3D76F359">
      <w:pPr>
        <w:pStyle w:val="45"/>
        <w:rPr>
          <w:rFonts w:hint="eastAsia" w:ascii="仿宋" w:hAnsi="仿宋" w:eastAsia="仿宋" w:cs="仿宋"/>
          <w:b/>
          <w:color w:val="auto"/>
          <w:sz w:val="24"/>
          <w:szCs w:val="24"/>
        </w:rPr>
      </w:pPr>
    </w:p>
    <w:p w14:paraId="726ABF98">
      <w:pPr>
        <w:rPr>
          <w:rFonts w:hint="eastAsia" w:ascii="仿宋" w:hAnsi="仿宋" w:eastAsia="仿宋" w:cs="仿宋"/>
          <w:b/>
          <w:color w:val="auto"/>
          <w:sz w:val="24"/>
          <w:szCs w:val="24"/>
        </w:rPr>
      </w:pPr>
    </w:p>
    <w:p w14:paraId="53F6FE9B">
      <w:pPr>
        <w:rPr>
          <w:rFonts w:hint="eastAsia" w:ascii="仿宋" w:hAnsi="仿宋" w:eastAsia="仿宋" w:cs="仿宋"/>
          <w:b/>
          <w:color w:val="auto"/>
          <w:sz w:val="24"/>
          <w:szCs w:val="24"/>
        </w:rPr>
      </w:pPr>
    </w:p>
    <w:p w14:paraId="24A21E56">
      <w:pPr>
        <w:rPr>
          <w:rFonts w:hint="eastAsia" w:ascii="仿宋" w:hAnsi="仿宋" w:eastAsia="仿宋" w:cs="仿宋"/>
          <w:b/>
          <w:color w:val="auto"/>
          <w:sz w:val="24"/>
          <w:szCs w:val="24"/>
        </w:rPr>
      </w:pPr>
    </w:p>
    <w:p w14:paraId="638E2983">
      <w:pPr>
        <w:rPr>
          <w:rFonts w:hint="eastAsia" w:ascii="仿宋" w:hAnsi="仿宋" w:eastAsia="仿宋" w:cs="仿宋"/>
          <w:b/>
          <w:color w:val="auto"/>
          <w:sz w:val="24"/>
          <w:szCs w:val="24"/>
        </w:rPr>
      </w:pPr>
    </w:p>
    <w:p w14:paraId="608C71BF">
      <w:pPr>
        <w:rPr>
          <w:rFonts w:hint="eastAsia" w:ascii="仿宋" w:hAnsi="仿宋" w:eastAsia="仿宋" w:cs="仿宋"/>
          <w:b/>
          <w:color w:val="auto"/>
          <w:sz w:val="24"/>
          <w:szCs w:val="24"/>
        </w:rPr>
      </w:pPr>
    </w:p>
    <w:p w14:paraId="12B345E0">
      <w:pPr>
        <w:rPr>
          <w:rFonts w:hint="eastAsia" w:ascii="仿宋" w:hAnsi="仿宋" w:eastAsia="仿宋" w:cs="仿宋"/>
          <w:b/>
          <w:color w:val="auto"/>
          <w:sz w:val="24"/>
          <w:szCs w:val="24"/>
        </w:rPr>
      </w:pPr>
    </w:p>
    <w:p w14:paraId="31F475FF">
      <w:pPr>
        <w:rPr>
          <w:rFonts w:hint="eastAsia" w:ascii="仿宋" w:hAnsi="仿宋" w:eastAsia="仿宋" w:cs="仿宋"/>
          <w:b/>
          <w:color w:val="auto"/>
          <w:sz w:val="24"/>
          <w:szCs w:val="24"/>
        </w:rPr>
      </w:pPr>
    </w:p>
    <w:p w14:paraId="39F01645">
      <w:pPr>
        <w:rPr>
          <w:rFonts w:hint="eastAsia" w:ascii="仿宋" w:hAnsi="仿宋" w:eastAsia="仿宋" w:cs="仿宋"/>
          <w:b/>
          <w:color w:val="auto"/>
          <w:sz w:val="24"/>
          <w:szCs w:val="24"/>
        </w:rPr>
      </w:pPr>
    </w:p>
    <w:p w14:paraId="0475CE11">
      <w:pPr>
        <w:rPr>
          <w:rFonts w:hint="eastAsia" w:ascii="仿宋" w:hAnsi="仿宋" w:eastAsia="仿宋" w:cs="仿宋"/>
          <w:b/>
          <w:color w:val="auto"/>
          <w:sz w:val="24"/>
          <w:szCs w:val="24"/>
        </w:rPr>
      </w:pPr>
    </w:p>
    <w:p w14:paraId="2FD48DE0">
      <w:pPr>
        <w:rPr>
          <w:rFonts w:hint="eastAsia" w:ascii="仿宋" w:hAnsi="仿宋" w:eastAsia="仿宋" w:cs="仿宋"/>
          <w:b/>
          <w:color w:val="auto"/>
          <w:sz w:val="24"/>
          <w:szCs w:val="24"/>
        </w:rPr>
      </w:pPr>
    </w:p>
    <w:p w14:paraId="42443E97">
      <w:pPr>
        <w:rPr>
          <w:rFonts w:hint="eastAsia" w:ascii="仿宋" w:hAnsi="仿宋" w:eastAsia="仿宋" w:cs="仿宋"/>
          <w:b/>
          <w:color w:val="auto"/>
          <w:sz w:val="24"/>
          <w:szCs w:val="24"/>
        </w:rPr>
      </w:pPr>
    </w:p>
    <w:p w14:paraId="6CF5EF4E">
      <w:pPr>
        <w:rPr>
          <w:rFonts w:hint="eastAsia" w:ascii="仿宋" w:hAnsi="仿宋" w:eastAsia="仿宋" w:cs="仿宋"/>
          <w:b/>
          <w:color w:val="auto"/>
          <w:sz w:val="24"/>
          <w:szCs w:val="24"/>
        </w:rPr>
      </w:pPr>
    </w:p>
    <w:p w14:paraId="2DEB15A7">
      <w:pPr>
        <w:rPr>
          <w:rFonts w:hint="eastAsia" w:ascii="仿宋" w:hAnsi="仿宋" w:eastAsia="仿宋" w:cs="仿宋"/>
          <w:b/>
          <w:color w:val="auto"/>
          <w:sz w:val="24"/>
          <w:szCs w:val="24"/>
        </w:rPr>
      </w:pPr>
    </w:p>
    <w:p w14:paraId="747DAE94">
      <w:pPr>
        <w:rPr>
          <w:rFonts w:hint="eastAsia" w:ascii="仿宋" w:hAnsi="仿宋" w:eastAsia="仿宋" w:cs="仿宋"/>
          <w:b/>
          <w:color w:val="auto"/>
          <w:sz w:val="24"/>
          <w:szCs w:val="24"/>
        </w:rPr>
      </w:pPr>
    </w:p>
    <w:p w14:paraId="2A85AEBF">
      <w:pPr>
        <w:rPr>
          <w:rFonts w:hint="eastAsia" w:ascii="仿宋" w:hAnsi="仿宋" w:eastAsia="仿宋" w:cs="仿宋"/>
          <w:b/>
          <w:color w:val="auto"/>
          <w:sz w:val="24"/>
          <w:szCs w:val="24"/>
        </w:rPr>
      </w:pPr>
    </w:p>
    <w:p w14:paraId="000ECA32">
      <w:pPr>
        <w:rPr>
          <w:rFonts w:hint="eastAsia" w:ascii="仿宋" w:hAnsi="仿宋" w:eastAsia="仿宋" w:cs="仿宋"/>
          <w:b/>
          <w:color w:val="auto"/>
          <w:sz w:val="24"/>
          <w:szCs w:val="24"/>
        </w:rPr>
      </w:pPr>
    </w:p>
    <w:p w14:paraId="14BBD977">
      <w:pPr>
        <w:rPr>
          <w:rFonts w:hint="eastAsia" w:ascii="仿宋" w:hAnsi="仿宋" w:eastAsia="仿宋" w:cs="仿宋"/>
          <w:b/>
          <w:color w:val="auto"/>
          <w:sz w:val="24"/>
          <w:szCs w:val="24"/>
        </w:rPr>
      </w:pPr>
    </w:p>
    <w:p w14:paraId="7D908EBD">
      <w:pPr>
        <w:rPr>
          <w:rFonts w:hint="eastAsia" w:ascii="仿宋" w:hAnsi="仿宋" w:eastAsia="仿宋" w:cs="仿宋"/>
          <w:b/>
          <w:color w:val="auto"/>
          <w:sz w:val="24"/>
          <w:szCs w:val="24"/>
        </w:rPr>
      </w:pPr>
    </w:p>
    <w:p w14:paraId="3D200480">
      <w:pPr>
        <w:rPr>
          <w:rFonts w:hint="eastAsia" w:ascii="仿宋" w:hAnsi="仿宋" w:eastAsia="仿宋" w:cs="仿宋"/>
          <w:b/>
          <w:color w:val="auto"/>
          <w:sz w:val="24"/>
          <w:szCs w:val="24"/>
        </w:rPr>
      </w:pPr>
    </w:p>
    <w:p w14:paraId="0E896356">
      <w:pPr>
        <w:rPr>
          <w:rFonts w:hint="eastAsia" w:ascii="仿宋" w:hAnsi="仿宋" w:eastAsia="仿宋" w:cs="仿宋"/>
          <w:b/>
          <w:color w:val="auto"/>
          <w:sz w:val="24"/>
          <w:szCs w:val="24"/>
        </w:rPr>
      </w:pPr>
    </w:p>
    <w:p w14:paraId="70485387">
      <w:pPr>
        <w:rPr>
          <w:rFonts w:hint="eastAsia" w:ascii="仿宋" w:hAnsi="仿宋" w:eastAsia="仿宋" w:cs="仿宋"/>
          <w:b/>
          <w:color w:val="auto"/>
          <w:sz w:val="24"/>
          <w:szCs w:val="24"/>
        </w:rPr>
      </w:pPr>
    </w:p>
    <w:p w14:paraId="7D8AC9A3">
      <w:pPr>
        <w:pStyle w:val="45"/>
        <w:numPr>
          <w:ilvl w:val="0"/>
          <w:numId w:val="0"/>
        </w:numPr>
        <w:ind w:left="120" w:leftChars="0" w:right="62" w:rightChars="0" w:hanging="120" w:hangingChars="50"/>
        <w:rPr>
          <w:rFonts w:hint="eastAsia" w:ascii="仿宋" w:hAnsi="仿宋" w:eastAsia="仿宋" w:cs="仿宋"/>
          <w:b/>
          <w:bCs/>
          <w:color w:val="auto"/>
          <w:sz w:val="24"/>
          <w:szCs w:val="24"/>
          <w:lang w:val="en-US" w:eastAsia="zh-CN"/>
        </w:rPr>
      </w:pPr>
      <w:r>
        <w:rPr>
          <w:rFonts w:hint="eastAsia" w:ascii="仿宋" w:hAnsi="仿宋" w:eastAsia="仿宋" w:cs="仿宋"/>
          <w:b/>
          <w:bCs/>
          <w:color w:val="auto"/>
          <w:kern w:val="2"/>
          <w:sz w:val="24"/>
          <w:szCs w:val="24"/>
          <w:lang w:val="en-US" w:eastAsia="zh-CN" w:bidi="ar-SA"/>
        </w:rPr>
        <w:br w:type="page"/>
      </w:r>
      <w:r>
        <w:rPr>
          <w:rFonts w:hint="eastAsia" w:ascii="仿宋" w:hAnsi="仿宋" w:eastAsia="仿宋" w:cs="仿宋"/>
          <w:b/>
          <w:bCs/>
          <w:color w:val="auto"/>
          <w:kern w:val="2"/>
          <w:sz w:val="24"/>
          <w:szCs w:val="24"/>
          <w:lang w:val="en-US" w:eastAsia="zh-CN" w:bidi="ar-SA"/>
        </w:rPr>
        <w:t>（二）</w:t>
      </w:r>
      <w:r>
        <w:rPr>
          <w:rFonts w:hint="eastAsia" w:ascii="仿宋" w:hAnsi="仿宋" w:eastAsia="仿宋" w:cs="仿宋"/>
          <w:b/>
          <w:bCs/>
          <w:color w:val="auto"/>
          <w:sz w:val="24"/>
          <w:szCs w:val="24"/>
          <w:lang w:val="en-US" w:eastAsia="zh-CN"/>
        </w:rPr>
        <w:t>、具法人营业执照函（格式见附件）</w:t>
      </w:r>
    </w:p>
    <w:p w14:paraId="01067602">
      <w:pPr>
        <w:pStyle w:val="37"/>
        <w:spacing w:line="240" w:lineRule="auto"/>
        <w:ind w:left="0" w:leftChars="0" w:firstLine="0" w:firstLineChars="0"/>
        <w:jc w:val="center"/>
        <w:rPr>
          <w:rFonts w:hint="eastAsia" w:ascii="仿宋" w:hAnsi="仿宋" w:eastAsia="仿宋" w:cs="仿宋"/>
          <w:b/>
          <w:color w:val="auto"/>
          <w:sz w:val="24"/>
          <w:szCs w:val="24"/>
        </w:rPr>
      </w:pPr>
    </w:p>
    <w:p w14:paraId="507B3E5A">
      <w:pPr>
        <w:pStyle w:val="37"/>
        <w:spacing w:line="240" w:lineRule="auto"/>
        <w:ind w:left="0" w:leftChars="0" w:firstLine="0" w:firstLineChars="0"/>
        <w:jc w:val="center"/>
        <w:rPr>
          <w:rFonts w:hint="eastAsia" w:ascii="仿宋" w:hAnsi="仿宋" w:eastAsia="仿宋" w:cs="仿宋"/>
          <w:b/>
          <w:color w:val="auto"/>
          <w:sz w:val="24"/>
          <w:szCs w:val="24"/>
          <w:lang w:eastAsia="zh-CN"/>
        </w:rPr>
      </w:pPr>
      <w:r>
        <w:rPr>
          <w:rFonts w:hint="eastAsia" w:ascii="仿宋" w:hAnsi="仿宋" w:eastAsia="仿宋" w:cs="仿宋"/>
          <w:b/>
          <w:color w:val="auto"/>
          <w:sz w:val="24"/>
          <w:szCs w:val="24"/>
        </w:rPr>
        <w:t>出具法人营业执照函</w:t>
      </w:r>
    </w:p>
    <w:p w14:paraId="40FCF43E">
      <w:pPr>
        <w:rPr>
          <w:rFonts w:hint="eastAsia" w:ascii="仿宋" w:hAnsi="仿宋" w:eastAsia="仿宋" w:cs="仿宋"/>
          <w:color w:val="auto"/>
          <w:sz w:val="24"/>
          <w:szCs w:val="24"/>
        </w:rPr>
      </w:pPr>
    </w:p>
    <w:p w14:paraId="35E04972">
      <w:pPr>
        <w:rPr>
          <w:rFonts w:hint="eastAsia" w:ascii="仿宋" w:hAnsi="仿宋" w:eastAsia="仿宋" w:cs="仿宋"/>
          <w:color w:val="auto"/>
          <w:sz w:val="24"/>
          <w:szCs w:val="24"/>
        </w:rPr>
      </w:pPr>
      <w:r>
        <w:rPr>
          <w:rFonts w:hint="eastAsia" w:ascii="仿宋" w:hAnsi="仿宋" w:eastAsia="仿宋" w:cs="仿宋"/>
          <w:color w:val="auto"/>
          <w:sz w:val="24"/>
          <w:szCs w:val="24"/>
        </w:rPr>
        <w:t>招标人：：</w:t>
      </w:r>
    </w:p>
    <w:p w14:paraId="3146C2D1">
      <w:pPr>
        <w:rPr>
          <w:rFonts w:hint="eastAsia" w:ascii="仿宋" w:hAnsi="仿宋" w:eastAsia="仿宋" w:cs="仿宋"/>
          <w:color w:val="auto"/>
          <w:sz w:val="24"/>
          <w:szCs w:val="24"/>
        </w:rPr>
      </w:pPr>
    </w:p>
    <w:p w14:paraId="11A9822B">
      <w:pPr>
        <w:ind w:left="0"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现附上由（签发机关名称）签发的我方法人营业执照复印件，该执照已经年检，真实有效。</w:t>
      </w:r>
    </w:p>
    <w:p w14:paraId="45792A1E">
      <w:pPr>
        <w:ind w:firstLine="852"/>
        <w:rPr>
          <w:rFonts w:hint="eastAsia" w:ascii="仿宋" w:hAnsi="仿宋" w:eastAsia="仿宋" w:cs="仿宋"/>
          <w:color w:val="auto"/>
          <w:sz w:val="24"/>
          <w:szCs w:val="24"/>
        </w:rPr>
      </w:pPr>
    </w:p>
    <w:p w14:paraId="2242F609">
      <w:pPr>
        <w:ind w:firstLine="852"/>
        <w:rPr>
          <w:rFonts w:hint="eastAsia" w:ascii="仿宋" w:hAnsi="仿宋" w:eastAsia="仿宋" w:cs="仿宋"/>
          <w:color w:val="auto"/>
          <w:sz w:val="24"/>
          <w:szCs w:val="24"/>
        </w:rPr>
      </w:pPr>
    </w:p>
    <w:p w14:paraId="6D5B6E10">
      <w:pPr>
        <w:ind w:firstLine="852"/>
        <w:rPr>
          <w:rFonts w:hint="eastAsia" w:ascii="仿宋" w:hAnsi="仿宋" w:eastAsia="仿宋" w:cs="仿宋"/>
          <w:color w:val="auto"/>
          <w:sz w:val="24"/>
          <w:szCs w:val="24"/>
        </w:rPr>
      </w:pPr>
    </w:p>
    <w:p w14:paraId="49E10E1F">
      <w:pP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投标单位名称</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盖章</w:t>
      </w:r>
      <w:r>
        <w:rPr>
          <w:rFonts w:hint="eastAsia" w:ascii="仿宋" w:hAnsi="仿宋" w:eastAsia="仿宋" w:cs="仿宋"/>
          <w:color w:val="auto"/>
          <w:sz w:val="24"/>
          <w:szCs w:val="24"/>
        </w:rPr>
        <w:t>）</w:t>
      </w:r>
    </w:p>
    <w:p w14:paraId="405E6C68">
      <w:pPr>
        <w:rPr>
          <w:rFonts w:hint="eastAsia" w:ascii="仿宋" w:hAnsi="仿宋" w:eastAsia="仿宋" w:cs="仿宋"/>
          <w:color w:val="auto"/>
          <w:sz w:val="24"/>
          <w:szCs w:val="24"/>
        </w:rPr>
      </w:pPr>
    </w:p>
    <w:p w14:paraId="77E47D1C">
      <w:pPr>
        <w:rPr>
          <w:rFonts w:hint="eastAsia" w:ascii="仿宋" w:hAnsi="仿宋" w:eastAsia="仿宋" w:cs="仿宋"/>
          <w:color w:val="auto"/>
          <w:sz w:val="24"/>
          <w:szCs w:val="24"/>
        </w:rPr>
      </w:pPr>
    </w:p>
    <w:p w14:paraId="4B72E312">
      <w:pP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签字或</w:t>
      </w:r>
      <w:r>
        <w:rPr>
          <w:rFonts w:hint="eastAsia" w:ascii="仿宋" w:hAnsi="仿宋" w:eastAsia="仿宋" w:cs="仿宋"/>
          <w:color w:val="auto"/>
          <w:sz w:val="24"/>
          <w:szCs w:val="24"/>
        </w:rPr>
        <w:t>盖章）</w:t>
      </w:r>
    </w:p>
    <w:p w14:paraId="6B94FABE">
      <w:pPr>
        <w:rPr>
          <w:rFonts w:hint="eastAsia" w:ascii="仿宋" w:hAnsi="仿宋" w:eastAsia="仿宋" w:cs="仿宋"/>
          <w:color w:val="auto"/>
          <w:sz w:val="24"/>
          <w:szCs w:val="24"/>
        </w:rPr>
      </w:pPr>
    </w:p>
    <w:p w14:paraId="0E6EF53E">
      <w:pPr>
        <w:rPr>
          <w:rFonts w:hint="eastAsia" w:ascii="仿宋" w:hAnsi="仿宋" w:eastAsia="仿宋" w:cs="仿宋"/>
          <w:color w:val="auto"/>
          <w:sz w:val="24"/>
          <w:szCs w:val="24"/>
        </w:rPr>
      </w:pPr>
    </w:p>
    <w:p w14:paraId="0357C067">
      <w:pPr>
        <w:ind w:firstLine="3290" w:firstLineChars="1371"/>
        <w:jc w:val="right"/>
        <w:rPr>
          <w:rFonts w:hint="eastAsia" w:ascii="仿宋" w:hAnsi="仿宋" w:eastAsia="仿宋" w:cs="仿宋"/>
          <w:color w:val="auto"/>
          <w:sz w:val="24"/>
          <w:szCs w:val="24"/>
        </w:rPr>
      </w:pPr>
      <w:r>
        <w:rPr>
          <w:rFonts w:hint="eastAsia" w:ascii="仿宋" w:hAnsi="仿宋" w:eastAsia="仿宋" w:cs="仿宋"/>
          <w:color w:val="auto"/>
          <w:sz w:val="24"/>
          <w:szCs w:val="24"/>
        </w:rPr>
        <w:t>日期：年月日</w:t>
      </w:r>
    </w:p>
    <w:p w14:paraId="5CDFE1F1">
      <w:pPr>
        <w:jc w:val="right"/>
        <w:rPr>
          <w:rFonts w:hint="eastAsia" w:ascii="仿宋" w:hAnsi="仿宋" w:eastAsia="仿宋" w:cs="仿宋"/>
          <w:color w:val="auto"/>
          <w:sz w:val="24"/>
          <w:szCs w:val="24"/>
        </w:rPr>
      </w:pPr>
    </w:p>
    <w:p w14:paraId="0343BF11">
      <w:pPr>
        <w:rPr>
          <w:rFonts w:hint="eastAsia" w:ascii="仿宋" w:hAnsi="仿宋" w:eastAsia="仿宋" w:cs="仿宋"/>
          <w:color w:val="auto"/>
          <w:sz w:val="24"/>
          <w:szCs w:val="24"/>
        </w:rPr>
      </w:pPr>
    </w:p>
    <w:p w14:paraId="397A3202">
      <w:pPr>
        <w:numPr>
          <w:ilvl w:val="0"/>
          <w:numId w:val="0"/>
        </w:numPr>
        <w:ind w:leftChars="-50" w:right="62" w:rightChars="0"/>
        <w:rPr>
          <w:rFonts w:hint="eastAsia" w:ascii="仿宋" w:hAnsi="仿宋" w:eastAsia="仿宋" w:cs="仿宋"/>
          <w:b/>
          <w:color w:val="auto"/>
          <w:sz w:val="24"/>
          <w:szCs w:val="24"/>
        </w:rPr>
      </w:pPr>
      <w:r>
        <w:rPr>
          <w:rFonts w:hint="eastAsia" w:ascii="仿宋" w:hAnsi="仿宋" w:eastAsia="仿宋" w:cs="仿宋"/>
          <w:b/>
          <w:color w:val="auto"/>
          <w:sz w:val="24"/>
          <w:szCs w:val="24"/>
        </w:rPr>
        <w:t>后附：</w:t>
      </w:r>
      <w:r>
        <w:rPr>
          <w:rFonts w:hint="eastAsia" w:ascii="仿宋" w:hAnsi="仿宋" w:eastAsia="仿宋" w:cs="仿宋"/>
          <w:b/>
          <w:color w:val="auto"/>
          <w:sz w:val="24"/>
          <w:szCs w:val="24"/>
          <w:lang w:val="en-US" w:eastAsia="zh-CN"/>
        </w:rPr>
        <w:t>具有独立承担民事责任的能力，如投标人是企业（包括合伙企业），应提供在工商部门注册的有效“企业法人证书”或“营业执照”；如投标人是事业单位，应提供有效的“事业单位法人证书”；投标人是非企业专业服务机构的，应提供执业许可证等证明文件；如投标人是个体工商户，应提供有效的“个体工商户营业执照”；如投标人是自然人，应提供有效的自然人身份证明；</w:t>
      </w:r>
      <w:r>
        <w:rPr>
          <w:rFonts w:hint="eastAsia" w:ascii="仿宋" w:hAnsi="仿宋" w:eastAsia="仿宋" w:cs="仿宋"/>
          <w:b/>
          <w:color w:val="auto"/>
          <w:sz w:val="24"/>
          <w:szCs w:val="24"/>
        </w:rPr>
        <w:t>（格式见附件）；</w:t>
      </w:r>
    </w:p>
    <w:p w14:paraId="222772A6">
      <w:pPr>
        <w:numPr>
          <w:ilvl w:val="0"/>
          <w:numId w:val="0"/>
        </w:numPr>
        <w:ind w:leftChars="-50" w:right="62" w:rightChars="0"/>
        <w:rPr>
          <w:rFonts w:hint="eastAsia" w:ascii="仿宋" w:hAnsi="仿宋" w:eastAsia="仿宋" w:cs="仿宋"/>
          <w:b/>
          <w:color w:val="auto"/>
          <w:sz w:val="24"/>
          <w:szCs w:val="24"/>
        </w:rPr>
      </w:pPr>
    </w:p>
    <w:p w14:paraId="159CF147">
      <w:pPr>
        <w:numPr>
          <w:ilvl w:val="0"/>
          <w:numId w:val="0"/>
        </w:numPr>
        <w:ind w:leftChars="-50" w:right="62" w:rightChars="0"/>
        <w:rPr>
          <w:rFonts w:hint="eastAsia" w:ascii="仿宋" w:hAnsi="仿宋" w:eastAsia="仿宋" w:cs="仿宋"/>
          <w:b/>
          <w:color w:val="auto"/>
          <w:sz w:val="24"/>
          <w:szCs w:val="24"/>
        </w:rPr>
      </w:pPr>
    </w:p>
    <w:p w14:paraId="30339A02">
      <w:pPr>
        <w:numPr>
          <w:ilvl w:val="0"/>
          <w:numId w:val="0"/>
        </w:numPr>
        <w:ind w:leftChars="-50" w:right="62" w:rightChars="0"/>
        <w:rPr>
          <w:rFonts w:hint="eastAsia" w:ascii="仿宋" w:hAnsi="仿宋" w:eastAsia="仿宋" w:cs="仿宋"/>
          <w:b/>
          <w:color w:val="auto"/>
          <w:sz w:val="24"/>
          <w:szCs w:val="24"/>
        </w:rPr>
      </w:pPr>
    </w:p>
    <w:p w14:paraId="5563AE85">
      <w:pPr>
        <w:numPr>
          <w:ilvl w:val="0"/>
          <w:numId w:val="0"/>
        </w:numPr>
        <w:ind w:leftChars="-50" w:right="62" w:rightChars="0"/>
        <w:rPr>
          <w:rFonts w:hint="eastAsia" w:ascii="仿宋" w:hAnsi="仿宋" w:eastAsia="仿宋" w:cs="仿宋"/>
          <w:b/>
          <w:color w:val="auto"/>
          <w:sz w:val="24"/>
          <w:szCs w:val="24"/>
        </w:rPr>
      </w:pPr>
    </w:p>
    <w:p w14:paraId="599679EA">
      <w:pPr>
        <w:numPr>
          <w:ilvl w:val="0"/>
          <w:numId w:val="0"/>
        </w:numPr>
        <w:ind w:leftChars="-50" w:right="62" w:rightChars="0"/>
        <w:rPr>
          <w:rFonts w:hint="eastAsia" w:ascii="仿宋" w:hAnsi="仿宋" w:eastAsia="仿宋" w:cs="仿宋"/>
          <w:b/>
          <w:color w:val="auto"/>
          <w:sz w:val="24"/>
          <w:szCs w:val="24"/>
        </w:rPr>
      </w:pPr>
    </w:p>
    <w:p w14:paraId="3A27DFF2">
      <w:pPr>
        <w:pStyle w:val="45"/>
        <w:numPr>
          <w:ilvl w:val="0"/>
          <w:numId w:val="0"/>
        </w:numPr>
        <w:ind w:left="120" w:leftChars="0" w:right="62" w:rightChars="0" w:hanging="120" w:hangingChars="50"/>
        <w:rPr>
          <w:rFonts w:hint="eastAsia" w:ascii="仿宋" w:hAnsi="仿宋" w:eastAsia="仿宋" w:cs="仿宋"/>
          <w:b/>
          <w:bCs/>
          <w:color w:val="auto"/>
          <w:sz w:val="24"/>
          <w:szCs w:val="24"/>
          <w:lang w:val="en-US" w:eastAsia="zh-CN"/>
        </w:rPr>
      </w:pPr>
      <w:r>
        <w:rPr>
          <w:rFonts w:hint="eastAsia" w:ascii="仿宋" w:hAnsi="仿宋" w:eastAsia="仿宋" w:cs="仿宋"/>
          <w:b/>
          <w:bCs/>
          <w:color w:val="auto"/>
          <w:kern w:val="2"/>
          <w:sz w:val="24"/>
          <w:szCs w:val="24"/>
          <w:lang w:val="en-US" w:eastAsia="zh-CN" w:bidi="ar-SA"/>
        </w:rPr>
        <w:t>（三）</w:t>
      </w:r>
      <w:r>
        <w:rPr>
          <w:rFonts w:hint="eastAsia" w:ascii="仿宋" w:hAnsi="仿宋" w:eastAsia="仿宋" w:cs="仿宋"/>
          <w:b/>
          <w:bCs/>
          <w:color w:val="auto"/>
          <w:sz w:val="24"/>
          <w:szCs w:val="24"/>
          <w:lang w:val="en-US" w:eastAsia="zh-CN"/>
        </w:rPr>
        <w:t>、联合体协议书（如是）</w:t>
      </w:r>
    </w:p>
    <w:p w14:paraId="765B1784">
      <w:pPr>
        <w:jc w:val="center"/>
        <w:outlineLvl w:val="2"/>
        <w:rPr>
          <w:rFonts w:hint="eastAsia" w:ascii="仿宋" w:hAnsi="仿宋" w:eastAsia="仿宋" w:cs="仿宋"/>
          <w:b/>
          <w:color w:val="auto"/>
          <w:sz w:val="24"/>
          <w:szCs w:val="24"/>
        </w:rPr>
      </w:pPr>
    </w:p>
    <w:p w14:paraId="408E485C">
      <w:pPr>
        <w:jc w:val="center"/>
        <w:outlineLvl w:val="2"/>
        <w:rPr>
          <w:rFonts w:hint="eastAsia" w:ascii="仿宋" w:hAnsi="仿宋" w:eastAsia="仿宋" w:cs="仿宋"/>
          <w:b/>
          <w:color w:val="auto"/>
          <w:sz w:val="24"/>
          <w:szCs w:val="24"/>
          <w:lang w:eastAsia="zh-CN"/>
        </w:rPr>
      </w:pPr>
      <w:r>
        <w:rPr>
          <w:rFonts w:hint="eastAsia" w:ascii="仿宋" w:hAnsi="仿宋" w:eastAsia="仿宋" w:cs="仿宋"/>
          <w:b/>
          <w:color w:val="auto"/>
          <w:sz w:val="24"/>
          <w:szCs w:val="24"/>
        </w:rPr>
        <w:t>联合体协议书</w:t>
      </w:r>
      <w:r>
        <w:rPr>
          <w:rFonts w:hint="eastAsia" w:ascii="仿宋" w:hAnsi="仿宋" w:eastAsia="仿宋" w:cs="仿宋"/>
          <w:b/>
          <w:color w:val="auto"/>
          <w:sz w:val="24"/>
          <w:szCs w:val="24"/>
          <w:lang w:eastAsia="zh-CN"/>
        </w:rPr>
        <w:t>（</w:t>
      </w:r>
      <w:r>
        <w:rPr>
          <w:rFonts w:hint="eastAsia" w:ascii="仿宋" w:hAnsi="仿宋" w:eastAsia="仿宋" w:cs="仿宋"/>
          <w:b/>
          <w:color w:val="auto"/>
          <w:sz w:val="24"/>
          <w:szCs w:val="24"/>
          <w:lang w:val="en-US" w:eastAsia="zh-CN"/>
        </w:rPr>
        <w:t>如是</w:t>
      </w:r>
      <w:r>
        <w:rPr>
          <w:rFonts w:hint="eastAsia" w:ascii="仿宋" w:hAnsi="仿宋" w:eastAsia="仿宋" w:cs="仿宋"/>
          <w:b/>
          <w:color w:val="auto"/>
          <w:sz w:val="24"/>
          <w:szCs w:val="24"/>
          <w:lang w:eastAsia="zh-CN"/>
        </w:rPr>
        <w:t>）</w:t>
      </w:r>
    </w:p>
    <w:p w14:paraId="312CAC20">
      <w:pPr>
        <w:jc w:val="center"/>
        <w:rPr>
          <w:rFonts w:hint="eastAsia" w:ascii="仿宋" w:hAnsi="仿宋" w:eastAsia="仿宋" w:cs="仿宋"/>
          <w:color w:val="auto"/>
          <w:sz w:val="24"/>
          <w:szCs w:val="24"/>
        </w:rPr>
      </w:pPr>
    </w:p>
    <w:p w14:paraId="52C492C8">
      <w:pPr>
        <w:topLinePunct/>
        <w:spacing w:line="440" w:lineRule="exact"/>
        <w:ind w:left="210" w:leftChars="100"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t>（所有成员单位名称）自愿组成联合体，共同参加（项目名称）投标。现就联合体投标事宜订立如下协议。</w:t>
      </w:r>
    </w:p>
    <w:p w14:paraId="2CE65085">
      <w:pPr>
        <w:topLinePunct/>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（某成员单位名称）为牵头人。</w:t>
      </w:r>
    </w:p>
    <w:p w14:paraId="7E97DBD1">
      <w:pPr>
        <w:topLinePunct/>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57FF86ED">
      <w:pPr>
        <w:topLinePunct/>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联合体将严格按照招标文件的各项要求，递交投标文件，履行合同，并对外承担连带责任。</w:t>
      </w:r>
    </w:p>
    <w:p w14:paraId="0C0C54EC">
      <w:pPr>
        <w:topLinePunct/>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联合体各成员单位内部的职责分工如下：。</w:t>
      </w:r>
    </w:p>
    <w:p w14:paraId="21729935">
      <w:pPr>
        <w:topLinePunct/>
        <w:spacing w:line="440" w:lineRule="exact"/>
        <w:ind w:firstLine="480" w:firstLineChars="200"/>
        <w:outlineLvl w:val="2"/>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本协议书自签署之日起生效，合同履行完毕后自动失效。</w:t>
      </w:r>
    </w:p>
    <w:p w14:paraId="4B0F5955">
      <w:pPr>
        <w:topLinePunct/>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本协议书一式份，联合体成员和招标人各执份。</w:t>
      </w:r>
    </w:p>
    <w:p w14:paraId="3DD69E70">
      <w:pPr>
        <w:topLinePunct/>
        <w:spacing w:line="440" w:lineRule="exact"/>
        <w:rPr>
          <w:rFonts w:hint="eastAsia" w:ascii="仿宋" w:hAnsi="仿宋" w:eastAsia="仿宋" w:cs="仿宋"/>
          <w:color w:val="auto"/>
          <w:sz w:val="24"/>
          <w:szCs w:val="24"/>
        </w:rPr>
      </w:pPr>
    </w:p>
    <w:p w14:paraId="664D403D">
      <w:pPr>
        <w:topLinePunct/>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注：本协议书由委托代理人签字的，应附法定代表人签字的授权委托书。</w:t>
      </w:r>
    </w:p>
    <w:p w14:paraId="46B1D234">
      <w:pPr>
        <w:topLinePunct/>
        <w:spacing w:line="440" w:lineRule="exact"/>
        <w:rPr>
          <w:rFonts w:hint="eastAsia" w:ascii="仿宋" w:hAnsi="仿宋" w:eastAsia="仿宋" w:cs="仿宋"/>
          <w:color w:val="auto"/>
          <w:sz w:val="24"/>
          <w:szCs w:val="24"/>
        </w:rPr>
      </w:pPr>
    </w:p>
    <w:p w14:paraId="1680F190">
      <w:pPr>
        <w:topLinePunct/>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t>牵头人名称：（盖章）</w:t>
      </w:r>
    </w:p>
    <w:p w14:paraId="7785CDB7">
      <w:pPr>
        <w:topLinePunct/>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t>法定代表人或其委托代理人：（签字</w:t>
      </w:r>
      <w:r>
        <w:rPr>
          <w:rFonts w:hint="eastAsia" w:ascii="仿宋" w:hAnsi="仿宋" w:eastAsia="仿宋" w:cs="仿宋"/>
          <w:color w:val="auto"/>
          <w:sz w:val="24"/>
          <w:szCs w:val="24"/>
          <w:lang w:val="en-US" w:eastAsia="zh-CN"/>
        </w:rPr>
        <w:t>或盖章</w:t>
      </w:r>
      <w:r>
        <w:rPr>
          <w:rFonts w:hint="eastAsia" w:ascii="仿宋" w:hAnsi="仿宋" w:eastAsia="仿宋" w:cs="仿宋"/>
          <w:color w:val="auto"/>
          <w:sz w:val="24"/>
          <w:szCs w:val="24"/>
        </w:rPr>
        <w:t>）</w:t>
      </w:r>
    </w:p>
    <w:p w14:paraId="1F638C73">
      <w:pPr>
        <w:topLinePunct/>
        <w:spacing w:line="440" w:lineRule="exact"/>
        <w:rPr>
          <w:rFonts w:hint="eastAsia" w:ascii="仿宋" w:hAnsi="仿宋" w:eastAsia="仿宋" w:cs="仿宋"/>
          <w:color w:val="auto"/>
          <w:sz w:val="24"/>
          <w:szCs w:val="24"/>
        </w:rPr>
      </w:pPr>
    </w:p>
    <w:p w14:paraId="595829A4">
      <w:pPr>
        <w:topLinePunct/>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t>成员一名称：（盖章）</w:t>
      </w:r>
    </w:p>
    <w:p w14:paraId="4938A185">
      <w:pPr>
        <w:topLinePunct/>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t>法定代表人或其委托代理人：（签字</w:t>
      </w:r>
      <w:r>
        <w:rPr>
          <w:rFonts w:hint="eastAsia" w:ascii="仿宋" w:hAnsi="仿宋" w:eastAsia="仿宋" w:cs="仿宋"/>
          <w:color w:val="auto"/>
          <w:sz w:val="24"/>
          <w:szCs w:val="24"/>
          <w:lang w:val="en-US" w:eastAsia="zh-CN"/>
        </w:rPr>
        <w:t>或盖章</w:t>
      </w:r>
      <w:r>
        <w:rPr>
          <w:rFonts w:hint="eastAsia" w:ascii="仿宋" w:hAnsi="仿宋" w:eastAsia="仿宋" w:cs="仿宋"/>
          <w:color w:val="auto"/>
          <w:sz w:val="24"/>
          <w:szCs w:val="24"/>
        </w:rPr>
        <w:t>）</w:t>
      </w:r>
    </w:p>
    <w:p w14:paraId="21DE62A8">
      <w:pPr>
        <w:topLinePunct/>
        <w:spacing w:line="440" w:lineRule="exact"/>
        <w:rPr>
          <w:rFonts w:hint="eastAsia" w:ascii="仿宋" w:hAnsi="仿宋" w:eastAsia="仿宋" w:cs="仿宋"/>
          <w:color w:val="auto"/>
          <w:sz w:val="24"/>
          <w:szCs w:val="24"/>
          <w:lang w:eastAsia="zh-CN"/>
        </w:rPr>
      </w:pPr>
    </w:p>
    <w:p w14:paraId="69FFF10E">
      <w:pPr>
        <w:topLinePunct/>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t>成员二名称：（盖章）</w:t>
      </w:r>
    </w:p>
    <w:p w14:paraId="58880E1C">
      <w:pPr>
        <w:topLinePunct/>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t>法定代表人或其委托代理人：（签字</w:t>
      </w:r>
      <w:r>
        <w:rPr>
          <w:rFonts w:hint="eastAsia" w:ascii="仿宋" w:hAnsi="仿宋" w:eastAsia="仿宋" w:cs="仿宋"/>
          <w:color w:val="auto"/>
          <w:sz w:val="24"/>
          <w:szCs w:val="24"/>
          <w:lang w:val="en-US" w:eastAsia="zh-CN"/>
        </w:rPr>
        <w:t>或盖章</w:t>
      </w:r>
      <w:r>
        <w:rPr>
          <w:rFonts w:hint="eastAsia" w:ascii="仿宋" w:hAnsi="仿宋" w:eastAsia="仿宋" w:cs="仿宋"/>
          <w:color w:val="auto"/>
          <w:sz w:val="24"/>
          <w:szCs w:val="24"/>
        </w:rPr>
        <w:t>）</w:t>
      </w:r>
    </w:p>
    <w:p w14:paraId="192759BA">
      <w:pPr>
        <w:topLinePunct/>
        <w:spacing w:line="440" w:lineRule="exac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w:t>
      </w:r>
    </w:p>
    <w:p w14:paraId="0182DA96">
      <w:pPr>
        <w:topLinePunct/>
        <w:spacing w:line="440" w:lineRule="exact"/>
        <w:rPr>
          <w:rFonts w:hint="eastAsia" w:ascii="仿宋" w:hAnsi="仿宋" w:eastAsia="仿宋" w:cs="仿宋"/>
          <w:color w:val="auto"/>
          <w:sz w:val="24"/>
          <w:szCs w:val="24"/>
        </w:rPr>
      </w:pPr>
    </w:p>
    <w:p w14:paraId="77183F12">
      <w:pPr>
        <w:numPr>
          <w:ilvl w:val="0"/>
          <w:numId w:val="0"/>
        </w:numPr>
        <w:ind w:leftChars="-50" w:right="62" w:rightChars="0"/>
        <w:jc w:val="right"/>
        <w:rPr>
          <w:rFonts w:hint="eastAsia" w:ascii="仿宋" w:hAnsi="仿宋" w:eastAsia="仿宋" w:cs="仿宋"/>
          <w:color w:val="auto"/>
          <w:sz w:val="24"/>
          <w:szCs w:val="24"/>
        </w:rPr>
      </w:pPr>
      <w:r>
        <w:rPr>
          <w:rFonts w:hint="eastAsia" w:ascii="仿宋" w:hAnsi="仿宋" w:eastAsia="仿宋" w:cs="仿宋"/>
          <w:color w:val="auto"/>
          <w:sz w:val="24"/>
          <w:szCs w:val="24"/>
        </w:rPr>
        <w:t>年月日</w:t>
      </w:r>
    </w:p>
    <w:p w14:paraId="084E9FDE">
      <w:pPr>
        <w:pStyle w:val="45"/>
        <w:rPr>
          <w:rFonts w:hint="eastAsia" w:ascii="仿宋" w:hAnsi="仿宋" w:eastAsia="仿宋" w:cs="仿宋"/>
          <w:color w:val="auto"/>
          <w:sz w:val="24"/>
          <w:szCs w:val="24"/>
        </w:rPr>
      </w:pPr>
    </w:p>
    <w:p w14:paraId="03E81094">
      <w:pPr>
        <w:rPr>
          <w:rFonts w:hint="eastAsia" w:ascii="仿宋" w:hAnsi="仿宋" w:eastAsia="仿宋" w:cs="仿宋"/>
          <w:color w:val="auto"/>
          <w:sz w:val="24"/>
          <w:szCs w:val="24"/>
        </w:rPr>
      </w:pPr>
    </w:p>
    <w:p w14:paraId="55C3C92E">
      <w:pPr>
        <w:pStyle w:val="45"/>
        <w:rPr>
          <w:rFonts w:hint="eastAsia" w:ascii="仿宋" w:hAnsi="仿宋" w:eastAsia="仿宋" w:cs="仿宋"/>
          <w:color w:val="auto"/>
          <w:sz w:val="24"/>
          <w:szCs w:val="24"/>
        </w:rPr>
      </w:pPr>
    </w:p>
    <w:p w14:paraId="48F7FB0D">
      <w:pPr>
        <w:pStyle w:val="45"/>
        <w:numPr>
          <w:ilvl w:val="0"/>
          <w:numId w:val="0"/>
        </w:numPr>
        <w:ind w:leftChars="200" w:right="62" w:rightChars="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四）、提供税务机关出具的2026年近三个月内任意一个月的完税证明或依法报税资料（新成立不足1个月的按实际情况提供，成立时间超过1个月的零申报的需提供依法报税资料）；提供法定代表人需提供法定代表人证明书及法定代表人身份证，委托代理人需提供法定代表人授权委托书及委托代理人身份证，被委托人必须是投标人法人或正式员工，需提供社保部门出具2026年任意连续三个月的缴纳社保证明（社保缴费凭证或个人明细表），成立不足三个月的按实际提供；</w:t>
      </w:r>
    </w:p>
    <w:p w14:paraId="65DD98DC">
      <w:pPr>
        <w:pStyle w:val="46"/>
        <w:numPr>
          <w:ilvl w:val="0"/>
          <w:numId w:val="0"/>
        </w:numPr>
        <w:ind w:leftChars="200" w:right="62" w:rightChars="0"/>
        <w:rPr>
          <w:rFonts w:hint="eastAsia"/>
          <w:lang w:val="en-US" w:eastAsia="zh-CN"/>
        </w:rPr>
      </w:pPr>
    </w:p>
    <w:p w14:paraId="7174C7A8">
      <w:pPr>
        <w:rPr>
          <w:rFonts w:hint="eastAsia"/>
          <w:lang w:val="en-US" w:eastAsia="zh-CN"/>
        </w:rPr>
      </w:pPr>
    </w:p>
    <w:p w14:paraId="0B115EA3">
      <w:pPr>
        <w:pStyle w:val="37"/>
        <w:spacing w:line="240" w:lineRule="auto"/>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rPr>
        <w:t>法定代表人身份证</w:t>
      </w:r>
      <w:r>
        <w:rPr>
          <w:rFonts w:hint="eastAsia" w:ascii="仿宋" w:hAnsi="仿宋" w:eastAsia="仿宋" w:cs="仿宋"/>
          <w:b/>
          <w:color w:val="auto"/>
          <w:sz w:val="24"/>
          <w:szCs w:val="24"/>
          <w:lang w:val="en-US" w:eastAsia="zh-CN"/>
        </w:rPr>
        <w:t>明</w:t>
      </w:r>
    </w:p>
    <w:p w14:paraId="15F9A5EF">
      <w:pPr>
        <w:autoSpaceDE w:val="0"/>
        <w:autoSpaceDN w:val="0"/>
        <w:adjustRightInd w:val="0"/>
        <w:ind w:left="120" w:hanging="120"/>
        <w:rPr>
          <w:rFonts w:hint="eastAsia" w:ascii="仿宋" w:hAnsi="仿宋" w:eastAsia="仿宋" w:cs="仿宋"/>
          <w:color w:val="auto"/>
          <w:sz w:val="24"/>
          <w:szCs w:val="24"/>
          <w:lang w:val="zh-CN"/>
        </w:rPr>
      </w:pPr>
    </w:p>
    <w:p w14:paraId="28AEFF6D">
      <w:pPr>
        <w:spacing w:line="460" w:lineRule="exact"/>
        <w:ind w:left="120" w:hanging="120"/>
        <w:rPr>
          <w:rFonts w:hint="eastAsia" w:ascii="仿宋" w:hAnsi="仿宋" w:eastAsia="仿宋" w:cs="仿宋"/>
          <w:color w:val="auto"/>
          <w:sz w:val="24"/>
          <w:szCs w:val="24"/>
          <w:u w:val="single"/>
          <w:lang w:eastAsia="zh-CN"/>
        </w:rPr>
      </w:pPr>
      <w:r>
        <w:rPr>
          <w:rFonts w:hint="eastAsia" w:ascii="仿宋" w:hAnsi="仿宋" w:eastAsia="仿宋" w:cs="仿宋"/>
          <w:color w:val="auto"/>
          <w:sz w:val="24"/>
          <w:szCs w:val="24"/>
        </w:rPr>
        <w:t>单位名称：</w:t>
      </w:r>
    </w:p>
    <w:p w14:paraId="7DF71CCA">
      <w:pPr>
        <w:spacing w:line="460" w:lineRule="exact"/>
        <w:ind w:left="120" w:hanging="12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地址：</w:t>
      </w:r>
    </w:p>
    <w:p w14:paraId="5EBD442A">
      <w:pPr>
        <w:spacing w:line="460" w:lineRule="exact"/>
        <w:ind w:left="120" w:hanging="12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姓名：性别：年龄：职务：</w:t>
      </w:r>
    </w:p>
    <w:p w14:paraId="4F88F56F">
      <w:pPr>
        <w:spacing w:line="460" w:lineRule="exact"/>
        <w:ind w:left="120" w:hanging="120"/>
        <w:rPr>
          <w:rFonts w:hint="eastAsia" w:ascii="仿宋" w:hAnsi="仿宋" w:eastAsia="仿宋" w:cs="仿宋"/>
          <w:color w:val="auto"/>
          <w:sz w:val="24"/>
          <w:szCs w:val="24"/>
        </w:rPr>
      </w:pPr>
      <w:r>
        <w:rPr>
          <w:rFonts w:hint="eastAsia" w:ascii="仿宋" w:hAnsi="仿宋" w:eastAsia="仿宋" w:cs="仿宋"/>
          <w:color w:val="auto"/>
          <w:sz w:val="24"/>
          <w:szCs w:val="24"/>
        </w:rPr>
        <w:t>系的法定代表人。</w:t>
      </w:r>
    </w:p>
    <w:p w14:paraId="0E634080">
      <w:pPr>
        <w:spacing w:line="460" w:lineRule="exact"/>
        <w:ind w:left="120" w:hanging="120"/>
        <w:rPr>
          <w:rFonts w:hint="eastAsia" w:ascii="仿宋" w:hAnsi="仿宋" w:eastAsia="仿宋" w:cs="仿宋"/>
          <w:color w:val="auto"/>
          <w:sz w:val="24"/>
          <w:szCs w:val="24"/>
        </w:rPr>
      </w:pPr>
    </w:p>
    <w:p w14:paraId="26AD31A5">
      <w:pPr>
        <w:autoSpaceDE w:val="0"/>
        <w:autoSpaceDN w:val="0"/>
        <w:adjustRightInd w:val="0"/>
        <w:spacing w:line="320" w:lineRule="exact"/>
        <w:ind w:left="0" w:leftChars="0" w:firstLine="0" w:firstLineChars="0"/>
        <w:rPr>
          <w:rFonts w:hint="eastAsia" w:ascii="仿宋" w:hAnsi="仿宋" w:eastAsia="仿宋" w:cs="仿宋"/>
          <w:color w:val="auto"/>
          <w:sz w:val="24"/>
          <w:szCs w:val="24"/>
          <w:lang w:val="zh-CN"/>
        </w:rPr>
      </w:pPr>
    </w:p>
    <w:p w14:paraId="4A46862B">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5EC92D35">
      <w:pPr>
        <w:autoSpaceDE w:val="0"/>
        <w:autoSpaceDN w:val="0"/>
        <w:adjustRightInd w:val="0"/>
        <w:spacing w:line="320" w:lineRule="exact"/>
        <w:ind w:left="120" w:hanging="120"/>
        <w:rPr>
          <w:rFonts w:hint="eastAsia" w:ascii="仿宋" w:hAnsi="仿宋" w:eastAsia="仿宋" w:cs="仿宋"/>
          <w:color w:val="auto"/>
          <w:sz w:val="24"/>
          <w:szCs w:val="24"/>
          <w:lang w:val="zh-CN"/>
        </w:rPr>
      </w:pPr>
      <w:r>
        <w:rPr>
          <w:rFonts w:hint="eastAsia" w:ascii="仿宋" w:hAnsi="仿宋" w:eastAsia="仿宋" w:cs="仿宋"/>
          <w:bCs/>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2790825</wp:posOffset>
                </wp:positionH>
                <wp:positionV relativeFrom="paragraph">
                  <wp:posOffset>149225</wp:posOffset>
                </wp:positionV>
                <wp:extent cx="2671445" cy="1488440"/>
                <wp:effectExtent l="4445" t="4445" r="6350" b="15875"/>
                <wp:wrapNone/>
                <wp:docPr id="2" name="文本框 24"/>
                <wp:cNvGraphicFramePr/>
                <a:graphic xmlns:a="http://schemas.openxmlformats.org/drawingml/2006/main">
                  <a:graphicData uri="http://schemas.microsoft.com/office/word/2010/wordprocessingShape">
                    <wps:wsp>
                      <wps:cNvSpPr txBox="1"/>
                      <wps:spPr>
                        <a:xfrm>
                          <a:off x="0" y="0"/>
                          <a:ext cx="2671445" cy="1488440"/>
                        </a:xfrm>
                        <a:prstGeom prst="rect">
                          <a:avLst/>
                        </a:prstGeom>
                        <a:solidFill>
                          <a:srgbClr val="FFFFFF"/>
                        </a:solidFill>
                        <a:ln w="9525" cap="rnd" cmpd="sng">
                          <a:solidFill>
                            <a:srgbClr val="000000"/>
                          </a:solidFill>
                          <a:prstDash val="sysDot"/>
                          <a:miter/>
                          <a:headEnd type="none" w="med" len="med"/>
                          <a:tailEnd type="none" w="med" len="med"/>
                        </a:ln>
                      </wps:spPr>
                      <wps:txbx>
                        <w:txbxContent>
                          <w:p w14:paraId="35C73191">
                            <w:pPr>
                              <w:ind w:left="140" w:hanging="140"/>
                              <w:jc w:val="center"/>
                              <w:rPr>
                                <w:rFonts w:hint="eastAsia" w:ascii="仿宋" w:hAnsi="仿宋" w:eastAsia="仿宋" w:cs="仿宋"/>
                                <w:sz w:val="24"/>
                                <w:szCs w:val="24"/>
                              </w:rPr>
                            </w:pPr>
                            <w:r>
                              <w:rPr>
                                <w:rFonts w:hint="eastAsia" w:ascii="仿宋" w:hAnsi="仿宋" w:eastAsia="仿宋" w:cs="仿宋"/>
                                <w:sz w:val="24"/>
                                <w:szCs w:val="24"/>
                              </w:rPr>
                              <w:t>法人身份证复印件背面</w:t>
                            </w:r>
                          </w:p>
                        </w:txbxContent>
                      </wps:txbx>
                      <wps:bodyPr upright="1"/>
                    </wps:wsp>
                  </a:graphicData>
                </a:graphic>
              </wp:anchor>
            </w:drawing>
          </mc:Choice>
          <mc:Fallback>
            <w:pict>
              <v:shape id="文本框 24" o:spid="_x0000_s1026" o:spt="202" type="#_x0000_t202" style="position:absolute;left:0pt;margin-left:219.75pt;margin-top:11.75pt;height:117.2pt;width:210.35pt;z-index:251660288;mso-width-relative:page;mso-height-relative:page;" fillcolor="#FFFFFF" filled="t" stroked="t" coordsize="21600,21600" o:gfxdata="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TyTnq2gAAAAoBAAAPAAAAAAAA&#10;AAEAIAAAACIAAABkcnMvZG93bnJldi54bWxQSwECFAAUAAAACACHTuJAMT0RbBACAAA4BAAADgAA&#10;AAAAAAABACAAAAApAQAAZHJzL2Uyb0RvYy54bWxQSwUGAAAAAAYABgBZAQAAqwUAAAAA&#10;">
                <v:fill on="t" focussize="0,0"/>
                <v:stroke color="#000000" joinstyle="miter" dashstyle="1 1" endcap="round"/>
                <v:imagedata o:title=""/>
                <o:lock v:ext="edit" aspectratio="f"/>
                <v:textbox>
                  <w:txbxContent>
                    <w:p w14:paraId="35C73191">
                      <w:pPr>
                        <w:ind w:left="140" w:hanging="140"/>
                        <w:jc w:val="center"/>
                        <w:rPr>
                          <w:rFonts w:hint="eastAsia" w:ascii="仿宋" w:hAnsi="仿宋" w:eastAsia="仿宋" w:cs="仿宋"/>
                          <w:sz w:val="24"/>
                          <w:szCs w:val="24"/>
                        </w:rPr>
                      </w:pPr>
                      <w:r>
                        <w:rPr>
                          <w:rFonts w:hint="eastAsia" w:ascii="仿宋" w:hAnsi="仿宋" w:eastAsia="仿宋" w:cs="仿宋"/>
                          <w:sz w:val="24"/>
                          <w:szCs w:val="24"/>
                        </w:rPr>
                        <w:t>法人身份证复印件背面</w:t>
                      </w:r>
                    </w:p>
                  </w:txbxContent>
                </v:textbox>
              </v:shape>
            </w:pict>
          </mc:Fallback>
        </mc:AlternateContent>
      </w:r>
      <w:r>
        <w:rPr>
          <w:rFonts w:hint="eastAsia" w:ascii="仿宋" w:hAnsi="仿宋" w:eastAsia="仿宋" w:cs="仿宋"/>
          <w:bCs/>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125730</wp:posOffset>
                </wp:positionV>
                <wp:extent cx="2627630" cy="1497330"/>
                <wp:effectExtent l="4445" t="4445" r="19685" b="6985"/>
                <wp:wrapNone/>
                <wp:docPr id="1" name="文本框 25"/>
                <wp:cNvGraphicFramePr/>
                <a:graphic xmlns:a="http://schemas.openxmlformats.org/drawingml/2006/main">
                  <a:graphicData uri="http://schemas.microsoft.com/office/word/2010/wordprocessingShape">
                    <wps:wsp>
                      <wps:cNvSpPr txBox="1"/>
                      <wps:spPr>
                        <a:xfrm>
                          <a:off x="0" y="0"/>
                          <a:ext cx="2627630" cy="1497330"/>
                        </a:xfrm>
                        <a:prstGeom prst="rect">
                          <a:avLst/>
                        </a:prstGeom>
                        <a:solidFill>
                          <a:srgbClr val="FFFFFF"/>
                        </a:solidFill>
                        <a:ln w="9525" cap="rnd" cmpd="sng">
                          <a:solidFill>
                            <a:srgbClr val="000000"/>
                          </a:solidFill>
                          <a:prstDash val="sysDot"/>
                          <a:miter/>
                          <a:headEnd type="none" w="med" len="med"/>
                          <a:tailEnd type="none" w="med" len="med"/>
                        </a:ln>
                      </wps:spPr>
                      <wps:txbx>
                        <w:txbxContent>
                          <w:p w14:paraId="53834AE2">
                            <w:pPr>
                              <w:ind w:left="140" w:hanging="140"/>
                              <w:jc w:val="center"/>
                              <w:rPr>
                                <w:rFonts w:hint="eastAsia" w:ascii="仿宋" w:hAnsi="仿宋" w:eastAsia="仿宋" w:cs="仿宋"/>
                                <w:sz w:val="24"/>
                                <w:szCs w:val="24"/>
                              </w:rPr>
                            </w:pPr>
                            <w:r>
                              <w:rPr>
                                <w:rFonts w:hint="eastAsia" w:ascii="仿宋" w:hAnsi="仿宋" w:eastAsia="仿宋" w:cs="仿宋"/>
                                <w:sz w:val="24"/>
                                <w:szCs w:val="24"/>
                              </w:rPr>
                              <w:t>法人身份证复印件正面</w:t>
                            </w:r>
                          </w:p>
                        </w:txbxContent>
                      </wps:txbx>
                      <wps:bodyPr upright="1"/>
                    </wps:wsp>
                  </a:graphicData>
                </a:graphic>
              </wp:anchor>
            </w:drawing>
          </mc:Choice>
          <mc:Fallback>
            <w:pict>
              <v:shape id="文本框 25" o:spid="_x0000_s1026" o:spt="202" type="#_x0000_t202" style="position:absolute;left:0pt;margin-left:-3.75pt;margin-top:9.9pt;height:117.9pt;width:206.9pt;z-index:251659264;mso-width-relative:page;mso-height-relative:page;" fillcolor="#FFFFFF" filled="t" stroked="t" coordsize="21600,21600" o:gfxdata="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wVeB7aAAAACQEAAA8AAAAAAAAAAQAg&#10;AAAAIgAAAGRycy9kb3ducmV2LnhtbFBLAQIUABQAAAAIAIdO4kAhsWKzDAIAADgEAAAOAAAAAAAA&#10;AAEAIAAAACkBAABkcnMvZTJvRG9jLnhtbFBLBQYAAAAABgAGAFkBAACnBQAAAAA=&#10;">
                <v:fill on="t" focussize="0,0"/>
                <v:stroke color="#000000" joinstyle="miter" dashstyle="1 1" endcap="round"/>
                <v:imagedata o:title=""/>
                <o:lock v:ext="edit" aspectratio="f"/>
                <v:textbox>
                  <w:txbxContent>
                    <w:p w14:paraId="53834AE2">
                      <w:pPr>
                        <w:ind w:left="140" w:hanging="140"/>
                        <w:jc w:val="center"/>
                        <w:rPr>
                          <w:rFonts w:hint="eastAsia" w:ascii="仿宋" w:hAnsi="仿宋" w:eastAsia="仿宋" w:cs="仿宋"/>
                          <w:sz w:val="24"/>
                          <w:szCs w:val="24"/>
                        </w:rPr>
                      </w:pPr>
                      <w:r>
                        <w:rPr>
                          <w:rFonts w:hint="eastAsia" w:ascii="仿宋" w:hAnsi="仿宋" w:eastAsia="仿宋" w:cs="仿宋"/>
                          <w:sz w:val="24"/>
                          <w:szCs w:val="24"/>
                        </w:rPr>
                        <w:t>法人身份证复印件正面</w:t>
                      </w:r>
                    </w:p>
                  </w:txbxContent>
                </v:textbox>
              </v:shape>
            </w:pict>
          </mc:Fallback>
        </mc:AlternateContent>
      </w:r>
    </w:p>
    <w:p w14:paraId="3FCC6D50">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5E6DA941">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5669DEEF">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61B94999">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7966A849">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51F34C25">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5161993E">
      <w:pPr>
        <w:autoSpaceDE w:val="0"/>
        <w:autoSpaceDN w:val="0"/>
        <w:adjustRightInd w:val="0"/>
        <w:spacing w:line="320" w:lineRule="exact"/>
        <w:ind w:left="120" w:hanging="120"/>
        <w:rPr>
          <w:rFonts w:hint="eastAsia" w:ascii="仿宋" w:hAnsi="仿宋" w:eastAsia="仿宋" w:cs="仿宋"/>
          <w:color w:val="auto"/>
          <w:sz w:val="24"/>
          <w:szCs w:val="24"/>
          <w:lang w:val="zh-CN"/>
        </w:rPr>
      </w:pPr>
    </w:p>
    <w:p w14:paraId="669E6E62">
      <w:pPr>
        <w:pStyle w:val="3"/>
        <w:ind w:left="0" w:leftChars="0" w:firstLine="0" w:firstLineChars="0"/>
        <w:jc w:val="both"/>
        <w:outlineLvl w:val="9"/>
        <w:rPr>
          <w:rFonts w:hint="eastAsia" w:ascii="仿宋" w:hAnsi="仿宋" w:eastAsia="仿宋" w:cs="仿宋"/>
          <w:color w:val="auto"/>
          <w:sz w:val="24"/>
          <w:szCs w:val="24"/>
          <w:lang w:val="zh-CN"/>
        </w:rPr>
      </w:pPr>
    </w:p>
    <w:p w14:paraId="2FCB66E9">
      <w:pPr>
        <w:rPr>
          <w:rFonts w:hint="eastAsia" w:ascii="仿宋" w:hAnsi="仿宋" w:eastAsia="仿宋" w:cs="仿宋"/>
          <w:color w:val="auto"/>
          <w:sz w:val="24"/>
          <w:szCs w:val="24"/>
          <w:lang w:val="zh-CN"/>
        </w:rPr>
      </w:pPr>
    </w:p>
    <w:p w14:paraId="7DF7F425">
      <w:pP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投标单位名称：公章）</w:t>
      </w:r>
    </w:p>
    <w:p w14:paraId="69958D72">
      <w:pP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签字或</w:t>
      </w:r>
      <w:r>
        <w:rPr>
          <w:rFonts w:hint="eastAsia" w:ascii="仿宋" w:hAnsi="仿宋" w:eastAsia="仿宋" w:cs="仿宋"/>
          <w:color w:val="auto"/>
          <w:sz w:val="24"/>
          <w:szCs w:val="24"/>
        </w:rPr>
        <w:t>盖章）</w:t>
      </w:r>
    </w:p>
    <w:p w14:paraId="084DED1D">
      <w:pPr>
        <w:pStyle w:val="141"/>
        <w:rPr>
          <w:rFonts w:hint="eastAsia" w:ascii="仿宋" w:hAnsi="仿宋" w:eastAsia="仿宋" w:cs="仿宋"/>
          <w:color w:val="auto"/>
          <w:sz w:val="24"/>
          <w:szCs w:val="24"/>
        </w:rPr>
      </w:pPr>
    </w:p>
    <w:p w14:paraId="54EE5F6B">
      <w:pPr>
        <w:autoSpaceDE w:val="0"/>
        <w:autoSpaceDN w:val="0"/>
        <w:adjustRightInd w:val="0"/>
        <w:spacing w:line="320" w:lineRule="exact"/>
        <w:ind w:left="0" w:leftChars="0" w:firstLine="0" w:firstLineChars="0"/>
        <w:jc w:val="both"/>
        <w:outlineLvl w:val="9"/>
        <w:rPr>
          <w:rFonts w:hint="eastAsia" w:ascii="仿宋" w:hAnsi="仿宋" w:eastAsia="仿宋" w:cs="仿宋"/>
          <w:color w:val="auto"/>
          <w:sz w:val="24"/>
          <w:szCs w:val="24"/>
          <w:lang w:val="zh-CN"/>
        </w:rPr>
      </w:pPr>
    </w:p>
    <w:p w14:paraId="1A05C20E">
      <w:pPr>
        <w:autoSpaceDE w:val="0"/>
        <w:autoSpaceDN w:val="0"/>
        <w:adjustRightInd w:val="0"/>
        <w:spacing w:line="320" w:lineRule="exact"/>
        <w:ind w:left="120" w:hanging="120"/>
        <w:jc w:val="center"/>
        <w:outlineLvl w:val="9"/>
        <w:rPr>
          <w:rFonts w:hint="eastAsia" w:ascii="仿宋" w:hAnsi="仿宋" w:eastAsia="仿宋" w:cs="仿宋"/>
          <w:color w:val="auto"/>
          <w:sz w:val="24"/>
          <w:szCs w:val="24"/>
          <w:lang w:val="zh-CN"/>
        </w:rPr>
      </w:pPr>
    </w:p>
    <w:p w14:paraId="28E82A8F">
      <w:pPr>
        <w:numPr>
          <w:ilvl w:val="0"/>
          <w:numId w:val="0"/>
        </w:numPr>
        <w:ind w:leftChars="-50" w:right="62" w:rightChars="0"/>
        <w:jc w:val="right"/>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日期：年月日</w:t>
      </w:r>
    </w:p>
    <w:p w14:paraId="2F654A0F">
      <w:pPr>
        <w:pStyle w:val="45"/>
        <w:numPr>
          <w:ilvl w:val="0"/>
          <w:numId w:val="0"/>
        </w:numPr>
        <w:ind w:left="120" w:leftChars="0" w:right="62" w:rightChars="0" w:hanging="120" w:hangingChars="50"/>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法人代表授权委托书及身份证复印件</w:t>
      </w:r>
    </w:p>
    <w:p w14:paraId="18AC33DE">
      <w:pPr>
        <w:jc w:val="center"/>
        <w:rPr>
          <w:rFonts w:hint="eastAsia" w:ascii="仿宋" w:hAnsi="仿宋" w:eastAsia="仿宋" w:cs="仿宋"/>
          <w:b/>
          <w:bCs w:val="0"/>
          <w:color w:val="auto"/>
          <w:sz w:val="24"/>
          <w:szCs w:val="24"/>
        </w:rPr>
      </w:pPr>
    </w:p>
    <w:p w14:paraId="7FCC664D">
      <w:pPr>
        <w:jc w:val="center"/>
        <w:rPr>
          <w:rFonts w:hint="eastAsia" w:ascii="仿宋" w:hAnsi="仿宋" w:eastAsia="仿宋" w:cs="仿宋"/>
          <w:b/>
          <w:bCs w:val="0"/>
          <w:color w:val="auto"/>
          <w:sz w:val="24"/>
          <w:szCs w:val="24"/>
        </w:rPr>
      </w:pPr>
      <w:r>
        <w:rPr>
          <w:rFonts w:hint="eastAsia" w:ascii="仿宋" w:hAnsi="仿宋" w:eastAsia="仿宋" w:cs="仿宋"/>
          <w:b/>
          <w:bCs w:val="0"/>
          <w:color w:val="auto"/>
          <w:sz w:val="24"/>
          <w:szCs w:val="24"/>
        </w:rPr>
        <w:t>法定代表人授权委托书</w:t>
      </w:r>
    </w:p>
    <w:p w14:paraId="1FAE776D">
      <w:pPr>
        <w:pStyle w:val="45"/>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本授权委托书声明：注册于</w:t>
      </w:r>
      <w:r>
        <w:rPr>
          <w:rFonts w:hint="eastAsia" w:ascii="仿宋" w:hAnsi="仿宋" w:eastAsia="仿宋" w:cs="仿宋"/>
          <w:color w:val="auto"/>
          <w:sz w:val="24"/>
          <w:szCs w:val="24"/>
          <w:u w:val="single"/>
        </w:rPr>
        <w:t>（投标人地址）</w:t>
      </w:r>
      <w:r>
        <w:rPr>
          <w:rFonts w:hint="eastAsia" w:ascii="仿宋" w:hAnsi="仿宋" w:eastAsia="仿宋" w:cs="仿宋"/>
          <w:color w:val="auto"/>
          <w:sz w:val="24"/>
          <w:szCs w:val="24"/>
        </w:rPr>
        <w:t>的</w:t>
      </w:r>
      <w:r>
        <w:rPr>
          <w:rFonts w:hint="eastAsia" w:ascii="仿宋" w:hAnsi="仿宋" w:eastAsia="仿宋" w:cs="仿宋"/>
          <w:color w:val="auto"/>
          <w:sz w:val="24"/>
          <w:szCs w:val="24"/>
          <w:u w:val="single"/>
        </w:rPr>
        <w:t>（单位名称）</w:t>
      </w:r>
      <w:r>
        <w:rPr>
          <w:rFonts w:hint="eastAsia" w:ascii="仿宋" w:hAnsi="仿宋" w:eastAsia="仿宋" w:cs="仿宋"/>
          <w:color w:val="auto"/>
          <w:sz w:val="24"/>
          <w:szCs w:val="24"/>
        </w:rPr>
        <w:t>在下面签名的</w:t>
      </w:r>
      <w:r>
        <w:rPr>
          <w:rFonts w:hint="eastAsia" w:ascii="仿宋" w:hAnsi="仿宋" w:eastAsia="仿宋" w:cs="仿宋"/>
          <w:color w:val="auto"/>
          <w:sz w:val="24"/>
          <w:szCs w:val="24"/>
          <w:u w:val="single"/>
        </w:rPr>
        <w:t>（法定代表人姓名、职务）</w:t>
      </w:r>
      <w:r>
        <w:rPr>
          <w:rFonts w:hint="eastAsia" w:ascii="仿宋" w:hAnsi="仿宋" w:eastAsia="仿宋" w:cs="仿宋"/>
          <w:color w:val="auto"/>
          <w:sz w:val="24"/>
          <w:szCs w:val="24"/>
        </w:rPr>
        <w:t>在此授权</w:t>
      </w:r>
      <w:r>
        <w:rPr>
          <w:rFonts w:hint="eastAsia" w:ascii="仿宋" w:hAnsi="仿宋" w:eastAsia="仿宋" w:cs="仿宋"/>
          <w:color w:val="auto"/>
          <w:sz w:val="24"/>
          <w:szCs w:val="24"/>
          <w:u w:val="single"/>
        </w:rPr>
        <w:t>（被授权人姓名、职务）</w:t>
      </w:r>
      <w:r>
        <w:rPr>
          <w:rFonts w:hint="eastAsia" w:ascii="仿宋" w:hAnsi="仿宋" w:eastAsia="仿宋" w:cs="仿宋"/>
          <w:color w:val="auto"/>
          <w:sz w:val="24"/>
          <w:szCs w:val="24"/>
        </w:rPr>
        <w:t>作为我公司的合法代理人，就</w:t>
      </w:r>
      <w:r>
        <w:rPr>
          <w:rFonts w:hint="eastAsia" w:ascii="仿宋" w:hAnsi="仿宋" w:eastAsia="仿宋" w:cs="仿宋"/>
          <w:color w:val="auto"/>
          <w:sz w:val="24"/>
          <w:szCs w:val="24"/>
          <w:u w:val="single"/>
        </w:rPr>
        <w:t>（项目名称、项目编号</w:t>
      </w:r>
      <w:r>
        <w:rPr>
          <w:rFonts w:hint="eastAsia" w:ascii="仿宋" w:hAnsi="仿宋" w:eastAsia="仿宋" w:cs="仿宋"/>
          <w:color w:val="auto"/>
          <w:sz w:val="24"/>
          <w:szCs w:val="24"/>
        </w:rPr>
        <w:t>）的招投标活动，</w:t>
      </w:r>
      <w:r>
        <w:rPr>
          <w:rFonts w:hint="eastAsia" w:ascii="仿宋" w:hAnsi="仿宋" w:eastAsia="仿宋" w:cs="仿宋"/>
          <w:color w:val="auto"/>
          <w:sz w:val="24"/>
          <w:szCs w:val="24"/>
          <w:lang w:eastAsia="zh-CN"/>
        </w:rPr>
        <w:t>设计</w:t>
      </w:r>
      <w:r>
        <w:rPr>
          <w:rFonts w:hint="eastAsia" w:ascii="仿宋" w:hAnsi="仿宋" w:eastAsia="仿宋" w:cs="仿宋"/>
          <w:color w:val="auto"/>
          <w:sz w:val="24"/>
          <w:szCs w:val="24"/>
        </w:rPr>
        <w:t>合同的签订、执行、完成和售后服务，作为投标人代表以我方的名义处理一切与之有关的事务。</w:t>
      </w:r>
    </w:p>
    <w:p w14:paraId="2FEBAD33">
      <w:pPr>
        <w:pStyle w:val="45"/>
        <w:spacing w:line="360" w:lineRule="auto"/>
        <w:ind w:firstLine="480" w:firstLineChars="200"/>
        <w:rPr>
          <w:rFonts w:hint="eastAsia" w:ascii="仿宋" w:hAnsi="仿宋" w:eastAsia="仿宋" w:cs="仿宋"/>
          <w:color w:val="auto"/>
          <w:sz w:val="24"/>
          <w:szCs w:val="24"/>
        </w:rPr>
      </w:pPr>
    </w:p>
    <w:p w14:paraId="24A8CB65">
      <w:pPr>
        <w:pStyle w:val="45"/>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被授权人（投标人授权代表）无转委托权限。</w:t>
      </w:r>
    </w:p>
    <w:p w14:paraId="541A65C0">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本授权书自法定代表人签字</w:t>
      </w:r>
      <w:r>
        <w:rPr>
          <w:rFonts w:hint="eastAsia" w:ascii="仿宋" w:hAnsi="仿宋" w:eastAsia="仿宋" w:cs="仿宋"/>
          <w:color w:val="auto"/>
          <w:sz w:val="24"/>
          <w:szCs w:val="24"/>
          <w:lang w:eastAsia="zh-CN"/>
        </w:rPr>
        <w:t>（加</w:t>
      </w:r>
      <w:r>
        <w:rPr>
          <w:rFonts w:hint="eastAsia" w:ascii="仿宋" w:hAnsi="仿宋" w:eastAsia="仿宋" w:cs="仿宋"/>
          <w:color w:val="auto"/>
          <w:sz w:val="24"/>
          <w:szCs w:val="24"/>
        </w:rPr>
        <w:t>盖个人名章）之日起生效，特此声明。</w:t>
      </w:r>
    </w:p>
    <w:p w14:paraId="0E51AEF2">
      <w:pPr>
        <w:rPr>
          <w:rFonts w:hint="eastAsia" w:ascii="仿宋" w:hAnsi="仿宋" w:eastAsia="仿宋" w:cs="仿宋"/>
          <w:color w:val="auto"/>
          <w:sz w:val="24"/>
          <w:szCs w:val="24"/>
        </w:rPr>
      </w:pPr>
    </w:p>
    <w:p w14:paraId="28417940">
      <w:pPr>
        <w:rPr>
          <w:rFonts w:hint="eastAsia" w:ascii="仿宋" w:hAnsi="仿宋" w:eastAsia="仿宋" w:cs="仿宋"/>
          <w:color w:val="auto"/>
          <w:sz w:val="24"/>
          <w:szCs w:val="24"/>
        </w:rPr>
      </w:pPr>
      <w:r>
        <w:rPr>
          <w:rFonts w:hint="eastAsia" w:ascii="仿宋" w:hAnsi="仿宋" w:eastAsia="仿宋" w:cs="仿宋"/>
          <w:color w:val="auto"/>
          <w:sz w:val="24"/>
          <w:szCs w:val="24"/>
        </w:rPr>
        <w:t>需附：法定代表人、被授权人身份证复印件。</w:t>
      </w:r>
    </w:p>
    <w:p w14:paraId="75D7D913">
      <w:pPr>
        <w:pStyle w:val="45"/>
        <w:rPr>
          <w:rFonts w:hint="eastAsia" w:ascii="仿宋" w:hAnsi="仿宋" w:eastAsia="仿宋" w:cs="仿宋"/>
          <w:color w:val="auto"/>
          <w:sz w:val="24"/>
          <w:szCs w:val="24"/>
        </w:rPr>
      </w:pPr>
      <w:r>
        <w:rPr>
          <w:rFonts w:hint="eastAsia" w:ascii="仿宋" w:hAnsi="仿宋" w:eastAsia="仿宋" w:cs="仿宋"/>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2824480</wp:posOffset>
                </wp:positionH>
                <wp:positionV relativeFrom="paragraph">
                  <wp:posOffset>241300</wp:posOffset>
                </wp:positionV>
                <wp:extent cx="2518410" cy="1401445"/>
                <wp:effectExtent l="7620" t="7620" r="19050" b="8255"/>
                <wp:wrapNone/>
                <wp:docPr id="3" name="文本框 3"/>
                <wp:cNvGraphicFramePr/>
                <a:graphic xmlns:a="http://schemas.openxmlformats.org/drawingml/2006/main">
                  <a:graphicData uri="http://schemas.microsoft.com/office/word/2010/wordprocessingShape">
                    <wps:wsp>
                      <wps:cNvSpPr txBox="1"/>
                      <wps:spPr>
                        <a:xfrm>
                          <a:off x="0" y="0"/>
                          <a:ext cx="1991360" cy="1219835"/>
                        </a:xfrm>
                        <a:prstGeom prst="rect">
                          <a:avLst/>
                        </a:prstGeom>
                        <a:noFill/>
                        <a:ln w="15875" cap="flat" cmpd="sng">
                          <a:solidFill>
                            <a:srgbClr val="000000"/>
                          </a:solidFill>
                          <a:prstDash val="solid"/>
                          <a:miter/>
                          <a:headEnd type="none" w="med" len="med"/>
                          <a:tailEnd type="none" w="med" len="med"/>
                        </a:ln>
                        <a:effectLst/>
                      </wps:spPr>
                      <wps:txbx>
                        <w:txbxContent>
                          <w:p w14:paraId="05BFAB8B">
                            <w:pPr>
                              <w:jc w:val="center"/>
                              <w:rPr>
                                <w:rFonts w:hint="eastAsia" w:ascii="仿宋" w:hAnsi="仿宋" w:eastAsia="仿宋" w:cs="仿宋"/>
                                <w:sz w:val="24"/>
                                <w:szCs w:val="32"/>
                              </w:rPr>
                            </w:pPr>
                            <w:r>
                              <w:rPr>
                                <w:rFonts w:hint="eastAsia" w:ascii="仿宋" w:hAnsi="仿宋" w:eastAsia="仿宋" w:cs="仿宋"/>
                                <w:sz w:val="24"/>
                                <w:szCs w:val="32"/>
                              </w:rPr>
                              <w:t>被授权人身份证复印件正面</w:t>
                            </w:r>
                          </w:p>
                        </w:txbxContent>
                      </wps:txbx>
                      <wps:bodyPr wrap="square" upright="1"/>
                    </wps:wsp>
                  </a:graphicData>
                </a:graphic>
              </wp:anchor>
            </w:drawing>
          </mc:Choice>
          <mc:Fallback>
            <w:pict>
              <v:shape id="_x0000_s1026" o:spid="_x0000_s1026" o:spt="202" type="#_x0000_t202" style="position:absolute;left:0pt;margin-left:222.4pt;margin-top:19pt;height:110.35pt;width:198.3pt;z-index:251662336;mso-width-relative:page;mso-height-relative:page;" filled="f" stroked="t" coordsize="21600,21600" o:gfxdata="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9kkkgtcAAAAKAQAADwAAAAAA&#10;AAABACAAAAAiAAAAZHJzL2Rvd25yZXYueG1sUEsBAhQAFAAAAAgAh07iQGkCjMkUAgAAKwQAAA4A&#10;AAAAAAAAAQAgAAAAJgEAAGRycy9lMm9Eb2MueG1sUEsFBgAAAAAGAAYAWQEAAKwFAAAAAA==&#10;">
                <v:fill on="f" focussize="0,0"/>
                <v:stroke weight="1.25pt" color="#000000" joinstyle="miter"/>
                <v:imagedata o:title=""/>
                <o:lock v:ext="edit" aspectratio="f"/>
                <v:textbox>
                  <w:txbxContent>
                    <w:p w14:paraId="05BFAB8B">
                      <w:pPr>
                        <w:jc w:val="center"/>
                        <w:rPr>
                          <w:rFonts w:hint="eastAsia" w:ascii="仿宋" w:hAnsi="仿宋" w:eastAsia="仿宋" w:cs="仿宋"/>
                          <w:sz w:val="24"/>
                          <w:szCs w:val="32"/>
                        </w:rPr>
                      </w:pPr>
                      <w:r>
                        <w:rPr>
                          <w:rFonts w:hint="eastAsia" w:ascii="仿宋" w:hAnsi="仿宋" w:eastAsia="仿宋" w:cs="仿宋"/>
                          <w:sz w:val="24"/>
                          <w:szCs w:val="32"/>
                        </w:rPr>
                        <w:t>被授权人身份证复印件正面</w:t>
                      </w:r>
                    </w:p>
                  </w:txbxContent>
                </v:textbox>
              </v:shape>
            </w:pict>
          </mc:Fallback>
        </mc:AlternateContent>
      </w:r>
      <w:r>
        <w:rPr>
          <w:rFonts w:hint="eastAsia" w:ascii="仿宋" w:hAnsi="仿宋" w:eastAsia="仿宋" w:cs="仿宋"/>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156210</wp:posOffset>
                </wp:positionH>
                <wp:positionV relativeFrom="paragraph">
                  <wp:posOffset>233045</wp:posOffset>
                </wp:positionV>
                <wp:extent cx="2534285" cy="1392555"/>
                <wp:effectExtent l="8255" t="7620" r="17780" b="17145"/>
                <wp:wrapNone/>
                <wp:docPr id="19" name="文本框 19"/>
                <wp:cNvGraphicFramePr/>
                <a:graphic xmlns:a="http://schemas.openxmlformats.org/drawingml/2006/main">
                  <a:graphicData uri="http://schemas.microsoft.com/office/word/2010/wordprocessingShape">
                    <wps:wsp>
                      <wps:cNvSpPr txBox="1"/>
                      <wps:spPr>
                        <a:xfrm>
                          <a:off x="0" y="0"/>
                          <a:ext cx="2023745" cy="1219835"/>
                        </a:xfrm>
                        <a:prstGeom prst="rect">
                          <a:avLst/>
                        </a:prstGeom>
                        <a:noFill/>
                        <a:ln w="15875" cap="flat" cmpd="sng">
                          <a:solidFill>
                            <a:srgbClr val="000000"/>
                          </a:solidFill>
                          <a:prstDash val="solid"/>
                          <a:miter/>
                          <a:headEnd type="none" w="med" len="med"/>
                          <a:tailEnd type="none" w="med" len="med"/>
                        </a:ln>
                        <a:effectLst/>
                      </wps:spPr>
                      <wps:txbx>
                        <w:txbxContent>
                          <w:p w14:paraId="20BCDC72">
                            <w:pPr>
                              <w:jc w:val="center"/>
                              <w:rPr>
                                <w:rFonts w:hint="eastAsia" w:ascii="仿宋" w:hAnsi="仿宋" w:eastAsia="仿宋" w:cs="仿宋"/>
                                <w:sz w:val="24"/>
                                <w:szCs w:val="32"/>
                              </w:rPr>
                            </w:pPr>
                            <w:r>
                              <w:rPr>
                                <w:rFonts w:hint="eastAsia" w:ascii="仿宋" w:hAnsi="仿宋" w:eastAsia="仿宋" w:cs="仿宋"/>
                                <w:sz w:val="24"/>
                                <w:szCs w:val="32"/>
                              </w:rPr>
                              <w:t>法定代表人身份证复印件正面</w:t>
                            </w:r>
                          </w:p>
                        </w:txbxContent>
                      </wps:txbx>
                      <wps:bodyPr wrap="square" upright="1"/>
                    </wps:wsp>
                  </a:graphicData>
                </a:graphic>
              </wp:anchor>
            </w:drawing>
          </mc:Choice>
          <mc:Fallback>
            <w:pict>
              <v:shape id="_x0000_s1026" o:spid="_x0000_s1026" o:spt="202" type="#_x0000_t202" style="position:absolute;left:0pt;margin-left:12.3pt;margin-top:18.35pt;height:109.65pt;width:199.55pt;z-index:251661312;mso-width-relative:page;mso-height-relative:page;" filled="f" stroked="t" coordsize="21600,21600" o:gfxdata="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jZOo9UAAAAJAQAADwAAAAAA&#10;AAABACAAAAAiAAAAZHJzL2Rvd25yZXYueG1sUEsBAhQAFAAAAAgAh07iQJc8aF0WAgAALQQAAA4A&#10;AAAAAAAAAQAgAAAAJAEAAGRycy9lMm9Eb2MueG1sUEsFBgAAAAAGAAYAWQEAAKwFAAAAAA==&#10;">
                <v:fill on="f" focussize="0,0"/>
                <v:stroke weight="1.25pt" color="#000000" joinstyle="miter"/>
                <v:imagedata o:title=""/>
                <o:lock v:ext="edit" aspectratio="f"/>
                <v:textbox>
                  <w:txbxContent>
                    <w:p w14:paraId="20BCDC72">
                      <w:pPr>
                        <w:jc w:val="center"/>
                        <w:rPr>
                          <w:rFonts w:hint="eastAsia" w:ascii="仿宋" w:hAnsi="仿宋" w:eastAsia="仿宋" w:cs="仿宋"/>
                          <w:sz w:val="24"/>
                          <w:szCs w:val="32"/>
                        </w:rPr>
                      </w:pPr>
                      <w:r>
                        <w:rPr>
                          <w:rFonts w:hint="eastAsia" w:ascii="仿宋" w:hAnsi="仿宋" w:eastAsia="仿宋" w:cs="仿宋"/>
                          <w:sz w:val="24"/>
                          <w:szCs w:val="32"/>
                        </w:rPr>
                        <w:t>法定代表人身份证复印件正面</w:t>
                      </w:r>
                    </w:p>
                  </w:txbxContent>
                </v:textbox>
              </v:shape>
            </w:pict>
          </mc:Fallback>
        </mc:AlternateContent>
      </w:r>
    </w:p>
    <w:p w14:paraId="39DD5DE8">
      <w:pPr>
        <w:rPr>
          <w:rFonts w:hint="eastAsia" w:ascii="仿宋" w:hAnsi="仿宋" w:eastAsia="仿宋" w:cs="仿宋"/>
          <w:color w:val="auto"/>
          <w:sz w:val="24"/>
          <w:szCs w:val="24"/>
        </w:rPr>
      </w:pPr>
    </w:p>
    <w:p w14:paraId="0B19EF4B">
      <w:pPr>
        <w:pStyle w:val="45"/>
        <w:rPr>
          <w:rFonts w:hint="eastAsia" w:ascii="仿宋" w:hAnsi="仿宋" w:eastAsia="仿宋" w:cs="仿宋"/>
          <w:color w:val="auto"/>
          <w:sz w:val="24"/>
          <w:szCs w:val="24"/>
        </w:rPr>
      </w:pPr>
    </w:p>
    <w:p w14:paraId="6C837EE2">
      <w:pPr>
        <w:pStyle w:val="8"/>
        <w:rPr>
          <w:rFonts w:hint="eastAsia" w:ascii="仿宋" w:hAnsi="仿宋" w:eastAsia="仿宋" w:cs="仿宋"/>
          <w:color w:val="auto"/>
          <w:sz w:val="24"/>
          <w:szCs w:val="24"/>
        </w:rPr>
      </w:pPr>
    </w:p>
    <w:p w14:paraId="76328CF4">
      <w:pPr>
        <w:rPr>
          <w:rFonts w:hint="eastAsia" w:ascii="仿宋" w:hAnsi="仿宋" w:eastAsia="仿宋" w:cs="仿宋"/>
          <w:color w:val="auto"/>
          <w:sz w:val="24"/>
          <w:szCs w:val="24"/>
        </w:rPr>
      </w:pPr>
    </w:p>
    <w:p w14:paraId="2A6C26EA">
      <w:pPr>
        <w:rPr>
          <w:rFonts w:hint="eastAsia" w:ascii="仿宋" w:hAnsi="仿宋" w:eastAsia="仿宋" w:cs="仿宋"/>
          <w:color w:val="auto"/>
          <w:sz w:val="24"/>
          <w:szCs w:val="24"/>
        </w:rPr>
      </w:pPr>
    </w:p>
    <w:p w14:paraId="2BEEC019">
      <w:pPr>
        <w:rPr>
          <w:rFonts w:hint="eastAsia" w:ascii="仿宋" w:hAnsi="仿宋" w:eastAsia="仿宋" w:cs="仿宋"/>
          <w:color w:val="auto"/>
          <w:sz w:val="24"/>
          <w:szCs w:val="24"/>
        </w:rPr>
      </w:pPr>
      <w:r>
        <w:rPr>
          <w:rFonts w:hint="eastAsia" w:ascii="仿宋" w:hAnsi="仿宋" w:eastAsia="仿宋" w:cs="仿宋"/>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2850515</wp:posOffset>
                </wp:positionH>
                <wp:positionV relativeFrom="paragraph">
                  <wp:posOffset>104775</wp:posOffset>
                </wp:positionV>
                <wp:extent cx="2588260" cy="1452880"/>
                <wp:effectExtent l="7620" t="7620" r="10160" b="17780"/>
                <wp:wrapNone/>
                <wp:docPr id="20" name="文本框 20"/>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a:effectLst/>
                      </wps:spPr>
                      <wps:txbx>
                        <w:txbxContent>
                          <w:p w14:paraId="663212F7">
                            <w:pPr>
                              <w:jc w:val="center"/>
                              <w:rPr>
                                <w:rFonts w:hint="eastAsia" w:ascii="仿宋" w:hAnsi="仿宋" w:eastAsia="仿宋" w:cs="仿宋"/>
                                <w:sz w:val="24"/>
                                <w:szCs w:val="32"/>
                              </w:rPr>
                            </w:pPr>
                            <w:r>
                              <w:rPr>
                                <w:rFonts w:hint="eastAsia" w:ascii="仿宋" w:hAnsi="仿宋" w:eastAsia="仿宋" w:cs="仿宋"/>
                                <w:sz w:val="24"/>
                                <w:szCs w:val="32"/>
                              </w:rPr>
                              <w:t>被授权人身份证复印件背面</w:t>
                            </w:r>
                          </w:p>
                        </w:txbxContent>
                      </wps:txbx>
                      <wps:bodyPr wrap="square" upright="1"/>
                    </wps:wsp>
                  </a:graphicData>
                </a:graphic>
              </wp:anchor>
            </w:drawing>
          </mc:Choice>
          <mc:Fallback>
            <w:pict>
              <v:shape id="_x0000_s1026" o:spid="_x0000_s1026" o:spt="202" type="#_x0000_t202" style="position:absolute;left:0pt;margin-left:224.45pt;margin-top:8.25pt;height:114.4pt;width:203.8pt;z-index:251664384;mso-width-relative:page;mso-height-relative:page;" filled="f" stroked="t" coordsize="21600,21600" o:gfxdata="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uobHdYAAAAKAQAADwAAAAAA&#10;AAABACAAAAAiAAAAZHJzL2Rvd25yZXYueG1sUEsBAhQAFAAAAAgAh07iQP2/SpsVAgAALQQAAA4A&#10;AAAAAAAAAQAgAAAAJQEAAGRycy9lMm9Eb2MueG1sUEsFBgAAAAAGAAYAWQEAAKwFAAAAAA==&#10;">
                <v:fill on="f" focussize="0,0"/>
                <v:stroke weight="1.25pt" color="#000000" joinstyle="miter"/>
                <v:imagedata o:title=""/>
                <o:lock v:ext="edit" aspectratio="f"/>
                <v:textbox>
                  <w:txbxContent>
                    <w:p w14:paraId="663212F7">
                      <w:pPr>
                        <w:jc w:val="center"/>
                        <w:rPr>
                          <w:rFonts w:hint="eastAsia" w:ascii="仿宋" w:hAnsi="仿宋" w:eastAsia="仿宋" w:cs="仿宋"/>
                          <w:sz w:val="24"/>
                          <w:szCs w:val="32"/>
                        </w:rPr>
                      </w:pPr>
                      <w:r>
                        <w:rPr>
                          <w:rFonts w:hint="eastAsia" w:ascii="仿宋" w:hAnsi="仿宋" w:eastAsia="仿宋" w:cs="仿宋"/>
                          <w:sz w:val="24"/>
                          <w:szCs w:val="32"/>
                        </w:rPr>
                        <w:t>被授权人身份证复印件背面</w:t>
                      </w:r>
                    </w:p>
                  </w:txbxContent>
                </v:textbox>
              </v:shape>
            </w:pict>
          </mc:Fallback>
        </mc:AlternateContent>
      </w:r>
      <w:r>
        <w:rPr>
          <w:rFonts w:hint="eastAsia" w:ascii="仿宋" w:hAnsi="仿宋" w:eastAsia="仿宋" w:cs="仿宋"/>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173990</wp:posOffset>
                </wp:positionH>
                <wp:positionV relativeFrom="paragraph">
                  <wp:posOffset>113665</wp:posOffset>
                </wp:positionV>
                <wp:extent cx="2552700" cy="1471295"/>
                <wp:effectExtent l="8255" t="7620" r="14605" b="14605"/>
                <wp:wrapNone/>
                <wp:docPr id="21" name="文本框 21"/>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a:effectLst/>
                      </wps:spPr>
                      <wps:txbx>
                        <w:txbxContent>
                          <w:p w14:paraId="4B4155D8">
                            <w:pPr>
                              <w:jc w:val="center"/>
                              <w:rPr>
                                <w:rFonts w:hint="eastAsia" w:ascii="仿宋" w:hAnsi="仿宋" w:eastAsia="仿宋" w:cs="仿宋"/>
                                <w:sz w:val="24"/>
                                <w:szCs w:val="32"/>
                              </w:rPr>
                            </w:pPr>
                            <w:r>
                              <w:rPr>
                                <w:rFonts w:hint="eastAsia" w:ascii="仿宋" w:hAnsi="仿宋" w:eastAsia="仿宋" w:cs="仿宋"/>
                                <w:sz w:val="24"/>
                                <w:szCs w:val="32"/>
                              </w:rPr>
                              <w:t>法定代表人身份证复印件背面</w:t>
                            </w:r>
                          </w:p>
                        </w:txbxContent>
                      </wps:txbx>
                      <wps:bodyPr wrap="square" upright="1"/>
                    </wps:wsp>
                  </a:graphicData>
                </a:graphic>
              </wp:anchor>
            </w:drawing>
          </mc:Choice>
          <mc:Fallback>
            <w:pict>
              <v:shape id="_x0000_s1026" o:spid="_x0000_s1026" o:spt="202" type="#_x0000_t202" style="position:absolute;left:0pt;margin-left:13.7pt;margin-top:8.95pt;height:115.85pt;width:201pt;z-index:251663360;mso-width-relative:page;mso-height-relative:page;" filled="f" stroked="t" coordsize="21600,21600" o:gfxdata="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5fSPT1AAAAAkBAAAPAAAAAAAA&#10;AAEAIAAAACIAAABkcnMvZG93bnJldi54bWxQSwECFAAUAAAACACHTuJAS3/zjRYCAAAtBAAADgAA&#10;AAAAAAABACAAAAAjAQAAZHJzL2Uyb0RvYy54bWxQSwUGAAAAAAYABgBZAQAAqwUAAAAA&#10;">
                <v:fill on="f" focussize="0,0"/>
                <v:stroke weight="1.25pt" color="#000000" joinstyle="miter"/>
                <v:imagedata o:title=""/>
                <o:lock v:ext="edit" aspectratio="f"/>
                <v:textbox>
                  <w:txbxContent>
                    <w:p w14:paraId="4B4155D8">
                      <w:pPr>
                        <w:jc w:val="center"/>
                        <w:rPr>
                          <w:rFonts w:hint="eastAsia" w:ascii="仿宋" w:hAnsi="仿宋" w:eastAsia="仿宋" w:cs="仿宋"/>
                          <w:sz w:val="24"/>
                          <w:szCs w:val="32"/>
                        </w:rPr>
                      </w:pPr>
                      <w:r>
                        <w:rPr>
                          <w:rFonts w:hint="eastAsia" w:ascii="仿宋" w:hAnsi="仿宋" w:eastAsia="仿宋" w:cs="仿宋"/>
                          <w:sz w:val="24"/>
                          <w:szCs w:val="32"/>
                        </w:rPr>
                        <w:t>法定代表人身份证复印件背面</w:t>
                      </w:r>
                    </w:p>
                  </w:txbxContent>
                </v:textbox>
              </v:shape>
            </w:pict>
          </mc:Fallback>
        </mc:AlternateContent>
      </w:r>
    </w:p>
    <w:p w14:paraId="593101DC">
      <w:pPr>
        <w:rPr>
          <w:rFonts w:hint="eastAsia" w:ascii="仿宋" w:hAnsi="仿宋" w:eastAsia="仿宋" w:cs="仿宋"/>
          <w:color w:val="auto"/>
          <w:sz w:val="24"/>
          <w:szCs w:val="24"/>
        </w:rPr>
      </w:pPr>
    </w:p>
    <w:p w14:paraId="587A865F">
      <w:pPr>
        <w:rPr>
          <w:rFonts w:hint="eastAsia" w:ascii="仿宋" w:hAnsi="仿宋" w:eastAsia="仿宋" w:cs="仿宋"/>
          <w:color w:val="auto"/>
          <w:sz w:val="24"/>
          <w:szCs w:val="24"/>
        </w:rPr>
      </w:pPr>
    </w:p>
    <w:p w14:paraId="714B466D">
      <w:pPr>
        <w:jc w:val="center"/>
        <w:rPr>
          <w:rFonts w:hint="eastAsia" w:ascii="仿宋" w:hAnsi="仿宋" w:eastAsia="仿宋" w:cs="仿宋"/>
          <w:b/>
          <w:color w:val="auto"/>
          <w:sz w:val="24"/>
          <w:szCs w:val="24"/>
        </w:rPr>
      </w:pPr>
    </w:p>
    <w:p w14:paraId="6C7B4F59">
      <w:pPr>
        <w:jc w:val="center"/>
        <w:rPr>
          <w:rFonts w:hint="eastAsia" w:ascii="仿宋" w:hAnsi="仿宋" w:eastAsia="仿宋" w:cs="仿宋"/>
          <w:b/>
          <w:color w:val="auto"/>
          <w:sz w:val="24"/>
          <w:szCs w:val="24"/>
        </w:rPr>
      </w:pPr>
    </w:p>
    <w:p w14:paraId="7CE167FB">
      <w:pPr>
        <w:spacing w:line="360" w:lineRule="auto"/>
        <w:rPr>
          <w:rFonts w:hint="eastAsia" w:ascii="仿宋" w:hAnsi="仿宋" w:eastAsia="仿宋" w:cs="仿宋"/>
          <w:color w:val="auto"/>
          <w:sz w:val="24"/>
          <w:szCs w:val="24"/>
        </w:rPr>
      </w:pPr>
    </w:p>
    <w:p w14:paraId="54171592">
      <w:pPr>
        <w:spacing w:line="360" w:lineRule="auto"/>
        <w:rPr>
          <w:rFonts w:hint="eastAsia" w:ascii="仿宋" w:hAnsi="仿宋" w:eastAsia="仿宋" w:cs="仿宋"/>
          <w:color w:val="auto"/>
          <w:sz w:val="24"/>
          <w:szCs w:val="24"/>
        </w:rPr>
      </w:pPr>
    </w:p>
    <w:p w14:paraId="43ACAF69">
      <w:pP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投标单位名称：（</w:t>
      </w:r>
      <w:r>
        <w:rPr>
          <w:rFonts w:hint="eastAsia" w:ascii="仿宋" w:hAnsi="仿宋" w:eastAsia="仿宋" w:cs="仿宋"/>
          <w:color w:val="auto"/>
          <w:sz w:val="24"/>
          <w:szCs w:val="24"/>
          <w:lang w:eastAsia="zh-CN"/>
        </w:rPr>
        <w:t>盖章</w:t>
      </w:r>
      <w:r>
        <w:rPr>
          <w:rFonts w:hint="eastAsia" w:ascii="仿宋" w:hAnsi="仿宋" w:eastAsia="仿宋" w:cs="仿宋"/>
          <w:color w:val="auto"/>
          <w:sz w:val="24"/>
          <w:szCs w:val="24"/>
        </w:rPr>
        <w:t>）</w:t>
      </w:r>
    </w:p>
    <w:p w14:paraId="2FAB9494">
      <w:pPr>
        <w:spacing w:line="360" w:lineRule="auto"/>
        <w:rPr>
          <w:rFonts w:hint="eastAsia" w:ascii="仿宋" w:hAnsi="仿宋" w:eastAsia="仿宋" w:cs="仿宋"/>
          <w:color w:val="auto"/>
          <w:sz w:val="24"/>
          <w:szCs w:val="24"/>
        </w:rPr>
      </w:pPr>
    </w:p>
    <w:p w14:paraId="2531C97B">
      <w:pPr>
        <w:spacing w:line="360" w:lineRule="auto"/>
        <w:rPr>
          <w:rFonts w:hint="eastAsia" w:ascii="仿宋" w:hAnsi="仿宋" w:eastAsia="仿宋" w:cs="仿宋"/>
          <w:color w:val="auto"/>
          <w:sz w:val="24"/>
          <w:szCs w:val="24"/>
          <w:u w:val="single"/>
          <w:lang w:val="en-US" w:eastAsia="zh-CN"/>
        </w:rPr>
      </w:pPr>
      <w:r>
        <w:rPr>
          <w:rFonts w:hint="eastAsia" w:ascii="仿宋" w:hAnsi="仿宋" w:eastAsia="仿宋" w:cs="仿宋"/>
          <w:color w:val="auto"/>
          <w:sz w:val="24"/>
          <w:szCs w:val="24"/>
        </w:rPr>
        <w:t>授权代表人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（签字</w:t>
      </w:r>
      <w:r>
        <w:rPr>
          <w:rFonts w:hint="eastAsia" w:ascii="仿宋" w:hAnsi="仿宋" w:eastAsia="仿宋" w:cs="仿宋"/>
          <w:color w:val="auto"/>
          <w:sz w:val="24"/>
          <w:szCs w:val="24"/>
          <w:lang w:val="en-US" w:eastAsia="zh-CN"/>
        </w:rPr>
        <w:t>或</w:t>
      </w:r>
      <w:r>
        <w:rPr>
          <w:rFonts w:hint="eastAsia" w:ascii="仿宋" w:hAnsi="仿宋" w:eastAsia="仿宋" w:cs="仿宋"/>
          <w:color w:val="auto"/>
          <w:sz w:val="24"/>
          <w:szCs w:val="24"/>
        </w:rPr>
        <w:t>盖章）</w:t>
      </w:r>
    </w:p>
    <w:p w14:paraId="2970733A">
      <w:pPr>
        <w:pStyle w:val="45"/>
        <w:rPr>
          <w:rFonts w:hint="eastAsia" w:ascii="仿宋" w:hAnsi="仿宋" w:eastAsia="仿宋" w:cs="仿宋"/>
          <w:color w:val="auto"/>
          <w:sz w:val="24"/>
          <w:szCs w:val="24"/>
        </w:rPr>
      </w:pPr>
    </w:p>
    <w:p w14:paraId="7236AFB5">
      <w:pPr>
        <w:numPr>
          <w:ilvl w:val="0"/>
          <w:numId w:val="0"/>
        </w:numPr>
        <w:ind w:leftChars="-50" w:right="62" w:rightChars="0"/>
        <w:jc w:val="right"/>
        <w:rPr>
          <w:rFonts w:hint="eastAsia" w:ascii="仿宋" w:hAnsi="仿宋" w:eastAsia="仿宋" w:cs="仿宋"/>
          <w:color w:val="auto"/>
          <w:sz w:val="24"/>
          <w:szCs w:val="24"/>
        </w:rPr>
      </w:pPr>
      <w:r>
        <w:rPr>
          <w:rFonts w:hint="eastAsia" w:ascii="仿宋" w:hAnsi="仿宋" w:eastAsia="仿宋" w:cs="仿宋"/>
          <w:color w:val="auto"/>
          <w:sz w:val="24"/>
          <w:szCs w:val="24"/>
        </w:rPr>
        <w:t>日期：年月日</w:t>
      </w:r>
    </w:p>
    <w:p w14:paraId="3307FED7">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五）、提供税务机关出具的2026年近三个月内任意一个月的完税证明或依法报税资料（新成立不足1个月的按实际情况提供，成立时间超过1个月的零申报的需提供依法报税资料）及健全的财务会计制度（健全的财务会计制度需单独提供）</w:t>
      </w:r>
    </w:p>
    <w:p w14:paraId="3E1F8ED8">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1A6A5C6C">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227DBBD1">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140B6092">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355FE37D">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1C4645CE">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2E88F28B">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69D5CBE0">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460A8743">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1CD43DB2">
      <w:pPr>
        <w:pStyle w:val="45"/>
        <w:numPr>
          <w:ilvl w:val="0"/>
          <w:numId w:val="9"/>
        </w:numPr>
        <w:ind w:left="120" w:leftChars="0" w:right="62" w:rightChars="0" w:hanging="120" w:hangingChars="50"/>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、根据项目需求提供履行合同所必需的设备和专业技术能力的加盖单位公章的书面承诺函；</w:t>
      </w:r>
    </w:p>
    <w:p w14:paraId="4D486878">
      <w:pPr>
        <w:pStyle w:val="46"/>
        <w:widowControl w:val="0"/>
        <w:numPr>
          <w:ilvl w:val="0"/>
          <w:numId w:val="0"/>
        </w:numPr>
        <w:autoSpaceDE/>
        <w:autoSpaceDN/>
        <w:adjustRightInd/>
        <w:spacing w:line="360" w:lineRule="auto"/>
        <w:ind w:right="62" w:rightChars="0"/>
        <w:jc w:val="both"/>
        <w:rPr>
          <w:rFonts w:hint="eastAsia"/>
          <w:lang w:eastAsia="zh-CN"/>
        </w:rPr>
      </w:pPr>
    </w:p>
    <w:p w14:paraId="759BCF2E">
      <w:pPr>
        <w:rPr>
          <w:rFonts w:hint="eastAsia"/>
          <w:lang w:eastAsia="zh-CN"/>
        </w:rPr>
      </w:pPr>
    </w:p>
    <w:p w14:paraId="779CC44C">
      <w:pPr>
        <w:numPr>
          <w:ilvl w:val="0"/>
          <w:numId w:val="0"/>
        </w:numPr>
        <w:bidi w:val="0"/>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具有履行合同所必需的设备和专业技术能力书面声明</w:t>
      </w:r>
    </w:p>
    <w:p w14:paraId="0735D8B0">
      <w:pPr>
        <w:tabs>
          <w:tab w:val="left" w:pos="6300"/>
        </w:tabs>
        <w:snapToGrid w:val="0"/>
        <w:spacing w:before="312" w:beforeLines="100" w:after="312" w:afterLines="100" w:line="500" w:lineRule="exact"/>
        <w:rPr>
          <w:rFonts w:hint="eastAsia" w:ascii="仿宋" w:hAnsi="仿宋" w:eastAsia="仿宋" w:cs="仿宋"/>
          <w:color w:val="auto"/>
          <w:sz w:val="24"/>
          <w:szCs w:val="24"/>
        </w:rPr>
      </w:pPr>
      <w:r>
        <w:rPr>
          <w:rFonts w:hint="eastAsia" w:ascii="仿宋" w:hAnsi="仿宋" w:eastAsia="仿宋" w:cs="仿宋"/>
          <w:color w:val="auto"/>
          <w:sz w:val="24"/>
          <w:szCs w:val="24"/>
        </w:rPr>
        <w:t>致：（采购人）：</w:t>
      </w:r>
    </w:p>
    <w:p w14:paraId="6EE77370">
      <w:pPr>
        <w:tabs>
          <w:tab w:val="left" w:pos="6300"/>
        </w:tabs>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（投标人名称）郑重声明，我公司具有良好的商业信誉，具有履行合同所必需的设备和专业技术能力，并随时接受采购人、采购代理机构的检查验证，符合</w:t>
      </w:r>
      <w:r>
        <w:rPr>
          <w:rFonts w:hint="eastAsia" w:ascii="仿宋" w:hAnsi="仿宋" w:eastAsia="仿宋" w:cs="仿宋"/>
          <w:color w:val="auto"/>
          <w:sz w:val="24"/>
          <w:szCs w:val="24"/>
          <w:lang w:eastAsia="zh-CN"/>
        </w:rPr>
        <w:t>《中华人民共和国政府采购法》</w:t>
      </w:r>
      <w:r>
        <w:rPr>
          <w:rFonts w:hint="eastAsia" w:ascii="仿宋" w:hAnsi="仿宋" w:eastAsia="仿宋" w:cs="仿宋"/>
          <w:color w:val="auto"/>
          <w:sz w:val="24"/>
          <w:szCs w:val="24"/>
        </w:rPr>
        <w:t>规定的投标人资格条件。我方对以上声明负全部法律责任。</w:t>
      </w:r>
    </w:p>
    <w:p w14:paraId="0DA27275">
      <w:pPr>
        <w:tabs>
          <w:tab w:val="left" w:pos="6300"/>
        </w:tabs>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特此声明。</w:t>
      </w:r>
    </w:p>
    <w:p w14:paraId="6D8A20C7">
      <w:pPr>
        <w:snapToGrid w:val="0"/>
        <w:spacing w:beforeAutospacing="0" w:afterAutospacing="0" w:line="36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zh-CN"/>
        </w:rPr>
        <w:t>投标人名称（电子签章）：</w:t>
      </w:r>
    </w:p>
    <w:p w14:paraId="04098C41">
      <w:pPr>
        <w:widowControl w:val="0"/>
        <w:numPr>
          <w:ilvl w:val="0"/>
          <w:numId w:val="0"/>
        </w:numPr>
        <w:spacing w:line="360" w:lineRule="auto"/>
        <w:ind w:right="62" w:rightChars="0"/>
        <w:jc w:val="right"/>
        <w:rPr>
          <w:rFonts w:hint="eastAsia" w:ascii="仿宋" w:hAnsi="仿宋" w:eastAsia="仿宋" w:cs="仿宋"/>
          <w:color w:val="auto"/>
          <w:kern w:val="0"/>
          <w:sz w:val="24"/>
          <w:szCs w:val="24"/>
          <w:lang w:val="zh-CN"/>
        </w:rPr>
      </w:pPr>
      <w:r>
        <w:rPr>
          <w:rFonts w:hint="eastAsia" w:ascii="仿宋" w:hAnsi="仿宋" w:eastAsia="仿宋" w:cs="仿宋"/>
          <w:color w:val="auto"/>
          <w:kern w:val="0"/>
          <w:sz w:val="24"/>
          <w:szCs w:val="24"/>
          <w:lang w:val="zh-CN"/>
        </w:rPr>
        <w:t>日期</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zh-CN"/>
        </w:rPr>
        <w:t>月日</w:t>
      </w:r>
    </w:p>
    <w:p w14:paraId="0E967765">
      <w:pPr>
        <w:pStyle w:val="74"/>
        <w:rPr>
          <w:rFonts w:hint="eastAsia" w:ascii="仿宋" w:hAnsi="仿宋" w:eastAsia="仿宋" w:cs="仿宋"/>
          <w:color w:val="auto"/>
          <w:kern w:val="0"/>
          <w:sz w:val="24"/>
          <w:szCs w:val="24"/>
          <w:lang w:val="zh-CN"/>
        </w:rPr>
      </w:pPr>
    </w:p>
    <w:p w14:paraId="3F3051E5">
      <w:pPr>
        <w:rPr>
          <w:rFonts w:hint="eastAsia" w:ascii="仿宋" w:hAnsi="仿宋" w:eastAsia="仿宋" w:cs="仿宋"/>
          <w:color w:val="auto"/>
          <w:kern w:val="0"/>
          <w:sz w:val="24"/>
          <w:szCs w:val="24"/>
          <w:lang w:val="zh-CN"/>
        </w:rPr>
      </w:pPr>
    </w:p>
    <w:p w14:paraId="7CFD53D6">
      <w:pPr>
        <w:rPr>
          <w:rFonts w:hint="eastAsia" w:ascii="仿宋" w:hAnsi="仿宋" w:eastAsia="仿宋" w:cs="仿宋"/>
          <w:color w:val="auto"/>
          <w:kern w:val="0"/>
          <w:sz w:val="24"/>
          <w:szCs w:val="24"/>
          <w:lang w:val="zh-CN"/>
        </w:rPr>
      </w:pPr>
    </w:p>
    <w:p w14:paraId="02C28002">
      <w:pPr>
        <w:rPr>
          <w:rFonts w:hint="eastAsia" w:ascii="仿宋" w:hAnsi="仿宋" w:eastAsia="仿宋" w:cs="仿宋"/>
          <w:color w:val="auto"/>
          <w:kern w:val="0"/>
          <w:sz w:val="24"/>
          <w:szCs w:val="24"/>
          <w:lang w:val="zh-CN"/>
        </w:rPr>
      </w:pPr>
    </w:p>
    <w:p w14:paraId="1BE54530">
      <w:pPr>
        <w:rPr>
          <w:rFonts w:hint="eastAsia" w:ascii="仿宋" w:hAnsi="仿宋" w:eastAsia="仿宋" w:cs="仿宋"/>
          <w:color w:val="auto"/>
          <w:kern w:val="0"/>
          <w:sz w:val="24"/>
          <w:szCs w:val="24"/>
          <w:lang w:val="zh-CN"/>
        </w:rPr>
      </w:pPr>
    </w:p>
    <w:p w14:paraId="565A82F3">
      <w:pPr>
        <w:pStyle w:val="74"/>
        <w:widowControl w:val="0"/>
        <w:numPr>
          <w:ilvl w:val="0"/>
          <w:numId w:val="9"/>
        </w:numPr>
        <w:spacing w:after="120" w:line="360" w:lineRule="auto"/>
        <w:ind w:left="120" w:leftChars="0" w:right="62" w:rightChars="0" w:hanging="120" w:hangingChars="50"/>
        <w:jc w:val="both"/>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参加采购活动前3年内，在经营活动中没有重大违法记录：提供《投标人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2AAA689">
      <w:pPr>
        <w:rPr>
          <w:rFonts w:hint="eastAsia"/>
          <w:lang w:val="en-US" w:eastAsia="zh-CN"/>
        </w:rPr>
      </w:pPr>
    </w:p>
    <w:p w14:paraId="39CB3752">
      <w:pPr>
        <w:pStyle w:val="37"/>
        <w:spacing w:line="240" w:lineRule="auto"/>
        <w:ind w:left="0" w:leftChars="0" w:firstLine="0" w:firstLineChars="0"/>
        <w:jc w:val="both"/>
        <w:rPr>
          <w:rFonts w:hint="eastAsia" w:ascii="仿宋" w:hAnsi="仿宋" w:eastAsia="仿宋" w:cs="仿宋"/>
          <w:b/>
          <w:bCs w:val="0"/>
          <w:color w:val="auto"/>
          <w:sz w:val="24"/>
          <w:szCs w:val="24"/>
          <w:lang w:val="en-US" w:eastAsia="zh-CN"/>
        </w:rPr>
      </w:pPr>
    </w:p>
    <w:p w14:paraId="268289E8">
      <w:pPr>
        <w:pStyle w:val="37"/>
        <w:spacing w:line="240" w:lineRule="auto"/>
        <w:ind w:left="0" w:leftChars="0" w:firstLine="0" w:firstLineChars="0"/>
        <w:jc w:val="center"/>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投标人资格声明函（格式自拟）</w:t>
      </w:r>
    </w:p>
    <w:p w14:paraId="11651B23">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我公司</w:t>
      </w:r>
      <w:r>
        <w:rPr>
          <w:rFonts w:hint="eastAsia" w:ascii="仿宋" w:hAnsi="仿宋" w:eastAsia="仿宋" w:cs="仿宋"/>
          <w:b w:val="0"/>
          <w:bCs/>
          <w:color w:val="auto"/>
          <w:sz w:val="24"/>
          <w:szCs w:val="24"/>
          <w:u w:val="single"/>
          <w:lang w:val="en-US" w:eastAsia="zh-CN"/>
        </w:rPr>
        <w:t>（供应商全称）</w:t>
      </w:r>
      <w:r>
        <w:rPr>
          <w:rFonts w:hint="eastAsia" w:ascii="仿宋" w:hAnsi="仿宋" w:eastAsia="仿宋" w:cs="仿宋"/>
          <w:b w:val="0"/>
          <w:bCs/>
          <w:color w:val="auto"/>
          <w:sz w:val="24"/>
          <w:szCs w:val="24"/>
          <w:lang w:val="en-US" w:eastAsia="zh-CN"/>
        </w:rPr>
        <w:t>收到项目（项目编号：、标段号：、标段名称：）的招标文件后，在完全理解该项目采购技术要求和商务条款的基础上，决定参加此次投标活动。我方保证具备履行合同所必需的服务和专业技术能力，并承诺如下：</w:t>
      </w:r>
    </w:p>
    <w:p w14:paraId="4B84AE72">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1.具有独立承担民事责任的能力；</w:t>
      </w:r>
    </w:p>
    <w:p w14:paraId="6E752145">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2.具有良好的商业信誉和健全的财务会计制度；</w:t>
      </w:r>
    </w:p>
    <w:p w14:paraId="585F50F5">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3.具有履行合同所必需的货物和专业技术能力；</w:t>
      </w:r>
    </w:p>
    <w:p w14:paraId="61A34F52">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4.有依法缴纳税收和社会保障资金的良好记录；</w:t>
      </w:r>
    </w:p>
    <w:p w14:paraId="30944ABD">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5.参加政府采购活动前三年内，在经营活动中没有重大违法记录；</w:t>
      </w:r>
    </w:p>
    <w:p w14:paraId="7D183B87">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6.法律、行政法规规定的其他条件；</w:t>
      </w:r>
    </w:p>
    <w:p w14:paraId="5DC52321">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7.具备承担和实施本次采购内容相关的经营许可或相关代理授权。</w:t>
      </w:r>
    </w:p>
    <w:p w14:paraId="07707CEB">
      <w:pPr>
        <w:topLinePunct/>
        <w:spacing w:line="44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单位负责人为同一人或者存在直接控股、管理关系的不同供应商，不得同时参加本采购项目（或采购包）投标（响应）。为本项目提供整体设计、规范编制或者项目管理、监理、检测等服务的供应商，不得再参与本项目投标（响应）。</w:t>
      </w:r>
    </w:p>
    <w:p w14:paraId="13F4CC81">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p>
    <w:p w14:paraId="2F36611D">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p>
    <w:p w14:paraId="6C3A3DE9">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p>
    <w:p w14:paraId="23A5CD94">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p>
    <w:p w14:paraId="4D68BE43">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供应商名称（电子公章）：</w:t>
      </w:r>
    </w:p>
    <w:p w14:paraId="4787398D">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法定代表人或其授权代表（签字）：</w:t>
      </w:r>
    </w:p>
    <w:p w14:paraId="66EA638A">
      <w:pPr>
        <w:pStyle w:val="37"/>
        <w:spacing w:line="240" w:lineRule="auto"/>
        <w:ind w:left="0" w:leftChars="0" w:firstLine="480" w:firstLineChars="200"/>
        <w:jc w:val="both"/>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日期：年月日</w:t>
      </w:r>
    </w:p>
    <w:p w14:paraId="754C92A4">
      <w:pPr>
        <w:numPr>
          <w:ilvl w:val="0"/>
          <w:numId w:val="0"/>
        </w:numPr>
        <w:ind w:leftChars="0" w:right="62" w:rightChars="0"/>
        <w:rPr>
          <w:rFonts w:hint="eastAsia" w:ascii="仿宋" w:hAnsi="仿宋" w:eastAsia="仿宋" w:cs="仿宋"/>
          <w:b/>
          <w:bCs/>
          <w:color w:val="auto"/>
          <w:sz w:val="24"/>
          <w:szCs w:val="24"/>
          <w:lang w:val="en-US" w:eastAsia="zh-CN"/>
        </w:rPr>
      </w:pPr>
    </w:p>
    <w:p w14:paraId="6C583A11">
      <w:pPr>
        <w:numPr>
          <w:ilvl w:val="0"/>
          <w:numId w:val="0"/>
        </w:numPr>
        <w:ind w:leftChars="0" w:right="62" w:rightChars="0"/>
        <w:rPr>
          <w:rFonts w:hint="eastAsia" w:ascii="仿宋" w:hAnsi="仿宋" w:eastAsia="仿宋" w:cs="仿宋"/>
          <w:b/>
          <w:bCs/>
          <w:color w:val="auto"/>
          <w:sz w:val="24"/>
          <w:szCs w:val="24"/>
          <w:lang w:val="en-US" w:eastAsia="zh-CN"/>
        </w:rPr>
      </w:pPr>
    </w:p>
    <w:p w14:paraId="5AFD2FD1">
      <w:pPr>
        <w:numPr>
          <w:ilvl w:val="0"/>
          <w:numId w:val="0"/>
        </w:numPr>
        <w:ind w:leftChars="0" w:right="62" w:rightChars="0"/>
        <w:rPr>
          <w:rFonts w:hint="eastAsia" w:ascii="仿宋" w:hAnsi="仿宋" w:eastAsia="仿宋" w:cs="仿宋"/>
          <w:b/>
          <w:bCs/>
          <w:color w:val="auto"/>
          <w:sz w:val="24"/>
          <w:szCs w:val="24"/>
          <w:lang w:val="en-US" w:eastAsia="zh-CN"/>
        </w:rPr>
      </w:pPr>
    </w:p>
    <w:p w14:paraId="4567E930">
      <w:pPr>
        <w:numPr>
          <w:ilvl w:val="0"/>
          <w:numId w:val="0"/>
        </w:numPr>
        <w:ind w:leftChars="0" w:right="62" w:rightChars="0"/>
        <w:rPr>
          <w:rFonts w:hint="eastAsia" w:ascii="仿宋" w:hAnsi="仿宋" w:eastAsia="仿宋" w:cs="仿宋"/>
          <w:b/>
          <w:bCs/>
          <w:color w:val="auto"/>
          <w:sz w:val="24"/>
          <w:szCs w:val="24"/>
          <w:lang w:val="en-US" w:eastAsia="zh-CN"/>
        </w:rPr>
      </w:pPr>
    </w:p>
    <w:p w14:paraId="0E5F0D82">
      <w:pPr>
        <w:numPr>
          <w:ilvl w:val="0"/>
          <w:numId w:val="0"/>
        </w:numPr>
        <w:ind w:leftChars="0" w:right="62" w:rightChars="0"/>
        <w:rPr>
          <w:rFonts w:hint="eastAsia" w:ascii="仿宋" w:hAnsi="仿宋" w:eastAsia="仿宋" w:cs="仿宋"/>
          <w:b/>
          <w:bCs/>
          <w:color w:val="auto"/>
          <w:sz w:val="24"/>
          <w:szCs w:val="24"/>
          <w:lang w:val="en-US" w:eastAsia="zh-CN"/>
        </w:rPr>
      </w:pPr>
    </w:p>
    <w:p w14:paraId="51F5BBB7">
      <w:pPr>
        <w:numPr>
          <w:ilvl w:val="0"/>
          <w:numId w:val="0"/>
        </w:numPr>
        <w:ind w:leftChars="0" w:right="62" w:rightChars="0"/>
        <w:rPr>
          <w:rFonts w:hint="eastAsia" w:ascii="仿宋" w:hAnsi="仿宋" w:eastAsia="仿宋" w:cs="仿宋"/>
          <w:b/>
          <w:bCs/>
          <w:color w:val="auto"/>
          <w:sz w:val="24"/>
          <w:szCs w:val="24"/>
          <w:lang w:val="en-US" w:eastAsia="zh-CN"/>
        </w:rPr>
      </w:pPr>
    </w:p>
    <w:p w14:paraId="41467592">
      <w:pPr>
        <w:pStyle w:val="74"/>
        <w:numPr>
          <w:ilvl w:val="0"/>
          <w:numId w:val="9"/>
        </w:numPr>
        <w:ind w:left="120" w:leftChars="0" w:hanging="120" w:hangingChars="5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投标人近三年内如在“信用中国网www.creditchina.gov.cn”被列入失信被执行人、重大税收违法案件当事人名单、政府采购严重违法失信行为记录名单的（尚在处罚期内的）；在“中国政府采购网（www.ccgp.gov.cn）”被列入政府采购严重违法失信行为记录名单的（尚在处罚期内的）；在“国家企业信用信息公示系统（http://www.gsxt.gov.cn）”列入严重违法失信企业名单（黑名单）信息，将拒绝其参加本次政府采购活动；</w:t>
      </w:r>
    </w:p>
    <w:p w14:paraId="4E0A6E0F">
      <w:pPr>
        <w:widowControl w:val="0"/>
        <w:numPr>
          <w:ilvl w:val="0"/>
          <w:numId w:val="0"/>
        </w:numPr>
        <w:spacing w:line="360" w:lineRule="auto"/>
        <w:ind w:right="62" w:rightChars="0"/>
        <w:jc w:val="both"/>
        <w:rPr>
          <w:rFonts w:hint="eastAsia"/>
          <w:lang w:val="en-US" w:eastAsia="zh-CN"/>
        </w:rPr>
      </w:pPr>
    </w:p>
    <w:p w14:paraId="26298F03">
      <w:pPr>
        <w:pStyle w:val="3"/>
        <w:rPr>
          <w:rFonts w:hint="eastAsia"/>
          <w:lang w:val="en-US" w:eastAsia="zh-CN"/>
        </w:rPr>
      </w:pPr>
    </w:p>
    <w:p w14:paraId="4C8C6AE7">
      <w:pPr>
        <w:rPr>
          <w:rFonts w:hint="eastAsia"/>
          <w:lang w:val="en-US" w:eastAsia="zh-CN"/>
        </w:rPr>
      </w:pPr>
    </w:p>
    <w:p w14:paraId="334A09D2">
      <w:pPr>
        <w:pStyle w:val="3"/>
        <w:rPr>
          <w:rFonts w:hint="eastAsia"/>
          <w:lang w:val="en-US" w:eastAsia="zh-CN"/>
        </w:rPr>
      </w:pPr>
    </w:p>
    <w:p w14:paraId="6C9D17FC">
      <w:pPr>
        <w:rPr>
          <w:rFonts w:hint="eastAsia" w:ascii="仿宋" w:hAnsi="仿宋" w:eastAsia="仿宋" w:cs="仿宋"/>
          <w:color w:val="auto"/>
          <w:sz w:val="24"/>
          <w:szCs w:val="24"/>
          <w:lang w:val="en-US" w:eastAsia="zh-CN"/>
        </w:rPr>
      </w:pPr>
      <w:r>
        <w:rPr>
          <w:rFonts w:hint="eastAsia"/>
          <w:b/>
          <w:bCs/>
          <w:lang w:val="en-US" w:eastAsia="zh-CN"/>
        </w:rPr>
        <w:t>（九）、①若所投产品为第二类医疗器械，生产商须提供有效的《医疗器械生产许可证》及所投产品的《医疗器械注册证》，代理商或经销商须提供有效的《第二类医疗器械经营备案凭证》及所投产品的《医疗器械注册证》；②若所投产品为第三类医疗器械，生产商须提供有效的《医疗器械生产许可证》及所投产品的《医疗器械注册证》，代理商或经销商须提供有效的《医疗器械经营许可证》及所投产品的《医疗器械注册证》；③若所投产品不属于上述医疗器械管理范围的，可按要求提供证明文件并加盖公章。</w:t>
      </w:r>
    </w:p>
    <w:p w14:paraId="44DD3980">
      <w:pPr>
        <w:rPr>
          <w:rFonts w:hint="eastAsia" w:ascii="仿宋" w:hAnsi="仿宋" w:eastAsia="仿宋" w:cs="仿宋"/>
          <w:color w:val="auto"/>
          <w:sz w:val="24"/>
          <w:szCs w:val="24"/>
          <w:lang w:val="en-US" w:eastAsia="zh-CN"/>
        </w:rPr>
      </w:pPr>
    </w:p>
    <w:p w14:paraId="155CB9E4">
      <w:pPr>
        <w:rPr>
          <w:rFonts w:hint="eastAsia" w:ascii="仿宋" w:hAnsi="仿宋" w:eastAsia="仿宋" w:cs="仿宋"/>
          <w:color w:val="auto"/>
          <w:sz w:val="24"/>
          <w:szCs w:val="24"/>
          <w:lang w:val="en-US" w:eastAsia="zh-CN"/>
        </w:rPr>
      </w:pPr>
    </w:p>
    <w:p w14:paraId="27F3C2C7">
      <w:pPr>
        <w:numPr>
          <w:ilvl w:val="0"/>
          <w:numId w:val="0"/>
        </w:numPr>
        <w:ind w:right="62" w:rightChars="0"/>
        <w:rPr>
          <w:rFonts w:hint="eastAsia" w:ascii="仿宋" w:hAnsi="仿宋" w:eastAsia="仿宋" w:cs="仿宋"/>
          <w:b/>
          <w:bCs/>
          <w:color w:val="auto"/>
          <w:sz w:val="24"/>
          <w:szCs w:val="24"/>
          <w:lang w:val="en-US" w:eastAsia="zh-CN"/>
        </w:rPr>
      </w:pPr>
    </w:p>
    <w:p w14:paraId="7D264205">
      <w:pPr>
        <w:numPr>
          <w:ilvl w:val="0"/>
          <w:numId w:val="0"/>
        </w:numPr>
        <w:ind w:right="62" w:rightChars="0"/>
        <w:rPr>
          <w:rFonts w:hint="eastAsia" w:ascii="仿宋" w:hAnsi="仿宋" w:eastAsia="仿宋" w:cs="仿宋"/>
          <w:b/>
          <w:bCs/>
          <w:color w:val="auto"/>
          <w:sz w:val="24"/>
          <w:szCs w:val="24"/>
          <w:lang w:val="en-US" w:eastAsia="zh-CN"/>
        </w:rPr>
      </w:pPr>
    </w:p>
    <w:p w14:paraId="60375BBD">
      <w:pPr>
        <w:numPr>
          <w:ilvl w:val="0"/>
          <w:numId w:val="0"/>
        </w:numPr>
        <w:ind w:right="62" w:rightChars="0"/>
        <w:rPr>
          <w:rFonts w:hint="eastAsia" w:ascii="仿宋" w:hAnsi="仿宋" w:eastAsia="仿宋" w:cs="仿宋"/>
          <w:b/>
          <w:bCs/>
          <w:color w:val="auto"/>
          <w:sz w:val="24"/>
          <w:szCs w:val="24"/>
          <w:lang w:val="en-US" w:eastAsia="zh-CN"/>
        </w:rPr>
      </w:pPr>
    </w:p>
    <w:p w14:paraId="3F79BFC0">
      <w:pPr>
        <w:pStyle w:val="3"/>
        <w:rPr>
          <w:rFonts w:hint="eastAsia" w:ascii="仿宋" w:hAnsi="仿宋" w:eastAsia="仿宋" w:cs="仿宋"/>
          <w:b/>
          <w:bCs/>
          <w:color w:val="auto"/>
          <w:sz w:val="24"/>
          <w:szCs w:val="24"/>
          <w:lang w:val="en-US" w:eastAsia="zh-CN"/>
        </w:rPr>
      </w:pPr>
    </w:p>
    <w:p w14:paraId="7BAA9456">
      <w:pPr>
        <w:rPr>
          <w:rFonts w:hint="eastAsia" w:ascii="仿宋" w:hAnsi="仿宋" w:eastAsia="仿宋" w:cs="仿宋"/>
          <w:b/>
          <w:bCs/>
          <w:color w:val="auto"/>
          <w:sz w:val="24"/>
          <w:szCs w:val="24"/>
          <w:lang w:val="en-US" w:eastAsia="zh-CN"/>
        </w:rPr>
      </w:pPr>
    </w:p>
    <w:p w14:paraId="5F2942BA">
      <w:pPr>
        <w:pStyle w:val="3"/>
        <w:rPr>
          <w:rFonts w:hint="eastAsia"/>
          <w:lang w:val="en-US" w:eastAsia="zh-CN"/>
        </w:rPr>
      </w:pPr>
    </w:p>
    <w:p w14:paraId="0D216C48">
      <w:pPr>
        <w:numPr>
          <w:ilvl w:val="0"/>
          <w:numId w:val="0"/>
        </w:numPr>
        <w:ind w:right="62" w:rightChars="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（十）、投标保证金打款凭证</w:t>
      </w:r>
    </w:p>
    <w:p w14:paraId="78321491">
      <w:pPr>
        <w:pStyle w:val="74"/>
        <w:widowControl w:val="0"/>
        <w:numPr>
          <w:ilvl w:val="0"/>
          <w:numId w:val="0"/>
        </w:numPr>
        <w:spacing w:after="120" w:line="360" w:lineRule="auto"/>
        <w:ind w:right="62" w:rightChars="0"/>
        <w:jc w:val="both"/>
        <w:rPr>
          <w:rFonts w:hint="eastAsia" w:ascii="仿宋" w:hAnsi="仿宋" w:eastAsia="仿宋" w:cs="仿宋"/>
          <w:color w:val="auto"/>
          <w:sz w:val="24"/>
          <w:szCs w:val="24"/>
          <w:lang w:val="en-US" w:eastAsia="zh-CN"/>
        </w:rPr>
      </w:pPr>
    </w:p>
    <w:p w14:paraId="6EF2441D">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投标保证金回单（以银行到账推送名单情况为准）或电子保函凭证</w:t>
      </w:r>
    </w:p>
    <w:p w14:paraId="6B540E48">
      <w:pPr>
        <w:pStyle w:val="45"/>
        <w:rPr>
          <w:rFonts w:hint="eastAsia" w:ascii="仿宋" w:hAnsi="仿宋" w:eastAsia="仿宋" w:cs="仿宋"/>
          <w:color w:val="auto"/>
          <w:sz w:val="24"/>
          <w:szCs w:val="24"/>
          <w:lang w:val="en-US" w:eastAsia="zh-CN"/>
        </w:rPr>
      </w:pPr>
    </w:p>
    <w:p w14:paraId="22656390">
      <w:pPr>
        <w:rPr>
          <w:rFonts w:hint="eastAsia" w:ascii="仿宋" w:hAnsi="仿宋" w:eastAsia="仿宋" w:cs="仿宋"/>
          <w:color w:val="auto"/>
          <w:sz w:val="24"/>
          <w:szCs w:val="24"/>
          <w:lang w:val="en-US" w:eastAsia="zh-CN"/>
        </w:rPr>
      </w:pPr>
    </w:p>
    <w:p w14:paraId="7DE05464">
      <w:pPr>
        <w:rPr>
          <w:rFonts w:hint="eastAsia" w:ascii="仿宋" w:hAnsi="仿宋" w:eastAsia="仿宋" w:cs="仿宋"/>
          <w:color w:val="auto"/>
          <w:sz w:val="24"/>
          <w:szCs w:val="24"/>
          <w:lang w:val="en-US" w:eastAsia="zh-CN"/>
        </w:rPr>
      </w:pPr>
    </w:p>
    <w:p w14:paraId="25D949F1">
      <w:pPr>
        <w:numPr>
          <w:ilvl w:val="0"/>
          <w:numId w:val="0"/>
        </w:numPr>
        <w:ind w:leftChars="-50" w:right="62" w:rightChars="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（十一）、商务偏离表（格式见附件）</w:t>
      </w:r>
    </w:p>
    <w:p w14:paraId="6B183180">
      <w:pPr>
        <w:pStyle w:val="45"/>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75051A2F">
      <w:pPr>
        <w:pStyle w:val="8"/>
        <w:ind w:left="420" w:hanging="420"/>
        <w:jc w:val="center"/>
        <w:rPr>
          <w:rFonts w:hint="eastAsia" w:ascii="宋体" w:hAnsi="宋体" w:cs="宋体"/>
          <w:b/>
          <w:bCs/>
          <w:color w:val="auto"/>
          <w:kern w:val="0"/>
          <w:sz w:val="28"/>
          <w:szCs w:val="32"/>
          <w:highlight w:val="none"/>
        </w:rPr>
      </w:pPr>
      <w:r>
        <w:rPr>
          <w:rFonts w:hint="eastAsia" w:ascii="宋体" w:hAnsi="宋体" w:cs="宋体"/>
          <w:b/>
          <w:bCs/>
          <w:color w:val="auto"/>
          <w:kern w:val="0"/>
          <w:sz w:val="28"/>
          <w:szCs w:val="32"/>
          <w:highlight w:val="none"/>
        </w:rPr>
        <w:t>商务条款偏离表</w:t>
      </w:r>
    </w:p>
    <w:tbl>
      <w:tblPr>
        <w:tblStyle w:val="75"/>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709"/>
        <w:gridCol w:w="1985"/>
        <w:gridCol w:w="1984"/>
        <w:gridCol w:w="1985"/>
        <w:gridCol w:w="1134"/>
        <w:gridCol w:w="1134"/>
      </w:tblGrid>
      <w:tr w14:paraId="334C192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center"/>
          </w:tcPr>
          <w:p w14:paraId="4984CE14">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序号</w:t>
            </w:r>
          </w:p>
        </w:tc>
        <w:tc>
          <w:tcPr>
            <w:tcW w:w="1985" w:type="dxa"/>
            <w:shd w:val="clear" w:color="000000" w:fill="FFFFFF"/>
            <w:noWrap w:val="0"/>
            <w:vAlign w:val="center"/>
          </w:tcPr>
          <w:p w14:paraId="3CFC4360">
            <w:pPr>
              <w:autoSpaceDE w:val="0"/>
              <w:autoSpaceDN w:val="0"/>
              <w:spacing w:line="460" w:lineRule="exact"/>
              <w:jc w:val="center"/>
              <w:rPr>
                <w:rFonts w:ascii="宋体" w:hAnsi="宋体"/>
                <w:b/>
                <w:bCs/>
                <w:color w:val="auto"/>
                <w:szCs w:val="21"/>
                <w:highlight w:val="none"/>
              </w:rPr>
            </w:pPr>
            <w:r>
              <w:rPr>
                <w:rFonts w:hint="eastAsia" w:ascii="宋体" w:hAnsi="宋体"/>
                <w:b/>
                <w:bCs/>
                <w:color w:val="auto"/>
                <w:szCs w:val="21"/>
                <w:highlight w:val="none"/>
                <w:lang w:val="zh-CN"/>
              </w:rPr>
              <w:t>招标文件条目号</w:t>
            </w:r>
          </w:p>
          <w:p w14:paraId="0FD7F8C9">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（页码）</w:t>
            </w:r>
          </w:p>
        </w:tc>
        <w:tc>
          <w:tcPr>
            <w:tcW w:w="1984" w:type="dxa"/>
            <w:shd w:val="clear" w:color="000000" w:fill="FFFFFF"/>
            <w:noWrap w:val="0"/>
            <w:vAlign w:val="center"/>
          </w:tcPr>
          <w:p w14:paraId="35B25018">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招标文件的商务</w:t>
            </w:r>
          </w:p>
          <w:p w14:paraId="020B7E30">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条款</w:t>
            </w:r>
          </w:p>
        </w:tc>
        <w:tc>
          <w:tcPr>
            <w:tcW w:w="1985" w:type="dxa"/>
            <w:shd w:val="clear" w:color="000000" w:fill="FFFFFF"/>
            <w:noWrap w:val="0"/>
            <w:vAlign w:val="center"/>
          </w:tcPr>
          <w:p w14:paraId="284C3975">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投标文件的商务</w:t>
            </w:r>
          </w:p>
          <w:p w14:paraId="3D3830D2">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条款</w:t>
            </w:r>
          </w:p>
        </w:tc>
        <w:tc>
          <w:tcPr>
            <w:tcW w:w="1134" w:type="dxa"/>
            <w:shd w:val="clear" w:color="000000" w:fill="FFFFFF"/>
            <w:noWrap w:val="0"/>
            <w:vAlign w:val="center"/>
          </w:tcPr>
          <w:p w14:paraId="485D82D5">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偏离</w:t>
            </w:r>
          </w:p>
        </w:tc>
        <w:tc>
          <w:tcPr>
            <w:tcW w:w="1134" w:type="dxa"/>
            <w:shd w:val="clear" w:color="000000" w:fill="FFFFFF"/>
            <w:noWrap w:val="0"/>
            <w:vAlign w:val="center"/>
          </w:tcPr>
          <w:p w14:paraId="2F9A6B79">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说明</w:t>
            </w:r>
          </w:p>
        </w:tc>
      </w:tr>
      <w:tr w14:paraId="6E7C29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5F98647C">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8E00041">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08D64D1D">
            <w:pPr>
              <w:autoSpaceDE w:val="0"/>
              <w:autoSpaceDN w:val="0"/>
              <w:spacing w:line="460" w:lineRule="exact"/>
              <w:jc w:val="center"/>
              <w:rPr>
                <w:rFonts w:ascii="宋体" w:hAnsi="宋体"/>
                <w:color w:val="auto"/>
                <w:szCs w:val="21"/>
                <w:highlight w:val="none"/>
                <w:lang w:val="zh-CN"/>
              </w:rPr>
            </w:pPr>
          </w:p>
        </w:tc>
        <w:tc>
          <w:tcPr>
            <w:tcW w:w="1985" w:type="dxa"/>
            <w:shd w:val="clear" w:color="000000" w:fill="FFFFFF"/>
            <w:noWrap w:val="0"/>
            <w:vAlign w:val="top"/>
          </w:tcPr>
          <w:p w14:paraId="7FE903E7">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center"/>
          </w:tcPr>
          <w:p w14:paraId="5EA43164">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123B1B3F">
            <w:pPr>
              <w:autoSpaceDE w:val="0"/>
              <w:autoSpaceDN w:val="0"/>
              <w:spacing w:line="460" w:lineRule="exact"/>
              <w:rPr>
                <w:rFonts w:ascii="宋体" w:hAnsi="宋体"/>
                <w:color w:val="auto"/>
                <w:szCs w:val="21"/>
                <w:highlight w:val="none"/>
                <w:lang w:val="zh-CN"/>
              </w:rPr>
            </w:pPr>
          </w:p>
        </w:tc>
      </w:tr>
      <w:tr w14:paraId="5531D2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67923D00">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B3A3854">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3CA65B8F">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5C08943E">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672A9431">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2D902433">
            <w:pPr>
              <w:autoSpaceDE w:val="0"/>
              <w:autoSpaceDN w:val="0"/>
              <w:spacing w:line="460" w:lineRule="exact"/>
              <w:rPr>
                <w:rFonts w:ascii="宋体" w:hAnsi="宋体"/>
                <w:color w:val="auto"/>
                <w:szCs w:val="21"/>
                <w:highlight w:val="none"/>
                <w:lang w:val="zh-CN"/>
              </w:rPr>
            </w:pPr>
          </w:p>
        </w:tc>
      </w:tr>
      <w:tr w14:paraId="55BEAEE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6CDF4A85">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CA85FB3">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2F970952">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3B057F11">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6DC7FD96">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0A423930">
            <w:pPr>
              <w:autoSpaceDE w:val="0"/>
              <w:autoSpaceDN w:val="0"/>
              <w:spacing w:line="460" w:lineRule="exact"/>
              <w:rPr>
                <w:rFonts w:ascii="宋体" w:hAnsi="宋体"/>
                <w:color w:val="auto"/>
                <w:szCs w:val="21"/>
                <w:highlight w:val="none"/>
                <w:lang w:val="zh-CN"/>
              </w:rPr>
            </w:pPr>
          </w:p>
        </w:tc>
      </w:tr>
      <w:tr w14:paraId="1C79CA4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7487B5EA">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60DD1FA">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526B3754">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7D9BBDEC">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35F19FCD">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5D98F169">
            <w:pPr>
              <w:autoSpaceDE w:val="0"/>
              <w:autoSpaceDN w:val="0"/>
              <w:spacing w:line="460" w:lineRule="exact"/>
              <w:rPr>
                <w:rFonts w:ascii="宋体" w:hAnsi="宋体"/>
                <w:color w:val="auto"/>
                <w:szCs w:val="21"/>
                <w:highlight w:val="none"/>
                <w:lang w:val="zh-CN"/>
              </w:rPr>
            </w:pPr>
          </w:p>
        </w:tc>
      </w:tr>
      <w:tr w14:paraId="361A2CB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3466B7BF">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2A8707B">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54722E5A">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3311CC6C">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2CCFDC61">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0C4DBD22">
            <w:pPr>
              <w:autoSpaceDE w:val="0"/>
              <w:autoSpaceDN w:val="0"/>
              <w:spacing w:line="460" w:lineRule="exact"/>
              <w:rPr>
                <w:rFonts w:ascii="宋体" w:hAnsi="宋体"/>
                <w:color w:val="auto"/>
                <w:szCs w:val="21"/>
                <w:highlight w:val="none"/>
                <w:lang w:val="zh-CN"/>
              </w:rPr>
            </w:pPr>
          </w:p>
        </w:tc>
      </w:tr>
    </w:tbl>
    <w:p w14:paraId="51122894">
      <w:pPr>
        <w:keepNext/>
        <w:keepLines/>
        <w:shd w:val="clear" w:color="auto" w:fill="FFFFFF"/>
        <w:adjustRightInd w:val="0"/>
        <w:snapToGrid w:val="0"/>
        <w:spacing w:line="500" w:lineRule="exact"/>
        <w:ind w:firstLine="422" w:firstLineChars="200"/>
        <w:outlineLvl w:val="2"/>
        <w:rPr>
          <w:rFonts w:ascii="宋体" w:hAnsi="宋体"/>
          <w:b/>
          <w:bCs/>
          <w:color w:val="0C0C0C"/>
          <w:szCs w:val="21"/>
        </w:rPr>
      </w:pPr>
      <w:r>
        <w:rPr>
          <w:rFonts w:hint="eastAsia" w:ascii="宋体" w:hAnsi="宋体" w:cs="Arial"/>
          <w:b/>
          <w:color w:val="0C0C0C"/>
          <w:szCs w:val="21"/>
        </w:rPr>
        <w:t>注：本偏离表是评委评审供应商商务条款最重要的直观材料和主要依据，供应商应针对本招标文件中的要求是否满足填写偏离表。对于漏报的项目，招标人有权要求其补报，否则将导致投标无效。</w:t>
      </w:r>
    </w:p>
    <w:p w14:paraId="5214588A">
      <w:pPr>
        <w:ind w:firstLine="420"/>
        <w:rPr>
          <w:rFonts w:eastAsia="仿宋_GB2312"/>
          <w:color w:val="auto"/>
          <w:spacing w:val="24"/>
          <w:sz w:val="28"/>
          <w:szCs w:val="20"/>
          <w:highlight w:val="none"/>
        </w:rPr>
      </w:pPr>
    </w:p>
    <w:p w14:paraId="2834E18D">
      <w:pPr>
        <w:spacing w:line="360" w:lineRule="auto"/>
        <w:ind w:right="1584"/>
        <w:rPr>
          <w:rFonts w:ascii="宋体" w:hAnsi="宋体" w:cs="仿宋"/>
          <w:color w:val="auto"/>
          <w:sz w:val="24"/>
          <w:highlight w:val="none"/>
          <w:lang w:val="zh-CN"/>
        </w:rPr>
      </w:pPr>
      <w:r>
        <w:rPr>
          <w:rFonts w:hint="eastAsia" w:ascii="宋体" w:hAnsi="宋体" w:cs="仿宋"/>
          <w:color w:val="auto"/>
          <w:sz w:val="24"/>
          <w:highlight w:val="none"/>
          <w:lang w:val="zh-CN"/>
        </w:rPr>
        <w:t>供应商：（盖供应商公章）</w:t>
      </w:r>
    </w:p>
    <w:p w14:paraId="6B019792">
      <w:pPr>
        <w:spacing w:line="360" w:lineRule="auto"/>
        <w:ind w:right="576"/>
        <w:rPr>
          <w:rFonts w:ascii="宋体" w:hAnsi="宋体" w:cs="仿宋"/>
          <w:color w:val="auto"/>
          <w:sz w:val="24"/>
          <w:highlight w:val="none"/>
          <w:lang w:val="zh-CN"/>
        </w:rPr>
      </w:pPr>
      <w:r>
        <w:rPr>
          <w:rFonts w:hint="eastAsia" w:ascii="宋体" w:hAnsi="宋体" w:cs="仿宋"/>
          <w:color w:val="auto"/>
          <w:sz w:val="24"/>
          <w:highlight w:val="none"/>
          <w:lang w:val="zh-CN"/>
        </w:rPr>
        <w:t>法定代表人或授权委托人：（签字或盖章）</w:t>
      </w:r>
    </w:p>
    <w:p w14:paraId="3DDB7204">
      <w:pPr>
        <w:spacing w:line="360" w:lineRule="auto"/>
        <w:ind w:right="576"/>
        <w:rPr>
          <w:rFonts w:ascii="宋体" w:hAnsi="宋体" w:cs="仿宋"/>
          <w:color w:val="auto"/>
          <w:sz w:val="24"/>
          <w:highlight w:val="none"/>
          <w:lang w:val="zh-CN"/>
        </w:rPr>
      </w:pPr>
      <w:r>
        <w:rPr>
          <w:rFonts w:hint="eastAsia" w:ascii="宋体" w:hAnsi="宋体" w:cs="仿宋"/>
          <w:color w:val="auto"/>
          <w:sz w:val="24"/>
          <w:highlight w:val="none"/>
          <w:lang w:val="zh-CN"/>
        </w:rPr>
        <w:t>日期：   年   月    日</w:t>
      </w:r>
    </w:p>
    <w:p w14:paraId="4D732741">
      <w:pPr>
        <w:rPr>
          <w:rFonts w:hint="eastAsia" w:ascii="仿宋" w:hAnsi="仿宋" w:eastAsia="仿宋" w:cs="仿宋"/>
          <w:color w:val="auto"/>
          <w:sz w:val="24"/>
          <w:szCs w:val="24"/>
          <w:lang w:val="en-US" w:eastAsia="zh-CN"/>
        </w:rPr>
      </w:pPr>
    </w:p>
    <w:p w14:paraId="649915C2">
      <w:pPr>
        <w:ind w:left="0" w:leftChars="0" w:firstLine="0" w:firstLineChars="0"/>
        <w:rPr>
          <w:rFonts w:hint="eastAsia" w:ascii="仿宋" w:hAnsi="仿宋" w:eastAsia="仿宋" w:cs="仿宋"/>
          <w:color w:val="auto"/>
          <w:sz w:val="24"/>
          <w:szCs w:val="24"/>
          <w:lang w:val="en-US" w:eastAsia="zh-CN"/>
        </w:rPr>
      </w:pPr>
    </w:p>
    <w:p w14:paraId="34868601">
      <w:pPr>
        <w:pStyle w:val="8"/>
        <w:rPr>
          <w:rFonts w:hint="eastAsia" w:ascii="仿宋" w:hAnsi="仿宋" w:eastAsia="仿宋" w:cs="仿宋"/>
          <w:color w:val="auto"/>
          <w:sz w:val="24"/>
          <w:szCs w:val="24"/>
          <w:lang w:val="en-US" w:eastAsia="zh-CN"/>
        </w:rPr>
      </w:pPr>
    </w:p>
    <w:p w14:paraId="5C98BE17">
      <w:pPr>
        <w:pStyle w:val="8"/>
        <w:rPr>
          <w:rFonts w:hint="eastAsia" w:ascii="仿宋" w:hAnsi="仿宋" w:eastAsia="仿宋" w:cs="仿宋"/>
          <w:color w:val="auto"/>
          <w:sz w:val="24"/>
          <w:szCs w:val="24"/>
          <w:lang w:val="en-US" w:eastAsia="zh-CN"/>
        </w:rPr>
      </w:pPr>
    </w:p>
    <w:p w14:paraId="5B4C6A41">
      <w:pPr>
        <w:pStyle w:val="8"/>
        <w:rPr>
          <w:rFonts w:hint="eastAsia" w:ascii="仿宋" w:hAnsi="仿宋" w:eastAsia="仿宋" w:cs="仿宋"/>
          <w:color w:val="auto"/>
          <w:sz w:val="24"/>
          <w:szCs w:val="24"/>
          <w:lang w:val="en-US" w:eastAsia="zh-CN"/>
        </w:rPr>
      </w:pPr>
    </w:p>
    <w:p w14:paraId="3B1E997D">
      <w:pPr>
        <w:pStyle w:val="8"/>
        <w:rPr>
          <w:rFonts w:hint="eastAsia" w:ascii="仿宋" w:hAnsi="仿宋" w:eastAsia="仿宋" w:cs="仿宋"/>
          <w:color w:val="auto"/>
          <w:sz w:val="24"/>
          <w:szCs w:val="24"/>
          <w:lang w:val="en-US" w:eastAsia="zh-CN"/>
        </w:rPr>
      </w:pPr>
    </w:p>
    <w:p w14:paraId="69312D62">
      <w:pPr>
        <w:keepNext/>
        <w:keepLines/>
        <w:spacing w:line="520" w:lineRule="exact"/>
        <w:ind w:left="420" w:hanging="420"/>
        <w:jc w:val="center"/>
        <w:outlineLvl w:val="0"/>
        <w:rPr>
          <w:rFonts w:ascii="Wingdings" w:hAnsi="Wingdings" w:cs="宋体"/>
          <w:b/>
          <w:bCs/>
          <w:color w:val="auto"/>
          <w:kern w:val="0"/>
          <w:sz w:val="28"/>
          <w:szCs w:val="28"/>
          <w:highlight w:val="none"/>
        </w:rPr>
      </w:pPr>
    </w:p>
    <w:p w14:paraId="5800ADC3">
      <w:pPr>
        <w:keepNext/>
        <w:keepLines/>
        <w:spacing w:line="520" w:lineRule="exact"/>
        <w:ind w:left="420" w:hanging="420"/>
        <w:jc w:val="center"/>
        <w:outlineLvl w:val="0"/>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技术条款偏离表</w:t>
      </w:r>
    </w:p>
    <w:p w14:paraId="2F390C4C">
      <w:pPr>
        <w:pStyle w:val="8"/>
      </w:pPr>
    </w:p>
    <w:tbl>
      <w:tblPr>
        <w:tblStyle w:val="75"/>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709"/>
        <w:gridCol w:w="1985"/>
        <w:gridCol w:w="1984"/>
        <w:gridCol w:w="1985"/>
        <w:gridCol w:w="1134"/>
        <w:gridCol w:w="1134"/>
      </w:tblGrid>
      <w:tr w14:paraId="0C3DD5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center"/>
          </w:tcPr>
          <w:p w14:paraId="7BBE8CDD">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序号</w:t>
            </w:r>
          </w:p>
        </w:tc>
        <w:tc>
          <w:tcPr>
            <w:tcW w:w="1985" w:type="dxa"/>
            <w:shd w:val="clear" w:color="000000" w:fill="FFFFFF"/>
            <w:noWrap w:val="0"/>
            <w:vAlign w:val="center"/>
          </w:tcPr>
          <w:p w14:paraId="54309477">
            <w:pPr>
              <w:autoSpaceDE w:val="0"/>
              <w:autoSpaceDN w:val="0"/>
              <w:spacing w:line="460" w:lineRule="exact"/>
              <w:jc w:val="center"/>
              <w:rPr>
                <w:rFonts w:ascii="宋体" w:hAnsi="宋体"/>
                <w:b/>
                <w:bCs/>
                <w:color w:val="auto"/>
                <w:szCs w:val="21"/>
                <w:highlight w:val="none"/>
              </w:rPr>
            </w:pPr>
            <w:r>
              <w:rPr>
                <w:rFonts w:hint="eastAsia" w:ascii="宋体" w:hAnsi="宋体"/>
                <w:b/>
                <w:bCs/>
                <w:color w:val="auto"/>
                <w:szCs w:val="21"/>
                <w:highlight w:val="none"/>
                <w:lang w:val="zh-CN"/>
              </w:rPr>
              <w:t>招标文件条目号</w:t>
            </w:r>
          </w:p>
          <w:p w14:paraId="243377CD">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（页码）</w:t>
            </w:r>
          </w:p>
        </w:tc>
        <w:tc>
          <w:tcPr>
            <w:tcW w:w="1984" w:type="dxa"/>
            <w:shd w:val="clear" w:color="000000" w:fill="FFFFFF"/>
            <w:noWrap w:val="0"/>
            <w:vAlign w:val="center"/>
          </w:tcPr>
          <w:p w14:paraId="3CEDDF99">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招标文件的采购需求条款</w:t>
            </w:r>
          </w:p>
        </w:tc>
        <w:tc>
          <w:tcPr>
            <w:tcW w:w="1985" w:type="dxa"/>
            <w:shd w:val="clear" w:color="000000" w:fill="FFFFFF"/>
            <w:noWrap w:val="0"/>
            <w:vAlign w:val="center"/>
          </w:tcPr>
          <w:p w14:paraId="7408B630">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投标文件的采购需求条款</w:t>
            </w:r>
          </w:p>
        </w:tc>
        <w:tc>
          <w:tcPr>
            <w:tcW w:w="1134" w:type="dxa"/>
            <w:shd w:val="clear" w:color="000000" w:fill="FFFFFF"/>
            <w:noWrap w:val="0"/>
            <w:vAlign w:val="center"/>
          </w:tcPr>
          <w:p w14:paraId="1DCC5D5F">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偏离</w:t>
            </w:r>
          </w:p>
        </w:tc>
        <w:tc>
          <w:tcPr>
            <w:tcW w:w="1134" w:type="dxa"/>
            <w:shd w:val="clear" w:color="000000" w:fill="FFFFFF"/>
            <w:noWrap w:val="0"/>
            <w:vAlign w:val="center"/>
          </w:tcPr>
          <w:p w14:paraId="40359D09">
            <w:pPr>
              <w:autoSpaceDE w:val="0"/>
              <w:autoSpaceDN w:val="0"/>
              <w:spacing w:line="460" w:lineRule="exact"/>
              <w:jc w:val="center"/>
              <w:rPr>
                <w:rFonts w:ascii="宋体" w:hAnsi="宋体"/>
                <w:b/>
                <w:bCs/>
                <w:color w:val="auto"/>
                <w:szCs w:val="21"/>
                <w:highlight w:val="none"/>
                <w:lang w:val="zh-CN"/>
              </w:rPr>
            </w:pPr>
            <w:r>
              <w:rPr>
                <w:rFonts w:hint="eastAsia" w:ascii="宋体" w:hAnsi="宋体"/>
                <w:b/>
                <w:bCs/>
                <w:color w:val="auto"/>
                <w:szCs w:val="21"/>
                <w:highlight w:val="none"/>
                <w:lang w:val="zh-CN"/>
              </w:rPr>
              <w:t>说明</w:t>
            </w:r>
          </w:p>
        </w:tc>
      </w:tr>
      <w:tr w14:paraId="2DA1D06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4ACF3050">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16F6D747">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5D181DA5">
            <w:pPr>
              <w:autoSpaceDE w:val="0"/>
              <w:autoSpaceDN w:val="0"/>
              <w:spacing w:line="460" w:lineRule="exact"/>
              <w:jc w:val="center"/>
              <w:rPr>
                <w:rFonts w:ascii="宋体" w:hAnsi="宋体"/>
                <w:color w:val="auto"/>
                <w:szCs w:val="21"/>
                <w:highlight w:val="none"/>
                <w:lang w:val="zh-CN"/>
              </w:rPr>
            </w:pPr>
          </w:p>
        </w:tc>
        <w:tc>
          <w:tcPr>
            <w:tcW w:w="1985" w:type="dxa"/>
            <w:shd w:val="clear" w:color="000000" w:fill="FFFFFF"/>
            <w:noWrap w:val="0"/>
            <w:vAlign w:val="top"/>
          </w:tcPr>
          <w:p w14:paraId="342477A1">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center"/>
          </w:tcPr>
          <w:p w14:paraId="004F46ED">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73196925">
            <w:pPr>
              <w:autoSpaceDE w:val="0"/>
              <w:autoSpaceDN w:val="0"/>
              <w:spacing w:line="460" w:lineRule="exact"/>
              <w:rPr>
                <w:rFonts w:ascii="宋体" w:hAnsi="宋体"/>
                <w:color w:val="auto"/>
                <w:szCs w:val="21"/>
                <w:highlight w:val="none"/>
                <w:lang w:val="zh-CN"/>
              </w:rPr>
            </w:pPr>
          </w:p>
        </w:tc>
      </w:tr>
      <w:tr w14:paraId="416DDF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32C342BF">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5A9E3088">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60FBBF9A">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6CFCA27A">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6566C729">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03FA544D">
            <w:pPr>
              <w:autoSpaceDE w:val="0"/>
              <w:autoSpaceDN w:val="0"/>
              <w:spacing w:line="460" w:lineRule="exact"/>
              <w:rPr>
                <w:rFonts w:ascii="宋体" w:hAnsi="宋体"/>
                <w:color w:val="auto"/>
                <w:szCs w:val="21"/>
                <w:highlight w:val="none"/>
                <w:lang w:val="zh-CN"/>
              </w:rPr>
            </w:pPr>
          </w:p>
        </w:tc>
      </w:tr>
      <w:tr w14:paraId="0C82AF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6C7F5FEB">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3891DE9D">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5CC41B56">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79400B3B">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261E53C7">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0915AED5">
            <w:pPr>
              <w:autoSpaceDE w:val="0"/>
              <w:autoSpaceDN w:val="0"/>
              <w:spacing w:line="460" w:lineRule="exact"/>
              <w:rPr>
                <w:rFonts w:ascii="宋体" w:hAnsi="宋体"/>
                <w:color w:val="auto"/>
                <w:szCs w:val="21"/>
                <w:highlight w:val="none"/>
                <w:lang w:val="zh-CN"/>
              </w:rPr>
            </w:pPr>
          </w:p>
        </w:tc>
      </w:tr>
      <w:tr w14:paraId="6A13E27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41A9140E">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E223A06">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3242E39E">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2457089C">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472F2D6B">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0814A7C0">
            <w:pPr>
              <w:autoSpaceDE w:val="0"/>
              <w:autoSpaceDN w:val="0"/>
              <w:spacing w:line="460" w:lineRule="exact"/>
              <w:rPr>
                <w:rFonts w:ascii="宋体" w:hAnsi="宋体"/>
                <w:color w:val="auto"/>
                <w:szCs w:val="21"/>
                <w:highlight w:val="none"/>
                <w:lang w:val="zh-CN"/>
              </w:rPr>
            </w:pPr>
          </w:p>
        </w:tc>
      </w:tr>
      <w:tr w14:paraId="61D82A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709" w:type="dxa"/>
            <w:shd w:val="clear" w:color="000000" w:fill="FFFFFF"/>
            <w:noWrap w:val="0"/>
            <w:vAlign w:val="top"/>
          </w:tcPr>
          <w:p w14:paraId="4C70EB9E">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00407A30">
            <w:pPr>
              <w:autoSpaceDE w:val="0"/>
              <w:autoSpaceDN w:val="0"/>
              <w:spacing w:line="460" w:lineRule="exact"/>
              <w:rPr>
                <w:rFonts w:ascii="宋体" w:hAnsi="宋体"/>
                <w:color w:val="auto"/>
                <w:szCs w:val="21"/>
                <w:highlight w:val="none"/>
                <w:lang w:val="zh-CN"/>
              </w:rPr>
            </w:pPr>
          </w:p>
        </w:tc>
        <w:tc>
          <w:tcPr>
            <w:tcW w:w="1984" w:type="dxa"/>
            <w:shd w:val="clear" w:color="000000" w:fill="FFFFFF"/>
            <w:noWrap w:val="0"/>
            <w:vAlign w:val="top"/>
          </w:tcPr>
          <w:p w14:paraId="4B098624">
            <w:pPr>
              <w:autoSpaceDE w:val="0"/>
              <w:autoSpaceDN w:val="0"/>
              <w:spacing w:line="460" w:lineRule="exact"/>
              <w:rPr>
                <w:rFonts w:ascii="宋体" w:hAnsi="宋体"/>
                <w:color w:val="auto"/>
                <w:szCs w:val="21"/>
                <w:highlight w:val="none"/>
                <w:lang w:val="zh-CN"/>
              </w:rPr>
            </w:pPr>
          </w:p>
        </w:tc>
        <w:tc>
          <w:tcPr>
            <w:tcW w:w="1985" w:type="dxa"/>
            <w:shd w:val="clear" w:color="000000" w:fill="FFFFFF"/>
            <w:noWrap w:val="0"/>
            <w:vAlign w:val="top"/>
          </w:tcPr>
          <w:p w14:paraId="5859F793">
            <w:pPr>
              <w:autoSpaceDE w:val="0"/>
              <w:autoSpaceDN w:val="0"/>
              <w:spacing w:line="460" w:lineRule="exact"/>
              <w:rPr>
                <w:rFonts w:ascii="宋体" w:hAnsi="宋体"/>
                <w:color w:val="auto"/>
                <w:szCs w:val="21"/>
                <w:highlight w:val="none"/>
                <w:lang w:val="zh-CN"/>
              </w:rPr>
            </w:pPr>
          </w:p>
        </w:tc>
        <w:tc>
          <w:tcPr>
            <w:tcW w:w="1134" w:type="dxa"/>
            <w:shd w:val="clear" w:color="000000" w:fill="FFFFFF"/>
            <w:noWrap w:val="0"/>
            <w:vAlign w:val="center"/>
          </w:tcPr>
          <w:p w14:paraId="587AF851">
            <w:pPr>
              <w:autoSpaceDE w:val="0"/>
              <w:autoSpaceDN w:val="0"/>
              <w:spacing w:line="460" w:lineRule="exact"/>
              <w:jc w:val="center"/>
              <w:rPr>
                <w:rFonts w:ascii="宋体" w:hAnsi="宋体"/>
                <w:color w:val="auto"/>
                <w:szCs w:val="21"/>
                <w:highlight w:val="none"/>
                <w:lang w:val="zh-CN"/>
              </w:rPr>
            </w:pPr>
          </w:p>
        </w:tc>
        <w:tc>
          <w:tcPr>
            <w:tcW w:w="1134" w:type="dxa"/>
            <w:shd w:val="clear" w:color="000000" w:fill="FFFFFF"/>
            <w:noWrap w:val="0"/>
            <w:vAlign w:val="top"/>
          </w:tcPr>
          <w:p w14:paraId="4775E1A9">
            <w:pPr>
              <w:autoSpaceDE w:val="0"/>
              <w:autoSpaceDN w:val="0"/>
              <w:spacing w:line="460" w:lineRule="exact"/>
              <w:rPr>
                <w:rFonts w:ascii="宋体" w:hAnsi="宋体"/>
                <w:color w:val="auto"/>
                <w:szCs w:val="21"/>
                <w:highlight w:val="none"/>
                <w:lang w:val="zh-CN"/>
              </w:rPr>
            </w:pPr>
          </w:p>
        </w:tc>
      </w:tr>
    </w:tbl>
    <w:p w14:paraId="464FBCE1">
      <w:pPr>
        <w:keepNext/>
        <w:keepLines/>
        <w:shd w:val="clear" w:color="auto" w:fill="FFFFFF"/>
        <w:adjustRightInd w:val="0"/>
        <w:snapToGrid w:val="0"/>
        <w:spacing w:line="500" w:lineRule="exact"/>
        <w:ind w:firstLine="422" w:firstLineChars="200"/>
        <w:outlineLvl w:val="2"/>
        <w:rPr>
          <w:rFonts w:hint="eastAsia" w:ascii="宋体" w:hAnsi="宋体" w:cs="Arial"/>
          <w:b/>
          <w:color w:val="0C0C0C"/>
          <w:szCs w:val="21"/>
        </w:rPr>
      </w:pPr>
      <w:r>
        <w:rPr>
          <w:rFonts w:hint="eastAsia" w:ascii="宋体" w:hAnsi="宋体" w:cs="Arial"/>
          <w:b/>
          <w:color w:val="0C0C0C"/>
          <w:szCs w:val="21"/>
        </w:rPr>
        <w:t>注：本偏离表是评委评审供应商技术条款最重要的直观材料和主要依据，供应商应针对本招标文件中的要求是否满足填写偏离表。对于漏报的项目，招标人有权要求其补报，否则将导致无效投标。</w:t>
      </w:r>
    </w:p>
    <w:p w14:paraId="38604E10">
      <w:pPr>
        <w:pStyle w:val="20"/>
        <w:rPr>
          <w:color w:val="auto"/>
          <w:highlight w:val="none"/>
        </w:rPr>
      </w:pPr>
    </w:p>
    <w:p w14:paraId="552E6D64">
      <w:pPr>
        <w:spacing w:line="360" w:lineRule="auto"/>
        <w:ind w:right="1584"/>
        <w:rPr>
          <w:rFonts w:hint="eastAsia" w:ascii="宋体" w:hAnsi="宋体" w:cs="仿宋"/>
          <w:color w:val="auto"/>
          <w:sz w:val="24"/>
          <w:highlight w:val="none"/>
          <w:lang w:val="zh-CN"/>
        </w:rPr>
      </w:pPr>
    </w:p>
    <w:p w14:paraId="484A2BC2">
      <w:pPr>
        <w:spacing w:line="360" w:lineRule="auto"/>
        <w:ind w:right="1584"/>
        <w:rPr>
          <w:rFonts w:hint="eastAsia" w:ascii="宋体" w:hAnsi="宋体" w:cs="仿宋"/>
          <w:color w:val="auto"/>
          <w:sz w:val="24"/>
          <w:highlight w:val="none"/>
          <w:lang w:val="zh-CN"/>
        </w:rPr>
      </w:pPr>
    </w:p>
    <w:p w14:paraId="7C520356">
      <w:pPr>
        <w:spacing w:line="360" w:lineRule="auto"/>
        <w:ind w:right="1584"/>
        <w:rPr>
          <w:rFonts w:hint="eastAsia" w:ascii="宋体" w:hAnsi="宋体" w:cs="仿宋"/>
          <w:color w:val="auto"/>
          <w:sz w:val="24"/>
          <w:highlight w:val="none"/>
          <w:lang w:val="zh-CN"/>
        </w:rPr>
      </w:pPr>
    </w:p>
    <w:p w14:paraId="43BDBAC2">
      <w:pPr>
        <w:spacing w:line="360" w:lineRule="auto"/>
        <w:ind w:right="1584"/>
        <w:rPr>
          <w:rFonts w:hint="eastAsia" w:ascii="宋体" w:hAnsi="宋体" w:cs="仿宋"/>
          <w:color w:val="auto"/>
          <w:sz w:val="24"/>
          <w:highlight w:val="none"/>
          <w:lang w:val="zh-CN"/>
        </w:rPr>
      </w:pPr>
    </w:p>
    <w:p w14:paraId="592AD204">
      <w:pPr>
        <w:spacing w:line="360" w:lineRule="auto"/>
        <w:ind w:right="1584"/>
        <w:rPr>
          <w:rFonts w:ascii="宋体" w:hAnsi="宋体" w:cs="仿宋"/>
          <w:color w:val="auto"/>
          <w:sz w:val="24"/>
          <w:highlight w:val="none"/>
          <w:lang w:val="zh-CN"/>
        </w:rPr>
      </w:pPr>
      <w:r>
        <w:rPr>
          <w:rFonts w:hint="eastAsia" w:ascii="宋体" w:hAnsi="宋体" w:cs="仿宋"/>
          <w:color w:val="auto"/>
          <w:sz w:val="24"/>
          <w:highlight w:val="none"/>
          <w:lang w:val="zh-CN"/>
        </w:rPr>
        <w:t>供应商：（盖供应商公章）</w:t>
      </w:r>
    </w:p>
    <w:p w14:paraId="5BC140D4">
      <w:pPr>
        <w:spacing w:line="360" w:lineRule="auto"/>
        <w:ind w:right="576"/>
        <w:rPr>
          <w:rFonts w:ascii="宋体" w:hAnsi="宋体" w:cs="仿宋"/>
          <w:color w:val="auto"/>
          <w:sz w:val="24"/>
          <w:highlight w:val="none"/>
          <w:lang w:val="zh-CN"/>
        </w:rPr>
      </w:pPr>
      <w:r>
        <w:rPr>
          <w:rFonts w:hint="eastAsia" w:ascii="宋体" w:hAnsi="宋体" w:cs="仿宋"/>
          <w:color w:val="auto"/>
          <w:sz w:val="24"/>
          <w:highlight w:val="none"/>
          <w:lang w:val="zh-CN"/>
        </w:rPr>
        <w:t>法定代表人或授权委托人：（签字或盖章）</w:t>
      </w:r>
    </w:p>
    <w:p w14:paraId="1ECFDF92">
      <w:pPr>
        <w:spacing w:line="360" w:lineRule="auto"/>
        <w:ind w:right="576"/>
        <w:rPr>
          <w:rFonts w:ascii="宋体" w:hAnsi="宋体" w:cs="仿宋"/>
          <w:color w:val="auto"/>
          <w:sz w:val="24"/>
          <w:highlight w:val="none"/>
          <w:lang w:val="zh-CN"/>
        </w:rPr>
      </w:pPr>
      <w:r>
        <w:rPr>
          <w:rFonts w:hint="eastAsia" w:ascii="宋体" w:hAnsi="宋体" w:cs="仿宋"/>
          <w:color w:val="auto"/>
          <w:sz w:val="24"/>
          <w:highlight w:val="none"/>
          <w:lang w:val="zh-CN"/>
        </w:rPr>
        <w:t>日期：   年   月    日</w:t>
      </w:r>
    </w:p>
    <w:p w14:paraId="65CEC1BB">
      <w:pPr>
        <w:pStyle w:val="8"/>
        <w:rPr>
          <w:rFonts w:hint="eastAsia" w:ascii="仿宋" w:hAnsi="仿宋" w:eastAsia="仿宋" w:cs="仿宋"/>
          <w:color w:val="auto"/>
          <w:sz w:val="24"/>
          <w:szCs w:val="24"/>
          <w:lang w:val="en-US" w:eastAsia="zh-CN"/>
        </w:rPr>
      </w:pPr>
    </w:p>
    <w:p w14:paraId="6D3124A4">
      <w:pPr>
        <w:pStyle w:val="8"/>
        <w:rPr>
          <w:rFonts w:hint="eastAsia" w:ascii="仿宋" w:hAnsi="仿宋" w:eastAsia="仿宋" w:cs="仿宋"/>
          <w:color w:val="auto"/>
          <w:sz w:val="24"/>
          <w:szCs w:val="24"/>
          <w:lang w:val="en-US" w:eastAsia="zh-CN"/>
        </w:rPr>
      </w:pPr>
    </w:p>
    <w:p w14:paraId="6DDE2A5D">
      <w:pPr>
        <w:pStyle w:val="8"/>
        <w:rPr>
          <w:rFonts w:hint="eastAsia" w:ascii="仿宋" w:hAnsi="仿宋" w:eastAsia="仿宋" w:cs="仿宋"/>
          <w:color w:val="auto"/>
          <w:sz w:val="24"/>
          <w:szCs w:val="24"/>
          <w:lang w:val="en-US" w:eastAsia="zh-CN"/>
        </w:rPr>
      </w:pPr>
    </w:p>
    <w:p w14:paraId="4F678EE2">
      <w:pPr>
        <w:pStyle w:val="8"/>
        <w:rPr>
          <w:rFonts w:hint="eastAsia" w:ascii="仿宋" w:hAnsi="仿宋" w:eastAsia="仿宋" w:cs="仿宋"/>
          <w:color w:val="auto"/>
          <w:sz w:val="24"/>
          <w:szCs w:val="24"/>
          <w:lang w:val="en-US" w:eastAsia="zh-CN"/>
        </w:rPr>
      </w:pPr>
    </w:p>
    <w:p w14:paraId="017AF861">
      <w:pPr>
        <w:pStyle w:val="8"/>
        <w:rPr>
          <w:rFonts w:hint="eastAsia" w:ascii="仿宋" w:hAnsi="仿宋" w:eastAsia="仿宋" w:cs="仿宋"/>
          <w:color w:val="auto"/>
          <w:sz w:val="24"/>
          <w:szCs w:val="24"/>
          <w:lang w:val="en-US" w:eastAsia="zh-CN"/>
        </w:rPr>
      </w:pPr>
    </w:p>
    <w:p w14:paraId="5DD81E4A">
      <w:pPr>
        <w:pStyle w:val="8"/>
        <w:rPr>
          <w:rFonts w:hint="eastAsia" w:ascii="仿宋" w:hAnsi="仿宋" w:eastAsia="仿宋" w:cs="仿宋"/>
          <w:color w:val="auto"/>
          <w:sz w:val="24"/>
          <w:szCs w:val="24"/>
          <w:lang w:val="en-US" w:eastAsia="zh-CN"/>
        </w:rPr>
      </w:pPr>
    </w:p>
    <w:p w14:paraId="4065D354">
      <w:pPr>
        <w:pStyle w:val="8"/>
        <w:rPr>
          <w:rFonts w:hint="eastAsia" w:ascii="仿宋" w:hAnsi="仿宋" w:eastAsia="仿宋" w:cs="仿宋"/>
          <w:color w:val="auto"/>
          <w:sz w:val="24"/>
          <w:szCs w:val="24"/>
          <w:lang w:val="en-US" w:eastAsia="zh-CN"/>
        </w:rPr>
      </w:pPr>
    </w:p>
    <w:p w14:paraId="7C708DF0">
      <w:pPr>
        <w:pStyle w:val="8"/>
        <w:rPr>
          <w:rFonts w:hint="eastAsia" w:ascii="仿宋" w:hAnsi="仿宋" w:eastAsia="仿宋" w:cs="仿宋"/>
          <w:color w:val="auto"/>
          <w:sz w:val="24"/>
          <w:szCs w:val="24"/>
          <w:lang w:val="en-US" w:eastAsia="zh-CN"/>
        </w:rPr>
      </w:pPr>
    </w:p>
    <w:p w14:paraId="076C540F">
      <w:pPr>
        <w:pStyle w:val="8"/>
        <w:rPr>
          <w:rFonts w:hint="eastAsia" w:ascii="仿宋" w:hAnsi="仿宋" w:eastAsia="仿宋" w:cs="仿宋"/>
          <w:color w:val="auto"/>
          <w:sz w:val="24"/>
          <w:szCs w:val="24"/>
          <w:lang w:val="en-US" w:eastAsia="zh-CN"/>
        </w:rPr>
      </w:pPr>
    </w:p>
    <w:p w14:paraId="1F308D4A">
      <w:pPr>
        <w:pStyle w:val="8"/>
        <w:rPr>
          <w:rFonts w:hint="eastAsia" w:ascii="仿宋" w:hAnsi="仿宋" w:eastAsia="仿宋" w:cs="仿宋"/>
          <w:color w:val="auto"/>
          <w:sz w:val="24"/>
          <w:szCs w:val="24"/>
          <w:lang w:val="en-US" w:eastAsia="zh-CN"/>
        </w:rPr>
      </w:pPr>
    </w:p>
    <w:p w14:paraId="6ADBD382">
      <w:pPr>
        <w:pStyle w:val="8"/>
        <w:rPr>
          <w:rFonts w:hint="eastAsia" w:ascii="仿宋" w:hAnsi="仿宋" w:eastAsia="仿宋" w:cs="仿宋"/>
          <w:color w:val="auto"/>
          <w:sz w:val="24"/>
          <w:szCs w:val="24"/>
          <w:lang w:val="en-US" w:eastAsia="zh-CN"/>
        </w:rPr>
      </w:pPr>
    </w:p>
    <w:p w14:paraId="15424EA8">
      <w:pPr>
        <w:ind w:left="0" w:leftChars="0" w:firstLine="0" w:firstLineChars="0"/>
        <w:rPr>
          <w:rFonts w:hint="eastAsia" w:ascii="仿宋" w:hAnsi="仿宋" w:eastAsia="仿宋" w:cs="仿宋"/>
          <w:color w:val="auto"/>
          <w:sz w:val="24"/>
          <w:szCs w:val="24"/>
          <w:lang w:val="en-US" w:eastAsia="zh-CN"/>
        </w:rPr>
      </w:pPr>
    </w:p>
    <w:p w14:paraId="3F76FD8B">
      <w:pPr>
        <w:pStyle w:val="45"/>
        <w:numPr>
          <w:ilvl w:val="0"/>
          <w:numId w:val="0"/>
        </w:numPr>
        <w:ind w:left="120" w:leftChars="0" w:right="62" w:rightChars="0" w:hanging="120" w:hangingChars="50"/>
        <w:rPr>
          <w:rFonts w:hint="eastAsia" w:ascii="仿宋" w:hAnsi="仿宋" w:eastAsia="仿宋" w:cs="仿宋"/>
          <w:b/>
          <w:bCs/>
          <w:color w:val="auto"/>
          <w:sz w:val="24"/>
          <w:szCs w:val="24"/>
          <w:lang w:val="en-US" w:eastAsia="zh-CN"/>
        </w:rPr>
      </w:pPr>
      <w:r>
        <w:rPr>
          <w:rFonts w:hint="eastAsia" w:ascii="仿宋" w:hAnsi="仿宋" w:eastAsia="仿宋" w:cs="仿宋"/>
          <w:b/>
          <w:bCs/>
          <w:color w:val="auto"/>
          <w:kern w:val="2"/>
          <w:sz w:val="24"/>
          <w:szCs w:val="24"/>
          <w:lang w:val="en-US" w:eastAsia="zh-CN" w:bidi="ar-SA"/>
        </w:rPr>
        <w:t>（十二）、</w:t>
      </w:r>
      <w:r>
        <w:rPr>
          <w:rFonts w:hint="eastAsia" w:ascii="仿宋" w:hAnsi="仿宋" w:eastAsia="仿宋" w:cs="仿宋"/>
          <w:b/>
          <w:bCs/>
          <w:color w:val="auto"/>
          <w:sz w:val="24"/>
          <w:szCs w:val="24"/>
          <w:lang w:val="en-US" w:eastAsia="zh-CN"/>
        </w:rPr>
        <w:t>投标人反商业贿赂承诺书（格式见附件）</w:t>
      </w:r>
    </w:p>
    <w:p w14:paraId="513A87F8">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2689BA8A">
      <w:pPr>
        <w:pStyle w:val="20"/>
        <w:numPr>
          <w:ilvl w:val="0"/>
          <w:numId w:val="0"/>
        </w:numPr>
        <w:overflowPunct w:val="0"/>
        <w:snapToGrid w:val="0"/>
        <w:spacing w:line="360" w:lineRule="auto"/>
        <w:jc w:val="center"/>
        <w:rPr>
          <w:rFonts w:hint="eastAsia" w:ascii="仿宋" w:hAnsi="仿宋" w:eastAsia="仿宋" w:cs="仿宋"/>
          <w:b/>
          <w:bCs w:val="0"/>
          <w:color w:val="auto"/>
          <w:kern w:val="2"/>
          <w:sz w:val="24"/>
          <w:szCs w:val="24"/>
          <w:lang w:val="en-US" w:eastAsia="zh-CN" w:bidi="ar-SA"/>
        </w:rPr>
      </w:pPr>
      <w:r>
        <w:rPr>
          <w:rFonts w:hint="eastAsia" w:ascii="仿宋" w:hAnsi="仿宋" w:eastAsia="仿宋" w:cs="仿宋"/>
          <w:b/>
          <w:bCs w:val="0"/>
          <w:color w:val="auto"/>
          <w:kern w:val="2"/>
          <w:sz w:val="24"/>
          <w:szCs w:val="24"/>
          <w:lang w:val="en-US" w:eastAsia="zh-CN" w:bidi="ar-SA"/>
        </w:rPr>
        <w:t>投标人反商业贿赂承诺书</w:t>
      </w:r>
    </w:p>
    <w:p w14:paraId="6403DE86">
      <w:pPr>
        <w:autoSpaceDE w:val="0"/>
        <w:autoSpaceDN w:val="0"/>
        <w:adjustRightInd w:val="0"/>
        <w:spacing w:line="480" w:lineRule="auto"/>
        <w:ind w:firstLine="600" w:firstLineChars="250"/>
        <w:rPr>
          <w:rFonts w:hint="eastAsia" w:ascii="仿宋" w:hAnsi="仿宋" w:eastAsia="仿宋" w:cs="仿宋"/>
          <w:color w:val="auto"/>
          <w:kern w:val="0"/>
          <w:sz w:val="24"/>
          <w:szCs w:val="24"/>
          <w:lang w:val="zh-CN"/>
        </w:rPr>
      </w:pPr>
      <w:r>
        <w:rPr>
          <w:rFonts w:hint="eastAsia" w:ascii="仿宋" w:hAnsi="仿宋" w:eastAsia="仿宋" w:cs="仿宋"/>
          <w:color w:val="auto"/>
          <w:kern w:val="0"/>
          <w:sz w:val="24"/>
          <w:szCs w:val="24"/>
          <w:lang w:val="zh-CN"/>
        </w:rPr>
        <w:t>我公司承诺在公开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中华人民共和国政府采购法》和《中华人民共和国反不正当竞争法》的有关规定接受处罚。</w:t>
      </w:r>
    </w:p>
    <w:p w14:paraId="73EEC6E6">
      <w:pPr>
        <w:autoSpaceDE w:val="0"/>
        <w:autoSpaceDN w:val="0"/>
        <w:adjustRightInd w:val="0"/>
        <w:spacing w:line="360" w:lineRule="auto"/>
        <w:ind w:firstLine="600" w:firstLineChars="250"/>
        <w:rPr>
          <w:rFonts w:hint="eastAsia" w:ascii="仿宋" w:hAnsi="仿宋" w:eastAsia="仿宋" w:cs="仿宋"/>
          <w:bCs/>
          <w:color w:val="auto"/>
          <w:sz w:val="24"/>
          <w:szCs w:val="24"/>
          <w:lang w:val="zh-CN"/>
        </w:rPr>
      </w:pPr>
    </w:p>
    <w:p w14:paraId="000BF820">
      <w:pPr>
        <w:spacing w:before="100" w:beforeAutospacing="1" w:after="100" w:afterAutospacing="1" w:line="360" w:lineRule="auto"/>
        <w:ind w:firstLine="480" w:firstLineChars="200"/>
        <w:rPr>
          <w:rFonts w:hint="eastAsia" w:ascii="仿宋" w:hAnsi="仿宋" w:eastAsia="仿宋" w:cs="仿宋"/>
          <w:color w:val="auto"/>
          <w:sz w:val="24"/>
          <w:szCs w:val="24"/>
          <w:u w:val="single"/>
          <w:lang w:eastAsia="zh-CN"/>
        </w:rPr>
      </w:pPr>
      <w:r>
        <w:rPr>
          <w:rFonts w:hint="eastAsia" w:ascii="仿宋" w:hAnsi="仿宋" w:eastAsia="仿宋" w:cs="仿宋"/>
          <w:color w:val="auto"/>
          <w:sz w:val="24"/>
          <w:szCs w:val="24"/>
        </w:rPr>
        <w:t>投标单位：</w:t>
      </w:r>
      <w:r>
        <w:rPr>
          <w:rFonts w:hint="eastAsia" w:ascii="仿宋" w:hAnsi="仿宋" w:eastAsia="仿宋" w:cs="仿宋"/>
          <w:color w:val="auto"/>
          <w:sz w:val="24"/>
          <w:szCs w:val="24"/>
          <w:u w:val="none"/>
        </w:rPr>
        <w:t>（</w:t>
      </w:r>
      <w:r>
        <w:rPr>
          <w:rFonts w:hint="eastAsia" w:ascii="仿宋" w:hAnsi="仿宋" w:eastAsia="仿宋" w:cs="仿宋"/>
          <w:color w:val="auto"/>
          <w:sz w:val="24"/>
          <w:szCs w:val="24"/>
          <w:u w:val="none"/>
          <w:lang w:eastAsia="zh-CN"/>
        </w:rPr>
        <w:t>盖章</w:t>
      </w:r>
      <w:r>
        <w:rPr>
          <w:rFonts w:hint="eastAsia" w:ascii="仿宋" w:hAnsi="仿宋" w:eastAsia="仿宋" w:cs="仿宋"/>
          <w:color w:val="auto"/>
          <w:sz w:val="24"/>
          <w:szCs w:val="24"/>
          <w:u w:val="none"/>
        </w:rPr>
        <w:t>）</w:t>
      </w:r>
    </w:p>
    <w:p w14:paraId="48163E18">
      <w:pPr>
        <w:spacing w:before="100" w:beforeAutospacing="1" w:after="100" w:afterAutospacing="1" w:line="360" w:lineRule="auto"/>
        <w:ind w:firstLine="480" w:firstLineChars="200"/>
        <w:rPr>
          <w:rFonts w:hint="eastAsia" w:ascii="仿宋" w:hAnsi="仿宋" w:eastAsia="仿宋" w:cs="仿宋"/>
          <w:color w:val="auto"/>
          <w:sz w:val="24"/>
          <w:szCs w:val="24"/>
          <w:u w:val="single"/>
        </w:rPr>
      </w:pPr>
    </w:p>
    <w:p w14:paraId="4D406B15">
      <w:pPr>
        <w:spacing w:line="360" w:lineRule="auto"/>
        <w:ind w:firstLine="240" w:firstLineChars="1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（签字</w:t>
      </w:r>
      <w:r>
        <w:rPr>
          <w:rFonts w:hint="eastAsia" w:ascii="仿宋" w:hAnsi="仿宋" w:eastAsia="仿宋" w:cs="仿宋"/>
          <w:color w:val="auto"/>
          <w:sz w:val="24"/>
          <w:szCs w:val="24"/>
          <w:lang w:val="en-US" w:eastAsia="zh-CN"/>
        </w:rPr>
        <w:t>或</w:t>
      </w:r>
      <w:r>
        <w:rPr>
          <w:rFonts w:hint="eastAsia" w:ascii="仿宋" w:hAnsi="仿宋" w:eastAsia="仿宋" w:cs="仿宋"/>
          <w:color w:val="auto"/>
          <w:sz w:val="24"/>
          <w:szCs w:val="24"/>
        </w:rPr>
        <w:t>盖章）</w:t>
      </w:r>
    </w:p>
    <w:p w14:paraId="7AE22FF4">
      <w:pPr>
        <w:spacing w:line="360" w:lineRule="auto"/>
        <w:ind w:firstLine="240" w:firstLineChars="100"/>
        <w:rPr>
          <w:rFonts w:hint="eastAsia" w:ascii="仿宋" w:hAnsi="仿宋" w:eastAsia="仿宋" w:cs="仿宋"/>
          <w:color w:val="auto"/>
          <w:sz w:val="24"/>
          <w:szCs w:val="24"/>
          <w:lang w:val="zh-CN"/>
        </w:rPr>
      </w:pPr>
    </w:p>
    <w:p w14:paraId="5DD89172">
      <w:pPr>
        <w:spacing w:before="100" w:beforeAutospacing="1" w:after="100" w:afterAutospacing="1" w:line="360" w:lineRule="auto"/>
        <w:ind w:firstLine="465"/>
        <w:rPr>
          <w:rFonts w:hint="eastAsia" w:ascii="仿宋" w:hAnsi="仿宋" w:eastAsia="仿宋" w:cs="仿宋"/>
          <w:color w:val="auto"/>
          <w:sz w:val="24"/>
          <w:szCs w:val="24"/>
          <w:lang w:val="zh-CN"/>
        </w:rPr>
      </w:pPr>
    </w:p>
    <w:p w14:paraId="24D8733F">
      <w:pPr>
        <w:pStyle w:val="45"/>
        <w:ind w:left="0" w:leftChars="0" w:firstLine="0" w:firstLineChars="0"/>
        <w:jc w:val="right"/>
        <w:rPr>
          <w:rFonts w:hint="eastAsia" w:ascii="仿宋" w:hAnsi="仿宋" w:eastAsia="仿宋" w:cs="仿宋"/>
          <w:color w:val="auto"/>
          <w:sz w:val="24"/>
          <w:szCs w:val="24"/>
        </w:rPr>
      </w:pPr>
      <w:r>
        <w:rPr>
          <w:rFonts w:hint="eastAsia" w:ascii="仿宋" w:hAnsi="仿宋" w:eastAsia="仿宋" w:cs="仿宋"/>
          <w:color w:val="auto"/>
          <w:sz w:val="24"/>
          <w:szCs w:val="24"/>
        </w:rPr>
        <w:t>日期：年月日</w:t>
      </w:r>
    </w:p>
    <w:p w14:paraId="1DF07DE1">
      <w:pPr>
        <w:rPr>
          <w:rFonts w:hint="eastAsia" w:ascii="仿宋" w:hAnsi="仿宋" w:eastAsia="仿宋" w:cs="仿宋"/>
          <w:color w:val="auto"/>
          <w:sz w:val="24"/>
          <w:szCs w:val="24"/>
        </w:rPr>
      </w:pPr>
    </w:p>
    <w:p w14:paraId="48BCFD79">
      <w:pPr>
        <w:rPr>
          <w:rFonts w:hint="eastAsia" w:ascii="仿宋" w:hAnsi="仿宋" w:eastAsia="仿宋" w:cs="仿宋"/>
          <w:color w:val="auto"/>
          <w:sz w:val="24"/>
          <w:szCs w:val="24"/>
        </w:rPr>
      </w:pPr>
    </w:p>
    <w:p w14:paraId="696593A4">
      <w:pPr>
        <w:rPr>
          <w:rFonts w:hint="eastAsia" w:ascii="仿宋" w:hAnsi="仿宋" w:eastAsia="仿宋" w:cs="仿宋"/>
          <w:color w:val="auto"/>
          <w:sz w:val="24"/>
          <w:szCs w:val="24"/>
        </w:rPr>
      </w:pPr>
    </w:p>
    <w:p w14:paraId="02101C39">
      <w:pPr>
        <w:rPr>
          <w:rFonts w:hint="eastAsia" w:ascii="仿宋" w:hAnsi="仿宋" w:eastAsia="仿宋" w:cs="仿宋"/>
          <w:color w:val="auto"/>
          <w:sz w:val="24"/>
          <w:szCs w:val="24"/>
        </w:rPr>
      </w:pPr>
    </w:p>
    <w:p w14:paraId="13A25DD1">
      <w:pPr>
        <w:rPr>
          <w:rFonts w:hint="eastAsia" w:ascii="仿宋" w:hAnsi="仿宋" w:eastAsia="仿宋" w:cs="仿宋"/>
          <w:color w:val="auto"/>
          <w:sz w:val="24"/>
          <w:szCs w:val="24"/>
        </w:rPr>
      </w:pPr>
    </w:p>
    <w:p w14:paraId="01664100">
      <w:pPr>
        <w:rPr>
          <w:rFonts w:hint="eastAsia" w:ascii="仿宋" w:hAnsi="仿宋" w:eastAsia="仿宋" w:cs="仿宋"/>
          <w:color w:val="auto"/>
          <w:sz w:val="24"/>
          <w:szCs w:val="24"/>
        </w:rPr>
      </w:pPr>
    </w:p>
    <w:p w14:paraId="687B41C0">
      <w:pPr>
        <w:pStyle w:val="45"/>
        <w:rPr>
          <w:rFonts w:hint="eastAsia" w:ascii="仿宋" w:hAnsi="仿宋" w:eastAsia="仿宋" w:cs="仿宋"/>
          <w:color w:val="auto"/>
          <w:sz w:val="24"/>
          <w:szCs w:val="24"/>
        </w:rPr>
      </w:pPr>
    </w:p>
    <w:p w14:paraId="2DF48867">
      <w:pPr>
        <w:rPr>
          <w:rFonts w:hint="eastAsia" w:ascii="仿宋" w:hAnsi="仿宋" w:eastAsia="仿宋" w:cs="仿宋"/>
          <w:color w:val="auto"/>
          <w:sz w:val="24"/>
          <w:szCs w:val="24"/>
        </w:rPr>
      </w:pPr>
    </w:p>
    <w:p w14:paraId="01822EA6">
      <w:pPr>
        <w:ind w:left="0" w:leftChars="0" w:firstLine="0" w:firstLineChars="0"/>
        <w:rPr>
          <w:rFonts w:hint="eastAsia"/>
          <w:color w:val="auto"/>
        </w:rPr>
      </w:pPr>
    </w:p>
    <w:p w14:paraId="57E701F7">
      <w:pPr>
        <w:pStyle w:val="45"/>
        <w:numPr>
          <w:ilvl w:val="0"/>
          <w:numId w:val="0"/>
        </w:numPr>
        <w:ind w:right="62" w:rightChars="0"/>
        <w:rPr>
          <w:rFonts w:hint="eastAsia" w:ascii="仿宋" w:hAnsi="仿宋" w:eastAsia="仿宋" w:cs="仿宋"/>
          <w:b/>
          <w:bCs/>
          <w:color w:val="auto"/>
          <w:sz w:val="24"/>
          <w:szCs w:val="24"/>
          <w:lang w:val="en-US" w:eastAsia="zh-CN"/>
        </w:rPr>
      </w:pPr>
      <w:r>
        <w:rPr>
          <w:rFonts w:hint="eastAsia" w:ascii="仿宋" w:hAnsi="仿宋" w:eastAsia="仿宋" w:cs="仿宋"/>
          <w:b/>
          <w:bCs/>
          <w:color w:val="auto"/>
          <w:kern w:val="2"/>
          <w:sz w:val="24"/>
          <w:szCs w:val="24"/>
          <w:lang w:val="en-US" w:eastAsia="zh-CN" w:bidi="ar-SA"/>
        </w:rPr>
        <w:t>（十三）、</w:t>
      </w:r>
      <w:r>
        <w:rPr>
          <w:rFonts w:hint="eastAsia" w:ascii="仿宋" w:hAnsi="仿宋" w:eastAsia="仿宋" w:cs="仿宋"/>
          <w:b/>
          <w:bCs/>
          <w:color w:val="auto"/>
          <w:sz w:val="24"/>
          <w:szCs w:val="24"/>
          <w:lang w:val="en-US" w:eastAsia="zh-CN"/>
        </w:rPr>
        <w:t>无围标、串标等违法违规行为承诺书（格式见附件）</w:t>
      </w:r>
    </w:p>
    <w:p w14:paraId="74AF7EF0">
      <w:pPr>
        <w:widowControl w:val="0"/>
        <w:numPr>
          <w:ilvl w:val="0"/>
          <w:numId w:val="0"/>
        </w:numPr>
        <w:spacing w:line="360" w:lineRule="auto"/>
        <w:ind w:right="62" w:rightChars="0"/>
        <w:jc w:val="both"/>
        <w:rPr>
          <w:rFonts w:hint="eastAsia" w:ascii="仿宋" w:hAnsi="仿宋" w:eastAsia="仿宋" w:cs="仿宋"/>
          <w:color w:val="auto"/>
          <w:sz w:val="24"/>
          <w:szCs w:val="24"/>
          <w:lang w:val="en-US" w:eastAsia="zh-CN"/>
        </w:rPr>
      </w:pPr>
    </w:p>
    <w:p w14:paraId="6FF85369">
      <w:pPr>
        <w:spacing w:line="640" w:lineRule="exact"/>
        <w:ind w:firstLine="426" w:firstLineChars="177"/>
        <w:jc w:val="center"/>
        <w:rPr>
          <w:rFonts w:hint="eastAsia" w:ascii="仿宋" w:hAnsi="仿宋" w:eastAsia="仿宋" w:cs="仿宋"/>
          <w:color w:val="auto"/>
          <w:sz w:val="24"/>
          <w:szCs w:val="24"/>
          <w:highlight w:val="none"/>
        </w:rPr>
      </w:pPr>
      <w:r>
        <w:rPr>
          <w:rFonts w:hint="eastAsia" w:ascii="仿宋" w:hAnsi="仿宋" w:eastAsia="仿宋" w:cs="仿宋"/>
          <w:b/>
          <w:bCs w:val="0"/>
          <w:color w:val="auto"/>
          <w:kern w:val="2"/>
          <w:sz w:val="24"/>
          <w:szCs w:val="24"/>
          <w:highlight w:val="none"/>
          <w:lang w:val="en-US" w:eastAsia="zh-CN" w:bidi="ar-SA"/>
        </w:rPr>
        <w:t>无围标、串标等违法违规行为承诺书</w:t>
      </w:r>
    </w:p>
    <w:p w14:paraId="56781BB7">
      <w:pPr>
        <w:spacing w:line="640" w:lineRule="exact"/>
        <w:jc w:val="left"/>
        <w:rPr>
          <w:rFonts w:hint="eastAsia" w:ascii="仿宋" w:hAnsi="仿宋" w:eastAsia="仿宋" w:cs="仿宋"/>
          <w:color w:val="auto"/>
          <w:sz w:val="24"/>
          <w:szCs w:val="24"/>
        </w:rPr>
      </w:pPr>
    </w:p>
    <w:p w14:paraId="1503A56E">
      <w:pPr>
        <w:spacing w:line="6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本人作为</w:t>
      </w:r>
      <w:r>
        <w:rPr>
          <w:rFonts w:hint="eastAsia" w:ascii="仿宋" w:hAnsi="仿宋" w:eastAsia="仿宋" w:cs="仿宋"/>
          <w:color w:val="auto"/>
          <w:sz w:val="24"/>
          <w:szCs w:val="24"/>
          <w:u w:val="single"/>
        </w:rPr>
        <w:t>（单位名称）</w:t>
      </w:r>
      <w:r>
        <w:rPr>
          <w:rFonts w:hint="eastAsia" w:ascii="仿宋" w:hAnsi="仿宋" w:eastAsia="仿宋" w:cs="仿宋"/>
          <w:color w:val="auto"/>
          <w:sz w:val="24"/>
          <w:szCs w:val="24"/>
        </w:rPr>
        <w:t>的法人，清楚知晓我公司本项目投标活动，对以下事项作出承诺：</w:t>
      </w:r>
    </w:p>
    <w:p w14:paraId="5A68730F">
      <w:pPr>
        <w:spacing w:line="6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一、我单位遵循公开、公平、公正、诚实守信的原则，依法依规参与本项目竞标。</w:t>
      </w:r>
    </w:p>
    <w:p w14:paraId="5E6A3561">
      <w:pPr>
        <w:spacing w:line="640" w:lineRule="exact"/>
        <w:ind w:firstLine="480" w:firstLineChars="200"/>
        <w:outlineLvl w:val="1"/>
        <w:rPr>
          <w:rFonts w:hint="eastAsia" w:ascii="仿宋" w:hAnsi="仿宋" w:eastAsia="仿宋" w:cs="仿宋"/>
          <w:color w:val="auto"/>
          <w:sz w:val="24"/>
          <w:szCs w:val="24"/>
        </w:rPr>
      </w:pPr>
      <w:bookmarkStart w:id="574" w:name="_Toc3592"/>
      <w:r>
        <w:rPr>
          <w:rFonts w:hint="eastAsia" w:ascii="仿宋" w:hAnsi="仿宋" w:eastAsia="仿宋" w:cs="仿宋"/>
          <w:color w:val="auto"/>
          <w:sz w:val="24"/>
          <w:szCs w:val="24"/>
        </w:rPr>
        <w:t>二、我单位在本项目招标投标活动中，未参与围标串标。</w:t>
      </w:r>
      <w:bookmarkEnd w:id="574"/>
    </w:p>
    <w:p w14:paraId="43CC58EB">
      <w:pPr>
        <w:spacing w:line="640" w:lineRule="exact"/>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三、我单位如被查实在本项目招标投标活动中存在围标串标的</w:t>
      </w:r>
      <w:r>
        <w:rPr>
          <w:rFonts w:hint="eastAsia" w:ascii="仿宋" w:hAnsi="仿宋" w:eastAsia="仿宋" w:cs="仿宋"/>
          <w:color w:val="auto"/>
          <w:sz w:val="24"/>
          <w:szCs w:val="24"/>
          <w:lang w:eastAsia="zh-CN"/>
        </w:rPr>
        <w:t>，将</w:t>
      </w:r>
      <w:r>
        <w:rPr>
          <w:rFonts w:hint="eastAsia" w:ascii="仿宋" w:hAnsi="仿宋" w:eastAsia="仿宋" w:cs="仿宋"/>
          <w:color w:val="auto"/>
          <w:sz w:val="24"/>
          <w:szCs w:val="24"/>
        </w:rPr>
        <w:t>递交投标文件行为作为实施串通投标违法行为的关键环节</w:t>
      </w:r>
      <w:r>
        <w:rPr>
          <w:rFonts w:hint="eastAsia" w:ascii="仿宋" w:hAnsi="仿宋" w:eastAsia="仿宋" w:cs="仿宋"/>
          <w:color w:val="auto"/>
          <w:sz w:val="24"/>
          <w:szCs w:val="24"/>
          <w:lang w:eastAsia="zh-CN"/>
        </w:rPr>
        <w:t>，由</w:t>
      </w:r>
      <w:r>
        <w:rPr>
          <w:rFonts w:hint="eastAsia" w:ascii="仿宋" w:hAnsi="仿宋" w:eastAsia="仿宋" w:cs="仿宋"/>
          <w:color w:val="auto"/>
          <w:sz w:val="24"/>
          <w:szCs w:val="24"/>
        </w:rPr>
        <w:t>本人承担直接责任人员法律责任</w:t>
      </w:r>
      <w:r>
        <w:rPr>
          <w:rFonts w:hint="eastAsia" w:ascii="仿宋" w:hAnsi="仿宋" w:eastAsia="仿宋" w:cs="仿宋"/>
          <w:color w:val="auto"/>
          <w:sz w:val="24"/>
          <w:szCs w:val="24"/>
          <w:lang w:eastAsia="zh-CN"/>
        </w:rPr>
        <w:t>，并</w:t>
      </w:r>
      <w:r>
        <w:rPr>
          <w:rFonts w:hint="eastAsia" w:ascii="仿宋" w:hAnsi="仿宋" w:eastAsia="仿宋" w:cs="仿宋"/>
          <w:color w:val="auto"/>
          <w:sz w:val="24"/>
          <w:szCs w:val="24"/>
        </w:rPr>
        <w:t>接受相应行政处罚和失信惩戒。</w:t>
      </w:r>
    </w:p>
    <w:p w14:paraId="2D9703BE">
      <w:pPr>
        <w:spacing w:line="64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项目编号：</w:t>
      </w:r>
    </w:p>
    <w:p w14:paraId="0F6EC5FD">
      <w:pPr>
        <w:spacing w:line="64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w:t>
      </w:r>
      <w:r>
        <w:rPr>
          <w:rFonts w:hint="eastAsia" w:ascii="仿宋" w:hAnsi="仿宋" w:eastAsia="仿宋" w:cs="仿宋"/>
          <w:color w:val="auto"/>
          <w:sz w:val="24"/>
          <w:szCs w:val="24"/>
        </w:rPr>
        <w:t>：</w:t>
      </w:r>
    </w:p>
    <w:p w14:paraId="4A7175D8">
      <w:pPr>
        <w:spacing w:line="64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单位名称：</w:t>
      </w:r>
    </w:p>
    <w:p w14:paraId="41DF40F2">
      <w:pPr>
        <w:spacing w:line="64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法</w:t>
      </w:r>
      <w:r>
        <w:rPr>
          <w:rFonts w:hint="eastAsia" w:ascii="仿宋" w:hAnsi="仿宋" w:eastAsia="仿宋" w:cs="仿宋"/>
          <w:color w:val="auto"/>
          <w:sz w:val="24"/>
          <w:szCs w:val="24"/>
          <w:lang w:eastAsia="zh-CN"/>
        </w:rPr>
        <w:t>定代表</w:t>
      </w:r>
      <w:r>
        <w:rPr>
          <w:rFonts w:hint="eastAsia" w:ascii="仿宋" w:hAnsi="仿宋" w:eastAsia="仿宋" w:cs="仿宋"/>
          <w:color w:val="auto"/>
          <w:sz w:val="24"/>
          <w:szCs w:val="24"/>
        </w:rPr>
        <w:t>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签字或盖章</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p>
    <w:p w14:paraId="56AFC0D1">
      <w:pPr>
        <w:spacing w:line="640" w:lineRule="exact"/>
        <w:jc w:val="left"/>
        <w:rPr>
          <w:rFonts w:hint="eastAsia" w:ascii="仿宋" w:hAnsi="仿宋" w:eastAsia="仿宋" w:cs="仿宋"/>
          <w:color w:val="auto"/>
          <w:sz w:val="24"/>
          <w:szCs w:val="24"/>
          <w:lang w:eastAsia="zh-CN"/>
        </w:rPr>
      </w:pPr>
    </w:p>
    <w:p w14:paraId="5861D84F">
      <w:pPr>
        <w:spacing w:line="640" w:lineRule="exact"/>
        <w:jc w:val="left"/>
        <w:rPr>
          <w:rFonts w:hint="eastAsia" w:ascii="仿宋" w:hAnsi="仿宋" w:eastAsia="仿宋" w:cs="仿宋"/>
          <w:color w:val="auto"/>
          <w:sz w:val="24"/>
          <w:szCs w:val="24"/>
        </w:rPr>
      </w:pPr>
    </w:p>
    <w:p w14:paraId="7732612D">
      <w:pPr>
        <w:spacing w:line="640" w:lineRule="exact"/>
        <w:ind w:firstLine="4080" w:firstLineChars="1700"/>
        <w:jc w:val="left"/>
        <w:rPr>
          <w:rFonts w:hint="eastAsia" w:ascii="仿宋" w:hAnsi="仿宋" w:eastAsia="仿宋" w:cs="仿宋"/>
          <w:color w:val="auto"/>
          <w:sz w:val="24"/>
          <w:szCs w:val="24"/>
          <w:lang w:eastAsia="zh-CN"/>
        </w:rPr>
      </w:pPr>
    </w:p>
    <w:p w14:paraId="54010AC1">
      <w:pPr>
        <w:pStyle w:val="45"/>
        <w:jc w:val="right"/>
        <w:rPr>
          <w:rFonts w:hint="eastAsia" w:ascii="仿宋" w:hAnsi="仿宋" w:eastAsia="仿宋" w:cs="仿宋"/>
          <w:color w:val="auto"/>
          <w:sz w:val="24"/>
          <w:szCs w:val="24"/>
        </w:rPr>
      </w:pPr>
      <w:r>
        <w:rPr>
          <w:rFonts w:hint="eastAsia" w:ascii="仿宋" w:hAnsi="仿宋" w:eastAsia="仿宋" w:cs="仿宋"/>
          <w:color w:val="auto"/>
          <w:sz w:val="24"/>
          <w:szCs w:val="24"/>
        </w:rPr>
        <w:t>日期：年月日</w:t>
      </w:r>
    </w:p>
    <w:p w14:paraId="0535D51A">
      <w:pPr>
        <w:pStyle w:val="45"/>
        <w:ind w:left="0" w:leftChars="0" w:firstLine="0" w:firstLineChars="0"/>
        <w:rPr>
          <w:rFonts w:hint="eastAsia" w:ascii="仿宋" w:hAnsi="仿宋" w:eastAsia="仿宋" w:cs="仿宋"/>
          <w:color w:val="auto"/>
          <w:sz w:val="24"/>
          <w:szCs w:val="24"/>
        </w:rPr>
      </w:pPr>
    </w:p>
    <w:p w14:paraId="69B4A646">
      <w:pPr>
        <w:pStyle w:val="45"/>
        <w:ind w:left="0" w:leftChars="0" w:firstLine="0" w:firstLineChars="0"/>
        <w:rPr>
          <w:rFonts w:hint="eastAsia" w:ascii="仿宋" w:hAnsi="仿宋" w:eastAsia="仿宋" w:cs="仿宋"/>
          <w:color w:val="auto"/>
          <w:sz w:val="24"/>
          <w:szCs w:val="24"/>
        </w:rPr>
      </w:pPr>
    </w:p>
    <w:p w14:paraId="021900BE">
      <w:pPr>
        <w:pStyle w:val="45"/>
        <w:ind w:left="0" w:leftChars="0" w:firstLine="0" w:firstLineChars="0"/>
        <w:rPr>
          <w:rFonts w:hint="eastAsia" w:ascii="仿宋" w:hAnsi="仿宋" w:eastAsia="仿宋" w:cs="仿宋"/>
          <w:color w:val="auto"/>
          <w:sz w:val="24"/>
          <w:szCs w:val="24"/>
        </w:rPr>
      </w:pPr>
    </w:p>
    <w:p w14:paraId="283F8E64">
      <w:pPr>
        <w:pStyle w:val="45"/>
        <w:ind w:left="0" w:leftChars="0" w:firstLine="0" w:firstLineChars="0"/>
        <w:rPr>
          <w:rFonts w:hint="eastAsia" w:ascii="仿宋" w:hAnsi="仿宋" w:eastAsia="仿宋" w:cs="仿宋"/>
          <w:color w:val="auto"/>
          <w:sz w:val="24"/>
          <w:szCs w:val="24"/>
        </w:rPr>
      </w:pPr>
    </w:p>
    <w:p w14:paraId="49B2CABA">
      <w:pPr>
        <w:pStyle w:val="45"/>
        <w:ind w:left="0" w:leftChars="0" w:firstLine="0" w:firstLineChars="0"/>
        <w:rPr>
          <w:rFonts w:hint="eastAsia" w:ascii="仿宋" w:hAnsi="仿宋" w:eastAsia="仿宋" w:cs="仿宋"/>
          <w:color w:val="auto"/>
          <w:sz w:val="24"/>
          <w:szCs w:val="24"/>
        </w:rPr>
      </w:pPr>
    </w:p>
    <w:p w14:paraId="19944BB2">
      <w:pPr>
        <w:pStyle w:val="45"/>
        <w:ind w:left="0" w:leftChars="0" w:firstLine="0" w:firstLineChars="0"/>
        <w:rPr>
          <w:rFonts w:hint="eastAsia" w:ascii="仿宋" w:hAnsi="仿宋" w:eastAsia="仿宋" w:cs="仿宋"/>
          <w:color w:val="auto"/>
          <w:sz w:val="24"/>
          <w:szCs w:val="24"/>
        </w:rPr>
      </w:pPr>
    </w:p>
    <w:p w14:paraId="666145F7">
      <w:pPr>
        <w:pStyle w:val="45"/>
        <w:numPr>
          <w:ilvl w:val="0"/>
          <w:numId w:val="0"/>
        </w:numPr>
        <w:ind w:leftChars="-50" w:right="62" w:rightChars="0"/>
        <w:rPr>
          <w:rFonts w:hint="eastAsia"/>
          <w:color w:val="auto"/>
          <w:lang w:val="en-US" w:eastAsia="zh-CN"/>
        </w:rPr>
      </w:pPr>
      <w:r>
        <w:rPr>
          <w:rFonts w:hint="eastAsia" w:ascii="仿宋" w:hAnsi="仿宋" w:eastAsia="仿宋" w:cs="仿宋"/>
          <w:b/>
          <w:bCs/>
          <w:color w:val="auto"/>
          <w:sz w:val="24"/>
          <w:szCs w:val="24"/>
          <w:lang w:val="en-US" w:eastAsia="zh-CN"/>
        </w:rPr>
        <w:br w:type="page"/>
      </w:r>
      <w:r>
        <w:rPr>
          <w:rFonts w:hint="eastAsia" w:ascii="仿宋" w:hAnsi="仿宋" w:eastAsia="仿宋" w:cs="仿宋"/>
          <w:b/>
          <w:bCs/>
          <w:color w:val="auto"/>
          <w:sz w:val="24"/>
          <w:szCs w:val="24"/>
          <w:lang w:val="en-US" w:eastAsia="zh-CN"/>
        </w:rPr>
        <w:t>（十四）、属于中小企业的投标人提供《中小企业声明函》，监狱企业提供《监狱企业声明函》及其相关的充分的证明材料，残疾人福利性单位提供《残疾人福利性单位声明函》及其相关的充分的证明材料</w:t>
      </w:r>
      <w:r>
        <w:rPr>
          <w:rStyle w:val="85"/>
          <w:rFonts w:hint="eastAsia" w:ascii="仿宋" w:hAnsi="仿宋" w:eastAsia="仿宋" w:cs="仿宋"/>
          <w:bCs w:val="0"/>
          <w:color w:val="auto"/>
          <w:kern w:val="2"/>
          <w:sz w:val="24"/>
          <w:szCs w:val="24"/>
          <w:lang w:val="en-US" w:eastAsia="zh-CN" w:bidi="ar-SA"/>
        </w:rPr>
        <w:t>（如是）</w:t>
      </w:r>
    </w:p>
    <w:p w14:paraId="74366D6B">
      <w:pPr>
        <w:keepNext w:val="0"/>
        <w:keepLines w:val="0"/>
        <w:pageBreakBefore w:val="0"/>
        <w:kinsoku/>
        <w:wordWrap/>
        <w:overflowPunct/>
        <w:topLinePunct w:val="0"/>
        <w:autoSpaceDE/>
        <w:autoSpaceDN/>
        <w:bidi w:val="0"/>
        <w:adjustRightInd/>
        <w:snapToGrid/>
        <w:spacing w:line="460" w:lineRule="exact"/>
        <w:ind w:left="681" w:leftChars="257" w:hanging="540"/>
        <w:jc w:val="center"/>
        <w:textAlignment w:val="auto"/>
        <w:rPr>
          <w:rFonts w:hint="eastAsia" w:ascii="仿宋" w:hAnsi="仿宋" w:eastAsia="仿宋" w:cs="仿宋"/>
          <w:b/>
          <w:bCs/>
          <w:kern w:val="0"/>
          <w:sz w:val="28"/>
          <w:szCs w:val="28"/>
          <w:lang w:eastAsia="zh-CN"/>
        </w:rPr>
      </w:pPr>
      <w:r>
        <w:rPr>
          <w:rFonts w:hint="eastAsia" w:ascii="仿宋" w:hAnsi="仿宋" w:eastAsia="仿宋" w:cs="仿宋"/>
          <w:b/>
          <w:bCs/>
          <w:sz w:val="28"/>
          <w:szCs w:val="28"/>
        </w:rPr>
        <w:t>中小企业声明函</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货物</w:t>
      </w:r>
      <w:r>
        <w:rPr>
          <w:rFonts w:hint="eastAsia" w:ascii="仿宋" w:hAnsi="仿宋" w:eastAsia="仿宋" w:cs="仿宋"/>
          <w:b/>
          <w:bCs/>
          <w:sz w:val="28"/>
          <w:szCs w:val="28"/>
          <w:lang w:eastAsia="zh-CN"/>
        </w:rPr>
        <w:t>）</w:t>
      </w:r>
    </w:p>
    <w:p w14:paraId="35798840">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公司郑重声明，根据《政府采购促进中小企业发展管理办法》（财库〔2020〕〔2020〕46号）的规定，本公司参加（单位名称）的（项目名称）采购活动，提供的货物全部由符合政策要求的中小企业制造。相关企业（含联合体中的中小企业、签订分包意向协议的中小企业）的具体情况如下：</w:t>
      </w:r>
    </w:p>
    <w:p w14:paraId="24376E32">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1.（标的名称），属于（采购文件中明确的所属行业）；制造商为（企业名称），从业人员人，营业收入为万元，资产总额为万元，属于（中型企业、小型企业、微型企业）;</w:t>
      </w:r>
    </w:p>
    <w:p w14:paraId="774860D8">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2.（标的名称），属于（采购文件中明确的所属行业）；制造商为（企业名称），从业人员人，营业收入为万元，资产总额为万元，属于（中型企业、小型企业、微型企业）;</w:t>
      </w:r>
    </w:p>
    <w:p w14:paraId="1BFA66F9">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60" w:firstLineChars="20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w:t>
      </w:r>
    </w:p>
    <w:p w14:paraId="473B6F77">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以上企业，不属于大企业的分支机构，不存在控股股东为大企业的情形，也不存在与大企业的负责人为同一人的情形。</w:t>
      </w:r>
    </w:p>
    <w:p w14:paraId="391F430C">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本企业对上述声明内容的真实性负责。如有虚假，将依法承担相应责任。</w:t>
      </w:r>
    </w:p>
    <w:p w14:paraId="63FC18BF">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5320" w:firstLineChars="19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企业名称（盖章）:</w:t>
      </w:r>
    </w:p>
    <w:p w14:paraId="671641A5">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ind w:firstLine="6720" w:firstLineChars="24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日期：</w:t>
      </w:r>
    </w:p>
    <w:p w14:paraId="4A2B154F">
      <w:pPr>
        <w:pStyle w:val="8"/>
        <w:tabs>
          <w:tab w:val="left" w:pos="567"/>
        </w:tabs>
        <w:spacing w:line="278" w:lineRule="auto"/>
        <w:rPr>
          <w:rFonts w:hint="eastAsia" w:ascii="仿宋" w:hAnsi="仿宋" w:eastAsia="仿宋" w:cs="仿宋"/>
        </w:rPr>
      </w:pPr>
    </w:p>
    <w:p w14:paraId="6B604845">
      <w:pPr>
        <w:pStyle w:val="8"/>
        <w:tabs>
          <w:tab w:val="left" w:pos="567"/>
        </w:tabs>
        <w:spacing w:line="278" w:lineRule="auto"/>
        <w:rPr>
          <w:rFonts w:hint="eastAsia" w:ascii="仿宋" w:hAnsi="仿宋" w:eastAsia="仿宋" w:cs="仿宋"/>
        </w:rPr>
      </w:pPr>
    </w:p>
    <w:p w14:paraId="100344D7">
      <w:pPr>
        <w:spacing w:line="219" w:lineRule="auto"/>
        <w:rPr>
          <w:rFonts w:hint="eastAsia" w:ascii="仿宋" w:hAnsi="仿宋" w:eastAsia="仿宋" w:cs="仿宋"/>
          <w:sz w:val="24"/>
          <w:szCs w:val="24"/>
        </w:rPr>
      </w:pPr>
    </w:p>
    <w:p w14:paraId="7125082D">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460" w:lineRule="exact"/>
        <w:jc w:val="left"/>
        <w:textAlignment w:val="auto"/>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从业人员、营业收入、资产总额填报上一年度数据，无上一年度数据的新成立企业可不填报。</w:t>
      </w:r>
    </w:p>
    <w:p w14:paraId="722E7B4E">
      <w:pPr>
        <w:snapToGrid w:val="0"/>
        <w:spacing w:line="360" w:lineRule="auto"/>
        <w:ind w:left="0" w:leftChars="0" w:firstLine="0" w:firstLineChars="0"/>
        <w:jc w:val="center"/>
        <w:rPr>
          <w:rStyle w:val="85"/>
          <w:rFonts w:hint="eastAsia" w:ascii="仿宋" w:hAnsi="仿宋" w:eastAsia="仿宋" w:cs="仿宋"/>
          <w:bCs w:val="0"/>
          <w:color w:val="auto"/>
          <w:kern w:val="2"/>
          <w:sz w:val="24"/>
          <w:szCs w:val="24"/>
          <w:lang w:val="en-US" w:eastAsia="zh-CN" w:bidi="ar-SA"/>
        </w:rPr>
      </w:pPr>
      <w:r>
        <w:rPr>
          <w:rFonts w:ascii="宋体" w:hAnsi="宋体" w:eastAsia="宋体" w:cs="宋体"/>
          <w:sz w:val="20"/>
          <w:szCs w:val="20"/>
        </w:rPr>
        <w:br w:type="page"/>
      </w:r>
      <w:r>
        <w:rPr>
          <w:rStyle w:val="85"/>
          <w:rFonts w:hint="eastAsia" w:ascii="仿宋" w:hAnsi="仿宋" w:eastAsia="仿宋" w:cs="仿宋"/>
          <w:bCs w:val="0"/>
          <w:color w:val="auto"/>
          <w:kern w:val="2"/>
          <w:sz w:val="24"/>
          <w:szCs w:val="24"/>
          <w:lang w:val="en-US" w:eastAsia="zh-CN" w:bidi="ar-SA"/>
        </w:rPr>
        <w:t>监狱企业声明函（如是）</w:t>
      </w:r>
    </w:p>
    <w:p w14:paraId="0833F479">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【不属于监狱企业的无需填写、递交】</w:t>
      </w:r>
    </w:p>
    <w:p w14:paraId="6324DD65">
      <w:pPr>
        <w:widowControl/>
        <w:shd w:val="clear" w:color="auto" w:fill="auto"/>
        <w:adjustRightInd w:val="0"/>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本单位郑重声明，本单位在参加</w:t>
      </w:r>
      <w:r>
        <w:rPr>
          <w:rFonts w:hint="eastAsia" w:ascii="仿宋" w:hAnsi="仿宋" w:eastAsia="仿宋" w:cs="仿宋"/>
          <w:color w:val="auto"/>
          <w:kern w:val="0"/>
          <w:sz w:val="24"/>
          <w:szCs w:val="24"/>
          <w:highlight w:val="none"/>
          <w:u w:val="single"/>
        </w:rPr>
        <w:t>（采购人名称）</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u w:val="single"/>
        </w:rPr>
        <w:t>（招标项目名称）</w:t>
      </w:r>
      <w:r>
        <w:rPr>
          <w:rFonts w:hint="eastAsia" w:ascii="仿宋" w:hAnsi="仿宋" w:eastAsia="仿宋" w:cs="仿宋"/>
          <w:color w:val="auto"/>
          <w:kern w:val="0"/>
          <w:sz w:val="24"/>
          <w:szCs w:val="24"/>
          <w:highlight w:val="none"/>
        </w:rPr>
        <w:t>项目采购活动提供以下监狱企业制造的货物（或监狱企业承担的工程</w:t>
      </w:r>
      <w:r>
        <w:rPr>
          <w:rFonts w:hint="eastAsia" w:ascii="仿宋" w:hAnsi="仿宋" w:eastAsia="仿宋" w:cs="仿宋"/>
          <w:color w:val="auto"/>
          <w:kern w:val="0"/>
          <w:sz w:val="24"/>
          <w:szCs w:val="24"/>
          <w:highlight w:val="none"/>
          <w:lang w:eastAsia="zh-CN"/>
        </w:rPr>
        <w:t>或</w:t>
      </w:r>
      <w:r>
        <w:rPr>
          <w:rFonts w:hint="eastAsia" w:ascii="仿宋" w:hAnsi="仿宋" w:eastAsia="仿宋" w:cs="仿宋"/>
          <w:color w:val="auto"/>
          <w:kern w:val="0"/>
          <w:sz w:val="24"/>
          <w:szCs w:val="24"/>
          <w:highlight w:val="none"/>
        </w:rPr>
        <w:t>监狱企业承接的服务），具体情况如下：（按照实际情况勾选或填空）</w:t>
      </w:r>
    </w:p>
    <w:p w14:paraId="44A5DC31">
      <w:pPr>
        <w:widowControl/>
        <w:shd w:val="clear" w:color="auto" w:fill="auto"/>
        <w:adjustRightInd w:val="0"/>
        <w:snapToGrid w:val="0"/>
        <w:spacing w:line="360" w:lineRule="auto"/>
        <w:ind w:firstLine="360" w:firstLineChars="15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u w:val="single"/>
        </w:rPr>
        <w:t>（制造商名称）</w:t>
      </w:r>
      <w:r>
        <w:rPr>
          <w:rFonts w:hint="eastAsia" w:ascii="仿宋" w:hAnsi="仿宋" w:eastAsia="仿宋" w:cs="仿宋"/>
          <w:color w:val="auto"/>
          <w:kern w:val="0"/>
          <w:sz w:val="24"/>
          <w:szCs w:val="24"/>
          <w:highlight w:val="none"/>
        </w:rPr>
        <w:t>属于监狱企业，后附省级以上监狱管理局、戒毒管理局（含新疆生产建设兵团）出具的属于监狱企业的证明文件。</w:t>
      </w:r>
    </w:p>
    <w:p w14:paraId="7FDEFEDD">
      <w:pPr>
        <w:widowControl/>
        <w:shd w:val="clear" w:color="auto" w:fill="auto"/>
        <w:adjustRightInd w:val="0"/>
        <w:snapToGrid w:val="0"/>
        <w:spacing w:line="360" w:lineRule="auto"/>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u w:val="single"/>
        </w:rPr>
        <w:t>（制造商名称）</w:t>
      </w:r>
      <w:r>
        <w:rPr>
          <w:rFonts w:hint="eastAsia" w:ascii="仿宋" w:hAnsi="仿宋" w:eastAsia="仿宋" w:cs="仿宋"/>
          <w:color w:val="auto"/>
          <w:kern w:val="0"/>
          <w:sz w:val="24"/>
          <w:szCs w:val="24"/>
          <w:highlight w:val="none"/>
        </w:rPr>
        <w:t>属于监狱企业并作为联合体一方，其提供协议合同金额占到共同投标协议合同总金额的比例为。后附省级以上监狱管理局、戒毒管理局（含新疆生产建设兵团）出具的属于监狱企业的证明文件。</w:t>
      </w:r>
    </w:p>
    <w:p w14:paraId="6798B259">
      <w:pPr>
        <w:widowControl/>
        <w:shd w:val="clear" w:color="auto" w:fill="auto"/>
        <w:adjustRightInd w:val="0"/>
        <w:snapToGrid w:val="0"/>
        <w:spacing w:line="360" w:lineRule="auto"/>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w:t>
      </w:r>
      <w:r>
        <w:rPr>
          <w:rFonts w:hint="eastAsia" w:ascii="仿宋" w:hAnsi="仿宋" w:eastAsia="仿宋" w:cs="仿宋"/>
          <w:color w:val="auto"/>
          <w:kern w:val="0"/>
          <w:sz w:val="24"/>
          <w:szCs w:val="24"/>
          <w:highlight w:val="none"/>
          <w:u w:val="single"/>
        </w:rPr>
        <w:t>（制造商名称）</w:t>
      </w:r>
      <w:r>
        <w:rPr>
          <w:rFonts w:hint="eastAsia" w:ascii="仿宋" w:hAnsi="仿宋" w:eastAsia="仿宋" w:cs="仿宋"/>
          <w:color w:val="auto"/>
          <w:kern w:val="0"/>
          <w:sz w:val="24"/>
          <w:szCs w:val="24"/>
          <w:highlight w:val="none"/>
        </w:rPr>
        <w:t>属于监狱企业并作为分包方，其提供协议合同金额占到分包意向协议合同总金额的比例为。后附省级以上监狱管理局、戒毒管理局（含新疆生产建设兵团）出具的属于监狱企业的证明文件。</w:t>
      </w:r>
    </w:p>
    <w:p w14:paraId="340F81CF">
      <w:pPr>
        <w:widowControl/>
        <w:shd w:val="clear" w:color="auto" w:fill="auto"/>
        <w:adjustRightInd w:val="0"/>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本单位对上述声明的真实性负责。如有虚假，将依法承担相应责任。</w:t>
      </w:r>
    </w:p>
    <w:p w14:paraId="65BFDC0F">
      <w:pPr>
        <w:widowControl/>
        <w:shd w:val="clear" w:color="auto" w:fill="auto"/>
        <w:adjustRightInd w:val="0"/>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w:t>
      </w:r>
    </w:p>
    <w:p w14:paraId="207EC715">
      <w:pPr>
        <w:widowControl/>
        <w:shd w:val="clear" w:color="auto" w:fill="auto"/>
        <w:adjustRightInd w:val="0"/>
        <w:snapToGrid w:val="0"/>
        <w:spacing w:line="360" w:lineRule="auto"/>
        <w:jc w:val="left"/>
        <w:rPr>
          <w:rFonts w:hint="eastAsia" w:ascii="仿宋" w:hAnsi="仿宋" w:eastAsia="仿宋" w:cs="仿宋"/>
          <w:color w:val="auto"/>
          <w:kern w:val="0"/>
          <w:sz w:val="24"/>
          <w:szCs w:val="24"/>
          <w:highlight w:val="none"/>
        </w:rPr>
      </w:pPr>
    </w:p>
    <w:p w14:paraId="0578E76F">
      <w:pPr>
        <w:widowControl/>
        <w:shd w:val="clear" w:color="auto" w:fill="auto"/>
        <w:adjustRightInd w:val="0"/>
        <w:snapToGrid w:val="0"/>
        <w:spacing w:line="360" w:lineRule="auto"/>
        <w:jc w:val="left"/>
        <w:rPr>
          <w:rFonts w:hint="eastAsia" w:ascii="仿宋" w:hAnsi="仿宋" w:eastAsia="仿宋" w:cs="仿宋"/>
          <w:color w:val="auto"/>
          <w:kern w:val="0"/>
          <w:sz w:val="24"/>
          <w:szCs w:val="24"/>
          <w:highlight w:val="none"/>
        </w:rPr>
      </w:pPr>
    </w:p>
    <w:p w14:paraId="5F3F2FF7">
      <w:pPr>
        <w:shd w:val="clear" w:color="auto" w:fill="auto"/>
        <w:adjustRightInd w:val="0"/>
        <w:snapToGrid w:val="0"/>
        <w:spacing w:line="360" w:lineRule="auto"/>
        <w:ind w:hanging="54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　</w:t>
      </w:r>
    </w:p>
    <w:p w14:paraId="02B728FA">
      <w:pPr>
        <w:shd w:val="clear" w:color="auto" w:fill="auto"/>
        <w:adjustRightInd w:val="0"/>
        <w:snapToGrid w:val="0"/>
        <w:spacing w:line="360" w:lineRule="auto"/>
        <w:ind w:firstLine="5280" w:firstLineChars="2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单位名称（盖章）：</w:t>
      </w:r>
    </w:p>
    <w:p w14:paraId="2A81306B">
      <w:pPr>
        <w:widowControl/>
        <w:shd w:val="clear" w:color="auto" w:fill="auto"/>
        <w:adjustRightInd w:val="0"/>
        <w:snapToGrid w:val="0"/>
        <w:spacing w:line="360" w:lineRule="auto"/>
        <w:ind w:firstLine="5280" w:firstLineChars="2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日期：</w:t>
      </w:r>
    </w:p>
    <w:p w14:paraId="32E75680">
      <w:pPr>
        <w:pStyle w:val="45"/>
        <w:rPr>
          <w:rFonts w:hint="eastAsia" w:ascii="仿宋" w:hAnsi="仿宋" w:eastAsia="仿宋" w:cs="仿宋"/>
          <w:color w:val="auto"/>
          <w:kern w:val="0"/>
          <w:sz w:val="24"/>
          <w:szCs w:val="24"/>
          <w:highlight w:val="none"/>
        </w:rPr>
      </w:pPr>
    </w:p>
    <w:p w14:paraId="5647A771">
      <w:pPr>
        <w:rPr>
          <w:rFonts w:hint="eastAsia" w:ascii="仿宋" w:hAnsi="仿宋" w:eastAsia="仿宋" w:cs="仿宋"/>
          <w:color w:val="auto"/>
          <w:kern w:val="0"/>
          <w:sz w:val="24"/>
          <w:szCs w:val="24"/>
          <w:highlight w:val="none"/>
        </w:rPr>
      </w:pPr>
    </w:p>
    <w:p w14:paraId="45514113">
      <w:pPr>
        <w:pStyle w:val="45"/>
        <w:rPr>
          <w:rFonts w:hint="eastAsia" w:ascii="仿宋" w:hAnsi="仿宋" w:eastAsia="仿宋" w:cs="仿宋"/>
          <w:color w:val="auto"/>
          <w:kern w:val="0"/>
          <w:sz w:val="24"/>
          <w:szCs w:val="24"/>
          <w:highlight w:val="none"/>
        </w:rPr>
      </w:pPr>
    </w:p>
    <w:p w14:paraId="34EEC288">
      <w:pPr>
        <w:rPr>
          <w:rFonts w:hint="eastAsia" w:ascii="仿宋" w:hAnsi="仿宋" w:eastAsia="仿宋" w:cs="仿宋"/>
          <w:color w:val="auto"/>
          <w:kern w:val="0"/>
          <w:sz w:val="24"/>
          <w:szCs w:val="24"/>
          <w:highlight w:val="none"/>
        </w:rPr>
      </w:pPr>
    </w:p>
    <w:p w14:paraId="047A7234">
      <w:pPr>
        <w:rPr>
          <w:rFonts w:hint="eastAsia" w:ascii="仿宋" w:hAnsi="仿宋" w:eastAsia="仿宋" w:cs="仿宋"/>
          <w:color w:val="auto"/>
          <w:sz w:val="24"/>
          <w:szCs w:val="24"/>
        </w:rPr>
      </w:pPr>
    </w:p>
    <w:p w14:paraId="59147580">
      <w:pPr>
        <w:rPr>
          <w:rFonts w:hint="eastAsia" w:ascii="仿宋" w:hAnsi="仿宋" w:eastAsia="仿宋" w:cs="仿宋"/>
          <w:color w:val="auto"/>
          <w:sz w:val="24"/>
          <w:szCs w:val="24"/>
        </w:rPr>
      </w:pPr>
    </w:p>
    <w:p w14:paraId="4DC03F03">
      <w:pPr>
        <w:rPr>
          <w:rFonts w:hint="eastAsia" w:ascii="仿宋" w:hAnsi="仿宋" w:eastAsia="仿宋" w:cs="仿宋"/>
          <w:color w:val="auto"/>
          <w:sz w:val="24"/>
          <w:szCs w:val="24"/>
        </w:rPr>
      </w:pPr>
    </w:p>
    <w:p w14:paraId="6930D948">
      <w:pPr>
        <w:rPr>
          <w:rFonts w:hint="eastAsia" w:ascii="仿宋" w:hAnsi="仿宋" w:eastAsia="仿宋" w:cs="仿宋"/>
          <w:color w:val="auto"/>
          <w:sz w:val="24"/>
          <w:szCs w:val="24"/>
        </w:rPr>
      </w:pPr>
    </w:p>
    <w:p w14:paraId="7D6EAD0F">
      <w:pPr>
        <w:rPr>
          <w:rFonts w:hint="eastAsia" w:ascii="仿宋" w:hAnsi="仿宋" w:eastAsia="仿宋" w:cs="仿宋"/>
          <w:color w:val="auto"/>
          <w:sz w:val="24"/>
          <w:szCs w:val="24"/>
        </w:rPr>
      </w:pPr>
    </w:p>
    <w:p w14:paraId="4A72543C">
      <w:pPr>
        <w:rPr>
          <w:rFonts w:hint="eastAsia" w:ascii="仿宋" w:hAnsi="仿宋" w:eastAsia="仿宋" w:cs="仿宋"/>
          <w:color w:val="auto"/>
          <w:sz w:val="24"/>
          <w:szCs w:val="24"/>
        </w:rPr>
      </w:pPr>
    </w:p>
    <w:p w14:paraId="398F0B22">
      <w:pPr>
        <w:snapToGrid w:val="0"/>
        <w:spacing w:line="360" w:lineRule="auto"/>
        <w:jc w:val="center"/>
        <w:rPr>
          <w:rStyle w:val="85"/>
          <w:rFonts w:hint="eastAsia" w:ascii="仿宋" w:hAnsi="仿宋" w:eastAsia="仿宋" w:cs="仿宋"/>
          <w:bCs w:val="0"/>
          <w:color w:val="auto"/>
          <w:kern w:val="2"/>
          <w:sz w:val="24"/>
          <w:szCs w:val="24"/>
          <w:lang w:val="en-US" w:eastAsia="zh-CN" w:bidi="ar-SA"/>
        </w:rPr>
      </w:pPr>
      <w:r>
        <w:rPr>
          <w:rStyle w:val="85"/>
          <w:rFonts w:hint="eastAsia" w:ascii="仿宋" w:hAnsi="仿宋" w:eastAsia="仿宋" w:cs="仿宋"/>
          <w:bCs w:val="0"/>
          <w:color w:val="auto"/>
          <w:kern w:val="2"/>
          <w:sz w:val="24"/>
          <w:szCs w:val="24"/>
          <w:lang w:val="en-US" w:eastAsia="zh-CN" w:bidi="ar-SA"/>
        </w:rPr>
        <w:t>残疾人福利性单位声明函（如是）</w:t>
      </w:r>
    </w:p>
    <w:p w14:paraId="58F01FED">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1BB3D29">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本单位对上述声明的真实性负责。如有虚假，将依法承担相应责任。</w:t>
      </w:r>
    </w:p>
    <w:p w14:paraId="7D43FAC1">
      <w:pPr>
        <w:spacing w:line="480" w:lineRule="auto"/>
        <w:ind w:firstLine="480" w:firstLineChars="200"/>
        <w:outlineLvl w:val="1"/>
        <w:rPr>
          <w:rFonts w:hint="eastAsia" w:ascii="仿宋" w:hAnsi="仿宋" w:eastAsia="仿宋" w:cs="仿宋"/>
          <w:color w:val="auto"/>
          <w:sz w:val="24"/>
          <w:szCs w:val="24"/>
          <w:lang w:val="en-US" w:eastAsia="zh-CN"/>
        </w:rPr>
      </w:pPr>
    </w:p>
    <w:p w14:paraId="77351F6B">
      <w:pPr>
        <w:spacing w:line="480" w:lineRule="auto"/>
        <w:ind w:firstLine="480" w:firstLineChars="200"/>
        <w:outlineLvl w:val="1"/>
        <w:rPr>
          <w:rFonts w:hint="eastAsia" w:ascii="仿宋" w:hAnsi="仿宋" w:eastAsia="仿宋" w:cs="仿宋"/>
          <w:color w:val="auto"/>
          <w:sz w:val="24"/>
          <w:szCs w:val="24"/>
          <w:lang w:val="en-US" w:eastAsia="zh-CN"/>
        </w:rPr>
      </w:pPr>
    </w:p>
    <w:p w14:paraId="6CB37F63">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单位名称（盖章）：</w:t>
      </w:r>
    </w:p>
    <w:p w14:paraId="25D1B513">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日期：</w:t>
      </w:r>
    </w:p>
    <w:p w14:paraId="0170559F">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扶持政策说明：</w:t>
      </w:r>
    </w:p>
    <w:p w14:paraId="75D44C3E">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根据财政部、工业和信息化部制定的《政府采购促进中小企业发展暂行办法》和转发财政部工业和信息化部关于印发《政府采购促进中小企业发展暂行办法》的通知，对小型或微型企业的投标报价给予10%的扣除，并用扣除后的价格计算价格评分。</w:t>
      </w:r>
    </w:p>
    <w:p w14:paraId="14535173">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2.监狱企业视同小微企业，参加本项目投标的，享受小微企业同等的价格扣除。【注：提供《监狱企业声明函》及其相关的充分的证明材料】。</w:t>
      </w:r>
    </w:p>
    <w:p w14:paraId="5989E51A">
      <w:pPr>
        <w:spacing w:line="480" w:lineRule="auto"/>
        <w:ind w:firstLine="480" w:firstLineChars="200"/>
        <w:outlineLvl w:val="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3.残疾人福利性单位参加投标【提供《残疾人福利性单位声明函》】，视为小型、微型企业，享受小微企业政策扶持。</w:t>
      </w:r>
    </w:p>
    <w:p w14:paraId="7FF37E76">
      <w:pP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br w:type="page"/>
      </w:r>
    </w:p>
    <w:p w14:paraId="092CFA8C">
      <w:pPr>
        <w:pStyle w:val="20"/>
        <w:keepNext w:val="0"/>
        <w:keepLines w:val="0"/>
        <w:pageBreakBefore w:val="0"/>
        <w:kinsoku/>
        <w:wordWrap/>
        <w:overflowPunct/>
        <w:topLinePunct w:val="0"/>
        <w:bidi w:val="0"/>
        <w:spacing w:line="500" w:lineRule="exact"/>
        <w:ind w:left="0" w:leftChars="0" w:firstLine="0" w:firstLine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本国产品标准的声明函</w:t>
      </w:r>
    </w:p>
    <w:p w14:paraId="6205E4A3">
      <w:pPr>
        <w:pStyle w:val="20"/>
        <w:keepNext w:val="0"/>
        <w:keepLines w:val="0"/>
        <w:pageBreakBefore w:val="0"/>
        <w:kinsoku/>
        <w:wordWrap/>
        <w:overflowPunct/>
        <w:topLinePunct w:val="0"/>
        <w:bidi w:val="0"/>
        <w:spacing w:line="360" w:lineRule="auto"/>
        <w:ind w:left="0" w:leftChars="0" w:firstLine="0" w:firstLineChars="0"/>
        <w:jc w:val="center"/>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关于符合本国产品标准的声明函</w:t>
      </w:r>
    </w:p>
    <w:p w14:paraId="5253D9D4">
      <w:pPr>
        <w:pStyle w:val="20"/>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778E91A0">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r>
        <w:rPr>
          <w:rFonts w:hint="eastAsia" w:ascii="仿宋" w:hAnsi="仿宋" w:eastAsia="仿宋" w:cs="仿宋"/>
          <w:b w:val="0"/>
          <w:bCs w:val="0"/>
          <w:sz w:val="28"/>
          <w:szCs w:val="28"/>
          <w:u w:val="single"/>
          <w:lang w:val="en-US" w:eastAsia="zh-CN"/>
        </w:rPr>
        <w:t>（产品名称1）</w:t>
      </w:r>
      <w:r>
        <w:rPr>
          <w:rFonts w:hint="eastAsia" w:ascii="仿宋" w:hAnsi="仿宋" w:eastAsia="仿宋" w:cs="仿宋"/>
          <w:b w:val="0"/>
          <w:bCs w:val="0"/>
          <w:sz w:val="28"/>
          <w:szCs w:val="28"/>
          <w:lang w:val="en-US" w:eastAsia="zh-CN"/>
        </w:rPr>
        <w:t>1，</w:t>
      </w:r>
      <w:r>
        <w:rPr>
          <w:rFonts w:hint="eastAsia" w:ascii="仿宋" w:hAnsi="仿宋" w:eastAsia="仿宋" w:cs="仿宋"/>
          <w:b w:val="0"/>
          <w:bCs w:val="0"/>
          <w:sz w:val="28"/>
          <w:szCs w:val="28"/>
          <w:u w:val="single"/>
          <w:lang w:val="en-US" w:eastAsia="zh-CN"/>
        </w:rPr>
        <w:t>生产厂为（厂名）</w:t>
      </w:r>
      <w:r>
        <w:rPr>
          <w:rFonts w:hint="eastAsia" w:ascii="仿宋" w:hAnsi="仿宋" w:eastAsia="仿宋" w:cs="仿宋"/>
          <w:b w:val="0"/>
          <w:bCs w:val="0"/>
          <w:sz w:val="28"/>
          <w:szCs w:val="28"/>
          <w:lang w:val="en-US" w:eastAsia="zh-CN"/>
        </w:rPr>
        <w:t>2，</w:t>
      </w:r>
      <w:r>
        <w:rPr>
          <w:rFonts w:hint="eastAsia" w:ascii="仿宋" w:hAnsi="仿宋" w:eastAsia="仿宋" w:cs="仿宋"/>
          <w:b w:val="0"/>
          <w:bCs w:val="0"/>
          <w:sz w:val="28"/>
          <w:szCs w:val="28"/>
          <w:u w:val="single"/>
          <w:lang w:val="en-US" w:eastAsia="zh-CN"/>
        </w:rPr>
        <w:t>厂址为（生产厂址）</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u w:val="single"/>
          <w:lang w:val="en-US" w:eastAsia="zh-CN"/>
        </w:rPr>
        <w:t>（产品名称1）</w:t>
      </w:r>
      <w:r>
        <w:rPr>
          <w:rFonts w:hint="eastAsia" w:ascii="仿宋" w:hAnsi="仿宋" w:eastAsia="仿宋" w:cs="仿宋"/>
          <w:b w:val="0"/>
          <w:bCs w:val="0"/>
          <w:sz w:val="28"/>
          <w:szCs w:val="28"/>
          <w:lang w:val="en-US" w:eastAsia="zh-CN"/>
        </w:rPr>
        <w:t>的中国境内生产的组件成本占比≥（规定比例）3。</w:t>
      </w:r>
      <w:r>
        <w:rPr>
          <w:rFonts w:hint="eastAsia" w:ascii="仿宋" w:hAnsi="仿宋" w:eastAsia="仿宋" w:cs="仿宋"/>
          <w:b w:val="0"/>
          <w:bCs w:val="0"/>
          <w:sz w:val="28"/>
          <w:szCs w:val="28"/>
          <w:u w:val="single"/>
          <w:lang w:val="en-US" w:eastAsia="zh-CN"/>
        </w:rPr>
        <w:t>（产品名称1）</w:t>
      </w:r>
      <w:r>
        <w:rPr>
          <w:rFonts w:hint="eastAsia" w:ascii="仿宋" w:hAnsi="仿宋" w:eastAsia="仿宋" w:cs="仿宋"/>
          <w:b w:val="0"/>
          <w:bCs w:val="0"/>
          <w:sz w:val="28"/>
          <w:szCs w:val="28"/>
          <w:lang w:val="en-US" w:eastAsia="zh-CN"/>
        </w:rPr>
        <w:t>的（</w:t>
      </w:r>
      <w:r>
        <w:rPr>
          <w:rFonts w:hint="eastAsia" w:ascii="仿宋" w:hAnsi="仿宋" w:eastAsia="仿宋" w:cs="仿宋"/>
          <w:b w:val="0"/>
          <w:bCs w:val="0"/>
          <w:sz w:val="28"/>
          <w:szCs w:val="28"/>
          <w:u w:val="single"/>
          <w:lang w:val="en-US" w:eastAsia="zh-CN"/>
        </w:rPr>
        <w:t>关键组件）</w:t>
      </w:r>
      <w:r>
        <w:rPr>
          <w:rFonts w:hint="eastAsia" w:ascii="仿宋" w:hAnsi="仿宋" w:eastAsia="仿宋" w:cs="仿宋"/>
          <w:b w:val="0"/>
          <w:bCs w:val="0"/>
          <w:sz w:val="28"/>
          <w:szCs w:val="28"/>
          <w:lang w:val="en-US" w:eastAsia="zh-CN"/>
        </w:rPr>
        <w:t>4在中国境内生产。</w:t>
      </w:r>
      <w:r>
        <w:rPr>
          <w:rFonts w:hint="eastAsia" w:ascii="仿宋" w:hAnsi="仿宋" w:eastAsia="仿宋" w:cs="仿宋"/>
          <w:b w:val="0"/>
          <w:bCs w:val="0"/>
          <w:sz w:val="28"/>
          <w:szCs w:val="28"/>
          <w:u w:val="single"/>
          <w:lang w:val="en-US" w:eastAsia="zh-CN"/>
        </w:rPr>
        <w:t>（产品名称1）</w:t>
      </w:r>
      <w:r>
        <w:rPr>
          <w:rFonts w:hint="eastAsia" w:ascii="仿宋" w:hAnsi="仿宋" w:eastAsia="仿宋" w:cs="仿宋"/>
          <w:b w:val="0"/>
          <w:bCs w:val="0"/>
          <w:sz w:val="28"/>
          <w:szCs w:val="28"/>
          <w:lang w:val="en-US" w:eastAsia="zh-CN"/>
        </w:rPr>
        <w:t>的</w:t>
      </w:r>
      <w:r>
        <w:rPr>
          <w:rFonts w:hint="eastAsia" w:ascii="仿宋" w:hAnsi="仿宋" w:eastAsia="仿宋" w:cs="仿宋"/>
          <w:b w:val="0"/>
          <w:bCs w:val="0"/>
          <w:sz w:val="28"/>
          <w:szCs w:val="28"/>
          <w:u w:val="single"/>
          <w:lang w:val="en-US" w:eastAsia="zh-CN"/>
        </w:rPr>
        <w:t>（关键工序）</w:t>
      </w:r>
      <w:r>
        <w:rPr>
          <w:rFonts w:hint="eastAsia" w:ascii="仿宋" w:hAnsi="仿宋" w:eastAsia="仿宋" w:cs="仿宋"/>
          <w:b w:val="0"/>
          <w:bCs w:val="0"/>
          <w:sz w:val="28"/>
          <w:szCs w:val="28"/>
          <w:lang w:val="en-US" w:eastAsia="zh-CN"/>
        </w:rPr>
        <w:t>5在中国境内完成。</w:t>
      </w:r>
    </w:p>
    <w:p w14:paraId="73E163EA">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w:t>
      </w:r>
      <w:r>
        <w:rPr>
          <w:rFonts w:hint="eastAsia" w:ascii="仿宋" w:hAnsi="仿宋" w:eastAsia="仿宋" w:cs="仿宋"/>
          <w:b w:val="0"/>
          <w:bCs w:val="0"/>
          <w:sz w:val="28"/>
          <w:szCs w:val="28"/>
          <w:u w:val="single"/>
          <w:lang w:val="en-US" w:eastAsia="zh-CN"/>
        </w:rPr>
        <w:t>（产品名称2）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u w:val="single"/>
          <w:lang w:val="en-US" w:eastAsia="zh-CN"/>
        </w:rPr>
        <w:t>生产厂为（厂名）</w:t>
      </w:r>
      <w:r>
        <w:rPr>
          <w:rFonts w:hint="eastAsia" w:ascii="仿宋" w:hAnsi="仿宋" w:eastAsia="仿宋" w:cs="仿宋"/>
          <w:b w:val="0"/>
          <w:bCs w:val="0"/>
          <w:sz w:val="28"/>
          <w:szCs w:val="28"/>
          <w:lang w:val="en-US" w:eastAsia="zh-CN"/>
        </w:rPr>
        <w:t>，厂址为</w:t>
      </w:r>
      <w:r>
        <w:rPr>
          <w:rFonts w:hint="eastAsia" w:ascii="仿宋" w:hAnsi="仿宋" w:eastAsia="仿宋" w:cs="仿宋"/>
          <w:b w:val="0"/>
          <w:bCs w:val="0"/>
          <w:sz w:val="28"/>
          <w:szCs w:val="28"/>
          <w:u w:val="single"/>
          <w:lang w:val="en-US" w:eastAsia="zh-CN"/>
        </w:rPr>
        <w:t>（生产厂址）</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u w:val="single"/>
          <w:lang w:val="en-US" w:eastAsia="zh-CN"/>
        </w:rPr>
        <w:t>产品名称2）</w:t>
      </w:r>
      <w:r>
        <w:rPr>
          <w:rFonts w:hint="eastAsia" w:ascii="仿宋" w:hAnsi="仿宋" w:eastAsia="仿宋" w:cs="仿宋"/>
          <w:b w:val="0"/>
          <w:bCs w:val="0"/>
          <w:sz w:val="28"/>
          <w:szCs w:val="28"/>
          <w:lang w:val="en-US" w:eastAsia="zh-CN"/>
        </w:rPr>
        <w:t>的中国境内生产的组件成本占比≥</w:t>
      </w:r>
      <w:r>
        <w:rPr>
          <w:rFonts w:hint="eastAsia" w:ascii="仿宋" w:hAnsi="仿宋" w:eastAsia="仿宋" w:cs="仿宋"/>
          <w:b w:val="0"/>
          <w:bCs w:val="0"/>
          <w:sz w:val="28"/>
          <w:szCs w:val="28"/>
          <w:u w:val="single"/>
          <w:lang w:val="en-US" w:eastAsia="zh-CN"/>
        </w:rPr>
        <w:t>（规定比例）</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u w:val="single"/>
          <w:lang w:val="en-US" w:eastAsia="zh-CN"/>
        </w:rPr>
        <w:t>（产品名称2）</w:t>
      </w:r>
      <w:r>
        <w:rPr>
          <w:rFonts w:hint="eastAsia" w:ascii="仿宋" w:hAnsi="仿宋" w:eastAsia="仿宋" w:cs="仿宋"/>
          <w:b w:val="0"/>
          <w:bCs w:val="0"/>
          <w:sz w:val="28"/>
          <w:szCs w:val="28"/>
          <w:lang w:val="en-US" w:eastAsia="zh-CN"/>
        </w:rPr>
        <w:t>的</w:t>
      </w:r>
      <w:r>
        <w:rPr>
          <w:rFonts w:hint="eastAsia" w:ascii="仿宋" w:hAnsi="仿宋" w:eastAsia="仿宋" w:cs="仿宋"/>
          <w:b w:val="0"/>
          <w:bCs w:val="0"/>
          <w:sz w:val="28"/>
          <w:szCs w:val="28"/>
          <w:u w:val="single"/>
          <w:lang w:val="en-US" w:eastAsia="zh-CN"/>
        </w:rPr>
        <w:t>（关键组件）</w:t>
      </w:r>
      <w:r>
        <w:rPr>
          <w:rFonts w:hint="eastAsia" w:ascii="仿宋" w:hAnsi="仿宋" w:eastAsia="仿宋" w:cs="仿宋"/>
          <w:b w:val="0"/>
          <w:bCs w:val="0"/>
          <w:sz w:val="28"/>
          <w:szCs w:val="28"/>
          <w:lang w:val="en-US" w:eastAsia="zh-CN"/>
        </w:rPr>
        <w:t>在中国境内生产。（产品名称2）的（关键工序）在中国境内完成。</w:t>
      </w:r>
    </w:p>
    <w:p w14:paraId="7809BC14">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w:t>
      </w:r>
    </w:p>
    <w:p w14:paraId="349D927E">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本公司（单位）对上述声明内容的真实性负责。如有虚假，愿承担相应法律责任。</w:t>
      </w:r>
    </w:p>
    <w:p w14:paraId="66F404E3">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w:t>
      </w:r>
    </w:p>
    <w:p w14:paraId="5DAD0E82">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560" w:firstLineChars="200"/>
        <w:jc w:val="righ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公司（单位）名称（盖章）：　        </w:t>
      </w:r>
    </w:p>
    <w:p w14:paraId="4B6518C9">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560" w:firstLineChars="200"/>
        <w:jc w:val="righ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日期：　     年　  月　  日  </w:t>
      </w:r>
    </w:p>
    <w:p w14:paraId="6757BAC9">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p>
    <w:p w14:paraId="133628E3">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1.产品如有型号，请在“产品名称”栏一并填写。</w:t>
      </w:r>
    </w:p>
    <w:p w14:paraId="441B3766">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2.生产厂名与厂址应与生产厂营业执照载明的相关信息保持一致。</w:t>
      </w:r>
    </w:p>
    <w:p w14:paraId="028DE0A1">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3.该产品的中国境内生产的组件成本占比相关要求实施前，“规定比例”栏可不填，下同。</w:t>
      </w:r>
    </w:p>
    <w:p w14:paraId="060E470F">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4.该产品的关键组件要求实施前，“关键组件”栏可不填，下同。</w:t>
      </w:r>
    </w:p>
    <w:p w14:paraId="1D68029D">
      <w:pPr>
        <w:pStyle w:val="20"/>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5.该产品的关键工序要求实施前，“关键工序”栏可不填，下同。</w:t>
      </w:r>
    </w:p>
    <w:p w14:paraId="2EF4E0B8">
      <w:pPr>
        <w:ind w:left="0" w:leftChars="0" w:firstLine="0" w:firstLineChars="0"/>
        <w:rPr>
          <w:rFonts w:hint="eastAsia" w:ascii="仿宋" w:hAnsi="仿宋" w:eastAsia="仿宋" w:cs="仿宋"/>
          <w:color w:val="auto"/>
          <w:sz w:val="24"/>
          <w:szCs w:val="24"/>
          <w:lang w:val="en-US" w:eastAsia="zh-CN"/>
        </w:rPr>
      </w:pPr>
      <w:r>
        <w:rPr>
          <w:rFonts w:hint="eastAsia" w:ascii="仿宋" w:hAnsi="仿宋" w:eastAsia="仿宋" w:cs="仿宋"/>
          <w:b w:val="0"/>
          <w:bCs w:val="0"/>
          <w:sz w:val="28"/>
          <w:szCs w:val="28"/>
          <w:lang w:val="en-US" w:eastAsia="zh-CN"/>
        </w:rPr>
        <w:br w:type="page"/>
      </w:r>
    </w:p>
    <w:p w14:paraId="5FF118EE">
      <w:pPr>
        <w:rPr>
          <w:rFonts w:hint="eastAsia" w:ascii="仿宋" w:hAnsi="仿宋" w:eastAsia="仿宋" w:cs="仿宋"/>
          <w:b/>
          <w:bCs/>
          <w:color w:val="auto"/>
          <w:sz w:val="24"/>
          <w:szCs w:val="24"/>
        </w:rPr>
      </w:pPr>
      <w:r>
        <w:rPr>
          <w:rFonts w:hint="eastAsia" w:ascii="仿宋" w:hAnsi="仿宋" w:eastAsia="仿宋" w:cs="仿宋"/>
          <w:b/>
          <w:bCs/>
          <w:color w:val="auto"/>
          <w:sz w:val="24"/>
          <w:szCs w:val="24"/>
          <w:lang w:eastAsia="zh-CN"/>
        </w:rPr>
        <w:t>（十</w:t>
      </w:r>
      <w:r>
        <w:rPr>
          <w:rFonts w:hint="eastAsia" w:ascii="仿宋" w:hAnsi="仿宋" w:eastAsia="仿宋" w:cs="仿宋"/>
          <w:b/>
          <w:bCs/>
          <w:color w:val="auto"/>
          <w:sz w:val="24"/>
          <w:szCs w:val="24"/>
          <w:lang w:val="en-US" w:eastAsia="zh-CN"/>
        </w:rPr>
        <w:t>五</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rPr>
        <w:t>虚假应标承担责任声明（统一格式）</w:t>
      </w:r>
    </w:p>
    <w:p w14:paraId="518FEF0E">
      <w:pPr>
        <w:shd w:val="clear" w:color="auto" w:fill="auto"/>
        <w:ind w:right="-92" w:rightChars="-4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采购人/采购代理机构</w:t>
      </w:r>
    </w:p>
    <w:p w14:paraId="0A1E1214">
      <w:pPr>
        <w:pStyle w:val="8"/>
        <w:shd w:val="clear" w:color="auto" w:fill="auto"/>
        <w:tabs>
          <w:tab w:val="left" w:pos="9214"/>
        </w:tabs>
        <w:spacing w:before="9"/>
        <w:ind w:right="-92" w:rightChars="-44"/>
        <w:rPr>
          <w:rFonts w:hint="eastAsia" w:ascii="仿宋" w:hAnsi="仿宋" w:eastAsia="仿宋" w:cs="仿宋"/>
          <w:b/>
          <w:color w:val="auto"/>
          <w:sz w:val="24"/>
          <w:szCs w:val="24"/>
          <w:highlight w:val="none"/>
        </w:rPr>
      </w:pPr>
    </w:p>
    <w:p w14:paraId="2343EE87">
      <w:pPr>
        <w:pStyle w:val="8"/>
        <w:shd w:val="clear" w:color="auto" w:fill="auto"/>
        <w:tabs>
          <w:tab w:val="left" w:pos="9214"/>
        </w:tabs>
        <w:spacing w:before="67" w:line="360" w:lineRule="auto"/>
        <w:ind w:right="-92" w:rightChars="-44"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w:t>
      </w:r>
      <w:r>
        <w:rPr>
          <w:rFonts w:hint="eastAsia" w:ascii="仿宋" w:hAnsi="仿宋" w:eastAsia="仿宋" w:cs="仿宋"/>
          <w:color w:val="auto"/>
          <w:spacing w:val="-7"/>
          <w:sz w:val="24"/>
          <w:szCs w:val="24"/>
          <w:highlight w:val="none"/>
        </w:rPr>
        <w:t>承诺：</w:t>
      </w:r>
      <w:r>
        <w:rPr>
          <w:rFonts w:hint="eastAsia" w:ascii="仿宋" w:hAnsi="仿宋" w:eastAsia="仿宋" w:cs="仿宋"/>
          <w:color w:val="auto"/>
          <w:spacing w:val="-3"/>
          <w:sz w:val="24"/>
          <w:szCs w:val="24"/>
          <w:highlight w:val="none"/>
        </w:rPr>
        <w:t>所提供的投标文件</w:t>
      </w:r>
      <w:r>
        <w:rPr>
          <w:rFonts w:hint="eastAsia" w:ascii="仿宋" w:hAnsi="仿宋" w:eastAsia="仿宋" w:cs="仿宋"/>
          <w:color w:val="auto"/>
          <w:sz w:val="24"/>
          <w:szCs w:val="24"/>
          <w:highlight w:val="none"/>
        </w:rPr>
        <w:t>（</w:t>
      </w:r>
      <w:r>
        <w:rPr>
          <w:rFonts w:hint="eastAsia" w:ascii="仿宋" w:hAnsi="仿宋" w:eastAsia="仿宋" w:cs="仿宋"/>
          <w:color w:val="auto"/>
          <w:spacing w:val="-5"/>
          <w:sz w:val="24"/>
          <w:szCs w:val="24"/>
          <w:highlight w:val="none"/>
        </w:rPr>
        <w:t>包括一切技术资料、技术承诺、商务承诺等</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12"/>
          <w:sz w:val="24"/>
          <w:szCs w:val="24"/>
          <w:highlight w:val="none"/>
        </w:rPr>
        <w:t>均</w:t>
      </w:r>
      <w:r>
        <w:rPr>
          <w:rFonts w:hint="eastAsia" w:ascii="仿宋" w:hAnsi="仿宋" w:eastAsia="仿宋" w:cs="仿宋"/>
          <w:color w:val="auto"/>
          <w:spacing w:val="-6"/>
          <w:sz w:val="24"/>
          <w:szCs w:val="24"/>
          <w:highlight w:val="none"/>
        </w:rPr>
        <w:t>真实有效，若在项目招标过程中</w:t>
      </w:r>
      <w:r>
        <w:rPr>
          <w:rFonts w:hint="eastAsia" w:ascii="仿宋" w:hAnsi="仿宋" w:eastAsia="仿宋" w:cs="仿宋"/>
          <w:color w:val="auto"/>
          <w:sz w:val="24"/>
          <w:szCs w:val="24"/>
          <w:highlight w:val="none"/>
        </w:rPr>
        <w:t>（</w:t>
      </w:r>
      <w:r>
        <w:rPr>
          <w:rFonts w:hint="eastAsia" w:ascii="仿宋" w:hAnsi="仿宋" w:eastAsia="仿宋" w:cs="仿宋"/>
          <w:color w:val="auto"/>
          <w:spacing w:val="-6"/>
          <w:sz w:val="24"/>
          <w:szCs w:val="24"/>
          <w:highlight w:val="none"/>
        </w:rPr>
        <w:t>包括开评审、中标公示过程</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2"/>
          <w:sz w:val="24"/>
          <w:szCs w:val="24"/>
          <w:highlight w:val="none"/>
        </w:rPr>
        <w:t>及履行合同期间</w:t>
      </w:r>
      <w:r>
        <w:rPr>
          <w:rFonts w:hint="eastAsia" w:ascii="仿宋" w:hAnsi="仿宋" w:eastAsia="仿宋" w:cs="仿宋"/>
          <w:color w:val="auto"/>
          <w:sz w:val="24"/>
          <w:szCs w:val="24"/>
          <w:highlight w:val="none"/>
        </w:rPr>
        <w:t>（包括验收过程</w:t>
      </w:r>
      <w:r>
        <w:rPr>
          <w:rFonts w:hint="eastAsia" w:ascii="仿宋" w:hAnsi="仿宋" w:eastAsia="仿宋" w:cs="仿宋"/>
          <w:color w:val="auto"/>
          <w:spacing w:val="-15"/>
          <w:sz w:val="24"/>
          <w:szCs w:val="24"/>
          <w:highlight w:val="none"/>
        </w:rPr>
        <w:t>）</w:t>
      </w:r>
      <w:r>
        <w:rPr>
          <w:rFonts w:hint="eastAsia" w:ascii="仿宋" w:hAnsi="仿宋" w:eastAsia="仿宋" w:cs="仿宋"/>
          <w:color w:val="auto"/>
          <w:spacing w:val="-2"/>
          <w:sz w:val="24"/>
          <w:szCs w:val="24"/>
          <w:highlight w:val="none"/>
        </w:rPr>
        <w:t>发现我公司提供的货物</w:t>
      </w:r>
      <w:r>
        <w:rPr>
          <w:rFonts w:hint="eastAsia" w:ascii="仿宋" w:hAnsi="仿宋" w:eastAsia="仿宋" w:cs="仿宋"/>
          <w:color w:val="auto"/>
          <w:sz w:val="24"/>
          <w:szCs w:val="24"/>
          <w:highlight w:val="none"/>
        </w:rPr>
        <w:t>（或产品</w:t>
      </w:r>
      <w:r>
        <w:rPr>
          <w:rFonts w:hint="eastAsia" w:ascii="仿宋" w:hAnsi="仿宋" w:eastAsia="仿宋" w:cs="仿宋"/>
          <w:color w:val="auto"/>
          <w:spacing w:val="-15"/>
          <w:sz w:val="24"/>
          <w:szCs w:val="24"/>
          <w:highlight w:val="none"/>
        </w:rPr>
        <w:t>）</w:t>
      </w:r>
      <w:r>
        <w:rPr>
          <w:rFonts w:hint="eastAsia" w:ascii="仿宋" w:hAnsi="仿宋" w:eastAsia="仿宋" w:cs="仿宋"/>
          <w:color w:val="auto"/>
          <w:spacing w:val="-5"/>
          <w:sz w:val="24"/>
          <w:szCs w:val="24"/>
          <w:highlight w:val="none"/>
        </w:rPr>
        <w:t>与投标</w:t>
      </w:r>
      <w:r>
        <w:rPr>
          <w:rFonts w:hint="eastAsia" w:ascii="仿宋" w:hAnsi="仿宋" w:eastAsia="仿宋" w:cs="仿宋"/>
          <w:color w:val="auto"/>
          <w:sz w:val="24"/>
          <w:szCs w:val="24"/>
          <w:highlight w:val="none"/>
        </w:rPr>
        <w:t>文件</w:t>
      </w:r>
      <w:r>
        <w:rPr>
          <w:rFonts w:hint="eastAsia" w:ascii="仿宋" w:hAnsi="仿宋" w:eastAsia="仿宋" w:cs="仿宋"/>
          <w:color w:val="auto"/>
          <w:spacing w:val="-6"/>
          <w:sz w:val="24"/>
          <w:szCs w:val="24"/>
          <w:highlight w:val="none"/>
        </w:rPr>
        <w:t>不一致，或发现我</w:t>
      </w:r>
      <w:r>
        <w:rPr>
          <w:rFonts w:hint="eastAsia" w:ascii="仿宋" w:hAnsi="仿宋" w:eastAsia="仿宋" w:cs="仿宋"/>
          <w:color w:val="auto"/>
          <w:sz w:val="24"/>
          <w:szCs w:val="24"/>
          <w:highlight w:val="none"/>
        </w:rPr>
        <w:t>公司提供了不真实的投标文件（虚假材料</w:t>
      </w:r>
      <w:r>
        <w:rPr>
          <w:rFonts w:hint="eastAsia" w:ascii="仿宋" w:hAnsi="仿宋" w:eastAsia="仿宋" w:cs="仿宋"/>
          <w:color w:val="auto"/>
          <w:spacing w:val="-120"/>
          <w:sz w:val="24"/>
          <w:szCs w:val="24"/>
          <w:highlight w:val="none"/>
        </w:rPr>
        <w:t>））</w:t>
      </w:r>
      <w:r>
        <w:rPr>
          <w:rFonts w:hint="eastAsia" w:ascii="仿宋" w:hAnsi="仿宋" w:eastAsia="仿宋" w:cs="仿宋"/>
          <w:color w:val="auto"/>
          <w:sz w:val="24"/>
          <w:szCs w:val="24"/>
          <w:highlight w:val="none"/>
        </w:rPr>
        <w:t>），我公司愿意承担一切法律责任并认可采购人或采购代理机构作出的取消中标资格、罚没保证金等决定。</w:t>
      </w:r>
    </w:p>
    <w:p w14:paraId="48B8888E">
      <w:pPr>
        <w:pStyle w:val="8"/>
        <w:shd w:val="clear" w:color="auto" w:fill="auto"/>
        <w:tabs>
          <w:tab w:val="left" w:pos="9214"/>
        </w:tabs>
        <w:spacing w:line="360" w:lineRule="auto"/>
        <w:ind w:right="-92" w:rightChars="-4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特此声明。</w:t>
      </w:r>
    </w:p>
    <w:p w14:paraId="39E41451">
      <w:pPr>
        <w:pStyle w:val="8"/>
        <w:shd w:val="clear" w:color="auto" w:fill="auto"/>
        <w:tabs>
          <w:tab w:val="left" w:pos="9214"/>
        </w:tabs>
        <w:spacing w:line="360" w:lineRule="auto"/>
        <w:ind w:right="-92" w:rightChars="-44"/>
        <w:rPr>
          <w:rFonts w:hint="eastAsia" w:ascii="仿宋" w:hAnsi="仿宋" w:eastAsia="仿宋" w:cs="仿宋"/>
          <w:color w:val="auto"/>
          <w:sz w:val="24"/>
          <w:szCs w:val="24"/>
          <w:highlight w:val="none"/>
        </w:rPr>
      </w:pPr>
    </w:p>
    <w:p w14:paraId="11912011">
      <w:pPr>
        <w:pStyle w:val="8"/>
        <w:shd w:val="clear" w:color="auto" w:fill="auto"/>
        <w:tabs>
          <w:tab w:val="left" w:pos="9214"/>
        </w:tabs>
        <w:ind w:right="-92" w:rightChars="-44"/>
        <w:rPr>
          <w:rFonts w:hint="eastAsia" w:ascii="仿宋" w:hAnsi="仿宋" w:eastAsia="仿宋" w:cs="仿宋"/>
          <w:color w:val="auto"/>
          <w:sz w:val="24"/>
          <w:szCs w:val="24"/>
          <w:highlight w:val="none"/>
        </w:rPr>
      </w:pPr>
    </w:p>
    <w:p w14:paraId="6E05331B">
      <w:pPr>
        <w:pStyle w:val="8"/>
        <w:shd w:val="clear" w:color="auto" w:fill="auto"/>
        <w:tabs>
          <w:tab w:val="left" w:pos="9214"/>
        </w:tabs>
        <w:ind w:right="-92" w:rightChars="-44"/>
        <w:rPr>
          <w:rFonts w:hint="eastAsia" w:ascii="仿宋" w:hAnsi="仿宋" w:eastAsia="仿宋" w:cs="仿宋"/>
          <w:color w:val="auto"/>
          <w:sz w:val="24"/>
          <w:szCs w:val="24"/>
          <w:highlight w:val="none"/>
        </w:rPr>
      </w:pPr>
    </w:p>
    <w:p w14:paraId="3DFD6DCF">
      <w:pPr>
        <w:pStyle w:val="8"/>
        <w:shd w:val="clear" w:color="auto" w:fill="auto"/>
        <w:tabs>
          <w:tab w:val="left" w:pos="4736"/>
          <w:tab w:val="left" w:pos="9214"/>
        </w:tabs>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投标人名称（盖章）：</w:t>
      </w:r>
      <w:r>
        <w:rPr>
          <w:rFonts w:hint="eastAsia" w:ascii="仿宋" w:hAnsi="仿宋" w:eastAsia="仿宋" w:cs="仿宋"/>
          <w:color w:val="auto"/>
          <w:sz w:val="24"/>
          <w:szCs w:val="24"/>
          <w:highlight w:val="none"/>
          <w:u w:val="single"/>
        </w:rPr>
        <w:tab/>
      </w:r>
    </w:p>
    <w:p w14:paraId="4B2FC97A">
      <w:pPr>
        <w:pStyle w:val="8"/>
        <w:shd w:val="clear" w:color="auto" w:fill="auto"/>
        <w:tabs>
          <w:tab w:val="left" w:pos="5521"/>
          <w:tab w:val="left" w:pos="6366"/>
          <w:tab w:val="left" w:pos="9062"/>
          <w:tab w:val="left" w:pos="9214"/>
        </w:tabs>
        <w:spacing w:line="360" w:lineRule="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投标人授权代表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签字或签章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ab/>
      </w:r>
    </w:p>
    <w:p w14:paraId="29DD713E">
      <w:pPr>
        <w:rPr>
          <w:rFonts w:hint="eastAsia" w:ascii="仿宋" w:hAnsi="仿宋" w:eastAsia="仿宋" w:cs="仿宋"/>
          <w:b/>
          <w:bCs/>
          <w:color w:val="auto"/>
          <w:sz w:val="24"/>
          <w:szCs w:val="24"/>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ab/>
      </w:r>
    </w:p>
    <w:p w14:paraId="3241B4D7">
      <w:pPr>
        <w:rPr>
          <w:rFonts w:hint="eastAsia" w:ascii="仿宋" w:hAnsi="仿宋" w:eastAsia="仿宋" w:cs="仿宋"/>
          <w:b/>
          <w:bCs/>
          <w:color w:val="auto"/>
          <w:sz w:val="24"/>
          <w:szCs w:val="24"/>
        </w:rPr>
      </w:pPr>
    </w:p>
    <w:p w14:paraId="29338D72">
      <w:pPr>
        <w:pStyle w:val="45"/>
        <w:rPr>
          <w:rFonts w:hint="eastAsia" w:ascii="仿宋" w:hAnsi="仿宋" w:eastAsia="仿宋" w:cs="仿宋"/>
          <w:b/>
          <w:bCs/>
          <w:color w:val="auto"/>
          <w:sz w:val="24"/>
          <w:szCs w:val="24"/>
        </w:rPr>
      </w:pPr>
    </w:p>
    <w:p w14:paraId="73842FA9">
      <w:pPr>
        <w:rPr>
          <w:rFonts w:hint="eastAsia" w:ascii="仿宋" w:hAnsi="仿宋" w:eastAsia="仿宋" w:cs="仿宋"/>
          <w:b/>
          <w:bCs/>
          <w:color w:val="auto"/>
          <w:sz w:val="24"/>
          <w:szCs w:val="24"/>
        </w:rPr>
      </w:pPr>
    </w:p>
    <w:p w14:paraId="298ABCFF">
      <w:pPr>
        <w:pStyle w:val="45"/>
        <w:rPr>
          <w:rFonts w:hint="eastAsia" w:ascii="仿宋" w:hAnsi="仿宋" w:eastAsia="仿宋" w:cs="仿宋"/>
          <w:b/>
          <w:bCs/>
          <w:color w:val="auto"/>
          <w:sz w:val="24"/>
          <w:szCs w:val="24"/>
        </w:rPr>
      </w:pPr>
    </w:p>
    <w:p w14:paraId="610E62F1">
      <w:pPr>
        <w:rPr>
          <w:rFonts w:hint="eastAsia" w:ascii="仿宋" w:hAnsi="仿宋" w:eastAsia="仿宋" w:cs="仿宋"/>
          <w:b/>
          <w:bCs/>
          <w:color w:val="auto"/>
          <w:sz w:val="24"/>
          <w:szCs w:val="24"/>
        </w:rPr>
      </w:pPr>
    </w:p>
    <w:p w14:paraId="61FE58D4">
      <w:pPr>
        <w:pStyle w:val="45"/>
        <w:rPr>
          <w:rFonts w:hint="eastAsia" w:ascii="仿宋" w:hAnsi="仿宋" w:eastAsia="仿宋" w:cs="仿宋"/>
          <w:b/>
          <w:bCs/>
          <w:color w:val="auto"/>
          <w:sz w:val="24"/>
          <w:szCs w:val="24"/>
        </w:rPr>
      </w:pPr>
    </w:p>
    <w:p w14:paraId="254DA2A6">
      <w:pPr>
        <w:rPr>
          <w:rFonts w:hint="eastAsia" w:ascii="仿宋" w:hAnsi="仿宋" w:eastAsia="仿宋" w:cs="仿宋"/>
          <w:b/>
          <w:bCs/>
          <w:color w:val="auto"/>
          <w:sz w:val="24"/>
          <w:szCs w:val="24"/>
        </w:rPr>
      </w:pPr>
    </w:p>
    <w:p w14:paraId="26A6111E">
      <w:pPr>
        <w:pStyle w:val="45"/>
        <w:rPr>
          <w:rFonts w:hint="eastAsia" w:ascii="仿宋" w:hAnsi="仿宋" w:eastAsia="仿宋" w:cs="仿宋"/>
          <w:b/>
          <w:bCs/>
          <w:color w:val="auto"/>
          <w:sz w:val="24"/>
          <w:szCs w:val="24"/>
        </w:rPr>
      </w:pPr>
    </w:p>
    <w:p w14:paraId="66443904">
      <w:pPr>
        <w:pStyle w:val="45"/>
        <w:rPr>
          <w:rFonts w:hint="eastAsia" w:ascii="仿宋" w:hAnsi="仿宋" w:eastAsia="仿宋" w:cs="仿宋"/>
          <w:b/>
          <w:bCs/>
          <w:color w:val="auto"/>
          <w:sz w:val="24"/>
          <w:szCs w:val="24"/>
        </w:rPr>
      </w:pPr>
    </w:p>
    <w:p w14:paraId="52B4D919">
      <w:pPr>
        <w:pStyle w:val="45"/>
        <w:rPr>
          <w:rFonts w:hint="eastAsia" w:ascii="仿宋" w:hAnsi="仿宋" w:eastAsia="仿宋" w:cs="仿宋"/>
          <w:b/>
          <w:bCs/>
          <w:color w:val="auto"/>
          <w:sz w:val="24"/>
          <w:szCs w:val="24"/>
        </w:rPr>
      </w:pPr>
    </w:p>
    <w:p w14:paraId="5708FD15">
      <w:pPr>
        <w:pStyle w:val="45"/>
        <w:rPr>
          <w:rFonts w:hint="eastAsia" w:ascii="仿宋" w:hAnsi="仿宋" w:eastAsia="仿宋" w:cs="仿宋"/>
          <w:b/>
          <w:bCs/>
          <w:color w:val="auto"/>
          <w:sz w:val="24"/>
          <w:szCs w:val="24"/>
        </w:rPr>
      </w:pPr>
    </w:p>
    <w:p w14:paraId="07C82420">
      <w:pPr>
        <w:pStyle w:val="45"/>
        <w:rPr>
          <w:rFonts w:hint="eastAsia" w:ascii="仿宋" w:hAnsi="仿宋" w:eastAsia="仿宋" w:cs="仿宋"/>
          <w:b/>
          <w:bCs/>
          <w:color w:val="auto"/>
          <w:sz w:val="24"/>
          <w:szCs w:val="24"/>
        </w:rPr>
      </w:pPr>
    </w:p>
    <w:p w14:paraId="5BAB72AD">
      <w:pPr>
        <w:pStyle w:val="45"/>
        <w:rPr>
          <w:rFonts w:hint="eastAsia" w:ascii="仿宋" w:hAnsi="仿宋" w:eastAsia="仿宋" w:cs="仿宋"/>
          <w:b/>
          <w:bCs/>
          <w:color w:val="auto"/>
          <w:sz w:val="24"/>
          <w:szCs w:val="24"/>
        </w:rPr>
      </w:pPr>
    </w:p>
    <w:p w14:paraId="1FF2C8AD">
      <w:pPr>
        <w:pStyle w:val="45"/>
        <w:rPr>
          <w:rFonts w:hint="eastAsia" w:ascii="仿宋" w:hAnsi="仿宋" w:eastAsia="仿宋" w:cs="仿宋"/>
          <w:b/>
          <w:bCs/>
          <w:color w:val="auto"/>
          <w:sz w:val="24"/>
          <w:szCs w:val="24"/>
        </w:rPr>
      </w:pPr>
    </w:p>
    <w:p w14:paraId="46A43632">
      <w:pPr>
        <w:numPr>
          <w:ilvl w:val="0"/>
          <w:numId w:val="0"/>
        </w:numPr>
        <w:ind w:left="120" w:leftChars="0" w:right="62" w:rightChars="0" w:hanging="120" w:hangingChars="50"/>
        <w:rPr>
          <w:rFonts w:hint="eastAsia" w:ascii="仿宋" w:hAnsi="仿宋" w:eastAsia="仿宋" w:cs="仿宋"/>
          <w:b/>
          <w:bCs/>
          <w:color w:val="auto"/>
          <w:sz w:val="24"/>
          <w:szCs w:val="24"/>
        </w:rPr>
      </w:pPr>
      <w:r>
        <w:rPr>
          <w:rFonts w:hint="eastAsia" w:ascii="仿宋" w:hAnsi="仿宋" w:eastAsia="仿宋" w:cs="仿宋"/>
          <w:b/>
          <w:bCs/>
          <w:color w:val="auto"/>
          <w:kern w:val="2"/>
          <w:sz w:val="24"/>
          <w:szCs w:val="24"/>
          <w:lang w:val="en-US" w:eastAsia="zh-CN" w:bidi="ar-SA"/>
        </w:rPr>
        <w:t>（十六）、</w:t>
      </w:r>
      <w:r>
        <w:rPr>
          <w:rFonts w:hint="eastAsia" w:ascii="仿宋" w:hAnsi="仿宋" w:eastAsia="仿宋" w:cs="仿宋"/>
          <w:b/>
          <w:bCs/>
          <w:color w:val="auto"/>
          <w:sz w:val="24"/>
          <w:szCs w:val="24"/>
        </w:rPr>
        <w:t>关于对本投标文件中资料真实性的承诺书</w:t>
      </w:r>
    </w:p>
    <w:p w14:paraId="720DFE4B">
      <w:pPr>
        <w:shd w:val="clear" w:color="auto" w:fill="auto"/>
        <w:jc w:val="center"/>
        <w:rPr>
          <w:rFonts w:hint="eastAsia" w:ascii="仿宋" w:hAnsi="仿宋" w:eastAsia="仿宋" w:cs="仿宋"/>
          <w:b/>
          <w:color w:val="auto"/>
          <w:kern w:val="0"/>
          <w:sz w:val="24"/>
          <w:szCs w:val="24"/>
          <w:highlight w:val="none"/>
        </w:rPr>
      </w:pPr>
    </w:p>
    <w:p w14:paraId="79304E5F">
      <w:pPr>
        <w:shd w:val="clear" w:color="auto" w:fill="auto"/>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关于对本投标文件中资料真实性的承诺</w:t>
      </w:r>
    </w:p>
    <w:p w14:paraId="079FFE96">
      <w:pPr>
        <w:shd w:val="clear" w:color="auto" w:fill="auto"/>
        <w:rPr>
          <w:rFonts w:hint="eastAsia" w:ascii="仿宋" w:hAnsi="仿宋" w:eastAsia="仿宋" w:cs="仿宋"/>
          <w:b/>
          <w:color w:val="auto"/>
          <w:kern w:val="0"/>
          <w:sz w:val="24"/>
          <w:szCs w:val="24"/>
          <w:highlight w:val="none"/>
        </w:rPr>
      </w:pPr>
    </w:p>
    <w:p w14:paraId="7E93695B">
      <w:pPr>
        <w:shd w:val="clear" w:color="auto" w:fill="auto"/>
        <w:spacing w:line="360" w:lineRule="auto"/>
        <w:rPr>
          <w:rFonts w:hint="eastAsia" w:ascii="仿宋" w:hAnsi="仿宋" w:eastAsia="仿宋" w:cs="仿宋"/>
          <w:b/>
          <w:color w:val="auto"/>
          <w:kern w:val="0"/>
          <w:sz w:val="24"/>
          <w:szCs w:val="24"/>
          <w:highlight w:val="none"/>
          <w:u w:val="single"/>
          <w:lang w:eastAsia="zh-CN"/>
        </w:rPr>
      </w:pPr>
      <w:r>
        <w:rPr>
          <w:rFonts w:hint="eastAsia" w:ascii="仿宋" w:hAnsi="仿宋" w:eastAsia="仿宋" w:cs="仿宋"/>
          <w:b/>
          <w:color w:val="auto"/>
          <w:kern w:val="0"/>
          <w:sz w:val="24"/>
          <w:szCs w:val="24"/>
          <w:highlight w:val="none"/>
          <w:lang w:val="en-US" w:eastAsia="zh-CN"/>
        </w:rPr>
        <w:t>致</w:t>
      </w:r>
      <w:r>
        <w:rPr>
          <w:rFonts w:hint="eastAsia" w:ascii="仿宋" w:hAnsi="仿宋" w:eastAsia="仿宋" w:cs="仿宋"/>
          <w:b/>
          <w:color w:val="auto"/>
          <w:kern w:val="0"/>
          <w:sz w:val="24"/>
          <w:szCs w:val="24"/>
          <w:highlight w:val="none"/>
        </w:rPr>
        <w:t>：</w:t>
      </w:r>
      <w:r>
        <w:rPr>
          <w:rFonts w:hint="eastAsia" w:ascii="仿宋" w:hAnsi="仿宋" w:eastAsia="仿宋" w:cs="仿宋"/>
          <w:b/>
          <w:color w:val="auto"/>
          <w:kern w:val="0"/>
          <w:sz w:val="24"/>
          <w:szCs w:val="24"/>
          <w:highlight w:val="none"/>
          <w:u w:val="single"/>
        </w:rPr>
        <w:t>（项目名称）评标委员会</w:t>
      </w:r>
    </w:p>
    <w:p w14:paraId="0197CCD7">
      <w:pPr>
        <w:shd w:val="clear" w:color="auto" w:fill="auto"/>
        <w:spacing w:line="360" w:lineRule="auto"/>
        <w:ind w:firstLine="720" w:firstLineChars="3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根据《中华人民共和国政府采购法</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中华人民共和国政府采购法实施条例》等有关</w:t>
      </w:r>
      <w:r>
        <w:rPr>
          <w:rFonts w:hint="eastAsia" w:ascii="仿宋" w:hAnsi="仿宋" w:eastAsia="仿宋" w:cs="仿宋"/>
          <w:color w:val="auto"/>
          <w:kern w:val="0"/>
          <w:sz w:val="24"/>
          <w:szCs w:val="24"/>
          <w:highlight w:val="none"/>
          <w:lang w:eastAsia="zh-CN"/>
        </w:rPr>
        <w:t>法律法规</w:t>
      </w:r>
      <w:r>
        <w:rPr>
          <w:rFonts w:hint="eastAsia" w:ascii="仿宋" w:hAnsi="仿宋" w:eastAsia="仿宋" w:cs="仿宋"/>
          <w:color w:val="auto"/>
          <w:kern w:val="0"/>
          <w:sz w:val="24"/>
          <w:szCs w:val="24"/>
          <w:highlight w:val="none"/>
        </w:rPr>
        <w:t>的规定和</w:t>
      </w:r>
      <w:r>
        <w:rPr>
          <w:rFonts w:hint="eastAsia" w:ascii="仿宋" w:hAnsi="仿宋" w:eastAsia="仿宋" w:cs="仿宋"/>
          <w:color w:val="auto"/>
          <w:kern w:val="0"/>
          <w:sz w:val="24"/>
          <w:szCs w:val="24"/>
          <w:highlight w:val="none"/>
          <w:u w:val="single"/>
        </w:rPr>
        <w:t>  （项目名称）  </w:t>
      </w:r>
      <w:r>
        <w:rPr>
          <w:rFonts w:hint="eastAsia" w:ascii="仿宋" w:hAnsi="仿宋" w:eastAsia="仿宋" w:cs="仿宋"/>
          <w:color w:val="auto"/>
          <w:kern w:val="0"/>
          <w:sz w:val="24"/>
          <w:szCs w:val="24"/>
          <w:highlight w:val="none"/>
        </w:rPr>
        <w:t>的招标文件的要求，我公司在</w:t>
      </w:r>
      <w:r>
        <w:rPr>
          <w:rFonts w:hint="eastAsia" w:ascii="仿宋" w:hAnsi="仿宋" w:eastAsia="仿宋" w:cs="仿宋"/>
          <w:color w:val="auto"/>
          <w:kern w:val="0"/>
          <w:sz w:val="24"/>
          <w:szCs w:val="24"/>
          <w:highlight w:val="none"/>
          <w:u w:val="single"/>
        </w:rPr>
        <w:t>  （项目名称）  </w:t>
      </w:r>
      <w:r>
        <w:rPr>
          <w:rFonts w:hint="eastAsia" w:ascii="仿宋" w:hAnsi="仿宋" w:eastAsia="仿宋" w:cs="仿宋"/>
          <w:color w:val="auto"/>
          <w:kern w:val="0"/>
          <w:sz w:val="24"/>
          <w:szCs w:val="24"/>
          <w:highlight w:val="none"/>
        </w:rPr>
        <w:t>投标文件中所提供资料真实性</w:t>
      </w:r>
      <w:r>
        <w:rPr>
          <w:rFonts w:hint="eastAsia" w:ascii="仿宋" w:hAnsi="仿宋" w:eastAsia="仿宋" w:cs="仿宋"/>
          <w:color w:val="auto"/>
          <w:kern w:val="0"/>
          <w:sz w:val="24"/>
          <w:szCs w:val="24"/>
          <w:highlight w:val="none"/>
          <w:lang w:eastAsia="zh-CN"/>
        </w:rPr>
        <w:t>作出</w:t>
      </w:r>
      <w:r>
        <w:rPr>
          <w:rFonts w:hint="eastAsia" w:ascii="仿宋" w:hAnsi="仿宋" w:eastAsia="仿宋" w:cs="仿宋"/>
          <w:color w:val="auto"/>
          <w:kern w:val="0"/>
          <w:sz w:val="24"/>
          <w:szCs w:val="24"/>
          <w:highlight w:val="none"/>
        </w:rPr>
        <w:t>如下承诺：</w:t>
      </w:r>
    </w:p>
    <w:p w14:paraId="211D7369">
      <w:pPr>
        <w:shd w:val="clear" w:color="auto" w:fill="auto"/>
        <w:spacing w:line="360" w:lineRule="auto"/>
        <w:ind w:firstLine="720" w:firstLineChars="300"/>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我公司将严格按招标文件要求，在编制本投标文件时，对投标文件中所提供的资料全部真实和正确，并对提供的所有资料（资格、业绩、其他材料等）的真实性负责！</w:t>
      </w:r>
    </w:p>
    <w:p w14:paraId="43284529">
      <w:pPr>
        <w:shd w:val="clear" w:color="auto" w:fill="auto"/>
        <w:spacing w:line="360" w:lineRule="auto"/>
        <w:ind w:firstLine="720" w:firstLineChars="3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对提供的全部资料</w:t>
      </w:r>
      <w:r>
        <w:rPr>
          <w:rFonts w:hint="eastAsia" w:ascii="仿宋" w:hAnsi="仿宋" w:eastAsia="仿宋" w:cs="仿宋"/>
          <w:color w:val="auto"/>
          <w:kern w:val="0"/>
          <w:sz w:val="24"/>
          <w:szCs w:val="24"/>
          <w:highlight w:val="none"/>
          <w:lang w:eastAsia="zh-CN"/>
        </w:rPr>
        <w:t>中</w:t>
      </w:r>
      <w:r>
        <w:rPr>
          <w:rFonts w:hint="eastAsia" w:ascii="仿宋" w:hAnsi="仿宋" w:eastAsia="仿宋" w:cs="仿宋"/>
          <w:color w:val="auto"/>
          <w:kern w:val="0"/>
          <w:sz w:val="24"/>
          <w:szCs w:val="24"/>
          <w:highlight w:val="none"/>
        </w:rPr>
        <w:t>存在不真实（伪造或租借等虚假资料）情形，将无条件接受任何处罚，自行承担由此引起的一切责任！</w:t>
      </w:r>
    </w:p>
    <w:p w14:paraId="0FA4323E">
      <w:pPr>
        <w:shd w:val="clear" w:color="auto" w:fill="auto"/>
        <w:spacing w:line="360" w:lineRule="auto"/>
        <w:ind w:firstLine="723" w:firstLineChars="300"/>
        <w:rPr>
          <w:rFonts w:hint="eastAsia" w:ascii="仿宋" w:hAnsi="仿宋" w:eastAsia="仿宋" w:cs="仿宋"/>
          <w:b/>
          <w:color w:val="auto"/>
          <w:kern w:val="0"/>
          <w:sz w:val="24"/>
          <w:szCs w:val="24"/>
          <w:highlight w:val="none"/>
        </w:rPr>
      </w:pPr>
    </w:p>
    <w:p w14:paraId="3D4DC439">
      <w:pPr>
        <w:shd w:val="clear" w:color="auto" w:fill="auto"/>
        <w:spacing w:line="360" w:lineRule="auto"/>
        <w:ind w:firstLine="723" w:firstLineChars="300"/>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特此承诺</w:t>
      </w:r>
    </w:p>
    <w:p w14:paraId="18EDAEC3">
      <w:pPr>
        <w:shd w:val="clear" w:color="auto" w:fill="auto"/>
        <w:spacing w:line="360" w:lineRule="auto"/>
        <w:ind w:firstLine="723" w:firstLineChars="300"/>
        <w:rPr>
          <w:rFonts w:hint="eastAsia" w:ascii="仿宋" w:hAnsi="仿宋" w:eastAsia="仿宋" w:cs="仿宋"/>
          <w:b/>
          <w:color w:val="auto"/>
          <w:kern w:val="0"/>
          <w:sz w:val="24"/>
          <w:szCs w:val="24"/>
          <w:highlight w:val="none"/>
        </w:rPr>
      </w:pPr>
    </w:p>
    <w:p w14:paraId="23F78862">
      <w:pPr>
        <w:shd w:val="clear" w:color="auto" w:fill="auto"/>
        <w:spacing w:line="360" w:lineRule="auto"/>
        <w:jc w:val="righ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供应商（全称）：（盖单位章）</w:t>
      </w:r>
    </w:p>
    <w:p w14:paraId="78AE62B6">
      <w:pPr>
        <w:shd w:val="clear" w:color="auto" w:fill="auto"/>
        <w:spacing w:line="360" w:lineRule="auto"/>
        <w:jc w:val="righ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法定代表人：（签字）</w:t>
      </w:r>
    </w:p>
    <w:p w14:paraId="4E1E4240">
      <w:pPr>
        <w:shd w:val="clear" w:color="auto" w:fill="auto"/>
        <w:spacing w:line="360" w:lineRule="auto"/>
        <w:jc w:val="righ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有效的联系方式：（手机号）</w:t>
      </w:r>
    </w:p>
    <w:p w14:paraId="2082E542">
      <w:pPr>
        <w:shd w:val="clear" w:color="auto" w:fill="auto"/>
        <w:spacing w:line="360" w:lineRule="auto"/>
        <w:rPr>
          <w:rFonts w:hint="eastAsia" w:ascii="仿宋" w:hAnsi="仿宋" w:eastAsia="仿宋" w:cs="仿宋"/>
          <w:b/>
          <w:color w:val="auto"/>
          <w:kern w:val="0"/>
          <w:sz w:val="24"/>
          <w:szCs w:val="24"/>
          <w:highlight w:val="none"/>
        </w:rPr>
      </w:pPr>
    </w:p>
    <w:p w14:paraId="7E9A35E2">
      <w:pPr>
        <w:shd w:val="clear" w:color="auto" w:fill="auto"/>
        <w:spacing w:line="360" w:lineRule="auto"/>
        <w:rPr>
          <w:rFonts w:hint="eastAsia" w:ascii="仿宋" w:hAnsi="仿宋" w:eastAsia="仿宋" w:cs="仿宋"/>
          <w:b/>
          <w:color w:val="auto"/>
          <w:kern w:val="0"/>
          <w:sz w:val="24"/>
          <w:szCs w:val="24"/>
          <w:highlight w:val="none"/>
        </w:rPr>
      </w:pPr>
    </w:p>
    <w:p w14:paraId="134D3EDF">
      <w:pPr>
        <w:shd w:val="clear" w:color="auto" w:fill="auto"/>
        <w:spacing w:line="360" w:lineRule="auto"/>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lang w:val="en-US" w:eastAsia="zh-CN"/>
        </w:rPr>
        <w:t xml:space="preserve">                                 </w:t>
      </w:r>
      <w:r>
        <w:rPr>
          <w:rFonts w:hint="eastAsia" w:ascii="仿宋" w:hAnsi="仿宋" w:eastAsia="仿宋" w:cs="仿宋"/>
          <w:b/>
          <w:color w:val="auto"/>
          <w:kern w:val="0"/>
          <w:sz w:val="24"/>
          <w:szCs w:val="24"/>
          <w:highlight w:val="none"/>
        </w:rPr>
        <w:t>年月日</w:t>
      </w:r>
    </w:p>
    <w:p w14:paraId="58B1ED7B">
      <w:pPr>
        <w:shd w:val="clear" w:color="auto" w:fill="auto"/>
        <w:spacing w:line="360" w:lineRule="auto"/>
        <w:rPr>
          <w:rFonts w:hint="eastAsia" w:ascii="仿宋" w:hAnsi="仿宋" w:eastAsia="仿宋" w:cs="仿宋"/>
          <w:b/>
          <w:color w:val="auto"/>
          <w:kern w:val="0"/>
          <w:sz w:val="24"/>
          <w:szCs w:val="24"/>
          <w:highlight w:val="none"/>
        </w:rPr>
      </w:pPr>
    </w:p>
    <w:p w14:paraId="079F2C99">
      <w:pPr>
        <w:pStyle w:val="45"/>
        <w:numPr>
          <w:ilvl w:val="0"/>
          <w:numId w:val="0"/>
        </w:numPr>
        <w:ind w:leftChars="-50" w:right="62" w:rightChars="0"/>
        <w:rPr>
          <w:rFonts w:hint="eastAsia" w:ascii="仿宋" w:hAnsi="仿宋" w:eastAsia="仿宋" w:cs="仿宋"/>
          <w:color w:val="auto"/>
          <w:sz w:val="24"/>
          <w:szCs w:val="24"/>
        </w:rPr>
      </w:pPr>
      <w:r>
        <w:rPr>
          <w:rFonts w:hint="eastAsia" w:ascii="仿宋" w:hAnsi="仿宋" w:eastAsia="仿宋" w:cs="仿宋"/>
          <w:b/>
          <w:color w:val="auto"/>
          <w:kern w:val="0"/>
          <w:sz w:val="24"/>
          <w:szCs w:val="24"/>
          <w:highlight w:val="none"/>
        </w:rPr>
        <w:t>说明：投标供应商应按上述要求将内容填写完整，未提供此承诺的其投标将被拒绝！</w:t>
      </w:r>
    </w:p>
    <w:p w14:paraId="0E459646">
      <w:pPr>
        <w:ind w:left="0" w:leftChars="0" w:firstLine="0" w:firstLineChars="0"/>
        <w:rPr>
          <w:rFonts w:hint="eastAsia" w:ascii="仿宋" w:hAnsi="仿宋" w:eastAsia="仿宋" w:cs="仿宋"/>
          <w:b/>
          <w:bCs/>
          <w:color w:val="auto"/>
          <w:sz w:val="24"/>
          <w:szCs w:val="24"/>
        </w:rPr>
      </w:pPr>
    </w:p>
    <w:p w14:paraId="4BDFC902">
      <w:pPr>
        <w:ind w:left="0" w:leftChars="0" w:firstLine="0" w:firstLineChars="0"/>
        <w:rPr>
          <w:rFonts w:hint="eastAsia" w:ascii="仿宋" w:hAnsi="仿宋" w:eastAsia="仿宋" w:cs="仿宋"/>
          <w:b/>
          <w:bCs/>
          <w:color w:val="auto"/>
          <w:sz w:val="24"/>
          <w:szCs w:val="24"/>
        </w:rPr>
      </w:pPr>
    </w:p>
    <w:p w14:paraId="10DA9DDB">
      <w:pPr>
        <w:ind w:left="0" w:leftChars="0" w:firstLine="0" w:firstLineChars="0"/>
        <w:rPr>
          <w:rFonts w:hint="eastAsia" w:ascii="仿宋" w:hAnsi="仿宋" w:eastAsia="仿宋" w:cs="仿宋"/>
          <w:b/>
          <w:bCs/>
          <w:color w:val="auto"/>
          <w:sz w:val="24"/>
          <w:szCs w:val="24"/>
        </w:rPr>
      </w:pPr>
    </w:p>
    <w:p w14:paraId="64F21EC2">
      <w:pPr>
        <w:ind w:left="0" w:leftChars="0" w:firstLine="0" w:firstLineChars="0"/>
        <w:rPr>
          <w:rFonts w:hint="eastAsia" w:ascii="仿宋" w:hAnsi="仿宋" w:eastAsia="仿宋" w:cs="仿宋"/>
          <w:b/>
          <w:bCs/>
          <w:color w:val="auto"/>
          <w:sz w:val="24"/>
          <w:szCs w:val="24"/>
        </w:rPr>
      </w:pPr>
    </w:p>
    <w:p w14:paraId="7721F644">
      <w:pPr>
        <w:ind w:left="0" w:leftChars="0" w:firstLine="0" w:firstLineChars="0"/>
        <w:rPr>
          <w:rFonts w:hint="eastAsia" w:ascii="仿宋" w:hAnsi="仿宋" w:eastAsia="仿宋" w:cs="仿宋"/>
          <w:b/>
          <w:bCs/>
          <w:color w:val="auto"/>
          <w:sz w:val="24"/>
          <w:szCs w:val="24"/>
        </w:rPr>
      </w:pPr>
    </w:p>
    <w:p w14:paraId="35A3D74E">
      <w:pPr>
        <w:ind w:left="0" w:leftChars="0" w:firstLine="0" w:firstLineChars="0"/>
        <w:rPr>
          <w:rFonts w:hint="eastAsia" w:ascii="仿宋" w:hAnsi="仿宋" w:eastAsia="仿宋" w:cs="仿宋"/>
          <w:b/>
          <w:bCs/>
          <w:color w:val="auto"/>
          <w:sz w:val="24"/>
          <w:szCs w:val="24"/>
        </w:rPr>
      </w:pPr>
    </w:p>
    <w:p w14:paraId="0F99DFF2">
      <w:pPr>
        <w:ind w:left="0" w:leftChars="0" w:firstLine="0" w:firstLineChars="0"/>
        <w:rPr>
          <w:rFonts w:hint="eastAsia" w:ascii="仿宋" w:hAnsi="仿宋" w:eastAsia="仿宋" w:cs="仿宋"/>
          <w:b/>
          <w:bCs/>
          <w:color w:val="auto"/>
          <w:sz w:val="24"/>
          <w:szCs w:val="24"/>
        </w:rPr>
      </w:pPr>
    </w:p>
    <w:p w14:paraId="1E26E704">
      <w:pPr>
        <w:pStyle w:val="191"/>
        <w:widowControl/>
        <w:numPr>
          <w:ilvl w:val="0"/>
          <w:numId w:val="10"/>
        </w:numPr>
        <w:spacing w:before="100" w:beforeAutospacing="1" w:after="100" w:afterAutospacing="1"/>
        <w:jc w:val="both"/>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投标人认为有必要提供的声明及文件资料</w:t>
      </w:r>
      <w:r>
        <w:rPr>
          <w:rFonts w:hint="eastAsia" w:ascii="仿宋" w:hAnsi="仿宋" w:eastAsia="仿宋" w:cs="仿宋"/>
          <w:b/>
          <w:bCs/>
          <w:color w:val="auto"/>
          <w:sz w:val="24"/>
          <w:szCs w:val="24"/>
          <w:lang w:eastAsia="zh-CN"/>
        </w:rPr>
        <w:t>；</w:t>
      </w:r>
    </w:p>
    <w:p w14:paraId="62A382E2">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4B25C840">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4DFFF614">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E5A5148">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7F9E752">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0245DAD">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73662B53">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0FADFB75">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48AC11E4">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04396C8B">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89CB4EC">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596222BA">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70CC6B9D">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0AFF9AAD">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460D9A92">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4115CDA5">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508259F">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52994D30">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052323B8">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3308E4CC">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4C0A40B6">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4CCB748">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96727C8">
      <w:pPr>
        <w:pStyle w:val="191"/>
        <w:widowControl/>
        <w:numPr>
          <w:ilvl w:val="0"/>
          <w:numId w:val="0"/>
        </w:numPr>
        <w:spacing w:before="100" w:beforeAutospacing="1" w:after="100" w:afterAutospacing="1"/>
        <w:jc w:val="both"/>
        <w:rPr>
          <w:rFonts w:hint="eastAsia" w:ascii="仿宋" w:hAnsi="仿宋" w:eastAsia="仿宋" w:cs="仿宋"/>
          <w:b/>
          <w:bCs/>
          <w:color w:val="auto"/>
          <w:sz w:val="24"/>
          <w:szCs w:val="24"/>
          <w:lang w:val="en-US" w:eastAsia="zh-CN"/>
        </w:rPr>
      </w:pPr>
    </w:p>
    <w:p w14:paraId="2C3E73D7">
      <w:pPr>
        <w:pStyle w:val="191"/>
        <w:widowControl/>
        <w:numPr>
          <w:ilvl w:val="0"/>
          <w:numId w:val="0"/>
        </w:numPr>
        <w:spacing w:before="100" w:beforeAutospacing="1" w:after="100" w:afterAutospacing="1"/>
        <w:jc w:val="center"/>
        <w:rPr>
          <w:rFonts w:hint="eastAsia" w:ascii="仿宋" w:hAnsi="仿宋" w:eastAsia="仿宋" w:cs="仿宋"/>
          <w:b/>
          <w:bCs/>
          <w:color w:val="auto"/>
          <w:sz w:val="28"/>
          <w:szCs w:val="28"/>
          <w:lang w:val="en-US" w:eastAsia="zh-CN"/>
        </w:rPr>
      </w:pPr>
    </w:p>
    <w:p w14:paraId="2D7ACDD1">
      <w:pPr>
        <w:pStyle w:val="191"/>
        <w:widowControl/>
        <w:numPr>
          <w:ilvl w:val="0"/>
          <w:numId w:val="0"/>
        </w:numPr>
        <w:spacing w:before="100" w:beforeAutospacing="1" w:after="100" w:afterAutospacing="1"/>
        <w:jc w:val="center"/>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技术部分</w:t>
      </w:r>
    </w:p>
    <w:p w14:paraId="34924D27">
      <w:pPr>
        <w:pStyle w:val="191"/>
        <w:widowControl/>
        <w:numPr>
          <w:ilvl w:val="0"/>
          <w:numId w:val="0"/>
        </w:numPr>
        <w:spacing w:before="100" w:beforeAutospacing="1" w:after="100" w:afterAutospacing="1"/>
        <w:jc w:val="center"/>
        <w:rPr>
          <w:rFonts w:hint="eastAsia" w:ascii="仿宋" w:hAnsi="仿宋" w:eastAsia="仿宋" w:cs="仿宋"/>
          <w:b/>
          <w:bCs/>
          <w:color w:val="auto"/>
          <w:sz w:val="28"/>
          <w:szCs w:val="28"/>
          <w:lang w:val="en-US" w:eastAsia="zh-CN"/>
        </w:rPr>
      </w:pPr>
    </w:p>
    <w:p w14:paraId="0B52DBAA">
      <w:pPr>
        <w:numPr>
          <w:ilvl w:val="0"/>
          <w:numId w:val="11"/>
        </w:num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实施</w:t>
      </w:r>
      <w:r>
        <w:rPr>
          <w:rFonts w:hint="eastAsia" w:ascii="仿宋" w:hAnsi="仿宋" w:eastAsia="仿宋" w:cs="仿宋"/>
          <w:bCs/>
          <w:color w:val="000000"/>
          <w:kern w:val="0"/>
          <w:sz w:val="24"/>
          <w:szCs w:val="24"/>
          <w:highlight w:val="none"/>
          <w:lang w:val="en-US" w:eastAsia="zh-CN"/>
        </w:rPr>
        <w:t>方案（</w:t>
      </w:r>
      <w:r>
        <w:rPr>
          <w:rFonts w:hint="eastAsia" w:ascii="仿宋" w:hAnsi="仿宋" w:eastAsia="仿宋" w:cs="仿宋"/>
          <w:color w:val="auto"/>
          <w:sz w:val="24"/>
          <w:szCs w:val="24"/>
          <w:highlight w:val="none"/>
          <w:lang w:val="en-US" w:eastAsia="zh-CN"/>
        </w:rPr>
        <w:t>投标人视需要自行编写）；</w:t>
      </w:r>
    </w:p>
    <w:p w14:paraId="2DF4D96D">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bCs/>
          <w:color w:val="000000"/>
          <w:kern w:val="0"/>
          <w:sz w:val="24"/>
          <w:szCs w:val="24"/>
          <w:highlight w:val="none"/>
          <w:lang w:val="en-US" w:eastAsia="zh-CN"/>
        </w:rPr>
        <w:t>供货方案</w:t>
      </w:r>
      <w:r>
        <w:rPr>
          <w:rFonts w:hint="eastAsia" w:ascii="仿宋" w:hAnsi="仿宋" w:eastAsia="仿宋" w:cs="仿宋"/>
          <w:color w:val="auto"/>
          <w:sz w:val="24"/>
          <w:szCs w:val="24"/>
          <w:highlight w:val="none"/>
          <w:lang w:val="en-US" w:eastAsia="zh-CN"/>
        </w:rPr>
        <w:t>（投标人视需要自行编写）；</w:t>
      </w:r>
    </w:p>
    <w:p w14:paraId="69EF7971">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3.售后</w:t>
      </w:r>
      <w:r>
        <w:rPr>
          <w:rFonts w:hint="eastAsia" w:ascii="仿宋" w:hAnsi="仿宋" w:eastAsia="仿宋" w:cs="仿宋"/>
          <w:bCs/>
          <w:color w:val="000000"/>
          <w:kern w:val="0"/>
          <w:sz w:val="24"/>
          <w:szCs w:val="24"/>
          <w:highlight w:val="none"/>
          <w:lang w:val="en-US" w:eastAsia="zh-CN"/>
        </w:rPr>
        <w:t>服务方案（</w:t>
      </w:r>
      <w:r>
        <w:rPr>
          <w:rFonts w:hint="eastAsia" w:ascii="仿宋" w:hAnsi="仿宋" w:eastAsia="仿宋" w:cs="仿宋"/>
          <w:color w:val="auto"/>
          <w:sz w:val="24"/>
          <w:szCs w:val="24"/>
          <w:highlight w:val="none"/>
          <w:lang w:val="en-US" w:eastAsia="zh-CN"/>
        </w:rPr>
        <w:t>投标人视需要自行编写）；</w:t>
      </w:r>
    </w:p>
    <w:p w14:paraId="13974B87">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bCs/>
          <w:color w:val="000000"/>
          <w:kern w:val="0"/>
          <w:sz w:val="24"/>
          <w:szCs w:val="24"/>
          <w:highlight w:val="none"/>
          <w:lang w:val="en-US" w:eastAsia="zh-CN"/>
        </w:rPr>
        <w:t>应急方案（</w:t>
      </w:r>
      <w:r>
        <w:rPr>
          <w:rFonts w:hint="eastAsia" w:ascii="仿宋" w:hAnsi="仿宋" w:eastAsia="仿宋" w:cs="仿宋"/>
          <w:color w:val="auto"/>
          <w:sz w:val="24"/>
          <w:szCs w:val="24"/>
          <w:highlight w:val="none"/>
          <w:lang w:val="en-US" w:eastAsia="zh-CN"/>
        </w:rPr>
        <w:t>投标人视需要自行编写）；</w:t>
      </w:r>
    </w:p>
    <w:p w14:paraId="65F9EF09">
      <w:pPr>
        <w:spacing w:line="300" w:lineRule="auto"/>
        <w:ind w:left="0" w:lef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bCs/>
          <w:color w:val="000000"/>
          <w:kern w:val="0"/>
          <w:sz w:val="24"/>
          <w:szCs w:val="24"/>
          <w:highlight w:val="none"/>
          <w:lang w:val="en-US" w:eastAsia="zh-CN"/>
        </w:rPr>
        <w:t>培训方案</w:t>
      </w:r>
      <w:r>
        <w:rPr>
          <w:rFonts w:hint="eastAsia" w:ascii="仿宋" w:hAnsi="仿宋" w:eastAsia="仿宋" w:cs="仿宋"/>
          <w:color w:val="auto"/>
          <w:sz w:val="24"/>
          <w:szCs w:val="24"/>
          <w:highlight w:val="none"/>
          <w:lang w:val="en-US" w:eastAsia="zh-CN"/>
        </w:rPr>
        <w:t>（投标人视需要自行编写）；</w:t>
      </w:r>
    </w:p>
    <w:p w14:paraId="451C819F">
      <w:pPr>
        <w:spacing w:line="300" w:lineRule="auto"/>
        <w:ind w:left="0" w:leftChars="0" w:firstLine="480" w:firstLineChars="200"/>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color w:val="auto"/>
          <w:sz w:val="24"/>
          <w:szCs w:val="24"/>
          <w:highlight w:val="none"/>
          <w:lang w:val="en-US" w:eastAsia="zh-CN"/>
        </w:rPr>
        <w:t>6.其他有利于投标人的资料（如有）</w:t>
      </w:r>
    </w:p>
    <w:p w14:paraId="02527773">
      <w:pPr>
        <w:pStyle w:val="191"/>
        <w:widowControl/>
        <w:numPr>
          <w:ilvl w:val="0"/>
          <w:numId w:val="0"/>
        </w:numPr>
        <w:spacing w:before="100" w:beforeAutospacing="1" w:after="100" w:afterAutospacing="1"/>
        <w:jc w:val="left"/>
        <w:rPr>
          <w:rFonts w:hint="default" w:ascii="仿宋" w:hAnsi="仿宋" w:eastAsia="仿宋" w:cs="仿宋"/>
          <w:b/>
          <w:bCs/>
          <w:color w:val="auto"/>
          <w:sz w:val="28"/>
          <w:szCs w:val="28"/>
          <w:lang w:val="en-US" w:eastAsia="zh-CN"/>
        </w:rPr>
      </w:pPr>
    </w:p>
    <w:p w14:paraId="36C97042">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5F96D557">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51F96B8B">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1DD3E570">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083E5FE0">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3F7F4CA3">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25A6C3A4">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0025E786">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3CC5227B">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43BF8AE7">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41676765">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48511838">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6AED513B">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56ED80B8">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010310F7">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4C6B1409">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r>
        <w:drawing>
          <wp:inline distT="0" distB="0" distL="114300" distR="114300">
            <wp:extent cx="6188710" cy="8401685"/>
            <wp:effectExtent l="0" t="0" r="8890" b="571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20"/>
                    <a:stretch>
                      <a:fillRect/>
                    </a:stretch>
                  </pic:blipFill>
                  <pic:spPr>
                    <a:xfrm>
                      <a:off x="0" y="0"/>
                      <a:ext cx="6188710" cy="8401685"/>
                    </a:xfrm>
                    <a:prstGeom prst="rect">
                      <a:avLst/>
                    </a:prstGeom>
                    <a:noFill/>
                    <a:ln>
                      <a:noFill/>
                    </a:ln>
                  </pic:spPr>
                </pic:pic>
              </a:graphicData>
            </a:graphic>
          </wp:inline>
        </w:drawing>
      </w:r>
      <w:r>
        <w:drawing>
          <wp:inline distT="0" distB="0" distL="114300" distR="114300">
            <wp:extent cx="6191250" cy="8481060"/>
            <wp:effectExtent l="0" t="0" r="6350" b="254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1"/>
                    <a:stretch>
                      <a:fillRect/>
                    </a:stretch>
                  </pic:blipFill>
                  <pic:spPr>
                    <a:xfrm>
                      <a:off x="0" y="0"/>
                      <a:ext cx="6191250" cy="8481060"/>
                    </a:xfrm>
                    <a:prstGeom prst="rect">
                      <a:avLst/>
                    </a:prstGeom>
                    <a:noFill/>
                    <a:ln>
                      <a:noFill/>
                    </a:ln>
                  </pic:spPr>
                </pic:pic>
              </a:graphicData>
            </a:graphic>
          </wp:inline>
        </w:drawing>
      </w:r>
    </w:p>
    <w:p w14:paraId="69D23778">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390A2E51">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6FF8E42E">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300AC235">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452DD334">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283161C1">
      <w:pPr>
        <w:pStyle w:val="191"/>
        <w:widowControl/>
        <w:numPr>
          <w:ilvl w:val="0"/>
          <w:numId w:val="0"/>
        </w:numPr>
        <w:spacing w:before="100" w:beforeAutospacing="1" w:after="100" w:afterAutospacing="1"/>
        <w:jc w:val="both"/>
        <w:rPr>
          <w:rFonts w:hint="default" w:ascii="仿宋" w:hAnsi="仿宋" w:eastAsia="仿宋" w:cs="仿宋"/>
          <w:b w:val="0"/>
          <w:bCs/>
          <w:color w:val="auto"/>
          <w:kern w:val="2"/>
          <w:sz w:val="24"/>
          <w:szCs w:val="24"/>
          <w:lang w:val="en-US" w:eastAsia="zh-CN" w:bidi="ar-SA"/>
        </w:rPr>
      </w:pPr>
    </w:p>
    <w:p w14:paraId="40BCA926">
      <w:pPr>
        <w:spacing w:line="300" w:lineRule="auto"/>
        <w:ind w:left="0" w:leftChars="0" w:firstLine="0" w:firstLineChars="0"/>
        <w:jc w:val="both"/>
        <w:rPr>
          <w:rFonts w:hint="eastAsia" w:ascii="仿宋" w:hAnsi="仿宋" w:eastAsia="仿宋" w:cs="仿宋"/>
          <w:b/>
          <w:bCs/>
          <w:color w:val="auto"/>
          <w:sz w:val="24"/>
          <w:szCs w:val="24"/>
          <w:lang w:val="en-US" w:eastAsia="zh-CN"/>
        </w:rPr>
      </w:pPr>
    </w:p>
    <w:sectPr>
      <w:headerReference r:id="rId17" w:type="default"/>
      <w:footerReference r:id="rId18" w:type="default"/>
      <w:type w:val="continuous"/>
      <w:pgSz w:w="11905" w:h="16838"/>
      <w:pgMar w:top="1304" w:right="964" w:bottom="1020" w:left="1191" w:header="567" w:footer="454" w:gutter="0"/>
      <w:pgNumType w:fmt="decimal"/>
      <w:cols w:space="720" w:num="1"/>
      <w:rtlGutter w:val="0"/>
      <w:docGrid w:type="lines" w:linePitch="31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hanging="105"/>
      </w:pPr>
      <w:r>
        <w:separator/>
      </w:r>
    </w:p>
  </w:endnote>
  <w:endnote w:type="continuationSeparator" w:id="1">
    <w:p>
      <w:pPr>
        <w:spacing w:line="240" w:lineRule="auto"/>
        <w:ind w:hanging="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64EAE64-79A1-4AC9-B041-D6E228BFCC05}"/>
  </w:font>
  <w:font w:name="Arial">
    <w:panose1 w:val="020B0604020202020204"/>
    <w:charset w:val="01"/>
    <w:family w:val="swiss"/>
    <w:pitch w:val="default"/>
    <w:sig w:usb0="E0002EFF" w:usb1="C000785B" w:usb2="00000009" w:usb3="00000000" w:csb0="400001FF" w:csb1="FFFF0000"/>
    <w:embedRegular r:id="rId2" w:fontKey="{5EA6E608-4A14-4A71-B105-F8FFCCBA084B}"/>
  </w:font>
  <w:font w:name="黑体">
    <w:panose1 w:val="02010609060101010101"/>
    <w:charset w:val="86"/>
    <w:family w:val="auto"/>
    <w:pitch w:val="default"/>
    <w:sig w:usb0="800002BF" w:usb1="38CF7CFA" w:usb2="00000016" w:usb3="00000000" w:csb0="00040001" w:csb1="00000000"/>
    <w:embedRegular r:id="rId3" w:fontKey="{A1568E6F-72CA-4836-86FB-DF85FF8727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E44775B7-6C9F-4E1A-8CA8-0689AD84FD4B}"/>
  </w:font>
  <w:font w:name="Garamond">
    <w:panose1 w:val="02020404030301010803"/>
    <w:charset w:val="00"/>
    <w:family w:val="roman"/>
    <w:pitch w:val="default"/>
    <w:sig w:usb0="00000287" w:usb1="00000000" w:usb2="00000000" w:usb3="00000000" w:csb0="0000009F" w:csb1="DFD70000"/>
  </w:font>
  <w:font w:name="隶书">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5" w:fontKey="{B1FEA982-D0BB-4BD3-9EEB-7D2D7E44E0F1}"/>
  </w:font>
  <w:font w:name="仿宋">
    <w:panose1 w:val="02010609060101010101"/>
    <w:charset w:val="86"/>
    <w:family w:val="auto"/>
    <w:pitch w:val="default"/>
    <w:sig w:usb0="800002BF" w:usb1="38CF7CFA" w:usb2="00000016" w:usb3="00000000" w:csb0="00040001" w:csb1="00000000"/>
    <w:embedRegular r:id="rId6" w:fontKey="{A44635B7-7FFE-4B05-BADC-9F83E622BF3F}"/>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auto"/>
    <w:pitch w:val="default"/>
    <w:sig w:usb0="00000000" w:usb1="00000000" w:usb2="00000009" w:usb3="00000000" w:csb0="000001FF" w:csb1="00000000"/>
  </w:font>
  <w:font w:name="TKTypeRegular">
    <w:altName w:val="Times New Roman"/>
    <w:panose1 w:val="00000000000000000000"/>
    <w:charset w:val="00"/>
    <w:family w:val="auto"/>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7" w:fontKey="{05E38466-41F7-4D78-B9E5-DCD70B2EE2AC}"/>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F2175">
    <w:pPr>
      <w:pStyle w:val="53"/>
      <w:ind w:right="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727C3B">
                          <w:pPr>
                            <w:pStyle w:val="5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JK9FMoBAACaAwAADgAAAAAAAAABACAAAAAeAQAAZHJzL2Uyb0Rv&#10;Yy54bWxQSwUGAAAAAAYABgBZAQAAWgUAAAAA&#10;">
              <v:fill on="f" focussize="0,0"/>
              <v:stroke on="f"/>
              <v:imagedata o:title=""/>
              <o:lock v:ext="edit" aspectratio="f"/>
              <v:textbox inset="0mm,0mm,0mm,0mm" style="mso-fit-shape-to-text:t;">
                <w:txbxContent>
                  <w:p w14:paraId="37727C3B">
                    <w:pPr>
                      <w:pStyle w:val="53"/>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FEA45">
                          <w:pPr>
                            <w:pStyle w:val="53"/>
                          </w:pP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M+tTskBAACaAwAADgAAAGRycy9lMm9Eb2MueG1srVPNjtMwEL4j8Q6W&#10;79Rph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m+&#10;zvr0AWpMuwuYmIa3fsCtmf2Azkx7UNHmLxIiGEd1z1d15ZCIyI/Wq/W6wpDA2HxBfPbwPERI76S3&#10;JBsNjTi+oio/fYA0ps4puZrzt9qYMkLj/nIgZvaw3PvYY7bSsB8mQnvfnpFPj5NvqMNFp8S8dyhs&#10;XpLZiLOxn41jiPrQlS3K9SC8OSZsovSWK4ywU2EcWWE3rVfeiT/vJevh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sz61OyQEAAJoDAAAOAAAAAAAAAAEAIAAAAB4BAABkcnMvZTJvRG9j&#10;LnhtbFBLBQYAAAAABgAGAFkBAABZBQAAAAA=&#10;">
              <v:fill on="f" focussize="0,0"/>
              <v:stroke on="f"/>
              <v:imagedata o:title=""/>
              <o:lock v:ext="edit" aspectratio="f"/>
              <v:textbox inset="0mm,0mm,0mm,0mm" style="mso-fit-shape-to-text:t;">
                <w:txbxContent>
                  <w:p w14:paraId="349FEA45">
                    <w:pPr>
                      <w:pStyle w:val="53"/>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E7527">
    <w:pPr>
      <w:spacing w:line="1" w:lineRule="atLeast"/>
      <w:ind w:left="105" w:hanging="105"/>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7617A0">
                          <w:pPr>
                            <w:pStyle w:val="53"/>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GGRBDPIAQAAmwMAAA4AAAAAAAAAAQAgAAAAHgEAAGRycy9lMm9Eb2Mu&#10;eG1sUEsFBgAAAAAGAAYAWQEAAFgFAAAAAA==&#10;">
              <v:fill on="f" focussize="0,0"/>
              <v:stroke on="f"/>
              <v:imagedata o:title=""/>
              <o:lock v:ext="edit" aspectratio="f"/>
              <v:textbox inset="0mm,0mm,0mm,0mm" style="mso-fit-shape-to-text:t;">
                <w:txbxContent>
                  <w:p w14:paraId="367617A0">
                    <w:pPr>
                      <w:pStyle w:val="5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84DC">
    <w:pPr>
      <w:pStyle w:val="53"/>
      <w:ind w:left="90" w:hanging="9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2E275">
    <w:pPr>
      <w:pStyle w:val="53"/>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76F3A7">
                          <w:pPr>
                            <w:pStyle w:val="5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LB4skBAACb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VhS4rjFiV++f7v8+HX5+ZW8&#10;Xma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J8sHiyQEAAJsDAAAOAAAAAAAAAAEAIAAAAB4BAABkcnMvZTJvRG9j&#10;LnhtbFBLBQYAAAAABgAGAFkBAABZBQAAAAA=&#10;">
              <v:fill on="f" focussize="0,0"/>
              <v:stroke on="f"/>
              <v:imagedata o:title=""/>
              <o:lock v:ext="edit" aspectratio="f"/>
              <v:textbox inset="0mm,0mm,0mm,0mm" style="mso-fit-shape-to-text:t;">
                <w:txbxContent>
                  <w:p w14:paraId="4C76F3A7">
                    <w:pPr>
                      <w:pStyle w:val="53"/>
                    </w:pPr>
                    <w:r>
                      <w:fldChar w:fldCharType="begin"/>
                    </w:r>
                    <w:r>
                      <w:instrText xml:space="preserve"> PAGE  \* MERGEFORMAT </w:instrText>
                    </w:r>
                    <w:r>
                      <w:fldChar w:fldCharType="separate"/>
                    </w:r>
                    <w:r>
                      <w:t>1</w:t>
                    </w:r>
                    <w:r>
                      <w:fldChar w:fldCharType="end"/>
                    </w:r>
                  </w:p>
                </w:txbxContent>
              </v:textbox>
            </v:shape>
          </w:pict>
        </mc:Fallback>
      </mc:AlternateContent>
    </w:r>
  </w:p>
  <w:p w14:paraId="000C1E84">
    <w:pPr>
      <w:spacing w:line="188" w:lineRule="auto"/>
      <w:ind w:left="4084"/>
      <w:rPr>
        <w:rFonts w:ascii="Calibri" w:hAnsi="Calibri" w:eastAsia="Calibri" w:cs="Calibri"/>
        <w:sz w:val="17"/>
        <w:szCs w:val="1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632A">
    <w:pPr>
      <w:pStyle w:val="53"/>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07A8B3">
                          <w:pPr>
                            <w:pStyle w:val="53"/>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4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BQ/0vIAQAAmwMAAA4AAAAAAAAAAQAgAAAAHgEAAGRycy9lMm9Eb2Mu&#10;eG1sUEsFBgAAAAAGAAYAWQEAAFgFAAAAAA==&#10;">
              <v:fill on="f" focussize="0,0"/>
              <v:stroke on="f"/>
              <v:imagedata o:title=""/>
              <o:lock v:ext="edit" aspectratio="f"/>
              <v:textbox inset="0mm,0mm,0mm,0mm" style="mso-fit-shape-to-text:t;">
                <w:txbxContent>
                  <w:p w14:paraId="2507A8B3">
                    <w:pPr>
                      <w:pStyle w:val="53"/>
                    </w:pPr>
                    <w:r>
                      <w:fldChar w:fldCharType="begin"/>
                    </w:r>
                    <w:r>
                      <w:instrText xml:space="preserve"> PAGE  \* MERGEFORMAT </w:instrText>
                    </w:r>
                    <w:r>
                      <w:fldChar w:fldCharType="separate"/>
                    </w:r>
                    <w:r>
                      <w:t>3</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88657">
                          <w:pPr>
                            <w:pStyle w:val="53"/>
                          </w:pPr>
                        </w:p>
                      </w:txbxContent>
                    </wps:txbx>
                    <wps:bodyPr wrap="none" lIns="0" tIns="0" rIns="0" bIns="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uqcOrIAQAAmgMAAA4AAAAAAAAAAQAgAAAAHgEAAGRycy9lMm9Eb2Mu&#10;eG1sUEsFBgAAAAAGAAYAWQEAAFgFAAAAAA==&#10;">
              <v:fill on="f" focussize="0,0"/>
              <v:stroke on="f"/>
              <v:imagedata o:title=""/>
              <o:lock v:ext="edit" aspectratio="f"/>
              <v:textbox inset="0mm,0mm,0mm,0mm" style="mso-fit-shape-to-text:t;">
                <w:txbxContent>
                  <w:p w14:paraId="71B88657">
                    <w:pPr>
                      <w:pStyle w:val="53"/>
                    </w:pPr>
                  </w:p>
                </w:txbxContent>
              </v:textbox>
            </v:shape>
          </w:pict>
        </mc:Fallback>
      </mc:AlternateContent>
    </w:r>
  </w:p>
  <w:p w14:paraId="4A5C2164">
    <w:pPr>
      <w:spacing w:line="188" w:lineRule="auto"/>
      <w:ind w:left="4084"/>
      <w:rPr>
        <w:rFonts w:ascii="Calibri" w:hAnsi="Calibri" w:eastAsia="Calibri" w:cs="Calibri"/>
        <w:sz w:val="17"/>
        <w:szCs w:val="17"/>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C18EF">
    <w:pPr>
      <w:pStyle w:val="53"/>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7D0DF3">
                          <w:pPr>
                            <w:pStyle w:val="53"/>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文本框 4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DM6msoBAACbAwAADgAAAAAAAAABACAAAAAeAQAAZHJzL2Uyb0Rv&#10;Yy54bWxQSwUGAAAAAAYABgBZAQAAWgUAAAAA&#10;">
              <v:fill on="f" focussize="0,0"/>
              <v:stroke on="f"/>
              <v:imagedata o:title=""/>
              <o:lock v:ext="edit" aspectratio="f"/>
              <v:textbox inset="0mm,0mm,0mm,0mm" style="mso-fit-shape-to-text:t;">
                <w:txbxContent>
                  <w:p w14:paraId="157D0DF3">
                    <w:pPr>
                      <w:pStyle w:val="53"/>
                    </w:pPr>
                    <w:r>
                      <w:fldChar w:fldCharType="begin"/>
                    </w:r>
                    <w:r>
                      <w:instrText xml:space="preserve"> PAGE  \* MERGEFORMAT </w:instrText>
                    </w:r>
                    <w:r>
                      <w:fldChar w:fldCharType="separate"/>
                    </w:r>
                    <w:r>
                      <w:t>4</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EC3062">
                          <w:pPr>
                            <w:pStyle w:val="53"/>
                            <w:ind w:left="0" w:leftChars="0" w:firstLine="0" w:firstLineChars="0"/>
                          </w:pPr>
                        </w:p>
                      </w:txbxContent>
                    </wps:txbx>
                    <wps:bodyPr wrap="none" lIns="0" tIns="0" rIns="0" bIns="0" upright="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LodcoBAACa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Z&#10;vs369AFqTLsPmJiGd37ArZn9gM5Me1DR5i8SIhhHdU8XdeWQiMiPVsvVqsKQwNh8QXz28DxESO+l&#10;tyQbDY04vqIqP36ENKbOKbma83famDJC4/5xIGb2sNz72GO20rAbJkI7356QT4+Tb6jDRafEfHAo&#10;bF6S2YizsZuNQ4h635UtyvUg3B4SNlF6yxVG2Kkwjqywm9Yr78Tje8l6+KU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AILodcoBAACaAwAADgAAAAAAAAABACAAAAAeAQAAZHJzL2Uyb0Rv&#10;Yy54bWxQSwUGAAAAAAYABgBZAQAAWgUAAAAA&#10;">
              <v:fill on="f" focussize="0,0"/>
              <v:stroke on="f"/>
              <v:imagedata o:title=""/>
              <o:lock v:ext="edit" aspectratio="f"/>
              <v:textbox inset="0mm,0mm,0mm,0mm" style="mso-fit-shape-to-text:t;">
                <w:txbxContent>
                  <w:p w14:paraId="62EC3062">
                    <w:pPr>
                      <w:pStyle w:val="53"/>
                      <w:ind w:left="0" w:leftChars="0" w:firstLine="0" w:firstLineChars="0"/>
                    </w:pPr>
                  </w:p>
                </w:txbxContent>
              </v:textbox>
            </v:shape>
          </w:pict>
        </mc:Fallback>
      </mc:AlternateContent>
    </w:r>
  </w:p>
  <w:p w14:paraId="6EB45D46">
    <w:pPr>
      <w:spacing w:line="188" w:lineRule="auto"/>
      <w:ind w:left="4084"/>
      <w:rPr>
        <w:rFonts w:ascii="Calibri" w:hAnsi="Calibri" w:eastAsia="Calibri" w:cs="Calibri"/>
        <w:sz w:val="17"/>
        <w:szCs w:val="17"/>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2F03">
    <w:pPr>
      <w:spacing w:line="188" w:lineRule="auto"/>
      <w:ind w:left="4084"/>
      <w:rPr>
        <w:rFonts w:ascii="Calibri" w:hAnsi="Calibri" w:eastAsia="Calibri" w:cs="Calibri"/>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6A3BD5">
                          <w:pPr>
                            <w:pStyle w:val="5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DE/PCyQEAAJsDAAAOAAAAAAAAAAEAIAAAAB4BAABkcnMvZTJvRG9j&#10;LnhtbFBLBQYAAAAABgAGAFkBAABZBQAAAAA=&#10;">
              <v:fill on="f" focussize="0,0"/>
              <v:stroke on="f"/>
              <v:imagedata o:title=""/>
              <o:lock v:ext="edit" aspectratio="f"/>
              <v:textbox inset="0mm,0mm,0mm,0mm" style="mso-fit-shape-to-text:t;">
                <w:txbxContent>
                  <w:p w14:paraId="5F6A3BD5">
                    <w:pPr>
                      <w:pStyle w:val="5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F9E47">
    <w:pPr>
      <w:pStyle w:val="53"/>
      <w:jc w:val="both"/>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7E96FF">
                          <w:pPr>
                            <w:pStyle w:val="53"/>
                          </w:pPr>
                          <w:r>
                            <w:fldChar w:fldCharType="begin"/>
                          </w:r>
                          <w:r>
                            <w:instrText xml:space="preserve"> PAGE  \* MERGEFORMAT </w:instrText>
                          </w:r>
                          <w:r>
                            <w:fldChar w:fldCharType="separate"/>
                          </w:r>
                          <w:r>
                            <w:t>73</w:t>
                          </w:r>
                          <w:r>
                            <w:fldChar w:fldCharType="end"/>
                          </w:r>
                        </w:p>
                      </w:txbxContent>
                    </wps:txbx>
                    <wps:bodyPr wrap="none" lIns="0" tIns="0" rIns="0" bIns="0" upright="0">
                      <a:spAutoFit/>
                    </wps:bodyPr>
                  </wps:wsp>
                </a:graphicData>
              </a:graphic>
            </wp:anchor>
          </w:drawing>
        </mc:Choice>
        <mc:Fallback>
          <w:pict>
            <v:shape id="文本框 4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6L/DPsoBAACbAwAADgAAAAAAAAABACAAAAAeAQAAZHJzL2Uyb0Rv&#10;Yy54bWxQSwUGAAAAAAYABgBZAQAAWgUAAAAA&#10;">
              <v:fill on="f" focussize="0,0"/>
              <v:stroke on="f"/>
              <v:imagedata o:title=""/>
              <o:lock v:ext="edit" aspectratio="f"/>
              <v:textbox inset="0mm,0mm,0mm,0mm" style="mso-fit-shape-to-text:t;">
                <w:txbxContent>
                  <w:p w14:paraId="4E7E96FF">
                    <w:pPr>
                      <w:pStyle w:val="53"/>
                    </w:pPr>
                    <w:r>
                      <w:fldChar w:fldCharType="begin"/>
                    </w:r>
                    <w:r>
                      <w:instrText xml:space="preserve"> PAGE  \* MERGEFORMAT </w:instrText>
                    </w:r>
                    <w:r>
                      <w:fldChar w:fldCharType="separate"/>
                    </w:r>
                    <w:r>
                      <w:t>73</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9DC043">
                          <w:pPr>
                            <w:pStyle w:val="53"/>
                          </w:pPr>
                        </w:p>
                      </w:txbxContent>
                    </wps:txbx>
                    <wps:bodyPr wrap="none" lIns="0" tIns="0" rIns="0" bIns="0" upright="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zqV5MkBAACa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fL&#10;11mfPkCNabcBE9Pw3g+4NbMf0JlpDyra/EVCBOOo7umirhwSEfnRarlaVRgSGJsviM/un4cI6YP0&#10;lmSjoRHHV1Tlx0+QxtQ5JVdz/kYbU0Zo3H8OxMwelnsfe8xWGnbDRGjn2xPy6XHyDXW46JSYjw6F&#10;zUsyG3E2drNxCFHvu7JFuR6Ed4eETZTecoURdiqMIyvspvXKO/HvvWTd/1K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vOpXkyQEAAJoDAAAOAAAAAAAAAAEAIAAAAB4BAABkcnMvZTJvRG9j&#10;LnhtbFBLBQYAAAAABgAGAFkBAABZBQAAAAA=&#10;">
              <v:fill on="f" focussize="0,0"/>
              <v:stroke on="f"/>
              <v:imagedata o:title=""/>
              <o:lock v:ext="edit" aspectratio="f"/>
              <v:textbox inset="0mm,0mm,0mm,0mm" style="mso-fit-shape-to-text:t;">
                <w:txbxContent>
                  <w:p w14:paraId="769DC043">
                    <w:pPr>
                      <w:pStyle w:val="53"/>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18DCA">
    <w:pPr>
      <w:pStyle w:val="53"/>
      <w:ind w:left="90" w:right="360" w:hanging="9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200ADD">
                          <w:pPr>
                            <w:pStyle w:val="53"/>
                          </w:pPr>
                          <w:r>
                            <w:fldChar w:fldCharType="begin"/>
                          </w:r>
                          <w:r>
                            <w:instrText xml:space="preserve"> PAGE  \* MERGEFORMAT </w:instrText>
                          </w:r>
                          <w:r>
                            <w:fldChar w:fldCharType="separate"/>
                          </w:r>
                          <w:r>
                            <w:t>103</w:t>
                          </w:r>
                          <w:r>
                            <w:fldChar w:fldCharType="end"/>
                          </w:r>
                        </w:p>
                      </w:txbxContent>
                    </wps:txbx>
                    <wps:bodyPr wrap="none" lIns="0" tIns="0" rIns="0" bIns="0" upright="0">
                      <a:spAutoFit/>
                    </wps:bodyPr>
                  </wps:wsp>
                </a:graphicData>
              </a:graphic>
            </wp:anchor>
          </w:drawing>
        </mc:Choice>
        <mc:Fallback>
          <w:pict>
            <v:shape id="文本框 48"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9ULv8coBAACbAwAADgAAAAAAAAABACAAAAAeAQAAZHJzL2Uyb0Rv&#10;Yy54bWxQSwUGAAAAAAYABgBZAQAAWgUAAAAA&#10;">
              <v:fill on="f" focussize="0,0"/>
              <v:stroke on="f"/>
              <v:imagedata o:title=""/>
              <o:lock v:ext="edit" aspectratio="f"/>
              <v:textbox inset="0mm,0mm,0mm,0mm" style="mso-fit-shape-to-text:t;">
                <w:txbxContent>
                  <w:p w14:paraId="32200ADD">
                    <w:pPr>
                      <w:pStyle w:val="53"/>
                    </w:pPr>
                    <w:r>
                      <w:fldChar w:fldCharType="begin"/>
                    </w:r>
                    <w:r>
                      <w:instrText xml:space="preserve"> PAGE  \* MERGEFORMAT </w:instrText>
                    </w:r>
                    <w:r>
                      <w:fldChar w:fldCharType="separate"/>
                    </w:r>
                    <w:r>
                      <w:t>103</w:t>
                    </w:r>
                    <w: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0109E6">
                          <w:pPr>
                            <w:pStyle w:val="53"/>
                          </w:pPr>
                        </w:p>
                      </w:txbxContent>
                    </wps:txbx>
                    <wps:bodyPr wrap="none" lIns="0" tIns="0" rIns="0" bIns="0" upright="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SQVM8kBAACa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Th2xy0O/Pzzx/nXn/Pv72R5&#10;nfXpA9SY9hAwMQ0f/IBbM/sBnZn2oKLNXyREMI7qni7qyiERkR+tlqtVhSGBsfmC+OzxeYiQPkpv&#10;STYaGnF8RVV+vIM0ps4puZrzt9qYMkLj/nMgZvaw3PvYY7bSsBsmQjvfnpBPj5NvqMNFp8R8cihs&#10;XpLZiLOxm41DiHrflS3K9SC8PyRsovSWK4ywU2EcWWE3rVfeiX/vJevxl9r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9JBUzyQEAAJoDAAAOAAAAAAAAAAEAIAAAAB4BAABkcnMvZTJvRG9j&#10;LnhtbFBLBQYAAAAABgAGAFkBAABZBQAAAAA=&#10;">
              <v:fill on="f" focussize="0,0"/>
              <v:stroke on="f"/>
              <v:imagedata o:title=""/>
              <o:lock v:ext="edit" aspectratio="f"/>
              <v:textbox inset="0mm,0mm,0mm,0mm" style="mso-fit-shape-to-text:t;">
                <w:txbxContent>
                  <w:p w14:paraId="030109E6">
                    <w:pPr>
                      <w:pStyle w:val="53"/>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hanging="105"/>
      </w:pPr>
      <w:r>
        <w:separator/>
      </w:r>
    </w:p>
  </w:footnote>
  <w:footnote w:type="continuationSeparator" w:id="1">
    <w:p>
      <w:pPr>
        <w:spacing w:line="360" w:lineRule="auto"/>
        <w:ind w:hanging="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7F8E">
    <w:pPr>
      <w:pStyle w:val="55"/>
      <w:pBdr>
        <w:bottom w:val="none" w:color="auto" w:sz="0" w:space="1"/>
      </w:pBdr>
      <w:jc w:val="left"/>
      <w:rPr>
        <w:rFonts w:hint="eastAsia" w:ascii="仿宋" w:hAnsi="仿宋" w:eastAsia="仿宋" w:cs="仿宋"/>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4B262">
    <w:pPr>
      <w:pStyle w:val="30"/>
      <w:pBdr>
        <w:bottom w:val="none" w:color="auto" w:sz="0" w:space="0"/>
      </w:pBdr>
      <w:bidi w:val="0"/>
      <w:ind w:left="0" w:leftChars="0" w:firstLine="0" w:firstLineChars="0"/>
      <w:jc w:val="center"/>
      <w:rPr>
        <w:rFonts w:hint="eastAsia"/>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41ED8">
    <w:pPr>
      <w:pStyle w:val="55"/>
      <w:rPr>
        <w:rFonts w:hint="default"/>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5D454">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2CD4D">
    <w:pPr>
      <w:pStyle w:val="55"/>
      <w:pBdr>
        <w:bottom w:val="none" w:color="auto" w:sz="0" w:space="1"/>
      </w:pBdr>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3B5D4"/>
    <w:multiLevelType w:val="singleLevel"/>
    <w:tmpl w:val="AE83B5D4"/>
    <w:lvl w:ilvl="0" w:tentative="0">
      <w:start w:val="1"/>
      <w:numFmt w:val="decimal"/>
      <w:suff w:val="nothing"/>
      <w:lvlText w:val="%1、"/>
      <w:lvlJc w:val="left"/>
    </w:lvl>
  </w:abstractNum>
  <w:abstractNum w:abstractNumId="1">
    <w:nsid w:val="BE9D1DEC"/>
    <w:multiLevelType w:val="singleLevel"/>
    <w:tmpl w:val="BE9D1DEC"/>
    <w:lvl w:ilvl="0" w:tentative="0">
      <w:start w:val="17"/>
      <w:numFmt w:val="chineseCounting"/>
      <w:suff w:val="nothing"/>
      <w:lvlText w:val="（%1）"/>
      <w:lvlJc w:val="left"/>
      <w:rPr>
        <w:rFonts w:hint="eastAsia"/>
      </w:rPr>
    </w:lvl>
  </w:abstractNum>
  <w:abstractNum w:abstractNumId="2">
    <w:nsid w:val="D3C8F836"/>
    <w:multiLevelType w:val="singleLevel"/>
    <w:tmpl w:val="D3C8F836"/>
    <w:lvl w:ilvl="0" w:tentative="0">
      <w:start w:val="2"/>
      <w:numFmt w:val="chineseCounting"/>
      <w:suff w:val="nothing"/>
      <w:lvlText w:val="%1、"/>
      <w:lvlJc w:val="left"/>
      <w:rPr>
        <w:rFonts w:hint="eastAsia"/>
      </w:rPr>
    </w:lvl>
  </w:abstractNum>
  <w:abstractNum w:abstractNumId="3">
    <w:nsid w:val="FD756BF6"/>
    <w:multiLevelType w:val="singleLevel"/>
    <w:tmpl w:val="FD756BF6"/>
    <w:lvl w:ilvl="0" w:tentative="0">
      <w:start w:val="2"/>
      <w:numFmt w:val="chineseCounting"/>
      <w:suff w:val="nothing"/>
      <w:lvlText w:val="（%1）"/>
      <w:lvlJc w:val="left"/>
      <w:rPr>
        <w:rFonts w:hint="eastAsia"/>
      </w:rPr>
    </w:lvl>
  </w:abstractNum>
  <w:abstractNum w:abstractNumId="4">
    <w:nsid w:val="08A91A3C"/>
    <w:multiLevelType w:val="singleLevel"/>
    <w:tmpl w:val="08A91A3C"/>
    <w:lvl w:ilvl="0" w:tentative="0">
      <w:start w:val="9"/>
      <w:numFmt w:val="chineseCounting"/>
      <w:suff w:val="nothing"/>
      <w:lvlText w:val="（%1）"/>
      <w:lvlJc w:val="left"/>
      <w:rPr>
        <w:rFonts w:hint="eastAsia"/>
      </w:rPr>
    </w:lvl>
  </w:abstractNum>
  <w:abstractNum w:abstractNumId="5">
    <w:nsid w:val="09FD638A"/>
    <w:multiLevelType w:val="multilevel"/>
    <w:tmpl w:val="09FD638A"/>
    <w:lvl w:ilvl="0" w:tentative="0">
      <w:start w:val="1"/>
      <w:numFmt w:val="japaneseCounting"/>
      <w:pStyle w:val="140"/>
      <w:lvlText w:val="%1、"/>
      <w:lvlJc w:val="left"/>
      <w:pPr>
        <w:tabs>
          <w:tab w:val="left" w:pos="420"/>
        </w:tabs>
        <w:ind w:left="420" w:hanging="420"/>
      </w:pPr>
      <w:rPr>
        <w:rFonts w:hint="default"/>
      </w:rPr>
    </w:lvl>
    <w:lvl w:ilvl="1" w:tentative="0">
      <w:start w:val="1"/>
      <w:numFmt w:val="decimal"/>
      <w:lvlText w:val="%2、"/>
      <w:lvlJc w:val="left"/>
      <w:pPr>
        <w:tabs>
          <w:tab w:val="left" w:pos="644"/>
        </w:tabs>
        <w:ind w:left="644" w:hanging="360"/>
      </w:pPr>
      <w:rPr>
        <w:rFonts w:ascii="宋体" w:hAnsi="宋体" w:eastAsia="宋体" w:cs="Times New Roman"/>
      </w:rPr>
    </w:lvl>
    <w:lvl w:ilvl="2" w:tentative="0">
      <w:start w:val="2"/>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6D4198A"/>
    <w:multiLevelType w:val="multilevel"/>
    <w:tmpl w:val="36D4198A"/>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none"/>
      <w:lvlRestart w:val="0"/>
      <w:pStyle w:val="5"/>
      <w:isLgl/>
      <w:lvlText w:val="4.1.1.1"/>
      <w:lvlJc w:val="left"/>
      <w:pPr>
        <w:tabs>
          <w:tab w:val="left" w:pos="1751"/>
        </w:tabs>
        <w:ind w:left="17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3C7D36E3"/>
    <w:multiLevelType w:val="multilevel"/>
    <w:tmpl w:val="3C7D36E3"/>
    <w:lvl w:ilvl="0" w:tentative="0">
      <w:start w:val="1"/>
      <w:numFmt w:val="japaneseCounting"/>
      <w:pStyle w:val="2"/>
      <w:lvlText w:val="%1．"/>
      <w:lvlJc w:val="left"/>
      <w:pPr>
        <w:tabs>
          <w:tab w:val="left" w:pos="3060"/>
        </w:tabs>
        <w:ind w:left="3060" w:hanging="720"/>
      </w:pPr>
      <w:rPr>
        <w:b/>
        <w:sz w:val="36"/>
        <w:szCs w:val="36"/>
      </w:rPr>
    </w:lvl>
    <w:lvl w:ilvl="1" w:tentative="0">
      <w:start w:val="6"/>
      <w:numFmt w:val="decimal"/>
      <w:lvlText w:val="%2、"/>
      <w:lvlJc w:val="left"/>
      <w:pPr>
        <w:tabs>
          <w:tab w:val="left" w:pos="3160"/>
        </w:tabs>
        <w:ind w:left="3160" w:hanging="825"/>
      </w:pPr>
    </w:lvl>
    <w:lvl w:ilvl="2" w:tentative="0">
      <w:start w:val="2"/>
      <w:numFmt w:val="japaneseCounting"/>
      <w:lvlText w:val="%3、"/>
      <w:lvlJc w:val="left"/>
      <w:pPr>
        <w:tabs>
          <w:tab w:val="left" w:pos="3475"/>
        </w:tabs>
        <w:ind w:left="3475" w:hanging="720"/>
      </w:pPr>
      <w:rPr>
        <w:b/>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4D097078"/>
    <w:multiLevelType w:val="singleLevel"/>
    <w:tmpl w:val="4D097078"/>
    <w:lvl w:ilvl="0" w:tentative="0">
      <w:start w:val="1"/>
      <w:numFmt w:val="decimal"/>
      <w:lvlText w:val="%1."/>
      <w:lvlJc w:val="left"/>
      <w:pPr>
        <w:tabs>
          <w:tab w:val="left" w:pos="312"/>
        </w:tabs>
      </w:pPr>
    </w:lvl>
  </w:abstractNum>
  <w:abstractNum w:abstractNumId="9">
    <w:nsid w:val="606EAEF3"/>
    <w:multiLevelType w:val="singleLevel"/>
    <w:tmpl w:val="606EAEF3"/>
    <w:lvl w:ilvl="0" w:tentative="0">
      <w:start w:val="1"/>
      <w:numFmt w:val="decimal"/>
      <w:suff w:val="nothing"/>
      <w:lvlText w:val="（%1）"/>
      <w:lvlJc w:val="left"/>
    </w:lvl>
  </w:abstractNum>
  <w:abstractNum w:abstractNumId="10">
    <w:nsid w:val="7FD2D867"/>
    <w:multiLevelType w:val="singleLevel"/>
    <w:tmpl w:val="7FD2D867"/>
    <w:lvl w:ilvl="0" w:tentative="0">
      <w:start w:val="6"/>
      <w:numFmt w:val="chineseCounting"/>
      <w:suff w:val="nothing"/>
      <w:lvlText w:val="（%1）"/>
      <w:lvlJc w:val="left"/>
      <w:rPr>
        <w:rFonts w:hint="eastAsia"/>
      </w:rPr>
    </w:lvl>
  </w:abstractNum>
  <w:num w:numId="1">
    <w:abstractNumId w:val="7"/>
  </w:num>
  <w:num w:numId="2">
    <w:abstractNumId w:val="6"/>
  </w:num>
  <w:num w:numId="3">
    <w:abstractNumId w:val="5"/>
  </w:num>
  <w:num w:numId="4">
    <w:abstractNumId w:val="9"/>
  </w:num>
  <w:num w:numId="5">
    <w:abstractNumId w:val="3"/>
  </w:num>
  <w:num w:numId="6">
    <w:abstractNumId w:val="4"/>
  </w:num>
  <w:num w:numId="7">
    <w:abstractNumId w:val="2"/>
  </w:num>
  <w:num w:numId="8">
    <w:abstractNumId w:val="0"/>
  </w:num>
  <w:num w:numId="9">
    <w:abstractNumId w:val="1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yYTYwYjY5MmMwMzYzNjgwYTljM2Y4MzNlN2NkNGUifQ=="/>
    <w:docVar w:name="KSO_WPS_MARK_KEY" w:val="1fbe5ccf-db38-4a25-aaa2-68737bb3dcd4"/>
  </w:docVars>
  <w:rsids>
    <w:rsidRoot w:val="000669E3"/>
    <w:rsid w:val="0000017A"/>
    <w:rsid w:val="00001114"/>
    <w:rsid w:val="000015C3"/>
    <w:rsid w:val="000022DA"/>
    <w:rsid w:val="00002548"/>
    <w:rsid w:val="00002650"/>
    <w:rsid w:val="00002EB5"/>
    <w:rsid w:val="000047A6"/>
    <w:rsid w:val="00005531"/>
    <w:rsid w:val="0000598D"/>
    <w:rsid w:val="0000642A"/>
    <w:rsid w:val="00010945"/>
    <w:rsid w:val="00010D6A"/>
    <w:rsid w:val="00010DE7"/>
    <w:rsid w:val="000114C6"/>
    <w:rsid w:val="0001150B"/>
    <w:rsid w:val="000119F6"/>
    <w:rsid w:val="00011ACB"/>
    <w:rsid w:val="0001305F"/>
    <w:rsid w:val="0001321B"/>
    <w:rsid w:val="00013CD2"/>
    <w:rsid w:val="00014A81"/>
    <w:rsid w:val="000153DC"/>
    <w:rsid w:val="00015A0D"/>
    <w:rsid w:val="00015EFC"/>
    <w:rsid w:val="00017574"/>
    <w:rsid w:val="00021ABA"/>
    <w:rsid w:val="00021B8D"/>
    <w:rsid w:val="00023BA4"/>
    <w:rsid w:val="00023E15"/>
    <w:rsid w:val="00023EAB"/>
    <w:rsid w:val="00024218"/>
    <w:rsid w:val="000249A0"/>
    <w:rsid w:val="000249C0"/>
    <w:rsid w:val="00024AFD"/>
    <w:rsid w:val="0002736B"/>
    <w:rsid w:val="00027C9F"/>
    <w:rsid w:val="00027D10"/>
    <w:rsid w:val="000304EB"/>
    <w:rsid w:val="00030E3D"/>
    <w:rsid w:val="000310D4"/>
    <w:rsid w:val="000313F5"/>
    <w:rsid w:val="00031D85"/>
    <w:rsid w:val="00032314"/>
    <w:rsid w:val="000331FC"/>
    <w:rsid w:val="00033F3F"/>
    <w:rsid w:val="00034325"/>
    <w:rsid w:val="00034591"/>
    <w:rsid w:val="00034620"/>
    <w:rsid w:val="00035933"/>
    <w:rsid w:val="000402B7"/>
    <w:rsid w:val="000419EE"/>
    <w:rsid w:val="00042652"/>
    <w:rsid w:val="00042AD1"/>
    <w:rsid w:val="00043140"/>
    <w:rsid w:val="00043B2F"/>
    <w:rsid w:val="00044301"/>
    <w:rsid w:val="00044550"/>
    <w:rsid w:val="00046295"/>
    <w:rsid w:val="000468CA"/>
    <w:rsid w:val="000503CE"/>
    <w:rsid w:val="00051B8A"/>
    <w:rsid w:val="000529BE"/>
    <w:rsid w:val="00052CBC"/>
    <w:rsid w:val="00052DB3"/>
    <w:rsid w:val="00052F6D"/>
    <w:rsid w:val="0005368B"/>
    <w:rsid w:val="00053C23"/>
    <w:rsid w:val="00053CFF"/>
    <w:rsid w:val="00053E1F"/>
    <w:rsid w:val="00053E58"/>
    <w:rsid w:val="00054F1F"/>
    <w:rsid w:val="00055868"/>
    <w:rsid w:val="00055CAE"/>
    <w:rsid w:val="00056A9F"/>
    <w:rsid w:val="00062622"/>
    <w:rsid w:val="000626D5"/>
    <w:rsid w:val="00062F9B"/>
    <w:rsid w:val="000638E6"/>
    <w:rsid w:val="00065C00"/>
    <w:rsid w:val="00065C0F"/>
    <w:rsid w:val="000669E3"/>
    <w:rsid w:val="0006748A"/>
    <w:rsid w:val="00067FC5"/>
    <w:rsid w:val="0007065D"/>
    <w:rsid w:val="00070921"/>
    <w:rsid w:val="0007118D"/>
    <w:rsid w:val="0007251F"/>
    <w:rsid w:val="00072667"/>
    <w:rsid w:val="00072A12"/>
    <w:rsid w:val="000740C5"/>
    <w:rsid w:val="000759C0"/>
    <w:rsid w:val="0007642E"/>
    <w:rsid w:val="00076886"/>
    <w:rsid w:val="00076B8F"/>
    <w:rsid w:val="000773C9"/>
    <w:rsid w:val="000807F9"/>
    <w:rsid w:val="000809ED"/>
    <w:rsid w:val="00080BDF"/>
    <w:rsid w:val="00080D57"/>
    <w:rsid w:val="00080EFF"/>
    <w:rsid w:val="00081459"/>
    <w:rsid w:val="000814B9"/>
    <w:rsid w:val="00081F12"/>
    <w:rsid w:val="000823DF"/>
    <w:rsid w:val="000827B7"/>
    <w:rsid w:val="0008305D"/>
    <w:rsid w:val="0008316E"/>
    <w:rsid w:val="0008364F"/>
    <w:rsid w:val="00084DF5"/>
    <w:rsid w:val="00084E6B"/>
    <w:rsid w:val="000853FA"/>
    <w:rsid w:val="0008688C"/>
    <w:rsid w:val="00087211"/>
    <w:rsid w:val="0009027E"/>
    <w:rsid w:val="000911EB"/>
    <w:rsid w:val="00091957"/>
    <w:rsid w:val="00094282"/>
    <w:rsid w:val="00095C12"/>
    <w:rsid w:val="00096651"/>
    <w:rsid w:val="00097124"/>
    <w:rsid w:val="000978D2"/>
    <w:rsid w:val="000A00AB"/>
    <w:rsid w:val="000A0A41"/>
    <w:rsid w:val="000A17B6"/>
    <w:rsid w:val="000A2663"/>
    <w:rsid w:val="000A28E5"/>
    <w:rsid w:val="000A3084"/>
    <w:rsid w:val="000A3430"/>
    <w:rsid w:val="000A3489"/>
    <w:rsid w:val="000A4486"/>
    <w:rsid w:val="000A54E2"/>
    <w:rsid w:val="000A5A93"/>
    <w:rsid w:val="000A637F"/>
    <w:rsid w:val="000A656C"/>
    <w:rsid w:val="000A6BCB"/>
    <w:rsid w:val="000A6DE4"/>
    <w:rsid w:val="000A7182"/>
    <w:rsid w:val="000A75D6"/>
    <w:rsid w:val="000A7DC8"/>
    <w:rsid w:val="000B09E9"/>
    <w:rsid w:val="000B13CF"/>
    <w:rsid w:val="000B215B"/>
    <w:rsid w:val="000B2B45"/>
    <w:rsid w:val="000B2F20"/>
    <w:rsid w:val="000B4C14"/>
    <w:rsid w:val="000B58F9"/>
    <w:rsid w:val="000B716F"/>
    <w:rsid w:val="000C0145"/>
    <w:rsid w:val="000C08E5"/>
    <w:rsid w:val="000C0BCC"/>
    <w:rsid w:val="000C0C52"/>
    <w:rsid w:val="000C151F"/>
    <w:rsid w:val="000C1B22"/>
    <w:rsid w:val="000C300F"/>
    <w:rsid w:val="000C3573"/>
    <w:rsid w:val="000C44B1"/>
    <w:rsid w:val="000C48E5"/>
    <w:rsid w:val="000C49E3"/>
    <w:rsid w:val="000C4EB1"/>
    <w:rsid w:val="000C503A"/>
    <w:rsid w:val="000C5544"/>
    <w:rsid w:val="000C589D"/>
    <w:rsid w:val="000C5B1C"/>
    <w:rsid w:val="000D0CFC"/>
    <w:rsid w:val="000D1AB0"/>
    <w:rsid w:val="000D1CDF"/>
    <w:rsid w:val="000D25FE"/>
    <w:rsid w:val="000D47D6"/>
    <w:rsid w:val="000D67EF"/>
    <w:rsid w:val="000D6CB9"/>
    <w:rsid w:val="000D6D98"/>
    <w:rsid w:val="000D74DC"/>
    <w:rsid w:val="000D7AAD"/>
    <w:rsid w:val="000D7ED7"/>
    <w:rsid w:val="000E0613"/>
    <w:rsid w:val="000E0653"/>
    <w:rsid w:val="000E1B78"/>
    <w:rsid w:val="000E2252"/>
    <w:rsid w:val="000E2C6C"/>
    <w:rsid w:val="000E3A28"/>
    <w:rsid w:val="000E4029"/>
    <w:rsid w:val="000E46AE"/>
    <w:rsid w:val="000E7122"/>
    <w:rsid w:val="000E73E6"/>
    <w:rsid w:val="000F0270"/>
    <w:rsid w:val="000F0EA1"/>
    <w:rsid w:val="000F2007"/>
    <w:rsid w:val="000F2BD0"/>
    <w:rsid w:val="000F2D7A"/>
    <w:rsid w:val="000F5A7D"/>
    <w:rsid w:val="000F5BB0"/>
    <w:rsid w:val="000F761E"/>
    <w:rsid w:val="00100687"/>
    <w:rsid w:val="001010CA"/>
    <w:rsid w:val="001019D2"/>
    <w:rsid w:val="0010264D"/>
    <w:rsid w:val="00103CA2"/>
    <w:rsid w:val="00104E91"/>
    <w:rsid w:val="0010533E"/>
    <w:rsid w:val="0010584C"/>
    <w:rsid w:val="00106A4E"/>
    <w:rsid w:val="001075E1"/>
    <w:rsid w:val="00112154"/>
    <w:rsid w:val="001125E0"/>
    <w:rsid w:val="00112EDF"/>
    <w:rsid w:val="001143F1"/>
    <w:rsid w:val="00116422"/>
    <w:rsid w:val="00117B8A"/>
    <w:rsid w:val="00120B86"/>
    <w:rsid w:val="00122A99"/>
    <w:rsid w:val="00122ED8"/>
    <w:rsid w:val="00124803"/>
    <w:rsid w:val="00126D9E"/>
    <w:rsid w:val="001272CC"/>
    <w:rsid w:val="00130228"/>
    <w:rsid w:val="0013032D"/>
    <w:rsid w:val="00130816"/>
    <w:rsid w:val="00130B51"/>
    <w:rsid w:val="001316AE"/>
    <w:rsid w:val="0013181B"/>
    <w:rsid w:val="00131BC1"/>
    <w:rsid w:val="001329D2"/>
    <w:rsid w:val="00133E1A"/>
    <w:rsid w:val="00134D40"/>
    <w:rsid w:val="00134ED4"/>
    <w:rsid w:val="00136EB6"/>
    <w:rsid w:val="00140763"/>
    <w:rsid w:val="00140EBD"/>
    <w:rsid w:val="00140FA9"/>
    <w:rsid w:val="001420B1"/>
    <w:rsid w:val="0014510E"/>
    <w:rsid w:val="00145DB0"/>
    <w:rsid w:val="00146C42"/>
    <w:rsid w:val="00147DFE"/>
    <w:rsid w:val="001503D3"/>
    <w:rsid w:val="0015071A"/>
    <w:rsid w:val="00150CC4"/>
    <w:rsid w:val="00151386"/>
    <w:rsid w:val="00152CDC"/>
    <w:rsid w:val="0015399B"/>
    <w:rsid w:val="00154A06"/>
    <w:rsid w:val="001554A8"/>
    <w:rsid w:val="001563BC"/>
    <w:rsid w:val="001574CB"/>
    <w:rsid w:val="00157F0D"/>
    <w:rsid w:val="00163FC6"/>
    <w:rsid w:val="00164ADD"/>
    <w:rsid w:val="00164FC3"/>
    <w:rsid w:val="00165654"/>
    <w:rsid w:val="00165E50"/>
    <w:rsid w:val="0016665E"/>
    <w:rsid w:val="0016685F"/>
    <w:rsid w:val="00166E54"/>
    <w:rsid w:val="001673D2"/>
    <w:rsid w:val="001673EE"/>
    <w:rsid w:val="00167E73"/>
    <w:rsid w:val="001703C1"/>
    <w:rsid w:val="00171B01"/>
    <w:rsid w:val="00171FF9"/>
    <w:rsid w:val="00172DBD"/>
    <w:rsid w:val="0017422B"/>
    <w:rsid w:val="001751A7"/>
    <w:rsid w:val="00175F29"/>
    <w:rsid w:val="00176A84"/>
    <w:rsid w:val="00176DF7"/>
    <w:rsid w:val="00177B4D"/>
    <w:rsid w:val="0018036A"/>
    <w:rsid w:val="00180AE6"/>
    <w:rsid w:val="00180B35"/>
    <w:rsid w:val="00181EED"/>
    <w:rsid w:val="00182063"/>
    <w:rsid w:val="001821B8"/>
    <w:rsid w:val="0018225C"/>
    <w:rsid w:val="00182674"/>
    <w:rsid w:val="00182D50"/>
    <w:rsid w:val="001843F4"/>
    <w:rsid w:val="00184498"/>
    <w:rsid w:val="00185EC2"/>
    <w:rsid w:val="00185F02"/>
    <w:rsid w:val="00186104"/>
    <w:rsid w:val="00186890"/>
    <w:rsid w:val="00186C70"/>
    <w:rsid w:val="00187210"/>
    <w:rsid w:val="001876C3"/>
    <w:rsid w:val="001907CD"/>
    <w:rsid w:val="00191F54"/>
    <w:rsid w:val="0019412C"/>
    <w:rsid w:val="001A0274"/>
    <w:rsid w:val="001A0317"/>
    <w:rsid w:val="001A1BE0"/>
    <w:rsid w:val="001A209D"/>
    <w:rsid w:val="001A2183"/>
    <w:rsid w:val="001A31A3"/>
    <w:rsid w:val="001A369C"/>
    <w:rsid w:val="001A445A"/>
    <w:rsid w:val="001A47C4"/>
    <w:rsid w:val="001A4D87"/>
    <w:rsid w:val="001A5E39"/>
    <w:rsid w:val="001A6370"/>
    <w:rsid w:val="001A682D"/>
    <w:rsid w:val="001A68E9"/>
    <w:rsid w:val="001B0C12"/>
    <w:rsid w:val="001B1015"/>
    <w:rsid w:val="001B19E3"/>
    <w:rsid w:val="001B2FCD"/>
    <w:rsid w:val="001B4E3B"/>
    <w:rsid w:val="001B51BA"/>
    <w:rsid w:val="001B5A58"/>
    <w:rsid w:val="001B6088"/>
    <w:rsid w:val="001B6DFC"/>
    <w:rsid w:val="001B77D6"/>
    <w:rsid w:val="001C277F"/>
    <w:rsid w:val="001C34EC"/>
    <w:rsid w:val="001C3636"/>
    <w:rsid w:val="001C4FEE"/>
    <w:rsid w:val="001C54D1"/>
    <w:rsid w:val="001C5A28"/>
    <w:rsid w:val="001C5B8B"/>
    <w:rsid w:val="001C5C24"/>
    <w:rsid w:val="001C78B4"/>
    <w:rsid w:val="001C7A72"/>
    <w:rsid w:val="001C7D0B"/>
    <w:rsid w:val="001D172A"/>
    <w:rsid w:val="001D1A84"/>
    <w:rsid w:val="001D2B44"/>
    <w:rsid w:val="001D307A"/>
    <w:rsid w:val="001D3CB3"/>
    <w:rsid w:val="001D50C9"/>
    <w:rsid w:val="001D648E"/>
    <w:rsid w:val="001D652E"/>
    <w:rsid w:val="001D76F5"/>
    <w:rsid w:val="001D7F5D"/>
    <w:rsid w:val="001E0B3C"/>
    <w:rsid w:val="001E1094"/>
    <w:rsid w:val="001E125F"/>
    <w:rsid w:val="001E1361"/>
    <w:rsid w:val="001E20D3"/>
    <w:rsid w:val="001E2E9F"/>
    <w:rsid w:val="001E34A1"/>
    <w:rsid w:val="001E35F7"/>
    <w:rsid w:val="001E4AC4"/>
    <w:rsid w:val="001F044D"/>
    <w:rsid w:val="001F0914"/>
    <w:rsid w:val="001F0B9A"/>
    <w:rsid w:val="001F1932"/>
    <w:rsid w:val="001F251A"/>
    <w:rsid w:val="001F2F02"/>
    <w:rsid w:val="001F3FE1"/>
    <w:rsid w:val="001F50AA"/>
    <w:rsid w:val="001F5C57"/>
    <w:rsid w:val="001F7016"/>
    <w:rsid w:val="00200EBC"/>
    <w:rsid w:val="00201899"/>
    <w:rsid w:val="002046CE"/>
    <w:rsid w:val="00205775"/>
    <w:rsid w:val="00205C63"/>
    <w:rsid w:val="00206399"/>
    <w:rsid w:val="00206466"/>
    <w:rsid w:val="00206B62"/>
    <w:rsid w:val="00210567"/>
    <w:rsid w:val="002106E5"/>
    <w:rsid w:val="00210735"/>
    <w:rsid w:val="00210779"/>
    <w:rsid w:val="00211D4E"/>
    <w:rsid w:val="00213F35"/>
    <w:rsid w:val="00214516"/>
    <w:rsid w:val="00214BDF"/>
    <w:rsid w:val="00215804"/>
    <w:rsid w:val="00215A2B"/>
    <w:rsid w:val="00215AE9"/>
    <w:rsid w:val="00216F0D"/>
    <w:rsid w:val="00217A2E"/>
    <w:rsid w:val="00217EC2"/>
    <w:rsid w:val="0022055F"/>
    <w:rsid w:val="00220D49"/>
    <w:rsid w:val="0022288C"/>
    <w:rsid w:val="00222B45"/>
    <w:rsid w:val="0022312B"/>
    <w:rsid w:val="0022394B"/>
    <w:rsid w:val="00223AF4"/>
    <w:rsid w:val="0022587A"/>
    <w:rsid w:val="00225910"/>
    <w:rsid w:val="00225BED"/>
    <w:rsid w:val="0022731E"/>
    <w:rsid w:val="00227928"/>
    <w:rsid w:val="00227CFB"/>
    <w:rsid w:val="00230046"/>
    <w:rsid w:val="002305CA"/>
    <w:rsid w:val="00230C25"/>
    <w:rsid w:val="002328CF"/>
    <w:rsid w:val="00232932"/>
    <w:rsid w:val="00232FA4"/>
    <w:rsid w:val="00234BD6"/>
    <w:rsid w:val="00234C06"/>
    <w:rsid w:val="00234DD4"/>
    <w:rsid w:val="00234FB7"/>
    <w:rsid w:val="0023754C"/>
    <w:rsid w:val="002375E1"/>
    <w:rsid w:val="00237AB6"/>
    <w:rsid w:val="00237CCF"/>
    <w:rsid w:val="00237E62"/>
    <w:rsid w:val="002401A9"/>
    <w:rsid w:val="00240E9F"/>
    <w:rsid w:val="00241351"/>
    <w:rsid w:val="00242ECA"/>
    <w:rsid w:val="00243621"/>
    <w:rsid w:val="002438B3"/>
    <w:rsid w:val="002448E9"/>
    <w:rsid w:val="00244B0E"/>
    <w:rsid w:val="002458F6"/>
    <w:rsid w:val="002465C5"/>
    <w:rsid w:val="00247AD9"/>
    <w:rsid w:val="002508D9"/>
    <w:rsid w:val="00251C08"/>
    <w:rsid w:val="00252988"/>
    <w:rsid w:val="00252E05"/>
    <w:rsid w:val="0025456F"/>
    <w:rsid w:val="002577F4"/>
    <w:rsid w:val="0026026B"/>
    <w:rsid w:val="00260F9D"/>
    <w:rsid w:val="00261188"/>
    <w:rsid w:val="00261D5A"/>
    <w:rsid w:val="00262BB1"/>
    <w:rsid w:val="00262E8F"/>
    <w:rsid w:val="00264567"/>
    <w:rsid w:val="00265348"/>
    <w:rsid w:val="00265855"/>
    <w:rsid w:val="00265DED"/>
    <w:rsid w:val="0026623D"/>
    <w:rsid w:val="0026630F"/>
    <w:rsid w:val="0026671C"/>
    <w:rsid w:val="00267082"/>
    <w:rsid w:val="002677F0"/>
    <w:rsid w:val="002678AD"/>
    <w:rsid w:val="00267D5B"/>
    <w:rsid w:val="0027056C"/>
    <w:rsid w:val="002708B6"/>
    <w:rsid w:val="0027184E"/>
    <w:rsid w:val="0027516A"/>
    <w:rsid w:val="002755A1"/>
    <w:rsid w:val="00276715"/>
    <w:rsid w:val="00276C41"/>
    <w:rsid w:val="00277C87"/>
    <w:rsid w:val="002800E8"/>
    <w:rsid w:val="0028090B"/>
    <w:rsid w:val="0028183B"/>
    <w:rsid w:val="00281E6C"/>
    <w:rsid w:val="00281F2F"/>
    <w:rsid w:val="0028234E"/>
    <w:rsid w:val="00284FE8"/>
    <w:rsid w:val="0028549A"/>
    <w:rsid w:val="0028661F"/>
    <w:rsid w:val="002870C8"/>
    <w:rsid w:val="00287C0A"/>
    <w:rsid w:val="00287CA0"/>
    <w:rsid w:val="00287EAD"/>
    <w:rsid w:val="00290897"/>
    <w:rsid w:val="0029105E"/>
    <w:rsid w:val="002919A1"/>
    <w:rsid w:val="00294B33"/>
    <w:rsid w:val="0029648F"/>
    <w:rsid w:val="00297917"/>
    <w:rsid w:val="002A0A5F"/>
    <w:rsid w:val="002A0B27"/>
    <w:rsid w:val="002A0F40"/>
    <w:rsid w:val="002A26D8"/>
    <w:rsid w:val="002A2D80"/>
    <w:rsid w:val="002A2FAF"/>
    <w:rsid w:val="002A48FD"/>
    <w:rsid w:val="002A6220"/>
    <w:rsid w:val="002A669B"/>
    <w:rsid w:val="002A7712"/>
    <w:rsid w:val="002A7A8A"/>
    <w:rsid w:val="002A7A9F"/>
    <w:rsid w:val="002B143B"/>
    <w:rsid w:val="002B1871"/>
    <w:rsid w:val="002B2532"/>
    <w:rsid w:val="002B2E65"/>
    <w:rsid w:val="002B5BAB"/>
    <w:rsid w:val="002B6C2B"/>
    <w:rsid w:val="002B73DC"/>
    <w:rsid w:val="002C1816"/>
    <w:rsid w:val="002C275C"/>
    <w:rsid w:val="002C30CE"/>
    <w:rsid w:val="002C4052"/>
    <w:rsid w:val="002C4279"/>
    <w:rsid w:val="002D086B"/>
    <w:rsid w:val="002D1689"/>
    <w:rsid w:val="002D18BE"/>
    <w:rsid w:val="002D3361"/>
    <w:rsid w:val="002D384F"/>
    <w:rsid w:val="002D3D79"/>
    <w:rsid w:val="002D6C2A"/>
    <w:rsid w:val="002D737E"/>
    <w:rsid w:val="002E02EE"/>
    <w:rsid w:val="002E0371"/>
    <w:rsid w:val="002E0BB8"/>
    <w:rsid w:val="002E1A29"/>
    <w:rsid w:val="002E1ABA"/>
    <w:rsid w:val="002E203E"/>
    <w:rsid w:val="002E2D94"/>
    <w:rsid w:val="002E3DD4"/>
    <w:rsid w:val="002E47C4"/>
    <w:rsid w:val="002E4C49"/>
    <w:rsid w:val="002E4E8E"/>
    <w:rsid w:val="002E5294"/>
    <w:rsid w:val="002E6A78"/>
    <w:rsid w:val="002E7075"/>
    <w:rsid w:val="002E725F"/>
    <w:rsid w:val="002E7791"/>
    <w:rsid w:val="002F150F"/>
    <w:rsid w:val="002F1805"/>
    <w:rsid w:val="002F1995"/>
    <w:rsid w:val="002F26A1"/>
    <w:rsid w:val="002F2D76"/>
    <w:rsid w:val="002F3AB0"/>
    <w:rsid w:val="002F413D"/>
    <w:rsid w:val="002F428F"/>
    <w:rsid w:val="002F5045"/>
    <w:rsid w:val="002F51E7"/>
    <w:rsid w:val="002F59D8"/>
    <w:rsid w:val="002F76F0"/>
    <w:rsid w:val="00300E0F"/>
    <w:rsid w:val="00301EF9"/>
    <w:rsid w:val="00302080"/>
    <w:rsid w:val="003020B5"/>
    <w:rsid w:val="00302F74"/>
    <w:rsid w:val="00303055"/>
    <w:rsid w:val="003033A3"/>
    <w:rsid w:val="0030385D"/>
    <w:rsid w:val="00303C2D"/>
    <w:rsid w:val="00303F79"/>
    <w:rsid w:val="003048B3"/>
    <w:rsid w:val="00304A0C"/>
    <w:rsid w:val="0030501A"/>
    <w:rsid w:val="00305368"/>
    <w:rsid w:val="00306817"/>
    <w:rsid w:val="003076A5"/>
    <w:rsid w:val="003078CC"/>
    <w:rsid w:val="0031073E"/>
    <w:rsid w:val="00311745"/>
    <w:rsid w:val="00311FEF"/>
    <w:rsid w:val="00312880"/>
    <w:rsid w:val="00313787"/>
    <w:rsid w:val="00313F38"/>
    <w:rsid w:val="003157FB"/>
    <w:rsid w:val="003166D3"/>
    <w:rsid w:val="003168EE"/>
    <w:rsid w:val="0031702E"/>
    <w:rsid w:val="003179C7"/>
    <w:rsid w:val="00320629"/>
    <w:rsid w:val="0032092B"/>
    <w:rsid w:val="003224E4"/>
    <w:rsid w:val="00323827"/>
    <w:rsid w:val="00324CCA"/>
    <w:rsid w:val="003258EA"/>
    <w:rsid w:val="00325C18"/>
    <w:rsid w:val="0032775D"/>
    <w:rsid w:val="0033022F"/>
    <w:rsid w:val="00330DAC"/>
    <w:rsid w:val="003312E9"/>
    <w:rsid w:val="00333A2A"/>
    <w:rsid w:val="00333D70"/>
    <w:rsid w:val="00333F2B"/>
    <w:rsid w:val="003346C4"/>
    <w:rsid w:val="003349B6"/>
    <w:rsid w:val="00334DA5"/>
    <w:rsid w:val="00335545"/>
    <w:rsid w:val="00335CE0"/>
    <w:rsid w:val="003371BE"/>
    <w:rsid w:val="003373A0"/>
    <w:rsid w:val="003401CD"/>
    <w:rsid w:val="0034087F"/>
    <w:rsid w:val="00341D70"/>
    <w:rsid w:val="0034229B"/>
    <w:rsid w:val="003429D3"/>
    <w:rsid w:val="00342A81"/>
    <w:rsid w:val="00343A8A"/>
    <w:rsid w:val="00345AB4"/>
    <w:rsid w:val="00346C9C"/>
    <w:rsid w:val="00347A92"/>
    <w:rsid w:val="003507F5"/>
    <w:rsid w:val="00350C32"/>
    <w:rsid w:val="00351FE4"/>
    <w:rsid w:val="00352320"/>
    <w:rsid w:val="0035257D"/>
    <w:rsid w:val="00353954"/>
    <w:rsid w:val="00353C4D"/>
    <w:rsid w:val="003541AE"/>
    <w:rsid w:val="0035479E"/>
    <w:rsid w:val="003548F1"/>
    <w:rsid w:val="003562EB"/>
    <w:rsid w:val="00356E84"/>
    <w:rsid w:val="00357D62"/>
    <w:rsid w:val="0036063A"/>
    <w:rsid w:val="00360A3E"/>
    <w:rsid w:val="00360B9D"/>
    <w:rsid w:val="0036130F"/>
    <w:rsid w:val="0036167B"/>
    <w:rsid w:val="00361684"/>
    <w:rsid w:val="003645AF"/>
    <w:rsid w:val="00364B71"/>
    <w:rsid w:val="00365B7E"/>
    <w:rsid w:val="00365F2D"/>
    <w:rsid w:val="0036642F"/>
    <w:rsid w:val="00366761"/>
    <w:rsid w:val="003670FA"/>
    <w:rsid w:val="003679E4"/>
    <w:rsid w:val="00367A9B"/>
    <w:rsid w:val="00370524"/>
    <w:rsid w:val="00370C6A"/>
    <w:rsid w:val="00371C2E"/>
    <w:rsid w:val="00372B46"/>
    <w:rsid w:val="0037375D"/>
    <w:rsid w:val="00374FED"/>
    <w:rsid w:val="00375107"/>
    <w:rsid w:val="00375573"/>
    <w:rsid w:val="003759A0"/>
    <w:rsid w:val="00375B6D"/>
    <w:rsid w:val="00375C10"/>
    <w:rsid w:val="00376A15"/>
    <w:rsid w:val="003773EB"/>
    <w:rsid w:val="00380A14"/>
    <w:rsid w:val="00381665"/>
    <w:rsid w:val="003823BC"/>
    <w:rsid w:val="003832BE"/>
    <w:rsid w:val="0038369A"/>
    <w:rsid w:val="0038396D"/>
    <w:rsid w:val="00383EE5"/>
    <w:rsid w:val="003848E0"/>
    <w:rsid w:val="00384CBD"/>
    <w:rsid w:val="00384FC5"/>
    <w:rsid w:val="0038525B"/>
    <w:rsid w:val="0038632F"/>
    <w:rsid w:val="00386409"/>
    <w:rsid w:val="0038661C"/>
    <w:rsid w:val="00386ACF"/>
    <w:rsid w:val="003874F2"/>
    <w:rsid w:val="003879C0"/>
    <w:rsid w:val="00387AE0"/>
    <w:rsid w:val="00387DA8"/>
    <w:rsid w:val="00391B2F"/>
    <w:rsid w:val="0039274A"/>
    <w:rsid w:val="003933C9"/>
    <w:rsid w:val="00394ACA"/>
    <w:rsid w:val="0039530C"/>
    <w:rsid w:val="003953D8"/>
    <w:rsid w:val="00395D67"/>
    <w:rsid w:val="00396E06"/>
    <w:rsid w:val="00397958"/>
    <w:rsid w:val="00397F67"/>
    <w:rsid w:val="003A0949"/>
    <w:rsid w:val="003A0DFE"/>
    <w:rsid w:val="003A0F5F"/>
    <w:rsid w:val="003A28FF"/>
    <w:rsid w:val="003A2E0F"/>
    <w:rsid w:val="003A2F6A"/>
    <w:rsid w:val="003A3944"/>
    <w:rsid w:val="003A3ED4"/>
    <w:rsid w:val="003A45E3"/>
    <w:rsid w:val="003A4F1C"/>
    <w:rsid w:val="003A6AAD"/>
    <w:rsid w:val="003A6CD0"/>
    <w:rsid w:val="003A787B"/>
    <w:rsid w:val="003B0244"/>
    <w:rsid w:val="003B040E"/>
    <w:rsid w:val="003B0ED2"/>
    <w:rsid w:val="003B37FF"/>
    <w:rsid w:val="003B3FE2"/>
    <w:rsid w:val="003B47A6"/>
    <w:rsid w:val="003B4F6D"/>
    <w:rsid w:val="003B662F"/>
    <w:rsid w:val="003B6FBA"/>
    <w:rsid w:val="003C2486"/>
    <w:rsid w:val="003C2E48"/>
    <w:rsid w:val="003C344D"/>
    <w:rsid w:val="003C5D48"/>
    <w:rsid w:val="003C6884"/>
    <w:rsid w:val="003C7929"/>
    <w:rsid w:val="003D136A"/>
    <w:rsid w:val="003D34A6"/>
    <w:rsid w:val="003D3E14"/>
    <w:rsid w:val="003D5963"/>
    <w:rsid w:val="003D5D39"/>
    <w:rsid w:val="003D6E2F"/>
    <w:rsid w:val="003D6F18"/>
    <w:rsid w:val="003D7DD3"/>
    <w:rsid w:val="003E0576"/>
    <w:rsid w:val="003E0931"/>
    <w:rsid w:val="003E0BA4"/>
    <w:rsid w:val="003E116A"/>
    <w:rsid w:val="003E1353"/>
    <w:rsid w:val="003E36D7"/>
    <w:rsid w:val="003E3C0B"/>
    <w:rsid w:val="003E4252"/>
    <w:rsid w:val="003E43FB"/>
    <w:rsid w:val="003E497E"/>
    <w:rsid w:val="003E4BEB"/>
    <w:rsid w:val="003E5D43"/>
    <w:rsid w:val="003E6DEC"/>
    <w:rsid w:val="003E704E"/>
    <w:rsid w:val="003F04A8"/>
    <w:rsid w:val="003F04BF"/>
    <w:rsid w:val="003F1067"/>
    <w:rsid w:val="003F1D27"/>
    <w:rsid w:val="003F4481"/>
    <w:rsid w:val="003F5972"/>
    <w:rsid w:val="003F6407"/>
    <w:rsid w:val="003F64F4"/>
    <w:rsid w:val="003F6A6C"/>
    <w:rsid w:val="003F7AB8"/>
    <w:rsid w:val="00400114"/>
    <w:rsid w:val="00400273"/>
    <w:rsid w:val="0040042C"/>
    <w:rsid w:val="00400E85"/>
    <w:rsid w:val="004016B5"/>
    <w:rsid w:val="004025CE"/>
    <w:rsid w:val="00402A63"/>
    <w:rsid w:val="00402AEF"/>
    <w:rsid w:val="004030FD"/>
    <w:rsid w:val="00403E05"/>
    <w:rsid w:val="00404A3F"/>
    <w:rsid w:val="00404B74"/>
    <w:rsid w:val="00404C80"/>
    <w:rsid w:val="00404FCE"/>
    <w:rsid w:val="00405804"/>
    <w:rsid w:val="004067EE"/>
    <w:rsid w:val="00410DA0"/>
    <w:rsid w:val="00411DA4"/>
    <w:rsid w:val="00411DEA"/>
    <w:rsid w:val="004121F7"/>
    <w:rsid w:val="00412589"/>
    <w:rsid w:val="004128D6"/>
    <w:rsid w:val="00413960"/>
    <w:rsid w:val="004139A1"/>
    <w:rsid w:val="00413BA4"/>
    <w:rsid w:val="00413F15"/>
    <w:rsid w:val="004145D5"/>
    <w:rsid w:val="00414BCD"/>
    <w:rsid w:val="00415370"/>
    <w:rsid w:val="00416C8F"/>
    <w:rsid w:val="00416FF4"/>
    <w:rsid w:val="004171BA"/>
    <w:rsid w:val="004176EB"/>
    <w:rsid w:val="00417C7D"/>
    <w:rsid w:val="00420979"/>
    <w:rsid w:val="00420A77"/>
    <w:rsid w:val="00420EA3"/>
    <w:rsid w:val="00420FD7"/>
    <w:rsid w:val="004228E5"/>
    <w:rsid w:val="00422A51"/>
    <w:rsid w:val="00423BEF"/>
    <w:rsid w:val="00423E1B"/>
    <w:rsid w:val="0042407C"/>
    <w:rsid w:val="004243B9"/>
    <w:rsid w:val="004244A2"/>
    <w:rsid w:val="00425033"/>
    <w:rsid w:val="004253E4"/>
    <w:rsid w:val="0042573D"/>
    <w:rsid w:val="00427118"/>
    <w:rsid w:val="0043013B"/>
    <w:rsid w:val="004322F9"/>
    <w:rsid w:val="00432337"/>
    <w:rsid w:val="004327EA"/>
    <w:rsid w:val="00433101"/>
    <w:rsid w:val="00433B0F"/>
    <w:rsid w:val="004344EA"/>
    <w:rsid w:val="00434508"/>
    <w:rsid w:val="0043549A"/>
    <w:rsid w:val="004355D3"/>
    <w:rsid w:val="004356E3"/>
    <w:rsid w:val="0043639E"/>
    <w:rsid w:val="004371E1"/>
    <w:rsid w:val="004375D4"/>
    <w:rsid w:val="004400AB"/>
    <w:rsid w:val="0044017F"/>
    <w:rsid w:val="00440205"/>
    <w:rsid w:val="0044098C"/>
    <w:rsid w:val="004411D9"/>
    <w:rsid w:val="00441C9D"/>
    <w:rsid w:val="004432BF"/>
    <w:rsid w:val="004437A5"/>
    <w:rsid w:val="00443B69"/>
    <w:rsid w:val="00444E18"/>
    <w:rsid w:val="0044548B"/>
    <w:rsid w:val="00445DAF"/>
    <w:rsid w:val="00445E13"/>
    <w:rsid w:val="004475C4"/>
    <w:rsid w:val="004479E4"/>
    <w:rsid w:val="00447E03"/>
    <w:rsid w:val="00451772"/>
    <w:rsid w:val="004521D1"/>
    <w:rsid w:val="0045409D"/>
    <w:rsid w:val="0045570B"/>
    <w:rsid w:val="00456A9C"/>
    <w:rsid w:val="004571D7"/>
    <w:rsid w:val="004573B2"/>
    <w:rsid w:val="004574F3"/>
    <w:rsid w:val="00460639"/>
    <w:rsid w:val="00460D19"/>
    <w:rsid w:val="00461161"/>
    <w:rsid w:val="004618FA"/>
    <w:rsid w:val="00465079"/>
    <w:rsid w:val="0046514C"/>
    <w:rsid w:val="00465592"/>
    <w:rsid w:val="004675DF"/>
    <w:rsid w:val="0047018C"/>
    <w:rsid w:val="00470A8C"/>
    <w:rsid w:val="0047227B"/>
    <w:rsid w:val="00473739"/>
    <w:rsid w:val="00473B38"/>
    <w:rsid w:val="004753D6"/>
    <w:rsid w:val="00475AA4"/>
    <w:rsid w:val="00476E90"/>
    <w:rsid w:val="00477416"/>
    <w:rsid w:val="004778F2"/>
    <w:rsid w:val="00477C69"/>
    <w:rsid w:val="00477E36"/>
    <w:rsid w:val="00477FE3"/>
    <w:rsid w:val="004801E6"/>
    <w:rsid w:val="00481E30"/>
    <w:rsid w:val="00482554"/>
    <w:rsid w:val="004835A0"/>
    <w:rsid w:val="00483635"/>
    <w:rsid w:val="004845D8"/>
    <w:rsid w:val="00484C3A"/>
    <w:rsid w:val="00485679"/>
    <w:rsid w:val="004862E1"/>
    <w:rsid w:val="00486390"/>
    <w:rsid w:val="00487D25"/>
    <w:rsid w:val="00490B1E"/>
    <w:rsid w:val="00490DE6"/>
    <w:rsid w:val="004920AC"/>
    <w:rsid w:val="0049296C"/>
    <w:rsid w:val="00492B8C"/>
    <w:rsid w:val="00493748"/>
    <w:rsid w:val="00493EE0"/>
    <w:rsid w:val="00493F16"/>
    <w:rsid w:val="00494684"/>
    <w:rsid w:val="00494B2F"/>
    <w:rsid w:val="00495542"/>
    <w:rsid w:val="00495B0E"/>
    <w:rsid w:val="004A1116"/>
    <w:rsid w:val="004A1B71"/>
    <w:rsid w:val="004A1BE7"/>
    <w:rsid w:val="004A364A"/>
    <w:rsid w:val="004A3D6D"/>
    <w:rsid w:val="004A4A28"/>
    <w:rsid w:val="004A4AC3"/>
    <w:rsid w:val="004A53EA"/>
    <w:rsid w:val="004A5A08"/>
    <w:rsid w:val="004A5FED"/>
    <w:rsid w:val="004A6A23"/>
    <w:rsid w:val="004A6B35"/>
    <w:rsid w:val="004A6FF5"/>
    <w:rsid w:val="004A7C65"/>
    <w:rsid w:val="004B001F"/>
    <w:rsid w:val="004B02D1"/>
    <w:rsid w:val="004B0456"/>
    <w:rsid w:val="004B04E1"/>
    <w:rsid w:val="004B0DE6"/>
    <w:rsid w:val="004B23C0"/>
    <w:rsid w:val="004B2B38"/>
    <w:rsid w:val="004B32A3"/>
    <w:rsid w:val="004B38BE"/>
    <w:rsid w:val="004B3D19"/>
    <w:rsid w:val="004B41C2"/>
    <w:rsid w:val="004B56BD"/>
    <w:rsid w:val="004B6247"/>
    <w:rsid w:val="004B6633"/>
    <w:rsid w:val="004C053C"/>
    <w:rsid w:val="004C095A"/>
    <w:rsid w:val="004C0E71"/>
    <w:rsid w:val="004C25F4"/>
    <w:rsid w:val="004C3B9F"/>
    <w:rsid w:val="004C3E22"/>
    <w:rsid w:val="004C47ED"/>
    <w:rsid w:val="004C4E48"/>
    <w:rsid w:val="004C4E4C"/>
    <w:rsid w:val="004C608A"/>
    <w:rsid w:val="004C6692"/>
    <w:rsid w:val="004C69DC"/>
    <w:rsid w:val="004C6F25"/>
    <w:rsid w:val="004C7576"/>
    <w:rsid w:val="004D020C"/>
    <w:rsid w:val="004D03AD"/>
    <w:rsid w:val="004D0DAF"/>
    <w:rsid w:val="004D0ED6"/>
    <w:rsid w:val="004D1A60"/>
    <w:rsid w:val="004D1C4C"/>
    <w:rsid w:val="004D1C97"/>
    <w:rsid w:val="004D2FBF"/>
    <w:rsid w:val="004D3E95"/>
    <w:rsid w:val="004D4580"/>
    <w:rsid w:val="004D4988"/>
    <w:rsid w:val="004D5FB2"/>
    <w:rsid w:val="004D6490"/>
    <w:rsid w:val="004D688D"/>
    <w:rsid w:val="004D6BBE"/>
    <w:rsid w:val="004E246A"/>
    <w:rsid w:val="004E391C"/>
    <w:rsid w:val="004E415F"/>
    <w:rsid w:val="004E4EF5"/>
    <w:rsid w:val="004E54E3"/>
    <w:rsid w:val="004E6716"/>
    <w:rsid w:val="004E7063"/>
    <w:rsid w:val="004F01F1"/>
    <w:rsid w:val="004F027F"/>
    <w:rsid w:val="004F0F91"/>
    <w:rsid w:val="004F20B1"/>
    <w:rsid w:val="004F4FB2"/>
    <w:rsid w:val="004F6968"/>
    <w:rsid w:val="004F6AFF"/>
    <w:rsid w:val="004F70CB"/>
    <w:rsid w:val="004F7E87"/>
    <w:rsid w:val="005000C4"/>
    <w:rsid w:val="00500A48"/>
    <w:rsid w:val="00500C86"/>
    <w:rsid w:val="00500E17"/>
    <w:rsid w:val="00502D86"/>
    <w:rsid w:val="005031A1"/>
    <w:rsid w:val="00503ACC"/>
    <w:rsid w:val="00506C52"/>
    <w:rsid w:val="005075DE"/>
    <w:rsid w:val="00507C66"/>
    <w:rsid w:val="0051014F"/>
    <w:rsid w:val="0051020D"/>
    <w:rsid w:val="00510C56"/>
    <w:rsid w:val="00511160"/>
    <w:rsid w:val="00511607"/>
    <w:rsid w:val="0051179F"/>
    <w:rsid w:val="00511890"/>
    <w:rsid w:val="00512927"/>
    <w:rsid w:val="0051351F"/>
    <w:rsid w:val="00513730"/>
    <w:rsid w:val="00513CBB"/>
    <w:rsid w:val="005142E4"/>
    <w:rsid w:val="00514C05"/>
    <w:rsid w:val="00515082"/>
    <w:rsid w:val="00515272"/>
    <w:rsid w:val="005158A4"/>
    <w:rsid w:val="005165A1"/>
    <w:rsid w:val="005166D7"/>
    <w:rsid w:val="00516CCD"/>
    <w:rsid w:val="00517518"/>
    <w:rsid w:val="00517FC3"/>
    <w:rsid w:val="00520B7B"/>
    <w:rsid w:val="00520F97"/>
    <w:rsid w:val="0052167B"/>
    <w:rsid w:val="005224ED"/>
    <w:rsid w:val="005228B2"/>
    <w:rsid w:val="005231D7"/>
    <w:rsid w:val="005232E5"/>
    <w:rsid w:val="005235B3"/>
    <w:rsid w:val="005247E4"/>
    <w:rsid w:val="0052524E"/>
    <w:rsid w:val="005255CF"/>
    <w:rsid w:val="00525986"/>
    <w:rsid w:val="00525A69"/>
    <w:rsid w:val="00526B54"/>
    <w:rsid w:val="00526DA7"/>
    <w:rsid w:val="00526DB1"/>
    <w:rsid w:val="00526F0E"/>
    <w:rsid w:val="00527157"/>
    <w:rsid w:val="005279F2"/>
    <w:rsid w:val="00530301"/>
    <w:rsid w:val="00531B74"/>
    <w:rsid w:val="00533EFF"/>
    <w:rsid w:val="0053454E"/>
    <w:rsid w:val="00534A81"/>
    <w:rsid w:val="00534C2D"/>
    <w:rsid w:val="005372D7"/>
    <w:rsid w:val="005373F4"/>
    <w:rsid w:val="00537FCD"/>
    <w:rsid w:val="005401BA"/>
    <w:rsid w:val="00541035"/>
    <w:rsid w:val="00541538"/>
    <w:rsid w:val="005425FD"/>
    <w:rsid w:val="005431E5"/>
    <w:rsid w:val="0054362C"/>
    <w:rsid w:val="00544F4F"/>
    <w:rsid w:val="0054502D"/>
    <w:rsid w:val="005455C0"/>
    <w:rsid w:val="005457D9"/>
    <w:rsid w:val="00546D13"/>
    <w:rsid w:val="00547406"/>
    <w:rsid w:val="0055120F"/>
    <w:rsid w:val="00552CD4"/>
    <w:rsid w:val="00552E4F"/>
    <w:rsid w:val="00553E28"/>
    <w:rsid w:val="0055411A"/>
    <w:rsid w:val="005552F0"/>
    <w:rsid w:val="00555969"/>
    <w:rsid w:val="00557332"/>
    <w:rsid w:val="00557339"/>
    <w:rsid w:val="005573BF"/>
    <w:rsid w:val="0056029A"/>
    <w:rsid w:val="0056061C"/>
    <w:rsid w:val="005615FC"/>
    <w:rsid w:val="00564456"/>
    <w:rsid w:val="00564CC8"/>
    <w:rsid w:val="00565ABC"/>
    <w:rsid w:val="00566638"/>
    <w:rsid w:val="005670E7"/>
    <w:rsid w:val="005678A8"/>
    <w:rsid w:val="0057033F"/>
    <w:rsid w:val="00570527"/>
    <w:rsid w:val="00571098"/>
    <w:rsid w:val="00571981"/>
    <w:rsid w:val="00571C8A"/>
    <w:rsid w:val="00572349"/>
    <w:rsid w:val="00572654"/>
    <w:rsid w:val="00573BD1"/>
    <w:rsid w:val="0057493D"/>
    <w:rsid w:val="00574DA8"/>
    <w:rsid w:val="005756FC"/>
    <w:rsid w:val="0057599D"/>
    <w:rsid w:val="00576ECD"/>
    <w:rsid w:val="00577037"/>
    <w:rsid w:val="00577216"/>
    <w:rsid w:val="00577284"/>
    <w:rsid w:val="00577D7E"/>
    <w:rsid w:val="00577ECF"/>
    <w:rsid w:val="00580079"/>
    <w:rsid w:val="00580FB6"/>
    <w:rsid w:val="00581013"/>
    <w:rsid w:val="00582724"/>
    <w:rsid w:val="00583726"/>
    <w:rsid w:val="00583FF9"/>
    <w:rsid w:val="0058419C"/>
    <w:rsid w:val="005843E0"/>
    <w:rsid w:val="005855ED"/>
    <w:rsid w:val="00585FD6"/>
    <w:rsid w:val="005864E5"/>
    <w:rsid w:val="005866E4"/>
    <w:rsid w:val="00587C09"/>
    <w:rsid w:val="00587CBD"/>
    <w:rsid w:val="00591A31"/>
    <w:rsid w:val="00591E8A"/>
    <w:rsid w:val="0059203E"/>
    <w:rsid w:val="00592128"/>
    <w:rsid w:val="005943FF"/>
    <w:rsid w:val="005945DD"/>
    <w:rsid w:val="00595240"/>
    <w:rsid w:val="00596AC3"/>
    <w:rsid w:val="005A01F3"/>
    <w:rsid w:val="005A0D66"/>
    <w:rsid w:val="005A112D"/>
    <w:rsid w:val="005A30EB"/>
    <w:rsid w:val="005A35FF"/>
    <w:rsid w:val="005A4F5F"/>
    <w:rsid w:val="005A5598"/>
    <w:rsid w:val="005A7016"/>
    <w:rsid w:val="005A7391"/>
    <w:rsid w:val="005A7EE1"/>
    <w:rsid w:val="005B0DC6"/>
    <w:rsid w:val="005B213C"/>
    <w:rsid w:val="005B2338"/>
    <w:rsid w:val="005B245E"/>
    <w:rsid w:val="005B30C6"/>
    <w:rsid w:val="005B313B"/>
    <w:rsid w:val="005B367A"/>
    <w:rsid w:val="005B5444"/>
    <w:rsid w:val="005B5466"/>
    <w:rsid w:val="005B609F"/>
    <w:rsid w:val="005B6C6C"/>
    <w:rsid w:val="005C3F9F"/>
    <w:rsid w:val="005C4AB5"/>
    <w:rsid w:val="005C5E14"/>
    <w:rsid w:val="005C6324"/>
    <w:rsid w:val="005C6E31"/>
    <w:rsid w:val="005C6F20"/>
    <w:rsid w:val="005C77A0"/>
    <w:rsid w:val="005D0216"/>
    <w:rsid w:val="005D0824"/>
    <w:rsid w:val="005D0BA8"/>
    <w:rsid w:val="005D0C64"/>
    <w:rsid w:val="005D0CC5"/>
    <w:rsid w:val="005D1D96"/>
    <w:rsid w:val="005D21FD"/>
    <w:rsid w:val="005D3154"/>
    <w:rsid w:val="005D31B1"/>
    <w:rsid w:val="005D4613"/>
    <w:rsid w:val="005D508F"/>
    <w:rsid w:val="005D640F"/>
    <w:rsid w:val="005D7C7F"/>
    <w:rsid w:val="005E2A24"/>
    <w:rsid w:val="005E2AE0"/>
    <w:rsid w:val="005E2C54"/>
    <w:rsid w:val="005E3411"/>
    <w:rsid w:val="005E40CD"/>
    <w:rsid w:val="005E42D7"/>
    <w:rsid w:val="005E4739"/>
    <w:rsid w:val="005E4894"/>
    <w:rsid w:val="005E4935"/>
    <w:rsid w:val="005E4E05"/>
    <w:rsid w:val="005E534A"/>
    <w:rsid w:val="005E6691"/>
    <w:rsid w:val="005E77F3"/>
    <w:rsid w:val="005F009C"/>
    <w:rsid w:val="005F11C7"/>
    <w:rsid w:val="005F141C"/>
    <w:rsid w:val="005F5129"/>
    <w:rsid w:val="005F6D46"/>
    <w:rsid w:val="005F7765"/>
    <w:rsid w:val="005F7C1B"/>
    <w:rsid w:val="00600009"/>
    <w:rsid w:val="006000F1"/>
    <w:rsid w:val="00600152"/>
    <w:rsid w:val="00600E60"/>
    <w:rsid w:val="00602B34"/>
    <w:rsid w:val="006031D1"/>
    <w:rsid w:val="00603474"/>
    <w:rsid w:val="0060372F"/>
    <w:rsid w:val="00603A41"/>
    <w:rsid w:val="00606D36"/>
    <w:rsid w:val="006106DB"/>
    <w:rsid w:val="006114D4"/>
    <w:rsid w:val="00612CF5"/>
    <w:rsid w:val="006132A5"/>
    <w:rsid w:val="00613DB3"/>
    <w:rsid w:val="006147EC"/>
    <w:rsid w:val="00616C4B"/>
    <w:rsid w:val="006177B2"/>
    <w:rsid w:val="00620298"/>
    <w:rsid w:val="00621610"/>
    <w:rsid w:val="00621D61"/>
    <w:rsid w:val="00622400"/>
    <w:rsid w:val="00622833"/>
    <w:rsid w:val="006228B3"/>
    <w:rsid w:val="00622B26"/>
    <w:rsid w:val="006232C3"/>
    <w:rsid w:val="006236D0"/>
    <w:rsid w:val="006247FE"/>
    <w:rsid w:val="00626B93"/>
    <w:rsid w:val="006271FB"/>
    <w:rsid w:val="006310DC"/>
    <w:rsid w:val="0063116E"/>
    <w:rsid w:val="00631855"/>
    <w:rsid w:val="00632E37"/>
    <w:rsid w:val="006333C5"/>
    <w:rsid w:val="0063362B"/>
    <w:rsid w:val="006345FF"/>
    <w:rsid w:val="00634D96"/>
    <w:rsid w:val="00634E4D"/>
    <w:rsid w:val="0063510B"/>
    <w:rsid w:val="00635693"/>
    <w:rsid w:val="00635958"/>
    <w:rsid w:val="006379E2"/>
    <w:rsid w:val="00637C91"/>
    <w:rsid w:val="0064059E"/>
    <w:rsid w:val="0064150F"/>
    <w:rsid w:val="006433C0"/>
    <w:rsid w:val="00643796"/>
    <w:rsid w:val="00643878"/>
    <w:rsid w:val="00643D69"/>
    <w:rsid w:val="00644AA8"/>
    <w:rsid w:val="00645CC4"/>
    <w:rsid w:val="006463DC"/>
    <w:rsid w:val="006477C9"/>
    <w:rsid w:val="00647C15"/>
    <w:rsid w:val="00650317"/>
    <w:rsid w:val="00650D61"/>
    <w:rsid w:val="006540A7"/>
    <w:rsid w:val="0065446F"/>
    <w:rsid w:val="006555F7"/>
    <w:rsid w:val="00655F0D"/>
    <w:rsid w:val="00656C0A"/>
    <w:rsid w:val="006572F6"/>
    <w:rsid w:val="006573DD"/>
    <w:rsid w:val="006608E8"/>
    <w:rsid w:val="0066176E"/>
    <w:rsid w:val="00661949"/>
    <w:rsid w:val="006619E2"/>
    <w:rsid w:val="0066267A"/>
    <w:rsid w:val="00663063"/>
    <w:rsid w:val="0066413E"/>
    <w:rsid w:val="0066424D"/>
    <w:rsid w:val="00664554"/>
    <w:rsid w:val="006653A6"/>
    <w:rsid w:val="00665689"/>
    <w:rsid w:val="00665C08"/>
    <w:rsid w:val="0066732D"/>
    <w:rsid w:val="00667505"/>
    <w:rsid w:val="0067002E"/>
    <w:rsid w:val="006701A0"/>
    <w:rsid w:val="00670A6A"/>
    <w:rsid w:val="00670D19"/>
    <w:rsid w:val="0067112A"/>
    <w:rsid w:val="0067139A"/>
    <w:rsid w:val="00671724"/>
    <w:rsid w:val="0067183F"/>
    <w:rsid w:val="0067216E"/>
    <w:rsid w:val="0067280F"/>
    <w:rsid w:val="00673B69"/>
    <w:rsid w:val="00680085"/>
    <w:rsid w:val="00680206"/>
    <w:rsid w:val="00680DB9"/>
    <w:rsid w:val="00682499"/>
    <w:rsid w:val="00683653"/>
    <w:rsid w:val="00683B18"/>
    <w:rsid w:val="0068490B"/>
    <w:rsid w:val="00684A47"/>
    <w:rsid w:val="00684ED1"/>
    <w:rsid w:val="0068590E"/>
    <w:rsid w:val="00686758"/>
    <w:rsid w:val="00687052"/>
    <w:rsid w:val="006906F8"/>
    <w:rsid w:val="00691370"/>
    <w:rsid w:val="00691B37"/>
    <w:rsid w:val="00691D74"/>
    <w:rsid w:val="00691FB0"/>
    <w:rsid w:val="006928D3"/>
    <w:rsid w:val="006930AB"/>
    <w:rsid w:val="00694BE7"/>
    <w:rsid w:val="0069601C"/>
    <w:rsid w:val="0069607E"/>
    <w:rsid w:val="00696843"/>
    <w:rsid w:val="006A03C8"/>
    <w:rsid w:val="006A08AD"/>
    <w:rsid w:val="006A0A80"/>
    <w:rsid w:val="006A1149"/>
    <w:rsid w:val="006A1F2A"/>
    <w:rsid w:val="006A23FD"/>
    <w:rsid w:val="006A34E7"/>
    <w:rsid w:val="006A4989"/>
    <w:rsid w:val="006A4D14"/>
    <w:rsid w:val="006A6BAF"/>
    <w:rsid w:val="006A77AD"/>
    <w:rsid w:val="006B0020"/>
    <w:rsid w:val="006B020D"/>
    <w:rsid w:val="006B0617"/>
    <w:rsid w:val="006B096D"/>
    <w:rsid w:val="006B0C48"/>
    <w:rsid w:val="006B1438"/>
    <w:rsid w:val="006B1E56"/>
    <w:rsid w:val="006B241F"/>
    <w:rsid w:val="006B275D"/>
    <w:rsid w:val="006B2F48"/>
    <w:rsid w:val="006B3395"/>
    <w:rsid w:val="006B35FD"/>
    <w:rsid w:val="006B4668"/>
    <w:rsid w:val="006B4E6B"/>
    <w:rsid w:val="006B4FFA"/>
    <w:rsid w:val="006B5B6F"/>
    <w:rsid w:val="006B5D50"/>
    <w:rsid w:val="006B7006"/>
    <w:rsid w:val="006B7738"/>
    <w:rsid w:val="006C08CA"/>
    <w:rsid w:val="006C225B"/>
    <w:rsid w:val="006C232A"/>
    <w:rsid w:val="006C26DE"/>
    <w:rsid w:val="006C2A96"/>
    <w:rsid w:val="006C4277"/>
    <w:rsid w:val="006C4DDE"/>
    <w:rsid w:val="006C52A8"/>
    <w:rsid w:val="006C5EAC"/>
    <w:rsid w:val="006C624E"/>
    <w:rsid w:val="006C7CD6"/>
    <w:rsid w:val="006D00C0"/>
    <w:rsid w:val="006D02BD"/>
    <w:rsid w:val="006D02E5"/>
    <w:rsid w:val="006D0926"/>
    <w:rsid w:val="006D0C63"/>
    <w:rsid w:val="006D10FE"/>
    <w:rsid w:val="006D16BA"/>
    <w:rsid w:val="006D233C"/>
    <w:rsid w:val="006D2343"/>
    <w:rsid w:val="006D4008"/>
    <w:rsid w:val="006D5B78"/>
    <w:rsid w:val="006D5F5E"/>
    <w:rsid w:val="006D6596"/>
    <w:rsid w:val="006D6A71"/>
    <w:rsid w:val="006D74CE"/>
    <w:rsid w:val="006E012C"/>
    <w:rsid w:val="006E0627"/>
    <w:rsid w:val="006E1EEA"/>
    <w:rsid w:val="006E20B0"/>
    <w:rsid w:val="006E3874"/>
    <w:rsid w:val="006E39F3"/>
    <w:rsid w:val="006E3FFD"/>
    <w:rsid w:val="006E4C7A"/>
    <w:rsid w:val="006E4D2B"/>
    <w:rsid w:val="006E4E23"/>
    <w:rsid w:val="006E5F88"/>
    <w:rsid w:val="006E6D9B"/>
    <w:rsid w:val="006E78B3"/>
    <w:rsid w:val="006E7E37"/>
    <w:rsid w:val="006F08F2"/>
    <w:rsid w:val="006F0B1E"/>
    <w:rsid w:val="006F10AD"/>
    <w:rsid w:val="006F15A9"/>
    <w:rsid w:val="006F2B9B"/>
    <w:rsid w:val="006F3300"/>
    <w:rsid w:val="006F4521"/>
    <w:rsid w:val="006F502C"/>
    <w:rsid w:val="006F748E"/>
    <w:rsid w:val="00700231"/>
    <w:rsid w:val="0070117C"/>
    <w:rsid w:val="007021F6"/>
    <w:rsid w:val="00702D75"/>
    <w:rsid w:val="00704A0B"/>
    <w:rsid w:val="007056A8"/>
    <w:rsid w:val="007058FE"/>
    <w:rsid w:val="007067E5"/>
    <w:rsid w:val="007071BD"/>
    <w:rsid w:val="00707705"/>
    <w:rsid w:val="0071088C"/>
    <w:rsid w:val="00711F0B"/>
    <w:rsid w:val="0071232C"/>
    <w:rsid w:val="00713BB6"/>
    <w:rsid w:val="007143A0"/>
    <w:rsid w:val="007143B6"/>
    <w:rsid w:val="00714B62"/>
    <w:rsid w:val="00714DCF"/>
    <w:rsid w:val="00717F50"/>
    <w:rsid w:val="0072140D"/>
    <w:rsid w:val="00721D0C"/>
    <w:rsid w:val="00723247"/>
    <w:rsid w:val="0072364B"/>
    <w:rsid w:val="00723A34"/>
    <w:rsid w:val="00723D75"/>
    <w:rsid w:val="0072491D"/>
    <w:rsid w:val="007255E0"/>
    <w:rsid w:val="007261F3"/>
    <w:rsid w:val="00726F7C"/>
    <w:rsid w:val="00730BDA"/>
    <w:rsid w:val="00730E59"/>
    <w:rsid w:val="007315B7"/>
    <w:rsid w:val="007319FB"/>
    <w:rsid w:val="007323CF"/>
    <w:rsid w:val="00733AFB"/>
    <w:rsid w:val="00734CC7"/>
    <w:rsid w:val="00734E45"/>
    <w:rsid w:val="0073516F"/>
    <w:rsid w:val="0074034F"/>
    <w:rsid w:val="007403E9"/>
    <w:rsid w:val="0074062D"/>
    <w:rsid w:val="007407F7"/>
    <w:rsid w:val="00740D22"/>
    <w:rsid w:val="007411BF"/>
    <w:rsid w:val="00741772"/>
    <w:rsid w:val="007417A5"/>
    <w:rsid w:val="00741D34"/>
    <w:rsid w:val="00743046"/>
    <w:rsid w:val="0074456C"/>
    <w:rsid w:val="00747015"/>
    <w:rsid w:val="00750039"/>
    <w:rsid w:val="007509BF"/>
    <w:rsid w:val="00750E71"/>
    <w:rsid w:val="00751023"/>
    <w:rsid w:val="00751FF7"/>
    <w:rsid w:val="00752619"/>
    <w:rsid w:val="0075291B"/>
    <w:rsid w:val="00752A2F"/>
    <w:rsid w:val="007532ED"/>
    <w:rsid w:val="007533F8"/>
    <w:rsid w:val="00753F98"/>
    <w:rsid w:val="00754035"/>
    <w:rsid w:val="00754200"/>
    <w:rsid w:val="007550E2"/>
    <w:rsid w:val="00756CC8"/>
    <w:rsid w:val="007572C5"/>
    <w:rsid w:val="0075764D"/>
    <w:rsid w:val="00757724"/>
    <w:rsid w:val="00757B17"/>
    <w:rsid w:val="00757DC5"/>
    <w:rsid w:val="00760C64"/>
    <w:rsid w:val="00760D13"/>
    <w:rsid w:val="007611F3"/>
    <w:rsid w:val="00762121"/>
    <w:rsid w:val="00763875"/>
    <w:rsid w:val="00763F61"/>
    <w:rsid w:val="00764F95"/>
    <w:rsid w:val="0076604C"/>
    <w:rsid w:val="0076627B"/>
    <w:rsid w:val="007664F8"/>
    <w:rsid w:val="00766767"/>
    <w:rsid w:val="00766A14"/>
    <w:rsid w:val="007676AB"/>
    <w:rsid w:val="00767DB0"/>
    <w:rsid w:val="0077020F"/>
    <w:rsid w:val="00770376"/>
    <w:rsid w:val="00770CCD"/>
    <w:rsid w:val="00771A39"/>
    <w:rsid w:val="00771DCA"/>
    <w:rsid w:val="00772D1B"/>
    <w:rsid w:val="00773002"/>
    <w:rsid w:val="0077303C"/>
    <w:rsid w:val="007730A0"/>
    <w:rsid w:val="00773F96"/>
    <w:rsid w:val="0077456D"/>
    <w:rsid w:val="00774EDA"/>
    <w:rsid w:val="00774FCD"/>
    <w:rsid w:val="00775B90"/>
    <w:rsid w:val="00775FA1"/>
    <w:rsid w:val="00775FBA"/>
    <w:rsid w:val="0077614F"/>
    <w:rsid w:val="0077686C"/>
    <w:rsid w:val="007768CA"/>
    <w:rsid w:val="00776D95"/>
    <w:rsid w:val="00776FD2"/>
    <w:rsid w:val="00780E89"/>
    <w:rsid w:val="00781475"/>
    <w:rsid w:val="007818C2"/>
    <w:rsid w:val="0078211C"/>
    <w:rsid w:val="007822B0"/>
    <w:rsid w:val="007828C6"/>
    <w:rsid w:val="00782EF5"/>
    <w:rsid w:val="00783A7F"/>
    <w:rsid w:val="00783E21"/>
    <w:rsid w:val="00784BF0"/>
    <w:rsid w:val="00785838"/>
    <w:rsid w:val="00785962"/>
    <w:rsid w:val="00786892"/>
    <w:rsid w:val="00786F1D"/>
    <w:rsid w:val="00787370"/>
    <w:rsid w:val="007876C0"/>
    <w:rsid w:val="007916E4"/>
    <w:rsid w:val="00791C15"/>
    <w:rsid w:val="007935F9"/>
    <w:rsid w:val="007943F7"/>
    <w:rsid w:val="00795A99"/>
    <w:rsid w:val="00796204"/>
    <w:rsid w:val="00797065"/>
    <w:rsid w:val="007A0B26"/>
    <w:rsid w:val="007A1ECC"/>
    <w:rsid w:val="007A37BA"/>
    <w:rsid w:val="007A4AB6"/>
    <w:rsid w:val="007A4C95"/>
    <w:rsid w:val="007A4F63"/>
    <w:rsid w:val="007A5B6F"/>
    <w:rsid w:val="007A6635"/>
    <w:rsid w:val="007A6BF6"/>
    <w:rsid w:val="007A6EC2"/>
    <w:rsid w:val="007A7BE9"/>
    <w:rsid w:val="007A7F45"/>
    <w:rsid w:val="007B02F7"/>
    <w:rsid w:val="007B0787"/>
    <w:rsid w:val="007B0BE5"/>
    <w:rsid w:val="007B1146"/>
    <w:rsid w:val="007B1187"/>
    <w:rsid w:val="007B2AEA"/>
    <w:rsid w:val="007B2F9C"/>
    <w:rsid w:val="007B355D"/>
    <w:rsid w:val="007B61B3"/>
    <w:rsid w:val="007B659D"/>
    <w:rsid w:val="007B687D"/>
    <w:rsid w:val="007B705D"/>
    <w:rsid w:val="007B7102"/>
    <w:rsid w:val="007B7BF7"/>
    <w:rsid w:val="007C047C"/>
    <w:rsid w:val="007C052F"/>
    <w:rsid w:val="007C2A02"/>
    <w:rsid w:val="007C3CBF"/>
    <w:rsid w:val="007C40E2"/>
    <w:rsid w:val="007C4F2A"/>
    <w:rsid w:val="007C66C0"/>
    <w:rsid w:val="007C6DD8"/>
    <w:rsid w:val="007D08EF"/>
    <w:rsid w:val="007D0A05"/>
    <w:rsid w:val="007D10F4"/>
    <w:rsid w:val="007D2143"/>
    <w:rsid w:val="007D2960"/>
    <w:rsid w:val="007D3C17"/>
    <w:rsid w:val="007D4D6A"/>
    <w:rsid w:val="007D5086"/>
    <w:rsid w:val="007D561E"/>
    <w:rsid w:val="007D590D"/>
    <w:rsid w:val="007D5B1F"/>
    <w:rsid w:val="007D67E4"/>
    <w:rsid w:val="007D6A20"/>
    <w:rsid w:val="007D6CD7"/>
    <w:rsid w:val="007D7B98"/>
    <w:rsid w:val="007E0C94"/>
    <w:rsid w:val="007E1242"/>
    <w:rsid w:val="007E1435"/>
    <w:rsid w:val="007E18A4"/>
    <w:rsid w:val="007E2653"/>
    <w:rsid w:val="007E33C4"/>
    <w:rsid w:val="007E4411"/>
    <w:rsid w:val="007E4688"/>
    <w:rsid w:val="007E5DB1"/>
    <w:rsid w:val="007E6221"/>
    <w:rsid w:val="007E7A13"/>
    <w:rsid w:val="007E7DDC"/>
    <w:rsid w:val="007F082E"/>
    <w:rsid w:val="007F13BA"/>
    <w:rsid w:val="007F1E2A"/>
    <w:rsid w:val="007F2E95"/>
    <w:rsid w:val="007F365A"/>
    <w:rsid w:val="007F47F0"/>
    <w:rsid w:val="00800717"/>
    <w:rsid w:val="00800D39"/>
    <w:rsid w:val="00801643"/>
    <w:rsid w:val="00801E29"/>
    <w:rsid w:val="00802E87"/>
    <w:rsid w:val="00803517"/>
    <w:rsid w:val="008043BC"/>
    <w:rsid w:val="00804AE1"/>
    <w:rsid w:val="00804F0B"/>
    <w:rsid w:val="00807422"/>
    <w:rsid w:val="0080746D"/>
    <w:rsid w:val="0081041D"/>
    <w:rsid w:val="00810504"/>
    <w:rsid w:val="00810E69"/>
    <w:rsid w:val="00810F1C"/>
    <w:rsid w:val="00813171"/>
    <w:rsid w:val="008144F0"/>
    <w:rsid w:val="0081457E"/>
    <w:rsid w:val="00815373"/>
    <w:rsid w:val="00815C3F"/>
    <w:rsid w:val="008160D1"/>
    <w:rsid w:val="0081637B"/>
    <w:rsid w:val="008164E3"/>
    <w:rsid w:val="008177A9"/>
    <w:rsid w:val="00820336"/>
    <w:rsid w:val="00820AC6"/>
    <w:rsid w:val="00820F52"/>
    <w:rsid w:val="00821981"/>
    <w:rsid w:val="00823224"/>
    <w:rsid w:val="008235A0"/>
    <w:rsid w:val="0082384F"/>
    <w:rsid w:val="008275AA"/>
    <w:rsid w:val="0083038D"/>
    <w:rsid w:val="00830B29"/>
    <w:rsid w:val="00830DDA"/>
    <w:rsid w:val="00830E68"/>
    <w:rsid w:val="00830F67"/>
    <w:rsid w:val="00832172"/>
    <w:rsid w:val="00832638"/>
    <w:rsid w:val="0083310C"/>
    <w:rsid w:val="008332FA"/>
    <w:rsid w:val="008346BF"/>
    <w:rsid w:val="0083575C"/>
    <w:rsid w:val="00836898"/>
    <w:rsid w:val="0083696C"/>
    <w:rsid w:val="00837057"/>
    <w:rsid w:val="008376A0"/>
    <w:rsid w:val="008376AC"/>
    <w:rsid w:val="008379E1"/>
    <w:rsid w:val="008412B2"/>
    <w:rsid w:val="008415FE"/>
    <w:rsid w:val="00841EE8"/>
    <w:rsid w:val="00842334"/>
    <w:rsid w:val="00842451"/>
    <w:rsid w:val="0084306C"/>
    <w:rsid w:val="00843841"/>
    <w:rsid w:val="008443DE"/>
    <w:rsid w:val="0084479E"/>
    <w:rsid w:val="008456F2"/>
    <w:rsid w:val="00846567"/>
    <w:rsid w:val="00846AE3"/>
    <w:rsid w:val="00846BBB"/>
    <w:rsid w:val="008470F0"/>
    <w:rsid w:val="008534B0"/>
    <w:rsid w:val="00853AE1"/>
    <w:rsid w:val="00853E03"/>
    <w:rsid w:val="00856F87"/>
    <w:rsid w:val="00856FFF"/>
    <w:rsid w:val="00857A01"/>
    <w:rsid w:val="00860995"/>
    <w:rsid w:val="008614A4"/>
    <w:rsid w:val="008626F5"/>
    <w:rsid w:val="008628E9"/>
    <w:rsid w:val="0086434A"/>
    <w:rsid w:val="008645A5"/>
    <w:rsid w:val="0086501B"/>
    <w:rsid w:val="00865CD7"/>
    <w:rsid w:val="00865CF2"/>
    <w:rsid w:val="008665F3"/>
    <w:rsid w:val="008674C5"/>
    <w:rsid w:val="00870005"/>
    <w:rsid w:val="00870115"/>
    <w:rsid w:val="00871493"/>
    <w:rsid w:val="008727A6"/>
    <w:rsid w:val="00872E03"/>
    <w:rsid w:val="00874A87"/>
    <w:rsid w:val="00874C85"/>
    <w:rsid w:val="00874FA5"/>
    <w:rsid w:val="00875100"/>
    <w:rsid w:val="00875380"/>
    <w:rsid w:val="00875621"/>
    <w:rsid w:val="00876655"/>
    <w:rsid w:val="00876FD7"/>
    <w:rsid w:val="008807DA"/>
    <w:rsid w:val="00882629"/>
    <w:rsid w:val="00882930"/>
    <w:rsid w:val="00883331"/>
    <w:rsid w:val="00883553"/>
    <w:rsid w:val="00883A6C"/>
    <w:rsid w:val="00884369"/>
    <w:rsid w:val="0088485C"/>
    <w:rsid w:val="00885ADB"/>
    <w:rsid w:val="008901FC"/>
    <w:rsid w:val="008903A5"/>
    <w:rsid w:val="0089047B"/>
    <w:rsid w:val="00890F46"/>
    <w:rsid w:val="0089250A"/>
    <w:rsid w:val="00892844"/>
    <w:rsid w:val="00892C5B"/>
    <w:rsid w:val="00892E1B"/>
    <w:rsid w:val="0089393C"/>
    <w:rsid w:val="008948F4"/>
    <w:rsid w:val="00894D9F"/>
    <w:rsid w:val="0089590D"/>
    <w:rsid w:val="00895DB8"/>
    <w:rsid w:val="00896B69"/>
    <w:rsid w:val="00897BF0"/>
    <w:rsid w:val="008A03F2"/>
    <w:rsid w:val="008A0446"/>
    <w:rsid w:val="008A1478"/>
    <w:rsid w:val="008A1618"/>
    <w:rsid w:val="008A2546"/>
    <w:rsid w:val="008A3365"/>
    <w:rsid w:val="008A4051"/>
    <w:rsid w:val="008A431E"/>
    <w:rsid w:val="008A49B3"/>
    <w:rsid w:val="008A54D7"/>
    <w:rsid w:val="008A5A4B"/>
    <w:rsid w:val="008A61E0"/>
    <w:rsid w:val="008A6F16"/>
    <w:rsid w:val="008B0644"/>
    <w:rsid w:val="008B13B1"/>
    <w:rsid w:val="008B14D7"/>
    <w:rsid w:val="008B2A4B"/>
    <w:rsid w:val="008B3084"/>
    <w:rsid w:val="008B30B7"/>
    <w:rsid w:val="008B31A4"/>
    <w:rsid w:val="008B35D6"/>
    <w:rsid w:val="008B55B7"/>
    <w:rsid w:val="008B5684"/>
    <w:rsid w:val="008B6133"/>
    <w:rsid w:val="008B6924"/>
    <w:rsid w:val="008B7144"/>
    <w:rsid w:val="008B719C"/>
    <w:rsid w:val="008B743E"/>
    <w:rsid w:val="008B78A7"/>
    <w:rsid w:val="008B7B84"/>
    <w:rsid w:val="008C3594"/>
    <w:rsid w:val="008C3899"/>
    <w:rsid w:val="008C38B0"/>
    <w:rsid w:val="008C56AF"/>
    <w:rsid w:val="008C5A25"/>
    <w:rsid w:val="008C711F"/>
    <w:rsid w:val="008D0A98"/>
    <w:rsid w:val="008D0C69"/>
    <w:rsid w:val="008D18EA"/>
    <w:rsid w:val="008D1CD2"/>
    <w:rsid w:val="008D25F4"/>
    <w:rsid w:val="008D3317"/>
    <w:rsid w:val="008D3857"/>
    <w:rsid w:val="008D3A62"/>
    <w:rsid w:val="008D4722"/>
    <w:rsid w:val="008D4FE5"/>
    <w:rsid w:val="008D5645"/>
    <w:rsid w:val="008D6A2D"/>
    <w:rsid w:val="008D774A"/>
    <w:rsid w:val="008D7AA0"/>
    <w:rsid w:val="008D7DFA"/>
    <w:rsid w:val="008E0084"/>
    <w:rsid w:val="008E0862"/>
    <w:rsid w:val="008E0B4C"/>
    <w:rsid w:val="008E13CB"/>
    <w:rsid w:val="008E14A7"/>
    <w:rsid w:val="008E2A59"/>
    <w:rsid w:val="008E2FB9"/>
    <w:rsid w:val="008E3C5A"/>
    <w:rsid w:val="008E5CAB"/>
    <w:rsid w:val="008E6FE8"/>
    <w:rsid w:val="008F1C8D"/>
    <w:rsid w:val="008F3A86"/>
    <w:rsid w:val="008F45EC"/>
    <w:rsid w:val="008F5409"/>
    <w:rsid w:val="008F5B60"/>
    <w:rsid w:val="008F612E"/>
    <w:rsid w:val="008F6C07"/>
    <w:rsid w:val="008F731C"/>
    <w:rsid w:val="009019A2"/>
    <w:rsid w:val="009021EB"/>
    <w:rsid w:val="0090251D"/>
    <w:rsid w:val="00903397"/>
    <w:rsid w:val="00903A9E"/>
    <w:rsid w:val="00903F13"/>
    <w:rsid w:val="0090429A"/>
    <w:rsid w:val="0090454E"/>
    <w:rsid w:val="00905ABF"/>
    <w:rsid w:val="0090603D"/>
    <w:rsid w:val="0090621F"/>
    <w:rsid w:val="009064E9"/>
    <w:rsid w:val="00906C1E"/>
    <w:rsid w:val="009075F7"/>
    <w:rsid w:val="00911C6F"/>
    <w:rsid w:val="0091201D"/>
    <w:rsid w:val="00912841"/>
    <w:rsid w:val="00912C95"/>
    <w:rsid w:val="00912E45"/>
    <w:rsid w:val="00914603"/>
    <w:rsid w:val="00914B0F"/>
    <w:rsid w:val="00915344"/>
    <w:rsid w:val="00915A79"/>
    <w:rsid w:val="00915BAC"/>
    <w:rsid w:val="00917D7D"/>
    <w:rsid w:val="00917F5C"/>
    <w:rsid w:val="00920344"/>
    <w:rsid w:val="009203D2"/>
    <w:rsid w:val="00920C99"/>
    <w:rsid w:val="00922422"/>
    <w:rsid w:val="00923005"/>
    <w:rsid w:val="0092352A"/>
    <w:rsid w:val="0092393F"/>
    <w:rsid w:val="00923A78"/>
    <w:rsid w:val="00923EB4"/>
    <w:rsid w:val="009251A0"/>
    <w:rsid w:val="009253AA"/>
    <w:rsid w:val="00925584"/>
    <w:rsid w:val="009262FB"/>
    <w:rsid w:val="00926B45"/>
    <w:rsid w:val="0092728B"/>
    <w:rsid w:val="0092764B"/>
    <w:rsid w:val="009278A8"/>
    <w:rsid w:val="009278ED"/>
    <w:rsid w:val="00930D4B"/>
    <w:rsid w:val="00931168"/>
    <w:rsid w:val="009315D3"/>
    <w:rsid w:val="00932A97"/>
    <w:rsid w:val="00932CA7"/>
    <w:rsid w:val="00932D31"/>
    <w:rsid w:val="00933041"/>
    <w:rsid w:val="00933336"/>
    <w:rsid w:val="00934DE9"/>
    <w:rsid w:val="00934ECC"/>
    <w:rsid w:val="009362B2"/>
    <w:rsid w:val="00936366"/>
    <w:rsid w:val="009365B4"/>
    <w:rsid w:val="00936C17"/>
    <w:rsid w:val="00936DBF"/>
    <w:rsid w:val="00937994"/>
    <w:rsid w:val="00937CFE"/>
    <w:rsid w:val="00940BCF"/>
    <w:rsid w:val="0094258A"/>
    <w:rsid w:val="0094384A"/>
    <w:rsid w:val="00943BB9"/>
    <w:rsid w:val="009446CE"/>
    <w:rsid w:val="00944EB1"/>
    <w:rsid w:val="00945403"/>
    <w:rsid w:val="0094658D"/>
    <w:rsid w:val="00946897"/>
    <w:rsid w:val="0094759A"/>
    <w:rsid w:val="009520BC"/>
    <w:rsid w:val="00953FE2"/>
    <w:rsid w:val="00954836"/>
    <w:rsid w:val="00954C1E"/>
    <w:rsid w:val="00954DFC"/>
    <w:rsid w:val="00955C53"/>
    <w:rsid w:val="00956C80"/>
    <w:rsid w:val="00956D18"/>
    <w:rsid w:val="00956E5F"/>
    <w:rsid w:val="00957B09"/>
    <w:rsid w:val="00957B48"/>
    <w:rsid w:val="00960238"/>
    <w:rsid w:val="00961623"/>
    <w:rsid w:val="00961FA3"/>
    <w:rsid w:val="0096243F"/>
    <w:rsid w:val="00962662"/>
    <w:rsid w:val="0096304A"/>
    <w:rsid w:val="0096316F"/>
    <w:rsid w:val="00963867"/>
    <w:rsid w:val="00963B8F"/>
    <w:rsid w:val="00963F42"/>
    <w:rsid w:val="0096462B"/>
    <w:rsid w:val="00966871"/>
    <w:rsid w:val="00967466"/>
    <w:rsid w:val="00967E5D"/>
    <w:rsid w:val="00970488"/>
    <w:rsid w:val="00971234"/>
    <w:rsid w:val="00971BA8"/>
    <w:rsid w:val="00972BCA"/>
    <w:rsid w:val="00972F6C"/>
    <w:rsid w:val="00973128"/>
    <w:rsid w:val="00974424"/>
    <w:rsid w:val="00976DE8"/>
    <w:rsid w:val="00977650"/>
    <w:rsid w:val="00977692"/>
    <w:rsid w:val="00977941"/>
    <w:rsid w:val="009803D6"/>
    <w:rsid w:val="00980C8E"/>
    <w:rsid w:val="00981B84"/>
    <w:rsid w:val="00984842"/>
    <w:rsid w:val="00984BF6"/>
    <w:rsid w:val="00985B32"/>
    <w:rsid w:val="009864F7"/>
    <w:rsid w:val="009866E4"/>
    <w:rsid w:val="009876FA"/>
    <w:rsid w:val="00990428"/>
    <w:rsid w:val="009905FE"/>
    <w:rsid w:val="00991DAD"/>
    <w:rsid w:val="00991F82"/>
    <w:rsid w:val="009947AA"/>
    <w:rsid w:val="00994C06"/>
    <w:rsid w:val="0099600A"/>
    <w:rsid w:val="00996FD4"/>
    <w:rsid w:val="009A026F"/>
    <w:rsid w:val="009A1833"/>
    <w:rsid w:val="009A1854"/>
    <w:rsid w:val="009A264F"/>
    <w:rsid w:val="009A3A89"/>
    <w:rsid w:val="009A3FF8"/>
    <w:rsid w:val="009A4E15"/>
    <w:rsid w:val="009A5571"/>
    <w:rsid w:val="009A5AA5"/>
    <w:rsid w:val="009A6319"/>
    <w:rsid w:val="009A643B"/>
    <w:rsid w:val="009A6AE6"/>
    <w:rsid w:val="009A6B0C"/>
    <w:rsid w:val="009A75E2"/>
    <w:rsid w:val="009A7B92"/>
    <w:rsid w:val="009A7BFF"/>
    <w:rsid w:val="009A7E9E"/>
    <w:rsid w:val="009B07F5"/>
    <w:rsid w:val="009B1D25"/>
    <w:rsid w:val="009B20D1"/>
    <w:rsid w:val="009B2246"/>
    <w:rsid w:val="009B24A6"/>
    <w:rsid w:val="009B2E8A"/>
    <w:rsid w:val="009B2ED6"/>
    <w:rsid w:val="009B33CE"/>
    <w:rsid w:val="009B4AE5"/>
    <w:rsid w:val="009B5744"/>
    <w:rsid w:val="009B5F26"/>
    <w:rsid w:val="009B679C"/>
    <w:rsid w:val="009B6C1F"/>
    <w:rsid w:val="009B6D71"/>
    <w:rsid w:val="009B7132"/>
    <w:rsid w:val="009B73CA"/>
    <w:rsid w:val="009C1FE5"/>
    <w:rsid w:val="009C1FF4"/>
    <w:rsid w:val="009C32C2"/>
    <w:rsid w:val="009C4368"/>
    <w:rsid w:val="009C49F6"/>
    <w:rsid w:val="009C7782"/>
    <w:rsid w:val="009D08D3"/>
    <w:rsid w:val="009D0A76"/>
    <w:rsid w:val="009D0B4F"/>
    <w:rsid w:val="009D1D59"/>
    <w:rsid w:val="009D3198"/>
    <w:rsid w:val="009D3958"/>
    <w:rsid w:val="009D3EBF"/>
    <w:rsid w:val="009D414F"/>
    <w:rsid w:val="009D56A7"/>
    <w:rsid w:val="009D57A2"/>
    <w:rsid w:val="009D5FA4"/>
    <w:rsid w:val="009D6090"/>
    <w:rsid w:val="009D7A57"/>
    <w:rsid w:val="009E053A"/>
    <w:rsid w:val="009E0D64"/>
    <w:rsid w:val="009E0E63"/>
    <w:rsid w:val="009E0E79"/>
    <w:rsid w:val="009E1CB3"/>
    <w:rsid w:val="009E20F2"/>
    <w:rsid w:val="009E230D"/>
    <w:rsid w:val="009E2E2A"/>
    <w:rsid w:val="009E3112"/>
    <w:rsid w:val="009E5FBC"/>
    <w:rsid w:val="009E6208"/>
    <w:rsid w:val="009E6D69"/>
    <w:rsid w:val="009E728A"/>
    <w:rsid w:val="009E72D5"/>
    <w:rsid w:val="009E7C91"/>
    <w:rsid w:val="009F08AA"/>
    <w:rsid w:val="009F092A"/>
    <w:rsid w:val="009F109A"/>
    <w:rsid w:val="009F1779"/>
    <w:rsid w:val="009F2AA7"/>
    <w:rsid w:val="009F4A35"/>
    <w:rsid w:val="009F56BE"/>
    <w:rsid w:val="009F5E4F"/>
    <w:rsid w:val="009F6EA7"/>
    <w:rsid w:val="009F7A91"/>
    <w:rsid w:val="009F7EB6"/>
    <w:rsid w:val="00A00099"/>
    <w:rsid w:val="00A006C8"/>
    <w:rsid w:val="00A0188B"/>
    <w:rsid w:val="00A02997"/>
    <w:rsid w:val="00A02F09"/>
    <w:rsid w:val="00A041C0"/>
    <w:rsid w:val="00A04927"/>
    <w:rsid w:val="00A0591A"/>
    <w:rsid w:val="00A05D53"/>
    <w:rsid w:val="00A0627A"/>
    <w:rsid w:val="00A10BFD"/>
    <w:rsid w:val="00A1258A"/>
    <w:rsid w:val="00A13494"/>
    <w:rsid w:val="00A14D75"/>
    <w:rsid w:val="00A1501B"/>
    <w:rsid w:val="00A15421"/>
    <w:rsid w:val="00A15DF8"/>
    <w:rsid w:val="00A16002"/>
    <w:rsid w:val="00A16906"/>
    <w:rsid w:val="00A203F8"/>
    <w:rsid w:val="00A21015"/>
    <w:rsid w:val="00A2180D"/>
    <w:rsid w:val="00A23A46"/>
    <w:rsid w:val="00A23A9B"/>
    <w:rsid w:val="00A25A83"/>
    <w:rsid w:val="00A26585"/>
    <w:rsid w:val="00A265CE"/>
    <w:rsid w:val="00A26723"/>
    <w:rsid w:val="00A27158"/>
    <w:rsid w:val="00A275B0"/>
    <w:rsid w:val="00A27E33"/>
    <w:rsid w:val="00A30ED4"/>
    <w:rsid w:val="00A31756"/>
    <w:rsid w:val="00A31EA4"/>
    <w:rsid w:val="00A32B5D"/>
    <w:rsid w:val="00A33173"/>
    <w:rsid w:val="00A36DDE"/>
    <w:rsid w:val="00A37D33"/>
    <w:rsid w:val="00A37DC4"/>
    <w:rsid w:val="00A37E82"/>
    <w:rsid w:val="00A4008D"/>
    <w:rsid w:val="00A40194"/>
    <w:rsid w:val="00A40548"/>
    <w:rsid w:val="00A40B45"/>
    <w:rsid w:val="00A428C8"/>
    <w:rsid w:val="00A44B29"/>
    <w:rsid w:val="00A44CA0"/>
    <w:rsid w:val="00A45557"/>
    <w:rsid w:val="00A47714"/>
    <w:rsid w:val="00A477AE"/>
    <w:rsid w:val="00A47B0C"/>
    <w:rsid w:val="00A501D3"/>
    <w:rsid w:val="00A50FC1"/>
    <w:rsid w:val="00A519F2"/>
    <w:rsid w:val="00A5334C"/>
    <w:rsid w:val="00A54759"/>
    <w:rsid w:val="00A54D83"/>
    <w:rsid w:val="00A5609B"/>
    <w:rsid w:val="00A5769B"/>
    <w:rsid w:val="00A576B7"/>
    <w:rsid w:val="00A6159C"/>
    <w:rsid w:val="00A63389"/>
    <w:rsid w:val="00A6491F"/>
    <w:rsid w:val="00A65201"/>
    <w:rsid w:val="00A65A42"/>
    <w:rsid w:val="00A65AE2"/>
    <w:rsid w:val="00A6636F"/>
    <w:rsid w:val="00A670E0"/>
    <w:rsid w:val="00A67942"/>
    <w:rsid w:val="00A67D2D"/>
    <w:rsid w:val="00A700F1"/>
    <w:rsid w:val="00A70430"/>
    <w:rsid w:val="00A707C7"/>
    <w:rsid w:val="00A7115B"/>
    <w:rsid w:val="00A72465"/>
    <w:rsid w:val="00A727F6"/>
    <w:rsid w:val="00A7289D"/>
    <w:rsid w:val="00A729C7"/>
    <w:rsid w:val="00A72B9B"/>
    <w:rsid w:val="00A73923"/>
    <w:rsid w:val="00A75EAB"/>
    <w:rsid w:val="00A76935"/>
    <w:rsid w:val="00A77292"/>
    <w:rsid w:val="00A807DB"/>
    <w:rsid w:val="00A80F97"/>
    <w:rsid w:val="00A810F5"/>
    <w:rsid w:val="00A81330"/>
    <w:rsid w:val="00A831F9"/>
    <w:rsid w:val="00A8379F"/>
    <w:rsid w:val="00A839DD"/>
    <w:rsid w:val="00A8563C"/>
    <w:rsid w:val="00A85F8C"/>
    <w:rsid w:val="00A906CF"/>
    <w:rsid w:val="00A90EFE"/>
    <w:rsid w:val="00A91B15"/>
    <w:rsid w:val="00A92033"/>
    <w:rsid w:val="00A92572"/>
    <w:rsid w:val="00A96755"/>
    <w:rsid w:val="00A96A20"/>
    <w:rsid w:val="00A96C51"/>
    <w:rsid w:val="00A97156"/>
    <w:rsid w:val="00A975F3"/>
    <w:rsid w:val="00A977C8"/>
    <w:rsid w:val="00A97B2E"/>
    <w:rsid w:val="00AA037C"/>
    <w:rsid w:val="00AA08E8"/>
    <w:rsid w:val="00AA095A"/>
    <w:rsid w:val="00AA2895"/>
    <w:rsid w:val="00AA2C24"/>
    <w:rsid w:val="00AA2E59"/>
    <w:rsid w:val="00AA51FD"/>
    <w:rsid w:val="00AB0AFD"/>
    <w:rsid w:val="00AB0F10"/>
    <w:rsid w:val="00AB23E5"/>
    <w:rsid w:val="00AB5CB4"/>
    <w:rsid w:val="00AB6400"/>
    <w:rsid w:val="00AC0777"/>
    <w:rsid w:val="00AC086B"/>
    <w:rsid w:val="00AC1D9F"/>
    <w:rsid w:val="00AC1E2A"/>
    <w:rsid w:val="00AC34C7"/>
    <w:rsid w:val="00AC4066"/>
    <w:rsid w:val="00AC4C75"/>
    <w:rsid w:val="00AC4E3D"/>
    <w:rsid w:val="00AC4F58"/>
    <w:rsid w:val="00AC5DBE"/>
    <w:rsid w:val="00AC6247"/>
    <w:rsid w:val="00AC630A"/>
    <w:rsid w:val="00AC6F05"/>
    <w:rsid w:val="00AC740B"/>
    <w:rsid w:val="00AC785C"/>
    <w:rsid w:val="00AC7A76"/>
    <w:rsid w:val="00AD01EC"/>
    <w:rsid w:val="00AD143E"/>
    <w:rsid w:val="00AD23D1"/>
    <w:rsid w:val="00AD3C2C"/>
    <w:rsid w:val="00AD460F"/>
    <w:rsid w:val="00AD4BB0"/>
    <w:rsid w:val="00AD5235"/>
    <w:rsid w:val="00AD61D7"/>
    <w:rsid w:val="00AD6CE7"/>
    <w:rsid w:val="00AD7D49"/>
    <w:rsid w:val="00AE0692"/>
    <w:rsid w:val="00AE1014"/>
    <w:rsid w:val="00AE11BA"/>
    <w:rsid w:val="00AE1904"/>
    <w:rsid w:val="00AE1EFA"/>
    <w:rsid w:val="00AE2FFB"/>
    <w:rsid w:val="00AE35F8"/>
    <w:rsid w:val="00AE403B"/>
    <w:rsid w:val="00AE44C4"/>
    <w:rsid w:val="00AE473F"/>
    <w:rsid w:val="00AE5767"/>
    <w:rsid w:val="00AE6861"/>
    <w:rsid w:val="00AE6B0D"/>
    <w:rsid w:val="00AE716B"/>
    <w:rsid w:val="00AE72C8"/>
    <w:rsid w:val="00AE742C"/>
    <w:rsid w:val="00AE7490"/>
    <w:rsid w:val="00AF1614"/>
    <w:rsid w:val="00AF1A13"/>
    <w:rsid w:val="00AF22DC"/>
    <w:rsid w:val="00AF26E2"/>
    <w:rsid w:val="00AF3067"/>
    <w:rsid w:val="00AF6BF8"/>
    <w:rsid w:val="00AF7E77"/>
    <w:rsid w:val="00AF7EA5"/>
    <w:rsid w:val="00B0027C"/>
    <w:rsid w:val="00B0050E"/>
    <w:rsid w:val="00B015AA"/>
    <w:rsid w:val="00B0239C"/>
    <w:rsid w:val="00B02530"/>
    <w:rsid w:val="00B0435E"/>
    <w:rsid w:val="00B044D6"/>
    <w:rsid w:val="00B046D9"/>
    <w:rsid w:val="00B05FCE"/>
    <w:rsid w:val="00B06341"/>
    <w:rsid w:val="00B07C3D"/>
    <w:rsid w:val="00B101AB"/>
    <w:rsid w:val="00B108AC"/>
    <w:rsid w:val="00B10A0D"/>
    <w:rsid w:val="00B11C6C"/>
    <w:rsid w:val="00B11F3D"/>
    <w:rsid w:val="00B125C0"/>
    <w:rsid w:val="00B1324D"/>
    <w:rsid w:val="00B1351A"/>
    <w:rsid w:val="00B1527B"/>
    <w:rsid w:val="00B1562E"/>
    <w:rsid w:val="00B1567D"/>
    <w:rsid w:val="00B20224"/>
    <w:rsid w:val="00B22898"/>
    <w:rsid w:val="00B2311A"/>
    <w:rsid w:val="00B2428C"/>
    <w:rsid w:val="00B27475"/>
    <w:rsid w:val="00B300F7"/>
    <w:rsid w:val="00B303BB"/>
    <w:rsid w:val="00B310C5"/>
    <w:rsid w:val="00B327E3"/>
    <w:rsid w:val="00B32AFC"/>
    <w:rsid w:val="00B334C2"/>
    <w:rsid w:val="00B33B26"/>
    <w:rsid w:val="00B34BCA"/>
    <w:rsid w:val="00B356BF"/>
    <w:rsid w:val="00B3656D"/>
    <w:rsid w:val="00B3701F"/>
    <w:rsid w:val="00B3721C"/>
    <w:rsid w:val="00B37F48"/>
    <w:rsid w:val="00B418E9"/>
    <w:rsid w:val="00B42C73"/>
    <w:rsid w:val="00B42E2C"/>
    <w:rsid w:val="00B4337B"/>
    <w:rsid w:val="00B44D8F"/>
    <w:rsid w:val="00B44E58"/>
    <w:rsid w:val="00B47BEF"/>
    <w:rsid w:val="00B50B0E"/>
    <w:rsid w:val="00B50E66"/>
    <w:rsid w:val="00B50F79"/>
    <w:rsid w:val="00B5179A"/>
    <w:rsid w:val="00B52ADC"/>
    <w:rsid w:val="00B53A91"/>
    <w:rsid w:val="00B54262"/>
    <w:rsid w:val="00B54B3B"/>
    <w:rsid w:val="00B54B82"/>
    <w:rsid w:val="00B55AEB"/>
    <w:rsid w:val="00B5622A"/>
    <w:rsid w:val="00B5660D"/>
    <w:rsid w:val="00B572BC"/>
    <w:rsid w:val="00B60624"/>
    <w:rsid w:val="00B60E31"/>
    <w:rsid w:val="00B610FB"/>
    <w:rsid w:val="00B63748"/>
    <w:rsid w:val="00B6400F"/>
    <w:rsid w:val="00B64500"/>
    <w:rsid w:val="00B655B3"/>
    <w:rsid w:val="00B65896"/>
    <w:rsid w:val="00B665C5"/>
    <w:rsid w:val="00B6715B"/>
    <w:rsid w:val="00B678E0"/>
    <w:rsid w:val="00B70080"/>
    <w:rsid w:val="00B71B98"/>
    <w:rsid w:val="00B71E1D"/>
    <w:rsid w:val="00B72AED"/>
    <w:rsid w:val="00B73AD9"/>
    <w:rsid w:val="00B746BC"/>
    <w:rsid w:val="00B74AE2"/>
    <w:rsid w:val="00B74CC7"/>
    <w:rsid w:val="00B74F8D"/>
    <w:rsid w:val="00B758A9"/>
    <w:rsid w:val="00B75BB6"/>
    <w:rsid w:val="00B76B71"/>
    <w:rsid w:val="00B76C2D"/>
    <w:rsid w:val="00B77031"/>
    <w:rsid w:val="00B77693"/>
    <w:rsid w:val="00B77810"/>
    <w:rsid w:val="00B77A96"/>
    <w:rsid w:val="00B77AED"/>
    <w:rsid w:val="00B8001A"/>
    <w:rsid w:val="00B8392E"/>
    <w:rsid w:val="00B83BE7"/>
    <w:rsid w:val="00B84ECF"/>
    <w:rsid w:val="00B85A6A"/>
    <w:rsid w:val="00B85D9A"/>
    <w:rsid w:val="00B86377"/>
    <w:rsid w:val="00B866F8"/>
    <w:rsid w:val="00B87069"/>
    <w:rsid w:val="00B905FA"/>
    <w:rsid w:val="00B90A5B"/>
    <w:rsid w:val="00B92DE6"/>
    <w:rsid w:val="00B937EB"/>
    <w:rsid w:val="00B9446F"/>
    <w:rsid w:val="00B95AE3"/>
    <w:rsid w:val="00B9620F"/>
    <w:rsid w:val="00B9644B"/>
    <w:rsid w:val="00B966D6"/>
    <w:rsid w:val="00B971F8"/>
    <w:rsid w:val="00B97EED"/>
    <w:rsid w:val="00BA02CC"/>
    <w:rsid w:val="00BA0617"/>
    <w:rsid w:val="00BA1506"/>
    <w:rsid w:val="00BA24C1"/>
    <w:rsid w:val="00BA31DB"/>
    <w:rsid w:val="00BA34A4"/>
    <w:rsid w:val="00BA3D79"/>
    <w:rsid w:val="00BA5826"/>
    <w:rsid w:val="00BA5C8E"/>
    <w:rsid w:val="00BA618A"/>
    <w:rsid w:val="00BA6A17"/>
    <w:rsid w:val="00BA719C"/>
    <w:rsid w:val="00BA7308"/>
    <w:rsid w:val="00BA73C9"/>
    <w:rsid w:val="00BA74FE"/>
    <w:rsid w:val="00BB0D73"/>
    <w:rsid w:val="00BB0E36"/>
    <w:rsid w:val="00BB1066"/>
    <w:rsid w:val="00BB1BD6"/>
    <w:rsid w:val="00BB20E0"/>
    <w:rsid w:val="00BB3A8F"/>
    <w:rsid w:val="00BB4230"/>
    <w:rsid w:val="00BB4320"/>
    <w:rsid w:val="00BB7548"/>
    <w:rsid w:val="00BB7914"/>
    <w:rsid w:val="00BB7DF5"/>
    <w:rsid w:val="00BC0172"/>
    <w:rsid w:val="00BC170A"/>
    <w:rsid w:val="00BC26EB"/>
    <w:rsid w:val="00BC315E"/>
    <w:rsid w:val="00BC32B6"/>
    <w:rsid w:val="00BC3401"/>
    <w:rsid w:val="00BC4651"/>
    <w:rsid w:val="00BC490A"/>
    <w:rsid w:val="00BC4FE0"/>
    <w:rsid w:val="00BC549E"/>
    <w:rsid w:val="00BC54A0"/>
    <w:rsid w:val="00BC5E1D"/>
    <w:rsid w:val="00BC7EAD"/>
    <w:rsid w:val="00BD0DE1"/>
    <w:rsid w:val="00BD0F9A"/>
    <w:rsid w:val="00BD13DA"/>
    <w:rsid w:val="00BD1510"/>
    <w:rsid w:val="00BD1EF3"/>
    <w:rsid w:val="00BD3F24"/>
    <w:rsid w:val="00BD40A8"/>
    <w:rsid w:val="00BD41F7"/>
    <w:rsid w:val="00BD5557"/>
    <w:rsid w:val="00BD748B"/>
    <w:rsid w:val="00BD7799"/>
    <w:rsid w:val="00BE00A0"/>
    <w:rsid w:val="00BE012D"/>
    <w:rsid w:val="00BE0D2A"/>
    <w:rsid w:val="00BE3A58"/>
    <w:rsid w:val="00BE516D"/>
    <w:rsid w:val="00BE51BF"/>
    <w:rsid w:val="00BE59CB"/>
    <w:rsid w:val="00BF22E5"/>
    <w:rsid w:val="00BF24F2"/>
    <w:rsid w:val="00BF3748"/>
    <w:rsid w:val="00BF39DB"/>
    <w:rsid w:val="00BF4339"/>
    <w:rsid w:val="00BF4402"/>
    <w:rsid w:val="00BF6298"/>
    <w:rsid w:val="00BF75CA"/>
    <w:rsid w:val="00C004C0"/>
    <w:rsid w:val="00C011A0"/>
    <w:rsid w:val="00C01C7C"/>
    <w:rsid w:val="00C02DAF"/>
    <w:rsid w:val="00C036F9"/>
    <w:rsid w:val="00C03C31"/>
    <w:rsid w:val="00C04735"/>
    <w:rsid w:val="00C0478F"/>
    <w:rsid w:val="00C05DF9"/>
    <w:rsid w:val="00C064C7"/>
    <w:rsid w:val="00C0675C"/>
    <w:rsid w:val="00C06828"/>
    <w:rsid w:val="00C076EF"/>
    <w:rsid w:val="00C106BF"/>
    <w:rsid w:val="00C117B5"/>
    <w:rsid w:val="00C11C93"/>
    <w:rsid w:val="00C12495"/>
    <w:rsid w:val="00C1431F"/>
    <w:rsid w:val="00C14431"/>
    <w:rsid w:val="00C16761"/>
    <w:rsid w:val="00C17AA9"/>
    <w:rsid w:val="00C23238"/>
    <w:rsid w:val="00C23716"/>
    <w:rsid w:val="00C246AA"/>
    <w:rsid w:val="00C2569D"/>
    <w:rsid w:val="00C25FD2"/>
    <w:rsid w:val="00C26584"/>
    <w:rsid w:val="00C26C2B"/>
    <w:rsid w:val="00C2721C"/>
    <w:rsid w:val="00C273BA"/>
    <w:rsid w:val="00C31B95"/>
    <w:rsid w:val="00C32E25"/>
    <w:rsid w:val="00C33599"/>
    <w:rsid w:val="00C344AD"/>
    <w:rsid w:val="00C3487F"/>
    <w:rsid w:val="00C34C76"/>
    <w:rsid w:val="00C37099"/>
    <w:rsid w:val="00C40E02"/>
    <w:rsid w:val="00C40F48"/>
    <w:rsid w:val="00C44014"/>
    <w:rsid w:val="00C44234"/>
    <w:rsid w:val="00C45420"/>
    <w:rsid w:val="00C47874"/>
    <w:rsid w:val="00C479C9"/>
    <w:rsid w:val="00C5006B"/>
    <w:rsid w:val="00C50A86"/>
    <w:rsid w:val="00C50F98"/>
    <w:rsid w:val="00C51513"/>
    <w:rsid w:val="00C51B41"/>
    <w:rsid w:val="00C51E7B"/>
    <w:rsid w:val="00C5320F"/>
    <w:rsid w:val="00C537CC"/>
    <w:rsid w:val="00C53E42"/>
    <w:rsid w:val="00C547BA"/>
    <w:rsid w:val="00C54E9C"/>
    <w:rsid w:val="00C56839"/>
    <w:rsid w:val="00C568CE"/>
    <w:rsid w:val="00C56A9B"/>
    <w:rsid w:val="00C57332"/>
    <w:rsid w:val="00C57D83"/>
    <w:rsid w:val="00C61ED8"/>
    <w:rsid w:val="00C644F5"/>
    <w:rsid w:val="00C64CB9"/>
    <w:rsid w:val="00C65126"/>
    <w:rsid w:val="00C65558"/>
    <w:rsid w:val="00C6590A"/>
    <w:rsid w:val="00C66AAD"/>
    <w:rsid w:val="00C730AE"/>
    <w:rsid w:val="00C7334E"/>
    <w:rsid w:val="00C73447"/>
    <w:rsid w:val="00C73DB1"/>
    <w:rsid w:val="00C741E9"/>
    <w:rsid w:val="00C74825"/>
    <w:rsid w:val="00C74CBC"/>
    <w:rsid w:val="00C76FAA"/>
    <w:rsid w:val="00C8163F"/>
    <w:rsid w:val="00C8180A"/>
    <w:rsid w:val="00C81A10"/>
    <w:rsid w:val="00C83671"/>
    <w:rsid w:val="00C84D87"/>
    <w:rsid w:val="00C851A9"/>
    <w:rsid w:val="00C852F9"/>
    <w:rsid w:val="00C875A6"/>
    <w:rsid w:val="00C87CDB"/>
    <w:rsid w:val="00C90CDD"/>
    <w:rsid w:val="00C93274"/>
    <w:rsid w:val="00C937D2"/>
    <w:rsid w:val="00C96571"/>
    <w:rsid w:val="00C96D2E"/>
    <w:rsid w:val="00C973FB"/>
    <w:rsid w:val="00C9745F"/>
    <w:rsid w:val="00C97BF4"/>
    <w:rsid w:val="00CA14B9"/>
    <w:rsid w:val="00CA3135"/>
    <w:rsid w:val="00CA4287"/>
    <w:rsid w:val="00CA42AC"/>
    <w:rsid w:val="00CA4A14"/>
    <w:rsid w:val="00CA52A1"/>
    <w:rsid w:val="00CA5739"/>
    <w:rsid w:val="00CA6A72"/>
    <w:rsid w:val="00CA6D31"/>
    <w:rsid w:val="00CA75BE"/>
    <w:rsid w:val="00CB01F4"/>
    <w:rsid w:val="00CB05F4"/>
    <w:rsid w:val="00CB0F37"/>
    <w:rsid w:val="00CB1653"/>
    <w:rsid w:val="00CB1C83"/>
    <w:rsid w:val="00CB2118"/>
    <w:rsid w:val="00CB23FA"/>
    <w:rsid w:val="00CB3FDC"/>
    <w:rsid w:val="00CB44EE"/>
    <w:rsid w:val="00CB5AF8"/>
    <w:rsid w:val="00CB5C00"/>
    <w:rsid w:val="00CB5EED"/>
    <w:rsid w:val="00CB6227"/>
    <w:rsid w:val="00CB7423"/>
    <w:rsid w:val="00CB7B28"/>
    <w:rsid w:val="00CC18E6"/>
    <w:rsid w:val="00CC35D1"/>
    <w:rsid w:val="00CC3D33"/>
    <w:rsid w:val="00CC429B"/>
    <w:rsid w:val="00CC504C"/>
    <w:rsid w:val="00CC50AD"/>
    <w:rsid w:val="00CC5345"/>
    <w:rsid w:val="00CC5589"/>
    <w:rsid w:val="00CC7C38"/>
    <w:rsid w:val="00CC7D8C"/>
    <w:rsid w:val="00CD01BA"/>
    <w:rsid w:val="00CD15AC"/>
    <w:rsid w:val="00CD168E"/>
    <w:rsid w:val="00CD186A"/>
    <w:rsid w:val="00CD1891"/>
    <w:rsid w:val="00CD312D"/>
    <w:rsid w:val="00CD3337"/>
    <w:rsid w:val="00CD343C"/>
    <w:rsid w:val="00CD3F15"/>
    <w:rsid w:val="00CD521A"/>
    <w:rsid w:val="00CD6756"/>
    <w:rsid w:val="00CD6803"/>
    <w:rsid w:val="00CD70E7"/>
    <w:rsid w:val="00CE098C"/>
    <w:rsid w:val="00CE0DD1"/>
    <w:rsid w:val="00CE10FD"/>
    <w:rsid w:val="00CE2098"/>
    <w:rsid w:val="00CE355A"/>
    <w:rsid w:val="00CE3E77"/>
    <w:rsid w:val="00CE4B1B"/>
    <w:rsid w:val="00CE4D39"/>
    <w:rsid w:val="00CE5DAC"/>
    <w:rsid w:val="00CE7932"/>
    <w:rsid w:val="00CF1ADB"/>
    <w:rsid w:val="00CF29CE"/>
    <w:rsid w:val="00CF2A16"/>
    <w:rsid w:val="00CF3A03"/>
    <w:rsid w:val="00CF3A95"/>
    <w:rsid w:val="00CF543D"/>
    <w:rsid w:val="00CF553A"/>
    <w:rsid w:val="00CF5D27"/>
    <w:rsid w:val="00CF64A2"/>
    <w:rsid w:val="00CF6835"/>
    <w:rsid w:val="00CF6893"/>
    <w:rsid w:val="00CF6DF3"/>
    <w:rsid w:val="00D004C3"/>
    <w:rsid w:val="00D01466"/>
    <w:rsid w:val="00D01F31"/>
    <w:rsid w:val="00D021D8"/>
    <w:rsid w:val="00D03132"/>
    <w:rsid w:val="00D03FBB"/>
    <w:rsid w:val="00D04777"/>
    <w:rsid w:val="00D056ED"/>
    <w:rsid w:val="00D05D29"/>
    <w:rsid w:val="00D060AF"/>
    <w:rsid w:val="00D06E05"/>
    <w:rsid w:val="00D07691"/>
    <w:rsid w:val="00D10A61"/>
    <w:rsid w:val="00D11313"/>
    <w:rsid w:val="00D11BC7"/>
    <w:rsid w:val="00D11E50"/>
    <w:rsid w:val="00D121C6"/>
    <w:rsid w:val="00D1229F"/>
    <w:rsid w:val="00D12777"/>
    <w:rsid w:val="00D12B0E"/>
    <w:rsid w:val="00D14520"/>
    <w:rsid w:val="00D14791"/>
    <w:rsid w:val="00D1760C"/>
    <w:rsid w:val="00D179BB"/>
    <w:rsid w:val="00D21121"/>
    <w:rsid w:val="00D212DE"/>
    <w:rsid w:val="00D21A79"/>
    <w:rsid w:val="00D21F14"/>
    <w:rsid w:val="00D22442"/>
    <w:rsid w:val="00D22511"/>
    <w:rsid w:val="00D241CE"/>
    <w:rsid w:val="00D2439D"/>
    <w:rsid w:val="00D24C07"/>
    <w:rsid w:val="00D24D5D"/>
    <w:rsid w:val="00D26730"/>
    <w:rsid w:val="00D27A6F"/>
    <w:rsid w:val="00D27AF4"/>
    <w:rsid w:val="00D27EA3"/>
    <w:rsid w:val="00D301BF"/>
    <w:rsid w:val="00D30ABC"/>
    <w:rsid w:val="00D30BA4"/>
    <w:rsid w:val="00D31AAF"/>
    <w:rsid w:val="00D32056"/>
    <w:rsid w:val="00D32835"/>
    <w:rsid w:val="00D333A2"/>
    <w:rsid w:val="00D33578"/>
    <w:rsid w:val="00D344FA"/>
    <w:rsid w:val="00D34F29"/>
    <w:rsid w:val="00D35D57"/>
    <w:rsid w:val="00D36595"/>
    <w:rsid w:val="00D36D3F"/>
    <w:rsid w:val="00D37231"/>
    <w:rsid w:val="00D40EF2"/>
    <w:rsid w:val="00D419B5"/>
    <w:rsid w:val="00D41AAE"/>
    <w:rsid w:val="00D4306E"/>
    <w:rsid w:val="00D43367"/>
    <w:rsid w:val="00D43DD5"/>
    <w:rsid w:val="00D44A96"/>
    <w:rsid w:val="00D44B12"/>
    <w:rsid w:val="00D469A2"/>
    <w:rsid w:val="00D50244"/>
    <w:rsid w:val="00D50259"/>
    <w:rsid w:val="00D51645"/>
    <w:rsid w:val="00D537E6"/>
    <w:rsid w:val="00D53E79"/>
    <w:rsid w:val="00D54249"/>
    <w:rsid w:val="00D546FF"/>
    <w:rsid w:val="00D5484C"/>
    <w:rsid w:val="00D55B60"/>
    <w:rsid w:val="00D55E74"/>
    <w:rsid w:val="00D56BAC"/>
    <w:rsid w:val="00D56C42"/>
    <w:rsid w:val="00D5721E"/>
    <w:rsid w:val="00D57388"/>
    <w:rsid w:val="00D578EC"/>
    <w:rsid w:val="00D57D48"/>
    <w:rsid w:val="00D57E10"/>
    <w:rsid w:val="00D60B71"/>
    <w:rsid w:val="00D61BCD"/>
    <w:rsid w:val="00D622AE"/>
    <w:rsid w:val="00D63224"/>
    <w:rsid w:val="00D63E75"/>
    <w:rsid w:val="00D657B7"/>
    <w:rsid w:val="00D67513"/>
    <w:rsid w:val="00D675A9"/>
    <w:rsid w:val="00D709A6"/>
    <w:rsid w:val="00D71E74"/>
    <w:rsid w:val="00D72251"/>
    <w:rsid w:val="00D7262A"/>
    <w:rsid w:val="00D749E2"/>
    <w:rsid w:val="00D753AB"/>
    <w:rsid w:val="00D76067"/>
    <w:rsid w:val="00D76A55"/>
    <w:rsid w:val="00D77642"/>
    <w:rsid w:val="00D776E1"/>
    <w:rsid w:val="00D779C8"/>
    <w:rsid w:val="00D77A13"/>
    <w:rsid w:val="00D8068F"/>
    <w:rsid w:val="00D8098A"/>
    <w:rsid w:val="00D824A4"/>
    <w:rsid w:val="00D840F8"/>
    <w:rsid w:val="00D8414B"/>
    <w:rsid w:val="00D84317"/>
    <w:rsid w:val="00D85256"/>
    <w:rsid w:val="00D85A95"/>
    <w:rsid w:val="00D870F4"/>
    <w:rsid w:val="00D87761"/>
    <w:rsid w:val="00D87ECF"/>
    <w:rsid w:val="00D91407"/>
    <w:rsid w:val="00D91FAF"/>
    <w:rsid w:val="00D922C1"/>
    <w:rsid w:val="00D92B93"/>
    <w:rsid w:val="00D93263"/>
    <w:rsid w:val="00D938B7"/>
    <w:rsid w:val="00D944EF"/>
    <w:rsid w:val="00D946FF"/>
    <w:rsid w:val="00D94F98"/>
    <w:rsid w:val="00D956F0"/>
    <w:rsid w:val="00D95E37"/>
    <w:rsid w:val="00D9667D"/>
    <w:rsid w:val="00D96E88"/>
    <w:rsid w:val="00DA0F93"/>
    <w:rsid w:val="00DA110E"/>
    <w:rsid w:val="00DA12FF"/>
    <w:rsid w:val="00DA17D7"/>
    <w:rsid w:val="00DA2768"/>
    <w:rsid w:val="00DA34DD"/>
    <w:rsid w:val="00DA3D51"/>
    <w:rsid w:val="00DA4054"/>
    <w:rsid w:val="00DA518E"/>
    <w:rsid w:val="00DA5240"/>
    <w:rsid w:val="00DA53DE"/>
    <w:rsid w:val="00DA5BFF"/>
    <w:rsid w:val="00DA5DFD"/>
    <w:rsid w:val="00DA6783"/>
    <w:rsid w:val="00DA70E1"/>
    <w:rsid w:val="00DA75BF"/>
    <w:rsid w:val="00DA7713"/>
    <w:rsid w:val="00DA795B"/>
    <w:rsid w:val="00DB17B4"/>
    <w:rsid w:val="00DB1B99"/>
    <w:rsid w:val="00DB1E1E"/>
    <w:rsid w:val="00DB2667"/>
    <w:rsid w:val="00DB28DF"/>
    <w:rsid w:val="00DB36D5"/>
    <w:rsid w:val="00DB3A36"/>
    <w:rsid w:val="00DB4C7F"/>
    <w:rsid w:val="00DB4E24"/>
    <w:rsid w:val="00DB571F"/>
    <w:rsid w:val="00DB5851"/>
    <w:rsid w:val="00DB7A73"/>
    <w:rsid w:val="00DC03EA"/>
    <w:rsid w:val="00DC06FC"/>
    <w:rsid w:val="00DC0E29"/>
    <w:rsid w:val="00DC113E"/>
    <w:rsid w:val="00DC14A6"/>
    <w:rsid w:val="00DC17CD"/>
    <w:rsid w:val="00DC181D"/>
    <w:rsid w:val="00DC1DC6"/>
    <w:rsid w:val="00DC27D4"/>
    <w:rsid w:val="00DC2A2E"/>
    <w:rsid w:val="00DC467D"/>
    <w:rsid w:val="00DC4925"/>
    <w:rsid w:val="00DC68D0"/>
    <w:rsid w:val="00DC6935"/>
    <w:rsid w:val="00DD092F"/>
    <w:rsid w:val="00DD0959"/>
    <w:rsid w:val="00DD09CF"/>
    <w:rsid w:val="00DD0BC5"/>
    <w:rsid w:val="00DD163C"/>
    <w:rsid w:val="00DD1AE0"/>
    <w:rsid w:val="00DD2E20"/>
    <w:rsid w:val="00DD2E70"/>
    <w:rsid w:val="00DD30AE"/>
    <w:rsid w:val="00DD32DA"/>
    <w:rsid w:val="00DD3467"/>
    <w:rsid w:val="00DD3ABC"/>
    <w:rsid w:val="00DD5155"/>
    <w:rsid w:val="00DD5189"/>
    <w:rsid w:val="00DD5A7A"/>
    <w:rsid w:val="00DD5B0A"/>
    <w:rsid w:val="00DD6E2B"/>
    <w:rsid w:val="00DD7BC7"/>
    <w:rsid w:val="00DD7E13"/>
    <w:rsid w:val="00DE0CBE"/>
    <w:rsid w:val="00DE11CA"/>
    <w:rsid w:val="00DE19C4"/>
    <w:rsid w:val="00DE2A39"/>
    <w:rsid w:val="00DE3ECE"/>
    <w:rsid w:val="00DE4A09"/>
    <w:rsid w:val="00DE4EDF"/>
    <w:rsid w:val="00DE5170"/>
    <w:rsid w:val="00DE53CD"/>
    <w:rsid w:val="00DE57C6"/>
    <w:rsid w:val="00DE5FC1"/>
    <w:rsid w:val="00DE6294"/>
    <w:rsid w:val="00DE6601"/>
    <w:rsid w:val="00DE68D6"/>
    <w:rsid w:val="00DE6B5B"/>
    <w:rsid w:val="00DE6CA8"/>
    <w:rsid w:val="00DE6EC1"/>
    <w:rsid w:val="00DE71EF"/>
    <w:rsid w:val="00DE781D"/>
    <w:rsid w:val="00DE78D2"/>
    <w:rsid w:val="00DE7B85"/>
    <w:rsid w:val="00DE7BE9"/>
    <w:rsid w:val="00DF0976"/>
    <w:rsid w:val="00DF10F9"/>
    <w:rsid w:val="00DF1320"/>
    <w:rsid w:val="00DF1DCE"/>
    <w:rsid w:val="00DF3B05"/>
    <w:rsid w:val="00DF4992"/>
    <w:rsid w:val="00DF4ECF"/>
    <w:rsid w:val="00DF5789"/>
    <w:rsid w:val="00DF5861"/>
    <w:rsid w:val="00DF6A08"/>
    <w:rsid w:val="00E00028"/>
    <w:rsid w:val="00E00663"/>
    <w:rsid w:val="00E00F17"/>
    <w:rsid w:val="00E014CE"/>
    <w:rsid w:val="00E01C2F"/>
    <w:rsid w:val="00E022EA"/>
    <w:rsid w:val="00E02908"/>
    <w:rsid w:val="00E0296D"/>
    <w:rsid w:val="00E04DF5"/>
    <w:rsid w:val="00E0500E"/>
    <w:rsid w:val="00E06664"/>
    <w:rsid w:val="00E0673E"/>
    <w:rsid w:val="00E06916"/>
    <w:rsid w:val="00E073CB"/>
    <w:rsid w:val="00E07DA0"/>
    <w:rsid w:val="00E07EEF"/>
    <w:rsid w:val="00E07F9D"/>
    <w:rsid w:val="00E12D64"/>
    <w:rsid w:val="00E13164"/>
    <w:rsid w:val="00E15424"/>
    <w:rsid w:val="00E2016F"/>
    <w:rsid w:val="00E20606"/>
    <w:rsid w:val="00E20E32"/>
    <w:rsid w:val="00E21941"/>
    <w:rsid w:val="00E2199F"/>
    <w:rsid w:val="00E21BDB"/>
    <w:rsid w:val="00E2299D"/>
    <w:rsid w:val="00E229CF"/>
    <w:rsid w:val="00E232D4"/>
    <w:rsid w:val="00E23867"/>
    <w:rsid w:val="00E23A7D"/>
    <w:rsid w:val="00E23F99"/>
    <w:rsid w:val="00E24070"/>
    <w:rsid w:val="00E25D1F"/>
    <w:rsid w:val="00E260DB"/>
    <w:rsid w:val="00E270AF"/>
    <w:rsid w:val="00E3085C"/>
    <w:rsid w:val="00E30D95"/>
    <w:rsid w:val="00E31EFB"/>
    <w:rsid w:val="00E33D00"/>
    <w:rsid w:val="00E34257"/>
    <w:rsid w:val="00E34EF3"/>
    <w:rsid w:val="00E36352"/>
    <w:rsid w:val="00E370FB"/>
    <w:rsid w:val="00E408AA"/>
    <w:rsid w:val="00E40F80"/>
    <w:rsid w:val="00E42273"/>
    <w:rsid w:val="00E42BB7"/>
    <w:rsid w:val="00E447D9"/>
    <w:rsid w:val="00E45A83"/>
    <w:rsid w:val="00E50027"/>
    <w:rsid w:val="00E50161"/>
    <w:rsid w:val="00E510FE"/>
    <w:rsid w:val="00E514A5"/>
    <w:rsid w:val="00E51623"/>
    <w:rsid w:val="00E51956"/>
    <w:rsid w:val="00E51A29"/>
    <w:rsid w:val="00E52682"/>
    <w:rsid w:val="00E52C2C"/>
    <w:rsid w:val="00E52F02"/>
    <w:rsid w:val="00E53558"/>
    <w:rsid w:val="00E53D06"/>
    <w:rsid w:val="00E54997"/>
    <w:rsid w:val="00E549A6"/>
    <w:rsid w:val="00E55143"/>
    <w:rsid w:val="00E55AF3"/>
    <w:rsid w:val="00E567CD"/>
    <w:rsid w:val="00E6055A"/>
    <w:rsid w:val="00E606D8"/>
    <w:rsid w:val="00E617AE"/>
    <w:rsid w:val="00E61D75"/>
    <w:rsid w:val="00E624B9"/>
    <w:rsid w:val="00E649B6"/>
    <w:rsid w:val="00E651A6"/>
    <w:rsid w:val="00E65387"/>
    <w:rsid w:val="00E65C14"/>
    <w:rsid w:val="00E6646D"/>
    <w:rsid w:val="00E67665"/>
    <w:rsid w:val="00E713E1"/>
    <w:rsid w:val="00E71C13"/>
    <w:rsid w:val="00E72675"/>
    <w:rsid w:val="00E72863"/>
    <w:rsid w:val="00E736BF"/>
    <w:rsid w:val="00E74259"/>
    <w:rsid w:val="00E7538B"/>
    <w:rsid w:val="00E75EEF"/>
    <w:rsid w:val="00E800E4"/>
    <w:rsid w:val="00E80814"/>
    <w:rsid w:val="00E812AE"/>
    <w:rsid w:val="00E818D6"/>
    <w:rsid w:val="00E81C8B"/>
    <w:rsid w:val="00E8219A"/>
    <w:rsid w:val="00E84510"/>
    <w:rsid w:val="00E84E14"/>
    <w:rsid w:val="00E86902"/>
    <w:rsid w:val="00E8704F"/>
    <w:rsid w:val="00E87356"/>
    <w:rsid w:val="00E908E1"/>
    <w:rsid w:val="00E90D0A"/>
    <w:rsid w:val="00E9124C"/>
    <w:rsid w:val="00E93836"/>
    <w:rsid w:val="00E94841"/>
    <w:rsid w:val="00E9536A"/>
    <w:rsid w:val="00E9548B"/>
    <w:rsid w:val="00E96E19"/>
    <w:rsid w:val="00EA0404"/>
    <w:rsid w:val="00EA2F6C"/>
    <w:rsid w:val="00EA42EE"/>
    <w:rsid w:val="00EA500C"/>
    <w:rsid w:val="00EA5069"/>
    <w:rsid w:val="00EA581E"/>
    <w:rsid w:val="00EA642A"/>
    <w:rsid w:val="00EA7799"/>
    <w:rsid w:val="00EB00FC"/>
    <w:rsid w:val="00EB07D2"/>
    <w:rsid w:val="00EB11D0"/>
    <w:rsid w:val="00EB2868"/>
    <w:rsid w:val="00EB54CF"/>
    <w:rsid w:val="00EB5CA1"/>
    <w:rsid w:val="00EB65E4"/>
    <w:rsid w:val="00EB6B48"/>
    <w:rsid w:val="00EC0CAF"/>
    <w:rsid w:val="00EC236F"/>
    <w:rsid w:val="00EC3044"/>
    <w:rsid w:val="00EC3522"/>
    <w:rsid w:val="00EC3914"/>
    <w:rsid w:val="00EC3FF1"/>
    <w:rsid w:val="00EC476D"/>
    <w:rsid w:val="00EC4BA8"/>
    <w:rsid w:val="00EC5478"/>
    <w:rsid w:val="00EC6898"/>
    <w:rsid w:val="00EC74C6"/>
    <w:rsid w:val="00ED1061"/>
    <w:rsid w:val="00ED1590"/>
    <w:rsid w:val="00ED1CB9"/>
    <w:rsid w:val="00ED203B"/>
    <w:rsid w:val="00ED2244"/>
    <w:rsid w:val="00ED33CD"/>
    <w:rsid w:val="00ED3A1C"/>
    <w:rsid w:val="00ED3FFA"/>
    <w:rsid w:val="00ED42A9"/>
    <w:rsid w:val="00ED50AE"/>
    <w:rsid w:val="00ED676B"/>
    <w:rsid w:val="00ED72A6"/>
    <w:rsid w:val="00ED7B04"/>
    <w:rsid w:val="00EE0FB3"/>
    <w:rsid w:val="00EE1158"/>
    <w:rsid w:val="00EE2F92"/>
    <w:rsid w:val="00EE42AC"/>
    <w:rsid w:val="00EE44BC"/>
    <w:rsid w:val="00EE59BC"/>
    <w:rsid w:val="00EE6F84"/>
    <w:rsid w:val="00EE7E6A"/>
    <w:rsid w:val="00EF00AD"/>
    <w:rsid w:val="00EF116A"/>
    <w:rsid w:val="00EF1939"/>
    <w:rsid w:val="00EF3D60"/>
    <w:rsid w:val="00EF4D5F"/>
    <w:rsid w:val="00EF59A0"/>
    <w:rsid w:val="00EF72DD"/>
    <w:rsid w:val="00EF7C11"/>
    <w:rsid w:val="00F008E0"/>
    <w:rsid w:val="00F01216"/>
    <w:rsid w:val="00F01778"/>
    <w:rsid w:val="00F019A6"/>
    <w:rsid w:val="00F02299"/>
    <w:rsid w:val="00F02906"/>
    <w:rsid w:val="00F05084"/>
    <w:rsid w:val="00F055B4"/>
    <w:rsid w:val="00F055EA"/>
    <w:rsid w:val="00F05994"/>
    <w:rsid w:val="00F103AF"/>
    <w:rsid w:val="00F109A2"/>
    <w:rsid w:val="00F10B4D"/>
    <w:rsid w:val="00F11A07"/>
    <w:rsid w:val="00F11DEF"/>
    <w:rsid w:val="00F1274D"/>
    <w:rsid w:val="00F13036"/>
    <w:rsid w:val="00F1394A"/>
    <w:rsid w:val="00F13B07"/>
    <w:rsid w:val="00F15736"/>
    <w:rsid w:val="00F15B8D"/>
    <w:rsid w:val="00F1610E"/>
    <w:rsid w:val="00F1667C"/>
    <w:rsid w:val="00F17BB4"/>
    <w:rsid w:val="00F20064"/>
    <w:rsid w:val="00F20F82"/>
    <w:rsid w:val="00F22765"/>
    <w:rsid w:val="00F227A3"/>
    <w:rsid w:val="00F22D19"/>
    <w:rsid w:val="00F22E12"/>
    <w:rsid w:val="00F24133"/>
    <w:rsid w:val="00F24294"/>
    <w:rsid w:val="00F250F7"/>
    <w:rsid w:val="00F25676"/>
    <w:rsid w:val="00F25BBB"/>
    <w:rsid w:val="00F266B7"/>
    <w:rsid w:val="00F26DC5"/>
    <w:rsid w:val="00F27561"/>
    <w:rsid w:val="00F27CD1"/>
    <w:rsid w:val="00F304E8"/>
    <w:rsid w:val="00F30695"/>
    <w:rsid w:val="00F32098"/>
    <w:rsid w:val="00F32491"/>
    <w:rsid w:val="00F34987"/>
    <w:rsid w:val="00F35144"/>
    <w:rsid w:val="00F35C4C"/>
    <w:rsid w:val="00F35F4E"/>
    <w:rsid w:val="00F3756D"/>
    <w:rsid w:val="00F4109B"/>
    <w:rsid w:val="00F4129F"/>
    <w:rsid w:val="00F41E6F"/>
    <w:rsid w:val="00F42894"/>
    <w:rsid w:val="00F44276"/>
    <w:rsid w:val="00F444D1"/>
    <w:rsid w:val="00F447E7"/>
    <w:rsid w:val="00F44932"/>
    <w:rsid w:val="00F45602"/>
    <w:rsid w:val="00F46D44"/>
    <w:rsid w:val="00F47840"/>
    <w:rsid w:val="00F51383"/>
    <w:rsid w:val="00F5182C"/>
    <w:rsid w:val="00F51E2F"/>
    <w:rsid w:val="00F5202D"/>
    <w:rsid w:val="00F522F6"/>
    <w:rsid w:val="00F52CDB"/>
    <w:rsid w:val="00F53FAF"/>
    <w:rsid w:val="00F547EC"/>
    <w:rsid w:val="00F54D95"/>
    <w:rsid w:val="00F55773"/>
    <w:rsid w:val="00F5618B"/>
    <w:rsid w:val="00F61330"/>
    <w:rsid w:val="00F614AA"/>
    <w:rsid w:val="00F61ED3"/>
    <w:rsid w:val="00F62C76"/>
    <w:rsid w:val="00F63331"/>
    <w:rsid w:val="00F635EF"/>
    <w:rsid w:val="00F639B3"/>
    <w:rsid w:val="00F63B57"/>
    <w:rsid w:val="00F64239"/>
    <w:rsid w:val="00F64D03"/>
    <w:rsid w:val="00F652B9"/>
    <w:rsid w:val="00F66644"/>
    <w:rsid w:val="00F66A64"/>
    <w:rsid w:val="00F679A9"/>
    <w:rsid w:val="00F67EA7"/>
    <w:rsid w:val="00F70E0B"/>
    <w:rsid w:val="00F71041"/>
    <w:rsid w:val="00F717BD"/>
    <w:rsid w:val="00F71C9B"/>
    <w:rsid w:val="00F71D97"/>
    <w:rsid w:val="00F72346"/>
    <w:rsid w:val="00F74136"/>
    <w:rsid w:val="00F7464C"/>
    <w:rsid w:val="00F810D2"/>
    <w:rsid w:val="00F81640"/>
    <w:rsid w:val="00F81A6A"/>
    <w:rsid w:val="00F822E2"/>
    <w:rsid w:val="00F8367A"/>
    <w:rsid w:val="00F85880"/>
    <w:rsid w:val="00F869AB"/>
    <w:rsid w:val="00F86F1D"/>
    <w:rsid w:val="00F8707D"/>
    <w:rsid w:val="00F8721D"/>
    <w:rsid w:val="00F877EA"/>
    <w:rsid w:val="00F903DD"/>
    <w:rsid w:val="00F90E90"/>
    <w:rsid w:val="00F91CED"/>
    <w:rsid w:val="00F95427"/>
    <w:rsid w:val="00F967CE"/>
    <w:rsid w:val="00F96AAC"/>
    <w:rsid w:val="00F96EB0"/>
    <w:rsid w:val="00F97BF5"/>
    <w:rsid w:val="00FA0ABD"/>
    <w:rsid w:val="00FA297B"/>
    <w:rsid w:val="00FA2F91"/>
    <w:rsid w:val="00FA40F7"/>
    <w:rsid w:val="00FA4F0B"/>
    <w:rsid w:val="00FA550D"/>
    <w:rsid w:val="00FA5FBE"/>
    <w:rsid w:val="00FA61EB"/>
    <w:rsid w:val="00FA656A"/>
    <w:rsid w:val="00FA69DD"/>
    <w:rsid w:val="00FA70D5"/>
    <w:rsid w:val="00FA7D74"/>
    <w:rsid w:val="00FB0868"/>
    <w:rsid w:val="00FB1FF0"/>
    <w:rsid w:val="00FB237E"/>
    <w:rsid w:val="00FB3368"/>
    <w:rsid w:val="00FB4A9D"/>
    <w:rsid w:val="00FB51FE"/>
    <w:rsid w:val="00FC1288"/>
    <w:rsid w:val="00FC1F9A"/>
    <w:rsid w:val="00FC242C"/>
    <w:rsid w:val="00FC2970"/>
    <w:rsid w:val="00FC2A95"/>
    <w:rsid w:val="00FC2E25"/>
    <w:rsid w:val="00FC34F9"/>
    <w:rsid w:val="00FC6938"/>
    <w:rsid w:val="00FD00DD"/>
    <w:rsid w:val="00FD0383"/>
    <w:rsid w:val="00FD0C40"/>
    <w:rsid w:val="00FD197B"/>
    <w:rsid w:val="00FD1BCF"/>
    <w:rsid w:val="00FD21AB"/>
    <w:rsid w:val="00FD3189"/>
    <w:rsid w:val="00FD4697"/>
    <w:rsid w:val="00FD5082"/>
    <w:rsid w:val="00FD58AB"/>
    <w:rsid w:val="00FD5CF8"/>
    <w:rsid w:val="00FD609A"/>
    <w:rsid w:val="00FD70A6"/>
    <w:rsid w:val="00FD76B6"/>
    <w:rsid w:val="00FD7DCD"/>
    <w:rsid w:val="00FE2CA9"/>
    <w:rsid w:val="00FE33B5"/>
    <w:rsid w:val="00FE4CAC"/>
    <w:rsid w:val="00FE7E7D"/>
    <w:rsid w:val="00FF0BBE"/>
    <w:rsid w:val="00FF1CD6"/>
    <w:rsid w:val="00FF20B8"/>
    <w:rsid w:val="00FF2600"/>
    <w:rsid w:val="00FF293E"/>
    <w:rsid w:val="00FF425A"/>
    <w:rsid w:val="00FF52CA"/>
    <w:rsid w:val="00FF540E"/>
    <w:rsid w:val="00FF5AE5"/>
    <w:rsid w:val="00FF6187"/>
    <w:rsid w:val="00FF6695"/>
    <w:rsid w:val="00FF70E6"/>
    <w:rsid w:val="00FF7F37"/>
    <w:rsid w:val="010351AA"/>
    <w:rsid w:val="0110301A"/>
    <w:rsid w:val="012617C3"/>
    <w:rsid w:val="01345E86"/>
    <w:rsid w:val="01727C86"/>
    <w:rsid w:val="01757D6C"/>
    <w:rsid w:val="017F0DC8"/>
    <w:rsid w:val="01B36EDB"/>
    <w:rsid w:val="01B67A50"/>
    <w:rsid w:val="01C603F3"/>
    <w:rsid w:val="01D80A55"/>
    <w:rsid w:val="01F40F97"/>
    <w:rsid w:val="02125874"/>
    <w:rsid w:val="02350FD7"/>
    <w:rsid w:val="025B2DC4"/>
    <w:rsid w:val="02624152"/>
    <w:rsid w:val="026D5A4E"/>
    <w:rsid w:val="027F08F6"/>
    <w:rsid w:val="02866093"/>
    <w:rsid w:val="02985DC6"/>
    <w:rsid w:val="029C3C3D"/>
    <w:rsid w:val="029D5F95"/>
    <w:rsid w:val="02A62291"/>
    <w:rsid w:val="02AF35B9"/>
    <w:rsid w:val="02D7069C"/>
    <w:rsid w:val="02DB5B22"/>
    <w:rsid w:val="02E2117E"/>
    <w:rsid w:val="02EA0C52"/>
    <w:rsid w:val="02EF31FC"/>
    <w:rsid w:val="03174F3D"/>
    <w:rsid w:val="03187320"/>
    <w:rsid w:val="031D5029"/>
    <w:rsid w:val="031F5CB1"/>
    <w:rsid w:val="03233C63"/>
    <w:rsid w:val="032510F8"/>
    <w:rsid w:val="033A0B59"/>
    <w:rsid w:val="03423A5A"/>
    <w:rsid w:val="035C6DF3"/>
    <w:rsid w:val="03745A07"/>
    <w:rsid w:val="037B371D"/>
    <w:rsid w:val="038F6F0F"/>
    <w:rsid w:val="039E11BA"/>
    <w:rsid w:val="03A41A2E"/>
    <w:rsid w:val="03B67A42"/>
    <w:rsid w:val="03BC3FA3"/>
    <w:rsid w:val="03CD7699"/>
    <w:rsid w:val="03D05B32"/>
    <w:rsid w:val="03E82C1C"/>
    <w:rsid w:val="0403263B"/>
    <w:rsid w:val="041A2F36"/>
    <w:rsid w:val="042947BD"/>
    <w:rsid w:val="0453546B"/>
    <w:rsid w:val="045A3333"/>
    <w:rsid w:val="04657F2A"/>
    <w:rsid w:val="04700BD6"/>
    <w:rsid w:val="047D1717"/>
    <w:rsid w:val="048900BC"/>
    <w:rsid w:val="048D3660"/>
    <w:rsid w:val="049F168E"/>
    <w:rsid w:val="04BF588C"/>
    <w:rsid w:val="04CD6B22"/>
    <w:rsid w:val="04D1736D"/>
    <w:rsid w:val="04D27DBA"/>
    <w:rsid w:val="04D75C17"/>
    <w:rsid w:val="04DF51E5"/>
    <w:rsid w:val="04F67264"/>
    <w:rsid w:val="05057FD0"/>
    <w:rsid w:val="05092FAB"/>
    <w:rsid w:val="050D5709"/>
    <w:rsid w:val="054E0A7B"/>
    <w:rsid w:val="058118D7"/>
    <w:rsid w:val="05854E9B"/>
    <w:rsid w:val="05857FFC"/>
    <w:rsid w:val="058F34B0"/>
    <w:rsid w:val="05B339D9"/>
    <w:rsid w:val="05B6173B"/>
    <w:rsid w:val="05BA22D5"/>
    <w:rsid w:val="05BB6053"/>
    <w:rsid w:val="05BF087E"/>
    <w:rsid w:val="05EE13C9"/>
    <w:rsid w:val="05EF3F4F"/>
    <w:rsid w:val="05F525E4"/>
    <w:rsid w:val="05FE5366"/>
    <w:rsid w:val="060D2627"/>
    <w:rsid w:val="0620398B"/>
    <w:rsid w:val="06251ECB"/>
    <w:rsid w:val="06295175"/>
    <w:rsid w:val="063548D6"/>
    <w:rsid w:val="06361B7E"/>
    <w:rsid w:val="06477D96"/>
    <w:rsid w:val="06530BFE"/>
    <w:rsid w:val="065E0D7E"/>
    <w:rsid w:val="067F52D3"/>
    <w:rsid w:val="06895DB0"/>
    <w:rsid w:val="068F508F"/>
    <w:rsid w:val="06B16195"/>
    <w:rsid w:val="06E4782C"/>
    <w:rsid w:val="06F41752"/>
    <w:rsid w:val="07434552"/>
    <w:rsid w:val="075A189C"/>
    <w:rsid w:val="07634BF4"/>
    <w:rsid w:val="077B122A"/>
    <w:rsid w:val="077E37DC"/>
    <w:rsid w:val="07AD11D5"/>
    <w:rsid w:val="07AE5867"/>
    <w:rsid w:val="07AF3996"/>
    <w:rsid w:val="07B2792A"/>
    <w:rsid w:val="07C66F31"/>
    <w:rsid w:val="07CA6A37"/>
    <w:rsid w:val="07FA45B7"/>
    <w:rsid w:val="08457889"/>
    <w:rsid w:val="08464A1F"/>
    <w:rsid w:val="086E55FF"/>
    <w:rsid w:val="08724C55"/>
    <w:rsid w:val="08730E67"/>
    <w:rsid w:val="0880043F"/>
    <w:rsid w:val="08B123F7"/>
    <w:rsid w:val="08C23B9D"/>
    <w:rsid w:val="08E33EA0"/>
    <w:rsid w:val="08F74842"/>
    <w:rsid w:val="08FA260E"/>
    <w:rsid w:val="08FC0CCA"/>
    <w:rsid w:val="091A7535"/>
    <w:rsid w:val="092959CA"/>
    <w:rsid w:val="09336848"/>
    <w:rsid w:val="093A7BD7"/>
    <w:rsid w:val="093B4BC3"/>
    <w:rsid w:val="095A48E7"/>
    <w:rsid w:val="0963712E"/>
    <w:rsid w:val="096A04BC"/>
    <w:rsid w:val="098E3A7F"/>
    <w:rsid w:val="09931095"/>
    <w:rsid w:val="09B54DB8"/>
    <w:rsid w:val="09C71698"/>
    <w:rsid w:val="09CE595E"/>
    <w:rsid w:val="09CE6E57"/>
    <w:rsid w:val="09FC6A4A"/>
    <w:rsid w:val="0A051C94"/>
    <w:rsid w:val="0A195C1F"/>
    <w:rsid w:val="0A2B2EE4"/>
    <w:rsid w:val="0A3C350E"/>
    <w:rsid w:val="0A3F353B"/>
    <w:rsid w:val="0A686678"/>
    <w:rsid w:val="0A8D5BDD"/>
    <w:rsid w:val="0A984BB5"/>
    <w:rsid w:val="0AA10671"/>
    <w:rsid w:val="0AA4038A"/>
    <w:rsid w:val="0AB67731"/>
    <w:rsid w:val="0AB74171"/>
    <w:rsid w:val="0AC72D79"/>
    <w:rsid w:val="0AEB73DB"/>
    <w:rsid w:val="0AF0679F"/>
    <w:rsid w:val="0B162392"/>
    <w:rsid w:val="0B3166EB"/>
    <w:rsid w:val="0B332B30"/>
    <w:rsid w:val="0B3568A8"/>
    <w:rsid w:val="0B45790A"/>
    <w:rsid w:val="0B4E4A5D"/>
    <w:rsid w:val="0B7D1AED"/>
    <w:rsid w:val="0B9C2483"/>
    <w:rsid w:val="0BA7412C"/>
    <w:rsid w:val="0BB440E1"/>
    <w:rsid w:val="0BB93035"/>
    <w:rsid w:val="0BDC31C7"/>
    <w:rsid w:val="0C0B13B7"/>
    <w:rsid w:val="0C300F7F"/>
    <w:rsid w:val="0C3B574C"/>
    <w:rsid w:val="0C3E4E01"/>
    <w:rsid w:val="0C7358DA"/>
    <w:rsid w:val="0C835496"/>
    <w:rsid w:val="0C851169"/>
    <w:rsid w:val="0C994C14"/>
    <w:rsid w:val="0CA84E57"/>
    <w:rsid w:val="0CA8527C"/>
    <w:rsid w:val="0CB642E9"/>
    <w:rsid w:val="0CE770D5"/>
    <w:rsid w:val="0CF077E8"/>
    <w:rsid w:val="0CFB26C2"/>
    <w:rsid w:val="0CFD5AFE"/>
    <w:rsid w:val="0D0B5B12"/>
    <w:rsid w:val="0D1D6ADC"/>
    <w:rsid w:val="0D2E6A3F"/>
    <w:rsid w:val="0D305579"/>
    <w:rsid w:val="0D3B1FC4"/>
    <w:rsid w:val="0D3C1AAA"/>
    <w:rsid w:val="0D40644B"/>
    <w:rsid w:val="0D474670"/>
    <w:rsid w:val="0D680BE0"/>
    <w:rsid w:val="0D735465"/>
    <w:rsid w:val="0D7511DD"/>
    <w:rsid w:val="0DA447BB"/>
    <w:rsid w:val="0DDE6EB8"/>
    <w:rsid w:val="0DFF388F"/>
    <w:rsid w:val="0E232C28"/>
    <w:rsid w:val="0E2350DD"/>
    <w:rsid w:val="0E26072A"/>
    <w:rsid w:val="0E265AC8"/>
    <w:rsid w:val="0E2E129C"/>
    <w:rsid w:val="0E305FF9"/>
    <w:rsid w:val="0E574EDB"/>
    <w:rsid w:val="0E5A5605"/>
    <w:rsid w:val="0E5C4985"/>
    <w:rsid w:val="0E6179B4"/>
    <w:rsid w:val="0E7A5896"/>
    <w:rsid w:val="0E8E3B6F"/>
    <w:rsid w:val="0EA0127C"/>
    <w:rsid w:val="0EAF11B6"/>
    <w:rsid w:val="0EBC177A"/>
    <w:rsid w:val="0ED308B1"/>
    <w:rsid w:val="0EE02FCE"/>
    <w:rsid w:val="0EEB6FFF"/>
    <w:rsid w:val="0EFD36EF"/>
    <w:rsid w:val="0F6760B8"/>
    <w:rsid w:val="0F6D010C"/>
    <w:rsid w:val="0F725466"/>
    <w:rsid w:val="0F735BCE"/>
    <w:rsid w:val="0F7966BD"/>
    <w:rsid w:val="0F7E1279"/>
    <w:rsid w:val="0F841BAC"/>
    <w:rsid w:val="0F911464"/>
    <w:rsid w:val="0FB513D3"/>
    <w:rsid w:val="0FC85F3C"/>
    <w:rsid w:val="0FCB4819"/>
    <w:rsid w:val="0FF3288D"/>
    <w:rsid w:val="10052457"/>
    <w:rsid w:val="103233B6"/>
    <w:rsid w:val="10516577"/>
    <w:rsid w:val="105A72C5"/>
    <w:rsid w:val="1066305F"/>
    <w:rsid w:val="107463E5"/>
    <w:rsid w:val="109E0A4B"/>
    <w:rsid w:val="10A67900"/>
    <w:rsid w:val="10BB39E1"/>
    <w:rsid w:val="10C74658"/>
    <w:rsid w:val="10CF32FA"/>
    <w:rsid w:val="10E70644"/>
    <w:rsid w:val="10EF29DA"/>
    <w:rsid w:val="10F10338"/>
    <w:rsid w:val="10F16DCD"/>
    <w:rsid w:val="11034D52"/>
    <w:rsid w:val="1106587D"/>
    <w:rsid w:val="115B43B6"/>
    <w:rsid w:val="11742577"/>
    <w:rsid w:val="11B7057C"/>
    <w:rsid w:val="11D91672"/>
    <w:rsid w:val="11DF756D"/>
    <w:rsid w:val="11EC514B"/>
    <w:rsid w:val="11F25627"/>
    <w:rsid w:val="1234148C"/>
    <w:rsid w:val="12371A06"/>
    <w:rsid w:val="123C4ABE"/>
    <w:rsid w:val="12940358"/>
    <w:rsid w:val="12A85BB1"/>
    <w:rsid w:val="12C81DAF"/>
    <w:rsid w:val="12CF5795"/>
    <w:rsid w:val="12F60ADB"/>
    <w:rsid w:val="13061A78"/>
    <w:rsid w:val="130F3B9D"/>
    <w:rsid w:val="131320DA"/>
    <w:rsid w:val="13371015"/>
    <w:rsid w:val="133C6704"/>
    <w:rsid w:val="133F2861"/>
    <w:rsid w:val="13453400"/>
    <w:rsid w:val="13547AE7"/>
    <w:rsid w:val="13630A49"/>
    <w:rsid w:val="138A301D"/>
    <w:rsid w:val="13BD3F47"/>
    <w:rsid w:val="13BE1D53"/>
    <w:rsid w:val="13D83915"/>
    <w:rsid w:val="13D9596F"/>
    <w:rsid w:val="13EA1DB0"/>
    <w:rsid w:val="14044EE5"/>
    <w:rsid w:val="141605EF"/>
    <w:rsid w:val="1418199C"/>
    <w:rsid w:val="14391921"/>
    <w:rsid w:val="144731A8"/>
    <w:rsid w:val="144B2C98"/>
    <w:rsid w:val="145427FA"/>
    <w:rsid w:val="14926B19"/>
    <w:rsid w:val="14A758E3"/>
    <w:rsid w:val="14AC3604"/>
    <w:rsid w:val="14B03A84"/>
    <w:rsid w:val="14CF5677"/>
    <w:rsid w:val="14DD7CE7"/>
    <w:rsid w:val="14F21366"/>
    <w:rsid w:val="14FD37CF"/>
    <w:rsid w:val="150317C5"/>
    <w:rsid w:val="15254FBD"/>
    <w:rsid w:val="15284D87"/>
    <w:rsid w:val="155A1E17"/>
    <w:rsid w:val="1565422D"/>
    <w:rsid w:val="158445F0"/>
    <w:rsid w:val="158A56F8"/>
    <w:rsid w:val="158A5B65"/>
    <w:rsid w:val="158D58F5"/>
    <w:rsid w:val="15B30AF5"/>
    <w:rsid w:val="15DA5BEF"/>
    <w:rsid w:val="15EF2AA8"/>
    <w:rsid w:val="15F0598A"/>
    <w:rsid w:val="160D2D3C"/>
    <w:rsid w:val="16236152"/>
    <w:rsid w:val="164A6478"/>
    <w:rsid w:val="165E0F95"/>
    <w:rsid w:val="166516F8"/>
    <w:rsid w:val="16A23961"/>
    <w:rsid w:val="16CB3D75"/>
    <w:rsid w:val="16D52CED"/>
    <w:rsid w:val="16FF3191"/>
    <w:rsid w:val="17004A3B"/>
    <w:rsid w:val="17077FD1"/>
    <w:rsid w:val="170A0BE8"/>
    <w:rsid w:val="170A3665"/>
    <w:rsid w:val="170C2C5F"/>
    <w:rsid w:val="1727128A"/>
    <w:rsid w:val="17535EF4"/>
    <w:rsid w:val="17664E76"/>
    <w:rsid w:val="17741389"/>
    <w:rsid w:val="177C760C"/>
    <w:rsid w:val="177C7763"/>
    <w:rsid w:val="178A1D29"/>
    <w:rsid w:val="17900032"/>
    <w:rsid w:val="17927295"/>
    <w:rsid w:val="17AB151D"/>
    <w:rsid w:val="17B14BF9"/>
    <w:rsid w:val="17C52E06"/>
    <w:rsid w:val="17CA36C8"/>
    <w:rsid w:val="17D31922"/>
    <w:rsid w:val="17E72CD8"/>
    <w:rsid w:val="17FB5A34"/>
    <w:rsid w:val="180B3B2E"/>
    <w:rsid w:val="184360FD"/>
    <w:rsid w:val="185277DA"/>
    <w:rsid w:val="18664195"/>
    <w:rsid w:val="18891FE1"/>
    <w:rsid w:val="189D479A"/>
    <w:rsid w:val="18BA03EC"/>
    <w:rsid w:val="18BD7169"/>
    <w:rsid w:val="18C80D5B"/>
    <w:rsid w:val="18C96E59"/>
    <w:rsid w:val="18D1647F"/>
    <w:rsid w:val="18D86D91"/>
    <w:rsid w:val="1908025D"/>
    <w:rsid w:val="191D4766"/>
    <w:rsid w:val="19393A07"/>
    <w:rsid w:val="196C1720"/>
    <w:rsid w:val="197C580D"/>
    <w:rsid w:val="19CD084B"/>
    <w:rsid w:val="19D454DE"/>
    <w:rsid w:val="19D6028A"/>
    <w:rsid w:val="19D878BC"/>
    <w:rsid w:val="19E77C11"/>
    <w:rsid w:val="19EF538C"/>
    <w:rsid w:val="19EF6927"/>
    <w:rsid w:val="1A0924D1"/>
    <w:rsid w:val="1A0F29BA"/>
    <w:rsid w:val="1A0F6516"/>
    <w:rsid w:val="1A1C0FE1"/>
    <w:rsid w:val="1A2F0966"/>
    <w:rsid w:val="1A4C59BC"/>
    <w:rsid w:val="1A851FB4"/>
    <w:rsid w:val="1A88384B"/>
    <w:rsid w:val="1A8C400A"/>
    <w:rsid w:val="1AD872CD"/>
    <w:rsid w:val="1AD91676"/>
    <w:rsid w:val="1ADA4D76"/>
    <w:rsid w:val="1AE70EEC"/>
    <w:rsid w:val="1AEF3094"/>
    <w:rsid w:val="1AF75928"/>
    <w:rsid w:val="1AFA71C6"/>
    <w:rsid w:val="1B14076F"/>
    <w:rsid w:val="1B441E70"/>
    <w:rsid w:val="1B522B5E"/>
    <w:rsid w:val="1B565609"/>
    <w:rsid w:val="1B5A4640"/>
    <w:rsid w:val="1B8F790E"/>
    <w:rsid w:val="1BA07D6D"/>
    <w:rsid w:val="1BA3160C"/>
    <w:rsid w:val="1BA81D0B"/>
    <w:rsid w:val="1BA82F7A"/>
    <w:rsid w:val="1BAC031D"/>
    <w:rsid w:val="1BAD4238"/>
    <w:rsid w:val="1BCF4B4A"/>
    <w:rsid w:val="1C033E58"/>
    <w:rsid w:val="1C0632F8"/>
    <w:rsid w:val="1C2E5379"/>
    <w:rsid w:val="1C4D14DD"/>
    <w:rsid w:val="1C5B5A42"/>
    <w:rsid w:val="1C612B8E"/>
    <w:rsid w:val="1C626184"/>
    <w:rsid w:val="1C656C23"/>
    <w:rsid w:val="1C7F5BD5"/>
    <w:rsid w:val="1C9F1DD3"/>
    <w:rsid w:val="1CAB4C1C"/>
    <w:rsid w:val="1CB50917"/>
    <w:rsid w:val="1CC2721E"/>
    <w:rsid w:val="1CC71702"/>
    <w:rsid w:val="1CC85FCA"/>
    <w:rsid w:val="1CCB706C"/>
    <w:rsid w:val="1CD90ECB"/>
    <w:rsid w:val="1CEA7476"/>
    <w:rsid w:val="1CF245F9"/>
    <w:rsid w:val="1CFA525B"/>
    <w:rsid w:val="1CFC2CF4"/>
    <w:rsid w:val="1CFD25EA"/>
    <w:rsid w:val="1D0955B7"/>
    <w:rsid w:val="1D0D582A"/>
    <w:rsid w:val="1D502D74"/>
    <w:rsid w:val="1D856CFB"/>
    <w:rsid w:val="1D8A7DED"/>
    <w:rsid w:val="1D954F84"/>
    <w:rsid w:val="1DAD0520"/>
    <w:rsid w:val="1DAF4EEB"/>
    <w:rsid w:val="1DBB24A5"/>
    <w:rsid w:val="1DBE44DB"/>
    <w:rsid w:val="1DC0396F"/>
    <w:rsid w:val="1DD27F86"/>
    <w:rsid w:val="1DD67A76"/>
    <w:rsid w:val="1DE7131E"/>
    <w:rsid w:val="1DE975C0"/>
    <w:rsid w:val="1DF3679B"/>
    <w:rsid w:val="1DFB7351"/>
    <w:rsid w:val="1DFF05E2"/>
    <w:rsid w:val="1E067C30"/>
    <w:rsid w:val="1E07540F"/>
    <w:rsid w:val="1E1657C0"/>
    <w:rsid w:val="1E3E1D4B"/>
    <w:rsid w:val="1EC113B2"/>
    <w:rsid w:val="1EC75611"/>
    <w:rsid w:val="1ECE074D"/>
    <w:rsid w:val="1EF26B32"/>
    <w:rsid w:val="1EF676C0"/>
    <w:rsid w:val="1F0B3750"/>
    <w:rsid w:val="1F0C32E7"/>
    <w:rsid w:val="1F0D0973"/>
    <w:rsid w:val="1F154A49"/>
    <w:rsid w:val="1F325ABD"/>
    <w:rsid w:val="1F3A466C"/>
    <w:rsid w:val="1F4F1BB6"/>
    <w:rsid w:val="1F524E61"/>
    <w:rsid w:val="1F5910C8"/>
    <w:rsid w:val="1F5E0C8E"/>
    <w:rsid w:val="1F7035E6"/>
    <w:rsid w:val="1F7603E0"/>
    <w:rsid w:val="1F7E03C6"/>
    <w:rsid w:val="1F812CE9"/>
    <w:rsid w:val="1F8B42E9"/>
    <w:rsid w:val="1F974EC1"/>
    <w:rsid w:val="1FA45952"/>
    <w:rsid w:val="1FBE07C2"/>
    <w:rsid w:val="1FBF47A2"/>
    <w:rsid w:val="1FFE72CB"/>
    <w:rsid w:val="1FFF20FE"/>
    <w:rsid w:val="2000198D"/>
    <w:rsid w:val="20062169"/>
    <w:rsid w:val="200A1C59"/>
    <w:rsid w:val="200D799B"/>
    <w:rsid w:val="20113134"/>
    <w:rsid w:val="2017074E"/>
    <w:rsid w:val="2025071F"/>
    <w:rsid w:val="20322F5E"/>
    <w:rsid w:val="20346CD6"/>
    <w:rsid w:val="20407429"/>
    <w:rsid w:val="20452C91"/>
    <w:rsid w:val="204A64FA"/>
    <w:rsid w:val="206550E2"/>
    <w:rsid w:val="206C6470"/>
    <w:rsid w:val="20745325"/>
    <w:rsid w:val="209634ED"/>
    <w:rsid w:val="20C133F8"/>
    <w:rsid w:val="20D52267"/>
    <w:rsid w:val="20EC75B1"/>
    <w:rsid w:val="20F54E29"/>
    <w:rsid w:val="21091F11"/>
    <w:rsid w:val="211017CA"/>
    <w:rsid w:val="212030D7"/>
    <w:rsid w:val="212874CF"/>
    <w:rsid w:val="213825F5"/>
    <w:rsid w:val="213860C6"/>
    <w:rsid w:val="21617F9F"/>
    <w:rsid w:val="216A6CD7"/>
    <w:rsid w:val="217A0581"/>
    <w:rsid w:val="217E667A"/>
    <w:rsid w:val="218D656F"/>
    <w:rsid w:val="21957C48"/>
    <w:rsid w:val="21A8797C"/>
    <w:rsid w:val="21BF0821"/>
    <w:rsid w:val="21F93FD6"/>
    <w:rsid w:val="220723E7"/>
    <w:rsid w:val="221657FC"/>
    <w:rsid w:val="22325497"/>
    <w:rsid w:val="224131F3"/>
    <w:rsid w:val="22462CF1"/>
    <w:rsid w:val="22486578"/>
    <w:rsid w:val="22575D40"/>
    <w:rsid w:val="226C09A9"/>
    <w:rsid w:val="229B4DEB"/>
    <w:rsid w:val="22AC3171"/>
    <w:rsid w:val="22B537C3"/>
    <w:rsid w:val="22BB54C1"/>
    <w:rsid w:val="22C130D1"/>
    <w:rsid w:val="22CB180A"/>
    <w:rsid w:val="22CF0F38"/>
    <w:rsid w:val="22D27CFC"/>
    <w:rsid w:val="22FA7F98"/>
    <w:rsid w:val="23024E6A"/>
    <w:rsid w:val="232B2612"/>
    <w:rsid w:val="23482EEF"/>
    <w:rsid w:val="234E6301"/>
    <w:rsid w:val="235653D0"/>
    <w:rsid w:val="235D2862"/>
    <w:rsid w:val="23976A7E"/>
    <w:rsid w:val="239A46F7"/>
    <w:rsid w:val="23A41D2F"/>
    <w:rsid w:val="23D22A8E"/>
    <w:rsid w:val="23D42997"/>
    <w:rsid w:val="23DB32E7"/>
    <w:rsid w:val="23E915D2"/>
    <w:rsid w:val="23EE46CA"/>
    <w:rsid w:val="24064469"/>
    <w:rsid w:val="240F3266"/>
    <w:rsid w:val="241B13FE"/>
    <w:rsid w:val="242875C6"/>
    <w:rsid w:val="2446347C"/>
    <w:rsid w:val="24466FD8"/>
    <w:rsid w:val="24493596"/>
    <w:rsid w:val="24661BDD"/>
    <w:rsid w:val="24701257"/>
    <w:rsid w:val="24716EF0"/>
    <w:rsid w:val="248E3FF4"/>
    <w:rsid w:val="249A411D"/>
    <w:rsid w:val="249D6CB2"/>
    <w:rsid w:val="24A645D2"/>
    <w:rsid w:val="24BE1264"/>
    <w:rsid w:val="24C3545E"/>
    <w:rsid w:val="24CE08C5"/>
    <w:rsid w:val="24EE0128"/>
    <w:rsid w:val="25050C41"/>
    <w:rsid w:val="251A5E6D"/>
    <w:rsid w:val="252B59D4"/>
    <w:rsid w:val="25471006"/>
    <w:rsid w:val="256C6F17"/>
    <w:rsid w:val="257403F5"/>
    <w:rsid w:val="257819E3"/>
    <w:rsid w:val="257E33D4"/>
    <w:rsid w:val="257E65B4"/>
    <w:rsid w:val="25B14925"/>
    <w:rsid w:val="25C7239A"/>
    <w:rsid w:val="25D80104"/>
    <w:rsid w:val="25E22EAB"/>
    <w:rsid w:val="25E45536"/>
    <w:rsid w:val="260468F6"/>
    <w:rsid w:val="26362C80"/>
    <w:rsid w:val="263B4DD9"/>
    <w:rsid w:val="264A075D"/>
    <w:rsid w:val="265255B2"/>
    <w:rsid w:val="266100F9"/>
    <w:rsid w:val="26802C75"/>
    <w:rsid w:val="268705C2"/>
    <w:rsid w:val="26A06DA2"/>
    <w:rsid w:val="26C50688"/>
    <w:rsid w:val="26C9354C"/>
    <w:rsid w:val="26D30045"/>
    <w:rsid w:val="26D62895"/>
    <w:rsid w:val="26DC52CD"/>
    <w:rsid w:val="26DE5BEE"/>
    <w:rsid w:val="26FF791D"/>
    <w:rsid w:val="2714160F"/>
    <w:rsid w:val="27271343"/>
    <w:rsid w:val="27273C38"/>
    <w:rsid w:val="27314368"/>
    <w:rsid w:val="27321A96"/>
    <w:rsid w:val="273870AC"/>
    <w:rsid w:val="27395E67"/>
    <w:rsid w:val="273C6F37"/>
    <w:rsid w:val="27547C5E"/>
    <w:rsid w:val="275B006D"/>
    <w:rsid w:val="27657964"/>
    <w:rsid w:val="27697725"/>
    <w:rsid w:val="276C144B"/>
    <w:rsid w:val="277A4090"/>
    <w:rsid w:val="278A18F4"/>
    <w:rsid w:val="27B01329"/>
    <w:rsid w:val="27B16E5E"/>
    <w:rsid w:val="27E15995"/>
    <w:rsid w:val="27F84FA1"/>
    <w:rsid w:val="28092CBD"/>
    <w:rsid w:val="280F0BA6"/>
    <w:rsid w:val="284E28FF"/>
    <w:rsid w:val="286A13F2"/>
    <w:rsid w:val="28780AC6"/>
    <w:rsid w:val="288E5833"/>
    <w:rsid w:val="28A8200F"/>
    <w:rsid w:val="28C00253"/>
    <w:rsid w:val="28C17575"/>
    <w:rsid w:val="28DD322B"/>
    <w:rsid w:val="28E30781"/>
    <w:rsid w:val="28F42A99"/>
    <w:rsid w:val="291256ED"/>
    <w:rsid w:val="293526AA"/>
    <w:rsid w:val="293F675B"/>
    <w:rsid w:val="293F7FDE"/>
    <w:rsid w:val="295A2FA1"/>
    <w:rsid w:val="29891E41"/>
    <w:rsid w:val="298F3DBD"/>
    <w:rsid w:val="29A22701"/>
    <w:rsid w:val="29BA46F0"/>
    <w:rsid w:val="29C323D4"/>
    <w:rsid w:val="29C41E79"/>
    <w:rsid w:val="29EC73A5"/>
    <w:rsid w:val="29EE439A"/>
    <w:rsid w:val="2A010327"/>
    <w:rsid w:val="2A2658E2"/>
    <w:rsid w:val="2A3A42FE"/>
    <w:rsid w:val="2A585CB7"/>
    <w:rsid w:val="2A64640A"/>
    <w:rsid w:val="2A6E1037"/>
    <w:rsid w:val="2A7108FD"/>
    <w:rsid w:val="2A7334B6"/>
    <w:rsid w:val="2A907D65"/>
    <w:rsid w:val="2AA10CE0"/>
    <w:rsid w:val="2AAD67A9"/>
    <w:rsid w:val="2ABC1DA2"/>
    <w:rsid w:val="2AC64CD7"/>
    <w:rsid w:val="2ACF41CB"/>
    <w:rsid w:val="2AD134D0"/>
    <w:rsid w:val="2B0D3361"/>
    <w:rsid w:val="2B122C35"/>
    <w:rsid w:val="2B1271EB"/>
    <w:rsid w:val="2B2331EA"/>
    <w:rsid w:val="2B241893"/>
    <w:rsid w:val="2B2E70E5"/>
    <w:rsid w:val="2B30453E"/>
    <w:rsid w:val="2B3134E9"/>
    <w:rsid w:val="2B3B53BD"/>
    <w:rsid w:val="2B794137"/>
    <w:rsid w:val="2B7C00E6"/>
    <w:rsid w:val="2B7E2F46"/>
    <w:rsid w:val="2B876854"/>
    <w:rsid w:val="2B996587"/>
    <w:rsid w:val="2BA072D6"/>
    <w:rsid w:val="2BAE26FB"/>
    <w:rsid w:val="2BB46778"/>
    <w:rsid w:val="2BBD55EB"/>
    <w:rsid w:val="2BCD0AE0"/>
    <w:rsid w:val="2C0B7C41"/>
    <w:rsid w:val="2C134FE1"/>
    <w:rsid w:val="2C2514B1"/>
    <w:rsid w:val="2C3B6A04"/>
    <w:rsid w:val="2C3E2C4C"/>
    <w:rsid w:val="2C444745"/>
    <w:rsid w:val="2C5021B7"/>
    <w:rsid w:val="2C5B55EB"/>
    <w:rsid w:val="2C8C39F6"/>
    <w:rsid w:val="2C8E561B"/>
    <w:rsid w:val="2C932C69"/>
    <w:rsid w:val="2C9F2A67"/>
    <w:rsid w:val="2CAE7E10"/>
    <w:rsid w:val="2D1A5BEB"/>
    <w:rsid w:val="2D227DC7"/>
    <w:rsid w:val="2D236108"/>
    <w:rsid w:val="2D2845BC"/>
    <w:rsid w:val="2D2E73A1"/>
    <w:rsid w:val="2D35408E"/>
    <w:rsid w:val="2D956272"/>
    <w:rsid w:val="2D9C188C"/>
    <w:rsid w:val="2D9D410D"/>
    <w:rsid w:val="2DC34A81"/>
    <w:rsid w:val="2DC518B5"/>
    <w:rsid w:val="2DCF4D6D"/>
    <w:rsid w:val="2DD125B6"/>
    <w:rsid w:val="2DDF2977"/>
    <w:rsid w:val="2E244107"/>
    <w:rsid w:val="2E2A1718"/>
    <w:rsid w:val="2E39507B"/>
    <w:rsid w:val="2E510491"/>
    <w:rsid w:val="2E5A7219"/>
    <w:rsid w:val="2E5A73E1"/>
    <w:rsid w:val="2E665884"/>
    <w:rsid w:val="2E870919"/>
    <w:rsid w:val="2E953036"/>
    <w:rsid w:val="2E974B67"/>
    <w:rsid w:val="2EA81517"/>
    <w:rsid w:val="2ED70F52"/>
    <w:rsid w:val="2EDD3BF4"/>
    <w:rsid w:val="2EDF215F"/>
    <w:rsid w:val="2EE766E7"/>
    <w:rsid w:val="2F1F789F"/>
    <w:rsid w:val="2F2749B1"/>
    <w:rsid w:val="2F544FF2"/>
    <w:rsid w:val="2F5C4761"/>
    <w:rsid w:val="2F6B678F"/>
    <w:rsid w:val="2F727CE6"/>
    <w:rsid w:val="2F762E67"/>
    <w:rsid w:val="2F8C502B"/>
    <w:rsid w:val="2FAA48BF"/>
    <w:rsid w:val="2FAD2601"/>
    <w:rsid w:val="2FB92D54"/>
    <w:rsid w:val="2FD70501"/>
    <w:rsid w:val="2FDE0479"/>
    <w:rsid w:val="2FE07BE8"/>
    <w:rsid w:val="2FF3270A"/>
    <w:rsid w:val="303D703D"/>
    <w:rsid w:val="30550CCF"/>
    <w:rsid w:val="305E71CD"/>
    <w:rsid w:val="308858C3"/>
    <w:rsid w:val="309317F7"/>
    <w:rsid w:val="30DB62B6"/>
    <w:rsid w:val="30F73B34"/>
    <w:rsid w:val="30FB1D6B"/>
    <w:rsid w:val="31034344"/>
    <w:rsid w:val="31067F47"/>
    <w:rsid w:val="31167EA0"/>
    <w:rsid w:val="311878A1"/>
    <w:rsid w:val="311D4032"/>
    <w:rsid w:val="31327282"/>
    <w:rsid w:val="3135465C"/>
    <w:rsid w:val="3135748D"/>
    <w:rsid w:val="31637517"/>
    <w:rsid w:val="3187194F"/>
    <w:rsid w:val="319C18F5"/>
    <w:rsid w:val="31A74402"/>
    <w:rsid w:val="31A974B1"/>
    <w:rsid w:val="31AD08B7"/>
    <w:rsid w:val="31B27A3B"/>
    <w:rsid w:val="31B859A2"/>
    <w:rsid w:val="31BB30A3"/>
    <w:rsid w:val="31BE78AB"/>
    <w:rsid w:val="31C37EBA"/>
    <w:rsid w:val="31ED2820"/>
    <w:rsid w:val="31F75DB5"/>
    <w:rsid w:val="31F84007"/>
    <w:rsid w:val="32024F1D"/>
    <w:rsid w:val="320D6257"/>
    <w:rsid w:val="320D7387"/>
    <w:rsid w:val="322C3CB1"/>
    <w:rsid w:val="324E00CB"/>
    <w:rsid w:val="325038E7"/>
    <w:rsid w:val="3268280F"/>
    <w:rsid w:val="328525EA"/>
    <w:rsid w:val="32A23F73"/>
    <w:rsid w:val="32CE29C2"/>
    <w:rsid w:val="32D63C1D"/>
    <w:rsid w:val="32DF309E"/>
    <w:rsid w:val="32F26CA9"/>
    <w:rsid w:val="32FA5B5D"/>
    <w:rsid w:val="331C3D6C"/>
    <w:rsid w:val="3322684B"/>
    <w:rsid w:val="33595455"/>
    <w:rsid w:val="33625EAA"/>
    <w:rsid w:val="337F0FF3"/>
    <w:rsid w:val="338418CB"/>
    <w:rsid w:val="339E298D"/>
    <w:rsid w:val="33C341A1"/>
    <w:rsid w:val="33CD6DCE"/>
    <w:rsid w:val="33DC34B5"/>
    <w:rsid w:val="33EF36DB"/>
    <w:rsid w:val="33FB393B"/>
    <w:rsid w:val="33FB645A"/>
    <w:rsid w:val="342D5594"/>
    <w:rsid w:val="34340A65"/>
    <w:rsid w:val="343B5E9D"/>
    <w:rsid w:val="345C616D"/>
    <w:rsid w:val="345E27C4"/>
    <w:rsid w:val="34843BE5"/>
    <w:rsid w:val="348557BD"/>
    <w:rsid w:val="34AE30A3"/>
    <w:rsid w:val="34BD4B51"/>
    <w:rsid w:val="34C34E58"/>
    <w:rsid w:val="34D523DE"/>
    <w:rsid w:val="34E872EB"/>
    <w:rsid w:val="34EB675E"/>
    <w:rsid w:val="350031D3"/>
    <w:rsid w:val="35075E5A"/>
    <w:rsid w:val="3507608E"/>
    <w:rsid w:val="350B22A4"/>
    <w:rsid w:val="350E36C5"/>
    <w:rsid w:val="35373099"/>
    <w:rsid w:val="35470E02"/>
    <w:rsid w:val="354C2118"/>
    <w:rsid w:val="3558300F"/>
    <w:rsid w:val="35610790"/>
    <w:rsid w:val="35612591"/>
    <w:rsid w:val="35673406"/>
    <w:rsid w:val="35731BF7"/>
    <w:rsid w:val="35887B8D"/>
    <w:rsid w:val="35AE4476"/>
    <w:rsid w:val="35B03D92"/>
    <w:rsid w:val="35BB5A78"/>
    <w:rsid w:val="35CE11B2"/>
    <w:rsid w:val="35D97CAC"/>
    <w:rsid w:val="361502FC"/>
    <w:rsid w:val="36154C88"/>
    <w:rsid w:val="362107C1"/>
    <w:rsid w:val="36221A6C"/>
    <w:rsid w:val="36252C67"/>
    <w:rsid w:val="36386996"/>
    <w:rsid w:val="364D069A"/>
    <w:rsid w:val="36601559"/>
    <w:rsid w:val="366942E0"/>
    <w:rsid w:val="368F0B09"/>
    <w:rsid w:val="369A4027"/>
    <w:rsid w:val="369A739E"/>
    <w:rsid w:val="36AD31C9"/>
    <w:rsid w:val="36B55EFA"/>
    <w:rsid w:val="36B867F8"/>
    <w:rsid w:val="36DB7A54"/>
    <w:rsid w:val="370E2979"/>
    <w:rsid w:val="37395321"/>
    <w:rsid w:val="373972A7"/>
    <w:rsid w:val="37421881"/>
    <w:rsid w:val="374227A0"/>
    <w:rsid w:val="37490E61"/>
    <w:rsid w:val="376733B8"/>
    <w:rsid w:val="37683313"/>
    <w:rsid w:val="376E2676"/>
    <w:rsid w:val="376E70A4"/>
    <w:rsid w:val="37831F3D"/>
    <w:rsid w:val="37853041"/>
    <w:rsid w:val="37905327"/>
    <w:rsid w:val="379E4C02"/>
    <w:rsid w:val="37AB5EA2"/>
    <w:rsid w:val="37B05E2A"/>
    <w:rsid w:val="37C5232F"/>
    <w:rsid w:val="37CE7987"/>
    <w:rsid w:val="37CF3024"/>
    <w:rsid w:val="37EB70CB"/>
    <w:rsid w:val="380421F3"/>
    <w:rsid w:val="38045DC1"/>
    <w:rsid w:val="38171A6E"/>
    <w:rsid w:val="384855BD"/>
    <w:rsid w:val="386B74DF"/>
    <w:rsid w:val="38887767"/>
    <w:rsid w:val="388C157E"/>
    <w:rsid w:val="388D2FD0"/>
    <w:rsid w:val="389F2E95"/>
    <w:rsid w:val="38CF5396"/>
    <w:rsid w:val="38D273C9"/>
    <w:rsid w:val="38DA0B4C"/>
    <w:rsid w:val="38E928FC"/>
    <w:rsid w:val="38F94A57"/>
    <w:rsid w:val="38FB5907"/>
    <w:rsid w:val="39002C48"/>
    <w:rsid w:val="390B77E0"/>
    <w:rsid w:val="391334D5"/>
    <w:rsid w:val="392B2444"/>
    <w:rsid w:val="39311BAD"/>
    <w:rsid w:val="394A0EC1"/>
    <w:rsid w:val="39513FFD"/>
    <w:rsid w:val="395846F2"/>
    <w:rsid w:val="39C74071"/>
    <w:rsid w:val="39CE564E"/>
    <w:rsid w:val="39E130BC"/>
    <w:rsid w:val="3A2A4F7A"/>
    <w:rsid w:val="3A3577FF"/>
    <w:rsid w:val="3A465B2C"/>
    <w:rsid w:val="3A4B78A6"/>
    <w:rsid w:val="3A5A7B55"/>
    <w:rsid w:val="3A655FB2"/>
    <w:rsid w:val="3A7255AF"/>
    <w:rsid w:val="3A814617"/>
    <w:rsid w:val="3A86417A"/>
    <w:rsid w:val="3AA87477"/>
    <w:rsid w:val="3AAF1923"/>
    <w:rsid w:val="3AB02FA5"/>
    <w:rsid w:val="3ABE28CC"/>
    <w:rsid w:val="3AC708A8"/>
    <w:rsid w:val="3AD35612"/>
    <w:rsid w:val="3AEF3ACE"/>
    <w:rsid w:val="3B0C3412"/>
    <w:rsid w:val="3B257775"/>
    <w:rsid w:val="3B27770B"/>
    <w:rsid w:val="3B385475"/>
    <w:rsid w:val="3B4646D5"/>
    <w:rsid w:val="3B4D6458"/>
    <w:rsid w:val="3B4F0D0C"/>
    <w:rsid w:val="3B540375"/>
    <w:rsid w:val="3B595AEE"/>
    <w:rsid w:val="3B77095F"/>
    <w:rsid w:val="3B7D6145"/>
    <w:rsid w:val="3B870776"/>
    <w:rsid w:val="3B874FDF"/>
    <w:rsid w:val="3BD240C3"/>
    <w:rsid w:val="3BDC7581"/>
    <w:rsid w:val="3BE23632"/>
    <w:rsid w:val="3BE63123"/>
    <w:rsid w:val="3BF07AFD"/>
    <w:rsid w:val="3C074E47"/>
    <w:rsid w:val="3C083874"/>
    <w:rsid w:val="3C1634E3"/>
    <w:rsid w:val="3C164ADC"/>
    <w:rsid w:val="3C1F3408"/>
    <w:rsid w:val="3C3A4DDB"/>
    <w:rsid w:val="3C3A6FCB"/>
    <w:rsid w:val="3C552BBD"/>
    <w:rsid w:val="3C5F2ED5"/>
    <w:rsid w:val="3C6476E4"/>
    <w:rsid w:val="3C671A8F"/>
    <w:rsid w:val="3C7D6764"/>
    <w:rsid w:val="3CC33464"/>
    <w:rsid w:val="3CDD209D"/>
    <w:rsid w:val="3CE37662"/>
    <w:rsid w:val="3CEC4769"/>
    <w:rsid w:val="3CEC6E4E"/>
    <w:rsid w:val="3D015D3A"/>
    <w:rsid w:val="3D073351"/>
    <w:rsid w:val="3D113F0B"/>
    <w:rsid w:val="3D244AC1"/>
    <w:rsid w:val="3D3659E4"/>
    <w:rsid w:val="3D6C7658"/>
    <w:rsid w:val="3D7DF2F0"/>
    <w:rsid w:val="3D915D46"/>
    <w:rsid w:val="3D9C262D"/>
    <w:rsid w:val="3DE939B8"/>
    <w:rsid w:val="3DF45431"/>
    <w:rsid w:val="3DFB14A1"/>
    <w:rsid w:val="3DFD29A6"/>
    <w:rsid w:val="3E035B0F"/>
    <w:rsid w:val="3E18158D"/>
    <w:rsid w:val="3E1C107E"/>
    <w:rsid w:val="3E265A58"/>
    <w:rsid w:val="3E467EA9"/>
    <w:rsid w:val="3E4A03BF"/>
    <w:rsid w:val="3E4A7250"/>
    <w:rsid w:val="3E573E64"/>
    <w:rsid w:val="3E5842FE"/>
    <w:rsid w:val="3E5D4364"/>
    <w:rsid w:val="3E5E1696"/>
    <w:rsid w:val="3E8D1F7B"/>
    <w:rsid w:val="3E9C3F6D"/>
    <w:rsid w:val="3E9D6830"/>
    <w:rsid w:val="3EAC3775"/>
    <w:rsid w:val="3EB47508"/>
    <w:rsid w:val="3EB5291E"/>
    <w:rsid w:val="3EB571D9"/>
    <w:rsid w:val="3EBA18CB"/>
    <w:rsid w:val="3ECA596B"/>
    <w:rsid w:val="3ED67416"/>
    <w:rsid w:val="3EE55BC4"/>
    <w:rsid w:val="3F172290"/>
    <w:rsid w:val="3F19380F"/>
    <w:rsid w:val="3F2006FA"/>
    <w:rsid w:val="3F2E38A2"/>
    <w:rsid w:val="3F3073B8"/>
    <w:rsid w:val="3F367A7C"/>
    <w:rsid w:val="3F4F0FDF"/>
    <w:rsid w:val="3F551B15"/>
    <w:rsid w:val="3F6D76B7"/>
    <w:rsid w:val="3F8832C9"/>
    <w:rsid w:val="3FAE7C86"/>
    <w:rsid w:val="3FBB6142"/>
    <w:rsid w:val="3FC75DC7"/>
    <w:rsid w:val="3FDE44DC"/>
    <w:rsid w:val="3FE05D71"/>
    <w:rsid w:val="3FE756BB"/>
    <w:rsid w:val="400E49F6"/>
    <w:rsid w:val="40271F5C"/>
    <w:rsid w:val="40291232"/>
    <w:rsid w:val="4031316B"/>
    <w:rsid w:val="403533E2"/>
    <w:rsid w:val="404C688B"/>
    <w:rsid w:val="40562A1D"/>
    <w:rsid w:val="40721429"/>
    <w:rsid w:val="407517F1"/>
    <w:rsid w:val="4077259B"/>
    <w:rsid w:val="407903DC"/>
    <w:rsid w:val="407924B5"/>
    <w:rsid w:val="408706D3"/>
    <w:rsid w:val="408D288B"/>
    <w:rsid w:val="40B44F66"/>
    <w:rsid w:val="40BA4B7E"/>
    <w:rsid w:val="40C94DC1"/>
    <w:rsid w:val="40D05741"/>
    <w:rsid w:val="40DA0F23"/>
    <w:rsid w:val="40F55A84"/>
    <w:rsid w:val="40FA7E49"/>
    <w:rsid w:val="412255E9"/>
    <w:rsid w:val="41263FC1"/>
    <w:rsid w:val="412B24C8"/>
    <w:rsid w:val="41771B49"/>
    <w:rsid w:val="41780CC1"/>
    <w:rsid w:val="41A970CC"/>
    <w:rsid w:val="41B415CD"/>
    <w:rsid w:val="41D26E0B"/>
    <w:rsid w:val="41D2750F"/>
    <w:rsid w:val="41D4066C"/>
    <w:rsid w:val="41DF2AEE"/>
    <w:rsid w:val="41E41EB2"/>
    <w:rsid w:val="41FF0A9A"/>
    <w:rsid w:val="420D2A80"/>
    <w:rsid w:val="421A2073"/>
    <w:rsid w:val="422148CB"/>
    <w:rsid w:val="42220C2D"/>
    <w:rsid w:val="42315607"/>
    <w:rsid w:val="42467367"/>
    <w:rsid w:val="425E7641"/>
    <w:rsid w:val="42674891"/>
    <w:rsid w:val="426B6130"/>
    <w:rsid w:val="426D1F05"/>
    <w:rsid w:val="426E500B"/>
    <w:rsid w:val="429574BD"/>
    <w:rsid w:val="42B60A09"/>
    <w:rsid w:val="42D33CD5"/>
    <w:rsid w:val="42D65F34"/>
    <w:rsid w:val="42EB7271"/>
    <w:rsid w:val="42ED0851"/>
    <w:rsid w:val="42ED13DD"/>
    <w:rsid w:val="430402E8"/>
    <w:rsid w:val="430420E0"/>
    <w:rsid w:val="43100A85"/>
    <w:rsid w:val="431247FD"/>
    <w:rsid w:val="431B2424"/>
    <w:rsid w:val="43266AB5"/>
    <w:rsid w:val="434A3CF5"/>
    <w:rsid w:val="434D6210"/>
    <w:rsid w:val="43507DFC"/>
    <w:rsid w:val="4357075F"/>
    <w:rsid w:val="43661600"/>
    <w:rsid w:val="43670FED"/>
    <w:rsid w:val="43732951"/>
    <w:rsid w:val="43A01BC0"/>
    <w:rsid w:val="43A85162"/>
    <w:rsid w:val="43BE5738"/>
    <w:rsid w:val="43C1218D"/>
    <w:rsid w:val="43C33D49"/>
    <w:rsid w:val="43CA50D8"/>
    <w:rsid w:val="43D24560"/>
    <w:rsid w:val="43DE20A0"/>
    <w:rsid w:val="43E837B0"/>
    <w:rsid w:val="43EA39CC"/>
    <w:rsid w:val="43F80860"/>
    <w:rsid w:val="441B1DD7"/>
    <w:rsid w:val="441E71D2"/>
    <w:rsid w:val="442F13DF"/>
    <w:rsid w:val="44523F0B"/>
    <w:rsid w:val="446077EA"/>
    <w:rsid w:val="446530CB"/>
    <w:rsid w:val="447B7CC7"/>
    <w:rsid w:val="44807500"/>
    <w:rsid w:val="4489268D"/>
    <w:rsid w:val="44CB1ED8"/>
    <w:rsid w:val="44D04950"/>
    <w:rsid w:val="44E675B8"/>
    <w:rsid w:val="450308A1"/>
    <w:rsid w:val="45156827"/>
    <w:rsid w:val="451633F6"/>
    <w:rsid w:val="4537102D"/>
    <w:rsid w:val="4542602E"/>
    <w:rsid w:val="45575091"/>
    <w:rsid w:val="457E334B"/>
    <w:rsid w:val="45845B9E"/>
    <w:rsid w:val="45A831F7"/>
    <w:rsid w:val="45C9178A"/>
    <w:rsid w:val="45DC48A6"/>
    <w:rsid w:val="45DE30BD"/>
    <w:rsid w:val="46080375"/>
    <w:rsid w:val="460C2E95"/>
    <w:rsid w:val="461940F5"/>
    <w:rsid w:val="46284338"/>
    <w:rsid w:val="4632767D"/>
    <w:rsid w:val="46340F2E"/>
    <w:rsid w:val="4639421E"/>
    <w:rsid w:val="464512B9"/>
    <w:rsid w:val="464C0026"/>
    <w:rsid w:val="46752F28"/>
    <w:rsid w:val="46804174"/>
    <w:rsid w:val="46857785"/>
    <w:rsid w:val="46887A7D"/>
    <w:rsid w:val="46A63BDA"/>
    <w:rsid w:val="46B82B63"/>
    <w:rsid w:val="46C6375A"/>
    <w:rsid w:val="46CE58DE"/>
    <w:rsid w:val="46DC3AA0"/>
    <w:rsid w:val="46DD5DCF"/>
    <w:rsid w:val="46E464B1"/>
    <w:rsid w:val="470914ED"/>
    <w:rsid w:val="4717429E"/>
    <w:rsid w:val="473079FD"/>
    <w:rsid w:val="474F068C"/>
    <w:rsid w:val="477A7EBA"/>
    <w:rsid w:val="477B4092"/>
    <w:rsid w:val="47867568"/>
    <w:rsid w:val="47DB78B4"/>
    <w:rsid w:val="4812529F"/>
    <w:rsid w:val="482D3E87"/>
    <w:rsid w:val="48435459"/>
    <w:rsid w:val="48512772"/>
    <w:rsid w:val="48514EDE"/>
    <w:rsid w:val="485C4777"/>
    <w:rsid w:val="487B4576"/>
    <w:rsid w:val="487D4232"/>
    <w:rsid w:val="48A57DE2"/>
    <w:rsid w:val="48B73FAE"/>
    <w:rsid w:val="48C86B67"/>
    <w:rsid w:val="48CF7144"/>
    <w:rsid w:val="48D616D5"/>
    <w:rsid w:val="48FF75D2"/>
    <w:rsid w:val="490B4AEA"/>
    <w:rsid w:val="49514122"/>
    <w:rsid w:val="498D2E30"/>
    <w:rsid w:val="49BE123B"/>
    <w:rsid w:val="49C820BA"/>
    <w:rsid w:val="49CE4825"/>
    <w:rsid w:val="49D87443"/>
    <w:rsid w:val="49F17862"/>
    <w:rsid w:val="49F47098"/>
    <w:rsid w:val="4A1608FD"/>
    <w:rsid w:val="4A1B668D"/>
    <w:rsid w:val="4A2D0A01"/>
    <w:rsid w:val="4A7111AE"/>
    <w:rsid w:val="4A783AE0"/>
    <w:rsid w:val="4A8B3297"/>
    <w:rsid w:val="4AA91EEB"/>
    <w:rsid w:val="4AB13666"/>
    <w:rsid w:val="4AB34B18"/>
    <w:rsid w:val="4AC26B09"/>
    <w:rsid w:val="4AD8632C"/>
    <w:rsid w:val="4ADD5148"/>
    <w:rsid w:val="4AE41E96"/>
    <w:rsid w:val="4B166E55"/>
    <w:rsid w:val="4B1A4B5D"/>
    <w:rsid w:val="4B347B1F"/>
    <w:rsid w:val="4B3A109F"/>
    <w:rsid w:val="4B3E5BEE"/>
    <w:rsid w:val="4B7F53EA"/>
    <w:rsid w:val="4B9107F9"/>
    <w:rsid w:val="4B9E34D5"/>
    <w:rsid w:val="4BA83F51"/>
    <w:rsid w:val="4BB20856"/>
    <w:rsid w:val="4BCB2534"/>
    <w:rsid w:val="4BD166D8"/>
    <w:rsid w:val="4BE776C6"/>
    <w:rsid w:val="4BEF4B5D"/>
    <w:rsid w:val="4BFE5865"/>
    <w:rsid w:val="4C011848"/>
    <w:rsid w:val="4C044814"/>
    <w:rsid w:val="4C126AB7"/>
    <w:rsid w:val="4C1A2BA0"/>
    <w:rsid w:val="4C1D581B"/>
    <w:rsid w:val="4C285091"/>
    <w:rsid w:val="4C29373A"/>
    <w:rsid w:val="4C2E6D51"/>
    <w:rsid w:val="4C336E58"/>
    <w:rsid w:val="4C4174A2"/>
    <w:rsid w:val="4C585A0F"/>
    <w:rsid w:val="4C7A4FA0"/>
    <w:rsid w:val="4C8F3363"/>
    <w:rsid w:val="4C942727"/>
    <w:rsid w:val="4CA50490"/>
    <w:rsid w:val="4CB95BF0"/>
    <w:rsid w:val="4CCC6DA8"/>
    <w:rsid w:val="4CD11285"/>
    <w:rsid w:val="4CF3744D"/>
    <w:rsid w:val="4CF96382"/>
    <w:rsid w:val="4D0553D3"/>
    <w:rsid w:val="4D3C3A61"/>
    <w:rsid w:val="4D465454"/>
    <w:rsid w:val="4D470D1B"/>
    <w:rsid w:val="4D4D1254"/>
    <w:rsid w:val="4D4E063D"/>
    <w:rsid w:val="4D573E80"/>
    <w:rsid w:val="4D626381"/>
    <w:rsid w:val="4D6C0FAE"/>
    <w:rsid w:val="4D790B90"/>
    <w:rsid w:val="4DA31A0E"/>
    <w:rsid w:val="4DC07198"/>
    <w:rsid w:val="4DE04487"/>
    <w:rsid w:val="4DE33966"/>
    <w:rsid w:val="4DF254C6"/>
    <w:rsid w:val="4DF542F3"/>
    <w:rsid w:val="4DFA0CB0"/>
    <w:rsid w:val="4E380C6E"/>
    <w:rsid w:val="4E4C53B9"/>
    <w:rsid w:val="4E5530AA"/>
    <w:rsid w:val="4E5C1022"/>
    <w:rsid w:val="4E5D37FA"/>
    <w:rsid w:val="4E5F400D"/>
    <w:rsid w:val="4E612ADD"/>
    <w:rsid w:val="4E73339F"/>
    <w:rsid w:val="4E765B46"/>
    <w:rsid w:val="4E921BF3"/>
    <w:rsid w:val="4E937674"/>
    <w:rsid w:val="4E9E788D"/>
    <w:rsid w:val="4EAA2B1D"/>
    <w:rsid w:val="4EB175C0"/>
    <w:rsid w:val="4EC2357B"/>
    <w:rsid w:val="4ED2479F"/>
    <w:rsid w:val="4ED922A8"/>
    <w:rsid w:val="4F0735FF"/>
    <w:rsid w:val="4F33111A"/>
    <w:rsid w:val="4F4421E2"/>
    <w:rsid w:val="4F585C8E"/>
    <w:rsid w:val="4F7751AF"/>
    <w:rsid w:val="4F7E2887"/>
    <w:rsid w:val="4F940184"/>
    <w:rsid w:val="4F994A56"/>
    <w:rsid w:val="4FA40ED3"/>
    <w:rsid w:val="4FC10728"/>
    <w:rsid w:val="4FE1061B"/>
    <w:rsid w:val="4FEA5D1D"/>
    <w:rsid w:val="4FED4C2C"/>
    <w:rsid w:val="4FEF57D7"/>
    <w:rsid w:val="50017646"/>
    <w:rsid w:val="500C4858"/>
    <w:rsid w:val="502B04BF"/>
    <w:rsid w:val="503D42C7"/>
    <w:rsid w:val="503E5DFA"/>
    <w:rsid w:val="50523F8C"/>
    <w:rsid w:val="506D7517"/>
    <w:rsid w:val="50A7690C"/>
    <w:rsid w:val="50C730CB"/>
    <w:rsid w:val="50E40C87"/>
    <w:rsid w:val="50FB6272"/>
    <w:rsid w:val="510328D8"/>
    <w:rsid w:val="51072832"/>
    <w:rsid w:val="510A745C"/>
    <w:rsid w:val="51230246"/>
    <w:rsid w:val="514209A3"/>
    <w:rsid w:val="51600E2A"/>
    <w:rsid w:val="5160583C"/>
    <w:rsid w:val="51736DAF"/>
    <w:rsid w:val="51A21C47"/>
    <w:rsid w:val="51A60B4C"/>
    <w:rsid w:val="51C01DAA"/>
    <w:rsid w:val="51C439CB"/>
    <w:rsid w:val="51F356C8"/>
    <w:rsid w:val="51FC4FF6"/>
    <w:rsid w:val="52052024"/>
    <w:rsid w:val="520E1F51"/>
    <w:rsid w:val="520F6A58"/>
    <w:rsid w:val="52107A7E"/>
    <w:rsid w:val="52173BDE"/>
    <w:rsid w:val="52195BA8"/>
    <w:rsid w:val="52306A34"/>
    <w:rsid w:val="52397FF8"/>
    <w:rsid w:val="52412A09"/>
    <w:rsid w:val="524530DB"/>
    <w:rsid w:val="52535DFD"/>
    <w:rsid w:val="525564B4"/>
    <w:rsid w:val="525C12CD"/>
    <w:rsid w:val="525F2EBE"/>
    <w:rsid w:val="5262211C"/>
    <w:rsid w:val="526C7972"/>
    <w:rsid w:val="52773498"/>
    <w:rsid w:val="5288688A"/>
    <w:rsid w:val="52BC29D7"/>
    <w:rsid w:val="52C23C7A"/>
    <w:rsid w:val="52C35E78"/>
    <w:rsid w:val="52E53CDC"/>
    <w:rsid w:val="52E760A8"/>
    <w:rsid w:val="530B5910"/>
    <w:rsid w:val="530C3352"/>
    <w:rsid w:val="531D707B"/>
    <w:rsid w:val="53341DDA"/>
    <w:rsid w:val="53367E4C"/>
    <w:rsid w:val="53497F05"/>
    <w:rsid w:val="534A2AB7"/>
    <w:rsid w:val="536236BC"/>
    <w:rsid w:val="536A7BE8"/>
    <w:rsid w:val="536E65EE"/>
    <w:rsid w:val="53740BBC"/>
    <w:rsid w:val="537C6C08"/>
    <w:rsid w:val="5382152B"/>
    <w:rsid w:val="53871202"/>
    <w:rsid w:val="5391176E"/>
    <w:rsid w:val="53AF6DF2"/>
    <w:rsid w:val="53C15842"/>
    <w:rsid w:val="53F00B8B"/>
    <w:rsid w:val="54053B9A"/>
    <w:rsid w:val="54085ED4"/>
    <w:rsid w:val="541C4E2F"/>
    <w:rsid w:val="542157DA"/>
    <w:rsid w:val="5422686A"/>
    <w:rsid w:val="54284764"/>
    <w:rsid w:val="543358C8"/>
    <w:rsid w:val="54493DF7"/>
    <w:rsid w:val="545C3B2A"/>
    <w:rsid w:val="5470418F"/>
    <w:rsid w:val="54C47921"/>
    <w:rsid w:val="54C72897"/>
    <w:rsid w:val="54DE744F"/>
    <w:rsid w:val="54E50447"/>
    <w:rsid w:val="54F71AA5"/>
    <w:rsid w:val="550F6DEF"/>
    <w:rsid w:val="5526593F"/>
    <w:rsid w:val="55456B70"/>
    <w:rsid w:val="555B1B85"/>
    <w:rsid w:val="55750D6B"/>
    <w:rsid w:val="557B4484"/>
    <w:rsid w:val="557F2690"/>
    <w:rsid w:val="559669A1"/>
    <w:rsid w:val="559B68D4"/>
    <w:rsid w:val="559E35D5"/>
    <w:rsid w:val="55C228D3"/>
    <w:rsid w:val="55C525F4"/>
    <w:rsid w:val="55DF4A13"/>
    <w:rsid w:val="55EC35D4"/>
    <w:rsid w:val="55FF5FDA"/>
    <w:rsid w:val="56017B32"/>
    <w:rsid w:val="560C4EB1"/>
    <w:rsid w:val="560D1E89"/>
    <w:rsid w:val="56242D6E"/>
    <w:rsid w:val="562C39D0"/>
    <w:rsid w:val="56355901"/>
    <w:rsid w:val="565C70F9"/>
    <w:rsid w:val="567333AD"/>
    <w:rsid w:val="56791AEA"/>
    <w:rsid w:val="567D2D27"/>
    <w:rsid w:val="567E091F"/>
    <w:rsid w:val="56813D1C"/>
    <w:rsid w:val="56933E7B"/>
    <w:rsid w:val="56BC4D54"/>
    <w:rsid w:val="56CB0123"/>
    <w:rsid w:val="57080108"/>
    <w:rsid w:val="57160908"/>
    <w:rsid w:val="57333E09"/>
    <w:rsid w:val="57401D39"/>
    <w:rsid w:val="57437223"/>
    <w:rsid w:val="574F7976"/>
    <w:rsid w:val="575B063E"/>
    <w:rsid w:val="577416FB"/>
    <w:rsid w:val="5782176E"/>
    <w:rsid w:val="57875362"/>
    <w:rsid w:val="57A01920"/>
    <w:rsid w:val="57A22507"/>
    <w:rsid w:val="57BA337A"/>
    <w:rsid w:val="57BC2B32"/>
    <w:rsid w:val="57C71C02"/>
    <w:rsid w:val="57D400E8"/>
    <w:rsid w:val="57DA2BA1"/>
    <w:rsid w:val="57E93E2C"/>
    <w:rsid w:val="57F40DD1"/>
    <w:rsid w:val="57F956D1"/>
    <w:rsid w:val="57FC26EC"/>
    <w:rsid w:val="58085963"/>
    <w:rsid w:val="58273D2E"/>
    <w:rsid w:val="5829098B"/>
    <w:rsid w:val="58803C62"/>
    <w:rsid w:val="589907E9"/>
    <w:rsid w:val="58A01B2B"/>
    <w:rsid w:val="58DA7055"/>
    <w:rsid w:val="58EA3588"/>
    <w:rsid w:val="58ED7447"/>
    <w:rsid w:val="58F00D9F"/>
    <w:rsid w:val="58FA668E"/>
    <w:rsid w:val="59015042"/>
    <w:rsid w:val="592866D1"/>
    <w:rsid w:val="593660E9"/>
    <w:rsid w:val="59480B21"/>
    <w:rsid w:val="594B0611"/>
    <w:rsid w:val="596B480F"/>
    <w:rsid w:val="596E412E"/>
    <w:rsid w:val="599E6993"/>
    <w:rsid w:val="59C73B34"/>
    <w:rsid w:val="59FD7B5D"/>
    <w:rsid w:val="59FF561A"/>
    <w:rsid w:val="5A1F18EA"/>
    <w:rsid w:val="5A285312"/>
    <w:rsid w:val="5A34058B"/>
    <w:rsid w:val="5A5A4FB0"/>
    <w:rsid w:val="5A6A4AC7"/>
    <w:rsid w:val="5A6D1A7D"/>
    <w:rsid w:val="5A70455A"/>
    <w:rsid w:val="5A71640A"/>
    <w:rsid w:val="5A7870D1"/>
    <w:rsid w:val="5A7E331D"/>
    <w:rsid w:val="5A8A0F99"/>
    <w:rsid w:val="5A982F4B"/>
    <w:rsid w:val="5ABF4E13"/>
    <w:rsid w:val="5ACA6B16"/>
    <w:rsid w:val="5AD85ED5"/>
    <w:rsid w:val="5AED5059"/>
    <w:rsid w:val="5AFA6DB3"/>
    <w:rsid w:val="5B055EEB"/>
    <w:rsid w:val="5B0B6244"/>
    <w:rsid w:val="5B2979FC"/>
    <w:rsid w:val="5B386773"/>
    <w:rsid w:val="5B3D39D4"/>
    <w:rsid w:val="5B532804"/>
    <w:rsid w:val="5B57504B"/>
    <w:rsid w:val="5B661C01"/>
    <w:rsid w:val="5B96130A"/>
    <w:rsid w:val="5BC36B85"/>
    <w:rsid w:val="5BC37247"/>
    <w:rsid w:val="5BDB7642"/>
    <w:rsid w:val="5BFA7B37"/>
    <w:rsid w:val="5C00536A"/>
    <w:rsid w:val="5C25308B"/>
    <w:rsid w:val="5C2A5DF8"/>
    <w:rsid w:val="5C4573A4"/>
    <w:rsid w:val="5C5D5374"/>
    <w:rsid w:val="5C6854B4"/>
    <w:rsid w:val="5C6B2AB9"/>
    <w:rsid w:val="5C903145"/>
    <w:rsid w:val="5C975A0D"/>
    <w:rsid w:val="5C992482"/>
    <w:rsid w:val="5C9F6CAA"/>
    <w:rsid w:val="5CC606DB"/>
    <w:rsid w:val="5CCA41B3"/>
    <w:rsid w:val="5CD77D14"/>
    <w:rsid w:val="5CDB3A5A"/>
    <w:rsid w:val="5CDF3D0B"/>
    <w:rsid w:val="5CE40B61"/>
    <w:rsid w:val="5D05785A"/>
    <w:rsid w:val="5D0E3E30"/>
    <w:rsid w:val="5D107BA8"/>
    <w:rsid w:val="5D213B63"/>
    <w:rsid w:val="5D357F25"/>
    <w:rsid w:val="5D4E6CEA"/>
    <w:rsid w:val="5D57303F"/>
    <w:rsid w:val="5D7A07D2"/>
    <w:rsid w:val="5D806784"/>
    <w:rsid w:val="5D8D2FA6"/>
    <w:rsid w:val="5DCC51F1"/>
    <w:rsid w:val="5DD010E5"/>
    <w:rsid w:val="5DD0290D"/>
    <w:rsid w:val="5DD93B84"/>
    <w:rsid w:val="5DE352BC"/>
    <w:rsid w:val="5E036F3A"/>
    <w:rsid w:val="5E1E62F4"/>
    <w:rsid w:val="5E236935"/>
    <w:rsid w:val="5E265920"/>
    <w:rsid w:val="5E347057"/>
    <w:rsid w:val="5E385608"/>
    <w:rsid w:val="5E3D70F6"/>
    <w:rsid w:val="5E425C3D"/>
    <w:rsid w:val="5E467C50"/>
    <w:rsid w:val="5E6A7CB4"/>
    <w:rsid w:val="5E865F05"/>
    <w:rsid w:val="5E9A1E1F"/>
    <w:rsid w:val="5EA24574"/>
    <w:rsid w:val="5EC048E4"/>
    <w:rsid w:val="5ECD5595"/>
    <w:rsid w:val="5ED13367"/>
    <w:rsid w:val="5ED52E57"/>
    <w:rsid w:val="5EDF37B0"/>
    <w:rsid w:val="5EE258D2"/>
    <w:rsid w:val="5EEE3891"/>
    <w:rsid w:val="5EF36D0A"/>
    <w:rsid w:val="5F055641"/>
    <w:rsid w:val="5F32513A"/>
    <w:rsid w:val="5F430A12"/>
    <w:rsid w:val="5F4657F5"/>
    <w:rsid w:val="5F6E5059"/>
    <w:rsid w:val="5F70492E"/>
    <w:rsid w:val="5F802CBB"/>
    <w:rsid w:val="5F941BE9"/>
    <w:rsid w:val="5FC05F61"/>
    <w:rsid w:val="5FC92290"/>
    <w:rsid w:val="5FCE5EFA"/>
    <w:rsid w:val="5FE50461"/>
    <w:rsid w:val="5FE90D26"/>
    <w:rsid w:val="5FFF5CB2"/>
    <w:rsid w:val="60107EBF"/>
    <w:rsid w:val="601D3785"/>
    <w:rsid w:val="601F7341"/>
    <w:rsid w:val="60390B97"/>
    <w:rsid w:val="6054424F"/>
    <w:rsid w:val="60661647"/>
    <w:rsid w:val="609E5691"/>
    <w:rsid w:val="60A56859"/>
    <w:rsid w:val="60B938A7"/>
    <w:rsid w:val="60B976A3"/>
    <w:rsid w:val="60C70EC5"/>
    <w:rsid w:val="60D34072"/>
    <w:rsid w:val="60E07891"/>
    <w:rsid w:val="60EC6207"/>
    <w:rsid w:val="610C68D8"/>
    <w:rsid w:val="613627E5"/>
    <w:rsid w:val="614A1E8E"/>
    <w:rsid w:val="6151078F"/>
    <w:rsid w:val="615D47CA"/>
    <w:rsid w:val="6162474A"/>
    <w:rsid w:val="61657152"/>
    <w:rsid w:val="616C6FE3"/>
    <w:rsid w:val="61722B2B"/>
    <w:rsid w:val="617D253D"/>
    <w:rsid w:val="61812E22"/>
    <w:rsid w:val="618D7A19"/>
    <w:rsid w:val="61B73BDF"/>
    <w:rsid w:val="61D70C94"/>
    <w:rsid w:val="61F71336"/>
    <w:rsid w:val="6212366A"/>
    <w:rsid w:val="62171D6B"/>
    <w:rsid w:val="623926F1"/>
    <w:rsid w:val="62514EEA"/>
    <w:rsid w:val="62594DDD"/>
    <w:rsid w:val="626002DF"/>
    <w:rsid w:val="626135D6"/>
    <w:rsid w:val="6271555C"/>
    <w:rsid w:val="628506F0"/>
    <w:rsid w:val="628932D3"/>
    <w:rsid w:val="62917095"/>
    <w:rsid w:val="62AA58E1"/>
    <w:rsid w:val="62AB1EEE"/>
    <w:rsid w:val="62B1767B"/>
    <w:rsid w:val="62C51434"/>
    <w:rsid w:val="62DB47B4"/>
    <w:rsid w:val="63293329"/>
    <w:rsid w:val="632A47AA"/>
    <w:rsid w:val="632B74E9"/>
    <w:rsid w:val="63366193"/>
    <w:rsid w:val="63466990"/>
    <w:rsid w:val="6357461A"/>
    <w:rsid w:val="635772F5"/>
    <w:rsid w:val="637412F7"/>
    <w:rsid w:val="639D7CBB"/>
    <w:rsid w:val="63A42748"/>
    <w:rsid w:val="63A90654"/>
    <w:rsid w:val="63C713C1"/>
    <w:rsid w:val="63E56AA5"/>
    <w:rsid w:val="63F41D83"/>
    <w:rsid w:val="63F91396"/>
    <w:rsid w:val="640F0F63"/>
    <w:rsid w:val="641D416B"/>
    <w:rsid w:val="642A5381"/>
    <w:rsid w:val="642C1829"/>
    <w:rsid w:val="642C510C"/>
    <w:rsid w:val="642F4DB7"/>
    <w:rsid w:val="64325DFA"/>
    <w:rsid w:val="643B434D"/>
    <w:rsid w:val="645F2839"/>
    <w:rsid w:val="64664551"/>
    <w:rsid w:val="647B1063"/>
    <w:rsid w:val="647C5B23"/>
    <w:rsid w:val="64966BE4"/>
    <w:rsid w:val="64A70DF2"/>
    <w:rsid w:val="64AC6408"/>
    <w:rsid w:val="64B27796"/>
    <w:rsid w:val="64B96D77"/>
    <w:rsid w:val="64BD6867"/>
    <w:rsid w:val="64E35139"/>
    <w:rsid w:val="64F71AB3"/>
    <w:rsid w:val="65085608"/>
    <w:rsid w:val="65111481"/>
    <w:rsid w:val="651915C4"/>
    <w:rsid w:val="652A3D62"/>
    <w:rsid w:val="65556AA0"/>
    <w:rsid w:val="6569062F"/>
    <w:rsid w:val="65691016"/>
    <w:rsid w:val="65767563"/>
    <w:rsid w:val="65856C59"/>
    <w:rsid w:val="658F77CF"/>
    <w:rsid w:val="659348BD"/>
    <w:rsid w:val="659473B3"/>
    <w:rsid w:val="65B16963"/>
    <w:rsid w:val="65B71508"/>
    <w:rsid w:val="65C72DCF"/>
    <w:rsid w:val="65D87EA7"/>
    <w:rsid w:val="65EE2AFE"/>
    <w:rsid w:val="65F02759"/>
    <w:rsid w:val="662B5A52"/>
    <w:rsid w:val="66300EA3"/>
    <w:rsid w:val="664B4A49"/>
    <w:rsid w:val="665F56FC"/>
    <w:rsid w:val="666530BD"/>
    <w:rsid w:val="668B7764"/>
    <w:rsid w:val="66A97FDA"/>
    <w:rsid w:val="66AC046D"/>
    <w:rsid w:val="66BB5028"/>
    <w:rsid w:val="66C20165"/>
    <w:rsid w:val="66CD2666"/>
    <w:rsid w:val="66E80A0E"/>
    <w:rsid w:val="67012AC1"/>
    <w:rsid w:val="67024A05"/>
    <w:rsid w:val="672B27D4"/>
    <w:rsid w:val="67340937"/>
    <w:rsid w:val="67387A67"/>
    <w:rsid w:val="67575A8D"/>
    <w:rsid w:val="6759039D"/>
    <w:rsid w:val="67681B58"/>
    <w:rsid w:val="677A2745"/>
    <w:rsid w:val="67A755AC"/>
    <w:rsid w:val="67B12081"/>
    <w:rsid w:val="67BF6B6F"/>
    <w:rsid w:val="67C07A13"/>
    <w:rsid w:val="67DE26FC"/>
    <w:rsid w:val="67E67E83"/>
    <w:rsid w:val="67EF7B74"/>
    <w:rsid w:val="67F46052"/>
    <w:rsid w:val="680622D3"/>
    <w:rsid w:val="681000D8"/>
    <w:rsid w:val="68243ABF"/>
    <w:rsid w:val="68644FB0"/>
    <w:rsid w:val="6867292C"/>
    <w:rsid w:val="68941085"/>
    <w:rsid w:val="68A11FFC"/>
    <w:rsid w:val="68B27D65"/>
    <w:rsid w:val="68BB30BE"/>
    <w:rsid w:val="68EB1DD2"/>
    <w:rsid w:val="68EC026F"/>
    <w:rsid w:val="68EC14C9"/>
    <w:rsid w:val="68F06AD4"/>
    <w:rsid w:val="691163F0"/>
    <w:rsid w:val="69126A56"/>
    <w:rsid w:val="6917341E"/>
    <w:rsid w:val="69181BD9"/>
    <w:rsid w:val="69185D7B"/>
    <w:rsid w:val="691A3DDD"/>
    <w:rsid w:val="69231DD9"/>
    <w:rsid w:val="6931512E"/>
    <w:rsid w:val="694A1401"/>
    <w:rsid w:val="69586B5E"/>
    <w:rsid w:val="695F6E2D"/>
    <w:rsid w:val="69623BE9"/>
    <w:rsid w:val="69676DA1"/>
    <w:rsid w:val="696A0640"/>
    <w:rsid w:val="696B2053"/>
    <w:rsid w:val="698A6F34"/>
    <w:rsid w:val="69992D2E"/>
    <w:rsid w:val="69A22849"/>
    <w:rsid w:val="69A41AEF"/>
    <w:rsid w:val="69B875FD"/>
    <w:rsid w:val="69BC61FD"/>
    <w:rsid w:val="69C01116"/>
    <w:rsid w:val="69C67F6C"/>
    <w:rsid w:val="69F10D61"/>
    <w:rsid w:val="69F93FC7"/>
    <w:rsid w:val="6A0771B6"/>
    <w:rsid w:val="6A1F03EC"/>
    <w:rsid w:val="6A505E2F"/>
    <w:rsid w:val="6A5405AE"/>
    <w:rsid w:val="6A6634FD"/>
    <w:rsid w:val="6A786D8C"/>
    <w:rsid w:val="6A7B7BC0"/>
    <w:rsid w:val="6A883473"/>
    <w:rsid w:val="6A894111"/>
    <w:rsid w:val="6A9260A0"/>
    <w:rsid w:val="6AA70ABD"/>
    <w:rsid w:val="6AAE1F9D"/>
    <w:rsid w:val="6ACB3360"/>
    <w:rsid w:val="6AD246EE"/>
    <w:rsid w:val="6AD420B4"/>
    <w:rsid w:val="6AF24D91"/>
    <w:rsid w:val="6B155E6C"/>
    <w:rsid w:val="6B1C3BBC"/>
    <w:rsid w:val="6B2B3DFF"/>
    <w:rsid w:val="6B39476E"/>
    <w:rsid w:val="6B8B0EDA"/>
    <w:rsid w:val="6B907C85"/>
    <w:rsid w:val="6B9A5E05"/>
    <w:rsid w:val="6BA0659B"/>
    <w:rsid w:val="6BB45044"/>
    <w:rsid w:val="6BBC3FFA"/>
    <w:rsid w:val="6BC333DB"/>
    <w:rsid w:val="6BF42D98"/>
    <w:rsid w:val="6BFB7C75"/>
    <w:rsid w:val="6C325467"/>
    <w:rsid w:val="6C371D38"/>
    <w:rsid w:val="6C387ED6"/>
    <w:rsid w:val="6C562244"/>
    <w:rsid w:val="6C5F0204"/>
    <w:rsid w:val="6C696AEF"/>
    <w:rsid w:val="6C7527A8"/>
    <w:rsid w:val="6C9A5C8A"/>
    <w:rsid w:val="6C9B5D7E"/>
    <w:rsid w:val="6CC3286D"/>
    <w:rsid w:val="6CD00A4A"/>
    <w:rsid w:val="6CD964A2"/>
    <w:rsid w:val="6CE358B6"/>
    <w:rsid w:val="6CE40709"/>
    <w:rsid w:val="6CF2604B"/>
    <w:rsid w:val="6CFA617E"/>
    <w:rsid w:val="6D1B05CF"/>
    <w:rsid w:val="6D21445E"/>
    <w:rsid w:val="6D282CEC"/>
    <w:rsid w:val="6D2F7BD6"/>
    <w:rsid w:val="6D346135"/>
    <w:rsid w:val="6D4256F4"/>
    <w:rsid w:val="6D4754F7"/>
    <w:rsid w:val="6D4E1456"/>
    <w:rsid w:val="6D5533B5"/>
    <w:rsid w:val="6D631F76"/>
    <w:rsid w:val="6D671AA5"/>
    <w:rsid w:val="6D68052A"/>
    <w:rsid w:val="6D6A6E60"/>
    <w:rsid w:val="6D8E3146"/>
    <w:rsid w:val="6DBA01AF"/>
    <w:rsid w:val="6DCA31AF"/>
    <w:rsid w:val="6DCA5B51"/>
    <w:rsid w:val="6DCF760B"/>
    <w:rsid w:val="6E0B629A"/>
    <w:rsid w:val="6E3000AA"/>
    <w:rsid w:val="6E535B46"/>
    <w:rsid w:val="6E5505E5"/>
    <w:rsid w:val="6E761835"/>
    <w:rsid w:val="6E9A3775"/>
    <w:rsid w:val="6EB72CA6"/>
    <w:rsid w:val="6EDA0016"/>
    <w:rsid w:val="6EE97800"/>
    <w:rsid w:val="6EF14DDF"/>
    <w:rsid w:val="6F190B3E"/>
    <w:rsid w:val="6F1936B5"/>
    <w:rsid w:val="6F1C062E"/>
    <w:rsid w:val="6F2D0F58"/>
    <w:rsid w:val="6F357F71"/>
    <w:rsid w:val="6F613C82"/>
    <w:rsid w:val="6F6D70DC"/>
    <w:rsid w:val="6F6E5295"/>
    <w:rsid w:val="6F8B2BA3"/>
    <w:rsid w:val="6F8E3D48"/>
    <w:rsid w:val="6F906926"/>
    <w:rsid w:val="6F92196C"/>
    <w:rsid w:val="6F9B1553"/>
    <w:rsid w:val="6F9E509F"/>
    <w:rsid w:val="6FA808C0"/>
    <w:rsid w:val="6FAA2D41"/>
    <w:rsid w:val="6FB87F9A"/>
    <w:rsid w:val="6FDE429D"/>
    <w:rsid w:val="70057314"/>
    <w:rsid w:val="701605F5"/>
    <w:rsid w:val="701C5AC1"/>
    <w:rsid w:val="7056191E"/>
    <w:rsid w:val="7056535F"/>
    <w:rsid w:val="705D4637"/>
    <w:rsid w:val="70651B61"/>
    <w:rsid w:val="706C4C07"/>
    <w:rsid w:val="708625C4"/>
    <w:rsid w:val="7099044B"/>
    <w:rsid w:val="70A873C2"/>
    <w:rsid w:val="70B94E05"/>
    <w:rsid w:val="70BF3967"/>
    <w:rsid w:val="70C861EE"/>
    <w:rsid w:val="70CC45E4"/>
    <w:rsid w:val="70DD1E39"/>
    <w:rsid w:val="70E21403"/>
    <w:rsid w:val="70E96186"/>
    <w:rsid w:val="7104137A"/>
    <w:rsid w:val="711710AD"/>
    <w:rsid w:val="712D6B22"/>
    <w:rsid w:val="71440EF8"/>
    <w:rsid w:val="71483F36"/>
    <w:rsid w:val="714A72CE"/>
    <w:rsid w:val="71607375"/>
    <w:rsid w:val="717F2D2F"/>
    <w:rsid w:val="71885213"/>
    <w:rsid w:val="71D168F3"/>
    <w:rsid w:val="71E84380"/>
    <w:rsid w:val="71F0647E"/>
    <w:rsid w:val="71F25676"/>
    <w:rsid w:val="71F96A05"/>
    <w:rsid w:val="72132559"/>
    <w:rsid w:val="721C4806"/>
    <w:rsid w:val="721D69A0"/>
    <w:rsid w:val="72286570"/>
    <w:rsid w:val="72291E87"/>
    <w:rsid w:val="722B259E"/>
    <w:rsid w:val="723301EC"/>
    <w:rsid w:val="7236694D"/>
    <w:rsid w:val="724063E2"/>
    <w:rsid w:val="724D243B"/>
    <w:rsid w:val="72513F19"/>
    <w:rsid w:val="72516958"/>
    <w:rsid w:val="72695938"/>
    <w:rsid w:val="72781833"/>
    <w:rsid w:val="727E5BD4"/>
    <w:rsid w:val="728E1843"/>
    <w:rsid w:val="72B13D47"/>
    <w:rsid w:val="72BA6194"/>
    <w:rsid w:val="72E66F89"/>
    <w:rsid w:val="72FE4F4A"/>
    <w:rsid w:val="730C4052"/>
    <w:rsid w:val="73206B70"/>
    <w:rsid w:val="733F5077"/>
    <w:rsid w:val="73440153"/>
    <w:rsid w:val="734B0D27"/>
    <w:rsid w:val="736305BE"/>
    <w:rsid w:val="73722F12"/>
    <w:rsid w:val="73775D00"/>
    <w:rsid w:val="73A01EB1"/>
    <w:rsid w:val="73BD4A44"/>
    <w:rsid w:val="73BF3D93"/>
    <w:rsid w:val="73DB1909"/>
    <w:rsid w:val="73E44651"/>
    <w:rsid w:val="73F73350"/>
    <w:rsid w:val="73FC7950"/>
    <w:rsid w:val="741D578E"/>
    <w:rsid w:val="741E2752"/>
    <w:rsid w:val="742D247D"/>
    <w:rsid w:val="742E508B"/>
    <w:rsid w:val="7441787C"/>
    <w:rsid w:val="74516EE2"/>
    <w:rsid w:val="745F24DD"/>
    <w:rsid w:val="74922A45"/>
    <w:rsid w:val="74AC3F76"/>
    <w:rsid w:val="74B54486"/>
    <w:rsid w:val="74C90910"/>
    <w:rsid w:val="74DE3AC0"/>
    <w:rsid w:val="74E35816"/>
    <w:rsid w:val="74F3159E"/>
    <w:rsid w:val="75115158"/>
    <w:rsid w:val="752C0E9F"/>
    <w:rsid w:val="752F25FD"/>
    <w:rsid w:val="753366D1"/>
    <w:rsid w:val="754438E2"/>
    <w:rsid w:val="75484D90"/>
    <w:rsid w:val="755503F6"/>
    <w:rsid w:val="755A5A0C"/>
    <w:rsid w:val="756B2F29"/>
    <w:rsid w:val="757E794D"/>
    <w:rsid w:val="75856CF0"/>
    <w:rsid w:val="759862A9"/>
    <w:rsid w:val="75A2484C"/>
    <w:rsid w:val="75B8697D"/>
    <w:rsid w:val="75E176F0"/>
    <w:rsid w:val="75F0011F"/>
    <w:rsid w:val="76051E1C"/>
    <w:rsid w:val="760859F0"/>
    <w:rsid w:val="760B6D06"/>
    <w:rsid w:val="760D0CD1"/>
    <w:rsid w:val="760F67F7"/>
    <w:rsid w:val="762828AA"/>
    <w:rsid w:val="76483F8A"/>
    <w:rsid w:val="765D7838"/>
    <w:rsid w:val="7669422C"/>
    <w:rsid w:val="766D2537"/>
    <w:rsid w:val="76796366"/>
    <w:rsid w:val="76856AB9"/>
    <w:rsid w:val="76A2773F"/>
    <w:rsid w:val="76B00445"/>
    <w:rsid w:val="76B15B00"/>
    <w:rsid w:val="76B85F5D"/>
    <w:rsid w:val="76B865B9"/>
    <w:rsid w:val="76B92C06"/>
    <w:rsid w:val="76BB24DB"/>
    <w:rsid w:val="76BB4582"/>
    <w:rsid w:val="76BF021D"/>
    <w:rsid w:val="76EA6BA6"/>
    <w:rsid w:val="76EC08E6"/>
    <w:rsid w:val="76EF7074"/>
    <w:rsid w:val="771816DB"/>
    <w:rsid w:val="772877DD"/>
    <w:rsid w:val="773410EC"/>
    <w:rsid w:val="77532D52"/>
    <w:rsid w:val="776B2153"/>
    <w:rsid w:val="776E579F"/>
    <w:rsid w:val="778854DC"/>
    <w:rsid w:val="778D031B"/>
    <w:rsid w:val="77903967"/>
    <w:rsid w:val="77980A6E"/>
    <w:rsid w:val="77A15A9E"/>
    <w:rsid w:val="77A411C1"/>
    <w:rsid w:val="77B75398"/>
    <w:rsid w:val="77BE04D4"/>
    <w:rsid w:val="77C316A6"/>
    <w:rsid w:val="78063C29"/>
    <w:rsid w:val="780A11D3"/>
    <w:rsid w:val="780D5A03"/>
    <w:rsid w:val="781225CE"/>
    <w:rsid w:val="782567A5"/>
    <w:rsid w:val="782C7998"/>
    <w:rsid w:val="78336ED5"/>
    <w:rsid w:val="784D7779"/>
    <w:rsid w:val="7859644F"/>
    <w:rsid w:val="786170B2"/>
    <w:rsid w:val="786B1CDE"/>
    <w:rsid w:val="786F17CF"/>
    <w:rsid w:val="78900FA3"/>
    <w:rsid w:val="78967DB4"/>
    <w:rsid w:val="789D3E57"/>
    <w:rsid w:val="78BF4C03"/>
    <w:rsid w:val="78E801F3"/>
    <w:rsid w:val="78E8666B"/>
    <w:rsid w:val="79030D1A"/>
    <w:rsid w:val="79101F02"/>
    <w:rsid w:val="792F7AF9"/>
    <w:rsid w:val="793346B0"/>
    <w:rsid w:val="796C5D0E"/>
    <w:rsid w:val="797A667D"/>
    <w:rsid w:val="79864A5B"/>
    <w:rsid w:val="799668CF"/>
    <w:rsid w:val="79A27982"/>
    <w:rsid w:val="79C73CD9"/>
    <w:rsid w:val="79CA729C"/>
    <w:rsid w:val="79CB6ED9"/>
    <w:rsid w:val="79CB7624"/>
    <w:rsid w:val="79D35D8D"/>
    <w:rsid w:val="79D744BA"/>
    <w:rsid w:val="79DB5CC4"/>
    <w:rsid w:val="79EE7A68"/>
    <w:rsid w:val="7A481DC8"/>
    <w:rsid w:val="7A806D0F"/>
    <w:rsid w:val="7A9B68AB"/>
    <w:rsid w:val="7A9D2A09"/>
    <w:rsid w:val="7AA31C03"/>
    <w:rsid w:val="7AA64077"/>
    <w:rsid w:val="7ADD397A"/>
    <w:rsid w:val="7AEC25B9"/>
    <w:rsid w:val="7AEE3F26"/>
    <w:rsid w:val="7B340AAD"/>
    <w:rsid w:val="7B674CF7"/>
    <w:rsid w:val="7B722069"/>
    <w:rsid w:val="7B767318"/>
    <w:rsid w:val="7B985B8F"/>
    <w:rsid w:val="7BC24A25"/>
    <w:rsid w:val="7BCB7049"/>
    <w:rsid w:val="7BD06A28"/>
    <w:rsid w:val="7C036440"/>
    <w:rsid w:val="7C1750A0"/>
    <w:rsid w:val="7C183F2B"/>
    <w:rsid w:val="7C251E94"/>
    <w:rsid w:val="7C330D65"/>
    <w:rsid w:val="7C592C47"/>
    <w:rsid w:val="7C5A2796"/>
    <w:rsid w:val="7C656269"/>
    <w:rsid w:val="7C662EE9"/>
    <w:rsid w:val="7C7970C0"/>
    <w:rsid w:val="7CAB4D9F"/>
    <w:rsid w:val="7CB57667"/>
    <w:rsid w:val="7CBF4EBE"/>
    <w:rsid w:val="7CCA37B1"/>
    <w:rsid w:val="7CF94473"/>
    <w:rsid w:val="7CFA011A"/>
    <w:rsid w:val="7D0C7BFF"/>
    <w:rsid w:val="7D144545"/>
    <w:rsid w:val="7D171C49"/>
    <w:rsid w:val="7D3354C1"/>
    <w:rsid w:val="7D414C72"/>
    <w:rsid w:val="7D4B6BE2"/>
    <w:rsid w:val="7D544EB6"/>
    <w:rsid w:val="7D6903CE"/>
    <w:rsid w:val="7D8446CF"/>
    <w:rsid w:val="7D8D75F7"/>
    <w:rsid w:val="7D8F646F"/>
    <w:rsid w:val="7DB67EA0"/>
    <w:rsid w:val="7DDB7472"/>
    <w:rsid w:val="7DE06ED6"/>
    <w:rsid w:val="7DF27C1E"/>
    <w:rsid w:val="7DF30334"/>
    <w:rsid w:val="7E127936"/>
    <w:rsid w:val="7E2E0971"/>
    <w:rsid w:val="7E374363"/>
    <w:rsid w:val="7E494870"/>
    <w:rsid w:val="7E755182"/>
    <w:rsid w:val="7E820E9B"/>
    <w:rsid w:val="7E8933F6"/>
    <w:rsid w:val="7EC3172A"/>
    <w:rsid w:val="7EC81C39"/>
    <w:rsid w:val="7ECE3578"/>
    <w:rsid w:val="7EEE34A2"/>
    <w:rsid w:val="7EF265F5"/>
    <w:rsid w:val="7EF60E5A"/>
    <w:rsid w:val="7F144E7E"/>
    <w:rsid w:val="7F1B0338"/>
    <w:rsid w:val="7F3216F7"/>
    <w:rsid w:val="7F3948E4"/>
    <w:rsid w:val="7F3A2A76"/>
    <w:rsid w:val="7F405C73"/>
    <w:rsid w:val="7F587BFA"/>
    <w:rsid w:val="7F651B7D"/>
    <w:rsid w:val="7F6C1DC8"/>
    <w:rsid w:val="7F6D6120"/>
    <w:rsid w:val="7F74351C"/>
    <w:rsid w:val="7F8E2E82"/>
    <w:rsid w:val="7FA91A6A"/>
    <w:rsid w:val="7FC22B2C"/>
    <w:rsid w:val="7FC655DB"/>
    <w:rsid w:val="7FCB445E"/>
    <w:rsid w:val="7FCB7FB6"/>
    <w:rsid w:val="7FCD171D"/>
    <w:rsid w:val="7FE5681A"/>
    <w:rsid w:val="FCAE5F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50" w:right="62" w:hanging="50" w:hangingChars="5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4"/>
    <w:qFormat/>
    <w:uiPriority w:val="0"/>
    <w:pPr>
      <w:keepNext/>
      <w:keepLines/>
      <w:pageBreakBefore/>
      <w:numPr>
        <w:ilvl w:val="0"/>
        <w:numId w:val="1"/>
      </w:numPr>
      <w:adjustRightInd w:val="0"/>
      <w:spacing w:before="340" w:after="330" w:line="900" w:lineRule="exact"/>
      <w:jc w:val="center"/>
      <w:outlineLvl w:val="0"/>
    </w:pPr>
    <w:rPr>
      <w:b/>
      <w:kern w:val="44"/>
      <w:sz w:val="32"/>
      <w:szCs w:val="20"/>
    </w:rPr>
  </w:style>
  <w:style w:type="paragraph" w:styleId="3">
    <w:name w:val="heading 2"/>
    <w:basedOn w:val="1"/>
    <w:next w:val="1"/>
    <w:qFormat/>
    <w:uiPriority w:val="0"/>
    <w:pPr>
      <w:keepNext/>
      <w:keepLines/>
      <w:spacing w:before="260" w:after="260" w:line="800" w:lineRule="exact"/>
      <w:jc w:val="center"/>
      <w:outlineLvl w:val="1"/>
    </w:pPr>
    <w:rPr>
      <w:b/>
      <w:bCs/>
      <w:sz w:val="30"/>
      <w:szCs w:val="32"/>
    </w:rPr>
  </w:style>
  <w:style w:type="paragraph" w:styleId="4">
    <w:name w:val="heading 3"/>
    <w:basedOn w:val="1"/>
    <w:next w:val="1"/>
    <w:link w:val="85"/>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numPr>
        <w:ilvl w:val="3"/>
        <w:numId w:val="2"/>
      </w:numPr>
      <w:tabs>
        <w:tab w:val="left" w:pos="425"/>
      </w:tabs>
      <w:spacing w:before="280" w:after="290" w:line="376" w:lineRule="auto"/>
      <w:outlineLvl w:val="3"/>
    </w:pPr>
    <w:rPr>
      <w:rFonts w:ascii="Arial" w:hAnsi="Arial" w:eastAsia="黑体"/>
      <w:b/>
      <w:bCs/>
      <w:sz w:val="28"/>
      <w:szCs w:val="28"/>
    </w:rPr>
  </w:style>
  <w:style w:type="paragraph" w:styleId="6">
    <w:name w:val="heading 5"/>
    <w:basedOn w:val="7"/>
    <w:next w:val="8"/>
    <w:qFormat/>
    <w:uiPriority w:val="0"/>
    <w:pPr>
      <w:outlineLvl w:val="4"/>
    </w:pPr>
  </w:style>
  <w:style w:type="paragraph" w:styleId="9">
    <w:name w:val="heading 6"/>
    <w:basedOn w:val="7"/>
    <w:next w:val="8"/>
    <w:qFormat/>
    <w:uiPriority w:val="0"/>
    <w:pPr>
      <w:outlineLvl w:val="5"/>
    </w:pPr>
    <w:rPr>
      <w:i/>
    </w:rPr>
  </w:style>
  <w:style w:type="paragraph" w:styleId="10">
    <w:name w:val="heading 7"/>
    <w:basedOn w:val="7"/>
    <w:next w:val="8"/>
    <w:qFormat/>
    <w:uiPriority w:val="0"/>
    <w:pPr>
      <w:ind w:firstLine="360"/>
      <w:outlineLvl w:val="6"/>
    </w:pPr>
    <w:rPr>
      <w:smallCaps/>
      <w:sz w:val="23"/>
    </w:rPr>
  </w:style>
  <w:style w:type="paragraph" w:styleId="11">
    <w:name w:val="heading 8"/>
    <w:basedOn w:val="7"/>
    <w:next w:val="8"/>
    <w:qFormat/>
    <w:uiPriority w:val="0"/>
    <w:pPr>
      <w:ind w:firstLine="360"/>
      <w:outlineLvl w:val="7"/>
    </w:pPr>
    <w:rPr>
      <w:i/>
    </w:rPr>
  </w:style>
  <w:style w:type="paragraph" w:styleId="12">
    <w:name w:val="heading 9"/>
    <w:basedOn w:val="7"/>
    <w:next w:val="8"/>
    <w:qFormat/>
    <w:uiPriority w:val="0"/>
    <w:pPr>
      <w:outlineLvl w:val="8"/>
    </w:pPr>
  </w:style>
  <w:style w:type="character" w:default="1" w:styleId="77">
    <w:name w:val="Default Paragraph Font"/>
    <w:unhideWhenUsed/>
    <w:qFormat/>
    <w:uiPriority w:val="1"/>
  </w:style>
  <w:style w:type="table" w:default="1" w:styleId="75">
    <w:name w:val="Normal Table"/>
    <w:unhideWhenUsed/>
    <w:qFormat/>
    <w:uiPriority w:val="99"/>
    <w:tblPr>
      <w:tblCellMar>
        <w:top w:w="0" w:type="dxa"/>
        <w:left w:w="108" w:type="dxa"/>
        <w:bottom w:w="0" w:type="dxa"/>
        <w:right w:w="108" w:type="dxa"/>
      </w:tblCellMar>
    </w:tblPr>
  </w:style>
  <w:style w:type="paragraph" w:customStyle="1" w:styleId="7">
    <w:name w:val="Heading Base"/>
    <w:basedOn w:val="8"/>
    <w:next w:val="8"/>
    <w:qFormat/>
    <w:uiPriority w:val="0"/>
    <w:pPr>
      <w:keepNext/>
      <w:keepLines/>
      <w:widowControl/>
      <w:overflowPunct w:val="0"/>
      <w:autoSpaceDE w:val="0"/>
      <w:autoSpaceDN w:val="0"/>
      <w:spacing w:after="0" w:line="240" w:lineRule="atLeast"/>
      <w:jc w:val="left"/>
      <w:textAlignment w:val="baseline"/>
    </w:pPr>
    <w:rPr>
      <w:rFonts w:ascii="Garamond" w:hAnsi="Garamond"/>
      <w:kern w:val="20"/>
      <w:sz w:val="20"/>
    </w:rPr>
  </w:style>
  <w:style w:type="paragraph" w:styleId="8">
    <w:name w:val="Body Text"/>
    <w:basedOn w:val="1"/>
    <w:qFormat/>
    <w:uiPriority w:val="0"/>
    <w:pPr>
      <w:adjustRightInd w:val="0"/>
      <w:spacing w:after="120" w:line="312" w:lineRule="atLeast"/>
    </w:pPr>
    <w:rPr>
      <w:kern w:val="0"/>
      <w:sz w:val="24"/>
      <w:szCs w:val="20"/>
    </w:rPr>
  </w:style>
  <w:style w:type="paragraph" w:styleId="13">
    <w:name w:val="List 3"/>
    <w:basedOn w:val="14"/>
    <w:qFormat/>
    <w:uiPriority w:val="0"/>
    <w:pPr>
      <w:widowControl/>
      <w:overflowPunct w:val="0"/>
      <w:autoSpaceDE w:val="0"/>
      <w:autoSpaceDN w:val="0"/>
      <w:spacing w:after="240" w:line="240" w:lineRule="atLeast"/>
      <w:ind w:left="1440" w:hanging="360"/>
    </w:pPr>
    <w:rPr>
      <w:rFonts w:ascii="Garamond" w:hAnsi="Garamond"/>
      <w:kern w:val="18"/>
      <w:sz w:val="20"/>
    </w:rPr>
  </w:style>
  <w:style w:type="paragraph" w:styleId="14">
    <w:name w:val="List"/>
    <w:basedOn w:val="1"/>
    <w:qFormat/>
    <w:uiPriority w:val="0"/>
    <w:pPr>
      <w:adjustRightInd w:val="0"/>
      <w:spacing w:line="312" w:lineRule="atLeast"/>
      <w:ind w:left="420" w:hanging="420"/>
      <w:textAlignment w:val="baseline"/>
    </w:pPr>
    <w:rPr>
      <w:kern w:val="0"/>
      <w:szCs w:val="20"/>
    </w:rPr>
  </w:style>
  <w:style w:type="paragraph" w:styleId="15">
    <w:name w:val="List Number 2"/>
    <w:basedOn w:val="16"/>
    <w:qFormat/>
    <w:uiPriority w:val="0"/>
    <w:pPr>
      <w:ind w:left="1080"/>
    </w:pPr>
  </w:style>
  <w:style w:type="paragraph" w:styleId="16">
    <w:name w:val="List Number"/>
    <w:basedOn w:val="1"/>
    <w:qFormat/>
    <w:uiPriority w:val="0"/>
    <w:pPr>
      <w:widowControl/>
      <w:overflowPunct w:val="0"/>
      <w:autoSpaceDE w:val="0"/>
      <w:autoSpaceDN w:val="0"/>
      <w:spacing w:after="240" w:line="240" w:lineRule="atLeast"/>
      <w:ind w:left="720" w:right="720" w:hanging="360" w:firstLineChars="0"/>
    </w:pPr>
    <w:rPr>
      <w:rFonts w:ascii="Garamond" w:hAnsi="Garamond"/>
      <w:kern w:val="18"/>
      <w:sz w:val="20"/>
    </w:rPr>
  </w:style>
  <w:style w:type="paragraph" w:styleId="17">
    <w:name w:val="table of authorities"/>
    <w:basedOn w:val="1"/>
    <w:next w:val="1"/>
    <w:unhideWhenUsed/>
    <w:qFormat/>
    <w:uiPriority w:val="99"/>
    <w:pPr>
      <w:ind w:left="420" w:leftChars="200"/>
    </w:pPr>
  </w:style>
  <w:style w:type="paragraph" w:styleId="18">
    <w:name w:val="List Bullet 4"/>
    <w:basedOn w:val="19"/>
    <w:qFormat/>
    <w:uiPriority w:val="0"/>
    <w:pPr>
      <w:ind w:left="1800"/>
    </w:pPr>
  </w:style>
  <w:style w:type="paragraph" w:styleId="19">
    <w:name w:val="List Bullet"/>
    <w:basedOn w:val="14"/>
    <w:qFormat/>
    <w:uiPriority w:val="0"/>
    <w:pPr>
      <w:widowControl/>
      <w:overflowPunct w:val="0"/>
      <w:autoSpaceDE w:val="0"/>
      <w:autoSpaceDN w:val="0"/>
      <w:spacing w:after="240" w:line="240" w:lineRule="atLeast"/>
      <w:ind w:left="720" w:right="720" w:hanging="360" w:firstLineChars="0"/>
    </w:pPr>
    <w:rPr>
      <w:rFonts w:ascii="Garamond" w:hAnsi="Garamond"/>
      <w:kern w:val="18"/>
      <w:sz w:val="20"/>
    </w:rPr>
  </w:style>
  <w:style w:type="paragraph" w:styleId="20">
    <w:name w:val="Normal Indent"/>
    <w:basedOn w:val="1"/>
    <w:link w:val="86"/>
    <w:qFormat/>
    <w:uiPriority w:val="0"/>
    <w:pPr>
      <w:ind w:firstLine="420" w:firstLineChars="200"/>
    </w:pPr>
    <w:rPr>
      <w:sz w:val="24"/>
      <w:szCs w:val="20"/>
    </w:rPr>
  </w:style>
  <w:style w:type="paragraph" w:styleId="21">
    <w:name w:val="caption"/>
    <w:basedOn w:val="1"/>
    <w:next w:val="1"/>
    <w:qFormat/>
    <w:uiPriority w:val="0"/>
    <w:rPr>
      <w:i/>
      <w:spacing w:val="5"/>
    </w:rPr>
  </w:style>
  <w:style w:type="paragraph" w:styleId="22">
    <w:name w:val="envelope address"/>
    <w:basedOn w:val="8"/>
    <w:qFormat/>
    <w:uiPriority w:val="0"/>
    <w:pPr>
      <w:framePr w:w="7920" w:h="1987" w:hRule="exact" w:hSpace="187" w:vSpace="187" w:wrap="around" w:vAnchor="margin" w:hAnchor="page" w:xAlign="center" w:yAlign="bottom"/>
      <w:widowControl/>
      <w:overflowPunct w:val="0"/>
      <w:autoSpaceDE w:val="0"/>
      <w:autoSpaceDN w:val="0"/>
      <w:spacing w:after="0" w:line="220" w:lineRule="atLeast"/>
      <w:ind w:left="2880"/>
      <w:jc w:val="left"/>
      <w:textAlignment w:val="baseline"/>
    </w:pPr>
    <w:rPr>
      <w:rFonts w:ascii="Garamond" w:hAnsi="Garamond"/>
      <w:kern w:val="18"/>
      <w:sz w:val="20"/>
    </w:rPr>
  </w:style>
  <w:style w:type="paragraph" w:styleId="23">
    <w:name w:val="Document Map"/>
    <w:basedOn w:val="1"/>
    <w:semiHidden/>
    <w:qFormat/>
    <w:uiPriority w:val="0"/>
    <w:pPr>
      <w:shd w:val="clear" w:color="auto" w:fill="000080"/>
    </w:pPr>
  </w:style>
  <w:style w:type="paragraph" w:styleId="24">
    <w:name w:val="toa heading"/>
    <w:basedOn w:val="1"/>
    <w:next w:val="1"/>
    <w:qFormat/>
    <w:uiPriority w:val="0"/>
    <w:pPr>
      <w:widowControl/>
      <w:spacing w:before="120"/>
      <w:ind w:firstLine="3584"/>
    </w:pPr>
  </w:style>
  <w:style w:type="paragraph" w:styleId="25">
    <w:name w:val="annotation text"/>
    <w:basedOn w:val="1"/>
    <w:link w:val="87"/>
    <w:qFormat/>
    <w:uiPriority w:val="0"/>
    <w:pPr>
      <w:jc w:val="left"/>
    </w:pPr>
  </w:style>
  <w:style w:type="paragraph" w:styleId="26">
    <w:name w:val="Salutation"/>
    <w:basedOn w:val="1"/>
    <w:next w:val="1"/>
    <w:qFormat/>
    <w:uiPriority w:val="0"/>
  </w:style>
  <w:style w:type="paragraph" w:styleId="27">
    <w:name w:val="Body Text 3"/>
    <w:basedOn w:val="1"/>
    <w:qFormat/>
    <w:uiPriority w:val="0"/>
    <w:pPr>
      <w:spacing w:after="120"/>
    </w:pPr>
    <w:rPr>
      <w:sz w:val="16"/>
      <w:szCs w:val="16"/>
    </w:rPr>
  </w:style>
  <w:style w:type="paragraph" w:styleId="28">
    <w:name w:val="Closing"/>
    <w:basedOn w:val="8"/>
    <w:next w:val="29"/>
    <w:qFormat/>
    <w:uiPriority w:val="0"/>
    <w:pPr>
      <w:keepNext/>
      <w:widowControl/>
      <w:overflowPunct w:val="0"/>
      <w:autoSpaceDE w:val="0"/>
      <w:autoSpaceDN w:val="0"/>
      <w:spacing w:line="240" w:lineRule="atLeast"/>
      <w:ind w:left="4560"/>
      <w:jc w:val="left"/>
      <w:textAlignment w:val="baseline"/>
    </w:pPr>
    <w:rPr>
      <w:rFonts w:ascii="Garamond" w:hAnsi="Garamond"/>
      <w:kern w:val="18"/>
      <w:sz w:val="20"/>
    </w:rPr>
  </w:style>
  <w:style w:type="paragraph" w:customStyle="1" w:styleId="29">
    <w:name w:val="Signature Company Name"/>
    <w:basedOn w:val="30"/>
    <w:next w:val="31"/>
    <w:qFormat/>
    <w:uiPriority w:val="0"/>
    <w:pPr>
      <w:spacing w:before="0"/>
    </w:pPr>
    <w:rPr>
      <w:caps/>
      <w:sz w:val="21"/>
    </w:rPr>
  </w:style>
  <w:style w:type="paragraph" w:styleId="30">
    <w:name w:val="Signature"/>
    <w:basedOn w:val="8"/>
    <w:qFormat/>
    <w:uiPriority w:val="0"/>
    <w:pPr>
      <w:keepNext/>
      <w:widowControl/>
      <w:overflowPunct w:val="0"/>
      <w:autoSpaceDE w:val="0"/>
      <w:autoSpaceDN w:val="0"/>
      <w:spacing w:before="660" w:after="0" w:line="240" w:lineRule="atLeast"/>
      <w:ind w:left="4560"/>
      <w:jc w:val="left"/>
      <w:textAlignment w:val="baseline"/>
    </w:pPr>
    <w:rPr>
      <w:rFonts w:ascii="Garamond" w:hAnsi="Garamond"/>
      <w:kern w:val="18"/>
      <w:sz w:val="20"/>
    </w:rPr>
  </w:style>
  <w:style w:type="paragraph" w:customStyle="1" w:styleId="31">
    <w:name w:val="Signature Name"/>
    <w:basedOn w:val="30"/>
    <w:next w:val="32"/>
    <w:qFormat/>
    <w:uiPriority w:val="0"/>
    <w:pPr>
      <w:spacing w:before="880"/>
    </w:pPr>
  </w:style>
  <w:style w:type="paragraph" w:customStyle="1" w:styleId="32">
    <w:name w:val="Signature Job Title"/>
    <w:basedOn w:val="30"/>
    <w:next w:val="33"/>
    <w:qFormat/>
    <w:uiPriority w:val="0"/>
    <w:pPr>
      <w:spacing w:before="0"/>
    </w:pPr>
  </w:style>
  <w:style w:type="paragraph" w:customStyle="1" w:styleId="33">
    <w:name w:val="Reference Initials"/>
    <w:basedOn w:val="8"/>
    <w:next w:val="34"/>
    <w:qFormat/>
    <w:uiPriority w:val="0"/>
    <w:pPr>
      <w:keepNext/>
      <w:keepLines/>
      <w:widowControl/>
      <w:overflowPunct w:val="0"/>
      <w:autoSpaceDE w:val="0"/>
      <w:autoSpaceDN w:val="0"/>
      <w:spacing w:before="220" w:after="0" w:line="240" w:lineRule="atLeast"/>
      <w:jc w:val="left"/>
      <w:textAlignment w:val="baseline"/>
    </w:pPr>
    <w:rPr>
      <w:rFonts w:ascii="Garamond" w:hAnsi="Garamond"/>
      <w:kern w:val="18"/>
      <w:sz w:val="20"/>
    </w:rPr>
  </w:style>
  <w:style w:type="paragraph" w:customStyle="1" w:styleId="34">
    <w:name w:val="Enclosure"/>
    <w:basedOn w:val="8"/>
    <w:next w:val="35"/>
    <w:qFormat/>
    <w:uiPriority w:val="0"/>
    <w:pPr>
      <w:keepNext/>
      <w:keepLines/>
      <w:widowControl/>
      <w:overflowPunct w:val="0"/>
      <w:autoSpaceDE w:val="0"/>
      <w:autoSpaceDN w:val="0"/>
      <w:spacing w:after="240" w:line="240" w:lineRule="atLeast"/>
      <w:textAlignment w:val="baseline"/>
    </w:pPr>
    <w:rPr>
      <w:rFonts w:ascii="Garamond" w:hAnsi="Garamond"/>
      <w:kern w:val="18"/>
      <w:sz w:val="20"/>
    </w:rPr>
  </w:style>
  <w:style w:type="paragraph" w:customStyle="1" w:styleId="35">
    <w:name w:val="CC"/>
    <w:basedOn w:val="8"/>
    <w:qFormat/>
    <w:uiPriority w:val="0"/>
    <w:pPr>
      <w:keepLines/>
      <w:widowControl/>
      <w:overflowPunct w:val="0"/>
      <w:autoSpaceDE w:val="0"/>
      <w:autoSpaceDN w:val="0"/>
      <w:spacing w:after="240" w:line="240" w:lineRule="atLeast"/>
      <w:ind w:left="360" w:hanging="360"/>
      <w:jc w:val="left"/>
      <w:textAlignment w:val="baseline"/>
    </w:pPr>
    <w:rPr>
      <w:rFonts w:ascii="Garamond" w:hAnsi="Garamond"/>
      <w:kern w:val="18"/>
      <w:sz w:val="20"/>
    </w:rPr>
  </w:style>
  <w:style w:type="paragraph" w:styleId="36">
    <w:name w:val="List Bullet 3"/>
    <w:basedOn w:val="19"/>
    <w:qFormat/>
    <w:uiPriority w:val="0"/>
    <w:pPr>
      <w:ind w:left="1440"/>
    </w:pPr>
  </w:style>
  <w:style w:type="paragraph" w:styleId="37">
    <w:name w:val="Body Text Indent"/>
    <w:basedOn w:val="1"/>
    <w:next w:val="38"/>
    <w:qFormat/>
    <w:uiPriority w:val="0"/>
    <w:pPr>
      <w:spacing w:after="120"/>
      <w:ind w:left="420" w:leftChars="200"/>
    </w:pPr>
  </w:style>
  <w:style w:type="paragraph" w:customStyle="1" w:styleId="3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9">
    <w:name w:val="List Number 3"/>
    <w:basedOn w:val="16"/>
    <w:qFormat/>
    <w:uiPriority w:val="0"/>
    <w:pPr>
      <w:ind w:left="1440"/>
    </w:pPr>
  </w:style>
  <w:style w:type="paragraph" w:styleId="40">
    <w:name w:val="List 2"/>
    <w:basedOn w:val="14"/>
    <w:qFormat/>
    <w:uiPriority w:val="0"/>
    <w:pPr>
      <w:widowControl/>
      <w:overflowPunct w:val="0"/>
      <w:autoSpaceDE w:val="0"/>
      <w:autoSpaceDN w:val="0"/>
      <w:spacing w:after="240" w:line="240" w:lineRule="atLeast"/>
      <w:ind w:left="1080" w:hanging="360"/>
    </w:pPr>
    <w:rPr>
      <w:rFonts w:ascii="Garamond" w:hAnsi="Garamond"/>
      <w:kern w:val="18"/>
      <w:sz w:val="20"/>
    </w:rPr>
  </w:style>
  <w:style w:type="paragraph" w:styleId="41">
    <w:name w:val="List Continue"/>
    <w:basedOn w:val="14"/>
    <w:qFormat/>
    <w:uiPriority w:val="0"/>
    <w:pPr>
      <w:widowControl/>
      <w:overflowPunct w:val="0"/>
      <w:autoSpaceDE w:val="0"/>
      <w:autoSpaceDN w:val="0"/>
      <w:spacing w:after="240" w:line="240" w:lineRule="atLeast"/>
      <w:ind w:left="720" w:right="720" w:firstLine="0"/>
    </w:pPr>
    <w:rPr>
      <w:rFonts w:ascii="Garamond" w:hAnsi="Garamond"/>
      <w:kern w:val="18"/>
      <w:sz w:val="20"/>
    </w:rPr>
  </w:style>
  <w:style w:type="paragraph" w:styleId="42">
    <w:name w:val="Block Text"/>
    <w:basedOn w:val="1"/>
    <w:qFormat/>
    <w:uiPriority w:val="0"/>
    <w:pPr>
      <w:adjustRightInd w:val="0"/>
      <w:spacing w:line="312" w:lineRule="atLeast"/>
      <w:ind w:left="113" w:right="113"/>
      <w:jc w:val="center"/>
      <w:textAlignment w:val="baseline"/>
    </w:pPr>
    <w:rPr>
      <w:rFonts w:eastAsia="隶书"/>
      <w:kern w:val="0"/>
      <w:sz w:val="28"/>
      <w:szCs w:val="20"/>
    </w:rPr>
  </w:style>
  <w:style w:type="paragraph" w:styleId="43">
    <w:name w:val="List Bullet 2"/>
    <w:basedOn w:val="19"/>
    <w:qFormat/>
    <w:uiPriority w:val="0"/>
    <w:pPr>
      <w:ind w:left="1080"/>
    </w:pPr>
  </w:style>
  <w:style w:type="paragraph" w:styleId="44">
    <w:name w:val="toc 3"/>
    <w:basedOn w:val="1"/>
    <w:next w:val="1"/>
    <w:semiHidden/>
    <w:qFormat/>
    <w:uiPriority w:val="0"/>
    <w:pPr>
      <w:ind w:left="840" w:leftChars="400"/>
    </w:pPr>
  </w:style>
  <w:style w:type="paragraph" w:styleId="45">
    <w:name w:val="Plain Text"/>
    <w:basedOn w:val="1"/>
    <w:next w:val="46"/>
    <w:link w:val="88"/>
    <w:qFormat/>
    <w:uiPriority w:val="0"/>
    <w:rPr>
      <w:rFonts w:ascii="宋体" w:hAnsi="Courier New" w:cs="Courier New"/>
      <w:szCs w:val="21"/>
    </w:rPr>
  </w:style>
  <w:style w:type="paragraph" w:styleId="46">
    <w:name w:val="index 7"/>
    <w:basedOn w:val="1"/>
    <w:next w:val="1"/>
    <w:qFormat/>
    <w:uiPriority w:val="0"/>
    <w:pPr>
      <w:autoSpaceDE/>
      <w:autoSpaceDN/>
      <w:adjustRightInd/>
      <w:ind w:left="1200" w:leftChars="1200"/>
    </w:pPr>
    <w:rPr>
      <w:color w:val="auto"/>
      <w:kern w:val="2"/>
      <w:szCs w:val="24"/>
    </w:rPr>
  </w:style>
  <w:style w:type="paragraph" w:styleId="47">
    <w:name w:val="List Bullet 5"/>
    <w:basedOn w:val="19"/>
    <w:qFormat/>
    <w:uiPriority w:val="0"/>
    <w:pPr>
      <w:ind w:left="2160"/>
    </w:pPr>
  </w:style>
  <w:style w:type="paragraph" w:styleId="48">
    <w:name w:val="List Number 4"/>
    <w:basedOn w:val="16"/>
    <w:qFormat/>
    <w:uiPriority w:val="0"/>
    <w:pPr>
      <w:ind w:left="1800"/>
    </w:pPr>
  </w:style>
  <w:style w:type="paragraph" w:styleId="49">
    <w:name w:val="Date"/>
    <w:basedOn w:val="1"/>
    <w:next w:val="1"/>
    <w:link w:val="89"/>
    <w:qFormat/>
    <w:uiPriority w:val="0"/>
    <w:pPr>
      <w:ind w:left="100" w:leftChars="2500"/>
    </w:pPr>
    <w:rPr>
      <w:b/>
      <w:spacing w:val="40"/>
      <w:sz w:val="44"/>
      <w:szCs w:val="44"/>
    </w:rPr>
  </w:style>
  <w:style w:type="paragraph" w:styleId="50">
    <w:name w:val="Body Text Indent 2"/>
    <w:basedOn w:val="1"/>
    <w:qFormat/>
    <w:uiPriority w:val="0"/>
    <w:pPr>
      <w:spacing w:after="120" w:line="480" w:lineRule="auto"/>
      <w:ind w:left="420" w:leftChars="200"/>
    </w:pPr>
  </w:style>
  <w:style w:type="paragraph" w:styleId="51">
    <w:name w:val="List Continue 5"/>
    <w:basedOn w:val="41"/>
    <w:qFormat/>
    <w:uiPriority w:val="0"/>
    <w:pPr>
      <w:ind w:left="2160"/>
    </w:pPr>
  </w:style>
  <w:style w:type="paragraph" w:styleId="52">
    <w:name w:val="Balloon Text"/>
    <w:basedOn w:val="1"/>
    <w:semiHidden/>
    <w:qFormat/>
    <w:uiPriority w:val="0"/>
    <w:rPr>
      <w:sz w:val="18"/>
      <w:szCs w:val="18"/>
    </w:rPr>
  </w:style>
  <w:style w:type="paragraph" w:styleId="53">
    <w:name w:val="footer"/>
    <w:basedOn w:val="1"/>
    <w:link w:val="90"/>
    <w:qFormat/>
    <w:uiPriority w:val="99"/>
    <w:pPr>
      <w:tabs>
        <w:tab w:val="center" w:pos="4153"/>
        <w:tab w:val="right" w:pos="8306"/>
      </w:tabs>
      <w:snapToGrid w:val="0"/>
      <w:jc w:val="left"/>
    </w:pPr>
    <w:rPr>
      <w:sz w:val="18"/>
      <w:szCs w:val="18"/>
    </w:rPr>
  </w:style>
  <w:style w:type="paragraph" w:styleId="54">
    <w:name w:val="envelope return"/>
    <w:basedOn w:val="8"/>
    <w:qFormat/>
    <w:uiPriority w:val="0"/>
    <w:pPr>
      <w:widowControl/>
      <w:overflowPunct w:val="0"/>
      <w:autoSpaceDE w:val="0"/>
      <w:autoSpaceDN w:val="0"/>
      <w:spacing w:after="0" w:line="240" w:lineRule="atLeast"/>
      <w:jc w:val="left"/>
      <w:textAlignment w:val="baseline"/>
    </w:pPr>
    <w:rPr>
      <w:rFonts w:ascii="Garamond" w:hAnsi="Garamond"/>
      <w:caps/>
      <w:spacing w:val="30"/>
      <w:sz w:val="15"/>
    </w:rPr>
  </w:style>
  <w:style w:type="paragraph" w:styleId="5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6">
    <w:name w:val="toc 1"/>
    <w:basedOn w:val="1"/>
    <w:next w:val="1"/>
    <w:semiHidden/>
    <w:qFormat/>
    <w:uiPriority w:val="0"/>
  </w:style>
  <w:style w:type="paragraph" w:styleId="57">
    <w:name w:val="List Continue 4"/>
    <w:basedOn w:val="41"/>
    <w:qFormat/>
    <w:uiPriority w:val="0"/>
    <w:pPr>
      <w:ind w:left="1800"/>
    </w:pPr>
  </w:style>
  <w:style w:type="paragraph" w:styleId="58">
    <w:name w:val="index heading"/>
    <w:basedOn w:val="1"/>
    <w:next w:val="59"/>
    <w:qFormat/>
    <w:uiPriority w:val="0"/>
  </w:style>
  <w:style w:type="paragraph" w:styleId="59">
    <w:name w:val="index 1"/>
    <w:basedOn w:val="1"/>
    <w:next w:val="1"/>
    <w:qFormat/>
    <w:uiPriority w:val="0"/>
    <w:pPr>
      <w:spacing w:line="240" w:lineRule="auto"/>
      <w:ind w:left="0" w:right="0" w:firstLine="0" w:firstLineChars="0"/>
    </w:pPr>
    <w:rPr>
      <w:rFonts w:ascii="Calibri" w:hAnsi="Calibri" w:cs="Calibri"/>
      <w:szCs w:val="21"/>
    </w:rPr>
  </w:style>
  <w:style w:type="paragraph" w:styleId="60">
    <w:name w:val="List Number 5"/>
    <w:basedOn w:val="16"/>
    <w:qFormat/>
    <w:uiPriority w:val="0"/>
    <w:pPr>
      <w:ind w:left="2160"/>
    </w:pPr>
  </w:style>
  <w:style w:type="paragraph" w:styleId="61">
    <w:name w:val="footnote text"/>
    <w:basedOn w:val="1"/>
    <w:next w:val="8"/>
    <w:qFormat/>
    <w:uiPriority w:val="99"/>
    <w:pPr>
      <w:adjustRightInd w:val="0"/>
      <w:spacing w:line="312" w:lineRule="atLeast"/>
      <w:jc w:val="left"/>
      <w:textAlignment w:val="baseline"/>
    </w:pPr>
    <w:rPr>
      <w:kern w:val="0"/>
      <w:sz w:val="18"/>
      <w:szCs w:val="20"/>
    </w:rPr>
  </w:style>
  <w:style w:type="paragraph" w:styleId="62">
    <w:name w:val="toc 6"/>
    <w:basedOn w:val="1"/>
    <w:next w:val="1"/>
    <w:qFormat/>
    <w:uiPriority w:val="0"/>
    <w:pPr>
      <w:ind w:left="1400"/>
    </w:pPr>
    <w:rPr>
      <w:rFonts w:ascii="Calibri"/>
      <w:sz w:val="18"/>
      <w:szCs w:val="18"/>
    </w:rPr>
  </w:style>
  <w:style w:type="paragraph" w:styleId="63">
    <w:name w:val="List 5"/>
    <w:basedOn w:val="14"/>
    <w:qFormat/>
    <w:uiPriority w:val="0"/>
    <w:pPr>
      <w:widowControl/>
      <w:overflowPunct w:val="0"/>
      <w:autoSpaceDE w:val="0"/>
      <w:autoSpaceDN w:val="0"/>
      <w:spacing w:after="240" w:line="240" w:lineRule="atLeast"/>
      <w:ind w:left="2160" w:hanging="360"/>
    </w:pPr>
    <w:rPr>
      <w:rFonts w:ascii="Garamond" w:hAnsi="Garamond"/>
      <w:kern w:val="18"/>
      <w:sz w:val="20"/>
    </w:rPr>
  </w:style>
  <w:style w:type="paragraph" w:styleId="64">
    <w:name w:val="Body Text Indent 3"/>
    <w:basedOn w:val="1"/>
    <w:qFormat/>
    <w:uiPriority w:val="0"/>
    <w:pPr>
      <w:spacing w:after="120"/>
      <w:ind w:left="420" w:leftChars="200"/>
    </w:pPr>
    <w:rPr>
      <w:sz w:val="16"/>
      <w:szCs w:val="16"/>
    </w:rPr>
  </w:style>
  <w:style w:type="paragraph" w:styleId="65">
    <w:name w:val="toc 2"/>
    <w:basedOn w:val="1"/>
    <w:next w:val="1"/>
    <w:semiHidden/>
    <w:qFormat/>
    <w:uiPriority w:val="0"/>
    <w:pPr>
      <w:ind w:left="420" w:leftChars="200"/>
    </w:pPr>
  </w:style>
  <w:style w:type="paragraph" w:styleId="66">
    <w:name w:val="Body Text 2"/>
    <w:basedOn w:val="1"/>
    <w:qFormat/>
    <w:uiPriority w:val="0"/>
    <w:pPr>
      <w:spacing w:after="120" w:line="480" w:lineRule="auto"/>
    </w:pPr>
  </w:style>
  <w:style w:type="paragraph" w:styleId="67">
    <w:name w:val="List 4"/>
    <w:basedOn w:val="14"/>
    <w:qFormat/>
    <w:uiPriority w:val="0"/>
    <w:pPr>
      <w:widowControl/>
      <w:overflowPunct w:val="0"/>
      <w:autoSpaceDE w:val="0"/>
      <w:autoSpaceDN w:val="0"/>
      <w:spacing w:after="240" w:line="240" w:lineRule="atLeast"/>
      <w:ind w:left="1800" w:hanging="360"/>
    </w:pPr>
    <w:rPr>
      <w:rFonts w:ascii="Garamond" w:hAnsi="Garamond"/>
      <w:kern w:val="18"/>
      <w:sz w:val="20"/>
    </w:rPr>
  </w:style>
  <w:style w:type="paragraph" w:styleId="68">
    <w:name w:val="List Continue 2"/>
    <w:basedOn w:val="41"/>
    <w:qFormat/>
    <w:uiPriority w:val="0"/>
    <w:pPr>
      <w:ind w:left="1080"/>
    </w:pPr>
  </w:style>
  <w:style w:type="paragraph" w:styleId="6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7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1">
    <w:name w:val="List Continue 3"/>
    <w:basedOn w:val="41"/>
    <w:qFormat/>
    <w:uiPriority w:val="0"/>
    <w:pPr>
      <w:ind w:left="1440"/>
    </w:pPr>
  </w:style>
  <w:style w:type="paragraph" w:styleId="72">
    <w:name w:val="annotation subject"/>
    <w:basedOn w:val="25"/>
    <w:next w:val="25"/>
    <w:link w:val="91"/>
    <w:qFormat/>
    <w:uiPriority w:val="0"/>
    <w:rPr>
      <w:b/>
      <w:bCs/>
    </w:rPr>
  </w:style>
  <w:style w:type="paragraph" w:styleId="73">
    <w:name w:val="Body Text First Indent"/>
    <w:basedOn w:val="8"/>
    <w:next w:val="1"/>
    <w:qFormat/>
    <w:uiPriority w:val="0"/>
    <w:pPr>
      <w:adjustRightInd/>
      <w:spacing w:line="240" w:lineRule="auto"/>
      <w:ind w:firstLine="420" w:firstLineChars="100"/>
    </w:pPr>
    <w:rPr>
      <w:kern w:val="2"/>
      <w:sz w:val="21"/>
      <w:szCs w:val="24"/>
    </w:rPr>
  </w:style>
  <w:style w:type="paragraph" w:styleId="74">
    <w:name w:val="Body Text First Indent 2"/>
    <w:basedOn w:val="37"/>
    <w:next w:val="1"/>
    <w:qFormat/>
    <w:uiPriority w:val="0"/>
    <w:pPr>
      <w:ind w:firstLine="420" w:firstLineChars="200"/>
    </w:pPr>
  </w:style>
  <w:style w:type="table" w:styleId="76">
    <w:name w:val="Table Grid"/>
    <w:basedOn w:val="7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8">
    <w:name w:val="Strong"/>
    <w:basedOn w:val="77"/>
    <w:qFormat/>
    <w:uiPriority w:val="0"/>
    <w:rPr>
      <w:b/>
    </w:rPr>
  </w:style>
  <w:style w:type="character" w:styleId="79">
    <w:name w:val="page number"/>
    <w:basedOn w:val="77"/>
    <w:qFormat/>
    <w:uiPriority w:val="0"/>
  </w:style>
  <w:style w:type="character" w:styleId="80">
    <w:name w:val="Emphasis"/>
    <w:qFormat/>
    <w:uiPriority w:val="0"/>
    <w:rPr>
      <w:caps/>
      <w:sz w:val="18"/>
    </w:rPr>
  </w:style>
  <w:style w:type="character" w:styleId="81">
    <w:name w:val="line number"/>
    <w:qFormat/>
    <w:uiPriority w:val="0"/>
    <w:rPr>
      <w:rFonts w:ascii="Garamond" w:hAnsi="Garamond"/>
      <w:sz w:val="21"/>
    </w:rPr>
  </w:style>
  <w:style w:type="character" w:styleId="82">
    <w:name w:val="Hyperlink"/>
    <w:qFormat/>
    <w:uiPriority w:val="0"/>
    <w:rPr>
      <w:color w:val="0000FF"/>
      <w:u w:val="single"/>
    </w:rPr>
  </w:style>
  <w:style w:type="character" w:styleId="83">
    <w:name w:val="annotation reference"/>
    <w:qFormat/>
    <w:uiPriority w:val="0"/>
    <w:rPr>
      <w:sz w:val="21"/>
      <w:szCs w:val="21"/>
    </w:rPr>
  </w:style>
  <w:style w:type="character" w:customStyle="1" w:styleId="84">
    <w:name w:val="标题 1 Char"/>
    <w:link w:val="2"/>
    <w:qFormat/>
    <w:uiPriority w:val="0"/>
    <w:rPr>
      <w:rFonts w:ascii="Times New Roman" w:hAnsi="Times New Roman"/>
      <w:b/>
      <w:kern w:val="44"/>
      <w:sz w:val="32"/>
    </w:rPr>
  </w:style>
  <w:style w:type="character" w:customStyle="1" w:styleId="85">
    <w:name w:val="标题 3 字符"/>
    <w:basedOn w:val="77"/>
    <w:link w:val="4"/>
    <w:qFormat/>
    <w:uiPriority w:val="0"/>
    <w:rPr>
      <w:b/>
      <w:bCs/>
      <w:sz w:val="32"/>
      <w:szCs w:val="32"/>
    </w:rPr>
  </w:style>
  <w:style w:type="character" w:customStyle="1" w:styleId="86">
    <w:name w:val="正文缩进 Char"/>
    <w:link w:val="20"/>
    <w:qFormat/>
    <w:locked/>
    <w:uiPriority w:val="0"/>
    <w:rPr>
      <w:rFonts w:eastAsia="宋体"/>
      <w:kern w:val="2"/>
      <w:sz w:val="24"/>
      <w:lang w:val="en-US" w:eastAsia="zh-CN" w:bidi="ar-SA"/>
    </w:rPr>
  </w:style>
  <w:style w:type="character" w:customStyle="1" w:styleId="87">
    <w:name w:val="批注文字 Char"/>
    <w:link w:val="25"/>
    <w:qFormat/>
    <w:uiPriority w:val="0"/>
    <w:rPr>
      <w:kern w:val="2"/>
      <w:sz w:val="21"/>
      <w:szCs w:val="24"/>
    </w:rPr>
  </w:style>
  <w:style w:type="character" w:customStyle="1" w:styleId="88">
    <w:name w:val="纯文本 Char1"/>
    <w:link w:val="45"/>
    <w:qFormat/>
    <w:uiPriority w:val="0"/>
    <w:rPr>
      <w:rFonts w:ascii="宋体" w:hAnsi="Courier New" w:eastAsia="宋体" w:cs="Courier New"/>
      <w:kern w:val="2"/>
      <w:sz w:val="21"/>
      <w:szCs w:val="21"/>
      <w:lang w:val="en-US" w:eastAsia="zh-CN" w:bidi="ar-SA"/>
    </w:rPr>
  </w:style>
  <w:style w:type="character" w:customStyle="1" w:styleId="89">
    <w:name w:val="日期 Char"/>
    <w:link w:val="49"/>
    <w:qFormat/>
    <w:uiPriority w:val="0"/>
    <w:rPr>
      <w:rFonts w:eastAsia="宋体"/>
      <w:b/>
      <w:spacing w:val="40"/>
      <w:kern w:val="2"/>
      <w:sz w:val="44"/>
      <w:szCs w:val="44"/>
      <w:lang w:val="en-US" w:eastAsia="zh-CN" w:bidi="ar-SA"/>
    </w:rPr>
  </w:style>
  <w:style w:type="character" w:customStyle="1" w:styleId="90">
    <w:name w:val="页脚 Char"/>
    <w:link w:val="53"/>
    <w:qFormat/>
    <w:uiPriority w:val="99"/>
    <w:rPr>
      <w:kern w:val="2"/>
      <w:sz w:val="18"/>
      <w:szCs w:val="18"/>
    </w:rPr>
  </w:style>
  <w:style w:type="character" w:customStyle="1" w:styleId="91">
    <w:name w:val="批注主题 Char"/>
    <w:link w:val="72"/>
    <w:qFormat/>
    <w:uiPriority w:val="0"/>
    <w:rPr>
      <w:b/>
      <w:bCs/>
      <w:kern w:val="2"/>
      <w:sz w:val="21"/>
      <w:szCs w:val="24"/>
    </w:rPr>
  </w:style>
  <w:style w:type="paragraph" w:customStyle="1" w:styleId="92">
    <w:name w:val="_Style 3"/>
    <w:next w:val="1"/>
    <w:qFormat/>
    <w:uiPriority w:val="0"/>
    <w:pPr>
      <w:wordWrap w:val="0"/>
    </w:pPr>
    <w:rPr>
      <w:rFonts w:ascii="Times New Roman" w:hAnsi="Times New Roman" w:eastAsia="宋体" w:cs="Times New Roman"/>
      <w:sz w:val="32"/>
      <w:szCs w:val="22"/>
      <w:lang w:val="en-US" w:eastAsia="zh-CN" w:bidi="ar-SA"/>
    </w:rPr>
  </w:style>
  <w:style w:type="paragraph" w:customStyle="1" w:styleId="93">
    <w:name w:val="正文缩进1"/>
    <w:basedOn w:val="1"/>
    <w:qFormat/>
    <w:uiPriority w:val="0"/>
    <w:pPr>
      <w:autoSpaceDE w:val="0"/>
      <w:autoSpaceDN w:val="0"/>
      <w:adjustRightInd w:val="0"/>
      <w:ind w:firstLine="420"/>
      <w:jc w:val="left"/>
    </w:pPr>
    <w:rPr>
      <w:rFonts w:ascii="宋体" w:hAnsi="Calibri" w:eastAsia="宋体" w:cs="Times New Roman"/>
      <w:sz w:val="24"/>
      <w:szCs w:val="22"/>
    </w:rPr>
  </w:style>
  <w:style w:type="character" w:customStyle="1" w:styleId="94">
    <w:name w:val="段 Char"/>
    <w:link w:val="95"/>
    <w:qFormat/>
    <w:uiPriority w:val="0"/>
    <w:rPr>
      <w:rFonts w:ascii="宋体"/>
      <w:sz w:val="21"/>
      <w:lang w:val="en-US" w:eastAsia="zh-CN" w:bidi="ar-SA"/>
    </w:rPr>
  </w:style>
  <w:style w:type="paragraph" w:customStyle="1" w:styleId="95">
    <w:name w:val="段"/>
    <w:next w:val="1"/>
    <w:link w:val="94"/>
    <w:qFormat/>
    <w:uiPriority w:val="0"/>
    <w:pPr>
      <w:autoSpaceDE w:val="0"/>
      <w:autoSpaceDN w:val="0"/>
      <w:spacing w:line="360" w:lineRule="auto"/>
      <w:ind w:left="50" w:right="62" w:firstLine="200" w:firstLineChars="200"/>
      <w:jc w:val="both"/>
    </w:pPr>
    <w:rPr>
      <w:rFonts w:ascii="宋体" w:hAnsi="Times New Roman" w:eastAsia="宋体" w:cs="Times New Roman"/>
      <w:sz w:val="21"/>
      <w:lang w:val="en-US" w:eastAsia="zh-CN" w:bidi="ar-SA"/>
    </w:rPr>
  </w:style>
  <w:style w:type="character" w:customStyle="1" w:styleId="96">
    <w:name w:val="Lead-in Emphasis"/>
    <w:qFormat/>
    <w:uiPriority w:val="0"/>
    <w:rPr>
      <w:caps/>
      <w:sz w:val="18"/>
    </w:rPr>
  </w:style>
  <w:style w:type="character" w:customStyle="1" w:styleId="97">
    <w:name w:val="Slogan"/>
    <w:qFormat/>
    <w:uiPriority w:val="0"/>
    <w:rPr>
      <w:i/>
      <w:spacing w:val="70"/>
    </w:rPr>
  </w:style>
  <w:style w:type="character" w:customStyle="1" w:styleId="98">
    <w:name w:val="font21"/>
    <w:basedOn w:val="77"/>
    <w:qFormat/>
    <w:uiPriority w:val="0"/>
    <w:rPr>
      <w:rFonts w:hint="eastAsia" w:ascii="宋体" w:hAnsi="宋体" w:eastAsia="宋体"/>
      <w:color w:val="000000"/>
      <w:sz w:val="24"/>
      <w:szCs w:val="24"/>
      <w:u w:val="none"/>
    </w:rPr>
  </w:style>
  <w:style w:type="character" w:customStyle="1" w:styleId="99">
    <w:name w:val="font61"/>
    <w:qFormat/>
    <w:uiPriority w:val="0"/>
    <w:rPr>
      <w:rFonts w:hint="eastAsia" w:ascii="宋体" w:hAnsi="宋体" w:eastAsia="宋体"/>
      <w:color w:val="000000"/>
      <w:sz w:val="18"/>
      <w:szCs w:val="18"/>
      <w:u w:val="none"/>
      <w:vertAlign w:val="superscript"/>
    </w:rPr>
  </w:style>
  <w:style w:type="character" w:customStyle="1" w:styleId="100">
    <w:name w:val="font81"/>
    <w:qFormat/>
    <w:uiPriority w:val="0"/>
    <w:rPr>
      <w:rFonts w:hint="eastAsia" w:ascii="宋体" w:hAnsi="宋体" w:eastAsia="宋体"/>
      <w:color w:val="000000"/>
      <w:sz w:val="22"/>
      <w:szCs w:val="22"/>
      <w:u w:val="none"/>
    </w:rPr>
  </w:style>
  <w:style w:type="character" w:customStyle="1" w:styleId="101">
    <w:name w:val="font41"/>
    <w:qFormat/>
    <w:uiPriority w:val="0"/>
    <w:rPr>
      <w:rFonts w:hint="default" w:ascii="Times New Roman" w:hAnsi="Times New Roman" w:cs="Times New Roman"/>
      <w:color w:val="000000"/>
      <w:sz w:val="24"/>
      <w:szCs w:val="24"/>
      <w:u w:val="none"/>
    </w:rPr>
  </w:style>
  <w:style w:type="character" w:customStyle="1" w:styleId="102">
    <w:name w:val="font01"/>
    <w:qFormat/>
    <w:uiPriority w:val="0"/>
    <w:rPr>
      <w:rFonts w:hint="eastAsia" w:ascii="宋体" w:hAnsi="宋体" w:eastAsia="宋体"/>
      <w:color w:val="000000"/>
      <w:sz w:val="24"/>
      <w:szCs w:val="24"/>
      <w:u w:val="none"/>
    </w:rPr>
  </w:style>
  <w:style w:type="character" w:customStyle="1" w:styleId="103">
    <w:name w:val="普通文字 Char1"/>
    <w:qFormat/>
    <w:uiPriority w:val="0"/>
    <w:rPr>
      <w:rFonts w:ascii="宋体" w:hAnsi="Courier New" w:eastAsia="宋体"/>
      <w:kern w:val="2"/>
      <w:sz w:val="21"/>
      <w:lang w:val="en-US" w:eastAsia="zh-CN" w:bidi="ar-SA"/>
    </w:rPr>
  </w:style>
  <w:style w:type="character" w:customStyle="1" w:styleId="104">
    <w:name w:val="普通文字 Char Char Char"/>
    <w:qFormat/>
    <w:uiPriority w:val="0"/>
    <w:rPr>
      <w:rFonts w:ascii="宋体" w:hAnsi="Courier New" w:eastAsia="宋体"/>
      <w:kern w:val="2"/>
      <w:sz w:val="21"/>
      <w:lang w:val="en-US" w:eastAsia="zh-CN" w:bidi="ar-SA"/>
    </w:rPr>
  </w:style>
  <w:style w:type="character" w:customStyle="1" w:styleId="105">
    <w:name w:val="font71"/>
    <w:qFormat/>
    <w:uiPriority w:val="0"/>
    <w:rPr>
      <w:rFonts w:hint="default" w:ascii="Times New Roman" w:hAnsi="Times New Roman" w:cs="Times New Roman"/>
      <w:color w:val="000000"/>
      <w:sz w:val="24"/>
      <w:szCs w:val="24"/>
      <w:u w:val="none"/>
    </w:rPr>
  </w:style>
  <w:style w:type="character" w:customStyle="1" w:styleId="106">
    <w:name w:val="Superscript"/>
    <w:qFormat/>
    <w:uiPriority w:val="0"/>
    <w:rPr>
      <w:vertAlign w:val="superscript"/>
    </w:rPr>
  </w:style>
  <w:style w:type="character" w:customStyle="1" w:styleId="107">
    <w:name w:val="纯文本 Char Char Char"/>
    <w:qFormat/>
    <w:uiPriority w:val="0"/>
    <w:rPr>
      <w:rFonts w:ascii="宋体" w:hAnsi="Courier New" w:eastAsia="仿宋_GB2312"/>
      <w:kern w:val="2"/>
      <w:sz w:val="30"/>
      <w:lang w:val="en-US" w:eastAsia="zh-CN" w:bidi="ar-SA"/>
    </w:rPr>
  </w:style>
  <w:style w:type="character" w:customStyle="1" w:styleId="108">
    <w:name w:val="font51"/>
    <w:qFormat/>
    <w:uiPriority w:val="0"/>
    <w:rPr>
      <w:rFonts w:hint="eastAsia" w:ascii="宋体" w:hAnsi="宋体" w:eastAsia="宋体"/>
      <w:color w:val="000000"/>
      <w:sz w:val="18"/>
      <w:szCs w:val="18"/>
      <w:u w:val="none"/>
    </w:rPr>
  </w:style>
  <w:style w:type="character" w:customStyle="1" w:styleId="109">
    <w:name w:val="正文文字 Char1"/>
    <w:link w:val="110"/>
    <w:qFormat/>
    <w:uiPriority w:val="0"/>
    <w:rPr>
      <w:rFonts w:ascii="宋体"/>
      <w:color w:val="000000"/>
      <w:kern w:val="0"/>
      <w:sz w:val="28"/>
    </w:rPr>
  </w:style>
  <w:style w:type="paragraph" w:customStyle="1" w:styleId="110">
    <w:name w:val="正文文字"/>
    <w:basedOn w:val="1"/>
    <w:link w:val="109"/>
    <w:qFormat/>
    <w:uiPriority w:val="0"/>
    <w:pPr>
      <w:widowControl/>
      <w:spacing w:line="2375" w:lineRule="atLeast"/>
      <w:ind w:firstLine="419"/>
      <w:textAlignment w:val="baseline"/>
    </w:pPr>
    <w:rPr>
      <w:rFonts w:ascii="宋体"/>
      <w:color w:val="000000"/>
      <w:kern w:val="0"/>
      <w:sz w:val="28"/>
    </w:rPr>
  </w:style>
  <w:style w:type="character" w:customStyle="1" w:styleId="111">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112">
    <w:name w:val="font91"/>
    <w:qFormat/>
    <w:uiPriority w:val="0"/>
    <w:rPr>
      <w:rFonts w:hint="eastAsia" w:ascii="宋体" w:hAnsi="宋体" w:eastAsia="宋体"/>
      <w:color w:val="000000"/>
      <w:sz w:val="18"/>
      <w:szCs w:val="18"/>
      <w:u w:val="none"/>
    </w:rPr>
  </w:style>
  <w:style w:type="character" w:customStyle="1" w:styleId="113">
    <w:name w:val="纯文本 Char"/>
    <w:qFormat/>
    <w:uiPriority w:val="0"/>
    <w:rPr>
      <w:rFonts w:ascii="宋体" w:hAnsi="Courier New" w:eastAsia="宋体" w:cs="Courier New"/>
      <w:kern w:val="2"/>
      <w:sz w:val="21"/>
      <w:szCs w:val="21"/>
      <w:lang w:val="en-US" w:eastAsia="zh-CN" w:bidi="ar-SA"/>
    </w:rPr>
  </w:style>
  <w:style w:type="character" w:customStyle="1" w:styleId="114">
    <w:name w:val="正文缩进1 Char1"/>
    <w:qFormat/>
    <w:locked/>
    <w:uiPriority w:val="0"/>
    <w:rPr>
      <w:rFonts w:eastAsia="宋体"/>
      <w:sz w:val="21"/>
      <w:lang w:val="en-US" w:eastAsia="zh-CN" w:bidi="ar-SA"/>
    </w:rPr>
  </w:style>
  <w:style w:type="character" w:customStyle="1" w:styleId="115">
    <w:name w:val="font11"/>
    <w:basedOn w:val="77"/>
    <w:qFormat/>
    <w:uiPriority w:val="0"/>
    <w:rPr>
      <w:rFonts w:hint="eastAsia" w:ascii="宋体" w:hAnsi="宋体" w:eastAsia="宋体" w:cs="宋体"/>
      <w:color w:val="000000"/>
      <w:sz w:val="20"/>
      <w:szCs w:val="20"/>
      <w:u w:val="none"/>
    </w:rPr>
  </w:style>
  <w:style w:type="character" w:customStyle="1" w:styleId="116">
    <w:name w:val="Default Text Char Char"/>
    <w:link w:val="117"/>
    <w:qFormat/>
    <w:uiPriority w:val="0"/>
    <w:rPr>
      <w:rFonts w:ascii="Times New Roman" w:hAnsi="Times New Roman"/>
      <w:color w:val="000000"/>
      <w:sz w:val="24"/>
      <w:szCs w:val="24"/>
    </w:rPr>
  </w:style>
  <w:style w:type="paragraph" w:customStyle="1" w:styleId="117">
    <w:name w:val="Default Text"/>
    <w:link w:val="11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8">
    <w:name w:val="样式 首行缩进:  2 字符"/>
    <w:basedOn w:val="1"/>
    <w:qFormat/>
    <w:uiPriority w:val="0"/>
    <w:pPr>
      <w:spacing w:line="400" w:lineRule="exact"/>
      <w:ind w:firstLine="200" w:firstLineChars="200"/>
    </w:pPr>
    <w:rPr>
      <w:rFonts w:cs="宋体"/>
      <w:sz w:val="24"/>
      <w:szCs w:val="24"/>
    </w:rPr>
  </w:style>
  <w:style w:type="paragraph" w:customStyle="1" w:styleId="119">
    <w:name w:val="Char Char1 Char"/>
    <w:basedOn w:val="1"/>
    <w:qFormat/>
    <w:uiPriority w:val="0"/>
  </w:style>
  <w:style w:type="paragraph" w:customStyle="1" w:styleId="120">
    <w:name w:val="图例"/>
    <w:basedOn w:val="1"/>
    <w:qFormat/>
    <w:uiPriority w:val="0"/>
    <w:pPr>
      <w:spacing w:before="120" w:after="120" w:line="360" w:lineRule="auto"/>
      <w:jc w:val="center"/>
    </w:pPr>
    <w:rPr>
      <w:rFonts w:eastAsia="仿宋_GB2312"/>
      <w:b/>
      <w:sz w:val="24"/>
      <w:szCs w:val="20"/>
    </w:rPr>
  </w:style>
  <w:style w:type="paragraph" w:customStyle="1" w:styleId="121">
    <w:name w:val="标题1"/>
    <w:basedOn w:val="1"/>
    <w:qFormat/>
    <w:uiPriority w:val="0"/>
    <w:pPr>
      <w:widowControl/>
      <w:jc w:val="center"/>
    </w:pPr>
    <w:rPr>
      <w:rFonts w:ascii="黑体" w:eastAsia="黑体"/>
      <w:b/>
      <w:kern w:val="0"/>
      <w:sz w:val="44"/>
      <w:szCs w:val="20"/>
    </w:rPr>
  </w:style>
  <w:style w:type="paragraph" w:customStyle="1" w:styleId="122">
    <w:name w:val="Char Char Char"/>
    <w:basedOn w:val="1"/>
    <w:qFormat/>
    <w:uiPriority w:val="0"/>
    <w:rPr>
      <w:rFonts w:ascii="Tahoma" w:hAnsi="Tahoma"/>
      <w:sz w:val="24"/>
      <w:szCs w:val="20"/>
    </w:rPr>
  </w:style>
  <w:style w:type="paragraph" w:customStyle="1" w:styleId="123">
    <w:name w:val="p0"/>
    <w:basedOn w:val="1"/>
    <w:qFormat/>
    <w:uiPriority w:val="0"/>
    <w:pPr>
      <w:widowControl/>
    </w:pPr>
    <w:rPr>
      <w:kern w:val="0"/>
      <w:szCs w:val="21"/>
    </w:rPr>
  </w:style>
  <w:style w:type="paragraph" w:customStyle="1" w:styleId="124">
    <w:name w:val="Body Text Keep"/>
    <w:basedOn w:val="8"/>
    <w:qFormat/>
    <w:uiPriority w:val="0"/>
    <w:pPr>
      <w:keepNext/>
      <w:widowControl/>
      <w:overflowPunct w:val="0"/>
      <w:autoSpaceDE w:val="0"/>
      <w:autoSpaceDN w:val="0"/>
      <w:spacing w:after="240" w:line="240" w:lineRule="atLeast"/>
      <w:ind w:firstLine="360"/>
      <w:textAlignment w:val="baseline"/>
    </w:pPr>
    <w:rPr>
      <w:rFonts w:ascii="Garamond" w:hAnsi="Garamond"/>
      <w:kern w:val="18"/>
      <w:sz w:val="20"/>
    </w:rPr>
  </w:style>
  <w:style w:type="paragraph" w:customStyle="1" w:styleId="125">
    <w:name w:val="Char Char15 Char Char"/>
    <w:basedOn w:val="1"/>
    <w:qFormat/>
    <w:uiPriority w:val="0"/>
    <w:pPr>
      <w:spacing w:line="240" w:lineRule="auto"/>
      <w:ind w:left="0" w:right="0" w:firstLine="0" w:firstLineChars="0"/>
    </w:pPr>
    <w:rPr>
      <w:szCs w:val="20"/>
    </w:rPr>
  </w:style>
  <w:style w:type="paragraph" w:customStyle="1" w:styleId="126">
    <w:name w:val="WPSOffice手动目录 1"/>
    <w:qFormat/>
    <w:uiPriority w:val="0"/>
    <w:pPr>
      <w:ind w:leftChars="0"/>
    </w:pPr>
    <w:rPr>
      <w:rFonts w:ascii="Times New Roman" w:hAnsi="Times New Roman" w:eastAsia="宋体" w:cs="Times New Roman"/>
      <w:sz w:val="20"/>
      <w:szCs w:val="20"/>
    </w:rPr>
  </w:style>
  <w:style w:type="paragraph" w:customStyle="1" w:styleId="127">
    <w:name w:val="Header Even"/>
    <w:basedOn w:val="55"/>
    <w:qFormat/>
    <w:uiPriority w:val="0"/>
    <w:pPr>
      <w:keepLines/>
      <w:widowControl/>
      <w:pBdr>
        <w:bottom w:val="none" w:color="auto" w:sz="0" w:space="0"/>
      </w:pBdr>
      <w:tabs>
        <w:tab w:val="center" w:pos="4320"/>
        <w:tab w:val="right" w:pos="8640"/>
        <w:tab w:val="clear" w:pos="4153"/>
        <w:tab w:val="clear" w:pos="8306"/>
      </w:tabs>
      <w:overflowPunct w:val="0"/>
      <w:autoSpaceDE w:val="0"/>
      <w:autoSpaceDN w:val="0"/>
      <w:adjustRightInd w:val="0"/>
      <w:snapToGrid/>
      <w:spacing w:after="660" w:line="240" w:lineRule="atLeast"/>
      <w:jc w:val="left"/>
      <w:textAlignment w:val="baseline"/>
    </w:pPr>
    <w:rPr>
      <w:rFonts w:ascii="Garamond" w:hAnsi="Garamond"/>
      <w:smallCaps/>
      <w:kern w:val="18"/>
      <w:sz w:val="20"/>
      <w:szCs w:val="20"/>
    </w:rPr>
  </w:style>
  <w:style w:type="paragraph" w:customStyle="1" w:styleId="128">
    <w:name w:val="Subject Line"/>
    <w:basedOn w:val="8"/>
    <w:next w:val="8"/>
    <w:qFormat/>
    <w:uiPriority w:val="0"/>
    <w:pPr>
      <w:widowControl/>
      <w:overflowPunct w:val="0"/>
      <w:autoSpaceDE w:val="0"/>
      <w:autoSpaceDN w:val="0"/>
      <w:spacing w:after="180" w:line="240" w:lineRule="atLeast"/>
      <w:ind w:left="360" w:hanging="360"/>
      <w:jc w:val="left"/>
      <w:textAlignment w:val="baseline"/>
    </w:pPr>
    <w:rPr>
      <w:rFonts w:ascii="Garamond" w:hAnsi="Garamond"/>
      <w:caps/>
      <w:kern w:val="18"/>
      <w:sz w:val="21"/>
    </w:rPr>
  </w:style>
  <w:style w:type="paragraph" w:customStyle="1" w:styleId="12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30">
    <w:name w:val="Inside Address"/>
    <w:basedOn w:val="8"/>
    <w:qFormat/>
    <w:uiPriority w:val="0"/>
    <w:pPr>
      <w:widowControl/>
      <w:overflowPunct w:val="0"/>
      <w:autoSpaceDE w:val="0"/>
      <w:autoSpaceDN w:val="0"/>
      <w:spacing w:after="0" w:line="240" w:lineRule="atLeast"/>
      <w:jc w:val="left"/>
      <w:textAlignment w:val="baseline"/>
    </w:pPr>
    <w:rPr>
      <w:rFonts w:ascii="Garamond" w:hAnsi="Garamond"/>
      <w:kern w:val="18"/>
      <w:sz w:val="20"/>
    </w:rPr>
  </w:style>
  <w:style w:type="paragraph" w:customStyle="1" w:styleId="131">
    <w:name w:val="Char Char3"/>
    <w:basedOn w:val="1"/>
    <w:qFormat/>
    <w:uiPriority w:val="0"/>
  </w:style>
  <w:style w:type="paragraph" w:customStyle="1" w:styleId="132">
    <w:name w:val="默认段落字体 Para Char Char Char Char Char Char Char"/>
    <w:basedOn w:val="1"/>
    <w:qFormat/>
    <w:uiPriority w:val="0"/>
    <w:rPr>
      <w:rFonts w:ascii="Tahoma" w:hAnsi="Tahoma"/>
      <w:sz w:val="24"/>
      <w:szCs w:val="20"/>
    </w:rPr>
  </w:style>
  <w:style w:type="paragraph" w:customStyle="1" w:styleId="133">
    <w:name w:val="Company Name"/>
    <w:basedOn w:val="8"/>
    <w:next w:val="8"/>
    <w:qFormat/>
    <w:uiPriority w:val="0"/>
    <w:pPr>
      <w:keepLines/>
      <w:framePr w:w="8640" w:h="1440" w:wrap="notBeside" w:vAnchor="page" w:hAnchor="margin" w:xAlign="center" w:y="889"/>
      <w:widowControl/>
      <w:overflowPunct w:val="0"/>
      <w:autoSpaceDE w:val="0"/>
      <w:autoSpaceDN w:val="0"/>
      <w:spacing w:after="40" w:line="240" w:lineRule="atLeast"/>
      <w:jc w:val="center"/>
      <w:textAlignment w:val="baseline"/>
    </w:pPr>
    <w:rPr>
      <w:rFonts w:ascii="Garamond" w:hAnsi="Garamond"/>
      <w:caps/>
      <w:spacing w:val="75"/>
      <w:kern w:val="18"/>
      <w:sz w:val="21"/>
    </w:rPr>
  </w:style>
  <w:style w:type="paragraph" w:customStyle="1" w:styleId="134">
    <w:name w:val="xl31"/>
    <w:basedOn w:val="1"/>
    <w:qFormat/>
    <w:uiPriority w:val="0"/>
    <w:pPr>
      <w:widowControl/>
      <w:spacing w:before="100" w:beforeAutospacing="1" w:after="100" w:afterAutospacing="1"/>
      <w:jc w:val="center"/>
    </w:pPr>
    <w:rPr>
      <w:kern w:val="0"/>
      <w:sz w:val="36"/>
      <w:szCs w:val="36"/>
    </w:rPr>
  </w:style>
  <w:style w:type="paragraph" w:customStyle="1" w:styleId="135">
    <w:name w:val="Char1"/>
    <w:basedOn w:val="1"/>
    <w:qFormat/>
    <w:uiPriority w:val="0"/>
    <w:rPr>
      <w:rFonts w:ascii="Tahoma" w:hAnsi="Tahoma"/>
      <w:sz w:val="24"/>
      <w:szCs w:val="20"/>
    </w:rPr>
  </w:style>
  <w:style w:type="paragraph" w:customStyle="1" w:styleId="136">
    <w:name w:val="Header Odd"/>
    <w:basedOn w:val="55"/>
    <w:qFormat/>
    <w:uiPriority w:val="0"/>
    <w:pPr>
      <w:keepLines/>
      <w:widowControl/>
      <w:pBdr>
        <w:bottom w:val="none" w:color="auto" w:sz="0" w:space="0"/>
      </w:pBdr>
      <w:tabs>
        <w:tab w:val="center" w:pos="4320"/>
        <w:tab w:val="right" w:pos="8640"/>
        <w:tab w:val="clear" w:pos="4153"/>
        <w:tab w:val="clear" w:pos="8306"/>
      </w:tabs>
      <w:overflowPunct w:val="0"/>
      <w:autoSpaceDE w:val="0"/>
      <w:autoSpaceDN w:val="0"/>
      <w:adjustRightInd w:val="0"/>
      <w:snapToGrid/>
      <w:spacing w:after="660" w:line="240" w:lineRule="atLeast"/>
      <w:jc w:val="left"/>
      <w:textAlignment w:val="baseline"/>
    </w:pPr>
    <w:rPr>
      <w:rFonts w:ascii="Garamond" w:hAnsi="Garamond"/>
      <w:smallCaps/>
      <w:kern w:val="18"/>
      <w:sz w:val="20"/>
      <w:szCs w:val="20"/>
    </w:rPr>
  </w:style>
  <w:style w:type="paragraph" w:customStyle="1" w:styleId="137">
    <w:name w:val="Header Base"/>
    <w:basedOn w:val="8"/>
    <w:qFormat/>
    <w:uiPriority w:val="0"/>
    <w:pPr>
      <w:keepLines/>
      <w:widowControl/>
      <w:tabs>
        <w:tab w:val="center" w:pos="4320"/>
        <w:tab w:val="right" w:pos="8640"/>
      </w:tabs>
      <w:overflowPunct w:val="0"/>
      <w:autoSpaceDE w:val="0"/>
      <w:autoSpaceDN w:val="0"/>
      <w:spacing w:after="0" w:line="240" w:lineRule="atLeast"/>
      <w:jc w:val="left"/>
      <w:textAlignment w:val="baseline"/>
    </w:pPr>
    <w:rPr>
      <w:rFonts w:ascii="Garamond" w:hAnsi="Garamond"/>
      <w:kern w:val="18"/>
      <w:sz w:val="20"/>
    </w:rPr>
  </w:style>
  <w:style w:type="paragraph" w:customStyle="1" w:styleId="138">
    <w:name w:val="正文格式"/>
    <w:basedOn w:val="1"/>
    <w:qFormat/>
    <w:uiPriority w:val="0"/>
    <w:pPr>
      <w:ind w:firstLine="420" w:firstLineChars="200"/>
    </w:pPr>
    <w:rPr>
      <w:sz w:val="28"/>
      <w:szCs w:val="20"/>
    </w:rPr>
  </w:style>
  <w:style w:type="paragraph" w:customStyle="1" w:styleId="139">
    <w:name w:val="Picture"/>
    <w:basedOn w:val="1"/>
    <w:next w:val="21"/>
    <w:qFormat/>
    <w:uiPriority w:val="0"/>
    <w:pPr>
      <w:keepNext/>
      <w:widowControl/>
      <w:overflowPunct w:val="0"/>
      <w:autoSpaceDE w:val="0"/>
      <w:autoSpaceDN w:val="0"/>
      <w:adjustRightInd w:val="0"/>
      <w:textAlignment w:val="baseline"/>
    </w:pPr>
    <w:rPr>
      <w:rFonts w:ascii="Garamond" w:hAnsi="Garamond"/>
      <w:kern w:val="18"/>
      <w:sz w:val="20"/>
      <w:szCs w:val="20"/>
    </w:rPr>
  </w:style>
  <w:style w:type="paragraph" w:customStyle="1" w:styleId="140">
    <w:name w:val="题注5"/>
    <w:basedOn w:val="1"/>
    <w:next w:val="21"/>
    <w:qFormat/>
    <w:uiPriority w:val="0"/>
    <w:pPr>
      <w:numPr>
        <w:ilvl w:val="0"/>
        <w:numId w:val="3"/>
      </w:numPr>
      <w:tabs>
        <w:tab w:val="left" w:pos="540"/>
        <w:tab w:val="clear" w:pos="420"/>
      </w:tabs>
      <w:ind w:left="540" w:right="0" w:hanging="540" w:hangingChars="225"/>
    </w:pPr>
    <w:rPr>
      <w:rFonts w:ascii="宋体" w:hAnsi="宋体"/>
      <w:color w:val="000000"/>
      <w:sz w:val="24"/>
    </w:rPr>
  </w:style>
  <w:style w:type="paragraph" w:customStyle="1" w:styleId="141">
    <w:name w:val="_Style 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Footnote Base"/>
    <w:basedOn w:val="8"/>
    <w:qFormat/>
    <w:uiPriority w:val="0"/>
    <w:pPr>
      <w:keepLines/>
      <w:widowControl/>
      <w:overflowPunct w:val="0"/>
      <w:autoSpaceDE w:val="0"/>
      <w:autoSpaceDN w:val="0"/>
      <w:spacing w:after="240" w:line="240" w:lineRule="atLeast"/>
      <w:textAlignment w:val="baseline"/>
    </w:pPr>
    <w:rPr>
      <w:rFonts w:ascii="Garamond" w:hAnsi="Garamond"/>
      <w:kern w:val="18"/>
      <w:sz w:val="16"/>
    </w:rPr>
  </w:style>
  <w:style w:type="paragraph" w:customStyle="1" w:styleId="143">
    <w:name w:val="Char1 Char Char Char Char"/>
    <w:basedOn w:val="1"/>
    <w:qFormat/>
    <w:uiPriority w:val="0"/>
  </w:style>
  <w:style w:type="paragraph" w:customStyle="1" w:styleId="144">
    <w:name w:val="缺省文本"/>
    <w:qFormat/>
    <w:uiPriority w:val="0"/>
    <w:pPr>
      <w:widowControl w:val="0"/>
      <w:autoSpaceDE w:val="0"/>
      <w:autoSpaceDN w:val="0"/>
      <w:adjustRightInd w:val="0"/>
    </w:pPr>
    <w:rPr>
      <w:rFonts w:ascii="Calibri" w:hAnsi="Calibri" w:eastAsia="宋体" w:cs="Times New Roman"/>
      <w:color w:val="000000"/>
      <w:sz w:val="24"/>
      <w:lang w:val="en-US" w:eastAsia="zh-CN" w:bidi="ar-SA"/>
    </w:rPr>
  </w:style>
  <w:style w:type="paragraph" w:customStyle="1" w:styleId="145">
    <w:name w:val="样式1"/>
    <w:basedOn w:val="1"/>
    <w:qFormat/>
    <w:uiPriority w:val="0"/>
    <w:pPr>
      <w:tabs>
        <w:tab w:val="left" w:pos="709"/>
      </w:tabs>
      <w:spacing w:line="240" w:lineRule="auto"/>
      <w:ind w:left="709" w:hanging="709"/>
    </w:pPr>
    <w:rPr>
      <w:rFonts w:ascii="宋体" w:hAnsi="宋体"/>
      <w:szCs w:val="21"/>
    </w:rPr>
  </w:style>
  <w:style w:type="paragraph" w:customStyle="1" w:styleId="146">
    <w:name w:val="标题 3 + 宋体"/>
    <w:basedOn w:val="3"/>
    <w:qFormat/>
    <w:uiPriority w:val="0"/>
    <w:pPr>
      <w:spacing w:beforeLines="50" w:afterLines="50" w:line="416" w:lineRule="auto"/>
      <w:jc w:val="both"/>
    </w:pPr>
    <w:rPr>
      <w:rFonts w:ascii="宋体" w:hAnsi="宋体" w:cs="Arial"/>
      <w:kern w:val="0"/>
      <w:sz w:val="28"/>
    </w:rPr>
  </w:style>
  <w:style w:type="paragraph" w:customStyle="1" w:styleId="147">
    <w:name w:val="子标题"/>
    <w:basedOn w:val="1"/>
    <w:qFormat/>
    <w:uiPriority w:val="0"/>
    <w:pPr>
      <w:ind w:firstLine="200" w:firstLineChars="200"/>
      <w:jc w:val="center"/>
    </w:pPr>
    <w:rPr>
      <w:rFonts w:eastAsia="新宋体"/>
      <w:sz w:val="28"/>
    </w:rPr>
  </w:style>
  <w:style w:type="paragraph" w:customStyle="1" w:styleId="148">
    <w:name w:val="Header First"/>
    <w:basedOn w:val="55"/>
    <w:qFormat/>
    <w:uiPriority w:val="0"/>
    <w:pPr>
      <w:keepLines/>
      <w:widowControl/>
      <w:pBdr>
        <w:bottom w:val="none" w:color="auto" w:sz="0" w:space="0"/>
      </w:pBdr>
      <w:tabs>
        <w:tab w:val="center" w:pos="4320"/>
        <w:tab w:val="right" w:pos="8640"/>
        <w:tab w:val="clear" w:pos="4153"/>
        <w:tab w:val="clear" w:pos="8306"/>
      </w:tabs>
      <w:overflowPunct w:val="0"/>
      <w:autoSpaceDE w:val="0"/>
      <w:autoSpaceDN w:val="0"/>
      <w:adjustRightInd w:val="0"/>
      <w:snapToGrid/>
      <w:spacing w:after="880" w:line="240" w:lineRule="atLeast"/>
      <w:jc w:val="left"/>
      <w:textAlignment w:val="baseline"/>
    </w:pPr>
    <w:rPr>
      <w:rFonts w:ascii="Garamond" w:hAnsi="Garamond"/>
      <w:smallCaps/>
      <w:kern w:val="18"/>
      <w:sz w:val="20"/>
      <w:szCs w:val="20"/>
    </w:rPr>
  </w:style>
  <w:style w:type="paragraph" w:customStyle="1" w:styleId="149">
    <w:name w:val="列出段落21"/>
    <w:basedOn w:val="1"/>
    <w:qFormat/>
    <w:uiPriority w:val="0"/>
    <w:pPr>
      <w:spacing w:line="240" w:lineRule="auto"/>
      <w:ind w:left="0" w:right="0" w:firstLine="420" w:firstLineChars="200"/>
    </w:pPr>
    <w:rPr>
      <w:rFonts w:ascii="Calibri" w:hAnsi="Calibri"/>
      <w:szCs w:val="21"/>
    </w:rPr>
  </w:style>
  <w:style w:type="paragraph" w:customStyle="1" w:styleId="150">
    <w:name w:val="_Style 35"/>
    <w:basedOn w:val="1"/>
    <w:qFormat/>
    <w:uiPriority w:val="0"/>
    <w:pPr>
      <w:widowControl/>
      <w:spacing w:after="160" w:line="240" w:lineRule="exact"/>
      <w:jc w:val="left"/>
    </w:pPr>
    <w:rPr>
      <w:szCs w:val="20"/>
    </w:rPr>
  </w:style>
  <w:style w:type="paragraph" w:customStyle="1" w:styleId="151">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152">
    <w:name w:val="Char Char7"/>
    <w:basedOn w:val="1"/>
    <w:qFormat/>
    <w:uiPriority w:val="0"/>
    <w:pPr>
      <w:spacing w:line="240" w:lineRule="auto"/>
      <w:ind w:left="0" w:right="0" w:firstLine="0" w:firstLineChars="0"/>
    </w:pPr>
  </w:style>
  <w:style w:type="paragraph" w:customStyle="1" w:styleId="15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4">
    <w:name w:val="Attention Line"/>
    <w:basedOn w:val="1"/>
    <w:next w:val="26"/>
    <w:qFormat/>
    <w:uiPriority w:val="0"/>
    <w:pPr>
      <w:widowControl/>
      <w:spacing w:before="220"/>
      <w:ind w:left="840" w:right="-360"/>
      <w:jc w:val="left"/>
    </w:pPr>
    <w:rPr>
      <w:rFonts w:eastAsia="Times New Roman"/>
      <w:kern w:val="0"/>
      <w:sz w:val="20"/>
      <w:szCs w:val="20"/>
      <w:lang w:eastAsia="en-US"/>
    </w:rPr>
  </w:style>
  <w:style w:type="paragraph" w:customStyle="1" w:styleId="155">
    <w:name w:val="Char2"/>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56">
    <w:name w:val="WPSOffice手动目录 3"/>
    <w:qFormat/>
    <w:uiPriority w:val="0"/>
    <w:pPr>
      <w:ind w:leftChars="400"/>
    </w:pPr>
    <w:rPr>
      <w:rFonts w:ascii="Times New Roman" w:hAnsi="Times New Roman" w:eastAsia="宋体" w:cs="Times New Roman"/>
      <w:sz w:val="20"/>
      <w:szCs w:val="20"/>
    </w:rPr>
  </w:style>
  <w:style w:type="paragraph" w:customStyle="1" w:styleId="157">
    <w:name w:val="Block Quotation"/>
    <w:basedOn w:val="8"/>
    <w:qFormat/>
    <w:uiPriority w:val="0"/>
    <w:pPr>
      <w:keepLines/>
      <w:widowControl/>
      <w:overflowPunct w:val="0"/>
      <w:autoSpaceDE w:val="0"/>
      <w:autoSpaceDN w:val="0"/>
      <w:spacing w:after="240" w:line="240" w:lineRule="atLeast"/>
      <w:ind w:left="720" w:right="720" w:firstLine="360"/>
      <w:textAlignment w:val="baseline"/>
    </w:pPr>
    <w:rPr>
      <w:rFonts w:ascii="Garamond" w:hAnsi="Garamond"/>
      <w:kern w:val="18"/>
      <w:sz w:val="20"/>
    </w:rPr>
  </w:style>
  <w:style w:type="paragraph" w:customStyle="1" w:styleId="158">
    <w:name w:val="样式 左侧:  0.74 厘米"/>
    <w:basedOn w:val="1"/>
    <w:qFormat/>
    <w:uiPriority w:val="0"/>
    <w:pPr>
      <w:spacing w:line="360" w:lineRule="auto"/>
      <w:ind w:left="620" w:hanging="200" w:hangingChars="200"/>
    </w:pPr>
    <w:rPr>
      <w:rFonts w:ascii="Times New Roman" w:hAnsi="Times New Roman"/>
      <w:kern w:val="0"/>
      <w:sz w:val="20"/>
      <w:szCs w:val="20"/>
    </w:rPr>
  </w:style>
  <w:style w:type="paragraph" w:customStyle="1" w:styleId="159">
    <w:name w:val="Char1 Char Char Char Char2"/>
    <w:basedOn w:val="1"/>
    <w:qFormat/>
    <w:uiPriority w:val="0"/>
    <w:pPr>
      <w:spacing w:line="240" w:lineRule="auto"/>
      <w:ind w:left="0" w:right="0" w:firstLine="0" w:firstLineChars="0"/>
    </w:pPr>
    <w:rPr>
      <w:szCs w:val="20"/>
    </w:rPr>
  </w:style>
  <w:style w:type="paragraph" w:customStyle="1" w:styleId="160">
    <w:name w:val="正文1"/>
    <w:basedOn w:val="1"/>
    <w:qFormat/>
    <w:uiPriority w:val="0"/>
    <w:pPr>
      <w:spacing w:after="120" w:line="360" w:lineRule="auto"/>
      <w:ind w:firstLine="425"/>
    </w:pPr>
    <w:rPr>
      <w:rFonts w:ascii="Arial" w:hAnsi="Arial"/>
      <w:spacing w:val="8"/>
      <w:sz w:val="24"/>
      <w:szCs w:val="20"/>
    </w:rPr>
  </w:style>
  <w:style w:type="paragraph" w:customStyle="1" w:styleId="161">
    <w:name w:val="Char Char Char Char Char Char1"/>
    <w:basedOn w:val="1"/>
    <w:qFormat/>
    <w:uiPriority w:val="0"/>
    <w:rPr>
      <w:rFonts w:ascii="Tahoma" w:hAnsi="Tahoma"/>
      <w:sz w:val="24"/>
      <w:szCs w:val="20"/>
    </w:rPr>
  </w:style>
  <w:style w:type="paragraph" w:customStyle="1" w:styleId="162">
    <w:name w:val="Char Char Char1"/>
    <w:basedOn w:val="1"/>
    <w:qFormat/>
    <w:uiPriority w:val="0"/>
    <w:rPr>
      <w:rFonts w:ascii="Tahoma" w:hAnsi="Tahoma"/>
      <w:sz w:val="24"/>
      <w:szCs w:val="20"/>
    </w:rPr>
  </w:style>
  <w:style w:type="paragraph" w:customStyle="1" w:styleId="163">
    <w:name w:val="题注4"/>
    <w:basedOn w:val="1"/>
    <w:next w:val="21"/>
    <w:qFormat/>
    <w:uiPriority w:val="0"/>
    <w:pPr>
      <w:ind w:left="-132" w:leftChars="-64" w:right="-50" w:rightChars="-50" w:hanging="2"/>
      <w:jc w:val="center"/>
    </w:pPr>
    <w:rPr>
      <w:b/>
      <w:color w:val="FF0000"/>
    </w:rPr>
  </w:style>
  <w:style w:type="paragraph" w:customStyle="1" w:styleId="164">
    <w:name w:val="BodyText"/>
    <w:basedOn w:val="1"/>
    <w:qFormat/>
    <w:uiPriority w:val="0"/>
    <w:pPr>
      <w:tabs>
        <w:tab w:val="left" w:pos="9214"/>
      </w:tabs>
      <w:spacing w:after="120" w:line="400" w:lineRule="atLeast"/>
      <w:ind w:right="-58" w:firstLine="600"/>
      <w:textAlignment w:val="bottom"/>
    </w:pPr>
    <w:rPr>
      <w:rFonts w:ascii="宋体"/>
      <w:kern w:val="0"/>
      <w:sz w:val="24"/>
      <w:szCs w:val="20"/>
    </w:rPr>
  </w:style>
  <w:style w:type="paragraph" w:customStyle="1" w:styleId="165">
    <w:name w:val="Char Char1 Char Char Char Char Char Char Char Char Char Char"/>
    <w:basedOn w:val="1"/>
    <w:qFormat/>
    <w:uiPriority w:val="0"/>
    <w:rPr>
      <w:rFonts w:ascii="Tahoma" w:hAnsi="Tahoma"/>
      <w:sz w:val="24"/>
      <w:szCs w:val="20"/>
    </w:rPr>
  </w:style>
  <w:style w:type="paragraph" w:customStyle="1" w:styleId="166">
    <w:name w:val="Body text|1"/>
    <w:basedOn w:val="1"/>
    <w:qFormat/>
    <w:uiPriority w:val="0"/>
    <w:pPr>
      <w:widowControl w:val="0"/>
      <w:shd w:val="clear" w:color="auto" w:fill="auto"/>
      <w:spacing w:line="473" w:lineRule="auto"/>
      <w:ind w:firstLine="360"/>
    </w:pPr>
    <w:rPr>
      <w:rFonts w:ascii="宋体" w:hAnsi="宋体" w:eastAsia="宋体" w:cs="宋体"/>
      <w:sz w:val="19"/>
      <w:szCs w:val="19"/>
      <w:u w:val="none"/>
      <w:shd w:val="clear" w:color="auto" w:fill="auto"/>
      <w:lang w:val="zh-TW" w:eastAsia="zh-TW" w:bidi="zh-TW"/>
    </w:rPr>
  </w:style>
  <w:style w:type="paragraph" w:customStyle="1" w:styleId="167">
    <w:name w:val="Return Address"/>
    <w:qFormat/>
    <w:uiPriority w:val="0"/>
    <w:pPr>
      <w:tabs>
        <w:tab w:val="left" w:pos="2160"/>
      </w:tabs>
      <w:overflowPunct w:val="0"/>
      <w:autoSpaceDE w:val="0"/>
      <w:autoSpaceDN w:val="0"/>
      <w:adjustRightInd w:val="0"/>
      <w:spacing w:line="240" w:lineRule="atLeast"/>
      <w:ind w:left="50" w:right="-240" w:hanging="50" w:hangingChars="50"/>
      <w:jc w:val="center"/>
      <w:textAlignment w:val="baseline"/>
    </w:pPr>
    <w:rPr>
      <w:rFonts w:ascii="Garamond" w:hAnsi="Garamond" w:eastAsia="宋体" w:cs="Times New Roman"/>
      <w:caps/>
      <w:spacing w:val="30"/>
      <w:sz w:val="14"/>
      <w:lang w:val="en-US" w:eastAsia="zh-CN" w:bidi="ar-SA"/>
    </w:rPr>
  </w:style>
  <w:style w:type="paragraph" w:styleId="168">
    <w:name w:val="List Paragraph"/>
    <w:basedOn w:val="1"/>
    <w:unhideWhenUsed/>
    <w:qFormat/>
    <w:uiPriority w:val="99"/>
    <w:pPr>
      <w:ind w:firstLine="420" w:firstLineChars="200"/>
    </w:pPr>
  </w:style>
  <w:style w:type="paragraph" w:customStyle="1" w:styleId="169">
    <w:name w:val="表格文字"/>
    <w:basedOn w:val="1"/>
    <w:qFormat/>
    <w:uiPriority w:val="0"/>
    <w:pPr>
      <w:spacing w:before="25" w:after="25" w:line="300" w:lineRule="auto"/>
    </w:pPr>
    <w:rPr>
      <w:rFonts w:ascii="Times" w:hAnsi="Times"/>
      <w:spacing w:val="10"/>
      <w:kern w:val="0"/>
      <w:sz w:val="24"/>
      <w:szCs w:val="20"/>
    </w:rPr>
  </w:style>
  <w:style w:type="paragraph" w:customStyle="1" w:styleId="170">
    <w:name w:val="Char1 Char Char Char Char1"/>
    <w:basedOn w:val="1"/>
    <w:qFormat/>
    <w:uiPriority w:val="0"/>
    <w:pPr>
      <w:widowControl/>
      <w:spacing w:after="160" w:line="240" w:lineRule="exact"/>
      <w:jc w:val="left"/>
    </w:pPr>
    <w:rPr>
      <w:szCs w:val="20"/>
    </w:rPr>
  </w:style>
  <w:style w:type="paragraph" w:customStyle="1" w:styleId="171">
    <w:name w:val="Char1 Char Char Char1"/>
    <w:basedOn w:val="1"/>
    <w:qFormat/>
    <w:uiPriority w:val="0"/>
    <w:pPr>
      <w:widowControl/>
      <w:spacing w:after="160" w:line="240" w:lineRule="exact"/>
      <w:jc w:val="left"/>
    </w:pPr>
    <w:rPr>
      <w:rFonts w:ascii="Verdana" w:hAnsi="Verdana" w:eastAsia="仿宋_GB2312"/>
      <w:kern w:val="0"/>
      <w:sz w:val="28"/>
      <w:szCs w:val="20"/>
      <w:lang w:eastAsia="en-US"/>
    </w:rPr>
  </w:style>
  <w:style w:type="paragraph" w:customStyle="1" w:styleId="172">
    <w:name w:val="Char Char Char Char Char Char"/>
    <w:basedOn w:val="1"/>
    <w:qFormat/>
    <w:uiPriority w:val="0"/>
    <w:rPr>
      <w:rFonts w:ascii="Tahoma" w:hAnsi="Tahoma"/>
      <w:sz w:val="24"/>
      <w:szCs w:val="20"/>
    </w:rPr>
  </w:style>
  <w:style w:type="paragraph" w:customStyle="1" w:styleId="173">
    <w:name w:val="Char1 Char Char"/>
    <w:basedOn w:val="1"/>
    <w:qFormat/>
    <w:uiPriority w:val="0"/>
    <w:pPr>
      <w:widowControl/>
      <w:spacing w:after="160" w:line="240" w:lineRule="exact"/>
      <w:ind w:left="0" w:right="0" w:firstLine="0" w:firstLineChars="0"/>
      <w:jc w:val="left"/>
    </w:pPr>
    <w:rPr>
      <w:szCs w:val="20"/>
    </w:rPr>
  </w:style>
  <w:style w:type="paragraph" w:customStyle="1" w:styleId="174">
    <w:name w:val="WPSOffice手动目录 2"/>
    <w:qFormat/>
    <w:uiPriority w:val="0"/>
    <w:pPr>
      <w:ind w:leftChars="200"/>
    </w:pPr>
    <w:rPr>
      <w:rFonts w:ascii="Times New Roman" w:hAnsi="Times New Roman" w:eastAsia="宋体" w:cs="Times New Roman"/>
      <w:sz w:val="20"/>
      <w:szCs w:val="20"/>
    </w:rPr>
  </w:style>
  <w:style w:type="paragraph" w:customStyle="1" w:styleId="175">
    <w:name w:val="Char Char Char Char"/>
    <w:basedOn w:val="1"/>
    <w:qFormat/>
    <w:uiPriority w:val="0"/>
    <w:rPr>
      <w:szCs w:val="20"/>
    </w:rPr>
  </w:style>
  <w:style w:type="paragraph" w:customStyle="1" w:styleId="176">
    <w:name w:val="Char1 Char Char Char Char3"/>
    <w:basedOn w:val="1"/>
    <w:qFormat/>
    <w:uiPriority w:val="0"/>
    <w:rPr>
      <w:szCs w:val="20"/>
    </w:rPr>
  </w:style>
  <w:style w:type="paragraph" w:customStyle="1" w:styleId="177">
    <w:name w:val="列出段落1"/>
    <w:basedOn w:val="1"/>
    <w:qFormat/>
    <w:uiPriority w:val="0"/>
    <w:pPr>
      <w:ind w:firstLine="420" w:firstLineChars="200"/>
    </w:pPr>
    <w:rPr>
      <w:rFonts w:ascii="Calibri" w:hAnsi="Calibri"/>
      <w:szCs w:val="22"/>
    </w:rPr>
  </w:style>
  <w:style w:type="paragraph" w:customStyle="1" w:styleId="178">
    <w:name w:val="Char Char8 Char Char"/>
    <w:basedOn w:val="1"/>
    <w:qFormat/>
    <w:uiPriority w:val="0"/>
    <w:pPr>
      <w:widowControl/>
      <w:spacing w:after="160" w:line="240" w:lineRule="exact"/>
      <w:jc w:val="left"/>
    </w:pPr>
    <w:rPr>
      <w:szCs w:val="20"/>
    </w:rPr>
  </w:style>
  <w:style w:type="paragraph" w:customStyle="1" w:styleId="179">
    <w:name w:val="Thyssen Standard"/>
    <w:basedOn w:val="1"/>
    <w:qFormat/>
    <w:uiPriority w:val="0"/>
    <w:pPr>
      <w:widowControl/>
      <w:spacing w:before="120" w:after="120" w:line="300" w:lineRule="atLeast"/>
    </w:pPr>
    <w:rPr>
      <w:rFonts w:ascii="TKTypeRegular" w:hAnsi="TKTypeRegular" w:eastAsia="Times New Roman"/>
      <w:kern w:val="0"/>
      <w:sz w:val="22"/>
      <w:szCs w:val="20"/>
      <w:lang w:eastAsia="en-US"/>
    </w:rPr>
  </w:style>
  <w:style w:type="paragraph" w:customStyle="1" w:styleId="180">
    <w:name w:val="Char"/>
    <w:basedOn w:val="1"/>
    <w:qFormat/>
    <w:uiPriority w:val="0"/>
    <w:rPr>
      <w:rFonts w:ascii="Tahoma" w:hAnsi="Tahoma"/>
      <w:sz w:val="24"/>
      <w:szCs w:val="20"/>
    </w:rPr>
  </w:style>
  <w:style w:type="paragraph" w:customStyle="1" w:styleId="181">
    <w:name w:val="WW-正文缩进"/>
    <w:basedOn w:val="1"/>
    <w:qFormat/>
    <w:uiPriority w:val="0"/>
    <w:pPr>
      <w:suppressAutoHyphens/>
      <w:autoSpaceDE w:val="0"/>
      <w:ind w:firstLine="420"/>
      <w:jc w:val="left"/>
      <w:textAlignment w:val="baseline"/>
    </w:pPr>
    <w:rPr>
      <w:rFonts w:ascii="宋体" w:hAnsi="宋体"/>
      <w:kern w:val="1"/>
      <w:sz w:val="34"/>
      <w:szCs w:val="20"/>
      <w:lang w:eastAsia="ar-SA"/>
    </w:rPr>
  </w:style>
  <w:style w:type="paragraph" w:customStyle="1" w:styleId="18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3">
    <w:name w:val="其他"/>
    <w:basedOn w:val="1"/>
    <w:qFormat/>
    <w:uiPriority w:val="0"/>
    <w:pPr>
      <w:widowControl w:val="0"/>
      <w:shd w:val="clear" w:color="auto" w:fill="FFFFFF"/>
    </w:pPr>
    <w:rPr>
      <w:rFonts w:ascii="新宋体" w:hAnsi="新宋体" w:eastAsia="新宋体" w:cs="新宋体"/>
      <w:sz w:val="30"/>
      <w:szCs w:val="30"/>
      <w:u w:val="none"/>
      <w:lang w:val="zh-CN" w:eastAsia="zh-CN" w:bidi="zh-CN"/>
    </w:rPr>
  </w:style>
  <w:style w:type="paragraph" w:customStyle="1" w:styleId="184">
    <w:name w:val="章节题目"/>
    <w:basedOn w:val="185"/>
    <w:next w:val="1"/>
    <w:unhideWhenUsed/>
    <w:qFormat/>
    <w:uiPriority w:val="0"/>
    <w:pPr>
      <w:spacing w:before="720" w:after="400" w:line="540" w:lineRule="atLeast"/>
      <w:ind w:right="2160"/>
    </w:pPr>
    <w:rPr>
      <w:rFonts w:hint="eastAsia" w:ascii="Times New Roman" w:hAnsi="Times New Roman" w:eastAsia="Times New Roman"/>
      <w:spacing w:val="-40"/>
      <w:sz w:val="60"/>
    </w:rPr>
  </w:style>
  <w:style w:type="paragraph" w:customStyle="1" w:styleId="185">
    <w:name w:val="基准标题"/>
    <w:basedOn w:val="1"/>
    <w:next w:val="8"/>
    <w:unhideWhenUsed/>
    <w:qFormat/>
    <w:uiPriority w:val="0"/>
    <w:pPr>
      <w:keepNext/>
      <w:keepLines/>
      <w:spacing w:before="140" w:line="220" w:lineRule="atLeast"/>
    </w:pPr>
    <w:rPr>
      <w:rFonts w:hint="default" w:ascii="Arial" w:hAnsi="Arial" w:eastAsia="宋体"/>
      <w:spacing w:val="-4"/>
      <w:kern w:val="28"/>
      <w:sz w:val="22"/>
    </w:rPr>
  </w:style>
  <w:style w:type="paragraph" w:customStyle="1" w:styleId="186">
    <w:name w:val="表格文字2"/>
    <w:basedOn w:val="160"/>
    <w:qFormat/>
    <w:uiPriority w:val="99"/>
    <w:pPr>
      <w:widowControl/>
      <w:spacing w:before="25" w:after="25" w:line="240" w:lineRule="auto"/>
      <w:ind w:firstLine="0"/>
      <w:jc w:val="left"/>
    </w:pPr>
    <w:rPr>
      <w:rFonts w:ascii="Times New Roman" w:hAnsi="Times New Roman"/>
      <w:bCs/>
      <w:spacing w:val="10"/>
      <w:kern w:val="0"/>
      <w:sz w:val="21"/>
      <w:szCs w:val="21"/>
    </w:rPr>
  </w:style>
  <w:style w:type="table" w:customStyle="1" w:styleId="187">
    <w:name w:val="Table Normal"/>
    <w:unhideWhenUsed/>
    <w:qFormat/>
    <w:uiPriority w:val="0"/>
    <w:tblPr>
      <w:tblCellMar>
        <w:top w:w="0" w:type="dxa"/>
        <w:left w:w="0" w:type="dxa"/>
        <w:bottom w:w="0" w:type="dxa"/>
        <w:right w:w="0" w:type="dxa"/>
      </w:tblCellMar>
    </w:tblPr>
  </w:style>
  <w:style w:type="paragraph" w:customStyle="1" w:styleId="188">
    <w:name w:val="Table Text"/>
    <w:basedOn w:val="1"/>
    <w:semiHidden/>
    <w:qFormat/>
    <w:uiPriority w:val="0"/>
    <w:rPr>
      <w:rFonts w:ascii="宋体" w:hAnsi="宋体" w:eastAsia="宋体" w:cs="宋体"/>
      <w:sz w:val="24"/>
      <w:szCs w:val="24"/>
      <w:lang w:val="en-US" w:eastAsia="en-US" w:bidi="ar-SA"/>
    </w:rPr>
  </w:style>
  <w:style w:type="paragraph" w:customStyle="1" w:styleId="189">
    <w:name w:val="Table Paragraph"/>
    <w:basedOn w:val="1"/>
    <w:qFormat/>
    <w:uiPriority w:val="1"/>
    <w:rPr>
      <w:rFonts w:ascii="宋体" w:hAnsi="宋体" w:eastAsia="宋体" w:cs="宋体"/>
      <w:lang w:val="zh-CN" w:eastAsia="zh-CN" w:bidi="zh-CN"/>
    </w:rPr>
  </w:style>
  <w:style w:type="paragraph" w:customStyle="1" w:styleId="19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91">
    <w:name w:val="正文_8_1"/>
    <w:qFormat/>
    <w:uiPriority w:val="0"/>
    <w:pPr>
      <w:widowControl w:val="0"/>
      <w:jc w:val="both"/>
    </w:pPr>
    <w:rPr>
      <w:rFonts w:ascii="Calibri" w:hAnsi="Calibri" w:eastAsia="宋体" w:cs="Times New Roman"/>
      <w:lang w:val="en-US" w:eastAsia="zh-CN" w:bidi="ar-SA"/>
    </w:rPr>
  </w:style>
  <w:style w:type="paragraph" w:customStyle="1" w:styleId="19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rPr>
  </w:style>
  <w:style w:type="character" w:customStyle="1" w:styleId="193">
    <w:name w:val="font31"/>
    <w:basedOn w:val="77"/>
    <w:qFormat/>
    <w:uiPriority w:val="0"/>
    <w:rPr>
      <w:rFonts w:hint="eastAsia" w:ascii="方正仿宋_GBK" w:hAnsi="方正仿宋_GBK" w:eastAsia="方正仿宋_GBK" w:cs="方正仿宋_GBK"/>
      <w:color w:val="000000"/>
      <w:sz w:val="22"/>
      <w:szCs w:val="22"/>
      <w:u w:val="none"/>
    </w:rPr>
  </w:style>
  <w:style w:type="paragraph" w:customStyle="1" w:styleId="194">
    <w:name w:val="样式 样式 样式 左侧:  2 字符1 + 首行缩进:  2 字符1 + 首行缩进:  2 字符"/>
    <w:basedOn w:val="1"/>
    <w:qFormat/>
    <w:uiPriority w:val="0"/>
    <w:pPr>
      <w:widowControl/>
      <w:spacing w:before="60" w:after="120" w:line="440" w:lineRule="atLeast"/>
      <w:ind w:firstLine="480"/>
    </w:pPr>
    <w:rPr>
      <w:rFonts w:hint="eastAsia"/>
      <w:sz w:val="24"/>
      <w:szCs w:val="20"/>
    </w:rPr>
  </w:style>
  <w:style w:type="paragraph" w:customStyle="1" w:styleId="195">
    <w:name w:val="普通(网站)1"/>
    <w:basedOn w:val="1"/>
    <w:qFormat/>
    <w:uiPriority w:val="0"/>
    <w:pPr>
      <w:widowControl/>
      <w:spacing w:before="100" w:beforeAutospacing="1" w:after="100" w:afterAutospacing="1"/>
      <w:jc w:val="left"/>
    </w:pPr>
    <w:rPr>
      <w:rFonts w:ascii="宋体" w:hAnsi="宋体" w:cs="宋体"/>
      <w:sz w:val="24"/>
    </w:rPr>
  </w:style>
  <w:style w:type="paragraph" w:customStyle="1" w:styleId="196">
    <w:name w:val="索引 11"/>
    <w:basedOn w:val="1"/>
    <w:next w:val="1"/>
    <w:qFormat/>
    <w:uiPriority w:val="0"/>
    <w:pPr>
      <w:spacing w:line="360" w:lineRule="auto"/>
    </w:pPr>
    <w:rPr>
      <w:rFonts w:ascii="方正仿宋_GB2312" w:eastAsia="方正仿宋_GB2312"/>
      <w:sz w:val="24"/>
      <w:szCs w:val="20"/>
    </w:rPr>
  </w:style>
  <w:style w:type="paragraph" w:customStyle="1" w:styleId="197">
    <w:name w:val="纯文本1"/>
    <w:basedOn w:val="1"/>
    <w:qFormat/>
    <w:uiPriority w:val="0"/>
    <w:rPr>
      <w:rFonts w:ascii="宋体" w:hAnsi="Courier New"/>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96</Pages>
  <Words>33425</Words>
  <Characters>35260</Characters>
  <Lines>167</Lines>
  <Paragraphs>47</Paragraphs>
  <TotalTime>26</TotalTime>
  <ScaleCrop>false</ScaleCrop>
  <LinksUpToDate>false</LinksUpToDate>
  <CharactersWithSpaces>35304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2017-09-14T18:07:00Z</dcterms:created>
  <dc:creator>Administrator</dc:creator>
  <cp:lastModifiedBy>车保姆汽车美容17563425468</cp:lastModifiedBy>
  <cp:lastPrinted>2025-08-14T13:57:00Z</cp:lastPrinted>
  <dcterms:modified xsi:type="dcterms:W3CDTF">2026-10-16T08:05:21Z</dcterms:modified>
  <dc:title>2017年中山市政府绩效管理咨询服务项目</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930B43FDF5B547A2A29A16786149D0C9_13</vt:lpwstr>
  </property>
  <property fmtid="{D5CDD505-2E9C-101B-9397-08002B2CF9AE}" pid="4" name="KSOTemplateDocerSaveRecord">
    <vt:lpwstr>eyJoZGlkIjoiZWRjZDc2MGFiZGMxZTI1MzU5MWI0ZGRlZDU4OWY4YzIiLCJ1c2VySWQiOiIxNTkxNjEwODgyIn0=</vt:lpwstr>
  </property>
</Properties>
</file>