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F9754C">
      <w:pPr>
        <w:keepNext w:val="0"/>
        <w:keepLines w:val="0"/>
        <w:pageBreakBefore/>
        <w:widowControl w:val="0"/>
        <w:kinsoku/>
        <w:wordWrap/>
        <w:overflowPunct/>
        <w:topLinePunct w:val="0"/>
        <w:autoSpaceDE/>
        <w:autoSpaceDN/>
        <w:bidi w:val="0"/>
        <w:adjustRightInd/>
        <w:snapToGrid/>
        <w:spacing w:line="600" w:lineRule="exact"/>
        <w:jc w:val="center"/>
        <w:textAlignment w:val="auto"/>
        <w:outlineLvl w:val="0"/>
        <w:rPr>
          <w:rFonts w:hint="eastAsia" w:ascii="仿宋" w:hAnsi="仿宋" w:eastAsia="仿宋" w:cs="仿宋"/>
          <w:b/>
          <w:bCs w:val="0"/>
          <w:color w:val="auto"/>
          <w:sz w:val="36"/>
          <w:szCs w:val="36"/>
          <w:highlight w:val="none"/>
          <w:lang w:eastAsia="zh-CN"/>
        </w:rPr>
      </w:pPr>
      <w:r>
        <w:rPr>
          <w:rFonts w:hint="eastAsia" w:ascii="仿宋" w:hAnsi="仿宋" w:eastAsia="仿宋" w:cs="仿宋"/>
          <w:b/>
          <w:bCs w:val="0"/>
          <w:color w:val="auto"/>
          <w:sz w:val="36"/>
          <w:szCs w:val="36"/>
          <w:highlight w:val="none"/>
          <w:lang w:eastAsia="zh-CN"/>
        </w:rPr>
        <w:t>技术规格、数量及质量要求</w:t>
      </w:r>
      <w:bookmarkStart w:id="0" w:name="_Toc267320052"/>
      <w:bookmarkStart w:id="1" w:name="_Toc340225294"/>
    </w:p>
    <w:p w14:paraId="52F58AA2">
      <w:pPr>
        <w:keepNext w:val="0"/>
        <w:keepLines w:val="0"/>
        <w:pageBreakBefore w:val="0"/>
        <w:kinsoku/>
        <w:wordWrap/>
        <w:overflowPunct/>
        <w:topLinePunct w:val="0"/>
        <w:autoSpaceDE/>
        <w:autoSpaceDN/>
        <w:bidi w:val="0"/>
        <w:adjustRightInd/>
        <w:snapToGrid/>
        <w:spacing w:line="440" w:lineRule="exact"/>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1.1主要技术参数</w:t>
      </w:r>
    </w:p>
    <w:tbl>
      <w:tblPr>
        <w:tblStyle w:val="2"/>
        <w:tblW w:w="928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9"/>
        <w:gridCol w:w="1608"/>
        <w:gridCol w:w="5664"/>
        <w:gridCol w:w="670"/>
        <w:gridCol w:w="670"/>
      </w:tblGrid>
      <w:tr w14:paraId="70ED4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23E05">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i w:val="0"/>
                <w:iCs w:val="0"/>
                <w:color w:val="000000"/>
                <w:sz w:val="22"/>
                <w:szCs w:val="22"/>
                <w:u w:val="none"/>
              </w:rPr>
            </w:pPr>
            <w:r>
              <w:rPr>
                <w:rFonts w:hint="eastAsia" w:ascii="仿宋" w:hAnsi="仿宋" w:eastAsia="仿宋" w:cs="仿宋"/>
                <w:b/>
                <w:i w:val="0"/>
                <w:iCs w:val="0"/>
                <w:color w:val="000000"/>
                <w:kern w:val="0"/>
                <w:sz w:val="22"/>
                <w:szCs w:val="22"/>
                <w:u w:val="none"/>
                <w:lang w:val="en-US" w:eastAsia="zh-CN" w:bidi="ar"/>
              </w:rPr>
              <w:t>序号</w:t>
            </w:r>
          </w:p>
        </w:tc>
        <w:tc>
          <w:tcPr>
            <w:tcW w:w="1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0B141">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i w:val="0"/>
                <w:iCs w:val="0"/>
                <w:color w:val="000000"/>
                <w:sz w:val="22"/>
                <w:szCs w:val="22"/>
                <w:u w:val="none"/>
              </w:rPr>
            </w:pPr>
            <w:r>
              <w:rPr>
                <w:rFonts w:hint="eastAsia" w:ascii="仿宋" w:hAnsi="仿宋" w:eastAsia="仿宋" w:cs="仿宋"/>
                <w:b/>
                <w:i w:val="0"/>
                <w:iCs w:val="0"/>
                <w:color w:val="000000"/>
                <w:kern w:val="0"/>
                <w:sz w:val="22"/>
                <w:szCs w:val="22"/>
                <w:u w:val="none"/>
                <w:lang w:val="en-US" w:eastAsia="zh-CN" w:bidi="ar"/>
              </w:rPr>
              <w:t>产品名称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DC8C46">
            <w:pPr>
              <w:keepNext w:val="0"/>
              <w:keepLines w:val="0"/>
              <w:widowControl/>
              <w:suppressLineNumbers w:val="0"/>
              <w:snapToGrid w:val="0"/>
              <w:ind w:left="0" w:leftChars="0" w:right="0" w:rightChars="0" w:firstLine="0" w:firstLineChars="0"/>
              <w:jc w:val="center"/>
              <w:textAlignment w:val="top"/>
              <w:rPr>
                <w:rFonts w:hint="eastAsia" w:ascii="仿宋" w:hAnsi="仿宋" w:eastAsia="仿宋" w:cs="仿宋"/>
                <w:b/>
                <w:i w:val="0"/>
                <w:iCs w:val="0"/>
                <w:color w:val="000000"/>
                <w:sz w:val="22"/>
                <w:szCs w:val="22"/>
                <w:u w:val="none"/>
              </w:rPr>
            </w:pPr>
            <w:r>
              <w:rPr>
                <w:rFonts w:hint="eastAsia" w:ascii="仿宋" w:hAnsi="仿宋" w:eastAsia="仿宋" w:cs="仿宋"/>
                <w:b/>
                <w:i w:val="0"/>
                <w:iCs w:val="0"/>
                <w:color w:val="000000"/>
                <w:kern w:val="0"/>
                <w:sz w:val="22"/>
                <w:szCs w:val="22"/>
                <w:u w:val="none"/>
                <w:lang w:val="en-US" w:eastAsia="zh-CN" w:bidi="ar"/>
              </w:rPr>
              <w:t>参数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3BB83">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i w:val="0"/>
                <w:iCs w:val="0"/>
                <w:color w:val="000000"/>
                <w:sz w:val="22"/>
                <w:szCs w:val="22"/>
                <w:u w:val="none"/>
              </w:rPr>
            </w:pPr>
            <w:r>
              <w:rPr>
                <w:rFonts w:hint="eastAsia" w:ascii="仿宋" w:hAnsi="仿宋" w:eastAsia="仿宋" w:cs="仿宋"/>
                <w:b/>
                <w:i w:val="0"/>
                <w:iCs w:val="0"/>
                <w:color w:val="000000"/>
                <w:kern w:val="0"/>
                <w:sz w:val="22"/>
                <w:szCs w:val="22"/>
                <w:u w:val="none"/>
                <w:lang w:val="en-US" w:eastAsia="zh-CN" w:bidi="ar"/>
              </w:rPr>
              <w:t>数量</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BADDF">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i w:val="0"/>
                <w:iCs w:val="0"/>
                <w:color w:val="000000"/>
                <w:sz w:val="22"/>
                <w:szCs w:val="22"/>
                <w:u w:val="none"/>
              </w:rPr>
            </w:pPr>
            <w:r>
              <w:rPr>
                <w:rFonts w:hint="eastAsia" w:ascii="仿宋" w:hAnsi="仿宋" w:eastAsia="仿宋" w:cs="仿宋"/>
                <w:b/>
                <w:i w:val="0"/>
                <w:iCs w:val="0"/>
                <w:color w:val="000000"/>
                <w:kern w:val="0"/>
                <w:sz w:val="22"/>
                <w:szCs w:val="22"/>
                <w:u w:val="none"/>
                <w:lang w:val="en-US" w:eastAsia="zh-CN" w:bidi="ar"/>
              </w:rPr>
              <w:t>单位</w:t>
            </w:r>
          </w:p>
        </w:tc>
      </w:tr>
      <w:tr w14:paraId="6CE00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tcBorders>
              <w:top w:val="single" w:color="000000" w:sz="4" w:space="0"/>
              <w:left w:val="single" w:color="000000" w:sz="4" w:space="0"/>
              <w:bottom w:val="single" w:color="000000" w:sz="4" w:space="0"/>
              <w:right w:val="nil"/>
            </w:tcBorders>
            <w:shd w:val="clear" w:color="auto" w:fill="auto"/>
            <w:noWrap/>
            <w:vAlign w:val="center"/>
          </w:tcPr>
          <w:p w14:paraId="72C51B80">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一</w:t>
            </w:r>
          </w:p>
        </w:tc>
        <w:tc>
          <w:tcPr>
            <w:tcW w:w="1608" w:type="dxa"/>
            <w:tcBorders>
              <w:top w:val="single" w:color="000000" w:sz="4" w:space="0"/>
              <w:left w:val="nil"/>
              <w:bottom w:val="single" w:color="000000" w:sz="4" w:space="0"/>
              <w:right w:val="single" w:color="000000" w:sz="4" w:space="0"/>
            </w:tcBorders>
            <w:shd w:val="clear" w:color="auto" w:fill="auto"/>
            <w:noWrap/>
            <w:vAlign w:val="center"/>
          </w:tcPr>
          <w:p w14:paraId="0EC99C25">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高空云台</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C87EC76">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20EC7">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22B1C">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675FE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5983A0">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16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77CEB8">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双光谱重型转台</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F8DC912">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（一）热成像部分</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1759BE">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6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B3932D">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r>
      <w:tr w14:paraId="4E9C0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2015DC">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4250F7">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22D1B5F0">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1.响应波段8~14μm标准红外波段；像元尺寸≤12μm；分辨率不低于640×512；有效焦距≥150mm；水平视场≤3°，垂直视场≤2.4°；最大光圈F≤1.0</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2AE1BB">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BA7EF9">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5D994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D1D7C2">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F39953">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45D6C260">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2.伪彩模式不少于10种（含白热、黑热、融合、彩虹、红热等基础防火配色）</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00D8BC">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96809E">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0CEAA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36580E">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3DA1D4">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4F356B05">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3.NETD噪声等效温差≤30mk（25℃、F1.0条件）</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932F8A">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0F82B9">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69419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28C84A">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4232A6">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209CEFFA">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4.标准目标探测/识别/辨认距离：1.8m 人体最远探测≥6000m、识别≥1500m；4m 车辆探测≥19000m；2m 火源报警距离≥12000m</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E348CD">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531257">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2C817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C8497C">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60B6A9">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35D70214">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（二）可见光部分</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256DA6">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F439A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0F417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4F9F05">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C2B0A8">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46C9CF2E">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1.感光芯片≥1/1.8英寸CMOS，有效像素≥400万；长焦焦距10~650mm连续变倍，全景广角≥4mm</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1F228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022D43">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7118F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3BBCE1">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418BCA">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1B719DA7">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2.长焦最低彩色照度≤0.0005Lux，黑白≤0.0002Lux；支持光学+算法双重透雾、电子EIS防抖</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1833FE">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6FA018">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7C446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DA057C">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D71B90">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615A3388">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3.可自动识别路面抛洒、山体落石、火情烟雾，烟雾5m目标报警距离≥8500m</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8D5B54">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8EB844">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1027B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FA8E55">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673555">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single" w:color="000000" w:sz="4" w:space="0"/>
              <w:right w:val="single" w:color="000000" w:sz="4" w:space="0"/>
            </w:tcBorders>
            <w:shd w:val="clear" w:color="auto" w:fill="auto"/>
            <w:vAlign w:val="center"/>
          </w:tcPr>
          <w:p w14:paraId="6A296D93">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4.整机IP67防护，低温-40℃稳定工作，适配高原风沙环境</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0A353E">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43579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285C4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FF053F">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16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E47050">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20米瞭望塔</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BEC603A">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1.结构：四柱角钢，主材Q235B；全套构件热镀锌，镀锌层厚度≥85μm</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8AFD45">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6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50CB81">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w:t>
            </w:r>
          </w:p>
        </w:tc>
      </w:tr>
      <w:tr w14:paraId="32607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2B53F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44920B">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6240AF44">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2.螺栓采用6.8级热镀锌标准件；设计基本风压≥0.6KN/㎡，裹冰厚度≤8mm，抗震8度</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9C7573">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347829">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58A38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F1A701">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710D00">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59B6D8BA">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3.18.5m处设置八角操作平台，平台均布荷载≥300kg/㎡，塔顶承重≥200kg</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76258E">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23CF86">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34BDB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32096E">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C77CA1">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5F58D2B0">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4.整体垂直度≤H/1000，构件弯曲度≤1/750，设计使用年限50年，外防护爬梯带安全护栏</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0E2E2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FB95B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32C30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2BF39B">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30F1FD">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20B77327">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5.配套防雷系统：不锈钢避雷针长度≥2m，雷电通流量≥300kA（10/350μs）；配套交直流多级电源防雷模块</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B8CF72">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004019">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6B1FC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36DDBC">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E9C653">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single" w:color="000000" w:sz="4" w:space="0"/>
              <w:right w:val="single" w:color="000000" w:sz="4" w:space="0"/>
            </w:tcBorders>
            <w:shd w:val="clear" w:color="auto" w:fill="auto"/>
            <w:vAlign w:val="center"/>
          </w:tcPr>
          <w:p w14:paraId="0A3E3AA0">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6.接地系统：水平接地体采用40×4mm热镀锌扁钢，垂直接地体采用50×5mm热镀锌角钢或离子接地极组合；引下线采用≥16mm²阻燃铜缆（阻燃等级≥ZR-VV）；接地电阻应符合设计要求（一般≤4Ω）。</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060CD8">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A2FE50">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2F2FA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2F9928">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w:t>
            </w:r>
          </w:p>
        </w:tc>
        <w:tc>
          <w:tcPr>
            <w:tcW w:w="16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F28880">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全景球机</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FFBFC4C">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1.双镜头一体化：全景广角≤4mm，细节长焦光学变倍≥32倍，长焦最小焦距≤5mm</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3B327F">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6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107E22">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r>
      <w:tr w14:paraId="1BBDE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28EF10">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2D00B6">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6F1C2570">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2.全景水平视场≥88°，细节长焦水平2.3°~60°可调；红外补光有效距离≥150m</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7F331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8D6E65">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3ECA7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4DD100">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D50457">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108C91D0">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3.水平360°无死角连续旋转，垂直-15°~90°自动翻转；水平预置转速≥240°/s</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67109E">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B1A096">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2D4FA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C98D5D">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FF9151">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367CAB20">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4.支持最大256GB本地存储；2路报警输入、1路输出，音视频同步采集</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81CA94">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2517D8">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10621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9536D0">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F066AD">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094CD707">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5.内置加热除雾模块，工作温度-30℃~65℃，整机IP66防护</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735E57">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BB326B">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408C8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EB53C7">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9292E">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single" w:color="000000" w:sz="4" w:space="0"/>
              <w:right w:val="single" w:color="000000" w:sz="4" w:space="0"/>
            </w:tcBorders>
            <w:shd w:val="clear" w:color="auto" w:fill="auto"/>
            <w:vAlign w:val="center"/>
          </w:tcPr>
          <w:p w14:paraId="77BDA474">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6.主码流帧率分辨率：【全景】50Hz：25fps，分辨率≥2560×1440；【细节】50Hz：25fps，分辨率≥2560×1440。支持多码流输出。</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5FFCDC">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8C6BF2">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19421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F32216">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c>
          <w:tcPr>
            <w:tcW w:w="16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B19501">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智能运维箱</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F86965E">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1、箱体采用镀锌钢板，防护等级IP55，厚度≥1.2 mm；</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26FD8A">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6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CC9005">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r>
      <w:tr w14:paraId="22184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F449C9">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2A7D3E">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5E70510D">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2、智能化设备箱应采用高度集成一体化结构设计，箱内由空气开关、AC220V电源防雷器、自动重合闸、电源模块、主控（网络传输模块+电源管理模块）全集成模块、温控风扇、光纤熔接盒及防雷接地装置等组成；</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79AA9C">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FBF1E9">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3BD66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BC343B">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59EE15">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66099CCE">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3、提供≥9组可控电源输出（支持远程开/关、重启控制），每组输出具有独立接口状态指示灯</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0BC1CA">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6A4A65">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060BF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59F699">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5274B1">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754BE5F9">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4、具备自动重合闸，可远程配置和监测过压值、欠压值、漏电值、过流值；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A07982">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4848B">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33D01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B1C5C0">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20C8BE">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26B84F87">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5、具有DC12V和DC5V延时输出接口；支持运维管理平台及单机WEB端独立控制；无内置电池时，市电断电后可持续工作≥10秒；</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6FD968">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2EEDC6">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4F15A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51C38D">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08A0AE">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166ADD42">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6、具有能区分主干网络通信故障或供电故障，能区分市电掉电和漏电分闸等故障；</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B77381">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869BEA">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5E8BB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7E5B75">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A9F6E3">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718738FB">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7、具有强电防雷器状态监测功能；</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76DC28">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7D9EC5">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587DE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8BED59">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7E9A80">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0D5B196C">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8、内置网络接口≥8个100/1000Base-Tx，SFP光接口：≥1个100/1000M ；</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EF17A8">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1B7738">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715D0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CA792A">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337135">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7D88C48C">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9、支持网络端口速率设置、帧统计、VLAN、MAC地址绑定、SNMP管理等；</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608EB5">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195081">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61407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13E14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F26FDD">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7EFC68AD">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10、具有实时监测光模块波长、速率、发射功率、接收功率、温度、电压及电流等；</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99F4ED">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129E30">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30240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ED59F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5C9083">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59441262">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11、网口抗浪涌:在10/700μs，网口抗浪涌≥6KV；</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CEE3D3">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03F2C7">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683C0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F997C">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53913D">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40F28186">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12、支持通过智能设备箱同一IP地址的Web端访问智能控制模块、电源管理模块以及网络传输模块，并进行所有数据查看、参数配置以及远程固件升级；</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FCDD05">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F6BA96">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78B51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ED308A">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09076">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single" w:color="000000" w:sz="4" w:space="0"/>
              <w:right w:val="single" w:color="000000" w:sz="4" w:space="0"/>
            </w:tcBorders>
            <w:shd w:val="clear" w:color="auto" w:fill="auto"/>
            <w:vAlign w:val="center"/>
          </w:tcPr>
          <w:p w14:paraId="1EEC6BE1">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13、工作温度：-40℃~+85℃</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453CBC">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40529E">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049D6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BC226">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c>
          <w:tcPr>
            <w:tcW w:w="1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FE046">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工业级交换机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3F8A86">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工业级宽温设计，RJ45电口≥4个10/100M自适应；工作温度区间-40℃~60℃，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1EB96D">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D865D">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r>
      <w:tr w14:paraId="29842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0D82CB">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w:t>
            </w:r>
          </w:p>
        </w:tc>
        <w:tc>
          <w:tcPr>
            <w:tcW w:w="16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75A4C5">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20KM无线微波</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2687BCC">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1.5.8Ghz无线网桥，支持点对点、点对多点、自组网、快速漫游功能；</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529395">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6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AB2A07">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对</w:t>
            </w:r>
          </w:p>
        </w:tc>
      </w:tr>
      <w:tr w14:paraId="7EB02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8EEB6">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9A8D18">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414B9038">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2.外置SIM卡插槽，支持全网通4G LTE专用网管通道</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AEC382">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8D3E4E">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7E89C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6FE3FD">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8F0184">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22036553">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3.支持双路电源同时输入，能够同时接入POE供电和DC供电，实现电源的冗余；</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0B606B">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C99E00">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2A0CF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F4A0E9">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65D77E">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6F71C227">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r>
              <w:rPr>
                <w:rFonts w:hint="eastAsia" w:ascii="仿宋" w:hAnsi="仿宋" w:eastAsia="仿宋" w:cs="仿宋"/>
                <w:i w:val="0"/>
                <w:iCs w:val="0"/>
                <w:color w:val="000000"/>
                <w:kern w:val="0"/>
                <w:sz w:val="22"/>
                <w:szCs w:val="21"/>
                <w:u w:val="none"/>
                <w:lang w:val="en-US" w:eastAsia="zh-CN" w:bidi="ar"/>
              </w:rPr>
              <w:t xml:space="preserve"> </w:t>
            </w:r>
            <w:r>
              <w:rPr>
                <w:rFonts w:hint="eastAsia" w:ascii="仿宋" w:hAnsi="仿宋" w:eastAsia="仿宋" w:cs="仿宋"/>
                <w:i w:val="0"/>
                <w:iCs w:val="0"/>
                <w:color w:val="000000"/>
                <w:kern w:val="0"/>
                <w:sz w:val="22"/>
                <w:szCs w:val="22"/>
                <w:u w:val="none"/>
                <w:lang w:val="en-US" w:eastAsia="zh-CN" w:bidi="ar"/>
              </w:rPr>
              <w:t>支持CSMA/CA和TDMA等无线通信协议</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071E1D">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B684CE">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293A1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3FA918">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CEEB65">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2CE349AC">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5.IEEE802.11an全兼容射频端口，宽频4.9GHz至6.1GHz；</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C49E3">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D58622">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5E40C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B2AFAC">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B51924">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27CE5BB7">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6.符合802.3af/at国际标准的远距离以太网供电（PoE）</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727713">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C90A5A">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6E7CB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28A3E5">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DC4C3E">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7751BB3F">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7.物理带宽最大传输速率达到900Mbps，实际带宽400Mbps以上；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3D3C0D">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FAF7F6">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20E7A5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66F482">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F920EA">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7A828154">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8.支持网口看门狗、IP看门狗、系统看门狗；</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3BE5ED">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BD4769">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181EF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CA3B73">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81139D">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320F9D6B">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9.支持实时设备工作温度及工作电压显示；</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82B456">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A9C318">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4C7E3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3B883A">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657E61">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3E10C6FF">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r>
              <w:rPr>
                <w:rFonts w:hint="eastAsia" w:ascii="仿宋" w:hAnsi="仿宋" w:eastAsia="仿宋" w:cs="仿宋"/>
                <w:i w:val="0"/>
                <w:iCs w:val="0"/>
                <w:color w:val="000000"/>
                <w:kern w:val="0"/>
                <w:sz w:val="22"/>
                <w:szCs w:val="21"/>
                <w:u w:val="none"/>
                <w:lang w:val="en-US" w:eastAsia="zh-CN" w:bidi="ar"/>
              </w:rPr>
              <w:t xml:space="preserve"> </w:t>
            </w:r>
            <w:r>
              <w:rPr>
                <w:rFonts w:hint="eastAsia" w:ascii="仿宋" w:hAnsi="仿宋" w:eastAsia="仿宋" w:cs="仿宋"/>
                <w:i w:val="0"/>
                <w:iCs w:val="0"/>
                <w:color w:val="000000"/>
                <w:kern w:val="0"/>
                <w:sz w:val="22"/>
                <w:szCs w:val="22"/>
                <w:u w:val="none"/>
                <w:lang w:val="en-US" w:eastAsia="zh-CN" w:bidi="ar"/>
              </w:rPr>
              <w:t>具备射频回路、数据回路、电源回路三重防雷防浪涌保护；浪涌防护：差模（DM）≥6kV，共模（CM）≥2kV（依据GB/T 17626.5-2019）；ESD防护≥16kV；</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F092C0">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3EB5D6">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3FC85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AC9D12">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824301">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55D6FEDE">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11.支持2个1000</w:t>
            </w:r>
            <w:r>
              <w:rPr>
                <w:rFonts w:hint="eastAsia" w:ascii="仿宋" w:hAnsi="仿宋" w:eastAsia="仿宋" w:cs="仿宋"/>
                <w:i w:val="0"/>
                <w:iCs w:val="0"/>
                <w:color w:val="000000"/>
                <w:kern w:val="0"/>
                <w:sz w:val="22"/>
                <w:szCs w:val="21"/>
                <w:u w:val="none"/>
                <w:lang w:val="en-US" w:eastAsia="zh-CN" w:bidi="ar"/>
              </w:rPr>
              <w:t xml:space="preserve"> </w:t>
            </w:r>
            <w:r>
              <w:rPr>
                <w:rFonts w:hint="eastAsia" w:ascii="仿宋" w:hAnsi="仿宋" w:eastAsia="仿宋" w:cs="仿宋"/>
                <w:i w:val="0"/>
                <w:iCs w:val="0"/>
                <w:color w:val="000000"/>
                <w:kern w:val="0"/>
                <w:sz w:val="22"/>
                <w:szCs w:val="22"/>
                <w:u w:val="none"/>
                <w:lang w:val="en-US" w:eastAsia="zh-CN" w:bidi="ar"/>
              </w:rPr>
              <w:t>Mbps电口,供电端支持死机自动恢复；</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BD9C54">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20DC13">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0C841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DFFA7B">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6D1423">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3103A960">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12.工作温度范围：-50℃~+70℃；储存温度范围：-60℃~+80℃；</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5C81EB">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D90804">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68607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325ED">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9B42B6">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single" w:color="000000" w:sz="4" w:space="0"/>
              <w:right w:val="single" w:color="000000" w:sz="4" w:space="0"/>
            </w:tcBorders>
            <w:shd w:val="clear" w:color="auto" w:fill="auto"/>
            <w:vAlign w:val="center"/>
          </w:tcPr>
          <w:p w14:paraId="7431CAFA">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13.须提供国家无线电管理委员会检测通过的无线核准证及检测报告；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326B08">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C81B9D">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2AA9D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D22503">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w:t>
            </w:r>
          </w:p>
        </w:tc>
        <w:tc>
          <w:tcPr>
            <w:tcW w:w="16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0C7999">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光伏组件</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B8B6442">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10块光伏组件</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A9CC1A">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6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D4F5FF">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r>
      <w:tr w14:paraId="4D0DD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F51F29">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506C9E">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55D9439E">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1.光伏组件类型：单晶硅；单块组件功率≥550Wp；开路电压≥49.9V；短路电流≥13.92A；最大功率点电压≥41.9V；最大功率点电流≥13.13A；组件转换效率≥21%。</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85BFE9">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995346">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19F8B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95A447">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01024">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5FC8F65A">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2.机械性能：迎风压强≥2400Pa；绝缘强度≥DC3500V（1min）；边框接地电阻≤1Ω。</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897456">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658FBA">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3D793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D2CB3">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6ED771">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480CE379">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3.环境适应性：工作温度范围满足当地气候条件（一般-40℃~+85℃）；具备弱光发电性能。</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873637">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D9C54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45E79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79C53A">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389A3">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0DF9A951">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4.连接方式：组件间连接采用防水防尘接插件（防护等级≥IP67），接插件应具备防潮、防水、抗老化性能。</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FC6B7D">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9E1B42">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435D3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1759B7">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DAA87F">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7DF01039">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5.组件设计使用寿命≥25年；</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FAEC74">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6FD480">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58A62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94A4D1">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0AF070">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690AAFDE">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6.功率衰减保证：首年衰减≤2%，2年内累计衰减≤3.2%，10年内累计衰减≤10%；</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1FAB0C">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F913B7">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59A7B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3ED100">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09AF2D">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7B15D5DD">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7.组件应具备抗风、抗冰雹、防火、抗震等性能；</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1517EE">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A2B776">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4A34C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783254">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08B758">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single" w:color="000000" w:sz="4" w:space="0"/>
              <w:right w:val="single" w:color="000000" w:sz="4" w:space="0"/>
            </w:tcBorders>
            <w:shd w:val="clear" w:color="auto" w:fill="auto"/>
            <w:vAlign w:val="center"/>
          </w:tcPr>
          <w:p w14:paraId="44A8399D">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8.组件故障或寿命到期后应具备更换条件，且更换不影响设备结构。</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344071">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057D81">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1913D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2D8B08">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w:t>
            </w:r>
          </w:p>
        </w:tc>
        <w:tc>
          <w:tcPr>
            <w:tcW w:w="16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607713">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磷酸铁锂电池</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38B32AA">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单组额定电压≥50V，额定容量≥200Ah，单组储电≥10kWh；最大充电电流≥95A、放电≥130A</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AE2D50">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6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2FC710">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组</w:t>
            </w:r>
          </w:p>
        </w:tc>
      </w:tr>
      <w:tr w14:paraId="7DA1A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C85BD8">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C7F9B7">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single" w:color="000000" w:sz="4" w:space="0"/>
              <w:right w:val="single" w:color="000000" w:sz="4" w:space="0"/>
            </w:tcBorders>
            <w:shd w:val="clear" w:color="auto" w:fill="auto"/>
            <w:vAlign w:val="center"/>
          </w:tcPr>
          <w:p w14:paraId="5EA1596B">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工作温度范围≥-40℃至50℃；90%放电深度循环寿命≥6000次。</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FBF0F2">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AE697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31C76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1AA41E">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w:t>
            </w:r>
          </w:p>
        </w:tc>
        <w:tc>
          <w:tcPr>
            <w:tcW w:w="16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C12443">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逆控一体机</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C7F314E">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额定输出功率≥5000W，峰值功率≥7500W，230V/50Hz标准工频输出</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79AEBA">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6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E20D1D">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r>
      <w:tr w14:paraId="10ED5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3118A7">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EE9B5B">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40D7ECA0">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MPPT光伏追踪效率≥99.5%，整机逆变效率≥96.5%；最大光伏输入功率≥5400W</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D3EC7E">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71C3F4">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3A081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84CFC7">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E5C39E">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single" w:color="000000" w:sz="4" w:space="0"/>
              <w:right w:val="single" w:color="000000" w:sz="4" w:space="0"/>
            </w:tcBorders>
            <w:shd w:val="clear" w:color="auto" w:fill="auto"/>
            <w:vAlign w:val="center"/>
          </w:tcPr>
          <w:p w14:paraId="2BBFD42A">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支持锂电/铅酸通用，宽温-35℃~55℃，IP20室内防护，具备过载、短路、低压保护</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0A5BB3">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212D06">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6C57B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82FDB0">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p>
        </w:tc>
        <w:tc>
          <w:tcPr>
            <w:tcW w:w="16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EB33F0">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光伏支架</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DCB98B9">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全热镀锌U型钢材（41×41、41×52规格），配套三角基座、压块、全套防腐紧固件</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6DC66B">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6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ABB20D">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r>
      <w:tr w14:paraId="6A7C3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E9B76D">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13B69E">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single" w:color="000000" w:sz="4" w:space="0"/>
              <w:right w:val="single" w:color="000000" w:sz="4" w:space="0"/>
            </w:tcBorders>
            <w:shd w:val="clear" w:color="auto" w:fill="auto"/>
            <w:vAlign w:val="center"/>
          </w:tcPr>
          <w:p w14:paraId="1CAFD751">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设计风荷载≥0.6kN/㎡；设计雪荷载≥0.4kN/㎡，户外使用寿命≥25年，适配山地野外光伏布设</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73B599">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F926DE">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0275A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335D1">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w:t>
            </w:r>
          </w:p>
        </w:tc>
        <w:tc>
          <w:tcPr>
            <w:tcW w:w="1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13577">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光伏电缆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CDC4AE">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光伏专用电缆：多股镀锡铜芯导体；绝缘及护套材料应具备耐紫外线、抗老化、防水、耐磨性能（符合光伏电缆相关标准，如2PfG 1169或IEC 62930）；户外使用寿命≥25年；配套全套防水接头。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0ED9E0">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D3EEA">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r>
      <w:tr w14:paraId="5A22A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5B80A">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12</w:t>
            </w:r>
          </w:p>
        </w:tc>
        <w:tc>
          <w:tcPr>
            <w:tcW w:w="1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21F23">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户外储能柜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2F8D81">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户外型定制，可内置5kw逆变控制一体机1台及磷酸铁锂电池4组，光伏专用直流浪涌保护器；多路交直流断路器，集中式设计，便于后期维护管理，一体化设计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1BDF99">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A3622">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w:t>
            </w:r>
          </w:p>
        </w:tc>
      </w:tr>
      <w:tr w14:paraId="4A432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B5099F">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w:t>
            </w:r>
          </w:p>
        </w:tc>
        <w:tc>
          <w:tcPr>
            <w:tcW w:w="16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2B1A42">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围栏</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9459B0C">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防腐铝合金/热镀锌钢丝网结构，单套外围尺寸≥9m×6m×1.5m</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379922">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6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FB1489">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r>
      <w:tr w14:paraId="0CBAB9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EF7EAB">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F122B4">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2C990CAE">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结构稳固，抗外力冲击，用于光伏、储能、瞭望塔设备隔离防护</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EBDB37">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E47DE6">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05F7A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41DC4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84E86F">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4B5DDE48">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36A87A">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F36D7D">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6D543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E4FDD5">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5E1EDE">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single" w:color="000000" w:sz="4" w:space="0"/>
              <w:right w:val="single" w:color="000000" w:sz="4" w:space="0"/>
            </w:tcBorders>
            <w:shd w:val="clear" w:color="auto" w:fill="auto"/>
            <w:vAlign w:val="center"/>
          </w:tcPr>
          <w:p w14:paraId="0DE71C8F">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1A680B">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4E0F4C">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19286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tcBorders>
              <w:top w:val="single" w:color="000000" w:sz="4" w:space="0"/>
              <w:left w:val="single" w:color="000000" w:sz="4" w:space="0"/>
              <w:bottom w:val="single" w:color="000000" w:sz="4" w:space="0"/>
              <w:right w:val="nil"/>
            </w:tcBorders>
            <w:shd w:val="clear" w:color="auto" w:fill="auto"/>
            <w:noWrap/>
            <w:vAlign w:val="center"/>
          </w:tcPr>
          <w:p w14:paraId="1FAF9C8D">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二</w:t>
            </w:r>
          </w:p>
        </w:tc>
        <w:tc>
          <w:tcPr>
            <w:tcW w:w="1608" w:type="dxa"/>
            <w:tcBorders>
              <w:top w:val="single" w:color="000000" w:sz="4" w:space="0"/>
              <w:left w:val="nil"/>
              <w:bottom w:val="single" w:color="000000" w:sz="4" w:space="0"/>
              <w:right w:val="single" w:color="000000" w:sz="4" w:space="0"/>
            </w:tcBorders>
            <w:shd w:val="clear" w:color="auto" w:fill="auto"/>
            <w:noWrap/>
            <w:vAlign w:val="center"/>
          </w:tcPr>
          <w:p w14:paraId="0F0823DC">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无人机巡护</w:t>
            </w:r>
          </w:p>
        </w:tc>
        <w:tc>
          <w:tcPr>
            <w:tcW w:w="0" w:type="auto"/>
            <w:tcBorders>
              <w:top w:val="nil"/>
              <w:left w:val="single" w:color="000000" w:sz="4" w:space="0"/>
              <w:bottom w:val="nil"/>
              <w:right w:val="single" w:color="000000" w:sz="4" w:space="0"/>
            </w:tcBorders>
            <w:shd w:val="clear" w:color="auto" w:fill="auto"/>
            <w:vAlign w:val="center"/>
          </w:tcPr>
          <w:p w14:paraId="09040600">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467451">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BBF35">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7DC80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F15166">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14</w:t>
            </w:r>
          </w:p>
        </w:tc>
        <w:tc>
          <w:tcPr>
            <w:tcW w:w="16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6FB692">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全自动防火无人机机场</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7303511">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1.整机重量≤70kg</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4AFB2A">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6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A928C1">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r>
      <w:tr w14:paraId="0C53B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C6DCE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E8EE14">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686D5B11">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2.机场工作温度≥-20°C 至 50°C。</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7CBA4B">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DF1766">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3B0F6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F88262">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894255">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1C3924D6">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3.防护等级≥IP54</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499E12">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49E872">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1C1A3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FC5811">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0E10A1">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2B947BAD">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4.抗风能力≥12米/秒。</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AEAE4A">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42AD49">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63907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9362F0">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82DF5E">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54C9949C">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5.最大运行海拔高度≥3000米。</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105FA3">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5B62AA">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733E5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B46EC2">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50B5B3">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5F3FA399">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6.设备应具备监测风速、雨量、环境温度等传感器。</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81A6AC">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186E0">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3CCD9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40EBB9">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736EBB">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4A684678">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7.RTK 基站卫星接收频率：可同时接收GPS、GLONASS、BEIDOU、GALILEO四种卫星信号。</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05F80C">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6D671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23C720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C24A86">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3BCB3D">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6DB0A8FD">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8.机场标识灯：机场集成标识灯，可以用于夜间返航。</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8F077C">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76C954">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1876D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B09C82">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2822CB">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0469E807">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9.具备监测风速，监测雨量以及可以体现舱内温度及湿度等功能</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8BA481">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FE3BC3">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28777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FD3F5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13AB37">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single" w:color="000000" w:sz="4" w:space="0"/>
              <w:right w:val="single" w:color="000000" w:sz="4" w:space="0"/>
            </w:tcBorders>
            <w:shd w:val="clear" w:color="auto" w:fill="auto"/>
            <w:vAlign w:val="center"/>
          </w:tcPr>
          <w:p w14:paraId="124B1369">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10.含原厂保险3年</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6D16CB">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239842">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26534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850994">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15</w:t>
            </w:r>
          </w:p>
        </w:tc>
        <w:tc>
          <w:tcPr>
            <w:tcW w:w="16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06712A">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防火巡查多旋翼无人机</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8D16AB1">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1.裸机重量不超过2000 g。</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EA44D3">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6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9E6BD2">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架</w:t>
            </w:r>
          </w:p>
        </w:tc>
      </w:tr>
      <w:tr w14:paraId="7BFB0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454650">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F5F084">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07D62CAB">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2.无人机作业范围需满足8km半径范围或以上。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09378E">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A4C76B">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653D9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7293AA">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755099">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0C6ED013">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3.无人机作业续航时间需≥42分钟。</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677137">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908D6D">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26ABC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F2E04">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EBA69">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4821C2EF">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4.最大可抗风速：≥12m/s（6级风）。</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4A1888">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B86412">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52055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AA73A">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207D4A">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6898A0D6">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5.避障系统：支持全向避障系统，检测到障碍物自动减速刹车或智能绕行。</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C586D8">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AA5380">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286B7C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4FE902">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A2C8C8">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7558B031">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6.卫星信号接收：支持四种及以上卫星信号。</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5A794D">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BF6EEA">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39E05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AD32C1">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7F962C">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55D49898">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7.防护等级≥IP43。</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9BB9CB">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65FBB1">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51573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A92177">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6BD462">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79E88701">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8.无人机需具备高海拔起飞的能力，至少满足4000米及以上的环境下起飞作业。</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B9CDEB">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65B741">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6B72D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0B42F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0FF55C">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337E0837">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9.相机类型：飞机相机需具备广角相机、变焦相机、红外热成像相机，测距功能模块，广角相机像素需不低于4800万，变焦倍数不低于112倍，测距距离≥1200m，并且支持可见光与红外热成像联动变焦。</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ECA977">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7215AB">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7E776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0FF530">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B9AF93">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2023C7C4">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10.红外热成像测温方式：支持点测温和区域测温。</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5B3FF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2F03E2">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3E623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C9FD75">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D8F53F">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00B43DC9">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11.稳定系统：具备三轴机械增稳云台。</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2F2731">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27B24E">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2AA21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31B67C">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3F9B86">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74EB1BB0">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12.空中中继：支持空中中继功能，一台无人机可以给另外一台无人机做中继站。</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A678DB">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D090D7">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4DAF3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020DD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344D6A">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206829E2">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13.航线功能：支持多种航线作业类型。</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2AAF64">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2260E8">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6A7CB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B54F5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6A88BB">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59DDAB51">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14.能够接收民航客机的ADS-B广播信息，并能过地面端软件向用户发出附近民航客机预警信息。</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9ED309">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6DC762">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485A3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88F21C">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233F1F">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38CD4FDD">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15.一键全景：支持一键全景功能。</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70BFF6">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6CA6A3">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5B166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F946D2">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DD8A2A">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402279D4">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16.智能识别功能：可见光支持人车船目标的AI识别。</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DFFC3B">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5B9ADA">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6BC56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8BA564">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FE79CF">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single" w:color="000000" w:sz="4" w:space="0"/>
              <w:right w:val="single" w:color="000000" w:sz="4" w:space="0"/>
            </w:tcBorders>
            <w:shd w:val="clear" w:color="auto" w:fill="auto"/>
            <w:vAlign w:val="center"/>
          </w:tcPr>
          <w:p w14:paraId="1FC3B418">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17.含原厂保险3年</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EAEB8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110D0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07EF2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9CD9D7">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16</w:t>
            </w:r>
          </w:p>
        </w:tc>
        <w:tc>
          <w:tcPr>
            <w:tcW w:w="16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A10731">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无人机照明灯</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DD1B300">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1.探照灯俯仰角度至少达到+30°~-90°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7E22B5">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6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9581BE">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r>
      <w:tr w14:paraId="52DC5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AFB2AD">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FDAB95">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single" w:color="000000" w:sz="4" w:space="0"/>
              <w:right w:val="single" w:color="000000" w:sz="4" w:space="0"/>
            </w:tcBorders>
            <w:shd w:val="clear" w:color="auto" w:fill="auto"/>
            <w:vAlign w:val="center"/>
          </w:tcPr>
          <w:p w14:paraId="5219CAAC">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2.工作方式：支持常亮爆闪</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FFBA06">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63639E">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01CEC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4DCF04">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17</w:t>
            </w:r>
          </w:p>
        </w:tc>
        <w:tc>
          <w:tcPr>
            <w:tcW w:w="16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9C47F3">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无人机喊话器</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8C26126">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1.工作环境温度至少满足-10℃至50℃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9D8D21">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6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CE7898">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r>
      <w:tr w14:paraId="02253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042591">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E3A269">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467C814D">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2.广播距离≥300m</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802B7A">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CB485">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01614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E437E4">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5F2961">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single" w:color="000000" w:sz="4" w:space="0"/>
              <w:right w:val="single" w:color="000000" w:sz="4" w:space="0"/>
            </w:tcBorders>
            <w:shd w:val="clear" w:color="auto" w:fill="auto"/>
            <w:vAlign w:val="center"/>
          </w:tcPr>
          <w:p w14:paraId="3E83C76C">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3.可实现实时喊话或录音播放、音频文件播放等播放任务。</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E240A3">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7856B4">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6DDDF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EA8CED">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18</w:t>
            </w:r>
          </w:p>
        </w:tc>
        <w:tc>
          <w:tcPr>
            <w:tcW w:w="16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239490">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无人机电池</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67B7195">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1.支持低温充电。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48D3A9">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6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038BF1">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块</w:t>
            </w:r>
          </w:p>
        </w:tc>
      </w:tr>
      <w:tr w14:paraId="22F46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203C43">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C0A0B5">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0064AB14">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2.支持低温自加热充电。</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DFE625">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42958B">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0E08EA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9EE3D7">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E44722">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08F7BF92">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3.容量：≥6500mAh</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A5F272">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D4809B">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63569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A62B53">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548587">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single" w:color="000000" w:sz="4" w:space="0"/>
              <w:right w:val="single" w:color="000000" w:sz="4" w:space="0"/>
            </w:tcBorders>
            <w:shd w:val="clear" w:color="auto" w:fill="auto"/>
            <w:vAlign w:val="center"/>
          </w:tcPr>
          <w:p w14:paraId="66732AC6">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4.充电温度：5℃ 至 45℃</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4609E1">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B0B8A7">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7CE68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6E3CD">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19</w:t>
            </w:r>
          </w:p>
        </w:tc>
        <w:tc>
          <w:tcPr>
            <w:tcW w:w="1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8240B">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4G 增强图传模块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271BC8">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模块与飞行器的一体化安装，高效接入 4G 网络。当原有信号受到遮挡或干扰，仍可借助 4G 网络操控飞行器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71A2D1">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5094A">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r>
      <w:tr w14:paraId="1CB6B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AFD60F">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w:t>
            </w:r>
          </w:p>
        </w:tc>
        <w:tc>
          <w:tcPr>
            <w:tcW w:w="16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4E2761">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无人机地面中继站</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09C1090">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1.整机重量≤3kg</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84E0D8">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6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F25E91">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r>
      <w:tr w14:paraId="4F3FC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BC8A4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26C0EC">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4927EADE">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2.最大图传距离需≥40km</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CAA00B">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B3AD47">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08AC7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BA5179">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B359A5">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777B49EE">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3.具备低温加热启动</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AEE5B5">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D52105">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12A62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736515">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87EA84">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718F31BB">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4.在 -40℃ 至 -20℃ 环境下，整机可以通过 60 瓦或以上的标准 PoE 供电实现低温加热启动</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377EF4">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454FB5">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258E5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459955">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F6CD85">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4D079975">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5.整机防护等级应达到IP67及以上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4C0014">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16858C">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27862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A216ED">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15E69B">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0D13F2F0">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6.抗冲击性能应达到IK07及以上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2CC9D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EE5AC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77FCA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9448D1">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CEF5F0">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15B849E1">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7.应支持ONVIF和GB/T 28181标准协议摄像机接入</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F4F570">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C17192">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31923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DFE6F3">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B6D87B">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0B838B79">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8.应支持RID接收机、ADS-B接收机等空域感知设备的接入</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718AF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6FA3B9">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4616D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B969D0">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FCE748">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single" w:color="000000" w:sz="4" w:space="0"/>
              <w:right w:val="single" w:color="000000" w:sz="4" w:space="0"/>
            </w:tcBorders>
            <w:shd w:val="clear" w:color="auto" w:fill="auto"/>
            <w:vAlign w:val="center"/>
          </w:tcPr>
          <w:p w14:paraId="44FFA6FE">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1A8E1A">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3E0F63">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3B8D8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DCCD3">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21</w:t>
            </w:r>
          </w:p>
        </w:tc>
        <w:tc>
          <w:tcPr>
            <w:tcW w:w="1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86F24">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无人机第三者责任险</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A22D66">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4"/>
                <w:u w:val="none"/>
              </w:rPr>
            </w:pPr>
            <w:r>
              <w:rPr>
                <w:rFonts w:hint="eastAsia" w:ascii="仿宋" w:hAnsi="仿宋" w:eastAsia="仿宋" w:cs="仿宋"/>
                <w:i w:val="0"/>
                <w:iCs w:val="0"/>
                <w:color w:val="000000"/>
                <w:kern w:val="0"/>
                <w:sz w:val="22"/>
                <w:szCs w:val="24"/>
                <w:u w:val="none"/>
                <w:lang w:val="en-US" w:eastAsia="zh-CN" w:bidi="ar"/>
              </w:rPr>
              <w:t>配套额度不低于100万第三者责任险。保障范围覆盖飞行器日常巡检、应急作业场景，应对飞行意外造成第三方人身伤害、财物损毁风险，包含三年保险</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7C0643">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470D3">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r>
      <w:tr w14:paraId="7DAB9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73911B">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22</w:t>
            </w:r>
          </w:p>
        </w:tc>
        <w:tc>
          <w:tcPr>
            <w:tcW w:w="16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CECECC">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无人机平台</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423E67B">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4"/>
                <w:u w:val="none"/>
              </w:rPr>
            </w:pPr>
            <w:r>
              <w:rPr>
                <w:rFonts w:hint="eastAsia" w:ascii="仿宋" w:hAnsi="仿宋" w:eastAsia="仿宋" w:cs="仿宋"/>
                <w:i w:val="0"/>
                <w:iCs w:val="0"/>
                <w:color w:val="000000"/>
                <w:kern w:val="0"/>
                <w:sz w:val="22"/>
                <w:szCs w:val="24"/>
                <w:u w:val="none"/>
                <w:lang w:val="en-US" w:eastAsia="zh-CN" w:bidi="ar"/>
              </w:rPr>
              <w:t>在平台使用期内：</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519881">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6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19237C">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项</w:t>
            </w:r>
          </w:p>
        </w:tc>
      </w:tr>
      <w:tr w14:paraId="2FC2C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F5FF68">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4B2093">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59ED8DE8">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4"/>
                <w:u w:val="none"/>
              </w:rPr>
            </w:pPr>
            <w:r>
              <w:rPr>
                <w:rFonts w:hint="eastAsia" w:ascii="仿宋" w:hAnsi="仿宋" w:eastAsia="仿宋" w:cs="仿宋"/>
                <w:i w:val="0"/>
                <w:iCs w:val="0"/>
                <w:color w:val="000000"/>
                <w:kern w:val="0"/>
                <w:sz w:val="22"/>
                <w:szCs w:val="24"/>
                <w:u w:val="none"/>
                <w:lang w:val="en-US" w:eastAsia="zh-CN" w:bidi="ar"/>
              </w:rPr>
              <w:t>1. 支持用户创建组织，在组织管理页面修改人员组织名称、用户角色，也可根据组织角色、项目名称和加入方式筛选组织人员；</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E27F13">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71A115">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3762A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A24065">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BA42CB">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77F1669D">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4"/>
                <w:u w:val="none"/>
              </w:rPr>
            </w:pPr>
            <w:r>
              <w:rPr>
                <w:rFonts w:hint="eastAsia" w:ascii="仿宋" w:hAnsi="仿宋" w:eastAsia="仿宋" w:cs="仿宋"/>
                <w:i w:val="0"/>
                <w:iCs w:val="0"/>
                <w:color w:val="000000"/>
                <w:kern w:val="0"/>
                <w:sz w:val="22"/>
                <w:szCs w:val="24"/>
                <w:u w:val="none"/>
                <w:lang w:val="en-US" w:eastAsia="zh-CN" w:bidi="ar"/>
              </w:rPr>
              <w:t>2. 组织层级下的角色不少于5种；</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57BA41">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D7E705">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3EF56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E09ED4">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DD01DC">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4D3F18A0">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4"/>
                <w:u w:val="none"/>
              </w:rPr>
            </w:pPr>
            <w:r>
              <w:rPr>
                <w:rFonts w:hint="eastAsia" w:ascii="仿宋" w:hAnsi="仿宋" w:eastAsia="仿宋" w:cs="仿宋"/>
                <w:i w:val="0"/>
                <w:iCs w:val="0"/>
                <w:color w:val="000000"/>
                <w:kern w:val="0"/>
                <w:sz w:val="22"/>
                <w:szCs w:val="24"/>
                <w:u w:val="none"/>
                <w:lang w:val="en-US" w:eastAsia="zh-CN" w:bidi="ar"/>
              </w:rPr>
              <w:t>3.支持实时查看图传信号、卫星接收质量和飞行器高度等信息；</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901FCB">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CC7E57">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6C7C5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187854">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044215">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6F713C43">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4"/>
                <w:u w:val="none"/>
              </w:rPr>
            </w:pPr>
            <w:r>
              <w:rPr>
                <w:rFonts w:hint="eastAsia" w:ascii="仿宋" w:hAnsi="仿宋" w:eastAsia="仿宋" w:cs="仿宋"/>
                <w:i w:val="0"/>
                <w:iCs w:val="0"/>
                <w:color w:val="000000"/>
                <w:kern w:val="0"/>
                <w:sz w:val="22"/>
                <w:szCs w:val="24"/>
                <w:u w:val="none"/>
                <w:lang w:val="en-US" w:eastAsia="zh-CN" w:bidi="ar"/>
              </w:rPr>
              <w:t>4.支持查看飞行相机或负载直播画面；直播画面支持通过二维码或链接分享给其他人观看。</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BE5D7A">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EFB6E5">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31E52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2FA7EB">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E541C7">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26DF2765">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4"/>
                <w:u w:val="none"/>
              </w:rPr>
            </w:pPr>
            <w:r>
              <w:rPr>
                <w:rFonts w:hint="eastAsia" w:ascii="仿宋" w:hAnsi="仿宋" w:eastAsia="仿宋" w:cs="仿宋"/>
                <w:i w:val="0"/>
                <w:iCs w:val="0"/>
                <w:color w:val="000000"/>
                <w:kern w:val="0"/>
                <w:sz w:val="22"/>
                <w:szCs w:val="24"/>
                <w:u w:val="none"/>
                <w:lang w:val="en-US" w:eastAsia="zh-CN" w:bidi="ar"/>
              </w:rPr>
              <w:t>5.支持开启自动直播录制，录制内容支持自动保存至媒体库。</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E0856">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513BD4">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73F2F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51DC65">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642DC9">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2A6109B5">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4"/>
                <w:u w:val="none"/>
              </w:rPr>
            </w:pPr>
            <w:r>
              <w:rPr>
                <w:rFonts w:hint="eastAsia" w:ascii="仿宋" w:hAnsi="仿宋" w:eastAsia="仿宋" w:cs="仿宋"/>
                <w:i w:val="0"/>
                <w:iCs w:val="0"/>
                <w:color w:val="000000"/>
                <w:kern w:val="0"/>
                <w:sz w:val="22"/>
                <w:szCs w:val="24"/>
                <w:u w:val="none"/>
                <w:lang w:val="en-US" w:eastAsia="zh-CN" w:bidi="ar"/>
              </w:rPr>
              <w:t>6.支持同时显示无人机云台画面与辅助影像功能</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C9E5C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1BD7F8">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66157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D22416">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3CF2E9">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0069E232">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4"/>
                <w:u w:val="none"/>
              </w:rPr>
            </w:pPr>
            <w:r>
              <w:rPr>
                <w:rFonts w:hint="eastAsia" w:ascii="仿宋" w:hAnsi="仿宋" w:eastAsia="仿宋" w:cs="仿宋"/>
                <w:i w:val="0"/>
                <w:iCs w:val="0"/>
                <w:color w:val="000000"/>
                <w:kern w:val="0"/>
                <w:sz w:val="22"/>
                <w:szCs w:val="24"/>
                <w:u w:val="none"/>
                <w:lang w:val="en-US" w:eastAsia="zh-CN" w:bidi="ar"/>
              </w:rPr>
              <w:t>7.支持一键紧急降落功能</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C36CDB">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E4A49A">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1F987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852DD8">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7BCFEA">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119A6934">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4"/>
                <w:u w:val="none"/>
              </w:rPr>
            </w:pPr>
            <w:r>
              <w:rPr>
                <w:rFonts w:hint="eastAsia" w:ascii="仿宋" w:hAnsi="仿宋" w:eastAsia="仿宋" w:cs="仿宋"/>
                <w:i w:val="0"/>
                <w:iCs w:val="0"/>
                <w:color w:val="000000"/>
                <w:kern w:val="0"/>
                <w:sz w:val="22"/>
                <w:szCs w:val="24"/>
                <w:u w:val="none"/>
                <w:lang w:val="en-US" w:eastAsia="zh-CN" w:bidi="ar"/>
              </w:rPr>
              <w:t>8.支持多路无人机画面同屏直播</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E3C2C8">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FC4B66">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1795D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58793A">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A35A52">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0E05BFBF">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4"/>
                <w:u w:val="none"/>
              </w:rPr>
            </w:pPr>
            <w:r>
              <w:rPr>
                <w:rFonts w:hint="eastAsia" w:ascii="仿宋" w:hAnsi="仿宋" w:eastAsia="仿宋" w:cs="仿宋"/>
                <w:i w:val="0"/>
                <w:iCs w:val="0"/>
                <w:color w:val="000000"/>
                <w:kern w:val="0"/>
                <w:sz w:val="22"/>
                <w:szCs w:val="24"/>
                <w:u w:val="none"/>
                <w:lang w:val="en-US" w:eastAsia="zh-CN" w:bidi="ar"/>
              </w:rPr>
              <w:t>9.可根据设备情况，选择1/4/9/16 /25宫格，满足不同直播需求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2A167E">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065968">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5E9C0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6D5623">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10EF6F">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76E906B8">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4"/>
                <w:u w:val="none"/>
              </w:rPr>
            </w:pPr>
            <w:r>
              <w:rPr>
                <w:rFonts w:hint="eastAsia" w:ascii="仿宋" w:hAnsi="仿宋" w:eastAsia="仿宋" w:cs="仿宋"/>
                <w:i w:val="0"/>
                <w:iCs w:val="0"/>
                <w:color w:val="000000"/>
                <w:kern w:val="0"/>
                <w:sz w:val="22"/>
                <w:szCs w:val="24"/>
                <w:u w:val="none"/>
                <w:lang w:val="en-US" w:eastAsia="zh-CN" w:bidi="ar"/>
              </w:rPr>
              <w:t>10.支持远程操控无人机，包含：起飞/降落、无人机飞行、云台角度调整、拍照/录像动作等</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DDE70C">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13D78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0AF17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4BE7F0">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289DA7">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6A07A5AE">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4"/>
                <w:u w:val="none"/>
              </w:rPr>
            </w:pPr>
            <w:r>
              <w:rPr>
                <w:rFonts w:hint="eastAsia" w:ascii="仿宋" w:hAnsi="仿宋" w:eastAsia="仿宋" w:cs="仿宋"/>
                <w:i w:val="0"/>
                <w:iCs w:val="0"/>
                <w:color w:val="000000"/>
                <w:kern w:val="0"/>
                <w:sz w:val="22"/>
                <w:szCs w:val="24"/>
                <w:u w:val="none"/>
                <w:lang w:val="en-US" w:eastAsia="zh-CN" w:bidi="ar"/>
              </w:rPr>
              <w:t>11.支持指点飞行，可在地图上选点作为目标点，然后无人机将自动飞往目标点</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7CCD5A">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7F4145">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71DC8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D5C24D">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2D2AD6">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36A178F4">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4"/>
                <w:u w:val="none"/>
              </w:rPr>
            </w:pPr>
            <w:r>
              <w:rPr>
                <w:rFonts w:hint="eastAsia" w:ascii="仿宋" w:hAnsi="仿宋" w:eastAsia="仿宋" w:cs="仿宋"/>
                <w:i w:val="0"/>
                <w:iCs w:val="0"/>
                <w:color w:val="000000"/>
                <w:kern w:val="0"/>
                <w:sz w:val="22"/>
                <w:szCs w:val="24"/>
                <w:u w:val="none"/>
                <w:lang w:val="en-US" w:eastAsia="zh-CN" w:bidi="ar"/>
              </w:rPr>
              <w:t>12.支持负载拍摄角度控制，获取负载控制权限后，可通过在负载直播画面双击鼠标、拖动鼠标，或通过键盘方向键控制负载拍摄角度。</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FAD1F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4C640A">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660E3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61EE56">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937F17">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645111D3">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4"/>
                <w:u w:val="none"/>
              </w:rPr>
            </w:pPr>
            <w:r>
              <w:rPr>
                <w:rFonts w:hint="eastAsia" w:ascii="仿宋" w:hAnsi="仿宋" w:eastAsia="仿宋" w:cs="仿宋"/>
                <w:i w:val="0"/>
                <w:iCs w:val="0"/>
                <w:color w:val="000000"/>
                <w:kern w:val="0"/>
                <w:sz w:val="22"/>
                <w:szCs w:val="24"/>
                <w:u w:val="none"/>
                <w:lang w:val="en-US" w:eastAsia="zh-CN" w:bidi="ar"/>
              </w:rPr>
              <w:t>13.激光测距功能支持负载直播画面显示直播画面中心点坐标，激光打点功能支持直接在画面中心点进行标注。</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FAD64A">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FC5227">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49F8F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69C6D9">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BFEBFA">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164A4A36">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4"/>
                <w:u w:val="none"/>
              </w:rPr>
            </w:pPr>
            <w:r>
              <w:rPr>
                <w:rFonts w:hint="eastAsia" w:ascii="仿宋" w:hAnsi="仿宋" w:eastAsia="仿宋" w:cs="仿宋"/>
                <w:i w:val="0"/>
                <w:iCs w:val="0"/>
                <w:color w:val="000000"/>
                <w:kern w:val="0"/>
                <w:sz w:val="22"/>
                <w:szCs w:val="24"/>
                <w:u w:val="none"/>
                <w:lang w:val="en-US" w:eastAsia="zh-CN" w:bidi="ar"/>
              </w:rPr>
              <w:t>14.支持无人机飞行过程中的人、车、船实时AI识别、统计与自动告警，可查看航线执行中触发的告警记录详情；</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5F15F2">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435108">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217C7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9F5267">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8CA3AF">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5C1437DC">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4"/>
                <w:u w:val="none"/>
              </w:rPr>
            </w:pPr>
            <w:r>
              <w:rPr>
                <w:rFonts w:hint="eastAsia" w:ascii="仿宋" w:hAnsi="仿宋" w:eastAsia="仿宋" w:cs="仿宋"/>
                <w:i w:val="0"/>
                <w:iCs w:val="0"/>
                <w:color w:val="000000"/>
                <w:kern w:val="0"/>
                <w:sz w:val="22"/>
                <w:szCs w:val="24"/>
                <w:u w:val="none"/>
                <w:lang w:val="en-US" w:eastAsia="zh-CN" w:bidi="ar"/>
              </w:rPr>
              <w:t>15.支持智能跟踪，选定AI识别目标物体后即可持续跟踪；</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704F8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380722">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14124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8C80AA">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4244C2">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7A3D5AD4">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4"/>
                <w:u w:val="none"/>
              </w:rPr>
            </w:pPr>
            <w:r>
              <w:rPr>
                <w:rFonts w:hint="eastAsia" w:ascii="仿宋" w:hAnsi="仿宋" w:eastAsia="仿宋" w:cs="仿宋"/>
                <w:i w:val="0"/>
                <w:iCs w:val="0"/>
                <w:color w:val="000000"/>
                <w:kern w:val="0"/>
                <w:sz w:val="22"/>
                <w:szCs w:val="24"/>
                <w:u w:val="none"/>
                <w:lang w:val="en-US" w:eastAsia="zh-CN" w:bidi="ar"/>
              </w:rPr>
              <w:t>16.支持AI 航线告警通知配置，支持配置识别到目标后的告警接收方式、频率等。</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C379E6">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F8CB4E">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629C9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38E6F6">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30E769">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50B2F42A">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4"/>
                <w:u w:val="none"/>
              </w:rPr>
            </w:pPr>
            <w:r>
              <w:rPr>
                <w:rFonts w:hint="eastAsia" w:ascii="仿宋" w:hAnsi="仿宋" w:eastAsia="仿宋" w:cs="仿宋"/>
                <w:i w:val="0"/>
                <w:iCs w:val="0"/>
                <w:color w:val="000000"/>
                <w:kern w:val="0"/>
                <w:sz w:val="22"/>
                <w:szCs w:val="24"/>
                <w:u w:val="none"/>
                <w:lang w:val="en-US" w:eastAsia="zh-CN" w:bidi="ar"/>
              </w:rPr>
              <w:t>17.支持使用文本、图片等方式输入，通过大模型理解用户意图，生成标签，在无人机直播画面中能够实时对目标进行检索和告警，支持多目标同时检索，检索结果可快速显示</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92FDB4">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8F0CA1">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18133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8149FA">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9DBEC2">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1BD9F984">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4"/>
                <w:u w:val="none"/>
              </w:rPr>
            </w:pPr>
            <w:r>
              <w:rPr>
                <w:rFonts w:hint="eastAsia" w:ascii="仿宋" w:hAnsi="仿宋" w:eastAsia="仿宋" w:cs="仿宋"/>
                <w:i w:val="0"/>
                <w:iCs w:val="0"/>
                <w:color w:val="000000"/>
                <w:kern w:val="0"/>
                <w:sz w:val="22"/>
                <w:szCs w:val="24"/>
                <w:u w:val="none"/>
                <w:lang w:val="en-US" w:eastAsia="zh-CN" w:bidi="ar"/>
              </w:rPr>
              <w:t>18.支持同一航点航线任务产生的两组媒体文件夹智能检测并标记变化区域</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206A03">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F5452D">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54B26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304A38">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654146">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081A8125">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4"/>
                <w:u w:val="none"/>
              </w:rPr>
            </w:pPr>
            <w:r>
              <w:rPr>
                <w:rFonts w:hint="eastAsia" w:ascii="仿宋" w:hAnsi="仿宋" w:eastAsia="仿宋" w:cs="仿宋"/>
                <w:i w:val="0"/>
                <w:iCs w:val="0"/>
                <w:color w:val="000000"/>
                <w:kern w:val="0"/>
                <w:sz w:val="22"/>
                <w:szCs w:val="24"/>
                <w:u w:val="none"/>
                <w:lang w:val="en-US" w:eastAsia="zh-CN" w:bidi="ar"/>
              </w:rPr>
              <w:t>19.支持标准地图/卫星地图切换加载；</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C62E10">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1A7A2A">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6BA63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C94056">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D61999">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196AAB7D">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4"/>
                <w:u w:val="none"/>
              </w:rPr>
            </w:pPr>
            <w:r>
              <w:rPr>
                <w:rFonts w:hint="eastAsia" w:ascii="仿宋" w:hAnsi="仿宋" w:eastAsia="仿宋" w:cs="仿宋"/>
                <w:i w:val="0"/>
                <w:iCs w:val="0"/>
                <w:color w:val="000000"/>
                <w:kern w:val="0"/>
                <w:sz w:val="22"/>
                <w:szCs w:val="24"/>
                <w:u w:val="none"/>
                <w:lang w:val="en-US" w:eastAsia="zh-CN" w:bidi="ar"/>
              </w:rPr>
              <w:t>20.支持地图上切换禁飞限飞区显、隐</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D3B571">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B393AA">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29985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1575F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D8E90C">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3BF98504">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4"/>
                <w:u w:val="none"/>
              </w:rPr>
            </w:pPr>
            <w:r>
              <w:rPr>
                <w:rFonts w:hint="eastAsia" w:ascii="仿宋" w:hAnsi="仿宋" w:eastAsia="仿宋" w:cs="仿宋"/>
                <w:i w:val="0"/>
                <w:iCs w:val="0"/>
                <w:color w:val="000000"/>
                <w:kern w:val="0"/>
                <w:sz w:val="22"/>
                <w:szCs w:val="24"/>
                <w:u w:val="none"/>
                <w:lang w:val="en-US" w:eastAsia="zh-CN" w:bidi="ar"/>
              </w:rPr>
              <w:t>21.支持作业区域管理，可自定义飞行区和禁飞区</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E19B63">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202D6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4AB85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8BBF9B">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DF8EC8">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4226B041">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4"/>
                <w:u w:val="none"/>
              </w:rPr>
            </w:pPr>
            <w:r>
              <w:rPr>
                <w:rFonts w:hint="eastAsia" w:ascii="仿宋" w:hAnsi="仿宋" w:eastAsia="仿宋" w:cs="仿宋"/>
                <w:i w:val="0"/>
                <w:iCs w:val="0"/>
                <w:color w:val="000000"/>
                <w:kern w:val="0"/>
                <w:sz w:val="22"/>
                <w:szCs w:val="24"/>
                <w:u w:val="none"/>
                <w:lang w:val="en-US" w:eastAsia="zh-CN" w:bidi="ar"/>
              </w:rPr>
              <w:t>22.支持ADS-B 发射机的载人飞机/直升机的上报的数据，并在地图上显示载人飞机/直升机位置信息并发出预警。可以高、中、低三个等级区分碰撞风险等级。</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BC2C0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E7DB9D">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0740E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577AC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38A74D">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76D218D7">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4"/>
                <w:u w:val="none"/>
              </w:rPr>
            </w:pPr>
            <w:r>
              <w:rPr>
                <w:rFonts w:hint="eastAsia" w:ascii="仿宋" w:hAnsi="仿宋" w:eastAsia="仿宋" w:cs="仿宋"/>
                <w:i w:val="0"/>
                <w:iCs w:val="0"/>
                <w:color w:val="000000"/>
                <w:kern w:val="0"/>
                <w:sz w:val="22"/>
                <w:szCs w:val="24"/>
                <w:u w:val="none"/>
                <w:lang w:val="en-US" w:eastAsia="zh-CN" w:bidi="ar"/>
              </w:rPr>
              <w:t>23.模型重建功能支持选择媒体库中的可见光图片，进行二三维重建，模型重建支持选择兴趣区重建</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92255D">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8C67D9">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6BAC5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520B8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666FA2">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7056BDF3">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4"/>
                <w:u w:val="none"/>
              </w:rPr>
            </w:pPr>
            <w:r>
              <w:rPr>
                <w:rFonts w:hint="eastAsia" w:ascii="仿宋" w:hAnsi="仿宋" w:eastAsia="仿宋" w:cs="仿宋"/>
                <w:i w:val="0"/>
                <w:iCs w:val="0"/>
                <w:color w:val="000000"/>
                <w:kern w:val="0"/>
                <w:sz w:val="22"/>
                <w:szCs w:val="24"/>
                <w:u w:val="none"/>
                <w:lang w:val="en-US" w:eastAsia="zh-CN" w:bidi="ar"/>
              </w:rPr>
              <w:t>24.支持多样化的任务策略，包括立即执行、单次形式、重复定时、连续执行等</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CDC6CC">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DDE382">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366BB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109793">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72CA14">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45D2F086">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4"/>
                <w:u w:val="none"/>
              </w:rPr>
            </w:pPr>
            <w:r>
              <w:rPr>
                <w:rFonts w:hint="eastAsia" w:ascii="仿宋" w:hAnsi="仿宋" w:eastAsia="仿宋" w:cs="仿宋"/>
                <w:i w:val="0"/>
                <w:iCs w:val="0"/>
                <w:color w:val="000000"/>
                <w:kern w:val="0"/>
                <w:sz w:val="22"/>
                <w:szCs w:val="24"/>
                <w:u w:val="none"/>
                <w:lang w:val="en-US" w:eastAsia="zh-CN" w:bidi="ar"/>
              </w:rPr>
              <w:t>25.支持至少4种以上航线类型规划。</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AB73F2">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108853">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4CE1B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1D9297">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2940D3">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50703C5D">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4"/>
                <w:u w:val="none"/>
              </w:rPr>
            </w:pPr>
            <w:r>
              <w:rPr>
                <w:rFonts w:hint="eastAsia" w:ascii="仿宋" w:hAnsi="仿宋" w:eastAsia="仿宋" w:cs="仿宋"/>
                <w:i w:val="0"/>
                <w:iCs w:val="0"/>
                <w:color w:val="000000"/>
                <w:kern w:val="0"/>
                <w:sz w:val="22"/>
                <w:szCs w:val="24"/>
                <w:u w:val="none"/>
                <w:lang w:val="en-US" w:eastAsia="zh-CN" w:bidi="ar"/>
              </w:rPr>
              <w:t>26.机场出现异常状况时，支持自动通过短信/邮件发送给设备管理员</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18BB45">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D7CF30">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20365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B0A6EC">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4473A5">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single" w:color="000000" w:sz="4" w:space="0"/>
              <w:right w:val="single" w:color="000000" w:sz="4" w:space="0"/>
            </w:tcBorders>
            <w:shd w:val="clear" w:color="auto" w:fill="auto"/>
            <w:vAlign w:val="center"/>
          </w:tcPr>
          <w:p w14:paraId="65D45A98">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4"/>
                <w:u w:val="none"/>
              </w:rPr>
            </w:pPr>
            <w:r>
              <w:rPr>
                <w:rFonts w:hint="eastAsia" w:ascii="仿宋" w:hAnsi="仿宋" w:eastAsia="仿宋" w:cs="仿宋"/>
                <w:i w:val="0"/>
                <w:iCs w:val="0"/>
                <w:color w:val="000000"/>
                <w:kern w:val="0"/>
                <w:sz w:val="22"/>
                <w:szCs w:val="24"/>
                <w:u w:val="none"/>
                <w:lang w:val="en-US" w:eastAsia="zh-CN" w:bidi="ar"/>
              </w:rPr>
              <w:t>27.支持远程设备运维，设备升级，设备定损等，并且设备出现异常状况时，支持自动通过短信/邮件发送给设备管理员。</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428FA3">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6E4F60">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7B7F2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7C1EB">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23</w:t>
            </w:r>
          </w:p>
        </w:tc>
        <w:tc>
          <w:tcPr>
            <w:tcW w:w="1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7CA93">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无人机机场配套安装工程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739213">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含机场基础底座、户外强弱电布线、网线、防雷接地、现场技术人员调试安装服务。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31467A">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2B78A">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r>
      <w:tr w14:paraId="0FA8E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tcBorders>
              <w:top w:val="single" w:color="000000" w:sz="4" w:space="0"/>
              <w:left w:val="single" w:color="000000" w:sz="4" w:space="0"/>
              <w:bottom w:val="single" w:color="000000" w:sz="4" w:space="0"/>
              <w:right w:val="nil"/>
            </w:tcBorders>
            <w:shd w:val="clear" w:color="auto" w:fill="auto"/>
            <w:noWrap/>
            <w:vAlign w:val="center"/>
          </w:tcPr>
          <w:p w14:paraId="1CBAF6E5">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bCs/>
                <w:i w:val="0"/>
                <w:iCs w:val="0"/>
                <w:color w:val="000000"/>
                <w:sz w:val="22"/>
                <w:szCs w:val="24"/>
                <w:u w:val="none"/>
              </w:rPr>
            </w:pPr>
            <w:r>
              <w:rPr>
                <w:rFonts w:hint="eastAsia" w:ascii="仿宋" w:hAnsi="仿宋" w:eastAsia="仿宋" w:cs="仿宋"/>
                <w:b/>
                <w:bCs/>
                <w:i w:val="0"/>
                <w:iCs w:val="0"/>
                <w:color w:val="000000"/>
                <w:kern w:val="0"/>
                <w:sz w:val="22"/>
                <w:szCs w:val="24"/>
                <w:u w:val="none"/>
                <w:lang w:val="en-US" w:eastAsia="zh-CN" w:bidi="ar"/>
              </w:rPr>
              <w:t>三</w:t>
            </w:r>
          </w:p>
        </w:tc>
        <w:tc>
          <w:tcPr>
            <w:tcW w:w="1608" w:type="dxa"/>
            <w:tcBorders>
              <w:top w:val="single" w:color="000000" w:sz="4" w:space="0"/>
              <w:left w:val="nil"/>
              <w:bottom w:val="single" w:color="000000" w:sz="4" w:space="0"/>
              <w:right w:val="single" w:color="000000" w:sz="4" w:space="0"/>
            </w:tcBorders>
            <w:shd w:val="clear" w:color="auto" w:fill="auto"/>
            <w:noWrap/>
            <w:vAlign w:val="center"/>
          </w:tcPr>
          <w:p w14:paraId="2CF29442">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b/>
                <w:bCs/>
                <w:i w:val="0"/>
                <w:iCs w:val="0"/>
                <w:color w:val="000000"/>
                <w:sz w:val="22"/>
                <w:szCs w:val="24"/>
                <w:u w:val="none"/>
              </w:rPr>
            </w:pPr>
            <w:r>
              <w:rPr>
                <w:rFonts w:hint="eastAsia" w:ascii="仿宋" w:hAnsi="仿宋" w:eastAsia="仿宋" w:cs="仿宋"/>
                <w:b/>
                <w:bCs/>
                <w:i w:val="0"/>
                <w:iCs w:val="0"/>
                <w:color w:val="000000"/>
                <w:kern w:val="0"/>
                <w:sz w:val="22"/>
                <w:szCs w:val="24"/>
                <w:u w:val="none"/>
                <w:lang w:val="en-US" w:eastAsia="zh-CN" w:bidi="ar"/>
              </w:rPr>
              <w:t>宣传牌</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07BEBE">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06104C">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D6795">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2D04A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51E45">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24</w:t>
            </w:r>
          </w:p>
        </w:tc>
        <w:tc>
          <w:tcPr>
            <w:tcW w:w="1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BF43F">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制作宣传牌</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410D7E">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规格7.5米*4米，框架外框方钢6×6、内框4×4，使用0.6㎜厚铁皮一张，直接用反光油漆写字，直径160㎜钢管立柱3个，下面混凝土基础60㎝×60㎝×100㎝，地上立柱550cm,斜撑立柱2个。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42A6D">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0"/>
                <w:u w:val="none"/>
              </w:rPr>
            </w:pPr>
            <w:r>
              <w:rPr>
                <w:rFonts w:hint="eastAsia" w:ascii="仿宋" w:hAnsi="仿宋" w:eastAsia="仿宋" w:cs="仿宋"/>
                <w:i w:val="0"/>
                <w:iCs w:val="0"/>
                <w:color w:val="000000"/>
                <w:kern w:val="0"/>
                <w:sz w:val="22"/>
                <w:szCs w:val="20"/>
                <w:u w:val="none"/>
                <w:lang w:val="en-US" w:eastAsia="zh-CN" w:bidi="ar"/>
              </w:rPr>
              <w:t>8</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04240">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0"/>
                <w:u w:val="none"/>
              </w:rPr>
            </w:pPr>
            <w:r>
              <w:rPr>
                <w:rFonts w:hint="eastAsia" w:ascii="仿宋" w:hAnsi="仿宋" w:eastAsia="仿宋" w:cs="仿宋"/>
                <w:i w:val="0"/>
                <w:iCs w:val="0"/>
                <w:color w:val="000000"/>
                <w:kern w:val="0"/>
                <w:sz w:val="22"/>
                <w:szCs w:val="20"/>
                <w:u w:val="none"/>
                <w:lang w:val="en-US" w:eastAsia="zh-CN" w:bidi="ar"/>
              </w:rPr>
              <w:t>块</w:t>
            </w:r>
          </w:p>
        </w:tc>
      </w:tr>
      <w:tr w14:paraId="17083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1B1E5">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w:t>
            </w:r>
          </w:p>
        </w:tc>
        <w:tc>
          <w:tcPr>
            <w:tcW w:w="1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2F1BD">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维修宣传牌</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8D68DE">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2.5m×5m（12.5㎡），0.6㎜铁皮加喷字，字喷反光油漆，立柱喷油漆。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EA0B9">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0"/>
                <w:u w:val="none"/>
              </w:rPr>
            </w:pPr>
            <w:r>
              <w:rPr>
                <w:rFonts w:hint="eastAsia" w:ascii="仿宋" w:hAnsi="仿宋" w:eastAsia="仿宋" w:cs="仿宋"/>
                <w:i w:val="0"/>
                <w:iCs w:val="0"/>
                <w:color w:val="000000"/>
                <w:kern w:val="0"/>
                <w:sz w:val="22"/>
                <w:szCs w:val="20"/>
                <w:u w:val="none"/>
                <w:lang w:val="en-US" w:eastAsia="zh-CN" w:bidi="ar"/>
              </w:rPr>
              <w:t>9</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4729F">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0"/>
                <w:u w:val="none"/>
              </w:rPr>
            </w:pPr>
            <w:r>
              <w:rPr>
                <w:rFonts w:hint="eastAsia" w:ascii="仿宋" w:hAnsi="仿宋" w:eastAsia="仿宋" w:cs="仿宋"/>
                <w:i w:val="0"/>
                <w:iCs w:val="0"/>
                <w:color w:val="000000"/>
                <w:kern w:val="0"/>
                <w:sz w:val="22"/>
                <w:szCs w:val="20"/>
                <w:u w:val="none"/>
                <w:lang w:val="en-US" w:eastAsia="zh-CN" w:bidi="ar"/>
              </w:rPr>
              <w:t>块</w:t>
            </w:r>
          </w:p>
        </w:tc>
      </w:tr>
      <w:tr w14:paraId="2B096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D7DEE">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26</w:t>
            </w:r>
          </w:p>
        </w:tc>
        <w:tc>
          <w:tcPr>
            <w:tcW w:w="1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DD3FC">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维修宣传牌</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AC0CE3">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2m×4m（8㎡），0.6㎜铁皮加喷字，字喷反光油漆，立柱喷油漆。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4376E">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0"/>
                <w:u w:val="none"/>
              </w:rPr>
            </w:pPr>
            <w:r>
              <w:rPr>
                <w:rFonts w:hint="eastAsia" w:ascii="仿宋" w:hAnsi="仿宋" w:eastAsia="仿宋" w:cs="仿宋"/>
                <w:i w:val="0"/>
                <w:iCs w:val="0"/>
                <w:color w:val="000000"/>
                <w:kern w:val="0"/>
                <w:sz w:val="22"/>
                <w:szCs w:val="20"/>
                <w:u w:val="none"/>
                <w:lang w:val="en-US" w:eastAsia="zh-CN" w:bidi="ar"/>
              </w:rPr>
              <w:t>1</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E70C9">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0"/>
                <w:u w:val="none"/>
              </w:rPr>
            </w:pPr>
            <w:r>
              <w:rPr>
                <w:rFonts w:hint="eastAsia" w:ascii="仿宋" w:hAnsi="仿宋" w:eastAsia="仿宋" w:cs="仿宋"/>
                <w:i w:val="0"/>
                <w:iCs w:val="0"/>
                <w:color w:val="000000"/>
                <w:kern w:val="0"/>
                <w:sz w:val="22"/>
                <w:szCs w:val="20"/>
                <w:u w:val="none"/>
                <w:lang w:val="en-US" w:eastAsia="zh-CN" w:bidi="ar"/>
              </w:rPr>
              <w:t>块</w:t>
            </w:r>
          </w:p>
        </w:tc>
      </w:tr>
      <w:tr w14:paraId="5265B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6FC4F">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27</w:t>
            </w:r>
          </w:p>
        </w:tc>
        <w:tc>
          <w:tcPr>
            <w:tcW w:w="1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DCEC4">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维修宣传牌</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4B17E0">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4m×2m（8㎡），0.6㎜铁皮加喷字，字喷反光油漆，立柱喷油漆。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9F21C">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0"/>
                <w:u w:val="none"/>
              </w:rPr>
            </w:pPr>
            <w:r>
              <w:rPr>
                <w:rFonts w:hint="eastAsia" w:ascii="仿宋" w:hAnsi="仿宋" w:eastAsia="仿宋" w:cs="仿宋"/>
                <w:i w:val="0"/>
                <w:iCs w:val="0"/>
                <w:color w:val="000000"/>
                <w:kern w:val="0"/>
                <w:sz w:val="22"/>
                <w:szCs w:val="20"/>
                <w:u w:val="none"/>
                <w:lang w:val="en-US" w:eastAsia="zh-CN" w:bidi="ar"/>
              </w:rPr>
              <w:t>3</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16B67">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0"/>
                <w:u w:val="none"/>
              </w:rPr>
            </w:pPr>
            <w:r>
              <w:rPr>
                <w:rFonts w:hint="eastAsia" w:ascii="仿宋" w:hAnsi="仿宋" w:eastAsia="仿宋" w:cs="仿宋"/>
                <w:i w:val="0"/>
                <w:iCs w:val="0"/>
                <w:color w:val="000000"/>
                <w:kern w:val="0"/>
                <w:sz w:val="22"/>
                <w:szCs w:val="20"/>
                <w:u w:val="none"/>
                <w:lang w:val="en-US" w:eastAsia="zh-CN" w:bidi="ar"/>
              </w:rPr>
              <w:t>块</w:t>
            </w:r>
          </w:p>
        </w:tc>
      </w:tr>
      <w:tr w14:paraId="5E0F8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9404D">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c>
          <w:tcPr>
            <w:tcW w:w="1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E7A1A">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维修宣传牌</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D62D1D">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4m×3m（12㎡），0.6㎜铁皮加喷字，字喷反光油漆，立柱喷油漆。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9395E">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0"/>
                <w:u w:val="none"/>
              </w:rPr>
            </w:pPr>
            <w:r>
              <w:rPr>
                <w:rFonts w:hint="eastAsia" w:ascii="仿宋" w:hAnsi="仿宋" w:eastAsia="仿宋" w:cs="仿宋"/>
                <w:i w:val="0"/>
                <w:iCs w:val="0"/>
                <w:color w:val="000000"/>
                <w:kern w:val="0"/>
                <w:sz w:val="22"/>
                <w:szCs w:val="20"/>
                <w:u w:val="none"/>
                <w:lang w:val="en-US" w:eastAsia="zh-CN" w:bidi="ar"/>
              </w:rPr>
              <w:t>25</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FE34A">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0"/>
                <w:u w:val="none"/>
              </w:rPr>
            </w:pPr>
            <w:r>
              <w:rPr>
                <w:rFonts w:hint="eastAsia" w:ascii="仿宋" w:hAnsi="仿宋" w:eastAsia="仿宋" w:cs="仿宋"/>
                <w:i w:val="0"/>
                <w:iCs w:val="0"/>
                <w:color w:val="000000"/>
                <w:kern w:val="0"/>
                <w:sz w:val="22"/>
                <w:szCs w:val="20"/>
                <w:u w:val="none"/>
                <w:lang w:val="en-US" w:eastAsia="zh-CN" w:bidi="ar"/>
              </w:rPr>
              <w:t>块</w:t>
            </w:r>
          </w:p>
        </w:tc>
      </w:tr>
      <w:tr w14:paraId="67FA0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62465">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29</w:t>
            </w:r>
          </w:p>
        </w:tc>
        <w:tc>
          <w:tcPr>
            <w:tcW w:w="1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7241F">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维修宣传牌</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6A55F8">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5m×2.5m（12.5㎡），0.6㎜铁皮加喷字，字喷反光油漆，立柱喷油漆。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9B086">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0"/>
                <w:u w:val="none"/>
              </w:rPr>
            </w:pPr>
            <w:r>
              <w:rPr>
                <w:rFonts w:hint="eastAsia" w:ascii="仿宋" w:hAnsi="仿宋" w:eastAsia="仿宋" w:cs="仿宋"/>
                <w:i w:val="0"/>
                <w:iCs w:val="0"/>
                <w:color w:val="000000"/>
                <w:kern w:val="0"/>
                <w:sz w:val="22"/>
                <w:szCs w:val="20"/>
                <w:u w:val="none"/>
                <w:lang w:val="en-US" w:eastAsia="zh-CN" w:bidi="ar"/>
              </w:rPr>
              <w:t>31</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78943">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0"/>
                <w:u w:val="none"/>
              </w:rPr>
            </w:pPr>
            <w:r>
              <w:rPr>
                <w:rFonts w:hint="eastAsia" w:ascii="仿宋" w:hAnsi="仿宋" w:eastAsia="仿宋" w:cs="仿宋"/>
                <w:i w:val="0"/>
                <w:iCs w:val="0"/>
                <w:color w:val="000000"/>
                <w:kern w:val="0"/>
                <w:sz w:val="22"/>
                <w:szCs w:val="20"/>
                <w:u w:val="none"/>
                <w:lang w:val="en-US" w:eastAsia="zh-CN" w:bidi="ar"/>
              </w:rPr>
              <w:t>块</w:t>
            </w:r>
          </w:p>
        </w:tc>
      </w:tr>
      <w:tr w14:paraId="313E7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1DD20">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30</w:t>
            </w:r>
          </w:p>
        </w:tc>
        <w:tc>
          <w:tcPr>
            <w:tcW w:w="1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A6C8D">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维修宣传牌</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622EF8">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5m×3m（15㎡），0.6㎜铁皮加喷字，字喷反光油漆，立柱喷油漆。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F2697">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0"/>
                <w:u w:val="none"/>
              </w:rPr>
            </w:pPr>
            <w:r>
              <w:rPr>
                <w:rFonts w:hint="eastAsia" w:ascii="仿宋" w:hAnsi="仿宋" w:eastAsia="仿宋" w:cs="仿宋"/>
                <w:i w:val="0"/>
                <w:iCs w:val="0"/>
                <w:color w:val="000000"/>
                <w:kern w:val="0"/>
                <w:sz w:val="22"/>
                <w:szCs w:val="20"/>
                <w:u w:val="none"/>
                <w:lang w:val="en-US" w:eastAsia="zh-CN" w:bidi="ar"/>
              </w:rPr>
              <w:t>2</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DDDB4">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0"/>
                <w:u w:val="none"/>
              </w:rPr>
            </w:pPr>
            <w:r>
              <w:rPr>
                <w:rFonts w:hint="eastAsia" w:ascii="仿宋" w:hAnsi="仿宋" w:eastAsia="仿宋" w:cs="仿宋"/>
                <w:i w:val="0"/>
                <w:iCs w:val="0"/>
                <w:color w:val="000000"/>
                <w:kern w:val="0"/>
                <w:sz w:val="22"/>
                <w:szCs w:val="20"/>
                <w:u w:val="none"/>
                <w:lang w:val="en-US" w:eastAsia="zh-CN" w:bidi="ar"/>
              </w:rPr>
              <w:t>块</w:t>
            </w:r>
          </w:p>
        </w:tc>
      </w:tr>
      <w:tr w14:paraId="54B13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748A0">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31</w:t>
            </w:r>
          </w:p>
        </w:tc>
        <w:tc>
          <w:tcPr>
            <w:tcW w:w="1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DEC44">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维修宣传牌</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EBD409">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4m×6m（24㎡），0.6㎜铁皮加喷字，字喷反光油漆，立柱喷油漆。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E9A49">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0"/>
                <w:u w:val="none"/>
              </w:rPr>
            </w:pPr>
            <w:r>
              <w:rPr>
                <w:rFonts w:hint="eastAsia" w:ascii="仿宋" w:hAnsi="仿宋" w:eastAsia="仿宋" w:cs="仿宋"/>
                <w:i w:val="0"/>
                <w:iCs w:val="0"/>
                <w:color w:val="000000"/>
                <w:kern w:val="0"/>
                <w:sz w:val="22"/>
                <w:szCs w:val="20"/>
                <w:u w:val="none"/>
                <w:lang w:val="en-US" w:eastAsia="zh-CN" w:bidi="ar"/>
              </w:rPr>
              <w:t>1</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4AA49">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0"/>
                <w:u w:val="none"/>
              </w:rPr>
            </w:pPr>
            <w:r>
              <w:rPr>
                <w:rFonts w:hint="eastAsia" w:ascii="仿宋" w:hAnsi="仿宋" w:eastAsia="仿宋" w:cs="仿宋"/>
                <w:i w:val="0"/>
                <w:iCs w:val="0"/>
                <w:color w:val="000000"/>
                <w:kern w:val="0"/>
                <w:sz w:val="22"/>
                <w:szCs w:val="20"/>
                <w:u w:val="none"/>
                <w:lang w:val="en-US" w:eastAsia="zh-CN" w:bidi="ar"/>
              </w:rPr>
              <w:t>块</w:t>
            </w:r>
          </w:p>
        </w:tc>
      </w:tr>
      <w:tr w14:paraId="131A2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F7618">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32</w:t>
            </w:r>
          </w:p>
        </w:tc>
        <w:tc>
          <w:tcPr>
            <w:tcW w:w="1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C8057">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维修宣传牌</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5CEB08">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6m×4m（24㎡），0.6㎜铁皮加喷字，字喷反光油漆，立柱喷油漆。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ADA46">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0"/>
                <w:u w:val="none"/>
              </w:rPr>
            </w:pPr>
            <w:r>
              <w:rPr>
                <w:rFonts w:hint="eastAsia" w:ascii="仿宋" w:hAnsi="仿宋" w:eastAsia="仿宋" w:cs="仿宋"/>
                <w:i w:val="0"/>
                <w:iCs w:val="0"/>
                <w:color w:val="000000"/>
                <w:kern w:val="0"/>
                <w:sz w:val="22"/>
                <w:szCs w:val="20"/>
                <w:u w:val="none"/>
                <w:lang w:val="en-US" w:eastAsia="zh-CN" w:bidi="ar"/>
              </w:rPr>
              <w:t>6</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18A94">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0"/>
                <w:u w:val="none"/>
              </w:rPr>
            </w:pPr>
            <w:r>
              <w:rPr>
                <w:rFonts w:hint="eastAsia" w:ascii="仿宋" w:hAnsi="仿宋" w:eastAsia="仿宋" w:cs="仿宋"/>
                <w:i w:val="0"/>
                <w:iCs w:val="0"/>
                <w:color w:val="000000"/>
                <w:kern w:val="0"/>
                <w:sz w:val="22"/>
                <w:szCs w:val="20"/>
                <w:u w:val="none"/>
                <w:lang w:val="en-US" w:eastAsia="zh-CN" w:bidi="ar"/>
              </w:rPr>
              <w:t>块</w:t>
            </w:r>
          </w:p>
        </w:tc>
      </w:tr>
      <w:tr w14:paraId="70A98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3AC1F">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33</w:t>
            </w:r>
          </w:p>
        </w:tc>
        <w:tc>
          <w:tcPr>
            <w:tcW w:w="1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9A240">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维修宣传牌</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D1D3EA">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7.5m×2.3m（17.25㎡），0.6㎜铁皮加喷字，字喷反光油漆，立柱喷油漆。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D6C07">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0"/>
                <w:u w:val="none"/>
              </w:rPr>
            </w:pPr>
            <w:r>
              <w:rPr>
                <w:rFonts w:hint="eastAsia" w:ascii="仿宋" w:hAnsi="仿宋" w:eastAsia="仿宋" w:cs="仿宋"/>
                <w:i w:val="0"/>
                <w:iCs w:val="0"/>
                <w:color w:val="000000"/>
                <w:kern w:val="0"/>
                <w:sz w:val="22"/>
                <w:szCs w:val="20"/>
                <w:u w:val="none"/>
                <w:lang w:val="en-US" w:eastAsia="zh-CN" w:bidi="ar"/>
              </w:rPr>
              <w:t>1</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FC396">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0"/>
                <w:u w:val="none"/>
              </w:rPr>
            </w:pPr>
            <w:r>
              <w:rPr>
                <w:rFonts w:hint="eastAsia" w:ascii="仿宋" w:hAnsi="仿宋" w:eastAsia="仿宋" w:cs="仿宋"/>
                <w:i w:val="0"/>
                <w:iCs w:val="0"/>
                <w:color w:val="000000"/>
                <w:kern w:val="0"/>
                <w:sz w:val="22"/>
                <w:szCs w:val="20"/>
                <w:u w:val="none"/>
                <w:lang w:val="en-US" w:eastAsia="zh-CN" w:bidi="ar"/>
              </w:rPr>
              <w:t>块</w:t>
            </w:r>
          </w:p>
        </w:tc>
      </w:tr>
      <w:tr w14:paraId="2E26D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02CCE">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34</w:t>
            </w:r>
          </w:p>
        </w:tc>
        <w:tc>
          <w:tcPr>
            <w:tcW w:w="1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3484B">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维修宣传牌</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902EB8">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7m×4m（28㎡），0.6㎜铁皮加喷字，字喷反光油漆，立柱喷油漆。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240FC">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0"/>
                <w:u w:val="none"/>
              </w:rPr>
            </w:pPr>
            <w:r>
              <w:rPr>
                <w:rFonts w:hint="eastAsia" w:ascii="仿宋" w:hAnsi="仿宋" w:eastAsia="仿宋" w:cs="仿宋"/>
                <w:i w:val="0"/>
                <w:iCs w:val="0"/>
                <w:color w:val="000000"/>
                <w:kern w:val="0"/>
                <w:sz w:val="22"/>
                <w:szCs w:val="20"/>
                <w:u w:val="none"/>
                <w:lang w:val="en-US" w:eastAsia="zh-CN" w:bidi="ar"/>
              </w:rPr>
              <w:t>6</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E5A75">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0"/>
                <w:u w:val="none"/>
              </w:rPr>
            </w:pPr>
            <w:r>
              <w:rPr>
                <w:rFonts w:hint="eastAsia" w:ascii="仿宋" w:hAnsi="仿宋" w:eastAsia="仿宋" w:cs="仿宋"/>
                <w:i w:val="0"/>
                <w:iCs w:val="0"/>
                <w:color w:val="000000"/>
                <w:kern w:val="0"/>
                <w:sz w:val="22"/>
                <w:szCs w:val="20"/>
                <w:u w:val="none"/>
                <w:lang w:val="en-US" w:eastAsia="zh-CN" w:bidi="ar"/>
              </w:rPr>
              <w:t>块</w:t>
            </w:r>
          </w:p>
        </w:tc>
      </w:tr>
      <w:tr w14:paraId="4154C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D990F">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35</w:t>
            </w:r>
          </w:p>
        </w:tc>
        <w:tc>
          <w:tcPr>
            <w:tcW w:w="1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79059">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维修宣传牌</w:t>
            </w:r>
          </w:p>
        </w:tc>
        <w:tc>
          <w:tcPr>
            <w:tcW w:w="5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FBEF5">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9m×6m（54㎡），0.6㎜铁皮加喷字，字喷反光油漆，立柱喷油漆。</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B64DF">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0"/>
                <w:u w:val="none"/>
              </w:rPr>
            </w:pPr>
            <w:r>
              <w:rPr>
                <w:rFonts w:hint="eastAsia" w:ascii="仿宋" w:hAnsi="仿宋" w:eastAsia="仿宋" w:cs="仿宋"/>
                <w:i w:val="0"/>
                <w:iCs w:val="0"/>
                <w:color w:val="000000"/>
                <w:kern w:val="0"/>
                <w:sz w:val="22"/>
                <w:szCs w:val="20"/>
                <w:u w:val="none"/>
                <w:lang w:val="en-US" w:eastAsia="zh-CN" w:bidi="ar"/>
              </w:rPr>
              <w:t>2</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A2AE3">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0"/>
                <w:u w:val="none"/>
              </w:rPr>
            </w:pPr>
            <w:r>
              <w:rPr>
                <w:rFonts w:hint="eastAsia" w:ascii="仿宋" w:hAnsi="仿宋" w:eastAsia="仿宋" w:cs="仿宋"/>
                <w:i w:val="0"/>
                <w:iCs w:val="0"/>
                <w:color w:val="000000"/>
                <w:kern w:val="0"/>
                <w:sz w:val="22"/>
                <w:szCs w:val="20"/>
                <w:u w:val="none"/>
                <w:lang w:val="en-US" w:eastAsia="zh-CN" w:bidi="ar"/>
              </w:rPr>
              <w:t>块</w:t>
            </w:r>
          </w:p>
        </w:tc>
      </w:tr>
    </w:tbl>
    <w:p w14:paraId="7A7C97BC">
      <w:pPr>
        <w:keepNext w:val="0"/>
        <w:keepLines w:val="0"/>
        <w:pageBreakBefore w:val="0"/>
        <w:kinsoku/>
        <w:wordWrap/>
        <w:overflowPunct/>
        <w:topLinePunct w:val="0"/>
        <w:autoSpaceDE/>
        <w:autoSpaceDN/>
        <w:bidi w:val="0"/>
        <w:adjustRightInd/>
        <w:snapToGrid/>
        <w:spacing w:line="440" w:lineRule="exact"/>
        <w:textAlignment w:val="auto"/>
        <w:rPr>
          <w:rFonts w:hint="eastAsia" w:ascii="仿宋" w:hAnsi="仿宋" w:eastAsia="仿宋" w:cs="仿宋"/>
          <w:b/>
          <w:bCs/>
          <w:color w:val="auto"/>
          <w:sz w:val="24"/>
          <w:szCs w:val="24"/>
          <w:highlight w:val="none"/>
          <w:lang w:val="en-US" w:eastAsia="zh-CN"/>
        </w:rPr>
      </w:pPr>
    </w:p>
    <w:bookmarkEnd w:id="0"/>
    <w:bookmarkEnd w:id="1"/>
    <w:p w14:paraId="34F34227">
      <w:pPr>
        <w:spacing w:line="360" w:lineRule="auto"/>
        <w:rPr>
          <w:rFonts w:hint="eastAsia" w:ascii="仿宋" w:hAnsi="仿宋" w:eastAsia="仿宋" w:cs="仿宋"/>
          <w:b/>
          <w:bCs/>
          <w:color w:val="auto"/>
          <w:sz w:val="24"/>
          <w:szCs w:val="24"/>
          <w:lang w:eastAsia="zh-CN"/>
        </w:rPr>
      </w:pPr>
      <w:r>
        <w:rPr>
          <w:rFonts w:hint="eastAsia" w:ascii="仿宋" w:hAnsi="仿宋" w:eastAsia="仿宋" w:cs="仿宋"/>
          <w:b/>
          <w:bCs/>
          <w:color w:val="auto"/>
          <w:highlight w:val="none"/>
          <w:lang w:val="en-US" w:eastAsia="zh-CN"/>
        </w:rPr>
        <w:t>1.2</w:t>
      </w:r>
      <w:r>
        <w:rPr>
          <w:rFonts w:hint="eastAsia" w:ascii="仿宋" w:hAnsi="仿宋" w:eastAsia="仿宋" w:cs="仿宋"/>
          <w:b/>
          <w:bCs/>
          <w:color w:val="auto"/>
          <w:sz w:val="24"/>
          <w:szCs w:val="24"/>
          <w:lang w:eastAsia="zh-CN"/>
        </w:rPr>
        <w:t>包装要求</w:t>
      </w:r>
    </w:p>
    <w:p w14:paraId="6E219E0F">
      <w:pPr>
        <w:spacing w:line="360" w:lineRule="auto"/>
        <w:ind w:firstLine="480" w:firstLineChars="200"/>
        <w:jc w:val="both"/>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供方应提供货物运至合同规定的最终目的地所需要的包装，以防止货物在转运中损坏。这类包装应采取防潮、防晒、防锈防腐蚀、防震动及防止其它损坏的必要保护措施，从而保护货物能够经受多次搬运、装卸和内陆的长途运输。供方应承担由于其包装或其防护措施不妥而引起货物锈蚀、损坏和丢失的任何损失的责任或费用。</w:t>
      </w:r>
    </w:p>
    <w:p w14:paraId="5A08E283">
      <w:pPr>
        <w:keepNext w:val="0"/>
        <w:keepLines w:val="0"/>
        <w:pageBreakBefore w:val="0"/>
        <w:widowControl w:val="0"/>
        <w:kinsoku/>
        <w:wordWrap/>
        <w:overflowPunct/>
        <w:topLinePunct w:val="0"/>
        <w:autoSpaceDE/>
        <w:autoSpaceDN/>
        <w:bidi w:val="0"/>
        <w:adjustRightInd/>
        <w:snapToGrid/>
        <w:spacing w:line="460" w:lineRule="exact"/>
        <w:textAlignment w:val="auto"/>
        <w:rPr>
          <w:rFonts w:ascii="仿宋" w:hAnsi="仿宋" w:eastAsia="仿宋" w:cs="仿宋"/>
          <w:b/>
          <w:bCs/>
          <w:color w:val="auto"/>
          <w:lang w:eastAsia="zh-CN"/>
        </w:rPr>
      </w:pPr>
      <w:r>
        <w:rPr>
          <w:rFonts w:hint="eastAsia" w:ascii="仿宋" w:hAnsi="仿宋" w:eastAsia="仿宋" w:cs="仿宋"/>
          <w:b/>
          <w:bCs/>
          <w:color w:val="auto"/>
          <w:lang w:eastAsia="zh-CN"/>
        </w:rPr>
        <w:t>商务要求：</w:t>
      </w:r>
    </w:p>
    <w:p w14:paraId="4C2F4D4A">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2" w:firstLineChars="200"/>
        <w:textAlignment w:val="auto"/>
        <w:rPr>
          <w:rFonts w:ascii="仿宋" w:hAnsi="仿宋" w:eastAsia="仿宋" w:cs="仿宋"/>
          <w:b/>
          <w:bCs/>
          <w:color w:val="auto"/>
          <w:highlight w:val="yellow"/>
          <w:lang w:eastAsia="zh-CN"/>
        </w:rPr>
      </w:pPr>
      <w:r>
        <w:rPr>
          <w:rFonts w:hint="eastAsia" w:ascii="仿宋" w:hAnsi="仿宋" w:eastAsia="仿宋" w:cs="仿宋"/>
          <w:b/>
          <w:bCs/>
          <w:color w:val="auto"/>
          <w:lang w:eastAsia="zh-CN"/>
        </w:rPr>
        <w:t xml:space="preserve">（一）实施（供货）期 </w:t>
      </w:r>
      <w:r>
        <w:rPr>
          <w:rFonts w:hint="eastAsia" w:ascii="仿宋" w:hAnsi="仿宋" w:eastAsia="仿宋" w:cs="仿宋"/>
          <w:b/>
          <w:bCs/>
          <w:color w:val="auto"/>
          <w:highlight w:val="none"/>
          <w:lang w:eastAsia="zh-CN"/>
        </w:rPr>
        <w:t>：</w:t>
      </w:r>
      <w:r>
        <w:rPr>
          <w:rFonts w:hint="eastAsia" w:ascii="仿宋" w:hAnsi="仿宋" w:eastAsia="仿宋" w:cs="仿宋"/>
          <w:color w:val="000000" w:themeColor="text1"/>
          <w:highlight w:val="none"/>
          <w:lang w:eastAsia="zh-CN"/>
          <w14:textFill>
            <w14:solidFill>
              <w14:schemeClr w14:val="tx1"/>
            </w14:solidFill>
          </w14:textFill>
        </w:rPr>
        <w:t>合同签订后，</w:t>
      </w:r>
      <w:r>
        <w:rPr>
          <w:rFonts w:hint="eastAsia" w:ascii="仿宋" w:hAnsi="仿宋" w:eastAsia="仿宋" w:cs="仿宋"/>
          <w:color w:val="auto"/>
          <w:highlight w:val="none"/>
          <w:lang w:val="en-US" w:eastAsia="zh-CN"/>
        </w:rPr>
        <w:t>180天</w:t>
      </w:r>
      <w:r>
        <w:rPr>
          <w:rFonts w:hint="eastAsia" w:ascii="仿宋" w:hAnsi="仿宋" w:eastAsia="仿宋" w:cs="仿宋"/>
          <w:color w:val="auto"/>
          <w:highlight w:val="none"/>
          <w:lang w:eastAsia="zh-CN"/>
        </w:rPr>
        <w:t>内完成所有</w:t>
      </w:r>
      <w:r>
        <w:rPr>
          <w:rFonts w:hint="eastAsia" w:ascii="仿宋" w:hAnsi="仿宋" w:eastAsia="仿宋" w:cs="仿宋"/>
          <w:color w:val="auto"/>
          <w:highlight w:val="none"/>
          <w:lang w:val="en-US" w:eastAsia="zh-CN"/>
        </w:rPr>
        <w:t>项目</w:t>
      </w:r>
      <w:r>
        <w:rPr>
          <w:rFonts w:hint="eastAsia" w:ascii="仿宋" w:hAnsi="仿宋" w:eastAsia="仿宋" w:cs="仿宋"/>
          <w:color w:val="auto"/>
          <w:highlight w:val="none"/>
          <w:lang w:eastAsia="zh-CN"/>
        </w:rPr>
        <w:t>，并验收合格</w:t>
      </w:r>
      <w:r>
        <w:rPr>
          <w:rFonts w:hint="eastAsia" w:ascii="仿宋" w:hAnsi="仿宋" w:eastAsia="仿宋" w:cs="仿宋"/>
          <w:color w:val="000000" w:themeColor="text1"/>
          <w:highlight w:val="none"/>
          <w:lang w:eastAsia="zh-CN"/>
          <w14:textFill>
            <w14:solidFill>
              <w14:schemeClr w14:val="tx1"/>
            </w14:solidFill>
          </w14:textFill>
        </w:rPr>
        <w:t>。</w:t>
      </w:r>
    </w:p>
    <w:p w14:paraId="0864CB42">
      <w:pPr>
        <w:keepNext w:val="0"/>
        <w:keepLines w:val="0"/>
        <w:pageBreakBefore w:val="0"/>
        <w:widowControl w:val="0"/>
        <w:kinsoku/>
        <w:wordWrap/>
        <w:overflowPunct/>
        <w:topLinePunct w:val="0"/>
        <w:autoSpaceDE/>
        <w:autoSpaceDN/>
        <w:bidi w:val="0"/>
        <w:adjustRightInd/>
        <w:snapToGrid/>
        <w:spacing w:line="460" w:lineRule="exact"/>
        <w:ind w:left="480" w:leftChars="200"/>
        <w:textAlignment w:val="auto"/>
        <w:rPr>
          <w:rFonts w:ascii="仿宋" w:hAnsi="仿宋" w:eastAsia="仿宋" w:cs="仿宋"/>
          <w:color w:val="auto"/>
          <w:lang w:eastAsia="zh-CN"/>
        </w:rPr>
      </w:pPr>
      <w:r>
        <w:rPr>
          <w:rFonts w:hint="eastAsia" w:ascii="仿宋" w:hAnsi="仿宋" w:eastAsia="仿宋" w:cs="仿宋"/>
          <w:b/>
          <w:bCs/>
          <w:color w:val="auto"/>
          <w:lang w:eastAsia="zh-CN"/>
        </w:rPr>
        <w:t>（二）实施（交货）地点</w:t>
      </w:r>
      <w:r>
        <w:rPr>
          <w:rFonts w:hint="eastAsia" w:ascii="仿宋" w:hAnsi="仿宋" w:eastAsia="仿宋" w:cs="仿宋"/>
          <w:color w:val="auto"/>
          <w:lang w:eastAsia="zh-CN"/>
        </w:rPr>
        <w:t xml:space="preserve"> ：甲方指定地点</w:t>
      </w:r>
    </w:p>
    <w:p w14:paraId="73EA26B5">
      <w:pPr>
        <w:keepNext w:val="0"/>
        <w:keepLines w:val="0"/>
        <w:pageBreakBefore w:val="0"/>
        <w:widowControl w:val="0"/>
        <w:kinsoku/>
        <w:wordWrap/>
        <w:overflowPunct/>
        <w:topLinePunct w:val="0"/>
        <w:autoSpaceDE/>
        <w:autoSpaceDN/>
        <w:bidi w:val="0"/>
        <w:adjustRightInd/>
        <w:snapToGrid/>
        <w:spacing w:line="460" w:lineRule="exact"/>
        <w:ind w:firstLine="482" w:firstLineChars="200"/>
        <w:textAlignment w:val="auto"/>
        <w:rPr>
          <w:rFonts w:ascii="仿宋" w:hAnsi="仿宋" w:eastAsia="仿宋" w:cs="仿宋"/>
          <w:b/>
          <w:bCs/>
          <w:color w:val="auto"/>
          <w:lang w:eastAsia="zh-CN"/>
        </w:rPr>
      </w:pPr>
      <w:r>
        <w:rPr>
          <w:rFonts w:hint="eastAsia" w:ascii="仿宋" w:hAnsi="仿宋" w:eastAsia="仿宋" w:cs="仿宋"/>
          <w:b/>
          <w:bCs/>
          <w:color w:val="auto"/>
          <w:lang w:eastAsia="zh-CN"/>
        </w:rPr>
        <w:t>（三）报价要求</w:t>
      </w:r>
    </w:p>
    <w:p w14:paraId="3A7393EB">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ascii="仿宋" w:hAnsi="仿宋" w:eastAsia="仿宋" w:cs="仿宋"/>
          <w:color w:val="auto"/>
          <w:lang w:eastAsia="zh-CN"/>
        </w:rPr>
      </w:pPr>
      <w:r>
        <w:rPr>
          <w:rFonts w:hint="eastAsia" w:ascii="仿宋" w:hAnsi="仿宋" w:eastAsia="仿宋" w:cs="仿宋"/>
          <w:color w:val="auto"/>
          <w:lang w:eastAsia="zh-CN"/>
        </w:rPr>
        <w:t>本次报价为人民币报价，投标报价应包括：货物本身价格、保险费用、包装费、</w:t>
      </w:r>
      <w:r>
        <w:rPr>
          <w:rFonts w:hint="eastAsia" w:ascii="仿宋" w:hAnsi="仿宋" w:eastAsia="仿宋" w:cs="仿宋"/>
          <w:color w:val="auto"/>
          <w:lang w:val="en-US" w:eastAsia="zh-CN"/>
        </w:rPr>
        <w:t>交通费、材料费、资料审查费、利润、</w:t>
      </w:r>
      <w:r>
        <w:rPr>
          <w:rFonts w:hint="eastAsia" w:ascii="仿宋" w:hAnsi="仿宋" w:eastAsia="仿宋" w:cs="仿宋"/>
          <w:color w:val="auto"/>
          <w:lang w:eastAsia="zh-CN"/>
        </w:rPr>
        <w:t>运输费用、二次搬运费、装卸费、损耗、税金费用、自检费、人工费、其他配件费及验收合格前和质保期内发生的一切费用、应当提供的伴随服务/售后服务费用。</w:t>
      </w:r>
    </w:p>
    <w:p w14:paraId="08D6A853">
      <w:pPr>
        <w:keepNext w:val="0"/>
        <w:keepLines w:val="0"/>
        <w:pageBreakBefore w:val="0"/>
        <w:widowControl w:val="0"/>
        <w:kinsoku/>
        <w:wordWrap/>
        <w:overflowPunct/>
        <w:topLinePunct w:val="0"/>
        <w:autoSpaceDE/>
        <w:autoSpaceDN/>
        <w:bidi w:val="0"/>
        <w:adjustRightInd/>
        <w:snapToGrid/>
        <w:spacing w:line="460" w:lineRule="exact"/>
        <w:ind w:firstLine="482" w:firstLineChars="200"/>
        <w:textAlignment w:val="auto"/>
        <w:rPr>
          <w:rFonts w:ascii="仿宋" w:hAnsi="仿宋" w:eastAsia="仿宋" w:cs="仿宋"/>
          <w:b/>
          <w:bCs/>
          <w:color w:val="auto"/>
          <w:lang w:eastAsia="zh-CN"/>
        </w:rPr>
      </w:pPr>
      <w:r>
        <w:rPr>
          <w:rFonts w:hint="eastAsia" w:ascii="仿宋" w:hAnsi="仿宋" w:eastAsia="仿宋" w:cs="仿宋"/>
          <w:b/>
          <w:bCs/>
          <w:color w:val="auto"/>
          <w:lang w:eastAsia="zh-CN"/>
        </w:rPr>
        <w:t>（四）质保要求</w:t>
      </w:r>
    </w:p>
    <w:p w14:paraId="6EB602E4">
      <w:pPr>
        <w:keepNext w:val="0"/>
        <w:keepLines w:val="0"/>
        <w:pageBreakBefore w:val="0"/>
        <w:widowControl w:val="0"/>
        <w:kinsoku/>
        <w:wordWrap/>
        <w:overflowPunct/>
        <w:topLinePunct w:val="0"/>
        <w:autoSpaceDE/>
        <w:autoSpaceDN/>
        <w:bidi w:val="0"/>
        <w:adjustRightInd/>
        <w:snapToGrid/>
        <w:spacing w:line="460" w:lineRule="exact"/>
        <w:ind w:firstLine="960" w:firstLineChars="4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1、乙方应保证所提供的货物是全新、未使用过的原装合格正品，并完全符合国家标准和行业的相关标准。</w:t>
      </w:r>
    </w:p>
    <w:p w14:paraId="6464EF52">
      <w:pPr>
        <w:keepNext w:val="0"/>
        <w:keepLines w:val="0"/>
        <w:pageBreakBefore w:val="0"/>
        <w:widowControl w:val="0"/>
        <w:kinsoku/>
        <w:wordWrap/>
        <w:overflowPunct/>
        <w:topLinePunct w:val="0"/>
        <w:autoSpaceDE/>
        <w:autoSpaceDN/>
        <w:bidi w:val="0"/>
        <w:adjustRightInd/>
        <w:snapToGrid/>
        <w:spacing w:line="460" w:lineRule="exact"/>
        <w:ind w:firstLine="960" w:firstLineChars="400"/>
        <w:textAlignment w:val="auto"/>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2、高空云台、无人机等硬件提供3年免费质保，非人为故障免费维修更换，终身成本价维保;7x24小时技术响应，48小时现场排查处置。宣传牌质保1年，脱漆、变形、破损免费修缮重做，定期巡检维护。全程免费操作培训，配套系统远程运维、软件定期升级优化;质保期满后提供优惠维保续约方案</w:t>
      </w:r>
    </w:p>
    <w:p w14:paraId="1F6A72F4">
      <w:pPr>
        <w:keepNext w:val="0"/>
        <w:keepLines w:val="0"/>
        <w:pageBreakBefore w:val="0"/>
        <w:widowControl w:val="0"/>
        <w:kinsoku/>
        <w:wordWrap/>
        <w:overflowPunct/>
        <w:topLinePunct w:val="0"/>
        <w:autoSpaceDE/>
        <w:autoSpaceDN/>
        <w:bidi w:val="0"/>
        <w:adjustRightInd/>
        <w:snapToGrid/>
        <w:spacing w:line="460" w:lineRule="exact"/>
        <w:ind w:firstLine="241" w:firstLineChars="100"/>
        <w:textAlignment w:val="auto"/>
        <w:rPr>
          <w:rFonts w:ascii="仿宋" w:hAnsi="仿宋" w:eastAsia="仿宋" w:cs="仿宋"/>
          <w:b/>
          <w:bCs/>
          <w:color w:val="auto"/>
          <w:highlight w:val="none"/>
          <w:lang w:eastAsia="zh-CN"/>
        </w:rPr>
      </w:pPr>
      <w:r>
        <w:rPr>
          <w:rFonts w:hint="eastAsia" w:ascii="仿宋" w:hAnsi="仿宋" w:eastAsia="仿宋" w:cs="仿宋"/>
          <w:b/>
          <w:bCs/>
          <w:color w:val="auto"/>
          <w:highlight w:val="none"/>
          <w:lang w:eastAsia="zh-CN"/>
        </w:rPr>
        <w:t>（五）售后服务、理赔、质量技术及验收保证的承诺</w:t>
      </w:r>
    </w:p>
    <w:p w14:paraId="7B917C3A">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1、售后服务</w:t>
      </w:r>
    </w:p>
    <w:p w14:paraId="6AA6A0AA">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1.1产品质量：在合同期内，甲方正常使用乙方所供产品而出现质量问题时，乙方负责。产品使用：甲方在使用乙方所供产品中出现问题需乙方解决时，乙方应无偿解决（退换货）。</w:t>
      </w:r>
    </w:p>
    <w:p w14:paraId="6ACF2E14">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1.2投标人需提供售后服务体系、服务保证及服务承诺。投标人应有能力履行招标文件中规定的、合同条款和技术要求方面的、由卖方履行的保养、修理、供应备件和其他技术服务的义务。投标方所投标的货物，必须拥有一定的技术支持和后续服务能力 。   </w:t>
      </w:r>
    </w:p>
    <w:p w14:paraId="637377C1">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ascii="仿宋" w:hAnsi="仿宋" w:eastAsia="仿宋" w:cs="仿宋"/>
          <w:b w:val="0"/>
          <w:bCs w:val="0"/>
          <w:color w:val="auto"/>
          <w:highlight w:val="none"/>
          <w:lang w:eastAsia="zh-CN"/>
        </w:rPr>
      </w:pPr>
      <w:r>
        <w:rPr>
          <w:rFonts w:hint="eastAsia" w:ascii="仿宋" w:hAnsi="仿宋" w:eastAsia="仿宋" w:cs="仿宋"/>
          <w:b w:val="0"/>
          <w:bCs w:val="0"/>
          <w:color w:val="auto"/>
          <w:highlight w:val="none"/>
          <w:lang w:eastAsia="zh-CN"/>
        </w:rPr>
        <w:t>1.3</w:t>
      </w:r>
      <w:r>
        <w:rPr>
          <w:rFonts w:hint="eastAsia" w:ascii="仿宋" w:hAnsi="仿宋" w:eastAsia="仿宋" w:cs="仿宋"/>
          <w:b w:val="0"/>
          <w:bCs w:val="0"/>
          <w:color w:val="auto"/>
          <w:highlight w:val="none"/>
          <w:lang w:val="en-US" w:eastAsia="zh-CN"/>
        </w:rPr>
        <w:t>投标人（供应商）投标产品的所有材料必须符合国家相关行业标准</w:t>
      </w:r>
      <w:r>
        <w:rPr>
          <w:rFonts w:hint="eastAsia" w:ascii="仿宋" w:hAnsi="仿宋" w:eastAsia="仿宋" w:cs="仿宋"/>
          <w:b w:val="0"/>
          <w:bCs w:val="0"/>
          <w:color w:val="auto"/>
          <w:highlight w:val="none"/>
          <w:lang w:eastAsia="zh-CN"/>
        </w:rPr>
        <w:t>。</w:t>
      </w:r>
    </w:p>
    <w:p w14:paraId="230AA53E">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2、</w:t>
      </w:r>
      <w:r>
        <w:rPr>
          <w:rFonts w:hint="eastAsia" w:ascii="仿宋" w:hAnsi="仿宋" w:eastAsia="仿宋" w:cs="仿宋"/>
          <w:color w:val="auto"/>
          <w:highlight w:val="none"/>
          <w:lang w:val="en-US" w:eastAsia="zh-CN"/>
        </w:rPr>
        <w:t xml:space="preserve">其他相关说明： </w:t>
      </w:r>
    </w:p>
    <w:p w14:paraId="04467E5C">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 xml:space="preserve">1、上述产品要求投标单位对上报的每项投标产品中注明品牌、型号、产地及相关的技术规格参数。 </w:t>
      </w:r>
    </w:p>
    <w:p w14:paraId="554F8786">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 xml:space="preserve">2、符合相关的规范要求。 </w:t>
      </w:r>
    </w:p>
    <w:p w14:paraId="37E2A7C4">
      <w:pPr>
        <w:keepNext w:val="0"/>
        <w:keepLines w:val="0"/>
        <w:pageBreakBefore w:val="0"/>
        <w:widowControl w:val="0"/>
        <w:kinsoku/>
        <w:wordWrap/>
        <w:overflowPunct/>
        <w:topLinePunct w:val="0"/>
        <w:autoSpaceDE/>
        <w:autoSpaceDN/>
        <w:bidi w:val="0"/>
        <w:adjustRightInd/>
        <w:snapToGrid/>
        <w:spacing w:line="460" w:lineRule="exact"/>
        <w:ind w:firstLine="482" w:firstLineChars="200"/>
        <w:textAlignment w:val="auto"/>
        <w:rPr>
          <w:rFonts w:ascii="仿宋" w:hAnsi="仿宋" w:eastAsia="仿宋" w:cs="仿宋"/>
          <w:b/>
          <w:bCs/>
          <w:color w:val="auto"/>
          <w:lang w:eastAsia="zh-CN"/>
        </w:rPr>
      </w:pPr>
      <w:r>
        <w:rPr>
          <w:rFonts w:hint="eastAsia" w:ascii="仿宋" w:hAnsi="仿宋" w:eastAsia="仿宋" w:cs="仿宋"/>
          <w:b/>
          <w:bCs/>
          <w:color w:val="auto"/>
          <w:lang w:eastAsia="zh-CN"/>
        </w:rPr>
        <w:t>（六）验收</w:t>
      </w:r>
    </w:p>
    <w:p w14:paraId="276C0BFA">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ascii="仿宋" w:hAnsi="仿宋" w:eastAsia="仿宋" w:cs="仿宋"/>
          <w:color w:val="auto"/>
          <w:lang w:eastAsia="zh-CN"/>
        </w:rPr>
      </w:pPr>
      <w:r>
        <w:rPr>
          <w:rFonts w:hint="eastAsia" w:ascii="仿宋" w:hAnsi="仿宋" w:eastAsia="仿宋" w:cs="仿宋"/>
          <w:color w:val="auto"/>
          <w:lang w:eastAsia="zh-CN"/>
        </w:rPr>
        <w:t>1、供应商提供的产品为全新未使用且符合相关法律法规要求的合格产品；</w:t>
      </w:r>
    </w:p>
    <w:p w14:paraId="1EAD406F">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 w:hAnsi="仿宋" w:eastAsia="仿宋" w:cs="仿宋"/>
          <w:color w:val="auto"/>
          <w:lang w:eastAsia="zh-CN"/>
        </w:rPr>
      </w:pPr>
      <w:r>
        <w:rPr>
          <w:rFonts w:hint="eastAsia" w:ascii="仿宋" w:hAnsi="仿宋" w:eastAsia="仿宋" w:cs="仿宋"/>
          <w:color w:val="auto"/>
          <w:lang w:eastAsia="zh-CN"/>
        </w:rPr>
        <w:t>2、供应商提供的产品型号、规格等特性需与投标文件、合同规定内容完全一致，且满足采购方提出的采购需求。</w:t>
      </w:r>
    </w:p>
    <w:p w14:paraId="39E44538">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 w:hAnsi="仿宋" w:eastAsia="仿宋" w:cs="仿宋"/>
          <w:color w:val="auto"/>
          <w:lang w:val="en-US" w:eastAsia="zh-CN"/>
        </w:rPr>
      </w:pPr>
      <w:r>
        <w:rPr>
          <w:rFonts w:hint="eastAsia" w:ascii="仿宋" w:hAnsi="仿宋" w:eastAsia="仿宋" w:cs="仿宋"/>
          <w:color w:val="auto"/>
          <w:lang w:val="en-US" w:eastAsia="zh-CN"/>
        </w:rPr>
        <w:t>3、货物验收时，供应商向采购人提供生产厂家出具的检测报告、合格证、厂家资格证件等相关文件。</w:t>
      </w:r>
    </w:p>
    <w:p w14:paraId="7F250900">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ascii="仿宋" w:hAnsi="仿宋" w:eastAsia="仿宋" w:cs="仿宋"/>
          <w:color w:val="auto"/>
          <w:lang w:eastAsia="zh-CN"/>
        </w:rPr>
      </w:pPr>
      <w:r>
        <w:rPr>
          <w:rFonts w:hint="eastAsia" w:ascii="仿宋" w:hAnsi="仿宋" w:eastAsia="仿宋" w:cs="仿宋"/>
          <w:color w:val="auto"/>
          <w:lang w:val="en-US" w:eastAsia="zh-CN"/>
        </w:rPr>
        <w:t>4</w:t>
      </w:r>
      <w:r>
        <w:rPr>
          <w:rFonts w:hint="eastAsia" w:ascii="仿宋" w:hAnsi="仿宋" w:eastAsia="仿宋" w:cs="仿宋"/>
          <w:color w:val="auto"/>
          <w:lang w:eastAsia="zh-CN"/>
        </w:rPr>
        <w:t>、供应商提供的产品需经采购人验收小组验收，进行试验检测，按照技术要求逐项进行测试，测试结果应满足相关要求，试验通过并满足要求为验收合格。</w:t>
      </w:r>
    </w:p>
    <w:p w14:paraId="22FD55AA">
      <w:pPr>
        <w:keepNext w:val="0"/>
        <w:keepLines w:val="0"/>
        <w:pageBreakBefore w:val="0"/>
        <w:widowControl w:val="0"/>
        <w:kinsoku/>
        <w:wordWrap/>
        <w:overflowPunct/>
        <w:topLinePunct w:val="0"/>
        <w:autoSpaceDE/>
        <w:autoSpaceDN/>
        <w:bidi w:val="0"/>
        <w:adjustRightInd/>
        <w:snapToGrid/>
        <w:spacing w:line="460" w:lineRule="exact"/>
        <w:ind w:firstLine="354" w:firstLineChars="147"/>
        <w:textAlignment w:val="auto"/>
        <w:rPr>
          <w:rFonts w:ascii="仿宋" w:hAnsi="仿宋" w:eastAsia="仿宋" w:cs="仿宋"/>
          <w:b/>
          <w:bCs/>
          <w:color w:val="auto"/>
          <w:lang w:eastAsia="zh-CN"/>
        </w:rPr>
      </w:pPr>
      <w:r>
        <w:rPr>
          <w:rFonts w:hint="eastAsia" w:ascii="仿宋" w:hAnsi="仿宋" w:eastAsia="仿宋" w:cs="仿宋"/>
          <w:b/>
          <w:bCs/>
          <w:color w:val="auto"/>
          <w:lang w:eastAsia="zh-CN"/>
        </w:rPr>
        <w:t>（七）付款方式</w:t>
      </w:r>
    </w:p>
    <w:p w14:paraId="65397DBD">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签订合同后，预付合同价50%，后期服务全部完成并验收合格后付款50%（具体以双方签订合同为准）</w:t>
      </w:r>
    </w:p>
    <w:p w14:paraId="01CA9BD7">
      <w:pPr>
        <w:keepNext w:val="0"/>
        <w:keepLines w:val="0"/>
        <w:pageBreakBefore w:val="0"/>
        <w:widowControl w:val="0"/>
        <w:kinsoku/>
        <w:wordWrap/>
        <w:overflowPunct/>
        <w:topLinePunct w:val="0"/>
        <w:autoSpaceDE/>
        <w:autoSpaceDN/>
        <w:bidi w:val="0"/>
        <w:adjustRightInd/>
        <w:snapToGrid/>
        <w:spacing w:line="460" w:lineRule="exact"/>
        <w:ind w:firstLine="482" w:firstLineChars="200"/>
        <w:textAlignment w:val="auto"/>
        <w:rPr>
          <w:rFonts w:ascii="仿宋" w:hAnsi="仿宋" w:eastAsia="仿宋" w:cs="仿宋"/>
          <w:b/>
          <w:bCs/>
          <w:color w:val="auto"/>
          <w:lang w:eastAsia="zh-CN"/>
        </w:rPr>
      </w:pPr>
      <w:r>
        <w:rPr>
          <w:rFonts w:hint="eastAsia" w:ascii="仿宋" w:hAnsi="仿宋" w:eastAsia="仿宋" w:cs="仿宋"/>
          <w:b/>
          <w:bCs/>
          <w:color w:val="auto"/>
          <w:lang w:eastAsia="zh-CN"/>
        </w:rPr>
        <w:t>（八）知识产权</w:t>
      </w:r>
    </w:p>
    <w:p w14:paraId="12B5551C">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ascii="仿宋" w:hAnsi="仿宋" w:eastAsia="仿宋" w:cs="仿宋"/>
          <w:color w:val="auto"/>
          <w:lang w:eastAsia="zh-CN"/>
        </w:rPr>
      </w:pPr>
      <w:r>
        <w:rPr>
          <w:rFonts w:hint="eastAsia" w:ascii="仿宋" w:hAnsi="仿宋" w:eastAsia="仿宋" w:cs="仿宋"/>
          <w:color w:val="auto"/>
          <w:lang w:eastAsia="zh-CN"/>
        </w:rPr>
        <w:t>采购人在中华人民共和国境内使用供应商提供的货物及服务时免受第三方提出的侵犯其专利权或其它知识产权的起诉。如果第三方提出侵权指控，中标人应承担由此而引起的一切法律责任和费用。</w:t>
      </w:r>
    </w:p>
    <w:p w14:paraId="02453B9A">
      <w:pPr>
        <w:keepNext w:val="0"/>
        <w:keepLines w:val="0"/>
        <w:pageBreakBefore w:val="0"/>
        <w:widowControl w:val="0"/>
        <w:kinsoku/>
        <w:wordWrap/>
        <w:overflowPunct/>
        <w:topLinePunct w:val="0"/>
        <w:autoSpaceDE/>
        <w:autoSpaceDN/>
        <w:bidi w:val="0"/>
        <w:adjustRightInd/>
        <w:snapToGrid/>
        <w:spacing w:line="460" w:lineRule="exact"/>
        <w:ind w:firstLine="482" w:firstLineChars="200"/>
        <w:textAlignment w:val="auto"/>
        <w:rPr>
          <w:rFonts w:ascii="仿宋" w:hAnsi="仿宋" w:eastAsia="仿宋" w:cs="仿宋"/>
          <w:b/>
          <w:bCs/>
          <w:color w:val="auto"/>
          <w:lang w:eastAsia="zh-CN"/>
        </w:rPr>
      </w:pPr>
      <w:bookmarkStart w:id="2" w:name="_Toc12239"/>
      <w:bookmarkStart w:id="3" w:name="_Toc7598"/>
      <w:bookmarkStart w:id="4" w:name="_Toc20832"/>
      <w:bookmarkStart w:id="5" w:name="_Toc267320054"/>
      <w:bookmarkStart w:id="6" w:name="_Toc439255252"/>
      <w:bookmarkStart w:id="7" w:name="_Toc12840_WPSOffice_Level1"/>
      <w:bookmarkStart w:id="8" w:name="_Toc469495740"/>
      <w:r>
        <w:rPr>
          <w:rFonts w:hint="eastAsia" w:ascii="仿宋" w:hAnsi="仿宋" w:eastAsia="仿宋" w:cs="仿宋"/>
          <w:b/>
          <w:bCs/>
          <w:color w:val="auto"/>
          <w:lang w:eastAsia="zh-CN"/>
        </w:rPr>
        <w:t>（九）其他</w:t>
      </w:r>
      <w:bookmarkEnd w:id="2"/>
      <w:bookmarkEnd w:id="3"/>
      <w:bookmarkEnd w:id="4"/>
    </w:p>
    <w:bookmarkEnd w:id="5"/>
    <w:bookmarkEnd w:id="6"/>
    <w:bookmarkEnd w:id="7"/>
    <w:p w14:paraId="49F8EE95">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ascii="仿宋" w:hAnsi="仿宋" w:eastAsia="仿宋" w:cs="仿宋"/>
          <w:color w:val="auto"/>
          <w:lang w:eastAsia="zh-CN"/>
        </w:rPr>
      </w:pPr>
      <w:r>
        <w:rPr>
          <w:rFonts w:hint="eastAsia" w:ascii="仿宋" w:hAnsi="仿宋" w:eastAsia="仿宋" w:cs="仿宋"/>
          <w:color w:val="auto"/>
          <w:lang w:eastAsia="zh-CN"/>
        </w:rPr>
        <w:t>1、供应商必须在投标文件中对以上条款和服务承诺明确列出，承诺内容必须达到本篇及招标文件其他条款的要求。</w:t>
      </w:r>
    </w:p>
    <w:p w14:paraId="0F73B86B">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ascii="仿宋" w:hAnsi="仿宋" w:eastAsia="仿宋" w:cs="仿宋"/>
          <w:color w:val="auto"/>
          <w:lang w:eastAsia="zh-CN"/>
        </w:rPr>
      </w:pPr>
      <w:r>
        <w:rPr>
          <w:rFonts w:hint="eastAsia" w:ascii="仿宋" w:hAnsi="仿宋" w:eastAsia="仿宋" w:cs="仿宋"/>
          <w:color w:val="auto"/>
          <w:lang w:eastAsia="zh-CN"/>
        </w:rPr>
        <w:t>2、中标人与采购人签订《协议》后，须与用户方签订《货物采购供应合同》（包括供货范围、需求数量、单价等），明确具体供货数量、供货时间、送达地点等内容。</w:t>
      </w:r>
    </w:p>
    <w:p w14:paraId="320EE5C8">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ascii="仿宋" w:hAnsi="仿宋" w:eastAsia="仿宋" w:cs="仿宋"/>
          <w:color w:val="auto"/>
          <w:lang w:eastAsia="zh-CN"/>
        </w:rPr>
      </w:pPr>
      <w:r>
        <w:rPr>
          <w:rFonts w:hint="eastAsia" w:ascii="仿宋" w:hAnsi="仿宋" w:eastAsia="仿宋" w:cs="仿宋"/>
          <w:color w:val="auto"/>
          <w:lang w:eastAsia="zh-CN"/>
        </w:rPr>
        <w:t>3、其他未尽事宜由供需双方在采购合同中详细约定。</w:t>
      </w:r>
    </w:p>
    <w:p w14:paraId="16ACB35A">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ascii="仿宋" w:hAnsi="仿宋" w:eastAsia="仿宋" w:cs="仿宋"/>
          <w:color w:val="auto"/>
          <w:lang w:eastAsia="zh-CN"/>
        </w:rPr>
      </w:pPr>
      <w:r>
        <w:rPr>
          <w:rFonts w:hint="eastAsia" w:ascii="仿宋" w:hAnsi="仿宋" w:eastAsia="仿宋" w:cs="仿宋"/>
          <w:color w:val="auto"/>
          <w:lang w:eastAsia="zh-CN"/>
        </w:rPr>
        <w:t>4、若供应商不能按招标文件规定的交货期正常交货，采购方有权终止采购合同，并将相关情况上报给采购计划主管部门，取消其中标资格。</w:t>
      </w:r>
    </w:p>
    <w:p w14:paraId="1D64C3D3">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仿宋" w:hAnsi="仿宋" w:eastAsia="仿宋" w:cs="仿宋"/>
          <w:b/>
          <w:color w:val="auto"/>
          <w:sz w:val="30"/>
          <w:szCs w:val="30"/>
          <w:highlight w:val="none"/>
          <w:lang w:eastAsia="zh-CN"/>
        </w:rPr>
      </w:pPr>
      <w:r>
        <w:rPr>
          <w:rFonts w:hint="eastAsia" w:ascii="仿宋" w:hAnsi="仿宋" w:eastAsia="仿宋" w:cs="仿宋"/>
          <w:color w:val="auto"/>
          <w:lang w:eastAsia="zh-CN"/>
        </w:rPr>
        <w:t>5、</w:t>
      </w:r>
      <w:r>
        <w:rPr>
          <w:rFonts w:hint="eastAsia" w:ascii="仿宋" w:hAnsi="仿宋" w:eastAsia="仿宋" w:cs="仿宋"/>
          <w:color w:val="auto"/>
          <w:kern w:val="2"/>
          <w:lang w:eastAsia="zh-CN" w:bidi="ar-SA"/>
        </w:rPr>
        <w:t>其他未尽事宜由供需双方在采购合同中详细约定。</w:t>
      </w:r>
      <w:bookmarkEnd w:id="8"/>
    </w:p>
    <w:p w14:paraId="05ED7EF6">
      <w:bookmarkStart w:id="9" w:name="_GoBack"/>
      <w:bookmarkEnd w:id="9"/>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616137E"/>
    <w:rsid w:val="161613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imes New Roman" w:hAnsi="Times New Roman" w:eastAsia="Times New Roman" w:cs="Times New Roman"/>
      <w:color w:val="000000"/>
      <w:sz w:val="24"/>
      <w:szCs w:val="24"/>
      <w:lang w:val="en-US" w:eastAsia="en-US" w:bidi="en-US"/>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0</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2026-10-13T14:17:00Z</dcterms:created>
  <dc:creator>低调</dc:creator>
  <cp:lastModifiedBy>低调</cp:lastModifiedBy>
  <dcterms:modified xsi:type="dcterms:W3CDTF">2026-10-13T14:17:55Z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AFA4D7A18D50495085DF0980BC6D8429_11</vt:lpwstr>
  </property>
  <property fmtid="{D5CDD505-2E9C-101B-9397-08002B2CF9AE}" pid="4" name="KSOTemplateDocerSaveRecord">
    <vt:lpwstr>eyJoZGlkIjoiNmE0ZDczNTRiNDJlOGU2ODBiMDM1NTA1OTFlMjlkNDQifQ==</vt:lpwstr>
  </property>
</Properties>
</file>