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FD3C6">
      <w:pPr>
        <w:shd w:val="clear" w:color="auto" w:fill="auto"/>
        <w:spacing w:after="156" w:afterLines="50"/>
        <w:ind w:right="-625"/>
        <w:jc w:val="both"/>
        <w:rPr>
          <w:rFonts w:hint="eastAsia" w:ascii="新宋体" w:hAnsi="新宋体" w:eastAsia="新宋体" w:cs="Times New Roman"/>
          <w:b/>
          <w:color w:val="auto"/>
          <w:sz w:val="40"/>
          <w:szCs w:val="40"/>
          <w:highlight w:val="none"/>
          <w:u w:val="none"/>
          <w:lang w:eastAsia="zh-CN"/>
        </w:rPr>
      </w:pPr>
    </w:p>
    <w:p w14:paraId="5F989130">
      <w:pPr>
        <w:widowControl/>
        <w:autoSpaceDE w:val="0"/>
        <w:autoSpaceDN w:val="0"/>
        <w:ind w:right="-26" w:firstLine="442" w:firstLineChars="100"/>
        <w:jc w:val="center"/>
        <w:textAlignment w:val="bottom"/>
        <w:rPr>
          <w:rFonts w:hint="eastAsia" w:ascii="宋体" w:hAnsi="宋体"/>
          <w:b/>
          <w:sz w:val="44"/>
          <w:szCs w:val="36"/>
          <w:lang w:val="en-US" w:eastAsia="zh-CN"/>
        </w:rPr>
      </w:pPr>
      <w:r>
        <w:rPr>
          <w:rFonts w:hint="eastAsia" w:ascii="宋体" w:hAnsi="宋体"/>
          <w:b/>
          <w:sz w:val="44"/>
          <w:szCs w:val="36"/>
          <w:lang w:val="en-US" w:eastAsia="zh-CN"/>
        </w:rPr>
        <w:t>克州乌恰县文博馆设施设备提升项目-采购货物部分</w:t>
      </w:r>
    </w:p>
    <w:p w14:paraId="608862F3">
      <w:pPr>
        <w:widowControl/>
        <w:autoSpaceDE w:val="0"/>
        <w:autoSpaceDN w:val="0"/>
        <w:ind w:right="-26" w:firstLine="442" w:firstLineChars="100"/>
        <w:jc w:val="both"/>
        <w:textAlignment w:val="bottom"/>
        <w:rPr>
          <w:rFonts w:hint="eastAsia" w:ascii="宋体" w:hAnsi="宋体"/>
          <w:b/>
          <w:sz w:val="48"/>
          <w:szCs w:val="40"/>
          <w:lang w:eastAsia="zh-CN"/>
        </w:rPr>
      </w:pPr>
      <w:r>
        <w:rPr>
          <w:rFonts w:hint="eastAsia" w:ascii="宋体" w:hAnsi="宋体"/>
          <w:b/>
          <w:sz w:val="44"/>
          <w:szCs w:val="36"/>
          <w:lang w:eastAsia="zh-CN"/>
        </w:rPr>
        <w:t>（项目编号</w:t>
      </w:r>
      <w:r>
        <w:rPr>
          <w:rFonts w:hint="eastAsia" w:ascii="宋体" w:hAnsi="宋体"/>
          <w:b/>
          <w:sz w:val="44"/>
          <w:szCs w:val="36"/>
          <w:highlight w:val="none"/>
          <w:lang w:eastAsia="zh-CN"/>
        </w:rPr>
        <w:t>：</w:t>
      </w:r>
      <w:r>
        <w:rPr>
          <w:rFonts w:hint="eastAsia" w:ascii="宋体" w:hAnsi="宋体"/>
          <w:b/>
          <w:sz w:val="44"/>
          <w:szCs w:val="36"/>
          <w:highlight w:val="none"/>
          <w:lang w:eastAsia="zh-CN"/>
        </w:rPr>
        <w:fldChar w:fldCharType="begin"/>
      </w:r>
      <w:r>
        <w:rPr>
          <w:rFonts w:hint="eastAsia" w:ascii="宋体" w:hAnsi="宋体"/>
          <w:b/>
          <w:sz w:val="44"/>
          <w:szCs w:val="36"/>
          <w:highlight w:val="none"/>
          <w:lang w:eastAsia="zh-CN"/>
        </w:rPr>
        <w:instrText xml:space="preserve"> HYPERLINK "https://pay.zcygov.cn/purchaseplan_front/" </w:instrText>
      </w:r>
      <w:r>
        <w:rPr>
          <w:rFonts w:hint="eastAsia" w:ascii="宋体" w:hAnsi="宋体"/>
          <w:b/>
          <w:sz w:val="44"/>
          <w:szCs w:val="36"/>
          <w:highlight w:val="none"/>
          <w:lang w:eastAsia="zh-CN"/>
        </w:rPr>
        <w:fldChar w:fldCharType="separate"/>
      </w:r>
      <w:r>
        <w:rPr>
          <w:rFonts w:hint="eastAsia" w:ascii="宋体" w:hAnsi="宋体"/>
          <w:b/>
          <w:sz w:val="44"/>
          <w:szCs w:val="36"/>
          <w:highlight w:val="none"/>
          <w:lang w:eastAsia="zh-CN"/>
        </w:rPr>
        <w:t>WQZFCG（ZB）2026-</w:t>
      </w:r>
      <w:r>
        <w:rPr>
          <w:rFonts w:hint="eastAsia" w:ascii="宋体" w:hAnsi="宋体"/>
          <w:b/>
          <w:sz w:val="44"/>
          <w:szCs w:val="36"/>
          <w:highlight w:val="none"/>
          <w:lang w:eastAsia="zh-CN"/>
        </w:rPr>
        <w:fldChar w:fldCharType="end"/>
      </w:r>
      <w:r>
        <w:rPr>
          <w:rFonts w:hint="eastAsia" w:ascii="宋体" w:hAnsi="宋体"/>
          <w:b/>
          <w:sz w:val="44"/>
          <w:szCs w:val="36"/>
          <w:highlight w:val="none"/>
          <w:lang w:val="en-US" w:eastAsia="zh-CN"/>
        </w:rPr>
        <w:t xml:space="preserve">111 </w:t>
      </w:r>
      <w:r>
        <w:rPr>
          <w:rFonts w:hint="eastAsia" w:ascii="宋体" w:hAnsi="宋体"/>
          <w:b/>
          <w:sz w:val="44"/>
          <w:szCs w:val="36"/>
          <w:highlight w:val="none"/>
          <w:lang w:eastAsia="zh-CN"/>
        </w:rPr>
        <w:t>）</w:t>
      </w:r>
    </w:p>
    <w:p w14:paraId="58EAC7D3">
      <w:pPr>
        <w:pStyle w:val="40"/>
        <w:rPr>
          <w:rFonts w:hAnsi="宋体"/>
          <w:b/>
          <w:sz w:val="16"/>
          <w:szCs w:val="16"/>
        </w:rPr>
      </w:pPr>
    </w:p>
    <w:p w14:paraId="08B6A101">
      <w:pPr>
        <w:pStyle w:val="40"/>
        <w:rPr>
          <w:rFonts w:hAnsi="宋体"/>
          <w:b/>
          <w:sz w:val="16"/>
          <w:szCs w:val="16"/>
        </w:rPr>
      </w:pPr>
    </w:p>
    <w:p w14:paraId="45D7B875">
      <w:pPr>
        <w:pStyle w:val="40"/>
        <w:tabs>
          <w:tab w:val="left" w:pos="8616"/>
        </w:tabs>
        <w:rPr>
          <w:rFonts w:hAnsi="宋体"/>
          <w:b/>
          <w:sz w:val="16"/>
          <w:szCs w:val="16"/>
        </w:rPr>
      </w:pPr>
    </w:p>
    <w:p w14:paraId="64E2C510">
      <w:pPr>
        <w:pStyle w:val="40"/>
        <w:rPr>
          <w:rFonts w:hAnsi="宋体"/>
          <w:b/>
          <w:sz w:val="16"/>
          <w:szCs w:val="16"/>
        </w:rPr>
      </w:pPr>
    </w:p>
    <w:p w14:paraId="65F79080">
      <w:pPr>
        <w:widowControl/>
        <w:autoSpaceDE w:val="0"/>
        <w:autoSpaceDN w:val="0"/>
        <w:ind w:right="-26"/>
        <w:jc w:val="center"/>
        <w:textAlignment w:val="bottom"/>
        <w:rPr>
          <w:rFonts w:ascii="宋体" w:hAnsi="宋体"/>
          <w:b/>
          <w:sz w:val="96"/>
          <w:szCs w:val="96"/>
        </w:rPr>
      </w:pPr>
      <w:r>
        <w:rPr>
          <w:rFonts w:hint="eastAsia" w:ascii="宋体" w:hAnsi="宋体"/>
          <w:b/>
          <w:sz w:val="96"/>
          <w:szCs w:val="96"/>
        </w:rPr>
        <w:t>招</w:t>
      </w:r>
    </w:p>
    <w:p w14:paraId="1E53CFC5">
      <w:pPr>
        <w:widowControl/>
        <w:autoSpaceDE w:val="0"/>
        <w:autoSpaceDN w:val="0"/>
        <w:ind w:right="-26"/>
        <w:jc w:val="center"/>
        <w:textAlignment w:val="bottom"/>
        <w:rPr>
          <w:rFonts w:ascii="宋体" w:hAnsi="宋体"/>
          <w:b/>
          <w:sz w:val="96"/>
          <w:szCs w:val="96"/>
        </w:rPr>
      </w:pPr>
      <w:r>
        <w:rPr>
          <w:rFonts w:hint="eastAsia" w:ascii="宋体" w:hAnsi="宋体"/>
          <w:b/>
          <w:sz w:val="96"/>
          <w:szCs w:val="96"/>
        </w:rPr>
        <w:t>标</w:t>
      </w:r>
    </w:p>
    <w:p w14:paraId="533209B5">
      <w:pPr>
        <w:widowControl/>
        <w:tabs>
          <w:tab w:val="left" w:pos="4502"/>
          <w:tab w:val="center" w:pos="4832"/>
        </w:tabs>
        <w:autoSpaceDE w:val="0"/>
        <w:autoSpaceDN w:val="0"/>
        <w:ind w:right="-26"/>
        <w:jc w:val="center"/>
        <w:textAlignment w:val="bottom"/>
        <w:rPr>
          <w:rFonts w:ascii="宋体" w:hAnsi="宋体"/>
          <w:b/>
          <w:sz w:val="96"/>
          <w:szCs w:val="96"/>
        </w:rPr>
      </w:pPr>
      <w:r>
        <w:rPr>
          <w:rFonts w:hint="eastAsia" w:ascii="宋体" w:hAnsi="宋体"/>
          <w:b/>
          <w:sz w:val="96"/>
          <w:szCs w:val="96"/>
        </w:rPr>
        <w:t>文</w:t>
      </w:r>
    </w:p>
    <w:p w14:paraId="0A4C764D">
      <w:pPr>
        <w:widowControl/>
        <w:autoSpaceDE w:val="0"/>
        <w:autoSpaceDN w:val="0"/>
        <w:ind w:right="-26"/>
        <w:jc w:val="center"/>
        <w:textAlignment w:val="bottom"/>
        <w:rPr>
          <w:rFonts w:ascii="宋体" w:hAnsi="宋体"/>
          <w:b/>
          <w:sz w:val="96"/>
          <w:szCs w:val="96"/>
        </w:rPr>
      </w:pPr>
      <w:r>
        <w:rPr>
          <w:rFonts w:hint="eastAsia" w:ascii="宋体" w:hAnsi="宋体"/>
          <w:b/>
          <w:sz w:val="96"/>
          <w:szCs w:val="96"/>
        </w:rPr>
        <w:t>件</w:t>
      </w:r>
    </w:p>
    <w:p w14:paraId="1947F7E8">
      <w:pPr>
        <w:widowControl/>
        <w:autoSpaceDE w:val="0"/>
        <w:autoSpaceDN w:val="0"/>
        <w:ind w:right="-26"/>
        <w:textAlignment w:val="bottom"/>
        <w:rPr>
          <w:rFonts w:hint="eastAsia" w:ascii="宋体" w:hAnsi="宋体" w:eastAsia="宋体"/>
          <w:b/>
          <w:sz w:val="32"/>
          <w:lang w:val="en-US" w:eastAsia="zh-CN"/>
        </w:rPr>
      </w:pPr>
    </w:p>
    <w:p w14:paraId="3CE07744">
      <w:pPr>
        <w:widowControl/>
        <w:autoSpaceDE w:val="0"/>
        <w:autoSpaceDN w:val="0"/>
        <w:ind w:right="-26"/>
        <w:textAlignment w:val="bottom"/>
        <w:rPr>
          <w:rFonts w:ascii="宋体" w:hAnsi="宋体"/>
          <w:b/>
          <w:sz w:val="32"/>
        </w:rPr>
      </w:pPr>
    </w:p>
    <w:p w14:paraId="566C914F">
      <w:pPr>
        <w:widowControl/>
        <w:autoSpaceDE w:val="0"/>
        <w:autoSpaceDN w:val="0"/>
        <w:ind w:right="-26" w:firstLine="321" w:firstLineChars="100"/>
        <w:textAlignment w:val="bottom"/>
        <w:rPr>
          <w:rFonts w:ascii="宋体" w:hAnsi="宋体"/>
          <w:b/>
          <w:sz w:val="32"/>
        </w:rPr>
      </w:pPr>
      <w:r>
        <w:rPr>
          <w:rFonts w:hint="eastAsia" w:ascii="宋体" w:hAnsi="宋体"/>
          <w:b/>
          <w:sz w:val="32"/>
        </w:rPr>
        <w:t>采购单位：</w:t>
      </w:r>
      <w:r>
        <w:rPr>
          <w:rFonts w:hint="eastAsia" w:ascii="宋体" w:hAnsi="宋体"/>
          <w:b/>
          <w:sz w:val="32"/>
          <w:lang w:val="en-US" w:eastAsia="zh-CN"/>
        </w:rPr>
        <w:t xml:space="preserve">乌恰县文化体育广播电视和旅游局  </w:t>
      </w:r>
      <w:r>
        <w:rPr>
          <w:rFonts w:hint="eastAsia" w:ascii="宋体" w:hAnsi="宋体"/>
          <w:b/>
          <w:sz w:val="32"/>
          <w:lang w:val="zh-CN"/>
        </w:rPr>
        <w:t>（盖章）</w:t>
      </w:r>
    </w:p>
    <w:p w14:paraId="638E5A1B">
      <w:pPr>
        <w:widowControl/>
        <w:tabs>
          <w:tab w:val="left" w:pos="3335"/>
        </w:tabs>
        <w:autoSpaceDE w:val="0"/>
        <w:autoSpaceDN w:val="0"/>
        <w:ind w:right="-26" w:firstLine="630" w:firstLineChars="196"/>
        <w:textAlignment w:val="bottom"/>
        <w:rPr>
          <w:rFonts w:ascii="宋体" w:hAnsi="宋体"/>
          <w:b/>
          <w:sz w:val="32"/>
        </w:rPr>
      </w:pPr>
      <w:r>
        <w:rPr>
          <w:rFonts w:hint="eastAsia" w:ascii="宋体" w:hAnsi="宋体"/>
          <w:b/>
          <w:sz w:val="32"/>
        </w:rPr>
        <w:tab/>
      </w:r>
    </w:p>
    <w:p w14:paraId="2F72D839">
      <w:pPr>
        <w:widowControl/>
        <w:autoSpaceDE w:val="0"/>
        <w:autoSpaceDN w:val="0"/>
        <w:ind w:right="-26" w:firstLine="321" w:firstLineChars="100"/>
        <w:textAlignment w:val="bottom"/>
        <w:rPr>
          <w:rFonts w:ascii="宋体" w:hAnsi="宋体"/>
          <w:b/>
          <w:sz w:val="32"/>
          <w:u w:val="single"/>
        </w:rPr>
      </w:pPr>
      <w:r>
        <w:rPr>
          <w:rFonts w:hint="eastAsia" w:ascii="宋体" w:hAnsi="宋体"/>
          <w:b/>
          <w:sz w:val="32"/>
        </w:rPr>
        <w:t>代理机构：</w:t>
      </w:r>
      <w:r>
        <w:rPr>
          <w:rFonts w:hint="eastAsia" w:ascii="宋体" w:hAnsi="宋体"/>
          <w:b/>
          <w:sz w:val="32"/>
          <w:lang w:eastAsia="zh-CN"/>
        </w:rPr>
        <w:t>新疆聚友共创项目管理有限公司</w:t>
      </w:r>
      <w:r>
        <w:rPr>
          <w:rFonts w:hint="eastAsia" w:ascii="宋体" w:hAnsi="宋体"/>
          <w:b/>
          <w:bCs/>
          <w:sz w:val="32"/>
          <w:szCs w:val="32"/>
          <w:lang w:val="zh-CN"/>
        </w:rPr>
        <w:t>（盖章）</w:t>
      </w:r>
    </w:p>
    <w:p w14:paraId="29F928DB">
      <w:pPr>
        <w:widowControl/>
        <w:autoSpaceDE w:val="0"/>
        <w:autoSpaceDN w:val="0"/>
        <w:ind w:right="893" w:firstLine="630" w:firstLineChars="196"/>
        <w:textAlignment w:val="bottom"/>
        <w:rPr>
          <w:rFonts w:ascii="宋体" w:hAnsi="宋体"/>
          <w:b/>
          <w:sz w:val="32"/>
        </w:rPr>
      </w:pPr>
    </w:p>
    <w:p w14:paraId="54E4AF34">
      <w:pPr>
        <w:widowControl/>
        <w:autoSpaceDE w:val="0"/>
        <w:autoSpaceDN w:val="0"/>
        <w:ind w:right="893" w:firstLine="321" w:firstLineChars="100"/>
        <w:textAlignment w:val="bottom"/>
        <w:rPr>
          <w:rFonts w:hint="eastAsia" w:ascii="宋体" w:hAnsi="宋体" w:eastAsia="宋体"/>
          <w:b/>
          <w:sz w:val="32"/>
          <w:u w:val="single"/>
          <w:lang w:eastAsia="zh-CN"/>
        </w:rPr>
      </w:pPr>
      <w:r>
        <w:rPr>
          <w:rFonts w:hint="eastAsia" w:ascii="宋体" w:hAnsi="宋体"/>
          <w:b/>
          <w:sz w:val="32"/>
        </w:rPr>
        <w:t>联 系 人：</w:t>
      </w:r>
      <w:r>
        <w:rPr>
          <w:rFonts w:hint="eastAsia" w:ascii="宋体" w:hAnsi="宋体"/>
          <w:b/>
          <w:sz w:val="32"/>
          <w:lang w:eastAsia="zh-CN"/>
        </w:rPr>
        <w:t>郭道青</w:t>
      </w:r>
    </w:p>
    <w:p w14:paraId="02DAA122">
      <w:pPr>
        <w:widowControl/>
        <w:autoSpaceDE w:val="0"/>
        <w:autoSpaceDN w:val="0"/>
        <w:ind w:right="893" w:firstLine="630" w:firstLineChars="196"/>
        <w:textAlignment w:val="bottom"/>
        <w:rPr>
          <w:rFonts w:ascii="宋体" w:hAnsi="宋体"/>
          <w:b/>
          <w:sz w:val="32"/>
        </w:rPr>
      </w:pPr>
    </w:p>
    <w:p w14:paraId="102C52F6">
      <w:pPr>
        <w:widowControl/>
        <w:autoSpaceDE w:val="0"/>
        <w:autoSpaceDN w:val="0"/>
        <w:spacing w:line="480" w:lineRule="auto"/>
        <w:ind w:right="-26" w:firstLine="321" w:firstLineChars="100"/>
        <w:textAlignment w:val="bottom"/>
        <w:rPr>
          <w:rFonts w:hint="default" w:ascii="宋体" w:hAnsi="宋体" w:eastAsia="宋体"/>
          <w:b/>
          <w:sz w:val="32"/>
          <w:lang w:val="en-US" w:eastAsia="zh-CN"/>
        </w:rPr>
      </w:pPr>
      <w:r>
        <w:rPr>
          <w:rFonts w:hint="eastAsia" w:ascii="宋体" w:hAnsi="宋体"/>
          <w:b/>
          <w:sz w:val="32"/>
        </w:rPr>
        <w:t>联系电话：</w:t>
      </w:r>
      <w:r>
        <w:rPr>
          <w:rFonts w:hint="eastAsia" w:ascii="宋体" w:hAnsi="宋体"/>
          <w:b/>
          <w:sz w:val="32"/>
          <w:lang w:val="en-US" w:eastAsia="zh-CN"/>
        </w:rPr>
        <w:t>18690801126</w:t>
      </w:r>
    </w:p>
    <w:p w14:paraId="0E6AA10C">
      <w:pPr>
        <w:widowControl/>
        <w:autoSpaceDE w:val="0"/>
        <w:autoSpaceDN w:val="0"/>
        <w:spacing w:line="480" w:lineRule="auto"/>
        <w:ind w:right="-26" w:firstLine="321" w:firstLineChars="100"/>
        <w:textAlignment w:val="bottom"/>
        <w:rPr>
          <w:rFonts w:hint="eastAsia" w:ascii="宋体" w:hAnsi="宋体"/>
          <w:b/>
          <w:sz w:val="32"/>
        </w:rPr>
      </w:pPr>
      <w:r>
        <w:rPr>
          <w:rFonts w:hint="eastAsia" w:ascii="宋体" w:hAnsi="宋体"/>
          <w:b/>
          <w:sz w:val="32"/>
        </w:rPr>
        <w:t>日    期：202</w:t>
      </w:r>
      <w:r>
        <w:rPr>
          <w:rFonts w:hint="eastAsia" w:ascii="宋体" w:hAnsi="宋体"/>
          <w:b/>
          <w:sz w:val="32"/>
          <w:lang w:val="en-US" w:eastAsia="zh-CN"/>
        </w:rPr>
        <w:t>6</w:t>
      </w:r>
      <w:r>
        <w:rPr>
          <w:rFonts w:hint="eastAsia" w:ascii="宋体" w:hAnsi="宋体"/>
          <w:b/>
          <w:sz w:val="32"/>
        </w:rPr>
        <w:t>年</w:t>
      </w:r>
      <w:r>
        <w:rPr>
          <w:rFonts w:hint="eastAsia" w:ascii="宋体" w:hAnsi="宋体"/>
          <w:b/>
          <w:sz w:val="32"/>
          <w:lang w:val="en-US" w:eastAsia="zh-CN"/>
        </w:rPr>
        <w:t>10</w:t>
      </w:r>
      <w:r>
        <w:rPr>
          <w:rFonts w:hint="eastAsia" w:ascii="宋体" w:hAnsi="宋体"/>
          <w:b/>
          <w:sz w:val="32"/>
        </w:rPr>
        <w:t>月</w:t>
      </w:r>
    </w:p>
    <w:p w14:paraId="561BA772">
      <w:pPr>
        <w:widowControl/>
        <w:autoSpaceDE w:val="0"/>
        <w:autoSpaceDN w:val="0"/>
        <w:ind w:right="893" w:firstLine="866" w:firstLineChars="196"/>
        <w:jc w:val="center"/>
        <w:textAlignment w:val="bottom"/>
        <w:rPr>
          <w:rFonts w:ascii="宋体" w:hAnsi="宋体"/>
          <w:b/>
          <w:sz w:val="44"/>
          <w:szCs w:val="44"/>
        </w:rPr>
        <w:sectPr>
          <w:headerReference r:id="rId3" w:type="default"/>
          <w:footerReference r:id="rId4" w:type="default"/>
          <w:pgSz w:w="11907" w:h="16840"/>
          <w:pgMar w:top="1304" w:right="1417" w:bottom="1304" w:left="1418" w:header="567" w:footer="737" w:gutter="0"/>
          <w:pgNumType w:start="1"/>
          <w:cols w:space="720" w:num="1"/>
          <w:docGrid w:linePitch="312" w:charSpace="0"/>
        </w:sectPr>
      </w:pPr>
    </w:p>
    <w:p w14:paraId="7E9F5DB2">
      <w:pPr>
        <w:jc w:val="center"/>
        <w:rPr>
          <w:rFonts w:ascii="宋体" w:hAnsi="宋体"/>
          <w:b/>
          <w:color w:val="000000"/>
          <w:sz w:val="28"/>
          <w:szCs w:val="28"/>
        </w:rPr>
      </w:pPr>
      <w:r>
        <w:rPr>
          <w:rFonts w:hint="eastAsia" w:ascii="宋体" w:hAnsi="宋体"/>
          <w:b/>
          <w:sz w:val="36"/>
          <w:szCs w:val="36"/>
        </w:rPr>
        <w:t>招投标监督管理机构备案登记栏</w:t>
      </w:r>
      <w:bookmarkStart w:id="0" w:name="_Hlt10462525"/>
      <w:bookmarkEnd w:id="0"/>
      <w:bookmarkStart w:id="1" w:name="_Hlt42956379"/>
      <w:bookmarkEnd w:id="1"/>
      <w:bookmarkStart w:id="2" w:name="_Hlt10529670"/>
      <w:bookmarkEnd w:id="2"/>
      <w:bookmarkStart w:id="3" w:name="_Hlt10523642"/>
      <w:bookmarkEnd w:id="3"/>
      <w:bookmarkStart w:id="4" w:name="_Hlt42956360"/>
      <w:bookmarkEnd w:id="4"/>
      <w:bookmarkStart w:id="5" w:name="_Hlt10519329"/>
      <w:bookmarkEnd w:id="5"/>
      <w:bookmarkStart w:id="6" w:name="_Hlt10524029"/>
      <w:bookmarkEnd w:id="6"/>
      <w:bookmarkStart w:id="7" w:name="_Hlt10567911"/>
      <w:bookmarkEnd w:id="7"/>
      <w:bookmarkStart w:id="8" w:name="_Hlt10524018"/>
      <w:bookmarkEnd w:id="8"/>
      <w:bookmarkStart w:id="9" w:name="_Hlt10524010"/>
      <w:bookmarkEnd w:id="9"/>
    </w:p>
    <w:tbl>
      <w:tblPr>
        <w:tblStyle w:val="27"/>
        <w:tblpPr w:leftFromText="180" w:rightFromText="180" w:vertAnchor="text" w:horzAnchor="page" w:tblpX="996" w:tblpY="192"/>
        <w:tblW w:w="10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6"/>
      </w:tblGrid>
      <w:tr w14:paraId="7863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3" w:hRule="atLeast"/>
        </w:trPr>
        <w:tc>
          <w:tcPr>
            <w:tcW w:w="10126" w:type="dxa"/>
          </w:tcPr>
          <w:p w14:paraId="50ACB717">
            <w:pPr>
              <w:spacing w:line="480" w:lineRule="auto"/>
              <w:rPr>
                <w:rFonts w:hint="eastAsia" w:ascii="宋体" w:hAnsi="宋体"/>
                <w:sz w:val="36"/>
                <w:szCs w:val="32"/>
              </w:rPr>
            </w:pPr>
            <w:r>
              <w:rPr>
                <w:rFonts w:hint="eastAsia" w:ascii="宋体" w:hAnsi="宋体"/>
                <w:sz w:val="36"/>
                <w:szCs w:val="32"/>
              </w:rPr>
              <w:t>采购单位：</w:t>
            </w:r>
            <w:r>
              <w:rPr>
                <w:rFonts w:hint="eastAsia" w:ascii="宋体" w:hAnsi="宋体"/>
                <w:sz w:val="36"/>
                <w:szCs w:val="32"/>
                <w:lang w:val="en-US" w:eastAsia="zh-CN"/>
              </w:rPr>
              <w:t>乌恰县文化体育广播电视和旅游局</w:t>
            </w:r>
            <w:r>
              <w:rPr>
                <w:rFonts w:hint="eastAsia" w:ascii="宋体" w:hAnsi="宋体"/>
                <w:sz w:val="36"/>
                <w:szCs w:val="32"/>
              </w:rPr>
              <w:t>（盖章）</w:t>
            </w:r>
          </w:p>
          <w:p w14:paraId="3C5E32F3">
            <w:pPr>
              <w:pStyle w:val="21"/>
              <w:spacing w:line="480" w:lineRule="auto"/>
              <w:rPr>
                <w:rFonts w:hint="eastAsia"/>
              </w:rPr>
            </w:pPr>
          </w:p>
          <w:p w14:paraId="089DF1D2">
            <w:pPr>
              <w:pStyle w:val="21"/>
              <w:spacing w:line="480" w:lineRule="auto"/>
            </w:pPr>
          </w:p>
          <w:p w14:paraId="1A8280CA">
            <w:pPr>
              <w:spacing w:line="480" w:lineRule="auto"/>
              <w:rPr>
                <w:rFonts w:hint="eastAsia" w:ascii="宋体" w:hAnsi="宋体"/>
                <w:sz w:val="36"/>
                <w:szCs w:val="32"/>
              </w:rPr>
            </w:pPr>
            <w:r>
              <w:rPr>
                <w:rFonts w:hint="eastAsia" w:ascii="宋体" w:hAnsi="宋体"/>
                <w:sz w:val="36"/>
                <w:szCs w:val="32"/>
              </w:rPr>
              <w:t>采购项目名称：</w:t>
            </w:r>
            <w:r>
              <w:rPr>
                <w:rFonts w:hint="eastAsia" w:ascii="宋体" w:hAnsi="宋体"/>
                <w:sz w:val="36"/>
                <w:szCs w:val="32"/>
                <w:lang w:val="en-US" w:eastAsia="zh-CN"/>
              </w:rPr>
              <w:t>克州乌恰县文博馆设施设备提升项目-采购货物部分</w:t>
            </w:r>
          </w:p>
          <w:p w14:paraId="7107FD20">
            <w:pPr>
              <w:spacing w:line="1440" w:lineRule="auto"/>
              <w:rPr>
                <w:rFonts w:hint="eastAsia" w:ascii="宋体" w:hAnsi="宋体"/>
                <w:sz w:val="36"/>
                <w:szCs w:val="32"/>
              </w:rPr>
            </w:pPr>
            <w:r>
              <w:rPr>
                <w:rFonts w:hint="eastAsia" w:ascii="宋体" w:hAnsi="宋体"/>
                <w:sz w:val="36"/>
                <w:szCs w:val="32"/>
              </w:rPr>
              <w:t>代理机构：</w:t>
            </w:r>
            <w:r>
              <w:rPr>
                <w:rFonts w:hint="eastAsia" w:ascii="宋体" w:hAnsi="宋体"/>
                <w:sz w:val="36"/>
                <w:szCs w:val="32"/>
                <w:lang w:eastAsia="zh-CN"/>
              </w:rPr>
              <w:t>新疆聚友共创项目管理有限公司</w:t>
            </w:r>
            <w:r>
              <w:rPr>
                <w:rFonts w:hint="eastAsia" w:ascii="宋体" w:hAnsi="宋体"/>
                <w:sz w:val="36"/>
                <w:szCs w:val="32"/>
              </w:rPr>
              <w:t>（盖章）</w:t>
            </w:r>
          </w:p>
          <w:p w14:paraId="1CFC7E66">
            <w:pPr>
              <w:spacing w:line="1440" w:lineRule="auto"/>
              <w:rPr>
                <w:rFonts w:ascii="宋体" w:hAnsi="宋体"/>
                <w:sz w:val="36"/>
                <w:szCs w:val="32"/>
              </w:rPr>
            </w:pPr>
            <w:r>
              <w:rPr>
                <w:rFonts w:hint="eastAsia" w:ascii="宋体" w:hAnsi="宋体"/>
                <w:sz w:val="36"/>
                <w:szCs w:val="32"/>
              </w:rPr>
              <w:t>本采购招标文件已报备</w:t>
            </w:r>
          </w:p>
          <w:p w14:paraId="791CC0DB">
            <w:pPr>
              <w:jc w:val="center"/>
              <w:rPr>
                <w:rFonts w:ascii="宋体" w:hAnsi="宋体"/>
                <w:sz w:val="36"/>
                <w:szCs w:val="32"/>
              </w:rPr>
            </w:pPr>
          </w:p>
          <w:p w14:paraId="74E4BE9C">
            <w:pPr>
              <w:jc w:val="center"/>
              <w:rPr>
                <w:rFonts w:ascii="宋体" w:hAnsi="宋体"/>
                <w:sz w:val="36"/>
                <w:szCs w:val="32"/>
              </w:rPr>
            </w:pPr>
            <w:r>
              <w:rPr>
                <w:rFonts w:hint="eastAsia" w:ascii="宋体" w:hAnsi="宋体"/>
                <w:sz w:val="36"/>
                <w:szCs w:val="32"/>
              </w:rPr>
              <w:t>202</w:t>
            </w:r>
            <w:r>
              <w:rPr>
                <w:rFonts w:hint="eastAsia" w:ascii="宋体" w:hAnsi="宋体"/>
                <w:sz w:val="36"/>
                <w:szCs w:val="32"/>
                <w:lang w:val="en-US" w:eastAsia="zh-CN"/>
              </w:rPr>
              <w:t>6</w:t>
            </w:r>
            <w:r>
              <w:rPr>
                <w:rFonts w:hint="eastAsia" w:ascii="宋体" w:hAnsi="宋体"/>
                <w:sz w:val="36"/>
                <w:szCs w:val="32"/>
              </w:rPr>
              <w:t>年</w:t>
            </w:r>
            <w:r>
              <w:rPr>
                <w:rFonts w:hint="eastAsia" w:ascii="宋体" w:hAnsi="宋体"/>
                <w:sz w:val="36"/>
                <w:szCs w:val="32"/>
                <w:lang w:val="en-US" w:eastAsia="zh-CN"/>
              </w:rPr>
              <w:t>10</w:t>
            </w:r>
            <w:r>
              <w:rPr>
                <w:rFonts w:hint="eastAsia" w:ascii="宋体" w:hAnsi="宋体"/>
                <w:sz w:val="36"/>
                <w:szCs w:val="32"/>
              </w:rPr>
              <w:t>月</w:t>
            </w:r>
          </w:p>
          <w:p w14:paraId="10D76F30">
            <w:pPr>
              <w:pStyle w:val="4"/>
              <w:rPr>
                <w:rFonts w:ascii="宋体" w:hAnsi="宋体"/>
              </w:rPr>
            </w:pPr>
          </w:p>
        </w:tc>
      </w:tr>
    </w:tbl>
    <w:p w14:paraId="5DE6952A">
      <w:pPr>
        <w:tabs>
          <w:tab w:val="left" w:pos="3727"/>
          <w:tab w:val="center" w:pos="4747"/>
        </w:tabs>
        <w:spacing w:line="340" w:lineRule="exact"/>
        <w:ind w:firstLine="151" w:firstLineChars="50"/>
        <w:jc w:val="left"/>
        <w:rPr>
          <w:rFonts w:hint="eastAsia" w:ascii="宋体" w:hAnsi="宋体"/>
          <w:b/>
          <w:color w:val="000000"/>
          <w:sz w:val="30"/>
          <w:szCs w:val="30"/>
          <w:lang w:eastAsia="zh-CN"/>
        </w:rPr>
      </w:pPr>
      <w:r>
        <w:rPr>
          <w:rFonts w:hint="eastAsia" w:ascii="宋体" w:hAnsi="宋体"/>
          <w:b/>
          <w:color w:val="000000"/>
          <w:sz w:val="30"/>
          <w:szCs w:val="30"/>
          <w:lang w:eastAsia="zh-CN"/>
        </w:rPr>
        <w:tab/>
      </w:r>
    </w:p>
    <w:p w14:paraId="3D594F73">
      <w:pPr>
        <w:tabs>
          <w:tab w:val="left" w:pos="3727"/>
          <w:tab w:val="center" w:pos="4747"/>
        </w:tabs>
        <w:spacing w:line="340" w:lineRule="exact"/>
        <w:ind w:firstLine="151" w:firstLineChars="50"/>
        <w:jc w:val="left"/>
        <w:rPr>
          <w:rFonts w:ascii="宋体" w:hAnsi="宋体"/>
          <w:kern w:val="0"/>
          <w:sz w:val="30"/>
          <w:szCs w:val="30"/>
        </w:rPr>
      </w:pPr>
      <w:r>
        <w:rPr>
          <w:rFonts w:hint="eastAsia" w:ascii="宋体" w:hAnsi="宋体"/>
          <w:b/>
          <w:color w:val="000000"/>
          <w:sz w:val="30"/>
          <w:szCs w:val="30"/>
          <w:lang w:eastAsia="zh-CN"/>
        </w:rPr>
        <w:tab/>
      </w:r>
      <w:r>
        <w:rPr>
          <w:rFonts w:hint="eastAsia" w:ascii="宋体" w:hAnsi="宋体"/>
          <w:b/>
          <w:color w:val="000000"/>
          <w:sz w:val="30"/>
          <w:szCs w:val="30"/>
        </w:rPr>
        <w:t>目  录</w:t>
      </w:r>
      <w:r>
        <w:rPr>
          <w:rFonts w:hint="eastAsia" w:ascii="宋体" w:hAnsi="宋体"/>
          <w:kern w:val="0"/>
          <w:sz w:val="30"/>
          <w:szCs w:val="30"/>
        </w:rPr>
        <w:t xml:space="preserve"> </w:t>
      </w:r>
    </w:p>
    <w:p w14:paraId="7DF6B591">
      <w:pPr>
        <w:spacing w:line="360" w:lineRule="auto"/>
        <w:ind w:firstLine="141" w:firstLineChars="50"/>
        <w:jc w:val="left"/>
        <w:rPr>
          <w:rFonts w:ascii="宋体" w:hAnsi="宋体"/>
          <w:bCs/>
          <w:color w:val="000000"/>
          <w:sz w:val="28"/>
          <w:szCs w:val="28"/>
        </w:rPr>
      </w:pPr>
    </w:p>
    <w:p w14:paraId="41D3D1A1">
      <w:pPr>
        <w:spacing w:line="480" w:lineRule="auto"/>
        <w:ind w:firstLine="106" w:firstLineChars="50"/>
        <w:jc w:val="center"/>
        <w:rPr>
          <w:rFonts w:ascii="宋体" w:hAnsi="宋体"/>
          <w:bCs/>
          <w:color w:val="000000"/>
          <w:szCs w:val="21"/>
        </w:rPr>
      </w:pPr>
      <w:r>
        <w:rPr>
          <w:rFonts w:hint="eastAsia" w:ascii="宋体" w:hAnsi="宋体"/>
          <w:bCs/>
          <w:color w:val="000000"/>
          <w:szCs w:val="21"/>
        </w:rPr>
        <w:t>第一部分 招标公告……………………………………………………………………………3</w:t>
      </w:r>
    </w:p>
    <w:p w14:paraId="77847DF7">
      <w:pPr>
        <w:spacing w:line="480" w:lineRule="auto"/>
        <w:ind w:firstLine="106" w:firstLineChars="50"/>
        <w:jc w:val="center"/>
        <w:rPr>
          <w:rFonts w:ascii="宋体" w:hAnsi="宋体"/>
          <w:bCs/>
          <w:color w:val="000000"/>
          <w:szCs w:val="21"/>
        </w:rPr>
      </w:pPr>
      <w:r>
        <w:rPr>
          <w:rFonts w:hint="eastAsia" w:ascii="宋体" w:hAnsi="宋体"/>
          <w:bCs/>
          <w:color w:val="000000"/>
          <w:szCs w:val="21"/>
        </w:rPr>
        <w:t>第二部分 投标人须知…………………………………………………………………………6</w:t>
      </w:r>
    </w:p>
    <w:p w14:paraId="62D33631">
      <w:pPr>
        <w:spacing w:line="480" w:lineRule="auto"/>
        <w:jc w:val="center"/>
        <w:rPr>
          <w:rFonts w:ascii="宋体" w:hAnsi="宋体"/>
          <w:bCs/>
          <w:color w:val="000000"/>
          <w:szCs w:val="21"/>
        </w:rPr>
      </w:pPr>
      <w:r>
        <w:rPr>
          <w:rFonts w:hint="eastAsia" w:ascii="宋体" w:hAnsi="宋体"/>
          <w:bCs/>
          <w:color w:val="000000"/>
          <w:szCs w:val="21"/>
        </w:rPr>
        <w:t>前附表 …………………………………………………………………………………………6</w:t>
      </w:r>
    </w:p>
    <w:p w14:paraId="64ED7990">
      <w:pPr>
        <w:spacing w:line="480" w:lineRule="auto"/>
        <w:jc w:val="center"/>
        <w:rPr>
          <w:rFonts w:ascii="宋体" w:hAnsi="宋体"/>
          <w:bCs/>
          <w:color w:val="000000"/>
          <w:szCs w:val="21"/>
        </w:rPr>
      </w:pPr>
      <w:r>
        <w:rPr>
          <w:rFonts w:hint="eastAsia" w:ascii="宋体" w:hAnsi="宋体"/>
          <w:bCs/>
          <w:color w:val="000000"/>
          <w:szCs w:val="21"/>
        </w:rPr>
        <w:t>一.总则…………………………………………………………………………………………12</w:t>
      </w:r>
    </w:p>
    <w:p w14:paraId="5CC9B529">
      <w:pPr>
        <w:spacing w:line="480" w:lineRule="auto"/>
        <w:jc w:val="center"/>
        <w:rPr>
          <w:rFonts w:ascii="宋体" w:hAnsi="宋体"/>
          <w:bCs/>
          <w:color w:val="000000"/>
          <w:szCs w:val="21"/>
        </w:rPr>
      </w:pPr>
      <w:r>
        <w:rPr>
          <w:rFonts w:hint="eastAsia" w:ascii="宋体" w:hAnsi="宋体"/>
          <w:bCs/>
          <w:color w:val="000000"/>
          <w:szCs w:val="21"/>
        </w:rPr>
        <w:t>二.招标文件……………………………………………………………………………………15</w:t>
      </w:r>
    </w:p>
    <w:p w14:paraId="1CFCA2E5">
      <w:pPr>
        <w:spacing w:line="480" w:lineRule="auto"/>
        <w:ind w:firstLine="106" w:firstLineChars="50"/>
        <w:jc w:val="center"/>
        <w:rPr>
          <w:rFonts w:ascii="宋体" w:hAnsi="宋体"/>
          <w:bCs/>
          <w:color w:val="000000"/>
          <w:szCs w:val="21"/>
        </w:rPr>
      </w:pPr>
      <w:r>
        <w:rPr>
          <w:rFonts w:hint="eastAsia" w:ascii="宋体" w:hAnsi="宋体"/>
          <w:bCs/>
          <w:color w:val="000000"/>
          <w:szCs w:val="21"/>
        </w:rPr>
        <w:t>三.投标文件的编制……………………………………………………………………………16</w:t>
      </w:r>
    </w:p>
    <w:p w14:paraId="475E5183">
      <w:pPr>
        <w:spacing w:line="480" w:lineRule="auto"/>
        <w:ind w:firstLine="106" w:firstLineChars="50"/>
        <w:jc w:val="center"/>
        <w:rPr>
          <w:rFonts w:ascii="宋体" w:hAnsi="宋体"/>
          <w:bCs/>
          <w:color w:val="000000"/>
          <w:szCs w:val="21"/>
        </w:rPr>
      </w:pPr>
      <w:r>
        <w:rPr>
          <w:rFonts w:hint="eastAsia" w:ascii="宋体" w:hAnsi="宋体"/>
          <w:bCs/>
          <w:color w:val="000000"/>
          <w:szCs w:val="21"/>
        </w:rPr>
        <w:t>四.投标文件的递交……………………………………………………………………………19</w:t>
      </w:r>
    </w:p>
    <w:p w14:paraId="1E84FB75">
      <w:pPr>
        <w:spacing w:line="480" w:lineRule="auto"/>
        <w:ind w:firstLine="106" w:firstLineChars="50"/>
        <w:jc w:val="center"/>
        <w:rPr>
          <w:rFonts w:ascii="宋体" w:hAnsi="宋体"/>
          <w:bCs/>
          <w:color w:val="000000"/>
          <w:szCs w:val="21"/>
        </w:rPr>
      </w:pPr>
      <w:r>
        <w:rPr>
          <w:rFonts w:hint="eastAsia" w:ascii="宋体" w:hAnsi="宋体"/>
          <w:bCs/>
          <w:color w:val="000000"/>
          <w:szCs w:val="21"/>
        </w:rPr>
        <w:t>五.开 标、评标和定标…………………………………………………………………………20</w:t>
      </w:r>
    </w:p>
    <w:p w14:paraId="2C34A045">
      <w:pPr>
        <w:spacing w:line="480" w:lineRule="auto"/>
        <w:ind w:firstLine="106" w:firstLineChars="50"/>
        <w:jc w:val="center"/>
        <w:rPr>
          <w:rFonts w:ascii="宋体" w:hAnsi="宋体"/>
          <w:bCs/>
          <w:color w:val="000000"/>
          <w:szCs w:val="21"/>
        </w:rPr>
      </w:pPr>
      <w:r>
        <w:rPr>
          <w:rFonts w:hint="eastAsia" w:ascii="宋体" w:hAnsi="宋体"/>
          <w:bCs/>
          <w:color w:val="000000"/>
          <w:szCs w:val="21"/>
        </w:rPr>
        <w:t>六.合同的授予…………………………………………………………………………………27</w:t>
      </w:r>
    </w:p>
    <w:p w14:paraId="1343D33D">
      <w:pPr>
        <w:adjustRightInd w:val="0"/>
        <w:snapToGrid w:val="0"/>
        <w:spacing w:line="440" w:lineRule="exact"/>
        <w:jc w:val="center"/>
        <w:outlineLvl w:val="2"/>
        <w:rPr>
          <w:rFonts w:ascii="宋体" w:hAnsi="宋体"/>
          <w:bCs/>
          <w:color w:val="000000"/>
          <w:szCs w:val="21"/>
        </w:rPr>
      </w:pPr>
      <w:r>
        <w:rPr>
          <w:rFonts w:hint="eastAsia" w:ascii="宋体" w:hAnsi="宋体"/>
          <w:bCs/>
          <w:color w:val="000000"/>
          <w:szCs w:val="21"/>
        </w:rPr>
        <w:t>七.纪律和监督…………………………………………………………………………………27</w:t>
      </w:r>
    </w:p>
    <w:p w14:paraId="6EB3BE3A">
      <w:pPr>
        <w:spacing w:before="162" w:beforeLines="50" w:after="162" w:afterLines="50" w:line="500" w:lineRule="exact"/>
        <w:jc w:val="center"/>
        <w:rPr>
          <w:rFonts w:ascii="宋体" w:hAnsi="宋体"/>
          <w:bCs/>
          <w:color w:val="000000"/>
          <w:szCs w:val="21"/>
        </w:rPr>
      </w:pPr>
      <w:r>
        <w:rPr>
          <w:rFonts w:hint="eastAsia" w:ascii="宋体" w:hAnsi="宋体"/>
          <w:bCs/>
          <w:color w:val="000000"/>
          <w:szCs w:val="21"/>
        </w:rPr>
        <w:t>八.质疑与投诉…………………………………………………………………………………28</w:t>
      </w:r>
    </w:p>
    <w:p w14:paraId="07120E3D">
      <w:pPr>
        <w:spacing w:line="480" w:lineRule="auto"/>
        <w:ind w:firstLine="106" w:firstLineChars="50"/>
        <w:jc w:val="center"/>
        <w:rPr>
          <w:rFonts w:ascii="宋体" w:hAnsi="宋体"/>
          <w:bCs/>
          <w:color w:val="000000"/>
          <w:szCs w:val="21"/>
        </w:rPr>
      </w:pPr>
      <w:r>
        <w:rPr>
          <w:rFonts w:hint="eastAsia" w:ascii="宋体" w:hAnsi="宋体"/>
          <w:bCs/>
          <w:color w:val="000000"/>
          <w:szCs w:val="21"/>
        </w:rPr>
        <w:t>第三部 分评标办法……………………………………………………………………………33</w:t>
      </w:r>
    </w:p>
    <w:p w14:paraId="38338D2A">
      <w:pPr>
        <w:spacing w:line="480" w:lineRule="auto"/>
        <w:ind w:firstLine="106" w:firstLineChars="50"/>
        <w:jc w:val="center"/>
        <w:rPr>
          <w:rFonts w:ascii="宋体" w:hAnsi="宋体"/>
          <w:bCs/>
          <w:color w:val="000000"/>
          <w:szCs w:val="21"/>
        </w:rPr>
      </w:pPr>
      <w:r>
        <w:rPr>
          <w:rFonts w:hint="eastAsia" w:ascii="宋体" w:hAnsi="宋体"/>
          <w:bCs/>
          <w:color w:val="000000"/>
          <w:szCs w:val="21"/>
        </w:rPr>
        <w:t>第四部分 采购内容及技术要求………………………………………………………………44</w:t>
      </w:r>
    </w:p>
    <w:p w14:paraId="49700122">
      <w:pPr>
        <w:spacing w:line="480" w:lineRule="auto"/>
        <w:ind w:firstLine="106" w:firstLineChars="50"/>
        <w:jc w:val="center"/>
        <w:rPr>
          <w:rFonts w:ascii="宋体" w:hAnsi="宋体"/>
          <w:bCs/>
          <w:color w:val="000000"/>
          <w:szCs w:val="21"/>
        </w:rPr>
      </w:pPr>
      <w:r>
        <w:rPr>
          <w:rFonts w:hint="eastAsia" w:ascii="宋体" w:hAnsi="宋体"/>
          <w:bCs/>
          <w:color w:val="000000"/>
          <w:szCs w:val="21"/>
        </w:rPr>
        <w:t>第五部分 合同条款及格式……………………………………………………………………61</w:t>
      </w:r>
    </w:p>
    <w:p w14:paraId="651B5317">
      <w:pPr>
        <w:spacing w:line="480" w:lineRule="auto"/>
        <w:ind w:firstLine="106" w:firstLineChars="50"/>
        <w:jc w:val="center"/>
        <w:rPr>
          <w:rFonts w:ascii="宋体" w:hAnsi="宋体"/>
          <w:bCs/>
          <w:color w:val="000000"/>
          <w:szCs w:val="21"/>
        </w:rPr>
      </w:pPr>
      <w:r>
        <w:rPr>
          <w:rFonts w:hint="eastAsia" w:ascii="宋体" w:hAnsi="宋体"/>
          <w:bCs/>
          <w:color w:val="000000"/>
          <w:szCs w:val="21"/>
        </w:rPr>
        <w:t>第六部分 投标文件格式………………………………………………………………………69</w:t>
      </w:r>
    </w:p>
    <w:p w14:paraId="6C70CA4E">
      <w:pPr>
        <w:jc w:val="left"/>
        <w:rPr>
          <w:rFonts w:ascii="宋体" w:hAnsi="宋体"/>
          <w:b/>
          <w:color w:val="000000"/>
          <w:kern w:val="0"/>
          <w:sz w:val="44"/>
          <w:szCs w:val="44"/>
        </w:rPr>
      </w:pPr>
    </w:p>
    <w:p w14:paraId="36F43E0D">
      <w:pPr>
        <w:pStyle w:val="40"/>
      </w:pPr>
    </w:p>
    <w:p w14:paraId="2C27AC96">
      <w:pPr>
        <w:widowControl/>
        <w:rPr>
          <w:rFonts w:ascii="宋体" w:hAnsi="宋体"/>
          <w:b/>
          <w:kern w:val="0"/>
          <w:sz w:val="32"/>
          <w:szCs w:val="22"/>
        </w:rPr>
      </w:pPr>
    </w:p>
    <w:p w14:paraId="3DF9F6F6">
      <w:pPr>
        <w:rPr>
          <w:rFonts w:hint="eastAsia" w:ascii="宋体" w:hAnsi="宋体"/>
          <w:b/>
          <w:kern w:val="0"/>
          <w:sz w:val="32"/>
          <w:szCs w:val="22"/>
        </w:rPr>
      </w:pPr>
      <w:r>
        <w:rPr>
          <w:rFonts w:hint="eastAsia" w:ascii="宋体" w:hAnsi="宋体"/>
          <w:b/>
          <w:kern w:val="0"/>
          <w:sz w:val="32"/>
          <w:szCs w:val="22"/>
        </w:rPr>
        <w:br w:type="page"/>
      </w:r>
    </w:p>
    <w:p w14:paraId="239044F7">
      <w:pPr>
        <w:widowControl/>
        <w:jc w:val="center"/>
        <w:rPr>
          <w:rFonts w:hint="eastAsia" w:ascii="仿宋" w:hAnsi="仿宋" w:eastAsia="仿宋" w:cs="仿宋"/>
          <w:color w:val="000000"/>
          <w:sz w:val="22"/>
          <w:szCs w:val="22"/>
          <w:lang w:eastAsia="zh-CN"/>
        </w:rPr>
      </w:pPr>
      <w:r>
        <w:rPr>
          <w:rFonts w:hint="eastAsia" w:ascii="宋体" w:hAnsi="宋体"/>
          <w:b/>
          <w:kern w:val="0"/>
          <w:sz w:val="32"/>
          <w:szCs w:val="22"/>
        </w:rPr>
        <w:t>第一部分 招标公告</w:t>
      </w:r>
      <w:r>
        <w:rPr>
          <w:rFonts w:hint="eastAsia" w:ascii="仿宋" w:hAnsi="仿宋" w:eastAsia="仿宋" w:cs="仿宋"/>
          <w:color w:val="000000"/>
          <w:sz w:val="28"/>
          <w:szCs w:val="28"/>
        </w:rPr>
        <w:t xml:space="preserve">    </w:t>
      </w:r>
      <w:r>
        <w:rPr>
          <w:rFonts w:hint="eastAsia" w:ascii="仿宋" w:hAnsi="仿宋" w:eastAsia="仿宋" w:cs="仿宋"/>
          <w:color w:val="000000"/>
          <w:sz w:val="22"/>
          <w:szCs w:val="22"/>
        </w:rPr>
        <w:t xml:space="preserve"> </w:t>
      </w:r>
    </w:p>
    <w:p w14:paraId="7A0E9FC6">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hAnsi="仿宋" w:eastAsia="仿宋" w:cs="仿宋"/>
          <w:bCs/>
          <w:color w:val="000000"/>
          <w:sz w:val="28"/>
          <w:szCs w:val="28"/>
        </w:rPr>
      </w:pPr>
      <w:r>
        <w:rPr>
          <w:rFonts w:hint="eastAsia" w:ascii="仿宋" w:hAnsi="仿宋" w:eastAsia="仿宋" w:cs="仿宋"/>
          <w:bCs/>
          <w:color w:val="000000"/>
          <w:szCs w:val="32"/>
          <w:lang w:val="en-US" w:eastAsia="zh-CN"/>
        </w:rPr>
        <w:t>克州乌恰县文博馆设施设备提升项目-采购货物部分公开招标</w:t>
      </w:r>
      <w:r>
        <w:rPr>
          <w:rFonts w:hint="eastAsia" w:ascii="仿宋" w:hAnsi="仿宋" w:eastAsia="仿宋" w:cs="仿宋"/>
          <w:bCs/>
          <w:color w:val="000000"/>
          <w:szCs w:val="32"/>
        </w:rPr>
        <w:t>公告</w:t>
      </w:r>
    </w:p>
    <w:tbl>
      <w:tblPr>
        <w:tblStyle w:val="28"/>
        <w:tblW w:w="9173"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3"/>
      </w:tblGrid>
      <w:tr w14:paraId="4BD6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9173" w:type="dxa"/>
            <w:noWrap w:val="0"/>
            <w:vAlign w:val="top"/>
          </w:tcPr>
          <w:p w14:paraId="51609ECC">
            <w:pPr>
              <w:pStyle w:val="24"/>
              <w:spacing w:before="75" w:beforeAutospacing="0" w:after="75" w:afterAutospacing="0"/>
              <w:rPr>
                <w:rFonts w:ascii="仿宋" w:hAnsi="仿宋" w:eastAsia="仿宋" w:cs="仿宋"/>
                <w:color w:val="000000"/>
                <w:highlight w:val="none"/>
              </w:rPr>
            </w:pPr>
            <w:r>
              <w:rPr>
                <w:rFonts w:ascii="仿宋" w:hAnsi="仿宋" w:eastAsia="仿宋" w:cs="仿宋"/>
                <w:color w:val="000000"/>
                <w:highlight w:val="none"/>
              </w:rPr>
              <w:t>项目概况</w:t>
            </w:r>
          </w:p>
          <w:p w14:paraId="6E5D651E">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highlight w:val="none"/>
              </w:rPr>
            </w:pPr>
            <w:r>
              <w:rPr>
                <w:rFonts w:hint="eastAsia" w:ascii="仿宋" w:hAnsi="仿宋" w:eastAsia="仿宋" w:cs="仿宋"/>
                <w:color w:val="000000"/>
                <w:highlight w:val="none"/>
                <w:lang w:eastAsia="zh-CN"/>
              </w:rPr>
              <w:t>克州乌恰县文博馆设施设备提升项目-采购货物部分</w:t>
            </w:r>
            <w:r>
              <w:rPr>
                <w:rFonts w:hint="eastAsia" w:ascii="仿宋" w:hAnsi="仿宋" w:eastAsia="仿宋" w:cs="仿宋"/>
                <w:highlight w:val="none"/>
              </w:rPr>
              <w:t>的潜在</w:t>
            </w:r>
            <w:r>
              <w:rPr>
                <w:rFonts w:hint="eastAsia" w:ascii="仿宋" w:hAnsi="仿宋" w:eastAsia="仿宋" w:cs="仿宋"/>
                <w:color w:val="000000"/>
                <w:highlight w:val="none"/>
              </w:rPr>
              <w:t>投标人应在供应商登陆政采云平台http://www.zcygov.cn/，</w:t>
            </w:r>
            <w:r>
              <w:rPr>
                <w:rFonts w:hint="eastAsia" w:ascii="仿宋" w:hAnsi="仿宋" w:eastAsia="仿宋" w:cs="仿宋"/>
                <w:highlight w:val="none"/>
              </w:rPr>
              <w:t>在线申请获取采购文件（登录政府采购云平台 → 项目采购 → 获取采购文件 → 申请，审核通过后可下载招标文件，如有操作性问题，可与政采云在线客服进行咨询，咨询电话：95763）获取招标文件，并于</w:t>
            </w:r>
            <w:r>
              <w:rPr>
                <w:rFonts w:hint="eastAsia" w:ascii="仿宋" w:hAnsi="仿宋" w:eastAsia="仿宋" w:cs="仿宋"/>
                <w:highlight w:val="none"/>
                <w:lang w:eastAsia="zh-CN"/>
              </w:rPr>
              <w:t xml:space="preserve"> 2026年</w:t>
            </w:r>
            <w:r>
              <w:rPr>
                <w:rFonts w:hint="eastAsia" w:ascii="仿宋" w:hAnsi="仿宋" w:eastAsia="仿宋" w:cs="仿宋"/>
                <w:highlight w:val="none"/>
                <w:lang w:val="en-US" w:eastAsia="zh-CN"/>
              </w:rPr>
              <w:t>11</w:t>
            </w:r>
            <w:r>
              <w:rPr>
                <w:rFonts w:hint="eastAsia" w:ascii="仿宋" w:hAnsi="仿宋" w:eastAsia="仿宋" w:cs="仿宋"/>
                <w:highlight w:val="none"/>
                <w:lang w:eastAsia="zh-CN"/>
              </w:rPr>
              <w:t>月</w:t>
            </w:r>
            <w:r>
              <w:rPr>
                <w:rFonts w:hint="eastAsia" w:ascii="仿宋" w:hAnsi="仿宋" w:eastAsia="仿宋" w:cs="仿宋"/>
                <w:highlight w:val="none"/>
                <w:lang w:val="en-US" w:eastAsia="zh-CN"/>
              </w:rPr>
              <w:t>11</w:t>
            </w:r>
            <w:r>
              <w:rPr>
                <w:rFonts w:hint="eastAsia" w:ascii="仿宋" w:hAnsi="仿宋" w:eastAsia="仿宋" w:cs="仿宋"/>
                <w:highlight w:val="none"/>
                <w:lang w:eastAsia="zh-CN"/>
              </w:rPr>
              <w:t xml:space="preserve">日 </w:t>
            </w:r>
            <w:r>
              <w:rPr>
                <w:rFonts w:hint="eastAsia" w:ascii="仿宋" w:hAnsi="仿宋" w:eastAsia="仿宋" w:cs="仿宋"/>
                <w:highlight w:val="none"/>
              </w:rPr>
              <w:t>10:30（北京时间）前（上传）电子投标文件。</w:t>
            </w:r>
            <w:r>
              <w:rPr>
                <w:rFonts w:hint="eastAsia" w:ascii="仿宋" w:hAnsi="仿宋" w:eastAsia="仿宋" w:cs="仿宋"/>
                <w:color w:val="0000FF"/>
                <w:highlight w:val="none"/>
              </w:rPr>
              <w:t xml:space="preserve">                                     </w:t>
            </w:r>
          </w:p>
        </w:tc>
      </w:tr>
    </w:tbl>
    <w:p w14:paraId="551DC136">
      <w:pPr>
        <w:pStyle w:val="24"/>
        <w:spacing w:before="255" w:beforeAutospacing="0" w:after="255" w:afterAutospacing="0" w:line="240" w:lineRule="auto"/>
        <w:jc w:val="both"/>
        <w:rPr>
          <w:rFonts w:ascii="黑体" w:eastAsia="黑体" w:cs="黑体"/>
          <w:sz w:val="24"/>
          <w:szCs w:val="24"/>
          <w:highlight w:val="none"/>
        </w:rPr>
      </w:pPr>
      <w:r>
        <w:rPr>
          <w:rStyle w:val="30"/>
          <w:rFonts w:ascii="黑体" w:eastAsia="黑体" w:cs="黑体"/>
          <w:color w:val="000000"/>
          <w:sz w:val="24"/>
          <w:szCs w:val="24"/>
          <w:highlight w:val="none"/>
        </w:rPr>
        <w:t>一、项目基本情况</w:t>
      </w:r>
    </w:p>
    <w:p w14:paraId="5407C2DB">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default" w:ascii="仿宋" w:hAnsi="仿宋" w:eastAsia="仿宋" w:cs="仿宋"/>
          <w:highlight w:val="none"/>
          <w:lang w:val="en-US" w:eastAsia="zh-CN"/>
        </w:rPr>
      </w:pPr>
      <w:r>
        <w:rPr>
          <w:rFonts w:hint="eastAsia" w:ascii="仿宋" w:hAnsi="仿宋" w:eastAsia="仿宋" w:cs="仿宋"/>
          <w:color w:val="000000"/>
          <w:highlight w:val="none"/>
        </w:rPr>
        <w:t>项目编号</w:t>
      </w:r>
      <w:r>
        <w:rPr>
          <w:rFonts w:hint="eastAsia" w:ascii="仿宋" w:hAnsi="仿宋" w:eastAsia="仿宋" w:cs="仿宋"/>
          <w:highlight w:val="none"/>
        </w:rPr>
        <w:t>：</w:t>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"https://pay.zcygov.cn/purchaseplan_front/" </w:instrText>
      </w:r>
      <w:r>
        <w:rPr>
          <w:rFonts w:hint="eastAsia" w:ascii="仿宋" w:hAnsi="仿宋" w:eastAsia="仿宋" w:cs="仿宋"/>
          <w:highlight w:val="none"/>
        </w:rPr>
        <w:fldChar w:fldCharType="separate"/>
      </w:r>
      <w:r>
        <w:rPr>
          <w:rFonts w:hint="eastAsia" w:ascii="仿宋" w:hAnsi="仿宋" w:eastAsia="仿宋" w:cs="仿宋"/>
          <w:highlight w:val="none"/>
        </w:rPr>
        <w:t>WQZFCG（ZB）2026-</w:t>
      </w:r>
      <w:r>
        <w:rPr>
          <w:rFonts w:hint="eastAsia" w:ascii="仿宋" w:hAnsi="仿宋" w:eastAsia="仿宋" w:cs="仿宋"/>
          <w:highlight w:val="none"/>
        </w:rPr>
        <w:fldChar w:fldCharType="end"/>
      </w:r>
      <w:r>
        <w:rPr>
          <w:rFonts w:hint="eastAsia" w:ascii="仿宋" w:hAnsi="仿宋" w:eastAsia="仿宋" w:cs="仿宋"/>
          <w:highlight w:val="none"/>
          <w:lang w:val="en-US" w:eastAsia="zh-CN"/>
        </w:rPr>
        <w:t>111</w:t>
      </w:r>
    </w:p>
    <w:p w14:paraId="0CFD8081">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lang w:eastAsia="zh-CN"/>
        </w:rPr>
      </w:pPr>
      <w:r>
        <w:rPr>
          <w:rFonts w:hint="eastAsia" w:ascii="仿宋" w:hAnsi="仿宋" w:eastAsia="仿宋" w:cs="仿宋"/>
          <w:color w:val="000000"/>
          <w:highlight w:val="none"/>
        </w:rPr>
        <w:t>项目名称：</w:t>
      </w:r>
      <w:r>
        <w:rPr>
          <w:rFonts w:hint="eastAsia" w:ascii="仿宋" w:hAnsi="仿宋" w:eastAsia="仿宋" w:cs="仿宋"/>
          <w:color w:val="000000"/>
          <w:highlight w:val="none"/>
          <w:lang w:eastAsia="zh-CN"/>
        </w:rPr>
        <w:t>克州乌恰县文博馆设施设备提升项目-采购货物部分</w:t>
      </w:r>
    </w:p>
    <w:p w14:paraId="4BD45A91">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rPr>
        <w:t>采购方式：</w:t>
      </w:r>
      <w:r>
        <w:rPr>
          <w:rFonts w:hint="eastAsia" w:ascii="仿宋" w:hAnsi="仿宋" w:eastAsia="仿宋" w:cs="仿宋"/>
          <w:color w:val="000000"/>
          <w:highlight w:val="none"/>
          <w:lang w:val="en-US" w:eastAsia="zh-CN"/>
        </w:rPr>
        <w:t>公开招标</w:t>
      </w:r>
    </w:p>
    <w:p w14:paraId="54CE0A75">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default" w:ascii="仿宋" w:hAnsi="仿宋" w:eastAsia="仿宋" w:cs="仿宋"/>
          <w:color w:val="000000"/>
          <w:highlight w:val="none"/>
          <w:lang w:val="en-US" w:eastAsia="zh-CN"/>
        </w:rPr>
      </w:pPr>
      <w:r>
        <w:rPr>
          <w:rFonts w:hint="eastAsia" w:ascii="仿宋" w:hAnsi="仿宋" w:eastAsia="仿宋" w:cs="仿宋"/>
          <w:color w:val="000000"/>
        </w:rPr>
        <w:t>预算金额（元）：</w:t>
      </w:r>
      <w:r>
        <w:rPr>
          <w:rFonts w:hint="eastAsia" w:ascii="仿宋" w:hAnsi="仿宋" w:eastAsia="仿宋" w:cs="仿宋"/>
          <w:color w:val="000000"/>
          <w:lang w:val="en-US" w:eastAsia="zh-CN"/>
        </w:rPr>
        <w:t>4300000.00</w:t>
      </w:r>
    </w:p>
    <w:p w14:paraId="540CE1DD">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rPr>
        <w:t>最高限价（元）：</w:t>
      </w:r>
      <w:r>
        <w:rPr>
          <w:rFonts w:hint="eastAsia" w:ascii="仿宋" w:hAnsi="仿宋" w:eastAsia="仿宋" w:cs="仿宋"/>
          <w:color w:val="000000"/>
          <w:highlight w:val="none"/>
          <w:lang w:val="en-US" w:eastAsia="zh-CN"/>
        </w:rPr>
        <w:t>4136216.13</w:t>
      </w:r>
    </w:p>
    <w:p w14:paraId="68082022">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rPr>
      </w:pPr>
      <w:r>
        <w:rPr>
          <w:rFonts w:hint="eastAsia" w:ascii="仿宋" w:hAnsi="仿宋" w:eastAsia="仿宋" w:cs="仿宋"/>
          <w:color w:val="000000"/>
        </w:rPr>
        <w:t>采购需求：</w:t>
      </w:r>
    </w:p>
    <w:p w14:paraId="590D9096">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lang w:eastAsia="zh-CN"/>
        </w:rPr>
      </w:pPr>
      <w:r>
        <w:rPr>
          <w:rFonts w:hint="eastAsia" w:ascii="仿宋" w:hAnsi="仿宋" w:eastAsia="仿宋" w:cs="仿宋"/>
          <w:color w:val="000000"/>
        </w:rPr>
        <w:t>标项名称:</w:t>
      </w:r>
      <w:r>
        <w:rPr>
          <w:rFonts w:hint="eastAsia" w:ascii="仿宋" w:hAnsi="仿宋" w:eastAsia="仿宋" w:cs="仿宋"/>
          <w:color w:val="000000"/>
          <w:highlight w:val="none"/>
          <w:lang w:eastAsia="zh-CN"/>
        </w:rPr>
        <w:t>克州乌恰县文博馆设施设备提升项目-采购货物部分</w:t>
      </w:r>
      <w:r>
        <w:rPr>
          <w:rFonts w:hint="eastAsia" w:ascii="仿宋" w:hAnsi="仿宋" w:eastAsia="仿宋" w:cs="仿宋"/>
          <w:color w:val="000000"/>
          <w:highlight w:val="none"/>
          <w:lang w:val="en-US" w:eastAsia="zh-CN"/>
        </w:rPr>
        <w:t xml:space="preserve">  </w:t>
      </w:r>
      <w:r>
        <w:rPr>
          <w:rFonts w:hint="eastAsia" w:ascii="仿宋" w:hAnsi="仿宋" w:eastAsia="仿宋" w:cs="仿宋"/>
          <w:color w:val="000000"/>
          <w:highlight w:val="none"/>
          <w:lang w:eastAsia="zh-CN"/>
        </w:rPr>
        <w:t>项目</w:t>
      </w:r>
      <w:r>
        <w:rPr>
          <w:rFonts w:hint="eastAsia" w:ascii="仿宋" w:hAnsi="仿宋" w:eastAsia="仿宋" w:cs="仿宋"/>
          <w:color w:val="000000"/>
        </w:rPr>
        <w:t>数量:</w:t>
      </w:r>
      <w:r>
        <w:rPr>
          <w:rFonts w:hint="eastAsia" w:ascii="仿宋" w:hAnsi="仿宋" w:eastAsia="仿宋" w:cs="仿宋"/>
          <w:color w:val="000000"/>
          <w:lang w:val="en-US" w:eastAsia="zh-CN"/>
        </w:rPr>
        <w:t>1</w:t>
      </w:r>
    </w:p>
    <w:p w14:paraId="69054C98">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lang w:eastAsia="zh-CN"/>
        </w:rPr>
      </w:pPr>
      <w:r>
        <w:rPr>
          <w:rFonts w:hint="eastAsia" w:ascii="仿宋" w:hAnsi="仿宋" w:eastAsia="仿宋" w:cs="仿宋"/>
          <w:color w:val="000000"/>
        </w:rPr>
        <w:t>简要规格描述或项目基本概况介绍、用途：</w:t>
      </w:r>
      <w:r>
        <w:rPr>
          <w:rFonts w:hint="eastAsia" w:ascii="仿宋" w:hAnsi="仿宋" w:eastAsia="仿宋" w:cs="仿宋"/>
          <w:color w:val="000000"/>
          <w:lang w:val="en-US" w:eastAsia="zh-CN"/>
        </w:rPr>
        <w:t>300平米LED屏、播放设备和可视化系统、灯光显示，访客系统及文博馆外立面提升。(具体详见采购内容及技术要求。)</w:t>
      </w:r>
    </w:p>
    <w:p w14:paraId="761C548E">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ascii="仿宋" w:hAnsi="仿宋" w:eastAsia="仿宋" w:cs="仿宋"/>
          <w:color w:val="000000"/>
          <w:highlight w:val="none"/>
        </w:rPr>
      </w:pPr>
      <w:r>
        <w:rPr>
          <w:rFonts w:hint="eastAsia" w:ascii="仿宋" w:hAnsi="仿宋" w:eastAsia="仿宋" w:cs="仿宋"/>
          <w:color w:val="000000"/>
        </w:rPr>
        <w:t>备注：具体</w:t>
      </w:r>
      <w:r>
        <w:rPr>
          <w:rFonts w:hint="eastAsia" w:ascii="仿宋" w:hAnsi="仿宋" w:eastAsia="仿宋" w:cs="仿宋"/>
          <w:color w:val="000000"/>
          <w:highlight w:val="none"/>
        </w:rPr>
        <w:t>详见参数附件</w:t>
      </w:r>
    </w:p>
    <w:p w14:paraId="1537313B">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highlight w:val="yellow"/>
          <w:lang w:eastAsia="zh-CN"/>
        </w:rPr>
      </w:pPr>
      <w:r>
        <w:rPr>
          <w:rFonts w:hint="eastAsia" w:ascii="仿宋" w:hAnsi="仿宋" w:eastAsia="仿宋" w:cs="仿宋"/>
          <w:color w:val="000000"/>
          <w:highlight w:val="none"/>
        </w:rPr>
        <w:t>合同履约期限</w:t>
      </w:r>
      <w:r>
        <w:rPr>
          <w:rFonts w:hint="eastAsia" w:ascii="仿宋" w:hAnsi="仿宋" w:eastAsia="仿宋" w:cs="仿宋"/>
          <w:highlight w:val="none"/>
        </w:rPr>
        <w:t xml:space="preserve">：合同签订后 </w:t>
      </w:r>
      <w:r>
        <w:rPr>
          <w:rFonts w:hint="eastAsia" w:ascii="仿宋" w:hAnsi="仿宋" w:eastAsia="仿宋" w:cs="仿宋"/>
          <w:highlight w:val="none"/>
          <w:lang w:val="en-US" w:eastAsia="zh-CN"/>
        </w:rPr>
        <w:t>180</w:t>
      </w:r>
      <w:r>
        <w:rPr>
          <w:rFonts w:hint="eastAsia" w:ascii="仿宋" w:hAnsi="仿宋" w:eastAsia="仿宋" w:cs="仿宋"/>
          <w:highlight w:val="none"/>
        </w:rPr>
        <w:t xml:space="preserve"> 日历天内完成全部货物生产、供货、安装、集成调试 ，完成整体竣工验收。</w:t>
      </w:r>
    </w:p>
    <w:p w14:paraId="621CD868">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ascii="仿宋" w:hAnsi="仿宋" w:eastAsia="仿宋" w:cs="仿宋"/>
          <w:color w:val="000000"/>
          <w:highlight w:val="none"/>
        </w:rPr>
      </w:pPr>
      <w:r>
        <w:rPr>
          <w:rFonts w:hint="eastAsia" w:ascii="仿宋" w:hAnsi="仿宋" w:eastAsia="仿宋" w:cs="仿宋"/>
          <w:color w:val="000000"/>
          <w:highlight w:val="none"/>
        </w:rPr>
        <w:t>本项目（否）接受联合体投标。</w:t>
      </w:r>
    </w:p>
    <w:p w14:paraId="469092D5">
      <w:pPr>
        <w:pStyle w:val="24"/>
        <w:spacing w:before="75" w:beforeAutospacing="0" w:after="75" w:afterAutospacing="0" w:line="240" w:lineRule="auto"/>
        <w:rPr>
          <w:sz w:val="22"/>
          <w:szCs w:val="22"/>
          <w:highlight w:val="none"/>
        </w:rPr>
      </w:pPr>
      <w:r>
        <w:rPr>
          <w:rStyle w:val="30"/>
          <w:rFonts w:ascii="黑体" w:eastAsia="黑体" w:cs="黑体"/>
          <w:color w:val="000000"/>
        </w:rPr>
        <w:t>二、申请人的资格要求：</w:t>
      </w:r>
    </w:p>
    <w:p w14:paraId="5061CCC5">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1.满足《中华人民共和国政府采购法》第二十二条规定；</w:t>
      </w:r>
    </w:p>
    <w:p w14:paraId="3E7E094C">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86" w:firstLineChars="200"/>
        <w:textAlignment w:val="auto"/>
        <w:rPr>
          <w:rFonts w:hint="eastAsia" w:ascii="仿宋" w:hAnsi="仿宋" w:eastAsia="仿宋" w:cs="仿宋"/>
          <w:color w:val="000000"/>
          <w:lang w:eastAsia="zh-CN"/>
        </w:rPr>
      </w:pPr>
      <w:r>
        <w:rPr>
          <w:rFonts w:hint="eastAsia" w:ascii="仿宋" w:hAnsi="仿宋" w:eastAsia="仿宋" w:cs="仿宋"/>
          <w:color w:val="000000"/>
        </w:rPr>
        <w:t>2.落实政府采购政策需满足的资格要求：</w:t>
      </w:r>
      <w:r>
        <w:rPr>
          <w:rFonts w:hint="eastAsia" w:ascii="仿宋" w:hAnsi="仿宋" w:eastAsia="仿宋" w:cs="仿宋"/>
          <w:color w:val="000000"/>
          <w:lang w:eastAsia="zh-CN"/>
        </w:rPr>
        <w:t>本项目专门面向中小企业。</w:t>
      </w:r>
    </w:p>
    <w:p w14:paraId="77E47A34">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86" w:firstLineChars="200"/>
        <w:textAlignment w:val="auto"/>
        <w:rPr>
          <w:rFonts w:hint="eastAsia" w:ascii="仿宋" w:hAnsi="仿宋" w:eastAsia="仿宋" w:cs="仿宋"/>
          <w:color w:val="000000"/>
        </w:rPr>
      </w:pPr>
      <w:r>
        <w:rPr>
          <w:rFonts w:hint="eastAsia" w:ascii="仿宋" w:hAnsi="仿宋" w:eastAsia="仿宋" w:cs="仿宋"/>
          <w:color w:val="000000"/>
        </w:rPr>
        <w:t>3.本项目的特定资格要求：</w:t>
      </w:r>
    </w:p>
    <w:p w14:paraId="77403099">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（1）有效的三证合一营业执照副本；</w:t>
      </w:r>
    </w:p>
    <w:p w14:paraId="3E01BA8A">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（2）法定代表人投标需提供法定代表人资格证明书，委托代理人投标需提供法定代表人授权委托书；</w:t>
      </w:r>
    </w:p>
    <w:p w14:paraId="3360FF14">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（3）</w:t>
      </w:r>
      <w:r>
        <w:rPr>
          <w:rFonts w:hint="eastAsia" w:ascii="仿宋" w:hAnsi="仿宋" w:eastAsia="仿宋" w:cs="仿宋"/>
          <w:color w:val="000000"/>
          <w:highlight w:val="none"/>
          <w:lang w:eastAsia="zh-CN"/>
        </w:rPr>
        <w:t>投标企业须提供投标人（被授权在职人员）近6个月任意一个月的社保证明</w:t>
      </w:r>
      <w:r>
        <w:rPr>
          <w:rFonts w:hint="eastAsia" w:ascii="仿宋" w:hAnsi="仿宋" w:eastAsia="仿宋" w:cs="仿宋"/>
          <w:color w:val="000000"/>
          <w:highlight w:val="none"/>
        </w:rPr>
        <w:t>；</w:t>
      </w:r>
    </w:p>
    <w:p w14:paraId="514C3D93">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（4）参加政府采购活动前三年内，在经营活动中没有重大违法记录</w:t>
      </w:r>
      <w:r>
        <w:rPr>
          <w:rFonts w:hint="eastAsia" w:ascii="仿宋" w:hAnsi="仿宋" w:eastAsia="仿宋" w:cs="仿宋"/>
          <w:color w:val="000000"/>
          <w:highlight w:val="none"/>
          <w:lang w:eastAsia="zh-CN"/>
        </w:rPr>
        <w:t>，</w:t>
      </w:r>
      <w:r>
        <w:rPr>
          <w:rFonts w:hint="eastAsia" w:ascii="仿宋" w:hAnsi="仿宋" w:eastAsia="仿宋" w:cs="仿宋"/>
          <w:color w:val="000000"/>
          <w:highlight w:val="none"/>
        </w:rPr>
        <w:t>未被“信用中国”（www.creditchina.gov.cn）、中国政府采购网（www.ccgp.gov.cn）列入失信被执行人、重大税收违法案件当事人名单、政府采购严重违法失信行为记录名单；</w:t>
      </w:r>
    </w:p>
    <w:p w14:paraId="10745D47">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CN"/>
        </w:rPr>
        <w:t>5</w:t>
      </w:r>
      <w:r>
        <w:rPr>
          <w:rFonts w:hint="eastAsia" w:ascii="仿宋" w:hAnsi="仿宋" w:eastAsia="仿宋" w:cs="仿宋"/>
          <w:color w:val="000000"/>
          <w:highlight w:val="none"/>
        </w:rPr>
        <w:t>）投标人具有良好的商业信誉和健全的财务会计制度；（提供由具备资质的机构出具的（2024年或2025年）的财务审计报告；成立不满一年的企业或者小微企业可提供财务报表）；</w:t>
      </w:r>
    </w:p>
    <w:p w14:paraId="7281A9B8">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lang w:eastAsia="zh-CN"/>
        </w:rPr>
      </w:pPr>
      <w:r>
        <w:rPr>
          <w:rFonts w:hint="eastAsia" w:ascii="仿宋" w:hAnsi="仿宋" w:eastAsia="仿宋" w:cs="仿宋"/>
          <w:color w:val="000000"/>
          <w:highlight w:val="none"/>
          <w:lang w:eastAsia="zh-CN"/>
        </w:rPr>
        <w:t>（</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lang w:eastAsia="zh-CN"/>
        </w:rPr>
        <w:t>）投标人具有依法缴纳税收和社会保障资金的良好记录：①提供税务部门出具的近一年内任意三个月的完税证明（新公司从成立之日起算，如无产生税收，需提供不拖欠税收证明材料；）②依法缴纳近一年内任意三个月企业缴纳社保证明材料（专用收据或社会保险缴纳清单，新公司从成立之日起算）；</w:t>
      </w:r>
    </w:p>
    <w:p w14:paraId="2A454063">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default" w:ascii="仿宋" w:hAnsi="仿宋" w:eastAsia="仿宋" w:cs="仿宋"/>
          <w:color w:val="000000"/>
          <w:highlight w:val="none"/>
          <w:lang w:val="en-US" w:eastAsia="zh-CN"/>
        </w:rPr>
      </w:pPr>
      <w:r>
        <w:rPr>
          <w:rFonts w:hint="eastAsia" w:ascii="仿宋" w:hAnsi="仿宋" w:eastAsia="仿宋" w:cs="仿宋"/>
          <w:color w:val="000000"/>
          <w:highlight w:val="none"/>
          <w:lang w:eastAsia="zh-CN"/>
        </w:rPr>
        <w:t>（</w:t>
      </w:r>
      <w:r>
        <w:rPr>
          <w:rFonts w:hint="eastAsia" w:ascii="仿宋" w:hAnsi="仿宋" w:eastAsia="仿宋" w:cs="仿宋"/>
          <w:color w:val="000000"/>
          <w:highlight w:val="none"/>
          <w:lang w:val="en-US" w:eastAsia="zh-CN"/>
        </w:rPr>
        <w:t>7</w:t>
      </w:r>
      <w:r>
        <w:rPr>
          <w:rFonts w:hint="eastAsia" w:ascii="仿宋" w:hAnsi="仿宋" w:eastAsia="仿宋" w:cs="仿宋"/>
          <w:color w:val="000000"/>
          <w:highlight w:val="none"/>
          <w:lang w:eastAsia="zh-CN"/>
        </w:rPr>
        <w:t>）投标人须具备电</w:t>
      </w:r>
      <w:r>
        <w:rPr>
          <w:rFonts w:hint="eastAsia" w:ascii="仿宋" w:hAnsi="仿宋" w:eastAsia="仿宋" w:cs="仿宋"/>
          <w:color w:val="000000"/>
          <w:highlight w:val="none"/>
          <w:lang w:val="en-US" w:eastAsia="zh-CN"/>
        </w:rPr>
        <w:t>子与智能化工程专业承包贰级及以上资质。</w:t>
      </w:r>
    </w:p>
    <w:p w14:paraId="3B737E02">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本项目不接受联合体投标。</w:t>
      </w:r>
    </w:p>
    <w:p w14:paraId="45D6CE48">
      <w:pPr>
        <w:keepNext w:val="0"/>
        <w:keepLines w:val="0"/>
        <w:pageBreakBefore w:val="0"/>
        <w:widowControl w:val="0"/>
        <w:kinsoku/>
        <w:wordWrap/>
        <w:overflowPunct/>
        <w:topLinePunct w:val="0"/>
        <w:autoSpaceDE/>
        <w:autoSpaceDN/>
        <w:bidi w:val="0"/>
        <w:adjustRightInd/>
        <w:snapToGrid/>
        <w:spacing w:line="240" w:lineRule="auto"/>
        <w:ind w:firstLine="426" w:firstLineChars="200"/>
        <w:textAlignment w:val="auto"/>
        <w:rPr>
          <w:rFonts w:hint="eastAsia" w:ascii="宋体" w:hAnsi="宋体" w:eastAsia="宋体" w:cs="宋体"/>
          <w:b/>
          <w:bCs/>
          <w:sz w:val="21"/>
          <w:szCs w:val="21"/>
          <w:highlight w:val="none"/>
          <w:lang w:eastAsia="zh-CN"/>
        </w:rPr>
      </w:pPr>
      <w:r>
        <w:rPr>
          <w:rFonts w:hint="eastAsia" w:ascii="宋体" w:hAnsi="宋体" w:eastAsia="宋体" w:cs="宋体"/>
          <w:b/>
          <w:bCs/>
          <w:kern w:val="0"/>
          <w:sz w:val="21"/>
          <w:szCs w:val="21"/>
          <w:highlight w:val="none"/>
        </w:rPr>
        <w:t>三、获取</w:t>
      </w:r>
      <w:r>
        <w:rPr>
          <w:rFonts w:hint="eastAsia" w:ascii="宋体" w:hAnsi="宋体" w:eastAsia="宋体" w:cs="宋体"/>
          <w:b/>
          <w:bCs/>
          <w:sz w:val="21"/>
          <w:szCs w:val="21"/>
          <w:highlight w:val="none"/>
          <w:lang w:eastAsia="zh-CN"/>
        </w:rPr>
        <w:t>文件</w:t>
      </w:r>
    </w:p>
    <w:p w14:paraId="3F36E0B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 1、 时间：2026年10月13日至2026年10月20日，每天上午10:00至14:00，下午16:00至19:30（北京时间，法定节假日除外）。</w:t>
      </w:r>
    </w:p>
    <w:p w14:paraId="0AA969F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2、地点：供应商登陆政采云平台http://www.zcygov.cn/，在线申请获取</w:t>
      </w:r>
    </w:p>
    <w:p w14:paraId="5BFFDDD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3、方式：（1）线上获取（登录政府采购云平台 → 项目采购 → 获取文件→ 申请，审核通过后可下载文件）。</w:t>
      </w:r>
    </w:p>
    <w:p w14:paraId="0C013EA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（2）供应商获取文件前应注册成为政府采购云平台正式供应商。</w:t>
      </w:r>
    </w:p>
    <w:p w14:paraId="350F4E8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4、售价：0元</w:t>
      </w:r>
    </w:p>
    <w:p w14:paraId="346C2009">
      <w:pPr>
        <w:keepNext w:val="0"/>
        <w:keepLines w:val="0"/>
        <w:pageBreakBefore w:val="0"/>
        <w:widowControl w:val="0"/>
        <w:kinsoku/>
        <w:wordWrap/>
        <w:overflowPunct/>
        <w:topLinePunct w:val="0"/>
        <w:autoSpaceDE/>
        <w:autoSpaceDN/>
        <w:bidi w:val="0"/>
        <w:adjustRightInd/>
        <w:snapToGrid/>
        <w:spacing w:line="240" w:lineRule="auto"/>
        <w:ind w:firstLine="426" w:firstLineChars="200"/>
        <w:textAlignment w:val="auto"/>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四、提交投标文件截止时间、开标时间和地点</w:t>
      </w:r>
    </w:p>
    <w:p w14:paraId="16F5E5A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截止时间：2026年11月11日 10:30（北京时间）</w:t>
      </w:r>
    </w:p>
    <w:p w14:paraId="4C0CB3B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投标地点：政府采购云平台（www.zcygov.cn）</w:t>
      </w:r>
    </w:p>
    <w:p w14:paraId="5C62B07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开标时间：2026年11月11日 10:30（北京时间）</w:t>
      </w:r>
    </w:p>
    <w:p w14:paraId="6CA5C60D">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highlight w:val="none"/>
          <w:lang w:val="en-US" w:eastAsia="zh-CN" w:bidi="ar-SA"/>
        </w:rPr>
        <w:t>开标地点：在政府采购云平台（www.zcygov.cn）上开启投标文件，开标时间后，待采购组织机构发出解密通知后30分钟内，供</w:t>
      </w:r>
      <w:r>
        <w:rPr>
          <w:rFonts w:hint="eastAsia" w:ascii="仿宋" w:hAnsi="仿宋" w:eastAsia="仿宋" w:cs="仿宋"/>
          <w:color w:val="000000"/>
          <w:kern w:val="0"/>
          <w:sz w:val="24"/>
          <w:szCs w:val="24"/>
          <w:lang w:val="en-US" w:eastAsia="zh-CN" w:bidi="ar-SA"/>
        </w:rPr>
        <w:t>应商须登录“政采云”平台，用“项目采购-开标评标”功能解密投标文件。</w:t>
      </w:r>
    </w:p>
    <w:p w14:paraId="01EA6A1E">
      <w:pPr>
        <w:keepNext w:val="0"/>
        <w:keepLines w:val="0"/>
        <w:pageBreakBefore w:val="0"/>
        <w:widowControl w:val="0"/>
        <w:kinsoku/>
        <w:wordWrap/>
        <w:overflowPunct/>
        <w:topLinePunct w:val="0"/>
        <w:autoSpaceDE/>
        <w:autoSpaceDN/>
        <w:bidi w:val="0"/>
        <w:adjustRightInd/>
        <w:snapToGrid/>
        <w:spacing w:line="240" w:lineRule="auto"/>
        <w:ind w:firstLine="426" w:firstLineChars="200"/>
        <w:textAlignment w:val="auto"/>
        <w:rPr>
          <w:rFonts w:hint="eastAsia" w:ascii="宋体" w:hAnsi="宋体" w:eastAsia="宋体" w:cs="宋体"/>
          <w:b/>
          <w:bCs/>
          <w:kern w:val="0"/>
          <w:sz w:val="21"/>
          <w:szCs w:val="21"/>
          <w:highlight w:val="none"/>
        </w:rPr>
      </w:pPr>
      <w:bookmarkStart w:id="10" w:name="_Toc35393803"/>
      <w:bookmarkStart w:id="11" w:name="_Toc28359094"/>
      <w:bookmarkStart w:id="12" w:name="_Toc35393634"/>
      <w:bookmarkStart w:id="13" w:name="_Toc28359017"/>
      <w:r>
        <w:rPr>
          <w:rFonts w:hint="eastAsia" w:ascii="宋体" w:hAnsi="宋体" w:eastAsia="宋体" w:cs="宋体"/>
          <w:b/>
          <w:bCs/>
          <w:kern w:val="0"/>
          <w:sz w:val="21"/>
          <w:szCs w:val="21"/>
          <w:highlight w:val="none"/>
          <w:lang w:val="en-US" w:eastAsia="zh-CN"/>
        </w:rPr>
        <w:t>五</w:t>
      </w:r>
      <w:r>
        <w:rPr>
          <w:rFonts w:hint="eastAsia" w:ascii="宋体" w:hAnsi="宋体" w:eastAsia="宋体" w:cs="宋体"/>
          <w:b/>
          <w:bCs/>
          <w:kern w:val="0"/>
          <w:sz w:val="21"/>
          <w:szCs w:val="21"/>
          <w:highlight w:val="none"/>
        </w:rPr>
        <w:t>、公告期限</w:t>
      </w:r>
      <w:bookmarkEnd w:id="10"/>
      <w:bookmarkEnd w:id="11"/>
      <w:bookmarkEnd w:id="12"/>
      <w:bookmarkEnd w:id="13"/>
    </w:p>
    <w:p w14:paraId="237465C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自本公告发布之日起5个工作日。</w:t>
      </w:r>
    </w:p>
    <w:p w14:paraId="2D421C40">
      <w:pPr>
        <w:keepNext w:val="0"/>
        <w:keepLines w:val="0"/>
        <w:pageBreakBefore w:val="0"/>
        <w:widowControl w:val="0"/>
        <w:kinsoku/>
        <w:wordWrap/>
        <w:overflowPunct/>
        <w:topLinePunct w:val="0"/>
        <w:autoSpaceDE/>
        <w:autoSpaceDN/>
        <w:bidi w:val="0"/>
        <w:adjustRightInd/>
        <w:snapToGrid/>
        <w:spacing w:line="240" w:lineRule="auto"/>
        <w:ind w:firstLine="426" w:firstLineChars="200"/>
        <w:textAlignment w:val="auto"/>
        <w:rPr>
          <w:rFonts w:hint="eastAsia" w:ascii="宋体" w:hAnsi="宋体" w:eastAsia="宋体" w:cs="宋体"/>
          <w:b/>
          <w:bCs/>
          <w:sz w:val="21"/>
          <w:szCs w:val="21"/>
          <w:highlight w:val="none"/>
        </w:rPr>
      </w:pPr>
      <w:bookmarkStart w:id="14" w:name="_Toc35393804"/>
      <w:bookmarkStart w:id="15" w:name="_Toc35393635"/>
      <w:r>
        <w:rPr>
          <w:rFonts w:hint="eastAsia" w:ascii="宋体" w:hAnsi="宋体" w:eastAsia="宋体" w:cs="宋体"/>
          <w:b/>
          <w:bCs/>
          <w:sz w:val="21"/>
          <w:szCs w:val="21"/>
          <w:highlight w:val="none"/>
          <w:lang w:val="en-US" w:eastAsia="zh-CN"/>
        </w:rPr>
        <w:t>六</w:t>
      </w:r>
      <w:r>
        <w:rPr>
          <w:rFonts w:hint="eastAsia" w:ascii="宋体" w:hAnsi="宋体" w:eastAsia="宋体" w:cs="宋体"/>
          <w:b/>
          <w:bCs/>
          <w:sz w:val="21"/>
          <w:szCs w:val="21"/>
          <w:highlight w:val="none"/>
        </w:rPr>
        <w:t>、其他补充事宜</w:t>
      </w:r>
      <w:bookmarkEnd w:id="14"/>
      <w:bookmarkEnd w:id="15"/>
    </w:p>
    <w:p w14:paraId="0C7230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1.本项目采用全流程不见面电子开评标，投标供应商需要使用CA加密设备，供应商可通过新疆数字证书认证中心官网（https://www.xjca.com.cn/）或下载“新疆政务通”APP自行进行申领。</w:t>
      </w:r>
    </w:p>
    <w:p w14:paraId="4EC877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2.本项目实行网上投标，采用加密电子投标文件（供应商须使用CA加密设备通过政采云电子投标客户端制作投标文件）。若供应商参与投标，自行承担投标一切费用。</w:t>
      </w:r>
    </w:p>
    <w:p w14:paraId="7299E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3.各供应商在开标前应确保成为新疆维吾尔自治区政府采购网正式注册入库供应商，（已在政采云平台其他省份入驻的供应商无需重复注册），并完成CA数字证书申领。因未注册入库、未办理CA数字证书等原因造成无法投标或投标失败等后果由供应商自行承担。</w:t>
      </w:r>
    </w:p>
    <w:p w14:paraId="25B844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4E8A22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5.供应商在开标时须使用制作加密电子投标文件所使用的CA锁及电脑，电脑须提前配置好浏览器（建议使用谷歌浏览器），以便开标时解锁。</w:t>
      </w:r>
    </w:p>
    <w:p w14:paraId="5EB336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7348CE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  7.为了保证开标顺利进行，政采云线上开标功能完全实现，供应商开标所使用的电脑设备须具有视频及语音功能。</w:t>
      </w:r>
    </w:p>
    <w:p w14:paraId="5BD20D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8.采购人与招标代理机构经协商本次招标代理服务为：52180元。</w:t>
      </w:r>
    </w:p>
    <w:p w14:paraId="50F88F92">
      <w:pPr>
        <w:spacing w:line="240" w:lineRule="auto"/>
        <w:ind w:firstLine="0" w:firstLineChars="0"/>
        <w:rPr>
          <w:rFonts w:hint="eastAsia" w:ascii="宋体" w:hAnsi="宋体" w:eastAsia="宋体" w:cs="宋体"/>
          <w:b/>
          <w:bCs/>
          <w:sz w:val="21"/>
          <w:szCs w:val="21"/>
        </w:rPr>
      </w:pPr>
      <w:r>
        <w:rPr>
          <w:rFonts w:hint="eastAsia" w:ascii="宋体" w:hAnsi="宋体" w:eastAsia="宋体" w:cs="宋体"/>
          <w:b/>
          <w:bCs/>
          <w:sz w:val="21"/>
          <w:szCs w:val="21"/>
        </w:rPr>
        <w:t>特别提示：</w:t>
      </w:r>
    </w:p>
    <w:p w14:paraId="0B3C1EE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1、超过200万元的货物和服务采购项目、超过400万元的工程采购项目中适宜由中小企业提供的，预留该部分采购项目预算总额的40%以上专门面向中小企业采购，其中预留给小微企业的比例不低于60%。</w:t>
      </w:r>
    </w:p>
    <w:p w14:paraId="3307454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对于未预留份额专门面向中小企业的采购项目，以及预留份额项目中的非预留部分采购包，采购人、采购代理机构应当对符合规定的小微企业报价给予10%~20%（工程项目为6%~10%）的扣除，用扣除后的价格参加评审。适用招标投标法的政府采购工程建设项目，采用综合评估法但未采用低价优先法计算价格分的，评标时应当在采用原报价进行评分的基础上增加其价格得分的6%~10%作为其价格分。</w:t>
      </w:r>
    </w:p>
    <w:p w14:paraId="05ADFFE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4%~6%（工程项目为2%~4%）的扣除，用扣除后的价格参加评审。适用招标投标法的政府采购工程建设项目，采用综合评估法但未采用低价优先法计算价格分的，评标时应当在采用原报价进行评分的基础上增加其价格得分的2%~4%作为其价格分。</w:t>
      </w:r>
      <w:bookmarkStart w:id="16" w:name="_Toc28359018"/>
      <w:bookmarkStart w:id="17" w:name="_Toc35393805"/>
      <w:bookmarkStart w:id="18" w:name="_Toc35393636"/>
      <w:bookmarkStart w:id="19" w:name="_Toc28359095"/>
    </w:p>
    <w:p w14:paraId="56DBF2A6">
      <w:pPr>
        <w:spacing w:line="240" w:lineRule="auto"/>
        <w:ind w:firstLine="426"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kern w:val="0"/>
          <w:sz w:val="21"/>
          <w:szCs w:val="21"/>
          <w:lang w:val="en-US" w:eastAsia="zh-CN"/>
        </w:rPr>
        <w:t>七</w:t>
      </w:r>
      <w:r>
        <w:rPr>
          <w:rFonts w:hint="eastAsia" w:ascii="宋体" w:hAnsi="宋体" w:eastAsia="宋体" w:cs="宋体"/>
          <w:b/>
          <w:bCs/>
          <w:kern w:val="0"/>
          <w:sz w:val="21"/>
          <w:szCs w:val="21"/>
        </w:rPr>
        <w:t>、凡对</w:t>
      </w:r>
      <w:r>
        <w:rPr>
          <w:rFonts w:hint="eastAsia" w:ascii="宋体" w:hAnsi="宋体" w:eastAsia="宋体" w:cs="宋体"/>
          <w:b/>
          <w:bCs/>
          <w:sz w:val="21"/>
          <w:szCs w:val="21"/>
        </w:rPr>
        <w:t>本次采购提出询问，请按以下方式联系。</w:t>
      </w:r>
      <w:bookmarkEnd w:id="16"/>
      <w:bookmarkEnd w:id="17"/>
      <w:bookmarkEnd w:id="18"/>
      <w:bookmarkEnd w:id="19"/>
    </w:p>
    <w:p w14:paraId="4765FF1D">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1.采购人信息</w:t>
      </w:r>
    </w:p>
    <w:p w14:paraId="6A6F5CA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名 称：乌恰县文化体育广播电视和旅游局          </w:t>
      </w:r>
    </w:p>
    <w:p w14:paraId="07E3DEEB">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地 址：新疆克州乌恰县双拥路4号</w:t>
      </w:r>
    </w:p>
    <w:p w14:paraId="42146830">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highlight w:val="yellow"/>
          <w:lang w:val="en-US" w:eastAsia="zh-CN" w:bidi="ar-SA"/>
        </w:rPr>
      </w:pPr>
      <w:r>
        <w:rPr>
          <w:rFonts w:hint="eastAsia" w:ascii="仿宋" w:hAnsi="仿宋" w:eastAsia="仿宋" w:cs="仿宋"/>
          <w:color w:val="000000"/>
          <w:kern w:val="0"/>
          <w:sz w:val="24"/>
          <w:szCs w:val="24"/>
          <w:highlight w:val="none"/>
          <w:lang w:val="en-US" w:eastAsia="zh-CN" w:bidi="ar-SA"/>
        </w:rPr>
        <w:t>联系方式：19390808666</w:t>
      </w:r>
    </w:p>
    <w:p w14:paraId="5F09E53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2.采购代理机构信息</w:t>
      </w:r>
    </w:p>
    <w:p w14:paraId="68CA33AD">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名 称：新疆聚友共创项目管理有限公司</w:t>
      </w:r>
    </w:p>
    <w:p w14:paraId="4FA9870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 xml:space="preserve">地 址：阿图什市幸福街道塔合提云村迎宾路43号201室   </w:t>
      </w:r>
    </w:p>
    <w:p w14:paraId="70ADB2A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联系方式：18690801126</w:t>
      </w:r>
    </w:p>
    <w:p w14:paraId="02F2771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3.项目联系方式</w:t>
      </w:r>
    </w:p>
    <w:p w14:paraId="36D5C2A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项目联系人：郭女士</w:t>
      </w:r>
    </w:p>
    <w:p w14:paraId="2CA8CB04">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电 话：18690801126</w:t>
      </w:r>
    </w:p>
    <w:p w14:paraId="02B8D78E">
      <w:pPr>
        <w:pStyle w:val="24"/>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300" w:lineRule="exact"/>
        <w:ind w:left="0" w:right="0" w:firstLine="420"/>
        <w:jc w:val="left"/>
        <w:textAlignment w:val="auto"/>
        <w:rPr>
          <w:rFonts w:hint="eastAsia" w:ascii="宋体" w:hAnsi="宋体"/>
          <w:b/>
          <w:kern w:val="0"/>
          <w:sz w:val="36"/>
        </w:rPr>
      </w:pPr>
      <w:r>
        <w:rPr>
          <w:rFonts w:hint="eastAsia" w:ascii="宋体" w:hAnsi="宋体"/>
          <w:b/>
          <w:kern w:val="0"/>
          <w:sz w:val="36"/>
        </w:rPr>
        <w:br w:type="page"/>
      </w:r>
    </w:p>
    <w:p w14:paraId="711069C0">
      <w:pPr>
        <w:widowControl/>
        <w:spacing w:line="800" w:lineRule="atLeast"/>
        <w:jc w:val="center"/>
        <w:rPr>
          <w:rFonts w:ascii="宋体"/>
          <w:b/>
          <w:sz w:val="32"/>
          <w:szCs w:val="32"/>
        </w:rPr>
      </w:pPr>
      <w:r>
        <w:rPr>
          <w:rFonts w:hint="eastAsia" w:ascii="宋体" w:hAnsi="宋体"/>
          <w:b/>
          <w:kern w:val="0"/>
          <w:sz w:val="36"/>
        </w:rPr>
        <w:t>第二部分  投标人须知</w:t>
      </w:r>
    </w:p>
    <w:p w14:paraId="633D8137">
      <w:pPr>
        <w:shd w:val="clear" w:color="auto" w:fill="auto"/>
        <w:snapToGrid w:val="0"/>
        <w:spacing w:line="500" w:lineRule="exact"/>
        <w:jc w:val="center"/>
        <w:outlineLvl w:val="1"/>
        <w:rPr>
          <w:rFonts w:hint="eastAsia" w:ascii="宋体"/>
          <w:b/>
          <w:color w:val="auto"/>
          <w:sz w:val="28"/>
          <w:szCs w:val="28"/>
          <w:highlight w:val="none"/>
        </w:rPr>
      </w:pPr>
      <w:bookmarkStart w:id="20" w:name="_Toc3064"/>
      <w:bookmarkStart w:id="21" w:name="_Toc26232"/>
      <w:bookmarkStart w:id="22" w:name="_Toc16586"/>
      <w:bookmarkStart w:id="23" w:name="_Toc469495722"/>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27"/>
        <w:tblW w:w="932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05"/>
        <w:gridCol w:w="1261"/>
        <w:gridCol w:w="239"/>
        <w:gridCol w:w="7115"/>
      </w:tblGrid>
      <w:tr w14:paraId="3FE082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705" w:type="dxa"/>
            <w:noWrap w:val="0"/>
            <w:vAlign w:val="center"/>
          </w:tcPr>
          <w:p w14:paraId="27612E39">
            <w:pPr>
              <w:pStyle w:val="14"/>
              <w:keepNext w:val="0"/>
              <w:keepLines w:val="0"/>
              <w:pageBreakBefore w:val="0"/>
              <w:shd w:val="clear" w:color="auto" w:fill="auto"/>
              <w:kinsoku/>
              <w:wordWrap/>
              <w:overflowPunct/>
              <w:topLinePunct w:val="0"/>
              <w:autoSpaceDE/>
              <w:autoSpaceDN/>
              <w:bidi w:val="0"/>
              <w:adjustRightInd/>
              <w:snapToGrid w:val="0"/>
              <w:spacing w:line="290" w:lineRule="exact"/>
              <w:ind w:left="-95" w:leftChars="-45" w:right="-83" w:rightChars="-39"/>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条款号</w:t>
            </w:r>
          </w:p>
        </w:tc>
        <w:tc>
          <w:tcPr>
            <w:tcW w:w="1500" w:type="dxa"/>
            <w:gridSpan w:val="2"/>
            <w:noWrap w:val="0"/>
            <w:vAlign w:val="center"/>
          </w:tcPr>
          <w:p w14:paraId="1CCBE02B">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内容</w:t>
            </w:r>
          </w:p>
        </w:tc>
        <w:tc>
          <w:tcPr>
            <w:tcW w:w="7115" w:type="dxa"/>
            <w:noWrap w:val="0"/>
            <w:vAlign w:val="center"/>
          </w:tcPr>
          <w:p w14:paraId="418A5CB4">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b/>
                <w:color w:val="auto"/>
                <w:sz w:val="21"/>
                <w:szCs w:val="21"/>
                <w:highlight w:val="none"/>
                <w:lang w:val="en-US" w:eastAsia="zh-CN"/>
              </w:rPr>
            </w:pPr>
            <w:r>
              <w:rPr>
                <w:rFonts w:hint="eastAsia"/>
                <w:b/>
                <w:color w:val="auto"/>
                <w:sz w:val="21"/>
                <w:szCs w:val="21"/>
                <w:highlight w:val="none"/>
                <w:lang w:val="en-US" w:eastAsia="zh-CN"/>
              </w:rPr>
              <w:t>说明与要求</w:t>
            </w:r>
          </w:p>
        </w:tc>
      </w:tr>
      <w:tr w14:paraId="055972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90" w:hRule="atLeast"/>
          <w:jc w:val="center"/>
        </w:trPr>
        <w:tc>
          <w:tcPr>
            <w:tcW w:w="705" w:type="dxa"/>
            <w:noWrap w:val="0"/>
            <w:vAlign w:val="center"/>
          </w:tcPr>
          <w:p w14:paraId="2B837805">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1500" w:type="dxa"/>
            <w:gridSpan w:val="2"/>
            <w:noWrap w:val="0"/>
            <w:vAlign w:val="center"/>
          </w:tcPr>
          <w:p w14:paraId="6BF0AD9D">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项目名称</w:t>
            </w:r>
          </w:p>
          <w:p w14:paraId="2F6D40BE">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项目编号</w:t>
            </w:r>
          </w:p>
          <w:p w14:paraId="0F286925">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rPr>
              <w:t>采购内容</w:t>
            </w:r>
          </w:p>
        </w:tc>
        <w:tc>
          <w:tcPr>
            <w:tcW w:w="7115" w:type="dxa"/>
            <w:noWrap w:val="0"/>
            <w:vAlign w:val="center"/>
          </w:tcPr>
          <w:p w14:paraId="4047AFB7">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eastAsia"/>
                <w:lang w:val="en-US" w:eastAsia="zh-CN"/>
              </w:rPr>
            </w:pPr>
            <w:r>
              <w:rPr>
                <w:rFonts w:hint="default"/>
                <w:lang w:val="en-US" w:eastAsia="zh-CN"/>
              </w:rPr>
              <w:t>项目名称：</w:t>
            </w:r>
            <w:r>
              <w:rPr>
                <w:rFonts w:hint="eastAsia"/>
                <w:lang w:val="en-US" w:eastAsia="zh-CN"/>
              </w:rPr>
              <w:t>克州乌恰县文博馆设施设备提升项目-采购货物部分</w:t>
            </w:r>
          </w:p>
          <w:p w14:paraId="35DF9312">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default"/>
                <w:lang w:val="en-US" w:eastAsia="zh-CN"/>
              </w:rPr>
            </w:pPr>
            <w:r>
              <w:rPr>
                <w:rFonts w:hint="default"/>
                <w:lang w:val="en-US" w:eastAsia="zh-CN"/>
              </w:rPr>
              <w:t>项目编号：WQZFCG(ZB)-2026-</w:t>
            </w:r>
            <w:r>
              <w:rPr>
                <w:rFonts w:hint="eastAsia"/>
                <w:lang w:val="en-US" w:eastAsia="zh-CN"/>
              </w:rPr>
              <w:t>111</w:t>
            </w:r>
          </w:p>
          <w:p w14:paraId="3B4C8D17">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default"/>
                <w:lang w:val="en-US" w:eastAsia="zh-CN"/>
              </w:rPr>
            </w:pPr>
            <w:r>
              <w:rPr>
                <w:rFonts w:hint="default"/>
                <w:lang w:val="en-US" w:eastAsia="zh-CN"/>
              </w:rPr>
              <w:t>采购内容：</w:t>
            </w:r>
            <w:r>
              <w:rPr>
                <w:rFonts w:hint="eastAsia"/>
                <w:lang w:val="en-US" w:eastAsia="zh-CN"/>
              </w:rPr>
              <w:t>300平米LED屏、播放设备和可视化系统、灯光显示，访客系统及文博馆外立面提升。</w:t>
            </w:r>
            <w:r>
              <w:rPr>
                <w:rFonts w:hint="default"/>
                <w:lang w:val="en-US" w:eastAsia="zh-CN"/>
              </w:rPr>
              <w:t>(具体详见采购内容及技术要求。)</w:t>
            </w:r>
          </w:p>
        </w:tc>
      </w:tr>
      <w:tr w14:paraId="5AF0AA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705" w:type="dxa"/>
            <w:noWrap w:val="0"/>
            <w:vAlign w:val="center"/>
          </w:tcPr>
          <w:p w14:paraId="705251EB">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w:t>
            </w:r>
          </w:p>
        </w:tc>
        <w:tc>
          <w:tcPr>
            <w:tcW w:w="1500" w:type="dxa"/>
            <w:gridSpan w:val="2"/>
            <w:noWrap w:val="0"/>
            <w:vAlign w:val="center"/>
          </w:tcPr>
          <w:p w14:paraId="5BD7B235">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lang w:eastAsia="zh-CN"/>
              </w:rPr>
              <w:t>信</w:t>
            </w:r>
            <w:r>
              <w:rPr>
                <w:rFonts w:hint="eastAsia" w:ascii="宋体" w:hAnsi="宋体" w:eastAsia="宋体" w:cs="宋体"/>
                <w:color w:val="auto"/>
                <w:sz w:val="21"/>
                <w:szCs w:val="21"/>
                <w:highlight w:val="none"/>
              </w:rPr>
              <w:t>息</w:t>
            </w:r>
          </w:p>
        </w:tc>
        <w:tc>
          <w:tcPr>
            <w:tcW w:w="7115" w:type="dxa"/>
            <w:noWrap w:val="0"/>
            <w:vAlign w:val="center"/>
          </w:tcPr>
          <w:p w14:paraId="3D8A9E2D">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采购单位：</w:t>
            </w:r>
            <w:r>
              <w:rPr>
                <w:rFonts w:hint="eastAsia" w:ascii="宋体" w:hAnsi="宋体" w:cs="宋体"/>
                <w:color w:val="auto"/>
                <w:kern w:val="0"/>
                <w:sz w:val="21"/>
                <w:szCs w:val="21"/>
                <w:highlight w:val="none"/>
                <w:lang w:val="en-US" w:eastAsia="zh-CN"/>
              </w:rPr>
              <w:t>乌恰县文化体育广播电视和旅游局</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 xml:space="preserve">        </w:t>
            </w:r>
          </w:p>
          <w:p w14:paraId="6163CB3D">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地</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址：</w:t>
            </w:r>
            <w:r>
              <w:rPr>
                <w:rFonts w:hint="eastAsia" w:ascii="宋体" w:hAnsi="宋体" w:cs="宋体"/>
                <w:color w:val="auto"/>
                <w:kern w:val="0"/>
                <w:sz w:val="21"/>
                <w:szCs w:val="21"/>
                <w:highlight w:val="none"/>
                <w:lang w:val="en-US" w:eastAsia="zh-CN"/>
              </w:rPr>
              <w:t>新疆克州乌恰县双拥路4号</w:t>
            </w:r>
          </w:p>
          <w:p w14:paraId="3197ED6B">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default"/>
                <w:lang w:val="en-US" w:eastAsia="zh-CN"/>
              </w:rPr>
            </w:pPr>
            <w:r>
              <w:rPr>
                <w:rFonts w:hint="eastAsia" w:ascii="宋体" w:hAnsi="宋体" w:eastAsia="宋体" w:cs="宋体"/>
                <w:color w:val="auto"/>
                <w:kern w:val="0"/>
                <w:sz w:val="21"/>
                <w:szCs w:val="21"/>
                <w:highlight w:val="none"/>
              </w:rPr>
              <w:t>联 系 人：</w:t>
            </w:r>
            <w:r>
              <w:rPr>
                <w:rFonts w:hint="eastAsia" w:ascii="宋体" w:hAnsi="宋体" w:cs="宋体"/>
                <w:color w:val="auto"/>
                <w:kern w:val="0"/>
                <w:sz w:val="21"/>
                <w:szCs w:val="21"/>
                <w:highlight w:val="none"/>
                <w:lang w:val="en-US" w:eastAsia="zh-CN"/>
              </w:rPr>
              <w:t>王先生</w:t>
            </w:r>
            <w:r>
              <w:rPr>
                <w:rFonts w:hint="eastAsia" w:ascii="宋体" w:hAnsi="宋体" w:eastAsia="宋体" w:cs="宋体"/>
                <w:color w:val="auto"/>
                <w:kern w:val="0"/>
                <w:sz w:val="21"/>
                <w:szCs w:val="21"/>
                <w:highlight w:val="none"/>
                <w:lang w:val="en-US" w:eastAsia="zh-CN"/>
              </w:rPr>
              <w:t xml:space="preserve">     联系电话：</w:t>
            </w:r>
            <w:r>
              <w:rPr>
                <w:rFonts w:hint="eastAsia" w:ascii="宋体" w:hAnsi="宋体" w:cs="宋体"/>
                <w:color w:val="auto"/>
                <w:kern w:val="0"/>
                <w:sz w:val="21"/>
                <w:szCs w:val="21"/>
                <w:highlight w:val="none"/>
                <w:lang w:val="en-US" w:eastAsia="zh-CN"/>
              </w:rPr>
              <w:t>19390808666</w:t>
            </w:r>
          </w:p>
        </w:tc>
      </w:tr>
      <w:tr w14:paraId="36496B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705" w:type="dxa"/>
            <w:noWrap w:val="0"/>
            <w:vAlign w:val="center"/>
          </w:tcPr>
          <w:p w14:paraId="6795B04A">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3</w:t>
            </w:r>
          </w:p>
        </w:tc>
        <w:tc>
          <w:tcPr>
            <w:tcW w:w="1500" w:type="dxa"/>
            <w:gridSpan w:val="2"/>
            <w:noWrap w:val="0"/>
            <w:vAlign w:val="center"/>
          </w:tcPr>
          <w:p w14:paraId="071F64CB">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采购代理机构</w:t>
            </w:r>
          </w:p>
        </w:tc>
        <w:tc>
          <w:tcPr>
            <w:tcW w:w="7115" w:type="dxa"/>
            <w:noWrap w:val="0"/>
            <w:vAlign w:val="center"/>
          </w:tcPr>
          <w:p w14:paraId="59D11EA7">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 xml:space="preserve">名  </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称：</w:t>
            </w:r>
            <w:r>
              <w:rPr>
                <w:rFonts w:hint="eastAsia" w:ascii="宋体" w:hAnsi="宋体" w:cs="宋体"/>
                <w:color w:val="auto"/>
                <w:kern w:val="0"/>
                <w:sz w:val="21"/>
                <w:szCs w:val="21"/>
                <w:highlight w:val="none"/>
                <w:lang w:val="en-US" w:eastAsia="zh-CN"/>
              </w:rPr>
              <w:t>新疆聚友共创项目管理有限公司</w:t>
            </w:r>
          </w:p>
          <w:p w14:paraId="7882E6D5">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地  </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址：</w:t>
            </w:r>
            <w:r>
              <w:rPr>
                <w:rFonts w:hint="eastAsia" w:ascii="宋体" w:hAnsi="宋体"/>
                <w:szCs w:val="21"/>
                <w:lang w:val="en-US" w:eastAsia="zh-CN"/>
              </w:rPr>
              <w:t xml:space="preserve">阿图什市幸福街道塔合提云村迎宾路43号  </w:t>
            </w:r>
          </w:p>
          <w:p w14:paraId="7D396385">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default"/>
                <w:color w:val="auto"/>
                <w:sz w:val="21"/>
                <w:szCs w:val="21"/>
                <w:highlight w:val="none"/>
                <w:lang w:val="en-US"/>
              </w:rPr>
            </w:pPr>
            <w:r>
              <w:rPr>
                <w:rFonts w:hint="eastAsia" w:ascii="宋体" w:hAnsi="宋体" w:eastAsia="宋体" w:cs="宋体"/>
                <w:color w:val="auto"/>
                <w:kern w:val="0"/>
                <w:sz w:val="21"/>
                <w:szCs w:val="21"/>
                <w:highlight w:val="none"/>
              </w:rPr>
              <w:t>联</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系</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人：</w:t>
            </w:r>
            <w:r>
              <w:rPr>
                <w:rFonts w:hint="eastAsia" w:ascii="宋体" w:hAnsi="宋体" w:cs="宋体"/>
                <w:color w:val="auto"/>
                <w:kern w:val="0"/>
                <w:sz w:val="21"/>
                <w:szCs w:val="21"/>
                <w:highlight w:val="none"/>
                <w:lang w:val="en-US" w:eastAsia="zh-CN"/>
              </w:rPr>
              <w:t>郭</w:t>
            </w:r>
            <w:r>
              <w:rPr>
                <w:rFonts w:hint="eastAsia" w:ascii="宋体" w:hAnsi="宋体" w:eastAsia="宋体" w:cs="宋体"/>
                <w:color w:val="auto"/>
                <w:kern w:val="0"/>
                <w:sz w:val="21"/>
                <w:szCs w:val="21"/>
                <w:highlight w:val="none"/>
                <w:lang w:val="en-US" w:eastAsia="zh-CN"/>
              </w:rPr>
              <w:t xml:space="preserve">女士   </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联系电话：</w:t>
            </w:r>
            <w:r>
              <w:rPr>
                <w:rFonts w:hint="eastAsia" w:ascii="宋体" w:hAnsi="宋体" w:cs="宋体"/>
                <w:color w:val="auto"/>
                <w:kern w:val="0"/>
                <w:sz w:val="21"/>
                <w:szCs w:val="21"/>
                <w:highlight w:val="none"/>
                <w:lang w:val="en-US" w:eastAsia="zh-CN"/>
              </w:rPr>
              <w:t>18690801126</w:t>
            </w:r>
          </w:p>
        </w:tc>
      </w:tr>
      <w:tr w14:paraId="4D34E52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705" w:type="dxa"/>
            <w:noWrap w:val="0"/>
            <w:vAlign w:val="center"/>
          </w:tcPr>
          <w:p w14:paraId="1E417617">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kern w:val="2"/>
                <w:sz w:val="21"/>
                <w:szCs w:val="21"/>
                <w:highlight w:val="none"/>
                <w:u w:val="none"/>
                <w:lang w:val="en-US" w:eastAsia="zh-CN" w:bidi="ar-SA"/>
              </w:rPr>
              <w:t>4</w:t>
            </w:r>
          </w:p>
        </w:tc>
        <w:tc>
          <w:tcPr>
            <w:tcW w:w="1500" w:type="dxa"/>
            <w:gridSpan w:val="2"/>
            <w:noWrap w:val="0"/>
            <w:vAlign w:val="center"/>
          </w:tcPr>
          <w:p w14:paraId="59296030">
            <w:pPr>
              <w:keepNext w:val="0"/>
              <w:keepLines w:val="0"/>
              <w:pageBreakBefore w:val="0"/>
              <w:widowControl/>
              <w:shd w:val="clear" w:color="auto" w:fill="auto"/>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kern w:val="2"/>
                <w:sz w:val="21"/>
                <w:szCs w:val="21"/>
                <w:highlight w:val="none"/>
                <w:u w:val="none"/>
                <w:lang w:val="en-US" w:eastAsia="zh-CN" w:bidi="ar-SA"/>
              </w:rPr>
              <w:t>供货（服务）  地点</w:t>
            </w:r>
          </w:p>
        </w:tc>
        <w:tc>
          <w:tcPr>
            <w:tcW w:w="7115" w:type="dxa"/>
            <w:noWrap w:val="0"/>
            <w:vAlign w:val="center"/>
          </w:tcPr>
          <w:p w14:paraId="3A8E2235">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采购人指定项目现场。</w:t>
            </w:r>
          </w:p>
        </w:tc>
      </w:tr>
      <w:tr w14:paraId="3942E9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39EDBCAD">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5</w:t>
            </w:r>
          </w:p>
        </w:tc>
        <w:tc>
          <w:tcPr>
            <w:tcW w:w="1500" w:type="dxa"/>
            <w:gridSpan w:val="2"/>
            <w:noWrap w:val="0"/>
            <w:vAlign w:val="center"/>
          </w:tcPr>
          <w:p w14:paraId="6BE55715">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color w:val="000000"/>
                <w:sz w:val="21"/>
                <w:szCs w:val="21"/>
                <w:highlight w:val="none"/>
                <w:lang w:val="en-US" w:eastAsia="zh-CN"/>
              </w:rPr>
            </w:pPr>
            <w:r>
              <w:rPr>
                <w:rFonts w:hint="eastAsia" w:ascii="宋体" w:hAnsi="宋体" w:eastAsia="宋体" w:cs="宋体"/>
                <w:color w:val="000000"/>
                <w:sz w:val="21"/>
                <w:szCs w:val="21"/>
                <w:highlight w:val="none"/>
              </w:rPr>
              <w:t>付款</w:t>
            </w:r>
            <w:r>
              <w:rPr>
                <w:rFonts w:hint="eastAsia" w:ascii="宋体" w:hAnsi="宋体" w:eastAsia="宋体" w:cs="宋体"/>
                <w:color w:val="000000"/>
                <w:sz w:val="21"/>
                <w:szCs w:val="21"/>
                <w:highlight w:val="none"/>
                <w:lang w:eastAsia="zh-CN"/>
              </w:rPr>
              <w:t>方</w:t>
            </w:r>
            <w:r>
              <w:rPr>
                <w:rFonts w:hint="eastAsia" w:ascii="宋体" w:hAnsi="宋体" w:eastAsia="宋体" w:cs="宋体"/>
                <w:color w:val="000000"/>
                <w:sz w:val="21"/>
                <w:szCs w:val="21"/>
                <w:highlight w:val="none"/>
              </w:rPr>
              <w:t>式</w:t>
            </w:r>
          </w:p>
        </w:tc>
        <w:tc>
          <w:tcPr>
            <w:tcW w:w="7115" w:type="dxa"/>
            <w:noWrap w:val="0"/>
            <w:vAlign w:val="center"/>
          </w:tcPr>
          <w:p w14:paraId="6310287C">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outlineLvl w:val="9"/>
              <w:rPr>
                <w:rFonts w:hint="default" w:ascii="宋体" w:hAnsi="宋体" w:eastAsia="宋体" w:cs="宋体"/>
                <w:color w:val="auto"/>
                <w:sz w:val="21"/>
                <w:szCs w:val="21"/>
                <w:highlight w:val="none"/>
                <w:lang w:val="en-US" w:eastAsia="zh-CN"/>
              </w:rPr>
            </w:pPr>
            <w:r>
              <w:rPr>
                <w:rFonts w:hint="eastAsia"/>
                <w:color w:val="auto"/>
                <w:highlight w:val="none"/>
                <w:lang w:val="en-US" w:eastAsia="zh-CN"/>
              </w:rPr>
              <w:t>（1）合同签订生效 ，主要货物材料进场，支付合同总金额 30%； （2）全部货物供货到场 ，安装集成调试完成 ，初验合格 ，支付至合同总金额 70%； （3）项目整体竣工验收合格 ，全部资料完整移交完毕 ，支付至合同总金额 95%； （4）剩余 5%竣工验收后 ，无质量问题无息支付。（具体细节以合同约定为准。）</w:t>
            </w:r>
          </w:p>
        </w:tc>
      </w:tr>
      <w:tr w14:paraId="2BAB10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0" w:hRule="atLeast"/>
          <w:jc w:val="center"/>
        </w:trPr>
        <w:tc>
          <w:tcPr>
            <w:tcW w:w="705" w:type="dxa"/>
            <w:noWrap w:val="0"/>
            <w:vAlign w:val="center"/>
          </w:tcPr>
          <w:p w14:paraId="1D5B3A65">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6</w:t>
            </w:r>
          </w:p>
        </w:tc>
        <w:tc>
          <w:tcPr>
            <w:tcW w:w="1500" w:type="dxa"/>
            <w:gridSpan w:val="2"/>
            <w:noWrap w:val="0"/>
            <w:vAlign w:val="center"/>
          </w:tcPr>
          <w:p w14:paraId="7838559F">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default"/>
                <w:color w:val="000000"/>
                <w:sz w:val="21"/>
                <w:szCs w:val="21"/>
                <w:highlight w:val="none"/>
                <w:lang w:val="en-US" w:eastAsia="zh-CN"/>
              </w:rPr>
            </w:pPr>
            <w:r>
              <w:rPr>
                <w:rFonts w:hint="eastAsia"/>
                <w:color w:val="000000"/>
                <w:highlight w:val="none"/>
                <w:lang w:val="en-US" w:eastAsia="zh-CN"/>
              </w:rPr>
              <w:t>交货期及质保期</w:t>
            </w:r>
          </w:p>
        </w:tc>
        <w:tc>
          <w:tcPr>
            <w:tcW w:w="7115" w:type="dxa"/>
            <w:noWrap w:val="0"/>
            <w:vAlign w:val="center"/>
          </w:tcPr>
          <w:p w14:paraId="36BACE25">
            <w:pPr>
              <w:keepNext w:val="0"/>
              <w:keepLines w:val="0"/>
              <w:pageBreakBefore w:val="0"/>
              <w:widowControl w:val="0"/>
              <w:shd w:val="clear" w:color="auto" w:fill="auto"/>
              <w:kinsoku/>
              <w:wordWrap/>
              <w:overflowPunct/>
              <w:topLinePunct w:val="0"/>
              <w:autoSpaceDE/>
              <w:autoSpaceDN/>
              <w:bidi w:val="0"/>
              <w:adjustRightInd/>
              <w:snapToGrid/>
              <w:spacing w:line="290" w:lineRule="exact"/>
              <w:jc w:val="left"/>
              <w:textAlignment w:val="auto"/>
              <w:rPr>
                <w:rFonts w:hint="eastAsia"/>
                <w:color w:val="000000"/>
                <w:sz w:val="21"/>
                <w:szCs w:val="21"/>
                <w:highlight w:val="none"/>
                <w:lang w:val="en-US" w:eastAsia="zh-CN"/>
              </w:rPr>
            </w:pPr>
            <w:r>
              <w:rPr>
                <w:rFonts w:hint="eastAsia"/>
                <w:color w:val="000000"/>
                <w:sz w:val="21"/>
                <w:szCs w:val="21"/>
                <w:highlight w:val="none"/>
                <w:lang w:val="en-US" w:eastAsia="zh-CN"/>
              </w:rPr>
              <w:t>合同签订后 180  日历天内完成全部货物生产、供货、安装、集成调试 ，完成整体竣工验收。（具体以签订合同为准）</w:t>
            </w:r>
          </w:p>
          <w:p w14:paraId="0CDA4FAC">
            <w:pPr>
              <w:keepNext w:val="0"/>
              <w:keepLines w:val="0"/>
              <w:pageBreakBefore w:val="0"/>
              <w:widowControl w:val="0"/>
              <w:shd w:val="clear" w:color="auto" w:fill="auto"/>
              <w:kinsoku/>
              <w:wordWrap/>
              <w:overflowPunct/>
              <w:topLinePunct w:val="0"/>
              <w:autoSpaceDE/>
              <w:autoSpaceDN/>
              <w:bidi w:val="0"/>
              <w:adjustRightInd/>
              <w:snapToGrid/>
              <w:spacing w:line="290" w:lineRule="exact"/>
              <w:jc w:val="left"/>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质保期：3年</w:t>
            </w:r>
          </w:p>
        </w:tc>
      </w:tr>
      <w:tr w14:paraId="310A9E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705" w:type="dxa"/>
            <w:noWrap w:val="0"/>
            <w:vAlign w:val="center"/>
          </w:tcPr>
          <w:p w14:paraId="7532BC05">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7</w:t>
            </w:r>
          </w:p>
        </w:tc>
        <w:tc>
          <w:tcPr>
            <w:tcW w:w="1500" w:type="dxa"/>
            <w:gridSpan w:val="2"/>
            <w:noWrap w:val="0"/>
            <w:vAlign w:val="center"/>
          </w:tcPr>
          <w:p w14:paraId="1E3EA0D5">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000000"/>
                <w:sz w:val="21"/>
                <w:szCs w:val="21"/>
                <w:highlight w:val="none"/>
                <w:lang w:val="en-US" w:eastAsia="zh-CN"/>
              </w:rPr>
            </w:pPr>
            <w:r>
              <w:rPr>
                <w:rFonts w:hint="eastAsia"/>
                <w:color w:val="000000"/>
                <w:sz w:val="21"/>
                <w:szCs w:val="21"/>
                <w:highlight w:val="none"/>
                <w:lang w:val="en-US" w:eastAsia="zh-CN"/>
              </w:rPr>
              <w:t>资金来源</w:t>
            </w:r>
          </w:p>
        </w:tc>
        <w:tc>
          <w:tcPr>
            <w:tcW w:w="7115" w:type="dxa"/>
            <w:noWrap w:val="0"/>
            <w:vAlign w:val="center"/>
          </w:tcPr>
          <w:p w14:paraId="12871FEE">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color w:val="000000"/>
                <w:sz w:val="21"/>
                <w:szCs w:val="21"/>
                <w:highlight w:val="none"/>
                <w:lang w:val="en-US" w:eastAsia="zh-CN"/>
              </w:rPr>
            </w:pPr>
            <w:r>
              <w:rPr>
                <w:rFonts w:hint="eastAsia"/>
                <w:color w:val="000000"/>
                <w:sz w:val="21"/>
                <w:szCs w:val="21"/>
                <w:highlight w:val="none"/>
                <w:lang w:val="en-US" w:eastAsia="zh-CN"/>
              </w:rPr>
              <w:t>援疆资金</w:t>
            </w:r>
          </w:p>
        </w:tc>
      </w:tr>
      <w:tr w14:paraId="7B7189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705" w:type="dxa"/>
            <w:noWrap w:val="0"/>
            <w:vAlign w:val="center"/>
          </w:tcPr>
          <w:p w14:paraId="5B5E6501">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8</w:t>
            </w:r>
          </w:p>
        </w:tc>
        <w:tc>
          <w:tcPr>
            <w:tcW w:w="1500" w:type="dxa"/>
            <w:gridSpan w:val="2"/>
            <w:noWrap w:val="0"/>
            <w:vAlign w:val="center"/>
          </w:tcPr>
          <w:p w14:paraId="08859ABC">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招标方式</w:t>
            </w:r>
          </w:p>
        </w:tc>
        <w:tc>
          <w:tcPr>
            <w:tcW w:w="7115" w:type="dxa"/>
            <w:noWrap w:val="0"/>
            <w:vAlign w:val="center"/>
          </w:tcPr>
          <w:p w14:paraId="73034C65">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公开招标</w:t>
            </w:r>
            <w:r>
              <w:rPr>
                <w:rFonts w:hint="eastAsia" w:hAnsi="宋体" w:cs="宋体-18030"/>
                <w:b/>
                <w:color w:val="auto"/>
                <w:sz w:val="21"/>
                <w:szCs w:val="21"/>
                <w:highlight w:val="none"/>
                <w:lang w:val="en-US" w:eastAsia="zh-CN"/>
              </w:rPr>
              <w:t>(本项目采用网上电子招投标)</w:t>
            </w:r>
            <w:r>
              <w:rPr>
                <w:rFonts w:hint="eastAsia"/>
                <w:color w:val="auto"/>
                <w:sz w:val="21"/>
                <w:szCs w:val="21"/>
                <w:highlight w:val="none"/>
                <w:lang w:val="en-US" w:eastAsia="zh-CN"/>
              </w:rPr>
              <w:t xml:space="preserve">             </w:t>
            </w:r>
          </w:p>
        </w:tc>
      </w:tr>
      <w:tr w14:paraId="446889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30215D4A">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9</w:t>
            </w:r>
          </w:p>
        </w:tc>
        <w:tc>
          <w:tcPr>
            <w:tcW w:w="1500" w:type="dxa"/>
            <w:gridSpan w:val="2"/>
            <w:noWrap w:val="0"/>
            <w:vAlign w:val="center"/>
          </w:tcPr>
          <w:p w14:paraId="173997B5">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投标人资格条件及其他要求</w:t>
            </w:r>
          </w:p>
        </w:tc>
        <w:tc>
          <w:tcPr>
            <w:tcW w:w="7115" w:type="dxa"/>
            <w:noWrap w:val="0"/>
            <w:vAlign w:val="center"/>
          </w:tcPr>
          <w:p w14:paraId="12F0E2E2">
            <w:pPr>
              <w:widowControl/>
              <w:rPr>
                <w:highlight w:val="none"/>
              </w:rPr>
            </w:pPr>
            <w:r>
              <w:rPr>
                <w:rFonts w:hint="eastAsia"/>
                <w:highlight w:val="none"/>
              </w:rPr>
              <w:t>1</w:t>
            </w:r>
            <w:r>
              <w:rPr>
                <w:rFonts w:hint="eastAsia"/>
                <w:b/>
                <w:bCs/>
                <w:highlight w:val="none"/>
              </w:rPr>
              <w:t>.</w:t>
            </w:r>
            <w:r>
              <w:rPr>
                <w:rFonts w:hint="eastAsia"/>
                <w:b/>
                <w:bCs/>
                <w:highlight w:val="none"/>
                <w:lang w:val="en-US" w:eastAsia="zh-CN"/>
              </w:rPr>
              <w:t>投标人</w:t>
            </w:r>
            <w:r>
              <w:rPr>
                <w:rFonts w:hint="eastAsia"/>
                <w:b/>
                <w:bCs/>
                <w:highlight w:val="none"/>
              </w:rPr>
              <w:t>满足《中华人民共和国政府采购法》第二十二条规定；</w:t>
            </w:r>
          </w:p>
          <w:p w14:paraId="04EB4414">
            <w:pPr>
              <w:snapToGrid w:val="0"/>
              <w:rPr>
                <w:rFonts w:hint="eastAsia" w:eastAsia="宋体"/>
                <w:highlight w:val="none"/>
                <w:lang w:eastAsia="zh-CN"/>
              </w:rPr>
            </w:pPr>
            <w:r>
              <w:rPr>
                <w:rFonts w:hint="eastAsia"/>
                <w:highlight w:val="none"/>
              </w:rPr>
              <w:t>2.落实政府采购政策需满足的资格要求：本项目专门面向中小企业</w:t>
            </w:r>
            <w:r>
              <w:rPr>
                <w:rFonts w:hint="eastAsia"/>
                <w:highlight w:val="none"/>
                <w:lang w:eastAsia="zh-CN"/>
              </w:rPr>
              <w:t>。</w:t>
            </w:r>
          </w:p>
          <w:p w14:paraId="557E28CC">
            <w:pPr>
              <w:snapToGrid w:val="0"/>
              <w:rPr>
                <w:highlight w:val="none"/>
              </w:rPr>
            </w:pPr>
            <w:r>
              <w:rPr>
                <w:rFonts w:hint="eastAsia"/>
                <w:highlight w:val="none"/>
              </w:rPr>
              <w:t>3.本项目的特定资格要求：</w:t>
            </w:r>
          </w:p>
          <w:p w14:paraId="658E3740">
            <w:pPr>
              <w:snapToGrid w:val="0"/>
              <w:rPr>
                <w:highlight w:val="none"/>
              </w:rPr>
            </w:pPr>
            <w:r>
              <w:rPr>
                <w:rFonts w:hint="eastAsia"/>
                <w:highlight w:val="none"/>
              </w:rPr>
              <w:t>（1）有效的三证合一营业执照副本；</w:t>
            </w:r>
          </w:p>
          <w:p w14:paraId="58766F19">
            <w:pPr>
              <w:snapToGrid w:val="0"/>
              <w:rPr>
                <w:highlight w:val="none"/>
              </w:rPr>
            </w:pPr>
            <w:r>
              <w:rPr>
                <w:rFonts w:hint="eastAsia"/>
                <w:highlight w:val="none"/>
              </w:rPr>
              <w:t>（2）法定代表人投标需提供法定代表人资格证明书，委托代理人投标需提供法定代表人授权委托书；</w:t>
            </w:r>
          </w:p>
          <w:p w14:paraId="7F2990C1">
            <w:pPr>
              <w:snapToGrid w:val="0"/>
              <w:rPr>
                <w:highlight w:val="none"/>
              </w:rPr>
            </w:pPr>
            <w:r>
              <w:rPr>
                <w:rFonts w:hint="eastAsia"/>
                <w:highlight w:val="none"/>
              </w:rPr>
              <w:t>（3）</w:t>
            </w:r>
            <w:r>
              <w:rPr>
                <w:rFonts w:hint="eastAsia"/>
                <w:highlight w:val="none"/>
                <w:lang w:eastAsia="zh-CN"/>
              </w:rPr>
              <w:t>投标企业须提供投标人（被授权在职人员）近6个月任意一个月的社保证明</w:t>
            </w:r>
            <w:r>
              <w:rPr>
                <w:rFonts w:hint="eastAsia"/>
                <w:highlight w:val="none"/>
              </w:rPr>
              <w:t>；</w:t>
            </w:r>
          </w:p>
          <w:p w14:paraId="2143F681">
            <w:pPr>
              <w:snapToGrid w:val="0"/>
              <w:rPr>
                <w:highlight w:val="none"/>
              </w:rPr>
            </w:pPr>
            <w:r>
              <w:rPr>
                <w:rFonts w:hint="eastAsia"/>
                <w:highlight w:val="none"/>
              </w:rPr>
              <w:t>（4）参加政府采购活动前三年内，在经营活动中没有重大违法记录</w:t>
            </w:r>
            <w:r>
              <w:rPr>
                <w:rFonts w:hint="eastAsia"/>
                <w:highlight w:val="none"/>
                <w:lang w:eastAsia="zh-CN"/>
              </w:rPr>
              <w:t>，</w:t>
            </w:r>
            <w:r>
              <w:rPr>
                <w:rFonts w:hint="eastAsia" w:ascii="Times New Roman" w:hAnsi="Times New Roman" w:cs="Times New Roman"/>
                <w:highlight w:val="none"/>
              </w:rPr>
              <w:t>未被“信用中国”（www.creditchina.gov.cn）、中国政府采购网（www.ccgp.gov.cn）列入失信被执行人、重大税收违法案件当事人名单、政府采购严重违法失信行为记录名单</w:t>
            </w:r>
            <w:r>
              <w:rPr>
                <w:rFonts w:hint="eastAsia"/>
                <w:highlight w:val="none"/>
              </w:rPr>
              <w:t>；</w:t>
            </w:r>
          </w:p>
          <w:p w14:paraId="6E0EBFD3">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rPr>
            </w:pPr>
            <w:r>
              <w:rPr>
                <w:rFonts w:hint="eastAsia" w:ascii="ˎ̥" w:hAnsi="ˎ̥"/>
                <w:color w:val="auto"/>
                <w:sz w:val="21"/>
                <w:szCs w:val="21"/>
                <w:highlight w:val="none"/>
              </w:rPr>
              <w:t>（</w:t>
            </w:r>
            <w:r>
              <w:rPr>
                <w:rFonts w:hint="eastAsia" w:ascii="ˎ̥" w:hAnsi="ˎ̥"/>
                <w:color w:val="auto"/>
                <w:sz w:val="21"/>
                <w:szCs w:val="21"/>
                <w:highlight w:val="none"/>
                <w:lang w:val="en-US" w:eastAsia="zh-CN"/>
              </w:rPr>
              <w:t>5</w:t>
            </w:r>
            <w:r>
              <w:rPr>
                <w:rFonts w:hint="eastAsia" w:ascii="ˎ̥" w:hAnsi="ˎ̥"/>
                <w:color w:val="auto"/>
                <w:sz w:val="21"/>
                <w:szCs w:val="21"/>
                <w:highlight w:val="none"/>
              </w:rPr>
              <w:t>）投标人具有良好的商业信誉和健全的财务会计制度；（提供由具备资质的机构出具的（2024年或2025年）的财务审计报告；成立不满一年的企业或者小微企业可提供财务报表）；</w:t>
            </w:r>
          </w:p>
          <w:p w14:paraId="75306689">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eastAsia="zh-CN"/>
              </w:rPr>
            </w:pPr>
            <w:r>
              <w:rPr>
                <w:rFonts w:hint="eastAsia" w:ascii="ˎ̥" w:hAnsi="ˎ̥"/>
                <w:color w:val="auto"/>
                <w:sz w:val="21"/>
                <w:szCs w:val="21"/>
                <w:highlight w:val="none"/>
                <w:lang w:eastAsia="zh-CN"/>
              </w:rPr>
              <w:t>（</w:t>
            </w:r>
            <w:r>
              <w:rPr>
                <w:rFonts w:hint="eastAsia" w:ascii="ˎ̥" w:hAnsi="ˎ̥"/>
                <w:color w:val="auto"/>
                <w:sz w:val="21"/>
                <w:szCs w:val="21"/>
                <w:highlight w:val="none"/>
                <w:lang w:val="en-US" w:eastAsia="zh-CN"/>
              </w:rPr>
              <w:t>6</w:t>
            </w:r>
            <w:r>
              <w:rPr>
                <w:rFonts w:hint="eastAsia" w:ascii="ˎ̥" w:hAnsi="ˎ̥"/>
                <w:color w:val="auto"/>
                <w:sz w:val="21"/>
                <w:szCs w:val="21"/>
                <w:highlight w:val="none"/>
                <w:lang w:eastAsia="zh-CN"/>
              </w:rPr>
              <w:t>）投标人具有依法缴纳税收和社会保障资金的良好记录：①提供税务部门出具的近一年内任意三个月的完税证明（新公司从成立之日起算，如无产生税收，需提供不拖欠税收证明材料；）②依法缴纳近一年内任意三个月企业缴纳社保证明材料（专用收据或社会保险缴纳清单，新公司从成立之日起算）；</w:t>
            </w:r>
          </w:p>
          <w:p w14:paraId="42C0A015">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eastAsia="zh-CN"/>
              </w:rPr>
            </w:pPr>
            <w:r>
              <w:rPr>
                <w:rFonts w:hint="eastAsia" w:ascii="ˎ̥" w:hAnsi="ˎ̥"/>
                <w:color w:val="auto"/>
                <w:sz w:val="21"/>
                <w:szCs w:val="21"/>
                <w:highlight w:val="none"/>
                <w:lang w:eastAsia="zh-CN"/>
              </w:rPr>
              <w:t>（</w:t>
            </w:r>
            <w:r>
              <w:rPr>
                <w:rFonts w:hint="eastAsia" w:ascii="ˎ̥" w:hAnsi="ˎ̥"/>
                <w:color w:val="auto"/>
                <w:sz w:val="21"/>
                <w:szCs w:val="21"/>
                <w:highlight w:val="none"/>
                <w:lang w:val="en-US" w:eastAsia="zh-CN"/>
              </w:rPr>
              <w:t>7</w:t>
            </w:r>
            <w:r>
              <w:rPr>
                <w:rFonts w:hint="eastAsia" w:ascii="ˎ̥" w:hAnsi="ˎ̥"/>
                <w:color w:val="auto"/>
                <w:sz w:val="21"/>
                <w:szCs w:val="21"/>
                <w:highlight w:val="none"/>
                <w:lang w:eastAsia="zh-CN"/>
              </w:rPr>
              <w:t>）投标人须具备电</w:t>
            </w:r>
            <w:r>
              <w:rPr>
                <w:rFonts w:hint="eastAsia" w:ascii="ˎ̥" w:hAnsi="ˎ̥"/>
                <w:color w:val="auto"/>
                <w:sz w:val="21"/>
                <w:szCs w:val="21"/>
                <w:highlight w:val="none"/>
                <w:lang w:val="en-US" w:eastAsia="zh-CN"/>
              </w:rPr>
              <w:t>子与智能化工程专业承包贰级及以上资质。</w:t>
            </w:r>
          </w:p>
          <w:p w14:paraId="29052228">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rPr>
            </w:pPr>
            <w:r>
              <w:rPr>
                <w:rFonts w:hint="eastAsia" w:ascii="ˎ̥" w:hAnsi="ˎ̥"/>
                <w:color w:val="auto"/>
                <w:sz w:val="21"/>
                <w:szCs w:val="21"/>
                <w:highlight w:val="none"/>
              </w:rPr>
              <w:t>本项目不接受联合体投标。</w:t>
            </w:r>
          </w:p>
        </w:tc>
      </w:tr>
      <w:tr w14:paraId="77B8A1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705" w:type="dxa"/>
            <w:noWrap w:val="0"/>
            <w:vAlign w:val="center"/>
          </w:tcPr>
          <w:p w14:paraId="7E961487">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1500" w:type="dxa"/>
            <w:gridSpan w:val="2"/>
            <w:noWrap w:val="0"/>
            <w:vAlign w:val="center"/>
          </w:tcPr>
          <w:p w14:paraId="4053E313">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供应商信用</w:t>
            </w:r>
          </w:p>
          <w:p w14:paraId="3D1024DE">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查询</w:t>
            </w:r>
          </w:p>
        </w:tc>
        <w:tc>
          <w:tcPr>
            <w:tcW w:w="7115" w:type="dxa"/>
            <w:noWrap w:val="0"/>
            <w:vAlign w:val="center"/>
          </w:tcPr>
          <w:p w14:paraId="41DFE938">
            <w:pPr>
              <w:pStyle w:val="14"/>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1、查询渠道：信用中国（网址：http://www.creditchina.gov.cn）、中国政府采购网(网址：http://www.ccgp.gov.cn）。</w:t>
            </w:r>
          </w:p>
          <w:p w14:paraId="0FF396AD">
            <w:pPr>
              <w:pStyle w:val="14"/>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2、截止时点：开标后评标前。</w:t>
            </w:r>
          </w:p>
          <w:p w14:paraId="1F8362DD">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78BF7B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3" w:hRule="atLeast"/>
          <w:jc w:val="center"/>
        </w:trPr>
        <w:tc>
          <w:tcPr>
            <w:tcW w:w="705" w:type="dxa"/>
            <w:noWrap w:val="0"/>
            <w:vAlign w:val="center"/>
          </w:tcPr>
          <w:p w14:paraId="4895A75F">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11</w:t>
            </w:r>
          </w:p>
        </w:tc>
        <w:tc>
          <w:tcPr>
            <w:tcW w:w="1500" w:type="dxa"/>
            <w:gridSpan w:val="2"/>
            <w:noWrap w:val="0"/>
            <w:vAlign w:val="center"/>
          </w:tcPr>
          <w:p w14:paraId="77D7FEF2">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color w:val="auto"/>
                <w:sz w:val="21"/>
                <w:szCs w:val="21"/>
                <w:highlight w:val="none"/>
                <w:lang w:val="en-US" w:eastAsia="zh-CN"/>
              </w:rPr>
            </w:pPr>
            <w:r>
              <w:rPr>
                <w:rFonts w:hint="eastAsia"/>
                <w:color w:val="auto"/>
                <w:sz w:val="21"/>
                <w:szCs w:val="21"/>
                <w:highlight w:val="none"/>
                <w:lang w:val="en-US" w:eastAsia="zh-CN"/>
              </w:rPr>
              <w:t>踏勘现场</w:t>
            </w:r>
          </w:p>
        </w:tc>
        <w:tc>
          <w:tcPr>
            <w:tcW w:w="7115" w:type="dxa"/>
            <w:noWrap w:val="0"/>
            <w:vAlign w:val="center"/>
          </w:tcPr>
          <w:p w14:paraId="068DF08B">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不组织,投标人自行组织踏勘现场。</w:t>
            </w:r>
          </w:p>
        </w:tc>
      </w:tr>
      <w:tr w14:paraId="4C7DB8B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705" w:type="dxa"/>
            <w:noWrap w:val="0"/>
            <w:vAlign w:val="center"/>
          </w:tcPr>
          <w:p w14:paraId="51BEEC3A">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12</w:t>
            </w:r>
          </w:p>
        </w:tc>
        <w:tc>
          <w:tcPr>
            <w:tcW w:w="1500" w:type="dxa"/>
            <w:gridSpan w:val="2"/>
            <w:noWrap w:val="0"/>
            <w:vAlign w:val="center"/>
          </w:tcPr>
          <w:p w14:paraId="3C5E03C4">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投标预备会</w:t>
            </w:r>
          </w:p>
        </w:tc>
        <w:tc>
          <w:tcPr>
            <w:tcW w:w="7115" w:type="dxa"/>
            <w:noWrap w:val="0"/>
            <w:vAlign w:val="center"/>
          </w:tcPr>
          <w:p w14:paraId="71043FCC">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不召开</w:t>
            </w:r>
          </w:p>
        </w:tc>
      </w:tr>
      <w:tr w14:paraId="1FA1B2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84" w:hRule="atLeast"/>
          <w:jc w:val="center"/>
        </w:trPr>
        <w:tc>
          <w:tcPr>
            <w:tcW w:w="705" w:type="dxa"/>
            <w:noWrap w:val="0"/>
            <w:vAlign w:val="center"/>
          </w:tcPr>
          <w:p w14:paraId="3FAC9C1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13</w:t>
            </w:r>
          </w:p>
        </w:tc>
        <w:tc>
          <w:tcPr>
            <w:tcW w:w="1500" w:type="dxa"/>
            <w:gridSpan w:val="2"/>
            <w:noWrap w:val="0"/>
            <w:vAlign w:val="center"/>
          </w:tcPr>
          <w:p w14:paraId="149B7A56">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联合体投标</w:t>
            </w:r>
          </w:p>
        </w:tc>
        <w:tc>
          <w:tcPr>
            <w:tcW w:w="7115" w:type="dxa"/>
            <w:noWrap w:val="0"/>
            <w:vAlign w:val="center"/>
          </w:tcPr>
          <w:p w14:paraId="6113B2E3">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不接受</w:t>
            </w:r>
          </w:p>
          <w:p w14:paraId="7CD07681">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接受，联合体投标的须在投标文件中提供联合体协议书，联合体所有成员不得超过2家，联合体的任何一方均不得再与其他投标单位联合。</w:t>
            </w:r>
          </w:p>
        </w:tc>
      </w:tr>
      <w:tr w14:paraId="020352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705" w:type="dxa"/>
            <w:noWrap w:val="0"/>
            <w:vAlign w:val="center"/>
          </w:tcPr>
          <w:p w14:paraId="2E747D2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14</w:t>
            </w:r>
          </w:p>
        </w:tc>
        <w:tc>
          <w:tcPr>
            <w:tcW w:w="1500" w:type="dxa"/>
            <w:gridSpan w:val="2"/>
            <w:noWrap w:val="0"/>
            <w:vAlign w:val="center"/>
          </w:tcPr>
          <w:p w14:paraId="5EC195C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招标代理费</w:t>
            </w:r>
          </w:p>
        </w:tc>
        <w:tc>
          <w:tcPr>
            <w:tcW w:w="7115" w:type="dxa"/>
            <w:noWrap w:val="0"/>
            <w:vAlign w:val="center"/>
          </w:tcPr>
          <w:p w14:paraId="0EF88D5B">
            <w:pPr>
              <w:snapToGrid w:val="0"/>
              <w:rPr>
                <w:rFonts w:hint="eastAsia" w:ascii="宋体" w:hAnsi="宋体"/>
                <w:color w:val="auto"/>
                <w:sz w:val="21"/>
                <w:szCs w:val="21"/>
                <w:highlight w:val="none"/>
              </w:rPr>
            </w:pPr>
            <w:r>
              <w:rPr>
                <w:rFonts w:hint="eastAsia" w:ascii="宋体" w:hAnsi="宋体"/>
                <w:color w:val="auto"/>
                <w:sz w:val="21"/>
                <w:szCs w:val="21"/>
                <w:highlight w:val="none"/>
                <w:lang w:val="en-US" w:eastAsia="zh-CN"/>
              </w:rPr>
              <w:t>采购人与招标代理机构经协商本次招标代理服务费为:52180元，由中标供应商支付。 </w:t>
            </w:r>
          </w:p>
        </w:tc>
      </w:tr>
      <w:tr w14:paraId="60D10B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705" w:type="dxa"/>
            <w:noWrap w:val="0"/>
            <w:vAlign w:val="center"/>
          </w:tcPr>
          <w:p w14:paraId="5BE6FE38">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15</w:t>
            </w:r>
          </w:p>
        </w:tc>
        <w:tc>
          <w:tcPr>
            <w:tcW w:w="1500" w:type="dxa"/>
            <w:gridSpan w:val="2"/>
            <w:noWrap w:val="0"/>
            <w:vAlign w:val="center"/>
          </w:tcPr>
          <w:p w14:paraId="24C82C6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最高投标限价</w:t>
            </w:r>
          </w:p>
        </w:tc>
        <w:tc>
          <w:tcPr>
            <w:tcW w:w="7115" w:type="dxa"/>
            <w:noWrap w:val="0"/>
            <w:vAlign w:val="center"/>
          </w:tcPr>
          <w:p w14:paraId="793A235A">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olor w:val="auto"/>
                <w:sz w:val="21"/>
                <w:szCs w:val="21"/>
                <w:highlight w:val="none"/>
              </w:rPr>
            </w:pPr>
            <w:r>
              <w:rPr>
                <w:rFonts w:hint="eastAsia" w:ascii="宋体" w:hAnsi="宋体" w:eastAsia="宋体" w:cs="宋体"/>
                <w:snapToGrid w:val="0"/>
                <w:color w:val="auto"/>
                <w:sz w:val="21"/>
                <w:szCs w:val="21"/>
                <w:highlight w:val="none"/>
                <w:lang w:val="en-US" w:eastAsia="zh-CN"/>
              </w:rPr>
              <w:t>本次招标预算价：</w:t>
            </w:r>
            <w:r>
              <w:rPr>
                <w:rFonts w:hint="eastAsia" w:ascii="宋体" w:hAnsi="宋体" w:eastAsia="宋体" w:cs="宋体"/>
                <w:snapToGrid w:val="0"/>
                <w:color w:val="auto"/>
                <w:sz w:val="21"/>
                <w:szCs w:val="21"/>
                <w:highlight w:val="none"/>
                <w:u w:val="single"/>
                <w:lang w:val="en-US" w:eastAsia="zh-CN"/>
              </w:rPr>
              <w:t>4136216.13</w:t>
            </w:r>
            <w:r>
              <w:rPr>
                <w:rFonts w:hint="eastAsia" w:ascii="宋体" w:hAnsi="宋体" w:eastAsia="宋体" w:cs="宋体"/>
                <w:snapToGrid w:val="0"/>
                <w:color w:val="000000"/>
                <w:sz w:val="21"/>
                <w:szCs w:val="21"/>
                <w:highlight w:val="none"/>
                <w:u w:val="single"/>
                <w:lang w:val="en-US" w:eastAsia="zh-CN"/>
              </w:rPr>
              <w:t>元</w:t>
            </w:r>
            <w:r>
              <w:rPr>
                <w:rFonts w:hint="eastAsia" w:ascii="宋体" w:hAnsi="宋体" w:eastAsia="宋体" w:cs="宋体"/>
                <w:snapToGrid w:val="0"/>
                <w:color w:val="000000"/>
                <w:sz w:val="21"/>
                <w:szCs w:val="21"/>
                <w:highlight w:val="none"/>
                <w:lang w:val="en-US" w:eastAsia="zh-CN"/>
              </w:rPr>
              <w:t>（</w:t>
            </w:r>
            <w:r>
              <w:rPr>
                <w:rFonts w:hint="eastAsia" w:ascii="宋体" w:hAnsi="宋体" w:eastAsia="宋体" w:cs="宋体"/>
                <w:snapToGrid w:val="0"/>
                <w:color w:val="auto"/>
                <w:sz w:val="21"/>
                <w:szCs w:val="21"/>
                <w:highlight w:val="none"/>
                <w:lang w:val="en-US" w:eastAsia="zh-CN"/>
              </w:rPr>
              <w:t>投标报价超过采购预算价的按废标处理）</w:t>
            </w:r>
            <w:r>
              <w:rPr>
                <w:rFonts w:hint="eastAsia" w:ascii="宋体" w:hAnsi="Times New Roman" w:eastAsia="宋体" w:cs="Times New Roman"/>
                <w:color w:val="auto"/>
                <w:kern w:val="2"/>
                <w:sz w:val="21"/>
                <w:szCs w:val="21"/>
                <w:highlight w:val="none"/>
                <w:u w:val="none" w:color="000000"/>
                <w:lang w:val="en-US" w:eastAsia="zh-CN" w:bidi="ar-SA"/>
              </w:rPr>
              <w:t>。</w:t>
            </w:r>
          </w:p>
        </w:tc>
      </w:tr>
      <w:tr w14:paraId="670487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65D1313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16</w:t>
            </w:r>
          </w:p>
        </w:tc>
        <w:tc>
          <w:tcPr>
            <w:tcW w:w="1500" w:type="dxa"/>
            <w:gridSpan w:val="2"/>
            <w:noWrap w:val="0"/>
            <w:vAlign w:val="center"/>
          </w:tcPr>
          <w:p w14:paraId="6DD59C8F">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color w:val="auto"/>
                <w:sz w:val="21"/>
                <w:szCs w:val="21"/>
                <w:highlight w:val="none"/>
                <w:lang w:val="en-US" w:eastAsia="zh-CN"/>
              </w:rPr>
              <w:t>投标有效期</w:t>
            </w:r>
          </w:p>
        </w:tc>
        <w:tc>
          <w:tcPr>
            <w:tcW w:w="7115" w:type="dxa"/>
            <w:noWrap w:val="0"/>
            <w:vAlign w:val="center"/>
          </w:tcPr>
          <w:p w14:paraId="0B2608B7">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ascii="宋体" w:hAnsi="宋体" w:eastAsia="宋体" w:cs="宋体"/>
                <w:snapToGrid w:val="0"/>
                <w:color w:val="auto"/>
                <w:kern w:val="2"/>
                <w:sz w:val="21"/>
                <w:szCs w:val="21"/>
                <w:highlight w:val="none"/>
                <w:u w:val="none"/>
                <w:lang w:val="en-US" w:eastAsia="zh-CN" w:bidi="ar-SA"/>
              </w:rPr>
              <w:t>投标有效期为</w:t>
            </w:r>
            <w:r>
              <w:rPr>
                <w:rFonts w:hint="eastAsia" w:ascii="宋体" w:hAnsi="宋体" w:eastAsia="宋体" w:cs="宋体"/>
                <w:snapToGrid w:val="0"/>
                <w:color w:val="auto"/>
                <w:kern w:val="2"/>
                <w:sz w:val="21"/>
                <w:szCs w:val="21"/>
                <w:highlight w:val="none"/>
                <w:u w:val="single"/>
                <w:lang w:val="en-US" w:eastAsia="zh-CN" w:bidi="ar-SA"/>
              </w:rPr>
              <w:t xml:space="preserve"> 60 </w:t>
            </w:r>
            <w:r>
              <w:rPr>
                <w:rFonts w:hint="eastAsia" w:ascii="宋体" w:hAnsi="宋体" w:eastAsia="宋体" w:cs="宋体"/>
                <w:snapToGrid w:val="0"/>
                <w:color w:val="auto"/>
                <w:kern w:val="2"/>
                <w:sz w:val="21"/>
                <w:szCs w:val="21"/>
                <w:highlight w:val="none"/>
                <w:u w:val="none"/>
                <w:lang w:val="en-US" w:eastAsia="zh-CN" w:bidi="ar-SA"/>
              </w:rPr>
              <w:t>日历天（从投标截止之日算起）。在此期限内，凡符合本招标文件要求的投标文件均保持有效。</w:t>
            </w:r>
          </w:p>
        </w:tc>
      </w:tr>
      <w:tr w14:paraId="2FE3E44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jc w:val="center"/>
        </w:trPr>
        <w:tc>
          <w:tcPr>
            <w:tcW w:w="705" w:type="dxa"/>
            <w:vMerge w:val="restart"/>
            <w:noWrap w:val="0"/>
            <w:vAlign w:val="center"/>
          </w:tcPr>
          <w:p w14:paraId="736CD820">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eastAsia="宋体" w:cs="宋体"/>
                <w:color w:val="auto"/>
                <w:sz w:val="21"/>
                <w:szCs w:val="21"/>
                <w:highlight w:val="none"/>
                <w:lang w:val="en-US" w:eastAsia="zh-CN"/>
              </w:rPr>
            </w:pPr>
            <w:r>
              <w:rPr>
                <w:rFonts w:hint="eastAsia"/>
                <w:color w:val="auto"/>
                <w:sz w:val="21"/>
                <w:szCs w:val="21"/>
                <w:highlight w:val="none"/>
                <w:lang w:val="en-US" w:eastAsia="zh-CN"/>
              </w:rPr>
              <w:t>17</w:t>
            </w:r>
          </w:p>
        </w:tc>
        <w:tc>
          <w:tcPr>
            <w:tcW w:w="1500" w:type="dxa"/>
            <w:gridSpan w:val="2"/>
            <w:tcBorders>
              <w:bottom w:val="single" w:color="auto" w:sz="4" w:space="0"/>
            </w:tcBorders>
            <w:noWrap w:val="0"/>
            <w:vAlign w:val="center"/>
          </w:tcPr>
          <w:p w14:paraId="623335B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000000"/>
                <w:sz w:val="21"/>
                <w:szCs w:val="21"/>
                <w:highlight w:val="none"/>
              </w:rPr>
            </w:pPr>
            <w:r>
              <w:rPr>
                <w:rFonts w:hint="eastAsia" w:ascii="宋体"/>
                <w:color w:val="000000"/>
                <w:sz w:val="21"/>
                <w:szCs w:val="21"/>
                <w:highlight w:val="none"/>
              </w:rPr>
              <w:t>投标保证金</w:t>
            </w:r>
          </w:p>
        </w:tc>
        <w:tc>
          <w:tcPr>
            <w:tcW w:w="7115" w:type="dxa"/>
            <w:tcBorders>
              <w:bottom w:val="single" w:color="auto" w:sz="4" w:space="0"/>
            </w:tcBorders>
            <w:noWrap w:val="0"/>
            <w:vAlign w:val="top"/>
          </w:tcPr>
          <w:p w14:paraId="6B1C1852">
            <w:pPr>
              <w:shd w:val="clear" w:color="auto" w:fill="auto"/>
              <w:spacing w:line="360" w:lineRule="auto"/>
              <w:jc w:val="left"/>
              <w:outlineLvl w:val="9"/>
              <w:rPr>
                <w:rFonts w:hint="eastAsia" w:ascii="宋体" w:hAnsi="宋体" w:eastAsia="宋体" w:cs="宋体"/>
                <w:snapToGrid w:val="0"/>
                <w:color w:val="000000"/>
                <w:kern w:val="2"/>
                <w:sz w:val="21"/>
                <w:szCs w:val="21"/>
                <w:highlight w:val="none"/>
                <w:u w:val="none" w:color="000000"/>
                <w:lang w:val="en-US" w:eastAsia="zh-CN" w:bidi="ar-SA"/>
              </w:rPr>
            </w:pPr>
            <w:r>
              <w:rPr>
                <w:rFonts w:hint="eastAsia" w:ascii="宋体" w:hAnsi="宋体" w:eastAsia="宋体" w:cs="宋体"/>
                <w:b/>
                <w:bCs/>
                <w:snapToGrid w:val="0"/>
                <w:color w:val="000000"/>
                <w:kern w:val="2"/>
                <w:sz w:val="21"/>
                <w:szCs w:val="21"/>
                <w:highlight w:val="none"/>
                <w:u w:val="none" w:color="000000"/>
                <w:lang w:val="en-US" w:eastAsia="zh-CN" w:bidi="ar-SA"/>
              </w:rPr>
              <w:t>投标保证金交纳方式</w:t>
            </w:r>
            <w:r>
              <w:rPr>
                <w:rFonts w:hint="eastAsia" w:ascii="宋体" w:hAnsi="宋体" w:eastAsia="宋体" w:cs="宋体"/>
                <w:snapToGrid w:val="0"/>
                <w:color w:val="000000"/>
                <w:kern w:val="2"/>
                <w:sz w:val="21"/>
                <w:szCs w:val="21"/>
                <w:highlight w:val="none"/>
                <w:u w:val="none" w:color="000000"/>
                <w:lang w:val="en-US" w:eastAsia="zh-CN" w:bidi="ar-SA"/>
              </w:rPr>
              <w:t>：投标保证金应当以支票、汇票、本票、网上银行支付或者金融机构、担保机构出具的保函等非现金形式交纳。</w:t>
            </w:r>
          </w:p>
          <w:p w14:paraId="5AF9D981">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color w:val="000000"/>
                <w:sz w:val="21"/>
                <w:szCs w:val="21"/>
                <w:highlight w:val="none"/>
              </w:rPr>
            </w:pPr>
            <w:r>
              <w:rPr>
                <w:rFonts w:hint="eastAsia" w:ascii="宋体" w:hAnsi="宋体" w:cs="宋体-18030"/>
                <w:b/>
                <w:bCs/>
                <w:color w:val="000000"/>
                <w:sz w:val="21"/>
                <w:szCs w:val="21"/>
                <w:highlight w:val="none"/>
              </w:rPr>
              <w:t>投标保证金的金额：</w:t>
            </w:r>
            <w:r>
              <w:rPr>
                <w:rFonts w:hint="eastAsia" w:ascii="宋体" w:hAnsi="宋体" w:cs="宋体-18030"/>
                <w:b/>
                <w:bCs/>
                <w:color w:val="000000"/>
                <w:sz w:val="21"/>
                <w:szCs w:val="21"/>
                <w:highlight w:val="none"/>
                <w:lang w:val="en-US" w:eastAsia="zh-CN"/>
              </w:rPr>
              <w:t>60000</w:t>
            </w:r>
            <w:r>
              <w:rPr>
                <w:rFonts w:hint="eastAsia" w:ascii="宋体" w:hAnsi="宋体" w:cs="宋体-18030"/>
                <w:b/>
                <w:bCs/>
                <w:color w:val="000000"/>
                <w:sz w:val="21"/>
                <w:szCs w:val="21"/>
                <w:highlight w:val="none"/>
              </w:rPr>
              <w:t>元（</w:t>
            </w:r>
            <w:r>
              <w:rPr>
                <w:rFonts w:hint="eastAsia" w:ascii="宋体" w:hAnsi="宋体" w:cs="宋体-18030"/>
                <w:b/>
                <w:bCs/>
                <w:color w:val="000000"/>
                <w:sz w:val="21"/>
                <w:szCs w:val="21"/>
                <w:highlight w:val="none"/>
                <w:lang w:val="en-US" w:eastAsia="zh-CN"/>
              </w:rPr>
              <w:t>陆万元整</w:t>
            </w:r>
            <w:r>
              <w:rPr>
                <w:rFonts w:hint="eastAsia" w:ascii="宋体" w:hAnsi="宋体" w:cs="宋体-18030"/>
                <w:b/>
                <w:bCs/>
                <w:color w:val="000000"/>
                <w:sz w:val="21"/>
                <w:szCs w:val="21"/>
                <w:highlight w:val="none"/>
              </w:rPr>
              <w:t>）</w:t>
            </w:r>
          </w:p>
        </w:tc>
      </w:tr>
      <w:tr w14:paraId="6258003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vMerge w:val="continue"/>
            <w:noWrap w:val="0"/>
            <w:vAlign w:val="center"/>
          </w:tcPr>
          <w:p w14:paraId="64DF939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s="宋体"/>
                <w:color w:val="auto"/>
                <w:sz w:val="21"/>
                <w:szCs w:val="21"/>
                <w:highlight w:val="none"/>
              </w:rPr>
            </w:pPr>
          </w:p>
        </w:tc>
        <w:tc>
          <w:tcPr>
            <w:tcW w:w="8615" w:type="dxa"/>
            <w:gridSpan w:val="3"/>
            <w:tcBorders>
              <w:top w:val="single" w:color="auto" w:sz="4" w:space="0"/>
            </w:tcBorders>
            <w:noWrap w:val="0"/>
            <w:vAlign w:val="center"/>
          </w:tcPr>
          <w:p w14:paraId="443850B0">
            <w:pPr>
              <w:jc w:val="left"/>
              <w:rPr>
                <w:rFonts w:hint="eastAsia" w:ascii="Calibri" w:hAnsi="Calibri" w:eastAsia="宋体" w:cs="Times New Roman"/>
                <w:kern w:val="2"/>
                <w:sz w:val="21"/>
                <w:szCs w:val="24"/>
                <w:highlight w:val="none"/>
                <w:lang w:val="en-US" w:eastAsia="zh-CN" w:bidi="ar-SA"/>
              </w:rPr>
            </w:pPr>
            <w:r>
              <w:rPr>
                <w:rFonts w:hint="eastAsia" w:ascii="Calibri" w:hAnsi="Calibri" w:eastAsia="宋体" w:cs="Times New Roman"/>
                <w:kern w:val="2"/>
                <w:sz w:val="21"/>
                <w:szCs w:val="24"/>
                <w:highlight w:val="none"/>
                <w:lang w:val="en-US" w:eastAsia="zh-CN" w:bidi="ar-SA"/>
              </w:rPr>
              <w:t>投标保证金交纳要求：</w:t>
            </w:r>
          </w:p>
          <w:p w14:paraId="2BF416B3">
            <w:pPr>
              <w:numPr>
                <w:ilvl w:val="0"/>
                <w:numId w:val="1"/>
              </w:numPr>
              <w:ind w:left="210" w:leftChars="0" w:firstLineChars="0"/>
              <w:jc w:val="left"/>
              <w:rPr>
                <w:rFonts w:hint="eastAsia"/>
                <w:highlight w:val="none"/>
                <w:lang w:val="en-US" w:eastAsia="zh-CN"/>
              </w:rPr>
            </w:pPr>
            <w:r>
              <w:rPr>
                <w:rFonts w:hint="eastAsia" w:ascii="Calibri" w:hAnsi="Calibri" w:eastAsia="宋体" w:cs="Times New Roman"/>
                <w:kern w:val="2"/>
                <w:sz w:val="21"/>
                <w:szCs w:val="24"/>
                <w:highlight w:val="none"/>
                <w:lang w:val="en-US" w:eastAsia="zh-CN" w:bidi="ar-SA"/>
              </w:rPr>
              <w:t>投标保证金以电汇、网银等转账形式提交的，应在投标截止时间</w:t>
            </w:r>
            <w:r>
              <w:rPr>
                <w:rFonts w:hint="eastAsia" w:cs="Times New Roman"/>
                <w:kern w:val="2"/>
                <w:sz w:val="21"/>
                <w:szCs w:val="24"/>
                <w:highlight w:val="none"/>
                <w:lang w:val="en-US" w:eastAsia="zh-CN" w:bidi="ar-SA"/>
              </w:rPr>
              <w:t xml:space="preserve"> 2026年11月11</w:t>
            </w:r>
            <w:bookmarkStart w:id="163" w:name="_GoBack"/>
            <w:bookmarkEnd w:id="163"/>
            <w:r>
              <w:rPr>
                <w:rFonts w:hint="eastAsia" w:cs="Times New Roman"/>
                <w:kern w:val="2"/>
                <w:sz w:val="21"/>
                <w:szCs w:val="24"/>
                <w:highlight w:val="none"/>
                <w:lang w:val="en-US" w:eastAsia="zh-CN" w:bidi="ar-SA"/>
              </w:rPr>
              <w:t xml:space="preserve">日 </w:t>
            </w:r>
            <w:r>
              <w:rPr>
                <w:rFonts w:hint="eastAsia" w:ascii="Calibri" w:hAnsi="Calibri" w:eastAsia="宋体" w:cs="Times New Roman"/>
                <w:kern w:val="2"/>
                <w:sz w:val="21"/>
                <w:szCs w:val="24"/>
                <w:highlight w:val="none"/>
                <w:lang w:val="en-US" w:eastAsia="zh-CN" w:bidi="ar-SA"/>
              </w:rPr>
              <w:t>10:30（北京时间）前以总公司的基本账户一次性汇入指定账户（以到账时间为准），不接受现金及任何个人汇款。</w:t>
            </w:r>
          </w:p>
          <w:p w14:paraId="461FC0A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kern w:val="2"/>
                <w:sz w:val="21"/>
                <w:szCs w:val="21"/>
                <w:highlight w:val="none"/>
                <w:u w:val="none" w:color="000000"/>
                <w:lang w:val="en-US" w:eastAsia="zh-CN" w:bidi="ar-SA"/>
              </w:rPr>
            </w:pPr>
            <w:r>
              <w:rPr>
                <w:rFonts w:hint="eastAsia" w:ascii="新宋体" w:hAnsi="新宋体" w:eastAsia="新宋体" w:cs="新宋体"/>
                <w:b/>
                <w:bCs/>
                <w:color w:val="auto"/>
                <w:sz w:val="21"/>
                <w:szCs w:val="21"/>
                <w:highlight w:val="none"/>
              </w:rPr>
              <w:t>投标保证金交纳方式：</w:t>
            </w:r>
            <w:r>
              <w:rPr>
                <w:rFonts w:hint="eastAsia" w:ascii="新宋体" w:hAnsi="新宋体" w:eastAsia="新宋体" w:cs="新宋体"/>
                <w:color w:val="auto"/>
                <w:sz w:val="21"/>
                <w:szCs w:val="21"/>
                <w:highlight w:val="none"/>
              </w:rPr>
              <w:t>投标保证金开启</w:t>
            </w:r>
            <w:r>
              <w:rPr>
                <w:rFonts w:hint="eastAsia" w:ascii="新宋体" w:hAnsi="新宋体" w:eastAsia="新宋体" w:cs="新宋体"/>
                <w:color w:val="auto"/>
                <w:sz w:val="21"/>
                <w:szCs w:val="21"/>
                <w:highlight w:val="none"/>
                <w:lang w:val="en-US" w:eastAsia="zh-CN"/>
              </w:rPr>
              <w:t>政采云平台</w:t>
            </w:r>
            <w:r>
              <w:rPr>
                <w:rFonts w:hint="eastAsia" w:ascii="新宋体" w:hAnsi="新宋体" w:eastAsia="新宋体" w:cs="新宋体"/>
                <w:color w:val="auto"/>
                <w:sz w:val="21"/>
                <w:szCs w:val="21"/>
                <w:highlight w:val="none"/>
              </w:rPr>
              <w:t>电子保证金缴纳或者金融机构、担保机构出具的保函等非现金形式交纳。</w:t>
            </w:r>
          </w:p>
          <w:p w14:paraId="20ADF66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电子保证金</w:t>
            </w:r>
          </w:p>
          <w:p w14:paraId="6E0C114F">
            <w:pPr>
              <w:shd w:val="clear" w:color="auto" w:fill="auto"/>
              <w:spacing w:line="360" w:lineRule="auto"/>
              <w:jc w:val="left"/>
              <w:outlineLvl w:val="9"/>
              <w:rPr>
                <w:rFonts w:hint="eastAsia" w:ascii="宋体" w:hAnsi="宋体"/>
                <w:color w:val="000000"/>
                <w:sz w:val="21"/>
                <w:szCs w:val="21"/>
                <w:highlight w:val="none"/>
              </w:rPr>
            </w:pPr>
            <w:r>
              <w:rPr>
                <w:rFonts w:hint="eastAsia" w:ascii="宋体" w:hAnsi="宋体" w:eastAsia="宋体" w:cs="宋体"/>
                <w:color w:val="auto"/>
                <w:kern w:val="2"/>
                <w:sz w:val="21"/>
                <w:szCs w:val="21"/>
                <w:highlight w:val="none"/>
                <w:u w:val="none" w:color="000000"/>
                <w:lang w:val="en-US" w:eastAsia="zh-CN" w:bidi="ar-SA"/>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tc>
      </w:tr>
      <w:tr w14:paraId="5DB88E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705" w:type="dxa"/>
            <w:noWrap w:val="0"/>
            <w:vAlign w:val="center"/>
          </w:tcPr>
          <w:p w14:paraId="2EFC2D8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ascii="宋体" w:cs="宋体"/>
                <w:color w:val="auto"/>
                <w:sz w:val="21"/>
                <w:szCs w:val="21"/>
                <w:highlight w:val="none"/>
                <w:lang w:val="en-US" w:eastAsia="zh-CN"/>
              </w:rPr>
              <w:t>18</w:t>
            </w:r>
          </w:p>
        </w:tc>
        <w:tc>
          <w:tcPr>
            <w:tcW w:w="1500" w:type="dxa"/>
            <w:gridSpan w:val="2"/>
            <w:noWrap w:val="0"/>
            <w:vAlign w:val="center"/>
          </w:tcPr>
          <w:p w14:paraId="3F0607F3">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投标文件形式</w:t>
            </w:r>
          </w:p>
        </w:tc>
        <w:tc>
          <w:tcPr>
            <w:tcW w:w="7115" w:type="dxa"/>
            <w:noWrap w:val="0"/>
            <w:vAlign w:val="center"/>
          </w:tcPr>
          <w:p w14:paraId="322ABF27">
            <w:pPr>
              <w:pStyle w:val="14"/>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ascii="宋体" w:hAnsi="宋体" w:eastAsia="宋体" w:cs="宋体-18030"/>
                <w:b w:val="0"/>
                <w:bCs w:val="0"/>
                <w:color w:val="auto"/>
                <w:kern w:val="2"/>
                <w:sz w:val="21"/>
                <w:szCs w:val="21"/>
                <w:highlight w:val="none"/>
                <w:u w:val="none"/>
                <w:lang w:val="en-US" w:eastAsia="zh-CN" w:bidi="ar-SA"/>
              </w:rPr>
            </w:pPr>
            <w:r>
              <w:rPr>
                <w:rFonts w:hint="eastAsia" w:ascii="宋体" w:hAnsi="宋体" w:eastAsia="宋体" w:cs="宋体-18030"/>
                <w:b w:val="0"/>
                <w:bCs w:val="0"/>
                <w:color w:val="auto"/>
                <w:kern w:val="2"/>
                <w:sz w:val="21"/>
                <w:szCs w:val="21"/>
                <w:highlight w:val="none"/>
                <w:u w:val="none"/>
                <w:lang w:val="en-US" w:eastAsia="zh-CN" w:bidi="ar-SA"/>
              </w:rPr>
              <w:t>电子投标文件包括“电子加密投标文件”</w:t>
            </w:r>
            <w:r>
              <w:rPr>
                <w:rFonts w:hint="eastAsia" w:hAnsi="宋体" w:cs="宋体-18030"/>
                <w:b w:val="0"/>
                <w:bCs w:val="0"/>
                <w:color w:val="auto"/>
                <w:kern w:val="2"/>
                <w:sz w:val="21"/>
                <w:szCs w:val="21"/>
                <w:highlight w:val="none"/>
                <w:u w:val="none"/>
                <w:lang w:val="en-US" w:eastAsia="zh-CN" w:bidi="ar-SA"/>
              </w:rPr>
              <w:t>，</w:t>
            </w:r>
            <w:r>
              <w:rPr>
                <w:rFonts w:hint="eastAsia" w:ascii="宋体" w:hAnsi="宋体" w:eastAsia="宋体" w:cs="宋体-18030"/>
                <w:b w:val="0"/>
                <w:bCs w:val="0"/>
                <w:color w:val="auto"/>
                <w:kern w:val="2"/>
                <w:sz w:val="21"/>
                <w:szCs w:val="21"/>
                <w:highlight w:val="none"/>
                <w:u w:val="none"/>
                <w:lang w:val="en-US" w:eastAsia="zh-CN" w:bidi="ar-SA"/>
              </w:rPr>
              <w:t>在投标文件编制完成后同时生成。</w:t>
            </w:r>
          </w:p>
          <w:p w14:paraId="3BB2D4F4">
            <w:pPr>
              <w:pStyle w:val="14"/>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ascii="宋体" w:hAnsi="宋体" w:eastAsia="宋体" w:cs="宋体-18030"/>
                <w:b w:val="0"/>
                <w:bCs w:val="0"/>
                <w:color w:val="auto"/>
                <w:kern w:val="2"/>
                <w:sz w:val="21"/>
                <w:szCs w:val="21"/>
                <w:highlight w:val="none"/>
                <w:u w:val="none"/>
                <w:lang w:val="en-US" w:eastAsia="zh-CN" w:bidi="ar-SA"/>
              </w:rPr>
              <w:t>1、“电子加密投标文件”是指通过“政采云电子交易客户端”完成投标文件编制后生成并加密的数据电文形式的投标文件。</w:t>
            </w:r>
          </w:p>
        </w:tc>
      </w:tr>
      <w:tr w14:paraId="239FC2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59590C09">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19</w:t>
            </w:r>
          </w:p>
        </w:tc>
        <w:tc>
          <w:tcPr>
            <w:tcW w:w="1500" w:type="dxa"/>
            <w:gridSpan w:val="2"/>
            <w:noWrap w:val="0"/>
            <w:vAlign w:val="center"/>
          </w:tcPr>
          <w:p w14:paraId="344594FD">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b/>
                <w:bCs/>
                <w:color w:val="auto"/>
                <w:sz w:val="21"/>
                <w:szCs w:val="21"/>
                <w:highlight w:val="none"/>
                <w:lang w:val="en-US" w:eastAsia="zh-CN"/>
              </w:rPr>
              <w:t>投标文件份数及要求</w:t>
            </w:r>
          </w:p>
        </w:tc>
        <w:tc>
          <w:tcPr>
            <w:tcW w:w="7115" w:type="dxa"/>
            <w:noWrap w:val="0"/>
            <w:vAlign w:val="center"/>
          </w:tcPr>
          <w:p w14:paraId="6EEB74FE">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b/>
                <w:bCs/>
                <w:color w:val="auto"/>
                <w:sz w:val="21"/>
                <w:szCs w:val="21"/>
                <w:highlight w:val="none"/>
                <w:lang w:val="en-US" w:eastAsia="zh-CN"/>
              </w:rPr>
              <w:t>一份电子加密标书（“.jmbs”格式）。</w:t>
            </w:r>
          </w:p>
        </w:tc>
      </w:tr>
      <w:tr w14:paraId="73ABFD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05" w:type="dxa"/>
            <w:noWrap w:val="0"/>
            <w:vAlign w:val="center"/>
          </w:tcPr>
          <w:p w14:paraId="7AC40E49">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20</w:t>
            </w:r>
          </w:p>
        </w:tc>
        <w:tc>
          <w:tcPr>
            <w:tcW w:w="1500" w:type="dxa"/>
            <w:gridSpan w:val="2"/>
            <w:noWrap w:val="0"/>
            <w:vAlign w:val="center"/>
          </w:tcPr>
          <w:p w14:paraId="5EF65713">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lang w:bidi="zh-CN"/>
              </w:rPr>
              <w:t>投标文件的上传和递交</w:t>
            </w:r>
          </w:p>
        </w:tc>
        <w:tc>
          <w:tcPr>
            <w:tcW w:w="7115" w:type="dxa"/>
            <w:noWrap w:val="0"/>
            <w:vAlign w:val="center"/>
          </w:tcPr>
          <w:p w14:paraId="03D0BE21">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u w:val="single" w:color="auto"/>
                <w:lang w:val="en-US" w:eastAsia="zh-CN"/>
              </w:rPr>
            </w:pPr>
            <w:r>
              <w:rPr>
                <w:rFonts w:hint="eastAsia"/>
                <w:color w:val="auto"/>
                <w:sz w:val="21"/>
                <w:szCs w:val="21"/>
                <w:highlight w:val="none"/>
                <w:lang w:val="en-US" w:eastAsia="zh-CN"/>
              </w:rPr>
              <w:t>1.电子加密投标文件：投标文件制作完成并生成加密标书，在投标截止时间前，供应商需将加密的投标文件上传至政采云平台，</w:t>
            </w:r>
            <w:r>
              <w:rPr>
                <w:rFonts w:hint="eastAsia"/>
                <w:b/>
                <w:bCs/>
                <w:color w:val="auto"/>
                <w:sz w:val="21"/>
                <w:szCs w:val="21"/>
                <w:highlight w:val="none"/>
                <w:u w:val="single" w:color="auto"/>
                <w:lang w:val="en-US" w:eastAsia="zh-CN"/>
              </w:rPr>
              <w:t>在开标时间开始后，待采购组织机构发出解密通知后30分钟内解密投标文件。</w:t>
            </w:r>
          </w:p>
          <w:p w14:paraId="7277AFA8">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a.供应商未能在投标截止时间前成功上传电子加密投标文件的投标无效。</w:t>
            </w:r>
          </w:p>
          <w:p w14:paraId="0AADA64E">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b.供应商成功上传电子加密投标文件后，可自行打印投标文件接收回执。</w:t>
            </w:r>
          </w:p>
        </w:tc>
      </w:tr>
      <w:tr w14:paraId="389830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705" w:type="dxa"/>
            <w:noWrap w:val="0"/>
            <w:vAlign w:val="center"/>
          </w:tcPr>
          <w:p w14:paraId="09E668EE">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21</w:t>
            </w:r>
          </w:p>
        </w:tc>
        <w:tc>
          <w:tcPr>
            <w:tcW w:w="1500" w:type="dxa"/>
            <w:gridSpan w:val="2"/>
            <w:noWrap w:val="0"/>
            <w:vAlign w:val="center"/>
          </w:tcPr>
          <w:p w14:paraId="6B235B3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lang w:eastAsia="zh-CN"/>
              </w:rPr>
              <w:t>投标截止</w:t>
            </w:r>
            <w:r>
              <w:rPr>
                <w:rFonts w:hint="eastAsia" w:ascii="宋体"/>
                <w:color w:val="auto"/>
                <w:sz w:val="21"/>
                <w:szCs w:val="21"/>
                <w:highlight w:val="none"/>
              </w:rPr>
              <w:t>时间及地点</w:t>
            </w:r>
          </w:p>
        </w:tc>
        <w:tc>
          <w:tcPr>
            <w:tcW w:w="7115" w:type="dxa"/>
            <w:noWrap w:val="0"/>
            <w:vAlign w:val="center"/>
          </w:tcPr>
          <w:p w14:paraId="349D0F9A">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b/>
                <w:bCs/>
                <w:color w:val="auto"/>
                <w:sz w:val="21"/>
                <w:szCs w:val="21"/>
                <w:highlight w:val="none"/>
              </w:rPr>
            </w:pPr>
            <w:r>
              <w:rPr>
                <w:rFonts w:hint="eastAsia" w:ascii="宋体"/>
                <w:b/>
                <w:bCs/>
                <w:color w:val="auto"/>
                <w:sz w:val="21"/>
                <w:szCs w:val="21"/>
                <w:highlight w:val="none"/>
                <w:lang w:eastAsia="zh-CN"/>
              </w:rPr>
              <w:t>投标截止</w:t>
            </w:r>
            <w:r>
              <w:rPr>
                <w:rFonts w:hint="eastAsia" w:ascii="宋体"/>
                <w:b/>
                <w:bCs/>
                <w:color w:val="auto"/>
                <w:sz w:val="21"/>
                <w:szCs w:val="21"/>
                <w:highlight w:val="none"/>
              </w:rPr>
              <w:t>时间</w:t>
            </w:r>
            <w:r>
              <w:rPr>
                <w:rFonts w:hint="eastAsia"/>
                <w:b/>
                <w:bCs/>
                <w:color w:val="auto"/>
                <w:sz w:val="21"/>
                <w:szCs w:val="21"/>
                <w:highlight w:val="none"/>
              </w:rPr>
              <w:t>：202</w:t>
            </w:r>
            <w:r>
              <w:rPr>
                <w:rFonts w:hint="eastAsia"/>
                <w:b/>
                <w:bCs/>
                <w:color w:val="auto"/>
                <w:sz w:val="21"/>
                <w:szCs w:val="21"/>
                <w:highlight w:val="none"/>
                <w:lang w:val="en-US" w:eastAsia="zh-CN"/>
              </w:rPr>
              <w:t>6</w:t>
            </w:r>
            <w:r>
              <w:rPr>
                <w:rFonts w:hint="eastAsia"/>
                <w:b/>
                <w:bCs/>
                <w:color w:val="auto"/>
                <w:sz w:val="21"/>
                <w:szCs w:val="21"/>
                <w:highlight w:val="none"/>
              </w:rPr>
              <w:t>年</w:t>
            </w:r>
            <w:r>
              <w:rPr>
                <w:rFonts w:hint="eastAsia"/>
                <w:b/>
                <w:bCs/>
                <w:color w:val="auto"/>
                <w:sz w:val="21"/>
                <w:szCs w:val="21"/>
                <w:highlight w:val="none"/>
                <w:lang w:val="en-US" w:eastAsia="zh-CN"/>
              </w:rPr>
              <w:t>11</w:t>
            </w:r>
            <w:r>
              <w:rPr>
                <w:rFonts w:hint="eastAsia"/>
                <w:b/>
                <w:bCs/>
                <w:color w:val="auto"/>
                <w:sz w:val="21"/>
                <w:szCs w:val="21"/>
                <w:highlight w:val="none"/>
              </w:rPr>
              <w:t>月</w:t>
            </w:r>
            <w:r>
              <w:rPr>
                <w:rFonts w:hint="eastAsia"/>
                <w:b/>
                <w:bCs/>
                <w:color w:val="auto"/>
                <w:sz w:val="21"/>
                <w:szCs w:val="21"/>
                <w:highlight w:val="none"/>
                <w:lang w:val="en-US" w:eastAsia="zh-CN"/>
              </w:rPr>
              <w:t>11</w:t>
            </w:r>
            <w:r>
              <w:rPr>
                <w:rFonts w:hint="eastAsia"/>
                <w:b/>
                <w:bCs/>
                <w:color w:val="auto"/>
                <w:sz w:val="21"/>
                <w:szCs w:val="21"/>
                <w:highlight w:val="none"/>
              </w:rPr>
              <w:t>日 10:30（北京时间）</w:t>
            </w:r>
          </w:p>
          <w:p w14:paraId="7AE4115C">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color w:val="auto"/>
                <w:sz w:val="21"/>
                <w:szCs w:val="21"/>
                <w:highlight w:val="none"/>
              </w:rPr>
            </w:pPr>
            <w:r>
              <w:rPr>
                <w:rFonts w:hint="eastAsia"/>
                <w:b/>
                <w:bCs/>
                <w:color w:val="auto"/>
                <w:sz w:val="21"/>
                <w:szCs w:val="21"/>
                <w:highlight w:val="none"/>
                <w:lang w:eastAsia="zh-CN"/>
              </w:rPr>
              <w:t>投标</w:t>
            </w:r>
            <w:r>
              <w:rPr>
                <w:rFonts w:hint="eastAsia"/>
                <w:b/>
                <w:bCs/>
                <w:color w:val="auto"/>
                <w:sz w:val="21"/>
                <w:szCs w:val="21"/>
                <w:highlight w:val="none"/>
              </w:rPr>
              <w:t>地点：</w:t>
            </w:r>
            <w:r>
              <w:rPr>
                <w:rFonts w:hint="eastAsia"/>
                <w:b/>
                <w:bCs/>
                <w:color w:val="auto"/>
                <w:sz w:val="21"/>
                <w:szCs w:val="21"/>
                <w:highlight w:val="none"/>
                <w:lang w:eastAsia="zh-CN"/>
              </w:rPr>
              <w:t>新疆</w:t>
            </w:r>
            <w:r>
              <w:rPr>
                <w:rFonts w:hint="eastAsia"/>
                <w:b/>
                <w:bCs/>
                <w:color w:val="auto"/>
                <w:sz w:val="21"/>
                <w:szCs w:val="21"/>
                <w:highlight w:val="none"/>
              </w:rPr>
              <w:t>政府采购云平台（www.zcygov.cn）</w:t>
            </w:r>
          </w:p>
        </w:tc>
      </w:tr>
      <w:tr w14:paraId="3AFA32C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4548210B">
            <w:pPr>
              <w:pStyle w:val="14"/>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22</w:t>
            </w:r>
          </w:p>
        </w:tc>
        <w:tc>
          <w:tcPr>
            <w:tcW w:w="1500" w:type="dxa"/>
            <w:gridSpan w:val="2"/>
            <w:noWrap w:val="0"/>
            <w:vAlign w:val="center"/>
          </w:tcPr>
          <w:p w14:paraId="3882F57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开标时间及地点</w:t>
            </w:r>
          </w:p>
        </w:tc>
        <w:tc>
          <w:tcPr>
            <w:tcW w:w="7115" w:type="dxa"/>
            <w:noWrap w:val="0"/>
            <w:vAlign w:val="center"/>
          </w:tcPr>
          <w:p w14:paraId="107E74F7">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b/>
                <w:bCs/>
                <w:color w:val="auto"/>
                <w:sz w:val="21"/>
                <w:szCs w:val="21"/>
                <w:highlight w:val="none"/>
              </w:rPr>
            </w:pPr>
            <w:r>
              <w:rPr>
                <w:rFonts w:hint="eastAsia"/>
                <w:b/>
                <w:bCs/>
                <w:color w:val="auto"/>
                <w:sz w:val="21"/>
                <w:szCs w:val="21"/>
                <w:highlight w:val="none"/>
              </w:rPr>
              <w:t>开标时间：同投标截止时间</w:t>
            </w:r>
          </w:p>
          <w:p w14:paraId="2AB5CCA1">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color w:val="auto"/>
                <w:sz w:val="21"/>
                <w:szCs w:val="21"/>
                <w:highlight w:val="none"/>
              </w:rPr>
            </w:pPr>
            <w:r>
              <w:rPr>
                <w:rFonts w:hint="eastAsia"/>
                <w:b/>
                <w:bCs/>
                <w:color w:val="auto"/>
                <w:sz w:val="21"/>
                <w:szCs w:val="21"/>
                <w:highlight w:val="none"/>
              </w:rPr>
              <w:t>开标地点：在</w:t>
            </w:r>
            <w:r>
              <w:rPr>
                <w:rFonts w:hint="eastAsia"/>
                <w:b/>
                <w:bCs/>
                <w:color w:val="auto"/>
                <w:sz w:val="21"/>
                <w:szCs w:val="21"/>
                <w:highlight w:val="none"/>
                <w:lang w:eastAsia="zh-CN"/>
              </w:rPr>
              <w:t>新疆</w:t>
            </w:r>
            <w:r>
              <w:rPr>
                <w:rFonts w:hint="eastAsia"/>
                <w:b/>
                <w:bCs/>
                <w:color w:val="auto"/>
                <w:sz w:val="21"/>
                <w:szCs w:val="21"/>
                <w:highlight w:val="none"/>
              </w:rPr>
              <w:t>政府采购云平台（www.zcygov.cn）上开启投标文件</w:t>
            </w:r>
          </w:p>
        </w:tc>
      </w:tr>
      <w:tr w14:paraId="67B470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08FEC544">
            <w:pPr>
              <w:pStyle w:val="14"/>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23</w:t>
            </w:r>
          </w:p>
        </w:tc>
        <w:tc>
          <w:tcPr>
            <w:tcW w:w="1500" w:type="dxa"/>
            <w:gridSpan w:val="2"/>
            <w:noWrap w:val="0"/>
            <w:vAlign w:val="center"/>
          </w:tcPr>
          <w:p w14:paraId="0DAB278A">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评标委员会的组建</w:t>
            </w:r>
          </w:p>
        </w:tc>
        <w:tc>
          <w:tcPr>
            <w:tcW w:w="7115" w:type="dxa"/>
            <w:noWrap w:val="0"/>
            <w:vAlign w:val="top"/>
          </w:tcPr>
          <w:p w14:paraId="493951D7">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评标委员会由采购人代表和评审专家组成，成员人数为5人或以上单数，其中评审专家不少于成员总数的三分之二，本项目评标委员会共计5人，其中采购人代表1人，评标专家4人。</w:t>
            </w:r>
          </w:p>
          <w:p w14:paraId="58A0F922">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评标专家确定方式：从政采云专家库中随机抽取。</w:t>
            </w:r>
          </w:p>
        </w:tc>
      </w:tr>
      <w:tr w14:paraId="524341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7A3A5B05">
            <w:pPr>
              <w:pStyle w:val="14"/>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24</w:t>
            </w:r>
          </w:p>
        </w:tc>
        <w:tc>
          <w:tcPr>
            <w:tcW w:w="1500" w:type="dxa"/>
            <w:gridSpan w:val="2"/>
            <w:noWrap w:val="0"/>
            <w:vAlign w:val="center"/>
          </w:tcPr>
          <w:p w14:paraId="28697A42">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是否授权评标委员会确定成交候选人</w:t>
            </w:r>
          </w:p>
        </w:tc>
        <w:tc>
          <w:tcPr>
            <w:tcW w:w="7115" w:type="dxa"/>
            <w:noWrap w:val="0"/>
            <w:vAlign w:val="center"/>
          </w:tcPr>
          <w:p w14:paraId="5348264C">
            <w:pPr>
              <w:pStyle w:val="14"/>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hAnsi="宋体"/>
                <w:color w:val="auto"/>
                <w:sz w:val="21"/>
                <w:szCs w:val="21"/>
                <w:highlight w:val="none"/>
                <w:lang w:val="en-US" w:eastAsia="zh-CN"/>
              </w:rPr>
              <w:t>是，评标委员会推荐3名中标（成交）候选人。</w:t>
            </w:r>
          </w:p>
        </w:tc>
      </w:tr>
      <w:tr w14:paraId="75F171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78D30D27">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25</w:t>
            </w:r>
          </w:p>
        </w:tc>
        <w:tc>
          <w:tcPr>
            <w:tcW w:w="1500" w:type="dxa"/>
            <w:gridSpan w:val="2"/>
            <w:noWrap w:val="0"/>
            <w:vAlign w:val="center"/>
          </w:tcPr>
          <w:p w14:paraId="6215DF78">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成交候选人公示媒介</w:t>
            </w:r>
          </w:p>
        </w:tc>
        <w:tc>
          <w:tcPr>
            <w:tcW w:w="7115" w:type="dxa"/>
            <w:noWrap w:val="0"/>
            <w:vAlign w:val="center"/>
          </w:tcPr>
          <w:p w14:paraId="4DC72BCB">
            <w:pPr>
              <w:pStyle w:val="14"/>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u w:val="none"/>
                <w:lang w:val="en-US" w:eastAsia="zh-CN" w:bidi="ar-SA"/>
              </w:rPr>
              <w:t>克州公共资源交易中心网、新疆政府采购网，公示期为一个工作日。</w:t>
            </w:r>
          </w:p>
        </w:tc>
      </w:tr>
      <w:tr w14:paraId="267F52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61B0DF9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1500" w:type="dxa"/>
            <w:gridSpan w:val="2"/>
            <w:noWrap w:val="0"/>
            <w:vAlign w:val="center"/>
          </w:tcPr>
          <w:p w14:paraId="798A3DA9">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履约担保</w:t>
            </w:r>
          </w:p>
        </w:tc>
        <w:tc>
          <w:tcPr>
            <w:tcW w:w="7115" w:type="dxa"/>
            <w:noWrap w:val="0"/>
            <w:vAlign w:val="top"/>
          </w:tcPr>
          <w:p w14:paraId="532C042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eastAsia="宋体"/>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u w:val="none" w:color="000000"/>
                <w:lang w:val="en-US" w:eastAsia="zh-CN" w:bidi="ar-SA"/>
              </w:rPr>
              <w:t>成交供应商在合同签订后5个工作日内向采购人交纳</w:t>
            </w:r>
            <w:r>
              <w:rPr>
                <w:rFonts w:hint="eastAsia" w:ascii="Times New Roman" w:hAnsi="Times New Roman" w:cs="Times New Roman"/>
                <w:color w:val="auto"/>
                <w:kern w:val="2"/>
                <w:sz w:val="21"/>
                <w:szCs w:val="21"/>
                <w:highlight w:val="none"/>
                <w:u w:val="none" w:color="000000"/>
                <w:lang w:val="en-US" w:eastAsia="zh-CN" w:bidi="ar-SA"/>
              </w:rPr>
              <w:t>中标</w:t>
            </w:r>
            <w:r>
              <w:rPr>
                <w:rFonts w:hint="eastAsia" w:ascii="Times New Roman" w:hAnsi="Times New Roman" w:eastAsia="宋体" w:cs="Times New Roman"/>
                <w:color w:val="000000"/>
                <w:kern w:val="2"/>
                <w:sz w:val="21"/>
                <w:szCs w:val="21"/>
                <w:highlight w:val="none"/>
                <w:u w:val="none" w:color="000000"/>
                <w:lang w:val="en-US" w:eastAsia="zh-CN" w:bidi="ar-SA"/>
              </w:rPr>
              <w:t>价</w:t>
            </w:r>
            <w:r>
              <w:rPr>
                <w:rFonts w:hint="eastAsia" w:ascii="Times New Roman" w:hAnsi="Times New Roman" w:cs="Times New Roman"/>
                <w:color w:val="000000"/>
                <w:kern w:val="2"/>
                <w:sz w:val="21"/>
                <w:szCs w:val="21"/>
                <w:highlight w:val="none"/>
                <w:u w:val="none" w:color="000000"/>
                <w:lang w:val="en-US" w:eastAsia="zh-CN" w:bidi="ar-SA"/>
              </w:rPr>
              <w:t>5</w:t>
            </w:r>
            <w:r>
              <w:rPr>
                <w:rFonts w:hint="eastAsia" w:ascii="Times New Roman" w:hAnsi="Times New Roman" w:eastAsia="宋体" w:cs="Times New Roman"/>
                <w:color w:val="000000"/>
                <w:kern w:val="2"/>
                <w:sz w:val="21"/>
                <w:szCs w:val="21"/>
                <w:highlight w:val="none"/>
                <w:u w:val="none" w:color="000000"/>
                <w:lang w:val="en-US" w:eastAsia="zh-CN" w:bidi="ar-SA"/>
              </w:rPr>
              <w:t>%的</w:t>
            </w:r>
            <w:r>
              <w:rPr>
                <w:rFonts w:hint="eastAsia" w:ascii="Times New Roman" w:hAnsi="Times New Roman" w:eastAsia="宋体" w:cs="Times New Roman"/>
                <w:color w:val="auto"/>
                <w:kern w:val="2"/>
                <w:sz w:val="21"/>
                <w:szCs w:val="21"/>
                <w:highlight w:val="none"/>
                <w:u w:val="none" w:color="000000"/>
                <w:lang w:val="en-US" w:eastAsia="zh-CN" w:bidi="ar-SA"/>
              </w:rPr>
              <w:t>履约保证金，如果成交供应商在</w:t>
            </w:r>
            <w:r>
              <w:rPr>
                <w:rFonts w:hint="eastAsia" w:ascii="Times New Roman" w:hAnsi="Times New Roman" w:cs="Times New Roman"/>
                <w:color w:val="auto"/>
                <w:kern w:val="2"/>
                <w:sz w:val="21"/>
                <w:szCs w:val="21"/>
                <w:highlight w:val="none"/>
                <w:u w:val="none" w:color="000000"/>
                <w:lang w:val="en-US" w:eastAsia="zh-CN" w:bidi="ar-SA"/>
              </w:rPr>
              <w:t>项目实施期</w:t>
            </w:r>
            <w:r>
              <w:rPr>
                <w:rFonts w:hint="eastAsia" w:ascii="Times New Roman" w:hAnsi="Times New Roman" w:eastAsia="宋体" w:cs="Times New Roman"/>
                <w:color w:val="auto"/>
                <w:kern w:val="2"/>
                <w:sz w:val="21"/>
                <w:szCs w:val="21"/>
                <w:highlight w:val="none"/>
                <w:u w:val="none" w:color="000000"/>
                <w:lang w:val="en-US" w:eastAsia="zh-CN" w:bidi="ar-SA"/>
              </w:rPr>
              <w:t>内没有涉及采购人的应付而未付金额或违约行为，采购人在项目验收合格后或提前终止合同后全额无息退还履约保证金。</w:t>
            </w:r>
          </w:p>
        </w:tc>
      </w:tr>
      <w:tr w14:paraId="08323B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7C49926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1500" w:type="dxa"/>
            <w:gridSpan w:val="2"/>
            <w:noWrap w:val="0"/>
            <w:vAlign w:val="center"/>
          </w:tcPr>
          <w:p w14:paraId="611D8D55">
            <w:pPr>
              <w:pStyle w:val="56"/>
              <w:ind w:left="38"/>
              <w:jc w:val="both"/>
              <w:rPr>
                <w:rFonts w:hint="eastAsia" w:ascii="宋体"/>
                <w:color w:val="auto"/>
                <w:sz w:val="21"/>
                <w:szCs w:val="21"/>
                <w:highlight w:val="none"/>
              </w:rPr>
            </w:pPr>
            <w:r>
              <w:rPr>
                <w:rFonts w:hint="eastAsia" w:ascii="宋体" w:hAnsi="宋体" w:eastAsia="宋体" w:cs="宋体"/>
                <w:color w:val="auto"/>
                <w:sz w:val="21"/>
                <w:szCs w:val="21"/>
                <w:highlight w:val="none"/>
                <w:lang w:val="zh-CN"/>
              </w:rPr>
              <w:t>是否有采购进口产品</w:t>
            </w:r>
          </w:p>
        </w:tc>
        <w:tc>
          <w:tcPr>
            <w:tcW w:w="7115" w:type="dxa"/>
            <w:noWrap w:val="0"/>
            <w:vAlign w:val="center"/>
          </w:tcPr>
          <w:p w14:paraId="39B208F8">
            <w:pPr>
              <w:pStyle w:val="56"/>
              <w:ind w:left="38"/>
              <w:jc w:val="left"/>
              <w:rPr>
                <w:rFonts w:hint="eastAsia" w:ascii="Times New Roman" w:hAnsi="Times New Roman" w:eastAsia="宋体" w:cs="Times New Roman"/>
                <w:color w:val="auto"/>
                <w:kern w:val="2"/>
                <w:sz w:val="21"/>
                <w:szCs w:val="21"/>
                <w:highlight w:val="none"/>
                <w:u w:val="none" w:color="000000"/>
                <w:lang w:val="zh-CN" w:eastAsia="zh-CN" w:bidi="ar-SA"/>
              </w:rPr>
            </w:pPr>
            <w:r>
              <w:rPr>
                <w:rFonts w:hint="eastAsia" w:ascii="Times New Roman" w:hAnsi="Times New Roman" w:eastAsia="宋体" w:cs="Times New Roman"/>
                <w:color w:val="auto"/>
                <w:kern w:val="2"/>
                <w:sz w:val="21"/>
                <w:szCs w:val="21"/>
                <w:highlight w:val="none"/>
                <w:u w:val="none" w:color="000000"/>
                <w:lang w:val="zh-CN" w:eastAsia="zh-CN" w:bidi="ar-SA"/>
              </w:rPr>
              <w:t>☑否</w:t>
            </w:r>
          </w:p>
          <w:p w14:paraId="425BB840">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□是，不限制满足招标文件要求的国内产品参与投标竞争</w:t>
            </w:r>
          </w:p>
          <w:p w14:paraId="10DD66FE">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根据《国务院办公厅关于在政府采购中实施本国产品标准及相关政策的通知》（国办发〔2025〕34 号）的相关规定，投标产品符合“本国产品标准”的，按照以下政策执行价格评审优惠：</w:t>
            </w:r>
          </w:p>
          <w:p w14:paraId="1C8F8A4B">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1本国产品政策</w:t>
            </w:r>
          </w:p>
          <w:p w14:paraId="071A5FE7">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1.1供应商对其提供的产品出具《关于符合本国产品标准的声明函》或财政部会同有关部门规定的有关证明文件。出具符合要求的《声明函》或有关证明文件的，该产品视为本国产品。</w:t>
            </w:r>
          </w:p>
          <w:p w14:paraId="3F4DE1D5">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1.2采购标的仅包含单一产品时，政府采购活动中既有本国产品又有非本国产品参与竞争的，依法对本国产品给予价格评审优惠，对本国产品的报价给予20%的价格扣除，用扣除后的价格参与评审。对于仅有本国产品参与竞争的政府采购项目，本国产品不享受价格扣除评审优惠。</w:t>
            </w:r>
          </w:p>
          <w:p w14:paraId="6308BB8A">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1.3采购标的中含有多种产品，供应商为该采购项目或者采购包提供的符合本国产品标准的产品成本之和占该供应商提供的全部产品成本之和的比例达到80%以上时，且供应商在投标（响应）文件中对此作出承诺，出具《本国产品成本占比承诺函》，则依法对该供应商提供的全部产品给予价格评审优惠，即对该供应商提供的全部产品的总报价给予20%的价格扣除，用扣除后的价格参与评审。若供应商所投产品均符合本国产品标准，且已提供《声明函》，可不填写《承诺函》。</w:t>
            </w:r>
          </w:p>
          <w:p w14:paraId="5CB5A14B">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1.4评审委员会应对《声明函》的完整性、准确性进行审查，对含义不明确、同类事项与投标（响应）文件表述不一致或者有明显文字错误等情况的，应当以书面形式要求供应商作出必要的澄清、说明或者补正。经澄清、说明或者补正的《声明函》仍然不符合要求的，供应商提供的相关产品视为不符合本国产品标准。</w:t>
            </w:r>
          </w:p>
          <w:p w14:paraId="0C65FD6E">
            <w:pPr>
              <w:pStyle w:val="56"/>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1.5对于非专门面向中小企业的采购项目，既有本国产品也有非本国产品参与竞争，且提供本国产品的供应商同时为小微企业的，对该供应商的产品同时给予支持本国产品和小微企业产品的价格评审优惠。在供应商原始报价基础上计算，用扣除后的价格参与评审。</w:t>
            </w:r>
          </w:p>
        </w:tc>
      </w:tr>
      <w:tr w14:paraId="1D05CE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705" w:type="dxa"/>
            <w:noWrap w:val="0"/>
            <w:vAlign w:val="center"/>
          </w:tcPr>
          <w:p w14:paraId="0A01617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1500" w:type="dxa"/>
            <w:gridSpan w:val="2"/>
            <w:noWrap w:val="0"/>
            <w:vAlign w:val="center"/>
          </w:tcPr>
          <w:p w14:paraId="74286BC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文件</w:t>
            </w:r>
            <w:r>
              <w:rPr>
                <w:rFonts w:hint="eastAsia" w:ascii="宋体" w:hAnsi="宋体" w:cs="宋体"/>
                <w:color w:val="auto"/>
                <w:sz w:val="21"/>
                <w:szCs w:val="21"/>
                <w:highlight w:val="none"/>
              </w:rPr>
              <w:t>领取</w:t>
            </w:r>
          </w:p>
        </w:tc>
        <w:tc>
          <w:tcPr>
            <w:tcW w:w="7115" w:type="dxa"/>
            <w:noWrap w:val="0"/>
            <w:vAlign w:val="top"/>
          </w:tcPr>
          <w:p w14:paraId="70DD948A">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0909B7"/>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时间：</w:t>
            </w:r>
            <w:r>
              <w:rPr>
                <w:rFonts w:hint="eastAsia" w:ascii="Times New Roman" w:hAnsi="Times New Roman" w:cs="Times New Roman"/>
                <w:color w:val="auto"/>
                <w:kern w:val="2"/>
                <w:sz w:val="21"/>
                <w:szCs w:val="21"/>
                <w:highlight w:val="none"/>
                <w:u w:val="none" w:color="000000"/>
                <w:lang w:val="en-US" w:eastAsia="zh-CN" w:bidi="ar-SA"/>
              </w:rPr>
              <w:t>2026年10月13 日至2026年10月20日</w:t>
            </w:r>
            <w:r>
              <w:rPr>
                <w:rFonts w:hint="eastAsia" w:ascii="Times New Roman" w:hAnsi="Times New Roman" w:eastAsia="宋体" w:cs="Times New Roman"/>
                <w:color w:val="auto"/>
                <w:kern w:val="2"/>
                <w:sz w:val="21"/>
                <w:szCs w:val="21"/>
                <w:highlight w:val="none"/>
                <w:u w:val="none" w:color="000000"/>
                <w:lang w:val="en-US" w:eastAsia="zh-CN" w:bidi="ar-SA"/>
              </w:rPr>
              <w:t>，每天上午10:00至14:00，下午16:00至</w:t>
            </w:r>
            <w:r>
              <w:rPr>
                <w:rFonts w:hint="eastAsia" w:ascii="Times New Roman" w:hAnsi="Times New Roman" w:cs="Times New Roman"/>
                <w:color w:val="auto"/>
                <w:kern w:val="2"/>
                <w:sz w:val="21"/>
                <w:szCs w:val="21"/>
                <w:highlight w:val="none"/>
                <w:u w:val="none" w:color="000000"/>
                <w:lang w:val="en-US" w:eastAsia="zh-CN" w:bidi="ar-SA"/>
              </w:rPr>
              <w:t>19</w:t>
            </w:r>
            <w:r>
              <w:rPr>
                <w:rFonts w:hint="eastAsia" w:ascii="Times New Roman" w:hAnsi="Times New Roman" w:eastAsia="宋体" w:cs="Times New Roman"/>
                <w:color w:val="auto"/>
                <w:kern w:val="2"/>
                <w:sz w:val="21"/>
                <w:szCs w:val="21"/>
                <w:highlight w:val="none"/>
                <w:u w:val="none" w:color="000000"/>
                <w:lang w:val="en-US" w:eastAsia="zh-CN" w:bidi="ar-SA"/>
              </w:rPr>
              <w:t>：</w:t>
            </w:r>
            <w:r>
              <w:rPr>
                <w:rFonts w:hint="eastAsia" w:ascii="Times New Roman" w:hAnsi="Times New Roman" w:cs="Times New Roman"/>
                <w:color w:val="auto"/>
                <w:kern w:val="2"/>
                <w:sz w:val="21"/>
                <w:szCs w:val="21"/>
                <w:highlight w:val="none"/>
                <w:u w:val="none" w:color="000000"/>
                <w:lang w:val="en-US" w:eastAsia="zh-CN" w:bidi="ar-SA"/>
              </w:rPr>
              <w:t>3</w:t>
            </w:r>
            <w:r>
              <w:rPr>
                <w:rFonts w:hint="eastAsia" w:ascii="Times New Roman" w:hAnsi="Times New Roman" w:eastAsia="宋体" w:cs="Times New Roman"/>
                <w:color w:val="auto"/>
                <w:kern w:val="2"/>
                <w:sz w:val="21"/>
                <w:szCs w:val="21"/>
                <w:highlight w:val="none"/>
                <w:u w:val="none" w:color="000000"/>
                <w:lang w:val="en-US" w:eastAsia="zh-CN" w:bidi="ar-SA"/>
              </w:rPr>
              <w:t>0（北京时间</w:t>
            </w:r>
            <w:r>
              <w:rPr>
                <w:rFonts w:hint="eastAsia" w:ascii="宋体" w:hAnsi="宋体" w:cs="宋体"/>
                <w:color w:val="0909B7"/>
                <w:sz w:val="21"/>
                <w:szCs w:val="21"/>
                <w:highlight w:val="none"/>
              </w:rPr>
              <w:t>）</w:t>
            </w:r>
          </w:p>
          <w:p w14:paraId="5B6BAAF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地点：供应商登陆政采云平台http://www.zcygov.cn/，在线申请获取文件（登录政府采购云平台 → 项目采购 → 获取文件→申请，审核通过后可下载文件，如有操作性问题，可与政采云在线客服进行咨询，咨询电话：95763）。</w:t>
            </w:r>
          </w:p>
          <w:p w14:paraId="60C1F66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方式：（1）线上获取（登录政府采购云平台 → 项目采购 → 获取文件→ 申请，审核通过后可下载文件）。</w:t>
            </w:r>
          </w:p>
          <w:p w14:paraId="7C6A5DF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auto"/>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（2）供应商获取前应注册成为政府采购云平台正式供应商。</w:t>
            </w:r>
          </w:p>
        </w:tc>
      </w:tr>
      <w:tr w14:paraId="554D31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vMerge w:val="restart"/>
            <w:noWrap w:val="0"/>
            <w:vAlign w:val="center"/>
          </w:tcPr>
          <w:p w14:paraId="386D046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1500" w:type="dxa"/>
            <w:gridSpan w:val="2"/>
            <w:vMerge w:val="restart"/>
            <w:noWrap w:val="0"/>
            <w:vAlign w:val="center"/>
          </w:tcPr>
          <w:p w14:paraId="50506CA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重要说明</w:t>
            </w:r>
          </w:p>
        </w:tc>
        <w:tc>
          <w:tcPr>
            <w:tcW w:w="7115" w:type="dxa"/>
            <w:noWrap w:val="0"/>
            <w:vAlign w:val="top"/>
          </w:tcPr>
          <w:p w14:paraId="585D679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仿宋" w:hAnsi="仿宋" w:eastAsia="仿宋" w:cs="仿宋"/>
                <w:b w:val="0"/>
                <w:bCs w:val="0"/>
                <w:color w:val="auto"/>
                <w:sz w:val="24"/>
                <w:szCs w:val="24"/>
                <w:highlight w:val="none"/>
                <w:lang w:val="en-US" w:eastAsia="zh-CN"/>
              </w:rPr>
              <w:t>1</w:t>
            </w:r>
            <w:r>
              <w:rPr>
                <w:rFonts w:hint="eastAsia" w:ascii="宋体" w:hAnsi="宋体" w:eastAsia="宋体" w:cs="宋体"/>
                <w:color w:val="auto"/>
                <w:sz w:val="21"/>
                <w:szCs w:val="21"/>
                <w:highlight w:val="none"/>
                <w:lang w:val="en-US" w:eastAsia="zh-CN"/>
              </w:rPr>
              <w:t>.本项目采用全流程不见面电子开评标，投标供应商需要使用CA加密设备，供应商可通过新疆数字证书认证中心官网（https://www.xjca.com.cn/）或下载“新疆政务通”APP自行进行申领。</w:t>
            </w:r>
          </w:p>
          <w:p w14:paraId="487D3132">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2.本项目实行网上投标，采用加密电子投标文件(供应商须使用CA加密设备通过政采云电子投标客户端制作投标文件)。若供应商参与投标，自行承担投标一切费用。</w:t>
            </w:r>
          </w:p>
          <w:p w14:paraId="24F238C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32CFA7C3">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103E00B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5.供应商在开标时须使用制作加密电子投标文件所使用的CA锁及电脑，电脑须提前配置好浏览器（建议使用谷歌浏览器），以便开标时解锁。</w:t>
            </w:r>
          </w:p>
          <w:p w14:paraId="244A48C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7.为了保证开评标顺利进行，政采云线上开标功能完全实现，供应商开标所使用的电脑设备须具有视频及语音功能</w:t>
            </w:r>
          </w:p>
        </w:tc>
      </w:tr>
      <w:tr w14:paraId="1BB71D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705" w:type="dxa"/>
            <w:vMerge w:val="continue"/>
            <w:noWrap w:val="0"/>
            <w:vAlign w:val="center"/>
          </w:tcPr>
          <w:p w14:paraId="3031A4C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1500" w:type="dxa"/>
            <w:gridSpan w:val="2"/>
            <w:vMerge w:val="continue"/>
            <w:noWrap w:val="0"/>
            <w:vAlign w:val="center"/>
          </w:tcPr>
          <w:p w14:paraId="6B6ADD6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7115" w:type="dxa"/>
            <w:noWrap w:val="0"/>
            <w:vAlign w:val="top"/>
          </w:tcPr>
          <w:p w14:paraId="6F1E9AF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1、电子招投标情况说明：</w:t>
            </w:r>
          </w:p>
          <w:p w14:paraId="58346D3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1）电子招投标：本项目以数据电文形式，依托“政府采购云平台（www.zcygov.cn）”进行招投标活动。</w:t>
            </w:r>
          </w:p>
          <w:p w14:paraId="66F571F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3B0D2EE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（3）招标文件的获取：使用账号登录或者短信验证码或者使用CA登录政采云平台；进入“项目采购”应用，在获取文件 菜单中选择项目，获取文件 。</w:t>
            </w:r>
          </w:p>
          <w:p w14:paraId="13F2C823">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（4）投标文件的制作：在“政采云电子交易客户端”中完成“填写基本信息”、“导入投标文件”、“标书关联”、“标书检查”、“电子签名”、“生成电子标书”等操作。</w:t>
            </w:r>
          </w:p>
          <w:p w14:paraId="36DA518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（5）具体操作指南：详见政采云平台“服务中心-帮助文档-项目采购-操作流程-电子招投标-政府采购项目电子交易管理操作指南-供应商”。</w:t>
            </w:r>
          </w:p>
          <w:p w14:paraId="09D060A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宋体" w:hAnsi="宋体" w:eastAsia="宋体" w:cs="宋体"/>
                <w:color w:val="auto"/>
                <w:sz w:val="21"/>
                <w:szCs w:val="21"/>
                <w:highlight w:val="none"/>
                <w:lang w:val="en-US" w:eastAsia="zh-CN"/>
              </w:rPr>
              <w:t>（6）供应商在进行上述操作时，如遇技术问题可登录政采云（https://www.zcygov.cn/），点击右侧咨询小采，获取采小蜜智能服务管家帮助，或拨打政采云服务热线 95763 获取热线服务帮助。</w:t>
            </w:r>
          </w:p>
          <w:p w14:paraId="7E926862">
            <w:pPr>
              <w:pStyle w:val="9"/>
              <w:keepNext w:val="0"/>
              <w:keepLines w:val="0"/>
              <w:pageBreakBefore w:val="0"/>
              <w:kinsoku/>
              <w:wordWrap/>
              <w:overflowPunct/>
              <w:topLinePunct w:val="0"/>
              <w:autoSpaceDE/>
              <w:autoSpaceDN/>
              <w:bidi w:val="0"/>
              <w:adjustRightInd/>
              <w:snapToGrid w:val="0"/>
              <w:spacing w:line="240" w:lineRule="auto"/>
              <w:ind w:firstLine="426"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温馨提醒：供应商应提前上传，以便在上传时遇到技术问题，有充足的时间请教平台的技术人员。温馨提醒：供应商应提前上传，以便在上传时遇到技术问题，有充足的时间请教平台的技术人员。</w:t>
            </w:r>
          </w:p>
          <w:p w14:paraId="03EBA000">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供应商认为招标文件使自己的权益受到损害的，可以自收到招标文件之日起7个工作日内且应当在采购开标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中国政府采购网下载专区下载。未按规定获取招标文件或逾期提出的不予受理、答复。</w:t>
            </w:r>
          </w:p>
        </w:tc>
      </w:tr>
      <w:tr w14:paraId="50F23F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530" w:hRule="atLeast"/>
          <w:jc w:val="center"/>
        </w:trPr>
        <w:tc>
          <w:tcPr>
            <w:tcW w:w="705" w:type="dxa"/>
            <w:vMerge w:val="restart"/>
            <w:tcBorders>
              <w:right w:val="single" w:color="auto" w:sz="4" w:space="0"/>
            </w:tcBorders>
            <w:noWrap w:val="0"/>
            <w:vAlign w:val="center"/>
          </w:tcPr>
          <w:p w14:paraId="1D3A723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中小微企业政策文件</w:t>
            </w:r>
          </w:p>
        </w:tc>
        <w:tc>
          <w:tcPr>
            <w:tcW w:w="8615" w:type="dxa"/>
            <w:gridSpan w:val="3"/>
            <w:tcBorders>
              <w:left w:val="single" w:color="auto" w:sz="4" w:space="0"/>
            </w:tcBorders>
            <w:noWrap w:val="0"/>
            <w:vAlign w:val="center"/>
          </w:tcPr>
          <w:p w14:paraId="1F7691B6">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1）根据财政部、工业和信息化部关于印发《政府采购促进中小企业发展管理办法》的通知（财库[2020]46号），投标人及其所投产品的制造商均属于《工业和信息化部、国家统计局、国家发展和改革委员会、财政部关于印发中小企业划型标准规定的通知》（工信部联企业[2011]300号）中规定的小型、微型企业标准的，按招标文件格式提供《中小企业声明函》。</w:t>
            </w:r>
          </w:p>
        </w:tc>
      </w:tr>
      <w:tr w14:paraId="464371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99" w:hRule="atLeast"/>
          <w:jc w:val="center"/>
        </w:trPr>
        <w:tc>
          <w:tcPr>
            <w:tcW w:w="705" w:type="dxa"/>
            <w:vMerge w:val="continue"/>
            <w:tcBorders>
              <w:right w:val="single" w:color="auto" w:sz="4" w:space="0"/>
            </w:tcBorders>
            <w:noWrap w:val="0"/>
            <w:vAlign w:val="center"/>
          </w:tcPr>
          <w:p w14:paraId="7DEF087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8615" w:type="dxa"/>
            <w:gridSpan w:val="3"/>
            <w:tcBorders>
              <w:left w:val="single" w:color="auto" w:sz="4" w:space="0"/>
            </w:tcBorders>
            <w:noWrap w:val="0"/>
            <w:vAlign w:val="center"/>
          </w:tcPr>
          <w:p w14:paraId="48EF21A2">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（2）根据财政部、司</w:t>
            </w:r>
            <w:r>
              <w:rPr>
                <w:rFonts w:hint="eastAsia" w:ascii="宋体" w:hAnsi="宋体" w:cs="宋体"/>
                <w:b w:val="0"/>
                <w:bCs/>
                <w:color w:val="auto"/>
                <w:sz w:val="21"/>
                <w:szCs w:val="21"/>
                <w:highlight w:val="none"/>
                <w:lang w:val="en-US" w:eastAsia="zh-CN"/>
              </w:rPr>
              <w:t>法</w:t>
            </w:r>
            <w:r>
              <w:rPr>
                <w:rFonts w:hint="eastAsia" w:ascii="宋体" w:hAnsi="宋体" w:eastAsia="宋体" w:cs="宋体"/>
                <w:b w:val="0"/>
                <w:bCs/>
                <w:color w:val="auto"/>
                <w:sz w:val="21"/>
                <w:szCs w:val="21"/>
                <w:highlight w:val="none"/>
                <w:lang w:val="en-US" w:eastAsia="zh-CN"/>
              </w:rPr>
              <w:t>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71751C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16" w:hRule="atLeast"/>
          <w:jc w:val="center"/>
        </w:trPr>
        <w:tc>
          <w:tcPr>
            <w:tcW w:w="705" w:type="dxa"/>
            <w:vMerge w:val="continue"/>
            <w:tcBorders>
              <w:right w:val="single" w:color="auto" w:sz="4" w:space="0"/>
            </w:tcBorders>
            <w:noWrap w:val="0"/>
            <w:vAlign w:val="center"/>
          </w:tcPr>
          <w:p w14:paraId="7D694619">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8615" w:type="dxa"/>
            <w:gridSpan w:val="3"/>
            <w:tcBorders>
              <w:left w:val="single" w:color="auto" w:sz="4" w:space="0"/>
            </w:tcBorders>
            <w:noWrap w:val="0"/>
            <w:vAlign w:val="center"/>
          </w:tcPr>
          <w:p w14:paraId="196BB835">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411CB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705" w:type="dxa"/>
            <w:tcBorders>
              <w:right w:val="single" w:color="auto" w:sz="4" w:space="0"/>
            </w:tcBorders>
            <w:noWrap w:val="0"/>
            <w:vAlign w:val="center"/>
          </w:tcPr>
          <w:p w14:paraId="62CC6BBA">
            <w:pPr>
              <w:snapToGrid w:val="0"/>
              <w:spacing w:line="360" w:lineRule="auto"/>
              <w:jc w:val="left"/>
              <w:rPr>
                <w:rFonts w:hint="eastAsia" w:ascii="宋体" w:hAnsi="宋体" w:eastAsia="宋体" w:cs="宋体"/>
                <w:b w:val="0"/>
                <w:bCs/>
                <w:color w:val="auto"/>
                <w:sz w:val="21"/>
                <w:szCs w:val="21"/>
                <w:highlight w:val="none"/>
                <w:lang w:val="en-US" w:eastAsia="zh-CN"/>
              </w:rPr>
            </w:pPr>
            <w:r>
              <w:rPr>
                <w:rFonts w:hint="eastAsia" w:ascii="宋体" w:hAnsi="宋体"/>
                <w:color w:val="000000"/>
                <w:szCs w:val="21"/>
                <w:highlight w:val="none"/>
              </w:rPr>
              <w:t>政策文件说明</w:t>
            </w:r>
          </w:p>
        </w:tc>
        <w:tc>
          <w:tcPr>
            <w:tcW w:w="8615" w:type="dxa"/>
            <w:gridSpan w:val="3"/>
            <w:tcBorders>
              <w:left w:val="single" w:color="auto" w:sz="4" w:space="0"/>
            </w:tcBorders>
            <w:noWrap w:val="0"/>
            <w:vAlign w:val="top"/>
          </w:tcPr>
          <w:p w14:paraId="2DE7F9BF">
            <w:pPr>
              <w:numPr>
                <w:ilvl w:val="0"/>
                <w:numId w:val="2"/>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eastAsia"/>
              </w:rPr>
              <w:t>本项目专门面向中小企业</w:t>
            </w:r>
            <w:r>
              <w:rPr>
                <w:rFonts w:hint="eastAsia"/>
                <w:lang w:eastAsia="zh-CN"/>
              </w:rPr>
              <w:t>。</w:t>
            </w:r>
          </w:p>
          <w:p w14:paraId="1DB428AC">
            <w:pPr>
              <w:numPr>
                <w:ilvl w:val="0"/>
                <w:numId w:val="2"/>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eastAsia"/>
                <w:highlight w:val="none"/>
              </w:rPr>
              <w:t>本采购项目中小企业划分标准所属行业为</w:t>
            </w:r>
            <w:r>
              <w:rPr>
                <w:rFonts w:hint="eastAsia"/>
                <w:b/>
                <w:bCs/>
                <w:highlight w:val="none"/>
                <w:u w:val="single"/>
              </w:rPr>
              <w:t>:</w:t>
            </w:r>
            <w:r>
              <w:rPr>
                <w:rFonts w:hint="eastAsia"/>
                <w:b/>
                <w:bCs/>
                <w:highlight w:val="none"/>
                <w:u w:val="single"/>
                <w:lang w:eastAsia="zh-CN"/>
              </w:rPr>
              <w:t>工</w:t>
            </w:r>
            <w:r>
              <w:rPr>
                <w:rFonts w:hint="eastAsia"/>
                <w:b/>
                <w:bCs/>
                <w:highlight w:val="none"/>
                <w:u w:val="single"/>
                <w:lang w:val="en-US" w:eastAsia="zh-CN"/>
              </w:rPr>
              <w:t>业</w:t>
            </w:r>
          </w:p>
          <w:p w14:paraId="34E34639">
            <w:pPr>
              <w:pStyle w:val="34"/>
              <w:ind w:left="0" w:leftChars="0" w:firstLine="0" w:firstLineChars="0"/>
              <w:rPr>
                <w:rFonts w:hint="default"/>
                <w:lang w:val="en-US" w:eastAsia="zh-CN"/>
              </w:rPr>
            </w:pPr>
            <w:r>
              <w:rPr>
                <w:rFonts w:hint="default"/>
                <w:lang w:val="en-US" w:eastAsia="zh-CN"/>
              </w:rPr>
              <w:t>（</w:t>
            </w:r>
            <w:r>
              <w:rPr>
                <w:rFonts w:hint="eastAsia"/>
                <w:lang w:val="en-US" w:eastAsia="zh-CN"/>
              </w:rPr>
              <w:t>3</w:t>
            </w:r>
            <w:r>
              <w:rPr>
                <w:rFonts w:hint="default"/>
                <w:lang w:val="en-US" w:eastAsia="zh-CN"/>
              </w:rPr>
              <w:t>）绿色发展政策：《国务院办公厅关于建立政府强制采购节能产品制度的通知》（国办发[2007]51号）；《财政部、国家发展改革委关于印发&lt;节能产品政府采购实施意见&gt;的通知》（财库[2004]185号）；《财政部、国家环保总局关于环境标志产品政府采购实施的意见》（财库[2006]90号）；《财政部、国家发展改革委、生态环境部、市场监管总局关于调整优化节能产品、环境标志产品政府采购执行机制的通知》（财库[2019]9号）；《商品包装政府采购需求标准（试行）》和《快递包装政府采购需求标准（试行）》（财办库[2020]123号）。</w:t>
            </w:r>
          </w:p>
          <w:p w14:paraId="4111CE43">
            <w:pPr>
              <w:pStyle w:val="34"/>
              <w:ind w:left="0" w:leftChars="0" w:firstLine="0" w:firstLineChars="0"/>
              <w:rPr>
                <w:rFonts w:hint="default"/>
                <w:lang w:val="en-US" w:eastAsia="zh-CN"/>
              </w:rPr>
            </w:pPr>
            <w:r>
              <w:rPr>
                <w:rFonts w:hint="default"/>
                <w:lang w:val="en-US" w:eastAsia="zh-CN"/>
              </w:rPr>
              <w:t>（</w:t>
            </w:r>
            <w:r>
              <w:rPr>
                <w:rFonts w:hint="eastAsia"/>
                <w:lang w:val="en-US" w:eastAsia="zh-CN"/>
              </w:rPr>
              <w:t>4</w:t>
            </w:r>
            <w:r>
              <w:rPr>
                <w:rFonts w:hint="default"/>
                <w:lang w:val="en-US" w:eastAsia="zh-CN"/>
              </w:rPr>
              <w:t>）支持本国产业政策：《财政部关于印发&lt;进口产品管理办法&gt;的通知》（财库[2007]119号）；《财政部办公厅关于政府采购进口产品管理有关问题的通知》（财办库[2008]248号）；《国务院办公厅关于在政府采购中实施本国产品标准及相关政策的通知》（国办发〔2025〕34号）的相关规定。</w:t>
            </w:r>
          </w:p>
        </w:tc>
      </w:tr>
      <w:tr w14:paraId="6DB1C90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705" w:type="dxa"/>
            <w:tcBorders>
              <w:right w:val="single" w:color="auto" w:sz="4" w:space="0"/>
            </w:tcBorders>
            <w:noWrap w:val="0"/>
            <w:vAlign w:val="center"/>
          </w:tcPr>
          <w:p w14:paraId="2BB6A188">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评标办法</w:t>
            </w:r>
          </w:p>
        </w:tc>
        <w:tc>
          <w:tcPr>
            <w:tcW w:w="8615" w:type="dxa"/>
            <w:gridSpan w:val="3"/>
            <w:tcBorders>
              <w:left w:val="single" w:color="auto" w:sz="4" w:space="0"/>
            </w:tcBorders>
            <w:noWrap w:val="0"/>
            <w:vAlign w:val="center"/>
          </w:tcPr>
          <w:p w14:paraId="587BE111">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本项目采用综合评分法</w:t>
            </w:r>
          </w:p>
        </w:tc>
      </w:tr>
      <w:tr w14:paraId="491821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705" w:type="dxa"/>
            <w:tcBorders>
              <w:right w:val="single" w:color="auto" w:sz="4" w:space="0"/>
            </w:tcBorders>
            <w:noWrap w:val="0"/>
            <w:vAlign w:val="center"/>
          </w:tcPr>
          <w:p w14:paraId="5A97BAC4">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仿宋" w:hAnsi="仿宋" w:eastAsia="仿宋" w:cs="仿宋"/>
                <w:b w:val="0"/>
                <w:bCs w:val="0"/>
                <w:color w:val="auto"/>
                <w:kern w:val="2"/>
                <w:sz w:val="24"/>
                <w:szCs w:val="24"/>
              </w:rPr>
              <w:t>低于成本价不正当竞争预防措施</w:t>
            </w:r>
          </w:p>
        </w:tc>
        <w:tc>
          <w:tcPr>
            <w:tcW w:w="8615" w:type="dxa"/>
            <w:gridSpan w:val="3"/>
            <w:tcBorders>
              <w:left w:val="single" w:color="auto" w:sz="4" w:space="0"/>
            </w:tcBorders>
            <w:noWrap w:val="0"/>
            <w:vAlign w:val="center"/>
          </w:tcPr>
          <w:p w14:paraId="3F2ECD9C">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right="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1.根据【财库〔2026〕2号】关于推动解决政府采购异常低价问题的通知，第一条  采购人应当在采购文件中明确，政府采购评审中出现下列情形之一的，评审委员会应当启动异常低价投标（响应）审查程序：</w:t>
            </w:r>
          </w:p>
          <w:p w14:paraId="2C54084D">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right="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1.投标（响应）报价低于全部通过符合性审查供应商投标（响应）报价平均值50%的，即投标（响应）报价&lt;全部通过符合性审查供应商投标（响应）报价平均值×50%；</w:t>
            </w:r>
          </w:p>
          <w:p w14:paraId="5D20AF78">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right="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2.投标（响应）报价低于通过符合性审查的次低报价供应商投标（响应）报价50%的，即投标（响应）报价&lt;通过符合性审查的次低报价供应商投标（响应）报价×50%；</w:t>
            </w:r>
          </w:p>
          <w:p w14:paraId="3383757A">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7" w:lineRule="atLeast"/>
              <w:ind w:right="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3.投标（响应）报价低于采购项目最高限价45%的，即投标（响应）报价&lt;采购项目最高限价×45%；</w:t>
            </w:r>
          </w:p>
          <w:p w14:paraId="50EC2774">
            <w:pPr>
              <w:pStyle w:val="53"/>
              <w:snapToGrid w:val="0"/>
              <w:spacing w:line="288"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4.评审委员会基于专业判断，认为供应商报价过低，有可能影响产品</w:t>
            </w:r>
            <w:r>
              <w:rPr>
                <w:rFonts w:hint="eastAsia" w:ascii="宋体" w:hAnsi="宋体" w:cs="宋体"/>
                <w:b w:val="0"/>
                <w:bCs/>
                <w:color w:val="auto"/>
                <w:kern w:val="2"/>
                <w:sz w:val="21"/>
                <w:szCs w:val="21"/>
                <w:highlight w:val="none"/>
                <w:lang w:val="en-US" w:eastAsia="zh-CN" w:bidi="ar-SA"/>
              </w:rPr>
              <w:t>质量</w:t>
            </w:r>
            <w:r>
              <w:rPr>
                <w:rFonts w:hint="eastAsia" w:ascii="宋体" w:hAnsi="宋体" w:eastAsia="宋体" w:cs="宋体"/>
                <w:b w:val="0"/>
                <w:bCs/>
                <w:color w:val="auto"/>
                <w:kern w:val="2"/>
                <w:sz w:val="21"/>
                <w:szCs w:val="21"/>
                <w:highlight w:val="none"/>
                <w:lang w:val="en-US" w:eastAsia="zh-CN" w:bidi="ar-SA"/>
              </w:rPr>
              <w:t>或者不能诚信履约的其他情形。</w:t>
            </w:r>
          </w:p>
          <w:p w14:paraId="3525905A">
            <w:pPr>
              <w:pStyle w:val="53"/>
              <w:snapToGrid w:val="0"/>
              <w:spacing w:line="288"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在评审过程中，评审小组应当要求其在开标现场合理的时间内提供书面说明，并提交相关证明材料，投标人不能证明其报价合理性的，评审小组应当将其作为无效处理。</w:t>
            </w:r>
          </w:p>
          <w:p w14:paraId="436699D0">
            <w:pPr>
              <w:pStyle w:val="53"/>
              <w:snapToGrid w:val="0"/>
              <w:spacing w:line="288"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r>
              <w:rPr>
                <w:rFonts w:hint="eastAsia" w:ascii="仿宋" w:hAnsi="仿宋" w:eastAsia="仿宋" w:cs="仿宋"/>
                <w:color w:val="auto"/>
                <w:kern w:val="2"/>
                <w:sz w:val="28"/>
                <w:szCs w:val="28"/>
              </w:rPr>
              <w:t>。</w:t>
            </w:r>
          </w:p>
        </w:tc>
      </w:tr>
      <w:tr w14:paraId="7B5FBF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705" w:type="dxa"/>
            <w:noWrap w:val="0"/>
            <w:vAlign w:val="center"/>
          </w:tcPr>
          <w:p w14:paraId="7219816D">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center"/>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备注</w:t>
            </w:r>
          </w:p>
        </w:tc>
        <w:tc>
          <w:tcPr>
            <w:tcW w:w="8615" w:type="dxa"/>
            <w:gridSpan w:val="3"/>
            <w:noWrap w:val="0"/>
            <w:vAlign w:val="center"/>
          </w:tcPr>
          <w:p w14:paraId="3ACBBCE9">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1、着重提醒各投标人注意，并认真查看招标文件中的每一个条款及要求，因误读招标文件而造成的后果，招标人概不负责。</w:t>
            </w:r>
          </w:p>
          <w:p w14:paraId="43EF3F53">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2、投标人使用相同IP地址的，一经发现，相关部门将进一步核实，查实后按串通投标处理。</w:t>
            </w:r>
          </w:p>
          <w:p w14:paraId="147B43FA">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3、为保证本项目质量，良好的售后服务，最低报价不作为成交的唯一依据。</w:t>
            </w:r>
          </w:p>
          <w:p w14:paraId="0915DF04">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51E0F66">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5、其它：</w:t>
            </w:r>
          </w:p>
          <w:p w14:paraId="4888A85C">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（1）投标企业严格遵守国家的法律法规及招标纪律，无违法违纪及商业贿赂行为。</w:t>
            </w:r>
          </w:p>
          <w:p w14:paraId="0F5A4B14">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（2）不管投标结果如何，供应商均应自行承担投标所需一切费用。</w:t>
            </w:r>
          </w:p>
          <w:p w14:paraId="7FC84D68">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（3）供应商应以书面形式保证成交后由本公司组织实施，不得以任何理由将项目转包给其他机构。</w:t>
            </w:r>
          </w:p>
          <w:p w14:paraId="0A52B1B2">
            <w:pPr>
              <w:keepNext w:val="0"/>
              <w:keepLines w:val="0"/>
              <w:pageBreakBefore w:val="0"/>
              <w:widowControl w:val="0"/>
              <w:shd w:val="clear" w:color="auto" w:fill="auto"/>
              <w:kinsoku/>
              <w:wordWrap/>
              <w:overflowPunct/>
              <w:topLinePunct w:val="0"/>
              <w:autoSpaceDE/>
              <w:autoSpaceDN/>
              <w:bidi w:val="0"/>
              <w:adjustRightInd/>
              <w:snapToGrid w:val="0"/>
              <w:spacing w:line="240" w:lineRule="auto"/>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0"/>
                <w:szCs w:val="20"/>
                <w:highlight w:val="none"/>
                <w:lang w:val="en-US" w:eastAsia="zh-CN"/>
              </w:rPr>
              <w:t>（4）招标文件中如出现前后不一致情况，均以前附表内容为准。</w:t>
            </w:r>
          </w:p>
        </w:tc>
      </w:tr>
      <w:bookmarkEnd w:id="23"/>
      <w:tr w14:paraId="7F90F0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966" w:type="dxa"/>
            <w:gridSpan w:val="2"/>
            <w:vAlign w:val="center"/>
          </w:tcPr>
          <w:p w14:paraId="69AF3A2F">
            <w:pPr>
              <w:snapToGrid w:val="0"/>
              <w:spacing w:line="240" w:lineRule="auto"/>
              <w:ind w:firstLine="609" w:firstLineChars="300"/>
              <w:rPr>
                <w:b/>
                <w:sz w:val="20"/>
                <w:szCs w:val="20"/>
              </w:rPr>
            </w:pPr>
            <w:r>
              <w:rPr>
                <w:rFonts w:hint="eastAsia"/>
                <w:b/>
                <w:sz w:val="20"/>
                <w:szCs w:val="20"/>
              </w:rPr>
              <w:t>备注</w:t>
            </w:r>
          </w:p>
        </w:tc>
        <w:tc>
          <w:tcPr>
            <w:tcW w:w="7354" w:type="dxa"/>
            <w:gridSpan w:val="2"/>
          </w:tcPr>
          <w:p w14:paraId="3FFC8916">
            <w:pPr>
              <w:snapToGrid w:val="0"/>
              <w:spacing w:line="240" w:lineRule="auto"/>
              <w:jc w:val="left"/>
              <w:rPr>
                <w:b/>
                <w:sz w:val="20"/>
                <w:szCs w:val="20"/>
              </w:rPr>
            </w:pPr>
            <w:r>
              <w:rPr>
                <w:rFonts w:hint="eastAsia"/>
                <w:b/>
                <w:sz w:val="20"/>
                <w:szCs w:val="20"/>
              </w:rPr>
              <w:t>投标人使用相同IP地址的，一经发现，相关部门将进一步核实，查实后按串通投标处理。</w:t>
            </w:r>
          </w:p>
        </w:tc>
      </w:tr>
    </w:tbl>
    <w:p w14:paraId="1AFD8C1C">
      <w:pPr>
        <w:pageBreakBefore/>
        <w:spacing w:before="325" w:beforeLines="100" w:after="325" w:afterLines="100" w:line="440" w:lineRule="exact"/>
        <w:jc w:val="center"/>
        <w:outlineLvl w:val="1"/>
        <w:rPr>
          <w:rFonts w:ascii="宋体"/>
          <w:b/>
          <w:sz w:val="28"/>
          <w:szCs w:val="32"/>
        </w:rPr>
      </w:pPr>
      <w:r>
        <w:rPr>
          <w:rFonts w:hint="eastAsia" w:ascii="宋体"/>
          <w:b/>
          <w:sz w:val="28"/>
          <w:szCs w:val="28"/>
        </w:rPr>
        <w:t>二、投标人须知</w:t>
      </w:r>
    </w:p>
    <w:p w14:paraId="3B99327F">
      <w:pPr>
        <w:spacing w:line="440" w:lineRule="exact"/>
        <w:jc w:val="center"/>
        <w:outlineLvl w:val="2"/>
        <w:rPr>
          <w:rFonts w:ascii="宋体"/>
          <w:sz w:val="28"/>
          <w:szCs w:val="28"/>
        </w:rPr>
      </w:pPr>
      <w:bookmarkStart w:id="24" w:name="_Toc469495724"/>
      <w:r>
        <w:rPr>
          <w:rFonts w:hint="eastAsia" w:ascii="宋体"/>
          <w:b/>
          <w:sz w:val="28"/>
          <w:szCs w:val="28"/>
        </w:rPr>
        <w:t>（一）</w:t>
      </w:r>
      <w:r>
        <w:rPr>
          <w:rFonts w:hint="eastAsia" w:ascii="宋体"/>
          <w:b/>
          <w:sz w:val="28"/>
          <w:szCs w:val="32"/>
        </w:rPr>
        <w:t>总  则</w:t>
      </w:r>
      <w:bookmarkEnd w:id="24"/>
    </w:p>
    <w:p w14:paraId="4143079A">
      <w:pPr>
        <w:snapToGrid w:val="0"/>
        <w:spacing w:line="440" w:lineRule="exact"/>
        <w:ind w:firstLine="426" w:firstLineChars="200"/>
        <w:rPr>
          <w:rFonts w:ascii="宋体"/>
          <w:b/>
          <w:szCs w:val="21"/>
        </w:rPr>
      </w:pPr>
      <w:r>
        <w:rPr>
          <w:rFonts w:hint="eastAsia" w:ascii="宋体"/>
          <w:b/>
          <w:szCs w:val="21"/>
        </w:rPr>
        <w:t>1.项目概况</w:t>
      </w:r>
    </w:p>
    <w:p w14:paraId="52E3459F">
      <w:pPr>
        <w:snapToGrid w:val="0"/>
        <w:spacing w:line="440" w:lineRule="exact"/>
        <w:ind w:firstLine="426" w:firstLineChars="200"/>
        <w:rPr>
          <w:rFonts w:ascii="宋体"/>
          <w:szCs w:val="21"/>
          <w:u w:val="single"/>
        </w:rPr>
      </w:pPr>
      <w:r>
        <w:rPr>
          <w:rFonts w:hint="eastAsia" w:ascii="宋体"/>
          <w:szCs w:val="21"/>
        </w:rPr>
        <w:t>1.1本次招标采购项目名称：见投标人须知前附表。</w:t>
      </w:r>
    </w:p>
    <w:p w14:paraId="4F89CE81">
      <w:pPr>
        <w:snapToGrid w:val="0"/>
        <w:spacing w:line="440" w:lineRule="exact"/>
        <w:ind w:firstLine="426" w:firstLineChars="200"/>
        <w:rPr>
          <w:rFonts w:ascii="宋体"/>
          <w:szCs w:val="21"/>
          <w:u w:val="single"/>
        </w:rPr>
      </w:pPr>
      <w:r>
        <w:rPr>
          <w:rFonts w:hint="eastAsia" w:ascii="宋体"/>
          <w:szCs w:val="21"/>
        </w:rPr>
        <w:t xml:space="preserve">               项目编号：见投标人须知前附表。</w:t>
      </w:r>
    </w:p>
    <w:p w14:paraId="721D28EE">
      <w:pPr>
        <w:snapToGrid w:val="0"/>
        <w:spacing w:line="440" w:lineRule="exact"/>
        <w:ind w:firstLine="426" w:firstLineChars="200"/>
        <w:rPr>
          <w:rFonts w:ascii="宋体"/>
          <w:szCs w:val="21"/>
          <w:u w:val="single"/>
        </w:rPr>
      </w:pPr>
      <w:r>
        <w:rPr>
          <w:rFonts w:hint="eastAsia" w:ascii="宋体"/>
          <w:szCs w:val="21"/>
        </w:rPr>
        <w:t xml:space="preserve">                 招标人：见投标人须知前附表。</w:t>
      </w:r>
    </w:p>
    <w:p w14:paraId="3B7D0123">
      <w:pPr>
        <w:snapToGrid w:val="0"/>
        <w:spacing w:line="440" w:lineRule="exact"/>
        <w:ind w:firstLine="426" w:firstLineChars="200"/>
        <w:rPr>
          <w:rFonts w:ascii="宋体"/>
          <w:szCs w:val="21"/>
          <w:u w:val="single"/>
        </w:rPr>
      </w:pPr>
      <w:r>
        <w:rPr>
          <w:rFonts w:hint="eastAsia" w:ascii="宋体"/>
          <w:szCs w:val="21"/>
        </w:rPr>
        <w:t xml:space="preserve">      供货期（服务周期）：见投标人须知前附表。</w:t>
      </w:r>
    </w:p>
    <w:p w14:paraId="68ABFA61">
      <w:pPr>
        <w:snapToGrid w:val="0"/>
        <w:spacing w:line="440" w:lineRule="exact"/>
        <w:ind w:firstLine="426" w:firstLineChars="200"/>
        <w:rPr>
          <w:rFonts w:ascii="宋体"/>
          <w:szCs w:val="21"/>
          <w:u w:val="single"/>
        </w:rPr>
      </w:pPr>
      <w:r>
        <w:rPr>
          <w:rFonts w:hint="eastAsia" w:ascii="宋体"/>
          <w:szCs w:val="21"/>
        </w:rPr>
        <w:t xml:space="preserve">               供货地点：见投标人须知前附表。</w:t>
      </w:r>
    </w:p>
    <w:p w14:paraId="560609B3">
      <w:pPr>
        <w:snapToGrid w:val="0"/>
        <w:spacing w:line="440" w:lineRule="exact"/>
        <w:ind w:firstLine="426" w:firstLineChars="200"/>
        <w:rPr>
          <w:rFonts w:ascii="宋体"/>
          <w:szCs w:val="21"/>
          <w:u w:val="single"/>
        </w:rPr>
      </w:pPr>
      <w:r>
        <w:rPr>
          <w:rFonts w:hint="eastAsia" w:ascii="宋体"/>
          <w:szCs w:val="21"/>
        </w:rPr>
        <w:t>1.2招标人及联系人: 见投标人须知前附表。</w:t>
      </w:r>
    </w:p>
    <w:p w14:paraId="4CF5C0DF">
      <w:pPr>
        <w:snapToGrid w:val="0"/>
        <w:spacing w:line="440" w:lineRule="exact"/>
        <w:ind w:firstLine="532" w:firstLineChars="250"/>
        <w:rPr>
          <w:rFonts w:ascii="宋体"/>
          <w:szCs w:val="21"/>
          <w:u w:val="single"/>
        </w:rPr>
      </w:pPr>
      <w:r>
        <w:rPr>
          <w:rFonts w:hint="eastAsia" w:ascii="宋体"/>
          <w:szCs w:val="21"/>
        </w:rPr>
        <w:t xml:space="preserve"> 代理机构及联系人: 见投标人须知前附表。</w:t>
      </w:r>
    </w:p>
    <w:p w14:paraId="59669CA2">
      <w:pPr>
        <w:snapToGrid w:val="0"/>
        <w:spacing w:line="440" w:lineRule="exact"/>
        <w:ind w:firstLine="426" w:firstLineChars="200"/>
        <w:rPr>
          <w:rFonts w:ascii="宋体"/>
          <w:szCs w:val="21"/>
        </w:rPr>
      </w:pPr>
      <w:r>
        <w:rPr>
          <w:rFonts w:hint="eastAsia" w:ascii="宋体"/>
          <w:szCs w:val="21"/>
        </w:rPr>
        <w:t>1.3资金来源：见投标人须知前附表。</w:t>
      </w:r>
    </w:p>
    <w:p w14:paraId="56DB8E39">
      <w:pPr>
        <w:snapToGrid w:val="0"/>
        <w:spacing w:line="440" w:lineRule="exact"/>
        <w:ind w:firstLine="426" w:firstLineChars="200"/>
        <w:rPr>
          <w:rFonts w:ascii="宋体"/>
          <w:szCs w:val="21"/>
        </w:rPr>
      </w:pPr>
      <w:r>
        <w:rPr>
          <w:rFonts w:hint="eastAsia" w:ascii="宋体"/>
          <w:szCs w:val="21"/>
        </w:rPr>
        <w:t>1.4本项目预算：见投标人须知前附表。</w:t>
      </w:r>
    </w:p>
    <w:p w14:paraId="6D1D9532">
      <w:pPr>
        <w:snapToGrid w:val="0"/>
        <w:spacing w:line="440" w:lineRule="exact"/>
        <w:ind w:firstLine="426" w:firstLineChars="200"/>
        <w:rPr>
          <w:rFonts w:ascii="宋体"/>
          <w:szCs w:val="21"/>
        </w:rPr>
      </w:pPr>
      <w:r>
        <w:rPr>
          <w:rFonts w:hint="eastAsia" w:ascii="宋体"/>
          <w:szCs w:val="21"/>
        </w:rPr>
        <w:t>1.5本项目控制价：见投标人须知前附表。</w:t>
      </w:r>
    </w:p>
    <w:p w14:paraId="2BC79005">
      <w:pPr>
        <w:snapToGrid w:val="0"/>
        <w:spacing w:line="440" w:lineRule="exact"/>
        <w:ind w:firstLine="426" w:firstLineChars="200"/>
        <w:rPr>
          <w:rFonts w:ascii="宋体"/>
          <w:b/>
          <w:szCs w:val="21"/>
        </w:rPr>
      </w:pPr>
      <w:r>
        <w:rPr>
          <w:rFonts w:hint="eastAsia" w:ascii="宋体"/>
          <w:b/>
          <w:szCs w:val="21"/>
        </w:rPr>
        <w:t>2.招标范围：</w:t>
      </w:r>
    </w:p>
    <w:p w14:paraId="3C958598">
      <w:pPr>
        <w:snapToGrid w:val="0"/>
        <w:spacing w:line="440" w:lineRule="exact"/>
        <w:ind w:firstLine="426" w:firstLineChars="200"/>
        <w:rPr>
          <w:rFonts w:ascii="宋体"/>
          <w:szCs w:val="21"/>
          <w:u w:val="single"/>
        </w:rPr>
      </w:pPr>
      <w:r>
        <w:rPr>
          <w:rFonts w:hint="eastAsia" w:ascii="宋体"/>
          <w:szCs w:val="21"/>
        </w:rPr>
        <w:t>2.1 采购内容：见投标人须知前附表。</w:t>
      </w:r>
    </w:p>
    <w:p w14:paraId="0B2B78AA">
      <w:pPr>
        <w:snapToGrid w:val="0"/>
        <w:spacing w:line="440" w:lineRule="exact"/>
        <w:ind w:firstLine="426" w:firstLineChars="200"/>
        <w:rPr>
          <w:rFonts w:ascii="宋体"/>
          <w:szCs w:val="21"/>
        </w:rPr>
      </w:pPr>
      <w:r>
        <w:rPr>
          <w:rFonts w:hint="eastAsia" w:ascii="宋体"/>
          <w:szCs w:val="21"/>
        </w:rPr>
        <w:t>2.2 技术要求：详见采购文件第四章采购内容及技术要求。</w:t>
      </w:r>
    </w:p>
    <w:p w14:paraId="4E37E34A">
      <w:pPr>
        <w:snapToGrid w:val="0"/>
        <w:spacing w:line="440" w:lineRule="exact"/>
        <w:ind w:firstLine="426" w:firstLineChars="200"/>
        <w:rPr>
          <w:rFonts w:ascii="宋体"/>
          <w:b/>
          <w:szCs w:val="21"/>
        </w:rPr>
      </w:pPr>
      <w:r>
        <w:rPr>
          <w:rFonts w:hint="eastAsia" w:ascii="宋体"/>
          <w:b/>
          <w:szCs w:val="21"/>
        </w:rPr>
        <w:t>3.标包划分：</w:t>
      </w:r>
    </w:p>
    <w:p w14:paraId="50375030">
      <w:pPr>
        <w:snapToGrid w:val="0"/>
        <w:spacing w:line="440" w:lineRule="exact"/>
        <w:ind w:firstLine="426" w:firstLineChars="200"/>
        <w:jc w:val="left"/>
        <w:rPr>
          <w:rFonts w:ascii="宋体"/>
          <w:szCs w:val="21"/>
        </w:rPr>
      </w:pPr>
      <w:r>
        <w:rPr>
          <w:rFonts w:hint="eastAsia" w:ascii="宋体"/>
          <w:szCs w:val="21"/>
        </w:rPr>
        <w:t>3.1本项目划分：</w:t>
      </w:r>
      <w:r>
        <w:rPr>
          <w:rFonts w:hint="eastAsia" w:ascii="宋体"/>
          <w:szCs w:val="21"/>
          <w:u w:val="single"/>
        </w:rPr>
        <w:t xml:space="preserve"> 1 </w:t>
      </w:r>
      <w:r>
        <w:rPr>
          <w:rFonts w:hint="eastAsia" w:ascii="宋体"/>
          <w:szCs w:val="21"/>
        </w:rPr>
        <w:t xml:space="preserve"> </w:t>
      </w:r>
      <w:r>
        <w:rPr>
          <w:rFonts w:hint="eastAsia"/>
          <w:szCs w:val="21"/>
        </w:rPr>
        <w:t>个标包</w:t>
      </w:r>
      <w:r>
        <w:rPr>
          <w:rFonts w:hint="eastAsia" w:ascii="宋体" w:hAnsi="宋体"/>
          <w:kern w:val="0"/>
          <w:szCs w:val="21"/>
        </w:rPr>
        <w:t>。</w:t>
      </w:r>
    </w:p>
    <w:p w14:paraId="2E30FC76">
      <w:pPr>
        <w:snapToGrid w:val="0"/>
        <w:spacing w:line="440" w:lineRule="exact"/>
        <w:ind w:firstLine="426" w:firstLineChars="200"/>
        <w:rPr>
          <w:rFonts w:ascii="宋体"/>
          <w:b/>
          <w:szCs w:val="21"/>
        </w:rPr>
      </w:pPr>
      <w:r>
        <w:rPr>
          <w:rFonts w:hint="eastAsia" w:ascii="宋体"/>
          <w:b/>
          <w:szCs w:val="21"/>
        </w:rPr>
        <w:t>4.招标方式：</w:t>
      </w:r>
    </w:p>
    <w:p w14:paraId="1E6E2FCC">
      <w:pPr>
        <w:snapToGrid w:val="0"/>
        <w:spacing w:line="440" w:lineRule="exact"/>
        <w:ind w:firstLine="426" w:firstLineChars="200"/>
        <w:rPr>
          <w:rFonts w:ascii="宋体"/>
          <w:szCs w:val="21"/>
        </w:rPr>
      </w:pPr>
      <w:r>
        <w:rPr>
          <w:rFonts w:hint="eastAsia" w:ascii="宋体"/>
          <w:szCs w:val="21"/>
        </w:rPr>
        <w:t>4.1本项目招标方式：见投标人须知前附表。</w:t>
      </w:r>
    </w:p>
    <w:p w14:paraId="4A584804">
      <w:pPr>
        <w:snapToGrid w:val="0"/>
        <w:spacing w:line="440" w:lineRule="exact"/>
        <w:ind w:firstLine="426" w:firstLineChars="200"/>
        <w:rPr>
          <w:rFonts w:ascii="宋体"/>
          <w:b/>
          <w:szCs w:val="21"/>
        </w:rPr>
      </w:pPr>
      <w:r>
        <w:rPr>
          <w:rFonts w:hint="eastAsia" w:ascii="宋体"/>
          <w:b/>
          <w:szCs w:val="21"/>
        </w:rPr>
        <w:t>5.计价方式：</w:t>
      </w:r>
    </w:p>
    <w:p w14:paraId="0552C3F7">
      <w:pPr>
        <w:snapToGrid w:val="0"/>
        <w:spacing w:line="440" w:lineRule="exact"/>
        <w:ind w:firstLine="426" w:firstLineChars="200"/>
        <w:rPr>
          <w:rFonts w:ascii="宋体"/>
          <w:szCs w:val="21"/>
        </w:rPr>
      </w:pPr>
      <w:r>
        <w:rPr>
          <w:rFonts w:hint="eastAsia" w:ascii="宋体"/>
          <w:szCs w:val="21"/>
        </w:rPr>
        <w:t>5.1本次招标项目合同采用</w:t>
      </w:r>
      <w:r>
        <w:rPr>
          <w:rFonts w:hint="eastAsia" w:ascii="宋体"/>
          <w:szCs w:val="21"/>
          <w:u w:val="single"/>
        </w:rPr>
        <w:t xml:space="preserve">   固定总价 。</w:t>
      </w:r>
    </w:p>
    <w:p w14:paraId="6D231540">
      <w:pPr>
        <w:snapToGrid w:val="0"/>
        <w:spacing w:line="440" w:lineRule="exact"/>
        <w:ind w:firstLine="426" w:firstLineChars="200"/>
        <w:rPr>
          <w:rFonts w:ascii="宋体"/>
          <w:b/>
          <w:szCs w:val="21"/>
        </w:rPr>
      </w:pPr>
      <w:r>
        <w:rPr>
          <w:rFonts w:hint="eastAsia" w:ascii="宋体"/>
          <w:b/>
          <w:szCs w:val="21"/>
        </w:rPr>
        <w:t>6.评标办法：</w:t>
      </w:r>
    </w:p>
    <w:p w14:paraId="1EB22E0B">
      <w:pPr>
        <w:snapToGrid w:val="0"/>
        <w:spacing w:line="440" w:lineRule="exact"/>
        <w:ind w:firstLine="426" w:firstLineChars="200"/>
        <w:rPr>
          <w:rFonts w:ascii="宋体"/>
          <w:szCs w:val="21"/>
        </w:rPr>
      </w:pPr>
      <w:r>
        <w:rPr>
          <w:rFonts w:hint="eastAsia" w:ascii="宋体"/>
          <w:szCs w:val="21"/>
        </w:rPr>
        <w:t>6.1本次招标评标采用</w:t>
      </w:r>
      <w:r>
        <w:rPr>
          <w:rFonts w:hint="eastAsia" w:ascii="宋体"/>
          <w:szCs w:val="21"/>
          <w:u w:val="single"/>
        </w:rPr>
        <w:t xml:space="preserve">  综合评分法 </w:t>
      </w:r>
      <w:r>
        <w:rPr>
          <w:rFonts w:hint="eastAsia" w:ascii="宋体"/>
          <w:szCs w:val="21"/>
        </w:rPr>
        <w:t>（详见第三章评标办法）</w:t>
      </w:r>
    </w:p>
    <w:p w14:paraId="18E55F14">
      <w:pPr>
        <w:snapToGrid w:val="0"/>
        <w:spacing w:line="440" w:lineRule="exact"/>
        <w:ind w:firstLine="426" w:firstLineChars="200"/>
        <w:rPr>
          <w:rFonts w:ascii="宋体"/>
          <w:b/>
          <w:szCs w:val="21"/>
        </w:rPr>
      </w:pPr>
      <w:r>
        <w:rPr>
          <w:rFonts w:hint="eastAsia" w:ascii="宋体"/>
          <w:b/>
          <w:szCs w:val="21"/>
        </w:rPr>
        <w:t>7.投标人资格：</w:t>
      </w:r>
    </w:p>
    <w:p w14:paraId="2130C5CE">
      <w:pPr>
        <w:snapToGrid w:val="0"/>
        <w:spacing w:line="440" w:lineRule="exact"/>
        <w:ind w:firstLine="426" w:firstLineChars="200"/>
        <w:rPr>
          <w:rFonts w:ascii="宋体"/>
          <w:szCs w:val="21"/>
        </w:rPr>
      </w:pPr>
      <w:r>
        <w:rPr>
          <w:rFonts w:hint="eastAsia" w:ascii="宋体"/>
          <w:szCs w:val="21"/>
        </w:rPr>
        <w:t>7.1参与采购活动的投标人必须是满足《中华人民共和国政府采购法》规定条件的法人、其他组织或者自然人：</w:t>
      </w:r>
    </w:p>
    <w:p w14:paraId="49F046D2">
      <w:pPr>
        <w:snapToGrid w:val="0"/>
        <w:spacing w:line="440" w:lineRule="exact"/>
        <w:ind w:firstLine="426" w:firstLineChars="200"/>
        <w:rPr>
          <w:rFonts w:ascii="宋体"/>
          <w:szCs w:val="21"/>
        </w:rPr>
      </w:pPr>
      <w:r>
        <w:rPr>
          <w:rFonts w:hint="eastAsia" w:ascii="宋体"/>
          <w:szCs w:val="21"/>
        </w:rPr>
        <w:t>7.2由于政府采购项目的差异性，投标人在参与具体政府采购项目活动时，应仔细阅读该项目的资质要求,具体见投标人须知前附表。</w:t>
      </w:r>
    </w:p>
    <w:p w14:paraId="49A27FD1">
      <w:pPr>
        <w:snapToGrid w:val="0"/>
        <w:spacing w:line="440" w:lineRule="exact"/>
        <w:ind w:firstLine="426" w:firstLineChars="200"/>
        <w:rPr>
          <w:rFonts w:ascii="宋体"/>
          <w:szCs w:val="21"/>
        </w:rPr>
      </w:pPr>
      <w:r>
        <w:rPr>
          <w:rFonts w:hint="eastAsia" w:ascii="宋体"/>
          <w:szCs w:val="21"/>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3FA367A7">
      <w:pPr>
        <w:snapToGrid w:val="0"/>
        <w:spacing w:line="440" w:lineRule="exact"/>
        <w:ind w:firstLine="426" w:firstLineChars="200"/>
        <w:rPr>
          <w:rFonts w:ascii="宋体"/>
          <w:szCs w:val="21"/>
        </w:rPr>
      </w:pPr>
      <w:r>
        <w:rPr>
          <w:rFonts w:hint="eastAsia" w:ascii="宋体"/>
          <w:szCs w:val="21"/>
        </w:rPr>
        <w:t>7.4投标人必须确保自己在信息库中注册的信息真实、准确，并保证投标文件中的有关信息与库中的信息相一致。否则，投标人因此蒙受损失，招标人概不负责。</w:t>
      </w:r>
    </w:p>
    <w:p w14:paraId="1C86B6B4">
      <w:pPr>
        <w:spacing w:line="440" w:lineRule="exact"/>
        <w:ind w:firstLine="426" w:firstLineChars="200"/>
        <w:rPr>
          <w:b/>
          <w:szCs w:val="21"/>
        </w:rPr>
      </w:pPr>
      <w:r>
        <w:rPr>
          <w:rFonts w:hint="eastAsia"/>
          <w:b/>
          <w:szCs w:val="21"/>
        </w:rPr>
        <w:t>8. 投标费用</w:t>
      </w:r>
    </w:p>
    <w:p w14:paraId="046838CC">
      <w:pPr>
        <w:snapToGrid w:val="0"/>
        <w:spacing w:line="440" w:lineRule="exact"/>
        <w:ind w:firstLine="426" w:firstLineChars="200"/>
        <w:rPr>
          <w:rFonts w:ascii="宋体"/>
          <w:szCs w:val="21"/>
        </w:rPr>
      </w:pPr>
      <w:r>
        <w:rPr>
          <w:rFonts w:hint="eastAsia" w:ascii="宋体"/>
          <w:szCs w:val="21"/>
        </w:rPr>
        <w:t>8.1投标人准备和参加投标活动发生的费用自理。</w:t>
      </w:r>
    </w:p>
    <w:p w14:paraId="24BC8786">
      <w:pPr>
        <w:spacing w:line="440" w:lineRule="exact"/>
        <w:ind w:firstLine="426" w:firstLineChars="200"/>
        <w:rPr>
          <w:b/>
          <w:szCs w:val="21"/>
        </w:rPr>
      </w:pPr>
      <w:r>
        <w:rPr>
          <w:rFonts w:hint="eastAsia"/>
          <w:b/>
          <w:szCs w:val="21"/>
        </w:rPr>
        <w:t>9.</w:t>
      </w:r>
      <w:bookmarkStart w:id="25" w:name="_Toc296602429"/>
      <w:bookmarkStart w:id="26" w:name="_Toc247513962"/>
      <w:bookmarkStart w:id="27" w:name="_Toc144974507"/>
      <w:bookmarkStart w:id="28" w:name="_Toc247527563"/>
      <w:bookmarkStart w:id="29" w:name="_Toc247592876"/>
      <w:bookmarkStart w:id="30" w:name="_Toc152045539"/>
      <w:bookmarkStart w:id="31" w:name="_Toc152042315"/>
      <w:r>
        <w:rPr>
          <w:rFonts w:hint="eastAsia"/>
          <w:b/>
          <w:szCs w:val="21"/>
        </w:rPr>
        <w:t xml:space="preserve"> 踏勘现场</w:t>
      </w:r>
      <w:bookmarkEnd w:id="25"/>
      <w:bookmarkEnd w:id="26"/>
      <w:bookmarkEnd w:id="27"/>
      <w:bookmarkEnd w:id="28"/>
      <w:bookmarkEnd w:id="29"/>
      <w:bookmarkEnd w:id="30"/>
      <w:bookmarkEnd w:id="31"/>
    </w:p>
    <w:p w14:paraId="4F391F28">
      <w:pPr>
        <w:spacing w:line="440" w:lineRule="exact"/>
        <w:ind w:firstLine="414" w:firstLineChars="195"/>
        <w:rPr>
          <w:rFonts w:ascii="宋体"/>
          <w:szCs w:val="21"/>
        </w:rPr>
      </w:pPr>
      <w:r>
        <w:rPr>
          <w:rFonts w:hint="eastAsia" w:ascii="宋体"/>
          <w:szCs w:val="21"/>
        </w:rPr>
        <w:t>9.1 投标人须知前附表规定组织踏勘现场的，招标人按投标人须知前附表规定的时间、地点组织投标人踏勘项目现场。如需踏勘现场，</w:t>
      </w:r>
      <w:r>
        <w:rPr>
          <w:rFonts w:hint="eastAsia"/>
        </w:rPr>
        <w:t>投标人自行踏勘现场的，可咨询本项目采购人或采购代理机构联系人。</w:t>
      </w:r>
      <w:r>
        <w:rPr>
          <w:rFonts w:hint="eastAsia"/>
          <w:b/>
          <w:bCs/>
        </w:rPr>
        <w:t>投标人自行踏勘现场的，可咨询本项目采购人或采购代理机构联系人。</w:t>
      </w:r>
      <w:r>
        <w:rPr>
          <w:rFonts w:hint="eastAsia" w:ascii="宋体"/>
          <w:b/>
          <w:bCs/>
          <w:szCs w:val="21"/>
        </w:rPr>
        <w:t xml:space="preserve"> </w:t>
      </w:r>
    </w:p>
    <w:p w14:paraId="09D5307A">
      <w:pPr>
        <w:spacing w:line="440" w:lineRule="exact"/>
        <w:ind w:firstLine="414" w:firstLineChars="195"/>
        <w:rPr>
          <w:rFonts w:ascii="宋体"/>
          <w:szCs w:val="21"/>
        </w:rPr>
      </w:pPr>
      <w:r>
        <w:rPr>
          <w:rFonts w:hint="eastAsia" w:ascii="宋体"/>
          <w:szCs w:val="21"/>
        </w:rPr>
        <w:t>9.2 投标人踏勘现场发生的费用自理。</w:t>
      </w:r>
    </w:p>
    <w:p w14:paraId="3B534ECF">
      <w:pPr>
        <w:spacing w:line="440" w:lineRule="exact"/>
        <w:ind w:firstLine="414" w:firstLineChars="195"/>
        <w:rPr>
          <w:rFonts w:ascii="宋体"/>
          <w:szCs w:val="21"/>
        </w:rPr>
      </w:pPr>
      <w:r>
        <w:rPr>
          <w:rFonts w:hint="eastAsia" w:ascii="宋体"/>
          <w:szCs w:val="21"/>
        </w:rPr>
        <w:t>9.3 除招标人的原因外，投标人自行负责在踏勘现场中所发生的人员伤亡和财产损失。</w:t>
      </w:r>
    </w:p>
    <w:p w14:paraId="7977B5CD">
      <w:pPr>
        <w:spacing w:line="440" w:lineRule="exact"/>
        <w:ind w:firstLine="414" w:firstLineChars="195"/>
        <w:rPr>
          <w:rFonts w:ascii="宋体"/>
          <w:szCs w:val="21"/>
        </w:rPr>
      </w:pPr>
      <w:r>
        <w:rPr>
          <w:rFonts w:hint="eastAsia" w:ascii="宋体"/>
          <w:szCs w:val="21"/>
        </w:rPr>
        <w:t>9.4 招标人在踏勘现场中介绍的场地和相关的周边环境情况，供投标人在编制投标文件时参考，招标人不对投标人据此作出的判断和决策负责。</w:t>
      </w:r>
      <w:bookmarkStart w:id="32" w:name="_Toc247592877"/>
      <w:bookmarkStart w:id="33" w:name="_Toc247527564"/>
      <w:bookmarkStart w:id="34" w:name="_Toc152045540"/>
      <w:bookmarkStart w:id="35" w:name="_Toc152042316"/>
      <w:bookmarkStart w:id="36" w:name="_Toc144974508"/>
      <w:bookmarkStart w:id="37" w:name="_Toc296602430"/>
      <w:bookmarkStart w:id="38" w:name="_Toc247513963"/>
    </w:p>
    <w:p w14:paraId="00F1A4AF">
      <w:pPr>
        <w:spacing w:line="440" w:lineRule="exact"/>
        <w:ind w:firstLine="426" w:firstLineChars="200"/>
        <w:rPr>
          <w:b/>
          <w:szCs w:val="21"/>
        </w:rPr>
      </w:pPr>
      <w:r>
        <w:rPr>
          <w:rFonts w:hint="eastAsia"/>
          <w:b/>
          <w:szCs w:val="21"/>
        </w:rPr>
        <w:t>10. 投标预备会</w:t>
      </w:r>
      <w:bookmarkEnd w:id="32"/>
      <w:bookmarkEnd w:id="33"/>
      <w:bookmarkEnd w:id="34"/>
      <w:bookmarkEnd w:id="35"/>
      <w:bookmarkEnd w:id="36"/>
      <w:bookmarkEnd w:id="37"/>
      <w:bookmarkEnd w:id="38"/>
    </w:p>
    <w:p w14:paraId="499AAB8C">
      <w:pPr>
        <w:spacing w:line="440" w:lineRule="exact"/>
        <w:ind w:firstLine="414" w:firstLineChars="195"/>
        <w:rPr>
          <w:rFonts w:ascii="宋体"/>
          <w:szCs w:val="21"/>
        </w:rPr>
      </w:pPr>
      <w:r>
        <w:rPr>
          <w:rFonts w:hint="eastAsia" w:ascii="宋体"/>
          <w:szCs w:val="21"/>
        </w:rPr>
        <w:t>10.1投标人须知前附表规定召开投标预备会的，招标人按投标人须知前附表规定的时间和地点召开投标预备会，澄清投标人提出的问题。</w:t>
      </w:r>
    </w:p>
    <w:p w14:paraId="5A6B1FB9">
      <w:pPr>
        <w:spacing w:line="440" w:lineRule="exact"/>
        <w:ind w:firstLine="414" w:firstLineChars="195"/>
        <w:rPr>
          <w:rFonts w:ascii="宋体"/>
          <w:szCs w:val="21"/>
        </w:rPr>
      </w:pPr>
      <w:r>
        <w:rPr>
          <w:rFonts w:hint="eastAsia" w:ascii="宋体"/>
          <w:szCs w:val="21"/>
        </w:rPr>
        <w:t>10.2投标人应在投标人须知前附表规定的时间前，将提出的问题送达招标人，以便招标人澄清。</w:t>
      </w:r>
    </w:p>
    <w:p w14:paraId="08E1B486">
      <w:pPr>
        <w:spacing w:line="440" w:lineRule="exact"/>
        <w:ind w:firstLine="414" w:firstLineChars="195"/>
        <w:rPr>
          <w:rFonts w:ascii="宋体"/>
          <w:szCs w:val="21"/>
        </w:rPr>
      </w:pPr>
      <w:r>
        <w:rPr>
          <w:rFonts w:hint="eastAsia" w:ascii="宋体"/>
          <w:szCs w:val="21"/>
        </w:rPr>
        <w:t>10.3招标人在投标人须知前附表规定的时间，将对投标人所提的问题进行澄清。该澄清内容为采购文件的组成部分。</w:t>
      </w:r>
    </w:p>
    <w:p w14:paraId="44FECE4B">
      <w:pPr>
        <w:spacing w:line="440" w:lineRule="exact"/>
        <w:ind w:firstLine="426" w:firstLineChars="200"/>
        <w:rPr>
          <w:b/>
          <w:szCs w:val="21"/>
        </w:rPr>
      </w:pPr>
      <w:r>
        <w:rPr>
          <w:rFonts w:hint="eastAsia"/>
          <w:b/>
          <w:szCs w:val="21"/>
        </w:rPr>
        <w:t>11. 联合投标</w:t>
      </w:r>
    </w:p>
    <w:p w14:paraId="48566716">
      <w:pPr>
        <w:spacing w:line="440" w:lineRule="exact"/>
        <w:ind w:firstLine="414" w:firstLineChars="195"/>
        <w:rPr>
          <w:rFonts w:ascii="宋体"/>
          <w:szCs w:val="21"/>
        </w:rPr>
      </w:pPr>
      <w:r>
        <w:rPr>
          <w:rFonts w:hint="eastAsia" w:ascii="宋体"/>
          <w:szCs w:val="21"/>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1EFD5A77">
      <w:pPr>
        <w:spacing w:line="400" w:lineRule="exact"/>
        <w:ind w:firstLine="414" w:firstLineChars="195"/>
        <w:rPr>
          <w:rFonts w:ascii="宋体"/>
          <w:szCs w:val="21"/>
        </w:rPr>
      </w:pPr>
      <w:r>
        <w:rPr>
          <w:rFonts w:hint="eastAsia" w:ascii="宋体"/>
          <w:szCs w:val="21"/>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1BA09220">
      <w:pPr>
        <w:spacing w:line="400" w:lineRule="exact"/>
        <w:ind w:firstLine="416" w:firstLineChars="196"/>
        <w:rPr>
          <w:rFonts w:ascii="宋体"/>
          <w:szCs w:val="21"/>
        </w:rPr>
      </w:pPr>
      <w:r>
        <w:rPr>
          <w:rFonts w:hint="eastAsia" w:ascii="宋体"/>
          <w:szCs w:val="21"/>
        </w:rPr>
        <w:t>11</w:t>
      </w:r>
      <w:r>
        <w:rPr>
          <w:rFonts w:ascii="宋体"/>
          <w:szCs w:val="21"/>
        </w:rPr>
        <w:t>.</w:t>
      </w:r>
      <w:r>
        <w:rPr>
          <w:rFonts w:hint="eastAsia" w:ascii="宋体"/>
          <w:szCs w:val="21"/>
        </w:rPr>
        <w:t>3 联合体应当确定其中一个单位为投标的全权代表，负责参加投标的一切事务，并承担投标及履约中应承担的全部责任与义务。</w:t>
      </w:r>
    </w:p>
    <w:p w14:paraId="71144941">
      <w:pPr>
        <w:spacing w:line="400" w:lineRule="exact"/>
        <w:ind w:firstLine="416" w:firstLineChars="196"/>
        <w:rPr>
          <w:rFonts w:ascii="宋体"/>
          <w:szCs w:val="21"/>
        </w:rPr>
      </w:pPr>
      <w:r>
        <w:rPr>
          <w:rFonts w:hint="eastAsia" w:ascii="宋体"/>
          <w:szCs w:val="21"/>
        </w:rPr>
        <w:t>11.4 联合体各方应当共同与招标人签订采购合同，就采购合同约定的事项对招标人承担连带责任。</w:t>
      </w:r>
    </w:p>
    <w:p w14:paraId="6BC6BB58">
      <w:pPr>
        <w:spacing w:line="440" w:lineRule="exact"/>
        <w:ind w:firstLine="416" w:firstLineChars="196"/>
        <w:jc w:val="left"/>
        <w:rPr>
          <w:rFonts w:ascii="宋体"/>
          <w:b/>
          <w:szCs w:val="21"/>
        </w:rPr>
      </w:pPr>
      <w:r>
        <w:rPr>
          <w:rFonts w:hint="eastAsia" w:ascii="宋体"/>
          <w:b/>
          <w:szCs w:val="21"/>
        </w:rPr>
        <w:t>12.招标代理费</w:t>
      </w:r>
    </w:p>
    <w:p w14:paraId="6F13DCE8">
      <w:pPr>
        <w:spacing w:line="360" w:lineRule="auto"/>
        <w:ind w:firstLine="426" w:firstLineChars="200"/>
        <w:rPr>
          <w:rFonts w:hint="eastAsia" w:ascii="宋体" w:hAnsi="宋体"/>
          <w:szCs w:val="21"/>
        </w:rPr>
      </w:pPr>
      <w:r>
        <w:rPr>
          <w:rFonts w:hint="eastAsia" w:ascii="宋体" w:hAnsi="宋体"/>
          <w:szCs w:val="21"/>
        </w:rPr>
        <w:t>中标单位在领取本项目中标通知书时，招标代理费依据《关于进一步放开建设项目专业服务价格的通知》（发改价格[2015]299 号）</w:t>
      </w:r>
      <w:r>
        <w:rPr>
          <w:rFonts w:hint="eastAsia" w:ascii="宋体" w:hAnsi="宋体"/>
          <w:szCs w:val="21"/>
          <w:lang w:eastAsia="zh-CN"/>
        </w:rPr>
        <w:t>、《新疆维吾尔自治区招标代理服务收费指导意见》</w:t>
      </w:r>
      <w:r>
        <w:rPr>
          <w:rFonts w:hint="eastAsia" w:ascii="宋体" w:hAnsi="宋体"/>
          <w:szCs w:val="21"/>
        </w:rPr>
        <w:t>的规定，按中标价计算后收取。</w:t>
      </w:r>
    </w:p>
    <w:p w14:paraId="12CE2344">
      <w:pPr>
        <w:spacing w:line="360" w:lineRule="auto"/>
        <w:ind w:firstLine="426" w:firstLineChars="200"/>
        <w:rPr>
          <w:rFonts w:hint="eastAsia" w:ascii="宋体" w:hAnsi="宋体"/>
          <w:szCs w:val="21"/>
        </w:rPr>
      </w:pPr>
      <w:r>
        <w:rPr>
          <w:rFonts w:hint="eastAsia" w:ascii="宋体" w:hAnsi="宋体"/>
          <w:szCs w:val="21"/>
        </w:rPr>
        <w:t>收费标准如下：</w:t>
      </w:r>
    </w:p>
    <w:p w14:paraId="00C50053">
      <w:pPr>
        <w:spacing w:line="360" w:lineRule="auto"/>
        <w:ind w:firstLine="426" w:firstLineChars="200"/>
        <w:rPr>
          <w:rFonts w:hint="eastAsia" w:ascii="宋体" w:hAnsi="宋体"/>
          <w:szCs w:val="21"/>
        </w:rPr>
      </w:pPr>
      <w:r>
        <w:rPr>
          <w:rFonts w:hint="eastAsia" w:ascii="宋体" w:hAnsi="宋体"/>
          <w:szCs w:val="21"/>
        </w:rPr>
        <w:t>招标代理服务收费标准</w:t>
      </w:r>
    </w:p>
    <w:tbl>
      <w:tblPr>
        <w:tblStyle w:val="27"/>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3CB5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765B118E">
            <w:pPr>
              <w:spacing w:line="360" w:lineRule="auto"/>
              <w:rPr>
                <w:rFonts w:hint="eastAsia" w:ascii="宋体" w:hAnsi="宋体"/>
                <w:szCs w:val="21"/>
              </w:rPr>
            </w:pPr>
            <w:r>
              <w:rPr>
                <w:rFonts w:hint="eastAsia" w:ascii="宋体" w:hAnsi="宋体"/>
                <w:szCs w:val="21"/>
              </w:rPr>
              <w:t>中标金额（万元）</w:t>
            </w:r>
          </w:p>
        </w:tc>
        <w:tc>
          <w:tcPr>
            <w:tcW w:w="1546" w:type="dxa"/>
          </w:tcPr>
          <w:p w14:paraId="135BA673">
            <w:pPr>
              <w:spacing w:line="360" w:lineRule="auto"/>
              <w:ind w:firstLine="426" w:firstLineChars="200"/>
              <w:rPr>
                <w:rFonts w:hint="eastAsia" w:ascii="宋体" w:hAnsi="宋体"/>
                <w:szCs w:val="21"/>
              </w:rPr>
            </w:pPr>
            <w:r>
              <w:rPr>
                <w:rFonts w:hint="eastAsia" w:ascii="宋体" w:hAnsi="宋体"/>
                <w:szCs w:val="21"/>
              </w:rPr>
              <w:t>货物招标</w:t>
            </w:r>
          </w:p>
        </w:tc>
        <w:tc>
          <w:tcPr>
            <w:tcW w:w="1907" w:type="dxa"/>
          </w:tcPr>
          <w:p w14:paraId="7B22F3D3">
            <w:pPr>
              <w:spacing w:line="360" w:lineRule="auto"/>
              <w:ind w:firstLine="426" w:firstLineChars="200"/>
              <w:rPr>
                <w:rFonts w:hint="eastAsia" w:ascii="宋体" w:hAnsi="宋体"/>
                <w:szCs w:val="21"/>
              </w:rPr>
            </w:pPr>
            <w:r>
              <w:rPr>
                <w:rFonts w:hint="eastAsia" w:ascii="宋体" w:hAnsi="宋体"/>
                <w:szCs w:val="21"/>
              </w:rPr>
              <w:t>服务招标</w:t>
            </w:r>
          </w:p>
        </w:tc>
        <w:tc>
          <w:tcPr>
            <w:tcW w:w="1292" w:type="dxa"/>
          </w:tcPr>
          <w:p w14:paraId="7E18C77B">
            <w:pPr>
              <w:spacing w:line="360" w:lineRule="auto"/>
              <w:ind w:firstLine="426" w:firstLineChars="200"/>
              <w:rPr>
                <w:rFonts w:hint="eastAsia" w:ascii="宋体" w:hAnsi="宋体"/>
                <w:szCs w:val="21"/>
              </w:rPr>
            </w:pPr>
            <w:r>
              <w:rPr>
                <w:rFonts w:hint="eastAsia" w:ascii="宋体" w:hAnsi="宋体"/>
                <w:szCs w:val="21"/>
              </w:rPr>
              <w:t>备注</w:t>
            </w:r>
          </w:p>
        </w:tc>
      </w:tr>
      <w:tr w14:paraId="0C4B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32A4CA39">
            <w:pPr>
              <w:spacing w:line="360" w:lineRule="auto"/>
              <w:ind w:firstLine="426" w:firstLineChars="200"/>
              <w:rPr>
                <w:rFonts w:hint="eastAsia" w:ascii="宋体" w:hAnsi="宋体"/>
                <w:szCs w:val="21"/>
              </w:rPr>
            </w:pPr>
            <w:r>
              <w:rPr>
                <w:rFonts w:hint="eastAsia" w:ascii="宋体" w:hAnsi="宋体"/>
                <w:szCs w:val="21"/>
              </w:rPr>
              <w:t>100以下</w:t>
            </w:r>
          </w:p>
        </w:tc>
        <w:tc>
          <w:tcPr>
            <w:tcW w:w="1546" w:type="dxa"/>
            <w:vAlign w:val="center"/>
          </w:tcPr>
          <w:p w14:paraId="6C3FF3B4">
            <w:pPr>
              <w:spacing w:line="360" w:lineRule="auto"/>
              <w:ind w:firstLine="426" w:firstLineChars="200"/>
              <w:rPr>
                <w:rFonts w:hint="eastAsia" w:ascii="宋体" w:hAnsi="宋体"/>
                <w:szCs w:val="21"/>
              </w:rPr>
            </w:pPr>
            <w:r>
              <w:rPr>
                <w:rFonts w:hint="eastAsia" w:ascii="宋体" w:hAnsi="宋体"/>
                <w:szCs w:val="21"/>
              </w:rPr>
              <w:t>1.5</w:t>
            </w:r>
            <w:r>
              <w:rPr>
                <w:rFonts w:hint="eastAsia" w:ascii="宋体" w:hAnsi="宋体"/>
                <w:szCs w:val="21"/>
                <w:lang w:val="en-US" w:eastAsia="zh-CN"/>
              </w:rPr>
              <w:t>8</w:t>
            </w:r>
            <w:r>
              <w:rPr>
                <w:rFonts w:hint="eastAsia" w:ascii="宋体" w:hAnsi="宋体"/>
                <w:szCs w:val="21"/>
              </w:rPr>
              <w:t>%</w:t>
            </w:r>
          </w:p>
        </w:tc>
        <w:tc>
          <w:tcPr>
            <w:tcW w:w="1907" w:type="dxa"/>
            <w:vAlign w:val="center"/>
          </w:tcPr>
          <w:p w14:paraId="2A821069">
            <w:pPr>
              <w:spacing w:line="360" w:lineRule="auto"/>
              <w:ind w:firstLine="426" w:firstLineChars="200"/>
              <w:rPr>
                <w:rFonts w:hint="eastAsia" w:ascii="宋体" w:hAnsi="宋体"/>
                <w:szCs w:val="21"/>
              </w:rPr>
            </w:pPr>
            <w:r>
              <w:rPr>
                <w:rFonts w:hint="eastAsia" w:ascii="宋体" w:hAnsi="宋体"/>
                <w:szCs w:val="21"/>
              </w:rPr>
              <w:t>1.5</w:t>
            </w:r>
            <w:r>
              <w:rPr>
                <w:rFonts w:hint="eastAsia" w:ascii="宋体" w:hAnsi="宋体"/>
                <w:szCs w:val="21"/>
                <w:lang w:val="en-US" w:eastAsia="zh-CN"/>
              </w:rPr>
              <w:t>8</w:t>
            </w:r>
            <w:r>
              <w:rPr>
                <w:rFonts w:hint="eastAsia" w:ascii="宋体" w:hAnsi="宋体"/>
                <w:szCs w:val="21"/>
              </w:rPr>
              <w:t>%</w:t>
            </w:r>
          </w:p>
        </w:tc>
        <w:tc>
          <w:tcPr>
            <w:tcW w:w="1292" w:type="dxa"/>
          </w:tcPr>
          <w:p w14:paraId="2C44D1D8">
            <w:pPr>
              <w:spacing w:line="360" w:lineRule="auto"/>
              <w:ind w:firstLine="426" w:firstLineChars="200"/>
              <w:rPr>
                <w:rFonts w:hint="eastAsia" w:ascii="宋体" w:hAnsi="宋体"/>
                <w:szCs w:val="21"/>
              </w:rPr>
            </w:pPr>
          </w:p>
        </w:tc>
      </w:tr>
      <w:tr w14:paraId="2AA5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01E4E951">
            <w:pPr>
              <w:spacing w:line="360" w:lineRule="auto"/>
              <w:ind w:firstLine="426" w:firstLineChars="200"/>
              <w:rPr>
                <w:rFonts w:hint="eastAsia" w:ascii="宋体" w:hAnsi="宋体"/>
                <w:szCs w:val="21"/>
              </w:rPr>
            </w:pPr>
            <w:r>
              <w:rPr>
                <w:rFonts w:hint="eastAsia" w:ascii="宋体" w:hAnsi="宋体"/>
                <w:szCs w:val="21"/>
              </w:rPr>
              <w:t>100-500</w:t>
            </w:r>
          </w:p>
        </w:tc>
        <w:tc>
          <w:tcPr>
            <w:tcW w:w="1546" w:type="dxa"/>
            <w:vAlign w:val="center"/>
          </w:tcPr>
          <w:p w14:paraId="70EA83BB">
            <w:pPr>
              <w:spacing w:line="360" w:lineRule="auto"/>
              <w:ind w:firstLine="426" w:firstLineChars="200"/>
              <w:rPr>
                <w:rFonts w:hint="eastAsia" w:ascii="宋体" w:hAnsi="宋体"/>
                <w:szCs w:val="21"/>
              </w:rPr>
            </w:pPr>
            <w:r>
              <w:rPr>
                <w:rFonts w:hint="eastAsia" w:ascii="宋体" w:hAnsi="宋体"/>
                <w:szCs w:val="21"/>
              </w:rPr>
              <w:t>1.1</w:t>
            </w:r>
            <w:r>
              <w:rPr>
                <w:rFonts w:hint="eastAsia" w:ascii="宋体" w:hAnsi="宋体"/>
                <w:szCs w:val="21"/>
                <w:lang w:val="en-US" w:eastAsia="zh-CN"/>
              </w:rPr>
              <w:t>6</w:t>
            </w:r>
            <w:r>
              <w:rPr>
                <w:rFonts w:hint="eastAsia" w:ascii="宋体" w:hAnsi="宋体"/>
                <w:szCs w:val="21"/>
              </w:rPr>
              <w:t>%</w:t>
            </w:r>
          </w:p>
        </w:tc>
        <w:tc>
          <w:tcPr>
            <w:tcW w:w="1907" w:type="dxa"/>
            <w:vAlign w:val="center"/>
          </w:tcPr>
          <w:p w14:paraId="17846229">
            <w:pPr>
              <w:spacing w:line="360" w:lineRule="auto"/>
              <w:ind w:firstLine="426" w:firstLineChars="200"/>
              <w:rPr>
                <w:rFonts w:hint="eastAsia" w:ascii="宋体" w:hAnsi="宋体"/>
                <w:szCs w:val="21"/>
              </w:rPr>
            </w:pPr>
            <w:r>
              <w:rPr>
                <w:rFonts w:hint="eastAsia" w:ascii="宋体" w:hAnsi="宋体"/>
                <w:szCs w:val="21"/>
              </w:rPr>
              <w:t>0.8</w:t>
            </w:r>
            <w:r>
              <w:rPr>
                <w:rFonts w:hint="eastAsia" w:ascii="宋体" w:hAnsi="宋体"/>
                <w:szCs w:val="21"/>
                <w:lang w:val="en-US" w:eastAsia="zh-CN"/>
              </w:rPr>
              <w:t>4</w:t>
            </w:r>
            <w:r>
              <w:rPr>
                <w:rFonts w:hint="eastAsia" w:ascii="宋体" w:hAnsi="宋体"/>
                <w:szCs w:val="21"/>
              </w:rPr>
              <w:t>%</w:t>
            </w:r>
          </w:p>
        </w:tc>
        <w:tc>
          <w:tcPr>
            <w:tcW w:w="1292" w:type="dxa"/>
          </w:tcPr>
          <w:p w14:paraId="0A0FC9AA">
            <w:pPr>
              <w:spacing w:line="360" w:lineRule="auto"/>
              <w:ind w:firstLine="426" w:firstLineChars="200"/>
              <w:rPr>
                <w:rFonts w:hint="eastAsia" w:ascii="宋体" w:hAnsi="宋体"/>
                <w:szCs w:val="21"/>
              </w:rPr>
            </w:pPr>
          </w:p>
        </w:tc>
      </w:tr>
      <w:tr w14:paraId="4C6A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2E19766D">
            <w:pPr>
              <w:spacing w:line="360" w:lineRule="auto"/>
              <w:ind w:firstLine="426" w:firstLineChars="200"/>
              <w:rPr>
                <w:rFonts w:hint="eastAsia" w:ascii="宋体" w:hAnsi="宋体"/>
                <w:szCs w:val="21"/>
              </w:rPr>
            </w:pPr>
            <w:r>
              <w:rPr>
                <w:rFonts w:hint="eastAsia" w:ascii="宋体" w:hAnsi="宋体"/>
                <w:szCs w:val="21"/>
              </w:rPr>
              <w:t>500-1000</w:t>
            </w:r>
          </w:p>
        </w:tc>
        <w:tc>
          <w:tcPr>
            <w:tcW w:w="1546" w:type="dxa"/>
            <w:vAlign w:val="center"/>
          </w:tcPr>
          <w:p w14:paraId="58BCFBCB">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93</w:t>
            </w:r>
            <w:r>
              <w:rPr>
                <w:rFonts w:hint="eastAsia" w:ascii="宋体" w:hAnsi="宋体"/>
                <w:szCs w:val="21"/>
              </w:rPr>
              <w:t>%</w:t>
            </w:r>
          </w:p>
        </w:tc>
        <w:tc>
          <w:tcPr>
            <w:tcW w:w="1907" w:type="dxa"/>
            <w:vAlign w:val="center"/>
          </w:tcPr>
          <w:p w14:paraId="3F78C555">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62</w:t>
            </w:r>
            <w:r>
              <w:rPr>
                <w:rFonts w:hint="eastAsia" w:ascii="宋体" w:hAnsi="宋体"/>
                <w:szCs w:val="21"/>
              </w:rPr>
              <w:t>%</w:t>
            </w:r>
          </w:p>
        </w:tc>
        <w:tc>
          <w:tcPr>
            <w:tcW w:w="1292" w:type="dxa"/>
          </w:tcPr>
          <w:p w14:paraId="72F08619">
            <w:pPr>
              <w:spacing w:line="360" w:lineRule="auto"/>
              <w:ind w:firstLine="426" w:firstLineChars="200"/>
              <w:rPr>
                <w:rFonts w:hint="eastAsia" w:ascii="宋体" w:hAnsi="宋体"/>
                <w:szCs w:val="21"/>
              </w:rPr>
            </w:pPr>
          </w:p>
        </w:tc>
      </w:tr>
      <w:tr w14:paraId="63AF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39F87ADE">
            <w:pPr>
              <w:spacing w:line="360" w:lineRule="auto"/>
              <w:ind w:firstLine="426" w:firstLineChars="200"/>
              <w:rPr>
                <w:rFonts w:hint="eastAsia" w:ascii="宋体" w:hAnsi="宋体"/>
                <w:szCs w:val="21"/>
              </w:rPr>
            </w:pPr>
            <w:r>
              <w:rPr>
                <w:rFonts w:hint="eastAsia" w:ascii="宋体" w:hAnsi="宋体"/>
                <w:szCs w:val="21"/>
              </w:rPr>
              <w:t>1000-5000</w:t>
            </w:r>
          </w:p>
        </w:tc>
        <w:tc>
          <w:tcPr>
            <w:tcW w:w="1546" w:type="dxa"/>
            <w:vAlign w:val="center"/>
          </w:tcPr>
          <w:p w14:paraId="57E37F8E">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61</w:t>
            </w:r>
            <w:r>
              <w:rPr>
                <w:rFonts w:hint="eastAsia" w:ascii="宋体" w:hAnsi="宋体"/>
                <w:szCs w:val="21"/>
              </w:rPr>
              <w:t>%</w:t>
            </w:r>
          </w:p>
        </w:tc>
        <w:tc>
          <w:tcPr>
            <w:tcW w:w="1907" w:type="dxa"/>
            <w:vAlign w:val="center"/>
          </w:tcPr>
          <w:p w14:paraId="0D997A5C">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35</w:t>
            </w:r>
            <w:r>
              <w:rPr>
                <w:rFonts w:hint="eastAsia" w:ascii="宋体" w:hAnsi="宋体"/>
                <w:szCs w:val="21"/>
              </w:rPr>
              <w:t>%</w:t>
            </w:r>
          </w:p>
        </w:tc>
        <w:tc>
          <w:tcPr>
            <w:tcW w:w="1292" w:type="dxa"/>
          </w:tcPr>
          <w:p w14:paraId="63537D2D">
            <w:pPr>
              <w:spacing w:line="360" w:lineRule="auto"/>
              <w:ind w:firstLine="426" w:firstLineChars="200"/>
              <w:rPr>
                <w:rFonts w:hint="eastAsia" w:ascii="宋体" w:hAnsi="宋体"/>
                <w:szCs w:val="21"/>
              </w:rPr>
            </w:pPr>
          </w:p>
        </w:tc>
      </w:tr>
    </w:tbl>
    <w:p w14:paraId="28F3FFAC">
      <w:pPr>
        <w:spacing w:line="440" w:lineRule="exact"/>
        <w:ind w:left="213" w:leftChars="100" w:firstLine="319" w:firstLineChars="150"/>
        <w:jc w:val="left"/>
        <w:rPr>
          <w:rFonts w:ascii="宋体"/>
          <w:bCs/>
          <w:szCs w:val="21"/>
        </w:rPr>
      </w:pPr>
      <w:r>
        <w:rPr>
          <w:rFonts w:hint="eastAsia" w:ascii="宋体" w:hAnsi="宋体"/>
          <w:szCs w:val="21"/>
        </w:rPr>
        <w:t>招标代理服务收费按差额定率累进法计算。招标代理服务收费按差额定率累进法计算。</w:t>
      </w:r>
    </w:p>
    <w:p w14:paraId="30350614">
      <w:pPr>
        <w:spacing w:line="440" w:lineRule="exact"/>
        <w:ind w:firstLine="426" w:firstLineChars="200"/>
        <w:rPr>
          <w:b/>
          <w:szCs w:val="21"/>
        </w:rPr>
      </w:pPr>
      <w:r>
        <w:rPr>
          <w:rFonts w:hint="eastAsia"/>
          <w:b/>
          <w:szCs w:val="21"/>
        </w:rPr>
        <w:t>13.投标人应注意的事项</w:t>
      </w:r>
    </w:p>
    <w:p w14:paraId="35E36078">
      <w:pPr>
        <w:spacing w:line="440" w:lineRule="exact"/>
        <w:ind w:firstLine="426" w:firstLineChars="200"/>
        <w:rPr>
          <w:rFonts w:ascii="宋体"/>
          <w:bCs/>
          <w:szCs w:val="21"/>
        </w:rPr>
      </w:pPr>
      <w:r>
        <w:rPr>
          <w:rFonts w:hint="eastAsia" w:ascii="宋体" w:hAnsi="宋体"/>
          <w:szCs w:val="21"/>
        </w:rPr>
        <w:t>13.1投标人一旦按规定缴纳了投标保证金并参加投标，即被认为接受了本采购文件中的所有条件和规定。投标人必须严格按采购文件的要求编制投标文件，投标文件宜编制页码和目录，以便评委审核。否则，由此产生的一切后果由投标人承担。</w:t>
      </w:r>
    </w:p>
    <w:p w14:paraId="2C1D6852">
      <w:pPr>
        <w:spacing w:line="440" w:lineRule="exact"/>
        <w:ind w:firstLine="426" w:firstLineChars="200"/>
        <w:rPr>
          <w:rFonts w:ascii="宋体"/>
          <w:bCs/>
          <w:szCs w:val="21"/>
        </w:rPr>
      </w:pPr>
      <w:r>
        <w:rPr>
          <w:rFonts w:hint="eastAsia" w:ascii="宋体"/>
          <w:bCs/>
          <w:szCs w:val="21"/>
        </w:rPr>
        <w:t>13.2 投标人对采购内容中规定的技术参数、规格等要求必须完全响应或优于采购文件中的要求。</w:t>
      </w:r>
    </w:p>
    <w:p w14:paraId="16C56AE6">
      <w:pPr>
        <w:spacing w:line="440" w:lineRule="exact"/>
        <w:ind w:firstLine="416" w:firstLineChars="196"/>
        <w:rPr>
          <w:rFonts w:ascii="宋体"/>
          <w:bCs/>
          <w:szCs w:val="21"/>
        </w:rPr>
      </w:pPr>
      <w:r>
        <w:rPr>
          <w:rFonts w:hint="eastAsia" w:ascii="宋体"/>
          <w:bCs/>
          <w:szCs w:val="21"/>
        </w:rPr>
        <w:t>13.3所有投标人的投标保证金都应在采购文件规定的投标保证金缴纳截止日期前缴纳。</w:t>
      </w:r>
    </w:p>
    <w:p w14:paraId="402539E0">
      <w:pPr>
        <w:spacing w:line="440" w:lineRule="exact"/>
        <w:ind w:firstLine="416" w:firstLineChars="196"/>
        <w:rPr>
          <w:rFonts w:ascii="宋体"/>
          <w:bCs/>
          <w:szCs w:val="21"/>
        </w:rPr>
      </w:pPr>
      <w:r>
        <w:rPr>
          <w:rFonts w:hint="eastAsia" w:ascii="宋体"/>
          <w:bCs/>
          <w:szCs w:val="21"/>
        </w:rPr>
        <w:t>13.4</w:t>
      </w:r>
      <w:r>
        <w:rPr>
          <w:rFonts w:ascii="宋体"/>
          <w:bCs/>
          <w:szCs w:val="21"/>
        </w:rPr>
        <w:t>单位负责人为同一人或者存在直接控股、管理关系的不同供应商，不得参加同一合同项下的政府采购活动。</w:t>
      </w:r>
      <w:r>
        <w:rPr>
          <w:rFonts w:ascii="宋体" w:hAnsi="宋体"/>
          <w:szCs w:val="21"/>
        </w:rPr>
        <w:t>为采购项目提供整体设计、规范编制或者项目管理、监理、检测等服务的供应商，不得再参加该采购项目的其他采购活动。</w:t>
      </w:r>
    </w:p>
    <w:p w14:paraId="0A981835">
      <w:pPr>
        <w:snapToGrid w:val="0"/>
        <w:spacing w:line="440" w:lineRule="exact"/>
        <w:ind w:firstLine="426" w:firstLineChars="200"/>
        <w:rPr>
          <w:rFonts w:ascii="宋体"/>
          <w:szCs w:val="21"/>
        </w:rPr>
      </w:pPr>
      <w:r>
        <w:rPr>
          <w:rFonts w:hint="eastAsia" w:ascii="宋体"/>
          <w:bCs/>
          <w:szCs w:val="21"/>
        </w:rPr>
        <w:t>13.5本项目只接受</w:t>
      </w:r>
      <w:r>
        <w:rPr>
          <w:rFonts w:hint="eastAsia" w:ascii="宋体"/>
          <w:szCs w:val="21"/>
        </w:rPr>
        <w:t>成为新疆维吾尔自治区政府采购网正式注册入库并完成CA数字证书申领供应商参与投标。因未注册入库、未办理CA数字证书等原因造成无法投标或投标失败等后果由供应商自行承担。</w:t>
      </w:r>
    </w:p>
    <w:p w14:paraId="4419AA96">
      <w:pPr>
        <w:wordWrap w:val="0"/>
        <w:spacing w:line="440" w:lineRule="exact"/>
        <w:ind w:firstLine="426" w:firstLineChars="200"/>
        <w:rPr>
          <w:rFonts w:ascii="宋体"/>
          <w:bCs/>
          <w:szCs w:val="21"/>
        </w:rPr>
      </w:pPr>
      <w:r>
        <w:rPr>
          <w:rFonts w:hint="eastAsia" w:ascii="宋体"/>
          <w:bCs/>
          <w:szCs w:val="21"/>
        </w:rPr>
        <w:t>13.6  投标人被视为充分熟悉本招标项目所在地的与履行合同有关的各种情况，包括但不限于：</w:t>
      </w:r>
    </w:p>
    <w:p w14:paraId="6EBEC476">
      <w:pPr>
        <w:spacing w:line="400" w:lineRule="exact"/>
        <w:ind w:firstLine="319" w:firstLineChars="150"/>
        <w:rPr>
          <w:rFonts w:ascii="宋体"/>
          <w:bCs/>
          <w:szCs w:val="21"/>
        </w:rPr>
      </w:pPr>
      <w:r>
        <w:rPr>
          <w:rFonts w:hint="eastAsia" w:ascii="宋体"/>
          <w:bCs/>
          <w:szCs w:val="21"/>
        </w:rPr>
        <w:t>（1）国家对本次投标货物和服务的生产、安装调试、验收、维修等有关法律、法规及行业管理标准；</w:t>
      </w:r>
    </w:p>
    <w:p w14:paraId="33820A2E">
      <w:pPr>
        <w:spacing w:line="400" w:lineRule="exact"/>
        <w:ind w:firstLine="319" w:firstLineChars="150"/>
        <w:rPr>
          <w:rFonts w:ascii="宋体"/>
          <w:bCs/>
          <w:szCs w:val="21"/>
        </w:rPr>
      </w:pPr>
      <w:r>
        <w:rPr>
          <w:rFonts w:hint="eastAsia" w:ascii="宋体"/>
          <w:bCs/>
          <w:szCs w:val="21"/>
        </w:rPr>
        <w:t>（2）本地区有关管理部门的相关规定；</w:t>
      </w:r>
    </w:p>
    <w:p w14:paraId="2B051A86">
      <w:pPr>
        <w:spacing w:line="400" w:lineRule="exact"/>
        <w:ind w:firstLine="319" w:firstLineChars="150"/>
        <w:rPr>
          <w:rFonts w:ascii="宋体"/>
          <w:bCs/>
          <w:szCs w:val="21"/>
        </w:rPr>
      </w:pPr>
      <w:r>
        <w:rPr>
          <w:rFonts w:hint="eastAsia" w:ascii="宋体"/>
          <w:bCs/>
          <w:szCs w:val="21"/>
        </w:rPr>
        <w:t>（3）招标人的相关场地情况、基础建设、电力供应情况及相关设计标准。</w:t>
      </w:r>
    </w:p>
    <w:p w14:paraId="2C863BD1">
      <w:pPr>
        <w:spacing w:line="400" w:lineRule="exact"/>
        <w:ind w:firstLine="319" w:firstLineChars="150"/>
        <w:rPr>
          <w:rFonts w:ascii="宋体"/>
          <w:bCs/>
          <w:szCs w:val="21"/>
        </w:rPr>
      </w:pPr>
      <w:r>
        <w:rPr>
          <w:rFonts w:hint="eastAsia" w:ascii="宋体"/>
          <w:bCs/>
          <w:szCs w:val="21"/>
        </w:rPr>
        <w:t>本采购文件不再对上述情况进行描述。</w:t>
      </w:r>
    </w:p>
    <w:p w14:paraId="47AABA4B">
      <w:pPr>
        <w:spacing w:before="325" w:beforeLines="100" w:after="325" w:afterLines="100" w:line="440" w:lineRule="exact"/>
        <w:jc w:val="center"/>
        <w:outlineLvl w:val="2"/>
        <w:rPr>
          <w:rFonts w:ascii="宋体"/>
          <w:b/>
          <w:sz w:val="28"/>
          <w:szCs w:val="28"/>
        </w:rPr>
      </w:pPr>
      <w:bookmarkStart w:id="39" w:name="_Toc469495725"/>
      <w:r>
        <w:rPr>
          <w:rFonts w:hint="eastAsia" w:ascii="宋体"/>
          <w:b/>
          <w:sz w:val="28"/>
          <w:szCs w:val="28"/>
        </w:rPr>
        <w:t>（二）</w:t>
      </w:r>
      <w:bookmarkEnd w:id="39"/>
      <w:r>
        <w:rPr>
          <w:rFonts w:hint="eastAsia" w:ascii="宋体"/>
          <w:b/>
          <w:sz w:val="28"/>
          <w:szCs w:val="28"/>
        </w:rPr>
        <w:t>招标文件</w:t>
      </w:r>
    </w:p>
    <w:p w14:paraId="2421C935">
      <w:pPr>
        <w:spacing w:line="440" w:lineRule="exact"/>
        <w:ind w:firstLine="426" w:firstLineChars="200"/>
        <w:rPr>
          <w:b/>
          <w:szCs w:val="21"/>
        </w:rPr>
      </w:pPr>
      <w:r>
        <w:rPr>
          <w:rFonts w:hint="eastAsia"/>
          <w:b/>
          <w:szCs w:val="21"/>
        </w:rPr>
        <w:t>15. 采购文件的编制依据</w:t>
      </w:r>
    </w:p>
    <w:p w14:paraId="6B03DBFD">
      <w:pPr>
        <w:spacing w:line="440" w:lineRule="exact"/>
        <w:ind w:firstLine="426" w:firstLineChars="200"/>
        <w:rPr>
          <w:rFonts w:ascii="宋体"/>
          <w:szCs w:val="21"/>
        </w:rPr>
      </w:pPr>
      <w:r>
        <w:rPr>
          <w:rFonts w:hint="eastAsia" w:ascii="宋体"/>
          <w:szCs w:val="21"/>
        </w:rPr>
        <w:t>根据《中华人民共和国政府采购法》、《政府采购货物和服务招标投标管理办法》和《中华人民共和国民法典》</w:t>
      </w:r>
      <w:r>
        <w:rPr>
          <w:rFonts w:hint="eastAsia" w:ascii="宋体"/>
          <w:spacing w:val="-2"/>
          <w:szCs w:val="21"/>
        </w:rPr>
        <w:t>等相关法律法规和规章及部、省、市级规范性文件的规定，编制本采购文件。</w:t>
      </w:r>
    </w:p>
    <w:p w14:paraId="074FEE5F">
      <w:pPr>
        <w:spacing w:line="440" w:lineRule="exact"/>
        <w:ind w:firstLine="426" w:firstLineChars="200"/>
        <w:rPr>
          <w:b/>
          <w:szCs w:val="21"/>
        </w:rPr>
      </w:pPr>
      <w:r>
        <w:rPr>
          <w:rFonts w:hint="eastAsia"/>
          <w:b/>
          <w:szCs w:val="21"/>
        </w:rPr>
        <w:t>16. 采购文件的组成</w:t>
      </w:r>
    </w:p>
    <w:p w14:paraId="1AB2A319">
      <w:pPr>
        <w:spacing w:line="440" w:lineRule="exact"/>
        <w:ind w:firstLine="426" w:firstLineChars="200"/>
        <w:rPr>
          <w:rFonts w:ascii="宋体"/>
          <w:szCs w:val="21"/>
        </w:rPr>
      </w:pPr>
      <w:r>
        <w:rPr>
          <w:rFonts w:hint="eastAsia" w:ascii="宋体"/>
          <w:szCs w:val="21"/>
        </w:rPr>
        <w:t>16.1 采购文件包括内容：</w:t>
      </w:r>
    </w:p>
    <w:p w14:paraId="6BC26320">
      <w:pPr>
        <w:spacing w:line="440" w:lineRule="exact"/>
        <w:ind w:firstLine="1491" w:firstLineChars="700"/>
        <w:rPr>
          <w:rFonts w:ascii="宋体"/>
          <w:szCs w:val="21"/>
        </w:rPr>
      </w:pPr>
      <w:r>
        <w:rPr>
          <w:rFonts w:hint="eastAsia" w:ascii="宋体"/>
          <w:szCs w:val="21"/>
        </w:rPr>
        <w:t>第一章  招标公告</w:t>
      </w:r>
    </w:p>
    <w:p w14:paraId="3C1BC250">
      <w:pPr>
        <w:spacing w:line="440" w:lineRule="exact"/>
        <w:ind w:firstLine="1491" w:firstLineChars="700"/>
        <w:rPr>
          <w:rFonts w:ascii="宋体"/>
          <w:szCs w:val="21"/>
        </w:rPr>
      </w:pPr>
      <w:r>
        <w:rPr>
          <w:rFonts w:hint="eastAsia" w:ascii="宋体"/>
          <w:szCs w:val="21"/>
        </w:rPr>
        <w:t>第二章  投标须知</w:t>
      </w:r>
    </w:p>
    <w:p w14:paraId="4757FA6C">
      <w:pPr>
        <w:spacing w:line="440" w:lineRule="exact"/>
        <w:ind w:firstLine="1491" w:firstLineChars="700"/>
        <w:rPr>
          <w:rFonts w:ascii="宋体"/>
          <w:szCs w:val="21"/>
        </w:rPr>
      </w:pPr>
      <w:r>
        <w:rPr>
          <w:rFonts w:hint="eastAsia" w:ascii="宋体"/>
          <w:szCs w:val="21"/>
        </w:rPr>
        <w:t>第三章  评标办法</w:t>
      </w:r>
    </w:p>
    <w:p w14:paraId="563D230C">
      <w:pPr>
        <w:spacing w:line="440" w:lineRule="exact"/>
        <w:ind w:firstLine="1491" w:firstLineChars="700"/>
        <w:rPr>
          <w:rFonts w:ascii="宋体"/>
          <w:szCs w:val="21"/>
        </w:rPr>
      </w:pPr>
      <w:r>
        <w:rPr>
          <w:rFonts w:hint="eastAsia" w:ascii="宋体"/>
          <w:szCs w:val="21"/>
        </w:rPr>
        <w:t>第四章  采购内容及技术要求</w:t>
      </w:r>
    </w:p>
    <w:p w14:paraId="23F554E8">
      <w:pPr>
        <w:spacing w:line="440" w:lineRule="exact"/>
        <w:ind w:firstLine="1491" w:firstLineChars="700"/>
        <w:rPr>
          <w:rFonts w:ascii="宋体"/>
          <w:szCs w:val="21"/>
        </w:rPr>
      </w:pPr>
      <w:r>
        <w:rPr>
          <w:rFonts w:hint="eastAsia" w:ascii="宋体"/>
          <w:szCs w:val="21"/>
        </w:rPr>
        <w:t>第五章  合同条款及格式</w:t>
      </w:r>
    </w:p>
    <w:p w14:paraId="19A9E0E9">
      <w:pPr>
        <w:spacing w:line="440" w:lineRule="exact"/>
        <w:ind w:firstLine="1491" w:firstLineChars="700"/>
        <w:rPr>
          <w:rFonts w:ascii="宋体"/>
          <w:szCs w:val="21"/>
        </w:rPr>
      </w:pPr>
      <w:r>
        <w:rPr>
          <w:rFonts w:hint="eastAsia" w:ascii="宋体"/>
          <w:szCs w:val="21"/>
        </w:rPr>
        <w:t>第六章  投标文件格式文本</w:t>
      </w:r>
    </w:p>
    <w:p w14:paraId="15700D89">
      <w:pPr>
        <w:spacing w:line="440" w:lineRule="exact"/>
        <w:ind w:firstLine="1491" w:firstLineChars="700"/>
        <w:rPr>
          <w:rFonts w:ascii="宋体"/>
          <w:szCs w:val="21"/>
        </w:rPr>
      </w:pPr>
      <w:r>
        <w:rPr>
          <w:rFonts w:hint="eastAsia" w:ascii="宋体"/>
          <w:szCs w:val="21"/>
        </w:rPr>
        <w:t>第七章  招标单位、招标代理机构对本文件的确认</w:t>
      </w:r>
    </w:p>
    <w:p w14:paraId="78FF32F9">
      <w:pPr>
        <w:spacing w:line="440" w:lineRule="exact"/>
        <w:rPr>
          <w:rFonts w:ascii="宋体"/>
          <w:szCs w:val="21"/>
        </w:rPr>
      </w:pPr>
      <w:r>
        <w:rPr>
          <w:rFonts w:hint="eastAsia" w:ascii="宋体"/>
          <w:szCs w:val="21"/>
        </w:rPr>
        <w:t xml:space="preserve"> 16.2 除16.1内容外，招标答疑亦为采购文件的组成部分，对招标人和投标人起约束作用。</w:t>
      </w:r>
    </w:p>
    <w:p w14:paraId="36307E28">
      <w:pPr>
        <w:pStyle w:val="14"/>
        <w:wordWrap w:val="0"/>
        <w:spacing w:line="400" w:lineRule="exact"/>
        <w:rPr>
          <w:szCs w:val="21"/>
        </w:rPr>
      </w:pPr>
      <w:r>
        <w:rPr>
          <w:rFonts w:hint="eastAsia"/>
          <w:szCs w:val="21"/>
        </w:rPr>
        <w:t xml:space="preserve">   16.3投标人应仔细阅读和检查采购文件的全部内容。如发现缺页或附件不全，应及时向招标人提出，以便补齐。如有疑问，投标人应在以书面形式一次性向采购人和采购代理机构提出同一环节的质疑。</w:t>
      </w:r>
    </w:p>
    <w:p w14:paraId="674D84DB">
      <w:pPr>
        <w:wordWrap w:val="0"/>
        <w:spacing w:line="440" w:lineRule="exact"/>
        <w:rPr>
          <w:rFonts w:ascii="宋体"/>
          <w:szCs w:val="21"/>
        </w:rPr>
      </w:pPr>
      <w:r>
        <w:rPr>
          <w:rFonts w:hint="eastAsia" w:ascii="宋体"/>
          <w:szCs w:val="21"/>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szCs w:val="21"/>
          <w:lang w:eastAsia="zh-CN"/>
        </w:rPr>
        <w:t>新疆</w:t>
      </w:r>
      <w:r>
        <w:rPr>
          <w:rFonts w:hint="eastAsia" w:ascii="宋体"/>
          <w:szCs w:val="21"/>
        </w:rPr>
        <w:t>政府采购网下载专区下载。采购文件的澄清将在政采云平台“更正公告”栏目予以公告，但不指明澄清问题的来源。如果澄清内容影响投标文件编制的，将相应延长投标截止时间。</w:t>
      </w:r>
    </w:p>
    <w:p w14:paraId="5F8EDD5E">
      <w:pPr>
        <w:spacing w:line="440" w:lineRule="exact"/>
        <w:ind w:firstLine="426" w:firstLineChars="200"/>
        <w:rPr>
          <w:rFonts w:ascii="宋体"/>
          <w:b/>
          <w:bCs/>
          <w:szCs w:val="21"/>
        </w:rPr>
      </w:pPr>
      <w:r>
        <w:rPr>
          <w:rFonts w:hint="eastAsia" w:ascii="宋体"/>
          <w:b/>
          <w:bCs/>
          <w:szCs w:val="21"/>
        </w:rPr>
        <w:t>17. 采购文件的修改、补充、解释</w:t>
      </w:r>
    </w:p>
    <w:p w14:paraId="5208E194">
      <w:pPr>
        <w:wordWrap w:val="0"/>
        <w:spacing w:line="400" w:lineRule="exact"/>
        <w:ind w:firstLine="319" w:firstLineChars="150"/>
        <w:rPr>
          <w:rFonts w:ascii="宋体" w:hAnsi="宋体"/>
          <w:szCs w:val="21"/>
        </w:rPr>
      </w:pPr>
      <w:r>
        <w:rPr>
          <w:rFonts w:hint="eastAsia" w:ascii="宋体" w:hAnsi="宋体"/>
          <w:szCs w:val="21"/>
        </w:rPr>
        <w:t>17.1采购文件发出后，招标人在规定的投标截止时间前可对采购文件进行必要的修改和补充，并以更正公告形式在政采云平台 “更正公告”栏目予以公告，请各位投标人注意查看有关澄清内容，如不及时查看造成后果由投标人自负。采购文件的修改、补充等内容作为采购文件的组成部分，具有约束作用。</w:t>
      </w:r>
    </w:p>
    <w:p w14:paraId="04777088">
      <w:pPr>
        <w:wordWrap w:val="0"/>
        <w:spacing w:line="400" w:lineRule="exact"/>
        <w:ind w:firstLine="319" w:firstLineChars="150"/>
        <w:rPr>
          <w:rFonts w:ascii="宋体" w:hAnsi="宋体"/>
          <w:szCs w:val="21"/>
        </w:rPr>
      </w:pPr>
      <w:r>
        <w:rPr>
          <w:rFonts w:hint="eastAsia" w:ascii="宋体" w:hAnsi="宋体"/>
          <w:szCs w:val="21"/>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1DE87B55">
      <w:pPr>
        <w:wordWrap w:val="0"/>
        <w:spacing w:line="400" w:lineRule="exact"/>
        <w:ind w:firstLine="319" w:firstLineChars="150"/>
        <w:rPr>
          <w:rFonts w:ascii="宋体" w:hAnsi="宋体"/>
          <w:szCs w:val="21"/>
        </w:rPr>
      </w:pPr>
      <w:r>
        <w:rPr>
          <w:rFonts w:hint="eastAsia" w:ascii="宋体" w:hAnsi="宋体"/>
          <w:bCs/>
          <w:szCs w:val="21"/>
        </w:rPr>
        <w:t xml:space="preserve">17.3 </w:t>
      </w:r>
      <w:r>
        <w:rPr>
          <w:rFonts w:hint="eastAsia" w:ascii="宋体" w:hAnsi="宋体"/>
          <w:szCs w:val="21"/>
        </w:rPr>
        <w:t>供应商在规定的时间内未对采购文件提出疑问、质疑或要求澄清的，将视其为无异议。</w:t>
      </w:r>
    </w:p>
    <w:p w14:paraId="665295A0">
      <w:pPr>
        <w:spacing w:line="400" w:lineRule="exact"/>
        <w:ind w:firstLine="426" w:firstLineChars="200"/>
        <w:rPr>
          <w:rFonts w:ascii="宋体" w:hAnsi="宋体"/>
          <w:bCs/>
          <w:szCs w:val="21"/>
        </w:rPr>
      </w:pPr>
      <w:r>
        <w:rPr>
          <w:rFonts w:hint="eastAsia" w:ascii="宋体" w:hAnsi="宋体"/>
          <w:bCs/>
          <w:szCs w:val="21"/>
        </w:rPr>
        <w:t>17.4 采购文件的解释</w:t>
      </w:r>
    </w:p>
    <w:p w14:paraId="58D3CE5E">
      <w:pPr>
        <w:spacing w:line="400" w:lineRule="exact"/>
        <w:ind w:firstLine="426" w:firstLineChars="200"/>
        <w:rPr>
          <w:rFonts w:ascii="宋体" w:hAnsi="宋体"/>
          <w:szCs w:val="21"/>
        </w:rPr>
      </w:pPr>
      <w:r>
        <w:rPr>
          <w:rFonts w:hint="eastAsia" w:ascii="宋体" w:hAnsi="宋体"/>
          <w:szCs w:val="21"/>
        </w:rPr>
        <w:t>本采购文件由招标人（或其委托的招标代理机构）负责解释。</w:t>
      </w:r>
    </w:p>
    <w:p w14:paraId="2C88985A">
      <w:pPr>
        <w:spacing w:line="400" w:lineRule="exact"/>
        <w:rPr>
          <w:rFonts w:ascii="宋体" w:hAnsi="宋体"/>
          <w:b/>
          <w:szCs w:val="21"/>
        </w:rPr>
      </w:pPr>
      <w:r>
        <w:rPr>
          <w:rFonts w:hint="eastAsia" w:ascii="宋体" w:hAnsi="宋体"/>
          <w:b/>
          <w:szCs w:val="21"/>
        </w:rPr>
        <w:t xml:space="preserve">   </w:t>
      </w:r>
      <w:r>
        <w:rPr>
          <w:rFonts w:hint="eastAsia"/>
          <w:b/>
          <w:szCs w:val="21"/>
        </w:rPr>
        <w:t xml:space="preserve">18. </w:t>
      </w:r>
      <w:r>
        <w:rPr>
          <w:rFonts w:hint="eastAsia" w:ascii="宋体" w:hAnsi="宋体"/>
          <w:b/>
          <w:szCs w:val="21"/>
        </w:rPr>
        <w:t>采购文件的发出</w:t>
      </w:r>
    </w:p>
    <w:p w14:paraId="491CA061">
      <w:pPr>
        <w:spacing w:line="400" w:lineRule="exact"/>
        <w:ind w:firstLine="319" w:firstLineChars="150"/>
        <w:rPr>
          <w:rFonts w:ascii="宋体" w:hAnsi="宋体"/>
          <w:szCs w:val="21"/>
        </w:rPr>
      </w:pPr>
      <w:r>
        <w:rPr>
          <w:rFonts w:hint="eastAsia" w:ascii="宋体" w:hAnsi="宋体"/>
          <w:szCs w:val="21"/>
        </w:rPr>
        <w:t>18.1  采购文件、采购文件的澄清、修改、补充及招标答疑等均应报相关部门备案后，方可发出。</w:t>
      </w:r>
    </w:p>
    <w:p w14:paraId="454DD7C0">
      <w:pPr>
        <w:spacing w:line="440" w:lineRule="exact"/>
        <w:ind w:firstLine="282" w:firstLineChars="133"/>
        <w:rPr>
          <w:rFonts w:ascii="宋体"/>
          <w:szCs w:val="21"/>
        </w:rPr>
      </w:pPr>
      <w:bookmarkStart w:id="40" w:name="_Toc469495726"/>
      <w:r>
        <w:rPr>
          <w:rFonts w:hint="eastAsia"/>
          <w:b/>
          <w:szCs w:val="21"/>
        </w:rPr>
        <w:t xml:space="preserve">19. </w:t>
      </w:r>
      <w:r>
        <w:rPr>
          <w:rFonts w:hint="eastAsia" w:ascii="宋体"/>
          <w:szCs w:val="21"/>
        </w:rPr>
        <w:t>凡需要设置样品情形时，必须明确是否需要随样品提交检测报告，并明确检测机构的要求、检测内容、中标样品封存等事项。（评标委员会无法判断样品是否合格且样品需要提供给第三方权威检测机构检测的,在投标人提供招标人认可的第三方权威检测机构检测报告后，评标委员会推荐的中标候选人方可生效，采购人或代理机构发布中标（成交）结果公告。</w:t>
      </w:r>
    </w:p>
    <w:p w14:paraId="28460FBF">
      <w:pPr>
        <w:spacing w:line="400" w:lineRule="exact"/>
        <w:ind w:firstLine="420"/>
        <w:rPr>
          <w:rFonts w:ascii="宋体"/>
          <w:szCs w:val="21"/>
        </w:rPr>
      </w:pPr>
      <w:r>
        <w:rPr>
          <w:rFonts w:hint="eastAsia" w:ascii="宋体"/>
          <w:szCs w:val="21"/>
        </w:rPr>
        <w:t>采购文件中应明确样品送检方式、检测费用支付方法、投标人在规定时间内无法提供第三方权威检测机构检测报告的处理方式。（采购人根据项目需求按上述要求自行描述）</w:t>
      </w:r>
    </w:p>
    <w:p w14:paraId="5DEF3022">
      <w:pPr>
        <w:spacing w:before="325" w:beforeLines="100" w:after="325" w:afterLines="100" w:line="440" w:lineRule="exact"/>
        <w:jc w:val="center"/>
        <w:outlineLvl w:val="2"/>
        <w:rPr>
          <w:rFonts w:ascii="宋体"/>
          <w:b/>
          <w:sz w:val="28"/>
          <w:szCs w:val="28"/>
        </w:rPr>
      </w:pPr>
      <w:r>
        <w:rPr>
          <w:rFonts w:hint="eastAsia" w:ascii="宋体"/>
          <w:b/>
          <w:sz w:val="28"/>
          <w:szCs w:val="28"/>
        </w:rPr>
        <w:t>（三）投标文件的编制</w:t>
      </w:r>
      <w:bookmarkEnd w:id="40"/>
    </w:p>
    <w:p w14:paraId="25339F2E">
      <w:pPr>
        <w:spacing w:line="440" w:lineRule="exact"/>
        <w:ind w:firstLine="308" w:firstLineChars="145"/>
        <w:rPr>
          <w:rFonts w:ascii="宋体"/>
          <w:b/>
          <w:szCs w:val="21"/>
        </w:rPr>
      </w:pPr>
      <w:r>
        <w:rPr>
          <w:rFonts w:hint="eastAsia"/>
          <w:b/>
          <w:szCs w:val="21"/>
        </w:rPr>
        <w:t xml:space="preserve">20. </w:t>
      </w:r>
      <w:r>
        <w:rPr>
          <w:rFonts w:hint="eastAsia" w:ascii="宋体"/>
          <w:b/>
          <w:szCs w:val="21"/>
        </w:rPr>
        <w:t>投标的语言及度量衡单位</w:t>
      </w:r>
    </w:p>
    <w:p w14:paraId="105D5455">
      <w:pPr>
        <w:spacing w:line="440" w:lineRule="exact"/>
        <w:ind w:firstLine="287" w:firstLineChars="135"/>
        <w:rPr>
          <w:rFonts w:ascii="宋体"/>
          <w:szCs w:val="21"/>
        </w:rPr>
      </w:pPr>
      <w:r>
        <w:rPr>
          <w:rFonts w:hint="eastAsia" w:ascii="宋体"/>
          <w:szCs w:val="21"/>
        </w:rPr>
        <w:t>20.1</w:t>
      </w:r>
      <w:r>
        <w:rPr>
          <w:rFonts w:ascii="宋体" w:hAnsi="宋体"/>
          <w:szCs w:val="21"/>
        </w:rPr>
        <w:t>投标人</w:t>
      </w:r>
      <w:r>
        <w:rPr>
          <w:rFonts w:hint="eastAsia" w:ascii="宋体" w:hAnsi="宋体"/>
          <w:szCs w:val="21"/>
        </w:rPr>
        <w:t>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01187498">
      <w:pPr>
        <w:spacing w:line="440" w:lineRule="exact"/>
        <w:ind w:firstLine="287" w:firstLineChars="135"/>
        <w:rPr>
          <w:rFonts w:ascii="宋体"/>
          <w:szCs w:val="21"/>
        </w:rPr>
      </w:pPr>
      <w:r>
        <w:rPr>
          <w:rFonts w:hint="eastAsia" w:ascii="宋体"/>
          <w:szCs w:val="21"/>
        </w:rPr>
        <w:t xml:space="preserve"> 20.2除采购文件中另有规定外，投标书所使用的度量衡均须采用法定计量单位。</w:t>
      </w:r>
    </w:p>
    <w:p w14:paraId="0E007B05">
      <w:pPr>
        <w:spacing w:line="400" w:lineRule="exact"/>
        <w:ind w:firstLine="207" w:firstLineChars="98"/>
        <w:rPr>
          <w:rFonts w:ascii="宋体" w:hAnsi="宋体"/>
          <w:b/>
          <w:szCs w:val="21"/>
        </w:rPr>
      </w:pPr>
      <w:r>
        <w:rPr>
          <w:rFonts w:hint="eastAsia"/>
          <w:b/>
          <w:szCs w:val="21"/>
        </w:rPr>
        <w:t xml:space="preserve">21. </w:t>
      </w:r>
      <w:r>
        <w:rPr>
          <w:rFonts w:hint="eastAsia" w:ascii="宋体" w:hAnsi="宋体"/>
          <w:b/>
          <w:szCs w:val="21"/>
        </w:rPr>
        <w:t>投标文件的组成</w:t>
      </w:r>
    </w:p>
    <w:p w14:paraId="003277AC">
      <w:pPr>
        <w:spacing w:line="400" w:lineRule="exact"/>
        <w:ind w:firstLine="426" w:firstLineChars="200"/>
        <w:rPr>
          <w:rFonts w:ascii="宋体"/>
          <w:szCs w:val="21"/>
        </w:rPr>
      </w:pPr>
      <w:r>
        <w:rPr>
          <w:rFonts w:hint="eastAsia" w:ascii="宋体" w:hAnsi="宋体"/>
          <w:szCs w:val="21"/>
        </w:rPr>
        <w:t>资格证明文件和商务及技术文件两部分。</w:t>
      </w:r>
    </w:p>
    <w:p w14:paraId="1E2EDA50">
      <w:pPr>
        <w:spacing w:line="440" w:lineRule="exact"/>
        <w:ind w:firstLine="312" w:firstLineChars="147"/>
        <w:rPr>
          <w:rFonts w:ascii="宋体"/>
          <w:b/>
          <w:szCs w:val="21"/>
        </w:rPr>
      </w:pPr>
      <w:r>
        <w:rPr>
          <w:rFonts w:hint="eastAsia" w:ascii="宋体"/>
          <w:b/>
          <w:szCs w:val="21"/>
        </w:rPr>
        <w:t>21.1资格证明文件（包括但不限于）</w:t>
      </w:r>
    </w:p>
    <w:p w14:paraId="3A777FC3">
      <w:pPr>
        <w:spacing w:line="440" w:lineRule="exact"/>
        <w:ind w:firstLine="312" w:firstLineChars="147"/>
        <w:rPr>
          <w:rFonts w:hAnsi="宋体"/>
          <w:szCs w:val="21"/>
        </w:rPr>
      </w:pPr>
      <w:r>
        <w:rPr>
          <w:rFonts w:hint="eastAsia" w:hAnsi="宋体"/>
          <w:szCs w:val="21"/>
        </w:rPr>
        <w:t>资格证明文件是证明投标人有资格参加投标和中标后有能力履行合同的文件，这些文件应能满足招标的要求，否则作无效投标处理。</w:t>
      </w:r>
    </w:p>
    <w:p w14:paraId="1C387B22">
      <w:pPr>
        <w:spacing w:line="400" w:lineRule="exact"/>
        <w:ind w:firstLine="213" w:firstLineChars="100"/>
        <w:rPr>
          <w:rFonts w:ascii="宋体" w:hAnsi="宋体" w:cs="Times New Roman"/>
          <w:szCs w:val="21"/>
        </w:rPr>
      </w:pPr>
      <w:r>
        <w:rPr>
          <w:rFonts w:hint="eastAsia" w:ascii="宋体" w:hAnsi="宋体" w:cs="Times New Roman"/>
          <w:szCs w:val="21"/>
        </w:rPr>
        <w:t xml:space="preserve">  （1）开标一览表（见投标文件格式一）;</w:t>
      </w:r>
    </w:p>
    <w:p w14:paraId="740E1F82">
      <w:pPr>
        <w:spacing w:line="400" w:lineRule="exact"/>
        <w:ind w:firstLine="422" w:firstLineChars="199"/>
        <w:rPr>
          <w:rFonts w:ascii="宋体" w:hAnsi="宋体" w:cs="Times New Roman"/>
          <w:szCs w:val="21"/>
        </w:rPr>
      </w:pPr>
      <w:r>
        <w:rPr>
          <w:rFonts w:hint="eastAsia" w:ascii="宋体" w:hAnsi="宋体" w:cs="Times New Roman"/>
          <w:szCs w:val="21"/>
        </w:rPr>
        <w:t>（2）营业执照副本（三证合一）</w:t>
      </w:r>
    </w:p>
    <w:p w14:paraId="24FF0DBA">
      <w:pPr>
        <w:spacing w:line="400" w:lineRule="exact"/>
        <w:ind w:firstLine="426" w:firstLineChars="200"/>
        <w:rPr>
          <w:rFonts w:ascii="宋体" w:hAnsi="宋体" w:cs="Times New Roman"/>
          <w:szCs w:val="21"/>
        </w:rPr>
      </w:pPr>
      <w:r>
        <w:rPr>
          <w:rFonts w:hint="eastAsia" w:ascii="宋体" w:hAnsi="宋体" w:cs="Times New Roman"/>
          <w:szCs w:val="21"/>
        </w:rPr>
        <w:t>（3）法定代表人资格证明书（见投标文件格式二，自然人投标的无需提供）；</w:t>
      </w:r>
    </w:p>
    <w:p w14:paraId="5BD31EA0">
      <w:pPr>
        <w:spacing w:line="400" w:lineRule="exact"/>
        <w:ind w:firstLine="426" w:firstLineChars="200"/>
        <w:rPr>
          <w:rFonts w:ascii="宋体" w:hAnsi="宋体" w:cs="Times New Roman"/>
          <w:szCs w:val="21"/>
        </w:rPr>
      </w:pPr>
      <w:r>
        <w:rPr>
          <w:rFonts w:hint="eastAsia" w:ascii="宋体" w:hAnsi="宋体" w:cs="Times New Roman"/>
          <w:szCs w:val="21"/>
        </w:rPr>
        <w:t>（4）法定代表人授权委托书（见投标文件格式三，自然人投标的无需提供）；</w:t>
      </w:r>
    </w:p>
    <w:p w14:paraId="0F95A1E5">
      <w:pPr>
        <w:spacing w:line="400" w:lineRule="exact"/>
        <w:ind w:firstLine="422" w:firstLineChars="199"/>
        <w:rPr>
          <w:rFonts w:ascii="宋体" w:hAnsi="宋体" w:cs="Times New Roman"/>
          <w:szCs w:val="21"/>
        </w:rPr>
      </w:pPr>
      <w:r>
        <w:rPr>
          <w:rFonts w:hint="eastAsia" w:ascii="宋体" w:hAnsi="宋体" w:cs="Times New Roman"/>
          <w:szCs w:val="21"/>
        </w:rPr>
        <w:t>（5）投标保证金缴纳凭证或投标担保函；</w:t>
      </w:r>
    </w:p>
    <w:p w14:paraId="5B1A468E">
      <w:pPr>
        <w:spacing w:line="400" w:lineRule="exact"/>
        <w:ind w:firstLine="422" w:firstLineChars="199"/>
        <w:rPr>
          <w:rFonts w:ascii="宋体" w:hAnsi="宋体" w:cs="Times New Roman"/>
          <w:szCs w:val="21"/>
        </w:rPr>
      </w:pPr>
      <w:r>
        <w:rPr>
          <w:rFonts w:hint="eastAsia" w:ascii="宋体" w:hAnsi="宋体" w:cs="Times New Roman"/>
          <w:szCs w:val="21"/>
        </w:rPr>
        <w:t>（6）</w:t>
      </w:r>
      <w:r>
        <w:rPr>
          <w:rFonts w:hint="eastAsia" w:ascii="宋体" w:hAnsi="宋体" w:cs="Times New Roman"/>
          <w:szCs w:val="21"/>
          <w:lang w:eastAsia="zh-CN"/>
        </w:rPr>
        <w:t>投标企业须提供投标人（被授权在职人员）近6个月任意一个月的社保证明</w:t>
      </w:r>
      <w:r>
        <w:rPr>
          <w:rFonts w:hint="eastAsia" w:ascii="宋体" w:hAnsi="宋体" w:cs="Times New Roman"/>
          <w:szCs w:val="21"/>
        </w:rPr>
        <w:t>；</w:t>
      </w:r>
    </w:p>
    <w:p w14:paraId="3DB1AA09">
      <w:pPr>
        <w:spacing w:line="400" w:lineRule="exact"/>
        <w:ind w:firstLine="422" w:firstLineChars="199"/>
        <w:rPr>
          <w:rFonts w:ascii="宋体" w:hAnsi="宋体" w:cs="Times New Roman"/>
          <w:szCs w:val="21"/>
        </w:rPr>
      </w:pPr>
      <w:r>
        <w:rPr>
          <w:rFonts w:hint="eastAsia" w:ascii="宋体" w:hAnsi="宋体" w:cs="Times New Roman"/>
          <w:szCs w:val="21"/>
        </w:rPr>
        <w:t>（7）参加政府采购活动前三年内，在经营活动中没有重大违法记录</w:t>
      </w:r>
      <w:r>
        <w:rPr>
          <w:rFonts w:hint="eastAsia" w:ascii="宋体" w:hAnsi="宋体" w:cs="Times New Roman"/>
          <w:szCs w:val="21"/>
          <w:lang w:eastAsia="zh-CN"/>
        </w:rPr>
        <w:t>，</w:t>
      </w:r>
      <w:r>
        <w:rPr>
          <w:rFonts w:hint="eastAsia" w:ascii="宋体" w:hAnsi="宋体" w:cs="Times New Roman"/>
          <w:szCs w:val="21"/>
        </w:rPr>
        <w:t>未被“信用中国”（www.creditchina.gov.cn）、中国政府采购网（www.ccgp.gov.cn）列入失信被执行人、重大税收违法案件当事人名单、政府采购严重违法失信行为记录名单；</w:t>
      </w:r>
    </w:p>
    <w:p w14:paraId="65068E95">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w:t>
      </w:r>
      <w:r>
        <w:rPr>
          <w:rFonts w:hint="eastAsia" w:cs="Times New Roman"/>
          <w:kern w:val="2"/>
          <w:sz w:val="21"/>
          <w:szCs w:val="21"/>
          <w:lang w:val="en-US" w:eastAsia="zh-CN" w:bidi="ar-SA"/>
        </w:rPr>
        <w:t>8</w:t>
      </w:r>
      <w:r>
        <w:rPr>
          <w:rFonts w:hint="eastAsia" w:ascii="宋体" w:hAnsi="宋体" w:eastAsia="宋体" w:cs="Times New Roman"/>
          <w:kern w:val="2"/>
          <w:sz w:val="21"/>
          <w:szCs w:val="21"/>
          <w:lang w:val="en-US" w:eastAsia="zh-CN" w:bidi="ar-SA"/>
        </w:rPr>
        <w:t>）投标人具有良好的商业信誉和健全的财务会计制度；（提供由具备资质的机构出具的（2024年或2025年）的财务审计报告；成立不满一年的企业或者小微企业可提供财务报表）；</w:t>
      </w:r>
    </w:p>
    <w:p w14:paraId="1F46DCEE">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w:t>
      </w:r>
      <w:r>
        <w:rPr>
          <w:rFonts w:hint="eastAsia" w:cs="Times New Roman"/>
          <w:kern w:val="2"/>
          <w:sz w:val="21"/>
          <w:szCs w:val="21"/>
          <w:lang w:val="en-US" w:eastAsia="zh-CN" w:bidi="ar-SA"/>
        </w:rPr>
        <w:t>9</w:t>
      </w:r>
      <w:r>
        <w:rPr>
          <w:rFonts w:hint="eastAsia" w:ascii="宋体" w:hAnsi="宋体" w:eastAsia="宋体" w:cs="Times New Roman"/>
          <w:kern w:val="2"/>
          <w:sz w:val="21"/>
          <w:szCs w:val="21"/>
          <w:lang w:val="en-US" w:eastAsia="zh-CN" w:bidi="ar-SA"/>
        </w:rPr>
        <w:t>）投标人具有依法缴纳税收和社会保障资金的良好记录：①提供税务部门出具的近一年内任意三个月的完税证明（新公司从成立之日起算，如无产生税收，需提供不拖欠税收证明材料；）②依法缴纳近一年内任意三个月企业缴纳社保证明材料（专用收据或社会保险缴纳清单，新公司从成立之日起算）；</w:t>
      </w:r>
    </w:p>
    <w:p w14:paraId="07266108">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w:t>
      </w:r>
      <w:r>
        <w:rPr>
          <w:rFonts w:hint="eastAsia" w:cs="Times New Roman"/>
          <w:kern w:val="2"/>
          <w:sz w:val="21"/>
          <w:szCs w:val="21"/>
          <w:lang w:val="en-US" w:eastAsia="zh-CN" w:bidi="ar-SA"/>
        </w:rPr>
        <w:t>10</w:t>
      </w:r>
      <w:r>
        <w:rPr>
          <w:rFonts w:hint="eastAsia" w:ascii="宋体" w:hAnsi="宋体" w:eastAsia="宋体" w:cs="Times New Roman"/>
          <w:kern w:val="2"/>
          <w:sz w:val="21"/>
          <w:szCs w:val="21"/>
          <w:lang w:val="en-US" w:eastAsia="zh-CN" w:bidi="ar-SA"/>
        </w:rPr>
        <w:t>）投标人须具备电子与智能化工程专业承包贰级及以上资质。</w:t>
      </w:r>
    </w:p>
    <w:p w14:paraId="5373017A">
      <w:pPr>
        <w:pStyle w:val="24"/>
        <w:keepNext w:val="0"/>
        <w:keepLines w:val="0"/>
        <w:pageBreakBefore w:val="0"/>
        <w:widowControl/>
        <w:kinsoku/>
        <w:wordWrap/>
        <w:overflowPunct/>
        <w:topLinePunct w:val="0"/>
        <w:autoSpaceDE/>
        <w:autoSpaceDN/>
        <w:bidi w:val="0"/>
        <w:adjustRightInd/>
        <w:snapToGrid/>
        <w:spacing w:before="75" w:beforeAutospacing="0" w:after="75" w:afterAutospacing="0" w:line="240" w:lineRule="auto"/>
        <w:ind w:firstLine="420"/>
        <w:textAlignment w:val="auto"/>
        <w:rPr>
          <w:rFonts w:hint="eastAsia" w:ascii="宋体" w:hAnsi="宋体" w:cs="Times New Roman"/>
          <w:szCs w:val="21"/>
          <w:lang w:eastAsia="zh-CN"/>
        </w:rPr>
      </w:pPr>
      <w:r>
        <w:rPr>
          <w:rFonts w:hint="eastAsia" w:cs="Times New Roman"/>
          <w:kern w:val="2"/>
          <w:sz w:val="21"/>
          <w:szCs w:val="21"/>
          <w:lang w:val="en-US" w:eastAsia="zh-CN" w:bidi="ar-SA"/>
        </w:rPr>
        <w:t>（11）</w:t>
      </w:r>
      <w:r>
        <w:rPr>
          <w:rFonts w:hint="eastAsia" w:ascii="宋体" w:hAnsi="宋体" w:eastAsia="宋体" w:cs="Times New Roman"/>
          <w:kern w:val="2"/>
          <w:sz w:val="21"/>
          <w:szCs w:val="21"/>
          <w:lang w:val="en-US" w:eastAsia="zh-CN" w:bidi="ar-SA"/>
        </w:rPr>
        <w:t>投标人须知资料表要求的其他资格证明文件。</w:t>
      </w:r>
    </w:p>
    <w:p w14:paraId="2114E3F6">
      <w:pPr>
        <w:spacing w:line="440" w:lineRule="exact"/>
        <w:rPr>
          <w:rFonts w:ascii="Times New Roman" w:hAnsi="宋体" w:cs="Times New Roman"/>
          <w:szCs w:val="21"/>
        </w:rPr>
      </w:pPr>
      <w:r>
        <w:rPr>
          <w:rFonts w:hint="eastAsia" w:ascii="宋体" w:hAnsi="宋体"/>
          <w:b/>
          <w:szCs w:val="21"/>
        </w:rPr>
        <w:t>21.2 商务及技术文件</w:t>
      </w:r>
      <w:r>
        <w:rPr>
          <w:rFonts w:hint="eastAsia" w:ascii="宋体"/>
          <w:b/>
          <w:szCs w:val="21"/>
        </w:rPr>
        <w:t>（包括但不限于）</w:t>
      </w:r>
    </w:p>
    <w:p w14:paraId="16C8A0AC">
      <w:pPr>
        <w:spacing w:line="400" w:lineRule="exact"/>
        <w:ind w:firstLine="422" w:firstLineChars="199"/>
        <w:rPr>
          <w:rFonts w:ascii="宋体" w:hAnsi="宋体" w:cs="Times New Roman"/>
          <w:szCs w:val="21"/>
        </w:rPr>
      </w:pPr>
      <w:r>
        <w:rPr>
          <w:rFonts w:hint="eastAsia" w:ascii="宋体" w:hAnsi="宋体" w:cs="Times New Roman"/>
          <w:szCs w:val="21"/>
        </w:rPr>
        <w:t>（1）投标书（投标文件格式四）</w:t>
      </w:r>
    </w:p>
    <w:p w14:paraId="0DF3B210">
      <w:pPr>
        <w:spacing w:line="400" w:lineRule="exact"/>
        <w:ind w:firstLine="422" w:firstLineChars="199"/>
        <w:rPr>
          <w:rFonts w:ascii="宋体" w:hAnsi="宋体" w:cs="Times New Roman"/>
          <w:szCs w:val="21"/>
        </w:rPr>
      </w:pPr>
      <w:r>
        <w:rPr>
          <w:rFonts w:hint="eastAsia" w:ascii="宋体" w:hAnsi="宋体" w:cs="Times New Roman"/>
          <w:szCs w:val="21"/>
        </w:rPr>
        <w:t>（2）投标分项报价表（投标文件格式五）</w:t>
      </w:r>
    </w:p>
    <w:p w14:paraId="3CC8FC1B">
      <w:pPr>
        <w:spacing w:line="400" w:lineRule="exact"/>
        <w:ind w:firstLine="422" w:firstLineChars="199"/>
        <w:rPr>
          <w:rFonts w:ascii="宋体" w:hAnsi="宋体" w:cs="Times New Roman"/>
          <w:szCs w:val="21"/>
        </w:rPr>
      </w:pPr>
      <w:r>
        <w:rPr>
          <w:rFonts w:hint="eastAsia" w:ascii="宋体" w:hAnsi="宋体" w:cs="Times New Roman"/>
          <w:szCs w:val="21"/>
        </w:rPr>
        <w:t>（3）货物（服务）说明一览表（投标文件格式六）</w:t>
      </w:r>
    </w:p>
    <w:p w14:paraId="5359AC2C">
      <w:pPr>
        <w:spacing w:line="400" w:lineRule="exact"/>
        <w:ind w:firstLine="422" w:firstLineChars="199"/>
        <w:rPr>
          <w:rFonts w:ascii="宋体" w:hAnsi="宋体" w:cs="Times New Roman"/>
          <w:szCs w:val="21"/>
        </w:rPr>
      </w:pPr>
      <w:r>
        <w:rPr>
          <w:rFonts w:hint="eastAsia" w:ascii="宋体" w:hAnsi="宋体" w:cs="Times New Roman"/>
          <w:szCs w:val="21"/>
        </w:rPr>
        <w:t>（4）技术规格偏离表（投标文件格式七）</w:t>
      </w:r>
    </w:p>
    <w:p w14:paraId="4BA79E19">
      <w:pPr>
        <w:spacing w:line="400" w:lineRule="exact"/>
        <w:ind w:firstLine="422" w:firstLineChars="199"/>
        <w:rPr>
          <w:rFonts w:ascii="宋体" w:hAnsi="宋体" w:cs="Times New Roman"/>
          <w:szCs w:val="21"/>
        </w:rPr>
      </w:pPr>
      <w:r>
        <w:rPr>
          <w:rFonts w:hint="eastAsia" w:ascii="宋体" w:hAnsi="宋体" w:cs="Times New Roman"/>
          <w:szCs w:val="21"/>
        </w:rPr>
        <w:t>（5）商务条款偏离表（投标文件格式八）</w:t>
      </w:r>
    </w:p>
    <w:p w14:paraId="69406C9F">
      <w:pPr>
        <w:spacing w:line="400" w:lineRule="exact"/>
        <w:ind w:firstLine="422" w:firstLineChars="199"/>
        <w:rPr>
          <w:rFonts w:ascii="宋体" w:hAnsi="宋体" w:cs="Times New Roman"/>
          <w:szCs w:val="21"/>
        </w:rPr>
      </w:pPr>
      <w:r>
        <w:rPr>
          <w:rFonts w:hint="eastAsia" w:ascii="宋体" w:hAnsi="宋体" w:cs="Times New Roman"/>
          <w:szCs w:val="21"/>
        </w:rPr>
        <w:t>（6）符合《政府采购促进中小企业发展管理办法》、《关于政府采购支持监狱企业发展有关问题的通知》和《三部门联合发布关于促进残疾人就业政府采购政策的通知》条件的投标人提交）</w:t>
      </w:r>
    </w:p>
    <w:p w14:paraId="5D54F677">
      <w:pPr>
        <w:spacing w:line="400" w:lineRule="exact"/>
        <w:ind w:firstLine="422" w:firstLineChars="199"/>
        <w:rPr>
          <w:rFonts w:ascii="宋体" w:hAnsi="宋体" w:cs="Times New Roman"/>
          <w:szCs w:val="21"/>
        </w:rPr>
      </w:pPr>
      <w:r>
        <w:rPr>
          <w:rFonts w:hint="eastAsia" w:ascii="宋体" w:hAnsi="宋体" w:cs="Times New Roman"/>
          <w:szCs w:val="21"/>
        </w:rPr>
        <w:t>6-1《投标人企业（单位）类型声明函》（投标文件格式九）</w:t>
      </w:r>
    </w:p>
    <w:p w14:paraId="58FEC8DE">
      <w:pPr>
        <w:spacing w:line="400" w:lineRule="exact"/>
        <w:ind w:firstLine="422" w:firstLineChars="199"/>
        <w:rPr>
          <w:rFonts w:ascii="宋体" w:hAnsi="宋体" w:cs="Times New Roman"/>
          <w:szCs w:val="21"/>
        </w:rPr>
      </w:pPr>
      <w:r>
        <w:rPr>
          <w:rFonts w:hint="eastAsia" w:ascii="宋体" w:hAnsi="宋体" w:cs="Times New Roman"/>
          <w:szCs w:val="21"/>
        </w:rPr>
        <w:t>6-2《残疾人福利性单位声明函》（投标文件格式十）</w:t>
      </w:r>
    </w:p>
    <w:p w14:paraId="5FE68BFE">
      <w:pPr>
        <w:spacing w:line="400" w:lineRule="exact"/>
        <w:ind w:firstLine="422" w:firstLineChars="199"/>
        <w:rPr>
          <w:rFonts w:hint="eastAsia" w:ascii="宋体" w:hAnsi="宋体" w:cs="Times New Roman"/>
          <w:szCs w:val="21"/>
        </w:rPr>
      </w:pPr>
      <w:r>
        <w:rPr>
          <w:rFonts w:hint="eastAsia" w:ascii="宋体" w:hAnsi="宋体" w:cs="Times New Roman"/>
          <w:szCs w:val="21"/>
        </w:rPr>
        <w:t>（7）关于符合本国产品标准的声明函</w:t>
      </w:r>
    </w:p>
    <w:p w14:paraId="4A949D0E">
      <w:pPr>
        <w:spacing w:line="400" w:lineRule="exact"/>
        <w:ind w:firstLine="422" w:firstLineChars="199"/>
        <w:rPr>
          <w:rFonts w:ascii="宋体" w:hAnsi="宋体" w:cs="Times New Roman"/>
          <w:szCs w:val="21"/>
        </w:rPr>
      </w:pPr>
      <w:r>
        <w:rPr>
          <w:rFonts w:hint="eastAsia" w:ascii="宋体" w:hAnsi="宋体" w:cs="Times New Roman"/>
          <w:szCs w:val="21"/>
        </w:rPr>
        <w:t>（8）投标人关联单位的说明（格式自拟）</w:t>
      </w:r>
    </w:p>
    <w:p w14:paraId="6FD13B8E">
      <w:pPr>
        <w:spacing w:line="400" w:lineRule="exact"/>
        <w:ind w:firstLine="422" w:firstLineChars="199"/>
        <w:rPr>
          <w:rFonts w:ascii="宋体" w:hAnsi="宋体" w:cs="Times New Roman"/>
          <w:szCs w:val="21"/>
        </w:rPr>
      </w:pPr>
      <w:r>
        <w:rPr>
          <w:rFonts w:hint="eastAsia" w:ascii="宋体" w:hAnsi="宋体" w:cs="Times New Roman"/>
          <w:szCs w:val="21"/>
        </w:rPr>
        <w:t>（</w:t>
      </w:r>
      <w:r>
        <w:rPr>
          <w:rFonts w:hint="eastAsia" w:ascii="宋体" w:hAnsi="宋体" w:cs="Times New Roman"/>
          <w:szCs w:val="21"/>
          <w:lang w:val="en-US" w:eastAsia="zh-CN"/>
        </w:rPr>
        <w:t>9</w:t>
      </w:r>
      <w:r>
        <w:rPr>
          <w:rFonts w:hint="eastAsia" w:ascii="宋体" w:hAnsi="宋体" w:cs="Times New Roman"/>
          <w:szCs w:val="21"/>
        </w:rPr>
        <w:t>）评分标准和细则中技术部分证明材料（格式自拟）</w:t>
      </w:r>
    </w:p>
    <w:p w14:paraId="2748F15E">
      <w:pPr>
        <w:spacing w:line="400" w:lineRule="exact"/>
        <w:ind w:firstLine="430" w:firstLineChars="202"/>
        <w:rPr>
          <w:rFonts w:ascii="宋体"/>
          <w:szCs w:val="21"/>
        </w:rPr>
      </w:pPr>
      <w:r>
        <w:rPr>
          <w:rFonts w:hint="eastAsia" w:ascii="宋体"/>
          <w:szCs w:val="21"/>
        </w:rPr>
        <w:t>（</w:t>
      </w:r>
      <w:r>
        <w:rPr>
          <w:rFonts w:hint="eastAsia" w:ascii="宋体"/>
          <w:szCs w:val="21"/>
          <w:lang w:val="en-US" w:eastAsia="zh-CN"/>
        </w:rPr>
        <w:t>10</w:t>
      </w:r>
      <w:r>
        <w:rPr>
          <w:rFonts w:hint="eastAsia" w:ascii="宋体"/>
          <w:szCs w:val="21"/>
        </w:rPr>
        <w:t>）</w:t>
      </w:r>
      <w:r>
        <w:rPr>
          <w:rFonts w:hint="eastAsia" w:ascii="宋体" w:hAnsi="宋体" w:cs="Times New Roman"/>
          <w:szCs w:val="21"/>
        </w:rPr>
        <w:t>评分标准和细则中商务部分证明材料（格式自拟）</w:t>
      </w:r>
    </w:p>
    <w:p w14:paraId="4D2ECFB6">
      <w:pPr>
        <w:spacing w:line="400" w:lineRule="exact"/>
        <w:ind w:firstLine="430" w:firstLineChars="202"/>
        <w:rPr>
          <w:rFonts w:ascii="宋体"/>
          <w:szCs w:val="21"/>
        </w:rPr>
      </w:pPr>
      <w:r>
        <w:rPr>
          <w:rFonts w:hint="eastAsia" w:ascii="宋体"/>
          <w:szCs w:val="21"/>
        </w:rPr>
        <w:t>（1</w:t>
      </w:r>
      <w:r>
        <w:rPr>
          <w:rFonts w:hint="eastAsia" w:ascii="宋体"/>
          <w:szCs w:val="21"/>
          <w:lang w:val="en-US" w:eastAsia="zh-CN"/>
        </w:rPr>
        <w:t>1</w:t>
      </w:r>
      <w:r>
        <w:rPr>
          <w:rFonts w:hint="eastAsia" w:ascii="宋体"/>
          <w:szCs w:val="21"/>
        </w:rPr>
        <w:t>）投标人认为有必要提供的其他证明材料（格式自拟）</w:t>
      </w:r>
    </w:p>
    <w:p w14:paraId="6DB1058D">
      <w:pPr>
        <w:spacing w:line="400" w:lineRule="exact"/>
        <w:ind w:firstLine="422" w:firstLineChars="199"/>
        <w:rPr>
          <w:rFonts w:ascii="宋体"/>
          <w:szCs w:val="21"/>
        </w:rPr>
      </w:pPr>
      <w:r>
        <w:rPr>
          <w:rFonts w:hint="eastAsia" w:ascii="宋体" w:hAnsi="宋体"/>
          <w:b/>
          <w:kern w:val="0"/>
          <w:szCs w:val="21"/>
          <w:u w:val="single"/>
        </w:rPr>
        <w:t>注：以上材料须逐页加盖单位公章。</w:t>
      </w:r>
    </w:p>
    <w:p w14:paraId="74D31059">
      <w:pPr>
        <w:spacing w:line="400" w:lineRule="exact"/>
        <w:ind w:firstLine="422" w:firstLineChars="199"/>
        <w:rPr>
          <w:rFonts w:ascii="宋体" w:hAnsi="宋体" w:cs="Times New Roman"/>
          <w:szCs w:val="21"/>
        </w:rPr>
      </w:pPr>
      <w:r>
        <w:rPr>
          <w:rFonts w:hint="eastAsia" w:ascii="宋体"/>
          <w:szCs w:val="21"/>
        </w:rPr>
        <w:t>21.3</w:t>
      </w:r>
      <w:r>
        <w:rPr>
          <w:rFonts w:hint="eastAsia" w:ascii="宋体" w:hAnsi="宋体" w:cs="Times New Roman"/>
          <w:szCs w:val="21"/>
        </w:rPr>
        <w:t>投标文件的要求</w:t>
      </w:r>
    </w:p>
    <w:p w14:paraId="6A9AC3E0">
      <w:pPr>
        <w:spacing w:line="400" w:lineRule="exact"/>
        <w:ind w:firstLine="422" w:firstLineChars="199"/>
        <w:rPr>
          <w:rFonts w:ascii="宋体" w:hAnsi="宋体" w:cs="Times New Roman"/>
          <w:szCs w:val="21"/>
        </w:rPr>
      </w:pPr>
      <w:r>
        <w:rPr>
          <w:rFonts w:hint="eastAsia" w:ascii="宋体" w:hAnsi="宋体" w:cs="Times New Roman"/>
          <w:szCs w:val="21"/>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5E4514C9">
      <w:pPr>
        <w:spacing w:line="400" w:lineRule="exact"/>
        <w:ind w:firstLine="422" w:firstLineChars="199"/>
        <w:rPr>
          <w:rFonts w:ascii="宋体" w:hAnsi="宋体" w:cs="Times New Roman"/>
          <w:szCs w:val="21"/>
        </w:rPr>
      </w:pPr>
      <w:r>
        <w:rPr>
          <w:rFonts w:hint="eastAsia" w:ascii="宋体" w:hAnsi="宋体" w:cs="Times New Roman"/>
          <w:szCs w:val="21"/>
        </w:rPr>
        <w:t>（2）投标文件格式应按本采购文件第六章格式要求编制，不得对采购文件格式进行增删更改，否则按无效标处理。</w:t>
      </w:r>
    </w:p>
    <w:p w14:paraId="1997E90F">
      <w:pPr>
        <w:spacing w:line="400" w:lineRule="exact"/>
        <w:ind w:firstLine="422" w:firstLineChars="199"/>
        <w:rPr>
          <w:rFonts w:ascii="宋体" w:hAnsi="宋体" w:cs="Times New Roman"/>
          <w:szCs w:val="21"/>
        </w:rPr>
      </w:pPr>
      <w:r>
        <w:rPr>
          <w:rFonts w:hint="eastAsia" w:ascii="宋体" w:hAnsi="宋体" w:cs="Times New Roman"/>
          <w:szCs w:val="21"/>
        </w:rPr>
        <w:t xml:space="preserve">（3）对采购文件格式可更改的例外情况：采购文件第六章附件格式要求中明确规定表格中行数不够用时可按相同格式增加行数，其他一切内容和格式不得更改。 </w:t>
      </w:r>
    </w:p>
    <w:p w14:paraId="1A5EFCBF">
      <w:pPr>
        <w:spacing w:line="400" w:lineRule="exact"/>
        <w:ind w:firstLine="422" w:firstLineChars="199"/>
        <w:rPr>
          <w:rFonts w:ascii="宋体" w:hAnsi="宋体" w:cs="Times New Roman"/>
          <w:szCs w:val="21"/>
        </w:rPr>
      </w:pPr>
      <w:r>
        <w:rPr>
          <w:rFonts w:hint="eastAsia" w:ascii="宋体" w:hAnsi="宋体" w:cs="Times New Roman"/>
          <w:szCs w:val="21"/>
        </w:rPr>
        <w:t>（4）投标文件为电子投标文件，电子投标文件按“政采云供应商项目采购-电子招投标操作指南”及本采购文件要求制作、加密传输。</w:t>
      </w:r>
    </w:p>
    <w:p w14:paraId="653A63D9">
      <w:pPr>
        <w:spacing w:line="400" w:lineRule="exact"/>
        <w:ind w:firstLine="422" w:firstLineChars="199"/>
        <w:rPr>
          <w:rFonts w:ascii="宋体"/>
          <w:szCs w:val="21"/>
        </w:rPr>
      </w:pPr>
      <w:r>
        <w:rPr>
          <w:rFonts w:hint="eastAsia" w:ascii="宋体" w:hAnsi="宋体" w:cs="Times New Roman"/>
          <w:szCs w:val="21"/>
        </w:rPr>
        <w:t>（5）投标文件未在投标截止时间前完成传输的，视为投标文件撤回。</w:t>
      </w:r>
    </w:p>
    <w:p w14:paraId="6E44EEDA">
      <w:pPr>
        <w:spacing w:line="440" w:lineRule="exact"/>
        <w:ind w:firstLine="426" w:firstLineChars="200"/>
        <w:rPr>
          <w:rFonts w:ascii="宋体"/>
          <w:szCs w:val="21"/>
        </w:rPr>
      </w:pPr>
      <w:r>
        <w:rPr>
          <w:rFonts w:hint="eastAsia" w:ascii="宋体"/>
          <w:b/>
          <w:szCs w:val="21"/>
        </w:rPr>
        <w:t>22</w:t>
      </w:r>
      <w:r>
        <w:rPr>
          <w:rFonts w:hint="eastAsia" w:ascii="宋体"/>
          <w:szCs w:val="21"/>
        </w:rPr>
        <w:t>.</w:t>
      </w:r>
      <w:r>
        <w:rPr>
          <w:rFonts w:hint="eastAsia" w:ascii="宋体"/>
          <w:b/>
          <w:szCs w:val="21"/>
        </w:rPr>
        <w:t>投标报价</w:t>
      </w:r>
    </w:p>
    <w:p w14:paraId="0495DB69">
      <w:pPr>
        <w:spacing w:line="440" w:lineRule="exact"/>
        <w:ind w:firstLine="426" w:firstLineChars="200"/>
        <w:rPr>
          <w:rFonts w:ascii="宋体"/>
          <w:szCs w:val="21"/>
          <w:highlight w:val="none"/>
        </w:rPr>
      </w:pPr>
      <w:r>
        <w:rPr>
          <w:rFonts w:hint="eastAsia" w:ascii="宋体"/>
          <w:szCs w:val="21"/>
        </w:rPr>
        <w:t>22.1投标报价文件中的单价和总价全部采用人</w:t>
      </w:r>
      <w:r>
        <w:rPr>
          <w:rFonts w:hint="eastAsia" w:ascii="宋体"/>
          <w:szCs w:val="21"/>
          <w:highlight w:val="none"/>
        </w:rPr>
        <w:t>民币表示。</w:t>
      </w:r>
    </w:p>
    <w:p w14:paraId="6777EBF9">
      <w:pPr>
        <w:spacing w:line="440" w:lineRule="exact"/>
        <w:ind w:firstLine="426" w:firstLineChars="200"/>
        <w:rPr>
          <w:rFonts w:ascii="宋体"/>
          <w:szCs w:val="21"/>
          <w:highlight w:val="none"/>
        </w:rPr>
      </w:pPr>
      <w:r>
        <w:rPr>
          <w:rFonts w:hint="eastAsia" w:ascii="宋体"/>
          <w:szCs w:val="21"/>
          <w:highlight w:val="none"/>
        </w:rPr>
        <w:t>22.2投标报价表上应清楚地标明投标人拟提供货物（服务）的名称、</w:t>
      </w:r>
      <w:r>
        <w:rPr>
          <w:rFonts w:hint="eastAsia" w:ascii="宋体"/>
          <w:szCs w:val="21"/>
          <w:highlight w:val="none"/>
          <w:lang w:eastAsia="zh-CN"/>
        </w:rPr>
        <w:t>型号和规格</w:t>
      </w:r>
      <w:r>
        <w:rPr>
          <w:rFonts w:hint="eastAsia" w:ascii="宋体"/>
          <w:szCs w:val="21"/>
          <w:highlight w:val="none"/>
        </w:rPr>
        <w:t>、数量、</w:t>
      </w:r>
      <w:r>
        <w:rPr>
          <w:rFonts w:hint="eastAsia" w:ascii="宋体"/>
          <w:szCs w:val="21"/>
          <w:highlight w:val="none"/>
          <w:lang w:eastAsia="zh-CN"/>
        </w:rPr>
        <w:t>单位、品牌、制造商名称</w:t>
      </w:r>
      <w:r>
        <w:rPr>
          <w:rFonts w:hint="eastAsia" w:ascii="宋体"/>
          <w:szCs w:val="21"/>
          <w:highlight w:val="none"/>
        </w:rPr>
        <w:t>、单价和总价。</w:t>
      </w:r>
    </w:p>
    <w:p w14:paraId="736F8379">
      <w:pPr>
        <w:spacing w:line="440" w:lineRule="exact"/>
        <w:ind w:firstLine="426" w:firstLineChars="200"/>
        <w:rPr>
          <w:rFonts w:ascii="宋体"/>
          <w:szCs w:val="21"/>
        </w:rPr>
      </w:pPr>
      <w:r>
        <w:rPr>
          <w:rFonts w:hint="eastAsia" w:ascii="宋体"/>
          <w:szCs w:val="21"/>
        </w:rPr>
        <w:t>22.3投标人只允许有一个方案、一个报价。</w:t>
      </w:r>
    </w:p>
    <w:p w14:paraId="0681D648">
      <w:pPr>
        <w:spacing w:line="440" w:lineRule="exact"/>
        <w:ind w:firstLine="426" w:firstLineChars="200"/>
        <w:rPr>
          <w:rFonts w:ascii="宋体"/>
          <w:szCs w:val="21"/>
        </w:rPr>
      </w:pPr>
      <w:r>
        <w:rPr>
          <w:rFonts w:hint="eastAsia" w:ascii="宋体"/>
          <w:szCs w:val="21"/>
        </w:rPr>
        <w:t>22.4投标人应按“采购内容及技术参数要求”所列货物（服务）逐项进行单价报价，并最终按货物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55741311">
      <w:pPr>
        <w:spacing w:line="440" w:lineRule="exact"/>
        <w:ind w:firstLine="426" w:firstLineChars="200"/>
        <w:rPr>
          <w:rFonts w:ascii="宋体"/>
          <w:szCs w:val="21"/>
        </w:rPr>
      </w:pPr>
      <w:r>
        <w:rPr>
          <w:rFonts w:hint="eastAsia" w:ascii="宋体"/>
          <w:szCs w:val="21"/>
        </w:rPr>
        <w:t>22.5投标报价的价格是货物（服务）交货地验收价格，其总价即为履行合同的固定总价。</w:t>
      </w:r>
    </w:p>
    <w:p w14:paraId="04EE61CB">
      <w:pPr>
        <w:spacing w:line="440" w:lineRule="exact"/>
        <w:ind w:firstLine="426" w:firstLineChars="200"/>
        <w:rPr>
          <w:rFonts w:ascii="宋体"/>
          <w:szCs w:val="21"/>
        </w:rPr>
      </w:pPr>
      <w:r>
        <w:rPr>
          <w:rFonts w:hint="eastAsia" w:ascii="宋体"/>
          <w:szCs w:val="21"/>
        </w:rPr>
        <w:t>22.6技术要求中规定的安装、调试和培训费用应包括在投标价格中。投标文件报价为含税价，招标人不再为此次招标支付任何费用。</w:t>
      </w:r>
    </w:p>
    <w:p w14:paraId="77ADCF84">
      <w:pPr>
        <w:spacing w:line="440" w:lineRule="exact"/>
        <w:ind w:firstLine="426" w:firstLineChars="200"/>
        <w:rPr>
          <w:rFonts w:ascii="宋体"/>
          <w:szCs w:val="21"/>
        </w:rPr>
      </w:pPr>
      <w:r>
        <w:rPr>
          <w:rFonts w:hint="eastAsia" w:ascii="宋体"/>
          <w:szCs w:val="21"/>
        </w:rPr>
        <w:t>22.7投标报价应由法定代表人或被授权人签署。</w:t>
      </w:r>
    </w:p>
    <w:p w14:paraId="668BA1AF">
      <w:pPr>
        <w:spacing w:line="440" w:lineRule="exact"/>
        <w:ind w:firstLine="426" w:firstLineChars="200"/>
        <w:rPr>
          <w:rFonts w:ascii="宋体"/>
          <w:bCs/>
          <w:szCs w:val="21"/>
        </w:rPr>
      </w:pPr>
      <w:r>
        <w:rPr>
          <w:rFonts w:hint="eastAsia" w:ascii="宋体"/>
          <w:bCs/>
          <w:szCs w:val="21"/>
        </w:rPr>
        <w:t>22.8</w:t>
      </w:r>
      <w:r>
        <w:rPr>
          <w:rFonts w:hint="eastAsia" w:ascii="宋体" w:hAnsi="宋体"/>
          <w:b/>
          <w:szCs w:val="21"/>
        </w:rPr>
        <w:t>投标人投标总报价，不得高于本次招标设置的最高限价，</w:t>
      </w:r>
      <w:r>
        <w:rPr>
          <w:rFonts w:hint="eastAsia" w:ascii="宋体" w:hAnsi="宋体"/>
          <w:b/>
          <w:bCs/>
          <w:szCs w:val="21"/>
        </w:rPr>
        <w:t>否则将作为无效投标处理。</w:t>
      </w:r>
    </w:p>
    <w:p w14:paraId="308C2B88">
      <w:pPr>
        <w:spacing w:line="440" w:lineRule="exact"/>
        <w:ind w:firstLine="426" w:firstLineChars="200"/>
        <w:rPr>
          <w:rFonts w:ascii="宋体"/>
          <w:szCs w:val="21"/>
        </w:rPr>
      </w:pPr>
      <w:r>
        <w:rPr>
          <w:rFonts w:hint="eastAsia" w:ascii="宋体"/>
          <w:szCs w:val="21"/>
        </w:rPr>
        <w:t>22.9如投标文件中未列明全面实现投标货物（服务）功能而必须配置的配套或辅助设施及相应技术措施的费用，这些费用将被视为已包含在总投标价中。</w:t>
      </w:r>
    </w:p>
    <w:p w14:paraId="34F33603">
      <w:pPr>
        <w:spacing w:line="440" w:lineRule="exact"/>
        <w:ind w:firstLine="426" w:firstLineChars="200"/>
        <w:rPr>
          <w:rFonts w:ascii="宋体"/>
          <w:szCs w:val="21"/>
        </w:rPr>
      </w:pPr>
      <w:r>
        <w:rPr>
          <w:rFonts w:hint="eastAsia" w:ascii="宋体"/>
          <w:szCs w:val="21"/>
        </w:rPr>
        <w:t>22.10总投标价中不得包含采购文件要求以外的内容，否则，在评标时不予核减，但在授予合同时，招标人有权将这部分价格从其中标价格中扣除。</w:t>
      </w:r>
    </w:p>
    <w:p w14:paraId="624DFB98">
      <w:pPr>
        <w:spacing w:line="440" w:lineRule="exact"/>
        <w:ind w:firstLine="408" w:firstLineChars="192"/>
        <w:rPr>
          <w:rFonts w:ascii="宋体"/>
          <w:szCs w:val="21"/>
        </w:rPr>
      </w:pPr>
      <w:r>
        <w:rPr>
          <w:rFonts w:hint="eastAsia" w:ascii="宋体"/>
          <w:szCs w:val="21"/>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5D0238D5">
      <w:pPr>
        <w:spacing w:line="440" w:lineRule="exact"/>
        <w:ind w:firstLine="408" w:firstLineChars="192"/>
        <w:rPr>
          <w:rFonts w:ascii="宋体"/>
          <w:szCs w:val="21"/>
        </w:rPr>
      </w:pPr>
      <w:r>
        <w:rPr>
          <w:rFonts w:hint="eastAsia" w:ascii="宋体"/>
          <w:szCs w:val="21"/>
        </w:rPr>
        <w:t>22.12投标人不得对从第三方采购货物的随机备品、备件另行收费，否则在计算评标价时这部分费用将不予扣除，在授予合同时将从中标价格中扣除该部分费用。</w:t>
      </w:r>
    </w:p>
    <w:p w14:paraId="20DD9468">
      <w:pPr>
        <w:spacing w:line="440" w:lineRule="exact"/>
        <w:ind w:firstLine="408" w:firstLineChars="192"/>
        <w:rPr>
          <w:rFonts w:ascii="宋体"/>
          <w:szCs w:val="21"/>
        </w:rPr>
      </w:pPr>
      <w:r>
        <w:rPr>
          <w:rFonts w:hint="eastAsia" w:ascii="宋体"/>
          <w:szCs w:val="21"/>
        </w:rPr>
        <w:t>22.13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1B9EEB93">
      <w:pPr>
        <w:spacing w:line="440" w:lineRule="exact"/>
        <w:ind w:firstLine="426" w:firstLineChars="200"/>
        <w:rPr>
          <w:rFonts w:ascii="宋体"/>
          <w:b/>
          <w:szCs w:val="21"/>
        </w:rPr>
      </w:pPr>
      <w:r>
        <w:rPr>
          <w:rFonts w:hint="eastAsia" w:ascii="宋体"/>
          <w:b/>
          <w:szCs w:val="21"/>
        </w:rPr>
        <w:t>23. 投标有效期</w:t>
      </w:r>
    </w:p>
    <w:p w14:paraId="281DF78D">
      <w:pPr>
        <w:spacing w:line="440" w:lineRule="exact"/>
        <w:ind w:firstLine="426" w:firstLineChars="200"/>
        <w:rPr>
          <w:rFonts w:ascii="宋体"/>
          <w:szCs w:val="21"/>
        </w:rPr>
      </w:pPr>
      <w:r>
        <w:rPr>
          <w:rFonts w:hint="eastAsia" w:ascii="宋体"/>
          <w:szCs w:val="21"/>
        </w:rPr>
        <w:t>23.1 除投标人须知前附表另有规定外，投标有效期为60天。</w:t>
      </w:r>
    </w:p>
    <w:p w14:paraId="7033C879">
      <w:pPr>
        <w:spacing w:line="440" w:lineRule="exact"/>
        <w:ind w:firstLine="426" w:firstLineChars="200"/>
        <w:rPr>
          <w:rFonts w:ascii="宋体"/>
          <w:szCs w:val="21"/>
        </w:rPr>
      </w:pPr>
      <w:r>
        <w:rPr>
          <w:rFonts w:hint="eastAsia" w:ascii="宋体"/>
          <w:szCs w:val="21"/>
        </w:rPr>
        <w:t>23.2在投标有效期内，投标人撤销或修改其投标文件的，应承担采购文件和法律规定的责任。</w:t>
      </w:r>
    </w:p>
    <w:p w14:paraId="03A39B74">
      <w:pPr>
        <w:spacing w:line="440" w:lineRule="exact"/>
        <w:ind w:firstLine="426" w:firstLineChars="200"/>
        <w:rPr>
          <w:rFonts w:ascii="宋体"/>
          <w:szCs w:val="21"/>
        </w:rPr>
      </w:pPr>
      <w:r>
        <w:rPr>
          <w:rFonts w:hint="eastAsia" w:ascii="宋体"/>
          <w:szCs w:val="21"/>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2B0EBD1">
      <w:pPr>
        <w:spacing w:line="440" w:lineRule="exact"/>
        <w:ind w:firstLine="408" w:firstLineChars="192"/>
        <w:rPr>
          <w:rFonts w:ascii="宋体"/>
          <w:b/>
          <w:szCs w:val="21"/>
        </w:rPr>
      </w:pPr>
      <w:r>
        <w:rPr>
          <w:rFonts w:hint="eastAsia" w:ascii="宋体"/>
          <w:b/>
          <w:szCs w:val="21"/>
        </w:rPr>
        <w:t>24. 投标保证金</w:t>
      </w:r>
    </w:p>
    <w:p w14:paraId="78350751">
      <w:pPr>
        <w:spacing w:line="400" w:lineRule="exact"/>
        <w:ind w:firstLine="426" w:firstLineChars="200"/>
        <w:rPr>
          <w:rFonts w:ascii="宋体"/>
          <w:szCs w:val="21"/>
        </w:rPr>
      </w:pPr>
      <w:r>
        <w:rPr>
          <w:rFonts w:hint="eastAsia" w:ascii="宋体"/>
          <w:szCs w:val="21"/>
        </w:rPr>
        <w:t>24.1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4FBBF2E8">
      <w:pPr>
        <w:spacing w:line="400" w:lineRule="exact"/>
        <w:ind w:firstLine="426" w:firstLineChars="200"/>
        <w:rPr>
          <w:rFonts w:ascii="宋体"/>
          <w:szCs w:val="21"/>
        </w:rPr>
      </w:pPr>
      <w:r>
        <w:rPr>
          <w:rFonts w:hint="eastAsia" w:ascii="宋体"/>
          <w:szCs w:val="21"/>
        </w:rPr>
        <w:t>24.2自中标通知书发出之日起5个工作日内退还未中标投标人的投标保证金，自政府采购合同签订之日起5个工作日内退还中标人的投标保证金。</w:t>
      </w:r>
    </w:p>
    <w:p w14:paraId="2EBC1AF5">
      <w:pPr>
        <w:spacing w:line="400" w:lineRule="exact"/>
        <w:ind w:firstLine="426" w:firstLineChars="200"/>
        <w:rPr>
          <w:rFonts w:ascii="宋体"/>
          <w:szCs w:val="21"/>
        </w:rPr>
      </w:pPr>
      <w:r>
        <w:rPr>
          <w:rFonts w:hint="eastAsia" w:ascii="宋体"/>
          <w:szCs w:val="21"/>
        </w:rPr>
        <w:t xml:space="preserve">24.3有下列情形之一的，投标保证金将不予退还： </w:t>
      </w:r>
    </w:p>
    <w:p w14:paraId="3A9871FA">
      <w:pPr>
        <w:spacing w:line="400" w:lineRule="exact"/>
        <w:ind w:firstLine="426" w:firstLineChars="200"/>
        <w:rPr>
          <w:rFonts w:ascii="宋体"/>
          <w:szCs w:val="21"/>
        </w:rPr>
      </w:pPr>
      <w:r>
        <w:rPr>
          <w:rFonts w:hint="eastAsia" w:ascii="宋体"/>
          <w:szCs w:val="21"/>
        </w:rPr>
        <w:t>（1）投标人在规定的投标有效期内撤回或修改其投标文件；</w:t>
      </w:r>
    </w:p>
    <w:p w14:paraId="5E24BBB0">
      <w:pPr>
        <w:spacing w:line="400" w:lineRule="exact"/>
        <w:ind w:firstLine="426" w:firstLineChars="200"/>
        <w:rPr>
          <w:rFonts w:ascii="宋体"/>
          <w:szCs w:val="21"/>
        </w:rPr>
      </w:pPr>
      <w:r>
        <w:rPr>
          <w:rFonts w:hint="eastAsia" w:ascii="宋体"/>
          <w:szCs w:val="21"/>
        </w:rPr>
        <w:t>（2）中标通知书发出后三十天内，中标人无正当理由拒签合同协议书或未按采购文件规定提交履约担保。</w:t>
      </w:r>
    </w:p>
    <w:p w14:paraId="77BE0E89">
      <w:pPr>
        <w:spacing w:line="400" w:lineRule="exact"/>
        <w:ind w:firstLine="426" w:firstLineChars="200"/>
        <w:rPr>
          <w:rFonts w:ascii="宋体"/>
          <w:szCs w:val="21"/>
        </w:rPr>
      </w:pPr>
      <w:r>
        <w:rPr>
          <w:rFonts w:hint="eastAsia" w:ascii="宋体"/>
          <w:szCs w:val="21"/>
        </w:rPr>
        <w:t>（3）提供虚假材料谋取中标的；</w:t>
      </w:r>
    </w:p>
    <w:p w14:paraId="26B624FF">
      <w:pPr>
        <w:spacing w:line="400" w:lineRule="exact"/>
        <w:ind w:firstLine="426" w:firstLineChars="200"/>
        <w:rPr>
          <w:rFonts w:ascii="宋体"/>
          <w:szCs w:val="21"/>
        </w:rPr>
      </w:pPr>
      <w:r>
        <w:rPr>
          <w:rFonts w:hint="eastAsia" w:ascii="宋体"/>
          <w:szCs w:val="21"/>
        </w:rPr>
        <w:t>（4）经查实属于陪标、串通投标的等。</w:t>
      </w:r>
    </w:p>
    <w:p w14:paraId="144B415C">
      <w:pPr>
        <w:spacing w:line="400" w:lineRule="exact"/>
        <w:ind w:firstLine="426" w:firstLineChars="200"/>
        <w:rPr>
          <w:rFonts w:ascii="宋体"/>
          <w:szCs w:val="21"/>
        </w:rPr>
      </w:pPr>
      <w:bookmarkStart w:id="41" w:name="_Toc469495727"/>
      <w:r>
        <w:rPr>
          <w:rFonts w:hint="eastAsia" w:ascii="宋体"/>
          <w:szCs w:val="21"/>
        </w:rPr>
        <w:t>24.4投标保证金按投标人须知前附表第24条规定执行。</w:t>
      </w:r>
    </w:p>
    <w:p w14:paraId="631FBA50">
      <w:pPr>
        <w:pStyle w:val="2"/>
        <w:jc w:val="center"/>
        <w:rPr>
          <w:sz w:val="28"/>
          <w:szCs w:val="28"/>
        </w:rPr>
      </w:pPr>
      <w:r>
        <w:rPr>
          <w:rFonts w:hint="eastAsia"/>
          <w:sz w:val="28"/>
          <w:szCs w:val="28"/>
        </w:rPr>
        <w:t>（四）</w:t>
      </w:r>
      <w:bookmarkEnd w:id="41"/>
      <w:r>
        <w:rPr>
          <w:rFonts w:hint="eastAsia"/>
          <w:sz w:val="28"/>
          <w:szCs w:val="28"/>
        </w:rPr>
        <w:t>投标文件的制作、上传及递交要求</w:t>
      </w:r>
    </w:p>
    <w:p w14:paraId="6B1F65FE">
      <w:pPr>
        <w:snapToGrid w:val="0"/>
        <w:spacing w:line="360" w:lineRule="auto"/>
        <w:ind w:firstLine="426" w:firstLineChars="200"/>
        <w:rPr>
          <w:rFonts w:ascii="宋体" w:hAnsi="宋体"/>
          <w:b/>
          <w:szCs w:val="21"/>
        </w:rPr>
      </w:pPr>
      <w:r>
        <w:rPr>
          <w:rFonts w:hint="eastAsia" w:ascii="宋体" w:hAnsi="宋体"/>
          <w:b/>
          <w:bCs/>
          <w:szCs w:val="21"/>
        </w:rPr>
        <w:t>25.投标文件的制作要求</w:t>
      </w:r>
    </w:p>
    <w:p w14:paraId="4DACB3AC">
      <w:pPr>
        <w:pStyle w:val="9"/>
        <w:snapToGrid w:val="0"/>
        <w:spacing w:line="360" w:lineRule="auto"/>
        <w:rPr>
          <w:rFonts w:ascii="宋体" w:hAnsi="宋体"/>
          <w:szCs w:val="21"/>
        </w:rPr>
      </w:pPr>
      <w:r>
        <w:rPr>
          <w:rFonts w:hint="eastAsia" w:ascii="宋体" w:hAnsi="宋体"/>
          <w:bCs/>
          <w:szCs w:val="21"/>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095D48A2">
      <w:pPr>
        <w:pStyle w:val="9"/>
        <w:snapToGrid w:val="0"/>
        <w:spacing w:line="360" w:lineRule="auto"/>
        <w:ind w:firstLine="426" w:firstLineChars="200"/>
        <w:rPr>
          <w:rFonts w:ascii="宋体" w:hAnsi="宋体"/>
          <w:szCs w:val="21"/>
        </w:rPr>
      </w:pPr>
      <w:r>
        <w:rPr>
          <w:rFonts w:hint="eastAsia" w:ascii="宋体" w:hAnsi="宋体"/>
          <w:bCs/>
          <w:szCs w:val="21"/>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2017FD89">
      <w:pPr>
        <w:pStyle w:val="9"/>
        <w:snapToGrid w:val="0"/>
        <w:spacing w:line="360" w:lineRule="auto"/>
        <w:rPr>
          <w:rFonts w:ascii="宋体" w:hAnsi="宋体"/>
          <w:bCs/>
          <w:szCs w:val="21"/>
        </w:rPr>
      </w:pPr>
      <w:r>
        <w:rPr>
          <w:rFonts w:hint="eastAsia" w:ascii="宋体" w:hAnsi="宋体"/>
          <w:bCs/>
          <w:szCs w:val="21"/>
        </w:rPr>
        <w:t>（2）供应商应对所提供的全部资料的真实性、有效性承担法律责任，电子投标文件中所</w:t>
      </w:r>
      <w:r>
        <w:rPr>
          <w:rFonts w:hint="eastAsia" w:ascii="宋体" w:hAnsi="宋体"/>
          <w:bCs/>
          <w:szCs w:val="21"/>
          <w:lang w:eastAsia="zh-CN"/>
        </w:rPr>
        <w:t>需</w:t>
      </w:r>
      <w:r>
        <w:rPr>
          <w:rFonts w:hint="eastAsia" w:ascii="宋体" w:hAnsi="宋体"/>
          <w:bCs/>
          <w:szCs w:val="21"/>
        </w:rPr>
        <w:t>加盖公章部分均采用CA签章。</w:t>
      </w:r>
    </w:p>
    <w:p w14:paraId="208C4BA4">
      <w:pPr>
        <w:pStyle w:val="9"/>
        <w:snapToGrid w:val="0"/>
        <w:spacing w:line="360" w:lineRule="auto"/>
        <w:rPr>
          <w:rFonts w:ascii="宋体" w:hAnsi="宋体"/>
          <w:bCs/>
          <w:szCs w:val="21"/>
        </w:rPr>
      </w:pPr>
      <w:r>
        <w:rPr>
          <w:rFonts w:hint="eastAsia" w:ascii="宋体" w:hAnsi="宋体"/>
          <w:bCs/>
          <w:szCs w:val="21"/>
        </w:rPr>
        <w:t>（3）投标文件以及供应商与采购组织机构就有关投标事宜的所有来往函电，均应以中文汉语书写。除签字、盖章、专用名称等特殊情形外，以中文汉语以外的文字表述的投标文件视同未提供。</w:t>
      </w:r>
    </w:p>
    <w:p w14:paraId="4095C766">
      <w:pPr>
        <w:pStyle w:val="9"/>
        <w:snapToGrid w:val="0"/>
        <w:spacing w:line="360" w:lineRule="auto"/>
        <w:rPr>
          <w:rFonts w:ascii="宋体" w:hAnsi="宋体"/>
          <w:bCs/>
          <w:szCs w:val="21"/>
        </w:rPr>
      </w:pPr>
      <w:r>
        <w:rPr>
          <w:rFonts w:hint="eastAsia" w:ascii="宋体" w:hAnsi="宋体"/>
          <w:bCs/>
          <w:szCs w:val="21"/>
        </w:rPr>
        <w:t>（4）投标计量单位，采购文件已有明确规定的，使用采购文件规定的计量单位；采购文件没有规定的，应采用中华人民共和国法定计量单位（货币单位：人民币元）。</w:t>
      </w:r>
    </w:p>
    <w:p w14:paraId="6BCD5533">
      <w:pPr>
        <w:pStyle w:val="9"/>
        <w:snapToGrid w:val="0"/>
        <w:spacing w:line="360" w:lineRule="auto"/>
        <w:rPr>
          <w:rFonts w:ascii="宋体" w:hAnsi="宋体"/>
          <w:bCs/>
          <w:szCs w:val="21"/>
        </w:rPr>
      </w:pPr>
      <w:r>
        <w:rPr>
          <w:rFonts w:hint="eastAsia" w:ascii="宋体" w:hAnsi="宋体"/>
          <w:bCs/>
          <w:szCs w:val="21"/>
        </w:rPr>
        <w:t>（5）若供应商不按采购文件的要求提供资格审查材料，其风险由供应商自行承担。</w:t>
      </w:r>
    </w:p>
    <w:p w14:paraId="237A65CD">
      <w:pPr>
        <w:pStyle w:val="9"/>
        <w:snapToGrid w:val="0"/>
        <w:spacing w:line="360" w:lineRule="auto"/>
        <w:rPr>
          <w:rFonts w:ascii="宋体" w:hAnsi="宋体"/>
          <w:bCs/>
          <w:szCs w:val="21"/>
        </w:rPr>
      </w:pPr>
      <w:r>
        <w:rPr>
          <w:rFonts w:hint="eastAsia" w:ascii="宋体" w:hAnsi="宋体"/>
          <w:bCs/>
          <w:szCs w:val="21"/>
        </w:rPr>
        <w:t>（6）与本次投标无关的内容请不要制作在内，确保投标文件有针对性、简洁明了。</w:t>
      </w:r>
    </w:p>
    <w:p w14:paraId="2EAAD0D8">
      <w:pPr>
        <w:snapToGrid w:val="0"/>
        <w:spacing w:line="360" w:lineRule="auto"/>
        <w:ind w:firstLine="426" w:firstLineChars="200"/>
        <w:rPr>
          <w:rFonts w:ascii="宋体" w:hAnsi="宋体"/>
          <w:b/>
          <w:szCs w:val="21"/>
        </w:rPr>
      </w:pPr>
      <w:r>
        <w:rPr>
          <w:rFonts w:hint="eastAsia" w:ascii="宋体" w:hAnsi="宋体"/>
          <w:b/>
          <w:bCs/>
          <w:szCs w:val="21"/>
        </w:rPr>
        <w:t>26.投标文件的上传</w:t>
      </w:r>
    </w:p>
    <w:p w14:paraId="7541569A">
      <w:pPr>
        <w:pStyle w:val="9"/>
        <w:snapToGrid w:val="0"/>
        <w:spacing w:line="360" w:lineRule="auto"/>
        <w:rPr>
          <w:rFonts w:ascii="宋体" w:hAnsi="宋体"/>
          <w:b/>
          <w:bCs/>
          <w:szCs w:val="21"/>
        </w:rPr>
      </w:pPr>
      <w:r>
        <w:rPr>
          <w:rFonts w:hint="eastAsia" w:ascii="宋体" w:hAnsi="宋体"/>
          <w:b/>
          <w:bCs/>
          <w:szCs w:val="21"/>
        </w:rPr>
        <w:t>（1）</w:t>
      </w:r>
      <w:r>
        <w:rPr>
          <w:rFonts w:hint="eastAsia" w:ascii="宋体" w:hAnsi="宋体"/>
          <w:b/>
          <w:bCs/>
          <w:szCs w:val="21"/>
          <w:lang w:bidi="zh-CN"/>
        </w:rPr>
        <w:t>电子加密投标文件（“.jmbs”格式）</w:t>
      </w:r>
      <w:r>
        <w:rPr>
          <w:rFonts w:hint="eastAsia" w:ascii="宋体" w:hAnsi="宋体"/>
          <w:b/>
          <w:bCs/>
          <w:szCs w:val="21"/>
        </w:rPr>
        <w:t>：</w:t>
      </w:r>
    </w:p>
    <w:p w14:paraId="7575E873">
      <w:pPr>
        <w:pStyle w:val="9"/>
        <w:snapToGrid w:val="0"/>
        <w:spacing w:line="360" w:lineRule="auto"/>
        <w:ind w:firstLine="532" w:firstLineChars="250"/>
        <w:rPr>
          <w:rFonts w:ascii="宋体" w:hAnsi="宋体"/>
          <w:bCs/>
          <w:szCs w:val="21"/>
          <w:lang w:bidi="zh-CN"/>
        </w:rPr>
      </w:pPr>
      <w:r>
        <w:rPr>
          <w:rFonts w:hint="eastAsia" w:ascii="宋体" w:hAnsi="宋体"/>
          <w:bCs/>
          <w:szCs w:val="21"/>
          <w:lang w:bidi="zh-CN"/>
        </w:rPr>
        <w:t>a.</w:t>
      </w:r>
      <w:r>
        <w:rPr>
          <w:rFonts w:hint="eastAsia" w:ascii="宋体" w:hAnsi="宋体"/>
          <w:bCs/>
          <w:szCs w:val="21"/>
        </w:rPr>
        <w:t xml:space="preserve"> </w:t>
      </w:r>
      <w:r>
        <w:rPr>
          <w:rFonts w:hint="eastAsia" w:ascii="宋体" w:hAnsi="宋体"/>
          <w:bCs/>
          <w:szCs w:val="21"/>
          <w:lang w:bidi="zh-CN"/>
        </w:rPr>
        <w:t>供应商应在投标截止时间前将电子加密投标文件成功上传递交至新疆政府采购云平台，否则投标无效；</w:t>
      </w:r>
    </w:p>
    <w:p w14:paraId="1DD8C3E6">
      <w:pPr>
        <w:pStyle w:val="9"/>
        <w:snapToGrid w:val="0"/>
        <w:spacing w:line="360" w:lineRule="auto"/>
        <w:ind w:firstLine="532" w:firstLineChars="250"/>
        <w:rPr>
          <w:rFonts w:ascii="宋体" w:hAnsi="宋体"/>
          <w:bCs/>
          <w:szCs w:val="21"/>
        </w:rPr>
      </w:pPr>
      <w:r>
        <w:rPr>
          <w:rFonts w:hint="eastAsia" w:ascii="宋体" w:hAnsi="宋体"/>
          <w:bCs/>
          <w:szCs w:val="21"/>
          <w:lang w:bidi="zh-CN"/>
        </w:rPr>
        <w:t>b.供应商成功上传电子加密投标文件后，可自行打印投标文件接收回执。</w:t>
      </w:r>
    </w:p>
    <w:p w14:paraId="009D4C05">
      <w:pPr>
        <w:snapToGrid w:val="0"/>
        <w:spacing w:line="360" w:lineRule="auto"/>
        <w:ind w:firstLine="426" w:firstLineChars="200"/>
        <w:rPr>
          <w:rFonts w:ascii="宋体" w:hAnsi="宋体"/>
          <w:b/>
          <w:szCs w:val="21"/>
        </w:rPr>
      </w:pPr>
      <w:r>
        <w:rPr>
          <w:rFonts w:hint="eastAsia" w:ascii="宋体" w:hAnsi="宋体"/>
          <w:b/>
          <w:bCs/>
          <w:szCs w:val="21"/>
        </w:rPr>
        <w:t>27.</w:t>
      </w:r>
      <w:r>
        <w:rPr>
          <w:rFonts w:hint="eastAsia" w:ascii="宋体" w:hAnsi="宋体"/>
          <w:b/>
          <w:szCs w:val="21"/>
        </w:rPr>
        <w:t>投标文件的递交要求</w:t>
      </w:r>
    </w:p>
    <w:p w14:paraId="38E7B8C0">
      <w:pPr>
        <w:snapToGrid w:val="0"/>
        <w:spacing w:line="360" w:lineRule="auto"/>
        <w:ind w:firstLine="426" w:firstLineChars="200"/>
        <w:rPr>
          <w:rFonts w:ascii="宋体" w:hAnsi="宋体"/>
          <w:szCs w:val="21"/>
        </w:rPr>
      </w:pPr>
      <w:r>
        <w:rPr>
          <w:rFonts w:hint="eastAsia" w:ascii="宋体" w:hAnsi="宋体"/>
          <w:szCs w:val="21"/>
        </w:rPr>
        <w:t>（1）供应商须按照采购文件和政采云平台的要求编制并加密投标文件。在投标文件递交截止时间以前完成投标文件的传输递交，截止时间后递交的投标文件，将被拒收。</w:t>
      </w:r>
    </w:p>
    <w:p w14:paraId="7B2E1A91">
      <w:pPr>
        <w:tabs>
          <w:tab w:val="left" w:pos="1418"/>
        </w:tabs>
        <w:autoSpaceDE w:val="0"/>
        <w:autoSpaceDN w:val="0"/>
        <w:adjustRightInd w:val="0"/>
        <w:snapToGrid w:val="0"/>
        <w:spacing w:line="360" w:lineRule="auto"/>
        <w:ind w:firstLine="426" w:firstLineChars="200"/>
        <w:rPr>
          <w:rFonts w:ascii="宋体" w:hAnsi="宋体"/>
          <w:szCs w:val="21"/>
        </w:rPr>
      </w:pPr>
      <w:r>
        <w:rPr>
          <w:rFonts w:hint="eastAsia" w:ascii="宋体" w:hAnsi="宋体"/>
          <w:szCs w:val="21"/>
        </w:rPr>
        <w:t>（2）如有特殊情况，采购组织机构延长截止时间和开标时间，采购组织机构和供应商的权利和义务将受到新的截止时间和开标时间的约束。</w:t>
      </w:r>
    </w:p>
    <w:p w14:paraId="37FE0AB7">
      <w:pPr>
        <w:snapToGrid w:val="0"/>
        <w:spacing w:line="360" w:lineRule="auto"/>
        <w:ind w:firstLine="426" w:firstLineChars="200"/>
        <w:rPr>
          <w:rFonts w:ascii="宋体" w:hAnsi="宋体"/>
          <w:b/>
          <w:bCs/>
          <w:szCs w:val="21"/>
        </w:rPr>
      </w:pPr>
      <w:r>
        <w:rPr>
          <w:rFonts w:hint="eastAsia" w:ascii="宋体" w:hAnsi="宋体"/>
          <w:b/>
          <w:bCs/>
          <w:szCs w:val="21"/>
        </w:rPr>
        <w:t>28．投标文件的补充、修改与撤回</w:t>
      </w:r>
    </w:p>
    <w:p w14:paraId="4BED5B43">
      <w:pPr>
        <w:tabs>
          <w:tab w:val="left" w:pos="1418"/>
        </w:tabs>
        <w:autoSpaceDE w:val="0"/>
        <w:autoSpaceDN w:val="0"/>
        <w:adjustRightInd w:val="0"/>
        <w:snapToGrid w:val="0"/>
        <w:spacing w:line="360" w:lineRule="auto"/>
        <w:ind w:firstLine="426" w:firstLineChars="200"/>
        <w:rPr>
          <w:rFonts w:hint="eastAsia" w:ascii="宋体" w:hAnsi="宋体"/>
          <w:szCs w:val="21"/>
        </w:rPr>
      </w:pPr>
      <w:r>
        <w:rPr>
          <w:rFonts w:hint="eastAsia" w:ascii="宋体" w:hAnsi="宋体"/>
          <w:szCs w:val="21"/>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42" w:name="_Toc469495728"/>
    </w:p>
    <w:p w14:paraId="44AAB651">
      <w:pPr>
        <w:spacing w:before="325" w:beforeLines="100" w:after="325" w:afterLines="100" w:line="240" w:lineRule="auto"/>
        <w:jc w:val="center"/>
        <w:outlineLvl w:val="2"/>
        <w:rPr>
          <w:rFonts w:ascii="黑体" w:eastAsia="黑体"/>
          <w:sz w:val="28"/>
          <w:szCs w:val="28"/>
        </w:rPr>
      </w:pPr>
      <w:r>
        <w:rPr>
          <w:rFonts w:hint="eastAsia" w:ascii="黑体" w:eastAsia="黑体"/>
          <w:sz w:val="28"/>
          <w:szCs w:val="28"/>
        </w:rPr>
        <w:t>（五）开 标、评标和定标</w:t>
      </w:r>
      <w:bookmarkEnd w:id="42"/>
    </w:p>
    <w:p w14:paraId="6061D38F">
      <w:pPr>
        <w:snapToGrid w:val="0"/>
        <w:spacing w:line="360" w:lineRule="auto"/>
        <w:ind w:firstLine="426" w:firstLineChars="200"/>
        <w:rPr>
          <w:rFonts w:ascii="宋体" w:hAnsi="宋体"/>
          <w:b/>
          <w:bCs/>
          <w:szCs w:val="21"/>
        </w:rPr>
      </w:pPr>
      <w:r>
        <w:rPr>
          <w:rFonts w:hint="eastAsia" w:ascii="宋体" w:hAnsi="宋体"/>
          <w:b/>
          <w:bCs/>
          <w:szCs w:val="21"/>
        </w:rPr>
        <w:t>29. 开标</w:t>
      </w:r>
    </w:p>
    <w:p w14:paraId="130CE5A7">
      <w:pPr>
        <w:snapToGrid w:val="0"/>
        <w:spacing w:line="360" w:lineRule="auto"/>
        <w:ind w:firstLine="426" w:firstLineChars="200"/>
        <w:rPr>
          <w:rFonts w:ascii="宋体" w:hAnsi="宋体"/>
          <w:b/>
          <w:bCs/>
          <w:szCs w:val="21"/>
        </w:rPr>
      </w:pPr>
      <w:bookmarkStart w:id="43" w:name="_Toc73975822"/>
      <w:r>
        <w:rPr>
          <w:rFonts w:hint="eastAsia" w:ascii="宋体" w:hAnsi="宋体"/>
          <w:b/>
          <w:bCs/>
          <w:szCs w:val="21"/>
        </w:rPr>
        <w:t>29.1开标邀请</w:t>
      </w:r>
      <w:bookmarkEnd w:id="43"/>
    </w:p>
    <w:p w14:paraId="30D465CA">
      <w:pPr>
        <w:pStyle w:val="14"/>
        <w:snapToGrid w:val="0"/>
        <w:spacing w:line="360" w:lineRule="auto"/>
        <w:ind w:firstLine="426" w:firstLineChars="200"/>
        <w:rPr>
          <w:rFonts w:hAnsi="宋体"/>
          <w:bCs/>
          <w:szCs w:val="21"/>
        </w:rPr>
      </w:pPr>
      <w:r>
        <w:rPr>
          <w:rFonts w:hint="eastAsia" w:hAnsi="宋体"/>
          <w:bCs/>
          <w:szCs w:val="21"/>
        </w:rPr>
        <w:t>（1）开标准备：本项目开标的准备工作由采购组织机构负责落实，开标过程由采购组织机构负责记录；</w:t>
      </w:r>
    </w:p>
    <w:p w14:paraId="42106733">
      <w:pPr>
        <w:pStyle w:val="14"/>
        <w:snapToGrid w:val="0"/>
        <w:spacing w:line="360" w:lineRule="auto"/>
        <w:ind w:firstLine="426" w:firstLineChars="200"/>
        <w:rPr>
          <w:rFonts w:hAnsi="宋体"/>
          <w:bCs/>
          <w:szCs w:val="21"/>
        </w:rPr>
      </w:pPr>
      <w:r>
        <w:rPr>
          <w:rFonts w:hint="eastAsia" w:hAnsi="宋体"/>
          <w:bCs/>
          <w:szCs w:val="21"/>
        </w:rPr>
        <w:t>（2）开标主持：本项目开标由采购人或者采购代理机构主持；</w:t>
      </w:r>
    </w:p>
    <w:p w14:paraId="03570F75">
      <w:pPr>
        <w:pStyle w:val="14"/>
        <w:snapToGrid w:val="0"/>
        <w:spacing w:line="360" w:lineRule="auto"/>
        <w:ind w:firstLine="426" w:firstLineChars="200"/>
        <w:rPr>
          <w:rFonts w:hAnsi="宋体"/>
          <w:szCs w:val="21"/>
        </w:rPr>
      </w:pPr>
      <w:r>
        <w:rPr>
          <w:rFonts w:hint="eastAsia" w:hAnsi="宋体"/>
          <w:szCs w:val="21"/>
        </w:rPr>
        <w:t>（3）开标邀请：本项目采用电子交易，采购组织机构将按照采购文件规定的时间通过“新疆政府采购云平台，网址：</w:t>
      </w:r>
      <w:r>
        <w:fldChar w:fldCharType="begin"/>
      </w:r>
      <w:r>
        <w:instrText xml:space="preserve"> HYPERLINK "http://www.zcygov.cn" </w:instrText>
      </w:r>
      <w:r>
        <w:fldChar w:fldCharType="separate"/>
      </w:r>
      <w:r>
        <w:rPr>
          <w:rStyle w:val="31"/>
          <w:rFonts w:hint="eastAsia" w:hAnsi="宋体"/>
          <w:color w:val="auto"/>
        </w:rPr>
        <w:t>www.zcygov.cn</w:t>
      </w:r>
      <w:r>
        <w:fldChar w:fldCharType="end"/>
      </w:r>
      <w:r>
        <w:rPr>
          <w:rFonts w:hint="eastAsia" w:hAnsi="宋体"/>
          <w:szCs w:val="21"/>
        </w:rPr>
        <w:t>”组织开标、开启投标响应文件，所有供应商均应当准时在线参加。</w:t>
      </w:r>
    </w:p>
    <w:p w14:paraId="29680A3E">
      <w:pPr>
        <w:pStyle w:val="14"/>
        <w:snapToGrid w:val="0"/>
        <w:spacing w:line="360" w:lineRule="auto"/>
        <w:ind w:firstLine="426" w:firstLineChars="200"/>
        <w:rPr>
          <w:rFonts w:hAnsi="宋体"/>
          <w:szCs w:val="21"/>
        </w:rPr>
      </w:pPr>
      <w:r>
        <w:rPr>
          <w:rFonts w:hint="eastAsia" w:hAnsi="宋体"/>
          <w:szCs w:val="21"/>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09ECE17">
      <w:pPr>
        <w:snapToGrid w:val="0"/>
        <w:spacing w:line="360" w:lineRule="auto"/>
        <w:ind w:firstLine="426" w:firstLineChars="200"/>
        <w:outlineLvl w:val="2"/>
        <w:rPr>
          <w:rFonts w:ascii="宋体" w:hAnsi="宋体"/>
          <w:b/>
          <w:szCs w:val="21"/>
        </w:rPr>
      </w:pPr>
      <w:bookmarkStart w:id="44" w:name="_Toc73975823"/>
      <w:r>
        <w:rPr>
          <w:rFonts w:hint="eastAsia" w:ascii="宋体" w:hAnsi="宋体"/>
          <w:b/>
          <w:szCs w:val="21"/>
        </w:rPr>
        <w:t>29.2</w:t>
      </w:r>
      <w:r>
        <w:rPr>
          <w:rFonts w:hint="eastAsia" w:ascii="宋体" w:hAnsi="宋体"/>
          <w:b/>
          <w:bCs/>
          <w:szCs w:val="21"/>
        </w:rPr>
        <w:t>开标程序（先资格、商务技术后报价）</w:t>
      </w:r>
      <w:bookmarkEnd w:id="44"/>
    </w:p>
    <w:p w14:paraId="1A516AAB">
      <w:pPr>
        <w:snapToGrid w:val="0"/>
        <w:spacing w:line="360" w:lineRule="auto"/>
        <w:ind w:firstLine="426" w:firstLineChars="200"/>
        <w:rPr>
          <w:rFonts w:ascii="宋体" w:hAnsi="宋体"/>
          <w:szCs w:val="21"/>
        </w:rPr>
      </w:pPr>
      <w:r>
        <w:rPr>
          <w:rFonts w:hint="eastAsia" w:ascii="宋体" w:hAnsi="宋体"/>
          <w:szCs w:val="21"/>
        </w:rPr>
        <w:t>（1）开标时间到后，主持人宣布开标会议开始。</w:t>
      </w:r>
    </w:p>
    <w:p w14:paraId="3233DF1A">
      <w:pPr>
        <w:snapToGrid w:val="0"/>
        <w:spacing w:line="360" w:lineRule="auto"/>
        <w:ind w:firstLine="426" w:firstLineChars="200"/>
        <w:rPr>
          <w:rFonts w:ascii="宋体" w:hAnsi="宋体"/>
          <w:szCs w:val="21"/>
        </w:rPr>
      </w:pPr>
      <w:r>
        <w:rPr>
          <w:rFonts w:hint="eastAsia" w:ascii="宋体" w:hAnsi="宋体"/>
          <w:szCs w:val="21"/>
        </w:rPr>
        <w:t>（2）</w:t>
      </w:r>
      <w:r>
        <w:rPr>
          <w:rFonts w:hint="eastAsia" w:ascii="宋体" w:hAnsi="宋体"/>
          <w:kern w:val="0"/>
          <w:szCs w:val="21"/>
        </w:rPr>
        <w:t>投标文件解密（</w:t>
      </w:r>
      <w:r>
        <w:rPr>
          <w:rFonts w:hint="eastAsia" w:ascii="宋体" w:hAnsi="宋体"/>
          <w:b/>
          <w:kern w:val="0"/>
          <w:szCs w:val="21"/>
        </w:rPr>
        <w:t>解密规定见《供应商须知前附表》</w:t>
      </w:r>
      <w:r>
        <w:rPr>
          <w:rFonts w:hint="eastAsia" w:ascii="宋体" w:hAnsi="宋体"/>
          <w:kern w:val="0"/>
          <w:szCs w:val="21"/>
        </w:rPr>
        <w:t>）</w:t>
      </w:r>
      <w:r>
        <w:rPr>
          <w:rFonts w:hint="eastAsia" w:ascii="宋体" w:hAnsi="宋体"/>
          <w:szCs w:val="21"/>
        </w:rPr>
        <w:t>。</w:t>
      </w:r>
    </w:p>
    <w:p w14:paraId="66CDF8AE">
      <w:pPr>
        <w:snapToGrid w:val="0"/>
        <w:spacing w:line="360" w:lineRule="auto"/>
        <w:ind w:firstLine="426" w:firstLineChars="200"/>
        <w:rPr>
          <w:rFonts w:ascii="宋体" w:hAnsi="宋体"/>
          <w:szCs w:val="21"/>
        </w:rPr>
      </w:pPr>
      <w:r>
        <w:rPr>
          <w:rFonts w:hint="eastAsia" w:ascii="宋体" w:hAnsi="宋体"/>
          <w:szCs w:val="21"/>
        </w:rPr>
        <w:t>（3）</w:t>
      </w:r>
      <w:r>
        <w:rPr>
          <w:rFonts w:hint="eastAsia" w:ascii="宋体" w:hAnsi="宋体"/>
          <w:kern w:val="0"/>
          <w:szCs w:val="21"/>
        </w:rPr>
        <w:t>投标文件解密异常情况处理（</w:t>
      </w:r>
      <w:r>
        <w:rPr>
          <w:rFonts w:hint="eastAsia" w:ascii="宋体" w:hAnsi="宋体"/>
          <w:b/>
          <w:kern w:val="0"/>
          <w:szCs w:val="21"/>
        </w:rPr>
        <w:t>处理办法见《供应商须知前附表》</w:t>
      </w:r>
      <w:r>
        <w:rPr>
          <w:rFonts w:hint="eastAsia" w:ascii="宋体" w:hAnsi="宋体"/>
          <w:kern w:val="0"/>
          <w:szCs w:val="21"/>
        </w:rPr>
        <w:t>）</w:t>
      </w:r>
      <w:r>
        <w:rPr>
          <w:rFonts w:hint="eastAsia" w:ascii="宋体" w:hAnsi="宋体"/>
          <w:szCs w:val="21"/>
        </w:rPr>
        <w:t>。</w:t>
      </w:r>
    </w:p>
    <w:p w14:paraId="5E0F07DF">
      <w:pPr>
        <w:snapToGrid w:val="0"/>
        <w:spacing w:line="360" w:lineRule="auto"/>
        <w:ind w:firstLine="426" w:firstLineChars="200"/>
        <w:rPr>
          <w:rFonts w:ascii="宋体" w:hAnsi="宋体"/>
          <w:kern w:val="0"/>
          <w:szCs w:val="21"/>
        </w:rPr>
      </w:pPr>
      <w:r>
        <w:rPr>
          <w:rFonts w:hint="eastAsia" w:ascii="宋体" w:hAnsi="宋体"/>
          <w:kern w:val="0"/>
          <w:szCs w:val="21"/>
        </w:rPr>
        <w:t>（4）公布投标文件解密情况（投标文件成功解密的供应商名单等信息）</w:t>
      </w:r>
    </w:p>
    <w:p w14:paraId="7E638AFF">
      <w:pPr>
        <w:snapToGrid w:val="0"/>
        <w:spacing w:line="360" w:lineRule="auto"/>
        <w:ind w:firstLine="426" w:firstLineChars="200"/>
        <w:jc w:val="left"/>
        <w:rPr>
          <w:rFonts w:ascii="宋体" w:hAnsi="宋体"/>
          <w:szCs w:val="21"/>
        </w:rPr>
      </w:pPr>
      <w:r>
        <w:rPr>
          <w:rFonts w:hint="eastAsia" w:ascii="宋体" w:hAnsi="宋体"/>
          <w:kern w:val="0"/>
          <w:szCs w:val="21"/>
        </w:rPr>
        <w:t>（5）开启标书信息（资格证明文件、商务技术文件）。标书信息开启后，首先由采购人或采购代理机构或评审小组依法对投标供应商的资格证明文件进行审查（具体见本章“29.3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10DC412B">
      <w:pPr>
        <w:snapToGrid w:val="0"/>
        <w:spacing w:line="360" w:lineRule="auto"/>
        <w:ind w:firstLine="426" w:firstLineChars="200"/>
        <w:jc w:val="left"/>
        <w:rPr>
          <w:rFonts w:ascii="宋体" w:hAnsi="宋体"/>
          <w:szCs w:val="21"/>
        </w:rPr>
      </w:pPr>
      <w:r>
        <w:rPr>
          <w:rFonts w:hint="eastAsia" w:ascii="宋体" w:hAnsi="宋体"/>
          <w:kern w:val="0"/>
          <w:szCs w:val="21"/>
        </w:rPr>
        <w:t>（6）商务技术评审结束后，主持人公布商务技术评审无效投标供应商名单和商务技术评审有效投标供应商名单及其商务技术得分情况</w:t>
      </w:r>
      <w:r>
        <w:rPr>
          <w:rFonts w:hint="eastAsia" w:ascii="宋体" w:hAnsi="宋体"/>
          <w:szCs w:val="21"/>
        </w:rPr>
        <w:t>。</w:t>
      </w:r>
      <w:r>
        <w:rPr>
          <w:rFonts w:hint="eastAsia" w:ascii="宋体" w:hAnsi="宋体"/>
          <w:kern w:val="0"/>
          <w:szCs w:val="21"/>
        </w:rPr>
        <w:t>商务技术评审无效的供应商，其报价不再进入评审。</w:t>
      </w:r>
    </w:p>
    <w:p w14:paraId="4AF0D3C2">
      <w:pPr>
        <w:snapToGrid w:val="0"/>
        <w:spacing w:line="360" w:lineRule="auto"/>
        <w:ind w:firstLine="426" w:firstLineChars="200"/>
        <w:jc w:val="left"/>
        <w:rPr>
          <w:rFonts w:ascii="宋体" w:hAnsi="宋体"/>
          <w:szCs w:val="21"/>
        </w:rPr>
      </w:pPr>
      <w:r>
        <w:rPr>
          <w:rFonts w:hint="eastAsia" w:ascii="宋体" w:hAnsi="宋体"/>
          <w:kern w:val="0"/>
          <w:szCs w:val="21"/>
        </w:rPr>
        <w:t>（7）开启有效投标供应商的报价，公布开标一览表有关内容，</w:t>
      </w:r>
      <w:r>
        <w:rPr>
          <w:rFonts w:hint="eastAsia" w:ascii="宋体" w:hAnsi="宋体"/>
          <w:szCs w:val="21"/>
          <w:lang w:bidi="zh-CN"/>
        </w:rPr>
        <w:t>并【开启签字时段】，供应商对开标纪录进行在线签字确认（不予确认的应说明理由，否则视为无异议）</w:t>
      </w:r>
      <w:r>
        <w:rPr>
          <w:rFonts w:hint="eastAsia" w:ascii="宋体" w:hAnsi="宋体"/>
          <w:kern w:val="0"/>
          <w:szCs w:val="21"/>
        </w:rPr>
        <w:t>。开标结束后，由评标委员会对报价的合理性、准确性等进行审查核实</w:t>
      </w:r>
      <w:r>
        <w:rPr>
          <w:rFonts w:hint="eastAsia" w:ascii="宋体" w:hAnsi="宋体"/>
          <w:szCs w:val="21"/>
        </w:rPr>
        <w:t>。</w:t>
      </w:r>
    </w:p>
    <w:p w14:paraId="2946C6DB">
      <w:pPr>
        <w:snapToGrid w:val="0"/>
        <w:spacing w:line="360" w:lineRule="auto"/>
        <w:ind w:firstLine="426" w:firstLineChars="200"/>
        <w:rPr>
          <w:rFonts w:ascii="宋体" w:hAnsi="宋体"/>
          <w:szCs w:val="21"/>
        </w:rPr>
      </w:pPr>
      <w:r>
        <w:rPr>
          <w:rFonts w:hint="eastAsia" w:ascii="宋体" w:hAnsi="宋体"/>
          <w:szCs w:val="21"/>
        </w:rPr>
        <w:t>（8）</w:t>
      </w:r>
      <w:r>
        <w:rPr>
          <w:rFonts w:hint="eastAsia" w:ascii="宋体" w:hAnsi="宋体"/>
          <w:kern w:val="0"/>
          <w:szCs w:val="21"/>
        </w:rPr>
        <w:t>评审结束后，采购代理机构在系统上公布评审结果。</w:t>
      </w:r>
    </w:p>
    <w:p w14:paraId="2F208829">
      <w:pPr>
        <w:snapToGrid w:val="0"/>
        <w:spacing w:line="360" w:lineRule="auto"/>
        <w:ind w:left="480"/>
        <w:rPr>
          <w:rFonts w:ascii="宋体" w:hAnsi="宋体"/>
          <w:b/>
          <w:szCs w:val="21"/>
        </w:rPr>
      </w:pPr>
      <w:r>
        <w:rPr>
          <w:rFonts w:hint="eastAsia" w:ascii="宋体" w:hAnsi="宋体"/>
          <w:b/>
          <w:szCs w:val="21"/>
        </w:rPr>
        <w:t>特别情况说明：</w:t>
      </w:r>
    </w:p>
    <w:p w14:paraId="44214A27">
      <w:pPr>
        <w:snapToGrid w:val="0"/>
        <w:spacing w:line="360" w:lineRule="auto"/>
        <w:ind w:firstLine="376" w:firstLineChars="177"/>
        <w:jc w:val="left"/>
        <w:rPr>
          <w:rFonts w:ascii="宋体" w:hAnsi="宋体"/>
          <w:b/>
          <w:kern w:val="0"/>
          <w:szCs w:val="21"/>
        </w:rPr>
      </w:pPr>
      <w:r>
        <w:rPr>
          <w:rFonts w:hint="eastAsia" w:ascii="宋体" w:hAnsi="宋体"/>
          <w:b/>
          <w:kern w:val="0"/>
          <w:szCs w:val="21"/>
        </w:rPr>
        <w:t>（1）本项目采用电子交易，如遇“新疆政府采购云平台”电子化开标或评审程序调整的，按调整后程序执行。</w:t>
      </w:r>
    </w:p>
    <w:p w14:paraId="137326F5">
      <w:pPr>
        <w:snapToGrid w:val="0"/>
        <w:spacing w:line="360" w:lineRule="auto"/>
        <w:ind w:firstLine="376" w:firstLineChars="177"/>
        <w:jc w:val="left"/>
        <w:rPr>
          <w:rFonts w:ascii="宋体" w:hAnsi="宋体"/>
          <w:b/>
          <w:kern w:val="0"/>
          <w:szCs w:val="21"/>
        </w:rPr>
      </w:pPr>
      <w:r>
        <w:rPr>
          <w:rFonts w:hint="eastAsia" w:ascii="宋体" w:hAnsi="宋体"/>
          <w:b/>
          <w:kern w:val="0"/>
          <w:szCs w:val="21"/>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b/>
          <w:kern w:val="0"/>
          <w:szCs w:val="21"/>
          <w:u w:val="single"/>
        </w:rPr>
        <w:t>请供应商保证办理投标事宜人员电话畅通、网络在线，签字或盖章确认的时间为</w:t>
      </w:r>
      <w:r>
        <w:rPr>
          <w:rFonts w:hint="eastAsia" w:ascii="宋体" w:hAnsi="宋体"/>
          <w:b/>
          <w:kern w:val="0"/>
          <w:szCs w:val="21"/>
          <w:u w:val="single"/>
          <w:lang w:val="en-US" w:eastAsia="zh-CN"/>
        </w:rPr>
        <w:t>30</w:t>
      </w:r>
      <w:r>
        <w:rPr>
          <w:rFonts w:hint="eastAsia" w:ascii="宋体" w:hAnsi="宋体"/>
          <w:b/>
          <w:kern w:val="0"/>
          <w:szCs w:val="21"/>
          <w:u w:val="single"/>
        </w:rPr>
        <w:t>分钟。如未及时签字或盖章确认的，视为无异议</w:t>
      </w:r>
      <w:r>
        <w:rPr>
          <w:rFonts w:hint="eastAsia" w:ascii="宋体" w:hAnsi="宋体"/>
          <w:b/>
          <w:kern w:val="0"/>
          <w:szCs w:val="21"/>
        </w:rPr>
        <w:t>。</w:t>
      </w:r>
    </w:p>
    <w:p w14:paraId="3D29BF84">
      <w:pPr>
        <w:snapToGrid w:val="0"/>
        <w:spacing w:line="360" w:lineRule="auto"/>
        <w:ind w:firstLine="426" w:firstLineChars="200"/>
        <w:rPr>
          <w:rFonts w:ascii="宋体" w:hAnsi="宋体"/>
          <w:b/>
          <w:kern w:val="0"/>
          <w:szCs w:val="21"/>
        </w:rPr>
      </w:pPr>
      <w:r>
        <w:rPr>
          <w:rFonts w:hint="eastAsia" w:ascii="宋体" w:hAnsi="宋体"/>
          <w:b/>
          <w:kern w:val="0"/>
          <w:szCs w:val="21"/>
        </w:rPr>
        <w:t>29.3 投标供应商资格审查：</w:t>
      </w:r>
    </w:p>
    <w:p w14:paraId="5F98230E">
      <w:pPr>
        <w:snapToGrid w:val="0"/>
        <w:spacing w:line="360" w:lineRule="auto"/>
        <w:ind w:firstLine="426" w:firstLineChars="200"/>
        <w:rPr>
          <w:rFonts w:ascii="宋体" w:hAnsi="宋体"/>
          <w:szCs w:val="21"/>
        </w:rPr>
      </w:pPr>
      <w:r>
        <w:rPr>
          <w:rFonts w:hint="eastAsia" w:ascii="宋体" w:hAnsi="宋体"/>
          <w:szCs w:val="21"/>
        </w:rPr>
        <w:t>（1）</w:t>
      </w:r>
      <w:r>
        <w:rPr>
          <w:rFonts w:hint="eastAsia" w:ascii="宋体" w:hAnsi="宋体"/>
          <w:bCs/>
          <w:kern w:val="0"/>
          <w:szCs w:val="21"/>
        </w:rPr>
        <w:t>开标（标书信息开启）后，采购人或采购代理机构或</w:t>
      </w:r>
      <w:r>
        <w:rPr>
          <w:rFonts w:hint="eastAsia" w:ascii="宋体" w:hAnsi="宋体"/>
          <w:kern w:val="0"/>
          <w:szCs w:val="21"/>
        </w:rPr>
        <w:t>评审小组</w:t>
      </w:r>
      <w:r>
        <w:rPr>
          <w:rFonts w:hint="eastAsia" w:ascii="宋体" w:hAnsi="宋体"/>
          <w:bCs/>
          <w:kern w:val="0"/>
          <w:szCs w:val="21"/>
        </w:rPr>
        <w:t>首先依法对投标供应商的资格文件进行审查，审查各投标供应商的资格符合情况。</w:t>
      </w:r>
      <w:r>
        <w:rPr>
          <w:rFonts w:hint="eastAsia" w:ascii="宋体" w:hAnsi="宋体"/>
          <w:szCs w:val="21"/>
        </w:rPr>
        <w:t>采购人或采购代理机构</w:t>
      </w:r>
      <w:r>
        <w:rPr>
          <w:rFonts w:hint="eastAsia" w:ascii="宋体" w:hAnsi="宋体"/>
          <w:bCs/>
          <w:kern w:val="0"/>
          <w:szCs w:val="21"/>
        </w:rPr>
        <w:t>或</w:t>
      </w:r>
      <w:r>
        <w:rPr>
          <w:rFonts w:hint="eastAsia" w:ascii="宋体" w:hAnsi="宋体"/>
          <w:kern w:val="0"/>
          <w:szCs w:val="21"/>
        </w:rPr>
        <w:t>评审小组</w:t>
      </w:r>
      <w:r>
        <w:rPr>
          <w:rFonts w:hint="eastAsia" w:ascii="宋体" w:hAnsi="宋体"/>
          <w:szCs w:val="21"/>
        </w:rPr>
        <w:t>对投标供应商所提交的资格证明材料仅负审核的责任。如发现投标供应商所提交的资格证明材料不合法或与事实不符，采购人可取消其中标资格并追究投标供应商的法律责任。</w:t>
      </w:r>
    </w:p>
    <w:p w14:paraId="1FA5F4DA">
      <w:pPr>
        <w:pStyle w:val="9"/>
        <w:snapToGrid w:val="0"/>
        <w:spacing w:line="360" w:lineRule="auto"/>
        <w:rPr>
          <w:rFonts w:ascii="宋体" w:hAnsi="宋体"/>
          <w:bCs/>
          <w:szCs w:val="21"/>
        </w:rPr>
      </w:pPr>
      <w:r>
        <w:rPr>
          <w:rFonts w:hint="eastAsia" w:ascii="宋体" w:hAnsi="宋体"/>
          <w:bCs/>
          <w:szCs w:val="21"/>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451F34FB">
      <w:pPr>
        <w:pStyle w:val="9"/>
        <w:snapToGrid w:val="0"/>
        <w:spacing w:line="360" w:lineRule="auto"/>
        <w:rPr>
          <w:rFonts w:ascii="宋体" w:hAnsi="宋体"/>
          <w:bCs/>
          <w:szCs w:val="21"/>
        </w:rPr>
      </w:pPr>
      <w:r>
        <w:rPr>
          <w:rFonts w:hint="eastAsia" w:ascii="宋体" w:hAnsi="宋体"/>
          <w:bCs/>
          <w:szCs w:val="21"/>
        </w:rPr>
        <w:t>（3）供应商信用记录查询与使用：见《供应商须知前附表》。</w:t>
      </w:r>
    </w:p>
    <w:p w14:paraId="7EE7A9FB">
      <w:pPr>
        <w:widowControl/>
        <w:spacing w:line="440" w:lineRule="exact"/>
        <w:ind w:firstLine="213" w:firstLineChars="100"/>
        <w:rPr>
          <w:rFonts w:ascii="宋体"/>
          <w:szCs w:val="21"/>
        </w:rPr>
      </w:pPr>
      <w:r>
        <w:rPr>
          <w:rFonts w:hint="eastAsia" w:ascii="宋体"/>
          <w:szCs w:val="21"/>
        </w:rPr>
        <w:t>30.评审工作的组织</w:t>
      </w:r>
    </w:p>
    <w:p w14:paraId="7239CCF6">
      <w:pPr>
        <w:widowControl/>
        <w:spacing w:line="440" w:lineRule="exact"/>
        <w:ind w:firstLine="213" w:firstLineChars="100"/>
        <w:rPr>
          <w:rFonts w:ascii="宋体"/>
          <w:szCs w:val="21"/>
        </w:rPr>
      </w:pPr>
      <w:r>
        <w:rPr>
          <w:rFonts w:hint="eastAsia" w:ascii="宋体"/>
          <w:szCs w:val="21"/>
        </w:rPr>
        <w:t>采购人或采购代理机构负责组织本项目的评审工作，并依据《政府采购货物和服务招标投标管理办法（财政部第87号令）》第四十五条的相关规定履行职责。</w:t>
      </w:r>
    </w:p>
    <w:p w14:paraId="45BE12B1">
      <w:pPr>
        <w:widowControl/>
        <w:spacing w:line="440" w:lineRule="exact"/>
        <w:ind w:firstLine="213" w:firstLineChars="100"/>
        <w:rPr>
          <w:rFonts w:hint="eastAsia" w:ascii="宋体"/>
          <w:szCs w:val="21"/>
        </w:rPr>
      </w:pPr>
      <w:r>
        <w:rPr>
          <w:rFonts w:hint="eastAsia" w:ascii="宋体"/>
          <w:szCs w:val="21"/>
        </w:rPr>
        <w:t>31. 评标委员会的组建</w:t>
      </w:r>
    </w:p>
    <w:p w14:paraId="042C39F6">
      <w:pPr>
        <w:widowControl/>
        <w:spacing w:line="440" w:lineRule="exact"/>
        <w:ind w:firstLine="213" w:firstLineChars="100"/>
        <w:rPr>
          <w:rFonts w:hint="eastAsia"/>
          <w:color w:val="auto"/>
          <w:sz w:val="21"/>
          <w:szCs w:val="21"/>
          <w:highlight w:val="yellow"/>
          <w:lang w:val="en-US" w:eastAsia="zh-CN"/>
        </w:rPr>
      </w:pPr>
      <w:r>
        <w:rPr>
          <w:rFonts w:hint="eastAsia" w:ascii="宋体"/>
          <w:szCs w:val="21"/>
        </w:rPr>
        <w:t>31.1评标委员会由采购人或采购代理机</w:t>
      </w:r>
      <w:r>
        <w:rPr>
          <w:rFonts w:hint="eastAsia" w:ascii="宋体"/>
          <w:szCs w:val="21"/>
          <w:highlight w:val="none"/>
        </w:rPr>
        <w:t>构依法组建，</w:t>
      </w:r>
      <w:r>
        <w:rPr>
          <w:rFonts w:hint="eastAsia" w:ascii="宋体"/>
          <w:szCs w:val="21"/>
          <w:highlight w:val="none"/>
          <w:lang w:val="en-US" w:eastAsia="zh-CN"/>
        </w:rPr>
        <w:t>评标委员会由评审专家组成，成员</w:t>
      </w:r>
      <w:r>
        <w:rPr>
          <w:rFonts w:hint="eastAsia"/>
          <w:color w:val="auto"/>
          <w:sz w:val="21"/>
          <w:szCs w:val="21"/>
          <w:highlight w:val="none"/>
          <w:lang w:val="en-US" w:eastAsia="zh-CN"/>
        </w:rPr>
        <w:t>人数为5人或以上单数，其中评审专家不少于成员总数的三分之二，本项目评标委员会共计5人，其中采购人代表1人，评标专家4人。</w:t>
      </w:r>
    </w:p>
    <w:p w14:paraId="24FB5E13">
      <w:pPr>
        <w:widowControl/>
        <w:spacing w:line="440" w:lineRule="exact"/>
        <w:ind w:firstLine="213" w:firstLineChars="100"/>
        <w:rPr>
          <w:rFonts w:hint="eastAsia" w:ascii="宋体" w:eastAsia="宋体"/>
          <w:szCs w:val="21"/>
          <w:lang w:eastAsia="zh-CN"/>
        </w:rPr>
      </w:pPr>
      <w:r>
        <w:rPr>
          <w:rFonts w:hint="eastAsia"/>
          <w:color w:val="auto"/>
          <w:sz w:val="21"/>
          <w:szCs w:val="21"/>
          <w:highlight w:val="none"/>
          <w:lang w:val="en-US" w:eastAsia="zh-CN"/>
        </w:rPr>
        <w:t>评标专家确定方式：从政采云专家库中随机抽取。</w:t>
      </w:r>
    </w:p>
    <w:p w14:paraId="4AC6671F">
      <w:pPr>
        <w:widowControl/>
        <w:spacing w:line="440" w:lineRule="exact"/>
        <w:ind w:firstLine="213" w:firstLineChars="100"/>
        <w:rPr>
          <w:rFonts w:ascii="宋体"/>
          <w:szCs w:val="21"/>
        </w:rPr>
      </w:pPr>
      <w:r>
        <w:rPr>
          <w:rFonts w:hint="eastAsia" w:ascii="宋体"/>
          <w:szCs w:val="21"/>
        </w:rPr>
        <w:t>31.2评审专家从新疆政府采购云平台专家库中通过随机方式抽取产生。评标委员会成员名单在采购结果公告前保密。</w:t>
      </w:r>
    </w:p>
    <w:p w14:paraId="06D61F31">
      <w:pPr>
        <w:widowControl/>
        <w:spacing w:line="440" w:lineRule="exact"/>
        <w:ind w:firstLine="213" w:firstLineChars="100"/>
        <w:rPr>
          <w:rFonts w:ascii="宋体"/>
          <w:szCs w:val="21"/>
        </w:rPr>
      </w:pPr>
      <w:r>
        <w:rPr>
          <w:rFonts w:hint="eastAsia" w:ascii="宋体"/>
          <w:szCs w:val="21"/>
        </w:rPr>
        <w:t>32.评标委员会的职责</w:t>
      </w:r>
    </w:p>
    <w:p w14:paraId="2C495FBA">
      <w:pPr>
        <w:widowControl/>
        <w:spacing w:line="440" w:lineRule="exact"/>
        <w:ind w:firstLine="213" w:firstLineChars="100"/>
        <w:rPr>
          <w:rFonts w:ascii="宋体"/>
          <w:szCs w:val="21"/>
        </w:rPr>
      </w:pPr>
      <w:r>
        <w:rPr>
          <w:rFonts w:hint="eastAsia" w:ascii="宋体"/>
          <w:szCs w:val="21"/>
        </w:rPr>
        <w:t>32.1审查、评价投标文件是否符合采购文件的商务、技术等实质性要求。</w:t>
      </w:r>
    </w:p>
    <w:p w14:paraId="713E3C4A">
      <w:pPr>
        <w:widowControl/>
        <w:spacing w:line="440" w:lineRule="exact"/>
        <w:ind w:firstLine="213" w:firstLineChars="100"/>
        <w:rPr>
          <w:rFonts w:ascii="宋体"/>
          <w:szCs w:val="21"/>
        </w:rPr>
      </w:pPr>
      <w:r>
        <w:rPr>
          <w:rFonts w:hint="eastAsia" w:ascii="宋体"/>
          <w:szCs w:val="21"/>
        </w:rPr>
        <w:t>32.2要求供应商对投标文件有关事项作出澄清或者说明。</w:t>
      </w:r>
    </w:p>
    <w:p w14:paraId="4D79C892">
      <w:pPr>
        <w:widowControl/>
        <w:spacing w:line="440" w:lineRule="exact"/>
        <w:ind w:firstLine="213" w:firstLineChars="100"/>
        <w:rPr>
          <w:rFonts w:ascii="宋体"/>
          <w:szCs w:val="21"/>
        </w:rPr>
      </w:pPr>
      <w:r>
        <w:rPr>
          <w:rFonts w:hint="eastAsia" w:ascii="宋体"/>
          <w:szCs w:val="21"/>
        </w:rPr>
        <w:t>32.3对投标文件进行比较和评价。</w:t>
      </w:r>
    </w:p>
    <w:p w14:paraId="762EA5B5">
      <w:pPr>
        <w:widowControl/>
        <w:spacing w:line="440" w:lineRule="exact"/>
        <w:ind w:firstLine="213" w:firstLineChars="100"/>
        <w:rPr>
          <w:rFonts w:ascii="宋体"/>
          <w:szCs w:val="21"/>
        </w:rPr>
      </w:pPr>
      <w:r>
        <w:rPr>
          <w:rFonts w:hint="eastAsia" w:ascii="宋体"/>
          <w:szCs w:val="21"/>
        </w:rPr>
        <w:t>32.4确定中标候选人名单，以及根据采购人委托直接确定中标人。</w:t>
      </w:r>
    </w:p>
    <w:p w14:paraId="5CE68A84">
      <w:pPr>
        <w:widowControl/>
        <w:spacing w:line="440" w:lineRule="exact"/>
        <w:ind w:firstLine="213" w:firstLineChars="100"/>
        <w:rPr>
          <w:rFonts w:ascii="宋体"/>
          <w:szCs w:val="21"/>
        </w:rPr>
      </w:pPr>
      <w:r>
        <w:rPr>
          <w:rFonts w:hint="eastAsia" w:ascii="宋体"/>
          <w:szCs w:val="21"/>
        </w:rPr>
        <w:t>32.5向采购人、采购代理机构或者有关部门报告评审中发现的违法行为。</w:t>
      </w:r>
    </w:p>
    <w:p w14:paraId="4C774A69">
      <w:pPr>
        <w:widowControl/>
        <w:spacing w:line="440" w:lineRule="exact"/>
        <w:ind w:firstLine="213" w:firstLineChars="100"/>
        <w:rPr>
          <w:rFonts w:ascii="宋体"/>
          <w:szCs w:val="21"/>
        </w:rPr>
      </w:pPr>
      <w:r>
        <w:rPr>
          <w:rFonts w:hint="eastAsia" w:ascii="宋体"/>
          <w:szCs w:val="21"/>
        </w:rPr>
        <w:t>33. 评标原则</w:t>
      </w:r>
    </w:p>
    <w:p w14:paraId="53E527C4">
      <w:pPr>
        <w:widowControl/>
        <w:spacing w:line="440" w:lineRule="exact"/>
        <w:ind w:firstLine="213" w:firstLineChars="100"/>
        <w:rPr>
          <w:rFonts w:ascii="宋体"/>
          <w:szCs w:val="21"/>
        </w:rPr>
      </w:pPr>
      <w:r>
        <w:rPr>
          <w:rFonts w:hint="eastAsia" w:ascii="宋体"/>
          <w:szCs w:val="21"/>
        </w:rPr>
        <w:t>33.1评标委员会将遵循公平、公正、科学的原则，对供应商提交的投标文件进行综合评审，评标委员会按照采购文件规定的评标细则进行评分。</w:t>
      </w:r>
    </w:p>
    <w:p w14:paraId="2FE21CC7">
      <w:pPr>
        <w:widowControl/>
        <w:spacing w:line="440" w:lineRule="exact"/>
        <w:ind w:firstLine="213" w:firstLineChars="100"/>
        <w:rPr>
          <w:rFonts w:ascii="宋体"/>
          <w:szCs w:val="21"/>
        </w:rPr>
      </w:pPr>
      <w:r>
        <w:rPr>
          <w:rFonts w:hint="eastAsia" w:ascii="宋体"/>
          <w:szCs w:val="21"/>
        </w:rPr>
        <w:t xml:space="preserve">33.2客观公正对待所有供应商，对所有投标评价均采用相同的程序和标准。 </w:t>
      </w:r>
    </w:p>
    <w:p w14:paraId="5E4A168D">
      <w:pPr>
        <w:widowControl/>
        <w:spacing w:line="440" w:lineRule="exact"/>
        <w:ind w:firstLine="213" w:firstLineChars="100"/>
        <w:rPr>
          <w:rFonts w:ascii="宋体"/>
          <w:szCs w:val="21"/>
        </w:rPr>
      </w:pPr>
      <w:r>
        <w:rPr>
          <w:rFonts w:hint="eastAsia" w:ascii="宋体"/>
          <w:szCs w:val="21"/>
        </w:rPr>
        <w:t>33.3评标委员会成员对需要共同认定的事项存在争议的，按照少数服从多数的原则作出结论。持不同意见的评标委员会成员应当在评审报告上签署不同意见及理由，否则视为同意评审报告。</w:t>
      </w:r>
    </w:p>
    <w:p w14:paraId="0F3328E8">
      <w:pPr>
        <w:widowControl/>
        <w:spacing w:line="440" w:lineRule="exact"/>
        <w:ind w:firstLine="213" w:firstLineChars="100"/>
        <w:rPr>
          <w:rFonts w:ascii="宋体"/>
          <w:szCs w:val="21"/>
        </w:rPr>
      </w:pPr>
      <w:r>
        <w:rPr>
          <w:rFonts w:hint="eastAsia" w:ascii="宋体"/>
          <w:szCs w:val="21"/>
        </w:rPr>
        <w:t>33.4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4122C1DD">
      <w:pPr>
        <w:widowControl/>
        <w:spacing w:line="440" w:lineRule="exact"/>
        <w:ind w:firstLine="213" w:firstLineChars="100"/>
        <w:rPr>
          <w:rFonts w:ascii="宋体"/>
          <w:szCs w:val="21"/>
        </w:rPr>
      </w:pPr>
      <w:r>
        <w:rPr>
          <w:rFonts w:hint="eastAsia" w:ascii="宋体"/>
          <w:szCs w:val="21"/>
        </w:rPr>
        <w:t xml:space="preserve">非单一产品采购项目，采购人应当根据采购项目技术构成、产品价格比重等合理确定核心产品，并在采购文件中载明。多家供应商提供的核心产品品牌相同的，按前款规定处理。      </w:t>
      </w:r>
    </w:p>
    <w:p w14:paraId="294F72A5">
      <w:pPr>
        <w:widowControl/>
        <w:spacing w:line="440" w:lineRule="exact"/>
        <w:ind w:firstLine="213" w:firstLineChars="100"/>
        <w:rPr>
          <w:rFonts w:ascii="宋体"/>
          <w:szCs w:val="21"/>
        </w:rPr>
      </w:pPr>
      <w:r>
        <w:rPr>
          <w:rFonts w:hint="eastAsia" w:ascii="宋体"/>
          <w:szCs w:val="21"/>
        </w:rPr>
        <w:t>34. 评委纪律</w:t>
      </w:r>
    </w:p>
    <w:p w14:paraId="2024C181">
      <w:pPr>
        <w:widowControl/>
        <w:spacing w:line="440" w:lineRule="exact"/>
        <w:ind w:firstLine="213" w:firstLineChars="100"/>
        <w:rPr>
          <w:rFonts w:ascii="宋体"/>
          <w:szCs w:val="21"/>
        </w:rPr>
      </w:pPr>
      <w:r>
        <w:rPr>
          <w:rFonts w:hint="eastAsia" w:ascii="宋体"/>
          <w:szCs w:val="21"/>
        </w:rPr>
        <w:t>评标委员会成员必须严格遵守保密规定，不得泄露评审的有关情况，任何单位和个人不得干扰、影响评标的正常进行，评标委员会成员不得私下与投标供应商接触，不得出现</w:t>
      </w:r>
      <w:r>
        <w:rPr>
          <w:rFonts w:hint="eastAsia" w:ascii="宋体"/>
          <w:szCs w:val="21"/>
          <w:lang w:eastAsia="zh-CN"/>
        </w:rPr>
        <w:t>新疆</w:t>
      </w:r>
      <w:r>
        <w:rPr>
          <w:rFonts w:hint="eastAsia" w:ascii="宋体"/>
          <w:szCs w:val="21"/>
        </w:rPr>
        <w:t>政府采购活动现场组织管理办法中规定的其他禁止行为。</w:t>
      </w:r>
    </w:p>
    <w:p w14:paraId="11B09010">
      <w:pPr>
        <w:widowControl/>
        <w:spacing w:line="440" w:lineRule="exact"/>
        <w:ind w:firstLine="213" w:firstLineChars="100"/>
        <w:rPr>
          <w:rFonts w:ascii="宋体"/>
          <w:szCs w:val="21"/>
        </w:rPr>
      </w:pPr>
      <w:r>
        <w:rPr>
          <w:rFonts w:hint="eastAsia" w:ascii="宋体"/>
          <w:szCs w:val="21"/>
        </w:rPr>
        <w:t>35.评标程序</w:t>
      </w:r>
    </w:p>
    <w:p w14:paraId="29454EBF">
      <w:pPr>
        <w:widowControl/>
        <w:spacing w:line="440" w:lineRule="exact"/>
        <w:ind w:firstLine="213" w:firstLineChars="100"/>
        <w:rPr>
          <w:rFonts w:ascii="宋体"/>
          <w:szCs w:val="21"/>
        </w:rPr>
      </w:pPr>
      <w:r>
        <w:rPr>
          <w:rFonts w:hint="eastAsia" w:ascii="宋体"/>
          <w:szCs w:val="21"/>
        </w:rPr>
        <w:t>35.1 在评审专家中推选评标委员会组长，采购人代表不得担任评标委员会组长。</w:t>
      </w:r>
    </w:p>
    <w:p w14:paraId="41E550A6">
      <w:pPr>
        <w:widowControl/>
        <w:spacing w:line="440" w:lineRule="exact"/>
        <w:ind w:firstLine="213" w:firstLineChars="100"/>
        <w:rPr>
          <w:rFonts w:ascii="宋体"/>
          <w:szCs w:val="21"/>
        </w:rPr>
      </w:pPr>
      <w:r>
        <w:rPr>
          <w:rFonts w:hint="eastAsia" w:ascii="宋体"/>
          <w:szCs w:val="21"/>
        </w:rPr>
        <w:t>35.2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2C472A52">
      <w:pPr>
        <w:widowControl/>
        <w:spacing w:line="440" w:lineRule="exact"/>
        <w:ind w:firstLine="213" w:firstLineChars="100"/>
        <w:rPr>
          <w:rFonts w:ascii="宋体"/>
          <w:szCs w:val="21"/>
        </w:rPr>
      </w:pPr>
      <w:r>
        <w:rPr>
          <w:rFonts w:hint="eastAsia" w:ascii="宋体"/>
          <w:szCs w:val="21"/>
        </w:rPr>
        <w:t>35.3 评审人员对符合资格的供应商的投标文件的有效性、符合性、完整性和响应程度进行审查，确定是否对采购文件作出实质性响应。</w:t>
      </w:r>
    </w:p>
    <w:p w14:paraId="493C142C">
      <w:pPr>
        <w:widowControl/>
        <w:spacing w:line="440" w:lineRule="exact"/>
        <w:ind w:firstLine="213" w:firstLineChars="100"/>
        <w:rPr>
          <w:rFonts w:ascii="宋体"/>
          <w:szCs w:val="21"/>
        </w:rPr>
      </w:pPr>
      <w:r>
        <w:rPr>
          <w:rFonts w:hint="eastAsia" w:ascii="宋体"/>
          <w:szCs w:val="21"/>
        </w:rPr>
        <w:t>35.4 评审人员按采购文件规定的评审方法和评审标准，依法独立对供应商投标文件进行评估、比较，并给予评价或打分，不受任何单位和个人的干预。</w:t>
      </w:r>
    </w:p>
    <w:p w14:paraId="1D65F040">
      <w:pPr>
        <w:widowControl/>
        <w:spacing w:line="440" w:lineRule="exact"/>
        <w:ind w:firstLine="426" w:firstLineChars="200"/>
        <w:rPr>
          <w:rFonts w:ascii="宋体" w:hAnsi="宋体"/>
          <w:kern w:val="0"/>
          <w:szCs w:val="21"/>
        </w:rPr>
      </w:pPr>
      <w:r>
        <w:rPr>
          <w:rFonts w:hint="eastAsia" w:ascii="宋体" w:hAnsi="宋体"/>
          <w:kern w:val="0"/>
          <w:szCs w:val="21"/>
        </w:rPr>
        <w:t>综合评分法</w:t>
      </w:r>
      <w:r>
        <w:rPr>
          <w:rFonts w:hint="eastAsia" w:ascii="宋体" w:hAnsi="宋体"/>
          <w:kern w:val="0"/>
          <w:szCs w:val="21"/>
          <w:lang w:eastAsia="zh-CN"/>
        </w:rPr>
        <w:t>货物</w:t>
      </w:r>
      <w:r>
        <w:rPr>
          <w:rFonts w:hint="eastAsia" w:ascii="宋体" w:hAnsi="宋体"/>
          <w:kern w:val="0"/>
          <w:szCs w:val="21"/>
        </w:rPr>
        <w:t>项目的价格分值占总分值的比重(即权值)为</w:t>
      </w:r>
      <w:r>
        <w:rPr>
          <w:rFonts w:hint="eastAsia" w:ascii="宋体" w:hAnsi="宋体"/>
          <w:kern w:val="0"/>
          <w:szCs w:val="21"/>
          <w:lang w:val="en-US" w:eastAsia="zh-CN"/>
        </w:rPr>
        <w:t>30</w:t>
      </w:r>
      <w:r>
        <w:rPr>
          <w:rFonts w:hint="eastAsia" w:ascii="宋体" w:hAnsi="宋体"/>
          <w:kern w:val="0"/>
          <w:szCs w:val="21"/>
        </w:rPr>
        <w:t>％，采购项目中含不同采购对象的，以占项目资金比例最高的采购对象确定其项目属性。其价格不列为评分因素，有特殊情况需要在上述规定范围外设定价格分权重的。</w:t>
      </w:r>
    </w:p>
    <w:p w14:paraId="7369F2AB">
      <w:pPr>
        <w:widowControl/>
        <w:spacing w:line="440" w:lineRule="exact"/>
        <w:ind w:firstLine="480"/>
        <w:rPr>
          <w:rFonts w:ascii="宋体" w:hAnsi="宋体"/>
          <w:kern w:val="0"/>
          <w:szCs w:val="21"/>
        </w:rPr>
      </w:pPr>
      <w:r>
        <w:rPr>
          <w:rFonts w:hint="eastAsia" w:ascii="宋体" w:hAnsi="宋体"/>
          <w:kern w:val="0"/>
          <w:szCs w:val="21"/>
        </w:rPr>
        <w:t>综合评分法中的价格分统一采用低价优先法计算，即满足招标文件要求且最后报价最低的供应商的价格为招标基准价，其价格分为满分。其他供应商的价格分统一按照下列公式计算：</w:t>
      </w:r>
    </w:p>
    <w:p w14:paraId="526FEEC0">
      <w:pPr>
        <w:widowControl/>
        <w:spacing w:line="440" w:lineRule="exact"/>
        <w:ind w:firstLine="480"/>
        <w:rPr>
          <w:rFonts w:ascii="宋体" w:hAnsi="宋体"/>
          <w:kern w:val="0"/>
          <w:szCs w:val="21"/>
        </w:rPr>
      </w:pPr>
      <w:r>
        <w:rPr>
          <w:rFonts w:hint="eastAsia" w:ascii="宋体" w:hAnsi="宋体"/>
          <w:kern w:val="0"/>
          <w:szCs w:val="21"/>
        </w:rPr>
        <w:t>投标报价得分=（基准价/投标报价）×价格权值×100</w:t>
      </w:r>
    </w:p>
    <w:p w14:paraId="6DE0B175">
      <w:pPr>
        <w:widowControl/>
        <w:spacing w:line="440" w:lineRule="exact"/>
        <w:ind w:firstLine="480"/>
        <w:rPr>
          <w:rFonts w:ascii="宋体"/>
          <w:szCs w:val="21"/>
        </w:rPr>
      </w:pPr>
      <w:r>
        <w:rPr>
          <w:rFonts w:hint="eastAsia" w:ascii="宋体" w:hAnsi="宋体"/>
          <w:kern w:val="0"/>
          <w:szCs w:val="21"/>
        </w:rPr>
        <w:t>项目评审过程中，不得去掉最后报价中的最高报价和最低报价。</w:t>
      </w:r>
    </w:p>
    <w:p w14:paraId="04AEA95D">
      <w:pPr>
        <w:widowControl/>
        <w:spacing w:line="440" w:lineRule="exact"/>
        <w:ind w:firstLine="213" w:firstLineChars="100"/>
        <w:rPr>
          <w:rFonts w:ascii="宋体"/>
          <w:szCs w:val="21"/>
        </w:rPr>
      </w:pPr>
      <w:r>
        <w:rPr>
          <w:rFonts w:hint="eastAsia" w:ascii="宋体"/>
          <w:szCs w:val="21"/>
        </w:rPr>
        <w:t>35.5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2B106C89">
      <w:pPr>
        <w:widowControl/>
        <w:spacing w:line="440" w:lineRule="exact"/>
        <w:ind w:firstLine="213" w:firstLineChars="100"/>
        <w:rPr>
          <w:rFonts w:ascii="宋体"/>
          <w:szCs w:val="21"/>
        </w:rPr>
      </w:pPr>
      <w:r>
        <w:rPr>
          <w:rFonts w:hint="eastAsia" w:ascii="宋体"/>
          <w:szCs w:val="21"/>
        </w:rPr>
        <w:t>35.6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0AF11377">
      <w:pPr>
        <w:widowControl/>
        <w:spacing w:line="440" w:lineRule="exact"/>
        <w:ind w:firstLine="213" w:firstLineChars="100"/>
        <w:rPr>
          <w:rFonts w:ascii="宋体"/>
          <w:szCs w:val="21"/>
        </w:rPr>
      </w:pPr>
      <w:r>
        <w:rPr>
          <w:rFonts w:hint="eastAsia" w:ascii="宋体"/>
          <w:szCs w:val="21"/>
        </w:rPr>
        <w:t>35.7 评标委员会根据评审汇总情况和采购文件规定确定中标候选供应商排序名单。</w:t>
      </w:r>
    </w:p>
    <w:p w14:paraId="366EF504">
      <w:pPr>
        <w:widowControl/>
        <w:spacing w:line="440" w:lineRule="exact"/>
        <w:ind w:firstLine="213" w:firstLineChars="100"/>
        <w:rPr>
          <w:rFonts w:ascii="宋体"/>
          <w:szCs w:val="21"/>
        </w:rPr>
      </w:pPr>
      <w:r>
        <w:rPr>
          <w:rFonts w:hint="eastAsia" w:ascii="宋体"/>
          <w:szCs w:val="21"/>
        </w:rPr>
        <w:t xml:space="preserve">35.8 起草评审报告，所有评审人员须在评审报告上签字确认，对自己的评审意见承担法律责任。 </w:t>
      </w:r>
    </w:p>
    <w:p w14:paraId="6AE5DE73">
      <w:pPr>
        <w:widowControl/>
        <w:spacing w:line="440" w:lineRule="exact"/>
        <w:ind w:firstLine="213" w:firstLineChars="100"/>
        <w:rPr>
          <w:rFonts w:ascii="宋体"/>
          <w:szCs w:val="21"/>
        </w:rPr>
      </w:pPr>
      <w:r>
        <w:rPr>
          <w:rFonts w:hint="eastAsia" w:ascii="宋体"/>
          <w:szCs w:val="21"/>
        </w:rPr>
        <w:t>35.9 采购组织机构对评标委员会评审专家进行评价。</w:t>
      </w:r>
    </w:p>
    <w:p w14:paraId="136A8E85">
      <w:pPr>
        <w:widowControl/>
        <w:spacing w:line="440" w:lineRule="exact"/>
        <w:ind w:firstLine="213" w:firstLineChars="100"/>
        <w:rPr>
          <w:rFonts w:ascii="宋体"/>
          <w:szCs w:val="21"/>
        </w:rPr>
      </w:pPr>
      <w:r>
        <w:rPr>
          <w:rFonts w:hint="eastAsia" w:ascii="宋体"/>
          <w:szCs w:val="21"/>
        </w:rPr>
        <w:t>35.10 修改评审结果</w:t>
      </w:r>
    </w:p>
    <w:p w14:paraId="3B7B0735">
      <w:pPr>
        <w:widowControl/>
        <w:spacing w:line="440" w:lineRule="exact"/>
        <w:ind w:firstLine="213" w:firstLineChars="100"/>
        <w:rPr>
          <w:rFonts w:ascii="宋体"/>
          <w:szCs w:val="21"/>
        </w:rPr>
      </w:pPr>
      <w:r>
        <w:rPr>
          <w:rFonts w:hint="eastAsia" w:ascii="宋体"/>
          <w:szCs w:val="21"/>
        </w:rPr>
        <w:t>评标结果汇总完成后，除下列情形外，任何人不得修改评标结果：</w:t>
      </w:r>
    </w:p>
    <w:p w14:paraId="7F18AD92">
      <w:pPr>
        <w:widowControl/>
        <w:spacing w:line="440" w:lineRule="exact"/>
        <w:ind w:firstLine="213" w:firstLineChars="100"/>
        <w:rPr>
          <w:rFonts w:ascii="宋体"/>
          <w:szCs w:val="21"/>
        </w:rPr>
      </w:pPr>
      <w:r>
        <w:rPr>
          <w:rFonts w:hint="eastAsia" w:ascii="宋体"/>
          <w:szCs w:val="21"/>
        </w:rPr>
        <w:t>（1）分值汇总计算错误的；</w:t>
      </w:r>
    </w:p>
    <w:p w14:paraId="3AB440F1">
      <w:pPr>
        <w:widowControl/>
        <w:spacing w:line="440" w:lineRule="exact"/>
        <w:ind w:firstLine="213" w:firstLineChars="100"/>
        <w:rPr>
          <w:rFonts w:ascii="宋体"/>
          <w:szCs w:val="21"/>
        </w:rPr>
      </w:pPr>
      <w:r>
        <w:rPr>
          <w:rFonts w:hint="eastAsia" w:ascii="宋体"/>
          <w:szCs w:val="21"/>
        </w:rPr>
        <w:t>（2）分项评分超出评分标准范围的；</w:t>
      </w:r>
    </w:p>
    <w:p w14:paraId="420ECFF1">
      <w:pPr>
        <w:widowControl/>
        <w:spacing w:line="440" w:lineRule="exact"/>
        <w:ind w:firstLine="213" w:firstLineChars="100"/>
        <w:rPr>
          <w:rFonts w:ascii="宋体"/>
          <w:szCs w:val="21"/>
        </w:rPr>
      </w:pPr>
      <w:r>
        <w:rPr>
          <w:rFonts w:hint="eastAsia" w:ascii="宋体"/>
          <w:szCs w:val="21"/>
        </w:rPr>
        <w:t>（3）评标委员会成员对客观评审因素评分不一致的；</w:t>
      </w:r>
    </w:p>
    <w:p w14:paraId="18F62834">
      <w:pPr>
        <w:widowControl/>
        <w:spacing w:line="440" w:lineRule="exact"/>
        <w:ind w:firstLine="213" w:firstLineChars="100"/>
        <w:rPr>
          <w:rFonts w:ascii="宋体"/>
          <w:szCs w:val="21"/>
        </w:rPr>
      </w:pPr>
      <w:r>
        <w:rPr>
          <w:rFonts w:hint="eastAsia" w:ascii="宋体"/>
          <w:szCs w:val="21"/>
        </w:rPr>
        <w:t>（4）经评标委员会认定评分畸高、畸低的。</w:t>
      </w:r>
    </w:p>
    <w:p w14:paraId="4EE3389A">
      <w:pPr>
        <w:widowControl/>
        <w:spacing w:line="440" w:lineRule="exact"/>
        <w:ind w:firstLine="213" w:firstLineChars="100"/>
        <w:rPr>
          <w:rFonts w:ascii="宋体"/>
          <w:szCs w:val="21"/>
        </w:rPr>
      </w:pPr>
      <w:r>
        <w:rPr>
          <w:rFonts w:hint="eastAsia" w:ascii="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BF20B39">
      <w:pPr>
        <w:spacing w:line="440" w:lineRule="exact"/>
        <w:ind w:firstLine="213" w:firstLineChars="100"/>
        <w:jc w:val="left"/>
        <w:rPr>
          <w:rFonts w:ascii="宋体"/>
          <w:szCs w:val="21"/>
        </w:rPr>
      </w:pPr>
      <w:r>
        <w:rPr>
          <w:rFonts w:hint="eastAsia" w:ascii="宋体"/>
          <w:szCs w:val="21"/>
        </w:rPr>
        <w:t>36．澄清、说明或补正的形式</w:t>
      </w:r>
    </w:p>
    <w:p w14:paraId="56A42EEF">
      <w:pPr>
        <w:spacing w:line="440" w:lineRule="exact"/>
        <w:ind w:firstLine="213" w:firstLineChars="100"/>
        <w:jc w:val="left"/>
        <w:rPr>
          <w:rFonts w:ascii="宋体"/>
          <w:szCs w:val="21"/>
        </w:rPr>
      </w:pPr>
      <w:r>
        <w:rPr>
          <w:rFonts w:hint="eastAsia" w:ascii="宋体"/>
          <w:szCs w:val="21"/>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宋体"/>
          <w:b/>
          <w:bCs/>
          <w:szCs w:val="21"/>
        </w:rPr>
        <w:t>投标供应商澄清、说明或补正时间为</w:t>
      </w:r>
      <w:r>
        <w:rPr>
          <w:rFonts w:hint="eastAsia" w:ascii="宋体"/>
          <w:b/>
          <w:bCs/>
          <w:szCs w:val="21"/>
          <w:lang w:val="en-US" w:eastAsia="zh-CN"/>
        </w:rPr>
        <w:t>30</w:t>
      </w:r>
      <w:r>
        <w:rPr>
          <w:rFonts w:hint="eastAsia" w:ascii="宋体"/>
          <w:b/>
          <w:bCs/>
          <w:szCs w:val="21"/>
        </w:rPr>
        <w:t>分钟</w:t>
      </w:r>
      <w:r>
        <w:rPr>
          <w:rFonts w:hint="eastAsia" w:ascii="宋体"/>
          <w:szCs w:val="21"/>
        </w:rPr>
        <w:t>。</w:t>
      </w:r>
    </w:p>
    <w:p w14:paraId="152B6490">
      <w:pPr>
        <w:spacing w:line="440" w:lineRule="exact"/>
        <w:ind w:firstLine="213" w:firstLineChars="100"/>
        <w:jc w:val="left"/>
        <w:rPr>
          <w:rFonts w:ascii="宋体"/>
          <w:szCs w:val="21"/>
        </w:rPr>
      </w:pPr>
      <w:r>
        <w:rPr>
          <w:rFonts w:hint="eastAsia" w:ascii="宋体"/>
          <w:szCs w:val="21"/>
        </w:rPr>
        <w:t>36.2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5C79FB9F">
      <w:pPr>
        <w:spacing w:line="440" w:lineRule="exact"/>
        <w:ind w:firstLine="213" w:firstLineChars="100"/>
        <w:jc w:val="left"/>
        <w:rPr>
          <w:rFonts w:ascii="宋体"/>
          <w:szCs w:val="21"/>
        </w:rPr>
      </w:pPr>
      <w:r>
        <w:rPr>
          <w:rFonts w:hint="eastAsia" w:ascii="宋体"/>
          <w:szCs w:val="21"/>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06A4D8A">
      <w:pPr>
        <w:spacing w:line="440" w:lineRule="exact"/>
        <w:ind w:firstLine="213" w:firstLineChars="100"/>
        <w:jc w:val="left"/>
        <w:rPr>
          <w:rFonts w:ascii="宋体"/>
          <w:szCs w:val="21"/>
        </w:rPr>
      </w:pPr>
      <w:r>
        <w:rPr>
          <w:rFonts w:hint="eastAsia" w:ascii="宋体"/>
          <w:szCs w:val="21"/>
        </w:rPr>
        <w:t>37．错误修正的原则</w:t>
      </w:r>
    </w:p>
    <w:p w14:paraId="5EA627F4">
      <w:pPr>
        <w:spacing w:line="440" w:lineRule="exact"/>
        <w:ind w:firstLine="213" w:firstLineChars="100"/>
        <w:jc w:val="left"/>
        <w:rPr>
          <w:rFonts w:ascii="宋体"/>
          <w:szCs w:val="21"/>
        </w:rPr>
      </w:pPr>
      <w:r>
        <w:rPr>
          <w:rFonts w:hint="eastAsia" w:ascii="宋体"/>
          <w:szCs w:val="21"/>
        </w:rPr>
        <w:t>电子交易平台客户端里开标一览表录入的投标报价或优惠率与扫描上传的报价文件信息不一致的，以扫描上传的报价文件信息为准进行修正。</w:t>
      </w:r>
    </w:p>
    <w:p w14:paraId="4B2D897A">
      <w:pPr>
        <w:spacing w:line="440" w:lineRule="exact"/>
        <w:ind w:firstLine="213" w:firstLineChars="100"/>
        <w:jc w:val="left"/>
        <w:rPr>
          <w:rFonts w:ascii="宋体"/>
          <w:szCs w:val="21"/>
        </w:rPr>
      </w:pPr>
      <w:r>
        <w:rPr>
          <w:rFonts w:hint="eastAsia" w:ascii="宋体"/>
          <w:szCs w:val="21"/>
        </w:rPr>
        <w:t>投标文件报价出现前后不一致的，除采购文件另有规定外，按照下列规定修正：</w:t>
      </w:r>
    </w:p>
    <w:p w14:paraId="0C418D7D">
      <w:pPr>
        <w:spacing w:line="440" w:lineRule="exact"/>
        <w:ind w:firstLine="213" w:firstLineChars="100"/>
        <w:jc w:val="left"/>
        <w:rPr>
          <w:rFonts w:ascii="宋体"/>
          <w:szCs w:val="21"/>
        </w:rPr>
      </w:pPr>
      <w:r>
        <w:rPr>
          <w:rFonts w:hint="eastAsia" w:ascii="宋体"/>
          <w:szCs w:val="21"/>
        </w:rPr>
        <w:t>37.1 投标函中表述的内容与报价表中不一致的，以报价表为准；报价表中的内容与报价明细表不一致的，以报价表为准；</w:t>
      </w:r>
    </w:p>
    <w:p w14:paraId="509FBE7A">
      <w:pPr>
        <w:spacing w:line="440" w:lineRule="exact"/>
        <w:ind w:firstLine="213" w:firstLineChars="100"/>
        <w:jc w:val="left"/>
        <w:rPr>
          <w:rFonts w:ascii="宋体"/>
          <w:szCs w:val="21"/>
        </w:rPr>
      </w:pPr>
      <w:r>
        <w:rPr>
          <w:rFonts w:hint="eastAsia" w:ascii="宋体"/>
          <w:szCs w:val="21"/>
        </w:rPr>
        <w:t>37.2 投标文件中的大写金额和小写金额不一致的，以大写金额为准；</w:t>
      </w:r>
    </w:p>
    <w:p w14:paraId="02A17A74">
      <w:pPr>
        <w:spacing w:line="440" w:lineRule="exact"/>
        <w:ind w:firstLine="213" w:firstLineChars="100"/>
        <w:jc w:val="left"/>
        <w:rPr>
          <w:rFonts w:ascii="宋体"/>
          <w:szCs w:val="21"/>
        </w:rPr>
      </w:pPr>
      <w:r>
        <w:rPr>
          <w:rFonts w:hint="eastAsia" w:ascii="宋体"/>
          <w:szCs w:val="21"/>
        </w:rPr>
        <w:t>37.3 单价金额小数点或者百分比有明显错位的，以开标一览表的总价为准，并修改单价；</w:t>
      </w:r>
    </w:p>
    <w:p w14:paraId="3D305F23">
      <w:pPr>
        <w:spacing w:line="440" w:lineRule="exact"/>
        <w:ind w:firstLine="213" w:firstLineChars="100"/>
        <w:jc w:val="left"/>
        <w:rPr>
          <w:rFonts w:ascii="宋体"/>
          <w:szCs w:val="21"/>
        </w:rPr>
      </w:pPr>
      <w:r>
        <w:rPr>
          <w:rFonts w:hint="eastAsia" w:ascii="宋体"/>
          <w:szCs w:val="21"/>
        </w:rPr>
        <w:t>37.4 总价金额与按单价汇总金额不一致的，以单价金额计算结果为准；</w:t>
      </w:r>
    </w:p>
    <w:p w14:paraId="5431896E">
      <w:pPr>
        <w:spacing w:line="440" w:lineRule="exact"/>
        <w:ind w:firstLine="213" w:firstLineChars="100"/>
        <w:jc w:val="left"/>
        <w:rPr>
          <w:rFonts w:ascii="宋体"/>
          <w:szCs w:val="21"/>
        </w:rPr>
      </w:pPr>
      <w:r>
        <w:rPr>
          <w:rFonts w:hint="eastAsia" w:ascii="宋体"/>
          <w:szCs w:val="21"/>
        </w:rPr>
        <w:t>37.5 若用文字表示的数值与用数字表示的数值不一致，以文字表示的数值为准；</w:t>
      </w:r>
    </w:p>
    <w:p w14:paraId="368DDD3B">
      <w:pPr>
        <w:spacing w:line="440" w:lineRule="exact"/>
        <w:ind w:firstLine="213" w:firstLineChars="100"/>
        <w:jc w:val="left"/>
        <w:rPr>
          <w:rFonts w:ascii="宋体"/>
          <w:szCs w:val="21"/>
        </w:rPr>
      </w:pPr>
      <w:r>
        <w:rPr>
          <w:rFonts w:hint="eastAsia" w:ascii="宋体"/>
          <w:szCs w:val="21"/>
        </w:rPr>
        <w:t>37.6 如有多报（指数量超出采购文件需求）、重报（指同一货物重复报价），其投标总价在评标过程中不予调整，如其中标，其合同价按其投标单价予以调整；</w:t>
      </w:r>
    </w:p>
    <w:p w14:paraId="7E9D276B">
      <w:pPr>
        <w:spacing w:line="440" w:lineRule="exact"/>
        <w:ind w:firstLine="213" w:firstLineChars="100"/>
        <w:jc w:val="left"/>
        <w:rPr>
          <w:rFonts w:ascii="宋体"/>
          <w:szCs w:val="21"/>
        </w:rPr>
      </w:pPr>
      <w:r>
        <w:rPr>
          <w:rFonts w:hint="eastAsia" w:ascii="宋体"/>
          <w:szCs w:val="21"/>
        </w:rPr>
        <w:t>37.7 对不同文字文本投标文件的解释发生异议的，以中文文本为准；</w:t>
      </w:r>
    </w:p>
    <w:p w14:paraId="1C8E4D9A">
      <w:pPr>
        <w:spacing w:line="440" w:lineRule="exact"/>
        <w:ind w:firstLine="213" w:firstLineChars="100"/>
        <w:jc w:val="left"/>
        <w:rPr>
          <w:rFonts w:ascii="宋体"/>
          <w:b/>
          <w:bCs/>
          <w:szCs w:val="21"/>
        </w:rPr>
      </w:pPr>
      <w:r>
        <w:rPr>
          <w:rFonts w:hint="eastAsia" w:ascii="宋体"/>
          <w:szCs w:val="21"/>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宋体"/>
          <w:b/>
          <w:bCs/>
          <w:szCs w:val="21"/>
        </w:rPr>
        <w:t>修正应当采用电子询标的形式，并加盖公章（电子印章）。</w:t>
      </w:r>
    </w:p>
    <w:p w14:paraId="0EE03FFB">
      <w:pPr>
        <w:spacing w:line="440" w:lineRule="exact"/>
        <w:ind w:firstLine="213" w:firstLineChars="100"/>
        <w:jc w:val="left"/>
        <w:rPr>
          <w:rFonts w:ascii="宋体"/>
          <w:szCs w:val="21"/>
        </w:rPr>
      </w:pPr>
      <w:r>
        <w:rPr>
          <w:rFonts w:hint="eastAsia" w:ascii="宋体"/>
          <w:szCs w:val="21"/>
        </w:rPr>
        <w:t>38．无效投标文件</w:t>
      </w:r>
    </w:p>
    <w:p w14:paraId="22049AE8">
      <w:pPr>
        <w:spacing w:line="440" w:lineRule="exact"/>
        <w:ind w:firstLine="213" w:firstLineChars="100"/>
        <w:jc w:val="left"/>
        <w:rPr>
          <w:rFonts w:ascii="宋体"/>
          <w:szCs w:val="21"/>
        </w:rPr>
      </w:pPr>
      <w:r>
        <w:rPr>
          <w:rFonts w:hint="eastAsia" w:ascii="宋体"/>
          <w:szCs w:val="21"/>
        </w:rPr>
        <w:t>有下列情形之一的，投标文件按无效标处理：</w:t>
      </w:r>
    </w:p>
    <w:p w14:paraId="1F84736A">
      <w:pPr>
        <w:spacing w:line="440" w:lineRule="exact"/>
        <w:ind w:firstLine="213" w:firstLineChars="100"/>
        <w:jc w:val="left"/>
        <w:rPr>
          <w:rFonts w:ascii="宋体"/>
          <w:szCs w:val="21"/>
        </w:rPr>
      </w:pPr>
      <w:r>
        <w:rPr>
          <w:rFonts w:hint="eastAsia" w:ascii="宋体"/>
          <w:szCs w:val="21"/>
        </w:rPr>
        <w:t>38.1 报名的投标人与参加投标的投标人发生实质性变更的且未提供有效证明的；</w:t>
      </w:r>
    </w:p>
    <w:p w14:paraId="0894CF7F">
      <w:pPr>
        <w:spacing w:line="440" w:lineRule="exact"/>
        <w:ind w:firstLine="213" w:firstLineChars="100"/>
        <w:jc w:val="left"/>
        <w:rPr>
          <w:rFonts w:ascii="宋体"/>
          <w:szCs w:val="21"/>
        </w:rPr>
      </w:pPr>
      <w:r>
        <w:rPr>
          <w:rFonts w:hint="eastAsia" w:ascii="宋体"/>
          <w:szCs w:val="21"/>
        </w:rPr>
        <w:t>38.2投标人提交两份或两份以上内容不同的投标文件，未声明哪一份有效的；</w:t>
      </w:r>
    </w:p>
    <w:p w14:paraId="061CAF1D">
      <w:pPr>
        <w:spacing w:line="440" w:lineRule="exact"/>
        <w:ind w:firstLine="213" w:firstLineChars="100"/>
        <w:jc w:val="left"/>
        <w:rPr>
          <w:rFonts w:ascii="宋体"/>
          <w:szCs w:val="21"/>
        </w:rPr>
      </w:pPr>
      <w:r>
        <w:rPr>
          <w:rFonts w:hint="eastAsia" w:ascii="宋体"/>
          <w:szCs w:val="21"/>
        </w:rPr>
        <w:t>38.3 投标文件非投标人法定代表人签署的，未提供或提供无效的法定代表人授权书；</w:t>
      </w:r>
    </w:p>
    <w:p w14:paraId="3657B8ED">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4</w:t>
      </w:r>
      <w:r>
        <w:rPr>
          <w:rFonts w:hint="eastAsia" w:ascii="宋体"/>
          <w:szCs w:val="21"/>
        </w:rPr>
        <w:t xml:space="preserve"> 投标文件内容未按招标文件规定签字或盖章的；</w:t>
      </w:r>
    </w:p>
    <w:p w14:paraId="3FBBE85E">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5</w:t>
      </w:r>
      <w:r>
        <w:rPr>
          <w:rFonts w:hint="eastAsia" w:ascii="宋体"/>
          <w:szCs w:val="21"/>
        </w:rPr>
        <w:t>投标文件组成漏项或未按规定的格式编制或投标文件正、副本份数不足或内容不全或内容字迹模糊辨认不清的等而导致评标活动无法正常进行；</w:t>
      </w:r>
    </w:p>
    <w:p w14:paraId="6670DCBF">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6</w:t>
      </w:r>
      <w:r>
        <w:rPr>
          <w:rFonts w:hint="eastAsia" w:ascii="宋体"/>
          <w:szCs w:val="21"/>
        </w:rPr>
        <w:t xml:space="preserve"> 投标人未按招标文件变更通知更改投标文件的；</w:t>
      </w:r>
    </w:p>
    <w:p w14:paraId="437A6CD1">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7</w:t>
      </w:r>
      <w:r>
        <w:rPr>
          <w:rFonts w:hint="eastAsia" w:ascii="宋体"/>
          <w:szCs w:val="21"/>
        </w:rPr>
        <w:t xml:space="preserve"> 《开标一览表</w:t>
      </w:r>
      <w:r>
        <w:rPr>
          <w:rFonts w:hint="eastAsia" w:ascii="宋体" w:hAnsi="Times New Roman" w:cs="Times New Roman"/>
          <w:szCs w:val="21"/>
        </w:rPr>
        <w:t>》和《投标分项报价表》内容不完</w:t>
      </w:r>
      <w:r>
        <w:rPr>
          <w:rFonts w:hint="eastAsia" w:ascii="宋体"/>
          <w:szCs w:val="21"/>
        </w:rPr>
        <w:t>整且不接受修正意见或字迹不能辨认的或未提供；</w:t>
      </w:r>
    </w:p>
    <w:p w14:paraId="60151D81">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8</w:t>
      </w:r>
      <w:r>
        <w:rPr>
          <w:rFonts w:hint="eastAsia" w:ascii="宋体"/>
          <w:szCs w:val="21"/>
        </w:rPr>
        <w:t xml:space="preserve"> 标项投标报价超过招标文件规定的预算金额或最高限价</w:t>
      </w:r>
    </w:p>
    <w:p w14:paraId="1AFE3B4B">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9</w:t>
      </w:r>
      <w:r>
        <w:rPr>
          <w:rFonts w:hint="eastAsia" w:ascii="宋体"/>
          <w:szCs w:val="21"/>
        </w:rPr>
        <w:t>因投标人原因编制错误造成经评标委员会修正后的报价达到或超过投标报价的0.5%；</w:t>
      </w:r>
    </w:p>
    <w:p w14:paraId="6D1E28DA">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10</w:t>
      </w:r>
      <w:r>
        <w:rPr>
          <w:rFonts w:hint="eastAsia" w:ascii="宋体"/>
          <w:szCs w:val="21"/>
        </w:rPr>
        <w:t xml:space="preserve"> 投标人的报价明显低于其他通过符合性审查投标人的报价，有可能影响产品质量或者不能诚信履约的，且在规定时间内不能合理说明原因并提供证明材料的；</w:t>
      </w:r>
    </w:p>
    <w:p w14:paraId="5CA92122">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11</w:t>
      </w:r>
      <w:r>
        <w:rPr>
          <w:rFonts w:hint="eastAsia" w:ascii="宋体"/>
          <w:szCs w:val="21"/>
        </w:rPr>
        <w:t xml:space="preserve"> 未实质性响应招标文件中条款要求的投标文件；</w:t>
      </w:r>
    </w:p>
    <w:p w14:paraId="43A4C31F">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12</w:t>
      </w:r>
      <w:r>
        <w:rPr>
          <w:rFonts w:hint="eastAsia" w:ascii="宋体"/>
          <w:szCs w:val="21"/>
        </w:rPr>
        <w:t xml:space="preserve"> 不符合招标范围、技术规格、技术标准的要求无法满足采购人使用要求；</w:t>
      </w:r>
    </w:p>
    <w:p w14:paraId="3CEAFBB6">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3</w:t>
      </w:r>
      <w:r>
        <w:rPr>
          <w:rFonts w:hint="eastAsia" w:ascii="宋体"/>
          <w:szCs w:val="21"/>
        </w:rPr>
        <w:t xml:space="preserve"> 投标文件附有采购人不能接受的条款；</w:t>
      </w:r>
    </w:p>
    <w:p w14:paraId="5922B00C">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4</w:t>
      </w:r>
      <w:r>
        <w:rPr>
          <w:rFonts w:hint="eastAsia" w:ascii="宋体"/>
          <w:szCs w:val="21"/>
        </w:rPr>
        <w:t xml:space="preserve"> 投标文件中提供了赠品或者与本项目采购无关的其他商品、服务；</w:t>
      </w:r>
    </w:p>
    <w:p w14:paraId="0E8FB5D1">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5</w:t>
      </w:r>
      <w:r>
        <w:rPr>
          <w:rFonts w:hint="eastAsia" w:ascii="宋体"/>
          <w:szCs w:val="21"/>
        </w:rPr>
        <w:t xml:space="preserve"> 投标文件中承诺的投标有效期少于招标文件中载明的投标有效期；</w:t>
      </w:r>
    </w:p>
    <w:p w14:paraId="01F98775">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6</w:t>
      </w:r>
      <w:r>
        <w:rPr>
          <w:rFonts w:hint="eastAsia" w:ascii="宋体"/>
          <w:szCs w:val="21"/>
        </w:rPr>
        <w:t>投标人串通投标，妨碍其他投标人的竞争行为，损害采购人或者其他投标人的合法权益；</w:t>
      </w:r>
    </w:p>
    <w:p w14:paraId="71301DD9">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7</w:t>
      </w:r>
      <w:r>
        <w:rPr>
          <w:rFonts w:hint="eastAsia" w:ascii="宋体"/>
          <w:szCs w:val="21"/>
        </w:rPr>
        <w:t>违反国家及政府部门相关法律、法规、文件规定或经评标委员会认定的其他属于重大偏离；</w:t>
      </w:r>
    </w:p>
    <w:p w14:paraId="4097BE62">
      <w:pPr>
        <w:spacing w:line="440" w:lineRule="exact"/>
        <w:ind w:firstLine="213" w:firstLineChars="100"/>
        <w:jc w:val="left"/>
        <w:rPr>
          <w:rFonts w:ascii="宋体"/>
          <w:szCs w:val="21"/>
        </w:rPr>
      </w:pPr>
      <w:r>
        <w:rPr>
          <w:rFonts w:hint="eastAsia" w:ascii="宋体"/>
          <w:szCs w:val="21"/>
        </w:rPr>
        <w:t>39．废标</w:t>
      </w:r>
    </w:p>
    <w:p w14:paraId="59D76EE4">
      <w:pPr>
        <w:spacing w:line="440" w:lineRule="exact"/>
        <w:ind w:firstLine="213" w:firstLineChars="100"/>
        <w:jc w:val="left"/>
        <w:rPr>
          <w:rFonts w:ascii="宋体"/>
          <w:szCs w:val="21"/>
        </w:rPr>
      </w:pPr>
      <w:r>
        <w:rPr>
          <w:rFonts w:hint="eastAsia" w:ascii="宋体"/>
          <w:szCs w:val="21"/>
        </w:rPr>
        <w:t>39.1 符合招标文件规定废标情形的；</w:t>
      </w:r>
    </w:p>
    <w:p w14:paraId="77D65C60">
      <w:pPr>
        <w:spacing w:line="440" w:lineRule="exact"/>
        <w:ind w:firstLine="213" w:firstLineChars="100"/>
        <w:jc w:val="left"/>
        <w:rPr>
          <w:rFonts w:ascii="宋体"/>
          <w:szCs w:val="21"/>
        </w:rPr>
      </w:pPr>
      <w:r>
        <w:rPr>
          <w:rFonts w:hint="eastAsia" w:ascii="宋体"/>
          <w:szCs w:val="21"/>
        </w:rPr>
        <w:t>39.2 出现影响采购公正的违法、违规行为的；</w:t>
      </w:r>
    </w:p>
    <w:p w14:paraId="3236453E">
      <w:pPr>
        <w:spacing w:line="440" w:lineRule="exact"/>
        <w:ind w:firstLine="213" w:firstLineChars="100"/>
        <w:jc w:val="left"/>
        <w:rPr>
          <w:rFonts w:ascii="宋体"/>
          <w:szCs w:val="21"/>
        </w:rPr>
      </w:pPr>
      <w:r>
        <w:rPr>
          <w:rFonts w:hint="eastAsia" w:ascii="宋体"/>
          <w:szCs w:val="21"/>
        </w:rPr>
        <w:t>39.3 供应商的报价均超过了采购预算（或最高限价），采购人不能支付的;</w:t>
      </w:r>
    </w:p>
    <w:p w14:paraId="2A575528">
      <w:pPr>
        <w:spacing w:line="440" w:lineRule="exact"/>
        <w:ind w:firstLine="213" w:firstLineChars="100"/>
        <w:jc w:val="left"/>
        <w:rPr>
          <w:rFonts w:ascii="宋体"/>
          <w:szCs w:val="21"/>
        </w:rPr>
      </w:pPr>
      <w:r>
        <w:rPr>
          <w:rFonts w:hint="eastAsia" w:ascii="宋体"/>
          <w:szCs w:val="21"/>
        </w:rPr>
        <w:t>39.4 因重大变故，采购任务取消的。</w:t>
      </w:r>
    </w:p>
    <w:p w14:paraId="0AC84FD1">
      <w:pPr>
        <w:spacing w:line="440" w:lineRule="exact"/>
        <w:ind w:firstLine="213" w:firstLineChars="100"/>
        <w:jc w:val="left"/>
        <w:rPr>
          <w:rFonts w:ascii="宋体"/>
          <w:szCs w:val="21"/>
        </w:rPr>
      </w:pPr>
      <w:r>
        <w:rPr>
          <w:rFonts w:hint="eastAsia" w:ascii="宋体"/>
          <w:szCs w:val="21"/>
        </w:rPr>
        <w:t>40．突发情况处理</w:t>
      </w:r>
    </w:p>
    <w:p w14:paraId="13647ED9">
      <w:pPr>
        <w:spacing w:line="440" w:lineRule="exact"/>
        <w:ind w:firstLine="213" w:firstLineChars="100"/>
        <w:jc w:val="left"/>
        <w:rPr>
          <w:rFonts w:ascii="宋体"/>
          <w:szCs w:val="21"/>
        </w:rPr>
      </w:pPr>
      <w:r>
        <w:rPr>
          <w:rFonts w:hint="eastAsia" w:ascii="宋体"/>
          <w:szCs w:val="21"/>
        </w:rPr>
        <w:t>40.1 采购过程中出现以下情形，导致电子交易平台无法正常运行，或者无法保证电子交易的公平、公正和安全时，采购组织机构可中止电子交易活动：</w:t>
      </w:r>
    </w:p>
    <w:p w14:paraId="17507997">
      <w:pPr>
        <w:spacing w:line="440" w:lineRule="exact"/>
        <w:ind w:firstLine="213" w:firstLineChars="100"/>
        <w:jc w:val="left"/>
        <w:rPr>
          <w:rFonts w:ascii="宋体"/>
          <w:szCs w:val="21"/>
        </w:rPr>
      </w:pPr>
      <w:r>
        <w:rPr>
          <w:rFonts w:hint="eastAsia" w:ascii="宋体"/>
          <w:szCs w:val="21"/>
        </w:rPr>
        <w:t xml:space="preserve">（1）电子交易平台发生故障而无法登录访问的； </w:t>
      </w:r>
    </w:p>
    <w:p w14:paraId="45889C21">
      <w:pPr>
        <w:spacing w:line="440" w:lineRule="exact"/>
        <w:ind w:firstLine="213" w:firstLineChars="100"/>
        <w:jc w:val="left"/>
        <w:rPr>
          <w:rFonts w:ascii="宋体"/>
          <w:szCs w:val="21"/>
        </w:rPr>
      </w:pPr>
      <w:r>
        <w:rPr>
          <w:rFonts w:hint="eastAsia" w:ascii="宋体"/>
          <w:szCs w:val="21"/>
        </w:rPr>
        <w:t>（2）电子交易平台应用或数据库出现错误，不能进行正常操作的；</w:t>
      </w:r>
    </w:p>
    <w:p w14:paraId="2595F0EA">
      <w:pPr>
        <w:spacing w:line="440" w:lineRule="exact"/>
        <w:ind w:firstLine="213" w:firstLineChars="100"/>
        <w:jc w:val="left"/>
        <w:rPr>
          <w:rFonts w:ascii="宋体"/>
          <w:szCs w:val="21"/>
        </w:rPr>
      </w:pPr>
      <w:r>
        <w:rPr>
          <w:rFonts w:hint="eastAsia" w:ascii="宋体"/>
          <w:szCs w:val="21"/>
        </w:rPr>
        <w:t>（3）电子交易平台发现严重安全漏洞，有潜在泄密危险的；</w:t>
      </w:r>
    </w:p>
    <w:p w14:paraId="1D7499AB">
      <w:pPr>
        <w:spacing w:line="440" w:lineRule="exact"/>
        <w:ind w:firstLine="213" w:firstLineChars="100"/>
        <w:jc w:val="left"/>
        <w:rPr>
          <w:rFonts w:ascii="宋体"/>
          <w:szCs w:val="21"/>
        </w:rPr>
      </w:pPr>
      <w:r>
        <w:rPr>
          <w:rFonts w:hint="eastAsia" w:ascii="宋体"/>
          <w:szCs w:val="21"/>
        </w:rPr>
        <w:t xml:space="preserve">（4）病毒发作导致不能进行正常操作的； </w:t>
      </w:r>
    </w:p>
    <w:p w14:paraId="38195CDB">
      <w:pPr>
        <w:spacing w:line="440" w:lineRule="exact"/>
        <w:ind w:firstLine="213" w:firstLineChars="100"/>
        <w:jc w:val="left"/>
        <w:rPr>
          <w:rFonts w:ascii="宋体"/>
          <w:szCs w:val="21"/>
        </w:rPr>
      </w:pPr>
      <w:r>
        <w:rPr>
          <w:rFonts w:hint="eastAsia" w:ascii="宋体"/>
          <w:szCs w:val="21"/>
        </w:rPr>
        <w:t>（5）其他无法保证电子交易的公平、公正和安全的情况。</w:t>
      </w:r>
    </w:p>
    <w:p w14:paraId="0E5D8980">
      <w:pPr>
        <w:spacing w:line="440" w:lineRule="exact"/>
        <w:ind w:firstLine="213" w:firstLineChars="100"/>
        <w:jc w:val="left"/>
        <w:rPr>
          <w:rFonts w:ascii="宋体"/>
          <w:szCs w:val="21"/>
        </w:rPr>
      </w:pPr>
      <w:r>
        <w:rPr>
          <w:rFonts w:hint="eastAsia" w:ascii="宋体"/>
          <w:szCs w:val="21"/>
        </w:rPr>
        <w:t>出现前款规定情形，不影响采购公平、公正性的，采购组织机构可以待上述情形消除后继续组织电子交易活动，也可以决定某些环节以纸质形式进行；影响或可能影响采购公平、公正性的，应当重新采购。</w:t>
      </w:r>
    </w:p>
    <w:p w14:paraId="20ACE3D7">
      <w:pPr>
        <w:spacing w:line="440" w:lineRule="exact"/>
        <w:ind w:firstLine="213" w:firstLineChars="100"/>
        <w:jc w:val="left"/>
        <w:rPr>
          <w:rFonts w:ascii="宋体"/>
          <w:szCs w:val="21"/>
        </w:rPr>
      </w:pPr>
      <w:r>
        <w:rPr>
          <w:rFonts w:hint="eastAsia" w:ascii="宋体"/>
          <w:szCs w:val="21"/>
        </w:rPr>
        <w:t>40.2 采购代理机构或评审小组因不可抗力（不可抗力包括但不限于自然灾害、断电、传播疫病等）原因造成电子交易活动无法正常运行的，将采取以下措施：</w:t>
      </w:r>
    </w:p>
    <w:p w14:paraId="0F2D9325">
      <w:pPr>
        <w:spacing w:line="440" w:lineRule="exact"/>
        <w:ind w:firstLine="213" w:firstLineChars="100"/>
        <w:jc w:val="left"/>
        <w:rPr>
          <w:rFonts w:ascii="宋体"/>
          <w:szCs w:val="21"/>
        </w:rPr>
      </w:pPr>
      <w:r>
        <w:rPr>
          <w:rFonts w:hint="eastAsia" w:ascii="宋体"/>
          <w:szCs w:val="21"/>
        </w:rPr>
        <w:t xml:space="preserve">（1）短时间内能消除不可抗力因素的，采购代理机构或评审小组在消除不可抗力因素后继续组织电子交易活动； </w:t>
      </w:r>
    </w:p>
    <w:p w14:paraId="33E730DE">
      <w:pPr>
        <w:spacing w:line="440" w:lineRule="exact"/>
        <w:ind w:firstLine="213" w:firstLineChars="100"/>
        <w:jc w:val="left"/>
        <w:rPr>
          <w:rFonts w:ascii="宋体"/>
          <w:szCs w:val="21"/>
        </w:rPr>
      </w:pPr>
      <w:r>
        <w:rPr>
          <w:rFonts w:hint="eastAsia" w:ascii="宋体"/>
          <w:szCs w:val="21"/>
        </w:rPr>
        <w:t>（2）长时间内无法消除不可抗力因素的，采购代理机构或评审小组将中止电子交易活动。中止电子交易活动的，采购人应当重新组织政府采购活动。</w:t>
      </w:r>
    </w:p>
    <w:p w14:paraId="47E496AB">
      <w:pPr>
        <w:snapToGrid w:val="0"/>
        <w:spacing w:line="360" w:lineRule="exact"/>
        <w:ind w:firstLine="421"/>
        <w:rPr>
          <w:rFonts w:ascii="宋体"/>
          <w:b/>
          <w:szCs w:val="21"/>
        </w:rPr>
      </w:pPr>
      <w:r>
        <w:rPr>
          <w:rFonts w:hint="eastAsia" w:ascii="宋体"/>
          <w:b/>
          <w:szCs w:val="21"/>
        </w:rPr>
        <w:t>41. 定标</w:t>
      </w:r>
    </w:p>
    <w:p w14:paraId="3C2A77FE">
      <w:pPr>
        <w:spacing w:line="440" w:lineRule="exact"/>
        <w:ind w:firstLine="213" w:firstLineChars="100"/>
        <w:jc w:val="left"/>
        <w:rPr>
          <w:rFonts w:ascii="宋体"/>
          <w:szCs w:val="21"/>
        </w:rPr>
      </w:pPr>
      <w:r>
        <w:rPr>
          <w:rFonts w:hint="eastAsia" w:ascii="宋体"/>
          <w:szCs w:val="21"/>
        </w:rPr>
        <w:t xml:space="preserve">    </w:t>
      </w:r>
      <w:bookmarkStart w:id="45" w:name="_Toc469495729"/>
      <w:r>
        <w:rPr>
          <w:rFonts w:hint="eastAsia" w:ascii="宋体"/>
          <w:szCs w:val="21"/>
        </w:rPr>
        <w:t>41.1采购结果确认（确定中标供应商）</w:t>
      </w:r>
    </w:p>
    <w:p w14:paraId="7E5D0F73">
      <w:pPr>
        <w:spacing w:line="440" w:lineRule="exact"/>
        <w:ind w:firstLine="213" w:firstLineChars="100"/>
        <w:jc w:val="left"/>
        <w:rPr>
          <w:rFonts w:ascii="宋体"/>
          <w:szCs w:val="21"/>
        </w:rPr>
      </w:pPr>
      <w:r>
        <w:rPr>
          <w:rFonts w:hint="eastAsia" w:ascii="宋体"/>
          <w:szCs w:val="21"/>
        </w:rPr>
        <w:t>采购结果确认（确定中标供应商）：本项目由采购人根据评标委员会提交的《评审报告》，通过“政府采购云平台”依法确认采购结果、确定中标供应商。具体流程如下：</w:t>
      </w:r>
    </w:p>
    <w:p w14:paraId="08FC55D2">
      <w:pPr>
        <w:spacing w:line="440" w:lineRule="exact"/>
        <w:ind w:firstLine="213" w:firstLineChars="100"/>
        <w:jc w:val="left"/>
        <w:rPr>
          <w:rFonts w:ascii="宋体"/>
          <w:szCs w:val="21"/>
        </w:rPr>
      </w:pPr>
      <w:r>
        <w:rPr>
          <w:rFonts w:hint="eastAsia" w:ascii="宋体"/>
          <w:szCs w:val="21"/>
        </w:rPr>
        <w:t>（1）采购代理机构将在评审结束后2个工作日内将评审报告送采购人。</w:t>
      </w:r>
    </w:p>
    <w:p w14:paraId="2056E123">
      <w:pPr>
        <w:spacing w:line="440" w:lineRule="exact"/>
        <w:ind w:firstLine="213" w:firstLineChars="100"/>
        <w:jc w:val="left"/>
        <w:rPr>
          <w:rFonts w:ascii="宋体"/>
          <w:szCs w:val="21"/>
        </w:rPr>
      </w:pPr>
      <w:r>
        <w:rPr>
          <w:rFonts w:hint="eastAsia" w:ascii="宋体"/>
          <w:szCs w:val="21"/>
        </w:rPr>
        <w:t xml:space="preserve">（2）采购人将在收到评审报告之日起5个工作日内，在评审报告推荐的中标候选供应商名单中按顺序确定中标供应商，并将确认意见以书面形式回复采购代理机构。 </w:t>
      </w:r>
    </w:p>
    <w:p w14:paraId="58B6164E">
      <w:pPr>
        <w:spacing w:line="440" w:lineRule="exact"/>
        <w:ind w:firstLine="213" w:firstLineChars="100"/>
        <w:jc w:val="left"/>
        <w:rPr>
          <w:rFonts w:ascii="宋体"/>
          <w:b/>
          <w:bCs/>
          <w:szCs w:val="21"/>
        </w:rPr>
      </w:pPr>
      <w:r>
        <w:rPr>
          <w:rFonts w:hint="eastAsia" w:ascii="宋体"/>
          <w:szCs w:val="21"/>
        </w:rPr>
        <w:t>41.2采购结果经采购人确认后2个工作日内，采购代理机构将在</w:t>
      </w:r>
      <w:r>
        <w:rPr>
          <w:rFonts w:hint="eastAsia" w:ascii="宋体"/>
          <w:b/>
          <w:bCs/>
          <w:szCs w:val="21"/>
        </w:rPr>
        <w:t>克州公共资源交易中心网、新疆政府采购网上公告采购结果，中标公告期限为1个工作日。</w:t>
      </w:r>
    </w:p>
    <w:p w14:paraId="19ECC88A">
      <w:pPr>
        <w:spacing w:line="440" w:lineRule="exact"/>
        <w:ind w:firstLine="213" w:firstLineChars="100"/>
        <w:jc w:val="left"/>
        <w:rPr>
          <w:rFonts w:ascii="宋体"/>
          <w:szCs w:val="21"/>
        </w:rPr>
      </w:pPr>
      <w:r>
        <w:rPr>
          <w:rFonts w:hint="eastAsia" w:ascii="宋体"/>
          <w:szCs w:val="21"/>
        </w:rPr>
        <w:t>42. 中标通知书</w:t>
      </w:r>
    </w:p>
    <w:p w14:paraId="0978A1CB">
      <w:pPr>
        <w:spacing w:line="440" w:lineRule="exact"/>
        <w:ind w:firstLine="213" w:firstLineChars="100"/>
        <w:jc w:val="left"/>
        <w:rPr>
          <w:rFonts w:ascii="宋体"/>
          <w:szCs w:val="21"/>
        </w:rPr>
      </w:pPr>
      <w:r>
        <w:rPr>
          <w:rFonts w:hint="eastAsia" w:ascii="宋体"/>
          <w:szCs w:val="21"/>
        </w:rPr>
        <w:t>42.1</w:t>
      </w:r>
      <w:r>
        <w:rPr>
          <w:rFonts w:hint="eastAsia" w:ascii="宋体" w:hAnsi="宋体"/>
          <w:szCs w:val="21"/>
        </w:rPr>
        <w:t>在中标通知书发出前，招标人将中标侯选人的情况在克州公共资源交易中心网、新疆政府采购网予以公示，</w:t>
      </w:r>
      <w:r>
        <w:rPr>
          <w:rFonts w:hint="eastAsia" w:ascii="宋体" w:hAnsi="宋体"/>
          <w:b/>
          <w:bCs/>
          <w:szCs w:val="21"/>
        </w:rPr>
        <w:t>公示期为一个工作日。待公示期结束后，</w:t>
      </w:r>
      <w:r>
        <w:rPr>
          <w:rFonts w:hint="eastAsia" w:ascii="宋体"/>
          <w:szCs w:val="21"/>
        </w:rPr>
        <w:t>采购组织机构向中标人发出中标通知书。</w:t>
      </w:r>
    </w:p>
    <w:p w14:paraId="5828EEDF">
      <w:pPr>
        <w:spacing w:line="440" w:lineRule="exact"/>
        <w:ind w:firstLine="213" w:firstLineChars="100"/>
        <w:jc w:val="left"/>
        <w:rPr>
          <w:rFonts w:ascii="宋体"/>
          <w:szCs w:val="21"/>
        </w:rPr>
      </w:pPr>
      <w:r>
        <w:rPr>
          <w:rFonts w:hint="eastAsia" w:ascii="宋体"/>
          <w:szCs w:val="21"/>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34FE8194">
      <w:pPr>
        <w:spacing w:before="162" w:beforeLines="50" w:line="440" w:lineRule="exact"/>
        <w:jc w:val="center"/>
        <w:outlineLvl w:val="2"/>
        <w:rPr>
          <w:rFonts w:ascii="黑体" w:eastAsia="黑体"/>
          <w:sz w:val="24"/>
        </w:rPr>
      </w:pPr>
      <w:r>
        <w:rPr>
          <w:rFonts w:hint="eastAsia" w:ascii="黑体" w:eastAsia="黑体"/>
          <w:sz w:val="28"/>
          <w:szCs w:val="28"/>
        </w:rPr>
        <w:t>（六）合同的授予</w:t>
      </w:r>
      <w:bookmarkEnd w:id="45"/>
    </w:p>
    <w:p w14:paraId="2B318B92">
      <w:pPr>
        <w:spacing w:line="440" w:lineRule="exact"/>
        <w:ind w:firstLine="213" w:firstLineChars="100"/>
        <w:jc w:val="left"/>
        <w:rPr>
          <w:rFonts w:ascii="宋体"/>
          <w:szCs w:val="21"/>
        </w:rPr>
      </w:pPr>
      <w:bookmarkStart w:id="46" w:name="_Toc73975842"/>
      <w:bookmarkStart w:id="47" w:name="_Toc469495730"/>
      <w:r>
        <w:rPr>
          <w:rFonts w:hint="eastAsia" w:ascii="宋体"/>
          <w:szCs w:val="21"/>
        </w:rPr>
        <w:t>43．履约保证金</w:t>
      </w:r>
      <w:bookmarkEnd w:id="46"/>
    </w:p>
    <w:p w14:paraId="2B40B8FE">
      <w:pPr>
        <w:spacing w:line="440" w:lineRule="exact"/>
        <w:ind w:firstLine="213" w:firstLineChars="100"/>
        <w:jc w:val="left"/>
        <w:rPr>
          <w:rFonts w:ascii="宋体"/>
          <w:szCs w:val="21"/>
        </w:rPr>
      </w:pPr>
      <w:r>
        <w:rPr>
          <w:rFonts w:hint="eastAsia" w:ascii="宋体"/>
          <w:szCs w:val="21"/>
        </w:rPr>
        <w:t>43.1 中标供应商在签订合同后5个工作日内向采购人交纳中标价</w:t>
      </w:r>
      <w:r>
        <w:rPr>
          <w:rFonts w:hint="eastAsia" w:ascii="宋体"/>
          <w:szCs w:val="21"/>
          <w:lang w:val="en-US" w:eastAsia="zh-CN"/>
        </w:rPr>
        <w:t>5</w:t>
      </w:r>
      <w:r>
        <w:rPr>
          <w:rFonts w:hint="eastAsia" w:ascii="宋体"/>
          <w:szCs w:val="21"/>
        </w:rPr>
        <w:t>%的履约保证金（基本户开户行出具的履约保函形式提交；若以电汇、银行转账方式提交的，必须转到采购人的指定账户）。</w:t>
      </w:r>
    </w:p>
    <w:p w14:paraId="4B4379A6">
      <w:pPr>
        <w:spacing w:line="440" w:lineRule="exact"/>
        <w:ind w:firstLine="213" w:firstLineChars="100"/>
        <w:jc w:val="left"/>
        <w:rPr>
          <w:rFonts w:ascii="宋体"/>
          <w:szCs w:val="21"/>
        </w:rPr>
      </w:pPr>
      <w:r>
        <w:rPr>
          <w:rFonts w:hint="eastAsia" w:ascii="宋体"/>
          <w:szCs w:val="21"/>
        </w:rPr>
        <w:t>43.2 签订合同后，如中标供应商不按合同约定履约的，履约保证金不予退还，履约保证金不足以赔偿损失的，按实际损失赔偿。</w:t>
      </w:r>
    </w:p>
    <w:p w14:paraId="5ADD6FD9">
      <w:pPr>
        <w:spacing w:line="440" w:lineRule="exact"/>
        <w:ind w:firstLine="213" w:firstLineChars="100"/>
        <w:jc w:val="left"/>
        <w:rPr>
          <w:rFonts w:ascii="宋体"/>
          <w:szCs w:val="21"/>
        </w:rPr>
      </w:pPr>
      <w:r>
        <w:rPr>
          <w:rFonts w:hint="eastAsia" w:ascii="宋体"/>
          <w:szCs w:val="21"/>
        </w:rPr>
        <w:t>43.3 如果中标供应商在</w:t>
      </w:r>
      <w:r>
        <w:rPr>
          <w:rFonts w:hint="eastAsia" w:ascii="宋体"/>
          <w:szCs w:val="21"/>
          <w:lang w:val="en-US" w:eastAsia="zh-CN"/>
        </w:rPr>
        <w:t>项目实施期</w:t>
      </w:r>
      <w:r>
        <w:rPr>
          <w:rFonts w:hint="eastAsia" w:ascii="宋体"/>
          <w:szCs w:val="21"/>
        </w:rPr>
        <w:t>内没有涉及采购人的应付而未付金额或违约行为，采购人在项目验收合格后或提前终止合同后全额无息退还履约保证金。</w:t>
      </w:r>
    </w:p>
    <w:p w14:paraId="27D19980">
      <w:pPr>
        <w:spacing w:line="440" w:lineRule="exact"/>
        <w:ind w:firstLine="213" w:firstLineChars="100"/>
        <w:jc w:val="left"/>
        <w:rPr>
          <w:rFonts w:ascii="宋体"/>
          <w:szCs w:val="21"/>
        </w:rPr>
      </w:pPr>
      <w:bookmarkStart w:id="48" w:name="_Toc73975843"/>
      <w:r>
        <w:rPr>
          <w:rFonts w:hint="eastAsia" w:ascii="宋体"/>
          <w:szCs w:val="21"/>
        </w:rPr>
        <w:t>44．签订合同及公告</w:t>
      </w:r>
      <w:bookmarkEnd w:id="48"/>
    </w:p>
    <w:p w14:paraId="506F1BA0">
      <w:pPr>
        <w:spacing w:line="440" w:lineRule="exact"/>
        <w:ind w:firstLine="213" w:firstLineChars="100"/>
        <w:jc w:val="left"/>
        <w:rPr>
          <w:rFonts w:ascii="宋体"/>
          <w:szCs w:val="21"/>
        </w:rPr>
      </w:pPr>
      <w:r>
        <w:rPr>
          <w:rFonts w:hint="eastAsia" w:ascii="宋体"/>
          <w:szCs w:val="21"/>
        </w:rPr>
        <w:t>44.1采购人在中标通知书发出之日起30日内与中标供应商签订合同。</w:t>
      </w:r>
    </w:p>
    <w:p w14:paraId="68447954">
      <w:pPr>
        <w:spacing w:line="440" w:lineRule="exact"/>
        <w:ind w:firstLine="213" w:firstLineChars="100"/>
        <w:jc w:val="left"/>
        <w:rPr>
          <w:rFonts w:ascii="宋体"/>
          <w:szCs w:val="21"/>
        </w:rPr>
      </w:pPr>
      <w:r>
        <w:rPr>
          <w:rFonts w:hint="eastAsia" w:ascii="宋体"/>
          <w:szCs w:val="21"/>
        </w:rPr>
        <w:t>44.2中标供应商拖延、拒签合同的,取消中标资格。</w:t>
      </w:r>
    </w:p>
    <w:p w14:paraId="567C92D6">
      <w:pPr>
        <w:spacing w:line="440" w:lineRule="exact"/>
        <w:ind w:firstLine="213" w:firstLineChars="100"/>
        <w:jc w:val="left"/>
        <w:rPr>
          <w:rFonts w:ascii="宋体"/>
          <w:szCs w:val="21"/>
        </w:rPr>
      </w:pPr>
      <w:r>
        <w:rPr>
          <w:rFonts w:hint="eastAsia" w:ascii="宋体"/>
          <w:szCs w:val="21"/>
        </w:rPr>
        <w:t>44.3 采购文件、中标供应商的投标文件及评标过程中有关澄清文件等均作为签订合同的依据。所签订的合同不得对采购文件和中标供应商的投标文件的内容作实质性修改。</w:t>
      </w:r>
    </w:p>
    <w:p w14:paraId="201608BB">
      <w:pPr>
        <w:spacing w:line="440" w:lineRule="exact"/>
        <w:ind w:firstLine="213" w:firstLineChars="100"/>
        <w:jc w:val="left"/>
        <w:rPr>
          <w:rFonts w:ascii="宋体"/>
          <w:szCs w:val="21"/>
        </w:rPr>
      </w:pPr>
      <w:r>
        <w:rPr>
          <w:rFonts w:hint="eastAsia" w:ascii="宋体"/>
          <w:szCs w:val="21"/>
        </w:rPr>
        <w:t>44.4采购人应当自政府采购合同签订之日起2个工作日内，在省级以上财政部门指定的政府采购信息发布媒体及相关网站上公告。</w:t>
      </w:r>
    </w:p>
    <w:p w14:paraId="13BCBADB">
      <w:pPr>
        <w:spacing w:line="440" w:lineRule="exact"/>
        <w:ind w:firstLine="213" w:firstLineChars="100"/>
        <w:jc w:val="left"/>
        <w:rPr>
          <w:rFonts w:ascii="宋体"/>
          <w:szCs w:val="21"/>
        </w:rPr>
      </w:pPr>
      <w:r>
        <w:rPr>
          <w:rFonts w:hint="eastAsia" w:ascii="宋体"/>
          <w:szCs w:val="21"/>
        </w:rPr>
        <w:t>44.5采购人应当自政府采购合同签订之日起7个工作日内，将政府采购合同副本报同级人民政府财政部门备案以及采购代理机构存档。</w:t>
      </w:r>
    </w:p>
    <w:p w14:paraId="235E531B">
      <w:pPr>
        <w:adjustRightInd w:val="0"/>
        <w:snapToGrid w:val="0"/>
        <w:spacing w:line="440" w:lineRule="exact"/>
        <w:jc w:val="center"/>
        <w:outlineLvl w:val="2"/>
        <w:rPr>
          <w:rFonts w:ascii="黑体" w:eastAsia="黑体"/>
          <w:sz w:val="28"/>
          <w:szCs w:val="28"/>
        </w:rPr>
      </w:pPr>
      <w:r>
        <w:rPr>
          <w:rFonts w:hint="eastAsia" w:ascii="黑体" w:eastAsia="黑体"/>
          <w:sz w:val="28"/>
          <w:szCs w:val="28"/>
        </w:rPr>
        <w:t>（七）纪律和监督</w:t>
      </w:r>
      <w:bookmarkEnd w:id="47"/>
    </w:p>
    <w:p w14:paraId="66430F4D">
      <w:pPr>
        <w:spacing w:line="440" w:lineRule="exact"/>
        <w:ind w:firstLine="312" w:firstLineChars="147"/>
        <w:jc w:val="left"/>
        <w:rPr>
          <w:rFonts w:ascii="宋体"/>
          <w:b/>
          <w:szCs w:val="21"/>
        </w:rPr>
      </w:pPr>
      <w:r>
        <w:rPr>
          <w:rFonts w:hint="eastAsia" w:ascii="宋体"/>
          <w:b/>
          <w:szCs w:val="21"/>
        </w:rPr>
        <w:t xml:space="preserve">45. 对招标人的纪律要求 </w:t>
      </w:r>
    </w:p>
    <w:p w14:paraId="6F096930">
      <w:pPr>
        <w:adjustRightInd w:val="0"/>
        <w:snapToGrid w:val="0"/>
        <w:spacing w:line="440" w:lineRule="exact"/>
        <w:ind w:firstLine="319" w:firstLineChars="150"/>
        <w:rPr>
          <w:rFonts w:ascii="宋体"/>
          <w:kern w:val="10"/>
          <w:szCs w:val="21"/>
        </w:rPr>
      </w:pPr>
      <w:r>
        <w:rPr>
          <w:rFonts w:hint="eastAsia" w:ascii="宋体"/>
          <w:kern w:val="10"/>
          <w:szCs w:val="21"/>
        </w:rPr>
        <w:t xml:space="preserve">45.1招标人不得泄漏招标投标活动中应当保密的情况和资料，不得与投标人串通损害国家利益，社会公共利益或者他人合法权益。 </w:t>
      </w:r>
    </w:p>
    <w:p w14:paraId="3B3A1396">
      <w:pPr>
        <w:spacing w:line="440" w:lineRule="exact"/>
        <w:ind w:firstLine="312" w:firstLineChars="147"/>
        <w:jc w:val="left"/>
        <w:rPr>
          <w:rFonts w:ascii="宋体"/>
          <w:b/>
          <w:szCs w:val="21"/>
        </w:rPr>
      </w:pPr>
      <w:r>
        <w:rPr>
          <w:rFonts w:hint="eastAsia" w:ascii="宋体"/>
          <w:b/>
          <w:szCs w:val="21"/>
        </w:rPr>
        <w:t xml:space="preserve">46. 对投标人的纪律要求 </w:t>
      </w:r>
    </w:p>
    <w:p w14:paraId="2A642102">
      <w:pPr>
        <w:adjustRightInd w:val="0"/>
        <w:snapToGrid w:val="0"/>
        <w:spacing w:line="440" w:lineRule="exact"/>
        <w:ind w:firstLine="319" w:firstLineChars="150"/>
        <w:rPr>
          <w:rFonts w:ascii="宋体"/>
          <w:kern w:val="10"/>
          <w:szCs w:val="21"/>
        </w:rPr>
      </w:pPr>
      <w:r>
        <w:rPr>
          <w:rFonts w:hint="eastAsia" w:ascii="宋体"/>
          <w:kern w:val="10"/>
          <w:szCs w:val="21"/>
        </w:rPr>
        <w:t>46.1投标人不得相互串通投标或者与招标人串通投标，不得向招标人或者评标委员会成员行贿谋取中标，不得以他人名义投标或者以其他方式弄虚作假骗取中标；投标人不得以任何方式干扰、影响评标工作。</w:t>
      </w:r>
    </w:p>
    <w:p w14:paraId="0B61A165">
      <w:pPr>
        <w:spacing w:line="440" w:lineRule="exact"/>
        <w:ind w:firstLine="312" w:firstLineChars="147"/>
        <w:jc w:val="left"/>
        <w:rPr>
          <w:rFonts w:ascii="宋体"/>
          <w:b/>
          <w:szCs w:val="21"/>
        </w:rPr>
      </w:pPr>
      <w:r>
        <w:rPr>
          <w:rFonts w:hint="eastAsia" w:ascii="宋体"/>
          <w:b/>
          <w:szCs w:val="21"/>
        </w:rPr>
        <w:t xml:space="preserve">47. 对评标委员会成员的纪律要求 </w:t>
      </w:r>
    </w:p>
    <w:p w14:paraId="7CA00BF9">
      <w:pPr>
        <w:adjustRightInd w:val="0"/>
        <w:snapToGrid w:val="0"/>
        <w:spacing w:line="440" w:lineRule="exact"/>
        <w:ind w:firstLine="319" w:firstLineChars="150"/>
        <w:rPr>
          <w:rFonts w:ascii="宋体"/>
          <w:kern w:val="10"/>
          <w:szCs w:val="21"/>
        </w:rPr>
      </w:pPr>
      <w:r>
        <w:rPr>
          <w:rFonts w:hint="eastAsia" w:ascii="宋体"/>
          <w:kern w:val="10"/>
          <w:szCs w:val="21"/>
        </w:rPr>
        <w:t>47.1评标委员会成员不得收受他人的财物或者其他好处，不得向他人透漏对投标文件的评审和比较、中标候选人的推荐情况以及评标有关的其他情况。</w:t>
      </w:r>
    </w:p>
    <w:p w14:paraId="68775A8B">
      <w:pPr>
        <w:adjustRightInd w:val="0"/>
        <w:snapToGrid w:val="0"/>
        <w:spacing w:line="440" w:lineRule="exact"/>
        <w:ind w:firstLine="319" w:firstLineChars="150"/>
        <w:rPr>
          <w:rFonts w:ascii="宋体"/>
          <w:kern w:val="10"/>
          <w:szCs w:val="21"/>
        </w:rPr>
      </w:pPr>
      <w:r>
        <w:rPr>
          <w:rFonts w:hint="eastAsia" w:ascii="宋体"/>
          <w:kern w:val="10"/>
          <w:szCs w:val="21"/>
        </w:rPr>
        <w:t xml:space="preserve">47.2在评标活动中，评标委员会成员不得擅离职守，影响评标程序正常进行，不得使用第三章“评标办法”没有规定的评审因素和标准进行评标。 </w:t>
      </w:r>
    </w:p>
    <w:p w14:paraId="57867B1B">
      <w:pPr>
        <w:spacing w:line="440" w:lineRule="exact"/>
        <w:ind w:firstLine="312" w:firstLineChars="147"/>
        <w:jc w:val="left"/>
        <w:rPr>
          <w:rFonts w:ascii="宋体"/>
          <w:b/>
          <w:szCs w:val="21"/>
        </w:rPr>
      </w:pPr>
      <w:r>
        <w:rPr>
          <w:rFonts w:hint="eastAsia" w:ascii="宋体"/>
          <w:b/>
          <w:szCs w:val="21"/>
        </w:rPr>
        <w:t xml:space="preserve">48. 对与评标活动有关的工作人员的纪律要求 </w:t>
      </w:r>
    </w:p>
    <w:p w14:paraId="5BC88B11">
      <w:pPr>
        <w:adjustRightInd w:val="0"/>
        <w:snapToGrid w:val="0"/>
        <w:spacing w:line="440" w:lineRule="exact"/>
        <w:ind w:firstLine="319" w:firstLineChars="150"/>
        <w:rPr>
          <w:rFonts w:ascii="宋体"/>
          <w:kern w:val="10"/>
          <w:szCs w:val="21"/>
        </w:rPr>
      </w:pPr>
      <w:r>
        <w:rPr>
          <w:rFonts w:hint="eastAsia" w:ascii="宋体"/>
          <w:kern w:val="10"/>
          <w:szCs w:val="21"/>
        </w:rPr>
        <w:t>48.1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E426A5C">
      <w:pPr>
        <w:spacing w:before="162" w:beforeLines="50" w:after="162" w:afterLines="50" w:line="500" w:lineRule="exact"/>
        <w:ind w:firstLine="849" w:firstLineChars="300"/>
        <w:jc w:val="center"/>
        <w:rPr>
          <w:rFonts w:hint="eastAsia" w:ascii="黑体" w:eastAsia="黑体"/>
          <w:sz w:val="28"/>
          <w:szCs w:val="28"/>
        </w:rPr>
      </w:pPr>
    </w:p>
    <w:p w14:paraId="26B88CE7">
      <w:pPr>
        <w:spacing w:before="162" w:beforeLines="50" w:after="162" w:afterLines="50" w:line="500" w:lineRule="exact"/>
        <w:ind w:firstLine="849" w:firstLineChars="300"/>
        <w:jc w:val="center"/>
        <w:rPr>
          <w:rFonts w:hint="eastAsia" w:ascii="黑体" w:eastAsia="黑体"/>
          <w:sz w:val="28"/>
          <w:szCs w:val="28"/>
        </w:rPr>
      </w:pPr>
    </w:p>
    <w:p w14:paraId="13F7406D">
      <w:pPr>
        <w:spacing w:before="162" w:beforeLines="50" w:after="162" w:afterLines="50" w:line="500" w:lineRule="exact"/>
        <w:ind w:firstLine="849" w:firstLineChars="300"/>
        <w:jc w:val="center"/>
        <w:rPr>
          <w:rFonts w:ascii="黑体" w:hAnsi="宋体" w:eastAsia="黑体"/>
          <w:sz w:val="28"/>
          <w:szCs w:val="28"/>
        </w:rPr>
      </w:pPr>
      <w:r>
        <w:rPr>
          <w:rFonts w:hint="eastAsia" w:ascii="黑体" w:eastAsia="黑体"/>
          <w:sz w:val="28"/>
          <w:szCs w:val="28"/>
        </w:rPr>
        <w:t>（八）</w:t>
      </w:r>
      <w:r>
        <w:rPr>
          <w:rFonts w:hint="eastAsia" w:ascii="黑体" w:hAnsi="宋体" w:eastAsia="黑体"/>
          <w:sz w:val="28"/>
          <w:szCs w:val="28"/>
        </w:rPr>
        <w:t>质疑与投诉</w:t>
      </w:r>
    </w:p>
    <w:p w14:paraId="641CC81E">
      <w:pPr>
        <w:spacing w:line="440" w:lineRule="exact"/>
        <w:ind w:firstLine="213" w:firstLineChars="100"/>
        <w:jc w:val="left"/>
        <w:rPr>
          <w:rFonts w:ascii="宋体"/>
          <w:szCs w:val="21"/>
        </w:rPr>
      </w:pPr>
      <w:r>
        <w:rPr>
          <w:rFonts w:hint="eastAsia" w:ascii="宋体"/>
          <w:szCs w:val="21"/>
        </w:rPr>
        <w:t>49．质疑和投诉</w:t>
      </w:r>
    </w:p>
    <w:p w14:paraId="23303B99">
      <w:pPr>
        <w:spacing w:line="440" w:lineRule="exact"/>
        <w:ind w:firstLine="213" w:firstLineChars="100"/>
        <w:jc w:val="left"/>
        <w:rPr>
          <w:rFonts w:ascii="宋体"/>
          <w:szCs w:val="21"/>
        </w:rPr>
      </w:pPr>
      <w:r>
        <w:rPr>
          <w:rFonts w:hint="eastAsia" w:ascii="宋体"/>
          <w:szCs w:val="21"/>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3C808C2">
      <w:pPr>
        <w:spacing w:line="440" w:lineRule="exact"/>
        <w:ind w:firstLine="213" w:firstLineChars="100"/>
        <w:jc w:val="left"/>
        <w:rPr>
          <w:rFonts w:ascii="宋体"/>
          <w:szCs w:val="21"/>
        </w:rPr>
      </w:pPr>
      <w:r>
        <w:rPr>
          <w:rFonts w:hint="eastAsia" w:ascii="宋体"/>
          <w:szCs w:val="21"/>
        </w:rPr>
        <w:t>（一）对可以质疑的采购文件提出质疑的，为收到采购文件之日或者采购文件公告期限届满之日；</w:t>
      </w:r>
    </w:p>
    <w:p w14:paraId="582A6772">
      <w:pPr>
        <w:spacing w:line="440" w:lineRule="exact"/>
        <w:ind w:firstLine="213" w:firstLineChars="100"/>
        <w:jc w:val="left"/>
        <w:rPr>
          <w:rFonts w:ascii="宋体"/>
          <w:szCs w:val="21"/>
        </w:rPr>
      </w:pPr>
      <w:r>
        <w:rPr>
          <w:rFonts w:hint="eastAsia" w:ascii="宋体"/>
          <w:szCs w:val="21"/>
        </w:rPr>
        <w:t>（二）对采购过程提出质疑的，为各采购程序环节结束之日；</w:t>
      </w:r>
    </w:p>
    <w:p w14:paraId="52B4D4D5">
      <w:pPr>
        <w:spacing w:line="440" w:lineRule="exact"/>
        <w:ind w:firstLine="213" w:firstLineChars="100"/>
        <w:jc w:val="left"/>
        <w:rPr>
          <w:rFonts w:ascii="宋体"/>
          <w:szCs w:val="21"/>
        </w:rPr>
      </w:pPr>
      <w:r>
        <w:rPr>
          <w:rFonts w:hint="eastAsia" w:ascii="宋体"/>
          <w:szCs w:val="21"/>
        </w:rPr>
        <w:t>（三）对中标或者成交结果提出质疑的，为中标或者成交结果公告期限届满之日。</w:t>
      </w:r>
    </w:p>
    <w:p w14:paraId="5A291BFE">
      <w:pPr>
        <w:spacing w:line="440" w:lineRule="exact"/>
        <w:ind w:firstLine="213" w:firstLineChars="100"/>
        <w:jc w:val="left"/>
        <w:rPr>
          <w:rFonts w:ascii="宋体"/>
          <w:szCs w:val="21"/>
        </w:rPr>
      </w:pPr>
      <w:r>
        <w:rPr>
          <w:rFonts w:hint="eastAsia" w:ascii="宋体"/>
          <w:szCs w:val="21"/>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63105CC4">
      <w:pPr>
        <w:spacing w:line="440" w:lineRule="exact"/>
        <w:ind w:firstLine="213" w:firstLineChars="100"/>
        <w:jc w:val="left"/>
        <w:rPr>
          <w:rFonts w:ascii="宋体"/>
          <w:szCs w:val="21"/>
        </w:rPr>
      </w:pPr>
      <w:r>
        <w:rPr>
          <w:rFonts w:hint="eastAsia" w:ascii="宋体"/>
          <w:szCs w:val="21"/>
        </w:rPr>
        <w:t>供应商为自然人的，应当由本人签字；供应商为法人或者其他组织的，应当由法定代表人、主要负责人，或者其授权代表签字或者盖章，并加盖公章。</w:t>
      </w:r>
    </w:p>
    <w:p w14:paraId="69E76B09">
      <w:pPr>
        <w:spacing w:line="440" w:lineRule="exact"/>
        <w:ind w:firstLine="213" w:firstLineChars="100"/>
        <w:jc w:val="left"/>
        <w:rPr>
          <w:rFonts w:ascii="宋体"/>
          <w:szCs w:val="21"/>
        </w:rPr>
      </w:pPr>
      <w:r>
        <w:rPr>
          <w:rFonts w:hint="eastAsia" w:ascii="宋体"/>
          <w:szCs w:val="21"/>
        </w:rPr>
        <w:t>49.3供应商质疑、投诉应当有明确的请求和必要的证明材料。供应商投诉的事项不得超出已质疑事项的范围。采购人及采购代理机构按《政府采购质疑和投诉办法》进行处理供应商质疑事项。</w:t>
      </w:r>
    </w:p>
    <w:p w14:paraId="0CCACB84">
      <w:pPr>
        <w:spacing w:line="440" w:lineRule="exact"/>
        <w:ind w:firstLine="213" w:firstLineChars="100"/>
        <w:jc w:val="left"/>
        <w:rPr>
          <w:rFonts w:ascii="宋体"/>
          <w:szCs w:val="21"/>
        </w:rPr>
      </w:pPr>
      <w:r>
        <w:rPr>
          <w:rFonts w:hint="eastAsia" w:ascii="宋体"/>
          <w:szCs w:val="21"/>
        </w:rPr>
        <w:t>49.4质疑供应商对采购人、采购代理机构的质疑答复不满意，或者采购人、采购代理机构未在规定期限内作出答复的，供应商可以在答复期满后15个工作日内向同级财政部门提起投诉。</w:t>
      </w:r>
    </w:p>
    <w:p w14:paraId="735C0327">
      <w:pPr>
        <w:spacing w:line="440" w:lineRule="exact"/>
        <w:ind w:firstLine="213" w:firstLineChars="100"/>
        <w:jc w:val="left"/>
        <w:rPr>
          <w:rFonts w:ascii="宋体"/>
          <w:szCs w:val="21"/>
        </w:rPr>
      </w:pPr>
      <w:r>
        <w:rPr>
          <w:rFonts w:hint="eastAsia" w:ascii="宋体"/>
          <w:szCs w:val="21"/>
        </w:rPr>
        <w:t>49.5供应商有下列情形之一的，将其列入不良行为记录名单：</w:t>
      </w:r>
    </w:p>
    <w:p w14:paraId="1527BD20">
      <w:pPr>
        <w:spacing w:line="380" w:lineRule="exact"/>
        <w:ind w:firstLine="213" w:firstLineChars="100"/>
        <w:jc w:val="left"/>
        <w:rPr>
          <w:rFonts w:ascii="宋体"/>
          <w:szCs w:val="21"/>
        </w:rPr>
      </w:pPr>
      <w:r>
        <w:rPr>
          <w:rFonts w:hint="eastAsia" w:ascii="宋体"/>
          <w:szCs w:val="21"/>
        </w:rPr>
        <w:t>（一）一年内三次以上质疑均查无实据的；</w:t>
      </w:r>
    </w:p>
    <w:p w14:paraId="3CB85232">
      <w:pPr>
        <w:spacing w:line="380" w:lineRule="exact"/>
        <w:ind w:firstLine="213" w:firstLineChars="100"/>
        <w:jc w:val="left"/>
        <w:rPr>
          <w:rFonts w:ascii="宋体"/>
          <w:szCs w:val="21"/>
        </w:rPr>
      </w:pPr>
      <w:r>
        <w:rPr>
          <w:rFonts w:hint="eastAsia" w:ascii="宋体"/>
          <w:szCs w:val="21"/>
        </w:rPr>
        <w:t>（二）捏造事实或者提供虚假质疑材料的。</w:t>
      </w:r>
    </w:p>
    <w:p w14:paraId="6660388D">
      <w:pPr>
        <w:spacing w:line="380" w:lineRule="exact"/>
        <w:ind w:firstLine="213" w:firstLineChars="100"/>
        <w:jc w:val="left"/>
        <w:rPr>
          <w:rFonts w:ascii="宋体" w:hAnsi="宋体"/>
          <w:b/>
          <w:bCs/>
          <w:szCs w:val="21"/>
        </w:rPr>
      </w:pPr>
      <w:r>
        <w:rPr>
          <w:rFonts w:hint="eastAsia" w:ascii="宋体"/>
          <w:szCs w:val="21"/>
        </w:rPr>
        <w:t>（三）以非法手段取得证明材料。证据来源的合法性存在明显疑问，质疑人无法证明其取得方式合法的，视为以非法手段取得证明材料。</w:t>
      </w:r>
    </w:p>
    <w:p w14:paraId="2F8907FC">
      <w:pPr>
        <w:rPr>
          <w:rFonts w:ascii="宋体" w:hAnsi="宋体"/>
          <w:b/>
          <w:bCs/>
          <w:szCs w:val="21"/>
        </w:rPr>
      </w:pPr>
    </w:p>
    <w:p w14:paraId="44D68F87">
      <w:pPr>
        <w:jc w:val="left"/>
        <w:rPr>
          <w:rFonts w:hint="eastAsia" w:ascii="宋体" w:hAnsi="宋体"/>
          <w:b/>
          <w:bCs/>
          <w:szCs w:val="21"/>
        </w:rPr>
      </w:pPr>
    </w:p>
    <w:p w14:paraId="52BD1346">
      <w:pPr>
        <w:rPr>
          <w:rFonts w:hint="eastAsia" w:ascii="宋体" w:hAnsi="宋体"/>
          <w:b/>
          <w:bCs/>
          <w:szCs w:val="21"/>
        </w:rPr>
      </w:pPr>
    </w:p>
    <w:p w14:paraId="17637AF9">
      <w:pPr>
        <w:rPr>
          <w:rFonts w:hint="eastAsia" w:ascii="宋体" w:hAnsi="宋体"/>
          <w:b/>
          <w:bCs/>
          <w:szCs w:val="21"/>
        </w:rPr>
      </w:pPr>
    </w:p>
    <w:p w14:paraId="07595D57">
      <w:pPr>
        <w:rPr>
          <w:rFonts w:hint="eastAsia" w:ascii="宋体" w:hAnsi="宋体"/>
          <w:b/>
          <w:bCs/>
          <w:szCs w:val="21"/>
        </w:rPr>
      </w:pPr>
    </w:p>
    <w:p w14:paraId="1E289A0B">
      <w:pPr>
        <w:rPr>
          <w:rFonts w:hint="eastAsia" w:ascii="宋体" w:hAnsi="宋体"/>
          <w:b/>
          <w:bCs/>
          <w:szCs w:val="21"/>
        </w:rPr>
      </w:pPr>
    </w:p>
    <w:p w14:paraId="4274DF6A">
      <w:pPr>
        <w:rPr>
          <w:rFonts w:hint="eastAsia" w:ascii="宋体" w:hAnsi="宋体"/>
          <w:b/>
          <w:bCs/>
          <w:szCs w:val="21"/>
        </w:rPr>
      </w:pPr>
    </w:p>
    <w:p w14:paraId="7D8C991C">
      <w:pPr>
        <w:rPr>
          <w:rFonts w:ascii="宋体" w:hAnsi="宋体"/>
          <w:b/>
          <w:bCs/>
          <w:szCs w:val="21"/>
        </w:rPr>
      </w:pPr>
      <w:r>
        <w:rPr>
          <w:rFonts w:hint="eastAsia" w:ascii="宋体" w:hAnsi="宋体"/>
          <w:b/>
          <w:bCs/>
          <w:szCs w:val="21"/>
        </w:rPr>
        <w:t>附件：</w:t>
      </w:r>
    </w:p>
    <w:p w14:paraId="099CC6F8">
      <w:pPr>
        <w:jc w:val="center"/>
        <w:rPr>
          <w:rFonts w:ascii="宋体" w:hAnsi="宋体"/>
          <w:b/>
          <w:bCs/>
          <w:sz w:val="28"/>
          <w:szCs w:val="28"/>
        </w:rPr>
      </w:pPr>
      <w:r>
        <w:rPr>
          <w:rFonts w:hint="eastAsia" w:ascii="宋体" w:hAnsi="宋体"/>
          <w:b/>
          <w:bCs/>
          <w:sz w:val="32"/>
          <w:szCs w:val="32"/>
        </w:rPr>
        <w:t>政府采购投诉书（范本）、质疑函范本</w:t>
      </w:r>
    </w:p>
    <w:p w14:paraId="1A7D7BD8">
      <w:pPr>
        <w:spacing w:line="400" w:lineRule="exact"/>
        <w:rPr>
          <w:rFonts w:ascii="宋体" w:hAnsi="宋体"/>
          <w:szCs w:val="21"/>
        </w:rPr>
      </w:pPr>
      <w:r>
        <w:rPr>
          <w:rFonts w:hint="eastAsia" w:ascii="宋体" w:hAnsi="宋体"/>
          <w:szCs w:val="21"/>
        </w:rPr>
        <w:t>投诉人：</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法定代表人：</w:t>
      </w:r>
      <w:r>
        <w:rPr>
          <w:rFonts w:hint="eastAsia" w:ascii="宋体" w:hAnsi="宋体"/>
          <w:szCs w:val="21"/>
          <w:u w:val="single"/>
        </w:rPr>
        <w:t xml:space="preserve">          </w:t>
      </w:r>
      <w:r>
        <w:rPr>
          <w:rFonts w:hint="eastAsia" w:ascii="宋体" w:hAnsi="宋体"/>
          <w:szCs w:val="21"/>
        </w:rPr>
        <w:t xml:space="preserve">  </w:t>
      </w:r>
    </w:p>
    <w:p w14:paraId="2A9DA479">
      <w:pPr>
        <w:spacing w:line="400" w:lineRule="exact"/>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xml:space="preserve">           电话：</w:t>
      </w:r>
      <w:r>
        <w:rPr>
          <w:rFonts w:hint="eastAsia" w:ascii="宋体" w:hAnsi="宋体"/>
          <w:szCs w:val="21"/>
          <w:u w:val="single"/>
        </w:rPr>
        <w:t xml:space="preserve">               </w:t>
      </w:r>
      <w:r>
        <w:rPr>
          <w:rFonts w:hint="eastAsia" w:ascii="宋体" w:hAnsi="宋体"/>
          <w:szCs w:val="21"/>
        </w:rPr>
        <w:t xml:space="preserve">  </w:t>
      </w:r>
    </w:p>
    <w:p w14:paraId="2A312820">
      <w:pPr>
        <w:spacing w:line="400" w:lineRule="exact"/>
        <w:rPr>
          <w:rFonts w:ascii="宋体" w:hAnsi="宋体"/>
          <w:szCs w:val="21"/>
        </w:rPr>
      </w:pPr>
      <w:r>
        <w:rPr>
          <w:rFonts w:hint="eastAsia" w:ascii="宋体" w:hAnsi="宋体"/>
          <w:szCs w:val="21"/>
        </w:rPr>
        <w:t>委托代理人姓名：</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14:paraId="51512683">
      <w:pPr>
        <w:spacing w:line="400" w:lineRule="exact"/>
        <w:rPr>
          <w:rFonts w:ascii="宋体" w:hAnsi="宋体"/>
          <w:szCs w:val="21"/>
        </w:rPr>
      </w:pPr>
      <w:r>
        <w:rPr>
          <w:rFonts w:hint="eastAsia" w:ascii="宋体" w:hAnsi="宋体"/>
          <w:szCs w:val="21"/>
        </w:rPr>
        <w:t>住址：</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联系电话：</w:t>
      </w:r>
      <w:r>
        <w:rPr>
          <w:rFonts w:hint="eastAsia" w:ascii="宋体" w:hAnsi="宋体"/>
          <w:szCs w:val="21"/>
          <w:u w:val="single"/>
        </w:rPr>
        <w:t xml:space="preserve">           </w:t>
      </w:r>
      <w:r>
        <w:rPr>
          <w:rFonts w:hint="eastAsia" w:ascii="宋体" w:hAnsi="宋体"/>
          <w:szCs w:val="21"/>
        </w:rPr>
        <w:t xml:space="preserve">   </w:t>
      </w:r>
    </w:p>
    <w:p w14:paraId="351D5622">
      <w:pPr>
        <w:spacing w:line="400" w:lineRule="exact"/>
        <w:rPr>
          <w:rFonts w:ascii="宋体" w:hAnsi="宋体"/>
          <w:szCs w:val="21"/>
        </w:rPr>
      </w:pPr>
      <w:r>
        <w:rPr>
          <w:rFonts w:hint="eastAsia" w:ascii="宋体" w:hAnsi="宋体"/>
          <w:szCs w:val="21"/>
        </w:rPr>
        <w:t>被投诉人：</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法定代表人：</w:t>
      </w:r>
      <w:r>
        <w:rPr>
          <w:rFonts w:hint="eastAsia" w:ascii="宋体" w:hAnsi="宋体"/>
          <w:szCs w:val="21"/>
          <w:u w:val="single"/>
        </w:rPr>
        <w:t xml:space="preserve">         </w:t>
      </w:r>
    </w:p>
    <w:p w14:paraId="5426BC16">
      <w:pPr>
        <w:spacing w:line="400" w:lineRule="exact"/>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电话：</w:t>
      </w:r>
      <w:r>
        <w:rPr>
          <w:rFonts w:hint="eastAsia" w:ascii="宋体" w:hAnsi="宋体"/>
          <w:szCs w:val="21"/>
          <w:u w:val="single"/>
        </w:rPr>
        <w:t xml:space="preserve">               </w:t>
      </w:r>
    </w:p>
    <w:p w14:paraId="51661E9E">
      <w:pPr>
        <w:spacing w:line="400" w:lineRule="exact"/>
        <w:ind w:firstLine="426" w:firstLineChars="200"/>
        <w:rPr>
          <w:rFonts w:ascii="宋体" w:hAnsi="宋体"/>
          <w:szCs w:val="21"/>
        </w:rPr>
      </w:pPr>
      <w:r>
        <w:rPr>
          <w:rFonts w:hint="eastAsia" w:ascii="宋体" w:hAnsi="宋体"/>
          <w:szCs w:val="21"/>
        </w:rPr>
        <w:t>我公司参加了</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日被投诉人组织的</w:t>
      </w:r>
      <w:r>
        <w:rPr>
          <w:rFonts w:hint="eastAsia" w:ascii="宋体" w:hAnsi="宋体"/>
          <w:szCs w:val="21"/>
          <w:u w:val="single"/>
        </w:rPr>
        <w:t>（采购人）（项目名称）（项目编号）</w:t>
      </w:r>
      <w:r>
        <w:rPr>
          <w:rFonts w:hint="eastAsia" w:ascii="宋体" w:hAnsi="宋体"/>
          <w:szCs w:val="21"/>
        </w:rPr>
        <w:t>的采购活动，我公司认为该项目的</w:t>
      </w:r>
      <w:r>
        <w:rPr>
          <w:rFonts w:hint="eastAsia" w:ascii="宋体" w:hAnsi="宋体"/>
          <w:szCs w:val="21"/>
          <w:u w:val="single"/>
        </w:rPr>
        <w:t>（采购文件/采购过程/中标（中标）结果）</w:t>
      </w:r>
      <w:r>
        <w:rPr>
          <w:rFonts w:hint="eastAsia" w:ascii="宋体" w:hAnsi="宋体"/>
          <w:szCs w:val="21"/>
        </w:rPr>
        <w:t>损害了我公司权益，对此，我公司于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日向</w:t>
      </w:r>
      <w:r>
        <w:rPr>
          <w:rFonts w:hint="eastAsia" w:ascii="宋体" w:hAnsi="宋体"/>
          <w:szCs w:val="21"/>
          <w:u w:val="single"/>
        </w:rPr>
        <w:t>（采购人或者政府采购代理机构）</w:t>
      </w:r>
      <w:r>
        <w:rPr>
          <w:rFonts w:hint="eastAsia" w:ascii="宋体" w:hAnsi="宋体"/>
          <w:szCs w:val="21"/>
        </w:rPr>
        <w:t>提出了质疑，</w:t>
      </w:r>
      <w:r>
        <w:rPr>
          <w:rFonts w:hint="eastAsia" w:ascii="宋体" w:hAnsi="宋体"/>
          <w:szCs w:val="21"/>
          <w:u w:val="single"/>
        </w:rPr>
        <w:t>（其于    年  月  日作出书面答复，因对其作出的答复不满意）/（被质疑人未在法定期内予以答复，按照政府采购有关规定）</w:t>
      </w:r>
      <w:r>
        <w:rPr>
          <w:rFonts w:hint="eastAsia" w:ascii="宋体" w:hAnsi="宋体"/>
          <w:szCs w:val="21"/>
        </w:rPr>
        <w:t>，现向贵机关提起投诉：</w:t>
      </w:r>
    </w:p>
    <w:p w14:paraId="2F2A343E">
      <w:pPr>
        <w:spacing w:line="400" w:lineRule="exact"/>
        <w:ind w:firstLine="426" w:firstLineChars="200"/>
        <w:rPr>
          <w:rFonts w:ascii="宋体" w:hAnsi="宋体"/>
          <w:szCs w:val="21"/>
        </w:rPr>
      </w:pPr>
      <w:r>
        <w:rPr>
          <w:rFonts w:hint="eastAsia" w:ascii="宋体" w:hAnsi="宋体"/>
          <w:szCs w:val="21"/>
        </w:rPr>
        <w:t>1.</w:t>
      </w:r>
      <w:r>
        <w:rPr>
          <w:rFonts w:hint="eastAsia" w:ascii="宋体" w:hAnsi="宋体"/>
          <w:szCs w:val="21"/>
          <w:u w:val="single"/>
        </w:rPr>
        <w:t>具体的投诉事项及事实依据；</w:t>
      </w:r>
    </w:p>
    <w:p w14:paraId="42047BB7">
      <w:pPr>
        <w:spacing w:line="400" w:lineRule="exact"/>
        <w:ind w:firstLine="426" w:firstLineChars="200"/>
        <w:rPr>
          <w:rFonts w:ascii="宋体" w:hAnsi="宋体"/>
          <w:szCs w:val="21"/>
        </w:rPr>
      </w:pPr>
      <w:r>
        <w:rPr>
          <w:rFonts w:hint="eastAsia" w:ascii="宋体" w:hAnsi="宋体"/>
          <w:szCs w:val="21"/>
        </w:rPr>
        <w:t>2.</w:t>
      </w:r>
      <w:r>
        <w:rPr>
          <w:rFonts w:hint="eastAsia" w:ascii="宋体" w:hAnsi="宋体"/>
          <w:szCs w:val="21"/>
          <w:u w:val="single"/>
        </w:rPr>
        <w:t>质疑和质疑答复情况简要描述；</w:t>
      </w:r>
    </w:p>
    <w:p w14:paraId="6E84BE4A">
      <w:pPr>
        <w:spacing w:line="400" w:lineRule="exact"/>
        <w:ind w:firstLine="426" w:firstLineChars="200"/>
        <w:rPr>
          <w:rFonts w:ascii="宋体" w:hAnsi="宋体"/>
          <w:szCs w:val="21"/>
        </w:rPr>
      </w:pPr>
      <w:r>
        <w:rPr>
          <w:rFonts w:hint="eastAsia" w:ascii="宋体" w:hAnsi="宋体"/>
          <w:szCs w:val="21"/>
        </w:rPr>
        <w:t>3.</w:t>
      </w:r>
      <w:r>
        <w:rPr>
          <w:rFonts w:hint="eastAsia" w:ascii="宋体" w:hAnsi="宋体"/>
          <w:szCs w:val="21"/>
          <w:u w:val="single"/>
        </w:rPr>
        <w:t>投诉请求。</w:t>
      </w:r>
    </w:p>
    <w:p w14:paraId="75C6E42B">
      <w:pPr>
        <w:spacing w:line="400" w:lineRule="exact"/>
        <w:rPr>
          <w:rFonts w:ascii="宋体" w:hAnsi="宋体"/>
          <w:szCs w:val="21"/>
        </w:rPr>
      </w:pPr>
      <w:r>
        <w:rPr>
          <w:rFonts w:hint="eastAsia" w:ascii="宋体" w:hAnsi="宋体"/>
          <w:szCs w:val="21"/>
        </w:rPr>
        <w:t>附件：</w:t>
      </w:r>
    </w:p>
    <w:p w14:paraId="0BA1BB2C">
      <w:pPr>
        <w:spacing w:line="400" w:lineRule="exact"/>
        <w:rPr>
          <w:rFonts w:ascii="宋体" w:hAnsi="宋体"/>
          <w:szCs w:val="21"/>
        </w:rPr>
      </w:pPr>
      <w:r>
        <w:rPr>
          <w:rFonts w:hint="eastAsia" w:ascii="宋体" w:hAnsi="宋体"/>
          <w:szCs w:val="21"/>
        </w:rPr>
        <w:t>1.质疑书和质疑答复书；</w:t>
      </w:r>
    </w:p>
    <w:p w14:paraId="2A9AA342">
      <w:pPr>
        <w:spacing w:line="400" w:lineRule="exact"/>
        <w:rPr>
          <w:rFonts w:ascii="宋体" w:hAnsi="宋体"/>
          <w:szCs w:val="21"/>
        </w:rPr>
      </w:pPr>
      <w:r>
        <w:rPr>
          <w:rFonts w:hint="eastAsia" w:ascii="宋体" w:hAnsi="宋体"/>
          <w:szCs w:val="21"/>
        </w:rPr>
        <w:t>2.证据材料（需注明证据来源），证人的姓名、住址和联系方式等；</w:t>
      </w:r>
    </w:p>
    <w:p w14:paraId="7BF5A085">
      <w:pPr>
        <w:spacing w:line="400" w:lineRule="exact"/>
        <w:rPr>
          <w:rFonts w:ascii="宋体" w:hAnsi="宋体"/>
          <w:szCs w:val="21"/>
        </w:rPr>
      </w:pPr>
      <w:r>
        <w:rPr>
          <w:rFonts w:hint="eastAsia" w:ascii="宋体" w:hAnsi="宋体"/>
          <w:szCs w:val="21"/>
        </w:rPr>
        <w:t>3.营业执照；</w:t>
      </w:r>
    </w:p>
    <w:p w14:paraId="6A37A958">
      <w:pPr>
        <w:spacing w:line="400" w:lineRule="exact"/>
        <w:rPr>
          <w:rFonts w:ascii="宋体" w:hAnsi="宋体"/>
          <w:szCs w:val="21"/>
        </w:rPr>
      </w:pPr>
      <w:r>
        <w:rPr>
          <w:rFonts w:hint="eastAsia" w:ascii="宋体" w:hAnsi="宋体"/>
          <w:szCs w:val="21"/>
        </w:rPr>
        <w:t>4.法定代表人身份证明函</w:t>
      </w:r>
    </w:p>
    <w:p w14:paraId="17090243">
      <w:pPr>
        <w:spacing w:line="400" w:lineRule="exact"/>
        <w:rPr>
          <w:rFonts w:ascii="宋体" w:hAnsi="宋体"/>
          <w:szCs w:val="21"/>
        </w:rPr>
      </w:pPr>
      <w:r>
        <w:rPr>
          <w:rFonts w:hint="eastAsia" w:ascii="宋体" w:hAnsi="宋体"/>
          <w:szCs w:val="21"/>
        </w:rPr>
        <w:t>5.法定代表人授权委托书（包含法定代表人和委托代理人的身份证复印件）；</w:t>
      </w:r>
    </w:p>
    <w:p w14:paraId="747EA864">
      <w:pPr>
        <w:spacing w:line="400" w:lineRule="exact"/>
        <w:rPr>
          <w:rFonts w:ascii="宋体" w:hAnsi="宋体"/>
          <w:szCs w:val="21"/>
        </w:rPr>
      </w:pPr>
      <w:r>
        <w:rPr>
          <w:rFonts w:hint="eastAsia" w:ascii="宋体" w:hAnsi="宋体"/>
          <w:szCs w:val="21"/>
        </w:rPr>
        <w:t>6.政府采购监管部门认为应当提供的其它材料。</w:t>
      </w:r>
    </w:p>
    <w:p w14:paraId="74C2808B">
      <w:pPr>
        <w:spacing w:line="400" w:lineRule="exact"/>
        <w:jc w:val="center"/>
        <w:rPr>
          <w:rFonts w:ascii="宋体" w:hAnsi="宋体"/>
          <w:szCs w:val="21"/>
        </w:rPr>
      </w:pPr>
      <w:r>
        <w:rPr>
          <w:rFonts w:hint="eastAsia" w:ascii="宋体" w:hAnsi="宋体"/>
          <w:szCs w:val="21"/>
        </w:rPr>
        <w:t>投诉供应商：（盖章）</w:t>
      </w:r>
    </w:p>
    <w:p w14:paraId="54246406">
      <w:pPr>
        <w:spacing w:line="400" w:lineRule="exact"/>
        <w:rPr>
          <w:rFonts w:ascii="宋体" w:hAnsi="宋体"/>
          <w:szCs w:val="21"/>
        </w:rPr>
      </w:pPr>
      <w:r>
        <w:rPr>
          <w:rFonts w:hint="eastAsia" w:ascii="宋体" w:hAnsi="宋体"/>
          <w:szCs w:val="21"/>
        </w:rPr>
        <w:t xml:space="preserve">                  法定代表人（或主要负责人）：（签字）</w:t>
      </w:r>
    </w:p>
    <w:p w14:paraId="2A1F2919">
      <w:pPr>
        <w:spacing w:line="400" w:lineRule="exact"/>
        <w:ind w:firstLine="3408" w:firstLineChars="1600"/>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9FE276B">
      <w:pPr>
        <w:spacing w:line="400" w:lineRule="exact"/>
        <w:jc w:val="right"/>
        <w:rPr>
          <w:rFonts w:ascii="宋体" w:hAnsi="宋体"/>
          <w:b/>
          <w:bCs/>
          <w:sz w:val="32"/>
          <w:szCs w:val="32"/>
        </w:rPr>
      </w:pPr>
      <w:r>
        <w:rPr>
          <w:rFonts w:hint="eastAsia" w:ascii="宋体" w:hAnsi="宋体"/>
          <w:szCs w:val="21"/>
        </w:rPr>
        <w:t>本投诉书正本叁份，副本</w:t>
      </w:r>
      <w:r>
        <w:rPr>
          <w:rFonts w:hint="eastAsia" w:ascii="宋体" w:hAnsi="宋体"/>
          <w:szCs w:val="21"/>
          <w:u w:val="single"/>
        </w:rPr>
        <w:t xml:space="preserve">   </w:t>
      </w:r>
      <w:r>
        <w:rPr>
          <w:rFonts w:hint="eastAsia" w:ascii="宋体" w:hAnsi="宋体"/>
          <w:szCs w:val="21"/>
        </w:rPr>
        <w:t>份并附电子文档。</w:t>
      </w:r>
      <w:bookmarkStart w:id="49" w:name="_Toc17515"/>
    </w:p>
    <w:p w14:paraId="223EF156">
      <w:pPr>
        <w:ind w:left="5838" w:hanging="5814" w:hangingChars="1800"/>
        <w:jc w:val="center"/>
        <w:outlineLvl w:val="0"/>
        <w:rPr>
          <w:rFonts w:ascii="宋体" w:hAnsi="宋体"/>
          <w:b/>
          <w:bCs/>
          <w:sz w:val="32"/>
          <w:szCs w:val="32"/>
        </w:rPr>
      </w:pPr>
    </w:p>
    <w:p w14:paraId="0F9E1376">
      <w:pPr>
        <w:rPr>
          <w:rFonts w:hint="eastAsia" w:ascii="宋体" w:hAnsi="宋体"/>
          <w:b/>
          <w:bCs/>
          <w:sz w:val="32"/>
          <w:szCs w:val="32"/>
        </w:rPr>
      </w:pPr>
      <w:r>
        <w:rPr>
          <w:rFonts w:hint="eastAsia" w:ascii="宋体" w:hAnsi="宋体"/>
          <w:b/>
          <w:bCs/>
          <w:sz w:val="32"/>
          <w:szCs w:val="32"/>
        </w:rPr>
        <w:br w:type="page"/>
      </w:r>
    </w:p>
    <w:p w14:paraId="6FB142E4">
      <w:pPr>
        <w:ind w:left="5838" w:hanging="5814" w:hangingChars="1800"/>
        <w:jc w:val="center"/>
        <w:outlineLvl w:val="0"/>
        <w:rPr>
          <w:rFonts w:ascii="宋体" w:hAnsi="宋体"/>
          <w:sz w:val="32"/>
          <w:szCs w:val="32"/>
        </w:rPr>
      </w:pPr>
      <w:r>
        <w:rPr>
          <w:rFonts w:hint="eastAsia" w:ascii="宋体" w:hAnsi="宋体"/>
          <w:b/>
          <w:bCs/>
          <w:sz w:val="32"/>
          <w:szCs w:val="32"/>
        </w:rPr>
        <w:t>投诉相关说明</w:t>
      </w:r>
      <w:bookmarkEnd w:id="49"/>
    </w:p>
    <w:p w14:paraId="4A6453FC">
      <w:pPr>
        <w:widowControl/>
        <w:spacing w:line="400" w:lineRule="exact"/>
        <w:ind w:firstLine="420"/>
        <w:jc w:val="left"/>
        <w:rPr>
          <w:rFonts w:ascii="宋体" w:hAnsi="宋体"/>
          <w:szCs w:val="21"/>
        </w:rPr>
      </w:pPr>
      <w:r>
        <w:rPr>
          <w:rFonts w:hint="eastAsia" w:ascii="宋体" w:hAnsi="宋体"/>
          <w:szCs w:val="21"/>
        </w:rPr>
        <w:t>投诉人应当满足《政府采购法》、《政府采购法实施条例》和《政府采购供应商投诉处理办法》的相关规定。</w:t>
      </w:r>
    </w:p>
    <w:p w14:paraId="6410816D">
      <w:pPr>
        <w:numPr>
          <w:ilvl w:val="0"/>
          <w:numId w:val="3"/>
        </w:numPr>
        <w:spacing w:line="400" w:lineRule="exact"/>
        <w:ind w:left="4055" w:leftChars="304" w:hanging="3408" w:hangingChars="1600"/>
        <w:outlineLvl w:val="0"/>
        <w:rPr>
          <w:rFonts w:ascii="宋体" w:hAnsi="宋体"/>
          <w:b/>
          <w:bCs/>
          <w:szCs w:val="21"/>
        </w:rPr>
      </w:pPr>
      <w:bookmarkStart w:id="50" w:name="_Toc11499"/>
      <w:r>
        <w:rPr>
          <w:rFonts w:hint="eastAsia" w:ascii="宋体" w:hAnsi="宋体"/>
          <w:b/>
          <w:bCs/>
          <w:szCs w:val="21"/>
        </w:rPr>
        <w:t>质疑前置及时间要求</w:t>
      </w:r>
      <w:bookmarkEnd w:id="50"/>
    </w:p>
    <w:p w14:paraId="4018DBE7">
      <w:pPr>
        <w:widowControl/>
        <w:spacing w:line="400" w:lineRule="exact"/>
        <w:ind w:firstLine="420"/>
        <w:jc w:val="left"/>
        <w:rPr>
          <w:rFonts w:ascii="宋体" w:hAnsi="宋体"/>
          <w:kern w:val="0"/>
          <w:szCs w:val="21"/>
          <w:shd w:val="clear" w:color="auto" w:fill="FFFFFF"/>
        </w:rPr>
      </w:pPr>
      <w:r>
        <w:rPr>
          <w:rFonts w:hint="eastAsia" w:ascii="宋体" w:hAnsi="宋体"/>
          <w:szCs w:val="21"/>
        </w:rPr>
        <w:t>《中华人民共和国政府采购法》</w:t>
      </w:r>
      <w:r>
        <w:rPr>
          <w:rFonts w:hint="eastAsia" w:ascii="宋体" w:hAnsi="宋体"/>
          <w:kern w:val="0"/>
          <w:szCs w:val="21"/>
          <w:shd w:val="clear" w:color="auto" w:fill="FFFFFF"/>
        </w:rPr>
        <w:t>第五十一条：供应商对政府采购活动事项有疑问的，可以向采购人提出询问，采购人应当及时作出答复，但答复的内容不得涉及商业秘密。</w:t>
      </w:r>
    </w:p>
    <w:p w14:paraId="3B907851">
      <w:pPr>
        <w:widowControl/>
        <w:spacing w:line="400" w:lineRule="exact"/>
        <w:ind w:firstLine="420"/>
        <w:jc w:val="left"/>
        <w:rPr>
          <w:rFonts w:ascii="宋体" w:hAnsi="宋体"/>
          <w:szCs w:val="21"/>
        </w:rPr>
      </w:pPr>
      <w:r>
        <w:rPr>
          <w:rFonts w:hint="eastAsia" w:ascii="宋体" w:hAnsi="宋体"/>
          <w:kern w:val="0"/>
          <w:szCs w:val="21"/>
          <w:shd w:val="clear" w:color="auto" w:fill="FFFFFF"/>
        </w:rPr>
        <w:t xml:space="preserve"> 第五十二条：供应商认为采购文件、采购过程和中标、中标结果使自己的权益受到损害的，可以在知道或者应知其权益受到损害之日起七个工作日内，以书面形式向采购人提出质疑。</w:t>
      </w:r>
    </w:p>
    <w:p w14:paraId="0E9C477E">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A165224">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4F763A38">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《政府采购实施条例》第五十五条：供应商质疑、投诉应当有明确的请求和必要的证明材料。供应商投诉的事项不得超出质疑事项的范围。</w:t>
      </w:r>
    </w:p>
    <w:p w14:paraId="40DAF34C">
      <w:pPr>
        <w:spacing w:line="400" w:lineRule="exact"/>
        <w:rPr>
          <w:rFonts w:ascii="宋体" w:hAnsi="宋体"/>
          <w:szCs w:val="21"/>
        </w:rPr>
      </w:pPr>
    </w:p>
    <w:p w14:paraId="7151569C">
      <w:pPr>
        <w:spacing w:line="400" w:lineRule="exact"/>
        <w:ind w:left="3836" w:hanging="3834" w:hangingChars="1800"/>
        <w:outlineLvl w:val="0"/>
        <w:rPr>
          <w:rFonts w:ascii="宋体" w:hAnsi="宋体"/>
          <w:szCs w:val="21"/>
        </w:rPr>
      </w:pPr>
      <w:r>
        <w:rPr>
          <w:rFonts w:hint="eastAsia" w:ascii="宋体" w:hAnsi="宋体"/>
          <w:szCs w:val="21"/>
        </w:rPr>
        <w:t xml:space="preserve"> </w:t>
      </w:r>
      <w:r>
        <w:rPr>
          <w:rFonts w:hint="eastAsia" w:ascii="宋体" w:hAnsi="宋体"/>
          <w:b/>
          <w:bCs/>
          <w:szCs w:val="21"/>
        </w:rPr>
        <w:t xml:space="preserve">   </w:t>
      </w:r>
      <w:bookmarkStart w:id="51" w:name="_Toc13508"/>
      <w:r>
        <w:rPr>
          <w:rFonts w:hint="eastAsia" w:ascii="宋体" w:hAnsi="宋体"/>
          <w:b/>
          <w:bCs/>
          <w:szCs w:val="21"/>
        </w:rPr>
        <w:t>二、书面方式</w:t>
      </w:r>
      <w:bookmarkEnd w:id="51"/>
    </w:p>
    <w:p w14:paraId="1991A054">
      <w:pPr>
        <w:spacing w:line="400" w:lineRule="exact"/>
        <w:ind w:left="3836" w:hanging="3834" w:hangingChars="1800"/>
        <w:rPr>
          <w:rFonts w:ascii="宋体" w:hAnsi="宋体"/>
          <w:szCs w:val="21"/>
        </w:rPr>
      </w:pPr>
      <w:r>
        <w:rPr>
          <w:rFonts w:hint="eastAsia" w:ascii="宋体" w:hAnsi="宋体"/>
          <w:szCs w:val="21"/>
        </w:rPr>
        <w:t xml:space="preserve">    《政府采购供应商投诉处理办法》第八条：投诉人投诉</w:t>
      </w:r>
    </w:p>
    <w:p w14:paraId="4CA621C4">
      <w:pPr>
        <w:spacing w:line="400" w:lineRule="exact"/>
        <w:rPr>
          <w:rFonts w:ascii="宋体" w:hAnsi="宋体"/>
          <w:szCs w:val="21"/>
        </w:rPr>
      </w:pPr>
      <w:r>
        <w:rPr>
          <w:rFonts w:hint="eastAsia" w:ascii="宋体" w:hAnsi="宋体"/>
          <w:szCs w:val="21"/>
        </w:rPr>
        <w:t>时，应当提交投诉书，并按照被投诉人以及与投诉事项有关的供应商数量提供投诉书的副本。</w:t>
      </w:r>
    </w:p>
    <w:p w14:paraId="39ED9F5D">
      <w:pPr>
        <w:spacing w:line="400" w:lineRule="exact"/>
        <w:ind w:left="3836" w:hanging="3834" w:hangingChars="1800"/>
        <w:rPr>
          <w:rFonts w:ascii="宋体" w:hAnsi="宋体"/>
          <w:szCs w:val="21"/>
        </w:rPr>
      </w:pPr>
      <w:r>
        <w:rPr>
          <w:rFonts w:hint="eastAsia" w:ascii="宋体" w:hAnsi="宋体"/>
          <w:szCs w:val="21"/>
        </w:rPr>
        <w:t xml:space="preserve">   投诉书应当包括下列主要内容：</w:t>
      </w:r>
    </w:p>
    <w:p w14:paraId="0669EDCF">
      <w:pPr>
        <w:numPr>
          <w:ilvl w:val="0"/>
          <w:numId w:val="4"/>
        </w:numPr>
        <w:spacing w:line="400" w:lineRule="exact"/>
        <w:rPr>
          <w:rFonts w:ascii="宋体" w:hAnsi="宋体"/>
          <w:szCs w:val="21"/>
        </w:rPr>
      </w:pPr>
      <w:r>
        <w:rPr>
          <w:rFonts w:hint="eastAsia" w:ascii="宋体" w:hAnsi="宋体"/>
          <w:szCs w:val="21"/>
        </w:rPr>
        <w:t>投诉人和被投诉人的名称、地址、电话等；</w:t>
      </w:r>
    </w:p>
    <w:p w14:paraId="3FFFCE42">
      <w:pPr>
        <w:numPr>
          <w:ilvl w:val="0"/>
          <w:numId w:val="4"/>
        </w:numPr>
        <w:spacing w:line="400" w:lineRule="exact"/>
        <w:rPr>
          <w:rFonts w:ascii="宋体" w:hAnsi="宋体"/>
          <w:szCs w:val="21"/>
        </w:rPr>
      </w:pPr>
      <w:r>
        <w:rPr>
          <w:rFonts w:hint="eastAsia" w:ascii="宋体" w:hAnsi="宋体"/>
          <w:szCs w:val="21"/>
        </w:rPr>
        <w:t>具体的投诉事项及事实依据；</w:t>
      </w:r>
    </w:p>
    <w:p w14:paraId="235A4322">
      <w:pPr>
        <w:numPr>
          <w:ilvl w:val="0"/>
          <w:numId w:val="4"/>
        </w:numPr>
        <w:spacing w:line="400" w:lineRule="exact"/>
        <w:rPr>
          <w:rFonts w:ascii="宋体" w:hAnsi="宋体"/>
          <w:szCs w:val="21"/>
        </w:rPr>
      </w:pPr>
      <w:r>
        <w:rPr>
          <w:rFonts w:hint="eastAsia" w:ascii="宋体" w:hAnsi="宋体"/>
          <w:szCs w:val="21"/>
        </w:rPr>
        <w:t>质疑和质疑答复情况及相关证明材料；</w:t>
      </w:r>
    </w:p>
    <w:p w14:paraId="53B3E200">
      <w:pPr>
        <w:numPr>
          <w:ilvl w:val="0"/>
          <w:numId w:val="4"/>
        </w:numPr>
        <w:spacing w:line="400" w:lineRule="exact"/>
        <w:rPr>
          <w:rFonts w:ascii="宋体" w:hAnsi="宋体"/>
          <w:szCs w:val="21"/>
        </w:rPr>
      </w:pPr>
      <w:r>
        <w:rPr>
          <w:rFonts w:hint="eastAsia" w:ascii="宋体" w:hAnsi="宋体"/>
          <w:szCs w:val="21"/>
        </w:rPr>
        <w:t>提起投诉的日期。</w:t>
      </w:r>
    </w:p>
    <w:p w14:paraId="4C5A0350">
      <w:pPr>
        <w:spacing w:line="400" w:lineRule="exact"/>
        <w:ind w:firstLine="645"/>
        <w:rPr>
          <w:rFonts w:ascii="宋体" w:hAnsi="宋体"/>
          <w:szCs w:val="21"/>
        </w:rPr>
      </w:pPr>
      <w:r>
        <w:rPr>
          <w:rFonts w:hint="eastAsia" w:ascii="宋体" w:hAnsi="宋体"/>
          <w:szCs w:val="21"/>
        </w:rPr>
        <w:t>投诉书应当署名。投诉人为自然人，应当由本人签字；投诉人为法人或者其他组织的，应当由法定代表人或者主要负责人签字并加盖公章。</w:t>
      </w:r>
    </w:p>
    <w:p w14:paraId="2C5F8887">
      <w:pPr>
        <w:spacing w:line="400" w:lineRule="exact"/>
        <w:ind w:firstLine="645"/>
        <w:rPr>
          <w:rFonts w:ascii="宋体" w:hAnsi="宋体"/>
          <w:szCs w:val="21"/>
        </w:rPr>
      </w:pPr>
      <w:r>
        <w:rPr>
          <w:rFonts w:hint="eastAsia" w:ascii="宋体" w:hAnsi="宋体"/>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5CAC2B49">
      <w:pPr>
        <w:spacing w:line="400" w:lineRule="exact"/>
        <w:ind w:firstLine="645"/>
        <w:rPr>
          <w:rFonts w:ascii="宋体" w:hAnsi="宋体"/>
          <w:szCs w:val="21"/>
        </w:rPr>
      </w:pPr>
      <w:r>
        <w:rPr>
          <w:rFonts w:hint="eastAsia" w:ascii="宋体" w:hAnsi="宋体"/>
          <w:szCs w:val="21"/>
        </w:rPr>
        <w:t>《政府采购供应商投诉处理办法》第十条：投诉人提起投诉应当符合下列条件：</w:t>
      </w:r>
    </w:p>
    <w:p w14:paraId="5080043F">
      <w:pPr>
        <w:numPr>
          <w:ilvl w:val="0"/>
          <w:numId w:val="5"/>
        </w:numPr>
        <w:spacing w:line="400" w:lineRule="exact"/>
        <w:rPr>
          <w:rFonts w:ascii="宋体" w:hAnsi="宋体"/>
          <w:szCs w:val="21"/>
        </w:rPr>
      </w:pPr>
      <w:r>
        <w:rPr>
          <w:rFonts w:hint="eastAsia" w:ascii="宋体" w:hAnsi="宋体"/>
          <w:szCs w:val="21"/>
        </w:rPr>
        <w:t>投诉人是参与所投诉政府采购活动的供应商；</w:t>
      </w:r>
    </w:p>
    <w:p w14:paraId="320EB790">
      <w:pPr>
        <w:numPr>
          <w:ilvl w:val="0"/>
          <w:numId w:val="5"/>
        </w:numPr>
        <w:spacing w:line="400" w:lineRule="exact"/>
        <w:rPr>
          <w:rFonts w:ascii="宋体" w:hAnsi="宋体"/>
          <w:szCs w:val="21"/>
        </w:rPr>
      </w:pPr>
      <w:r>
        <w:rPr>
          <w:rFonts w:hint="eastAsia" w:ascii="宋体" w:hAnsi="宋体"/>
          <w:szCs w:val="21"/>
        </w:rPr>
        <w:t>提起投诉诉前已依法进行质疑；</w:t>
      </w:r>
    </w:p>
    <w:p w14:paraId="76170475">
      <w:pPr>
        <w:numPr>
          <w:ilvl w:val="0"/>
          <w:numId w:val="5"/>
        </w:numPr>
        <w:spacing w:line="400" w:lineRule="exact"/>
        <w:rPr>
          <w:rFonts w:ascii="宋体" w:hAnsi="宋体"/>
          <w:szCs w:val="21"/>
        </w:rPr>
      </w:pPr>
      <w:r>
        <w:rPr>
          <w:rFonts w:hint="eastAsia" w:ascii="宋体" w:hAnsi="宋体"/>
          <w:szCs w:val="21"/>
        </w:rPr>
        <w:t>投诉书内容符合本办法的规定；</w:t>
      </w:r>
    </w:p>
    <w:p w14:paraId="6000D6CE">
      <w:pPr>
        <w:numPr>
          <w:ilvl w:val="0"/>
          <w:numId w:val="5"/>
        </w:numPr>
        <w:spacing w:line="400" w:lineRule="exact"/>
        <w:rPr>
          <w:rFonts w:ascii="宋体" w:hAnsi="宋体"/>
          <w:szCs w:val="21"/>
        </w:rPr>
      </w:pPr>
      <w:r>
        <w:rPr>
          <w:rFonts w:hint="eastAsia" w:ascii="宋体" w:hAnsi="宋体"/>
          <w:szCs w:val="21"/>
        </w:rPr>
        <w:t>在投诉有效期内提起投诉；</w:t>
      </w:r>
    </w:p>
    <w:p w14:paraId="30221617">
      <w:pPr>
        <w:numPr>
          <w:ilvl w:val="0"/>
          <w:numId w:val="5"/>
        </w:numPr>
        <w:spacing w:line="400" w:lineRule="exact"/>
        <w:rPr>
          <w:rFonts w:ascii="宋体" w:hAnsi="宋体"/>
          <w:szCs w:val="21"/>
        </w:rPr>
      </w:pPr>
      <w:r>
        <w:rPr>
          <w:rFonts w:hint="eastAsia" w:ascii="宋体" w:hAnsi="宋体"/>
          <w:szCs w:val="21"/>
        </w:rPr>
        <w:t>属于本级财政部门管辖；</w:t>
      </w:r>
    </w:p>
    <w:p w14:paraId="795A0988">
      <w:pPr>
        <w:numPr>
          <w:ilvl w:val="0"/>
          <w:numId w:val="5"/>
        </w:numPr>
        <w:spacing w:line="400" w:lineRule="exact"/>
        <w:rPr>
          <w:rFonts w:ascii="宋体" w:hAnsi="宋体"/>
          <w:szCs w:val="21"/>
        </w:rPr>
      </w:pPr>
      <w:r>
        <w:rPr>
          <w:rFonts w:hint="eastAsia" w:ascii="宋体" w:hAnsi="宋体"/>
          <w:szCs w:val="21"/>
        </w:rPr>
        <w:t>同一投诉事项未经财政部门投诉处理；</w:t>
      </w:r>
    </w:p>
    <w:p w14:paraId="6DFFF3FB">
      <w:pPr>
        <w:numPr>
          <w:ilvl w:val="0"/>
          <w:numId w:val="5"/>
        </w:numPr>
        <w:spacing w:line="400" w:lineRule="exact"/>
        <w:rPr>
          <w:rFonts w:ascii="宋体" w:hAnsi="宋体"/>
          <w:szCs w:val="21"/>
        </w:rPr>
      </w:pPr>
      <w:r>
        <w:rPr>
          <w:rFonts w:hint="eastAsia" w:ascii="宋体" w:hAnsi="宋体"/>
          <w:szCs w:val="21"/>
        </w:rPr>
        <w:t>国务院财政部门规定的其他条件。</w:t>
      </w:r>
    </w:p>
    <w:p w14:paraId="475F1F81">
      <w:pPr>
        <w:spacing w:line="400" w:lineRule="exact"/>
        <w:ind w:left="3836" w:hanging="3834" w:hangingChars="1800"/>
        <w:rPr>
          <w:rFonts w:ascii="宋体" w:hAnsi="宋体"/>
          <w:szCs w:val="21"/>
        </w:rPr>
      </w:pPr>
      <w:r>
        <w:rPr>
          <w:rFonts w:hint="eastAsia" w:ascii="宋体" w:hAnsi="宋体"/>
          <w:szCs w:val="21"/>
        </w:rPr>
        <w:t xml:space="preserve">   </w:t>
      </w:r>
    </w:p>
    <w:p w14:paraId="42B28471">
      <w:pPr>
        <w:outlineLvl w:val="0"/>
        <w:rPr>
          <w:szCs w:val="21"/>
        </w:rPr>
      </w:pPr>
      <w:r>
        <w:rPr>
          <w:rFonts w:hint="eastAsia"/>
          <w:szCs w:val="21"/>
        </w:rPr>
        <w:t xml:space="preserve"> </w:t>
      </w:r>
      <w:r>
        <w:rPr>
          <w:rFonts w:hint="eastAsia" w:ascii="宋体" w:hAnsi="宋体"/>
          <w:b/>
          <w:bCs/>
          <w:szCs w:val="21"/>
        </w:rPr>
        <w:t xml:space="preserve">   </w:t>
      </w:r>
      <w:bookmarkStart w:id="52" w:name="_Toc5978"/>
      <w:r>
        <w:rPr>
          <w:rFonts w:hint="eastAsia" w:ascii="宋体" w:hAnsi="宋体"/>
          <w:b/>
          <w:bCs/>
          <w:szCs w:val="21"/>
        </w:rPr>
        <w:t>三、虚假、恶意投诉法律责任</w:t>
      </w:r>
      <w:bookmarkEnd w:id="52"/>
    </w:p>
    <w:p w14:paraId="4DADD033">
      <w:pPr>
        <w:spacing w:line="400" w:lineRule="exact"/>
        <w:ind w:firstLine="426" w:firstLineChars="200"/>
        <w:rPr>
          <w:rFonts w:ascii="宋体" w:hAnsi="宋体"/>
          <w:szCs w:val="21"/>
        </w:rPr>
      </w:pPr>
      <w:r>
        <w:rPr>
          <w:rFonts w:hint="eastAsia" w:ascii="宋体" w:hAnsi="宋体"/>
          <w:szCs w:val="21"/>
        </w:rPr>
        <w:t>第七十三条：供应商捏造实施、提供虚假材料或者以非法手段取得证明材料进行投诉的，由财政部门列入不良行为记录名单，禁止其1至3年内参加政府采购活动。</w:t>
      </w:r>
    </w:p>
    <w:p w14:paraId="712C0B99">
      <w:pPr>
        <w:spacing w:line="400" w:lineRule="exact"/>
        <w:ind w:firstLine="426" w:firstLineChars="200"/>
        <w:rPr>
          <w:rFonts w:ascii="宋体" w:hAnsi="宋体"/>
          <w:szCs w:val="21"/>
        </w:rPr>
      </w:pPr>
      <w:r>
        <w:rPr>
          <w:rFonts w:hint="eastAsia" w:ascii="宋体" w:hAnsi="宋体"/>
          <w:szCs w:val="21"/>
        </w:rPr>
        <w:t>《政府采购供应商投诉处理办法》第二十六条：投诉人有下列情形之一的，属于虚假、恶意投诉，财政部门应当驳回投诉，将其列入不良行为记录名单，并依法予以处罚：</w:t>
      </w:r>
    </w:p>
    <w:p w14:paraId="488C0E4F">
      <w:pPr>
        <w:spacing w:line="400" w:lineRule="exact"/>
        <w:ind w:firstLine="426" w:firstLineChars="200"/>
        <w:rPr>
          <w:rFonts w:ascii="宋体" w:hAnsi="宋体"/>
          <w:szCs w:val="21"/>
        </w:rPr>
      </w:pPr>
      <w:r>
        <w:rPr>
          <w:rFonts w:hint="eastAsia" w:ascii="宋体" w:hAnsi="宋体"/>
          <w:szCs w:val="21"/>
        </w:rPr>
        <w:t>（一）1年内3次以上投诉均查无实据的；</w:t>
      </w:r>
    </w:p>
    <w:p w14:paraId="63779112">
      <w:pPr>
        <w:spacing w:line="400" w:lineRule="exact"/>
        <w:ind w:firstLine="426" w:firstLineChars="200"/>
        <w:rPr>
          <w:rFonts w:ascii="宋体" w:hAnsi="宋体"/>
          <w:szCs w:val="21"/>
        </w:rPr>
      </w:pPr>
      <w:r>
        <w:rPr>
          <w:rFonts w:hint="eastAsia" w:ascii="宋体" w:hAnsi="宋体"/>
          <w:szCs w:val="21"/>
        </w:rPr>
        <w:t>（二）捏造事实或者提供虚假投诉材料的。</w:t>
      </w:r>
    </w:p>
    <w:p w14:paraId="2AE3FAE8">
      <w:pPr>
        <w:spacing w:line="400" w:lineRule="exact"/>
        <w:rPr>
          <w:rFonts w:ascii="宋体" w:hAnsi="宋体"/>
          <w:szCs w:val="21"/>
        </w:rPr>
      </w:pPr>
    </w:p>
    <w:p w14:paraId="49D94996">
      <w:pPr>
        <w:spacing w:line="400" w:lineRule="exact"/>
        <w:rPr>
          <w:rFonts w:ascii="宋体" w:hAnsi="宋体"/>
          <w:szCs w:val="21"/>
        </w:rPr>
      </w:pPr>
    </w:p>
    <w:p w14:paraId="338E14D2">
      <w:pPr>
        <w:rPr>
          <w:rFonts w:ascii="宋体" w:hAnsi="宋体"/>
          <w:szCs w:val="21"/>
        </w:rPr>
      </w:pPr>
      <w:r>
        <w:rPr>
          <w:rFonts w:hint="eastAsia" w:ascii="宋体" w:hAnsi="宋体"/>
          <w:szCs w:val="21"/>
        </w:rPr>
        <w:t>递交投诉书地址：</w:t>
      </w:r>
      <w:r>
        <w:rPr>
          <w:rFonts w:hint="eastAsia" w:ascii="宋体" w:hAnsi="宋体"/>
          <w:szCs w:val="21"/>
          <w:lang w:val="en-US" w:eastAsia="zh-CN"/>
        </w:rPr>
        <w:t>乌恰县</w:t>
      </w:r>
      <w:r>
        <w:rPr>
          <w:rFonts w:hint="eastAsia" w:ascii="宋体" w:hAnsi="宋体"/>
          <w:szCs w:val="21"/>
        </w:rPr>
        <w:t>财政局政府采购办监管办公室</w:t>
      </w:r>
    </w:p>
    <w:p w14:paraId="7DAB217D">
      <w:pPr>
        <w:spacing w:line="540" w:lineRule="exact"/>
        <w:outlineLvl w:val="0"/>
        <w:rPr>
          <w:rFonts w:ascii="宋体" w:hAnsi="宋体"/>
          <w:b/>
          <w:bCs/>
          <w:sz w:val="32"/>
          <w:szCs w:val="32"/>
        </w:rPr>
      </w:pPr>
      <w:bookmarkStart w:id="53" w:name="_Toc1697"/>
    </w:p>
    <w:p w14:paraId="5A27E403">
      <w:pPr>
        <w:spacing w:line="540" w:lineRule="exact"/>
        <w:jc w:val="center"/>
        <w:outlineLvl w:val="0"/>
        <w:rPr>
          <w:rFonts w:ascii="宋体" w:hAnsi="宋体"/>
          <w:b/>
          <w:bCs/>
          <w:sz w:val="32"/>
          <w:szCs w:val="32"/>
        </w:rPr>
      </w:pPr>
    </w:p>
    <w:p w14:paraId="0530BD95">
      <w:pPr>
        <w:spacing w:line="540" w:lineRule="exact"/>
        <w:jc w:val="center"/>
        <w:outlineLvl w:val="0"/>
        <w:rPr>
          <w:rFonts w:ascii="宋体" w:hAnsi="宋体"/>
          <w:b/>
          <w:bCs/>
          <w:sz w:val="32"/>
          <w:szCs w:val="32"/>
        </w:rPr>
      </w:pPr>
    </w:p>
    <w:p w14:paraId="30088313">
      <w:pPr>
        <w:spacing w:line="540" w:lineRule="exact"/>
        <w:jc w:val="center"/>
        <w:outlineLvl w:val="0"/>
        <w:rPr>
          <w:rFonts w:ascii="宋体" w:hAnsi="宋体"/>
          <w:b/>
          <w:bCs/>
          <w:sz w:val="32"/>
          <w:szCs w:val="32"/>
        </w:rPr>
      </w:pPr>
    </w:p>
    <w:p w14:paraId="275CC45F">
      <w:pPr>
        <w:spacing w:line="540" w:lineRule="exact"/>
        <w:jc w:val="center"/>
        <w:outlineLvl w:val="0"/>
        <w:rPr>
          <w:rFonts w:ascii="宋体" w:hAnsi="宋体"/>
          <w:b/>
          <w:bCs/>
          <w:sz w:val="32"/>
          <w:szCs w:val="32"/>
        </w:rPr>
      </w:pPr>
    </w:p>
    <w:p w14:paraId="4D2272AB">
      <w:pPr>
        <w:spacing w:line="540" w:lineRule="exact"/>
        <w:jc w:val="center"/>
        <w:outlineLvl w:val="0"/>
        <w:rPr>
          <w:rFonts w:ascii="宋体" w:hAnsi="宋体"/>
          <w:b/>
          <w:bCs/>
          <w:sz w:val="32"/>
          <w:szCs w:val="32"/>
        </w:rPr>
      </w:pPr>
    </w:p>
    <w:p w14:paraId="43CBA9AB">
      <w:pPr>
        <w:spacing w:line="540" w:lineRule="exact"/>
        <w:jc w:val="center"/>
        <w:outlineLvl w:val="0"/>
        <w:rPr>
          <w:rFonts w:ascii="宋体" w:hAnsi="宋体"/>
          <w:b/>
          <w:bCs/>
          <w:sz w:val="32"/>
          <w:szCs w:val="32"/>
        </w:rPr>
      </w:pPr>
    </w:p>
    <w:p w14:paraId="29E34BF0">
      <w:pPr>
        <w:spacing w:line="540" w:lineRule="exact"/>
        <w:jc w:val="center"/>
        <w:outlineLvl w:val="0"/>
        <w:rPr>
          <w:rFonts w:ascii="宋体" w:hAnsi="宋体"/>
          <w:b/>
          <w:bCs/>
          <w:sz w:val="32"/>
          <w:szCs w:val="32"/>
        </w:rPr>
      </w:pPr>
    </w:p>
    <w:p w14:paraId="6DD56B55">
      <w:pPr>
        <w:spacing w:line="540" w:lineRule="exact"/>
        <w:jc w:val="center"/>
        <w:outlineLvl w:val="0"/>
        <w:rPr>
          <w:rFonts w:ascii="宋体" w:hAnsi="宋体"/>
          <w:b/>
          <w:bCs/>
          <w:sz w:val="32"/>
          <w:szCs w:val="32"/>
        </w:rPr>
      </w:pPr>
    </w:p>
    <w:p w14:paraId="59BEF136">
      <w:pPr>
        <w:spacing w:line="540" w:lineRule="exact"/>
        <w:jc w:val="center"/>
        <w:outlineLvl w:val="0"/>
        <w:rPr>
          <w:rFonts w:ascii="宋体" w:hAnsi="宋体"/>
          <w:b/>
          <w:bCs/>
          <w:sz w:val="32"/>
          <w:szCs w:val="32"/>
        </w:rPr>
      </w:pPr>
    </w:p>
    <w:p w14:paraId="5F49BB1E">
      <w:pPr>
        <w:spacing w:line="540" w:lineRule="exact"/>
        <w:jc w:val="center"/>
        <w:outlineLvl w:val="0"/>
        <w:rPr>
          <w:rFonts w:ascii="宋体" w:hAnsi="宋体"/>
          <w:b/>
          <w:bCs/>
          <w:sz w:val="32"/>
          <w:szCs w:val="32"/>
        </w:rPr>
      </w:pPr>
    </w:p>
    <w:p w14:paraId="2FD0D1D9">
      <w:pPr>
        <w:spacing w:line="540" w:lineRule="exact"/>
        <w:jc w:val="center"/>
        <w:outlineLvl w:val="0"/>
        <w:rPr>
          <w:rFonts w:ascii="宋体" w:hAnsi="宋体"/>
          <w:b/>
          <w:bCs/>
          <w:sz w:val="32"/>
          <w:szCs w:val="32"/>
        </w:rPr>
      </w:pPr>
    </w:p>
    <w:p w14:paraId="59990F41">
      <w:pPr>
        <w:spacing w:line="540" w:lineRule="exact"/>
        <w:jc w:val="both"/>
        <w:outlineLvl w:val="0"/>
        <w:rPr>
          <w:rFonts w:ascii="宋体" w:hAnsi="宋体"/>
          <w:b/>
          <w:bCs/>
          <w:sz w:val="32"/>
          <w:szCs w:val="32"/>
        </w:rPr>
      </w:pPr>
    </w:p>
    <w:p w14:paraId="3AFE2463">
      <w:pPr>
        <w:jc w:val="center"/>
        <w:rPr>
          <w:rFonts w:ascii="宋体" w:hAnsi="宋体"/>
          <w:b/>
          <w:bCs/>
          <w:sz w:val="32"/>
          <w:szCs w:val="32"/>
        </w:rPr>
      </w:pPr>
      <w:r>
        <w:rPr>
          <w:rFonts w:hint="eastAsia" w:ascii="宋体" w:hAnsi="宋体"/>
          <w:b/>
          <w:bCs/>
          <w:sz w:val="32"/>
          <w:szCs w:val="32"/>
        </w:rPr>
        <w:br w:type="page"/>
      </w:r>
      <w:r>
        <w:rPr>
          <w:rFonts w:hint="eastAsia" w:ascii="宋体" w:hAnsi="宋体"/>
          <w:b/>
          <w:bCs/>
          <w:sz w:val="32"/>
          <w:szCs w:val="32"/>
        </w:rPr>
        <w:t>质疑函范本</w:t>
      </w:r>
      <w:bookmarkEnd w:id="53"/>
    </w:p>
    <w:p w14:paraId="174364A1">
      <w:pPr>
        <w:adjustRightInd w:val="0"/>
        <w:snapToGrid w:val="0"/>
        <w:spacing w:before="325" w:beforeLines="100" w:line="540" w:lineRule="exact"/>
        <w:ind w:firstLine="426" w:firstLineChars="200"/>
        <w:outlineLvl w:val="0"/>
        <w:rPr>
          <w:rFonts w:ascii="宋体" w:hAnsi="宋体"/>
          <w:bCs/>
          <w:szCs w:val="21"/>
        </w:rPr>
      </w:pPr>
      <w:bookmarkStart w:id="54" w:name="_Toc9061"/>
      <w:r>
        <w:rPr>
          <w:rFonts w:hint="eastAsia" w:ascii="宋体" w:hAnsi="宋体"/>
          <w:bCs/>
          <w:szCs w:val="21"/>
        </w:rPr>
        <w:t>一、质疑供应商基本信息</w:t>
      </w:r>
      <w:bookmarkEnd w:id="54"/>
    </w:p>
    <w:p w14:paraId="4224D05E">
      <w:pPr>
        <w:adjustRightInd w:val="0"/>
        <w:snapToGrid w:val="0"/>
        <w:spacing w:line="540" w:lineRule="exact"/>
        <w:ind w:firstLine="426" w:firstLineChars="200"/>
        <w:rPr>
          <w:rFonts w:ascii="宋体" w:hAnsi="宋体"/>
          <w:szCs w:val="21"/>
          <w:u w:val="dotted"/>
        </w:rPr>
      </w:pPr>
      <w:r>
        <w:rPr>
          <w:rFonts w:hint="eastAsia" w:ascii="宋体" w:hAnsi="宋体"/>
          <w:szCs w:val="21"/>
        </w:rPr>
        <w:t>质疑供应商：</w:t>
      </w:r>
      <w:r>
        <w:rPr>
          <w:rFonts w:hint="eastAsia" w:ascii="宋体" w:hAnsi="宋体"/>
          <w:szCs w:val="21"/>
          <w:u w:val="dotted"/>
        </w:rPr>
        <w:t xml:space="preserve">                         </w:t>
      </w:r>
    </w:p>
    <w:p w14:paraId="40261FA9">
      <w:pPr>
        <w:adjustRightInd w:val="0"/>
        <w:snapToGrid w:val="0"/>
        <w:spacing w:line="540" w:lineRule="exact"/>
        <w:ind w:firstLine="426" w:firstLineChars="200"/>
        <w:rPr>
          <w:rFonts w:ascii="宋体" w:hAnsi="宋体"/>
          <w:szCs w:val="21"/>
        </w:rPr>
      </w:pPr>
      <w:r>
        <w:rPr>
          <w:rFonts w:hint="eastAsia" w:ascii="宋体" w:hAnsi="宋体"/>
          <w:szCs w:val="21"/>
        </w:rPr>
        <w:t>地址：</w:t>
      </w:r>
      <w:r>
        <w:rPr>
          <w:rFonts w:hint="eastAsia" w:ascii="宋体" w:hAnsi="宋体"/>
          <w:szCs w:val="21"/>
          <w:u w:val="dotted"/>
        </w:rPr>
        <w:t xml:space="preserve">                          </w:t>
      </w:r>
      <w:r>
        <w:rPr>
          <w:rFonts w:hint="eastAsia" w:ascii="宋体" w:hAnsi="宋体"/>
          <w:szCs w:val="21"/>
        </w:rPr>
        <w:t>邮编：</w:t>
      </w:r>
      <w:r>
        <w:rPr>
          <w:rFonts w:hint="eastAsia" w:ascii="宋体" w:hAnsi="宋体"/>
          <w:szCs w:val="21"/>
          <w:u w:val="dotted"/>
        </w:rPr>
        <w:t xml:space="preserve">            </w:t>
      </w:r>
    </w:p>
    <w:p w14:paraId="45599CC5">
      <w:pPr>
        <w:adjustRightInd w:val="0"/>
        <w:snapToGrid w:val="0"/>
        <w:spacing w:line="540" w:lineRule="exact"/>
        <w:ind w:firstLine="426" w:firstLineChars="200"/>
        <w:rPr>
          <w:rFonts w:ascii="宋体" w:hAnsi="宋体"/>
          <w:szCs w:val="21"/>
        </w:rPr>
      </w:pPr>
      <w:r>
        <w:rPr>
          <w:rFonts w:hint="eastAsia" w:ascii="宋体" w:hAnsi="宋体"/>
          <w:szCs w:val="21"/>
        </w:rPr>
        <w:t>联系人：</w:t>
      </w:r>
      <w:r>
        <w:rPr>
          <w:rFonts w:hint="eastAsia" w:ascii="宋体" w:hAnsi="宋体"/>
          <w:szCs w:val="21"/>
          <w:u w:val="dotted"/>
        </w:rPr>
        <w:t xml:space="preserve">                      </w:t>
      </w:r>
      <w:r>
        <w:rPr>
          <w:rFonts w:hint="eastAsia" w:ascii="宋体" w:hAnsi="宋体"/>
          <w:szCs w:val="21"/>
        </w:rPr>
        <w:t>联系电话：</w:t>
      </w:r>
      <w:r>
        <w:rPr>
          <w:rFonts w:hint="eastAsia" w:ascii="宋体" w:hAnsi="宋体"/>
          <w:szCs w:val="21"/>
          <w:u w:val="dotted"/>
        </w:rPr>
        <w:t xml:space="preserve">            </w:t>
      </w:r>
    </w:p>
    <w:p w14:paraId="081904C5">
      <w:pPr>
        <w:adjustRightInd w:val="0"/>
        <w:snapToGrid w:val="0"/>
        <w:spacing w:line="540" w:lineRule="exact"/>
        <w:ind w:firstLine="426" w:firstLineChars="200"/>
        <w:rPr>
          <w:rFonts w:ascii="宋体" w:hAnsi="宋体"/>
          <w:szCs w:val="21"/>
          <w:u w:val="dotted"/>
        </w:rPr>
      </w:pPr>
      <w:r>
        <w:rPr>
          <w:rFonts w:hint="eastAsia" w:ascii="宋体" w:hAnsi="宋体"/>
          <w:szCs w:val="21"/>
        </w:rPr>
        <w:t>授权代表：</w:t>
      </w:r>
      <w:r>
        <w:rPr>
          <w:rFonts w:hint="eastAsia" w:ascii="宋体" w:hAnsi="宋体"/>
          <w:szCs w:val="21"/>
          <w:u w:val="dotted"/>
        </w:rPr>
        <w:t xml:space="preserve">                                          </w:t>
      </w:r>
    </w:p>
    <w:p w14:paraId="0CE77C50">
      <w:pPr>
        <w:adjustRightInd w:val="0"/>
        <w:snapToGrid w:val="0"/>
        <w:spacing w:line="540" w:lineRule="exact"/>
        <w:ind w:firstLine="426" w:firstLineChars="200"/>
        <w:rPr>
          <w:rFonts w:ascii="宋体" w:hAnsi="宋体"/>
          <w:szCs w:val="21"/>
        </w:rPr>
      </w:pPr>
      <w:r>
        <w:rPr>
          <w:rFonts w:hint="eastAsia" w:ascii="宋体" w:hAnsi="宋体"/>
          <w:szCs w:val="21"/>
        </w:rPr>
        <w:t>联系电话：</w:t>
      </w:r>
      <w:r>
        <w:rPr>
          <w:rFonts w:hint="eastAsia" w:ascii="宋体" w:hAnsi="宋体"/>
          <w:szCs w:val="21"/>
          <w:u w:val="dotted"/>
        </w:rPr>
        <w:t xml:space="preserve">                                          </w:t>
      </w:r>
    </w:p>
    <w:p w14:paraId="6D780873">
      <w:pPr>
        <w:adjustRightInd w:val="0"/>
        <w:snapToGrid w:val="0"/>
        <w:spacing w:line="540" w:lineRule="exact"/>
        <w:ind w:firstLine="426" w:firstLineChars="200"/>
        <w:rPr>
          <w:rFonts w:ascii="宋体" w:hAnsi="宋体"/>
          <w:szCs w:val="21"/>
        </w:rPr>
      </w:pPr>
      <w:r>
        <w:rPr>
          <w:rFonts w:hint="eastAsia" w:ascii="宋体" w:hAnsi="宋体"/>
          <w:szCs w:val="21"/>
        </w:rPr>
        <w:t xml:space="preserve">地址： </w:t>
      </w:r>
      <w:r>
        <w:rPr>
          <w:rFonts w:hint="eastAsia" w:ascii="宋体" w:hAnsi="宋体"/>
          <w:szCs w:val="21"/>
          <w:u w:val="dotted"/>
        </w:rPr>
        <w:t xml:space="preserve">                        </w:t>
      </w:r>
      <w:r>
        <w:rPr>
          <w:rFonts w:hint="eastAsia" w:ascii="宋体" w:hAnsi="宋体"/>
          <w:szCs w:val="21"/>
        </w:rPr>
        <w:t>邮编：</w:t>
      </w:r>
      <w:r>
        <w:rPr>
          <w:rFonts w:hint="eastAsia" w:ascii="宋体" w:hAnsi="宋体"/>
          <w:szCs w:val="21"/>
          <w:u w:val="dotted"/>
        </w:rPr>
        <w:t xml:space="preserve">               </w:t>
      </w:r>
    </w:p>
    <w:p w14:paraId="562B6C9E">
      <w:pPr>
        <w:adjustRightInd w:val="0"/>
        <w:snapToGrid w:val="0"/>
        <w:spacing w:line="540" w:lineRule="exact"/>
        <w:ind w:firstLine="426" w:firstLineChars="200"/>
        <w:outlineLvl w:val="0"/>
        <w:rPr>
          <w:rFonts w:ascii="宋体" w:hAnsi="宋体"/>
          <w:bCs/>
          <w:szCs w:val="21"/>
        </w:rPr>
      </w:pPr>
      <w:bookmarkStart w:id="55" w:name="_Toc15938"/>
      <w:r>
        <w:rPr>
          <w:rFonts w:hint="eastAsia" w:ascii="宋体" w:hAnsi="宋体"/>
          <w:bCs/>
          <w:szCs w:val="21"/>
        </w:rPr>
        <w:t>二、质疑项目基本情况</w:t>
      </w:r>
      <w:bookmarkEnd w:id="55"/>
    </w:p>
    <w:p w14:paraId="6091C85E">
      <w:pPr>
        <w:adjustRightInd w:val="0"/>
        <w:snapToGrid w:val="0"/>
        <w:spacing w:line="540" w:lineRule="exact"/>
        <w:ind w:firstLine="426" w:firstLineChars="200"/>
        <w:rPr>
          <w:rFonts w:ascii="宋体" w:hAnsi="宋体"/>
          <w:szCs w:val="21"/>
        </w:rPr>
      </w:pPr>
      <w:r>
        <w:rPr>
          <w:rFonts w:hint="eastAsia" w:ascii="宋体" w:hAnsi="宋体"/>
          <w:szCs w:val="21"/>
        </w:rPr>
        <w:t>质疑项目的名称：</w:t>
      </w:r>
      <w:r>
        <w:rPr>
          <w:rFonts w:hint="eastAsia" w:ascii="宋体" w:hAnsi="宋体"/>
          <w:szCs w:val="21"/>
          <w:u w:val="dotted"/>
        </w:rPr>
        <w:t xml:space="preserve">                                     </w:t>
      </w:r>
    </w:p>
    <w:p w14:paraId="674A916B">
      <w:pPr>
        <w:adjustRightInd w:val="0"/>
        <w:snapToGrid w:val="0"/>
        <w:spacing w:line="540" w:lineRule="exact"/>
        <w:ind w:firstLine="426" w:firstLineChars="200"/>
        <w:rPr>
          <w:rFonts w:ascii="宋体" w:hAnsi="宋体"/>
          <w:szCs w:val="21"/>
        </w:rPr>
      </w:pPr>
      <w:r>
        <w:rPr>
          <w:rFonts w:hint="eastAsia" w:ascii="宋体" w:hAnsi="宋体"/>
          <w:szCs w:val="21"/>
        </w:rPr>
        <w:t>质疑项目的编号：</w:t>
      </w:r>
      <w:r>
        <w:rPr>
          <w:rFonts w:hint="eastAsia" w:ascii="宋体" w:hAnsi="宋体"/>
          <w:szCs w:val="21"/>
          <w:u w:val="dotted"/>
        </w:rPr>
        <w:t xml:space="preserve">               </w:t>
      </w:r>
      <w:r>
        <w:rPr>
          <w:rFonts w:hint="eastAsia" w:ascii="宋体" w:hAnsi="宋体"/>
          <w:szCs w:val="21"/>
        </w:rPr>
        <w:t>包号：</w:t>
      </w:r>
      <w:r>
        <w:rPr>
          <w:rFonts w:hint="eastAsia" w:ascii="宋体" w:hAnsi="宋体"/>
          <w:szCs w:val="21"/>
          <w:u w:val="dotted"/>
        </w:rPr>
        <w:t xml:space="preserve">                </w:t>
      </w:r>
    </w:p>
    <w:p w14:paraId="39AD52D4">
      <w:pPr>
        <w:adjustRightInd w:val="0"/>
        <w:snapToGrid w:val="0"/>
        <w:spacing w:line="540" w:lineRule="exact"/>
        <w:ind w:firstLine="426" w:firstLineChars="200"/>
        <w:rPr>
          <w:rFonts w:ascii="宋体" w:hAnsi="宋体"/>
          <w:szCs w:val="21"/>
          <w:u w:val="dotted"/>
        </w:rPr>
      </w:pPr>
      <w:r>
        <w:rPr>
          <w:rFonts w:hint="eastAsia" w:ascii="宋体" w:hAnsi="宋体"/>
          <w:szCs w:val="21"/>
        </w:rPr>
        <w:t>采购人名称：</w:t>
      </w:r>
      <w:r>
        <w:rPr>
          <w:rFonts w:hint="eastAsia" w:ascii="宋体" w:hAnsi="宋体"/>
          <w:szCs w:val="21"/>
          <w:u w:val="dotted"/>
        </w:rPr>
        <w:t xml:space="preserve">                                         </w:t>
      </w:r>
    </w:p>
    <w:p w14:paraId="5AB81C80">
      <w:pPr>
        <w:adjustRightInd w:val="0"/>
        <w:snapToGrid w:val="0"/>
        <w:spacing w:line="540" w:lineRule="exact"/>
        <w:ind w:firstLine="426" w:firstLineChars="200"/>
        <w:rPr>
          <w:rFonts w:ascii="宋体" w:hAnsi="宋体"/>
          <w:szCs w:val="21"/>
        </w:rPr>
      </w:pPr>
      <w:r>
        <w:rPr>
          <w:rFonts w:hint="eastAsia" w:ascii="宋体" w:hAnsi="宋体"/>
          <w:szCs w:val="21"/>
        </w:rPr>
        <w:t>采购文件获取日期：</w:t>
      </w:r>
      <w:r>
        <w:rPr>
          <w:rFonts w:hint="eastAsia" w:ascii="宋体" w:hAnsi="宋体"/>
          <w:szCs w:val="21"/>
          <w:u w:val="dotted"/>
        </w:rPr>
        <w:t xml:space="preserve">                                   </w:t>
      </w:r>
    </w:p>
    <w:p w14:paraId="6D22E9C8">
      <w:pPr>
        <w:adjustRightInd w:val="0"/>
        <w:snapToGrid w:val="0"/>
        <w:spacing w:line="540" w:lineRule="exact"/>
        <w:ind w:firstLine="426" w:firstLineChars="200"/>
        <w:outlineLvl w:val="0"/>
        <w:rPr>
          <w:rFonts w:ascii="宋体" w:hAnsi="宋体"/>
          <w:bCs/>
          <w:szCs w:val="21"/>
        </w:rPr>
      </w:pPr>
      <w:bookmarkStart w:id="56" w:name="_Toc18271"/>
      <w:r>
        <w:rPr>
          <w:rFonts w:hint="eastAsia" w:ascii="宋体" w:hAnsi="宋体"/>
          <w:bCs/>
          <w:szCs w:val="21"/>
        </w:rPr>
        <w:t>三、质疑事项具体内容</w:t>
      </w:r>
      <w:bookmarkEnd w:id="56"/>
    </w:p>
    <w:p w14:paraId="04C5D684">
      <w:pPr>
        <w:adjustRightInd w:val="0"/>
        <w:snapToGrid w:val="0"/>
        <w:spacing w:line="540" w:lineRule="exact"/>
        <w:ind w:firstLine="426" w:firstLineChars="200"/>
        <w:rPr>
          <w:rFonts w:ascii="宋体" w:hAnsi="宋体"/>
          <w:szCs w:val="21"/>
          <w:u w:val="dotted"/>
        </w:rPr>
      </w:pPr>
      <w:r>
        <w:rPr>
          <w:rFonts w:hint="eastAsia" w:ascii="宋体" w:hAnsi="宋体"/>
          <w:szCs w:val="21"/>
        </w:rPr>
        <w:t>质疑事项1：</w:t>
      </w:r>
      <w:r>
        <w:rPr>
          <w:rFonts w:hint="eastAsia" w:ascii="宋体" w:hAnsi="宋体"/>
          <w:szCs w:val="21"/>
          <w:u w:val="dotted"/>
        </w:rPr>
        <w:t xml:space="preserve">                                         </w:t>
      </w:r>
    </w:p>
    <w:p w14:paraId="6B1BB0CB">
      <w:pPr>
        <w:adjustRightInd w:val="0"/>
        <w:snapToGrid w:val="0"/>
        <w:spacing w:line="540" w:lineRule="exact"/>
        <w:ind w:firstLine="426" w:firstLineChars="200"/>
        <w:rPr>
          <w:rFonts w:ascii="宋体" w:hAnsi="宋体"/>
          <w:szCs w:val="21"/>
        </w:rPr>
      </w:pPr>
      <w:r>
        <w:rPr>
          <w:rFonts w:hint="eastAsia" w:ascii="宋体" w:hAnsi="宋体"/>
          <w:szCs w:val="21"/>
        </w:rPr>
        <w:t>事实依据：</w:t>
      </w:r>
      <w:r>
        <w:rPr>
          <w:rFonts w:hint="eastAsia" w:ascii="宋体" w:hAnsi="宋体"/>
          <w:szCs w:val="21"/>
          <w:u w:val="dotted"/>
        </w:rPr>
        <w:t xml:space="preserve">                                           </w:t>
      </w:r>
    </w:p>
    <w:p w14:paraId="26A013C0">
      <w:pPr>
        <w:adjustRightInd w:val="0"/>
        <w:snapToGrid w:val="0"/>
        <w:spacing w:line="540" w:lineRule="exact"/>
        <w:ind w:firstLine="426" w:firstLineChars="200"/>
        <w:rPr>
          <w:rFonts w:ascii="宋体" w:hAnsi="宋体"/>
          <w:szCs w:val="21"/>
          <w:u w:val="dotted"/>
        </w:rPr>
      </w:pPr>
      <w:r>
        <w:rPr>
          <w:rFonts w:hint="eastAsia" w:ascii="宋体" w:hAnsi="宋体"/>
          <w:szCs w:val="21"/>
        </w:rPr>
        <w:t>法律依据：</w:t>
      </w:r>
      <w:r>
        <w:rPr>
          <w:rFonts w:hint="eastAsia" w:ascii="宋体" w:hAnsi="宋体"/>
          <w:szCs w:val="21"/>
          <w:u w:val="dotted"/>
        </w:rPr>
        <w:t xml:space="preserve">                                           </w:t>
      </w:r>
    </w:p>
    <w:p w14:paraId="26792454">
      <w:pPr>
        <w:adjustRightInd w:val="0"/>
        <w:snapToGrid w:val="0"/>
        <w:spacing w:line="540" w:lineRule="exact"/>
        <w:ind w:firstLine="426" w:firstLineChars="200"/>
        <w:rPr>
          <w:rFonts w:ascii="宋体" w:hAnsi="宋体"/>
          <w:szCs w:val="21"/>
          <w:u w:val="dotted"/>
        </w:rPr>
      </w:pPr>
      <w:r>
        <w:rPr>
          <w:rFonts w:hint="eastAsia" w:ascii="宋体" w:hAnsi="宋体"/>
          <w:szCs w:val="21"/>
        </w:rPr>
        <w:t>质疑事项2</w:t>
      </w:r>
    </w:p>
    <w:p w14:paraId="1F0F6965">
      <w:pPr>
        <w:adjustRightInd w:val="0"/>
        <w:snapToGrid w:val="0"/>
        <w:spacing w:line="540" w:lineRule="exact"/>
        <w:ind w:firstLine="426" w:firstLineChars="200"/>
        <w:outlineLvl w:val="0"/>
        <w:rPr>
          <w:rFonts w:ascii="宋体" w:hAnsi="宋体"/>
          <w:bCs/>
          <w:szCs w:val="21"/>
        </w:rPr>
      </w:pPr>
      <w:bookmarkStart w:id="57" w:name="_Toc22365"/>
      <w:r>
        <w:rPr>
          <w:rFonts w:hint="eastAsia" w:ascii="宋体" w:hAnsi="宋体"/>
          <w:bCs/>
          <w:szCs w:val="21"/>
        </w:rPr>
        <w:t>四、与质疑事项相关的质疑请求</w:t>
      </w:r>
      <w:bookmarkEnd w:id="57"/>
    </w:p>
    <w:p w14:paraId="1677DAFD">
      <w:pPr>
        <w:adjustRightInd w:val="0"/>
        <w:snapToGrid w:val="0"/>
        <w:spacing w:line="540" w:lineRule="exact"/>
        <w:ind w:firstLine="426" w:firstLineChars="200"/>
        <w:rPr>
          <w:rFonts w:ascii="宋体" w:hAnsi="宋体"/>
          <w:szCs w:val="21"/>
          <w:u w:val="dotted"/>
        </w:rPr>
      </w:pPr>
      <w:r>
        <w:rPr>
          <w:rFonts w:hint="eastAsia" w:ascii="宋体" w:hAnsi="宋体"/>
          <w:szCs w:val="21"/>
        </w:rPr>
        <w:t>请求：</w:t>
      </w:r>
      <w:r>
        <w:rPr>
          <w:rFonts w:hint="eastAsia" w:ascii="宋体" w:hAnsi="宋体"/>
          <w:szCs w:val="21"/>
          <w:u w:val="dotted"/>
        </w:rPr>
        <w:t xml:space="preserve">                                               </w:t>
      </w:r>
    </w:p>
    <w:p w14:paraId="1058145A">
      <w:pPr>
        <w:spacing w:line="540" w:lineRule="exact"/>
        <w:ind w:firstLine="426" w:firstLineChars="200"/>
        <w:rPr>
          <w:rFonts w:ascii="宋体" w:hAnsi="宋体"/>
          <w:szCs w:val="21"/>
        </w:rPr>
      </w:pPr>
      <w:r>
        <w:rPr>
          <w:rFonts w:hint="eastAsia" w:ascii="宋体" w:hAnsi="宋体"/>
          <w:szCs w:val="21"/>
        </w:rPr>
        <w:t xml:space="preserve">签字(签章)：                   公章：                      </w:t>
      </w:r>
    </w:p>
    <w:p w14:paraId="5238DC72">
      <w:pPr>
        <w:spacing w:line="540" w:lineRule="exact"/>
        <w:ind w:firstLine="426" w:firstLineChars="200"/>
        <w:rPr>
          <w:rFonts w:ascii="宋体" w:hAnsi="宋体"/>
          <w:b/>
          <w:bCs/>
          <w:szCs w:val="21"/>
        </w:rPr>
      </w:pPr>
      <w:r>
        <w:rPr>
          <w:rFonts w:hint="eastAsia" w:ascii="宋体" w:hAnsi="宋体"/>
          <w:szCs w:val="21"/>
        </w:rPr>
        <w:t xml:space="preserve">日期：    </w:t>
      </w:r>
    </w:p>
    <w:p w14:paraId="168C6424">
      <w:pPr>
        <w:pageBreakBefore/>
        <w:spacing w:line="440" w:lineRule="exact"/>
        <w:jc w:val="center"/>
        <w:outlineLvl w:val="0"/>
        <w:rPr>
          <w:rFonts w:ascii="黑体" w:eastAsia="黑体"/>
          <w:sz w:val="30"/>
          <w:szCs w:val="30"/>
        </w:rPr>
      </w:pPr>
      <w:bookmarkStart w:id="58" w:name="_Toc469495731"/>
      <w:r>
        <w:rPr>
          <w:rFonts w:hint="eastAsia" w:ascii="黑体" w:eastAsia="黑体"/>
          <w:sz w:val="30"/>
          <w:szCs w:val="30"/>
        </w:rPr>
        <w:t>第三章  评标办法</w:t>
      </w:r>
      <w:bookmarkEnd w:id="58"/>
    </w:p>
    <w:p w14:paraId="754E9832">
      <w:pPr>
        <w:jc w:val="center"/>
        <w:outlineLvl w:val="1"/>
        <w:rPr>
          <w:rFonts w:ascii="宋体" w:hAnsi="Times New Roman" w:cs="Times New Roman"/>
          <w:b/>
          <w:sz w:val="28"/>
          <w:szCs w:val="28"/>
        </w:rPr>
      </w:pPr>
      <w:bookmarkStart w:id="59" w:name="_Toc469495733"/>
      <w:bookmarkStart w:id="60" w:name="_Toc362983802"/>
      <w:bookmarkStart w:id="61" w:name="_Toc267320058"/>
      <w:bookmarkStart w:id="62" w:name="_Toc363135205"/>
      <w:r>
        <w:rPr>
          <w:rFonts w:hint="eastAsia" w:ascii="宋体" w:hAnsi="Times New Roman" w:cs="Times New Roman"/>
          <w:b/>
          <w:sz w:val="28"/>
          <w:szCs w:val="28"/>
        </w:rPr>
        <w:t>一  总  则</w:t>
      </w:r>
    </w:p>
    <w:p w14:paraId="053B0431">
      <w:pPr>
        <w:tabs>
          <w:tab w:val="left" w:pos="567"/>
          <w:tab w:val="left" w:pos="600"/>
        </w:tabs>
        <w:spacing w:line="440" w:lineRule="exact"/>
        <w:ind w:firstLine="542" w:firstLineChars="255"/>
        <w:rPr>
          <w:rFonts w:ascii="宋体" w:hAnsi="宋体"/>
          <w:szCs w:val="21"/>
        </w:rPr>
      </w:pPr>
      <w:r>
        <w:rPr>
          <w:rFonts w:hint="eastAsia" w:ascii="宋体" w:hAnsi="宋体"/>
          <w:szCs w:val="21"/>
        </w:rPr>
        <w:t>1、一般规定</w:t>
      </w:r>
    </w:p>
    <w:p w14:paraId="0FF68719">
      <w:pPr>
        <w:spacing w:line="440" w:lineRule="exact"/>
        <w:ind w:firstLine="542" w:firstLineChars="255"/>
        <w:rPr>
          <w:rFonts w:ascii="宋体" w:hAnsi="宋体"/>
          <w:szCs w:val="21"/>
        </w:rPr>
      </w:pPr>
      <w:r>
        <w:rPr>
          <w:rFonts w:hint="eastAsia" w:ascii="宋体" w:hAnsi="宋体"/>
          <w:szCs w:val="21"/>
        </w:rPr>
        <w:t>1.1本项目的招标按照《中华人民共和国政府采购法》、《政府采购货物和服务招标投标管理办法》及政府采购的有关规定进行。</w:t>
      </w:r>
    </w:p>
    <w:p w14:paraId="034EC1C6">
      <w:pPr>
        <w:spacing w:line="440" w:lineRule="exact"/>
        <w:ind w:firstLine="542" w:firstLineChars="255"/>
        <w:rPr>
          <w:rFonts w:ascii="宋体" w:hAnsi="宋体"/>
          <w:szCs w:val="21"/>
        </w:rPr>
      </w:pPr>
      <w:r>
        <w:rPr>
          <w:rFonts w:hint="eastAsia" w:ascii="宋体" w:hAnsi="宋体"/>
          <w:szCs w:val="21"/>
        </w:rPr>
        <w:t>1.2评标必须遵循邀请、公平、公正、诚实信用的原则。</w:t>
      </w:r>
    </w:p>
    <w:p w14:paraId="25439727">
      <w:pPr>
        <w:spacing w:line="440" w:lineRule="exact"/>
        <w:ind w:firstLine="542" w:firstLineChars="255"/>
        <w:rPr>
          <w:rFonts w:ascii="宋体" w:hAnsi="宋体"/>
          <w:szCs w:val="21"/>
        </w:rPr>
      </w:pPr>
      <w:r>
        <w:rPr>
          <w:rFonts w:hint="eastAsia" w:ascii="宋体" w:hAnsi="宋体"/>
          <w:szCs w:val="21"/>
        </w:rPr>
        <w:t>1.3招标代理机构组织招标、开标、评标工作，全过程接受政府采购有关部门的监督、管理和指导。</w:t>
      </w:r>
    </w:p>
    <w:p w14:paraId="17CE027C">
      <w:pPr>
        <w:spacing w:line="440" w:lineRule="exact"/>
        <w:ind w:firstLine="542" w:firstLineChars="255"/>
        <w:rPr>
          <w:rFonts w:ascii="宋体" w:hAnsi="宋体"/>
          <w:szCs w:val="21"/>
        </w:rPr>
      </w:pPr>
      <w:r>
        <w:rPr>
          <w:rFonts w:hint="eastAsia" w:ascii="宋体" w:hAnsi="宋体"/>
          <w:szCs w:val="21"/>
        </w:rPr>
        <w:t>1.4评标按照招标文件规定的内容进行，采取符合招标文件要求的</w:t>
      </w:r>
      <w:r>
        <w:rPr>
          <w:rFonts w:hint="eastAsia" w:ascii="宋体" w:hAnsi="宋体"/>
          <w:szCs w:val="21"/>
          <w:lang w:eastAsia="zh-CN"/>
        </w:rPr>
        <w:t>综合评分法。</w:t>
      </w:r>
    </w:p>
    <w:p w14:paraId="039725C3">
      <w:pPr>
        <w:spacing w:line="440" w:lineRule="exact"/>
        <w:ind w:firstLine="542" w:firstLineChars="255"/>
        <w:rPr>
          <w:rFonts w:ascii="宋体" w:hAnsi="宋体"/>
          <w:szCs w:val="21"/>
        </w:rPr>
      </w:pPr>
      <w:r>
        <w:rPr>
          <w:rFonts w:hint="eastAsia" w:ascii="宋体" w:hAnsi="宋体"/>
          <w:szCs w:val="21"/>
        </w:rPr>
        <w:t>1.5本办法的评标对象是指投标人按照招标文件要求提供的有效投标文件，包括投标人应评标委员会要求对原投标文件作出的正式书面澄清文件。</w:t>
      </w:r>
    </w:p>
    <w:p w14:paraId="1A9DC5DC">
      <w:pPr>
        <w:tabs>
          <w:tab w:val="left" w:pos="567"/>
          <w:tab w:val="left" w:pos="1145"/>
        </w:tabs>
        <w:spacing w:line="440" w:lineRule="exact"/>
        <w:ind w:firstLine="542" w:firstLineChars="255"/>
        <w:rPr>
          <w:rFonts w:ascii="宋体" w:hAnsi="宋体"/>
          <w:szCs w:val="21"/>
        </w:rPr>
      </w:pPr>
      <w:r>
        <w:rPr>
          <w:rFonts w:hint="eastAsia" w:ascii="宋体" w:hAnsi="宋体"/>
          <w:szCs w:val="21"/>
        </w:rPr>
        <w:t>2、评标组织机构的组成</w:t>
      </w:r>
    </w:p>
    <w:p w14:paraId="31C3D246">
      <w:pPr>
        <w:widowControl/>
        <w:spacing w:line="440" w:lineRule="exact"/>
        <w:ind w:firstLine="480"/>
        <w:rPr>
          <w:rFonts w:ascii="宋体" w:hAnsi="宋体"/>
          <w:b/>
          <w:bCs/>
          <w:kern w:val="0"/>
          <w:szCs w:val="21"/>
        </w:rPr>
      </w:pPr>
      <w:r>
        <w:rPr>
          <w:rFonts w:hint="eastAsia" w:ascii="宋体" w:hAnsi="宋体"/>
          <w:b/>
          <w:bCs/>
          <w:szCs w:val="21"/>
        </w:rPr>
        <w:t>2.1</w:t>
      </w:r>
      <w:r>
        <w:rPr>
          <w:rFonts w:hint="eastAsia" w:ascii="宋体" w:hAnsi="宋体"/>
          <w:spacing w:val="-2"/>
          <w:sz w:val="24"/>
        </w:rPr>
        <w:t xml:space="preserve"> </w:t>
      </w:r>
      <w:r>
        <w:rPr>
          <w:rFonts w:hint="eastAsia" w:ascii="宋体" w:hAnsi="宋体"/>
          <w:kern w:val="0"/>
          <w:szCs w:val="21"/>
        </w:rPr>
        <w:t>评标委员会由有关技术、经济等方面的专家组成，成员人数应当为5人或5人以上单数。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5DCE776C">
      <w:pPr>
        <w:tabs>
          <w:tab w:val="left" w:pos="567"/>
          <w:tab w:val="left" w:pos="1145"/>
        </w:tabs>
        <w:spacing w:line="440" w:lineRule="exact"/>
        <w:ind w:firstLine="542" w:firstLineChars="255"/>
        <w:rPr>
          <w:rFonts w:ascii="宋体" w:hAnsi="宋体"/>
          <w:szCs w:val="21"/>
        </w:rPr>
      </w:pPr>
      <w:r>
        <w:rPr>
          <w:rFonts w:hint="eastAsia" w:ascii="宋体" w:hAnsi="宋体"/>
          <w:szCs w:val="21"/>
        </w:rPr>
        <w:t>2.2评标工作组由招标人及有关专家组成，由评标委员会确认，并接受其领导。</w:t>
      </w:r>
    </w:p>
    <w:p w14:paraId="52B60741">
      <w:pPr>
        <w:tabs>
          <w:tab w:val="left" w:pos="567"/>
          <w:tab w:val="left" w:pos="1145"/>
        </w:tabs>
        <w:spacing w:line="440" w:lineRule="exact"/>
        <w:ind w:firstLine="542" w:firstLineChars="255"/>
        <w:rPr>
          <w:rFonts w:ascii="宋体" w:hAnsi="宋体"/>
          <w:szCs w:val="21"/>
        </w:rPr>
      </w:pPr>
      <w:r>
        <w:rPr>
          <w:rFonts w:hint="eastAsia" w:ascii="宋体" w:hAnsi="宋体"/>
          <w:szCs w:val="21"/>
        </w:rPr>
        <w:t>2.3评标委员会应相对独立工作，负责评标、撰写技术、商务评标报告。采购代理机构负责评标过程中资料的保管、发放、回收，整理、汇总评标资料。</w:t>
      </w:r>
    </w:p>
    <w:p w14:paraId="7EA55536">
      <w:pPr>
        <w:tabs>
          <w:tab w:val="left" w:pos="567"/>
          <w:tab w:val="left" w:pos="600"/>
        </w:tabs>
        <w:spacing w:line="440" w:lineRule="exact"/>
        <w:ind w:firstLine="542" w:firstLineChars="255"/>
        <w:rPr>
          <w:rFonts w:ascii="宋体" w:hAnsi="宋体"/>
          <w:szCs w:val="21"/>
        </w:rPr>
      </w:pPr>
      <w:r>
        <w:rPr>
          <w:rFonts w:hint="eastAsia" w:ascii="宋体" w:hAnsi="宋体"/>
          <w:szCs w:val="21"/>
        </w:rPr>
        <w:t>3、评标委员会职责</w:t>
      </w:r>
    </w:p>
    <w:p w14:paraId="24223DFC">
      <w:pPr>
        <w:pStyle w:val="41"/>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3.1审查投标文件是否符合招标文件要求，并作出评价；</w:t>
      </w:r>
    </w:p>
    <w:p w14:paraId="57AF88CC">
      <w:pPr>
        <w:pStyle w:val="41"/>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3.2要求投标人对投标文件有关事项作出解释或者澄清；</w:t>
      </w:r>
    </w:p>
    <w:p w14:paraId="4FEBEF82">
      <w:pPr>
        <w:pStyle w:val="41"/>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3.3推荐中标候选人名单；</w:t>
      </w:r>
    </w:p>
    <w:p w14:paraId="1D4865E0">
      <w:pPr>
        <w:pStyle w:val="41"/>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3.4向招标人、招标代理机构或者有关部门报告非法干预评标工作的行为。</w:t>
      </w:r>
    </w:p>
    <w:p w14:paraId="55AB1D4E">
      <w:pPr>
        <w:tabs>
          <w:tab w:val="left" w:pos="567"/>
          <w:tab w:val="left" w:pos="600"/>
        </w:tabs>
        <w:spacing w:line="440" w:lineRule="exact"/>
        <w:ind w:firstLine="542" w:firstLineChars="255"/>
        <w:rPr>
          <w:rFonts w:ascii="宋体" w:hAnsi="宋体"/>
          <w:szCs w:val="21"/>
        </w:rPr>
      </w:pPr>
      <w:r>
        <w:rPr>
          <w:rFonts w:hint="eastAsia" w:ascii="宋体" w:hAnsi="宋体"/>
          <w:szCs w:val="21"/>
        </w:rPr>
        <w:t>4、评标委员会义务</w:t>
      </w:r>
    </w:p>
    <w:p w14:paraId="4EF8D89B">
      <w:pPr>
        <w:tabs>
          <w:tab w:val="left" w:pos="567"/>
          <w:tab w:val="left" w:pos="600"/>
        </w:tabs>
        <w:spacing w:line="440" w:lineRule="exact"/>
        <w:ind w:firstLine="542" w:firstLineChars="255"/>
        <w:rPr>
          <w:rFonts w:ascii="宋体" w:hAnsi="宋体"/>
          <w:szCs w:val="21"/>
        </w:rPr>
      </w:pPr>
      <w:r>
        <w:rPr>
          <w:rFonts w:hint="eastAsia" w:ascii="宋体" w:hAnsi="宋体"/>
          <w:szCs w:val="21"/>
        </w:rPr>
        <w:t>4.1遵纪守法，客观、公正、廉洁地履行职责；</w:t>
      </w:r>
    </w:p>
    <w:p w14:paraId="2CDEC44A">
      <w:pPr>
        <w:tabs>
          <w:tab w:val="left" w:pos="567"/>
          <w:tab w:val="left" w:pos="600"/>
        </w:tabs>
        <w:spacing w:line="440" w:lineRule="exact"/>
        <w:ind w:firstLine="542" w:firstLineChars="255"/>
        <w:rPr>
          <w:rFonts w:ascii="宋体" w:hAnsi="宋体"/>
          <w:szCs w:val="21"/>
        </w:rPr>
      </w:pPr>
      <w:r>
        <w:rPr>
          <w:rFonts w:hint="eastAsia" w:ascii="宋体" w:hAnsi="宋体"/>
          <w:szCs w:val="21"/>
        </w:rPr>
        <w:t>4.2按照招标文件规定的评标方法和评标标准进行评标，对评审意见承担个人责任；</w:t>
      </w:r>
    </w:p>
    <w:p w14:paraId="4A22FD37">
      <w:pPr>
        <w:tabs>
          <w:tab w:val="left" w:pos="567"/>
          <w:tab w:val="left" w:pos="600"/>
        </w:tabs>
        <w:spacing w:line="440" w:lineRule="exact"/>
        <w:ind w:firstLine="542" w:firstLineChars="255"/>
        <w:rPr>
          <w:rFonts w:ascii="宋体" w:hAnsi="宋体"/>
          <w:szCs w:val="21"/>
        </w:rPr>
      </w:pPr>
      <w:r>
        <w:rPr>
          <w:rFonts w:hint="eastAsia" w:ascii="宋体" w:hAnsi="宋体"/>
          <w:szCs w:val="21"/>
        </w:rPr>
        <w:t>4.3对评标过程和结果，以及投标人的商业秘密保密；</w:t>
      </w:r>
    </w:p>
    <w:p w14:paraId="6076C27D">
      <w:pPr>
        <w:tabs>
          <w:tab w:val="left" w:pos="567"/>
          <w:tab w:val="left" w:pos="600"/>
        </w:tabs>
        <w:spacing w:line="440" w:lineRule="exact"/>
        <w:ind w:firstLine="542" w:firstLineChars="255"/>
        <w:rPr>
          <w:rFonts w:ascii="宋体" w:hAnsi="宋体"/>
          <w:szCs w:val="21"/>
        </w:rPr>
      </w:pPr>
      <w:r>
        <w:rPr>
          <w:rFonts w:hint="eastAsia" w:ascii="宋体" w:hAnsi="宋体"/>
          <w:szCs w:val="21"/>
        </w:rPr>
        <w:t>4.4参与评标报告的起草；</w:t>
      </w:r>
    </w:p>
    <w:p w14:paraId="0E68FAC5">
      <w:pPr>
        <w:tabs>
          <w:tab w:val="left" w:pos="567"/>
          <w:tab w:val="left" w:pos="600"/>
        </w:tabs>
        <w:spacing w:line="440" w:lineRule="exact"/>
        <w:ind w:firstLine="542" w:firstLineChars="255"/>
        <w:rPr>
          <w:rFonts w:ascii="宋体" w:hAnsi="宋体"/>
          <w:szCs w:val="21"/>
        </w:rPr>
      </w:pPr>
      <w:r>
        <w:rPr>
          <w:rFonts w:hint="eastAsia" w:ascii="宋体" w:hAnsi="宋体"/>
          <w:szCs w:val="21"/>
        </w:rPr>
        <w:t>4.5配合有关部门的投诉处理工作；</w:t>
      </w:r>
    </w:p>
    <w:p w14:paraId="438C5C9C">
      <w:pPr>
        <w:tabs>
          <w:tab w:val="left" w:pos="567"/>
          <w:tab w:val="left" w:pos="600"/>
        </w:tabs>
        <w:spacing w:line="440" w:lineRule="exact"/>
        <w:ind w:firstLine="542" w:firstLineChars="255"/>
        <w:rPr>
          <w:rFonts w:ascii="宋体" w:hAnsi="宋体"/>
          <w:szCs w:val="21"/>
        </w:rPr>
      </w:pPr>
      <w:r>
        <w:rPr>
          <w:rFonts w:hint="eastAsia" w:ascii="宋体" w:hAnsi="宋体"/>
          <w:szCs w:val="21"/>
        </w:rPr>
        <w:t>4.6配合招标人、招标代理机构答复投标供应商提出的质疑。</w:t>
      </w:r>
    </w:p>
    <w:p w14:paraId="63EF96ED">
      <w:pPr>
        <w:tabs>
          <w:tab w:val="left" w:pos="1547"/>
        </w:tabs>
        <w:spacing w:line="440" w:lineRule="exact"/>
        <w:ind w:firstLine="542" w:firstLineChars="255"/>
        <w:rPr>
          <w:rFonts w:ascii="宋体" w:hAnsi="宋体"/>
          <w:szCs w:val="21"/>
        </w:rPr>
      </w:pPr>
      <w:r>
        <w:rPr>
          <w:rFonts w:hint="eastAsia" w:ascii="宋体" w:hAnsi="宋体"/>
          <w:szCs w:val="21"/>
        </w:rPr>
        <w:t>5、 评标程序</w:t>
      </w:r>
    </w:p>
    <w:p w14:paraId="10B5997B">
      <w:pPr>
        <w:pStyle w:val="22"/>
        <w:tabs>
          <w:tab w:val="clear" w:pos="0"/>
        </w:tabs>
        <w:spacing w:line="440" w:lineRule="exact"/>
        <w:ind w:firstLine="542" w:firstLineChars="255"/>
        <w:rPr>
          <w:rFonts w:ascii="宋体" w:hAnsi="宋体"/>
          <w:bCs/>
          <w:color w:val="auto"/>
          <w:szCs w:val="21"/>
        </w:rPr>
      </w:pPr>
      <w:r>
        <w:rPr>
          <w:rFonts w:hint="eastAsia" w:ascii="宋体" w:hAnsi="宋体"/>
          <w:bCs/>
          <w:color w:val="auto"/>
          <w:szCs w:val="21"/>
        </w:rPr>
        <w:t>5.1本次评标首先由评标委员会对投标人的投标文件进行初审，对未能通过初审的投标文件作无效标处理；</w:t>
      </w:r>
    </w:p>
    <w:p w14:paraId="70617F4C">
      <w:pPr>
        <w:tabs>
          <w:tab w:val="left" w:pos="720"/>
        </w:tabs>
        <w:spacing w:line="440" w:lineRule="exact"/>
        <w:ind w:firstLine="542" w:firstLineChars="255"/>
        <w:rPr>
          <w:rFonts w:ascii="宋体" w:hAnsi="宋体"/>
          <w:szCs w:val="21"/>
        </w:rPr>
      </w:pPr>
      <w:r>
        <w:rPr>
          <w:rFonts w:hint="eastAsia" w:ascii="宋体" w:hAnsi="宋体"/>
          <w:szCs w:val="21"/>
        </w:rPr>
        <w:t>5.2对通过初审的投标人的投标文件进行详细的比较和评价。如需要，进行必要的澄清工作；</w:t>
      </w:r>
    </w:p>
    <w:p w14:paraId="6EDBD464">
      <w:pPr>
        <w:widowControl/>
        <w:spacing w:line="360" w:lineRule="exact"/>
        <w:ind w:firstLine="482"/>
        <w:rPr>
          <w:rFonts w:hint="eastAsia" w:ascii="宋体" w:hAnsi="宋体"/>
          <w:kern w:val="0"/>
          <w:szCs w:val="21"/>
        </w:rPr>
      </w:pPr>
      <w:r>
        <w:rPr>
          <w:rFonts w:hint="eastAsia" w:ascii="宋体" w:hAnsi="宋体"/>
          <w:szCs w:val="21"/>
        </w:rPr>
        <w:t>5.3依据评分标准以及各项权值，各位评委单独就每个投标人的</w:t>
      </w:r>
      <w:r>
        <w:rPr>
          <w:rFonts w:hint="eastAsia" w:ascii="宋体" w:hAnsi="宋体"/>
          <w:kern w:val="0"/>
          <w:szCs w:val="21"/>
        </w:rPr>
        <w:t>投标文件进行价格、技术、</w:t>
      </w:r>
      <w:r>
        <w:fldChar w:fldCharType="begin"/>
      </w:r>
      <w:r>
        <w:instrText xml:space="preserve"> HYPERLINK "http://zhidao.baidu.com/search?word=%E8%B4%A2%E5%8A%A1%E7%8A%B6%E5%86%B5&amp;fr=qb_search_exp&amp;ie=utf8&amp;eid_gfrom=151" </w:instrText>
      </w:r>
      <w:r>
        <w:fldChar w:fldCharType="separate"/>
      </w:r>
      <w:r>
        <w:rPr>
          <w:rFonts w:hint="eastAsia" w:ascii="宋体" w:hAnsi="宋体"/>
          <w:kern w:val="0"/>
          <w:szCs w:val="21"/>
        </w:rPr>
        <w:t>财务状况</w:t>
      </w:r>
      <w:r>
        <w:fldChar w:fldCharType="end"/>
      </w:r>
      <w:r>
        <w:rPr>
          <w:rFonts w:hint="eastAsia" w:ascii="宋体" w:hAnsi="宋体"/>
          <w:kern w:val="0"/>
          <w:szCs w:val="21"/>
        </w:rPr>
        <w:t>、信誉、业绩、服务、对招标文件的响应程度，以及相应的比重或者权值等各项因素进行综合评审后，按最终综合得分由高向低排序，由评标委员会推荐综合得分最高的投标人为第一中标候选人，综合得分第二名的投标人为第二中标候选人，综合得分第三名的投标人为第三中标候选人。</w:t>
      </w:r>
    </w:p>
    <w:p w14:paraId="4A8F6674">
      <w:pPr>
        <w:widowControl/>
        <w:spacing w:line="360" w:lineRule="exact"/>
        <w:ind w:firstLine="482"/>
        <w:rPr>
          <w:rFonts w:hint="eastAsia" w:ascii="宋体" w:hAnsi="宋体"/>
          <w:kern w:val="0"/>
          <w:szCs w:val="21"/>
        </w:rPr>
      </w:pPr>
    </w:p>
    <w:p w14:paraId="49B7BEDA">
      <w:pPr>
        <w:widowControl/>
        <w:spacing w:line="360" w:lineRule="exact"/>
        <w:ind w:firstLine="482"/>
        <w:rPr>
          <w:rFonts w:hint="eastAsia" w:ascii="宋体" w:hAnsi="宋体"/>
          <w:kern w:val="0"/>
          <w:szCs w:val="21"/>
        </w:rPr>
      </w:pPr>
    </w:p>
    <w:p w14:paraId="6747E241">
      <w:pPr>
        <w:widowControl/>
        <w:spacing w:line="360" w:lineRule="exact"/>
        <w:ind w:firstLine="482"/>
        <w:rPr>
          <w:rFonts w:hint="eastAsia" w:ascii="宋体" w:hAnsi="宋体"/>
          <w:kern w:val="0"/>
          <w:szCs w:val="21"/>
        </w:rPr>
      </w:pPr>
    </w:p>
    <w:p w14:paraId="4CC65A0E">
      <w:pPr>
        <w:widowControl/>
        <w:spacing w:line="360" w:lineRule="exact"/>
        <w:ind w:firstLine="482"/>
        <w:rPr>
          <w:rFonts w:hint="eastAsia" w:ascii="宋体" w:hAnsi="宋体"/>
          <w:kern w:val="0"/>
          <w:szCs w:val="21"/>
        </w:rPr>
      </w:pPr>
    </w:p>
    <w:p w14:paraId="165BF746">
      <w:pPr>
        <w:widowControl/>
        <w:spacing w:line="360" w:lineRule="exact"/>
        <w:ind w:firstLine="482"/>
        <w:rPr>
          <w:rFonts w:hint="eastAsia" w:ascii="宋体" w:hAnsi="宋体"/>
          <w:kern w:val="0"/>
          <w:szCs w:val="21"/>
        </w:rPr>
      </w:pPr>
    </w:p>
    <w:p w14:paraId="3AB41F25">
      <w:pPr>
        <w:widowControl/>
        <w:spacing w:line="360" w:lineRule="exact"/>
        <w:ind w:firstLine="482"/>
        <w:rPr>
          <w:rFonts w:hint="eastAsia" w:ascii="宋体" w:hAnsi="宋体"/>
          <w:kern w:val="0"/>
          <w:szCs w:val="21"/>
        </w:rPr>
      </w:pPr>
    </w:p>
    <w:p w14:paraId="61C2BF3C">
      <w:pPr>
        <w:widowControl/>
        <w:spacing w:line="360" w:lineRule="exact"/>
        <w:ind w:firstLine="482"/>
        <w:rPr>
          <w:rFonts w:hint="eastAsia" w:ascii="宋体" w:hAnsi="宋体"/>
          <w:kern w:val="0"/>
          <w:szCs w:val="21"/>
        </w:rPr>
      </w:pPr>
    </w:p>
    <w:p w14:paraId="7611E50C">
      <w:pPr>
        <w:widowControl/>
        <w:spacing w:line="360" w:lineRule="exact"/>
        <w:ind w:firstLine="482"/>
        <w:rPr>
          <w:rFonts w:hint="eastAsia" w:ascii="宋体" w:hAnsi="宋体"/>
          <w:kern w:val="0"/>
          <w:szCs w:val="21"/>
        </w:rPr>
      </w:pPr>
    </w:p>
    <w:p w14:paraId="5CE89EA0">
      <w:pPr>
        <w:widowControl/>
        <w:spacing w:line="360" w:lineRule="exact"/>
        <w:ind w:firstLine="482"/>
        <w:rPr>
          <w:rFonts w:hint="eastAsia" w:ascii="宋体" w:hAnsi="宋体"/>
          <w:kern w:val="0"/>
          <w:szCs w:val="21"/>
        </w:rPr>
      </w:pPr>
    </w:p>
    <w:p w14:paraId="6229A19C">
      <w:pPr>
        <w:widowControl/>
        <w:spacing w:line="360" w:lineRule="exact"/>
        <w:ind w:firstLine="482"/>
        <w:rPr>
          <w:rFonts w:hint="eastAsia" w:ascii="宋体" w:hAnsi="宋体"/>
          <w:kern w:val="0"/>
          <w:szCs w:val="21"/>
        </w:rPr>
      </w:pPr>
    </w:p>
    <w:p w14:paraId="154C594F">
      <w:pPr>
        <w:widowControl/>
        <w:spacing w:line="360" w:lineRule="exact"/>
        <w:ind w:firstLine="482"/>
        <w:rPr>
          <w:rFonts w:hint="eastAsia" w:ascii="宋体" w:hAnsi="宋体"/>
          <w:kern w:val="0"/>
          <w:szCs w:val="21"/>
        </w:rPr>
      </w:pPr>
    </w:p>
    <w:p w14:paraId="235DA615">
      <w:pPr>
        <w:widowControl/>
        <w:spacing w:line="360" w:lineRule="exact"/>
        <w:ind w:firstLine="482"/>
        <w:rPr>
          <w:rFonts w:hint="eastAsia" w:ascii="宋体" w:hAnsi="宋体"/>
          <w:kern w:val="0"/>
          <w:szCs w:val="21"/>
        </w:rPr>
      </w:pPr>
    </w:p>
    <w:p w14:paraId="117044E5">
      <w:pPr>
        <w:widowControl/>
        <w:spacing w:line="360" w:lineRule="exact"/>
        <w:ind w:firstLine="482"/>
        <w:rPr>
          <w:rFonts w:hint="eastAsia" w:ascii="宋体" w:hAnsi="宋体"/>
          <w:kern w:val="0"/>
          <w:szCs w:val="21"/>
        </w:rPr>
      </w:pPr>
    </w:p>
    <w:p w14:paraId="2FCA7D59">
      <w:pPr>
        <w:widowControl/>
        <w:spacing w:line="360" w:lineRule="exact"/>
        <w:ind w:firstLine="482"/>
        <w:rPr>
          <w:rFonts w:hint="eastAsia" w:ascii="宋体" w:hAnsi="宋体"/>
          <w:kern w:val="0"/>
          <w:szCs w:val="21"/>
        </w:rPr>
      </w:pPr>
    </w:p>
    <w:p w14:paraId="7DE12C12">
      <w:pPr>
        <w:widowControl/>
        <w:spacing w:line="360" w:lineRule="exact"/>
        <w:ind w:firstLine="482"/>
        <w:rPr>
          <w:rFonts w:hint="eastAsia" w:ascii="宋体" w:hAnsi="宋体"/>
          <w:kern w:val="0"/>
          <w:szCs w:val="21"/>
        </w:rPr>
      </w:pPr>
    </w:p>
    <w:p w14:paraId="3DA73CF6">
      <w:pPr>
        <w:widowControl/>
        <w:spacing w:line="360" w:lineRule="exact"/>
        <w:ind w:firstLine="482"/>
        <w:rPr>
          <w:rFonts w:hint="eastAsia" w:ascii="宋体" w:hAnsi="宋体"/>
          <w:kern w:val="0"/>
          <w:szCs w:val="21"/>
        </w:rPr>
      </w:pPr>
    </w:p>
    <w:p w14:paraId="1475BFDC">
      <w:pPr>
        <w:widowControl/>
        <w:spacing w:line="360" w:lineRule="exact"/>
        <w:ind w:firstLine="482"/>
        <w:rPr>
          <w:rFonts w:hint="eastAsia" w:ascii="宋体" w:hAnsi="宋体"/>
          <w:kern w:val="0"/>
          <w:szCs w:val="21"/>
        </w:rPr>
      </w:pPr>
    </w:p>
    <w:p w14:paraId="46BEB6DB">
      <w:pPr>
        <w:widowControl/>
        <w:spacing w:line="360" w:lineRule="exact"/>
        <w:ind w:firstLine="482"/>
        <w:rPr>
          <w:rFonts w:hint="eastAsia" w:ascii="宋体" w:hAnsi="宋体"/>
          <w:kern w:val="0"/>
          <w:szCs w:val="21"/>
        </w:rPr>
      </w:pPr>
    </w:p>
    <w:p w14:paraId="10952150">
      <w:pPr>
        <w:widowControl/>
        <w:spacing w:line="360" w:lineRule="exact"/>
        <w:ind w:firstLine="482"/>
        <w:rPr>
          <w:rFonts w:hint="eastAsia" w:ascii="宋体" w:hAnsi="宋体"/>
          <w:kern w:val="0"/>
          <w:szCs w:val="21"/>
        </w:rPr>
      </w:pPr>
    </w:p>
    <w:p w14:paraId="632313AE">
      <w:pPr>
        <w:widowControl/>
        <w:spacing w:line="360" w:lineRule="exact"/>
        <w:ind w:firstLine="482"/>
        <w:rPr>
          <w:rFonts w:hint="eastAsia" w:ascii="宋体" w:hAnsi="宋体"/>
          <w:kern w:val="0"/>
          <w:szCs w:val="21"/>
        </w:rPr>
      </w:pPr>
    </w:p>
    <w:p w14:paraId="559F2B00">
      <w:pPr>
        <w:widowControl/>
        <w:spacing w:line="360" w:lineRule="exact"/>
        <w:ind w:firstLine="482"/>
        <w:rPr>
          <w:rFonts w:hint="eastAsia" w:ascii="宋体" w:hAnsi="宋体"/>
          <w:kern w:val="0"/>
          <w:szCs w:val="21"/>
        </w:rPr>
      </w:pPr>
    </w:p>
    <w:p w14:paraId="4FBB5873">
      <w:pPr>
        <w:widowControl/>
        <w:spacing w:line="360" w:lineRule="exact"/>
        <w:ind w:firstLine="482"/>
        <w:rPr>
          <w:rFonts w:hint="eastAsia" w:ascii="宋体" w:hAnsi="宋体"/>
          <w:kern w:val="0"/>
          <w:szCs w:val="21"/>
        </w:rPr>
      </w:pPr>
    </w:p>
    <w:p w14:paraId="5EE4FBD3">
      <w:pPr>
        <w:widowControl/>
        <w:spacing w:line="360" w:lineRule="exact"/>
        <w:ind w:firstLine="482"/>
        <w:rPr>
          <w:rFonts w:hint="eastAsia" w:ascii="宋体" w:hAnsi="宋体"/>
          <w:kern w:val="0"/>
          <w:szCs w:val="21"/>
        </w:rPr>
      </w:pPr>
    </w:p>
    <w:p w14:paraId="2F3C60E2">
      <w:pPr>
        <w:jc w:val="center"/>
        <w:outlineLvl w:val="1"/>
        <w:rPr>
          <w:rFonts w:hint="eastAsia" w:ascii="宋体"/>
          <w:b/>
          <w:sz w:val="28"/>
          <w:szCs w:val="28"/>
        </w:rPr>
      </w:pPr>
    </w:p>
    <w:p w14:paraId="00970D89">
      <w:pPr>
        <w:jc w:val="center"/>
        <w:outlineLvl w:val="1"/>
        <w:rPr>
          <w:rFonts w:ascii="宋体"/>
          <w:b/>
          <w:sz w:val="28"/>
          <w:szCs w:val="28"/>
        </w:rPr>
      </w:pPr>
      <w:r>
        <w:rPr>
          <w:rFonts w:hint="eastAsia" w:ascii="宋体"/>
          <w:b/>
          <w:sz w:val="28"/>
          <w:szCs w:val="28"/>
        </w:rPr>
        <w:t>二</w:t>
      </w:r>
      <w:r>
        <w:rPr>
          <w:rFonts w:hint="eastAsia" w:ascii="宋体"/>
          <w:b/>
          <w:sz w:val="28"/>
          <w:szCs w:val="28"/>
          <w:lang w:eastAsia="zh-CN"/>
        </w:rPr>
        <w:t>、</w:t>
      </w:r>
      <w:r>
        <w:rPr>
          <w:rFonts w:hint="eastAsia" w:ascii="宋体"/>
          <w:b/>
          <w:sz w:val="28"/>
          <w:szCs w:val="28"/>
        </w:rPr>
        <w:t xml:space="preserve">  投标文件初审</w:t>
      </w:r>
      <w:bookmarkEnd w:id="59"/>
      <w:bookmarkEnd w:id="60"/>
    </w:p>
    <w:p w14:paraId="23EC9580">
      <w:pPr>
        <w:spacing w:line="400" w:lineRule="exact"/>
        <w:ind w:firstLine="312" w:firstLineChars="147"/>
        <w:rPr>
          <w:rFonts w:ascii="宋体"/>
          <w:b/>
          <w:szCs w:val="21"/>
        </w:rPr>
      </w:pPr>
      <w:r>
        <w:rPr>
          <w:rFonts w:hint="eastAsia" w:ascii="宋体"/>
          <w:b/>
          <w:szCs w:val="21"/>
        </w:rPr>
        <w:t>6.资格性审查:</w:t>
      </w:r>
    </w:p>
    <w:p w14:paraId="7F23B731">
      <w:pPr>
        <w:spacing w:line="400" w:lineRule="exact"/>
        <w:ind w:firstLine="312" w:firstLineChars="147"/>
        <w:rPr>
          <w:szCs w:val="21"/>
        </w:rPr>
      </w:pPr>
      <w:r>
        <w:rPr>
          <w:rFonts w:hint="eastAsia" w:ascii="宋体"/>
          <w:szCs w:val="21"/>
        </w:rPr>
        <w:t>6.1</w:t>
      </w:r>
      <w:r>
        <w:rPr>
          <w:rFonts w:hint="eastAsia"/>
          <w:szCs w:val="21"/>
        </w:rPr>
        <w:t>评审细则</w:t>
      </w:r>
    </w:p>
    <w:tbl>
      <w:tblPr>
        <w:tblStyle w:val="27"/>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521"/>
        <w:gridCol w:w="6904"/>
        <w:gridCol w:w="646"/>
        <w:gridCol w:w="608"/>
      </w:tblGrid>
      <w:tr w14:paraId="5434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60" w:type="dxa"/>
            <w:vMerge w:val="restart"/>
            <w:noWrap w:val="0"/>
            <w:vAlign w:val="center"/>
          </w:tcPr>
          <w:p w14:paraId="6FC9C269">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7425" w:type="dxa"/>
            <w:gridSpan w:val="2"/>
            <w:vMerge w:val="restart"/>
            <w:noWrap w:val="0"/>
            <w:vAlign w:val="center"/>
          </w:tcPr>
          <w:p w14:paraId="3059E9AC">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评审内容</w:t>
            </w:r>
          </w:p>
        </w:tc>
        <w:tc>
          <w:tcPr>
            <w:tcW w:w="1254" w:type="dxa"/>
            <w:gridSpan w:val="2"/>
            <w:noWrap w:val="0"/>
            <w:vAlign w:val="center"/>
          </w:tcPr>
          <w:p w14:paraId="4E7F18CB">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评审意见</w:t>
            </w:r>
          </w:p>
        </w:tc>
      </w:tr>
      <w:tr w14:paraId="1EA8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60" w:type="dxa"/>
            <w:vMerge w:val="continue"/>
            <w:noWrap w:val="0"/>
            <w:vAlign w:val="center"/>
          </w:tcPr>
          <w:p w14:paraId="4B459434">
            <w:pPr>
              <w:shd w:val="clear" w:color="auto" w:fill="auto"/>
              <w:rPr>
                <w:rFonts w:hint="eastAsia" w:ascii="宋体" w:hAnsi="宋体" w:eastAsia="宋体" w:cs="宋体"/>
                <w:color w:val="auto"/>
                <w:sz w:val="18"/>
                <w:szCs w:val="21"/>
                <w:highlight w:val="none"/>
              </w:rPr>
            </w:pPr>
          </w:p>
        </w:tc>
        <w:tc>
          <w:tcPr>
            <w:tcW w:w="7425" w:type="dxa"/>
            <w:gridSpan w:val="2"/>
            <w:vMerge w:val="continue"/>
            <w:noWrap w:val="0"/>
            <w:vAlign w:val="top"/>
          </w:tcPr>
          <w:p w14:paraId="1FFF848B">
            <w:pPr>
              <w:shd w:val="clear" w:color="auto" w:fill="auto"/>
              <w:rPr>
                <w:rFonts w:hint="eastAsia" w:ascii="宋体" w:hAnsi="宋体" w:eastAsia="宋体" w:cs="宋体"/>
                <w:color w:val="auto"/>
                <w:sz w:val="18"/>
                <w:szCs w:val="21"/>
                <w:highlight w:val="none"/>
              </w:rPr>
            </w:pPr>
          </w:p>
        </w:tc>
        <w:tc>
          <w:tcPr>
            <w:tcW w:w="646" w:type="dxa"/>
            <w:noWrap w:val="0"/>
            <w:vAlign w:val="center"/>
          </w:tcPr>
          <w:p w14:paraId="20427598">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是</w:t>
            </w:r>
          </w:p>
        </w:tc>
        <w:tc>
          <w:tcPr>
            <w:tcW w:w="608" w:type="dxa"/>
            <w:noWrap w:val="0"/>
            <w:vAlign w:val="center"/>
          </w:tcPr>
          <w:p w14:paraId="59F20576">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否</w:t>
            </w:r>
          </w:p>
        </w:tc>
      </w:tr>
      <w:tr w14:paraId="7371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60" w:type="dxa"/>
            <w:vMerge w:val="restart"/>
            <w:noWrap w:val="0"/>
            <w:vAlign w:val="center"/>
          </w:tcPr>
          <w:p w14:paraId="53BD53C2">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审</w:t>
            </w:r>
          </w:p>
          <w:p w14:paraId="381F3649">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查</w:t>
            </w:r>
          </w:p>
          <w:p w14:paraId="31CEA11B">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标</w:t>
            </w:r>
          </w:p>
          <w:p w14:paraId="3E5D4A88">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准</w:t>
            </w:r>
          </w:p>
          <w:p w14:paraId="0A2E67E4">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(适</w:t>
            </w:r>
          </w:p>
          <w:p w14:paraId="12A0D6F0">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用</w:t>
            </w:r>
          </w:p>
          <w:p w14:paraId="7206383C">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于</w:t>
            </w:r>
          </w:p>
          <w:p w14:paraId="7FA45336">
            <w:pPr>
              <w:shd w:val="clear" w:color="auto" w:fill="auto"/>
              <w:ind w:firstLine="213"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资</w:t>
            </w:r>
          </w:p>
          <w:p w14:paraId="3936E590">
            <w:pPr>
              <w:shd w:val="clear" w:color="auto" w:fill="auto"/>
              <w:ind w:firstLine="213"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格</w:t>
            </w:r>
          </w:p>
          <w:p w14:paraId="5FCC3360">
            <w:pPr>
              <w:shd w:val="clear" w:color="auto" w:fill="auto"/>
              <w:ind w:left="213" w:leftChars="10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后审)</w:t>
            </w:r>
          </w:p>
        </w:tc>
        <w:tc>
          <w:tcPr>
            <w:tcW w:w="521" w:type="dxa"/>
            <w:noWrap w:val="0"/>
            <w:vAlign w:val="center"/>
          </w:tcPr>
          <w:p w14:paraId="112548BD">
            <w:pPr>
              <w:jc w:val="center"/>
              <w:rPr>
                <w:rFonts w:hint="eastAsia" w:ascii="宋体" w:hAnsi="宋体" w:eastAsia="宋体" w:cs="宋体"/>
                <w:kern w:val="2"/>
                <w:sz w:val="21"/>
                <w:szCs w:val="21"/>
                <w:highlight w:val="none"/>
                <w:lang w:val="en-US" w:eastAsia="zh-CN" w:bidi="ar-SA"/>
              </w:rPr>
            </w:pPr>
            <w:r>
              <w:rPr>
                <w:rFonts w:hint="eastAsia" w:ascii="宋体" w:hAnsi="宋体"/>
                <w:sz w:val="24"/>
              </w:rPr>
              <w:t>1</w:t>
            </w:r>
          </w:p>
        </w:tc>
        <w:tc>
          <w:tcPr>
            <w:tcW w:w="6904" w:type="dxa"/>
            <w:noWrap w:val="0"/>
            <w:vAlign w:val="center"/>
          </w:tcPr>
          <w:p w14:paraId="6B2A8AA8">
            <w:pPr>
              <w:widowControl/>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kern w:val="0"/>
                <w:sz w:val="22"/>
                <w:szCs w:val="22"/>
              </w:rPr>
              <w:t>有效的三证合一营业执照</w:t>
            </w:r>
            <w:r>
              <w:rPr>
                <w:rFonts w:hint="eastAsia" w:ascii="宋体" w:hAnsi="宋体"/>
                <w:kern w:val="0"/>
                <w:sz w:val="22"/>
                <w:szCs w:val="22"/>
                <w:lang w:eastAsia="zh-CN"/>
              </w:rPr>
              <w:t>副本</w:t>
            </w:r>
            <w:r>
              <w:rPr>
                <w:rFonts w:hint="eastAsia" w:cs="Times New Roman"/>
                <w:kern w:val="2"/>
                <w:sz w:val="21"/>
                <w:szCs w:val="21"/>
              </w:rPr>
              <w:t>；</w:t>
            </w:r>
          </w:p>
        </w:tc>
        <w:tc>
          <w:tcPr>
            <w:tcW w:w="646" w:type="dxa"/>
            <w:noWrap w:val="0"/>
            <w:vAlign w:val="top"/>
          </w:tcPr>
          <w:p w14:paraId="4B591F63">
            <w:pPr>
              <w:shd w:val="clear" w:color="auto" w:fill="auto"/>
              <w:rPr>
                <w:rFonts w:hint="eastAsia" w:ascii="宋体" w:hAnsi="宋体" w:eastAsia="宋体" w:cs="宋体"/>
                <w:color w:val="auto"/>
                <w:szCs w:val="21"/>
                <w:highlight w:val="none"/>
              </w:rPr>
            </w:pPr>
          </w:p>
        </w:tc>
        <w:tc>
          <w:tcPr>
            <w:tcW w:w="608" w:type="dxa"/>
            <w:noWrap w:val="0"/>
            <w:vAlign w:val="top"/>
          </w:tcPr>
          <w:p w14:paraId="332E0C71">
            <w:pPr>
              <w:shd w:val="clear" w:color="auto" w:fill="auto"/>
              <w:rPr>
                <w:rFonts w:hint="eastAsia" w:ascii="宋体" w:hAnsi="宋体" w:eastAsia="宋体" w:cs="宋体"/>
                <w:color w:val="auto"/>
                <w:szCs w:val="21"/>
                <w:highlight w:val="none"/>
              </w:rPr>
            </w:pPr>
          </w:p>
        </w:tc>
      </w:tr>
      <w:tr w14:paraId="08EF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60" w:type="dxa"/>
            <w:vMerge w:val="continue"/>
            <w:noWrap w:val="0"/>
            <w:vAlign w:val="center"/>
          </w:tcPr>
          <w:p w14:paraId="4133E0E5">
            <w:pPr>
              <w:shd w:val="clear" w:color="auto" w:fill="auto"/>
              <w:rPr>
                <w:rFonts w:hint="eastAsia" w:ascii="宋体" w:hAnsi="宋体" w:eastAsia="宋体" w:cs="宋体"/>
                <w:kern w:val="2"/>
                <w:sz w:val="21"/>
                <w:szCs w:val="21"/>
                <w:highlight w:val="none"/>
                <w:lang w:val="en-US" w:eastAsia="zh-CN" w:bidi="ar-SA"/>
              </w:rPr>
            </w:pPr>
          </w:p>
        </w:tc>
        <w:tc>
          <w:tcPr>
            <w:tcW w:w="521" w:type="dxa"/>
            <w:noWrap w:val="0"/>
            <w:vAlign w:val="center"/>
          </w:tcPr>
          <w:p w14:paraId="1CD199E7">
            <w:pPr>
              <w:jc w:val="center"/>
              <w:rPr>
                <w:rFonts w:hint="eastAsia" w:ascii="宋体" w:hAnsi="宋体" w:eastAsia="宋体" w:cs="宋体"/>
                <w:kern w:val="2"/>
                <w:sz w:val="21"/>
                <w:szCs w:val="21"/>
                <w:highlight w:val="none"/>
                <w:lang w:val="en-US" w:eastAsia="zh-CN" w:bidi="ar-SA"/>
              </w:rPr>
            </w:pPr>
            <w:r>
              <w:rPr>
                <w:rFonts w:hint="eastAsia" w:ascii="宋体" w:hAnsi="宋体"/>
                <w:sz w:val="24"/>
              </w:rPr>
              <w:t>2</w:t>
            </w:r>
          </w:p>
        </w:tc>
        <w:tc>
          <w:tcPr>
            <w:tcW w:w="6904" w:type="dxa"/>
            <w:noWrap w:val="0"/>
            <w:vAlign w:val="center"/>
          </w:tcPr>
          <w:p w14:paraId="79EFE50C">
            <w:pPr>
              <w:widowControl/>
              <w:jc w:val="left"/>
              <w:textAlignment w:val="center"/>
              <w:rPr>
                <w:rFonts w:hint="eastAsia" w:ascii="宋体" w:hAnsi="宋体"/>
                <w:kern w:val="0"/>
                <w:sz w:val="22"/>
                <w:szCs w:val="22"/>
                <w:lang w:val="en-US" w:eastAsia="zh-CN"/>
              </w:rPr>
            </w:pPr>
            <w:r>
              <w:rPr>
                <w:rFonts w:hint="eastAsia" w:ascii="宋体" w:hAnsi="宋体"/>
                <w:kern w:val="0"/>
                <w:sz w:val="22"/>
                <w:szCs w:val="22"/>
              </w:rPr>
              <w:t>法定代表人投标需提供法定代表人资格证明书，委托代理人投标需提供法定代表人授权委托书；</w:t>
            </w:r>
          </w:p>
        </w:tc>
        <w:tc>
          <w:tcPr>
            <w:tcW w:w="646" w:type="dxa"/>
            <w:noWrap w:val="0"/>
            <w:vAlign w:val="top"/>
          </w:tcPr>
          <w:p w14:paraId="6A51BDAA">
            <w:pPr>
              <w:shd w:val="clear" w:color="auto" w:fill="auto"/>
              <w:rPr>
                <w:rFonts w:hint="eastAsia" w:ascii="宋体" w:hAnsi="宋体" w:eastAsia="宋体" w:cs="宋体"/>
                <w:color w:val="auto"/>
                <w:szCs w:val="21"/>
                <w:highlight w:val="none"/>
              </w:rPr>
            </w:pPr>
          </w:p>
        </w:tc>
        <w:tc>
          <w:tcPr>
            <w:tcW w:w="608" w:type="dxa"/>
            <w:noWrap w:val="0"/>
            <w:vAlign w:val="top"/>
          </w:tcPr>
          <w:p w14:paraId="63C790D1">
            <w:pPr>
              <w:shd w:val="clear" w:color="auto" w:fill="auto"/>
              <w:rPr>
                <w:rFonts w:hint="eastAsia" w:ascii="宋体" w:hAnsi="宋体" w:eastAsia="宋体" w:cs="宋体"/>
                <w:color w:val="auto"/>
                <w:szCs w:val="21"/>
                <w:highlight w:val="none"/>
              </w:rPr>
            </w:pPr>
          </w:p>
        </w:tc>
      </w:tr>
      <w:tr w14:paraId="6BCB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960" w:type="dxa"/>
            <w:vMerge w:val="continue"/>
            <w:noWrap w:val="0"/>
            <w:vAlign w:val="center"/>
          </w:tcPr>
          <w:p w14:paraId="3796A7D9">
            <w:pPr>
              <w:shd w:val="clear" w:color="auto" w:fill="auto"/>
              <w:rPr>
                <w:rFonts w:hint="eastAsia" w:ascii="宋体" w:hAnsi="宋体" w:eastAsia="宋体" w:cs="宋体"/>
                <w:kern w:val="2"/>
                <w:sz w:val="21"/>
                <w:szCs w:val="21"/>
                <w:highlight w:val="none"/>
                <w:lang w:val="en-US" w:eastAsia="zh-CN" w:bidi="ar-SA"/>
              </w:rPr>
            </w:pPr>
          </w:p>
        </w:tc>
        <w:tc>
          <w:tcPr>
            <w:tcW w:w="521" w:type="dxa"/>
            <w:noWrap w:val="0"/>
            <w:vAlign w:val="center"/>
          </w:tcPr>
          <w:p w14:paraId="5C8AED45">
            <w:pPr>
              <w:jc w:val="center"/>
              <w:rPr>
                <w:rFonts w:hint="eastAsia" w:ascii="宋体" w:hAnsi="宋体" w:eastAsia="宋体" w:cs="宋体"/>
                <w:kern w:val="2"/>
                <w:sz w:val="21"/>
                <w:szCs w:val="21"/>
                <w:highlight w:val="none"/>
                <w:lang w:val="en-US" w:eastAsia="zh-CN" w:bidi="ar-SA"/>
              </w:rPr>
            </w:pPr>
            <w:r>
              <w:rPr>
                <w:rFonts w:hint="eastAsia" w:ascii="宋体" w:hAnsi="宋体"/>
                <w:sz w:val="24"/>
              </w:rPr>
              <w:t>3</w:t>
            </w:r>
          </w:p>
        </w:tc>
        <w:tc>
          <w:tcPr>
            <w:tcW w:w="6904" w:type="dxa"/>
            <w:noWrap w:val="0"/>
            <w:vAlign w:val="center"/>
          </w:tcPr>
          <w:p w14:paraId="07B8831A">
            <w:pPr>
              <w:widowControl/>
              <w:jc w:val="left"/>
              <w:textAlignment w:val="center"/>
              <w:rPr>
                <w:rFonts w:hint="eastAsia" w:ascii="宋体" w:hAnsi="宋体"/>
                <w:kern w:val="0"/>
                <w:sz w:val="22"/>
                <w:szCs w:val="22"/>
                <w:lang w:val="en-US" w:eastAsia="zh-CN"/>
              </w:rPr>
            </w:pPr>
            <w:r>
              <w:rPr>
                <w:rFonts w:hint="eastAsia" w:ascii="宋体" w:hAnsi="宋体"/>
                <w:kern w:val="0"/>
                <w:sz w:val="22"/>
                <w:szCs w:val="22"/>
                <w:lang w:eastAsia="zh-CN"/>
              </w:rPr>
              <w:t>投标企业须提供投标人（被授权在职人员）近6个月任意一个月的社保证明</w:t>
            </w:r>
            <w:r>
              <w:rPr>
                <w:rFonts w:hint="eastAsia" w:ascii="宋体" w:hAnsi="宋体"/>
                <w:kern w:val="0"/>
                <w:sz w:val="22"/>
                <w:szCs w:val="22"/>
              </w:rPr>
              <w:t>；</w:t>
            </w:r>
          </w:p>
        </w:tc>
        <w:tc>
          <w:tcPr>
            <w:tcW w:w="646" w:type="dxa"/>
            <w:noWrap w:val="0"/>
            <w:vAlign w:val="top"/>
          </w:tcPr>
          <w:p w14:paraId="4CC1F31D">
            <w:pPr>
              <w:shd w:val="clear" w:color="auto" w:fill="auto"/>
              <w:rPr>
                <w:rFonts w:hint="eastAsia" w:ascii="宋体" w:hAnsi="宋体" w:eastAsia="宋体" w:cs="宋体"/>
                <w:color w:val="auto"/>
                <w:szCs w:val="21"/>
                <w:highlight w:val="none"/>
              </w:rPr>
            </w:pPr>
          </w:p>
        </w:tc>
        <w:tc>
          <w:tcPr>
            <w:tcW w:w="608" w:type="dxa"/>
            <w:noWrap w:val="0"/>
            <w:vAlign w:val="top"/>
          </w:tcPr>
          <w:p w14:paraId="3F9031BC">
            <w:pPr>
              <w:shd w:val="clear" w:color="auto" w:fill="auto"/>
              <w:rPr>
                <w:rFonts w:hint="eastAsia" w:ascii="宋体" w:hAnsi="宋体" w:eastAsia="宋体" w:cs="宋体"/>
                <w:color w:val="auto"/>
                <w:szCs w:val="21"/>
                <w:highlight w:val="none"/>
              </w:rPr>
            </w:pPr>
          </w:p>
        </w:tc>
      </w:tr>
      <w:tr w14:paraId="7F4D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60" w:type="dxa"/>
            <w:vMerge w:val="continue"/>
            <w:noWrap w:val="0"/>
            <w:vAlign w:val="center"/>
          </w:tcPr>
          <w:p w14:paraId="3C5686C8">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10138084">
            <w:pPr>
              <w:jc w:val="center"/>
              <w:rPr>
                <w:rFonts w:hint="eastAsia" w:ascii="宋体" w:hAnsi="宋体" w:eastAsia="宋体" w:cs="宋体"/>
                <w:color w:val="auto"/>
                <w:szCs w:val="21"/>
                <w:highlight w:val="none"/>
                <w:lang w:val="en-US" w:eastAsia="zh-CN"/>
              </w:rPr>
            </w:pPr>
            <w:r>
              <w:rPr>
                <w:rFonts w:hint="eastAsia" w:ascii="宋体" w:hAnsi="宋体"/>
                <w:sz w:val="24"/>
              </w:rPr>
              <w:t>4</w:t>
            </w:r>
          </w:p>
        </w:tc>
        <w:tc>
          <w:tcPr>
            <w:tcW w:w="6904" w:type="dxa"/>
            <w:noWrap w:val="0"/>
            <w:vAlign w:val="center"/>
          </w:tcPr>
          <w:p w14:paraId="1072DA24">
            <w:pPr>
              <w:widowControl/>
              <w:jc w:val="left"/>
              <w:textAlignment w:val="center"/>
              <w:rPr>
                <w:rFonts w:hint="eastAsia" w:ascii="宋体" w:hAnsi="宋体" w:eastAsia="宋体"/>
                <w:kern w:val="0"/>
                <w:sz w:val="22"/>
                <w:szCs w:val="22"/>
                <w:lang w:eastAsia="zh-CN"/>
              </w:rPr>
            </w:pPr>
            <w:r>
              <w:rPr>
                <w:rFonts w:hint="eastAsia" w:ascii="宋体" w:hAnsi="宋体"/>
                <w:kern w:val="0"/>
                <w:sz w:val="22"/>
                <w:szCs w:val="22"/>
              </w:rPr>
              <w:t>参加政府采购活动前三年内，在经营活动中没有重大违法记录</w:t>
            </w:r>
            <w:r>
              <w:rPr>
                <w:rFonts w:hint="eastAsia" w:ascii="宋体" w:hAnsi="宋体"/>
                <w:kern w:val="0"/>
                <w:sz w:val="22"/>
                <w:szCs w:val="22"/>
                <w:lang w:eastAsia="zh-CN"/>
              </w:rPr>
              <w:t>，</w:t>
            </w:r>
            <w:r>
              <w:rPr>
                <w:rFonts w:hint="eastAsia" w:ascii="宋体" w:hAnsi="宋体"/>
                <w:kern w:val="0"/>
                <w:sz w:val="22"/>
                <w:szCs w:val="22"/>
              </w:rPr>
              <w:t>未被“信用中国”（www.creditchina.gov.cn）、中国政府采购网（www.ccgp.gov.cn）列入失信被执行人、重大税收违法案件当事人名单、政府采购严重违法失信行为记录名单；</w:t>
            </w:r>
          </w:p>
        </w:tc>
        <w:tc>
          <w:tcPr>
            <w:tcW w:w="646" w:type="dxa"/>
            <w:noWrap w:val="0"/>
            <w:vAlign w:val="top"/>
          </w:tcPr>
          <w:p w14:paraId="5BED9A82">
            <w:pPr>
              <w:shd w:val="clear" w:color="auto" w:fill="auto"/>
              <w:rPr>
                <w:rFonts w:hint="eastAsia" w:ascii="宋体" w:hAnsi="宋体" w:eastAsia="宋体" w:cs="宋体"/>
                <w:color w:val="auto"/>
                <w:szCs w:val="21"/>
                <w:highlight w:val="none"/>
              </w:rPr>
            </w:pPr>
          </w:p>
        </w:tc>
        <w:tc>
          <w:tcPr>
            <w:tcW w:w="608" w:type="dxa"/>
            <w:noWrap w:val="0"/>
            <w:vAlign w:val="top"/>
          </w:tcPr>
          <w:p w14:paraId="425256AE">
            <w:pPr>
              <w:shd w:val="clear" w:color="auto" w:fill="auto"/>
              <w:rPr>
                <w:rFonts w:hint="eastAsia" w:ascii="宋体" w:hAnsi="宋体" w:eastAsia="宋体" w:cs="宋体"/>
                <w:color w:val="auto"/>
                <w:szCs w:val="21"/>
                <w:highlight w:val="none"/>
              </w:rPr>
            </w:pPr>
          </w:p>
        </w:tc>
      </w:tr>
      <w:tr w14:paraId="703B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60" w:type="dxa"/>
            <w:vMerge w:val="continue"/>
            <w:noWrap w:val="0"/>
            <w:vAlign w:val="center"/>
          </w:tcPr>
          <w:p w14:paraId="0FAD7041">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4B0FE7A9">
            <w:pPr>
              <w:jc w:val="center"/>
              <w:rPr>
                <w:rFonts w:hint="eastAsia" w:ascii="宋体" w:hAnsi="宋体" w:eastAsia="宋体"/>
                <w:sz w:val="24"/>
                <w:lang w:val="en-US" w:eastAsia="zh-CN"/>
              </w:rPr>
            </w:pPr>
            <w:r>
              <w:rPr>
                <w:rFonts w:hint="eastAsia" w:ascii="宋体" w:hAnsi="宋体"/>
                <w:sz w:val="24"/>
                <w:lang w:val="en-US" w:eastAsia="zh-CN"/>
              </w:rPr>
              <w:t>5</w:t>
            </w:r>
          </w:p>
        </w:tc>
        <w:tc>
          <w:tcPr>
            <w:tcW w:w="6904" w:type="dxa"/>
            <w:noWrap w:val="0"/>
            <w:vAlign w:val="center"/>
          </w:tcPr>
          <w:p w14:paraId="2DF35ED3">
            <w:pPr>
              <w:widowControl/>
              <w:jc w:val="left"/>
              <w:textAlignment w:val="center"/>
              <w:rPr>
                <w:rFonts w:hint="eastAsia" w:ascii="宋体" w:hAnsi="宋体"/>
                <w:kern w:val="0"/>
                <w:sz w:val="22"/>
                <w:szCs w:val="22"/>
              </w:rPr>
            </w:pPr>
            <w:r>
              <w:rPr>
                <w:rFonts w:hint="eastAsia" w:ascii="宋体" w:hAnsi="宋体"/>
                <w:kern w:val="0"/>
                <w:sz w:val="22"/>
                <w:szCs w:val="22"/>
              </w:rPr>
              <w:t>投标人具有良好的商业信誉和健全的财务会计制度；（提供由具备资质的机构出具的（2024年或2025年）的财务审计报告；成立不满一年的企业或者小微企业可提供财务报表）；</w:t>
            </w:r>
          </w:p>
        </w:tc>
        <w:tc>
          <w:tcPr>
            <w:tcW w:w="646" w:type="dxa"/>
            <w:noWrap w:val="0"/>
            <w:vAlign w:val="top"/>
          </w:tcPr>
          <w:p w14:paraId="769CE2D1">
            <w:pPr>
              <w:shd w:val="clear" w:color="auto" w:fill="auto"/>
              <w:rPr>
                <w:rFonts w:hint="eastAsia" w:ascii="宋体" w:hAnsi="宋体" w:eastAsia="宋体" w:cs="宋体"/>
                <w:color w:val="auto"/>
                <w:szCs w:val="21"/>
                <w:highlight w:val="none"/>
              </w:rPr>
            </w:pPr>
          </w:p>
        </w:tc>
        <w:tc>
          <w:tcPr>
            <w:tcW w:w="608" w:type="dxa"/>
            <w:noWrap w:val="0"/>
            <w:vAlign w:val="top"/>
          </w:tcPr>
          <w:p w14:paraId="2F6617E0">
            <w:pPr>
              <w:shd w:val="clear" w:color="auto" w:fill="auto"/>
              <w:rPr>
                <w:rFonts w:hint="eastAsia" w:ascii="宋体" w:hAnsi="宋体" w:eastAsia="宋体" w:cs="宋体"/>
                <w:color w:val="auto"/>
                <w:szCs w:val="21"/>
                <w:highlight w:val="none"/>
              </w:rPr>
            </w:pPr>
          </w:p>
        </w:tc>
      </w:tr>
      <w:tr w14:paraId="798E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960" w:type="dxa"/>
            <w:vMerge w:val="continue"/>
            <w:noWrap w:val="0"/>
            <w:vAlign w:val="center"/>
          </w:tcPr>
          <w:p w14:paraId="1E6EF622">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4AB389C4">
            <w:pPr>
              <w:jc w:val="center"/>
              <w:rPr>
                <w:rFonts w:hint="eastAsia" w:ascii="宋体" w:hAnsi="宋体" w:eastAsia="宋体"/>
                <w:sz w:val="24"/>
                <w:lang w:val="en-US" w:eastAsia="zh-CN"/>
              </w:rPr>
            </w:pPr>
            <w:r>
              <w:rPr>
                <w:rFonts w:hint="eastAsia" w:ascii="宋体" w:hAnsi="宋体"/>
                <w:sz w:val="24"/>
                <w:lang w:val="en-US" w:eastAsia="zh-CN"/>
              </w:rPr>
              <w:t>6</w:t>
            </w:r>
          </w:p>
        </w:tc>
        <w:tc>
          <w:tcPr>
            <w:tcW w:w="6904" w:type="dxa"/>
            <w:noWrap w:val="0"/>
            <w:vAlign w:val="center"/>
          </w:tcPr>
          <w:p w14:paraId="4E6F348B">
            <w:pPr>
              <w:widowControl/>
              <w:jc w:val="left"/>
              <w:textAlignment w:val="center"/>
              <w:rPr>
                <w:rFonts w:hint="eastAsia" w:ascii="宋体" w:hAnsi="宋体"/>
                <w:kern w:val="0"/>
                <w:sz w:val="22"/>
                <w:szCs w:val="22"/>
              </w:rPr>
            </w:pPr>
            <w:r>
              <w:rPr>
                <w:rFonts w:hint="eastAsia" w:ascii="宋体" w:hAnsi="宋体"/>
                <w:kern w:val="0"/>
                <w:sz w:val="22"/>
                <w:szCs w:val="22"/>
                <w:lang w:eastAsia="zh-CN"/>
              </w:rPr>
              <w:t>投标人具有依法缴纳税收和社会保障资金的良好记录：①提供税务部门出具的近一年内任意三个月的完税证明（新公司从成立之日起算，如无产生税收，需提供不拖欠税收证明材料；）②依法缴纳近一年内任意三个月企业缴纳社保证明材料（专用收据或社会保险缴纳清单，新公司从成立之日起算）；</w:t>
            </w:r>
          </w:p>
        </w:tc>
        <w:tc>
          <w:tcPr>
            <w:tcW w:w="646" w:type="dxa"/>
            <w:noWrap w:val="0"/>
            <w:vAlign w:val="top"/>
          </w:tcPr>
          <w:p w14:paraId="74C273FE">
            <w:pPr>
              <w:shd w:val="clear" w:color="auto" w:fill="auto"/>
              <w:rPr>
                <w:rFonts w:hint="eastAsia" w:ascii="宋体" w:hAnsi="宋体" w:eastAsia="宋体" w:cs="宋体"/>
                <w:color w:val="auto"/>
                <w:szCs w:val="21"/>
                <w:highlight w:val="none"/>
              </w:rPr>
            </w:pPr>
          </w:p>
        </w:tc>
        <w:tc>
          <w:tcPr>
            <w:tcW w:w="608" w:type="dxa"/>
            <w:noWrap w:val="0"/>
            <w:vAlign w:val="top"/>
          </w:tcPr>
          <w:p w14:paraId="077621CD">
            <w:pPr>
              <w:shd w:val="clear" w:color="auto" w:fill="auto"/>
              <w:rPr>
                <w:rFonts w:hint="eastAsia" w:ascii="宋体" w:hAnsi="宋体" w:eastAsia="宋体" w:cs="宋体"/>
                <w:color w:val="auto"/>
                <w:szCs w:val="21"/>
                <w:highlight w:val="none"/>
              </w:rPr>
            </w:pPr>
          </w:p>
        </w:tc>
      </w:tr>
      <w:tr w14:paraId="5D40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60" w:type="dxa"/>
            <w:vMerge w:val="continue"/>
            <w:noWrap w:val="0"/>
            <w:vAlign w:val="center"/>
          </w:tcPr>
          <w:p w14:paraId="1946BAC0">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73C1C554">
            <w:pPr>
              <w:jc w:val="center"/>
              <w:rPr>
                <w:rFonts w:hint="default" w:ascii="宋体" w:hAnsi="宋体"/>
                <w:sz w:val="24"/>
                <w:lang w:val="en-US" w:eastAsia="zh-CN"/>
              </w:rPr>
            </w:pPr>
            <w:r>
              <w:rPr>
                <w:rFonts w:hint="eastAsia" w:ascii="宋体" w:hAnsi="宋体"/>
                <w:sz w:val="24"/>
                <w:lang w:val="en-US" w:eastAsia="zh-CN"/>
              </w:rPr>
              <w:t>7</w:t>
            </w:r>
          </w:p>
        </w:tc>
        <w:tc>
          <w:tcPr>
            <w:tcW w:w="6904" w:type="dxa"/>
            <w:noWrap w:val="0"/>
            <w:vAlign w:val="center"/>
          </w:tcPr>
          <w:p w14:paraId="5C519777">
            <w:pPr>
              <w:widowControl/>
              <w:jc w:val="left"/>
              <w:textAlignment w:val="center"/>
              <w:rPr>
                <w:rFonts w:hint="eastAsia" w:ascii="宋体" w:hAnsi="宋体"/>
                <w:kern w:val="0"/>
                <w:sz w:val="22"/>
                <w:szCs w:val="22"/>
                <w:lang w:val="en-US" w:eastAsia="zh-CN"/>
              </w:rPr>
            </w:pPr>
          </w:p>
          <w:p w14:paraId="51B898A8">
            <w:pPr>
              <w:widowControl/>
              <w:jc w:val="left"/>
              <w:textAlignment w:val="center"/>
              <w:rPr>
                <w:rFonts w:hint="eastAsia" w:ascii="宋体" w:hAnsi="宋体"/>
                <w:kern w:val="0"/>
                <w:sz w:val="22"/>
                <w:szCs w:val="22"/>
                <w:lang w:val="en-US" w:eastAsia="zh-CN"/>
              </w:rPr>
            </w:pPr>
            <w:r>
              <w:rPr>
                <w:rFonts w:hint="eastAsia" w:ascii="宋体" w:hAnsi="宋体"/>
                <w:kern w:val="0"/>
                <w:sz w:val="22"/>
                <w:szCs w:val="22"/>
                <w:lang w:val="en-US" w:eastAsia="zh-CN"/>
              </w:rPr>
              <w:t>投标人须具备电子与智能化工程专业承包贰级及以上资质。</w:t>
            </w:r>
          </w:p>
          <w:p w14:paraId="59F79B65">
            <w:pPr>
              <w:widowControl/>
              <w:jc w:val="left"/>
              <w:textAlignment w:val="center"/>
              <w:rPr>
                <w:rFonts w:hint="eastAsia" w:ascii="宋体" w:hAnsi="宋体"/>
                <w:kern w:val="0"/>
                <w:sz w:val="22"/>
                <w:szCs w:val="22"/>
              </w:rPr>
            </w:pPr>
          </w:p>
        </w:tc>
        <w:tc>
          <w:tcPr>
            <w:tcW w:w="646" w:type="dxa"/>
            <w:noWrap w:val="0"/>
            <w:vAlign w:val="top"/>
          </w:tcPr>
          <w:p w14:paraId="4141A0C9">
            <w:pPr>
              <w:shd w:val="clear" w:color="auto" w:fill="auto"/>
              <w:rPr>
                <w:rFonts w:hint="eastAsia" w:ascii="宋体" w:hAnsi="宋体" w:eastAsia="宋体" w:cs="宋体"/>
                <w:color w:val="auto"/>
                <w:szCs w:val="21"/>
                <w:highlight w:val="none"/>
              </w:rPr>
            </w:pPr>
          </w:p>
        </w:tc>
        <w:tc>
          <w:tcPr>
            <w:tcW w:w="608" w:type="dxa"/>
            <w:noWrap w:val="0"/>
            <w:vAlign w:val="top"/>
          </w:tcPr>
          <w:p w14:paraId="15F58B0D">
            <w:pPr>
              <w:shd w:val="clear" w:color="auto" w:fill="auto"/>
              <w:rPr>
                <w:rFonts w:hint="eastAsia" w:ascii="宋体" w:hAnsi="宋体" w:eastAsia="宋体" w:cs="宋体"/>
                <w:color w:val="auto"/>
                <w:szCs w:val="21"/>
                <w:highlight w:val="none"/>
              </w:rPr>
            </w:pPr>
          </w:p>
        </w:tc>
      </w:tr>
      <w:tr w14:paraId="12D5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60" w:type="dxa"/>
            <w:vMerge w:val="continue"/>
            <w:noWrap w:val="0"/>
            <w:vAlign w:val="center"/>
          </w:tcPr>
          <w:p w14:paraId="5A5E2FF5">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24BED5DA">
            <w:pPr>
              <w:jc w:val="center"/>
              <w:rPr>
                <w:rFonts w:hint="eastAsia" w:ascii="宋体" w:hAnsi="宋体" w:eastAsia="宋体" w:cs="宋体"/>
                <w:color w:val="auto"/>
                <w:szCs w:val="21"/>
                <w:highlight w:val="none"/>
                <w:lang w:val="en-US" w:eastAsia="zh-CN"/>
              </w:rPr>
            </w:pPr>
            <w:r>
              <w:rPr>
                <w:rFonts w:hint="eastAsia" w:ascii="宋体" w:hAnsi="宋体"/>
                <w:sz w:val="24"/>
                <w:lang w:val="en-US" w:eastAsia="zh-CN"/>
              </w:rPr>
              <w:t>8</w:t>
            </w:r>
          </w:p>
        </w:tc>
        <w:tc>
          <w:tcPr>
            <w:tcW w:w="6904" w:type="dxa"/>
            <w:noWrap w:val="0"/>
            <w:vAlign w:val="center"/>
          </w:tcPr>
          <w:p w14:paraId="2BBEF834">
            <w:pPr>
              <w:widowControl/>
              <w:jc w:val="left"/>
              <w:textAlignment w:val="center"/>
              <w:rPr>
                <w:rFonts w:hint="eastAsia" w:ascii="宋体" w:hAnsi="宋体"/>
                <w:kern w:val="0"/>
                <w:sz w:val="22"/>
                <w:szCs w:val="22"/>
              </w:rPr>
            </w:pPr>
            <w:r>
              <w:rPr>
                <w:rFonts w:hint="eastAsia" w:ascii="宋体" w:hAnsi="宋体"/>
                <w:kern w:val="0"/>
                <w:sz w:val="22"/>
                <w:szCs w:val="22"/>
              </w:rPr>
              <w:t>投标保证金缴纳凭证或投标担保函</w:t>
            </w:r>
          </w:p>
        </w:tc>
        <w:tc>
          <w:tcPr>
            <w:tcW w:w="646" w:type="dxa"/>
            <w:noWrap w:val="0"/>
            <w:vAlign w:val="top"/>
          </w:tcPr>
          <w:p w14:paraId="2C28748D">
            <w:pPr>
              <w:shd w:val="clear" w:color="auto" w:fill="auto"/>
              <w:rPr>
                <w:rFonts w:hint="eastAsia" w:ascii="宋体" w:hAnsi="宋体" w:eastAsia="宋体" w:cs="宋体"/>
                <w:color w:val="auto"/>
                <w:szCs w:val="21"/>
                <w:highlight w:val="none"/>
              </w:rPr>
            </w:pPr>
          </w:p>
        </w:tc>
        <w:tc>
          <w:tcPr>
            <w:tcW w:w="608" w:type="dxa"/>
            <w:noWrap w:val="0"/>
            <w:vAlign w:val="top"/>
          </w:tcPr>
          <w:p w14:paraId="314DCFE0">
            <w:pPr>
              <w:shd w:val="clear" w:color="auto" w:fill="auto"/>
              <w:rPr>
                <w:rFonts w:hint="eastAsia" w:ascii="宋体" w:hAnsi="宋体" w:eastAsia="宋体" w:cs="宋体"/>
                <w:color w:val="auto"/>
                <w:szCs w:val="21"/>
                <w:highlight w:val="none"/>
              </w:rPr>
            </w:pPr>
          </w:p>
        </w:tc>
      </w:tr>
      <w:tr w14:paraId="6D63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60" w:type="dxa"/>
            <w:vMerge w:val="continue"/>
            <w:noWrap w:val="0"/>
            <w:vAlign w:val="center"/>
          </w:tcPr>
          <w:p w14:paraId="2D4D1670">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7C2FA75B">
            <w:pPr>
              <w:jc w:val="center"/>
              <w:rPr>
                <w:rFonts w:hint="eastAsia" w:ascii="宋体" w:hAnsi="宋体" w:eastAsia="宋体"/>
                <w:sz w:val="24"/>
                <w:lang w:val="en-US" w:eastAsia="zh-CN"/>
              </w:rPr>
            </w:pPr>
            <w:r>
              <w:rPr>
                <w:rFonts w:hint="eastAsia" w:ascii="宋体" w:hAnsi="宋体"/>
                <w:sz w:val="24"/>
                <w:lang w:val="en-US" w:eastAsia="zh-CN"/>
              </w:rPr>
              <w:t>9</w:t>
            </w:r>
          </w:p>
        </w:tc>
        <w:tc>
          <w:tcPr>
            <w:tcW w:w="6904" w:type="dxa"/>
            <w:noWrap w:val="0"/>
            <w:vAlign w:val="center"/>
          </w:tcPr>
          <w:p w14:paraId="0D0F67EE">
            <w:pPr>
              <w:widowControl/>
              <w:tabs>
                <w:tab w:val="left" w:pos="981"/>
              </w:tabs>
              <w:jc w:val="left"/>
              <w:textAlignment w:val="center"/>
              <w:rPr>
                <w:rFonts w:hint="eastAsia" w:ascii="宋体" w:hAnsi="宋体" w:eastAsia="宋体"/>
                <w:kern w:val="0"/>
                <w:sz w:val="22"/>
                <w:szCs w:val="22"/>
                <w:lang w:eastAsia="zh-CN"/>
              </w:rPr>
            </w:pPr>
            <w:r>
              <w:rPr>
                <w:rFonts w:hint="eastAsia" w:ascii="宋体" w:hAnsi="宋体"/>
                <w:kern w:val="0"/>
                <w:sz w:val="22"/>
                <w:szCs w:val="22"/>
                <w:lang w:val="en-US" w:eastAsia="zh-CN"/>
              </w:rPr>
              <w:t>供应商须提供中小企业的声明函。</w:t>
            </w:r>
          </w:p>
        </w:tc>
        <w:tc>
          <w:tcPr>
            <w:tcW w:w="646" w:type="dxa"/>
            <w:noWrap w:val="0"/>
            <w:vAlign w:val="top"/>
          </w:tcPr>
          <w:p w14:paraId="0BF1D948">
            <w:pPr>
              <w:shd w:val="clear" w:color="auto" w:fill="auto"/>
              <w:rPr>
                <w:rFonts w:hint="eastAsia" w:ascii="宋体" w:hAnsi="宋体" w:eastAsia="宋体" w:cs="宋体"/>
                <w:color w:val="auto"/>
                <w:szCs w:val="21"/>
                <w:highlight w:val="none"/>
              </w:rPr>
            </w:pPr>
          </w:p>
        </w:tc>
        <w:tc>
          <w:tcPr>
            <w:tcW w:w="608" w:type="dxa"/>
            <w:noWrap w:val="0"/>
            <w:vAlign w:val="top"/>
          </w:tcPr>
          <w:p w14:paraId="1536E288">
            <w:pPr>
              <w:shd w:val="clear" w:color="auto" w:fill="auto"/>
              <w:rPr>
                <w:rFonts w:hint="eastAsia" w:ascii="宋体" w:hAnsi="宋体" w:eastAsia="宋体" w:cs="宋体"/>
                <w:color w:val="auto"/>
                <w:szCs w:val="21"/>
                <w:highlight w:val="none"/>
              </w:rPr>
            </w:pPr>
          </w:p>
        </w:tc>
      </w:tr>
      <w:tr w14:paraId="5856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960" w:type="dxa"/>
            <w:vMerge w:val="continue"/>
            <w:noWrap w:val="0"/>
            <w:vAlign w:val="center"/>
          </w:tcPr>
          <w:p w14:paraId="6F4E013C">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53520107">
            <w:pPr>
              <w:jc w:val="center"/>
              <w:rPr>
                <w:rFonts w:hint="eastAsia" w:ascii="宋体" w:hAnsi="宋体" w:eastAsia="宋体" w:cs="宋体"/>
                <w:color w:val="auto"/>
                <w:szCs w:val="21"/>
                <w:highlight w:val="none"/>
                <w:lang w:val="en-US" w:eastAsia="zh-CN"/>
              </w:rPr>
            </w:pPr>
          </w:p>
        </w:tc>
        <w:tc>
          <w:tcPr>
            <w:tcW w:w="6904" w:type="dxa"/>
            <w:noWrap w:val="0"/>
            <w:vAlign w:val="center"/>
          </w:tcPr>
          <w:p w14:paraId="5F037614">
            <w:pPr>
              <w:widowControl/>
              <w:jc w:val="left"/>
              <w:textAlignment w:val="center"/>
              <w:rPr>
                <w:rFonts w:hint="eastAsia" w:ascii="宋体" w:hAnsi="宋体"/>
                <w:kern w:val="0"/>
                <w:sz w:val="22"/>
                <w:szCs w:val="22"/>
              </w:rPr>
            </w:pPr>
            <w:r>
              <w:rPr>
                <w:rFonts w:hint="eastAsia" w:ascii="宋体" w:hAnsi="宋体"/>
                <w:kern w:val="0"/>
                <w:sz w:val="22"/>
                <w:szCs w:val="22"/>
              </w:rPr>
              <w:t>结论：是否通过评审（须填写通过或不通过）</w:t>
            </w:r>
          </w:p>
          <w:p w14:paraId="6A06F287">
            <w:pPr>
              <w:widowControl/>
              <w:jc w:val="left"/>
              <w:textAlignment w:val="center"/>
              <w:rPr>
                <w:rFonts w:hint="eastAsia" w:ascii="宋体" w:hAnsi="宋体"/>
                <w:kern w:val="0"/>
                <w:sz w:val="22"/>
                <w:szCs w:val="22"/>
              </w:rPr>
            </w:pPr>
            <w:r>
              <w:rPr>
                <w:rFonts w:hint="eastAsia" w:ascii="宋体" w:hAnsi="宋体"/>
                <w:kern w:val="0"/>
                <w:sz w:val="22"/>
                <w:szCs w:val="22"/>
              </w:rPr>
              <w:t>注：如有一项不合格，作废标处理。</w:t>
            </w:r>
          </w:p>
        </w:tc>
        <w:tc>
          <w:tcPr>
            <w:tcW w:w="1254" w:type="dxa"/>
            <w:gridSpan w:val="2"/>
            <w:noWrap w:val="0"/>
            <w:vAlign w:val="top"/>
          </w:tcPr>
          <w:p w14:paraId="6CA81751">
            <w:pPr>
              <w:shd w:val="clear" w:color="auto" w:fill="auto"/>
              <w:rPr>
                <w:rFonts w:hint="eastAsia" w:ascii="宋体" w:hAnsi="宋体" w:eastAsia="宋体" w:cs="宋体"/>
                <w:color w:val="auto"/>
                <w:szCs w:val="21"/>
                <w:highlight w:val="none"/>
              </w:rPr>
            </w:pPr>
          </w:p>
        </w:tc>
      </w:tr>
    </w:tbl>
    <w:p w14:paraId="23E82398">
      <w:pPr>
        <w:spacing w:line="400" w:lineRule="exact"/>
        <w:rPr>
          <w:rFonts w:hint="eastAsia" w:ascii="宋体" w:hAnsi="宋体"/>
          <w:b/>
          <w:szCs w:val="21"/>
        </w:rPr>
      </w:pPr>
    </w:p>
    <w:p w14:paraId="68010D53">
      <w:pPr>
        <w:rPr>
          <w:rFonts w:hint="eastAsia" w:ascii="宋体" w:hAnsi="宋体"/>
          <w:b/>
          <w:szCs w:val="21"/>
        </w:rPr>
      </w:pPr>
      <w:r>
        <w:rPr>
          <w:rFonts w:hint="eastAsia" w:ascii="宋体" w:hAnsi="宋体"/>
          <w:b/>
          <w:szCs w:val="21"/>
        </w:rPr>
        <w:br w:type="page"/>
      </w:r>
    </w:p>
    <w:p w14:paraId="1A2D669A">
      <w:pPr>
        <w:spacing w:line="400" w:lineRule="exact"/>
        <w:ind w:firstLine="513" w:firstLineChars="241"/>
        <w:rPr>
          <w:rFonts w:hint="eastAsia" w:ascii="宋体"/>
          <w:b/>
          <w:szCs w:val="21"/>
        </w:rPr>
      </w:pPr>
      <w:r>
        <w:rPr>
          <w:rFonts w:hint="eastAsia" w:ascii="宋体" w:hAnsi="宋体"/>
          <w:b/>
          <w:szCs w:val="21"/>
        </w:rPr>
        <w:t>6.2如评标专家在检验电子标书过程中，如果由于投标人自身原因导致评标专家无法查看并检验电子标书中以上相关资料的，否决其投标。即使投标单位将原件携带至现场的，同样按无效投标处理。</w:t>
      </w:r>
    </w:p>
    <w:p w14:paraId="35DA8CCF">
      <w:pPr>
        <w:spacing w:before="162" w:beforeLines="50" w:line="440" w:lineRule="exact"/>
        <w:ind w:firstLine="312" w:firstLineChars="147"/>
        <w:rPr>
          <w:rFonts w:ascii="宋体"/>
          <w:b/>
          <w:szCs w:val="21"/>
        </w:rPr>
      </w:pPr>
      <w:r>
        <w:rPr>
          <w:rFonts w:hint="eastAsia" w:ascii="宋体"/>
          <w:b/>
          <w:szCs w:val="21"/>
          <w:lang w:val="en-US" w:eastAsia="zh-CN"/>
        </w:rPr>
        <w:t>7</w:t>
      </w:r>
      <w:r>
        <w:rPr>
          <w:rFonts w:hint="eastAsia" w:ascii="宋体"/>
          <w:b/>
          <w:szCs w:val="21"/>
        </w:rPr>
        <w:t>.符合性审查</w:t>
      </w:r>
    </w:p>
    <w:p w14:paraId="0972DBEC">
      <w:pPr>
        <w:spacing w:line="440" w:lineRule="exact"/>
        <w:ind w:firstLine="319" w:firstLineChars="150"/>
        <w:rPr>
          <w:rFonts w:ascii="宋体"/>
          <w:szCs w:val="21"/>
        </w:rPr>
      </w:pPr>
      <w:r>
        <w:rPr>
          <w:rFonts w:hint="eastAsia" w:ascii="宋体"/>
          <w:szCs w:val="21"/>
        </w:rPr>
        <w:t>7．1评审细则</w:t>
      </w:r>
    </w:p>
    <w:tbl>
      <w:tblPr>
        <w:tblStyle w:val="27"/>
        <w:tblpPr w:leftFromText="180" w:rightFromText="180" w:vertAnchor="text" w:horzAnchor="page" w:tblpX="1293" w:tblpY="544"/>
        <w:tblW w:w="955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2"/>
        <w:gridCol w:w="458"/>
        <w:gridCol w:w="6465"/>
        <w:gridCol w:w="720"/>
        <w:gridCol w:w="663"/>
      </w:tblGrid>
      <w:tr w14:paraId="2FB27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9" w:hRule="atLeast"/>
        </w:trPr>
        <w:tc>
          <w:tcPr>
            <w:tcW w:w="1252" w:type="dxa"/>
            <w:tcBorders>
              <w:top w:val="single" w:color="auto" w:sz="4" w:space="0"/>
              <w:left w:val="single" w:color="auto" w:sz="4" w:space="0"/>
            </w:tcBorders>
            <w:vAlign w:val="center"/>
          </w:tcPr>
          <w:p w14:paraId="60776B58">
            <w:pPr>
              <w:jc w:val="center"/>
              <w:rPr>
                <w:rFonts w:ascii="宋体" w:hAnsi="宋体"/>
                <w:b/>
                <w:sz w:val="32"/>
                <w:szCs w:val="32"/>
              </w:rPr>
            </w:pPr>
            <w:r>
              <w:rPr>
                <w:rFonts w:hint="eastAsia" w:ascii="宋体" w:hAnsi="宋体"/>
                <w:b/>
                <w:sz w:val="32"/>
                <w:szCs w:val="32"/>
              </w:rPr>
              <w:t>项目</w:t>
            </w:r>
          </w:p>
        </w:tc>
        <w:tc>
          <w:tcPr>
            <w:tcW w:w="6923" w:type="dxa"/>
            <w:gridSpan w:val="2"/>
            <w:tcBorders>
              <w:top w:val="single" w:color="auto" w:sz="4" w:space="0"/>
            </w:tcBorders>
            <w:vAlign w:val="center"/>
          </w:tcPr>
          <w:p w14:paraId="7ED2DDD9">
            <w:pPr>
              <w:jc w:val="center"/>
              <w:rPr>
                <w:rFonts w:ascii="宋体" w:hAnsi="宋体"/>
                <w:b/>
                <w:sz w:val="32"/>
                <w:szCs w:val="32"/>
              </w:rPr>
            </w:pPr>
            <w:r>
              <w:rPr>
                <w:rFonts w:hint="eastAsia" w:ascii="宋体" w:hAnsi="宋体"/>
                <w:b/>
                <w:sz w:val="32"/>
                <w:szCs w:val="32"/>
              </w:rPr>
              <w:t>评审内容</w:t>
            </w:r>
          </w:p>
        </w:tc>
        <w:tc>
          <w:tcPr>
            <w:tcW w:w="1383" w:type="dxa"/>
            <w:gridSpan w:val="2"/>
            <w:tcBorders>
              <w:top w:val="single" w:color="auto" w:sz="4" w:space="0"/>
              <w:right w:val="single" w:color="auto" w:sz="4" w:space="0"/>
            </w:tcBorders>
            <w:vAlign w:val="center"/>
          </w:tcPr>
          <w:p w14:paraId="63158144">
            <w:pPr>
              <w:jc w:val="center"/>
              <w:rPr>
                <w:rFonts w:ascii="宋体" w:hAnsi="宋体"/>
                <w:b/>
                <w:sz w:val="32"/>
                <w:szCs w:val="32"/>
              </w:rPr>
            </w:pPr>
            <w:r>
              <w:rPr>
                <w:rFonts w:hint="eastAsia" w:ascii="宋体" w:hAnsi="宋体"/>
                <w:b/>
                <w:sz w:val="32"/>
                <w:szCs w:val="32"/>
              </w:rPr>
              <w:t>评审意见</w:t>
            </w:r>
          </w:p>
        </w:tc>
      </w:tr>
      <w:tr w14:paraId="363E0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tcBorders>
              <w:left w:val="single" w:color="auto" w:sz="4" w:space="0"/>
              <w:bottom w:val="single" w:color="auto" w:sz="4" w:space="0"/>
            </w:tcBorders>
            <w:vAlign w:val="center"/>
          </w:tcPr>
          <w:p w14:paraId="2B402188">
            <w:pPr>
              <w:rPr>
                <w:rFonts w:ascii="宋体" w:hAnsi="宋体"/>
                <w:sz w:val="24"/>
                <w:szCs w:val="32"/>
              </w:rPr>
            </w:pPr>
          </w:p>
        </w:tc>
        <w:tc>
          <w:tcPr>
            <w:tcW w:w="6923" w:type="dxa"/>
            <w:gridSpan w:val="2"/>
            <w:tcBorders>
              <w:bottom w:val="single" w:color="auto" w:sz="4" w:space="0"/>
            </w:tcBorders>
          </w:tcPr>
          <w:p w14:paraId="4469F9A9">
            <w:pPr>
              <w:rPr>
                <w:rFonts w:ascii="宋体" w:hAnsi="宋体"/>
                <w:sz w:val="24"/>
                <w:szCs w:val="32"/>
              </w:rPr>
            </w:pPr>
          </w:p>
        </w:tc>
        <w:tc>
          <w:tcPr>
            <w:tcW w:w="720" w:type="dxa"/>
            <w:vAlign w:val="center"/>
          </w:tcPr>
          <w:p w14:paraId="44ACB16B">
            <w:pPr>
              <w:jc w:val="center"/>
              <w:rPr>
                <w:rFonts w:ascii="宋体" w:hAnsi="宋体"/>
                <w:b/>
                <w:sz w:val="32"/>
                <w:szCs w:val="32"/>
              </w:rPr>
            </w:pPr>
            <w:r>
              <w:rPr>
                <w:rFonts w:hint="eastAsia" w:ascii="宋体" w:hAnsi="宋体"/>
                <w:b/>
                <w:sz w:val="32"/>
                <w:szCs w:val="32"/>
              </w:rPr>
              <w:t>是</w:t>
            </w:r>
          </w:p>
        </w:tc>
        <w:tc>
          <w:tcPr>
            <w:tcW w:w="663" w:type="dxa"/>
            <w:tcBorders>
              <w:right w:val="single" w:color="auto" w:sz="4" w:space="0"/>
            </w:tcBorders>
            <w:vAlign w:val="center"/>
          </w:tcPr>
          <w:p w14:paraId="52493855">
            <w:pPr>
              <w:jc w:val="center"/>
              <w:rPr>
                <w:rFonts w:ascii="宋体" w:hAnsi="宋体"/>
                <w:b/>
                <w:sz w:val="32"/>
                <w:szCs w:val="32"/>
              </w:rPr>
            </w:pPr>
            <w:r>
              <w:rPr>
                <w:rFonts w:hint="eastAsia" w:ascii="宋体" w:hAnsi="宋体"/>
                <w:b/>
                <w:sz w:val="32"/>
                <w:szCs w:val="32"/>
              </w:rPr>
              <w:t>否</w:t>
            </w:r>
          </w:p>
        </w:tc>
      </w:tr>
      <w:tr w14:paraId="5691E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vMerge w:val="restart"/>
            <w:tcBorders>
              <w:top w:val="single" w:color="auto" w:sz="4" w:space="0"/>
              <w:left w:val="single" w:color="auto" w:sz="4" w:space="0"/>
              <w:right w:val="single" w:color="auto" w:sz="4" w:space="0"/>
            </w:tcBorders>
            <w:vAlign w:val="center"/>
          </w:tcPr>
          <w:p w14:paraId="61B02BB6">
            <w:pPr>
              <w:jc w:val="center"/>
              <w:rPr>
                <w:rFonts w:ascii="宋体" w:hAnsi="宋体"/>
                <w:sz w:val="24"/>
              </w:rPr>
            </w:pPr>
            <w:r>
              <w:rPr>
                <w:rFonts w:hint="eastAsia" w:ascii="宋体" w:hAnsi="宋体"/>
                <w:sz w:val="24"/>
              </w:rPr>
              <w:t>审</w:t>
            </w:r>
          </w:p>
          <w:p w14:paraId="624A9390">
            <w:pPr>
              <w:jc w:val="center"/>
              <w:rPr>
                <w:rFonts w:ascii="宋体" w:hAnsi="宋体"/>
                <w:sz w:val="24"/>
              </w:rPr>
            </w:pPr>
            <w:r>
              <w:rPr>
                <w:rFonts w:hint="eastAsia" w:ascii="宋体" w:hAnsi="宋体"/>
                <w:sz w:val="24"/>
              </w:rPr>
              <w:t>查</w:t>
            </w:r>
          </w:p>
          <w:p w14:paraId="36C7CF8B">
            <w:pPr>
              <w:jc w:val="center"/>
              <w:rPr>
                <w:rFonts w:ascii="宋体" w:hAnsi="宋体"/>
                <w:sz w:val="24"/>
              </w:rPr>
            </w:pPr>
            <w:r>
              <w:rPr>
                <w:rFonts w:hint="eastAsia" w:ascii="宋体" w:hAnsi="宋体"/>
                <w:sz w:val="24"/>
              </w:rPr>
              <w:t>标</w:t>
            </w:r>
          </w:p>
          <w:p w14:paraId="3A2B185E">
            <w:pPr>
              <w:jc w:val="center"/>
              <w:rPr>
                <w:rFonts w:ascii="宋体" w:hAnsi="宋体"/>
                <w:sz w:val="24"/>
              </w:rPr>
            </w:pPr>
            <w:r>
              <w:rPr>
                <w:rFonts w:hint="eastAsia" w:ascii="宋体" w:hAnsi="宋体"/>
                <w:sz w:val="24"/>
              </w:rPr>
              <w:t>准</w:t>
            </w:r>
          </w:p>
        </w:tc>
        <w:tc>
          <w:tcPr>
            <w:tcW w:w="458" w:type="dxa"/>
            <w:tcBorders>
              <w:top w:val="single" w:color="auto" w:sz="4" w:space="0"/>
              <w:left w:val="single" w:color="auto" w:sz="4" w:space="0"/>
              <w:right w:val="single" w:color="auto" w:sz="4" w:space="0"/>
            </w:tcBorders>
            <w:vAlign w:val="center"/>
          </w:tcPr>
          <w:p w14:paraId="7090EC24">
            <w:pPr>
              <w:jc w:val="center"/>
              <w:rPr>
                <w:rFonts w:ascii="宋体" w:hAnsi="宋体"/>
                <w:sz w:val="22"/>
                <w:szCs w:val="22"/>
              </w:rPr>
            </w:pPr>
            <w:r>
              <w:rPr>
                <w:rFonts w:hint="eastAsia" w:ascii="宋体" w:hAnsi="宋体"/>
                <w:sz w:val="22"/>
                <w:szCs w:val="22"/>
              </w:rPr>
              <w:t>1</w:t>
            </w:r>
          </w:p>
        </w:tc>
        <w:tc>
          <w:tcPr>
            <w:tcW w:w="6465" w:type="dxa"/>
            <w:tcBorders>
              <w:top w:val="single" w:color="auto" w:sz="4" w:space="0"/>
              <w:left w:val="single" w:color="auto" w:sz="4" w:space="0"/>
              <w:right w:val="single" w:color="auto" w:sz="4" w:space="0"/>
            </w:tcBorders>
            <w:vAlign w:val="center"/>
          </w:tcPr>
          <w:p w14:paraId="42DA47CD">
            <w:pPr>
              <w:widowControl/>
              <w:jc w:val="left"/>
              <w:textAlignment w:val="center"/>
              <w:rPr>
                <w:rFonts w:ascii="宋体" w:hAnsi="宋体"/>
                <w:sz w:val="22"/>
                <w:szCs w:val="22"/>
              </w:rPr>
            </w:pPr>
            <w:r>
              <w:rPr>
                <w:rFonts w:hint="eastAsia" w:ascii="宋体" w:hAnsi="宋体"/>
                <w:kern w:val="0"/>
                <w:sz w:val="22"/>
                <w:szCs w:val="22"/>
              </w:rPr>
              <w:t>由政府立项核准、审批的采购项目, 报价高于设定的采购预算价的；</w:t>
            </w:r>
          </w:p>
        </w:tc>
        <w:tc>
          <w:tcPr>
            <w:tcW w:w="720" w:type="dxa"/>
            <w:tcBorders>
              <w:left w:val="single" w:color="auto" w:sz="4" w:space="0"/>
              <w:right w:val="single" w:color="auto" w:sz="4" w:space="0"/>
            </w:tcBorders>
          </w:tcPr>
          <w:p w14:paraId="2F15BD86">
            <w:pPr>
              <w:jc w:val="center"/>
              <w:rPr>
                <w:rFonts w:ascii="宋体" w:hAnsi="宋体"/>
                <w:b/>
                <w:sz w:val="24"/>
              </w:rPr>
            </w:pPr>
          </w:p>
        </w:tc>
        <w:tc>
          <w:tcPr>
            <w:tcW w:w="663" w:type="dxa"/>
            <w:tcBorders>
              <w:left w:val="single" w:color="auto" w:sz="4" w:space="0"/>
              <w:right w:val="single" w:color="auto" w:sz="4" w:space="0"/>
            </w:tcBorders>
          </w:tcPr>
          <w:p w14:paraId="507F4CE3">
            <w:pPr>
              <w:jc w:val="center"/>
              <w:rPr>
                <w:rFonts w:ascii="宋体" w:hAnsi="宋体"/>
                <w:b/>
                <w:sz w:val="24"/>
              </w:rPr>
            </w:pPr>
          </w:p>
        </w:tc>
      </w:tr>
      <w:tr w14:paraId="27E985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vMerge w:val="continue"/>
            <w:tcBorders>
              <w:left w:val="single" w:color="auto" w:sz="4" w:space="0"/>
              <w:right w:val="single" w:color="auto" w:sz="4" w:space="0"/>
            </w:tcBorders>
            <w:vAlign w:val="center"/>
          </w:tcPr>
          <w:p w14:paraId="3EA3F9F1">
            <w:pPr>
              <w:rPr>
                <w:rFonts w:ascii="宋体" w:hAnsi="宋体"/>
                <w:sz w:val="24"/>
                <w:szCs w:val="32"/>
              </w:rPr>
            </w:pPr>
          </w:p>
        </w:tc>
        <w:tc>
          <w:tcPr>
            <w:tcW w:w="458" w:type="dxa"/>
            <w:tcBorders>
              <w:top w:val="single" w:color="auto" w:sz="4" w:space="0"/>
              <w:left w:val="single" w:color="auto" w:sz="4" w:space="0"/>
              <w:bottom w:val="single" w:color="auto" w:sz="4" w:space="0"/>
              <w:right w:val="single" w:color="auto" w:sz="4" w:space="0"/>
            </w:tcBorders>
            <w:vAlign w:val="center"/>
          </w:tcPr>
          <w:p w14:paraId="7B64155E">
            <w:pPr>
              <w:jc w:val="center"/>
              <w:rPr>
                <w:rFonts w:ascii="宋体" w:hAnsi="宋体"/>
                <w:sz w:val="22"/>
                <w:szCs w:val="22"/>
              </w:rPr>
            </w:pPr>
            <w:r>
              <w:rPr>
                <w:rFonts w:hint="eastAsia" w:ascii="宋体" w:hAnsi="宋体"/>
                <w:sz w:val="22"/>
                <w:szCs w:val="22"/>
              </w:rPr>
              <w:t>2</w:t>
            </w:r>
          </w:p>
        </w:tc>
        <w:tc>
          <w:tcPr>
            <w:tcW w:w="6465" w:type="dxa"/>
            <w:tcBorders>
              <w:top w:val="single" w:color="auto" w:sz="4" w:space="0"/>
              <w:left w:val="single" w:color="auto" w:sz="4" w:space="0"/>
              <w:bottom w:val="single" w:color="auto" w:sz="4" w:space="0"/>
              <w:right w:val="single" w:color="auto" w:sz="4" w:space="0"/>
            </w:tcBorders>
            <w:vAlign w:val="center"/>
          </w:tcPr>
          <w:p w14:paraId="33B8E207">
            <w:pPr>
              <w:widowControl/>
              <w:jc w:val="left"/>
              <w:textAlignment w:val="center"/>
              <w:rPr>
                <w:rFonts w:ascii="宋体" w:hAnsi="宋体"/>
                <w:sz w:val="22"/>
                <w:szCs w:val="22"/>
              </w:rPr>
            </w:pPr>
            <w:r>
              <w:rPr>
                <w:rFonts w:hint="eastAsia" w:ascii="宋体" w:hAnsi="宋体"/>
                <w:kern w:val="0"/>
                <w:sz w:val="22"/>
                <w:szCs w:val="22"/>
              </w:rPr>
              <w:t>法定代表人身份证明及授权委托书有效，且符合招标文件规定的格式。</w:t>
            </w:r>
          </w:p>
        </w:tc>
        <w:tc>
          <w:tcPr>
            <w:tcW w:w="720" w:type="dxa"/>
            <w:tcBorders>
              <w:left w:val="single" w:color="auto" w:sz="4" w:space="0"/>
            </w:tcBorders>
          </w:tcPr>
          <w:p w14:paraId="0DC55FE0">
            <w:pPr>
              <w:rPr>
                <w:rFonts w:ascii="宋体" w:hAnsi="宋体"/>
                <w:sz w:val="24"/>
              </w:rPr>
            </w:pPr>
          </w:p>
        </w:tc>
        <w:tc>
          <w:tcPr>
            <w:tcW w:w="663" w:type="dxa"/>
            <w:tcBorders>
              <w:right w:val="single" w:color="auto" w:sz="4" w:space="0"/>
            </w:tcBorders>
          </w:tcPr>
          <w:p w14:paraId="42DCA263">
            <w:pPr>
              <w:rPr>
                <w:rFonts w:ascii="宋体" w:hAnsi="宋体"/>
                <w:sz w:val="24"/>
              </w:rPr>
            </w:pPr>
          </w:p>
        </w:tc>
      </w:tr>
      <w:tr w14:paraId="13B10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4F880732">
            <w:pPr>
              <w:rPr>
                <w:rFonts w:ascii="宋体" w:hAnsi="宋体"/>
                <w:sz w:val="24"/>
                <w:szCs w:val="32"/>
              </w:rPr>
            </w:pPr>
          </w:p>
        </w:tc>
        <w:tc>
          <w:tcPr>
            <w:tcW w:w="458" w:type="dxa"/>
            <w:tcBorders>
              <w:top w:val="single" w:color="auto" w:sz="4" w:space="0"/>
              <w:left w:val="single" w:color="auto" w:sz="4" w:space="0"/>
              <w:right w:val="single" w:color="auto" w:sz="4" w:space="0"/>
            </w:tcBorders>
            <w:vAlign w:val="center"/>
          </w:tcPr>
          <w:p w14:paraId="1673D9B1">
            <w:pPr>
              <w:jc w:val="center"/>
              <w:rPr>
                <w:rFonts w:ascii="宋体" w:hAnsi="宋体"/>
                <w:sz w:val="22"/>
                <w:szCs w:val="22"/>
              </w:rPr>
            </w:pPr>
            <w:r>
              <w:rPr>
                <w:rFonts w:hint="eastAsia" w:ascii="宋体" w:hAnsi="宋体"/>
                <w:sz w:val="22"/>
                <w:szCs w:val="22"/>
              </w:rPr>
              <w:t>3</w:t>
            </w:r>
          </w:p>
        </w:tc>
        <w:tc>
          <w:tcPr>
            <w:tcW w:w="6465" w:type="dxa"/>
            <w:tcBorders>
              <w:top w:val="single" w:color="auto" w:sz="4" w:space="0"/>
              <w:left w:val="single" w:color="auto" w:sz="4" w:space="0"/>
              <w:right w:val="single" w:color="auto" w:sz="4" w:space="0"/>
            </w:tcBorders>
            <w:vAlign w:val="center"/>
          </w:tcPr>
          <w:p w14:paraId="7A0411C0">
            <w:pPr>
              <w:widowControl/>
              <w:jc w:val="left"/>
              <w:textAlignment w:val="center"/>
              <w:rPr>
                <w:rFonts w:ascii="宋体" w:hAnsi="宋体"/>
                <w:sz w:val="22"/>
                <w:szCs w:val="22"/>
              </w:rPr>
            </w:pPr>
            <w:r>
              <w:rPr>
                <w:rFonts w:hint="eastAsia" w:ascii="宋体" w:hAnsi="宋体"/>
                <w:kern w:val="0"/>
                <w:sz w:val="22"/>
                <w:szCs w:val="22"/>
              </w:rPr>
              <w:t>只有一个方案投标。</w:t>
            </w:r>
          </w:p>
        </w:tc>
        <w:tc>
          <w:tcPr>
            <w:tcW w:w="720" w:type="dxa"/>
            <w:tcBorders>
              <w:left w:val="single" w:color="auto" w:sz="4" w:space="0"/>
            </w:tcBorders>
          </w:tcPr>
          <w:p w14:paraId="15F37AEF">
            <w:pPr>
              <w:rPr>
                <w:rFonts w:ascii="宋体" w:hAnsi="宋体"/>
                <w:sz w:val="24"/>
              </w:rPr>
            </w:pPr>
          </w:p>
        </w:tc>
        <w:tc>
          <w:tcPr>
            <w:tcW w:w="663" w:type="dxa"/>
            <w:tcBorders>
              <w:right w:val="single" w:color="auto" w:sz="4" w:space="0"/>
            </w:tcBorders>
          </w:tcPr>
          <w:p w14:paraId="546AF2E8">
            <w:pPr>
              <w:rPr>
                <w:rFonts w:ascii="宋体" w:hAnsi="宋体"/>
                <w:sz w:val="24"/>
              </w:rPr>
            </w:pPr>
          </w:p>
        </w:tc>
      </w:tr>
      <w:tr w14:paraId="78B03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56856AFC">
            <w:pPr>
              <w:rPr>
                <w:rFonts w:ascii="宋体" w:hAnsi="宋体"/>
                <w:sz w:val="24"/>
                <w:szCs w:val="32"/>
              </w:rPr>
            </w:pPr>
          </w:p>
        </w:tc>
        <w:tc>
          <w:tcPr>
            <w:tcW w:w="458" w:type="dxa"/>
            <w:tcBorders>
              <w:left w:val="single" w:color="auto" w:sz="4" w:space="0"/>
            </w:tcBorders>
            <w:vAlign w:val="center"/>
          </w:tcPr>
          <w:p w14:paraId="5863A97A">
            <w:pPr>
              <w:jc w:val="center"/>
              <w:rPr>
                <w:rFonts w:ascii="宋体" w:hAnsi="宋体"/>
                <w:sz w:val="22"/>
                <w:szCs w:val="22"/>
              </w:rPr>
            </w:pPr>
            <w:r>
              <w:rPr>
                <w:rFonts w:hint="eastAsia" w:ascii="宋体" w:hAnsi="宋体"/>
                <w:sz w:val="22"/>
                <w:szCs w:val="22"/>
              </w:rPr>
              <w:t>4</w:t>
            </w:r>
          </w:p>
        </w:tc>
        <w:tc>
          <w:tcPr>
            <w:tcW w:w="6465" w:type="dxa"/>
            <w:tcBorders>
              <w:right w:val="single" w:color="auto" w:sz="4" w:space="0"/>
            </w:tcBorders>
            <w:vAlign w:val="center"/>
          </w:tcPr>
          <w:p w14:paraId="2D3DD514">
            <w:pPr>
              <w:widowControl/>
              <w:jc w:val="left"/>
              <w:textAlignment w:val="center"/>
              <w:rPr>
                <w:rFonts w:ascii="宋体" w:hAnsi="宋体"/>
                <w:sz w:val="22"/>
                <w:szCs w:val="22"/>
              </w:rPr>
            </w:pPr>
            <w:r>
              <w:rPr>
                <w:rFonts w:hint="eastAsia" w:ascii="宋体" w:hAnsi="宋体"/>
                <w:kern w:val="0"/>
                <w:sz w:val="22"/>
                <w:szCs w:val="22"/>
              </w:rPr>
              <w:t>投标文件内容齐全、无遗漏。</w:t>
            </w:r>
          </w:p>
        </w:tc>
        <w:tc>
          <w:tcPr>
            <w:tcW w:w="720" w:type="dxa"/>
            <w:tcBorders>
              <w:left w:val="single" w:color="auto" w:sz="4" w:space="0"/>
            </w:tcBorders>
          </w:tcPr>
          <w:p w14:paraId="4DA69DC2">
            <w:pPr>
              <w:rPr>
                <w:rFonts w:ascii="宋体" w:hAnsi="宋体"/>
                <w:sz w:val="24"/>
              </w:rPr>
            </w:pPr>
          </w:p>
        </w:tc>
        <w:tc>
          <w:tcPr>
            <w:tcW w:w="663" w:type="dxa"/>
            <w:tcBorders>
              <w:right w:val="single" w:color="auto" w:sz="4" w:space="0"/>
            </w:tcBorders>
          </w:tcPr>
          <w:p w14:paraId="1AC7C8A5">
            <w:pPr>
              <w:rPr>
                <w:rFonts w:ascii="宋体" w:hAnsi="宋体"/>
                <w:sz w:val="24"/>
              </w:rPr>
            </w:pPr>
          </w:p>
        </w:tc>
      </w:tr>
      <w:tr w14:paraId="094CA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3F4A3AB8">
            <w:pPr>
              <w:rPr>
                <w:rFonts w:ascii="宋体" w:hAnsi="宋体"/>
                <w:sz w:val="24"/>
                <w:szCs w:val="32"/>
              </w:rPr>
            </w:pPr>
          </w:p>
        </w:tc>
        <w:tc>
          <w:tcPr>
            <w:tcW w:w="458" w:type="dxa"/>
            <w:tcBorders>
              <w:left w:val="single" w:color="auto" w:sz="4" w:space="0"/>
              <w:bottom w:val="single" w:color="auto" w:sz="4" w:space="0"/>
            </w:tcBorders>
            <w:vAlign w:val="center"/>
          </w:tcPr>
          <w:p w14:paraId="38034B8C">
            <w:pPr>
              <w:jc w:val="center"/>
              <w:rPr>
                <w:rFonts w:ascii="宋体" w:hAnsi="宋体"/>
                <w:sz w:val="22"/>
                <w:szCs w:val="22"/>
              </w:rPr>
            </w:pPr>
            <w:r>
              <w:rPr>
                <w:rFonts w:hint="eastAsia" w:ascii="宋体" w:hAnsi="宋体"/>
                <w:sz w:val="22"/>
                <w:szCs w:val="22"/>
              </w:rPr>
              <w:t>5</w:t>
            </w:r>
          </w:p>
        </w:tc>
        <w:tc>
          <w:tcPr>
            <w:tcW w:w="6465" w:type="dxa"/>
            <w:tcBorders>
              <w:bottom w:val="single" w:color="auto" w:sz="4" w:space="0"/>
              <w:right w:val="single" w:color="auto" w:sz="4" w:space="0"/>
            </w:tcBorders>
            <w:vAlign w:val="center"/>
          </w:tcPr>
          <w:p w14:paraId="2A942383">
            <w:pPr>
              <w:widowControl/>
              <w:jc w:val="left"/>
              <w:textAlignment w:val="center"/>
              <w:rPr>
                <w:rFonts w:ascii="宋体" w:hAnsi="宋体"/>
                <w:sz w:val="22"/>
                <w:szCs w:val="22"/>
              </w:rPr>
            </w:pPr>
            <w:r>
              <w:rPr>
                <w:rFonts w:hint="eastAsia" w:ascii="宋体" w:hAnsi="宋体"/>
                <w:kern w:val="0"/>
                <w:sz w:val="22"/>
                <w:szCs w:val="22"/>
              </w:rPr>
              <w:t>对招标文件规定的招标内容全部作出响应。</w:t>
            </w:r>
          </w:p>
        </w:tc>
        <w:tc>
          <w:tcPr>
            <w:tcW w:w="720" w:type="dxa"/>
            <w:tcBorders>
              <w:left w:val="single" w:color="auto" w:sz="4" w:space="0"/>
              <w:bottom w:val="single" w:color="auto" w:sz="4" w:space="0"/>
            </w:tcBorders>
          </w:tcPr>
          <w:p w14:paraId="6A6F42FD">
            <w:pPr>
              <w:rPr>
                <w:rFonts w:ascii="宋体" w:hAnsi="宋体"/>
                <w:sz w:val="24"/>
              </w:rPr>
            </w:pPr>
          </w:p>
        </w:tc>
        <w:tc>
          <w:tcPr>
            <w:tcW w:w="663" w:type="dxa"/>
            <w:tcBorders>
              <w:bottom w:val="single" w:color="auto" w:sz="4" w:space="0"/>
              <w:right w:val="single" w:color="auto" w:sz="4" w:space="0"/>
            </w:tcBorders>
          </w:tcPr>
          <w:p w14:paraId="1E046AAF">
            <w:pPr>
              <w:rPr>
                <w:rFonts w:ascii="宋体" w:hAnsi="宋体"/>
                <w:sz w:val="24"/>
              </w:rPr>
            </w:pPr>
          </w:p>
        </w:tc>
      </w:tr>
      <w:tr w14:paraId="11851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01119DD4">
            <w:pPr>
              <w:rPr>
                <w:rFonts w:ascii="宋体" w:hAnsi="宋体"/>
                <w:sz w:val="24"/>
                <w:szCs w:val="32"/>
              </w:rPr>
            </w:pPr>
          </w:p>
        </w:tc>
        <w:tc>
          <w:tcPr>
            <w:tcW w:w="458" w:type="dxa"/>
            <w:tcBorders>
              <w:top w:val="single" w:color="auto" w:sz="4" w:space="0"/>
              <w:left w:val="single" w:color="auto" w:sz="4" w:space="0"/>
              <w:bottom w:val="single" w:color="auto" w:sz="4" w:space="0"/>
              <w:right w:val="single" w:color="auto" w:sz="4" w:space="0"/>
            </w:tcBorders>
            <w:vAlign w:val="center"/>
          </w:tcPr>
          <w:p w14:paraId="2241D4E5">
            <w:pPr>
              <w:jc w:val="center"/>
              <w:rPr>
                <w:rFonts w:ascii="宋体" w:hAnsi="宋体"/>
                <w:sz w:val="22"/>
                <w:szCs w:val="22"/>
              </w:rPr>
            </w:pPr>
            <w:r>
              <w:rPr>
                <w:rFonts w:hint="eastAsia" w:ascii="宋体" w:hAnsi="宋体"/>
                <w:sz w:val="22"/>
                <w:szCs w:val="22"/>
              </w:rPr>
              <w:t>6</w:t>
            </w:r>
          </w:p>
        </w:tc>
        <w:tc>
          <w:tcPr>
            <w:tcW w:w="6465" w:type="dxa"/>
            <w:tcBorders>
              <w:top w:val="single" w:color="auto" w:sz="4" w:space="0"/>
              <w:left w:val="single" w:color="auto" w:sz="4" w:space="0"/>
              <w:bottom w:val="single" w:color="auto" w:sz="4" w:space="0"/>
              <w:right w:val="single" w:color="auto" w:sz="4" w:space="0"/>
            </w:tcBorders>
            <w:vAlign w:val="center"/>
          </w:tcPr>
          <w:p w14:paraId="60BF3AB3">
            <w:pPr>
              <w:widowControl/>
              <w:jc w:val="left"/>
              <w:textAlignment w:val="center"/>
              <w:rPr>
                <w:rFonts w:ascii="宋体" w:hAnsi="宋体"/>
                <w:sz w:val="22"/>
                <w:szCs w:val="22"/>
              </w:rPr>
            </w:pPr>
            <w:r>
              <w:rPr>
                <w:rFonts w:hint="eastAsia" w:ascii="宋体" w:hAnsi="宋体"/>
                <w:kern w:val="0"/>
                <w:sz w:val="22"/>
                <w:szCs w:val="22"/>
              </w:rPr>
              <w:t>满足招标文件提出的技术和质量要求。</w:t>
            </w:r>
          </w:p>
        </w:tc>
        <w:tc>
          <w:tcPr>
            <w:tcW w:w="720" w:type="dxa"/>
            <w:tcBorders>
              <w:top w:val="single" w:color="auto" w:sz="4" w:space="0"/>
              <w:left w:val="single" w:color="auto" w:sz="4" w:space="0"/>
              <w:bottom w:val="single" w:color="auto" w:sz="4" w:space="0"/>
              <w:right w:val="single" w:color="auto" w:sz="4" w:space="0"/>
            </w:tcBorders>
          </w:tcPr>
          <w:p w14:paraId="77B542BA">
            <w:pPr>
              <w:rPr>
                <w:rFonts w:ascii="宋体" w:hAnsi="宋体"/>
                <w:sz w:val="24"/>
              </w:rPr>
            </w:pPr>
          </w:p>
        </w:tc>
        <w:tc>
          <w:tcPr>
            <w:tcW w:w="663" w:type="dxa"/>
            <w:tcBorders>
              <w:top w:val="single" w:color="auto" w:sz="4" w:space="0"/>
              <w:left w:val="single" w:color="auto" w:sz="4" w:space="0"/>
              <w:bottom w:val="single" w:color="auto" w:sz="4" w:space="0"/>
              <w:right w:val="single" w:color="auto" w:sz="4" w:space="0"/>
            </w:tcBorders>
          </w:tcPr>
          <w:p w14:paraId="00CBC342">
            <w:pPr>
              <w:rPr>
                <w:rFonts w:ascii="宋体" w:hAnsi="宋体"/>
                <w:sz w:val="24"/>
              </w:rPr>
            </w:pPr>
          </w:p>
        </w:tc>
      </w:tr>
      <w:tr w14:paraId="7DFD4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7C14CB20">
            <w:pPr>
              <w:rPr>
                <w:rFonts w:ascii="宋体" w:hAnsi="宋体"/>
                <w:sz w:val="24"/>
                <w:szCs w:val="32"/>
              </w:rPr>
            </w:pPr>
          </w:p>
        </w:tc>
        <w:tc>
          <w:tcPr>
            <w:tcW w:w="458" w:type="dxa"/>
            <w:tcBorders>
              <w:top w:val="single" w:color="auto" w:sz="4" w:space="0"/>
              <w:left w:val="single" w:color="auto" w:sz="4" w:space="0"/>
            </w:tcBorders>
            <w:vAlign w:val="center"/>
          </w:tcPr>
          <w:p w14:paraId="485A41BE">
            <w:pPr>
              <w:jc w:val="center"/>
              <w:rPr>
                <w:rFonts w:ascii="宋体" w:hAnsi="宋体"/>
                <w:sz w:val="22"/>
                <w:szCs w:val="22"/>
              </w:rPr>
            </w:pPr>
            <w:r>
              <w:rPr>
                <w:rFonts w:hint="eastAsia" w:ascii="宋体" w:hAnsi="宋体"/>
                <w:sz w:val="22"/>
                <w:szCs w:val="22"/>
              </w:rPr>
              <w:t>7</w:t>
            </w:r>
          </w:p>
        </w:tc>
        <w:tc>
          <w:tcPr>
            <w:tcW w:w="6465" w:type="dxa"/>
            <w:tcBorders>
              <w:top w:val="single" w:color="auto" w:sz="4" w:space="0"/>
              <w:right w:val="single" w:color="auto" w:sz="4" w:space="0"/>
            </w:tcBorders>
            <w:vAlign w:val="center"/>
          </w:tcPr>
          <w:p w14:paraId="524BFFAA">
            <w:pPr>
              <w:widowControl/>
              <w:jc w:val="left"/>
              <w:textAlignment w:val="center"/>
              <w:rPr>
                <w:rFonts w:ascii="宋体" w:hAnsi="宋体"/>
                <w:sz w:val="22"/>
                <w:szCs w:val="22"/>
              </w:rPr>
            </w:pPr>
            <w:r>
              <w:rPr>
                <w:rFonts w:hint="eastAsia" w:ascii="宋体" w:hAnsi="宋体"/>
                <w:kern w:val="0"/>
                <w:sz w:val="22"/>
                <w:szCs w:val="22"/>
              </w:rPr>
              <w:t>完成期限满足招标文件要求。</w:t>
            </w:r>
          </w:p>
        </w:tc>
        <w:tc>
          <w:tcPr>
            <w:tcW w:w="720" w:type="dxa"/>
            <w:tcBorders>
              <w:top w:val="single" w:color="auto" w:sz="4" w:space="0"/>
              <w:left w:val="single" w:color="auto" w:sz="4" w:space="0"/>
            </w:tcBorders>
          </w:tcPr>
          <w:p w14:paraId="64B2D3DE">
            <w:pPr>
              <w:rPr>
                <w:rFonts w:ascii="宋体" w:hAnsi="宋体"/>
                <w:sz w:val="24"/>
              </w:rPr>
            </w:pPr>
          </w:p>
        </w:tc>
        <w:tc>
          <w:tcPr>
            <w:tcW w:w="663" w:type="dxa"/>
            <w:tcBorders>
              <w:top w:val="single" w:color="auto" w:sz="4" w:space="0"/>
              <w:right w:val="single" w:color="auto" w:sz="4" w:space="0"/>
            </w:tcBorders>
          </w:tcPr>
          <w:p w14:paraId="43CA0689">
            <w:pPr>
              <w:rPr>
                <w:rFonts w:ascii="宋体" w:hAnsi="宋体"/>
                <w:sz w:val="24"/>
              </w:rPr>
            </w:pPr>
          </w:p>
        </w:tc>
      </w:tr>
      <w:tr w14:paraId="34BF2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584BC338">
            <w:pPr>
              <w:rPr>
                <w:rFonts w:ascii="宋体" w:hAnsi="宋体"/>
                <w:sz w:val="24"/>
                <w:szCs w:val="32"/>
              </w:rPr>
            </w:pPr>
          </w:p>
        </w:tc>
        <w:tc>
          <w:tcPr>
            <w:tcW w:w="458" w:type="dxa"/>
            <w:tcBorders>
              <w:left w:val="single" w:color="auto" w:sz="4" w:space="0"/>
            </w:tcBorders>
            <w:vAlign w:val="center"/>
          </w:tcPr>
          <w:p w14:paraId="6F97C168">
            <w:pPr>
              <w:jc w:val="center"/>
              <w:rPr>
                <w:rFonts w:hint="eastAsia" w:ascii="宋体" w:hAnsi="宋体" w:eastAsia="宋体"/>
                <w:sz w:val="22"/>
                <w:szCs w:val="22"/>
                <w:lang w:eastAsia="zh-CN"/>
              </w:rPr>
            </w:pPr>
            <w:r>
              <w:rPr>
                <w:rFonts w:hint="eastAsia" w:ascii="宋体" w:hAnsi="宋体"/>
                <w:sz w:val="22"/>
                <w:szCs w:val="22"/>
                <w:lang w:val="en-US" w:eastAsia="zh-CN"/>
              </w:rPr>
              <w:t>8</w:t>
            </w:r>
          </w:p>
        </w:tc>
        <w:tc>
          <w:tcPr>
            <w:tcW w:w="6465" w:type="dxa"/>
            <w:tcBorders>
              <w:right w:val="single" w:color="auto" w:sz="4" w:space="0"/>
            </w:tcBorders>
            <w:vAlign w:val="center"/>
          </w:tcPr>
          <w:p w14:paraId="13FB0973">
            <w:pPr>
              <w:widowControl/>
              <w:jc w:val="left"/>
              <w:textAlignment w:val="center"/>
              <w:rPr>
                <w:rFonts w:ascii="宋体" w:hAnsi="宋体"/>
                <w:sz w:val="22"/>
                <w:szCs w:val="22"/>
              </w:rPr>
            </w:pPr>
            <w:r>
              <w:rPr>
                <w:rFonts w:hint="eastAsia" w:ascii="宋体" w:hAnsi="宋体"/>
                <w:kern w:val="0"/>
                <w:sz w:val="22"/>
                <w:szCs w:val="22"/>
              </w:rPr>
              <w:t>投标有效期满足招标文件要求。</w:t>
            </w:r>
          </w:p>
        </w:tc>
        <w:tc>
          <w:tcPr>
            <w:tcW w:w="720" w:type="dxa"/>
            <w:tcBorders>
              <w:left w:val="single" w:color="auto" w:sz="4" w:space="0"/>
            </w:tcBorders>
          </w:tcPr>
          <w:p w14:paraId="57B3AA33">
            <w:pPr>
              <w:rPr>
                <w:rFonts w:ascii="宋体" w:hAnsi="宋体"/>
                <w:sz w:val="24"/>
              </w:rPr>
            </w:pPr>
          </w:p>
        </w:tc>
        <w:tc>
          <w:tcPr>
            <w:tcW w:w="663" w:type="dxa"/>
            <w:tcBorders>
              <w:right w:val="single" w:color="auto" w:sz="4" w:space="0"/>
            </w:tcBorders>
          </w:tcPr>
          <w:p w14:paraId="0AF5EC00">
            <w:pPr>
              <w:rPr>
                <w:rFonts w:ascii="宋体" w:hAnsi="宋体"/>
                <w:sz w:val="24"/>
              </w:rPr>
            </w:pPr>
          </w:p>
        </w:tc>
      </w:tr>
      <w:tr w14:paraId="7053A5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46FDACBC">
            <w:pPr>
              <w:rPr>
                <w:rFonts w:ascii="宋体" w:hAnsi="宋体"/>
                <w:sz w:val="24"/>
                <w:szCs w:val="32"/>
              </w:rPr>
            </w:pPr>
          </w:p>
        </w:tc>
        <w:tc>
          <w:tcPr>
            <w:tcW w:w="458" w:type="dxa"/>
            <w:tcBorders>
              <w:left w:val="single" w:color="auto" w:sz="4" w:space="0"/>
            </w:tcBorders>
            <w:vAlign w:val="center"/>
          </w:tcPr>
          <w:p w14:paraId="73161068">
            <w:pPr>
              <w:jc w:val="center"/>
              <w:rPr>
                <w:rFonts w:hint="default" w:ascii="宋体" w:hAnsi="宋体"/>
                <w:sz w:val="22"/>
                <w:szCs w:val="22"/>
                <w:lang w:val="en-US" w:eastAsia="zh-CN"/>
              </w:rPr>
            </w:pPr>
            <w:r>
              <w:rPr>
                <w:rFonts w:hint="eastAsia" w:ascii="宋体" w:hAnsi="宋体"/>
                <w:sz w:val="22"/>
                <w:szCs w:val="22"/>
                <w:lang w:val="en-US" w:eastAsia="zh-CN"/>
              </w:rPr>
              <w:t>9</w:t>
            </w:r>
          </w:p>
        </w:tc>
        <w:tc>
          <w:tcPr>
            <w:tcW w:w="6465" w:type="dxa"/>
            <w:tcBorders>
              <w:right w:val="single" w:color="auto" w:sz="4" w:space="0"/>
            </w:tcBorders>
            <w:vAlign w:val="center"/>
          </w:tcPr>
          <w:p w14:paraId="3345A3EF">
            <w:pPr>
              <w:widowControl/>
              <w:jc w:val="left"/>
              <w:textAlignment w:val="center"/>
              <w:rPr>
                <w:rFonts w:hint="eastAsia" w:ascii="宋体" w:hAnsi="宋体" w:eastAsia="宋体"/>
                <w:kern w:val="0"/>
                <w:sz w:val="22"/>
                <w:szCs w:val="22"/>
                <w:lang w:eastAsia="zh-CN"/>
              </w:rPr>
            </w:pPr>
            <w:r>
              <w:rPr>
                <w:rFonts w:hint="eastAsia" w:ascii="宋体" w:hAnsi="宋体"/>
                <w:kern w:val="0"/>
                <w:sz w:val="22"/>
                <w:szCs w:val="22"/>
                <w:lang w:eastAsia="zh-CN"/>
              </w:rPr>
              <w:t>售后服务满足招标文件要求</w:t>
            </w:r>
          </w:p>
        </w:tc>
        <w:tc>
          <w:tcPr>
            <w:tcW w:w="720" w:type="dxa"/>
            <w:tcBorders>
              <w:left w:val="single" w:color="auto" w:sz="4" w:space="0"/>
            </w:tcBorders>
          </w:tcPr>
          <w:p w14:paraId="25B15D4A">
            <w:pPr>
              <w:rPr>
                <w:rFonts w:ascii="宋体" w:hAnsi="宋体"/>
                <w:sz w:val="24"/>
              </w:rPr>
            </w:pPr>
          </w:p>
        </w:tc>
        <w:tc>
          <w:tcPr>
            <w:tcW w:w="663" w:type="dxa"/>
            <w:tcBorders>
              <w:right w:val="single" w:color="auto" w:sz="4" w:space="0"/>
            </w:tcBorders>
          </w:tcPr>
          <w:p w14:paraId="0489FFFC">
            <w:pPr>
              <w:rPr>
                <w:rFonts w:ascii="宋体" w:hAnsi="宋体"/>
                <w:sz w:val="24"/>
              </w:rPr>
            </w:pPr>
          </w:p>
        </w:tc>
      </w:tr>
      <w:tr w14:paraId="2F27B9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650F50E4">
            <w:pPr>
              <w:rPr>
                <w:rFonts w:ascii="宋体" w:hAnsi="宋体"/>
                <w:sz w:val="24"/>
                <w:szCs w:val="32"/>
              </w:rPr>
            </w:pPr>
          </w:p>
        </w:tc>
        <w:tc>
          <w:tcPr>
            <w:tcW w:w="458" w:type="dxa"/>
            <w:tcBorders>
              <w:left w:val="single" w:color="auto" w:sz="4" w:space="0"/>
            </w:tcBorders>
            <w:vAlign w:val="center"/>
          </w:tcPr>
          <w:p w14:paraId="335055ED">
            <w:pPr>
              <w:jc w:val="center"/>
              <w:rPr>
                <w:rFonts w:hint="default" w:ascii="宋体" w:hAnsi="宋体" w:eastAsia="宋体"/>
                <w:sz w:val="22"/>
                <w:szCs w:val="22"/>
                <w:lang w:val="en-US" w:eastAsia="zh-CN"/>
              </w:rPr>
            </w:pPr>
            <w:r>
              <w:rPr>
                <w:rFonts w:hint="eastAsia" w:ascii="宋体" w:hAnsi="宋体"/>
                <w:sz w:val="22"/>
                <w:szCs w:val="22"/>
                <w:lang w:val="en-US" w:eastAsia="zh-CN"/>
              </w:rPr>
              <w:t>10</w:t>
            </w:r>
          </w:p>
        </w:tc>
        <w:tc>
          <w:tcPr>
            <w:tcW w:w="6465" w:type="dxa"/>
            <w:tcBorders>
              <w:right w:val="single" w:color="auto" w:sz="4" w:space="0"/>
            </w:tcBorders>
            <w:vAlign w:val="center"/>
          </w:tcPr>
          <w:p w14:paraId="2B3A4080">
            <w:pPr>
              <w:widowControl/>
              <w:jc w:val="left"/>
              <w:textAlignment w:val="center"/>
              <w:rPr>
                <w:rFonts w:ascii="宋体" w:hAnsi="宋体"/>
                <w:sz w:val="22"/>
                <w:szCs w:val="22"/>
              </w:rPr>
            </w:pPr>
            <w:r>
              <w:rPr>
                <w:rFonts w:hint="eastAsia" w:ascii="宋体" w:hAnsi="宋体" w:eastAsia="宋体" w:cs="宋体"/>
                <w:kern w:val="0"/>
                <w:sz w:val="22"/>
                <w:szCs w:val="22"/>
                <w:lang w:eastAsia="zh-CN"/>
              </w:rPr>
              <w:t>投</w:t>
            </w:r>
            <w:r>
              <w:rPr>
                <w:rFonts w:hint="eastAsia" w:ascii="宋体" w:hAnsi="宋体"/>
                <w:kern w:val="0"/>
                <w:sz w:val="22"/>
                <w:szCs w:val="22"/>
                <w:lang w:eastAsia="zh-CN"/>
              </w:rPr>
              <w:t>标人详细地址、联系人、电话</w:t>
            </w:r>
          </w:p>
        </w:tc>
        <w:tc>
          <w:tcPr>
            <w:tcW w:w="720" w:type="dxa"/>
            <w:tcBorders>
              <w:left w:val="single" w:color="auto" w:sz="4" w:space="0"/>
            </w:tcBorders>
          </w:tcPr>
          <w:p w14:paraId="16308449">
            <w:pPr>
              <w:rPr>
                <w:rFonts w:ascii="宋体" w:hAnsi="宋体"/>
                <w:sz w:val="24"/>
              </w:rPr>
            </w:pPr>
          </w:p>
        </w:tc>
        <w:tc>
          <w:tcPr>
            <w:tcW w:w="663" w:type="dxa"/>
            <w:tcBorders>
              <w:right w:val="single" w:color="auto" w:sz="4" w:space="0"/>
            </w:tcBorders>
          </w:tcPr>
          <w:p w14:paraId="5089E70B">
            <w:pPr>
              <w:rPr>
                <w:rFonts w:ascii="宋体" w:hAnsi="宋体"/>
                <w:sz w:val="24"/>
              </w:rPr>
            </w:pPr>
          </w:p>
        </w:tc>
      </w:tr>
      <w:tr w14:paraId="50E643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9" w:hRule="atLeast"/>
        </w:trPr>
        <w:tc>
          <w:tcPr>
            <w:tcW w:w="1252" w:type="dxa"/>
            <w:tcBorders>
              <w:left w:val="single" w:color="auto" w:sz="4" w:space="0"/>
              <w:bottom w:val="single" w:color="auto" w:sz="4" w:space="0"/>
              <w:right w:val="single" w:color="auto" w:sz="4" w:space="0"/>
            </w:tcBorders>
            <w:vAlign w:val="center"/>
          </w:tcPr>
          <w:p w14:paraId="32AD91F7">
            <w:pPr>
              <w:jc w:val="center"/>
              <w:rPr>
                <w:rFonts w:ascii="宋体" w:hAnsi="宋体"/>
                <w:sz w:val="24"/>
              </w:rPr>
            </w:pPr>
          </w:p>
        </w:tc>
        <w:tc>
          <w:tcPr>
            <w:tcW w:w="6923" w:type="dxa"/>
            <w:gridSpan w:val="2"/>
            <w:tcBorders>
              <w:left w:val="single" w:color="auto" w:sz="4" w:space="0"/>
              <w:bottom w:val="single" w:color="auto" w:sz="4" w:space="0"/>
              <w:right w:val="single" w:color="auto" w:sz="4" w:space="0"/>
            </w:tcBorders>
          </w:tcPr>
          <w:p w14:paraId="1FFCD929">
            <w:pPr>
              <w:rPr>
                <w:rFonts w:ascii="宋体" w:hAnsi="宋体"/>
                <w:sz w:val="22"/>
                <w:szCs w:val="22"/>
              </w:rPr>
            </w:pPr>
            <w:r>
              <w:rPr>
                <w:rFonts w:hint="eastAsia" w:ascii="宋体" w:hAnsi="宋体"/>
                <w:sz w:val="22"/>
                <w:szCs w:val="22"/>
              </w:rPr>
              <w:t>结论：是否通过评审（须填写通过或不通过）</w:t>
            </w:r>
          </w:p>
          <w:p w14:paraId="17B9F0D7">
            <w:pPr>
              <w:rPr>
                <w:rFonts w:ascii="宋体" w:hAnsi="宋体"/>
                <w:sz w:val="22"/>
                <w:szCs w:val="22"/>
              </w:rPr>
            </w:pPr>
            <w:r>
              <w:rPr>
                <w:rFonts w:hint="eastAsia" w:ascii="宋体" w:hAnsi="宋体"/>
                <w:sz w:val="22"/>
                <w:szCs w:val="22"/>
              </w:rPr>
              <w:t>注：如有一项不合格，作废标处理。</w:t>
            </w:r>
          </w:p>
        </w:tc>
        <w:tc>
          <w:tcPr>
            <w:tcW w:w="1383" w:type="dxa"/>
            <w:gridSpan w:val="2"/>
            <w:tcBorders>
              <w:left w:val="single" w:color="auto" w:sz="4" w:space="0"/>
              <w:bottom w:val="single" w:color="auto" w:sz="4" w:space="0"/>
              <w:right w:val="single" w:color="auto" w:sz="4" w:space="0"/>
            </w:tcBorders>
          </w:tcPr>
          <w:p w14:paraId="052920AF">
            <w:pPr>
              <w:rPr>
                <w:rFonts w:ascii="宋体" w:hAnsi="宋体"/>
                <w:sz w:val="24"/>
              </w:rPr>
            </w:pPr>
          </w:p>
        </w:tc>
      </w:tr>
    </w:tbl>
    <w:p w14:paraId="5E25F310">
      <w:pPr>
        <w:spacing w:line="400" w:lineRule="exact"/>
        <w:ind w:firstLine="513" w:firstLineChars="241"/>
        <w:rPr>
          <w:rFonts w:hint="eastAsia" w:ascii="宋体"/>
          <w:szCs w:val="21"/>
        </w:rPr>
      </w:pPr>
    </w:p>
    <w:p w14:paraId="69FCDBDE">
      <w:pPr>
        <w:spacing w:line="400" w:lineRule="exact"/>
        <w:ind w:firstLine="513" w:firstLineChars="241"/>
        <w:rPr>
          <w:rFonts w:ascii="宋体"/>
          <w:szCs w:val="21"/>
        </w:rPr>
      </w:pPr>
      <w:r>
        <w:rPr>
          <w:rFonts w:hint="eastAsia" w:ascii="宋体"/>
          <w:szCs w:val="21"/>
        </w:rPr>
        <w:t>7.2评委会判定投标文件的响应性只根据投标文件本身的内容，而不寻求外部的证据，但投标有不真实不正确的内容时除外。</w:t>
      </w:r>
    </w:p>
    <w:p w14:paraId="71CA5EA7">
      <w:pPr>
        <w:spacing w:line="400" w:lineRule="exact"/>
        <w:ind w:firstLine="513" w:firstLineChars="241"/>
        <w:rPr>
          <w:rFonts w:ascii="宋体"/>
          <w:szCs w:val="21"/>
        </w:rPr>
      </w:pPr>
      <w:r>
        <w:rPr>
          <w:rFonts w:hint="eastAsia" w:ascii="宋体"/>
          <w:szCs w:val="21"/>
        </w:rPr>
        <w:t>7.3如果投标文件实质上没有响应采购文件的要求，评委会将予以拒绝，投标人不得通过修正或撤销不符合要求的偏离或保留，而使其投标成为实质上响应的投标。</w:t>
      </w:r>
    </w:p>
    <w:p w14:paraId="696375CD">
      <w:pPr>
        <w:spacing w:line="400" w:lineRule="exact"/>
        <w:ind w:firstLine="426" w:firstLineChars="200"/>
        <w:rPr>
          <w:rFonts w:ascii="宋体"/>
          <w:szCs w:val="21"/>
        </w:rPr>
      </w:pPr>
      <w:r>
        <w:rPr>
          <w:rFonts w:hint="eastAsia" w:ascii="宋体"/>
          <w:szCs w:val="21"/>
        </w:rPr>
        <w:t xml:space="preserve"> 7.4投标人可在现场20分钟内对评标委员会的评审结论提出异议，评标委员会根据采购文件及有关规定对投标人的异议进行复议</w:t>
      </w:r>
    </w:p>
    <w:p w14:paraId="227A3944">
      <w:pPr>
        <w:spacing w:line="400" w:lineRule="exact"/>
        <w:ind w:firstLine="532" w:firstLineChars="250"/>
        <w:rPr>
          <w:rFonts w:ascii="宋体"/>
          <w:szCs w:val="21"/>
        </w:rPr>
      </w:pPr>
      <w:r>
        <w:rPr>
          <w:rFonts w:hint="eastAsia" w:ascii="宋体"/>
          <w:szCs w:val="21"/>
        </w:rPr>
        <w:t>7.5只有通过初审的投标人才能进入下一步评标程序。</w:t>
      </w:r>
    </w:p>
    <w:p w14:paraId="510A09B7">
      <w:pPr>
        <w:spacing w:line="400" w:lineRule="exact"/>
        <w:ind w:firstLine="426" w:firstLineChars="200"/>
        <w:rPr>
          <w:rFonts w:ascii="宋体"/>
          <w:szCs w:val="21"/>
        </w:rPr>
      </w:pPr>
      <w:r>
        <w:rPr>
          <w:rFonts w:hint="eastAsia" w:ascii="宋体" w:hAnsi="宋体"/>
          <w:b/>
          <w:szCs w:val="21"/>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66B5AE3D">
      <w:pPr>
        <w:spacing w:before="162" w:beforeLines="50" w:line="400" w:lineRule="exact"/>
        <w:jc w:val="center"/>
        <w:outlineLvl w:val="1"/>
        <w:rPr>
          <w:rFonts w:ascii="宋体"/>
          <w:b/>
          <w:sz w:val="24"/>
        </w:rPr>
      </w:pPr>
      <w:bookmarkStart w:id="63" w:name="_Toc469495734"/>
      <w:bookmarkStart w:id="64" w:name="_Toc362983803"/>
      <w:r>
        <w:rPr>
          <w:rFonts w:hint="eastAsia" w:ascii="宋体"/>
          <w:b/>
          <w:sz w:val="28"/>
          <w:szCs w:val="28"/>
        </w:rPr>
        <w:t xml:space="preserve">三  </w:t>
      </w:r>
      <w:r>
        <w:rPr>
          <w:rFonts w:hint="eastAsia" w:ascii="宋体"/>
          <w:b/>
          <w:sz w:val="24"/>
        </w:rPr>
        <w:t>投标文件的澄清和补正</w:t>
      </w:r>
      <w:bookmarkEnd w:id="63"/>
      <w:bookmarkEnd w:id="64"/>
    </w:p>
    <w:p w14:paraId="05065166">
      <w:pPr>
        <w:spacing w:line="440" w:lineRule="exact"/>
        <w:ind w:firstLine="213" w:firstLineChars="100"/>
        <w:jc w:val="left"/>
        <w:rPr>
          <w:rFonts w:ascii="宋体"/>
          <w:szCs w:val="21"/>
        </w:rPr>
      </w:pPr>
      <w:r>
        <w:rPr>
          <w:rFonts w:hint="eastAsia" w:ascii="宋体"/>
          <w:szCs w:val="21"/>
        </w:rPr>
        <w:t>8．澄清、说明或补正的形式</w:t>
      </w:r>
    </w:p>
    <w:p w14:paraId="0795F33E">
      <w:pPr>
        <w:spacing w:line="440" w:lineRule="exact"/>
        <w:ind w:firstLine="213" w:firstLineChars="100"/>
        <w:jc w:val="left"/>
        <w:rPr>
          <w:rFonts w:ascii="宋体"/>
          <w:szCs w:val="21"/>
        </w:rPr>
      </w:pPr>
      <w:r>
        <w:rPr>
          <w:rFonts w:hint="eastAsia" w:ascii="宋体"/>
          <w:szCs w:val="21"/>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3AABE646">
      <w:pPr>
        <w:spacing w:line="440" w:lineRule="exact"/>
        <w:ind w:firstLine="213" w:firstLineChars="100"/>
        <w:jc w:val="left"/>
        <w:rPr>
          <w:rFonts w:ascii="宋体"/>
          <w:szCs w:val="21"/>
        </w:rPr>
      </w:pPr>
      <w:r>
        <w:rPr>
          <w:rFonts w:hint="eastAsia" w:ascii="宋体"/>
          <w:szCs w:val="21"/>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13FAE06C">
      <w:pPr>
        <w:spacing w:line="440" w:lineRule="exact"/>
        <w:ind w:firstLine="213" w:firstLineChars="100"/>
        <w:jc w:val="left"/>
        <w:rPr>
          <w:rFonts w:ascii="宋体"/>
          <w:szCs w:val="21"/>
        </w:rPr>
      </w:pPr>
      <w:r>
        <w:rPr>
          <w:rFonts w:hint="eastAsia" w:ascii="宋体"/>
          <w:szCs w:val="21"/>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27183DA">
      <w:pPr>
        <w:spacing w:line="440" w:lineRule="exact"/>
        <w:ind w:firstLine="213" w:firstLineChars="100"/>
        <w:jc w:val="left"/>
        <w:rPr>
          <w:rFonts w:ascii="宋体"/>
          <w:szCs w:val="21"/>
        </w:rPr>
      </w:pPr>
      <w:r>
        <w:rPr>
          <w:rFonts w:hint="eastAsia" w:ascii="宋体"/>
          <w:szCs w:val="21"/>
        </w:rPr>
        <w:t>9．错误修正的原则</w:t>
      </w:r>
    </w:p>
    <w:p w14:paraId="04F3F09C">
      <w:pPr>
        <w:spacing w:line="440" w:lineRule="exact"/>
        <w:ind w:firstLine="213" w:firstLineChars="100"/>
        <w:jc w:val="left"/>
        <w:rPr>
          <w:rFonts w:ascii="宋体"/>
          <w:szCs w:val="21"/>
        </w:rPr>
      </w:pPr>
      <w:r>
        <w:rPr>
          <w:rFonts w:hint="eastAsia" w:ascii="宋体"/>
          <w:szCs w:val="21"/>
        </w:rPr>
        <w:t>电子交易平台客户端里开标一览表录入的投标报价或优惠率与扫描上传的报价文件信息不一致的，以扫描上传的报价文件信息为准进行修正。</w:t>
      </w:r>
    </w:p>
    <w:p w14:paraId="593AB463">
      <w:pPr>
        <w:spacing w:line="440" w:lineRule="exact"/>
        <w:ind w:firstLine="213" w:firstLineChars="100"/>
        <w:jc w:val="left"/>
        <w:rPr>
          <w:rFonts w:ascii="宋体"/>
          <w:szCs w:val="21"/>
        </w:rPr>
      </w:pPr>
      <w:r>
        <w:rPr>
          <w:rFonts w:hint="eastAsia" w:ascii="宋体"/>
          <w:szCs w:val="21"/>
        </w:rPr>
        <w:t>投标文件报价出现前后不一致的，除采购文件另有规定外，按照下列规定修正：</w:t>
      </w:r>
    </w:p>
    <w:p w14:paraId="494372FD">
      <w:pPr>
        <w:spacing w:line="440" w:lineRule="exact"/>
        <w:ind w:firstLine="213" w:firstLineChars="100"/>
        <w:jc w:val="left"/>
        <w:rPr>
          <w:rFonts w:ascii="宋体"/>
          <w:szCs w:val="21"/>
        </w:rPr>
      </w:pPr>
      <w:r>
        <w:rPr>
          <w:rFonts w:hint="eastAsia" w:ascii="宋体"/>
          <w:szCs w:val="21"/>
        </w:rPr>
        <w:t>9.1 投标函中表述的内容与报价表中不一致的，以报价表为准；报价表中的内容与报价明细表不一致的，以报价表为准；</w:t>
      </w:r>
    </w:p>
    <w:p w14:paraId="7BD64C8B">
      <w:pPr>
        <w:spacing w:line="440" w:lineRule="exact"/>
        <w:ind w:firstLine="213" w:firstLineChars="100"/>
        <w:jc w:val="left"/>
        <w:rPr>
          <w:rFonts w:ascii="宋体"/>
          <w:szCs w:val="21"/>
        </w:rPr>
      </w:pPr>
      <w:r>
        <w:rPr>
          <w:rFonts w:hint="eastAsia" w:ascii="宋体"/>
          <w:szCs w:val="21"/>
        </w:rPr>
        <w:t>9.2 投标文件中的大写金额和小写金额不一致的，以大写金额为准；</w:t>
      </w:r>
    </w:p>
    <w:p w14:paraId="58E17EA0">
      <w:pPr>
        <w:spacing w:line="440" w:lineRule="exact"/>
        <w:ind w:firstLine="213" w:firstLineChars="100"/>
        <w:jc w:val="left"/>
        <w:rPr>
          <w:rFonts w:ascii="宋体"/>
          <w:szCs w:val="21"/>
        </w:rPr>
      </w:pPr>
      <w:r>
        <w:rPr>
          <w:rFonts w:hint="eastAsia" w:ascii="宋体"/>
          <w:szCs w:val="21"/>
        </w:rPr>
        <w:t>9.3 单价金额小数点或者百分比有明显错位的，以开标一览表的总价为准，并修改单价；</w:t>
      </w:r>
    </w:p>
    <w:p w14:paraId="20429F2D">
      <w:pPr>
        <w:spacing w:line="440" w:lineRule="exact"/>
        <w:ind w:firstLine="213" w:firstLineChars="100"/>
        <w:jc w:val="left"/>
        <w:rPr>
          <w:rFonts w:ascii="宋体"/>
          <w:szCs w:val="21"/>
        </w:rPr>
      </w:pPr>
      <w:r>
        <w:rPr>
          <w:rFonts w:hint="eastAsia" w:ascii="宋体"/>
          <w:szCs w:val="21"/>
        </w:rPr>
        <w:t>9.4 总价金额与按单价汇总金额不一致的，以单价金额计算结果为准；</w:t>
      </w:r>
    </w:p>
    <w:p w14:paraId="3827898E">
      <w:pPr>
        <w:spacing w:line="440" w:lineRule="exact"/>
        <w:ind w:firstLine="213" w:firstLineChars="100"/>
        <w:jc w:val="left"/>
        <w:rPr>
          <w:rFonts w:ascii="宋体"/>
          <w:szCs w:val="21"/>
        </w:rPr>
      </w:pPr>
      <w:r>
        <w:rPr>
          <w:rFonts w:hint="eastAsia" w:ascii="宋体"/>
          <w:szCs w:val="21"/>
        </w:rPr>
        <w:t>9.5 若用文字表示的数值与用数字表示的数值不一致，以文字表示的数值为准；</w:t>
      </w:r>
    </w:p>
    <w:p w14:paraId="34C997A3">
      <w:pPr>
        <w:spacing w:line="440" w:lineRule="exact"/>
        <w:ind w:firstLine="213" w:firstLineChars="100"/>
        <w:jc w:val="left"/>
        <w:rPr>
          <w:rFonts w:ascii="宋体"/>
          <w:szCs w:val="21"/>
        </w:rPr>
      </w:pPr>
      <w:r>
        <w:rPr>
          <w:rFonts w:hint="eastAsia" w:ascii="宋体"/>
          <w:szCs w:val="21"/>
        </w:rPr>
        <w:t>9.6 如有多报（指数量超出采购文件需求）、重报（指同一货物重复报价），其投标总价在评标过程中不予调整，如其中标，其合同价按其投标单价予以调整；</w:t>
      </w:r>
    </w:p>
    <w:p w14:paraId="0337DAA3">
      <w:pPr>
        <w:spacing w:line="440" w:lineRule="exact"/>
        <w:ind w:firstLine="213" w:firstLineChars="100"/>
        <w:jc w:val="left"/>
        <w:rPr>
          <w:rFonts w:ascii="宋体"/>
          <w:szCs w:val="21"/>
        </w:rPr>
      </w:pPr>
      <w:r>
        <w:rPr>
          <w:rFonts w:hint="eastAsia" w:ascii="宋体"/>
          <w:szCs w:val="21"/>
        </w:rPr>
        <w:t>9.7 对不同文字文本投标文件的解释发生异议的，以中文文本为准；</w:t>
      </w:r>
    </w:p>
    <w:p w14:paraId="15422513">
      <w:pPr>
        <w:spacing w:line="440" w:lineRule="exact"/>
        <w:ind w:firstLine="213" w:firstLineChars="100"/>
        <w:jc w:val="left"/>
        <w:rPr>
          <w:rFonts w:ascii="宋体"/>
          <w:szCs w:val="21"/>
        </w:rPr>
      </w:pPr>
      <w:r>
        <w:rPr>
          <w:rFonts w:hint="eastAsia" w:ascii="宋体"/>
          <w:szCs w:val="21"/>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C19B88C">
      <w:pPr>
        <w:spacing w:line="400" w:lineRule="exact"/>
        <w:outlineLvl w:val="1"/>
        <w:rPr>
          <w:rFonts w:ascii="宋体"/>
          <w:b/>
          <w:sz w:val="24"/>
        </w:rPr>
      </w:pPr>
      <w:bookmarkStart w:id="65" w:name="_Toc469495735"/>
    </w:p>
    <w:p w14:paraId="380AD7BD">
      <w:pPr>
        <w:spacing w:line="400" w:lineRule="exact"/>
        <w:jc w:val="center"/>
        <w:outlineLvl w:val="1"/>
        <w:rPr>
          <w:rFonts w:ascii="宋体"/>
          <w:b/>
          <w:sz w:val="24"/>
        </w:rPr>
      </w:pPr>
      <w:r>
        <w:rPr>
          <w:rFonts w:hint="eastAsia" w:ascii="宋体"/>
          <w:b/>
          <w:sz w:val="24"/>
        </w:rPr>
        <w:t>四 比较与评价</w:t>
      </w:r>
      <w:bookmarkEnd w:id="65"/>
    </w:p>
    <w:p w14:paraId="3F415AA0">
      <w:pPr>
        <w:tabs>
          <w:tab w:val="left" w:pos="720"/>
        </w:tabs>
        <w:spacing w:line="440" w:lineRule="exact"/>
        <w:ind w:firstLine="542" w:firstLineChars="255"/>
        <w:rPr>
          <w:rFonts w:ascii="宋体" w:hAnsi="宋体"/>
          <w:szCs w:val="21"/>
        </w:rPr>
      </w:pPr>
      <w:bookmarkStart w:id="66" w:name="_Toc469495736"/>
      <w:bookmarkStart w:id="67" w:name="_Toc362983805"/>
      <w:r>
        <w:rPr>
          <w:rFonts w:hint="eastAsia" w:ascii="宋体" w:hAnsi="宋体"/>
          <w:szCs w:val="21"/>
        </w:rPr>
        <w:t>10.1评标委员会按招标文件中规定的评标方法和标准，对资格性检查和符合性检查合格的投标文件进行商务和技术评估、综合比较与评价。</w:t>
      </w:r>
    </w:p>
    <w:p w14:paraId="56591C33">
      <w:pPr>
        <w:spacing w:line="440" w:lineRule="exact"/>
        <w:ind w:firstLine="546" w:firstLineChars="257"/>
        <w:rPr>
          <w:rFonts w:ascii="宋体" w:hAnsi="宋体"/>
          <w:szCs w:val="21"/>
        </w:rPr>
      </w:pPr>
      <w:r>
        <w:rPr>
          <w:rFonts w:hint="eastAsia" w:ascii="宋体" w:hAnsi="宋体"/>
          <w:szCs w:val="21"/>
        </w:rPr>
        <w:t>10.2评标委员会根据商务和技术评估的结果，采用综合评分法，分别对投标文件的商务、技术、价格等内容进行打分。其中，商务评估、技术评估、价格评估的评分权值（详见附件1）。</w:t>
      </w:r>
    </w:p>
    <w:p w14:paraId="07B9E790">
      <w:pPr>
        <w:spacing w:line="440" w:lineRule="exact"/>
        <w:ind w:firstLine="546" w:firstLineChars="257"/>
        <w:rPr>
          <w:rFonts w:ascii="宋体" w:hAnsi="宋体"/>
          <w:bCs/>
          <w:szCs w:val="21"/>
        </w:rPr>
      </w:pPr>
      <w:r>
        <w:rPr>
          <w:rFonts w:hint="eastAsia" w:ascii="宋体" w:hAnsi="宋体"/>
          <w:szCs w:val="21"/>
        </w:rPr>
        <w:t>10.</w:t>
      </w:r>
      <w:r>
        <w:rPr>
          <w:rFonts w:hint="eastAsia" w:ascii="宋体" w:hAnsi="宋体"/>
          <w:bCs/>
          <w:szCs w:val="21"/>
        </w:rPr>
        <w:t>2.1评委打分办法</w:t>
      </w:r>
    </w:p>
    <w:p w14:paraId="2C4EC4C6">
      <w:pPr>
        <w:spacing w:line="440" w:lineRule="exact"/>
        <w:ind w:firstLine="546" w:firstLineChars="257"/>
        <w:rPr>
          <w:rFonts w:ascii="宋体" w:hAnsi="宋体"/>
          <w:szCs w:val="21"/>
        </w:rPr>
      </w:pPr>
      <w:r>
        <w:rPr>
          <w:rFonts w:hint="eastAsia" w:ascii="宋体" w:hAnsi="宋体"/>
          <w:bCs/>
          <w:szCs w:val="21"/>
        </w:rPr>
        <w:t>（1）</w:t>
      </w:r>
      <w:r>
        <w:rPr>
          <w:rFonts w:hint="eastAsia" w:ascii="宋体" w:hAnsi="宋体"/>
          <w:szCs w:val="21"/>
        </w:rPr>
        <w:t>参加评分的评委应尽力体现客观、实事求是，避免学派偏见和个人偏好。</w:t>
      </w:r>
    </w:p>
    <w:p w14:paraId="532D136C">
      <w:pPr>
        <w:spacing w:line="440" w:lineRule="exact"/>
        <w:ind w:firstLine="546" w:firstLineChars="257"/>
        <w:rPr>
          <w:rFonts w:ascii="宋体" w:hAnsi="宋体"/>
          <w:szCs w:val="21"/>
        </w:rPr>
      </w:pPr>
      <w:r>
        <w:rPr>
          <w:rFonts w:hint="eastAsia" w:ascii="宋体" w:hAnsi="宋体"/>
          <w:szCs w:val="21"/>
        </w:rPr>
        <w:t>（2）衡量、对比的依据，应以招标文件、投标文件、提供的正式试验数据、质询澄清中的文字为准，口头回答和收集的资料只作为参考。</w:t>
      </w:r>
    </w:p>
    <w:p w14:paraId="223CEAA9">
      <w:pPr>
        <w:spacing w:line="440" w:lineRule="exact"/>
        <w:ind w:firstLine="546" w:firstLineChars="257"/>
        <w:rPr>
          <w:rFonts w:ascii="宋体" w:hAnsi="宋体"/>
          <w:szCs w:val="21"/>
        </w:rPr>
      </w:pPr>
      <w:r>
        <w:rPr>
          <w:rFonts w:hint="eastAsia" w:ascii="宋体" w:hAnsi="宋体"/>
          <w:szCs w:val="21"/>
        </w:rPr>
        <w:t>（3）评分主要是为比较各投标人的价格、商务和技术综合排序。</w:t>
      </w:r>
    </w:p>
    <w:p w14:paraId="4E9B1B8E">
      <w:pPr>
        <w:spacing w:line="440" w:lineRule="exact"/>
        <w:ind w:firstLine="546" w:firstLineChars="257"/>
        <w:rPr>
          <w:rFonts w:ascii="宋体" w:hAnsi="宋体"/>
          <w:szCs w:val="21"/>
        </w:rPr>
      </w:pPr>
      <w:r>
        <w:rPr>
          <w:rFonts w:hint="eastAsia" w:ascii="宋体" w:hAnsi="宋体"/>
          <w:szCs w:val="21"/>
        </w:rPr>
        <w:t>（4）评委打分采取记名形式。</w:t>
      </w:r>
    </w:p>
    <w:p w14:paraId="42E42645">
      <w:pPr>
        <w:spacing w:line="440" w:lineRule="exact"/>
        <w:ind w:firstLine="546" w:firstLineChars="257"/>
        <w:rPr>
          <w:rFonts w:ascii="宋体" w:hAnsi="宋体"/>
          <w:szCs w:val="21"/>
        </w:rPr>
      </w:pPr>
      <w:r>
        <w:rPr>
          <w:rFonts w:hint="eastAsia" w:ascii="宋体" w:hAnsi="宋体"/>
          <w:szCs w:val="21"/>
        </w:rPr>
        <w:t>（5）各评委根据提供的技术打分表独立自主打分，任何人不得要求评委统一打分或统一确定等次顺序。</w:t>
      </w:r>
    </w:p>
    <w:p w14:paraId="277A5495">
      <w:pPr>
        <w:spacing w:line="440" w:lineRule="exact"/>
        <w:ind w:firstLine="546" w:firstLineChars="257"/>
        <w:rPr>
          <w:rFonts w:ascii="宋体" w:hAnsi="宋体"/>
          <w:szCs w:val="21"/>
        </w:rPr>
      </w:pPr>
      <w:r>
        <w:rPr>
          <w:rFonts w:hint="eastAsia" w:ascii="宋体" w:hAnsi="宋体"/>
          <w:szCs w:val="21"/>
        </w:rPr>
        <w:t>（6）对打分表中的每项条款，各评委应根据投标文件、澄清材料、招标文件要求，按满足的程度给投标人打分。</w:t>
      </w:r>
    </w:p>
    <w:p w14:paraId="144DF6A8">
      <w:pPr>
        <w:spacing w:line="440" w:lineRule="exact"/>
        <w:ind w:firstLine="546" w:firstLineChars="257"/>
        <w:rPr>
          <w:rFonts w:ascii="宋体" w:hAnsi="宋体"/>
          <w:szCs w:val="21"/>
        </w:rPr>
      </w:pPr>
      <w:r>
        <w:rPr>
          <w:rFonts w:hint="eastAsia" w:ascii="宋体" w:hAnsi="宋体"/>
          <w:szCs w:val="21"/>
        </w:rPr>
        <w:t>（7）评分程序</w:t>
      </w:r>
    </w:p>
    <w:p w14:paraId="18616134">
      <w:pPr>
        <w:spacing w:line="440" w:lineRule="exact"/>
        <w:ind w:firstLine="546" w:firstLineChars="257"/>
        <w:rPr>
          <w:rFonts w:ascii="宋体" w:hAnsi="宋体"/>
          <w:szCs w:val="21"/>
        </w:rPr>
      </w:pPr>
      <w:r>
        <w:rPr>
          <w:rFonts w:hint="eastAsia" w:ascii="宋体" w:hAnsi="宋体"/>
          <w:szCs w:val="21"/>
        </w:rPr>
        <w:t>1)就投标人的投标文件对照整理出商务、技术评标因素对比表、偏差表，并在经过校核的基础上逐项打分。</w:t>
      </w:r>
    </w:p>
    <w:p w14:paraId="1185B254">
      <w:pPr>
        <w:spacing w:line="440" w:lineRule="exact"/>
        <w:ind w:firstLine="546" w:firstLineChars="257"/>
        <w:rPr>
          <w:rFonts w:ascii="宋体" w:hAnsi="宋体"/>
          <w:szCs w:val="21"/>
        </w:rPr>
      </w:pPr>
      <w:r>
        <w:rPr>
          <w:rFonts w:hint="eastAsia" w:ascii="宋体" w:hAnsi="宋体"/>
          <w:szCs w:val="21"/>
        </w:rPr>
        <w:t>2)各评委独立完成打分后，将评分表交给代理机构，由代理机构组织进行分数统计。</w:t>
      </w:r>
    </w:p>
    <w:p w14:paraId="0BC52724">
      <w:pPr>
        <w:spacing w:line="440" w:lineRule="exact"/>
        <w:ind w:firstLine="546" w:firstLineChars="257"/>
        <w:rPr>
          <w:rFonts w:ascii="宋体" w:hAnsi="宋体"/>
          <w:szCs w:val="21"/>
        </w:rPr>
      </w:pPr>
      <w:r>
        <w:rPr>
          <w:rFonts w:hint="eastAsia" w:ascii="宋体" w:hAnsi="宋体"/>
          <w:szCs w:val="21"/>
        </w:rPr>
        <w:t>3)最终汇总表中各投标人得分应为评委打分的算术平均值。</w:t>
      </w:r>
    </w:p>
    <w:p w14:paraId="5FBD3E5A">
      <w:pPr>
        <w:spacing w:line="500" w:lineRule="exact"/>
        <w:jc w:val="left"/>
        <w:rPr>
          <w:rFonts w:ascii="宋体" w:hAnsi="宋体"/>
          <w:szCs w:val="21"/>
        </w:rPr>
      </w:pPr>
    </w:p>
    <w:p w14:paraId="6433A381">
      <w:pPr>
        <w:pStyle w:val="36"/>
        <w:rPr>
          <w:rFonts w:ascii="宋体" w:hAnsi="宋体"/>
          <w:szCs w:val="21"/>
        </w:rPr>
      </w:pPr>
    </w:p>
    <w:p w14:paraId="41E11856">
      <w:pPr>
        <w:rPr>
          <w:highlight w:val="none"/>
        </w:rPr>
      </w:pPr>
      <w:r>
        <w:rPr>
          <w:rFonts w:ascii="宋体" w:hAnsi="宋体"/>
          <w:b/>
          <w:bCs/>
          <w:sz w:val="24"/>
          <w:highlight w:val="none"/>
        </w:rPr>
        <w:t>（8）评分标准和细则（综合评分法评分标准）</w:t>
      </w:r>
    </w:p>
    <w:p w14:paraId="533C5CDA">
      <w:pPr>
        <w:pStyle w:val="9"/>
        <w:jc w:val="center"/>
        <w:rPr>
          <w:rFonts w:hint="eastAsia" w:ascii="仿宋" w:hAnsi="仿宋" w:eastAsia="仿宋" w:cs="仿宋"/>
          <w:b/>
          <w:bCs/>
          <w:color w:val="auto"/>
          <w:sz w:val="28"/>
          <w:szCs w:val="21"/>
          <w:lang w:val="en-US" w:eastAsia="zh-CN"/>
        </w:rPr>
      </w:pPr>
      <w:r>
        <w:rPr>
          <w:rFonts w:hint="eastAsia" w:ascii="仿宋" w:hAnsi="仿宋" w:eastAsia="仿宋" w:cs="仿宋"/>
          <w:b/>
          <w:bCs/>
          <w:color w:val="auto"/>
          <w:sz w:val="28"/>
          <w:szCs w:val="21"/>
          <w:lang w:val="en-US" w:eastAsia="zh-CN"/>
        </w:rPr>
        <w:t>评分标准</w:t>
      </w:r>
    </w:p>
    <w:tbl>
      <w:tblPr>
        <w:tblStyle w:val="27"/>
        <w:tblW w:w="9717"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541"/>
        <w:gridCol w:w="895"/>
        <w:gridCol w:w="722"/>
        <w:gridCol w:w="6516"/>
        <w:gridCol w:w="603"/>
      </w:tblGrid>
      <w:tr w14:paraId="542D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40" w:type="dxa"/>
            <w:vAlign w:val="center"/>
          </w:tcPr>
          <w:p w14:paraId="27A971F5">
            <w:pPr>
              <w:ind w:firstLine="28"/>
              <w:jc w:val="center"/>
              <w:rPr>
                <w:rFonts w:ascii="宋体" w:hAnsi="宋体"/>
                <w:b/>
                <w:szCs w:val="21"/>
                <w:highlight w:val="none"/>
              </w:rPr>
            </w:pPr>
            <w:r>
              <w:rPr>
                <w:rFonts w:hint="eastAsia" w:ascii="宋体" w:hAnsi="宋体"/>
                <w:b/>
                <w:szCs w:val="21"/>
                <w:highlight w:val="none"/>
              </w:rPr>
              <w:t>序号</w:t>
            </w:r>
          </w:p>
        </w:tc>
        <w:tc>
          <w:tcPr>
            <w:tcW w:w="1436" w:type="dxa"/>
            <w:gridSpan w:val="2"/>
            <w:vAlign w:val="center"/>
          </w:tcPr>
          <w:p w14:paraId="4848A0F9">
            <w:pPr>
              <w:ind w:firstLine="28"/>
              <w:jc w:val="center"/>
              <w:rPr>
                <w:rFonts w:ascii="宋体" w:hAnsi="宋体"/>
                <w:b/>
                <w:szCs w:val="21"/>
                <w:highlight w:val="none"/>
              </w:rPr>
            </w:pPr>
            <w:r>
              <w:rPr>
                <w:rFonts w:hint="eastAsia" w:ascii="宋体" w:hAnsi="宋体"/>
                <w:b/>
                <w:szCs w:val="21"/>
                <w:highlight w:val="none"/>
              </w:rPr>
              <w:t>评分因素</w:t>
            </w:r>
          </w:p>
          <w:p w14:paraId="02E3310C">
            <w:pPr>
              <w:ind w:firstLine="28"/>
              <w:jc w:val="center"/>
              <w:rPr>
                <w:rFonts w:ascii="宋体" w:hAnsi="宋体"/>
                <w:b/>
                <w:szCs w:val="21"/>
                <w:highlight w:val="none"/>
              </w:rPr>
            </w:pPr>
            <w:r>
              <w:rPr>
                <w:rFonts w:hint="eastAsia" w:ascii="宋体" w:hAnsi="宋体"/>
                <w:b/>
                <w:szCs w:val="21"/>
                <w:highlight w:val="none"/>
              </w:rPr>
              <w:t>及权重</w:t>
            </w:r>
          </w:p>
        </w:tc>
        <w:tc>
          <w:tcPr>
            <w:tcW w:w="722" w:type="dxa"/>
            <w:vAlign w:val="center"/>
          </w:tcPr>
          <w:p w14:paraId="74AD980E">
            <w:pPr>
              <w:jc w:val="center"/>
              <w:rPr>
                <w:rFonts w:ascii="宋体" w:hAnsi="宋体"/>
                <w:b/>
                <w:szCs w:val="21"/>
                <w:highlight w:val="none"/>
              </w:rPr>
            </w:pPr>
            <w:r>
              <w:rPr>
                <w:rFonts w:hint="eastAsia" w:ascii="宋体" w:hAnsi="宋体"/>
                <w:b/>
                <w:szCs w:val="21"/>
                <w:highlight w:val="none"/>
              </w:rPr>
              <w:t>分值</w:t>
            </w:r>
          </w:p>
        </w:tc>
        <w:tc>
          <w:tcPr>
            <w:tcW w:w="6516" w:type="dxa"/>
            <w:vAlign w:val="center"/>
          </w:tcPr>
          <w:p w14:paraId="78573160">
            <w:pPr>
              <w:ind w:firstLine="28"/>
              <w:jc w:val="center"/>
              <w:rPr>
                <w:rFonts w:ascii="宋体" w:hAnsi="宋体"/>
                <w:b/>
                <w:szCs w:val="21"/>
                <w:highlight w:val="none"/>
              </w:rPr>
            </w:pPr>
            <w:r>
              <w:rPr>
                <w:rFonts w:hint="eastAsia" w:ascii="宋体" w:hAnsi="宋体"/>
                <w:b/>
                <w:szCs w:val="21"/>
                <w:highlight w:val="none"/>
              </w:rPr>
              <w:t>评分标准</w:t>
            </w:r>
          </w:p>
        </w:tc>
        <w:tc>
          <w:tcPr>
            <w:tcW w:w="603" w:type="dxa"/>
            <w:vAlign w:val="center"/>
          </w:tcPr>
          <w:p w14:paraId="6F694F5C">
            <w:pPr>
              <w:pStyle w:val="45"/>
              <w:spacing w:before="0" w:after="0" w:line="240" w:lineRule="auto"/>
              <w:rPr>
                <w:rFonts w:ascii="宋体" w:hAnsi="宋体" w:eastAsia="宋体"/>
                <w:sz w:val="21"/>
                <w:szCs w:val="21"/>
                <w:highlight w:val="none"/>
              </w:rPr>
            </w:pPr>
            <w:r>
              <w:rPr>
                <w:rFonts w:hint="eastAsia" w:ascii="宋体" w:hAnsi="宋体" w:eastAsia="宋体"/>
                <w:sz w:val="21"/>
                <w:szCs w:val="21"/>
                <w:highlight w:val="none"/>
              </w:rPr>
              <w:t>说明</w:t>
            </w:r>
          </w:p>
        </w:tc>
      </w:tr>
      <w:tr w14:paraId="20A9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440" w:type="dxa"/>
            <w:vAlign w:val="center"/>
          </w:tcPr>
          <w:p w14:paraId="697516EA">
            <w:pPr>
              <w:ind w:firstLine="28"/>
              <w:jc w:val="center"/>
              <w:rPr>
                <w:rFonts w:ascii="宋体" w:hAnsi="宋体"/>
                <w:szCs w:val="21"/>
                <w:highlight w:val="none"/>
              </w:rPr>
            </w:pPr>
            <w:r>
              <w:rPr>
                <w:rFonts w:hint="eastAsia" w:ascii="宋体" w:hAnsi="宋体"/>
                <w:szCs w:val="21"/>
                <w:highlight w:val="none"/>
              </w:rPr>
              <w:t>1</w:t>
            </w:r>
          </w:p>
        </w:tc>
        <w:tc>
          <w:tcPr>
            <w:tcW w:w="1436" w:type="dxa"/>
            <w:gridSpan w:val="2"/>
            <w:vAlign w:val="center"/>
          </w:tcPr>
          <w:p w14:paraId="40A2FA56">
            <w:pPr>
              <w:ind w:firstLine="28"/>
              <w:jc w:val="center"/>
              <w:rPr>
                <w:rFonts w:ascii="宋体" w:hAnsi="宋体"/>
                <w:szCs w:val="21"/>
                <w:highlight w:val="none"/>
              </w:rPr>
            </w:pPr>
            <w:r>
              <w:rPr>
                <w:rFonts w:hint="eastAsia" w:ascii="宋体" w:hAnsi="宋体"/>
                <w:szCs w:val="21"/>
                <w:highlight w:val="none"/>
              </w:rPr>
              <w:t>投标报价</w:t>
            </w:r>
          </w:p>
          <w:p w14:paraId="21EFC014">
            <w:pPr>
              <w:pStyle w:val="20"/>
              <w:ind w:left="360" w:hanging="360"/>
              <w:jc w:val="center"/>
              <w:rPr>
                <w:rFonts w:hint="default" w:hAnsi="宋体"/>
                <w:sz w:val="21"/>
                <w:szCs w:val="21"/>
                <w:highlight w:val="none"/>
              </w:rPr>
            </w:pPr>
            <w:r>
              <w:rPr>
                <w:rFonts w:hint="eastAsia" w:hAnsi="宋体"/>
                <w:sz w:val="21"/>
                <w:szCs w:val="21"/>
                <w:highlight w:val="none"/>
                <w:lang w:val="en-US" w:eastAsia="zh-CN"/>
              </w:rPr>
              <w:t>30</w:t>
            </w:r>
            <w:r>
              <w:rPr>
                <w:rFonts w:hAnsi="宋体"/>
                <w:sz w:val="21"/>
                <w:szCs w:val="21"/>
                <w:highlight w:val="none"/>
              </w:rPr>
              <w:t>分</w:t>
            </w:r>
          </w:p>
        </w:tc>
        <w:tc>
          <w:tcPr>
            <w:tcW w:w="722" w:type="dxa"/>
            <w:vAlign w:val="center"/>
          </w:tcPr>
          <w:p w14:paraId="0478E4E4">
            <w:pPr>
              <w:ind w:firstLine="28"/>
              <w:jc w:val="center"/>
              <w:rPr>
                <w:rFonts w:ascii="宋体" w:hAnsi="宋体"/>
                <w:szCs w:val="21"/>
                <w:highlight w:val="none"/>
              </w:rPr>
            </w:pPr>
            <w:r>
              <w:rPr>
                <w:rFonts w:hint="eastAsia" w:ascii="宋体" w:hAnsi="宋体"/>
                <w:sz w:val="20"/>
                <w:szCs w:val="20"/>
                <w:highlight w:val="none"/>
                <w:lang w:val="en-US" w:eastAsia="zh-CN"/>
              </w:rPr>
              <w:t>30</w:t>
            </w:r>
            <w:r>
              <w:rPr>
                <w:rFonts w:hint="eastAsia" w:ascii="宋体" w:hAnsi="宋体"/>
                <w:sz w:val="20"/>
                <w:szCs w:val="20"/>
                <w:highlight w:val="none"/>
              </w:rPr>
              <w:t>分</w:t>
            </w:r>
          </w:p>
        </w:tc>
        <w:tc>
          <w:tcPr>
            <w:tcW w:w="6516" w:type="dxa"/>
            <w:vAlign w:val="center"/>
          </w:tcPr>
          <w:p w14:paraId="27EE96A2">
            <w:pPr>
              <w:rPr>
                <w:rFonts w:ascii="宋体" w:hAnsi="宋体"/>
                <w:sz w:val="21"/>
                <w:szCs w:val="21"/>
                <w:highlight w:val="none"/>
              </w:rPr>
            </w:pPr>
            <w:r>
              <w:rPr>
                <w:rFonts w:hint="eastAsia" w:ascii="宋体" w:hAnsi="宋体"/>
                <w:sz w:val="21"/>
                <w:szCs w:val="21"/>
                <w:highlight w:val="none"/>
              </w:rPr>
              <w:t>综合评分法中的价格分统一采用低价优先法计算，即满足招标文件要求且投标价格最低的投标报价为评标基准价，其价格分为满分。其他投标人的价格分按照下列公式计算：价格得分=(评标基准价／投标报价)×</w:t>
            </w:r>
            <w:r>
              <w:rPr>
                <w:rFonts w:hint="eastAsia" w:ascii="宋体" w:hAnsi="宋体"/>
                <w:sz w:val="21"/>
                <w:szCs w:val="21"/>
                <w:highlight w:val="none"/>
                <w:lang w:val="en-US" w:eastAsia="zh-CN"/>
              </w:rPr>
              <w:t>30</w:t>
            </w:r>
            <w:r>
              <w:rPr>
                <w:rFonts w:hint="eastAsia" w:ascii="宋体" w:hAnsi="宋体"/>
                <w:sz w:val="21"/>
                <w:szCs w:val="21"/>
                <w:highlight w:val="none"/>
              </w:rPr>
              <w:t>％×100。</w:t>
            </w:r>
          </w:p>
          <w:p w14:paraId="5D58F193">
            <w:pPr>
              <w:rPr>
                <w:rFonts w:ascii="宋体" w:hAnsi="宋体"/>
                <w:sz w:val="20"/>
                <w:szCs w:val="20"/>
                <w:highlight w:val="none"/>
              </w:rPr>
            </w:pPr>
            <w:r>
              <w:rPr>
                <w:rFonts w:hint="eastAsia" w:ascii="宋体" w:hAnsi="宋体"/>
                <w:b/>
                <w:bCs/>
                <w:sz w:val="20"/>
                <w:szCs w:val="20"/>
                <w:highlight w:val="none"/>
              </w:rPr>
              <w:t>注：投标报价超过采购预算价的按废标处理</w:t>
            </w:r>
          </w:p>
        </w:tc>
        <w:tc>
          <w:tcPr>
            <w:tcW w:w="603" w:type="dxa"/>
            <w:vAlign w:val="center"/>
          </w:tcPr>
          <w:p w14:paraId="66E310D7">
            <w:pPr>
              <w:rPr>
                <w:rFonts w:ascii="宋体" w:hAnsi="宋体"/>
                <w:szCs w:val="21"/>
                <w:highlight w:val="none"/>
              </w:rPr>
            </w:pPr>
          </w:p>
        </w:tc>
      </w:tr>
      <w:tr w14:paraId="0ADE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440" w:type="dxa"/>
            <w:vAlign w:val="center"/>
          </w:tcPr>
          <w:p w14:paraId="15B66DF8">
            <w:pPr>
              <w:ind w:firstLine="28"/>
              <w:jc w:val="center"/>
              <w:rPr>
                <w:rFonts w:hint="default" w:ascii="宋体" w:hAnsi="宋体"/>
                <w:szCs w:val="21"/>
                <w:highlight w:val="none"/>
                <w:lang w:val="en-US" w:eastAsia="zh-CN"/>
              </w:rPr>
            </w:pPr>
            <w:r>
              <w:rPr>
                <w:rFonts w:hint="eastAsia" w:ascii="宋体" w:hAnsi="宋体"/>
                <w:szCs w:val="21"/>
                <w:highlight w:val="none"/>
                <w:lang w:val="en-US" w:eastAsia="zh-CN"/>
              </w:rPr>
              <w:t>2</w:t>
            </w:r>
          </w:p>
        </w:tc>
        <w:tc>
          <w:tcPr>
            <w:tcW w:w="541" w:type="dxa"/>
            <w:vMerge w:val="restart"/>
            <w:vAlign w:val="center"/>
          </w:tcPr>
          <w:p w14:paraId="6A79AD4C">
            <w:pPr>
              <w:rPr>
                <w:rFonts w:hint="eastAsia" w:ascii="宋体" w:hAnsi="宋体"/>
                <w:sz w:val="21"/>
                <w:szCs w:val="21"/>
                <w:highlight w:val="none"/>
              </w:rPr>
            </w:pPr>
            <w:r>
              <w:rPr>
                <w:rFonts w:hint="eastAsia" w:ascii="宋体" w:hAnsi="宋体"/>
                <w:sz w:val="21"/>
                <w:szCs w:val="21"/>
                <w:highlight w:val="none"/>
                <w:lang w:val="en-US" w:eastAsia="zh-CN"/>
              </w:rPr>
              <w:t>技术</w:t>
            </w:r>
            <w:r>
              <w:rPr>
                <w:rFonts w:hint="eastAsia" w:ascii="宋体" w:hAnsi="宋体"/>
                <w:sz w:val="21"/>
                <w:szCs w:val="21"/>
                <w:highlight w:val="none"/>
              </w:rPr>
              <w:t>部分</w:t>
            </w:r>
          </w:p>
          <w:p w14:paraId="12A1086E">
            <w:pPr>
              <w:rPr>
                <w:rFonts w:hint="eastAsia" w:ascii="宋体" w:hAnsi="宋体"/>
                <w:sz w:val="21"/>
                <w:szCs w:val="21"/>
                <w:highlight w:val="none"/>
              </w:rPr>
            </w:pPr>
            <w:r>
              <w:rPr>
                <w:rFonts w:hint="eastAsia" w:ascii="宋体" w:hAnsi="宋体"/>
                <w:sz w:val="21"/>
                <w:szCs w:val="21"/>
                <w:highlight w:val="none"/>
                <w:lang w:val="en-US" w:eastAsia="zh-CN"/>
              </w:rPr>
              <w:t>48</w:t>
            </w:r>
            <w:r>
              <w:rPr>
                <w:rFonts w:hint="eastAsia" w:ascii="宋体" w:hAnsi="宋体"/>
                <w:sz w:val="21"/>
                <w:szCs w:val="21"/>
                <w:highlight w:val="none"/>
              </w:rPr>
              <w:t>分</w:t>
            </w:r>
          </w:p>
          <w:p w14:paraId="71465F9F">
            <w:pPr>
              <w:rPr>
                <w:rFonts w:hint="eastAsia" w:ascii="宋体" w:hAnsi="宋体"/>
                <w:sz w:val="21"/>
                <w:szCs w:val="21"/>
                <w:highlight w:val="none"/>
              </w:rPr>
            </w:pPr>
          </w:p>
        </w:tc>
        <w:tc>
          <w:tcPr>
            <w:tcW w:w="895" w:type="dxa"/>
            <w:vAlign w:val="center"/>
          </w:tcPr>
          <w:p w14:paraId="444BBD0B">
            <w:pPr>
              <w:rPr>
                <w:rFonts w:hint="default" w:ascii="宋体" w:hAnsi="宋体"/>
                <w:sz w:val="21"/>
                <w:szCs w:val="21"/>
                <w:highlight w:val="none"/>
                <w:lang w:val="en-US" w:eastAsia="zh-CN"/>
              </w:rPr>
            </w:pPr>
            <w:r>
              <w:rPr>
                <w:rFonts w:hint="eastAsia" w:ascii="宋体" w:hAnsi="宋体"/>
                <w:sz w:val="21"/>
                <w:szCs w:val="21"/>
                <w:highlight w:val="none"/>
                <w:lang w:val="en-US" w:eastAsia="zh-CN"/>
              </w:rPr>
              <w:t>技术参数响应情况</w:t>
            </w:r>
          </w:p>
        </w:tc>
        <w:tc>
          <w:tcPr>
            <w:tcW w:w="722" w:type="dxa"/>
            <w:vAlign w:val="center"/>
          </w:tcPr>
          <w:p w14:paraId="71E93B5C">
            <w:pPr>
              <w:rPr>
                <w:rFonts w:hint="default" w:ascii="宋体" w:hAnsi="宋体"/>
                <w:sz w:val="21"/>
                <w:szCs w:val="21"/>
                <w:highlight w:val="none"/>
                <w:lang w:val="en-US" w:eastAsia="zh-CN"/>
              </w:rPr>
            </w:pPr>
            <w:r>
              <w:rPr>
                <w:rFonts w:hint="eastAsia" w:ascii="宋体" w:hAnsi="宋体"/>
                <w:sz w:val="21"/>
                <w:szCs w:val="21"/>
                <w:highlight w:val="none"/>
                <w:lang w:val="en-US" w:eastAsia="zh-CN"/>
              </w:rPr>
              <w:t>20分</w:t>
            </w:r>
          </w:p>
        </w:tc>
        <w:tc>
          <w:tcPr>
            <w:tcW w:w="6516" w:type="dxa"/>
            <w:vAlign w:val="center"/>
          </w:tcPr>
          <w:p w14:paraId="098EA69D">
            <w:pPr>
              <w:rPr>
                <w:rFonts w:hint="eastAsia" w:ascii="宋体" w:hAnsi="宋体"/>
                <w:sz w:val="21"/>
                <w:szCs w:val="21"/>
                <w:highlight w:val="none"/>
                <w:lang w:val="en-US" w:eastAsia="zh-CN"/>
              </w:rPr>
            </w:pPr>
            <w:r>
              <w:rPr>
                <w:rFonts w:hint="eastAsia" w:ascii="宋体" w:hAnsi="宋体"/>
                <w:color w:val="auto"/>
                <w:sz w:val="21"/>
                <w:szCs w:val="21"/>
                <w:highlight w:val="none"/>
                <w:lang w:val="en-US" w:eastAsia="zh-CN"/>
              </w:rPr>
              <w:t>根据所投项目清单的技术参数配置与性能指标的响应程度打分，招标文件中所有技术参数须逐条响应。全部响应招标文件的得20分。本项目不允许负偏离。</w:t>
            </w:r>
          </w:p>
        </w:tc>
        <w:tc>
          <w:tcPr>
            <w:tcW w:w="603" w:type="dxa"/>
            <w:vAlign w:val="center"/>
          </w:tcPr>
          <w:p w14:paraId="16D89294">
            <w:pPr>
              <w:rPr>
                <w:rFonts w:ascii="宋体" w:hAnsi="宋体"/>
                <w:szCs w:val="21"/>
                <w:highlight w:val="none"/>
              </w:rPr>
            </w:pPr>
          </w:p>
        </w:tc>
      </w:tr>
      <w:tr w14:paraId="433A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440" w:type="dxa"/>
            <w:vAlign w:val="center"/>
          </w:tcPr>
          <w:p w14:paraId="362F8D06">
            <w:pPr>
              <w:jc w:val="center"/>
              <w:rPr>
                <w:rFonts w:hint="eastAsia" w:ascii="宋体" w:hAnsi="宋体" w:eastAsia="宋体"/>
                <w:szCs w:val="21"/>
                <w:highlight w:val="none"/>
                <w:lang w:eastAsia="zh-CN"/>
              </w:rPr>
            </w:pPr>
            <w:r>
              <w:rPr>
                <w:rFonts w:hint="eastAsia" w:ascii="宋体" w:hAnsi="宋体"/>
                <w:szCs w:val="21"/>
                <w:highlight w:val="none"/>
                <w:lang w:val="en-US" w:eastAsia="zh-CN"/>
              </w:rPr>
              <w:t>3</w:t>
            </w:r>
          </w:p>
        </w:tc>
        <w:tc>
          <w:tcPr>
            <w:tcW w:w="541" w:type="dxa"/>
            <w:vMerge w:val="continue"/>
            <w:vAlign w:val="center"/>
          </w:tcPr>
          <w:p w14:paraId="7ECF117A">
            <w:pPr>
              <w:rPr>
                <w:rFonts w:hint="eastAsia" w:ascii="宋体" w:hAnsi="宋体"/>
                <w:sz w:val="21"/>
                <w:szCs w:val="21"/>
                <w:highlight w:val="none"/>
              </w:rPr>
            </w:pPr>
          </w:p>
        </w:tc>
        <w:tc>
          <w:tcPr>
            <w:tcW w:w="895" w:type="dxa"/>
            <w:vAlign w:val="center"/>
          </w:tcPr>
          <w:p w14:paraId="42289C30">
            <w:pPr>
              <w:rPr>
                <w:rFonts w:hint="eastAsia" w:ascii="宋体" w:hAnsi="宋体"/>
                <w:sz w:val="21"/>
                <w:szCs w:val="21"/>
                <w:highlight w:val="none"/>
              </w:rPr>
            </w:pPr>
            <w:r>
              <w:rPr>
                <w:rFonts w:hint="eastAsia" w:ascii="宋体" w:hAnsi="宋体"/>
                <w:sz w:val="21"/>
                <w:szCs w:val="21"/>
                <w:highlight w:val="none"/>
              </w:rPr>
              <w:t>实施方案</w:t>
            </w:r>
          </w:p>
        </w:tc>
        <w:tc>
          <w:tcPr>
            <w:tcW w:w="722" w:type="dxa"/>
            <w:vAlign w:val="center"/>
          </w:tcPr>
          <w:p w14:paraId="49A54DDD">
            <w:pPr>
              <w:rPr>
                <w:rFonts w:hint="eastAsia" w:ascii="宋体" w:hAnsi="宋体"/>
                <w:sz w:val="21"/>
                <w:szCs w:val="21"/>
                <w:highlight w:val="none"/>
              </w:rPr>
            </w:pPr>
            <w:r>
              <w:rPr>
                <w:rFonts w:hint="eastAsia" w:ascii="宋体" w:hAnsi="宋体"/>
                <w:sz w:val="21"/>
                <w:szCs w:val="21"/>
                <w:highlight w:val="none"/>
                <w:lang w:val="en-US" w:eastAsia="zh-CN"/>
              </w:rPr>
              <w:t>20</w:t>
            </w:r>
            <w:r>
              <w:rPr>
                <w:rFonts w:hint="eastAsia" w:ascii="宋体" w:hAnsi="宋体"/>
                <w:sz w:val="21"/>
                <w:szCs w:val="21"/>
                <w:highlight w:val="none"/>
              </w:rPr>
              <w:t>分</w:t>
            </w:r>
          </w:p>
        </w:tc>
        <w:tc>
          <w:tcPr>
            <w:tcW w:w="6516" w:type="dxa"/>
            <w:vAlign w:val="center"/>
          </w:tcPr>
          <w:p w14:paraId="5D3AED31">
            <w:pPr>
              <w:rPr>
                <w:rFonts w:hint="eastAsia" w:ascii="宋体" w:hAnsi="宋体"/>
                <w:sz w:val="21"/>
                <w:szCs w:val="21"/>
                <w:highlight w:val="none"/>
                <w:lang w:val="en-US" w:eastAsia="zh-CN"/>
              </w:rPr>
            </w:pPr>
            <w:r>
              <w:rPr>
                <w:rFonts w:hint="eastAsia" w:ascii="宋体" w:hAnsi="宋体"/>
                <w:sz w:val="21"/>
                <w:szCs w:val="21"/>
                <w:highlight w:val="none"/>
                <w:lang w:val="en-US" w:eastAsia="zh-CN"/>
              </w:rPr>
              <w:t>根据供应商针对本项目编制的专属项目实施方案进行综合评分。</w:t>
            </w:r>
          </w:p>
          <w:p w14:paraId="76C17E13">
            <w:pPr>
              <w:rPr>
                <w:rFonts w:hint="eastAsia" w:ascii="宋体" w:hAnsi="宋体"/>
                <w:sz w:val="21"/>
                <w:szCs w:val="21"/>
                <w:highlight w:val="none"/>
                <w:lang w:val="en-US" w:eastAsia="zh-CN"/>
              </w:rPr>
            </w:pPr>
            <w:r>
              <w:rPr>
                <w:rFonts w:hint="eastAsia" w:ascii="宋体" w:hAnsi="宋体"/>
                <w:sz w:val="21"/>
                <w:szCs w:val="21"/>
                <w:highlight w:val="none"/>
                <w:lang w:val="en-US" w:eastAsia="zh-CN"/>
              </w:rPr>
              <w:t>评分内容包含：①质量保证措施（含项目质量目标、关键控制点、检测检验验收流程）；②安装调试计划（含备货计划、周期安排、软硬件安装调试、验收流程）；③设备试运行及测试维护方案；④产品包装运输方案；⑤应急预案（含产品质量问题、突发事件处置措施）。</w:t>
            </w:r>
          </w:p>
          <w:p w14:paraId="0DE0C80C">
            <w:pPr>
              <w:rPr>
                <w:rFonts w:hint="eastAsia" w:ascii="宋体" w:hAnsi="宋体"/>
                <w:sz w:val="21"/>
                <w:szCs w:val="21"/>
                <w:highlight w:val="none"/>
                <w:lang w:val="en-US" w:eastAsia="zh-CN"/>
              </w:rPr>
            </w:pPr>
            <w:r>
              <w:rPr>
                <w:rFonts w:hint="eastAsia" w:ascii="宋体" w:hAnsi="宋体"/>
                <w:sz w:val="21"/>
                <w:szCs w:val="21"/>
                <w:highlight w:val="none"/>
                <w:lang w:val="en-US" w:eastAsia="zh-CN"/>
              </w:rPr>
              <w:t>1、本项共5个评审分项，单分项满分4分，总分20分。</w:t>
            </w:r>
          </w:p>
          <w:p w14:paraId="23959C84">
            <w:pPr>
              <w:rPr>
                <w:rFonts w:hint="eastAsia" w:ascii="宋体" w:hAnsi="宋体"/>
                <w:sz w:val="21"/>
                <w:szCs w:val="21"/>
                <w:highlight w:val="none"/>
                <w:lang w:val="en-US" w:eastAsia="zh-CN"/>
              </w:rPr>
            </w:pPr>
            <w:r>
              <w:rPr>
                <w:rFonts w:hint="eastAsia" w:ascii="宋体" w:hAnsi="宋体"/>
                <w:sz w:val="21"/>
                <w:szCs w:val="21"/>
                <w:highlight w:val="none"/>
                <w:lang w:val="en-US" w:eastAsia="zh-CN"/>
              </w:rPr>
              <w:t>2、缺项评审：分项内容完全缺失、未响应采购需求的，该分项得0分。</w:t>
            </w:r>
          </w:p>
          <w:p w14:paraId="7CAD1A6B">
            <w:pPr>
              <w:rPr>
                <w:rFonts w:hint="eastAsia" w:ascii="宋体" w:hAnsi="宋体"/>
                <w:sz w:val="21"/>
                <w:szCs w:val="21"/>
                <w:highlight w:val="none"/>
                <w:lang w:val="en-US" w:eastAsia="zh-CN"/>
              </w:rPr>
            </w:pPr>
            <w:r>
              <w:rPr>
                <w:rFonts w:hint="eastAsia" w:ascii="宋体" w:hAnsi="宋体"/>
                <w:sz w:val="21"/>
                <w:szCs w:val="21"/>
                <w:highlight w:val="none"/>
                <w:lang w:val="en-US" w:eastAsia="zh-CN"/>
              </w:rPr>
              <w:t>3、缺陷评审：分项内容齐全、无缺项，但存在实质性缺陷（仅限：内容与本项目实际不符、编造无依据、前后逻辑矛盾、核心关键内容遗漏、不符合采购需求），每 1 处实质性缺陷扣 1 分，单个分项扣分最高不超过4分，扣完本项总分20分为止，不产生负分。</w:t>
            </w:r>
          </w:p>
          <w:p w14:paraId="4EF14D78">
            <w:pPr>
              <w:rPr>
                <w:rFonts w:hint="eastAsia" w:ascii="宋体" w:hAnsi="宋体"/>
                <w:sz w:val="21"/>
                <w:szCs w:val="21"/>
                <w:highlight w:val="none"/>
                <w:lang w:val="en-US" w:eastAsia="zh-CN"/>
              </w:rPr>
            </w:pPr>
            <w:r>
              <w:rPr>
                <w:rFonts w:hint="eastAsia" w:ascii="宋体" w:hAnsi="宋体"/>
                <w:sz w:val="21"/>
                <w:szCs w:val="21"/>
                <w:highlight w:val="none"/>
                <w:lang w:val="en-US" w:eastAsia="zh-CN"/>
              </w:rPr>
              <w:t>4、常规通用规范性表述、无实质性影响的文字瑕疵、非关键性内容差异，不认定为缺陷、不扣分。</w:t>
            </w:r>
          </w:p>
        </w:tc>
        <w:tc>
          <w:tcPr>
            <w:tcW w:w="603" w:type="dxa"/>
            <w:vAlign w:val="center"/>
          </w:tcPr>
          <w:p w14:paraId="69558DC9">
            <w:pPr>
              <w:rPr>
                <w:rFonts w:ascii="宋体" w:hAnsi="宋体"/>
                <w:szCs w:val="21"/>
                <w:highlight w:val="none"/>
              </w:rPr>
            </w:pPr>
          </w:p>
        </w:tc>
      </w:tr>
      <w:tr w14:paraId="42AC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trPr>
        <w:tc>
          <w:tcPr>
            <w:tcW w:w="440" w:type="dxa"/>
            <w:vAlign w:val="center"/>
          </w:tcPr>
          <w:p w14:paraId="732E6AD9">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4</w:t>
            </w:r>
          </w:p>
        </w:tc>
        <w:tc>
          <w:tcPr>
            <w:tcW w:w="541" w:type="dxa"/>
            <w:vMerge w:val="continue"/>
            <w:vAlign w:val="center"/>
          </w:tcPr>
          <w:p w14:paraId="5579AA95">
            <w:pPr>
              <w:rPr>
                <w:rFonts w:hint="eastAsia" w:ascii="宋体" w:hAnsi="宋体"/>
                <w:sz w:val="21"/>
                <w:szCs w:val="21"/>
                <w:highlight w:val="none"/>
              </w:rPr>
            </w:pPr>
          </w:p>
        </w:tc>
        <w:tc>
          <w:tcPr>
            <w:tcW w:w="895" w:type="dxa"/>
            <w:vAlign w:val="center"/>
          </w:tcPr>
          <w:p w14:paraId="0D172B7C">
            <w:pPr>
              <w:rPr>
                <w:rFonts w:hint="eastAsia" w:ascii="宋体" w:hAnsi="宋体"/>
                <w:sz w:val="21"/>
                <w:szCs w:val="21"/>
                <w:highlight w:val="none"/>
              </w:rPr>
            </w:pPr>
            <w:r>
              <w:rPr>
                <w:rFonts w:hint="eastAsia" w:ascii="宋体" w:hAnsi="宋体"/>
                <w:sz w:val="21"/>
                <w:szCs w:val="21"/>
                <w:highlight w:val="none"/>
                <w:lang w:val="en-US" w:eastAsia="zh-CN"/>
              </w:rPr>
              <w:t>技术方案</w:t>
            </w:r>
          </w:p>
        </w:tc>
        <w:tc>
          <w:tcPr>
            <w:tcW w:w="722" w:type="dxa"/>
            <w:vAlign w:val="center"/>
          </w:tcPr>
          <w:p w14:paraId="06152400">
            <w:pPr>
              <w:rPr>
                <w:rFonts w:hint="eastAsia" w:ascii="宋体" w:hAnsi="宋体"/>
                <w:sz w:val="21"/>
                <w:szCs w:val="21"/>
                <w:highlight w:val="none"/>
              </w:rPr>
            </w:pPr>
            <w:r>
              <w:rPr>
                <w:rFonts w:hint="eastAsia" w:ascii="宋体" w:hAnsi="宋体"/>
                <w:sz w:val="21"/>
                <w:szCs w:val="21"/>
                <w:highlight w:val="none"/>
                <w:lang w:val="en-US" w:eastAsia="zh-CN"/>
              </w:rPr>
              <w:t>8</w:t>
            </w:r>
            <w:r>
              <w:rPr>
                <w:rFonts w:hint="eastAsia" w:ascii="宋体" w:hAnsi="宋体"/>
                <w:sz w:val="21"/>
                <w:szCs w:val="21"/>
                <w:highlight w:val="none"/>
              </w:rPr>
              <w:t>分</w:t>
            </w:r>
          </w:p>
        </w:tc>
        <w:tc>
          <w:tcPr>
            <w:tcW w:w="6516" w:type="dxa"/>
            <w:vAlign w:val="center"/>
          </w:tcPr>
          <w:p w14:paraId="3E299CC7">
            <w:pPr>
              <w:rPr>
                <w:rFonts w:hint="eastAsia" w:ascii="宋体" w:hAnsi="宋体"/>
                <w:sz w:val="21"/>
                <w:szCs w:val="21"/>
                <w:highlight w:val="none"/>
                <w:lang w:val="en-US" w:eastAsia="zh-CN"/>
              </w:rPr>
            </w:pPr>
            <w:r>
              <w:rPr>
                <w:rFonts w:hint="eastAsia" w:ascii="宋体" w:hAnsi="宋体"/>
                <w:sz w:val="21"/>
                <w:szCs w:val="21"/>
                <w:highlight w:val="none"/>
                <w:lang w:val="en-US" w:eastAsia="zh-CN"/>
              </w:rPr>
              <w:t>本项满分 8 分。评委根据投标人针对本项目编制的专属技术方案综合评审，评审维度包含：①供货方案、②人员管理安排方案、③现场安全管理方案、④产品调换货方案，共 4 项，单项分值 2 分。</w:t>
            </w:r>
          </w:p>
          <w:p w14:paraId="0E8A999E">
            <w:pPr>
              <w:rPr>
                <w:rFonts w:hint="eastAsia" w:ascii="宋体" w:hAnsi="宋体"/>
                <w:sz w:val="21"/>
                <w:szCs w:val="21"/>
                <w:highlight w:val="none"/>
                <w:lang w:val="en-US" w:eastAsia="zh-CN"/>
              </w:rPr>
            </w:pPr>
            <w:r>
              <w:rPr>
                <w:rFonts w:hint="eastAsia" w:ascii="宋体" w:hAnsi="宋体"/>
                <w:sz w:val="21"/>
                <w:szCs w:val="21"/>
                <w:highlight w:val="none"/>
                <w:lang w:val="en-US" w:eastAsia="zh-CN"/>
              </w:rPr>
              <w:t>1、单项方案内容完整、贴合本项目实际、匹配采购需求、无实质性问题的，得该项满分 2 分；</w:t>
            </w:r>
          </w:p>
          <w:p w14:paraId="4B69FC62">
            <w:pPr>
              <w:rPr>
                <w:rFonts w:hint="eastAsia" w:ascii="宋体" w:hAnsi="宋体"/>
                <w:sz w:val="21"/>
                <w:szCs w:val="21"/>
                <w:highlight w:val="none"/>
                <w:lang w:val="en-US" w:eastAsia="zh-CN"/>
              </w:rPr>
            </w:pPr>
            <w:r>
              <w:rPr>
                <w:rFonts w:hint="eastAsia" w:ascii="宋体" w:hAnsi="宋体"/>
                <w:sz w:val="21"/>
                <w:szCs w:val="21"/>
                <w:highlight w:val="none"/>
                <w:lang w:val="en-US" w:eastAsia="zh-CN"/>
              </w:rPr>
              <w:t>2、单项方案完全缺失、未提供的，该项得 0 分；</w:t>
            </w:r>
          </w:p>
          <w:p w14:paraId="7175B811">
            <w:pPr>
              <w:rPr>
                <w:rFonts w:hint="eastAsia" w:ascii="宋体" w:hAnsi="宋体"/>
                <w:sz w:val="21"/>
                <w:szCs w:val="21"/>
                <w:highlight w:val="none"/>
                <w:lang w:val="en-US" w:eastAsia="zh-CN"/>
              </w:rPr>
            </w:pPr>
            <w:r>
              <w:rPr>
                <w:rFonts w:hint="eastAsia" w:ascii="宋体" w:hAnsi="宋体"/>
                <w:sz w:val="21"/>
                <w:szCs w:val="21"/>
                <w:highlight w:val="none"/>
                <w:lang w:val="en-US" w:eastAsia="zh-CN"/>
              </w:rPr>
              <w:t>3、单项方案内容齐全但存在实质性缺陷（仅限：内容不适配本项目、编造无实施依据、前后内容矛盾逻辑错误、规范 / 标准 / 地点区域信息错误、核心内容遗漏、不满足采购需求），每处实质性缺陷扣 1 分，单个分项最高扣2分；</w:t>
            </w:r>
          </w:p>
          <w:p w14:paraId="554197A4">
            <w:pPr>
              <w:rPr>
                <w:rFonts w:hint="eastAsia" w:ascii="宋体" w:hAnsi="宋体"/>
                <w:sz w:val="21"/>
                <w:szCs w:val="21"/>
                <w:highlight w:val="none"/>
                <w:lang w:val="en-US" w:eastAsia="zh-CN"/>
              </w:rPr>
            </w:pPr>
            <w:r>
              <w:rPr>
                <w:rFonts w:hint="eastAsia" w:ascii="宋体" w:hAnsi="宋体"/>
                <w:sz w:val="21"/>
                <w:szCs w:val="21"/>
                <w:highlight w:val="none"/>
                <w:lang w:val="en-US" w:eastAsia="zh-CN"/>
              </w:rPr>
              <w:t>4、本项总分扣完8分为止，不产生负分；常规通用规范性表述、无实质影响的文字瑕疵、非关键性内容差异，不认定为缺陷、不予扣分。</w:t>
            </w:r>
          </w:p>
        </w:tc>
        <w:tc>
          <w:tcPr>
            <w:tcW w:w="603" w:type="dxa"/>
            <w:vAlign w:val="center"/>
          </w:tcPr>
          <w:p w14:paraId="69E78A84">
            <w:pPr>
              <w:rPr>
                <w:rFonts w:ascii="宋体" w:hAnsi="宋体"/>
                <w:szCs w:val="21"/>
                <w:highlight w:val="none"/>
              </w:rPr>
            </w:pPr>
          </w:p>
        </w:tc>
      </w:tr>
      <w:tr w14:paraId="0202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440" w:type="dxa"/>
            <w:vAlign w:val="center"/>
          </w:tcPr>
          <w:p w14:paraId="1348B6B7">
            <w:pPr>
              <w:jc w:val="center"/>
              <w:rPr>
                <w:rFonts w:hint="eastAsia" w:ascii="宋体" w:hAnsi="宋体"/>
                <w:szCs w:val="21"/>
                <w:highlight w:val="none"/>
                <w:lang w:val="en-US" w:eastAsia="zh-CN"/>
              </w:rPr>
            </w:pPr>
            <w:r>
              <w:rPr>
                <w:rFonts w:hint="eastAsia" w:ascii="宋体" w:hAnsi="宋体"/>
                <w:szCs w:val="21"/>
                <w:highlight w:val="none"/>
                <w:lang w:val="en-US" w:eastAsia="zh-CN"/>
              </w:rPr>
              <w:t>5</w:t>
            </w:r>
          </w:p>
        </w:tc>
        <w:tc>
          <w:tcPr>
            <w:tcW w:w="541" w:type="dxa"/>
            <w:vMerge w:val="restart"/>
            <w:vAlign w:val="center"/>
          </w:tcPr>
          <w:p w14:paraId="3E636DBF">
            <w:pPr>
              <w:rPr>
                <w:rFonts w:hint="eastAsia" w:ascii="宋体" w:hAnsi="宋体"/>
                <w:sz w:val="21"/>
                <w:szCs w:val="21"/>
                <w:highlight w:val="none"/>
              </w:rPr>
            </w:pPr>
            <w:r>
              <w:rPr>
                <w:rFonts w:hint="eastAsia" w:ascii="宋体" w:hAnsi="宋体"/>
                <w:sz w:val="21"/>
                <w:szCs w:val="21"/>
                <w:highlight w:val="none"/>
              </w:rPr>
              <w:t>商务部分</w:t>
            </w:r>
          </w:p>
          <w:p w14:paraId="3E111204">
            <w:pPr>
              <w:rPr>
                <w:rFonts w:hint="eastAsia" w:ascii="宋体" w:hAnsi="宋体"/>
                <w:sz w:val="21"/>
                <w:szCs w:val="21"/>
                <w:highlight w:val="none"/>
              </w:rPr>
            </w:pPr>
            <w:r>
              <w:rPr>
                <w:rFonts w:hint="eastAsia" w:ascii="宋体" w:hAnsi="宋体"/>
                <w:sz w:val="21"/>
                <w:szCs w:val="21"/>
                <w:highlight w:val="none"/>
                <w:lang w:val="en-US" w:eastAsia="zh-CN"/>
              </w:rPr>
              <w:t>22</w:t>
            </w:r>
            <w:r>
              <w:rPr>
                <w:rFonts w:hint="eastAsia" w:ascii="宋体" w:hAnsi="宋体"/>
                <w:sz w:val="21"/>
                <w:szCs w:val="21"/>
                <w:highlight w:val="none"/>
              </w:rPr>
              <w:t>分</w:t>
            </w:r>
          </w:p>
          <w:p w14:paraId="661C17F8">
            <w:pPr>
              <w:rPr>
                <w:rFonts w:hint="eastAsia" w:ascii="宋体" w:hAnsi="宋体"/>
                <w:sz w:val="21"/>
                <w:szCs w:val="21"/>
                <w:highlight w:val="none"/>
              </w:rPr>
            </w:pPr>
          </w:p>
        </w:tc>
        <w:tc>
          <w:tcPr>
            <w:tcW w:w="895" w:type="dxa"/>
            <w:vAlign w:val="center"/>
          </w:tcPr>
          <w:p w14:paraId="67BCE055">
            <w:pPr>
              <w:rPr>
                <w:rFonts w:hint="default" w:ascii="宋体" w:hAnsi="宋体"/>
                <w:sz w:val="21"/>
                <w:szCs w:val="21"/>
                <w:highlight w:val="none"/>
                <w:lang w:val="en-US" w:eastAsia="zh-CN"/>
              </w:rPr>
            </w:pPr>
            <w:r>
              <w:rPr>
                <w:rFonts w:hint="default" w:ascii="宋体" w:hAnsi="宋体"/>
                <w:sz w:val="21"/>
                <w:szCs w:val="21"/>
                <w:highlight w:val="none"/>
                <w:lang w:val="en-US" w:eastAsia="zh-CN"/>
              </w:rPr>
              <w:t>售后服务方案</w:t>
            </w:r>
          </w:p>
          <w:p w14:paraId="735A7331">
            <w:pPr>
              <w:rPr>
                <w:rFonts w:hint="default" w:ascii="宋体" w:hAnsi="宋体"/>
                <w:sz w:val="21"/>
                <w:szCs w:val="21"/>
                <w:highlight w:val="none"/>
                <w:lang w:val="en-US" w:eastAsia="zh-CN"/>
              </w:rPr>
            </w:pPr>
          </w:p>
        </w:tc>
        <w:tc>
          <w:tcPr>
            <w:tcW w:w="722" w:type="dxa"/>
            <w:vAlign w:val="center"/>
          </w:tcPr>
          <w:p w14:paraId="6CB4E9DF">
            <w:pPr>
              <w:rPr>
                <w:rFonts w:hint="eastAsia" w:ascii="宋体" w:hAnsi="宋体"/>
                <w:sz w:val="21"/>
                <w:szCs w:val="21"/>
                <w:highlight w:val="none"/>
                <w:lang w:val="en-US" w:eastAsia="zh-CN"/>
              </w:rPr>
            </w:pPr>
            <w:r>
              <w:rPr>
                <w:rFonts w:hint="eastAsia" w:ascii="宋体" w:hAnsi="宋体"/>
                <w:sz w:val="21"/>
                <w:szCs w:val="21"/>
                <w:highlight w:val="none"/>
                <w:lang w:val="en-US" w:eastAsia="zh-CN"/>
              </w:rPr>
              <w:t>10分</w:t>
            </w:r>
          </w:p>
        </w:tc>
        <w:tc>
          <w:tcPr>
            <w:tcW w:w="6516" w:type="dxa"/>
            <w:vAlign w:val="center"/>
          </w:tcPr>
          <w:p w14:paraId="64D0CAED">
            <w:pPr>
              <w:rPr>
                <w:rFonts w:hint="eastAsia" w:ascii="宋体" w:hAnsi="宋体"/>
                <w:sz w:val="21"/>
                <w:szCs w:val="21"/>
                <w:highlight w:val="none"/>
                <w:lang w:val="en-US" w:eastAsia="zh-CN"/>
              </w:rPr>
            </w:pPr>
            <w:r>
              <w:rPr>
                <w:rFonts w:hint="eastAsia" w:ascii="宋体" w:hAnsi="宋体"/>
                <w:sz w:val="21"/>
                <w:szCs w:val="21"/>
                <w:highlight w:val="none"/>
                <w:lang w:val="en-US" w:eastAsia="zh-CN"/>
              </w:rPr>
              <w:t>本项满分10分。评委根据投标人针对本项目编制的专属售后服务方案综合评审，评审维度共 5 项，单项 2 分，具体包括：①质保期内响应时间、②切实的售后服务措施、③售后服务班组人员及联系方式、售后人员考核管理措施、④质保期满后的后续维修服务、⑤完善的服务承诺书。</w:t>
            </w:r>
          </w:p>
          <w:p w14:paraId="111EFF83">
            <w:pPr>
              <w:rPr>
                <w:rFonts w:hint="eastAsia" w:ascii="宋体" w:hAnsi="宋体"/>
                <w:sz w:val="21"/>
                <w:szCs w:val="21"/>
                <w:highlight w:val="none"/>
                <w:lang w:val="en-US" w:eastAsia="zh-CN"/>
              </w:rPr>
            </w:pPr>
            <w:r>
              <w:rPr>
                <w:rFonts w:hint="eastAsia" w:ascii="宋体" w:hAnsi="宋体"/>
                <w:sz w:val="21"/>
                <w:szCs w:val="21"/>
                <w:highlight w:val="none"/>
                <w:lang w:val="en-US" w:eastAsia="zh-CN"/>
              </w:rPr>
              <w:t>1、单项方案内容完整、贴合本项目实际、匹配采购需求、无实质性问题的，得该项满分 2 分；</w:t>
            </w:r>
          </w:p>
          <w:p w14:paraId="48186F79">
            <w:pPr>
              <w:rPr>
                <w:rFonts w:hint="eastAsia" w:ascii="宋体" w:hAnsi="宋体"/>
                <w:sz w:val="21"/>
                <w:szCs w:val="21"/>
                <w:highlight w:val="none"/>
                <w:lang w:val="en-US" w:eastAsia="zh-CN"/>
              </w:rPr>
            </w:pPr>
            <w:r>
              <w:rPr>
                <w:rFonts w:hint="eastAsia" w:ascii="宋体" w:hAnsi="宋体"/>
                <w:sz w:val="21"/>
                <w:szCs w:val="21"/>
                <w:highlight w:val="none"/>
                <w:lang w:val="en-US" w:eastAsia="zh-CN"/>
              </w:rPr>
              <w:t>2、单项方案完全缺失、未提供的，该项得 0 分，不叠加缺陷扣分；</w:t>
            </w:r>
          </w:p>
          <w:p w14:paraId="6D112F7E">
            <w:pPr>
              <w:rPr>
                <w:rFonts w:hint="eastAsia" w:ascii="宋体" w:hAnsi="宋体"/>
                <w:sz w:val="21"/>
                <w:szCs w:val="21"/>
                <w:highlight w:val="none"/>
                <w:lang w:val="en-US" w:eastAsia="zh-CN"/>
              </w:rPr>
            </w:pPr>
            <w:r>
              <w:rPr>
                <w:rFonts w:hint="eastAsia" w:ascii="宋体" w:hAnsi="宋体"/>
                <w:sz w:val="21"/>
                <w:szCs w:val="21"/>
                <w:highlight w:val="none"/>
                <w:lang w:val="en-US" w:eastAsia="zh-CN"/>
              </w:rPr>
              <w:t>3、单项方案内容齐全但存在实质性缺陷（仅限：内容不适配本项目、凭空编造无实施依据、前后内容矛盾逻辑错误、规范标准 / 地点区域信息错误、核心关键内容遗漏、不符合采购需求），每处实质性缺陷扣 1 分，单个分项最高扣 2 分；</w:t>
            </w:r>
          </w:p>
          <w:p w14:paraId="09BD65CA">
            <w:pPr>
              <w:rPr>
                <w:rFonts w:hint="eastAsia" w:ascii="宋体" w:hAnsi="宋体"/>
                <w:sz w:val="21"/>
                <w:szCs w:val="21"/>
                <w:highlight w:val="none"/>
                <w:lang w:val="en-US" w:eastAsia="zh-CN"/>
              </w:rPr>
            </w:pPr>
            <w:r>
              <w:rPr>
                <w:rFonts w:hint="eastAsia" w:ascii="宋体" w:hAnsi="宋体"/>
                <w:sz w:val="21"/>
                <w:szCs w:val="21"/>
                <w:highlight w:val="none"/>
                <w:lang w:val="en-US" w:eastAsia="zh-CN"/>
              </w:rPr>
              <w:t>4、本项总分扣完10分为止，不产生负分；通用标准化表述、无实质影响的文字疏漏、非关键性内容差异，不认定为缺陷、不予扣分。</w:t>
            </w:r>
          </w:p>
        </w:tc>
        <w:tc>
          <w:tcPr>
            <w:tcW w:w="603" w:type="dxa"/>
            <w:vAlign w:val="center"/>
          </w:tcPr>
          <w:p w14:paraId="7DEE9A1B">
            <w:pPr>
              <w:rPr>
                <w:rFonts w:ascii="宋体" w:hAnsi="宋体"/>
                <w:szCs w:val="21"/>
                <w:highlight w:val="none"/>
              </w:rPr>
            </w:pPr>
          </w:p>
        </w:tc>
      </w:tr>
      <w:tr w14:paraId="7DDD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440" w:type="dxa"/>
            <w:vAlign w:val="center"/>
          </w:tcPr>
          <w:p w14:paraId="437FE590">
            <w:pPr>
              <w:jc w:val="center"/>
              <w:rPr>
                <w:rFonts w:hint="default" w:ascii="宋体" w:hAnsi="宋体"/>
                <w:szCs w:val="21"/>
                <w:highlight w:val="none"/>
                <w:lang w:val="en-US" w:eastAsia="zh-CN"/>
              </w:rPr>
            </w:pPr>
            <w:r>
              <w:rPr>
                <w:rFonts w:hint="eastAsia" w:ascii="宋体" w:hAnsi="宋体"/>
                <w:szCs w:val="21"/>
                <w:highlight w:val="none"/>
                <w:lang w:val="en-US" w:eastAsia="zh-CN"/>
              </w:rPr>
              <w:t>6</w:t>
            </w:r>
          </w:p>
        </w:tc>
        <w:tc>
          <w:tcPr>
            <w:tcW w:w="541" w:type="dxa"/>
            <w:vMerge w:val="continue"/>
            <w:vAlign w:val="center"/>
          </w:tcPr>
          <w:p w14:paraId="5014207A">
            <w:pPr>
              <w:rPr>
                <w:rFonts w:hint="eastAsia" w:ascii="宋体" w:hAnsi="宋体"/>
                <w:sz w:val="21"/>
                <w:szCs w:val="21"/>
                <w:highlight w:val="none"/>
              </w:rPr>
            </w:pPr>
          </w:p>
        </w:tc>
        <w:tc>
          <w:tcPr>
            <w:tcW w:w="895" w:type="dxa"/>
            <w:vAlign w:val="center"/>
          </w:tcPr>
          <w:p w14:paraId="1CF0CDA6">
            <w:pPr>
              <w:rPr>
                <w:rFonts w:hint="default" w:ascii="宋体" w:hAnsi="宋体"/>
                <w:sz w:val="21"/>
                <w:szCs w:val="21"/>
                <w:highlight w:val="none"/>
                <w:lang w:val="en-US" w:eastAsia="zh-CN"/>
              </w:rPr>
            </w:pPr>
            <w:r>
              <w:rPr>
                <w:rFonts w:hint="default" w:ascii="宋体" w:hAnsi="宋体"/>
                <w:sz w:val="21"/>
                <w:szCs w:val="21"/>
                <w:highlight w:val="none"/>
                <w:lang w:val="en-US" w:eastAsia="zh-CN"/>
              </w:rPr>
              <w:t>质保期</w:t>
            </w:r>
          </w:p>
          <w:p w14:paraId="7CCF916A">
            <w:pPr>
              <w:rPr>
                <w:rFonts w:hint="default" w:ascii="宋体" w:hAnsi="宋体"/>
                <w:sz w:val="21"/>
                <w:szCs w:val="21"/>
                <w:highlight w:val="none"/>
                <w:lang w:val="en-US" w:eastAsia="zh-CN"/>
              </w:rPr>
            </w:pPr>
          </w:p>
        </w:tc>
        <w:tc>
          <w:tcPr>
            <w:tcW w:w="722" w:type="dxa"/>
            <w:vAlign w:val="center"/>
          </w:tcPr>
          <w:p w14:paraId="682915BA">
            <w:pPr>
              <w:rPr>
                <w:rFonts w:hint="default" w:ascii="宋体" w:hAnsi="宋体"/>
                <w:sz w:val="21"/>
                <w:szCs w:val="21"/>
                <w:highlight w:val="none"/>
                <w:lang w:val="en-US" w:eastAsia="zh-CN"/>
              </w:rPr>
            </w:pPr>
            <w:r>
              <w:rPr>
                <w:rFonts w:hint="eastAsia" w:ascii="宋体" w:hAnsi="宋体"/>
                <w:sz w:val="21"/>
                <w:szCs w:val="21"/>
                <w:highlight w:val="none"/>
                <w:lang w:val="en-US" w:eastAsia="zh-CN"/>
              </w:rPr>
              <w:t>6分</w:t>
            </w:r>
          </w:p>
        </w:tc>
        <w:tc>
          <w:tcPr>
            <w:tcW w:w="6516" w:type="dxa"/>
            <w:vAlign w:val="center"/>
          </w:tcPr>
          <w:p w14:paraId="5B20093A">
            <w:pPr>
              <w:rPr>
                <w:rFonts w:hint="default" w:ascii="宋体" w:hAnsi="宋体"/>
                <w:sz w:val="21"/>
                <w:szCs w:val="21"/>
                <w:highlight w:val="none"/>
                <w:lang w:val="en-US" w:eastAsia="zh-CN"/>
              </w:rPr>
            </w:pPr>
            <w:r>
              <w:rPr>
                <w:rFonts w:hint="default" w:ascii="宋体" w:hAnsi="宋体"/>
                <w:sz w:val="21"/>
                <w:szCs w:val="21"/>
                <w:highlight w:val="none"/>
                <w:lang w:val="en-US" w:eastAsia="zh-CN"/>
              </w:rPr>
              <w:t>质保期满足采购文件基础要求的不得分，在基础要求之上每增加半年得3分，本项最高得6分。（以投标文件开标一览表质保期内容为准）</w:t>
            </w:r>
          </w:p>
        </w:tc>
        <w:tc>
          <w:tcPr>
            <w:tcW w:w="603" w:type="dxa"/>
            <w:vAlign w:val="center"/>
          </w:tcPr>
          <w:p w14:paraId="1FCAF291">
            <w:pPr>
              <w:rPr>
                <w:rFonts w:ascii="宋体" w:hAnsi="宋体"/>
                <w:szCs w:val="21"/>
                <w:highlight w:val="none"/>
              </w:rPr>
            </w:pPr>
          </w:p>
        </w:tc>
      </w:tr>
      <w:tr w14:paraId="075E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440" w:type="dxa"/>
            <w:vAlign w:val="center"/>
          </w:tcPr>
          <w:p w14:paraId="76C8F276">
            <w:pPr>
              <w:jc w:val="center"/>
              <w:rPr>
                <w:rFonts w:hint="eastAsia" w:ascii="宋体" w:hAnsi="宋体" w:eastAsia="宋体"/>
                <w:szCs w:val="21"/>
                <w:highlight w:val="none"/>
                <w:lang w:eastAsia="zh-CN"/>
              </w:rPr>
            </w:pPr>
            <w:r>
              <w:rPr>
                <w:rFonts w:hint="eastAsia" w:ascii="宋体" w:hAnsi="宋体"/>
                <w:szCs w:val="21"/>
                <w:highlight w:val="none"/>
                <w:lang w:val="en-US" w:eastAsia="zh-CN"/>
              </w:rPr>
              <w:t>7</w:t>
            </w:r>
          </w:p>
        </w:tc>
        <w:tc>
          <w:tcPr>
            <w:tcW w:w="541" w:type="dxa"/>
            <w:vMerge w:val="continue"/>
            <w:vAlign w:val="center"/>
          </w:tcPr>
          <w:p w14:paraId="010D673F">
            <w:pPr>
              <w:rPr>
                <w:rFonts w:hint="eastAsia" w:ascii="宋体" w:hAnsi="宋体"/>
                <w:sz w:val="21"/>
                <w:szCs w:val="21"/>
                <w:highlight w:val="none"/>
              </w:rPr>
            </w:pPr>
          </w:p>
        </w:tc>
        <w:tc>
          <w:tcPr>
            <w:tcW w:w="895" w:type="dxa"/>
            <w:vAlign w:val="center"/>
          </w:tcPr>
          <w:p w14:paraId="7D1ABE96">
            <w:pPr>
              <w:rPr>
                <w:rFonts w:hint="eastAsia" w:ascii="宋体" w:hAnsi="宋体"/>
                <w:sz w:val="21"/>
                <w:szCs w:val="21"/>
                <w:highlight w:val="none"/>
                <w:lang w:val="en-US" w:eastAsia="zh-CN"/>
              </w:rPr>
            </w:pPr>
            <w:r>
              <w:rPr>
                <w:rFonts w:hint="eastAsia" w:ascii="宋体" w:hAnsi="宋体"/>
                <w:sz w:val="21"/>
                <w:szCs w:val="21"/>
                <w:highlight w:val="none"/>
                <w:lang w:val="en-US" w:eastAsia="zh-CN"/>
              </w:rPr>
              <w:t>售后服务</w:t>
            </w:r>
          </w:p>
        </w:tc>
        <w:tc>
          <w:tcPr>
            <w:tcW w:w="722" w:type="dxa"/>
            <w:shd w:val="clear" w:color="auto" w:fill="auto"/>
            <w:vAlign w:val="center"/>
          </w:tcPr>
          <w:p w14:paraId="720FF5DB">
            <w:pPr>
              <w:rPr>
                <w:rFonts w:hint="eastAsia" w:ascii="宋体" w:hAnsi="宋体"/>
                <w:sz w:val="21"/>
                <w:szCs w:val="21"/>
                <w:highlight w:val="none"/>
                <w:lang w:val="en-US" w:eastAsia="zh-CN"/>
              </w:rPr>
            </w:pPr>
            <w:r>
              <w:rPr>
                <w:rFonts w:hint="eastAsia" w:ascii="宋体" w:hAnsi="宋体"/>
                <w:sz w:val="21"/>
                <w:szCs w:val="21"/>
                <w:highlight w:val="none"/>
                <w:lang w:val="en-US" w:eastAsia="zh-CN"/>
              </w:rPr>
              <w:t>6分</w:t>
            </w:r>
          </w:p>
        </w:tc>
        <w:tc>
          <w:tcPr>
            <w:tcW w:w="6516" w:type="dxa"/>
            <w:shd w:val="clear" w:color="auto" w:fill="auto"/>
            <w:vAlign w:val="center"/>
          </w:tcPr>
          <w:p w14:paraId="4DE486D4">
            <w:pPr>
              <w:rPr>
                <w:rFonts w:hint="default" w:ascii="宋体" w:hAnsi="宋体"/>
                <w:sz w:val="21"/>
                <w:szCs w:val="21"/>
                <w:highlight w:val="none"/>
                <w:lang w:val="en-US" w:eastAsia="zh-CN"/>
              </w:rPr>
            </w:pPr>
            <w:r>
              <w:rPr>
                <w:rFonts w:hint="eastAsia" w:ascii="宋体" w:hAnsi="宋体"/>
                <w:sz w:val="21"/>
                <w:szCs w:val="21"/>
                <w:highlight w:val="none"/>
                <w:lang w:val="en-US" w:eastAsia="zh-CN"/>
              </w:rPr>
              <w:t>投标人的实施（交货）时间优于招标文件要求，每提前5日，得3分，最多得6分。响应招标文件的供货期限要求得2分。 不满足交货期限要求本项0分。</w:t>
            </w:r>
          </w:p>
        </w:tc>
        <w:tc>
          <w:tcPr>
            <w:tcW w:w="603" w:type="dxa"/>
            <w:vAlign w:val="center"/>
          </w:tcPr>
          <w:p w14:paraId="6B21A53A">
            <w:pPr>
              <w:rPr>
                <w:rFonts w:ascii="宋体" w:hAnsi="宋体"/>
                <w:szCs w:val="21"/>
                <w:highlight w:val="none"/>
              </w:rPr>
            </w:pPr>
          </w:p>
        </w:tc>
      </w:tr>
    </w:tbl>
    <w:p w14:paraId="538AB4B9">
      <w:pPr>
        <w:pStyle w:val="42"/>
        <w:tabs>
          <w:tab w:val="left" w:pos="1701"/>
        </w:tabs>
        <w:spacing w:line="440" w:lineRule="exact"/>
        <w:rPr>
          <w:rFonts w:ascii="宋体" w:hAnsi="宋体"/>
          <w:szCs w:val="21"/>
        </w:rPr>
      </w:pPr>
      <w:r>
        <w:rPr>
          <w:rFonts w:hint="eastAsia" w:ascii="宋体" w:hAnsi="宋体"/>
          <w:szCs w:val="21"/>
        </w:rPr>
        <w:t>10.2.2价格评分方法</w:t>
      </w:r>
    </w:p>
    <w:p w14:paraId="60F26377">
      <w:pPr>
        <w:spacing w:line="440" w:lineRule="exact"/>
        <w:ind w:firstLine="546" w:firstLineChars="257"/>
        <w:jc w:val="left"/>
        <w:rPr>
          <w:rFonts w:ascii="宋体"/>
          <w:b/>
          <w:sz w:val="24"/>
        </w:rPr>
      </w:pPr>
      <w:r>
        <w:rPr>
          <w:rFonts w:hint="eastAsia" w:ascii="宋体" w:hAnsi="宋体"/>
          <w:szCs w:val="21"/>
        </w:rPr>
        <w:t>满足招标文件技术要求且投标价格最低的投标报价为评标基准价，其价格分为满分。其他投标人的价格分别按照下列公式计算： 投标报价得分=（评标基准价/投标报价）×价格权重。</w:t>
      </w:r>
    </w:p>
    <w:p w14:paraId="135C1112">
      <w:pPr>
        <w:rPr>
          <w:rFonts w:hint="eastAsia" w:ascii="宋体"/>
          <w:b/>
          <w:sz w:val="24"/>
        </w:rPr>
      </w:pPr>
      <w:r>
        <w:rPr>
          <w:rFonts w:hint="eastAsia" w:ascii="宋体"/>
          <w:b/>
          <w:sz w:val="24"/>
        </w:rPr>
        <w:br w:type="page"/>
      </w:r>
    </w:p>
    <w:p w14:paraId="3BB3703C">
      <w:pPr>
        <w:spacing w:before="162" w:beforeLines="50" w:line="400" w:lineRule="exact"/>
        <w:jc w:val="center"/>
        <w:outlineLvl w:val="1"/>
        <w:rPr>
          <w:rFonts w:ascii="宋体"/>
          <w:b/>
          <w:sz w:val="24"/>
        </w:rPr>
      </w:pPr>
      <w:r>
        <w:rPr>
          <w:rFonts w:hint="eastAsia" w:ascii="宋体"/>
          <w:b/>
          <w:sz w:val="24"/>
        </w:rPr>
        <w:t>五  推荐中标候选人</w:t>
      </w:r>
      <w:bookmarkEnd w:id="66"/>
      <w:bookmarkEnd w:id="67"/>
    </w:p>
    <w:bookmarkEnd w:id="61"/>
    <w:p w14:paraId="7D1CB0DC">
      <w:pPr>
        <w:spacing w:line="440" w:lineRule="exact"/>
        <w:ind w:firstLine="546" w:firstLineChars="257"/>
        <w:jc w:val="left"/>
        <w:rPr>
          <w:rFonts w:ascii="宋体" w:hAnsi="宋体"/>
          <w:szCs w:val="21"/>
        </w:rPr>
      </w:pPr>
      <w:r>
        <w:rPr>
          <w:rFonts w:hint="eastAsia" w:ascii="宋体" w:hAnsi="宋体"/>
          <w:szCs w:val="21"/>
        </w:rPr>
        <w:t>11.1评标委员会推荐3名中标候选人，并标明排序。</w:t>
      </w:r>
    </w:p>
    <w:p w14:paraId="74DDAD5E">
      <w:pPr>
        <w:spacing w:line="440" w:lineRule="exact"/>
        <w:ind w:firstLine="546" w:firstLineChars="257"/>
        <w:jc w:val="left"/>
        <w:rPr>
          <w:rFonts w:ascii="宋体" w:hAnsi="宋体"/>
          <w:szCs w:val="21"/>
        </w:rPr>
      </w:pPr>
      <w:r>
        <w:rPr>
          <w:rFonts w:hint="eastAsia" w:ascii="宋体" w:hAnsi="宋体"/>
          <w:szCs w:val="21"/>
        </w:rPr>
        <w:t>11.2如最终得分一致，则报价低的优先排名，如报价一致，则以技术评分中设计方案得分高的优先排名。</w:t>
      </w:r>
    </w:p>
    <w:p w14:paraId="30D403F4">
      <w:pPr>
        <w:snapToGrid w:val="0"/>
        <w:spacing w:line="400" w:lineRule="exact"/>
        <w:ind w:firstLine="426" w:firstLineChars="200"/>
        <w:rPr>
          <w:rFonts w:ascii="宋体" w:hAnsi="宋体"/>
          <w:b/>
          <w:szCs w:val="21"/>
        </w:rPr>
      </w:pPr>
      <w:r>
        <w:rPr>
          <w:rFonts w:hint="eastAsia" w:ascii="宋体" w:hAnsi="宋体"/>
          <w:b/>
          <w:szCs w:val="21"/>
        </w:rPr>
        <w:t>12.无效投标条款</w:t>
      </w:r>
    </w:p>
    <w:p w14:paraId="4B3804A4">
      <w:pPr>
        <w:snapToGrid w:val="0"/>
        <w:spacing w:line="400" w:lineRule="exact"/>
        <w:ind w:firstLine="426" w:firstLineChars="200"/>
        <w:rPr>
          <w:rFonts w:ascii="宋体" w:hAnsi="宋体"/>
          <w:szCs w:val="21"/>
        </w:rPr>
      </w:pPr>
      <w:r>
        <w:rPr>
          <w:rFonts w:hint="eastAsia" w:ascii="宋体" w:hAnsi="宋体"/>
          <w:szCs w:val="21"/>
        </w:rPr>
        <w:t>12.1投标文件有下列情形之一的,其投标文件拒收:</w:t>
      </w:r>
    </w:p>
    <w:p w14:paraId="5296C57B">
      <w:pPr>
        <w:snapToGrid w:val="0"/>
        <w:spacing w:line="400" w:lineRule="exact"/>
        <w:rPr>
          <w:rFonts w:ascii="宋体" w:hAnsi="宋体"/>
          <w:b/>
          <w:bCs/>
          <w:szCs w:val="21"/>
        </w:rPr>
      </w:pPr>
      <w:r>
        <w:rPr>
          <w:rFonts w:hint="eastAsia" w:ascii="宋体" w:hAnsi="宋体"/>
          <w:szCs w:val="21"/>
        </w:rPr>
        <w:t xml:space="preserve">   </w:t>
      </w:r>
      <w:r>
        <w:rPr>
          <w:rFonts w:hint="eastAsia" w:ascii="宋体" w:hAnsi="宋体"/>
          <w:b/>
          <w:bCs/>
          <w:szCs w:val="21"/>
        </w:rPr>
        <w:t xml:space="preserve"> (1) 未在开标截止时间前通过网上招标投标系统递交有效电子投标文件的，开标系统不予接收。</w:t>
      </w:r>
    </w:p>
    <w:p w14:paraId="397500F1">
      <w:pPr>
        <w:snapToGrid w:val="0"/>
        <w:spacing w:line="400" w:lineRule="exact"/>
        <w:ind w:firstLine="426" w:firstLineChars="200"/>
        <w:rPr>
          <w:rFonts w:ascii="宋体" w:hAnsi="宋体"/>
          <w:b/>
          <w:bCs/>
          <w:szCs w:val="21"/>
        </w:rPr>
      </w:pPr>
      <w:r>
        <w:rPr>
          <w:rFonts w:hint="eastAsia" w:ascii="宋体" w:hAnsi="宋体"/>
          <w:b/>
          <w:bCs/>
          <w:szCs w:val="21"/>
        </w:rPr>
        <w:t>（2）</w:t>
      </w:r>
      <w:r>
        <w:rPr>
          <w:rFonts w:hint="eastAsia" w:ascii="宋体" w:hAnsi="宋体"/>
          <w:b/>
          <w:szCs w:val="21"/>
        </w:rPr>
        <w:t>所有投标人应在规定时间里完成投标文件的解密工作</w:t>
      </w:r>
      <w:r>
        <w:rPr>
          <w:rFonts w:hint="eastAsia" w:ascii="宋体" w:hAnsi="宋体"/>
          <w:b/>
          <w:bCs/>
          <w:szCs w:val="21"/>
        </w:rPr>
        <w:t>【投标人使用其有效加密锁（CA锁）进行解密（因投标人原因未能提供有效CA锁对其投标文件进行解密的，其投标文件按无效标处理），以网上招投标系统解密倒计时为准】</w:t>
      </w:r>
      <w:r>
        <w:rPr>
          <w:rFonts w:hint="eastAsia" w:ascii="宋体" w:hAnsi="宋体"/>
          <w:b/>
          <w:szCs w:val="21"/>
        </w:rPr>
        <w:t>。</w:t>
      </w:r>
    </w:p>
    <w:p w14:paraId="59AA73F3">
      <w:pPr>
        <w:snapToGrid w:val="0"/>
        <w:spacing w:line="400" w:lineRule="exact"/>
        <w:rPr>
          <w:rFonts w:ascii="宋体" w:hAnsi="宋体"/>
          <w:szCs w:val="21"/>
        </w:rPr>
      </w:pPr>
      <w:r>
        <w:rPr>
          <w:rFonts w:hint="eastAsia" w:ascii="宋体" w:hAnsi="宋体"/>
          <w:szCs w:val="21"/>
        </w:rPr>
        <w:t xml:space="preserve">  12.2投标人有下列情形之一的,资格审查后其投标作无效投标处理：</w:t>
      </w:r>
    </w:p>
    <w:p w14:paraId="7B8DA180">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1</w:t>
      </w:r>
      <w:r>
        <w:rPr>
          <w:rFonts w:hint="eastAsia" w:ascii="宋体" w:hAnsi="宋体"/>
          <w:szCs w:val="21"/>
        </w:rPr>
        <w:t>)投标人为本项目提供招标代理服务的；</w:t>
      </w:r>
    </w:p>
    <w:p w14:paraId="0672B3BD">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)投标人与在本项目代理机构存在相互任职或工作的；</w:t>
      </w:r>
    </w:p>
    <w:p w14:paraId="2BF64326">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)投标保证金未按规定要求缴纳的；</w:t>
      </w:r>
    </w:p>
    <w:p w14:paraId="277765F1">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w:t>
      </w:r>
      <w:r>
        <w:rPr>
          <w:rFonts w:hint="eastAsia" w:ascii="宋体" w:hAnsi="宋体"/>
          <w:b/>
          <w:bCs/>
          <w:szCs w:val="21"/>
        </w:rPr>
        <w:t>评标专家无法查看并检验电子标书中相关资料的；</w:t>
      </w:r>
    </w:p>
    <w:p w14:paraId="4EB8AD2C">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)联合体投标未提交联合体协议的；</w:t>
      </w:r>
    </w:p>
    <w:p w14:paraId="7B7915E1">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)被暂停营业的；</w:t>
      </w:r>
    </w:p>
    <w:p w14:paraId="1FBBA9C5">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)被暂停或取消投标资格的；</w:t>
      </w:r>
    </w:p>
    <w:p w14:paraId="12C9B340">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8</w:t>
      </w:r>
      <w:r>
        <w:rPr>
          <w:rFonts w:hint="eastAsia" w:ascii="宋体" w:hAnsi="宋体"/>
          <w:szCs w:val="21"/>
        </w:rPr>
        <w:t>)财产被接管或冻结的；</w:t>
      </w:r>
    </w:p>
    <w:p w14:paraId="1A8609B6">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9</w:t>
      </w:r>
      <w:r>
        <w:rPr>
          <w:rFonts w:hint="eastAsia" w:ascii="宋体" w:hAnsi="宋体"/>
          <w:szCs w:val="21"/>
        </w:rPr>
        <w:t>)投标人单位负责人为同一人或者存在控股、管理关系的不同单位的；</w:t>
      </w:r>
    </w:p>
    <w:p w14:paraId="699148D9">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10</w:t>
      </w:r>
      <w:r>
        <w:rPr>
          <w:rFonts w:hint="eastAsia" w:ascii="宋体" w:hAnsi="宋体"/>
          <w:szCs w:val="21"/>
        </w:rPr>
        <w:t>)投标人基本资格条件和特定资格条件中有一项及以上不符合要求的；</w:t>
      </w:r>
    </w:p>
    <w:p w14:paraId="38BCFD71">
      <w:pPr>
        <w:snapToGrid w:val="0"/>
        <w:spacing w:line="400" w:lineRule="exact"/>
        <w:ind w:firstLine="426" w:firstLineChars="200"/>
        <w:rPr>
          <w:rFonts w:ascii="宋体" w:hAnsi="宋体"/>
          <w:szCs w:val="21"/>
        </w:rPr>
      </w:pPr>
      <w:r>
        <w:rPr>
          <w:rFonts w:hint="eastAsia" w:ascii="宋体" w:hAnsi="宋体"/>
          <w:szCs w:val="21"/>
        </w:rPr>
        <w:t>（</w:t>
      </w:r>
      <w:r>
        <w:rPr>
          <w:rFonts w:hint="eastAsia" w:ascii="宋体" w:hAnsi="宋体"/>
          <w:szCs w:val="21"/>
          <w:lang w:val="en-US" w:eastAsia="zh-CN"/>
        </w:rPr>
        <w:t>11</w:t>
      </w:r>
      <w:r>
        <w:rPr>
          <w:rFonts w:hint="eastAsia" w:ascii="宋体" w:hAnsi="宋体"/>
          <w:szCs w:val="21"/>
        </w:rPr>
        <w:t>）投标人使用相同的MAC地址进行报名的；</w:t>
      </w:r>
    </w:p>
    <w:p w14:paraId="19EC5C0A">
      <w:pPr>
        <w:snapToGrid w:val="0"/>
        <w:spacing w:line="400" w:lineRule="exact"/>
        <w:ind w:firstLine="426" w:firstLineChars="200"/>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）其它情形，经评标委员会委提出按无效投标处理，并经公共资源交易监督部门核准的；</w:t>
      </w:r>
    </w:p>
    <w:p w14:paraId="201D37B5">
      <w:pPr>
        <w:snapToGrid w:val="0"/>
        <w:spacing w:line="400" w:lineRule="exact"/>
        <w:ind w:firstLine="426" w:firstLineChars="200"/>
        <w:rPr>
          <w:rFonts w:ascii="宋体" w:hAnsi="宋体"/>
          <w:szCs w:val="21"/>
        </w:rPr>
      </w:pPr>
      <w:r>
        <w:rPr>
          <w:rFonts w:hint="eastAsia" w:ascii="宋体" w:hAnsi="宋体"/>
          <w:szCs w:val="21"/>
        </w:rPr>
        <w:t>（1</w:t>
      </w:r>
      <w:r>
        <w:rPr>
          <w:rFonts w:hint="eastAsia" w:ascii="宋体" w:hAnsi="宋体"/>
          <w:szCs w:val="21"/>
          <w:lang w:val="en-US" w:eastAsia="zh-CN"/>
        </w:rPr>
        <w:t>3</w:t>
      </w:r>
      <w:r>
        <w:rPr>
          <w:rFonts w:hint="eastAsia" w:ascii="宋体" w:hAnsi="宋体"/>
          <w:szCs w:val="21"/>
        </w:rPr>
        <w:t>）投标人使用相同IP地址报名的，一经发现，监管部门将进一步核实，查实后按串通投标处理；</w:t>
      </w:r>
    </w:p>
    <w:p w14:paraId="650E3FD3">
      <w:pPr>
        <w:snapToGrid w:val="0"/>
        <w:spacing w:line="400" w:lineRule="exact"/>
        <w:ind w:firstLine="426" w:firstLineChars="200"/>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）采购文件规定的其它无效投标情形。</w:t>
      </w:r>
    </w:p>
    <w:p w14:paraId="79557D7F">
      <w:pPr>
        <w:snapToGrid w:val="0"/>
        <w:spacing w:line="400" w:lineRule="exact"/>
        <w:rPr>
          <w:rFonts w:ascii="宋体" w:hAnsi="宋体"/>
          <w:szCs w:val="21"/>
        </w:rPr>
      </w:pPr>
      <w:r>
        <w:rPr>
          <w:rFonts w:hint="eastAsia" w:ascii="宋体" w:hAnsi="宋体"/>
          <w:szCs w:val="21"/>
        </w:rPr>
        <w:t xml:space="preserve">   12.3 投标人有下列情形之一的,符合性审查后其投标按无效投标处理：</w:t>
      </w:r>
    </w:p>
    <w:p w14:paraId="7E1951C2">
      <w:pPr>
        <w:snapToGrid w:val="0"/>
        <w:spacing w:line="400" w:lineRule="exact"/>
        <w:ind w:firstLine="426" w:firstLineChars="200"/>
        <w:rPr>
          <w:rFonts w:ascii="宋体" w:hAnsi="宋体"/>
          <w:szCs w:val="21"/>
        </w:rPr>
      </w:pPr>
      <w:r>
        <w:rPr>
          <w:rFonts w:hint="eastAsia" w:ascii="宋体" w:hAnsi="宋体"/>
          <w:szCs w:val="21"/>
        </w:rPr>
        <w:t>(1) 投标文件签字、盖章不全，经评标委员会一致认定对开评标内容有实质性影响并经监督部门核准的；</w:t>
      </w:r>
    </w:p>
    <w:p w14:paraId="28B88E94">
      <w:pPr>
        <w:snapToGrid w:val="0"/>
        <w:spacing w:line="400" w:lineRule="exact"/>
        <w:ind w:firstLine="426" w:firstLineChars="200"/>
        <w:rPr>
          <w:rFonts w:ascii="宋体" w:hAnsi="宋体"/>
          <w:szCs w:val="21"/>
        </w:rPr>
      </w:pPr>
      <w:r>
        <w:rPr>
          <w:rFonts w:hint="eastAsia" w:ascii="宋体" w:hAnsi="宋体"/>
          <w:szCs w:val="21"/>
        </w:rPr>
        <w:t>(2)未按规定的格式填写，实质性内容不全或关键字迹模糊、无法辨认; 经监督部门核准的；</w:t>
      </w:r>
    </w:p>
    <w:p w14:paraId="5BBACD20">
      <w:pPr>
        <w:snapToGrid w:val="0"/>
        <w:spacing w:line="400" w:lineRule="exact"/>
        <w:ind w:firstLine="426" w:firstLineChars="200"/>
        <w:rPr>
          <w:rFonts w:ascii="宋体" w:hAnsi="宋体"/>
          <w:szCs w:val="21"/>
        </w:rPr>
      </w:pPr>
      <w:r>
        <w:rPr>
          <w:rFonts w:hint="eastAsia" w:ascii="宋体" w:hAnsi="宋体"/>
          <w:szCs w:val="21"/>
        </w:rPr>
        <w:t>(4)同一投标人提交两个以上不同的投标文件或者投标报价，但采购文件规定提交备选方案的除外；</w:t>
      </w:r>
    </w:p>
    <w:p w14:paraId="646DA472">
      <w:pPr>
        <w:snapToGrid w:val="0"/>
        <w:spacing w:line="400" w:lineRule="exact"/>
        <w:ind w:firstLine="426" w:firstLineChars="200"/>
        <w:rPr>
          <w:rFonts w:ascii="宋体" w:hAnsi="宋体"/>
          <w:szCs w:val="21"/>
        </w:rPr>
      </w:pPr>
      <w:r>
        <w:rPr>
          <w:rFonts w:hint="eastAsia" w:ascii="宋体" w:hAnsi="宋体"/>
          <w:szCs w:val="21"/>
        </w:rPr>
        <w:t>(3)投标文件没有对采购文件的实质性要求和条件作出响应;</w:t>
      </w:r>
    </w:p>
    <w:p w14:paraId="410A3893">
      <w:pPr>
        <w:snapToGrid w:val="0"/>
        <w:spacing w:line="400" w:lineRule="exact"/>
        <w:ind w:firstLine="426" w:firstLineChars="200"/>
        <w:rPr>
          <w:rFonts w:hint="eastAsia" w:ascii="宋体" w:hAnsi="宋体"/>
          <w:szCs w:val="21"/>
        </w:rPr>
      </w:pPr>
      <w:r>
        <w:rPr>
          <w:rFonts w:hint="eastAsia" w:ascii="宋体" w:hAnsi="宋体"/>
          <w:szCs w:val="21"/>
        </w:rPr>
        <w:t>(4)投标报价超出规定的投标限价或公布的采购预算的；</w:t>
      </w:r>
    </w:p>
    <w:p w14:paraId="1FCC8F9D">
      <w:pPr>
        <w:snapToGrid w:val="0"/>
        <w:spacing w:line="400" w:lineRule="exact"/>
        <w:ind w:firstLine="426" w:firstLineChars="200"/>
        <w:rPr>
          <w:rFonts w:ascii="宋体" w:hAnsi="宋体"/>
          <w:szCs w:val="21"/>
        </w:rPr>
      </w:pPr>
      <w:r>
        <w:rPr>
          <w:rFonts w:hint="eastAsia" w:ascii="宋体" w:hAnsi="宋体"/>
          <w:szCs w:val="21"/>
        </w:rPr>
        <w:t>注：投标人的投标报价各项单价均不得高于招标文件给定的单价最高限价，否则，其投标文件将按无效投标处理。</w:t>
      </w:r>
    </w:p>
    <w:p w14:paraId="6108F98A">
      <w:pPr>
        <w:snapToGrid w:val="0"/>
        <w:spacing w:line="400" w:lineRule="exact"/>
        <w:ind w:firstLine="426" w:firstLineChars="200"/>
        <w:rPr>
          <w:rFonts w:ascii="宋体" w:hAnsi="宋体"/>
          <w:szCs w:val="21"/>
        </w:rPr>
      </w:pPr>
      <w:r>
        <w:rPr>
          <w:rFonts w:hint="eastAsia" w:ascii="宋体" w:hAnsi="宋体"/>
          <w:szCs w:val="21"/>
        </w:rPr>
        <w:t>(5)不按评标委员会要求澄清、说明或补正的，或者评标委员会根据采购文件的规定对采购文件的计算错误进行修正后，投标人不接受修正的投标报价的。</w:t>
      </w:r>
    </w:p>
    <w:p w14:paraId="6263A05C">
      <w:pPr>
        <w:snapToGrid w:val="0"/>
        <w:spacing w:line="400" w:lineRule="exact"/>
        <w:ind w:firstLine="426" w:firstLineChars="200"/>
        <w:rPr>
          <w:rFonts w:ascii="宋体" w:hAnsi="宋体"/>
          <w:szCs w:val="21"/>
        </w:rPr>
      </w:pPr>
      <w:r>
        <w:rPr>
          <w:rFonts w:hint="eastAsia" w:ascii="宋体" w:hAnsi="宋体"/>
          <w:szCs w:val="21"/>
        </w:rPr>
        <w:t>（6）其它情形，经评标委员会委提出按无效投标处理，并经公共资源交易监督部门核准的；</w:t>
      </w:r>
    </w:p>
    <w:p w14:paraId="03EB8269">
      <w:pPr>
        <w:widowControl/>
        <w:spacing w:line="500" w:lineRule="exact"/>
        <w:ind w:firstLine="426" w:firstLineChars="200"/>
        <w:jc w:val="left"/>
        <w:rPr>
          <w:rFonts w:ascii="Tahoma" w:hAnsi="Tahoma" w:eastAsia="Tahoma" w:cs="Tahoma"/>
          <w:szCs w:val="21"/>
        </w:rPr>
      </w:pPr>
      <w:r>
        <w:rPr>
          <w:rFonts w:hint="eastAsia" w:ascii="宋体" w:hAnsi="宋体"/>
          <w:szCs w:val="21"/>
        </w:rPr>
        <w:t>（7）</w:t>
      </w:r>
      <w:r>
        <w:rPr>
          <w:rFonts w:ascii="Tahoma" w:hAnsi="Tahoma" w:eastAsia="Tahoma" w:cs="Tahoma"/>
          <w:kern w:val="0"/>
          <w:szCs w:val="21"/>
          <w:shd w:val="clear" w:color="auto" w:fill="FFFFFF"/>
        </w:rPr>
        <w:t>未按照招标文件的规定提交投标保证金的；</w:t>
      </w:r>
    </w:p>
    <w:p w14:paraId="00E0A3CA">
      <w:pPr>
        <w:widowControl/>
        <w:spacing w:line="500" w:lineRule="exact"/>
        <w:ind w:firstLine="426" w:firstLineChars="200"/>
        <w:jc w:val="left"/>
        <w:rPr>
          <w:rFonts w:ascii="Tahoma" w:hAnsi="Tahoma" w:eastAsia="Tahoma" w:cs="Tahoma"/>
          <w:szCs w:val="21"/>
        </w:rPr>
      </w:pPr>
      <w:r>
        <w:rPr>
          <w:rFonts w:hint="eastAsia" w:ascii="宋体" w:hAnsi="宋体"/>
          <w:szCs w:val="21"/>
        </w:rPr>
        <w:t>（8）</w:t>
      </w:r>
      <w:r>
        <w:rPr>
          <w:rFonts w:ascii="Tahoma" w:hAnsi="Tahoma" w:eastAsia="Tahoma" w:cs="Tahoma"/>
          <w:kern w:val="0"/>
          <w:szCs w:val="21"/>
          <w:shd w:val="clear" w:color="auto" w:fill="FFFFFF"/>
        </w:rPr>
        <w:t>投标文件含有采购人不能接受的附加条件的;</w:t>
      </w:r>
    </w:p>
    <w:p w14:paraId="4D29B9D0">
      <w:pPr>
        <w:tabs>
          <w:tab w:val="left" w:pos="1123"/>
        </w:tabs>
        <w:snapToGrid w:val="0"/>
        <w:spacing w:line="500" w:lineRule="exact"/>
        <w:ind w:firstLine="426" w:firstLineChars="200"/>
        <w:rPr>
          <w:rFonts w:ascii="宋体" w:hAnsi="宋体"/>
          <w:szCs w:val="21"/>
        </w:rPr>
      </w:pPr>
      <w:r>
        <w:rPr>
          <w:rFonts w:hint="eastAsia" w:ascii="宋体" w:hAnsi="宋体"/>
          <w:szCs w:val="21"/>
        </w:rPr>
        <w:t>（9）采购文件规定的其它无效投标情形。</w:t>
      </w:r>
    </w:p>
    <w:p w14:paraId="10CFD6D3">
      <w:pPr>
        <w:snapToGrid w:val="0"/>
        <w:spacing w:line="400" w:lineRule="exact"/>
        <w:ind w:firstLine="426" w:firstLineChars="200"/>
        <w:rPr>
          <w:rFonts w:hint="eastAsia" w:ascii="宋体" w:hAnsi="宋体"/>
          <w:szCs w:val="21"/>
        </w:rPr>
      </w:pPr>
      <w:r>
        <w:rPr>
          <w:rFonts w:hint="eastAsia" w:ascii="宋体" w:hAnsi="宋体"/>
          <w:szCs w:val="21"/>
        </w:rPr>
        <w:t>12.4 投标人有下列情形之一的, 详细评审后其投标按无效投标处理：</w:t>
      </w:r>
    </w:p>
    <w:p w14:paraId="7A9E7A7D">
      <w:pPr>
        <w:snapToGrid w:val="0"/>
        <w:spacing w:line="400" w:lineRule="exact"/>
        <w:ind w:firstLine="426" w:firstLineChars="200"/>
        <w:rPr>
          <w:rFonts w:hint="eastAsia" w:ascii="宋体" w:hAnsi="宋体"/>
          <w:szCs w:val="21"/>
        </w:rPr>
      </w:pPr>
      <w:r>
        <w:rPr>
          <w:rFonts w:hint="eastAsia" w:ascii="宋体" w:hAnsi="宋体"/>
          <w:szCs w:val="21"/>
        </w:rPr>
        <w:t>(1)投标产品不符合必须强制执行的国家标准的；</w:t>
      </w:r>
    </w:p>
    <w:p w14:paraId="6184CE47">
      <w:pPr>
        <w:snapToGrid w:val="0"/>
        <w:spacing w:line="400" w:lineRule="exact"/>
        <w:ind w:firstLine="426" w:firstLineChars="200"/>
        <w:rPr>
          <w:rFonts w:hint="eastAsia" w:ascii="宋体" w:hAnsi="宋体"/>
          <w:szCs w:val="21"/>
        </w:rPr>
      </w:pPr>
      <w:r>
        <w:rPr>
          <w:rFonts w:hint="eastAsia" w:ascii="宋体" w:hAnsi="宋体"/>
          <w:szCs w:val="21"/>
        </w:rPr>
        <w:t>(2)投标人有串通投标、弄虚作假、行贿等违法行为；</w:t>
      </w:r>
    </w:p>
    <w:p w14:paraId="11CA91E6">
      <w:pPr>
        <w:snapToGrid w:val="0"/>
        <w:spacing w:line="400" w:lineRule="exact"/>
        <w:ind w:firstLine="426" w:firstLineChars="200"/>
        <w:rPr>
          <w:rFonts w:hint="eastAsia" w:ascii="宋体" w:hAnsi="宋体"/>
          <w:szCs w:val="21"/>
        </w:rPr>
      </w:pPr>
      <w:r>
        <w:rPr>
          <w:rFonts w:hint="eastAsia" w:ascii="宋体" w:hAnsi="宋体"/>
          <w:szCs w:val="21"/>
        </w:rPr>
        <w:t>(3)投标文件含有违反国家法律、法规的内容，或附有招标人不能接受的条件的；</w:t>
      </w:r>
    </w:p>
    <w:p w14:paraId="1300C8BD">
      <w:pPr>
        <w:snapToGrid w:val="0"/>
        <w:spacing w:line="400" w:lineRule="exact"/>
        <w:ind w:firstLine="426" w:firstLineChars="200"/>
        <w:rPr>
          <w:rFonts w:ascii="宋体" w:hAnsi="宋体"/>
          <w:szCs w:val="21"/>
        </w:rPr>
      </w:pPr>
      <w:r>
        <w:rPr>
          <w:rFonts w:hint="eastAsia" w:ascii="宋体" w:hAnsi="宋体"/>
          <w:szCs w:val="21"/>
        </w:rPr>
        <w:t>（4）在同一项目（或同一标段）中有多个投标人有效投标报价接近最高限价，且评标委员会认为报价出现异常的，可以宣布其投标无效；</w:t>
      </w:r>
    </w:p>
    <w:p w14:paraId="002FFA73">
      <w:pPr>
        <w:spacing w:line="360" w:lineRule="auto"/>
        <w:ind w:firstLine="319" w:firstLineChars="150"/>
        <w:rPr>
          <w:rFonts w:ascii="宋体" w:hAnsi="宋体"/>
          <w:szCs w:val="21"/>
        </w:rPr>
      </w:pPr>
      <w:r>
        <w:rPr>
          <w:rFonts w:hint="eastAsia" w:ascii="宋体" w:hAnsi="宋体"/>
          <w:szCs w:val="21"/>
        </w:rPr>
        <w:t>（5）</w:t>
      </w:r>
      <w:r>
        <w:rPr>
          <w:rFonts w:ascii="宋体" w:hAnsi="宋体"/>
          <w:szCs w:val="21"/>
        </w:rPr>
        <w:t>报价明显低于其他投标人，且不能证明报价合理性的投标无效</w:t>
      </w:r>
      <w:r>
        <w:rPr>
          <w:rFonts w:hint="eastAsia" w:ascii="宋体" w:hAnsi="宋体"/>
          <w:szCs w:val="21"/>
        </w:rPr>
        <w:t>；</w:t>
      </w:r>
    </w:p>
    <w:p w14:paraId="33F58934">
      <w:pPr>
        <w:spacing w:line="360" w:lineRule="auto"/>
        <w:ind w:firstLine="319" w:firstLineChars="150"/>
        <w:rPr>
          <w:rFonts w:ascii="宋体" w:hAnsi="宋体"/>
          <w:szCs w:val="21"/>
        </w:rPr>
      </w:pPr>
      <w:r>
        <w:rPr>
          <w:rFonts w:hint="eastAsia" w:ascii="宋体" w:hAnsi="宋体"/>
          <w:szCs w:val="21"/>
        </w:rPr>
        <w:t>（6）</w:t>
      </w:r>
      <w:r>
        <w:rPr>
          <w:rFonts w:ascii="宋体" w:hAnsi="宋体"/>
          <w:szCs w:val="21"/>
        </w:rPr>
        <w:t>拒不确认评标委员会评审修正的投标无效</w:t>
      </w:r>
      <w:r>
        <w:rPr>
          <w:rFonts w:hint="eastAsia" w:ascii="宋体" w:hAnsi="宋体"/>
          <w:szCs w:val="21"/>
        </w:rPr>
        <w:t>；</w:t>
      </w:r>
    </w:p>
    <w:p w14:paraId="4EAA29A1">
      <w:pPr>
        <w:snapToGrid w:val="0"/>
        <w:spacing w:line="400" w:lineRule="exact"/>
        <w:ind w:firstLine="426" w:firstLineChars="200"/>
        <w:rPr>
          <w:rFonts w:ascii="宋体" w:hAnsi="宋体"/>
          <w:szCs w:val="21"/>
        </w:rPr>
      </w:pPr>
      <w:r>
        <w:rPr>
          <w:rFonts w:hint="eastAsia" w:ascii="宋体" w:hAnsi="宋体"/>
          <w:szCs w:val="21"/>
        </w:rPr>
        <w:t>（7）其它情形，经评标委员会委提出按无效投标处理，并经公共资源交易监督部门核准的；</w:t>
      </w:r>
    </w:p>
    <w:p w14:paraId="15687639">
      <w:pPr>
        <w:snapToGrid w:val="0"/>
        <w:spacing w:line="400" w:lineRule="exact"/>
        <w:ind w:firstLine="426" w:firstLineChars="200"/>
        <w:rPr>
          <w:rFonts w:hint="eastAsia" w:ascii="宋体" w:hAnsi="宋体"/>
          <w:szCs w:val="21"/>
        </w:rPr>
      </w:pPr>
      <w:r>
        <w:rPr>
          <w:rFonts w:hint="eastAsia" w:ascii="宋体" w:hAnsi="宋体"/>
          <w:szCs w:val="21"/>
        </w:rPr>
        <w:t>（8）采购文件规定的其它无效投标情形。</w:t>
      </w:r>
      <w:bookmarkEnd w:id="62"/>
    </w:p>
    <w:p w14:paraId="4089C1B3">
      <w:pPr>
        <w:snapToGrid w:val="0"/>
        <w:spacing w:line="400" w:lineRule="exact"/>
        <w:ind w:firstLine="426" w:firstLineChars="200"/>
        <w:rPr>
          <w:rFonts w:hint="eastAsia" w:ascii="宋体" w:hAnsi="宋体"/>
          <w:szCs w:val="21"/>
        </w:rPr>
      </w:pPr>
    </w:p>
    <w:p w14:paraId="52945BCA">
      <w:pPr>
        <w:snapToGrid w:val="0"/>
        <w:spacing w:line="400" w:lineRule="exact"/>
        <w:ind w:firstLine="426" w:firstLineChars="200"/>
        <w:rPr>
          <w:rFonts w:hint="eastAsia" w:ascii="宋体" w:hAnsi="宋体"/>
          <w:szCs w:val="21"/>
        </w:rPr>
      </w:pPr>
    </w:p>
    <w:p w14:paraId="2E0F74B8">
      <w:pPr>
        <w:snapToGrid w:val="0"/>
        <w:spacing w:line="400" w:lineRule="exact"/>
        <w:ind w:firstLine="426" w:firstLineChars="200"/>
        <w:rPr>
          <w:rFonts w:hint="eastAsia" w:ascii="宋体" w:hAnsi="宋体"/>
          <w:szCs w:val="21"/>
        </w:rPr>
      </w:pPr>
    </w:p>
    <w:p w14:paraId="68AA3A78">
      <w:pPr>
        <w:snapToGrid w:val="0"/>
        <w:spacing w:line="400" w:lineRule="exact"/>
        <w:ind w:firstLine="426" w:firstLineChars="200"/>
        <w:rPr>
          <w:rFonts w:hint="eastAsia" w:ascii="宋体" w:hAnsi="宋体"/>
          <w:szCs w:val="21"/>
        </w:rPr>
      </w:pPr>
    </w:p>
    <w:p w14:paraId="118B9AFD">
      <w:pPr>
        <w:snapToGrid w:val="0"/>
        <w:spacing w:line="400" w:lineRule="exact"/>
        <w:ind w:firstLine="426" w:firstLineChars="200"/>
        <w:rPr>
          <w:rFonts w:hint="eastAsia" w:ascii="宋体" w:hAnsi="宋体"/>
          <w:szCs w:val="21"/>
        </w:rPr>
      </w:pPr>
    </w:p>
    <w:p w14:paraId="0AF8B40D">
      <w:pPr>
        <w:snapToGrid w:val="0"/>
        <w:spacing w:line="400" w:lineRule="exact"/>
        <w:ind w:firstLine="426" w:firstLineChars="200"/>
        <w:rPr>
          <w:rFonts w:hint="eastAsia" w:ascii="宋体" w:hAnsi="宋体"/>
          <w:szCs w:val="21"/>
        </w:rPr>
      </w:pPr>
    </w:p>
    <w:p w14:paraId="210CD3F2">
      <w:pPr>
        <w:snapToGrid w:val="0"/>
        <w:spacing w:line="400" w:lineRule="exact"/>
        <w:ind w:firstLine="426" w:firstLineChars="200"/>
        <w:rPr>
          <w:rFonts w:hint="eastAsia" w:ascii="宋体" w:hAnsi="宋体"/>
          <w:szCs w:val="21"/>
        </w:rPr>
      </w:pPr>
    </w:p>
    <w:p w14:paraId="696E330B">
      <w:pPr>
        <w:snapToGrid w:val="0"/>
        <w:spacing w:line="400" w:lineRule="exact"/>
        <w:ind w:firstLine="426" w:firstLineChars="200"/>
        <w:rPr>
          <w:rFonts w:hint="eastAsia" w:ascii="宋体" w:hAnsi="宋体"/>
          <w:szCs w:val="21"/>
        </w:rPr>
      </w:pPr>
    </w:p>
    <w:p w14:paraId="07DDABB7">
      <w:pPr>
        <w:snapToGrid w:val="0"/>
        <w:spacing w:line="400" w:lineRule="exact"/>
        <w:ind w:firstLine="426" w:firstLineChars="200"/>
        <w:rPr>
          <w:rFonts w:hint="eastAsia" w:ascii="宋体" w:hAnsi="宋体"/>
          <w:szCs w:val="21"/>
        </w:rPr>
      </w:pPr>
    </w:p>
    <w:p w14:paraId="054602C3">
      <w:pPr>
        <w:snapToGrid w:val="0"/>
        <w:spacing w:line="400" w:lineRule="exact"/>
        <w:ind w:firstLine="426" w:firstLineChars="200"/>
        <w:rPr>
          <w:rFonts w:hint="eastAsia" w:ascii="宋体" w:hAnsi="宋体"/>
          <w:szCs w:val="21"/>
        </w:rPr>
      </w:pPr>
    </w:p>
    <w:p w14:paraId="53617232">
      <w:pPr>
        <w:snapToGrid w:val="0"/>
        <w:spacing w:line="400" w:lineRule="exact"/>
        <w:ind w:firstLine="426" w:firstLineChars="200"/>
        <w:rPr>
          <w:rFonts w:hint="eastAsia" w:ascii="宋体" w:hAnsi="宋体"/>
          <w:szCs w:val="21"/>
        </w:rPr>
      </w:pPr>
    </w:p>
    <w:p w14:paraId="4C7C7C2A">
      <w:pPr>
        <w:snapToGrid w:val="0"/>
        <w:spacing w:line="400" w:lineRule="exact"/>
        <w:ind w:firstLine="426" w:firstLineChars="200"/>
        <w:rPr>
          <w:rFonts w:hint="eastAsia" w:ascii="宋体" w:hAnsi="宋体"/>
          <w:szCs w:val="21"/>
        </w:rPr>
      </w:pPr>
    </w:p>
    <w:p w14:paraId="2521A1D9">
      <w:pPr>
        <w:snapToGrid w:val="0"/>
        <w:spacing w:line="400" w:lineRule="exact"/>
        <w:ind w:firstLine="426" w:firstLineChars="200"/>
        <w:rPr>
          <w:rFonts w:hint="eastAsia" w:ascii="宋体" w:hAnsi="宋体"/>
          <w:szCs w:val="21"/>
        </w:rPr>
      </w:pPr>
    </w:p>
    <w:p w14:paraId="2830C4EF">
      <w:pPr>
        <w:snapToGrid w:val="0"/>
        <w:spacing w:line="400" w:lineRule="exact"/>
        <w:ind w:firstLine="426" w:firstLineChars="200"/>
        <w:rPr>
          <w:rFonts w:hint="eastAsia" w:ascii="宋体" w:hAnsi="宋体"/>
          <w:szCs w:val="21"/>
        </w:rPr>
      </w:pPr>
    </w:p>
    <w:p w14:paraId="3E513DA9">
      <w:pPr>
        <w:snapToGrid w:val="0"/>
        <w:spacing w:line="400" w:lineRule="exact"/>
        <w:ind w:firstLine="2584" w:firstLineChars="800"/>
        <w:rPr>
          <w:rFonts w:hint="eastAsia" w:ascii="宋体" w:hAnsi="宋体"/>
          <w:b/>
          <w:sz w:val="32"/>
          <w:szCs w:val="32"/>
          <w:highlight w:val="yellow"/>
        </w:rPr>
      </w:pPr>
      <w:r>
        <w:rPr>
          <w:rFonts w:hint="eastAsia" w:ascii="宋体" w:hAnsi="宋体"/>
          <w:b/>
          <w:sz w:val="32"/>
          <w:szCs w:val="32"/>
          <w:highlight w:val="none"/>
          <w:lang w:val="en-US" w:eastAsia="zh-CN"/>
        </w:rPr>
        <w:t xml:space="preserve"> </w:t>
      </w:r>
      <w:r>
        <w:rPr>
          <w:rFonts w:hint="eastAsia" w:ascii="宋体" w:hAnsi="宋体"/>
          <w:b/>
          <w:sz w:val="32"/>
          <w:szCs w:val="32"/>
          <w:highlight w:val="none"/>
        </w:rPr>
        <w:t>第四章  采购内容及技术要求</w:t>
      </w:r>
    </w:p>
    <w:p w14:paraId="5E34D90C">
      <w:pPr>
        <w:pageBreakBefore/>
        <w:spacing w:line="240" w:lineRule="auto"/>
        <w:jc w:val="center"/>
        <w:outlineLvl w:val="0"/>
        <w:rPr>
          <w:rFonts w:hint="default" w:ascii="宋体" w:hAnsi="宋体" w:eastAsia="宋体"/>
          <w:b/>
          <w:sz w:val="32"/>
          <w:szCs w:val="32"/>
          <w:highlight w:val="none"/>
          <w:lang w:val="en-US" w:eastAsia="zh-CN"/>
        </w:rPr>
      </w:pPr>
      <w:r>
        <w:rPr>
          <w:rFonts w:hint="eastAsia" w:ascii="宋体" w:hAnsi="宋体"/>
          <w:b/>
          <w:sz w:val="32"/>
          <w:szCs w:val="32"/>
          <w:highlight w:val="none"/>
          <w:lang w:val="en-US" w:eastAsia="zh-CN"/>
        </w:rPr>
        <w:t>多媒体系统</w:t>
      </w:r>
    </w:p>
    <w:tbl>
      <w:tblPr>
        <w:tblStyle w:val="27"/>
        <w:tblW w:w="9791" w:type="dxa"/>
        <w:tblInd w:w="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80"/>
        <w:gridCol w:w="1494"/>
        <w:gridCol w:w="1563"/>
        <w:gridCol w:w="3393"/>
        <w:gridCol w:w="1183"/>
        <w:gridCol w:w="259"/>
        <w:gridCol w:w="617"/>
        <w:gridCol w:w="587"/>
      </w:tblGrid>
      <w:tr w14:paraId="50CF4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29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BA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展项名称</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0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1C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参数</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AA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22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3B30F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4100E9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54D427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壁挂式电子沙盘系统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67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C4C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≥86寸（16：9）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11.喇叭 2×4Ω 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12.HDMI-OUT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13.VGA-OUT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14.RG45-IN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5.USB3.0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16.USB2.0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17.音频输出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18.耳机输入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19.220v开关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20.220v插座接口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21.底座 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22.触控嵌入方式 内置一体式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23.书写方式 手指、触摸笔或其它＞2.5mm非透明物体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24.触控点数 10点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25.触控分辨率 32767*32767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26.触控精度 ±1mm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27.单指响应速度 ＜8ms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28.最小识别点直径 2.5mm（支持2.8mm双细笔全屏书写）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29.触控次数 理论次数无限次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30.驱动程序 系统自动识别，免驱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31.支持系统 windows7/10，Android，Mac 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32.工作温度  -10~+50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34.cpu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36.硬盘 ≥Ssd-128G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37.壁挂机身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38.机身材质 铝合金拉丝氧化面框处理工艺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39.前框玻璃 物理钢化7级防爆玻璃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40.整机外观尺寸 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41.整机功率 ≤100W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42.待机功率 ≤0.5W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43.音响喇叭 立体音效，2*10W高低音音响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44.输入电压 100~240V   50/60Hz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45.使用环境温度‐20℃~60℃/湿度10%RH~90%RH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46.存储环境温度‐10℃~55℃/湿度10%RH~90%RH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B5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35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65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CA4E5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52BD1C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D3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9F1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42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0F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4A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F88CA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5216DE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46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BA5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1.可添加文本、word、pdf。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2.可添加图片、视频、音频、相册、GIF、三维模型。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3.可添加链接、网页、小窗口、弹窗、日期、动画。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4.可以发送接收串口 udp tcp消息，控制灯光等外部设备。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5.开机自动启动、全屏显示、全屏退出、自动返回首页、进入屏保。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6.可设置背景音乐，背景视频。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7.兼容不同屏幕分辨率。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8.左侧页面结构管理。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9.项目迁移，支持多项目管理。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10.页面自助排版。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82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08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8C8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BA934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D15579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92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571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2B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45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EFB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62FAAC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120E7F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DA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UI</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325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贴合展馆整体空间调性与大屏触控交互逻辑，核心涵盖：展品图文影音详情界面、多媒体播放控件、文化成果数据可视化页面、趣味互动交互界面、反馈模块；配套统一触控按钮、弹窗提示、加载动效、返回首页、音量亮度快捷控件；同时适配设备尺寸优化版式布局、大字触控按键、极简视觉版式，匹配展厅立面硬装风格，兼顾美观性、公共访客易用性与设备系统基础运维界面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项目单位配合参与提供内容主题需求、部分所需专业内容、交互要求及设计审定等方面的支持即可。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44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76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AB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F478C4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AF3D70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3F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7C4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还原县域山地地形地貌与城区现状基底。展示主次干道、口岸对外交通路网，标注供排水、供热、燃气、地下管网走向，水厂、污水处理、垃圾处理等市政场站位置。呈现居住、公共服务、绿地等用地分区，教育医疗、文体、应急配套点位，区分现状建成区与规划待建片区。叠加生态保护红线、城镇开发边界，可分层切换查看，直观呈现城市更新、老旧小区改造、口岸配套等重点项目布局，体现边境县城市政建设发展格局</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45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06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1D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668469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C37B03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E5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494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50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B9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C750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6ACE2B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3A7A8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城市交通触控系统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ED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32寸工业显示一体机</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A3C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32寸（16：9）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 11.主板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12.cpu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14.硬盘 ≥Ssd-128G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95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C1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7D38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46B491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0E74E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FA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BD9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2A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41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8D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D685C7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0B0825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A3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ECFB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该系统面向高端数字展厅 、沉浸式数字空间的专业级内容播控终端系统 ， 以“精细化管控 、智能化协同、全场景适配 ”为核心 ，  为高规格数字内容展示提供从程序调度 、  内容播放到跨系统联动的全链路高端管控能力。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 、程序级智能调度与指令管控系统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1.精准时序调度：支持启动延迟预设，实现多设备  /  系统间的毫秒级启动同步；  配备快进时间预设,  灵活把控内容展示节奏 ，  适配不同参观动线的时间节奏。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多终端并行架构：  支持多播放器数量配置 ，  可实现单终端对多展示单元的并行管控 ，  满足展厅多区域内容协同的高端需求。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3.场景化显示适配：  提供窗口置顶 、  鼠标显示开关 ，  按需适配   “无人值守自动化展示 ”  或   “交互型体验场景 ”  的不同视觉需求。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4.全维度指令映射体系：   内置自定义信号接收引擎 ，  支持播放暂停 、音量调节、开关控制 、锁定/解锁 、进退控制等全品类指令的信号映射  (可自定义信号标识）；   同时支持启动后信号触发配置 ，  实现播控终端与展厅灯光、中控等设备的联动触发 ，  构建自动化场景闭环。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 、播放器精细化内容管控引擎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1.毫秒级内容时序校准：  支持启动后播放延迟（毫秒级）  、图片播放时长（帧级)  配置 ，  实现内容展示的精准节奏控制，匹配高端展厅的专业内容呈现标准。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自动化流程闭环：  提供播完操作预设（如自动停止）  ，  结合待机轮播功能（支持指定轮播文件夹、自定义轮播音量），实现无人场景下的内容持续 、有序展示。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3.可视化空间管控：  配备窗口位置  /尺寸精准调控模块——  支持窗口锁定、宽高的   “微步级  (±1）  /  步进级  ( ±10/±100）  调整 ”,  结合区域网格划分（横向  /  纵向区域数 、  网格大小调控）、精准裁切功能 ，可针对LED屏 、投影、拼接屏等设备实现内容的像素级取景与多分区展示适配；同时支持拉伸模式 、控制界面显示开关 ，  适配不同硬件的显示特性。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 、跨系统协同信号引擎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1.节点化联动触发：  支持开始  /  结束播放的信号配置 ，  可在内容播放关键节点触发音响 、互动装置等系统的联动动作，强化沉浸式展示体验。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进度同步反馈：  配备进度信号同步模块，可实时输出内容播放进度数据 ，  支持与展厅中控 、数据可视化系统联动 ，  实现展示内容与数据看板的同步化呈现。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2.该系统通过   “精准化 、智能化 、协同化 ”  的全维度管控能力 ，  彻底解决高端展厅中内容展示   “时序同步难 、多设备协同弱 、视觉呈现粗”  等痛点 ，  是高规格数字展厅 、沉浸式数字空间的核心播控支撑工具。</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FC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44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D02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ABA968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49AD07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09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83C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FD4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B6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3BA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C68FF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2D298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BF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UI</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886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贴合展馆整体空间调性与大屏触控交互逻辑，核心涵盖：展品图文影音详情界面、多媒体播放控件、文化成果数据可视化页面、趣味互动交互界面、反馈模块；配套统一触控按钮、弹窗提示、加载动效、返回首页、音量亮度快捷控件；同时适配设备尺寸优化版式布局、大字触控按键、极简视觉版式，匹配展厅立面硬装风格，兼顾美观性、公共访客易用性与设备系统基础运维界面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项目单位配合参与提供内容主题需求、部分所需专业内容、交互要求及设计审定等方面的支持即可。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07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46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D413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A6A9E1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D2237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F4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E5F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边境民族文化为核心，展现柯尔克孜族非遗传承，包括玛纳斯文化、刺绣、民俗歌舞、传统手工艺；展示文旅产业布局，边境旅游、草原风光、特色村寨、研学文旅项目。呈现文化赋能产业发展，特色文创产品开发、民俗体验业态、文旅融合项目建设成效。体现口岸区位优势下文旅商贸联动，文旅配套设施、节庆活动、文旅惠民成果，同时展示文化保护传承与产业创新发展规划，展望文化旅游产业未来发展方向。</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6C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39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723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F34F46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D94B7A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81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6BA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3A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01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C53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1B0F00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98BE0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文化产业互动播控系统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BA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FFA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≥43寸（16：9）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11.喇叭 2×4Ω 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12.HDMI-OUT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13.VGA-OUT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14.RG45-IN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5.USB3.0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16.USB2.0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17.音频输出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18.耳机输入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19.220v开关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20.220v插座接口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21.底座 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22.触控嵌入方式 内置一体式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23.书写方式 手指、触摸笔或其它＞2.5mm非透明物体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24.触控点数 10点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25.触控分辨率 32767*32767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26.触控精度 ±1mm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27.单指响应速度 ＜8ms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28.最小识别点直径 2.5mm（支持2.8mm双细笔全屏书写）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29.触控次数 理论次数无限次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30.驱动程序 系统自动识别，免驱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31.支持系统 windows7/10，Android，Mac 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32.工作温度  -10~+50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34.cpu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36.硬盘 ≥Ssd-128G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37.立式机身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38.机身材质 铝合金拉丝氧化面框处理工艺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39.前框玻璃 物理钢化7级防爆玻璃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40.整机外观尺寸 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41.整机功率 ≤100W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42.待机功率 ≤0.5W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43.音响喇叭 立体音效，2*10W高低音音响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44.输入电压 100~240V   50/60Hz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45.使用环境温度‐20℃~60℃/湿度10%RH~90%RH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46.存储环境温度‐10℃~55℃/湿度10%RH~90%RH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D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5A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B1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AB53EA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6CD375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13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F4F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BC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64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C92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D3DAF3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D55A2E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34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EF0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1.可添加文本、word、pdf。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2.可添加图片、视频、音频、相册、GIF、三维模型。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3.可添加链接、网页、小窗口、弹窗、日期、动画。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4.可以发送接收串口 udp tcp消息，控制灯光等外部设备。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5.开机自动启动、全屏显示、全屏退出、自动返回首页、进入屏保。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6.可设置背景音乐，背景视频。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7.兼容不同屏幕分辨率。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8.左侧页面结构管理。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9.项目迁移，支持多项目管理。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10.页面自助排版。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D7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CF8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C7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24B4AB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DB9BF0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33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5EA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12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0F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F67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63B931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ADCFA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E9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UI</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AB9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贴合展馆整体空间调性与大屏触控交互逻辑，核心涵盖：展品图文影音详情界面、多媒体播放控件、文化成果数据可视化页面、趣味互动交互界面、反馈模块；配套统一触控按钮、弹窗提示、加载动效、返回首页、音量亮度快捷控件；同时适配设备尺寸优化版式布局、大字触控按键、极简视觉版式，匹配展厅立面硬装风格，兼顾美观性、公共访客易用性与设备系统基础运维界面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项目单位配合参与提供内容主题需求、部分所需专业内容、交互要求及设计审定等方面的支持即可。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12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58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0F0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1BA2A2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40109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60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9EA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边境民族文化为核心，展现柯尔克孜族非遗传承，包括玛纳斯文化、刺绣、民俗歌舞、传统手工艺；展示文旅产业布局，边境旅游、草原风光、特色村寨、研学文旅项目。呈现文化赋能产业发展，特色文创产品开发、民俗体验业态、文旅融合项目建设成效。体现口岸区位优势下文旅商贸联动，文旅配套设施、节庆活动、文旅惠民成果，同时展示文化保护传承与产业创新发展规划，展望文化旅游产业未来发展方向。</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7B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08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AC5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627BE2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5EE47D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31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518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8E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E2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3B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7C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02F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产业规划播控系统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F2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827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≥65寸（16：9）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11.喇叭 2×4Ω 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12.HDMI-OUT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13.VGA-OUT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14.RG45-IN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5.USB3.0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16.USB2.0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17.音频输出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18.耳机输入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19.220v开关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20.220v插座接口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21.底座 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22.触控嵌入方式 内置一体式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23.书写方式 手指、触摸笔或其它＞2.5mm非透明物体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24.触控点数 10点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25.触控分辨率 32767*32767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26.触控精度 ±1mm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27.单指响应速度 ＜8ms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28.最小识别点直径 2.5mm（支持2.8mm双细笔全屏书写）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29.触控次数 理论次数无限次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30.驱动程序 系统自动识别，免驱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31.支持系统 windows7/10，Android，Mac 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32.工作温度  -10~+50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34.cpu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36.硬盘 ≥Ssd-128G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37.立式机身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38.机身材质 铝合金拉丝氧化面框处理工艺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39.前框玻璃 物理钢化7级防爆玻璃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40.整机外观尺寸 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41.整机功率 ≤100W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42.待机功率 ≤0.5W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43.音响喇叭 立体音效，2*10W高低音音响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44.输入电压 100~240V   50/60Hz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45.使用环境温度‐20℃~60℃/湿度10%RH~90%RH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46.存储环境温度‐10℃~55℃/湿度10%RH~90%RH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6C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4B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42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B7A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5A63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1C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B82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5F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E1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E2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EAA5">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256F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E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78C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1.可添加文本、word、pdf。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2.可添加图片、视频、音频、相册、GIF、三维模型。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3.可添加链接、网页、小窗口、弹窗、日期、动画。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4.可以发送接收串口 udp tcp消息，控制灯光等外部设备。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5.开机自动启动、全屏显示、全屏退出、自动返回首页、进入屏保。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6.可设置背景音乐，背景视频。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7.兼容不同屏幕分辨率。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8.左侧页面结构管理。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9.项目迁移，支持多项目管理。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10.页面自助排版。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2B0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E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6E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CF3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581F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B1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BB1A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C2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4F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689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762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5247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73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B91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乌恰县重点产业规划视频，立足口岸区位与本地资源禀赋，聚焦边贸物流、特色农牧业、文旅康养、新能源四大主导产业。展示口岸外贸、跨境商贸、仓储物流园区建设布局；呈现高原畜牧、特色种养、农牧产品加工等产业链发展现状与规划。结合柯尔克孜民俗与边境风光，体现文旅产业升级方向，展现风光新能源项目建设。介绍产业园区载体、招商引资重点项目、配套基础设施、惠企政策，对比现状与远期规划，展现产业提质增效、强边兴县发展路径，描绘产业集聚、产城融合的发展蓝图。</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B7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7BD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9E8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19F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3E90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6C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AE8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F9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61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A6A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F255">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778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FE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8E9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DF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F2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4A8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7D5254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7C196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单车漫游联动系统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10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96E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≥65寸（16：9）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11.喇叭 2×4Ω 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12.HDMI-OUT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13.VGA-OUT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14.RG45-IN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5.USB3.0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16.USB2.0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17.音频输出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18.耳机输入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19.220v开关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20.220v插座接口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21.底座 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22.触控嵌入方式 内置一体式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23.书写方式 手指、触摸笔或其它＞2.5mm非透明物体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24.触控点数 10点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25.触控分辨率 32767*32767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26.触控精度 ±1mm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27.单指响应速度 ＜8ms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28.最小识别点直径 2.5mm（支持2.8mm双细笔全屏书写）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29.触控次数 理论次数无限次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30.驱动程序 系统自动识别，免驱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31.支持系统 windows7/10，Android，Mac 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32.工作温度  -10~+50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34.cpu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36.硬盘 ≥Ssd-128G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37.立式机身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38.机身材质 铝合金拉丝氧化面框处理工艺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39.前框玻璃 物理钢化7级防爆玻璃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40.整机外观尺寸 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41.整机功率 ≤100W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42.待机功率 ≤0.5W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43.音响喇叭 立体音效，2*10W高低音音响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44.输入电压 100~240V   50/60Hz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45.使用环境温度‐20℃~60℃/湿度10%RH~90%RH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46.存储环境温度‐10℃~55℃/湿度10%RH~90%RH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C1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35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EFF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8AE725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F9AAD4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9D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94E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D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EC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B1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A5B2A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D8BAB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3D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骑行单车</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72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定制骑行单车+控制器+速度传感器+控制方向感应器，须经甲方审核审定。完工日期与整体工期同步</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E0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B1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BAB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BE1A45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BF22A2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DA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骑行软件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005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虚拟场景体验者可以在场景中漫游转弯控制行驶 进入程序可选择多人模式骑行或者单人模式骑行。在骑行的过程中可显示每一个体验者在行驶过程中的画面情况，业主可自行切换场景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5F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A5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EF2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43BB3C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43347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F2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FBD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FB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B4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EE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0D62AD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C8232F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73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74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定制专题视频，全方位还原真实骑行体验。实现骑行单车同时全方位感知乌恰县重点生态全区域、园区乃至环城步道等代表风光。选取高原湿地、 托云湿地等生态敏感区风景，抑或是山水林田湖草沙系统治理规划成效显著地带， 重点展示环城步道全景，凸显城乡环境政治和生态建设内容。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F7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5A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9D11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F38796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450FC8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5B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10D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71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F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997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B4F891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87EA17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6E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F40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270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69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07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6F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17E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时光隧道体验系统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06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多媒体服务终端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ABC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1.硬件要求：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处理器：≥10 核心16 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内存：≥16G DDR4 3200内存，支持最高可扩展内存至64G；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硬盘：≥配置256G固态硬盘；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电源采用商用级别，可支持旺季7×12小时连续运行。</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C3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97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413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F10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0871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25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拼接设备</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515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输入接口类型：HDMI2.0/DP1.4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输出接口类型：≥HDMI*3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最宽输出信号：≥5760*1200@60HZ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外壳：金属外壳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电源：12V/2A</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DF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BB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738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24B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29FA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AA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75C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原投影仪检修并移位置</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FC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25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3B546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491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6F7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F3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投影吊架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27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1.依据现场实际情况定制挂架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3.可伸缩区间：82mm-150mm；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4.材质：金属铁外加防腐漆，加厚钢材制作而成。</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D6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92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795A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375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AA1F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E0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功率放大器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7A4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1、标准3U高度设计，独家私模，小巧精致，外观时尚，功率强大，声音清晰明亮且不失真。铁制机箱，铝制金属拉丝+磨砂一体化面板，造型独特，外观新颖时尚,科技感丰富。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2、ATR(加速瞬间响应)技术,使声音清晰且有穿透力。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3、高电流和纯铜线的环型变压器,提供极佳的瞬态响应,可靠性极高。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4、采用无极调速风扇，气流由前到后，起到更好的过热保护。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5、超轻超低噪音，超有效率的电源，打造无噪音音频，高级顺态响应，功耗低。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6、每个通道均有独立的压限器，可最大化输出电平，配有过载保护功能。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7、增益控制,可精确设置并匹配灵敏度。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8、数码管蓝色显示屏，让您对功放的运作状况一目了然。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9、三路外接音源输入（AUX,AC-3,CD），可与各种音源相兼容。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10、五路话筒输入接口（前三后二）。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11、音乐，麦克风均设有音量限制功能。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12、二组接线端子，二组卡侬端子输出。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13、一路音频和麦克风混合输出接口。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14、本机具有特强抑制话筒啸叫的功能。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15、内置卡拉OK自动静噪电路。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16、内置卡拉OK激励效果功能。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17、专业级24BLT数码混响电路，使歌声更加丰富自然。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18、内置USB/CD，蓝牙，光纤，同轴数字信号输入，USB优先功能，断电记忆输入方式。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19、每个通道上均设有独立的直流电过载及过热保护，Guard Rail可自动保护功放和音箱，而无需关闭机器。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20、主声道输出功率（8Ω）120W×2 主声道输出功率（4Ω）180W×2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21、频率响应 20Hz-20KHz, ±0.1dB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22、输入灵敏度（话筒）5-100mv/1Kohm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23、输入灵敏度（线路）250mv/47Kohm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24、输出灵敏度（线路）0.775V/20Kohm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25、输出阻抗 4-16ohm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26、超重低音扫频频率 50Hz-250dB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27、电源供应 AC210V-230V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28、冷却变速风扇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29、功放保护直流和过热开机保护，短路，保护装置</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1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1C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34E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B3F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E8F7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72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吸顶音箱</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CB7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1.额定功率≥50W；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2.最大功率≥100W；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3.额定阻抗≥8Ω；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4.灵敏度≥88dB；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5.频响范围45Hz-20KHz；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6.谐振频率≥62Hz；</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E8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B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422D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EB7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6DB6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2B5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融合软件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D97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1.投影融合系统：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1边缘融合：支持自动产生叠加带像素羽化边缘融合；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2停电保存功能：支持系统意外停电设置保存功能，保证下次开机后仍然运行相同配置和预案；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3几何校正：支持任意曲面几何校正，达到40*40的网格精准调整显示（包括曲面几何校正和球面几何校正）；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4色彩技术：支持投影仪颜色一致性，支持投影机亮度差调节；                                                               5远程控制：支持网络远程控制；                                                                                             6分辨率：单通道最大物理分辨率：4096*2160 也可自定义分辨率；帧率不小于每秒30帧；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7多窗口显示：支持同屏多窗口显示（任意缩放、漫游、叠加、覆盖、分层），同时支持多窗口等比例分屏显示，节目播放功能；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8亮度调节：支持黑暗场景下的黑亮度调节功能；                                                                          9 3D功能：支持主动3D，被动3D,桌面融合；                                                                               10预案调用模式：支持预案调用模式，支持显示内容的脚本编辑功能，能够保证开机之后调用编辑好的脚本和预案进行预定内容的显示；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11协议控制：支持通过TCP、UDP、串口等数据协议控制；                                                                    12视频边缘剪切：支持视频边缘剪切功能，可见切成三角、梯形等形状；                                                          13异型抠像：支持异型任意抠像功能；                                                                                       14视角设定：支持单通道视角设定，可对每个通道调整相机角度；                                                               15多媒体技术：支持主动立体视频播放、桌面、采集、图片等媒体显示；                                                        16全屏或多窗口显示：支持Max、Maya、Sketchup、AutuCAD、PowerPoint、Word等各种应用程序的环幕全屏或者多窗口显示；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17多台融合同步：</w:t>
            </w:r>
            <w:r>
              <w:rPr>
                <w:rFonts w:hint="eastAsia" w:ascii="宋体" w:hAnsi="宋体" w:eastAsia="宋体" w:cs="宋体"/>
                <w:i w:val="0"/>
                <w:iCs w:val="0"/>
                <w:color w:val="auto"/>
                <w:kern w:val="0"/>
                <w:sz w:val="20"/>
                <w:szCs w:val="20"/>
                <w:u w:val="none"/>
                <w:lang w:val="en-US" w:eastAsia="zh-CN" w:bidi="ar"/>
              </w:rPr>
              <w:t>支持2</w:t>
            </w:r>
            <w:r>
              <w:rPr>
                <w:rFonts w:hint="eastAsia" w:ascii="宋体" w:hAnsi="宋体" w:cs="宋体"/>
                <w:i w:val="0"/>
                <w:iCs w:val="0"/>
                <w:color w:val="auto"/>
                <w:kern w:val="0"/>
                <w:sz w:val="20"/>
                <w:szCs w:val="20"/>
                <w:u w:val="none"/>
                <w:lang w:val="en-US" w:eastAsia="zh-CN" w:bidi="ar"/>
              </w:rPr>
              <w:t>48</w:t>
            </w:r>
            <w:r>
              <w:rPr>
                <w:rFonts w:hint="eastAsia" w:ascii="宋体" w:hAnsi="宋体" w:eastAsia="宋体" w:cs="宋体"/>
                <w:i w:val="0"/>
                <w:iCs w:val="0"/>
                <w:color w:val="auto"/>
                <w:kern w:val="0"/>
                <w:sz w:val="20"/>
                <w:szCs w:val="20"/>
                <w:u w:val="none"/>
                <w:lang w:val="en-US" w:eastAsia="zh-CN" w:bidi="ar"/>
              </w:rPr>
              <w:t>台</w:t>
            </w:r>
            <w:r>
              <w:rPr>
                <w:rFonts w:hint="eastAsia" w:ascii="宋体" w:hAnsi="宋体" w:cs="宋体"/>
                <w:i w:val="0"/>
                <w:iCs w:val="0"/>
                <w:color w:val="auto"/>
                <w:kern w:val="0"/>
                <w:sz w:val="20"/>
                <w:szCs w:val="20"/>
                <w:u w:val="none"/>
                <w:lang w:val="en-US" w:eastAsia="zh-CN" w:bidi="ar"/>
              </w:rPr>
              <w:t>以上</w:t>
            </w:r>
            <w:r>
              <w:rPr>
                <w:rFonts w:hint="eastAsia" w:ascii="宋体" w:hAnsi="宋体" w:eastAsia="宋体" w:cs="宋体"/>
                <w:i w:val="0"/>
                <w:iCs w:val="0"/>
                <w:color w:val="auto"/>
                <w:kern w:val="0"/>
                <w:sz w:val="20"/>
                <w:szCs w:val="20"/>
                <w:u w:val="none"/>
                <w:lang w:val="en-US" w:eastAsia="zh-CN" w:bidi="ar"/>
              </w:rPr>
              <w:t xml:space="preserve">融合主机视频同步；                      </w:t>
            </w:r>
            <w:r>
              <w:rPr>
                <w:rFonts w:hint="eastAsia" w:ascii="宋体" w:hAnsi="宋体" w:eastAsia="宋体" w:cs="宋体"/>
                <w:i w:val="0"/>
                <w:iCs w:val="0"/>
                <w:color w:val="000000"/>
                <w:kern w:val="0"/>
                <w:sz w:val="20"/>
                <w:szCs w:val="20"/>
                <w:u w:val="none"/>
                <w:lang w:val="en-US" w:eastAsia="zh-CN" w:bidi="ar"/>
              </w:rPr>
              <w:t xml:space="preserve">                                                        18多路采集融合：支持对多路采集信号融合；                                                                              19任意大小融合带调整：支持任意大小融合带调整，多台投影可设置不同宽度融合带；                                                                       20远程图片加载：支持远程图片加载，可将图片通过网络直接上传到服务器上面，同时立即显示，保证显示的时时性</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D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通道</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6E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55546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BDF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A999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CF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5B6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该系统面向高端数字展厅 、沉浸式数字空间的专业级内容播控终端系统 ， 以“精细化管控 、智能化协同、全场景适配 ”为核心 ，  为高规格数字内容展示提供从程序调度 、  内容播放到跨系统联动的全链路高端管控能力。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 、程序级智能调度与指令管控系统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1.精准时序调度：支持启动延迟预设，实现多设备  /  系统间的毫秒级启动同步；  配备快进时间预设,  灵活把控内容展示节奏 ，  适配不同参观动线的时间节奏。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多终端并行架构：  支持多播放器数量配置 ，  可实现单终端对多展示单元的并行管控 ，  满足展厅多区域内容协同的高端需求。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3.场景化显示适配：  提供窗口置顶 、  鼠标显示开关 ，  按需适配   “无人值守自动化展示 ”  或   “交互型体验场景 ”  的不同视觉需求。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4.全维度指令映射体系：   内置自定义信号接收引擎 ，  支持播放暂停 、音量调节、开关控制 、锁定/解锁 、进退控制等全品类指令的信号映射  (可自定义信号标识）；   同时支持启动后信号触发配置 ，  实现播控终端与展厅灯光、中控等设备的联动触发 ，  构建自动化场景闭环。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 、播放器精细化内容管控引擎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1.毫秒级内容时序校准：  支持启动后播放延迟（毫秒级）  、图片播放时长（帧级)  配置 ，  实现内容展示的精准节奏控制，匹配高端展厅的专业内容呈现标准。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自动化流程闭环：  提供播完操作预设（如自动停止）  ，  结合待机轮播功能（支持指定轮播文件夹、自定义轮播音量），实现无人场景下的内容持续 、有序展示。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3.可视化空间管控：  配备窗口位置  /尺寸精准调控模块——  支持窗口锁定、宽高的   “微步级  (±1）  /  步进级  ( ±10/±100）  调整 ”,  结合区域网格划分（横向  /  纵向区域数 、  网格大小调控）、精准裁切功能 ，可针对LED屏 、投影、拼接屏等设备实现内容的像素级取景与多分区展示适配；同时支持拉伸模式 、控制界面显示开关 ，  适配不同硬件的显示特性。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 、跨系统协同信号引擎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1.节点化联动触发：  支持开始  /  结束播放的信号配置 ，  可在内容播放关键节点触发音响 、互动装置等系统的联动动作，强化沉浸式展示体验。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进度同步反馈：  配备进度信号同步模块，可实时输出内容播放进度数据 ，  支持与展厅中控 、数据可视化系统联动 ，  实现展示内容与数据看板的同步化呈现。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2.该系统通过   “精准化 、智能化 、协同化 ”  的全维度管控能力 ，  彻底解决高端展厅中内容展示   “时序同步难 、多设备协同弱 、视觉呈现粗”  等痛点 ，  是高规格数字展厅 、沉浸式数字空间的核心播控支撑工具。</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5D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97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36A2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BED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87D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F5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4F5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AC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58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1860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F27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2CFD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FB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C1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时空流转、岁月变迁、场景轮回”为核心视觉语言，实现星空流转、时光穿梭、四季更迭、城市变迁、历史沿革、粒子光影等动态特效，让参观者步入通道即可获得人随景动、移步换景的沉浸式体验。重点以乌恰县十四五和“十五五”规划为蓝本，展示乌恰县从过去到当下，乃至未来的发展变化。</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B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秒</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E0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r>
      <w:tr w14:paraId="45667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44E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572F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E1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078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DE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CD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824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57222B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F6FA9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生态共生——触摸互动系统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0A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AE2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≥32寸（16：9）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11.喇叭 2×4Ω 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12.HDMI-OUT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13.VGA-OUT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14.RG45-IN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5.USB3.0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16.USB2.0 2组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17.音频输出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18.耳机输入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19.220v开关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20.220v插座接口 1组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21.底座 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22.触控嵌入方式 内置一体式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23.书写方式 手指、触摸笔或其它＞2.5mm非透明物体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24.触控点数 10点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25.触控分辨率 32767*32767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26.触控精度 ±1mm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27.单指响应速度 ＜8ms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28.最小识别点直径 2.5mm（支持2.8mm双细笔全屏书写）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29.触控次数 理论次数无限次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30.驱动程序 系统自动识别，免驱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31.支持系统 windows7/10，Android，Mac 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32.工作温度  -10~+50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34.cpu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36.硬盘 ≥Ssd-128G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37.立式机身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38.机身材质 铝合金拉丝氧化面框处理工艺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39.前框玻璃 物理钢化7级防爆玻璃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40.整机外观尺寸 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41.整机功率 ≤100W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42.待机功率 ≤0.5W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43.音响喇叭 立体音效，2*10W高低音音响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44.输入电压 100~240V   50/60Hz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45.使用环境温度‐20℃~60℃/湿度10%RH~90%RH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46.存储环境温度‐10℃~55℃/湿度10%RH~90%RH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5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AE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21F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41A24F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D5FCC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9F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AC0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7F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45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D2C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96E900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38C46A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AD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42E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1.可添加文本、word、pdf。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2.可添加图片、视频、音频、相册、GIF、三维模型。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3.可添加链接、网页、小窗口、弹窗、日期、动画。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4.可以发送接收串口 udp tcp消息，控制灯光等外部设备。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5.开机自动启动、全屏显示、全屏退出、自动返回首页、进入屏保。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6.可设置背景音乐，背景视频。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7.兼容不同屏幕分辨率。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8.左侧页面结构管理。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9.项目迁移，支持多项目管理。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10.页面自助排版。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E3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67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BDE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221AF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FA16C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6B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364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5E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C0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8C86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DF52EC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3D681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89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F91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触控选项，分门别类展示不同地形地貌及板块区域不同的生态治理共工作、措施及成果等。主要展示县域草原、山地、河谷生态基底风貌。呈现退牧还草、水土保持、荒漠治理、植树造林等生态修复工程成效，展示河湖管护、生态红线守护、空气质量与水土治理成果。</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CC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C2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38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D8A3BE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8F8B2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23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37C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007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90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B61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nil"/>
              <w:right w:val="single" w:color="000000" w:sz="4" w:space="0"/>
            </w:tcBorders>
            <w:shd w:val="clear" w:color="auto" w:fill="auto"/>
            <w:noWrap/>
            <w:vAlign w:val="center"/>
          </w:tcPr>
          <w:p w14:paraId="266BBD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7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BD2AF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生态共生播控系统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25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43寸工业显示一体机</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B01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1.面板类型 原装A+级商用液晶面板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3.面板尺寸 43寸（16：9）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4.背光类型 E-LED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5.有效显示区域 1210*681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6.色彩度 8bit，1.07B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7.亮度 300-350 cd/㎡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8.对比度 1200：1（Typ.）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9.可视角度 178°（H）/178°(V)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10.背光灯寿命 ＞35000小时 11.主板 工业工控主板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12.cpu ≥10核心 16线程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13.内存 ≥8G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14.硬盘 ≥Ssd-128G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84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0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36C7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C8D205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41CD5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44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9FF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44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D7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79A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111018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F6F561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08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EEE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该系统面向高端数字展厅 、沉浸式数字空间的专业级内容播控终端系统 ， 以“精细化管控 、智能化协同、全场景适配 ”为核心 ，  为高规格数字内容展示提供从程序调度 、  内容播放到跨系统联动的全链路高端管控能力。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 、程序级智能调度与指令管控系统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1.精准时序调度：支持启动延迟预设，实现多设备  /  系统间的毫秒级启动同步；  配备快进时间预设,  灵活把控内容展示节奏 ，  适配不同参观动线的时间节奏。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多终端并行架构：  支持多播放器数量配置 ，  可实现单终端对多展示单元的并行管控 ，  满足展厅多区域内容协同的高端需求。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3.场景化显示适配：  提供窗口置顶 、  鼠标显示开关 ，  按需适配   “无人值守自动化展示 ”  或   “交互型体验场景 ”  的不同视觉需求。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4.全维度指令映射体系：   内置自定义信号接收引擎 ，  支持播放暂停 、音量调节、开关控制 、锁定/解锁 、进退控制等全品类指令的信号映射  (可自定义信号标识）；   同时支持启动后信号触发配置 ，  实现播控终端与展厅灯光、中控等设备的联动触发 ，  构建自动化场景闭环。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 、播放器精细化内容管控引擎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1.毫秒级内容时序校准：  支持启动后播放延迟（毫秒级）  、图片播放时长（帧级)  配置 ，  实现内容展示的精准节奏控制，匹配高端展厅的专业内容呈现标准。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自动化流程闭环：  提供播完操作预设（如自动停止）  ，  结合待机轮播功能（支持指定轮播文件夹、自定义轮播音量），实现无人场景下的内容持续 、有序展示。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3.可视化空间管控：  配备窗口位置  /尺寸精准调控模块——  支持窗口锁定、宽高的   “微步级  (±1）  /  步进级  ( ±10/±100）  调整 ”,  结合区域网格划分（横向  /  纵向区域数 、  网格大小调控）、精准裁切功能 ，可针对LED屏 、投影、拼接屏等设备实现内容的像素级取景与多分区展示适配；同时支持拉伸模式 、控制界面显示开关 ，  适配不同硬件的显示特性。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 、跨系统协同信号引擎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1.节点化联动触发：  支持开始  /  结束播放的信号配置 ，  可在内容播放关键节点触发音响 、互动装置等系统的联动动作，强化沉浸式展示体验。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进度同步反馈：  配备进度信号同步模块，可实时输出内容播放进度数据 ，  支持与展厅中控 、数据可视化系统联动 ，  实现展示内容与数据看板的同步化呈现。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2.该系统通过   “精准化 、智能化 、协同化 ”  的全维度管控能力 ，  彻底解决高端展厅中内容展示   “时序同步难 、多设备协同弱 、视觉呈现粗”  等痛点 ，  是高规格数字展厅 、沉浸式数字空间的核心播控支撑工具。</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83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E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5641E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382752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AE89C6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6B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1DC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F1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A5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40A26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3C8114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AB2DB4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C8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AFC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定制专题视频体现生态管护体系、边境生态防护带建设，结合生态惠民、绿色农牧、生态旅游发展，诠释乌恰县坚守生态底线、筑牢边境生态安全屏障、推进人与自然和谐共生的建设成果与发展规划。</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FF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5B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E5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AC172D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068EC9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6C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694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71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A8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D7D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6A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50C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未来展望播控系统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AD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多媒体服务终端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BD4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1.硬件要求：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处理器：≥10 核心16 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内存：≥16G DDR4 3200内存，支持最高可扩展内存至64G；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硬盘：≥配置256G固态硬盘；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电源采用商用级别，可支持旺季7×12小时连续运行。</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98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87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B76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D8C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334C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03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商业显示设备</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7A3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1.支持Android系统。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2.WIFI频段：2.4G&amp;5G。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3.存储内存：32GB。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4.CPU架构：四核A73。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5.背光方式：直下式/DLED。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6.运行内存：RAM 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7.底座材质：金属。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8.边框材质：金属。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9.屏占比：≥97%。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10.HDMI2.0接口数：2个。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11.HDMI2.1接口数：1个。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12.USB2.0接口数：2个。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13.色域值：≥92%。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14.响应时间：5ms。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15.屏幕分辨率：超高清4K。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16.色域标准：DCI-P3。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17.屏幕尺寸：≥85英寸。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18.屏幕比例：16:9。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19.亮度：300-500尼特。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20.音响功率：≥25W。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21.待机功率：≥0.5W。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22.电源功率：≥450W。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23.工作电压：220V。</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1F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3D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408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8633">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050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B0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E77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依据现场实际情况定制挂架，需经业主确认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D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7F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A1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CD7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C4EA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4E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DFB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该系统面向高端数字展厅 、沉浸式数字空间的专业级内容播控终端系统 ， 以“精细化管控 、智能化协同、全场景适配 ”为核心 ，  为高规格数字内容展示提供从程序调度 、  内容播放到跨系统联动的全链路高端管控能力。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 、程序级智能调度与指令管控系统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1.精准时序调度：支持启动延迟预设，实现多设备  /  系统间的毫秒级启动同步；  配备快进时间预设,  灵活把控内容展示节奏 ，  适配不同参观动线的时间节奏。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多终端并行架构：  支持多播放器数量配置 ，  可实现单终端对多展示单元的并行管控 ，  满足展厅多区域内容协同的高端需求。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3.场景化显示适配：  提供窗口置顶 、  鼠标显示开关 ，  按需适配   “无人值守自动化展示 ”  或   “交互型体验场景 ”  的不同视觉需求。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4.全维度指令映射体系：   内置自定义信号接收引擎 ，  支持播放暂停 、音量调节、开关控制 、锁定/解锁 、进退控制等全品类指令的信号映射  (可自定义信号标识）；   同时支持启动后信号触发配置 ，  实现播控终端与展厅灯光、中控等设备的联动触发 ，  构建自动化场景闭环。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 、播放器精细化内容管控引擎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1.毫秒级内容时序校准：  支持启动后播放延迟（毫秒级）  、图片播放时长（帧级)  配置 ，  实现内容展示的精准节奏控制，匹配高端展厅的专业内容呈现标准。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自动化流程闭环：  提供播完操作预设（如自动停止）  ，  结合待机轮播功能（支持指定轮播文件夹、自定义轮播音量），实现无人场景下的内容持续 、有序展示。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3.可视化空间管控：  配备窗口位置  /尺寸精准调控模块——  支持窗口锁定、宽高的   “微步级  (±1）  /  步进级  ( ±10/±100）  调整 ”,  结合区域网格划分（横向  /  纵向区域数 、  网格大小调控）、精准裁切功能 ，可针对LED屏 、投影、拼接屏等设备实现内容的像素级取景与多分区展示适配；同时支持拉伸模式 、控制界面显示开关 ，  适配不同硬件的显示特性。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 、跨系统协同信号引擎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1.节点化联动触发：  支持开始  /  结束播放的信号配置 ，  可在内容播放关键节点触发音响 、互动装置等系统的联动动作，强化沉浸式展示体验。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进度同步反馈：  配备进度信号同步模块，可实时输出内容播放进度数据 ，  支持与展厅中控 、数据可视化系统联动 ，  实现展示内容与数据看板的同步化呈现。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2.该系统通过   “精准化 、智能化 、协同化 ”  的全维度管控能力 ，  彻底解决高端展厅中内容展示   “时序同步难 、多设备协同弱 、视觉呈现粗”  等痛点 ，  是高规格数字展厅 、沉浸式数字空间的核心播控支撑工具。</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510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DE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65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B74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84C61">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0B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D49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9F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23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EC2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492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3991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DD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EE0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视频围绕乌恰县长远发展蓝图展开，聚焦边境开放、产业升级、城乡提质、生态宜居、民生幸福五大发展方向。展示口岸对外开放升级、跨境物流与特色产业集群发展规划，呈现城市更新、市政配套完善、美丽乡村建设、交通路网提升工程。结合绿色低碳发展与生态屏障建设，展示教育、医疗、就业等民生提质项目。以产城融合、边贸兴城、文旅润城为核心，描绘平安稳定、繁荣开放、生态优美的现代化边境幸福乌恰新未来。</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1B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3D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F2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DC7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A7C5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63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13A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5D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3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9D8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E0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6EF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AI对话智慧系统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65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多媒体服务终端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37D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1.硬件要求：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处理器：≥10 核心16 线程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内存：≥16G DDR4 3200内存，支持最高可扩展内存至64G；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硬盘：≥配置256G固态硬盘；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电源采用商用级别，可支持旺季7×12小时连续运行。</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4B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544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3B6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0143">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9409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E4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商业显示设备</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4B1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1.支持Android系统。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2.WIFI频段：2.4G&amp;5G。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3.存储内存：≥32GB。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4.CPU架构：四核A73。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5.背光方式：直下式/DLED。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6.运行内存：RAM 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7.底座材质：金属。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8.边框材质：金属。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9.屏占比：≥97%。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10.HDMI2.0接口数：2个。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11.HDMI2.1接口数：1个。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12.USB2.0接口数：2个。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13.色域值：≥92%。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14.响应时间：5ms。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15.屏幕分辨率：超高清4K。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16.色域标准：DCI-P3。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17.屏幕尺寸：≥100英寸。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18.屏幕比例：16:9。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19.亮度：300-500尼特。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20.音响功率：≥25W。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21.待机功率：≥0.5W。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22.电源功率：≥450W。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23.工作电压：220V。</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FC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FB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0D8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102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F45E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B8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拾音装置</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2B6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指向特征：全指向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接口规格：TYPE-C 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监听功能：支持监听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智能降噪：支持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高清音质：96KHz采样率</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E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B8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D0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78C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CCEA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F4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AI对话软件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317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1.屏上点击开始按钮，开始对话，点击挂断，结束对话。人物不动，默认180秒无人提问，自动挂断。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2.支持预定义问答，面相某个具体行业进行预训练。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3.支持AI降噪，智能打断，1.5秒内回答。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4.运行平台系统：windows7及以上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5.具备可视化交互逻辑编辑后台，零代码操作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6.页面形象可自定义，对话双方可自定义头像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7.对话文字大小颜色皆可自定义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8.兼容各种常规屏幕分辨率及可自定义屏幕分辨率功能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9.语音流量、大模型流量，自行充值，用多少扣多少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10.支持软件开机自动启动，无人操作自动返回首页，进入屏保。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11.开机全屏启动，退出软件需输入密码。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12.支持局域网发布，一台电脑编辑发布内容到多台设备上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D4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E2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D14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CF3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6F6C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FB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F288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FE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F3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5C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4405">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3409A">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1A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FA0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以预设若干关于乌恰县城市发展的具体问题，语音提问，虚拟数字人即能自动识别，自动发声回答相关问题。相关问题紧密微软乌恰县十五五发展规划核心目标及主旨，重点项目等，高度凝练乌恰县规划发展核心。同时可以提问一些其他相关问题，AI系统自动识别，自主回答。</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7B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49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4F0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1A4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9D50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48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4348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满足现场实际需要的HDMI线缆、音频线、网线以及各种接头等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70C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58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9BB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2A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196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发展规划——沙盘联动播控系统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97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流媒体服务器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D6C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1.物理结构：标准服务器机箱，包含USB接口和RJ45(1000M)千兆控制网口，输出通道输出视频实时同步播放，通道输出同步时间小于20ms，输入电源:100-240VAC~50/60Hz,工作温度:0-45°C；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2.输出接口：支持≥4路4K60Hz输出，单路3840x2160@60Hz，支持≥1路二合一3.5mm音频输入输出；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3.系统优化：搭配Windows10服务器版系统，更适用于长时间运行，兼容性更强，针对LED屏应用，进行专业系统优化，屏蔽各类弹窗，避免长时间工作出现异常；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4.EDID锁定：支持通过硬件锁定EDID 通道序列，解决电脑显卡多通道拼接时容易显示错乱的问题；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5.解码方式：支持ffmpeg软件解码和DXVA 8K硬件解码技术，支持DX9、DX11、Open GL渲染引擎，对4K屏幕的点对点显示和4K素材的流畅无损播控，支持16K超长字幕点对点流畅播放，支持内容打折和首尾相接功能；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多媒体格式：支持包括序列帧在内的200+种媒体格式播放，10+种小工具灵活叠加使用。可以流畅播放视频、音频、图片，对大分辨率图片支持图片自动优化，支持添加字幕，可以改变字幕的大小、颜色、位置、静止或者滚动、滚动方向以及滚动速率;支持增加模拟/数字时钟，可以改变模拟时钟的指针颜色以及位置大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多媒体播控：支持视频/图片/字幕/PDF/PPT/电子相册/网页程序/舞台提词等媒体播控，支持对网页、网络流媒体的播放与控制，对打开的网页可以进行后续的访问操作比如搜索、键入、跳转等，可以控制网页的显示尺寸;播放网页流媒体时可以对显示部分进行裁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KPF加密：为避免重要素材泄露，服务器支持KPF技术对素材格式进行私有化转码。服务器转码时可设置私有格式的素材只允许在该类服务器上播放或只允许在指定设备上播控，转码支持对视频设置密码加密，播放视频和二次转码时必须输入对应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9.可视化云控：服务器支持可视化平板云控，移动平板可以实时显示服务器的媒体素材、屏幕画面和场景预案，以及拼接器的信号输入、回显画面和场景模式，支持I0S、Andr iod和鸿蒙系统;平板端支持拖拽替换屏幕画面，一键切换场景预案和模式，控制媒体素材的播放、暂停、静音和PPT翻页；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10.权限管理：支持用户权限管理，根据现场的需求以及用户职能进行权限分级，每种账户可以自定义配置登录密码，即刻生效:管理员账户可以对子账户进行强制下线。</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28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59D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0D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6D3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869C4">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FB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主扩声功放</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AC984">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w:t>
            </w:r>
            <w:r>
              <w:rPr>
                <w:rStyle w:val="59"/>
                <w:rFonts w:eastAsia="宋体"/>
                <w:lang w:val="en-US" w:eastAsia="zh-CN" w:bidi="ar"/>
              </w:rPr>
              <w:t>Ω</w:t>
            </w:r>
            <w:r>
              <w:rPr>
                <w:rStyle w:val="58"/>
                <w:lang w:val="en-US" w:eastAsia="zh-CN" w:bidi="ar"/>
              </w:rPr>
              <w:t>立体声功率：≥450W</w:t>
            </w:r>
            <w:r>
              <w:rPr>
                <w:rStyle w:val="58"/>
                <w:lang w:val="en-US" w:eastAsia="zh-CN" w:bidi="ar"/>
              </w:rPr>
              <w:br w:type="textWrapping"/>
            </w:r>
            <w:r>
              <w:rPr>
                <w:rStyle w:val="58"/>
                <w:lang w:val="en-US" w:eastAsia="zh-CN" w:bidi="ar"/>
              </w:rPr>
              <w:t>4</w:t>
            </w:r>
            <w:r>
              <w:rPr>
                <w:rStyle w:val="59"/>
                <w:rFonts w:eastAsia="宋体"/>
                <w:lang w:val="en-US" w:eastAsia="zh-CN" w:bidi="ar"/>
              </w:rPr>
              <w:t>Ω</w:t>
            </w:r>
            <w:r>
              <w:rPr>
                <w:rStyle w:val="58"/>
                <w:lang w:val="en-US" w:eastAsia="zh-CN" w:bidi="ar"/>
              </w:rPr>
              <w:t>立体声功率：≥700W</w:t>
            </w:r>
            <w:r>
              <w:rPr>
                <w:rStyle w:val="58"/>
                <w:lang w:val="en-US" w:eastAsia="zh-CN" w:bidi="ar"/>
              </w:rPr>
              <w:br w:type="textWrapping"/>
            </w:r>
            <w:r>
              <w:rPr>
                <w:rStyle w:val="58"/>
                <w:lang w:val="en-US" w:eastAsia="zh-CN" w:bidi="ar"/>
              </w:rPr>
              <w:t>8</w:t>
            </w:r>
            <w:r>
              <w:rPr>
                <w:rStyle w:val="59"/>
                <w:rFonts w:eastAsia="宋体"/>
                <w:lang w:val="en-US" w:eastAsia="zh-CN" w:bidi="ar"/>
              </w:rPr>
              <w:t>Ω</w:t>
            </w:r>
            <w:r>
              <w:rPr>
                <w:rStyle w:val="58"/>
                <w:lang w:val="en-US" w:eastAsia="zh-CN" w:bidi="ar"/>
              </w:rPr>
              <w:t>桥接功率：≥1400W</w:t>
            </w:r>
            <w:r>
              <w:rPr>
                <w:rStyle w:val="58"/>
                <w:lang w:val="en-US" w:eastAsia="zh-CN" w:bidi="ar"/>
              </w:rPr>
              <w:br w:type="textWrapping"/>
            </w:r>
            <w:r>
              <w:rPr>
                <w:rStyle w:val="58"/>
                <w:lang w:val="en-US" w:eastAsia="zh-CN" w:bidi="ar"/>
              </w:rPr>
              <w:t>频率响应:20Hz-20kHz(±0.5dB)</w:t>
            </w:r>
            <w:r>
              <w:rPr>
                <w:rStyle w:val="58"/>
                <w:lang w:val="en-US" w:eastAsia="zh-CN" w:bidi="ar"/>
              </w:rPr>
              <w:br w:type="textWrapping"/>
            </w:r>
            <w:r>
              <w:rPr>
                <w:rStyle w:val="58"/>
                <w:lang w:val="en-US" w:eastAsia="zh-CN" w:bidi="ar"/>
              </w:rPr>
              <w:t>总谐波失真(正常工作条件1KHz/8</w:t>
            </w:r>
            <w:r>
              <w:rPr>
                <w:rStyle w:val="59"/>
                <w:rFonts w:eastAsia="宋体"/>
                <w:lang w:val="en-US" w:eastAsia="zh-CN" w:bidi="ar"/>
              </w:rPr>
              <w:t>Ω</w:t>
            </w:r>
            <w:r>
              <w:rPr>
                <w:rStyle w:val="58"/>
                <w:lang w:val="en-US" w:eastAsia="zh-CN" w:bidi="ar"/>
              </w:rPr>
              <w:t>):≦0.05%</w:t>
            </w:r>
            <w:r>
              <w:rPr>
                <w:rStyle w:val="58"/>
                <w:lang w:val="en-US" w:eastAsia="zh-CN" w:bidi="ar"/>
              </w:rPr>
              <w:br w:type="textWrapping"/>
            </w:r>
            <w:r>
              <w:rPr>
                <w:rStyle w:val="58"/>
                <w:lang w:val="en-US" w:eastAsia="zh-CN" w:bidi="ar"/>
              </w:rPr>
              <w:t>信噪比（1KHz,0.775VA计权）:≥105dB</w:t>
            </w:r>
            <w:r>
              <w:rPr>
                <w:rStyle w:val="58"/>
                <w:lang w:val="en-US" w:eastAsia="zh-CN" w:bidi="ar"/>
              </w:rPr>
              <w:br w:type="textWrapping"/>
            </w:r>
            <w:r>
              <w:rPr>
                <w:rStyle w:val="58"/>
                <w:lang w:val="en-US" w:eastAsia="zh-CN" w:bidi="ar"/>
              </w:rPr>
              <w:t>阻尼系数:≥400</w:t>
            </w:r>
            <w:r>
              <w:rPr>
                <w:rStyle w:val="58"/>
                <w:lang w:val="en-US" w:eastAsia="zh-CN" w:bidi="ar"/>
              </w:rPr>
              <w:br w:type="textWrapping"/>
            </w:r>
            <w:r>
              <w:rPr>
                <w:rStyle w:val="58"/>
                <w:lang w:val="en-US" w:eastAsia="zh-CN" w:bidi="ar"/>
              </w:rPr>
              <w:t>转换速率:≥10V/uS</w:t>
            </w:r>
            <w:r>
              <w:rPr>
                <w:rStyle w:val="58"/>
                <w:lang w:val="en-US" w:eastAsia="zh-CN" w:bidi="ar"/>
              </w:rPr>
              <w:br w:type="textWrapping"/>
            </w:r>
            <w:r>
              <w:rPr>
                <w:rStyle w:val="58"/>
                <w:lang w:val="en-US" w:eastAsia="zh-CN" w:bidi="ar"/>
              </w:rPr>
              <w:t>输入灵敏度:0.775V/1V/32dB</w:t>
            </w:r>
            <w:r>
              <w:rPr>
                <w:rStyle w:val="58"/>
                <w:lang w:val="en-US" w:eastAsia="zh-CN" w:bidi="ar"/>
              </w:rPr>
              <w:br w:type="textWrapping"/>
            </w:r>
            <w:r>
              <w:rPr>
                <w:rStyle w:val="58"/>
                <w:lang w:val="en-US" w:eastAsia="zh-CN" w:bidi="ar"/>
              </w:rPr>
              <w:t>输入阻抗（平衡／不平衡）:20k</w:t>
            </w:r>
            <w:r>
              <w:rPr>
                <w:rStyle w:val="59"/>
                <w:rFonts w:eastAsia="宋体"/>
                <w:lang w:val="en-US" w:eastAsia="zh-CN" w:bidi="ar"/>
              </w:rPr>
              <w:t>Ω</w:t>
            </w:r>
            <w:r>
              <w:rPr>
                <w:rStyle w:val="58"/>
                <w:lang w:val="en-US" w:eastAsia="zh-CN" w:bidi="ar"/>
              </w:rPr>
              <w:t>/10k</w:t>
            </w:r>
            <w:r>
              <w:rPr>
                <w:rStyle w:val="59"/>
                <w:rFonts w:eastAsia="宋体"/>
                <w:lang w:val="en-US" w:eastAsia="zh-CN" w:bidi="ar"/>
              </w:rPr>
              <w:t>Ω</w:t>
            </w:r>
            <w:r>
              <w:rPr>
                <w:rStyle w:val="58"/>
                <w:lang w:val="en-US" w:eastAsia="zh-CN" w:bidi="ar"/>
              </w:rPr>
              <w:br w:type="textWrapping"/>
            </w:r>
            <w:r>
              <w:rPr>
                <w:rStyle w:val="58"/>
                <w:lang w:val="en-US" w:eastAsia="zh-CN" w:bidi="ar"/>
              </w:rPr>
              <w:t>电压增益（1KHz/8</w:t>
            </w:r>
            <w:r>
              <w:rPr>
                <w:rStyle w:val="59"/>
                <w:rFonts w:eastAsia="宋体"/>
                <w:lang w:val="en-US" w:eastAsia="zh-CN" w:bidi="ar"/>
              </w:rPr>
              <w:t>Ω</w:t>
            </w:r>
            <w:r>
              <w:rPr>
                <w:rStyle w:val="58"/>
                <w:lang w:val="en-US" w:eastAsia="zh-CN" w:bidi="ar"/>
              </w:rPr>
              <w:t>/0.775V）:37.8dB</w:t>
            </w:r>
            <w:r>
              <w:rPr>
                <w:rStyle w:val="58"/>
                <w:lang w:val="en-US" w:eastAsia="zh-CN" w:bidi="ar"/>
              </w:rPr>
              <w:br w:type="textWrapping"/>
            </w:r>
            <w:r>
              <w:rPr>
                <w:rStyle w:val="58"/>
                <w:lang w:val="en-US" w:eastAsia="zh-CN" w:bidi="ar"/>
              </w:rPr>
              <w:t>冷却：无级风扇调速，由前向后出风</w:t>
            </w:r>
            <w:r>
              <w:rPr>
                <w:rStyle w:val="58"/>
                <w:lang w:val="en-US" w:eastAsia="zh-CN" w:bidi="ar"/>
              </w:rPr>
              <w:br w:type="textWrapping"/>
            </w:r>
            <w:r>
              <w:rPr>
                <w:rStyle w:val="58"/>
                <w:lang w:val="en-US" w:eastAsia="zh-CN" w:bidi="ar"/>
              </w:rPr>
              <w:t>保护功能：软启动/直流/短路/过载/过热保护/高频保护/失真限压/开机音量淡入</w:t>
            </w:r>
            <w:r>
              <w:rPr>
                <w:rStyle w:val="58"/>
                <w:lang w:val="en-US" w:eastAsia="zh-CN" w:bidi="ar"/>
              </w:rPr>
              <w:br w:type="textWrapping"/>
            </w:r>
            <w:r>
              <w:rPr>
                <w:rStyle w:val="58"/>
                <w:lang w:val="en-US" w:eastAsia="zh-CN" w:bidi="ar"/>
              </w:rPr>
              <w:t>输入：平衡输入XLR母插座/平衡并接XLR公插座</w:t>
            </w:r>
            <w:r>
              <w:rPr>
                <w:rStyle w:val="58"/>
                <w:lang w:val="en-US" w:eastAsia="zh-CN" w:bidi="ar"/>
              </w:rPr>
              <w:br w:type="textWrapping"/>
            </w:r>
            <w:r>
              <w:rPr>
                <w:rStyle w:val="58"/>
                <w:lang w:val="en-US" w:eastAsia="zh-CN" w:bidi="ar"/>
              </w:rPr>
              <w:t>输出：两位红黑接线柱/Speakon(NL4)插座</w:t>
            </w:r>
            <w:r>
              <w:rPr>
                <w:rStyle w:val="58"/>
                <w:lang w:val="en-US" w:eastAsia="zh-CN" w:bidi="ar"/>
              </w:rPr>
              <w:br w:type="textWrapping"/>
            </w:r>
            <w:r>
              <w:rPr>
                <w:rStyle w:val="58"/>
                <w:lang w:val="en-US" w:eastAsia="zh-CN" w:bidi="ar"/>
              </w:rPr>
              <w:t>前面板：电源开关/独立通道音量控制旋钮/电源指示/信号指示/削峰指示/保护指示</w:t>
            </w:r>
            <w:r>
              <w:rPr>
                <w:rStyle w:val="58"/>
                <w:lang w:val="en-US" w:eastAsia="zh-CN" w:bidi="ar"/>
              </w:rPr>
              <w:br w:type="textWrapping"/>
            </w:r>
            <w:r>
              <w:rPr>
                <w:rStyle w:val="58"/>
                <w:lang w:val="en-US" w:eastAsia="zh-CN" w:bidi="ar"/>
              </w:rPr>
              <w:t>背板：模式转换开关/灵敏度选择开关</w:t>
            </w:r>
            <w:r>
              <w:rPr>
                <w:rStyle w:val="58"/>
                <w:lang w:val="en-US" w:eastAsia="zh-CN" w:bidi="ar"/>
              </w:rPr>
              <w:br w:type="textWrapping"/>
            </w:r>
            <w:r>
              <w:rPr>
                <w:rStyle w:val="58"/>
                <w:lang w:val="en-US" w:eastAsia="zh-CN" w:bidi="ar"/>
              </w:rPr>
              <w:t>产品外形尺寸（毫米）:482×382.5×88mm</w:t>
            </w:r>
            <w:r>
              <w:rPr>
                <w:rStyle w:val="58"/>
                <w:lang w:val="en-US" w:eastAsia="zh-CN" w:bidi="ar"/>
              </w:rPr>
              <w:br w:type="textWrapping"/>
            </w:r>
            <w:r>
              <w:rPr>
                <w:rStyle w:val="58"/>
                <w:lang w:val="en-US" w:eastAsia="zh-CN" w:bidi="ar"/>
              </w:rPr>
              <w:t>净重（±0.5kg）:16.8</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E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FA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E375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2B4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645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30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专业音箱</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C7652">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频率范围：55Hz-18KHz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额定输入功率：≥200W(连续)400W(节目信号)800W(峰值)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灵敏度：95db(1m/1W)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最大声压级：118dB(连续)/124dB(峰值)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额定阻抗：8</w:t>
            </w:r>
            <w:r>
              <w:rPr>
                <w:rStyle w:val="59"/>
                <w:rFonts w:eastAsia="宋体"/>
                <w:lang w:val="en-US" w:eastAsia="zh-CN" w:bidi="ar"/>
              </w:rPr>
              <w:t>Ω</w:t>
            </w:r>
            <w:r>
              <w:rPr>
                <w:rStyle w:val="58"/>
                <w:lang w:val="en-US" w:eastAsia="zh-CN" w:bidi="ar"/>
              </w:rPr>
              <w:br w:type="textWrapping"/>
            </w:r>
            <w:r>
              <w:rPr>
                <w:rStyle w:val="58"/>
                <w:lang w:val="en-US" w:eastAsia="zh-CN" w:bidi="ar"/>
              </w:rPr>
              <w:t>覆盖角度：90°x50°</w:t>
            </w:r>
            <w:r>
              <w:rPr>
                <w:rStyle w:val="58"/>
                <w:lang w:val="en-US" w:eastAsia="zh-CN" w:bidi="ar"/>
              </w:rPr>
              <w:br w:type="textWrapping"/>
            </w:r>
            <w:r>
              <w:rPr>
                <w:rStyle w:val="58"/>
                <w:color w:val="auto"/>
                <w:lang w:val="en-US" w:eastAsia="zh-CN" w:bidi="ar"/>
              </w:rPr>
              <w:t>低音单元：1*10"(</w:t>
            </w:r>
            <w:r>
              <w:rPr>
                <w:rStyle w:val="58"/>
                <w:rFonts w:hint="eastAsia"/>
                <w:color w:val="auto"/>
                <w:lang w:val="en-US" w:eastAsia="zh-CN" w:bidi="ar"/>
              </w:rPr>
              <w:t>约</w:t>
            </w:r>
            <w:r>
              <w:rPr>
                <w:rStyle w:val="58"/>
                <w:color w:val="auto"/>
                <w:lang w:val="en-US" w:eastAsia="zh-CN" w:bidi="ar"/>
              </w:rPr>
              <w:t>65mm音圈)</w:t>
            </w:r>
            <w:r>
              <w:rPr>
                <w:rStyle w:val="58"/>
                <w:lang w:val="en-US" w:eastAsia="zh-CN" w:bidi="ar"/>
              </w:rPr>
              <w:br w:type="textWrapping"/>
            </w:r>
            <w:r>
              <w:rPr>
                <w:rStyle w:val="58"/>
                <w:lang w:val="en-US" w:eastAsia="zh-CN" w:bidi="ar"/>
              </w:rPr>
              <w:t>高音单元：1*44.4mm压缩驱动器</w:t>
            </w:r>
            <w:r>
              <w:rPr>
                <w:rStyle w:val="58"/>
                <w:lang w:val="en-US" w:eastAsia="zh-CN" w:bidi="ar"/>
              </w:rPr>
              <w:br w:type="textWrapping"/>
            </w:r>
            <w:r>
              <w:rPr>
                <w:rStyle w:val="58"/>
                <w:lang w:val="en-US" w:eastAsia="zh-CN" w:bidi="ar"/>
              </w:rPr>
              <w:t>输入连接：两个并联四芯SPEAKON座</w:t>
            </w:r>
            <w:r>
              <w:rPr>
                <w:rStyle w:val="58"/>
                <w:lang w:val="en-US" w:eastAsia="zh-CN" w:bidi="ar"/>
              </w:rPr>
              <w:br w:type="textWrapping"/>
            </w:r>
            <w:r>
              <w:rPr>
                <w:rStyle w:val="58"/>
                <w:lang w:val="en-US" w:eastAsia="zh-CN" w:bidi="ar"/>
              </w:rPr>
              <w:t>安装：13-M8吊装点</w:t>
            </w:r>
            <w:r>
              <w:rPr>
                <w:rStyle w:val="58"/>
                <w:lang w:val="en-US" w:eastAsia="zh-CN" w:bidi="ar"/>
              </w:rPr>
              <w:br w:type="textWrapping"/>
            </w:r>
            <w:r>
              <w:rPr>
                <w:rStyle w:val="58"/>
                <w:lang w:val="en-US" w:eastAsia="zh-CN" w:bidi="ar"/>
              </w:rPr>
              <w:t>尺寸(WxDxH)：≥335x335x560mm</w:t>
            </w:r>
            <w:r>
              <w:rPr>
                <w:rStyle w:val="58"/>
                <w:lang w:val="en-US" w:eastAsia="zh-CN" w:bidi="ar"/>
              </w:rPr>
              <w:br w:type="textWrapping"/>
            </w:r>
            <w:r>
              <w:rPr>
                <w:rStyle w:val="58"/>
                <w:lang w:val="en-US" w:eastAsia="zh-CN" w:bidi="ar"/>
              </w:rPr>
              <w:t xml:space="preserve">净重：≥20kg </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6B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9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F08D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FB4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22FA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D7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前级效果器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DBED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|产品特点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1、采用32位高性能DSP和AD/DA，24位，48KHz采样纯数字的专业KTV前置效果器；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2、独特的麦风反馈抑制算法，有4级强度可调；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3、专业演唱的回音效果；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4、具有音频处理器的功能，拥有超精细的延时调整；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5、光纤音频数字输入接口，获得更上乘的音源；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6、音乐的变调功能、即时和自动的超低音加强舞会模式，随时满足不同歌唱者的要求。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1、拥有双麦克风输入，MICA和MICB，双路独立10段参量均衡；麦克风高通滤波器和低通滤波器；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2、立体声模拟音乐输入，7段参量均衡，高通滤波器和低通滤波器；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3、模拟音频输入，光纤音频输入，USB音频输入，多种输入选择；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4、6个独立通道输出，每个通路都可以独立的混音、高低分频器、主输出和环绕7段参量均衡、中置7段和超低音5段参量均衡、延时、压限、极性变换；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5、管理者、用户模式，密码管理:密码锁的功能；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6、拥有10组用户参数存储和调用；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7、无线红外摇控和蓝牙功能；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8、免驱动USB接口，实时通过PC软件控制全部参数。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|电气特性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麦克风通路部分(频率范围20Hz~20KHz)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*大输入电平：-15.0dBV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*大输出电平：+14.5dBu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信噪比(SNR)：&gt;95dB(关闭效果、EQ、延时、压缩限幅等，MIC通道音量*大)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频率响应：+/-1dB20Hz~20kHz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音乐通路部分(频率范围20Hz~20KHz)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*大输入电平：+12dBV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*大输出电平：+14.5dBu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信噪比(SNR)：&gt;100dB(关闭EQ、延时、压缩限幅等，MUSIC通道音量*大)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频率响应：+/-1dB20Hz~20kHz</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3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8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2A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39D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5147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BF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多媒体成像端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020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屏幕显示尺寸：≥ 29.76m×7.36m；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屏幕分辨率：≥11904×2944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1.亮度：显示单元亮度≥800cd/m'，亮度调节0~100%无极可调；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2.亮度均匀性：≥99%；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3.软模组点间距：≤2.5mm；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4.色度均匀性：±0.001Cx,Cy 之内；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5.屏体色温:800K~11000K可调；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6.最高对比度:≥10000:1；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7.灰度等级:≥16bit，且支持在不同亮度情况下8~16bit任意设置；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8.刷新率：≥3840Hz；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9.换帧频率：50Hz/60Hz；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10.箱体间缝隙：≤0.0lmm；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11.整屏平整度：≤0.02mm；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12.发光点中心距偏差：≤1%；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13.热平衡：LED显示屏正常使用达到热平衡后，屏体结构金属部分温升不超过45K，绝缘材料温升不超过7OK；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14.抗电强度：电源插头或电源引入段与外壳裸露金属部件之间，应能承受2kV交流电压，历时 1min的抗电强度试验，应无击穿和飞弧现象；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15.视网膜蓝光危害：LED显示屏产品具备防蓝光护眼模式，并通过光生物安全检测，应属无危害类；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16.防护等级：依据GB/T 4208-2017标准，防护等级应符合 IP63；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17.低亮高灰：显示屏具备低亮高灰功能，亮度调节至500cd/ m2灰度等级为16bit；刷新率不低于3200HZ； 亮度调节至300cd/㎡ 灰度等级为15bit；刷新率不低于3100HZ；亮度在200cd/㎡时，灰度等级在14bit以上， 刷新率不低于3000HZ；亮度在100cd/㎡时，灰度等级在14bit以上， 刷新率不低于2800HZ；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18.灯芯参数：灯芯的波长误差值在±1nm之内，每个灯芯的亮度误差在5%以内；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19.抗拉力：箱体通过抗拉力测试，数值≥5000N；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20.抗压力：箱体通过抗压力测试，数值≥50000N；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21.发光效果：LED 显示屏的发光模块面色一致，并且是哑光的，反光有效系数在5%以内。显示屏的杂点应&lt;1/100000；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22.色温误差：色温为6500K时，100%，75%，50%，25%四档电平白场调节色温误差≤200K；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23.消影功能：正常工作时支持消除毛毛虫、鬼影功能；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24.摩尔纹消除：正常工作时支持消除摩尔纹功能；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25.环路冗余备份：控制系统的信号发送/转接/接收卡支持环路冗余备份，信号支持双回路热备份自动转换；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26.冗余电源：LED屏幕要求支持N+1、N+2电源余备份，在某一电源出现故障后，冗余电源可自动切换，使屏体可以继续正常工作；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27.抗干扰：运行稳定，不受电源端子传导干扰、不受射频电磁场辐射干扰、不受射频场感应传导干扰；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28.自检技术：通讯检测、电源检测、温度监控；</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05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26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r>
      <w:tr w14:paraId="616F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106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25F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8F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拼接服务器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EE3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1.插卡式设计：采用金属结构机箱，插卡式设计，具有灵活多变的扩展性能;外壳防护等级符合GB/T4208-2017中IP20的要求；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2.带载能力：≥5张输入板卡，≥6张输出板卡，支持≥32个2K图层，最大带载3680万像素点；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3.触控液晶屏：设备前面板内嵌最大为7英寸的多点触控电容液晶屏，采用LED背光设计，无需连接额外的电脑和软件，在设备端即可实时查看监控设备运行参数与状态，方便快捷；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4.输入低延时：视频输入源为60Hz时，从视频源输入到LED屏显示的图像延迟时间≤16ms；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5.响应迅速：支持有线和无线方式访问设备，客户端通过有线方式操作时，操作响应时间≤60ms；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6.输入输出备份：支持输入及输出备份，遇故障自动切换，系统运行双重保障，切换过程不影响设备运行；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7.跨平台、跨系统管理：内嵌B/S拼接器配置软件，无需安装应用程序，支持在 Windows、Mac、麒麟(Kylin)、 iOS、Android,Linux等操作系统环境下进行使用，轻松实现跨平台、跨系统的交互与访问控制；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8.高速传输：设备背板的最大交换速率可达1200Gb/s，最大程度保障输入输出板卡之间的视频信息交换及分发；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噪声性能：设备满载常温情况下噪声指标可控制在45db以内，将热仿真分析与结构设计相结合，合理进行风扇选型及排布、风道布局设计，规避风压突变导致的啸叫问题，同时降低机柜内部噪声外泄问题，达到《GB3096-2008声环境质量标准》中1类声环境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10.安规安全设计：高规格的安规安全设计，器件选型全部采用满足GB4943等标准认证的器件；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2F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9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CC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52F5">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7F27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4D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接收卡</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D6A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显示性能：支持高灰高刷、低亮高灰显示，可消除某行偏暗低灰偏红、鬼影等细节问题。通过对伽马表算法的优化，使得显示屏在降低亮度时能保持灰阶的完整无损失、完美显示，呈现低亮度高灰阶的显示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2.亮色度校正：为保障屏幕色彩一致性，支持亮度、色度逐点校正，提供校正低灰补偿，保障低灰显示效果；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3.智能串线功能：无需了解接收卡串线顺序，用户可根据屏幕闪烁提示，在软件上完成映射设置，便于屏幕调试；（提供由国家承认的第三方检测机构出具的检测报告）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异形处理：支持抽点显示与数据偏移，可完成异形屏带载，搭配专用异形发送设备时还可实现高保真图像变形显示，在异形屏幕上播放普通素材时有效避免内容缺失；（提供由国家承认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5.颜色输出方式：根据视频源、图像所采用的色彩空间选择对应的输出方式，使显示屏的色彩呈现更精准，可解决因显示屏色域差异而导致的颜色失真问题；（提供由国家承认的第三方检测机构出具的检测报告）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6.无信号保留最后一帧：支持接收卡无信号是显示黑屏或显示画面最后一帧的显示选择；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7.接收卡画面旋转： 支持旋转接收卡画面，实现90度、180度、270度、镜像画面显示；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8.锁定功能：支持锁定功能，可设定锁定时间，开启后屏幕呈现灰色状态；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9.序列化升级： 支持编辑需要升级的接收卡序列，便于多类型接收卡统一升级维护；（提供由国家承认的第三方检测机构出具的检测报告）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10.模组任意旋转：支持模组任意角度旋转，呈现不同形状，展现更多变的画面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11.运行状态监测：支持监测自身的温度和电压，无需其他外设即可在软件上查看相应信息   </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7B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AE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w:t>
            </w:r>
          </w:p>
        </w:tc>
      </w:tr>
      <w:tr w14:paraId="610C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D26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2B59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2A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068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1.额定输入电压：200-240VAC;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2.输入频率：≥50Hz；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3.冷启动冲击电流：≥60A；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4.效率≥86%；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5.空载功耗：5W；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6.额定输出电压：5±0.13VDC;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7.额定输出电流：0～40A；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8.短路保护，过流保护；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49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38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w:t>
            </w:r>
          </w:p>
        </w:tc>
      </w:tr>
      <w:tr w14:paraId="03F9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C17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12F6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59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钢结构焊接</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D12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依据现场实际情况实施</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5D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2B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r>
      <w:tr w14:paraId="4A6A9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EDA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4558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13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智慧空开系统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528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1、一键分闸或合闸功能测试 具有一键分闸或合闸功能，支持在移动端和电脑端显示状态信息；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2、模式切换功能测试 通过调节自动/手动/锁定开关，可切换自动模式、手动模式和锁定模式。自动模式时，可实现远程监测和远程、本地控制;手动模式时，可远程监测但关闭远程控制功能，可本地控制;锁定模式时，可将断路器锁定在分闸位置或合闸位置，锁定模式下远程、本地控制失效，远程监测正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3、漏保自检功能测试 设备的移动端或电脑端中有漏保自检功能，可设置自检时间;到达设定自检时间点，设备执行漏保自动巡检，漏保正常时，断路器自动合闸；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4、打火报警功能测试 当监测线路出现打火(故障电弧)时，触发打火报警，设备应发送打火报警信息至移动端和电脑端；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14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79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12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468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E313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91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15瓦全彩动画激光</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61C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激光器:半导体泵浦全固态激光器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激光功率：绿光（525nm）/5W,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红光（638nm）/4W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蓝光（450nm）/6W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控制模式：声控 /自走/DMX512/蓝牙/ILDA(兼容国际各大主流激光编程软件）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供电电源：AC100-250V 50/60Hz,200W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扫描系统：采用高速振镜扫描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包装尺寸：350*390*300mm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净重/毛重：13/14KG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装箱规格：1台/箱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B8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CC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F9B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7C47">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0F35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AD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激光软件</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C48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全网络控制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ILDA SD卡脱机播放</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全彩OLED显示屏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支持DMX, ArtNet, ILDA, OSC, and CITP信号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模块化，订制设计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支持输出最高120Kpps振镜扫描信号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支持6通道激光颜色输出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改进激光信号输出算法，增加插值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改进传输协议，支持同时控制更多激光灯</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07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6C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r>
      <w:tr w14:paraId="55C8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D76C">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A0DC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5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450W 摇头光束灯 </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D6A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1、电器参数：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额定电压：AC100－240V 50/60Hz</w:t>
            </w:r>
            <w:r>
              <w:rPr>
                <w:rFonts w:hint="eastAsia" w:ascii="宋体" w:hAnsi="宋体" w:eastAsia="宋体" w:cs="宋体"/>
                <w:i w:val="0"/>
                <w:iCs w:val="0"/>
                <w:color w:val="000000"/>
                <w:kern w:val="0"/>
                <w:sz w:val="20"/>
                <w:szCs w:val="20"/>
                <w:u w:val="none"/>
                <w:lang w:val="en-US" w:eastAsia="zh-CN" w:bidi="ar"/>
              </w:rPr>
              <w:br w:type="textWrapping"/>
            </w:r>
            <w:r>
              <w:rPr>
                <w:rStyle w:val="58"/>
                <w:lang w:val="en-US" w:eastAsia="zh-CN" w:bidi="ar"/>
              </w:rPr>
              <w:t>*额定功率：520W</w:t>
            </w:r>
            <w:r>
              <w:rPr>
                <w:rStyle w:val="58"/>
                <w:lang w:val="en-US" w:eastAsia="zh-CN" w:bidi="ar"/>
              </w:rPr>
              <w:br w:type="textWrapping"/>
            </w:r>
            <w:r>
              <w:rPr>
                <w:rStyle w:val="58"/>
                <w:lang w:val="en-US" w:eastAsia="zh-CN" w:bidi="ar"/>
              </w:rPr>
              <w:t>2、光源：</w:t>
            </w:r>
            <w:r>
              <w:rPr>
                <w:rStyle w:val="58"/>
                <w:lang w:val="en-US" w:eastAsia="zh-CN" w:bidi="ar"/>
              </w:rPr>
              <w:br w:type="textWrapping"/>
            </w:r>
            <w:r>
              <w:rPr>
                <w:rStyle w:val="58"/>
                <w:lang w:val="en-US" w:eastAsia="zh-CN" w:bidi="ar"/>
              </w:rPr>
              <w:t>*光源：450瓦灯泡                                *光源寿命</w:t>
            </w:r>
            <w:r>
              <w:rPr>
                <w:rStyle w:val="60"/>
                <w:rFonts w:eastAsia="宋体"/>
                <w:lang w:val="en-US" w:eastAsia="zh-CN" w:bidi="ar"/>
              </w:rPr>
              <w:t>≥</w:t>
            </w:r>
            <w:r>
              <w:rPr>
                <w:rStyle w:val="58"/>
                <w:lang w:val="en-US" w:eastAsia="zh-CN" w:bidi="ar"/>
              </w:rPr>
              <w:t>6000小时</w:t>
            </w:r>
            <w:r>
              <w:rPr>
                <w:rStyle w:val="58"/>
                <w:lang w:val="en-US" w:eastAsia="zh-CN" w:bidi="ar"/>
              </w:rPr>
              <w:br w:type="textWrapping"/>
            </w:r>
            <w:r>
              <w:rPr>
                <w:rStyle w:val="58"/>
                <w:lang w:val="en-US" w:eastAsia="zh-CN" w:bidi="ar"/>
              </w:rPr>
              <w:t xml:space="preserve">*色温：7500K </w:t>
            </w:r>
            <w:r>
              <w:rPr>
                <w:rStyle w:val="58"/>
                <w:lang w:val="en-US" w:eastAsia="zh-CN" w:bidi="ar"/>
              </w:rPr>
              <w:br w:type="textWrapping"/>
            </w:r>
            <w:r>
              <w:rPr>
                <w:rStyle w:val="58"/>
                <w:lang w:val="en-US" w:eastAsia="zh-CN" w:bidi="ar"/>
              </w:rPr>
              <w:t>3、功能：</w:t>
            </w:r>
            <w:r>
              <w:rPr>
                <w:rStyle w:val="58"/>
                <w:lang w:val="en-US" w:eastAsia="zh-CN" w:bidi="ar"/>
              </w:rPr>
              <w:br w:type="textWrapping"/>
            </w:r>
            <w:r>
              <w:rPr>
                <w:rStyle w:val="58"/>
                <w:lang w:val="en-US" w:eastAsia="zh-CN" w:bidi="ar"/>
              </w:rPr>
              <w:t>光学系统：采用先进的光学系统确保清晰的成像质量，高效的变焦光学系统。</w:t>
            </w:r>
            <w:r>
              <w:rPr>
                <w:rStyle w:val="58"/>
                <w:lang w:val="en-US" w:eastAsia="zh-CN" w:bidi="ar"/>
              </w:rPr>
              <w:br w:type="textWrapping"/>
            </w:r>
            <w:r>
              <w:rPr>
                <w:rStyle w:val="58"/>
                <w:lang w:val="en-US" w:eastAsia="zh-CN" w:bidi="ar"/>
              </w:rPr>
              <w:t>*光束角：1.7°</w:t>
            </w:r>
            <w:r>
              <w:rPr>
                <w:rStyle w:val="58"/>
                <w:lang w:val="en-US" w:eastAsia="zh-CN" w:bidi="ar"/>
              </w:rPr>
              <w:br w:type="textWrapping"/>
            </w:r>
            <w:r>
              <w:rPr>
                <w:rStyle w:val="58"/>
                <w:lang w:val="en-US" w:eastAsia="zh-CN" w:bidi="ar"/>
              </w:rPr>
              <w:t>颜色系统: 1个颜色盘（14个颜色+白光、任意半色效果，带双向旋转的彩虹效果）。</w:t>
            </w:r>
            <w:r>
              <w:rPr>
                <w:rStyle w:val="58"/>
                <w:lang w:val="en-US" w:eastAsia="zh-CN" w:bidi="ar"/>
              </w:rPr>
              <w:br w:type="textWrapping"/>
            </w:r>
            <w:r>
              <w:rPr>
                <w:rStyle w:val="58"/>
                <w:lang w:val="en-US" w:eastAsia="zh-CN" w:bidi="ar"/>
              </w:rPr>
              <w:t>图案系统: 1个固定图案盘，15个图案+白光，带图案抖动和图案任意定位功能；</w:t>
            </w:r>
            <w:r>
              <w:rPr>
                <w:rStyle w:val="58"/>
                <w:lang w:val="en-US" w:eastAsia="zh-CN" w:bidi="ar"/>
              </w:rPr>
              <w:br w:type="textWrapping"/>
            </w:r>
            <w:r>
              <w:rPr>
                <w:rStyle w:val="58"/>
                <w:lang w:val="en-US" w:eastAsia="zh-CN" w:bidi="ar"/>
              </w:rPr>
              <w:t>棱镜系统：8棱镜或48棱镜，2个棱镜盘可以叠加使用，创造出无限动感，无限的光束效果。可顺时针逆时针双向旋转，可快慢选择；棱镜可线性对焦，清晰度可调</w:t>
            </w:r>
            <w:r>
              <w:rPr>
                <w:rStyle w:val="58"/>
                <w:lang w:val="en-US" w:eastAsia="zh-CN" w:bidi="ar"/>
              </w:rPr>
              <w:br w:type="textWrapping"/>
            </w:r>
            <w:r>
              <w:rPr>
                <w:rStyle w:val="58"/>
                <w:lang w:val="en-US" w:eastAsia="zh-CN" w:bidi="ar"/>
              </w:rPr>
              <w:t>雾化镜：0%～100%均匀柔光雾化效果</w:t>
            </w:r>
            <w:r>
              <w:rPr>
                <w:rStyle w:val="58"/>
                <w:lang w:val="en-US" w:eastAsia="zh-CN" w:bidi="ar"/>
              </w:rPr>
              <w:br w:type="textWrapping"/>
            </w:r>
            <w:r>
              <w:rPr>
                <w:rStyle w:val="58"/>
                <w:lang w:val="en-US" w:eastAsia="zh-CN" w:bidi="ar"/>
              </w:rPr>
              <w:t>调光频闪：0-100%电子调光</w:t>
            </w:r>
            <w:r>
              <w:rPr>
                <w:rStyle w:val="58"/>
                <w:lang w:val="en-US" w:eastAsia="zh-CN" w:bidi="ar"/>
              </w:rPr>
              <w:br w:type="textWrapping"/>
            </w:r>
            <w:r>
              <w:rPr>
                <w:rStyle w:val="58"/>
                <w:lang w:val="en-US" w:eastAsia="zh-CN" w:bidi="ar"/>
              </w:rPr>
              <w:t>调焦: 采用高精密的玻璃光学镜头，电子调焦设计，超微顺滑调整焦距</w:t>
            </w:r>
            <w:r>
              <w:rPr>
                <w:rStyle w:val="58"/>
                <w:lang w:val="en-US" w:eastAsia="zh-CN" w:bidi="ar"/>
              </w:rPr>
              <w:br w:type="textWrapping"/>
            </w:r>
            <w:r>
              <w:rPr>
                <w:rStyle w:val="58"/>
                <w:lang w:val="en-US" w:eastAsia="zh-CN" w:bidi="ar"/>
              </w:rPr>
              <w:t>水平扫描: X轴：540°，解析度16Bit</w:t>
            </w:r>
            <w:r>
              <w:rPr>
                <w:rStyle w:val="58"/>
                <w:lang w:val="en-US" w:eastAsia="zh-CN" w:bidi="ar"/>
              </w:rPr>
              <w:br w:type="textWrapping"/>
            </w:r>
            <w:r>
              <w:rPr>
                <w:rStyle w:val="58"/>
                <w:lang w:val="en-US" w:eastAsia="zh-CN" w:bidi="ar"/>
              </w:rPr>
              <w:t>垂直扫描: Y轴：270°，解析度16Bit</w:t>
            </w:r>
            <w:r>
              <w:rPr>
                <w:rStyle w:val="58"/>
                <w:lang w:val="en-US" w:eastAsia="zh-CN" w:bidi="ar"/>
              </w:rPr>
              <w:br w:type="textWrapping"/>
            </w:r>
            <w:r>
              <w:rPr>
                <w:rStyle w:val="58"/>
                <w:lang w:val="en-US" w:eastAsia="zh-CN" w:bidi="ar"/>
              </w:rPr>
              <w:t>自动纠错: X轴/Y轴位置自动校正</w:t>
            </w:r>
            <w:r>
              <w:rPr>
                <w:rStyle w:val="58"/>
                <w:lang w:val="en-US" w:eastAsia="zh-CN" w:bidi="ar"/>
              </w:rPr>
              <w:br w:type="textWrapping"/>
            </w:r>
            <w:r>
              <w:rPr>
                <w:rStyle w:val="58"/>
                <w:lang w:val="en-US" w:eastAsia="zh-CN" w:bidi="ar"/>
              </w:rPr>
              <w:t>点泡系统: 远程灯泡控制系统设计，可通过控制台远程智能控制灯泡亮泡与关闭，有效延长灯泡使用寿命，提高灯具稳定性。</w:t>
            </w:r>
            <w:r>
              <w:rPr>
                <w:rStyle w:val="58"/>
                <w:lang w:val="en-US" w:eastAsia="zh-CN" w:bidi="ar"/>
              </w:rPr>
              <w:br w:type="textWrapping"/>
            </w:r>
            <w:r>
              <w:rPr>
                <w:rStyle w:val="58"/>
                <w:lang w:val="en-US" w:eastAsia="zh-CN" w:bidi="ar"/>
              </w:rPr>
              <w:t>4、控制：</w:t>
            </w:r>
            <w:r>
              <w:rPr>
                <w:rStyle w:val="58"/>
                <w:lang w:val="en-US" w:eastAsia="zh-CN" w:bidi="ar"/>
              </w:rPr>
              <w:br w:type="textWrapping"/>
            </w:r>
            <w:r>
              <w:rPr>
                <w:rStyle w:val="58"/>
                <w:lang w:val="en-US" w:eastAsia="zh-CN" w:bidi="ar"/>
              </w:rPr>
              <w:t>软件：可通过DMX数据线升级； 可从控台完成更改DMX地址码</w:t>
            </w:r>
            <w:r>
              <w:rPr>
                <w:rStyle w:val="58"/>
                <w:lang w:val="en-US" w:eastAsia="zh-CN" w:bidi="ar"/>
              </w:rPr>
              <w:br w:type="textWrapping"/>
            </w:r>
            <w:r>
              <w:rPr>
                <w:rStyle w:val="58"/>
                <w:lang w:val="en-US" w:eastAsia="zh-CN" w:bidi="ar"/>
              </w:rPr>
              <w:t>控制：DMX512/主从/RDM/自走/显示面板四个按键</w:t>
            </w:r>
            <w:r>
              <w:rPr>
                <w:rStyle w:val="58"/>
                <w:lang w:val="en-US" w:eastAsia="zh-CN" w:bidi="ar"/>
              </w:rPr>
              <w:br w:type="textWrapping"/>
            </w:r>
            <w:r>
              <w:rPr>
                <w:rStyle w:val="58"/>
                <w:lang w:val="en-US" w:eastAsia="zh-CN" w:bidi="ar"/>
              </w:rPr>
              <w:t>通道模式：13/16个国际标准DMX通道</w:t>
            </w:r>
            <w:r>
              <w:rPr>
                <w:rStyle w:val="58"/>
                <w:lang w:val="en-US" w:eastAsia="zh-CN" w:bidi="ar"/>
              </w:rPr>
              <w:br w:type="textWrapping"/>
            </w:r>
            <w:r>
              <w:rPr>
                <w:rStyle w:val="58"/>
                <w:lang w:val="en-US" w:eastAsia="zh-CN" w:bidi="ar"/>
              </w:rPr>
              <w:t>5、机身：</w:t>
            </w:r>
            <w:r>
              <w:rPr>
                <w:rStyle w:val="58"/>
                <w:lang w:val="en-US" w:eastAsia="zh-CN" w:bidi="ar"/>
              </w:rPr>
              <w:br w:type="textWrapping"/>
            </w:r>
            <w:r>
              <w:rPr>
                <w:rStyle w:val="58"/>
                <w:lang w:val="en-US" w:eastAsia="zh-CN" w:bidi="ar"/>
              </w:rPr>
              <w:t>显示: LCD液晶屏，触摸按键控制，操作过程更人性方便化，内置中英文界面切换。</w:t>
            </w:r>
            <w:r>
              <w:rPr>
                <w:rStyle w:val="58"/>
                <w:lang w:val="en-US" w:eastAsia="zh-CN" w:bidi="ar"/>
              </w:rPr>
              <w:br w:type="textWrapping"/>
            </w:r>
            <w:r>
              <w:rPr>
                <w:rStyle w:val="58"/>
                <w:lang w:val="en-US" w:eastAsia="zh-CN" w:bidi="ar"/>
              </w:rPr>
              <w:t>接口设计：电源座一进一出(蓝色电源座/白色电源座/)；信号三芯、五芯一进一出。</w:t>
            </w:r>
            <w:r>
              <w:rPr>
                <w:rStyle w:val="58"/>
                <w:lang w:val="en-US" w:eastAsia="zh-CN" w:bidi="ar"/>
              </w:rPr>
              <w:br w:type="textWrapping"/>
            </w:r>
            <w:r>
              <w:rPr>
                <w:rStyle w:val="58"/>
                <w:lang w:val="en-US" w:eastAsia="zh-CN" w:bidi="ar"/>
              </w:rPr>
              <w:t>外观材料: 全PA6+30GF外壳。</w:t>
            </w:r>
            <w:r>
              <w:rPr>
                <w:rStyle w:val="58"/>
                <w:lang w:val="en-US" w:eastAsia="zh-CN" w:bidi="ar"/>
              </w:rPr>
              <w:br w:type="textWrapping"/>
            </w:r>
            <w:r>
              <w:rPr>
                <w:rStyle w:val="58"/>
                <w:lang w:val="en-US" w:eastAsia="zh-CN" w:bidi="ar"/>
              </w:rPr>
              <w:t>散热方式：采用风机散热。</w:t>
            </w:r>
            <w:r>
              <w:rPr>
                <w:rStyle w:val="58"/>
                <w:lang w:val="en-US" w:eastAsia="zh-CN" w:bidi="ar"/>
              </w:rPr>
              <w:br w:type="textWrapping"/>
            </w:r>
            <w:r>
              <w:rPr>
                <w:rStyle w:val="58"/>
                <w:lang w:val="en-US" w:eastAsia="zh-CN" w:bidi="ar"/>
              </w:rPr>
              <w:t>智能显示: 内置灯泡使用时间记录，可随时查看灯泡使用情况，以指导正确应用</w:t>
            </w:r>
            <w:r>
              <w:rPr>
                <w:rStyle w:val="58"/>
                <w:lang w:val="en-US" w:eastAsia="zh-CN" w:bidi="ar"/>
              </w:rPr>
              <w:br w:type="textWrapping"/>
            </w:r>
            <w:r>
              <w:rPr>
                <w:rStyle w:val="58"/>
                <w:lang w:val="en-US" w:eastAsia="zh-CN" w:bidi="ar"/>
              </w:rPr>
              <w:t>信号保护: 输入信号隔离保护功能，保证信号传输稳定，不受干扰。</w:t>
            </w:r>
            <w:r>
              <w:rPr>
                <w:rStyle w:val="58"/>
                <w:lang w:val="en-US" w:eastAsia="zh-CN" w:bidi="ar"/>
              </w:rPr>
              <w:br w:type="textWrapping"/>
            </w:r>
            <w:r>
              <w:rPr>
                <w:rStyle w:val="58"/>
                <w:lang w:val="en-US" w:eastAsia="zh-CN" w:bidi="ar"/>
              </w:rPr>
              <w:t>防护等级：IP20       工作环境：-10°C-  45°C</w:t>
            </w:r>
            <w:r>
              <w:rPr>
                <w:rStyle w:val="58"/>
                <w:lang w:val="en-US" w:eastAsia="zh-CN" w:bidi="ar"/>
              </w:rPr>
              <w:br w:type="textWrapping"/>
            </w:r>
            <w:r>
              <w:rPr>
                <w:rStyle w:val="58"/>
                <w:lang w:val="en-US" w:eastAsia="zh-CN" w:bidi="ar"/>
              </w:rPr>
              <w:t>6、规格：</w:t>
            </w:r>
            <w:r>
              <w:rPr>
                <w:rStyle w:val="58"/>
                <w:lang w:val="en-US" w:eastAsia="zh-CN" w:bidi="ar"/>
              </w:rPr>
              <w:br w:type="textWrapping"/>
            </w:r>
            <w:r>
              <w:rPr>
                <w:rStyle w:val="58"/>
                <w:lang w:val="en-US" w:eastAsia="zh-CN" w:bidi="ar"/>
              </w:rPr>
              <w:t>产品净重 ：16.4kg      产品尺寸：601×312×260</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95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1B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r>
      <w:tr w14:paraId="12F3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35F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CB7F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E1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 LED电脑摇头三合一灯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435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额定电压 : AC100V~240V，50/60Hz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额定功率 : 550W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光源 :400W LED模组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色温：7500K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光源寿命：20000小时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BEAM: 2.5°       SPOT: 5°-50°     WHSH: 7°-70°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控制模式：自走、主从、DMX、声控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DMX通道：双通道工作模式，22/27个国际DMX通道可切换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信号输入：标准三芯信号插座输入、输出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显示屏：采用1.8寸LCD液晶显示屏，外置转，中英文显示界面，内置重力感应，当倒立安装时，自动翻转倒立显示。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功能简介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图案盘：≥1个固定图案盘，≥12个固定图案+白光，每个图案都有抖动效果，图案盘带正反向快慢流水效果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动图盘：≥7个波图+白光，自旋转，可拆卸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颜色盘：≥1个颜色盘，≥8色+白光，每个颜色片均可与相邻的颜色片做半色效果、均可双向快慢流动。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CMY+CTO无极混色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双棱镜：3棱镜+8棱镜，独特的双棱镜设计，均可相互组合叠加或单独快慢旋转变化，生成奇异特殊多光束效果。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X轴：540°，16Bit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Y轴：270°，16Bit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自动纠错：水平垂直均采用光电复位系统，偶碰出错可自动检索复位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频闪：采用电子频闪设计，频闪频率高达1～14次/秒，频闪频率速度可任意调节。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调焦：0%～100%电子线性调焦，超微顺滑调整焦距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雾化：0%～100%均匀柔光雾化效果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光源系统：远程光源控制系统设计，可通过控制台远程智能控制光源开启与关闭，有效延长光源使用寿命。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智能风机调速：灯具在未开启光源状态时，风机自动降速运行，降低风机噪音，营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造良好的演出环境。当风机出现故障时，显示屏将提示风机故障，并自动降功率来保护灯珠。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外观材料：采用耐高温防火型工程塑料注塑成形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工作环境温度：-20°C ～40°C</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0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F4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85E2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237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19BD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83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专业触摸控制台</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312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技术参数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1.操作系统：全中文系统，系统稳定，不中病毒，支持中文，英文，葡萄牙语，越南语，繁体等语言切换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2.主板采用工业级用料，防静电，防浪涌，EDP高清信号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3.内存：≥4G，CPU:≥8核 16线程，硬盘：≥120G固态硬盘</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4.触摸屏≥11.6寸高清电容屏，触控灵敏度比传统的电阻屏高80%，无延时；≥4个DMX512光电隔离输出口，执行DMX512/1990标准，物理固定输出≥2048个DMX512控制通道，可ARTNET扩展4096个DMX512通道</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6.控台所有推杆轨道平滑，稳定，带阻尼感，数据准确，无延时，无跳数值</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7.内置大容量UPS不间断电源、突然断电也可正常使用1小时以上</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8.硬件均为全新原装，杜绝市面上以旧充新的泛滥现象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9.音频输出使用高解析音频芯片，声音清晰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10.自带≥8个USB接口，支持无线DMX信号发射器使用；自带高清HDMI接口和VGA接口，支持高清屏幕扩展；自带千兆网口一个，支持TPC/IP协议高速传输</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13.≥10个场景执行器，可同时运行75个场景，也可添加多步运行更多场景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14.支持双控台联机控制功能，一台出故障，另外一台无延时转换控制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15.支持无线或有线控制功能，可手机或平板软件及墙板远程控制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16.可设置锁屏密码，开机密码，保护控台数据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17.支持UDP，TCP, 485等控制码触发控制，也可定制专属UDP控制码</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18.灯组分为3个类别，共可储存300个灯具组，可控制800个灯具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19.素材分为10个类别，共可储存1000个素材，前后期时间素材，针对编程时和现场时，能便捷提高效率</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21.可储存900个场景，其中多步场景无限制步数，内置160个常用固定图形以及31种曲线效果，可通过参数修改图形及曲线效果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23.图形编组，更加丰富的编程效果，可导入导出工程文件，可同时加载60个图形特效，随意组合，具有6种扇形模式，可通过技巧对话框修改扇形效果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26.可储存200个节目，可以随心编辑灯光秀</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27.特殊对话框，可通过颜色板，颜色推子或色彩预置，快速调用颜色</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28.矢量位图功能，模拟现场布局排放，促使操控灯具更加精准便捷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29.段落运算法，可针对属性，时间，图形等，随心所欲分段运行</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30.内置音乐播放器，便于编秀及演出彩排记录</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31.灯组，素材，场景等可自定义命名或涂鸦，便于查找调用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32.使用XML格式灯库，灯库编辑器操作简单，可直接在控台上编写也可在电脑上编写拷入控台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33.灯库可添加段集，快速选择属性特征</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34.支持RDM远程识别灯具或更改地址码功能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35.支持连接灯光模拟器软件实时输出，可用作练习和模拟编程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36.配接完灯具可直接更改地址码和线路以及更改灯具键的位置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37.控台所有演出文件，灯库，音乐，图形文件可备份外部U盘，为防止文件丢失；可自定义设置控台使用时间，到期锁台，适合工程用；可自定义每个灯位的灯具图片，方便直观显示灯具信息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40.支持定时触发节目和场景的运行和停止，支持控台定制开机和关机，可实现无人值守自动运行</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41.自动生成灯光秀音乐波形图功能，可以根据音乐波形图节奏直接在控台上进行打标记卡点，并将录进去的灯光场景在标记上左右吸附，让灯光秀编辑更加便捷高效。</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42.灯光秀填充模式，可将灯光秀音乐卡点标记好后，运用填充模式，快速将编辑好的场景直接自动填充进各标记点之间，极大降低了灯光秀编辑难度和时间；游标时间轴功能，可详细显示灯光秀音乐时长，灯光场景运行时长，卡点标记时间点等等，实现灯光场景精准卡点触发和结束，让灯光秀声光同步更加精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44.灯光场景动作条可直接拖动调整位置和运行时长，调整左右自动吸附到标记点上等操作；灯光秀音乐卡点标记可直接导出，也可用AU等专业音乐软件打好标记后直接导入到控台使用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46.支持切割灯可视化触控切割</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10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0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9B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42F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AE3F2">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76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中央处理器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A41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产品特点</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DMX512输入：配置≥两个卡侬输入接口，连接调光台输出，支持1024个通道。</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DMX512输出：配置≥两个卡侬和≥两个网口输出接口，支持1024个通道。</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内外控开关：外控状态为外部调光台直接控制，内控状态为运行声光联动自动效果。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调光台学习：可以学习记录调光台编制程序，学习时无需手动拔插线路智能切换。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音频检测后插优先：SPDIF光纤数字音频、立体声RCA输入、3.5AUX耳机输入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节奏声光联动：内置音频全频分析模块，让灯光和音乐完美配合。</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歌曲声光联动：可以联动点歌系统的歌曲分类进行场景联动。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动态频谱：LED直观显示当前音频频谱。</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电脑调试软件：配置适合本项目的电脑调光软件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无线调试：连接外置WIFI盒，实现效果调试参数下载无线完成。</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外部控制功能：特殊情况下可以控制外部音响、空调、门牌等系统。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工程管理：用户管理权限设置，所有设置和效果均可保存到电脑进行备份。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U盘功能：通过U盘升级程序、下载参数、更新配线程序等，升级的麻烦一次解决。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功能简介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输入/工作电压：AC~220V/50-60HZ     整机功耗 ：≤2W</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备用电源 DC：12V/1A,方便调试</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对外供电 ：通过RJ45口，向外提供DC12V/1A电源供应，包括墙板、扩展1/2、接线盒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调光台输入：卡侬*1×输入调光台的DMX512信号，</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进行记录并可再次编辑，以满足更多应用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DMX512输出 ：卡侬*1，RJ45*1，1024通道</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音频检测 ：RCA*2输入，RCA*2环路输出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功放红外 ：Rj45接口，提供专用红外发射头，网线连接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VOD ：Rj45接口，通过接线盒连接各家点歌机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空调 ：连接配线实现红外及RS485方式控制空调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墙板门牌灯 ：RJ45接口，RS485通讯，采用RS485总线控制协议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扩展1/2 ：RJ45接口，RS485通讯，预留其他扩展应用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Ir接收窗 ：内置红外接收头，学习红外码值</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4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81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3AA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041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E0533">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EC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8路信号放大器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849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技术参数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数码信号类型：DMX512,以及采用 RS—485 接口传输的数码信号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≥1路信号输入，≥1路直通信号输出（信号输入与直通信号之间有经电气 隔离）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≥8路经电气隔离的信号分配输出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接口类型：RS-485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信号连接插座：输入 XLR-3-M, 输出 XLR-3-F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输入对输出的电气隔离耐压：＞AC300V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供电电源：AC90V~240V, 50Hz / 60Hz ，15W </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C5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C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C66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F0C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44BE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69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14路4KW电源直通箱</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A4B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技术参数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电压输入：AC380V±10％,50Hz±5％,端子接线座后板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额定功率 : 14路×3KW，每个回路最大输出功率可达4KW</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外形尺寸 : ≥3U</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正常工作条件 : 环境温度：0℃～+45℃，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相对湿度：+40%～+80% ，大气压强：0.8～1.6个标准大气压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工作环境 : 通风良好，无大量烟尘</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产品特点 : 简洁明朗的数显直读式电压表；可实时查看设备电压使用情况。</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FA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A5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7C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D7F8">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0A94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10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LED洗墙灯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9C5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 36W RGBW  10*60°DC24V 0.5m</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1B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36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7D13D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863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66B7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98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主控器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399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满足本展项的灯光控制需求</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05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5B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855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73FA5">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C471E">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0D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分控器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EAE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 支持 DMX512控制</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1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F6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1B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2EB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7672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7F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开关电源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78B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本展项所需的灯光电源DC24V400W</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D6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70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6BB1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534E">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93C3C">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91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保险绳</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AF3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承重≥50KG</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BC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85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r>
      <w:tr w14:paraId="0A76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7774">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D580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98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沙盘灯光控制器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A11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8路手动电源控制器，内置8个20A继电器，最大负载能力4400W/单路，搭配可编程中控主机使用,也全面支持第三方设备控制，用于控制灯光、电动投影幕、电动窗帘等会议室周边设备。</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功能特点</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1.协议兼容：搭配可编程中控主机使用，也全面支持第三方设备控制。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2.手动控制：在机器的正前方，有8个轻触开关，紧急情况下可以手动控制继电器的开关，在现场出现特发情况时可以使用这一功能，很好的保护其他的设备。</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3.具有8路继电器，每路继电器都有三连接点的接线柱，具有常开与常闭的功能；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4.具有8路独立电源开关控制，单路电流支持20A。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5.具有设备运行状态指示灯及8个继电器的开关状态指示灯。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6.机器具备ID识别，通过中控主机网络控制多台时，可通过ID识别。</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技术参数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1.面板按键：8路独立电源开关控制（手动）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2.载入容量：单路电流20A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3.电源：宽电压通用电源（DC24V）</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4.控制方法：通过RS-232或网络接口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5.RS-232接口：RS485接口；波特率：9600，数据位：8，停止位：1，校验位：无。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6.网络接口：RJ-45，100M（选配）</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7.切换电流（MAX）：20A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8.最大功耗：18W </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EB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20A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CAFD">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A3F5D">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10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多媒体联动系统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E2F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1.定制开发沙盘、灯光、屏幕超大分辨率内容联动系统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06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29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EB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F18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98BD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C5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中控控制系统</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586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1.展馆通过中控平板，控制一键开馆一键闭馆；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2.控制灯光开关，触摸屏开关，电视开关，投影开关，等开关控制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3.视频切换播放暂停音量加减。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4.实现了所有设备的智能化管理，统一控制。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5.可自定义编辑界面，包括背景图，按钮样式等；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6.支持发送UDP、TCP、PJLink、串口和网络唤醒指令；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7.支持分组控制，延时触发，定时器。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8.支持页面自定义。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9.支持windows上制作，拷贝到Android上。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10.可实现视频通过平板控制。无需鼠标键盘操作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11.依据业主需求定制开发，交付标准为业主满意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F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78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82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2C8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9423B">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99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视频或互动内容</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87E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弧形大场景互动影片，包含航拍、三维动画建模、卡点等。部分裸眼3D效果震撼演绎素材画面。本视频配合全域电子沙盘全景联动演示，全方位、立体化解读乌恰县全域整体国土空间发展规划，系统梳理县域发展核心板块，清晰呈现边境县城的建设基底与发展蓝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整体规划：立足乌恰边境区位与资源禀赋，展示县域总体发展定位、全域空间结构、城镇功能分区、土地利用布局，统筹城乡建设格局，明确城区、乡镇、口岸、生态保护区的发展边界与建设方向，构建科学有序的全域发展体系。主要包含以下几个方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交通发展：全景展示县域主次干道、城乡路网、跨境交通通道布局，完善口岸物流通道、城乡联通道路、对外联通交通网络规划，凸显边境交通枢纽优势，搭建内外联通、高效便捷的综合交通体系。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科技创新：展示县域科创赋能产业发展布局，围绕边贸、农牧、文旅等主导产业，呈现科技赋能传统产业升级、智慧口岸建设、数字化市政管理、科创配套设施搭建等创新发展内容，助力县域产业提质增效。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生态建设：聚焦边境生态安全屏障建设，展示全域生态保护红线、草原湿地保护、荒漠治理、水土保持、绿化提升等生态工程，呈现生态修复、绿色低碳发展、全域生态治理的建设成果与长效规划。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七大产业：系统展示边贸物流、特色农牧、生态文旅、新能源、口岸加工、文创产业、康养服务七大主导产业布局，呈现产业园区建设、产业链延伸、招商引资项目、产城融合发展的整体格局。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文化民生：深挖柯尔克孜族特色民俗与玛纳斯非遗文化资源，展示文化传承、文旅融合、文创开发成果。同时呈现教育、医疗、养老、文体设施、安居工程等民生配套建设，全方位展现宜居宜业、和谐幸福的现代化边境县城发展图景。</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8F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秒</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A7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r>
      <w:tr w14:paraId="3EF63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D1B9">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C6228">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4F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LED及灯光辅材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7B56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满足本展项所需的音频线、网线、控制线等</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F3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2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C3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EF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A11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中央控制系统</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41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中控机</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486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丰富接口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主机配有10个串口（RS232\RS485\422）支持DMX512、8个红外口、8个继电器口、8个IO口、1个双向网口（可对外控制UDP/TCP网络设备）、1个NET口、1个TF卡接口、11个状态指示灯、8个按键，大量的控制接口作为后备和备份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实时时钟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支持RTC实时时钟模块，在UI上显示年月日时分秒显示。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网络预览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支持网络预览，带1路hdmi和1路模拟音频输入，输入的视频可在app和电脑控制软件上以视频窗口方式显示，用于视频预览无缝矩阵的输入信号、摄像头等。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支持多平台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控制软件同时支持苹果IPAD平板电脑、安卓平板电脑、鸿蒙、麒麟、统信、windows电脑等，并且它们的界面完全相同，方便用户使用。可同时使用多种方式，互为备份，让项目更健壮。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网页控制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除app外，同时支持鸿蒙、Linux、Windows、苹果IOS等系统的浏览器Web网页方式，用户可以通过网页对各个控制口连接的设备进行控制，编程软件可以在网页上，任意添加被控设备和增加删除按钮。打开控制网页时，必须先输入密码进行登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双向的万能网口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支持万能双向网口，可控制带网口的设备，整台设备只用1个网口，1条网线，就可同时使用TCP和UDP方式。 TCP方式，可同时连接100多台被控设备，也可分时连接上万台网络受控设备。UDP方式，可广播发送，也可指定目标IP一对一发送，可支持数百个目标IP(UDP受控设备)。主机带有网口，不需配置接收器（转换器），以提高稳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双向反馈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支持双向反馈，界面可显示串口及网口被控设备的状态，支持脚本代码程序，可用代码程序处理被控设备的反馈协议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多屏联动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多屏联动同步，支持多台平板电脑及windows电脑同时控制，一台终端(电脑)的操作结果会自动同时更新显示到别的终端（电脑）上，状态值由主机保存，控制终端（平板电脑）关闭后重新打开时，软件自动和主机同步，保证显示的开关状态、数值等为当前的实际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可视化预览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可视化预览在平板电脑（安卓和IPAD）操作界面嵌入网页，嵌入视频播放组件，可播放常见种类的视频文件，也可以显示摄像头等的 RTSP\RTMP\HTTP视频流图像。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红外学习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主机内置红外学习器，可把红外数据保存到电脑成为红外库文件，供后续工程或后续维护升级使用。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脚本编辑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支持电脑脚本语言，用户可在现场编写和下载脚本程序，以实现更高级的逻辑控制功能，比如实现校验和计算。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数据转发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支持端口间的数据相互转发，比如串口1收到的数据，可以从其它串口或网络输出，网络收到的数据也可从串口输出。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工作状态显示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主机前面板带蓝光液晶显示屏，显示工作状态，显示主机的IP地址，带8个可自定义功能的按键；可作为应急操作选项。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万年历功能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内置万年历电路，可让中控在指定时间自动执行控制操作。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非串口分配器式中控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串口等所有控制代码和程序保存在主机上，主机可执行逻辑控制，触摸屏仅保存一个控制ID号，减少网络通讯，提高响应速度和稳定性。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便捷的升级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可通过互联网对主机进行编程和升级。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高性能处理器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搭载高性能32位ARM Cortex处理器架构，集成单精度FPU（浮点运算单元）与DSP指令集，实现高速数据处理与复杂算法运行。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 大容量指令存储器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可保存高达10000条控制指令，满足任何场合的控制存储要求，支持扩展。</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F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F4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F98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118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E18A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CB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灯光控制器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987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多路控制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提供8路32A欧姆龙功率继电器开关，每回路可独立控制。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支持高负载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每路可独立接3000W设备，支持大功率设备控制。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顺序延时启动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具备多回路顺序延时启动功能，避免同时启动对电网的冲击。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应急开关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自带应急开关按键，方便调试和紧急操作。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状态指示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自带回路状态指示灯，实时显示控制状态。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兼容多种通讯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全面兼容Modbus RTU通讯，支持RS485、RS232、网络TCP/IP。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级联扩展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内置255位地址码，可级联255台设备。</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D4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1C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27CA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589F">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BF5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4F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串口扩展器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16C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支持多路扩展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支持8路RS232和4路RS485串口输出，满足多设备连接需求。通过RS232与主机通信，可选配网络，将主机发送过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来的数据转换成指定的波特率、校验位、停止位。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灵活分配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输入数据可指定到任意一路或多路输出，支持独立设置波特率、校验位、停止位。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宽温运行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内置抗电磁干扰，支持-20℃~70℃宽温运行，适应恶劣工业环境。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级联扩展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支持多台设备级联，级联数量最多为255台，最多可扩展至2040个RS232输出和1020个RS485输出，进行扩展后并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不阻碍原本的中控RS232端口的继续使用。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状态指示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具有四个指示灯，通过面板指示灯，实时观察设备工作状态。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高效传输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采用多线程软件技术，支持多条协议0时间间隔输入，性能优越。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简单易用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设置参数协议和转发协议分开，使用更简单，连接设备不变时无需频繁更改串口参数，只发数据就行</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24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4E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12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9723">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BAC6">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E8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中控操作端</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4B0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满足远程操作的中控操作端电脑1台、机架式显示器1台、内含远程协助软件、局域网同步传送软件、故障显示状态程序</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19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58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17F8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4F1">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2689">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1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网络系统构建</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0B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构建满足本展厅的无线网络、无延迟、无掉线、7*24小时稳定运行</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25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7E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4F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41B2">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71E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85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电源时序器</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0A9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电源时序器能够按照前级到后级逐个顺序启动设备，有效统一管理控制各类用电设备，避免人为失误操作，从而确保用电系统的稳定性和操作的简便性。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本厂生产的电源时序器采用高纯度鳞铜万能插座，耐磨导电性强，而不采用杂质较多的黄铜，采用大品牌电流继电器30A/250V，名牌大厂继电器的选用，加上可靠的灭弧电路，令到继电器的触点温升特别小，寿命长，整个系统非常可靠。3芯*6平方3C认证专业电缆。每一通道能受得起AC220V，13-20A电流，线路板采用双面板SMT贴片技术2安铜高精密度板材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1.面板颜色：铝黑色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2.通道数量：8路万用插座继电器受控与2路万用插座直通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3.单路功率/总功率/输出电流：2000W/6000W/30A 277VAC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4.输出电源插座规格：阻燃ABS材料，最大可承受13A电流磷铜材质，标准万用插座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5.电路板规格：双面纤维板，主电源走线二次加厚加粗处理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6.供电规格：内置开关电源，适用全球电压AC90-260V 50-60HZ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7.主电缆线规格：3*4平方电缆，总长度为1米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①.顺序开启逆序关闭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②.带电压显示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③.面板带USB接口,最大输出5V/500MA,可接DJ灯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④.RS232  /485 COM口接入中控控制（指令控制）或自带软件控制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⑤.每路开关间隔时间/定时时间：默认1秒（通过软件自由设置）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⑥.支持叠机级联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⑦.支持面板独立控制各通道（可软件设定控制）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⑧.带外接控制开关接口</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B5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67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7842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D0DB">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B640">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C3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安装柜</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985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尺寸≥600*600*2000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19寸标准机柜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网门玻璃门可选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通风率≥75%</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10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9D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3D97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F35A">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F215">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A5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7C4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1.尺寸≥11英寸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2.分辨率≥2560*1600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3.内存储存≥6g+128G;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4.wifi版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5.前置≥500万像素，后置≥800万像素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E4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A7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88BC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3BE6">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78F7">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F5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中控辅材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59B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满足中控系统所需的网线及控制线</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2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73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82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CB80">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07EF">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56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中控系统程序</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E7E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1.配套控制软件全面适配 Windows 电脑、安卓平板、iPad、射频触控终端，全平台功能 100%统一、数据实时同步；支持多终端同时在线管控、互为冗余备份，单台终端离线、故障不影响整套中控系统运行，杜绝单点故障导致展厅设备失控。终端离线重连后自动毫秒级同步主机最新设备状态与控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轻量化工业级稳定架构，无后台自动更新、无弹窗推送、无冗余进程，杜绝无人值守时系统闪退、崩溃、自动重启；专门针对长期断电静置冷启动优化，整套系统配置、联动逻辑、预案脚本、权限参数全部硬件级永久保存，数月休眠重启后参数零漂移、零丢失，系统自动完整恢复运行状态，无需人工重新配置调试，完美适配 11 个月零星运行工况。支持 7×24 小时满负荷连续稳定运行，高频联动控制无卡顿、无指令丢失、无设备失控。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3.原生兼容 TCP、UDP、RS232、RS485、DMX512 等主流控制协议，可无缝对接展厅投影融合系统、大屏一体机、灯光继电器、电源时序器、音视频设备、环境监测设备等全部终端；支持网络设备、串口设备混合组网管控，适配南疆电磁干扰、网络波动环境，指令收发稳定、无延迟、无误触发、无乱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搭载可视化图形编辑后台，全程零代码操作，管理人员可自主编辑设备联动逻辑、时序流程、场景预案、定时任务、界面布局；支持自定义设备互锁、联动开关、异常兜底保护逻辑，无需专业编程人员，运维简单高效。支持预案批量存储、一键调用、定时自动执行，适配展厅无人值守自动运行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所有被控设备运行状态双向回传，终端界面实时精准展示设备在线状态、开关状态、运行参数、故障代码、供电状态；系统内置故障自动自检、日志自动留存、异常本地记录功能，可精准定位设备断连、故障、参数异常问题，适配南疆偏远场馆低现场运维需求，支持远程故障排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纯离线独立运行能力，核心控制逻辑、预案脚本、联动程序全部本地主机运算存储，不依赖外网、不依赖云端；网络断连、外网中断景下，整套中控系统可正常启停设备、切换预案、执行定时任务，彻底解决南疆局部网络波动、断网导致的系统瘫痪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依托硬件独立时钟，支持年、月、日、时段精准定时任务设置，可预设展厅开机、关机、设备时序启停、画面预案切换、灯光联动、系统休眠等自动化流程；长期断电重启后定时任务自动生效、时间无偏差，适配长期零星开放、无人值守运行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8.软件内置独立流媒体解码模块、网页渲染组件，兼容RTSP、RTMP、HTTP 等主流视频流，可直接调取展厅摄像头、视频终端实时画面预览；支持本地视频、图片、图文课件无损加载播放，适配警示教育多素材展示、实时巡检预览需求。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9.内置红外信号智能学习功能，可适配各类投影、电视、音响等红外设备控制；红外码库、设备适配参数可本地备份导出、随时导入复用，便于后期设备更换、系统升级扩容。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10.支持串口、网络接口数据双向透传、交互转发，可实现新旧设备对接、第三方系统联动拓展，接口兼容性强，可灵活适配后期展厅设备增减、功能升级需求。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多级账号权限分级管理，区分管理员、运维员、普通操作员权限，防止误操作、越权操作；系统无外网自动联网、无私自数据上传，本地数据加密存储，保障警示教育涉密素材、设备控制数据安全，符合政务展厅网络安全规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12.支持安全外网远程联机、系统状态监测、程序在线升级、参数远程备份还原；无需现场拆机调试，大幅降低南疆偏远场馆后期运维成本，同时支持本地离线升级，兼顾系统稳定性与可维护性。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13.（1）宽温适配：软件适配整机-20℃～+70℃宽温运行环境，高低温极端工况下无闪退、无卡死、无逻辑错乱；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（2）抗老化静置：针对长期断电休眠工况深度优化，杜绝商用软件长期闲置导致的配置失效、启动异常、功能故障；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（3）低损耗运行：待机休眠模式低功耗运行，长期零星待机无程序老化、功能衰减；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（4）抗干扰运行：适配南疆风沙、电磁复杂环境，具备信号容错、指令纠错机制，杜绝环境干扰导致的设备误控制。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0F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3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B72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87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3D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系统集成</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3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全馆系统集成</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FCB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全馆系统集成</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AC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9E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82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6F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8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原顶部投影拆除</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A1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w:t>
            </w:r>
          </w:p>
        </w:tc>
        <w:tc>
          <w:tcPr>
            <w:tcW w:w="4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D8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原设备拆除工作，含登高18米设备，人工作业等工作。31台工程投影仪保护性拆除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DC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C0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75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trPr>
        <w:tc>
          <w:tcPr>
            <w:tcW w:w="9791"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BD7C5">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大型数字沙盘</w:t>
            </w:r>
          </w:p>
        </w:tc>
      </w:tr>
      <w:tr w14:paraId="58C1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36AB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序号</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81A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展项名称</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F87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规格描述</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1D2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品牌</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F08C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数量</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1B7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单位</w:t>
            </w:r>
          </w:p>
        </w:tc>
      </w:tr>
      <w:tr w14:paraId="66B1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9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7F2E6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圆形沙盘模型（直径23m，415.48平方米）</w:t>
            </w:r>
          </w:p>
        </w:tc>
      </w:tr>
      <w:tr w14:paraId="076B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883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A2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深化设计图</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7CA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整体效果出深化效果图，N次修改</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59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810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75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1525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EFB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94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建筑绘图</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204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绘图，分解，排版，雕刻</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61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A08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2A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77F6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4BC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FE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景观绘图</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18A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绘图，分解，排版，雕刻</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10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35E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43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065EF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73B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41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建筑制作</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59EC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肌理立面构造，主体拼接，3d打印件切配。部分CNC车床铣构造，拼接组装，模型及标牌，细节处理深化</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D8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527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ADB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6B7FA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A7E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E0C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景观制作</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ADC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整体翻新，绿化景观重新布置，道路水系提升等</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53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419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71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4C9A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10E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DA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A1E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灯光材料，建筑景观氛围灯，现场施工</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37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A2F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0B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4BBB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D94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7B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线路分拆汇总</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C61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分路与屏幕链接 调试</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96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D1C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1 </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247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项</w:t>
            </w:r>
          </w:p>
        </w:tc>
      </w:tr>
      <w:tr w14:paraId="6A2B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65D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8</w:t>
            </w: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88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材料 </w:t>
            </w:r>
          </w:p>
        </w:tc>
        <w:tc>
          <w:tcPr>
            <w:tcW w:w="4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07A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光敏树脂，工程塑料，建筑景观材料，有机玻璃，聚乙烯，草地树木，木工板等胶水</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83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定制</w:t>
            </w:r>
          </w:p>
        </w:tc>
        <w:tc>
          <w:tcPr>
            <w:tcW w:w="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0A769">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E1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r>
    </w:tbl>
    <w:p w14:paraId="7FCEB18D">
      <w:pPr>
        <w:widowControl/>
        <w:kinsoku w:val="0"/>
        <w:autoSpaceDE w:val="0"/>
        <w:autoSpaceDN w:val="0"/>
        <w:adjustRightInd w:val="0"/>
        <w:snapToGrid w:val="0"/>
        <w:spacing w:before="51" w:line="220" w:lineRule="auto"/>
        <w:jc w:val="left"/>
        <w:textAlignment w:val="baseline"/>
        <w:rPr>
          <w:rFonts w:ascii="宋体" w:hAnsi="宋体" w:eastAsia="宋体" w:cs="宋体"/>
          <w:b/>
          <w:bCs/>
          <w:snapToGrid w:val="0"/>
          <w:color w:val="000000"/>
          <w:spacing w:val="-4"/>
          <w:kern w:val="0"/>
          <w:sz w:val="28"/>
          <w:szCs w:val="28"/>
          <w:lang w:eastAsia="en-US"/>
        </w:rPr>
      </w:pPr>
    </w:p>
    <w:p w14:paraId="5D7A003D">
      <w:pPr>
        <w:widowControl/>
        <w:kinsoku w:val="0"/>
        <w:autoSpaceDE w:val="0"/>
        <w:autoSpaceDN w:val="0"/>
        <w:adjustRightInd w:val="0"/>
        <w:snapToGrid w:val="0"/>
        <w:spacing w:before="51" w:line="220" w:lineRule="auto"/>
        <w:ind w:left="45"/>
        <w:jc w:val="left"/>
        <w:textAlignment w:val="baseline"/>
        <w:rPr>
          <w:rFonts w:ascii="宋体" w:hAnsi="宋体" w:eastAsia="宋体" w:cs="宋体"/>
          <w:b/>
          <w:bCs/>
          <w:snapToGrid w:val="0"/>
          <w:color w:val="000000"/>
          <w:spacing w:val="-4"/>
          <w:kern w:val="0"/>
          <w:sz w:val="28"/>
          <w:szCs w:val="28"/>
          <w:lang w:eastAsia="en-US"/>
        </w:rPr>
      </w:pPr>
    </w:p>
    <w:p w14:paraId="16249885">
      <w:pPr>
        <w:widowControl/>
        <w:kinsoku w:val="0"/>
        <w:autoSpaceDE w:val="0"/>
        <w:autoSpaceDN w:val="0"/>
        <w:adjustRightInd w:val="0"/>
        <w:snapToGrid w:val="0"/>
        <w:spacing w:before="51" w:line="220" w:lineRule="auto"/>
        <w:ind w:left="45"/>
        <w:jc w:val="left"/>
        <w:textAlignment w:val="baseline"/>
        <w:rPr>
          <w:rFonts w:ascii="宋体" w:hAnsi="宋体" w:eastAsia="宋体" w:cs="宋体"/>
          <w:b/>
          <w:bCs/>
          <w:snapToGrid w:val="0"/>
          <w:color w:val="000000"/>
          <w:spacing w:val="-4"/>
          <w:kern w:val="0"/>
          <w:sz w:val="28"/>
          <w:szCs w:val="28"/>
          <w:lang w:eastAsia="en-US"/>
        </w:rPr>
      </w:pPr>
    </w:p>
    <w:p w14:paraId="108D667D">
      <w:pPr>
        <w:widowControl/>
        <w:kinsoku w:val="0"/>
        <w:autoSpaceDE w:val="0"/>
        <w:autoSpaceDN w:val="0"/>
        <w:adjustRightInd w:val="0"/>
        <w:snapToGrid w:val="0"/>
        <w:spacing w:before="51" w:line="220" w:lineRule="auto"/>
        <w:jc w:val="left"/>
        <w:textAlignment w:val="baseline"/>
        <w:rPr>
          <w:rFonts w:ascii="宋体" w:hAnsi="宋体" w:eastAsia="宋体" w:cs="宋体"/>
          <w:b/>
          <w:bCs/>
          <w:snapToGrid w:val="0"/>
          <w:color w:val="000000"/>
          <w:spacing w:val="-4"/>
          <w:kern w:val="0"/>
          <w:sz w:val="28"/>
          <w:szCs w:val="28"/>
          <w:lang w:eastAsia="en-US"/>
        </w:rPr>
      </w:pPr>
    </w:p>
    <w:p w14:paraId="2646DB7F">
      <w:pPr>
        <w:widowControl/>
        <w:kinsoku w:val="0"/>
        <w:autoSpaceDE w:val="0"/>
        <w:autoSpaceDN w:val="0"/>
        <w:adjustRightInd w:val="0"/>
        <w:snapToGrid w:val="0"/>
        <w:spacing w:before="51" w:line="220" w:lineRule="auto"/>
        <w:jc w:val="left"/>
        <w:textAlignment w:val="baseline"/>
        <w:rPr>
          <w:rFonts w:ascii="宋体" w:hAnsi="宋体" w:eastAsia="宋体" w:cs="宋体"/>
          <w:snapToGrid w:val="0"/>
          <w:color w:val="000000"/>
          <w:kern w:val="0"/>
          <w:sz w:val="28"/>
          <w:szCs w:val="28"/>
          <w:lang w:eastAsia="en-US"/>
        </w:rPr>
      </w:pPr>
      <w:r>
        <w:rPr>
          <w:rFonts w:ascii="宋体" w:hAnsi="宋体" w:eastAsia="宋体" w:cs="宋体"/>
          <w:b/>
          <w:bCs/>
          <w:snapToGrid w:val="0"/>
          <w:color w:val="000000"/>
          <w:spacing w:val="-4"/>
          <w:kern w:val="0"/>
          <w:sz w:val="28"/>
          <w:szCs w:val="28"/>
          <w:lang w:eastAsia="en-US"/>
        </w:rPr>
        <w:t>商务条款</w:t>
      </w:r>
    </w:p>
    <w:p w14:paraId="2CCAEA88">
      <w:pPr>
        <w:pStyle w:val="12"/>
        <w:spacing w:before="27" w:line="360" w:lineRule="auto"/>
        <w:ind w:left="977"/>
        <w:rPr>
          <w:spacing w:val="-2"/>
          <w:sz w:val="24"/>
          <w:szCs w:val="24"/>
        </w:rPr>
      </w:pPr>
    </w:p>
    <w:p w14:paraId="4F045B0D">
      <w:pPr>
        <w:pStyle w:val="12"/>
        <w:spacing w:before="27" w:line="360" w:lineRule="auto"/>
        <w:ind w:left="485" w:leftChars="228" w:firstLine="0" w:firstLineChars="0"/>
        <w:rPr>
          <w:sz w:val="24"/>
          <w:szCs w:val="24"/>
        </w:rPr>
      </w:pPr>
      <w:r>
        <w:rPr>
          <w:spacing w:val="-2"/>
          <w:sz w:val="24"/>
          <w:szCs w:val="24"/>
        </w:rPr>
        <w:t xml:space="preserve">1.  </w:t>
      </w:r>
      <w:r>
        <w:rPr>
          <w:b/>
          <w:bCs/>
          <w:spacing w:val="-2"/>
          <w:sz w:val="24"/>
          <w:szCs w:val="24"/>
        </w:rPr>
        <w:t>供货要求</w:t>
      </w:r>
      <w:r>
        <w:rPr>
          <w:spacing w:val="-2"/>
          <w:sz w:val="24"/>
          <w:szCs w:val="24"/>
        </w:rPr>
        <w:t xml:space="preserve">：合同签订后 </w:t>
      </w:r>
      <w:r>
        <w:rPr>
          <w:rFonts w:hint="eastAsia"/>
          <w:spacing w:val="-2"/>
          <w:sz w:val="24"/>
          <w:szCs w:val="24"/>
          <w:u w:val="single" w:color="auto"/>
          <w:lang w:val="en-US" w:eastAsia="zh-CN"/>
        </w:rPr>
        <w:t>180</w:t>
      </w:r>
      <w:r>
        <w:rPr>
          <w:spacing w:val="-2"/>
          <w:sz w:val="24"/>
          <w:szCs w:val="24"/>
          <w:u w:val="single" w:color="auto"/>
        </w:rPr>
        <w:t xml:space="preserve"> </w:t>
      </w:r>
      <w:r>
        <w:rPr>
          <w:spacing w:val="-27"/>
          <w:sz w:val="24"/>
          <w:szCs w:val="24"/>
        </w:rPr>
        <w:t xml:space="preserve"> </w:t>
      </w:r>
      <w:r>
        <w:rPr>
          <w:spacing w:val="-2"/>
          <w:sz w:val="24"/>
          <w:szCs w:val="24"/>
        </w:rPr>
        <w:t>日历天内完成全部货物生产、供货、安装、集成调试</w:t>
      </w:r>
      <w:r>
        <w:rPr>
          <w:spacing w:val="-35"/>
          <w:sz w:val="24"/>
          <w:szCs w:val="24"/>
        </w:rPr>
        <w:t xml:space="preserve"> </w:t>
      </w:r>
      <w:r>
        <w:rPr>
          <w:spacing w:val="-2"/>
          <w:sz w:val="24"/>
          <w:szCs w:val="24"/>
        </w:rPr>
        <w:t>，完成</w:t>
      </w:r>
      <w:r>
        <w:rPr>
          <w:sz w:val="24"/>
          <w:szCs w:val="24"/>
        </w:rPr>
        <w:t>整体竣工验收。</w:t>
      </w:r>
      <w:r>
        <w:rPr>
          <w:rFonts w:hint="eastAsia"/>
          <w:sz w:val="24"/>
          <w:szCs w:val="24"/>
          <w:lang w:val="en-US" w:eastAsia="zh-CN"/>
        </w:rPr>
        <w:t>（具体以签订合同为准）</w:t>
      </w:r>
      <w:r>
        <w:rPr>
          <w:sz w:val="24"/>
          <w:szCs w:val="24"/>
        </w:rPr>
        <w:t xml:space="preserve"> </w:t>
      </w:r>
    </w:p>
    <w:p w14:paraId="3969BAC9">
      <w:pPr>
        <w:pStyle w:val="12"/>
        <w:spacing w:before="51" w:line="360" w:lineRule="auto"/>
        <w:ind w:firstLine="486" w:firstLineChars="200"/>
        <w:rPr>
          <w:sz w:val="24"/>
          <w:szCs w:val="24"/>
        </w:rPr>
      </w:pPr>
      <w:r>
        <w:rPr>
          <w:sz w:val="24"/>
          <w:szCs w:val="24"/>
        </w:rPr>
        <w:t xml:space="preserve">2.  </w:t>
      </w:r>
      <w:r>
        <w:rPr>
          <w:b/>
          <w:bCs/>
          <w:sz w:val="24"/>
          <w:szCs w:val="24"/>
        </w:rPr>
        <w:t>交付地点</w:t>
      </w:r>
      <w:r>
        <w:rPr>
          <w:sz w:val="24"/>
          <w:szCs w:val="24"/>
        </w:rPr>
        <w:t>：采购人指定项目现场。</w:t>
      </w:r>
    </w:p>
    <w:p w14:paraId="2ACFFBD3">
      <w:pPr>
        <w:pStyle w:val="12"/>
        <w:spacing w:before="26" w:line="360" w:lineRule="auto"/>
        <w:ind w:left="485" w:leftChars="228" w:firstLine="0" w:firstLineChars="0"/>
        <w:rPr>
          <w:rFonts w:hint="eastAsia" w:eastAsia="宋体"/>
          <w:sz w:val="24"/>
          <w:szCs w:val="24"/>
          <w:lang w:eastAsia="zh-CN"/>
        </w:rPr>
      </w:pPr>
      <w:r>
        <w:rPr>
          <w:spacing w:val="-1"/>
          <w:sz w:val="24"/>
          <w:szCs w:val="24"/>
        </w:rPr>
        <w:t xml:space="preserve">3.  </w:t>
      </w:r>
      <w:r>
        <w:rPr>
          <w:b/>
          <w:bCs/>
          <w:spacing w:val="-1"/>
          <w:sz w:val="24"/>
          <w:szCs w:val="24"/>
        </w:rPr>
        <w:t>付款方式</w:t>
      </w:r>
      <w:r>
        <w:rPr>
          <w:b/>
          <w:bCs/>
          <w:spacing w:val="-11"/>
          <w:sz w:val="24"/>
          <w:szCs w:val="24"/>
        </w:rPr>
        <w:t>：</w:t>
      </w:r>
      <w:r>
        <w:rPr>
          <w:spacing w:val="-11"/>
          <w:sz w:val="24"/>
          <w:szCs w:val="24"/>
        </w:rPr>
        <w:t>（</w:t>
      </w:r>
      <w:r>
        <w:rPr>
          <w:spacing w:val="-1"/>
          <w:sz w:val="24"/>
          <w:szCs w:val="24"/>
        </w:rPr>
        <w:t>1）合同签订生效</w:t>
      </w:r>
      <w:r>
        <w:rPr>
          <w:spacing w:val="-35"/>
          <w:sz w:val="24"/>
          <w:szCs w:val="24"/>
        </w:rPr>
        <w:t xml:space="preserve"> </w:t>
      </w:r>
      <w:r>
        <w:rPr>
          <w:spacing w:val="-1"/>
          <w:sz w:val="24"/>
          <w:szCs w:val="24"/>
        </w:rPr>
        <w:t>，</w:t>
      </w:r>
      <w:r>
        <w:rPr>
          <w:spacing w:val="-2"/>
          <w:sz w:val="24"/>
          <w:szCs w:val="24"/>
        </w:rPr>
        <w:t>主要货物材料进场，支付合同总金额 30%</w:t>
      </w:r>
      <w:r>
        <w:rPr>
          <w:spacing w:val="-12"/>
          <w:sz w:val="24"/>
          <w:szCs w:val="24"/>
        </w:rPr>
        <w:t>；</w:t>
      </w:r>
      <w:r>
        <w:rPr>
          <w:spacing w:val="1"/>
          <w:sz w:val="24"/>
          <w:szCs w:val="24"/>
        </w:rPr>
        <w:t xml:space="preserve"> </w:t>
      </w:r>
      <w:r>
        <w:rPr>
          <w:spacing w:val="-12"/>
          <w:sz w:val="24"/>
          <w:szCs w:val="24"/>
        </w:rPr>
        <w:t>（</w:t>
      </w:r>
      <w:r>
        <w:rPr>
          <w:spacing w:val="-2"/>
          <w:sz w:val="24"/>
          <w:szCs w:val="24"/>
        </w:rPr>
        <w:t>2）全部货物供货</w:t>
      </w:r>
      <w:r>
        <w:rPr>
          <w:spacing w:val="-3"/>
          <w:sz w:val="24"/>
          <w:szCs w:val="24"/>
        </w:rPr>
        <w:t>到场</w:t>
      </w:r>
      <w:r>
        <w:rPr>
          <w:spacing w:val="-35"/>
          <w:sz w:val="24"/>
          <w:szCs w:val="24"/>
        </w:rPr>
        <w:t xml:space="preserve"> </w:t>
      </w:r>
      <w:r>
        <w:rPr>
          <w:spacing w:val="-3"/>
          <w:sz w:val="24"/>
          <w:szCs w:val="24"/>
        </w:rPr>
        <w:t>，安装集成调试完成</w:t>
      </w:r>
      <w:r>
        <w:rPr>
          <w:spacing w:val="-35"/>
          <w:sz w:val="24"/>
          <w:szCs w:val="24"/>
        </w:rPr>
        <w:t xml:space="preserve"> </w:t>
      </w:r>
      <w:r>
        <w:rPr>
          <w:spacing w:val="-3"/>
          <w:sz w:val="24"/>
          <w:szCs w:val="24"/>
        </w:rPr>
        <w:t>，初验合格</w:t>
      </w:r>
      <w:r>
        <w:rPr>
          <w:spacing w:val="-34"/>
          <w:sz w:val="24"/>
          <w:szCs w:val="24"/>
        </w:rPr>
        <w:t xml:space="preserve"> </w:t>
      </w:r>
      <w:r>
        <w:rPr>
          <w:spacing w:val="-3"/>
          <w:sz w:val="24"/>
          <w:szCs w:val="24"/>
        </w:rPr>
        <w:t>，支付</w:t>
      </w:r>
      <w:r>
        <w:rPr>
          <w:spacing w:val="-2"/>
          <w:sz w:val="24"/>
          <w:szCs w:val="24"/>
        </w:rPr>
        <w:t>至合同总金额 70%</w:t>
      </w:r>
      <w:r>
        <w:rPr>
          <w:spacing w:val="-4"/>
          <w:sz w:val="24"/>
          <w:szCs w:val="24"/>
        </w:rPr>
        <w:t>；</w:t>
      </w:r>
      <w:r>
        <w:rPr>
          <w:spacing w:val="2"/>
          <w:sz w:val="24"/>
          <w:szCs w:val="24"/>
        </w:rPr>
        <w:t xml:space="preserve"> </w:t>
      </w:r>
      <w:r>
        <w:rPr>
          <w:spacing w:val="-4"/>
          <w:sz w:val="24"/>
          <w:szCs w:val="24"/>
        </w:rPr>
        <w:t>（</w:t>
      </w:r>
      <w:r>
        <w:rPr>
          <w:spacing w:val="-2"/>
          <w:sz w:val="24"/>
          <w:szCs w:val="24"/>
        </w:rPr>
        <w:t>3）项目整体竣工验收合格</w:t>
      </w:r>
      <w:r>
        <w:rPr>
          <w:spacing w:val="-34"/>
          <w:sz w:val="24"/>
          <w:szCs w:val="24"/>
        </w:rPr>
        <w:t xml:space="preserve"> </w:t>
      </w:r>
      <w:r>
        <w:rPr>
          <w:spacing w:val="-2"/>
          <w:sz w:val="24"/>
          <w:szCs w:val="24"/>
        </w:rPr>
        <w:t>，全部资料完整移交完毕</w:t>
      </w:r>
      <w:r>
        <w:rPr>
          <w:spacing w:val="-35"/>
          <w:sz w:val="24"/>
          <w:szCs w:val="24"/>
        </w:rPr>
        <w:t xml:space="preserve"> </w:t>
      </w:r>
      <w:r>
        <w:rPr>
          <w:spacing w:val="-2"/>
          <w:sz w:val="24"/>
          <w:szCs w:val="24"/>
        </w:rPr>
        <w:t>，支付至合同总金额 95%</w:t>
      </w:r>
      <w:r>
        <w:rPr>
          <w:spacing w:val="-11"/>
          <w:sz w:val="24"/>
          <w:szCs w:val="24"/>
        </w:rPr>
        <w:t>；</w:t>
      </w:r>
      <w:r>
        <w:rPr>
          <w:spacing w:val="2"/>
          <w:sz w:val="24"/>
          <w:szCs w:val="24"/>
        </w:rPr>
        <w:t xml:space="preserve"> </w:t>
      </w:r>
      <w:r>
        <w:rPr>
          <w:spacing w:val="-11"/>
          <w:sz w:val="24"/>
          <w:szCs w:val="24"/>
        </w:rPr>
        <w:t>（</w:t>
      </w:r>
      <w:r>
        <w:rPr>
          <w:spacing w:val="-2"/>
          <w:sz w:val="24"/>
          <w:szCs w:val="24"/>
        </w:rPr>
        <w:t>4）剩余</w:t>
      </w:r>
      <w:r>
        <w:rPr>
          <w:spacing w:val="22"/>
          <w:sz w:val="24"/>
          <w:szCs w:val="24"/>
        </w:rPr>
        <w:t xml:space="preserve"> </w:t>
      </w:r>
      <w:r>
        <w:rPr>
          <w:spacing w:val="-2"/>
          <w:sz w:val="24"/>
          <w:szCs w:val="24"/>
        </w:rPr>
        <w:t>5%竣工验收后</w:t>
      </w:r>
      <w:r>
        <w:rPr>
          <w:spacing w:val="-35"/>
          <w:sz w:val="24"/>
          <w:szCs w:val="24"/>
        </w:rPr>
        <w:t xml:space="preserve"> </w:t>
      </w:r>
      <w:r>
        <w:rPr>
          <w:spacing w:val="-2"/>
          <w:sz w:val="24"/>
          <w:szCs w:val="24"/>
        </w:rPr>
        <w:t>，无质量问题无息支付。</w:t>
      </w:r>
      <w:r>
        <w:rPr>
          <w:rFonts w:hint="eastAsia"/>
          <w:spacing w:val="-2"/>
          <w:sz w:val="24"/>
          <w:szCs w:val="24"/>
          <w:lang w:eastAsia="zh-CN"/>
        </w:rPr>
        <w:t>（</w:t>
      </w:r>
      <w:r>
        <w:rPr>
          <w:rFonts w:hint="eastAsia"/>
          <w:spacing w:val="-2"/>
          <w:sz w:val="24"/>
          <w:szCs w:val="24"/>
          <w:lang w:val="en-US" w:eastAsia="zh-CN"/>
        </w:rPr>
        <w:t>具体以签订合同为准</w:t>
      </w:r>
      <w:r>
        <w:rPr>
          <w:rFonts w:hint="eastAsia"/>
          <w:spacing w:val="-2"/>
          <w:sz w:val="24"/>
          <w:szCs w:val="24"/>
          <w:lang w:eastAsia="zh-CN"/>
        </w:rPr>
        <w:t>）</w:t>
      </w:r>
    </w:p>
    <w:p w14:paraId="358DC392">
      <w:pPr>
        <w:pStyle w:val="12"/>
        <w:spacing w:before="2" w:line="360" w:lineRule="auto"/>
        <w:ind w:right="18" w:firstLine="241" w:firstLineChars="100"/>
        <w:rPr>
          <w:sz w:val="24"/>
          <w:szCs w:val="24"/>
        </w:rPr>
      </w:pPr>
      <w:r>
        <w:rPr>
          <w:spacing w:val="-1"/>
          <w:sz w:val="24"/>
          <w:szCs w:val="24"/>
        </w:rPr>
        <w:t xml:space="preserve">4.  </w:t>
      </w:r>
      <w:r>
        <w:rPr>
          <w:b/>
          <w:bCs/>
          <w:spacing w:val="-1"/>
          <w:sz w:val="24"/>
          <w:szCs w:val="24"/>
        </w:rPr>
        <w:t xml:space="preserve">质保服务 </w:t>
      </w:r>
      <w:r>
        <w:rPr>
          <w:spacing w:val="-1"/>
          <w:sz w:val="24"/>
          <w:szCs w:val="24"/>
        </w:rPr>
        <w:t>：①整体项目质保期</w:t>
      </w:r>
      <w:r>
        <w:rPr>
          <w:rFonts w:hint="eastAsia"/>
          <w:b/>
          <w:bCs/>
          <w:spacing w:val="-1"/>
          <w:sz w:val="24"/>
          <w:szCs w:val="24"/>
          <w:lang w:val="en-US" w:eastAsia="zh-CN"/>
        </w:rPr>
        <w:t>3</w:t>
      </w:r>
      <w:r>
        <w:rPr>
          <w:b/>
          <w:bCs/>
          <w:spacing w:val="-1"/>
          <w:sz w:val="24"/>
          <w:szCs w:val="24"/>
        </w:rPr>
        <w:t xml:space="preserve"> 年</w:t>
      </w:r>
      <w:r>
        <w:rPr>
          <w:spacing w:val="-1"/>
          <w:sz w:val="24"/>
          <w:szCs w:val="24"/>
        </w:rPr>
        <w:t>；硬件设备</w:t>
      </w:r>
      <w:r>
        <w:rPr>
          <w:spacing w:val="-2"/>
          <w:sz w:val="24"/>
          <w:szCs w:val="24"/>
        </w:rPr>
        <w:t>不低于原厂质保</w:t>
      </w:r>
      <w:r>
        <w:rPr>
          <w:spacing w:val="-35"/>
          <w:sz w:val="24"/>
          <w:szCs w:val="24"/>
        </w:rPr>
        <w:t xml:space="preserve"> </w:t>
      </w:r>
      <w:r>
        <w:rPr>
          <w:spacing w:val="-2"/>
          <w:sz w:val="24"/>
          <w:szCs w:val="24"/>
        </w:rPr>
        <w:t xml:space="preserve">，且不低于 </w:t>
      </w:r>
      <w:r>
        <w:rPr>
          <w:rFonts w:hint="eastAsia"/>
          <w:spacing w:val="-2"/>
          <w:sz w:val="24"/>
          <w:szCs w:val="24"/>
          <w:lang w:val="en-US" w:eastAsia="zh-CN"/>
        </w:rPr>
        <w:t>3</w:t>
      </w:r>
      <w:r>
        <w:rPr>
          <w:spacing w:val="-2"/>
          <w:sz w:val="24"/>
          <w:szCs w:val="24"/>
        </w:rPr>
        <w:t xml:space="preserve"> 年；定制软件、音视频内容质保 </w:t>
      </w:r>
      <w:r>
        <w:rPr>
          <w:rFonts w:hint="eastAsia"/>
          <w:spacing w:val="-2"/>
          <w:sz w:val="24"/>
          <w:szCs w:val="24"/>
          <w:lang w:val="en-US" w:eastAsia="zh-CN"/>
        </w:rPr>
        <w:t>3</w:t>
      </w:r>
      <w:r>
        <w:rPr>
          <w:spacing w:val="-2"/>
          <w:sz w:val="24"/>
          <w:szCs w:val="24"/>
        </w:rPr>
        <w:t xml:space="preserve"> 年</w:t>
      </w:r>
      <w:r>
        <w:rPr>
          <w:spacing w:val="-35"/>
          <w:sz w:val="24"/>
          <w:szCs w:val="24"/>
        </w:rPr>
        <w:t xml:space="preserve"> </w:t>
      </w:r>
      <w:r>
        <w:rPr>
          <w:spacing w:val="-2"/>
          <w:sz w:val="24"/>
          <w:szCs w:val="24"/>
        </w:rPr>
        <w:t>，质保期内免费修复</w:t>
      </w:r>
      <w:r>
        <w:rPr>
          <w:spacing w:val="-3"/>
          <w:sz w:val="24"/>
          <w:szCs w:val="24"/>
        </w:rPr>
        <w:t>程序</w:t>
      </w:r>
      <w:r>
        <w:rPr>
          <w:spacing w:val="25"/>
          <w:sz w:val="24"/>
          <w:szCs w:val="24"/>
        </w:rPr>
        <w:t xml:space="preserve"> </w:t>
      </w:r>
      <w:r>
        <w:rPr>
          <w:spacing w:val="-3"/>
          <w:sz w:val="24"/>
          <w:szCs w:val="24"/>
        </w:rPr>
        <w:t>BUG、排除系统故障。 ②7</w:t>
      </w:r>
      <w:r>
        <w:rPr>
          <w:spacing w:val="-37"/>
          <w:sz w:val="24"/>
          <w:szCs w:val="24"/>
        </w:rPr>
        <w:t xml:space="preserve"> </w:t>
      </w:r>
      <w:r>
        <w:rPr>
          <w:spacing w:val="-3"/>
          <w:sz w:val="24"/>
          <w:szCs w:val="24"/>
        </w:rPr>
        <w:t>×</w:t>
      </w:r>
      <w:r>
        <w:rPr>
          <w:spacing w:val="-2"/>
          <w:sz w:val="24"/>
          <w:szCs w:val="24"/>
        </w:rPr>
        <w:t>24 小时技术支持</w:t>
      </w:r>
      <w:r>
        <w:rPr>
          <w:spacing w:val="-34"/>
          <w:sz w:val="24"/>
          <w:szCs w:val="24"/>
        </w:rPr>
        <w:t xml:space="preserve"> </w:t>
      </w:r>
      <w:r>
        <w:rPr>
          <w:spacing w:val="-2"/>
          <w:sz w:val="24"/>
          <w:szCs w:val="24"/>
        </w:rPr>
        <w:t>，故障报修 4 小时内响应</w:t>
      </w:r>
      <w:r>
        <w:rPr>
          <w:spacing w:val="-34"/>
          <w:sz w:val="24"/>
          <w:szCs w:val="24"/>
        </w:rPr>
        <w:t xml:space="preserve"> </w:t>
      </w:r>
      <w:r>
        <w:rPr>
          <w:spacing w:val="-2"/>
          <w:sz w:val="24"/>
          <w:szCs w:val="24"/>
        </w:rPr>
        <w:t xml:space="preserve">，现场故障 24 小时内到达现场处置。 </w:t>
      </w:r>
      <w:r>
        <w:rPr>
          <w:spacing w:val="-1"/>
          <w:sz w:val="24"/>
          <w:szCs w:val="24"/>
        </w:rPr>
        <w:t>质保期结束后提供成本价终身维保服务。</w:t>
      </w:r>
    </w:p>
    <w:p w14:paraId="0F750537">
      <w:pPr>
        <w:pStyle w:val="12"/>
        <w:spacing w:before="2" w:line="360" w:lineRule="auto"/>
        <w:ind w:left="720" w:right="28" w:hanging="344"/>
        <w:rPr>
          <w:spacing w:val="-1"/>
          <w:sz w:val="24"/>
          <w:szCs w:val="24"/>
        </w:rPr>
      </w:pPr>
      <w:r>
        <w:rPr>
          <w:spacing w:val="-1"/>
          <w:sz w:val="24"/>
          <w:szCs w:val="24"/>
        </w:rPr>
        <w:t xml:space="preserve">5.  </w:t>
      </w:r>
      <w:r>
        <w:rPr>
          <w:b/>
          <w:bCs/>
          <w:spacing w:val="-1"/>
          <w:sz w:val="24"/>
          <w:szCs w:val="24"/>
        </w:rPr>
        <w:t xml:space="preserve">资料移交： </w:t>
      </w:r>
      <w:r>
        <w:rPr>
          <w:spacing w:val="-1"/>
          <w:sz w:val="24"/>
          <w:szCs w:val="24"/>
        </w:rPr>
        <w:t>竣工验收移交资料包含：</w:t>
      </w:r>
      <w:r>
        <w:rPr>
          <w:sz w:val="24"/>
          <w:szCs w:val="24"/>
        </w:rPr>
        <w:t>设备合格证、检测报告；全部音视频、软件源工程文件及源素材；</w:t>
      </w:r>
      <w:r>
        <w:rPr>
          <w:spacing w:val="-1"/>
          <w:sz w:val="24"/>
          <w:szCs w:val="24"/>
        </w:rPr>
        <w:t>全套电子资料。</w:t>
      </w:r>
    </w:p>
    <w:p w14:paraId="0AE85DBF">
      <w:pPr>
        <w:pStyle w:val="12"/>
        <w:spacing w:before="2" w:line="360" w:lineRule="auto"/>
        <w:ind w:left="720" w:right="28" w:hanging="344"/>
        <w:rPr>
          <w:rFonts w:hint="eastAsia"/>
          <w:spacing w:val="-1"/>
          <w:sz w:val="24"/>
          <w:szCs w:val="24"/>
          <w:lang w:val="en-US" w:eastAsia="zh-CN"/>
        </w:rPr>
      </w:pPr>
      <w:r>
        <w:rPr>
          <w:rFonts w:hint="eastAsia"/>
          <w:spacing w:val="-1"/>
          <w:sz w:val="24"/>
          <w:szCs w:val="24"/>
          <w:lang w:val="en-US" w:eastAsia="zh-CN"/>
        </w:rPr>
        <w:t>6、设计深化及需求</w:t>
      </w:r>
    </w:p>
    <w:p w14:paraId="4AFB2BD3">
      <w:pPr>
        <w:pStyle w:val="12"/>
        <w:spacing w:before="2" w:line="360" w:lineRule="auto"/>
        <w:ind w:left="720" w:right="28" w:hanging="344"/>
        <w:rPr>
          <w:rFonts w:hint="eastAsia"/>
          <w:spacing w:val="-1"/>
          <w:sz w:val="24"/>
          <w:szCs w:val="24"/>
          <w:lang w:val="en-US" w:eastAsia="zh-CN"/>
        </w:rPr>
      </w:pPr>
      <w:r>
        <w:rPr>
          <w:rFonts w:hint="eastAsia"/>
          <w:spacing w:val="-1"/>
          <w:sz w:val="24"/>
          <w:szCs w:val="24"/>
          <w:lang w:val="en-US" w:eastAsia="zh-CN"/>
        </w:rPr>
        <w:t>（一）发展规划展示区域</w:t>
      </w:r>
    </w:p>
    <w:p w14:paraId="5DBEACBB">
      <w:pPr>
        <w:pStyle w:val="12"/>
        <w:spacing w:before="2" w:line="360" w:lineRule="auto"/>
        <w:ind w:left="775" w:leftChars="364" w:right="28" w:firstLine="568" w:firstLineChars="236"/>
        <w:rPr>
          <w:rFonts w:hint="eastAsia"/>
          <w:spacing w:val="-1"/>
          <w:sz w:val="24"/>
          <w:szCs w:val="24"/>
          <w:lang w:val="en-US" w:eastAsia="zh-CN"/>
        </w:rPr>
      </w:pPr>
      <w:r>
        <w:rPr>
          <w:rFonts w:hint="eastAsia"/>
          <w:spacing w:val="-1"/>
          <w:sz w:val="24"/>
          <w:szCs w:val="24"/>
          <w:lang w:val="en-US" w:eastAsia="zh-CN"/>
        </w:rPr>
        <w:t>深化改造现有部分展示空间（高原牧歌展区、非遗文化展区等），打造乌恰县发展规划主题展区，因地制宜，满足当下新时期观展需求。重点展示乌恰县积极承担“五大战略定位”的责任与使命。聚焦自治州工业经济“三大布局”“重点产业”，推动农业产业“四个百万工程”、城市建设“四大行动”，做好生态环保“六篇文章”，实施文化润疆“十二项工程”，以基层治理“八力”为抓手，加快建设现代化经济体系。分多个小节，系统梳理呈现乌恰县在交通基础建设、代表产业、科技创新赋能、产城融合发展、西极特色文化、民生医疗保障等方面取得的成果及未来发展规划，需要图文并茂、清晰呈现乌恰基本信息、交通路线、枢纽站点、产业生态、民生发展等信息，并充分融合艺术屏幕、互动触摸、电子版图、虚拟对话等数字多媒体形式，动静结合，虚实兼具，打造展现乌恰发展蓝图、彰显中国西极边境新城、打造现代化口岸城市魅力的重要窗口。</w:t>
      </w:r>
    </w:p>
    <w:p w14:paraId="2E844477">
      <w:pPr>
        <w:pStyle w:val="12"/>
        <w:spacing w:before="2" w:line="360" w:lineRule="auto"/>
        <w:ind w:left="720" w:right="28" w:hanging="344"/>
        <w:rPr>
          <w:rFonts w:hint="eastAsia"/>
          <w:spacing w:val="-1"/>
          <w:sz w:val="24"/>
          <w:szCs w:val="24"/>
          <w:lang w:val="en-US" w:eastAsia="zh-CN"/>
        </w:rPr>
      </w:pPr>
      <w:r>
        <w:rPr>
          <w:rFonts w:hint="eastAsia"/>
          <w:spacing w:val="-1"/>
          <w:sz w:val="24"/>
          <w:szCs w:val="24"/>
          <w:lang w:val="en-US" w:eastAsia="zh-CN"/>
        </w:rPr>
        <w:t>（二）数字沙盘区域</w:t>
      </w:r>
    </w:p>
    <w:p w14:paraId="693F3286">
      <w:pPr>
        <w:pStyle w:val="12"/>
        <w:spacing w:before="2" w:line="360" w:lineRule="auto"/>
        <w:ind w:left="775" w:leftChars="364" w:right="28" w:firstLine="330" w:firstLineChars="137"/>
        <w:rPr>
          <w:rFonts w:hint="eastAsia"/>
          <w:spacing w:val="-1"/>
          <w:sz w:val="24"/>
          <w:szCs w:val="24"/>
          <w:lang w:val="en-US" w:eastAsia="zh-CN"/>
        </w:rPr>
      </w:pPr>
      <w:r>
        <w:rPr>
          <w:rFonts w:hint="eastAsia"/>
          <w:spacing w:val="-1"/>
          <w:sz w:val="24"/>
          <w:szCs w:val="24"/>
          <w:lang w:val="en-US" w:eastAsia="zh-CN"/>
        </w:rPr>
        <w:t>数字沙盘区域，与规划展陈区域遥相呼应，相辅相成。以逼真震撼的动画输出和大气磅礴的视觉冲击，全方位为我们演绎呈现了乌恰县坚持以习近平新时代中国特色社会主义思想为指导，全面贯彻落实党的二十大和二十届四中全会精神，完整准确贯彻新时代党的治疆方略。牢牢把握铸牢中华民族共同体意识主线，推动经济建设、政治建设、文化建设、社会建设、生态文明建设等，推动乌恰中心城区从以产促城、以城促产、产城融合发展的宏伟时代篇章。</w:t>
      </w:r>
    </w:p>
    <w:p w14:paraId="72B3D4D3">
      <w:pPr>
        <w:pStyle w:val="12"/>
        <w:spacing w:before="2" w:line="360" w:lineRule="auto"/>
        <w:ind w:left="775" w:leftChars="364" w:right="28" w:firstLine="330" w:firstLineChars="137"/>
        <w:rPr>
          <w:rFonts w:hint="eastAsia"/>
          <w:spacing w:val="-1"/>
          <w:sz w:val="24"/>
          <w:szCs w:val="24"/>
          <w:lang w:val="en-US" w:eastAsia="zh-CN"/>
        </w:rPr>
      </w:pPr>
      <w:r>
        <w:rPr>
          <w:rFonts w:hint="eastAsia"/>
          <w:spacing w:val="-1"/>
          <w:sz w:val="24"/>
          <w:szCs w:val="24"/>
          <w:lang w:val="en-US" w:eastAsia="zh-CN"/>
        </w:rPr>
        <w:t>传统沙盘升级为全景数字沙盘，彻底打破静态展示局限，以科技赋能，为大家带来全方位视觉震撼与沉浸式观展体验。本次提供观景平台方案，可以实现参观者立于平台之上，抑或通过平台游走，深度融合。更进一步进入沙盘，近距离感知，全方位沉浸，更加近距离、无死角感受规划沙盘及数字影音冲击，成功实现从“看沙盘”到“入沙盘”的沉浸式跨越。</w:t>
      </w:r>
    </w:p>
    <w:p w14:paraId="3759E640">
      <w:pPr>
        <w:pStyle w:val="12"/>
        <w:spacing w:before="2" w:line="360" w:lineRule="auto"/>
        <w:ind w:left="775" w:leftChars="364" w:right="28" w:firstLine="330" w:firstLineChars="137"/>
        <w:rPr>
          <w:rFonts w:hint="eastAsia"/>
          <w:spacing w:val="-1"/>
          <w:sz w:val="24"/>
          <w:szCs w:val="24"/>
          <w:lang w:val="en-US" w:eastAsia="zh-CN"/>
        </w:rPr>
      </w:pPr>
      <w:r>
        <w:rPr>
          <w:rFonts w:hint="eastAsia"/>
          <w:spacing w:val="-1"/>
          <w:sz w:val="24"/>
          <w:szCs w:val="24"/>
          <w:lang w:val="en-US" w:eastAsia="zh-CN"/>
        </w:rPr>
        <w:t>电子屏视频内容重点展示沙盘重点呈现、数字演绎乌恰未来口岸、交通枢纽、火车站、机场的孪生数字形态，将精准还原的数字孪生场景与裸眼3D技术深度融合，大气呈现两大口岸通关有序、货运穿梭，展示乌恰交通枢纽路网纵横、未来火车站以及通用机场等震撼画面，全方位呈现乌恰未来发展规划的全景蓝图。</w:t>
      </w:r>
    </w:p>
    <w:p w14:paraId="2B72D90B">
      <w:pPr>
        <w:pStyle w:val="12"/>
        <w:spacing w:before="2" w:line="360" w:lineRule="auto"/>
        <w:ind w:left="775" w:leftChars="364" w:right="28" w:firstLine="330" w:firstLineChars="137"/>
        <w:rPr>
          <w:rFonts w:hint="eastAsia"/>
          <w:spacing w:val="-1"/>
          <w:sz w:val="24"/>
          <w:szCs w:val="24"/>
          <w:lang w:val="en-US" w:eastAsia="zh-CN"/>
        </w:rPr>
      </w:pPr>
      <w:r>
        <w:rPr>
          <w:rFonts w:hint="eastAsia"/>
          <w:spacing w:val="-1"/>
          <w:sz w:val="24"/>
          <w:szCs w:val="24"/>
          <w:lang w:val="en-US" w:eastAsia="zh-CN"/>
        </w:rPr>
        <w:t>通过大型电子屏幕、沙盘内置光影与吊顶灯光的无缝多维衔接、同频联动，彻底打破静态平面展示的束缚，让乌恰的发展蓝图真正活起来、动起来、立起来。让立体画面强势突破屏幕边界，扑面而来、触手可及，带来极具冲击力的视觉盛宴。</w:t>
      </w:r>
    </w:p>
    <w:p w14:paraId="147A7044">
      <w:pPr>
        <w:pStyle w:val="12"/>
        <w:spacing w:before="305" w:line="360" w:lineRule="auto"/>
        <w:ind w:firstLine="241" w:firstLineChars="100"/>
        <w:outlineLvl w:val="1"/>
        <w:rPr>
          <w:sz w:val="24"/>
          <w:szCs w:val="24"/>
        </w:rPr>
      </w:pPr>
      <w:r>
        <w:rPr>
          <w:rFonts w:hint="eastAsia"/>
          <w:b/>
          <w:bCs/>
          <w:spacing w:val="-1"/>
          <w:sz w:val="24"/>
          <w:szCs w:val="24"/>
          <w:lang w:val="en-US" w:eastAsia="zh-CN"/>
        </w:rPr>
        <w:t>7、</w:t>
      </w:r>
      <w:r>
        <w:rPr>
          <w:b/>
          <w:bCs/>
          <w:spacing w:val="-1"/>
          <w:sz w:val="24"/>
          <w:szCs w:val="24"/>
        </w:rPr>
        <w:t>验收要求</w:t>
      </w:r>
    </w:p>
    <w:p w14:paraId="49D74C07">
      <w:pPr>
        <w:pStyle w:val="12"/>
        <w:spacing w:before="332" w:line="360" w:lineRule="auto"/>
        <w:ind w:left="716" w:right="67" w:hanging="335"/>
        <w:rPr>
          <w:sz w:val="24"/>
          <w:szCs w:val="24"/>
        </w:rPr>
      </w:pPr>
      <w:r>
        <w:rPr>
          <w:sz w:val="24"/>
          <w:szCs w:val="24"/>
        </w:rPr>
        <w:t>1.  验收依据：本采购需求、中标响应文件、采购人确认的加工 / 安装</w:t>
      </w:r>
      <w:r>
        <w:rPr>
          <w:spacing w:val="-1"/>
          <w:sz w:val="24"/>
          <w:szCs w:val="24"/>
        </w:rPr>
        <w:t>配套图纸</w:t>
      </w:r>
      <w:r>
        <w:rPr>
          <w:sz w:val="24"/>
          <w:szCs w:val="24"/>
        </w:rPr>
        <w:t>、国家及行业现行相关规范标</w:t>
      </w:r>
      <w:r>
        <w:rPr>
          <w:spacing w:val="-1"/>
          <w:sz w:val="24"/>
          <w:szCs w:val="24"/>
        </w:rPr>
        <w:t>准。</w:t>
      </w:r>
    </w:p>
    <w:p w14:paraId="22B440BA">
      <w:pPr>
        <w:pStyle w:val="12"/>
        <w:spacing w:before="3" w:line="360" w:lineRule="auto"/>
        <w:ind w:left="719" w:right="69" w:hanging="349"/>
        <w:rPr>
          <w:sz w:val="24"/>
          <w:szCs w:val="24"/>
        </w:rPr>
      </w:pPr>
      <w:r>
        <w:rPr>
          <w:sz w:val="24"/>
          <w:szCs w:val="24"/>
        </w:rPr>
        <w:t>2.  验收内容：核对货物数量、规格、材质；造型、场景效果；全部多媒体</w:t>
      </w:r>
      <w:r>
        <w:rPr>
          <w:spacing w:val="-1"/>
          <w:sz w:val="24"/>
          <w:szCs w:val="24"/>
        </w:rPr>
        <w:t>展项、交互程序、中控系统音视频播放功能；完成人员培训</w:t>
      </w:r>
      <w:r>
        <w:rPr>
          <w:spacing w:val="-34"/>
          <w:sz w:val="24"/>
          <w:szCs w:val="24"/>
        </w:rPr>
        <w:t xml:space="preserve"> </w:t>
      </w:r>
      <w:r>
        <w:rPr>
          <w:spacing w:val="-1"/>
          <w:sz w:val="24"/>
          <w:szCs w:val="24"/>
        </w:rPr>
        <w:t>，全套资</w:t>
      </w:r>
      <w:r>
        <w:rPr>
          <w:spacing w:val="-2"/>
          <w:sz w:val="24"/>
          <w:szCs w:val="24"/>
        </w:rPr>
        <w:t>料完整移交。</w:t>
      </w:r>
    </w:p>
    <w:p w14:paraId="0D9C53EB">
      <w:pPr>
        <w:pStyle w:val="12"/>
        <w:spacing w:before="2" w:line="360" w:lineRule="auto"/>
        <w:ind w:left="719" w:right="69" w:hanging="346"/>
        <w:rPr>
          <w:sz w:val="24"/>
          <w:szCs w:val="24"/>
        </w:rPr>
      </w:pPr>
      <w:r>
        <w:rPr>
          <w:spacing w:val="-2"/>
          <w:sz w:val="24"/>
          <w:szCs w:val="24"/>
        </w:rPr>
        <w:t>3.  采购人可组织专家参与项目验收；如验收不合格</w:t>
      </w:r>
      <w:r>
        <w:rPr>
          <w:spacing w:val="-22"/>
          <w:sz w:val="24"/>
          <w:szCs w:val="24"/>
        </w:rPr>
        <w:t xml:space="preserve"> </w:t>
      </w:r>
      <w:r>
        <w:rPr>
          <w:spacing w:val="-2"/>
          <w:sz w:val="24"/>
          <w:szCs w:val="24"/>
        </w:rPr>
        <w:t>，中标供应商须限期完成整改</w:t>
      </w:r>
      <w:r>
        <w:rPr>
          <w:spacing w:val="-35"/>
          <w:sz w:val="24"/>
          <w:szCs w:val="24"/>
        </w:rPr>
        <w:t xml:space="preserve"> </w:t>
      </w:r>
      <w:r>
        <w:rPr>
          <w:spacing w:val="-2"/>
          <w:sz w:val="24"/>
          <w:szCs w:val="24"/>
        </w:rPr>
        <w:t>，整改产</w:t>
      </w:r>
      <w:r>
        <w:rPr>
          <w:spacing w:val="-3"/>
          <w:sz w:val="24"/>
          <w:szCs w:val="24"/>
        </w:rPr>
        <w:t>生全部费用自行承担</w:t>
      </w:r>
      <w:r>
        <w:rPr>
          <w:spacing w:val="-25"/>
          <w:sz w:val="24"/>
          <w:szCs w:val="24"/>
        </w:rPr>
        <w:t xml:space="preserve"> </w:t>
      </w:r>
      <w:r>
        <w:rPr>
          <w:spacing w:val="-3"/>
          <w:sz w:val="24"/>
          <w:szCs w:val="24"/>
        </w:rPr>
        <w:t>，直至验收合格。</w:t>
      </w:r>
    </w:p>
    <w:p w14:paraId="1EB0DE85">
      <w:pPr>
        <w:pStyle w:val="12"/>
        <w:spacing w:before="280" w:line="184" w:lineRule="auto"/>
        <w:ind w:firstLine="241" w:firstLineChars="100"/>
        <w:outlineLvl w:val="1"/>
        <w:rPr>
          <w:sz w:val="24"/>
          <w:szCs w:val="24"/>
        </w:rPr>
      </w:pPr>
      <w:r>
        <w:rPr>
          <w:rFonts w:hint="eastAsia"/>
          <w:b/>
          <w:bCs/>
          <w:spacing w:val="-1"/>
          <w:sz w:val="24"/>
          <w:szCs w:val="24"/>
          <w:lang w:val="en-US" w:eastAsia="zh-CN"/>
        </w:rPr>
        <w:t>8</w:t>
      </w:r>
      <w:r>
        <w:rPr>
          <w:b/>
          <w:bCs/>
          <w:spacing w:val="-1"/>
          <w:sz w:val="24"/>
          <w:szCs w:val="24"/>
        </w:rPr>
        <w:t>、其他说明</w:t>
      </w:r>
    </w:p>
    <w:p w14:paraId="61B1A5DD">
      <w:pPr>
        <w:pStyle w:val="12"/>
        <w:spacing w:before="1" w:line="225" w:lineRule="auto"/>
        <w:ind w:left="370"/>
        <w:rPr>
          <w:sz w:val="24"/>
          <w:szCs w:val="24"/>
        </w:rPr>
      </w:pPr>
      <w:r>
        <w:rPr>
          <w:rFonts w:hint="eastAsia"/>
          <w:spacing w:val="-1"/>
          <w:sz w:val="24"/>
          <w:szCs w:val="24"/>
          <w:lang w:val="en-US" w:eastAsia="zh-CN"/>
        </w:rPr>
        <w:t>1</w:t>
      </w:r>
      <w:r>
        <w:rPr>
          <w:spacing w:val="-1"/>
          <w:sz w:val="24"/>
          <w:szCs w:val="24"/>
        </w:rPr>
        <w:t>.  所有多媒体文字、脚本、画面初稿必须经采购人审核确认</w:t>
      </w:r>
      <w:r>
        <w:rPr>
          <w:spacing w:val="-30"/>
          <w:sz w:val="24"/>
          <w:szCs w:val="24"/>
        </w:rPr>
        <w:t xml:space="preserve"> </w:t>
      </w:r>
      <w:r>
        <w:rPr>
          <w:spacing w:val="-1"/>
          <w:sz w:val="24"/>
          <w:szCs w:val="24"/>
        </w:rPr>
        <w:t>，方可制作成品。</w:t>
      </w:r>
    </w:p>
    <w:p w14:paraId="72EE86AB">
      <w:pPr>
        <w:ind w:firstLine="3030" w:firstLineChars="1000"/>
        <w:rPr>
          <w:rFonts w:hint="eastAsia" w:ascii="宋体" w:hAnsi="Calibri" w:eastAsia="宋体" w:cs="宋体"/>
          <w:b/>
          <w:kern w:val="2"/>
          <w:sz w:val="30"/>
          <w:szCs w:val="30"/>
          <w:lang w:val="en-US" w:eastAsia="zh-CN" w:bidi="ar-SA"/>
        </w:rPr>
      </w:pPr>
      <w:bookmarkStart w:id="68" w:name="_Toc469495740"/>
    </w:p>
    <w:p w14:paraId="6614CB19">
      <w:pPr>
        <w:ind w:firstLine="3030" w:firstLineChars="1000"/>
        <w:rPr>
          <w:rFonts w:hint="eastAsia" w:ascii="宋体" w:hAnsi="Calibri" w:eastAsia="宋体" w:cs="宋体"/>
          <w:b/>
          <w:kern w:val="2"/>
          <w:sz w:val="30"/>
          <w:szCs w:val="30"/>
          <w:lang w:val="en-US" w:eastAsia="zh-CN" w:bidi="ar-SA"/>
        </w:rPr>
      </w:pPr>
    </w:p>
    <w:p w14:paraId="551DDC7F">
      <w:pPr>
        <w:ind w:firstLine="3030" w:firstLineChars="1000"/>
        <w:rPr>
          <w:rFonts w:hint="eastAsia" w:ascii="宋体" w:hAnsi="Calibri" w:eastAsia="宋体" w:cs="宋体"/>
          <w:b/>
          <w:kern w:val="2"/>
          <w:sz w:val="30"/>
          <w:szCs w:val="30"/>
          <w:lang w:val="en-US" w:eastAsia="zh-CN" w:bidi="ar-SA"/>
        </w:rPr>
      </w:pPr>
    </w:p>
    <w:p w14:paraId="00EC74CF">
      <w:pPr>
        <w:ind w:firstLine="3030" w:firstLineChars="1000"/>
        <w:rPr>
          <w:rFonts w:hint="eastAsia" w:ascii="宋体" w:hAnsi="Calibri" w:eastAsia="宋体" w:cs="宋体"/>
          <w:b/>
          <w:kern w:val="2"/>
          <w:sz w:val="30"/>
          <w:szCs w:val="30"/>
          <w:lang w:val="en-US" w:eastAsia="zh-CN" w:bidi="ar-SA"/>
        </w:rPr>
      </w:pPr>
    </w:p>
    <w:p w14:paraId="0D1D5BCF">
      <w:pPr>
        <w:ind w:firstLine="3030" w:firstLineChars="1000"/>
        <w:rPr>
          <w:rFonts w:hint="eastAsia" w:ascii="宋体" w:hAnsi="Calibri" w:eastAsia="宋体" w:cs="宋体"/>
          <w:b/>
          <w:kern w:val="2"/>
          <w:sz w:val="30"/>
          <w:szCs w:val="30"/>
          <w:lang w:val="en-US" w:eastAsia="zh-CN" w:bidi="ar-SA"/>
        </w:rPr>
      </w:pPr>
    </w:p>
    <w:p w14:paraId="18B48DB1">
      <w:pPr>
        <w:ind w:firstLine="3030" w:firstLineChars="1000"/>
        <w:rPr>
          <w:rFonts w:hint="eastAsia" w:ascii="宋体" w:hAnsi="Calibri" w:eastAsia="宋体" w:cs="宋体"/>
          <w:b/>
          <w:kern w:val="2"/>
          <w:sz w:val="30"/>
          <w:szCs w:val="30"/>
          <w:lang w:val="en-US" w:eastAsia="zh-CN" w:bidi="ar-SA"/>
        </w:rPr>
      </w:pPr>
    </w:p>
    <w:p w14:paraId="4A8B76CD">
      <w:pPr>
        <w:ind w:firstLine="3030" w:firstLineChars="1000"/>
        <w:rPr>
          <w:rFonts w:hint="eastAsia" w:ascii="宋体" w:hAnsi="Calibri" w:eastAsia="宋体" w:cs="宋体"/>
          <w:b/>
          <w:kern w:val="2"/>
          <w:sz w:val="30"/>
          <w:szCs w:val="30"/>
          <w:lang w:val="en-US" w:eastAsia="zh-CN" w:bidi="ar-SA"/>
        </w:rPr>
      </w:pPr>
    </w:p>
    <w:p w14:paraId="01966CFF">
      <w:pPr>
        <w:ind w:firstLine="3030" w:firstLineChars="1000"/>
        <w:rPr>
          <w:rFonts w:hint="eastAsia" w:ascii="宋体" w:hAnsi="Calibri" w:eastAsia="宋体" w:cs="宋体"/>
          <w:b/>
          <w:kern w:val="2"/>
          <w:sz w:val="30"/>
          <w:szCs w:val="30"/>
          <w:lang w:val="en-US" w:eastAsia="zh-CN" w:bidi="ar-SA"/>
        </w:rPr>
      </w:pPr>
    </w:p>
    <w:p w14:paraId="1256F72F">
      <w:pPr>
        <w:ind w:firstLine="3030" w:firstLineChars="1000"/>
        <w:rPr>
          <w:rFonts w:hint="eastAsia" w:ascii="宋体" w:hAnsi="Calibri" w:eastAsia="宋体" w:cs="宋体"/>
          <w:b/>
          <w:kern w:val="2"/>
          <w:sz w:val="30"/>
          <w:szCs w:val="30"/>
          <w:lang w:val="en-US" w:eastAsia="zh-CN" w:bidi="ar-SA"/>
        </w:rPr>
      </w:pPr>
    </w:p>
    <w:p w14:paraId="6A7B7CFF">
      <w:pPr>
        <w:ind w:firstLine="3030" w:firstLineChars="1000"/>
        <w:rPr>
          <w:rFonts w:hint="eastAsia" w:ascii="宋体" w:hAnsi="Calibri" w:eastAsia="宋体" w:cs="宋体"/>
          <w:b/>
          <w:kern w:val="2"/>
          <w:sz w:val="30"/>
          <w:szCs w:val="30"/>
          <w:lang w:val="en-US" w:eastAsia="zh-CN" w:bidi="ar-SA"/>
        </w:rPr>
      </w:pPr>
    </w:p>
    <w:p w14:paraId="1D91B1B9">
      <w:pPr>
        <w:ind w:firstLine="3030" w:firstLineChars="1000"/>
        <w:rPr>
          <w:rFonts w:hint="eastAsia" w:ascii="宋体" w:hAnsi="Calibri" w:eastAsia="宋体" w:cs="宋体"/>
          <w:b/>
          <w:kern w:val="2"/>
          <w:sz w:val="30"/>
          <w:szCs w:val="30"/>
          <w:lang w:val="en-US" w:eastAsia="zh-CN" w:bidi="ar-SA"/>
        </w:rPr>
      </w:pPr>
    </w:p>
    <w:p w14:paraId="7FDA6FBF">
      <w:pPr>
        <w:ind w:firstLine="3030" w:firstLineChars="1000"/>
        <w:rPr>
          <w:rFonts w:hint="eastAsia" w:ascii="宋体" w:hAnsi="Calibri" w:eastAsia="宋体" w:cs="宋体"/>
          <w:b/>
          <w:kern w:val="2"/>
          <w:sz w:val="30"/>
          <w:szCs w:val="30"/>
          <w:lang w:val="en-US" w:eastAsia="zh-CN" w:bidi="ar-SA"/>
        </w:rPr>
      </w:pPr>
    </w:p>
    <w:p w14:paraId="3CDC89DD">
      <w:pPr>
        <w:ind w:firstLine="3030" w:firstLineChars="1000"/>
        <w:rPr>
          <w:rFonts w:hint="eastAsia" w:ascii="宋体" w:hAnsi="Calibri" w:eastAsia="宋体" w:cs="宋体"/>
          <w:b/>
          <w:kern w:val="2"/>
          <w:sz w:val="30"/>
          <w:szCs w:val="30"/>
          <w:lang w:val="en-US" w:eastAsia="zh-CN" w:bidi="ar-SA"/>
        </w:rPr>
      </w:pPr>
    </w:p>
    <w:p w14:paraId="718DDB2D">
      <w:pPr>
        <w:ind w:firstLine="3030" w:firstLineChars="1000"/>
        <w:rPr>
          <w:rFonts w:hint="eastAsia" w:ascii="宋体" w:hAnsi="Calibri" w:eastAsia="宋体" w:cs="宋体"/>
          <w:b/>
          <w:kern w:val="2"/>
          <w:sz w:val="30"/>
          <w:szCs w:val="30"/>
          <w:lang w:val="en-US" w:eastAsia="zh-CN" w:bidi="ar-SA"/>
        </w:rPr>
      </w:pPr>
    </w:p>
    <w:p w14:paraId="55ECEE3B">
      <w:pPr>
        <w:ind w:firstLine="3030" w:firstLineChars="1000"/>
        <w:rPr>
          <w:rFonts w:hint="eastAsia" w:ascii="宋体" w:hAnsi="Calibri" w:eastAsia="宋体" w:cs="宋体"/>
          <w:b/>
          <w:kern w:val="2"/>
          <w:sz w:val="30"/>
          <w:szCs w:val="30"/>
          <w:lang w:val="en-US" w:eastAsia="zh-CN" w:bidi="ar-SA"/>
        </w:rPr>
      </w:pPr>
    </w:p>
    <w:p w14:paraId="6B3B8391">
      <w:pPr>
        <w:ind w:firstLine="3030" w:firstLineChars="1000"/>
        <w:rPr>
          <w:rFonts w:hint="eastAsia" w:ascii="宋体" w:hAnsi="Calibri" w:eastAsia="宋体" w:cs="宋体"/>
          <w:b/>
          <w:kern w:val="2"/>
          <w:sz w:val="30"/>
          <w:szCs w:val="30"/>
          <w:lang w:val="en-US" w:eastAsia="zh-CN" w:bidi="ar-SA"/>
        </w:rPr>
      </w:pPr>
    </w:p>
    <w:p w14:paraId="1CE6B39D">
      <w:pPr>
        <w:ind w:firstLine="3030" w:firstLineChars="1000"/>
        <w:rPr>
          <w:rFonts w:ascii="宋体"/>
          <w:b/>
          <w:sz w:val="30"/>
          <w:szCs w:val="30"/>
        </w:rPr>
      </w:pPr>
      <w:r>
        <w:rPr>
          <w:rFonts w:hint="eastAsia" w:ascii="宋体" w:hAnsi="Calibri" w:eastAsia="宋体" w:cs="宋体"/>
          <w:b/>
          <w:kern w:val="2"/>
          <w:sz w:val="30"/>
          <w:szCs w:val="30"/>
          <w:lang w:val="en-US" w:eastAsia="zh-CN" w:bidi="ar-SA"/>
        </w:rPr>
        <w:t>第五章</w:t>
      </w:r>
      <w:r>
        <w:rPr>
          <w:rFonts w:hint="eastAsia" w:ascii="宋体"/>
          <w:b/>
          <w:sz w:val="30"/>
          <w:szCs w:val="30"/>
        </w:rPr>
        <w:t xml:space="preserve"> 合同条款及格式</w:t>
      </w:r>
      <w:bookmarkEnd w:id="68"/>
      <w:bookmarkStart w:id="69" w:name="_Toc20669"/>
    </w:p>
    <w:p w14:paraId="5AF85363">
      <w:pPr>
        <w:spacing w:line="480" w:lineRule="exact"/>
        <w:jc w:val="center"/>
        <w:outlineLvl w:val="1"/>
        <w:rPr>
          <w:rFonts w:ascii="宋体" w:hAnsi="宋体"/>
          <w:szCs w:val="21"/>
        </w:rPr>
      </w:pPr>
      <w:r>
        <w:rPr>
          <w:rFonts w:hint="eastAsia" w:ascii="宋体" w:hAnsi="宋体"/>
          <w:szCs w:val="21"/>
        </w:rPr>
        <w:t>（本合同为合同样稿，最终稿由供需双方协商后确定）</w:t>
      </w:r>
      <w:bookmarkEnd w:id="69"/>
    </w:p>
    <w:p w14:paraId="0F70C82F">
      <w:pPr>
        <w:widowControl/>
        <w:numPr>
          <w:ilvl w:val="0"/>
          <w:numId w:val="6"/>
        </w:numPr>
        <w:spacing w:line="600" w:lineRule="exact"/>
        <w:jc w:val="center"/>
        <w:textAlignment w:val="baseline"/>
        <w:outlineLvl w:val="1"/>
        <w:rPr>
          <w:rFonts w:ascii="黑体" w:eastAsia="黑体"/>
          <w:b/>
          <w:sz w:val="24"/>
        </w:rPr>
      </w:pPr>
      <w:r>
        <w:rPr>
          <w:rFonts w:hint="eastAsia" w:ascii="宋体"/>
          <w:b/>
          <w:sz w:val="24"/>
        </w:rPr>
        <w:t xml:space="preserve"> </w:t>
      </w:r>
      <w:bookmarkStart w:id="70" w:name="_Toc469495741"/>
      <w:r>
        <w:rPr>
          <w:rFonts w:hint="eastAsia" w:ascii="宋体"/>
          <w:b/>
          <w:sz w:val="24"/>
        </w:rPr>
        <w:t>合同协议书</w:t>
      </w:r>
      <w:bookmarkEnd w:id="70"/>
    </w:p>
    <w:p w14:paraId="01171A6B">
      <w:pPr>
        <w:spacing w:line="360" w:lineRule="auto"/>
        <w:ind w:firstLine="1799" w:firstLineChars="845"/>
        <w:rPr>
          <w:rFonts w:ascii="宋体"/>
          <w:sz w:val="24"/>
        </w:rPr>
      </w:pPr>
      <w:r>
        <w:rPr>
          <w:rFonts w:hint="eastAsia" w:ascii="宋体" w:hAnsi="Times New Roman"/>
          <w:szCs w:val="21"/>
        </w:rPr>
        <w:t xml:space="preserve">合同名称 </w:t>
      </w:r>
      <w:r>
        <w:rPr>
          <w:rFonts w:hint="eastAsia" w:ascii="宋体"/>
          <w:b/>
          <w:sz w:val="24"/>
        </w:rPr>
        <w:t xml:space="preserve">  </w:t>
      </w:r>
      <w:r>
        <w:rPr>
          <w:rFonts w:hint="eastAsia" w:ascii="宋体"/>
          <w:sz w:val="24"/>
        </w:rPr>
        <w:t xml:space="preserve">          编号</w:t>
      </w:r>
    </w:p>
    <w:p w14:paraId="0F8E8F80">
      <w:pPr>
        <w:ind w:firstLine="426" w:firstLineChars="200"/>
        <w:rPr>
          <w:rFonts w:ascii="宋体"/>
          <w:szCs w:val="21"/>
        </w:rPr>
      </w:pPr>
      <w:bookmarkStart w:id="71" w:name="_Toc246996253"/>
      <w:bookmarkStart w:id="72" w:name="_Toc469495742"/>
      <w:bookmarkStart w:id="73" w:name="_Toc296602498"/>
      <w:bookmarkStart w:id="74" w:name="_Toc247085768"/>
      <w:bookmarkStart w:id="75" w:name="_Toc152042388"/>
      <w:bookmarkStart w:id="76" w:name="_Toc246996996"/>
      <w:bookmarkStart w:id="77" w:name="_Toc144974578"/>
      <w:bookmarkStart w:id="78" w:name="_Toc152045610"/>
      <w:bookmarkStart w:id="79" w:name="_Toc179632628"/>
      <w:r>
        <w:rPr>
          <w:rFonts w:hint="eastAsia" w:ascii="宋体"/>
          <w:szCs w:val="21"/>
        </w:rPr>
        <w:t>买    方：                                   卖    方：</w:t>
      </w:r>
    </w:p>
    <w:p w14:paraId="1C95727F">
      <w:pPr>
        <w:ind w:firstLine="426" w:firstLineChars="200"/>
        <w:rPr>
          <w:rFonts w:ascii="宋体"/>
          <w:szCs w:val="21"/>
        </w:rPr>
      </w:pPr>
      <w:r>
        <w:rPr>
          <w:rFonts w:hint="eastAsia" w:ascii="宋体"/>
          <w:szCs w:val="21"/>
        </w:rPr>
        <w:t>电    话：                                   电    话：</w:t>
      </w:r>
    </w:p>
    <w:p w14:paraId="3FFBCF9A">
      <w:pPr>
        <w:ind w:firstLine="426" w:firstLineChars="200"/>
        <w:rPr>
          <w:rFonts w:ascii="宋体"/>
          <w:szCs w:val="21"/>
        </w:rPr>
      </w:pPr>
      <w:r>
        <w:rPr>
          <w:rFonts w:hint="eastAsia" w:ascii="宋体"/>
          <w:szCs w:val="21"/>
        </w:rPr>
        <w:t xml:space="preserve">住    所：                                   住    所：                       </w:t>
      </w:r>
    </w:p>
    <w:p w14:paraId="4E81D011">
      <w:pPr>
        <w:spacing w:line="420" w:lineRule="exact"/>
        <w:ind w:firstLine="426" w:firstLineChars="200"/>
        <w:rPr>
          <w:rFonts w:ascii="宋体"/>
          <w:szCs w:val="21"/>
        </w:rPr>
      </w:pPr>
      <w:r>
        <w:rPr>
          <w:rFonts w:hint="eastAsia" w:ascii="宋体"/>
          <w:szCs w:val="21"/>
          <w:u w:val="single"/>
        </w:rPr>
        <w:t>（买方）</w:t>
      </w:r>
      <w:r>
        <w:rPr>
          <w:rFonts w:hint="eastAsia" w:ascii="宋体"/>
          <w:szCs w:val="21"/>
        </w:rPr>
        <w:t>的</w:t>
      </w:r>
      <w:r>
        <w:rPr>
          <w:rFonts w:hint="eastAsia" w:ascii="宋体"/>
          <w:szCs w:val="21"/>
          <w:u w:val="single"/>
        </w:rPr>
        <w:t>（项目名称）</w:t>
      </w:r>
      <w:r>
        <w:rPr>
          <w:rFonts w:hint="eastAsia" w:ascii="宋体"/>
          <w:szCs w:val="21"/>
        </w:rPr>
        <w:t>中所需</w:t>
      </w:r>
      <w:r>
        <w:rPr>
          <w:rFonts w:hint="eastAsia" w:ascii="宋体"/>
          <w:szCs w:val="21"/>
          <w:u w:val="single"/>
        </w:rPr>
        <w:t>（产品名称）</w:t>
      </w:r>
      <w:r>
        <w:rPr>
          <w:rFonts w:hint="eastAsia" w:ascii="宋体"/>
          <w:szCs w:val="21"/>
        </w:rPr>
        <w:t xml:space="preserve"> 经公开招标，确定</w:t>
      </w:r>
      <w:r>
        <w:rPr>
          <w:rFonts w:hint="eastAsia" w:ascii="宋体"/>
          <w:szCs w:val="21"/>
          <w:u w:val="single"/>
        </w:rPr>
        <w:t>（卖方）</w:t>
      </w:r>
      <w:r>
        <w:rPr>
          <w:rFonts w:hint="eastAsia" w:ascii="宋体"/>
          <w:szCs w:val="21"/>
        </w:rPr>
        <w:t>为中标人。按照中华人民共和国合同法的规定，买卖双方同意按照下述的条款和条件，签署本合同。</w:t>
      </w:r>
    </w:p>
    <w:p w14:paraId="6FA05E8F">
      <w:pPr>
        <w:spacing w:line="420" w:lineRule="exact"/>
        <w:ind w:firstLine="426" w:firstLineChars="200"/>
        <w:rPr>
          <w:rFonts w:ascii="宋体"/>
          <w:szCs w:val="21"/>
        </w:rPr>
      </w:pPr>
      <w:r>
        <w:rPr>
          <w:rFonts w:hint="eastAsia" w:ascii="宋体"/>
          <w:szCs w:val="21"/>
        </w:rPr>
        <w:t>1、本合同文件</w:t>
      </w:r>
    </w:p>
    <w:p w14:paraId="54E88119">
      <w:pPr>
        <w:spacing w:line="420" w:lineRule="exact"/>
        <w:ind w:firstLine="426" w:firstLineChars="200"/>
        <w:rPr>
          <w:rFonts w:ascii="宋体"/>
          <w:szCs w:val="21"/>
        </w:rPr>
      </w:pPr>
      <w:r>
        <w:rPr>
          <w:rFonts w:hint="eastAsia" w:ascii="宋体"/>
          <w:szCs w:val="21"/>
        </w:rPr>
        <w:t>下列每一文件均应作为合同的组成部分进行阅读和解释：</w:t>
      </w:r>
    </w:p>
    <w:p w14:paraId="6A8B0CB9">
      <w:pPr>
        <w:spacing w:line="420" w:lineRule="exact"/>
        <w:ind w:firstLine="426" w:firstLineChars="200"/>
        <w:rPr>
          <w:rFonts w:ascii="宋体"/>
          <w:szCs w:val="21"/>
        </w:rPr>
      </w:pPr>
      <w:r>
        <w:rPr>
          <w:rFonts w:hint="eastAsia" w:ascii="宋体"/>
          <w:szCs w:val="21"/>
        </w:rPr>
        <w:t>（1）采购文件（2）投标文件（3）中标通知书</w:t>
      </w:r>
    </w:p>
    <w:p w14:paraId="206AA6A1">
      <w:pPr>
        <w:spacing w:line="420" w:lineRule="exact"/>
        <w:ind w:firstLine="426" w:firstLineChars="200"/>
        <w:rPr>
          <w:rFonts w:ascii="宋体"/>
          <w:szCs w:val="21"/>
        </w:rPr>
      </w:pPr>
      <w:r>
        <w:rPr>
          <w:rFonts w:hint="eastAsia" w:ascii="宋体"/>
          <w:szCs w:val="21"/>
        </w:rPr>
        <w:t>（4）经双方确认进入合同的其它文件、补充条款或说明</w:t>
      </w:r>
    </w:p>
    <w:p w14:paraId="0C83B018">
      <w:pPr>
        <w:spacing w:line="420" w:lineRule="exact"/>
        <w:ind w:firstLine="426" w:firstLineChars="200"/>
        <w:rPr>
          <w:rFonts w:ascii="宋体"/>
          <w:szCs w:val="21"/>
        </w:rPr>
      </w:pPr>
      <w:r>
        <w:rPr>
          <w:rFonts w:hint="eastAsia" w:ascii="宋体"/>
          <w:szCs w:val="21"/>
        </w:rPr>
        <w:t>2、采购标的、数量、质量要求</w:t>
      </w:r>
    </w:p>
    <w:p w14:paraId="16CAE03A">
      <w:pPr>
        <w:spacing w:line="420" w:lineRule="exact"/>
        <w:ind w:firstLine="426" w:firstLineChars="200"/>
        <w:rPr>
          <w:rFonts w:ascii="宋体"/>
          <w:szCs w:val="21"/>
        </w:rPr>
      </w:pPr>
      <w:r>
        <w:rPr>
          <w:rFonts w:hint="eastAsia" w:ascii="宋体"/>
          <w:szCs w:val="21"/>
        </w:rPr>
        <w:t>3、合同总价</w:t>
      </w:r>
    </w:p>
    <w:p w14:paraId="353132E6">
      <w:pPr>
        <w:spacing w:line="420" w:lineRule="exact"/>
        <w:ind w:firstLine="426" w:firstLineChars="200"/>
        <w:rPr>
          <w:rFonts w:ascii="宋体"/>
          <w:szCs w:val="21"/>
        </w:rPr>
      </w:pPr>
      <w:r>
        <w:rPr>
          <w:rFonts w:hint="eastAsia" w:ascii="宋体"/>
          <w:szCs w:val="21"/>
        </w:rPr>
        <w:t xml:space="preserve">合同总价为 </w:t>
      </w:r>
      <w:r>
        <w:rPr>
          <w:rFonts w:hint="eastAsia" w:ascii="宋体"/>
          <w:szCs w:val="21"/>
          <w:u w:val="single"/>
        </w:rPr>
        <w:t xml:space="preserve">              </w:t>
      </w:r>
      <w:r>
        <w:rPr>
          <w:rFonts w:hint="eastAsia" w:ascii="宋体"/>
          <w:szCs w:val="21"/>
        </w:rPr>
        <w:t>元人民币。</w:t>
      </w:r>
    </w:p>
    <w:p w14:paraId="2E135817">
      <w:pPr>
        <w:autoSpaceDN w:val="0"/>
        <w:spacing w:line="240" w:lineRule="atLeast"/>
        <w:ind w:firstLine="426" w:firstLineChars="200"/>
        <w:rPr>
          <w:rFonts w:ascii="宋体" w:hAnsi="宋体"/>
          <w:b/>
          <w:kern w:val="0"/>
          <w:szCs w:val="21"/>
        </w:rPr>
      </w:pPr>
      <w:r>
        <w:rPr>
          <w:rFonts w:hint="eastAsia" w:ascii="宋体"/>
          <w:szCs w:val="21"/>
        </w:rPr>
        <w:t>4、付款方式</w:t>
      </w:r>
      <w:r>
        <w:rPr>
          <w:rFonts w:hint="eastAsia" w:ascii="黑体" w:eastAsia="黑体"/>
          <w:b/>
          <w:bCs/>
          <w:szCs w:val="21"/>
        </w:rPr>
        <w:t>：</w:t>
      </w:r>
      <w:r>
        <w:rPr>
          <w:rFonts w:hint="eastAsia" w:ascii="宋体"/>
          <w:szCs w:val="21"/>
          <w:u w:val="single"/>
        </w:rPr>
        <w:t xml:space="preserve">                                         。</w:t>
      </w:r>
    </w:p>
    <w:p w14:paraId="2E67E82E">
      <w:pPr>
        <w:ind w:firstLine="426" w:firstLineChars="200"/>
        <w:rPr>
          <w:rFonts w:ascii="宋体"/>
          <w:szCs w:val="21"/>
        </w:rPr>
      </w:pPr>
      <w:r>
        <w:rPr>
          <w:rFonts w:hint="eastAsia" w:ascii="宋体"/>
          <w:szCs w:val="21"/>
        </w:rPr>
        <w:t>5、合同供货（服务）期限及地点和方式</w:t>
      </w:r>
    </w:p>
    <w:p w14:paraId="10F018DC">
      <w:pPr>
        <w:ind w:firstLine="426" w:firstLineChars="200"/>
        <w:rPr>
          <w:rFonts w:ascii="宋体"/>
          <w:szCs w:val="21"/>
        </w:rPr>
      </w:pPr>
      <w:r>
        <w:rPr>
          <w:rFonts w:hint="eastAsia" w:ascii="宋体"/>
          <w:szCs w:val="21"/>
        </w:rPr>
        <w:t>6、验收要求及违约责任</w:t>
      </w:r>
    </w:p>
    <w:p w14:paraId="2EF35E57">
      <w:pPr>
        <w:ind w:firstLine="426" w:firstLineChars="200"/>
        <w:rPr>
          <w:rFonts w:ascii="宋体"/>
          <w:szCs w:val="21"/>
        </w:rPr>
      </w:pPr>
      <w:r>
        <w:rPr>
          <w:rFonts w:hint="eastAsia" w:ascii="宋体"/>
          <w:szCs w:val="21"/>
        </w:rPr>
        <w:t>7、违约责任及解决争议方法</w:t>
      </w:r>
    </w:p>
    <w:p w14:paraId="2E9B8CA1">
      <w:pPr>
        <w:ind w:firstLine="426" w:firstLineChars="200"/>
        <w:rPr>
          <w:rFonts w:ascii="宋体"/>
          <w:szCs w:val="21"/>
        </w:rPr>
      </w:pPr>
      <w:r>
        <w:rPr>
          <w:rFonts w:hint="eastAsia" w:ascii="宋体"/>
          <w:szCs w:val="21"/>
        </w:rPr>
        <w:t>8、合同的生效</w:t>
      </w:r>
    </w:p>
    <w:p w14:paraId="28EC44C7">
      <w:pPr>
        <w:pStyle w:val="13"/>
        <w:spacing w:line="420" w:lineRule="exact"/>
        <w:ind w:firstLine="426" w:firstLineChars="200"/>
        <w:rPr>
          <w:rFonts w:ascii="宋体"/>
          <w:sz w:val="21"/>
          <w:szCs w:val="21"/>
        </w:rPr>
      </w:pPr>
      <w:r>
        <w:rPr>
          <w:rFonts w:hint="eastAsia" w:ascii="宋体"/>
          <w:sz w:val="21"/>
          <w:szCs w:val="21"/>
        </w:rPr>
        <w:t>合同经双方授权代表签署，买卖双方加盖印章之后生效。</w:t>
      </w:r>
    </w:p>
    <w:p w14:paraId="15190225">
      <w:pPr>
        <w:pStyle w:val="13"/>
        <w:spacing w:line="420" w:lineRule="exact"/>
        <w:ind w:firstLine="426" w:firstLineChars="200"/>
        <w:rPr>
          <w:rFonts w:ascii="宋体"/>
          <w:sz w:val="21"/>
          <w:szCs w:val="21"/>
        </w:rPr>
      </w:pPr>
      <w:r>
        <w:rPr>
          <w:rFonts w:hint="eastAsia" w:ascii="宋体"/>
          <w:sz w:val="21"/>
          <w:szCs w:val="21"/>
        </w:rPr>
        <w:t>本合同一式     份，双方各执     份。</w:t>
      </w:r>
    </w:p>
    <w:p w14:paraId="3904F308">
      <w:pPr>
        <w:pStyle w:val="13"/>
        <w:spacing w:line="420" w:lineRule="exact"/>
        <w:ind w:firstLine="426" w:firstLineChars="200"/>
        <w:rPr>
          <w:rFonts w:ascii="宋体"/>
          <w:sz w:val="21"/>
          <w:szCs w:val="21"/>
        </w:rPr>
      </w:pPr>
      <w:r>
        <w:rPr>
          <w:rFonts w:hint="eastAsia" w:ascii="宋体"/>
          <w:sz w:val="21"/>
          <w:szCs w:val="21"/>
        </w:rPr>
        <w:t>买  方：                          卖  方：</w:t>
      </w:r>
    </w:p>
    <w:p w14:paraId="74D7C2C1">
      <w:pPr>
        <w:pStyle w:val="13"/>
        <w:spacing w:line="420" w:lineRule="exact"/>
        <w:ind w:firstLine="426" w:firstLineChars="200"/>
        <w:rPr>
          <w:rFonts w:ascii="宋体"/>
          <w:sz w:val="21"/>
          <w:szCs w:val="21"/>
        </w:rPr>
      </w:pPr>
      <w:r>
        <w:rPr>
          <w:rFonts w:hint="eastAsia" w:ascii="宋体"/>
          <w:sz w:val="21"/>
          <w:szCs w:val="21"/>
        </w:rPr>
        <w:t>名  称：（盖章）                   名  称：（盖章）</w:t>
      </w:r>
    </w:p>
    <w:p w14:paraId="2B372C3D">
      <w:pPr>
        <w:pStyle w:val="13"/>
        <w:spacing w:line="420" w:lineRule="exact"/>
        <w:ind w:firstLine="426" w:firstLineChars="200"/>
        <w:rPr>
          <w:rFonts w:ascii="宋体"/>
          <w:sz w:val="21"/>
          <w:szCs w:val="21"/>
        </w:rPr>
      </w:pPr>
      <w:r>
        <w:rPr>
          <w:rFonts w:hint="eastAsia" w:ascii="宋体"/>
          <w:sz w:val="21"/>
          <w:szCs w:val="21"/>
        </w:rPr>
        <w:t>法定代表人（或委托代理人）：       法定代表人（或委托代理人）：</w:t>
      </w:r>
    </w:p>
    <w:p w14:paraId="06029B72">
      <w:pPr>
        <w:pStyle w:val="13"/>
        <w:spacing w:line="420" w:lineRule="exact"/>
        <w:ind w:firstLine="426" w:firstLineChars="200"/>
        <w:rPr>
          <w:rFonts w:ascii="宋体"/>
          <w:sz w:val="21"/>
          <w:szCs w:val="21"/>
        </w:rPr>
      </w:pPr>
      <w:r>
        <w:rPr>
          <w:rFonts w:hint="eastAsia" w:ascii="宋体"/>
          <w:sz w:val="21"/>
          <w:szCs w:val="21"/>
        </w:rPr>
        <w:t>（签字）                        （签字）</w:t>
      </w:r>
    </w:p>
    <w:p w14:paraId="25594B8D">
      <w:pPr>
        <w:pStyle w:val="13"/>
        <w:spacing w:line="420" w:lineRule="exact"/>
        <w:ind w:firstLine="426" w:firstLineChars="200"/>
        <w:rPr>
          <w:rFonts w:ascii="宋体"/>
          <w:sz w:val="21"/>
          <w:szCs w:val="21"/>
        </w:rPr>
      </w:pPr>
      <w:r>
        <w:rPr>
          <w:rFonts w:hint="eastAsia" w:ascii="宋体"/>
          <w:sz w:val="21"/>
          <w:szCs w:val="21"/>
        </w:rPr>
        <w:t>地    址：                        地    址：</w:t>
      </w:r>
    </w:p>
    <w:p w14:paraId="3887FD70">
      <w:pPr>
        <w:pStyle w:val="13"/>
        <w:spacing w:line="420" w:lineRule="exact"/>
        <w:ind w:firstLine="426" w:firstLineChars="200"/>
        <w:rPr>
          <w:rFonts w:ascii="宋体"/>
          <w:sz w:val="21"/>
          <w:szCs w:val="21"/>
        </w:rPr>
      </w:pPr>
      <w:r>
        <w:rPr>
          <w:rFonts w:hint="eastAsia" w:ascii="宋体"/>
          <w:sz w:val="21"/>
          <w:szCs w:val="21"/>
        </w:rPr>
        <w:t>邮政编码：                        邮政编码：</w:t>
      </w:r>
    </w:p>
    <w:p w14:paraId="22C052D0">
      <w:pPr>
        <w:pStyle w:val="13"/>
        <w:spacing w:line="420" w:lineRule="exact"/>
        <w:ind w:firstLine="426" w:firstLineChars="200"/>
        <w:rPr>
          <w:rFonts w:ascii="宋体"/>
          <w:sz w:val="21"/>
          <w:szCs w:val="21"/>
        </w:rPr>
      </w:pPr>
      <w:r>
        <w:rPr>
          <w:rFonts w:hint="eastAsia" w:ascii="宋体"/>
          <w:sz w:val="21"/>
          <w:szCs w:val="21"/>
        </w:rPr>
        <w:t>电    话：                        电    话：</w:t>
      </w:r>
    </w:p>
    <w:p w14:paraId="7D01AD14">
      <w:pPr>
        <w:pStyle w:val="13"/>
        <w:spacing w:line="420" w:lineRule="exact"/>
        <w:ind w:firstLine="426" w:firstLineChars="200"/>
        <w:rPr>
          <w:rFonts w:ascii="宋体"/>
          <w:sz w:val="21"/>
          <w:szCs w:val="21"/>
        </w:rPr>
      </w:pPr>
      <w:r>
        <w:rPr>
          <w:rFonts w:hint="eastAsia" w:ascii="宋体"/>
          <w:sz w:val="21"/>
          <w:szCs w:val="21"/>
        </w:rPr>
        <w:t>开户银行：                        开户银行：</w:t>
      </w:r>
    </w:p>
    <w:p w14:paraId="06D5412C">
      <w:pPr>
        <w:pStyle w:val="13"/>
        <w:spacing w:line="420" w:lineRule="exact"/>
        <w:ind w:firstLine="446" w:firstLineChars="200"/>
        <w:rPr>
          <w:rFonts w:ascii="黑体" w:eastAsia="黑体"/>
          <w:b/>
          <w:sz w:val="30"/>
          <w:szCs w:val="30"/>
        </w:rPr>
      </w:pPr>
      <w:r>
        <w:rPr>
          <w:rFonts w:hint="eastAsia" w:ascii="宋体"/>
          <w:kern w:val="0"/>
          <w:sz w:val="22"/>
          <w:szCs w:val="20"/>
          <w:u w:color="000000"/>
        </w:rPr>
        <w:t>帐    号：                        帐    号：</w:t>
      </w:r>
    </w:p>
    <w:p w14:paraId="70D7D8B2">
      <w:pPr>
        <w:spacing w:line="600" w:lineRule="exact"/>
        <w:jc w:val="center"/>
        <w:outlineLvl w:val="1"/>
        <w:rPr>
          <w:rFonts w:hint="eastAsia" w:ascii="黑体" w:eastAsia="黑体"/>
          <w:b/>
          <w:sz w:val="30"/>
          <w:szCs w:val="30"/>
        </w:rPr>
      </w:pPr>
    </w:p>
    <w:p w14:paraId="1AA5AF81">
      <w:pPr>
        <w:spacing w:line="600" w:lineRule="exact"/>
        <w:jc w:val="center"/>
        <w:outlineLvl w:val="1"/>
        <w:rPr>
          <w:rFonts w:ascii="黑体" w:eastAsia="黑体"/>
          <w:b/>
          <w:sz w:val="30"/>
          <w:szCs w:val="30"/>
        </w:rPr>
      </w:pPr>
      <w:r>
        <w:rPr>
          <w:rFonts w:hint="eastAsia" w:ascii="黑体" w:eastAsia="黑体"/>
          <w:b/>
          <w:sz w:val="30"/>
          <w:szCs w:val="30"/>
        </w:rPr>
        <w:t>二  合同条款</w:t>
      </w:r>
      <w:bookmarkEnd w:id="71"/>
      <w:bookmarkEnd w:id="72"/>
      <w:bookmarkEnd w:id="73"/>
      <w:bookmarkEnd w:id="74"/>
      <w:bookmarkEnd w:id="75"/>
      <w:bookmarkEnd w:id="76"/>
      <w:bookmarkEnd w:id="77"/>
      <w:bookmarkEnd w:id="78"/>
      <w:bookmarkEnd w:id="79"/>
    </w:p>
    <w:p w14:paraId="7F847F85">
      <w:pPr>
        <w:spacing w:line="440" w:lineRule="exact"/>
        <w:rPr>
          <w:rFonts w:ascii="宋体"/>
          <w:b/>
          <w:szCs w:val="21"/>
        </w:rPr>
      </w:pPr>
      <w:r>
        <w:rPr>
          <w:rFonts w:hint="eastAsia" w:ascii="宋体"/>
          <w:b/>
          <w:szCs w:val="21"/>
        </w:rPr>
        <w:t>一.  合同文件</w:t>
      </w:r>
    </w:p>
    <w:p w14:paraId="42003A6E">
      <w:pPr>
        <w:spacing w:line="440" w:lineRule="exact"/>
        <w:rPr>
          <w:rFonts w:ascii="宋体"/>
          <w:szCs w:val="21"/>
        </w:rPr>
      </w:pPr>
      <w:r>
        <w:rPr>
          <w:rFonts w:hint="eastAsia" w:ascii="宋体"/>
          <w:szCs w:val="21"/>
        </w:rPr>
        <w:t>1、合同文件适用法律</w:t>
      </w:r>
    </w:p>
    <w:p w14:paraId="641A31CF">
      <w:pPr>
        <w:spacing w:line="440" w:lineRule="exact"/>
        <w:ind w:firstLine="639" w:firstLineChars="300"/>
        <w:rPr>
          <w:rFonts w:ascii="宋体"/>
          <w:szCs w:val="21"/>
        </w:rPr>
      </w:pPr>
      <w:r>
        <w:rPr>
          <w:rFonts w:hint="eastAsia" w:ascii="宋体"/>
          <w:szCs w:val="21"/>
        </w:rPr>
        <w:t>适用于合同文件的法律是中华人民共和国现行法律、法规及招标人所在地的地方性法规。</w:t>
      </w:r>
    </w:p>
    <w:p w14:paraId="60287460">
      <w:pPr>
        <w:spacing w:line="440" w:lineRule="exact"/>
        <w:rPr>
          <w:rFonts w:ascii="宋体"/>
          <w:szCs w:val="21"/>
        </w:rPr>
      </w:pPr>
      <w:r>
        <w:rPr>
          <w:rFonts w:hint="eastAsia" w:ascii="宋体"/>
          <w:szCs w:val="21"/>
        </w:rPr>
        <w:t>2、合同文件组成和解释顺序</w:t>
      </w:r>
    </w:p>
    <w:p w14:paraId="46FC0213">
      <w:pPr>
        <w:spacing w:line="440" w:lineRule="exact"/>
        <w:ind w:firstLine="532" w:firstLineChars="250"/>
        <w:rPr>
          <w:rFonts w:ascii="宋体"/>
          <w:szCs w:val="21"/>
        </w:rPr>
      </w:pPr>
      <w:r>
        <w:rPr>
          <w:rFonts w:hint="eastAsia" w:ascii="宋体"/>
          <w:szCs w:val="21"/>
        </w:rPr>
        <w:t>(1)合同文件的组成和解释顺序如下：</w:t>
      </w:r>
    </w:p>
    <w:p w14:paraId="60084720">
      <w:pPr>
        <w:spacing w:line="440" w:lineRule="exact"/>
        <w:ind w:firstLine="532" w:firstLineChars="250"/>
        <w:rPr>
          <w:rFonts w:ascii="宋体"/>
          <w:szCs w:val="21"/>
        </w:rPr>
      </w:pPr>
      <w:r>
        <w:rPr>
          <w:rFonts w:hint="eastAsia" w:ascii="宋体"/>
          <w:szCs w:val="21"/>
        </w:rPr>
        <w:t>&lt;1&gt;合同的主要条款；</w:t>
      </w:r>
    </w:p>
    <w:p w14:paraId="276E81A5">
      <w:pPr>
        <w:spacing w:line="440" w:lineRule="exact"/>
        <w:ind w:firstLine="532" w:firstLineChars="250"/>
        <w:rPr>
          <w:rFonts w:ascii="宋体"/>
          <w:szCs w:val="21"/>
        </w:rPr>
      </w:pPr>
      <w:r>
        <w:rPr>
          <w:rFonts w:hint="eastAsia" w:ascii="宋体"/>
          <w:szCs w:val="21"/>
        </w:rPr>
        <w:t>&lt;2&gt;合同的一般性条款；</w:t>
      </w:r>
    </w:p>
    <w:p w14:paraId="57A29146">
      <w:pPr>
        <w:spacing w:line="440" w:lineRule="exact"/>
        <w:ind w:firstLine="532" w:firstLineChars="250"/>
        <w:rPr>
          <w:rFonts w:ascii="宋体"/>
          <w:szCs w:val="21"/>
        </w:rPr>
      </w:pPr>
      <w:r>
        <w:rPr>
          <w:rFonts w:hint="eastAsia" w:ascii="宋体"/>
          <w:szCs w:val="21"/>
        </w:rPr>
        <w:t>&lt;3&gt;洽商、变更等明确双方权利义务的纪要、协议；</w:t>
      </w:r>
    </w:p>
    <w:p w14:paraId="5CF64F53">
      <w:pPr>
        <w:spacing w:line="440" w:lineRule="exact"/>
        <w:ind w:firstLine="532" w:firstLineChars="250"/>
        <w:rPr>
          <w:rFonts w:ascii="宋体"/>
          <w:szCs w:val="21"/>
        </w:rPr>
      </w:pPr>
      <w:r>
        <w:rPr>
          <w:rFonts w:hint="eastAsia" w:ascii="宋体"/>
          <w:szCs w:val="21"/>
        </w:rPr>
        <w:t>&lt;4&gt;中标通知书、投标文件和采购文件；</w:t>
      </w:r>
    </w:p>
    <w:p w14:paraId="0D90AD31">
      <w:pPr>
        <w:spacing w:line="440" w:lineRule="exact"/>
        <w:ind w:firstLine="532" w:firstLineChars="250"/>
        <w:rPr>
          <w:rFonts w:ascii="宋体"/>
          <w:szCs w:val="21"/>
        </w:rPr>
      </w:pPr>
      <w:r>
        <w:rPr>
          <w:rFonts w:hint="eastAsia" w:ascii="宋体"/>
          <w:szCs w:val="21"/>
        </w:rPr>
        <w:t>&lt;5&gt;有关图纸、标准、规范和其它有关技术资料、技术要求。</w:t>
      </w:r>
    </w:p>
    <w:p w14:paraId="1A1810CD">
      <w:pPr>
        <w:spacing w:line="440" w:lineRule="exact"/>
        <w:ind w:firstLine="532" w:firstLineChars="250"/>
        <w:rPr>
          <w:rFonts w:ascii="宋体"/>
          <w:szCs w:val="21"/>
        </w:rPr>
      </w:pPr>
      <w:r>
        <w:rPr>
          <w:rFonts w:hint="eastAsia" w:ascii="宋体"/>
          <w:szCs w:val="21"/>
        </w:rPr>
        <w:t>&lt;6&gt;合同的主要条款的效力优于合同的一般性条款的效力。</w:t>
      </w:r>
    </w:p>
    <w:p w14:paraId="5BC2FCE7">
      <w:pPr>
        <w:spacing w:line="440" w:lineRule="exact"/>
        <w:rPr>
          <w:rFonts w:ascii="宋体"/>
          <w:szCs w:val="21"/>
        </w:rPr>
      </w:pPr>
      <w:r>
        <w:rPr>
          <w:rFonts w:hint="eastAsia" w:ascii="宋体"/>
          <w:szCs w:val="21"/>
        </w:rPr>
        <w:t>3、合同文件使用文字</w:t>
      </w:r>
    </w:p>
    <w:p w14:paraId="056018E9">
      <w:pPr>
        <w:pStyle w:val="9"/>
        <w:spacing w:line="440" w:lineRule="exact"/>
        <w:ind w:firstLine="532" w:firstLineChars="250"/>
        <w:rPr>
          <w:rFonts w:ascii="宋体"/>
          <w:szCs w:val="21"/>
          <w:u w:color="000000"/>
        </w:rPr>
      </w:pPr>
      <w:r>
        <w:rPr>
          <w:rFonts w:hint="eastAsia" w:ascii="宋体"/>
          <w:szCs w:val="21"/>
          <w:u w:color="000000"/>
        </w:rPr>
        <w:t>(1)合同文件使用中文书写、解释和说明。</w:t>
      </w:r>
    </w:p>
    <w:p w14:paraId="2282B6D3">
      <w:pPr>
        <w:pStyle w:val="9"/>
        <w:overflowPunct w:val="0"/>
        <w:spacing w:line="440" w:lineRule="exact"/>
        <w:ind w:firstLine="532" w:firstLineChars="250"/>
        <w:rPr>
          <w:rFonts w:ascii="宋体"/>
          <w:szCs w:val="21"/>
          <w:u w:color="000000"/>
        </w:rPr>
      </w:pPr>
      <w:r>
        <w:rPr>
          <w:rFonts w:hint="eastAsia" w:ascii="宋体"/>
          <w:szCs w:val="21"/>
          <w:u w:color="000000"/>
        </w:rPr>
        <w:t xml:space="preserve">(2)合同文件使用技术性条款约定的为国家标准和规范；国家没有相应标准、规范时，可使用行业标准、规范。非标货物应按约定的技术性条款的标准和规范。 </w:t>
      </w:r>
    </w:p>
    <w:p w14:paraId="25D4D0CD">
      <w:pPr>
        <w:spacing w:line="440" w:lineRule="exact"/>
        <w:rPr>
          <w:rFonts w:ascii="宋体"/>
          <w:b/>
          <w:szCs w:val="21"/>
        </w:rPr>
      </w:pPr>
      <w:r>
        <w:rPr>
          <w:rFonts w:hint="eastAsia" w:ascii="宋体"/>
          <w:b/>
          <w:szCs w:val="21"/>
        </w:rPr>
        <w:t>二.  标的物的一般条款</w:t>
      </w:r>
    </w:p>
    <w:p w14:paraId="21D67A37">
      <w:pPr>
        <w:spacing w:line="440" w:lineRule="exact"/>
        <w:rPr>
          <w:rFonts w:ascii="宋体"/>
          <w:szCs w:val="21"/>
        </w:rPr>
      </w:pPr>
      <w:r>
        <w:rPr>
          <w:rFonts w:hint="eastAsia" w:ascii="宋体"/>
          <w:szCs w:val="21"/>
        </w:rPr>
        <w:t>4、完整物权</w:t>
      </w:r>
    </w:p>
    <w:p w14:paraId="6101BD52">
      <w:pPr>
        <w:tabs>
          <w:tab w:val="left" w:pos="660"/>
        </w:tabs>
        <w:spacing w:line="440" w:lineRule="exact"/>
        <w:rPr>
          <w:rFonts w:ascii="宋体"/>
          <w:szCs w:val="21"/>
        </w:rPr>
      </w:pPr>
      <w:r>
        <w:rPr>
          <w:rFonts w:hint="eastAsia" w:ascii="宋体"/>
          <w:szCs w:val="21"/>
        </w:rPr>
        <w:t xml:space="preserve"> </w:t>
      </w:r>
      <w:r>
        <w:rPr>
          <w:rFonts w:hint="eastAsia" w:ascii="宋体"/>
          <w:szCs w:val="21"/>
        </w:rPr>
        <w:tab/>
      </w:r>
      <w:r>
        <w:rPr>
          <w:rFonts w:hint="eastAsia" w:ascii="宋体"/>
          <w:szCs w:val="21"/>
        </w:rPr>
        <w:t>对于出卖的标的物，卖方应当拥有完整物权，并且卖方负有保证第三人不得向买方主张任何权利（包括知识产权）的义务。</w:t>
      </w:r>
    </w:p>
    <w:p w14:paraId="0AF8887A">
      <w:pPr>
        <w:spacing w:line="440" w:lineRule="exact"/>
        <w:rPr>
          <w:rFonts w:ascii="宋体"/>
          <w:szCs w:val="21"/>
        </w:rPr>
      </w:pPr>
      <w:r>
        <w:rPr>
          <w:rFonts w:hint="eastAsia" w:ascii="宋体"/>
          <w:szCs w:val="21"/>
        </w:rPr>
        <w:t>5、质量保证</w:t>
      </w:r>
    </w:p>
    <w:p w14:paraId="6391A444">
      <w:pPr>
        <w:pStyle w:val="9"/>
        <w:overflowPunct w:val="0"/>
        <w:spacing w:line="440" w:lineRule="exact"/>
        <w:ind w:firstLine="532" w:firstLineChars="250"/>
        <w:rPr>
          <w:rFonts w:ascii="宋体"/>
          <w:szCs w:val="21"/>
          <w:u w:color="000000"/>
        </w:rPr>
      </w:pPr>
      <w:r>
        <w:rPr>
          <w:rFonts w:hint="eastAsia" w:ascii="宋体"/>
          <w:szCs w:val="21"/>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335CC28">
      <w:pPr>
        <w:pStyle w:val="9"/>
        <w:overflowPunct w:val="0"/>
        <w:spacing w:line="440" w:lineRule="exact"/>
        <w:ind w:firstLine="532" w:firstLineChars="250"/>
        <w:rPr>
          <w:rFonts w:ascii="宋体"/>
          <w:szCs w:val="21"/>
          <w:u w:color="000000"/>
        </w:rPr>
      </w:pPr>
      <w:r>
        <w:rPr>
          <w:rFonts w:hint="eastAsia" w:ascii="宋体"/>
          <w:szCs w:val="21"/>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2949E338">
      <w:pPr>
        <w:pStyle w:val="9"/>
        <w:tabs>
          <w:tab w:val="left" w:pos="900"/>
        </w:tabs>
        <w:overflowPunct w:val="0"/>
        <w:spacing w:line="440" w:lineRule="exact"/>
        <w:ind w:firstLine="532" w:firstLineChars="250"/>
        <w:rPr>
          <w:rFonts w:ascii="宋体"/>
          <w:szCs w:val="21"/>
          <w:u w:color="000000"/>
        </w:rPr>
      </w:pPr>
      <w:r>
        <w:rPr>
          <w:rFonts w:hint="eastAsia" w:ascii="宋体"/>
          <w:szCs w:val="21"/>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07DB65E0">
      <w:pPr>
        <w:spacing w:line="440" w:lineRule="exact"/>
        <w:rPr>
          <w:rFonts w:ascii="宋体"/>
          <w:szCs w:val="21"/>
        </w:rPr>
      </w:pPr>
      <w:r>
        <w:rPr>
          <w:rFonts w:hint="eastAsia" w:ascii="宋体"/>
          <w:szCs w:val="21"/>
        </w:rPr>
        <w:t>6、包装</w:t>
      </w:r>
    </w:p>
    <w:p w14:paraId="7D50E09F">
      <w:pPr>
        <w:pStyle w:val="9"/>
        <w:tabs>
          <w:tab w:val="left" w:pos="900"/>
        </w:tabs>
        <w:spacing w:line="440" w:lineRule="exact"/>
        <w:ind w:firstLine="478" w:firstLineChars="225"/>
        <w:rPr>
          <w:rFonts w:ascii="宋体"/>
          <w:szCs w:val="21"/>
          <w:u w:color="000000"/>
        </w:rPr>
      </w:pPr>
      <w:r>
        <w:rPr>
          <w:rFonts w:hint="eastAsia" w:ascii="宋体"/>
          <w:szCs w:val="21"/>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61525F7A">
      <w:pPr>
        <w:spacing w:line="440" w:lineRule="exact"/>
        <w:rPr>
          <w:rFonts w:ascii="宋体"/>
          <w:szCs w:val="21"/>
        </w:rPr>
      </w:pPr>
      <w:r>
        <w:rPr>
          <w:rFonts w:hint="eastAsia" w:ascii="宋体"/>
          <w:szCs w:val="21"/>
        </w:rPr>
        <w:t>7、伴随服务</w:t>
      </w:r>
    </w:p>
    <w:p w14:paraId="1966278D">
      <w:pPr>
        <w:pStyle w:val="9"/>
        <w:overflowPunct w:val="0"/>
        <w:spacing w:line="440" w:lineRule="exact"/>
        <w:ind w:firstLine="532" w:firstLineChars="250"/>
        <w:rPr>
          <w:rFonts w:ascii="宋体"/>
          <w:szCs w:val="21"/>
          <w:u w:color="000000"/>
        </w:rPr>
      </w:pPr>
      <w:r>
        <w:rPr>
          <w:rFonts w:hint="eastAsia" w:ascii="宋体"/>
          <w:szCs w:val="21"/>
          <w:u w:color="000000"/>
        </w:rPr>
        <w:t>(1)卖方除应履行按期按量交付合格标的物的义务之外，还应提供下列服务：</w:t>
      </w:r>
    </w:p>
    <w:p w14:paraId="0BAA51C9">
      <w:pPr>
        <w:pStyle w:val="9"/>
        <w:overflowPunct w:val="0"/>
        <w:spacing w:line="440" w:lineRule="exact"/>
        <w:ind w:firstLine="532" w:firstLineChars="250"/>
        <w:rPr>
          <w:rFonts w:ascii="宋体"/>
          <w:szCs w:val="21"/>
          <w:u w:color="000000"/>
        </w:rPr>
      </w:pPr>
      <w:r>
        <w:rPr>
          <w:rFonts w:hint="eastAsia" w:ascii="宋体"/>
          <w:szCs w:val="21"/>
          <w:u w:color="000000"/>
        </w:rPr>
        <w:t>&lt;1&gt;标的物的现场安装或指导安装、启动、调试、监督（如果必须安装、调试的话）；</w:t>
      </w:r>
    </w:p>
    <w:p w14:paraId="5E1DC16A">
      <w:pPr>
        <w:pStyle w:val="9"/>
        <w:overflowPunct w:val="0"/>
        <w:spacing w:line="440" w:lineRule="exact"/>
        <w:ind w:firstLine="532" w:firstLineChars="250"/>
        <w:rPr>
          <w:rFonts w:ascii="宋体"/>
          <w:szCs w:val="21"/>
          <w:u w:color="000000"/>
        </w:rPr>
      </w:pPr>
      <w:r>
        <w:rPr>
          <w:rFonts w:hint="eastAsia" w:ascii="宋体"/>
          <w:szCs w:val="21"/>
          <w:u w:color="000000"/>
        </w:rPr>
        <w:t>&lt;2&gt;提供标的物组装和一般维修所必须的工具；</w:t>
      </w:r>
    </w:p>
    <w:p w14:paraId="1AD415A1">
      <w:pPr>
        <w:pStyle w:val="9"/>
        <w:overflowPunct w:val="0"/>
        <w:spacing w:line="440" w:lineRule="exact"/>
        <w:ind w:firstLine="532" w:firstLineChars="250"/>
        <w:rPr>
          <w:rFonts w:ascii="宋体"/>
          <w:szCs w:val="21"/>
          <w:u w:color="000000"/>
        </w:rPr>
      </w:pPr>
      <w:r>
        <w:rPr>
          <w:rFonts w:hint="eastAsia" w:ascii="宋体"/>
          <w:szCs w:val="21"/>
          <w:u w:color="000000"/>
        </w:rPr>
        <w:t>&lt;3&gt;在合同规定的期限内对所提供标的物实行运行监督、维修服务的前提条件是该服务并不能免除卖方在质量保证期内所承担的义务；</w:t>
      </w:r>
    </w:p>
    <w:p w14:paraId="449954F6">
      <w:pPr>
        <w:pStyle w:val="9"/>
        <w:overflowPunct w:val="0"/>
        <w:spacing w:line="440" w:lineRule="exact"/>
        <w:ind w:firstLine="532" w:firstLineChars="250"/>
        <w:rPr>
          <w:rFonts w:ascii="宋体"/>
          <w:szCs w:val="21"/>
          <w:u w:color="000000"/>
        </w:rPr>
      </w:pPr>
      <w:r>
        <w:rPr>
          <w:rFonts w:hint="eastAsia" w:ascii="宋体"/>
          <w:szCs w:val="21"/>
          <w:u w:color="000000"/>
        </w:rPr>
        <w:t>&lt;4&gt;对买方技术人员的技术指导或培训。</w:t>
      </w:r>
    </w:p>
    <w:p w14:paraId="617A0C7C">
      <w:pPr>
        <w:pStyle w:val="9"/>
        <w:overflowPunct w:val="0"/>
        <w:spacing w:line="440" w:lineRule="exact"/>
        <w:ind w:firstLine="532" w:firstLineChars="250"/>
        <w:rPr>
          <w:rFonts w:ascii="宋体"/>
          <w:szCs w:val="21"/>
          <w:u w:color="000000"/>
        </w:rPr>
      </w:pPr>
      <w:r>
        <w:rPr>
          <w:rFonts w:hint="eastAsia" w:ascii="宋体"/>
          <w:szCs w:val="21"/>
          <w:u w:color="000000"/>
        </w:rPr>
        <w:t>(2)除合同另有规定之外，伴随服务的费用均已含在合同价款中，买方不再另行进行支付。</w:t>
      </w:r>
    </w:p>
    <w:p w14:paraId="55318AA5">
      <w:pPr>
        <w:spacing w:line="440" w:lineRule="exact"/>
        <w:rPr>
          <w:rFonts w:ascii="宋体"/>
          <w:b/>
          <w:szCs w:val="21"/>
        </w:rPr>
      </w:pPr>
      <w:r>
        <w:rPr>
          <w:rFonts w:hint="eastAsia" w:ascii="宋体"/>
          <w:b/>
          <w:szCs w:val="21"/>
        </w:rPr>
        <w:t>三.  标的物的交付、检验和验收</w:t>
      </w:r>
    </w:p>
    <w:p w14:paraId="5A4BA374">
      <w:pPr>
        <w:spacing w:line="440" w:lineRule="exact"/>
        <w:rPr>
          <w:rFonts w:ascii="宋体"/>
          <w:szCs w:val="21"/>
        </w:rPr>
      </w:pPr>
      <w:r>
        <w:rPr>
          <w:rFonts w:hint="eastAsia" w:ascii="宋体"/>
          <w:szCs w:val="21"/>
        </w:rPr>
        <w:t>8、标的物的交付</w:t>
      </w:r>
    </w:p>
    <w:p w14:paraId="6033D2F7">
      <w:pPr>
        <w:pStyle w:val="9"/>
        <w:spacing w:line="440" w:lineRule="exact"/>
        <w:ind w:firstLine="532" w:firstLineChars="250"/>
        <w:rPr>
          <w:rFonts w:ascii="宋体"/>
          <w:szCs w:val="21"/>
          <w:u w:color="000000"/>
        </w:rPr>
      </w:pPr>
      <w:r>
        <w:rPr>
          <w:rFonts w:hint="eastAsia" w:ascii="宋体"/>
          <w:szCs w:val="21"/>
          <w:u w:color="000000"/>
        </w:rPr>
        <w:t>(1)标的物的所有权自标的物交付时转移。</w:t>
      </w:r>
    </w:p>
    <w:p w14:paraId="48478A9A">
      <w:pPr>
        <w:pStyle w:val="9"/>
        <w:spacing w:line="440" w:lineRule="exact"/>
        <w:ind w:firstLine="532" w:firstLineChars="250"/>
        <w:rPr>
          <w:rFonts w:ascii="宋体"/>
          <w:szCs w:val="21"/>
          <w:u w:color="000000"/>
        </w:rPr>
      </w:pPr>
      <w:r>
        <w:rPr>
          <w:rFonts w:hint="eastAsia" w:ascii="宋体"/>
          <w:szCs w:val="21"/>
          <w:u w:color="000000"/>
        </w:rPr>
        <w:t>(2)卖方应当按照约定的期限和约定的地点交付符合采购文件要求的标的物。</w:t>
      </w:r>
    </w:p>
    <w:p w14:paraId="1F7E5150">
      <w:pPr>
        <w:pStyle w:val="9"/>
        <w:spacing w:line="440" w:lineRule="exact"/>
        <w:ind w:firstLine="532" w:firstLineChars="250"/>
        <w:rPr>
          <w:rFonts w:ascii="宋体"/>
          <w:szCs w:val="21"/>
          <w:u w:color="000000"/>
        </w:rPr>
      </w:pPr>
      <w:r>
        <w:rPr>
          <w:rFonts w:hint="eastAsia" w:ascii="宋体"/>
          <w:szCs w:val="21"/>
          <w:u w:color="000000"/>
        </w:rPr>
        <w:t>(3)卖方应当按照约定或者交易习惯向招标人交付提取标的物单证以外的有关单证和资料。</w:t>
      </w:r>
    </w:p>
    <w:p w14:paraId="17FE238B">
      <w:pPr>
        <w:spacing w:line="440" w:lineRule="exact"/>
        <w:rPr>
          <w:rFonts w:ascii="宋体"/>
          <w:szCs w:val="21"/>
        </w:rPr>
      </w:pPr>
      <w:r>
        <w:rPr>
          <w:rFonts w:hint="eastAsia" w:ascii="宋体"/>
          <w:szCs w:val="21"/>
        </w:rPr>
        <w:t>9、检验和验收</w:t>
      </w:r>
    </w:p>
    <w:p w14:paraId="51A54A8D">
      <w:pPr>
        <w:pStyle w:val="9"/>
        <w:overflowPunct w:val="0"/>
        <w:spacing w:line="440" w:lineRule="exact"/>
        <w:ind w:firstLine="532" w:firstLineChars="250"/>
        <w:rPr>
          <w:rFonts w:ascii="宋体"/>
          <w:szCs w:val="21"/>
          <w:u w:color="000000"/>
        </w:rPr>
      </w:pPr>
      <w:r>
        <w:rPr>
          <w:rFonts w:hint="eastAsia" w:ascii="宋体"/>
          <w:szCs w:val="21"/>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D095069">
      <w:pPr>
        <w:pStyle w:val="9"/>
        <w:overflowPunct w:val="0"/>
        <w:spacing w:line="440" w:lineRule="exact"/>
        <w:ind w:firstLine="532" w:firstLineChars="250"/>
        <w:rPr>
          <w:rFonts w:ascii="宋体"/>
          <w:szCs w:val="21"/>
          <w:u w:color="000000"/>
        </w:rPr>
      </w:pPr>
      <w:r>
        <w:rPr>
          <w:rFonts w:hint="eastAsia" w:ascii="宋体"/>
          <w:szCs w:val="21"/>
          <w:u w:color="000000"/>
        </w:rPr>
        <w:t>(2)买方根据合同规定的内容和验收标准进行验收，经检验无误后出具验收合格证明，该证明作为最终付款所需文件的组成部分。</w:t>
      </w:r>
    </w:p>
    <w:p w14:paraId="6C1965C8">
      <w:pPr>
        <w:pStyle w:val="9"/>
        <w:overflowPunct w:val="0"/>
        <w:spacing w:line="440" w:lineRule="exact"/>
        <w:ind w:firstLine="532" w:firstLineChars="250"/>
        <w:rPr>
          <w:rFonts w:ascii="宋体"/>
          <w:szCs w:val="21"/>
          <w:u w:color="000000"/>
        </w:rPr>
      </w:pPr>
      <w:r>
        <w:rPr>
          <w:rFonts w:hint="eastAsia" w:ascii="宋体"/>
          <w:szCs w:val="21"/>
          <w:u w:color="000000"/>
        </w:rPr>
        <w:t>(3)验收期限自标的物交付之日起三十天内。特殊情况需延长的，双方应在合同条款中约定。</w:t>
      </w:r>
    </w:p>
    <w:p w14:paraId="300A2E0F">
      <w:pPr>
        <w:spacing w:line="440" w:lineRule="exact"/>
        <w:rPr>
          <w:rFonts w:ascii="宋体"/>
          <w:b/>
          <w:szCs w:val="21"/>
        </w:rPr>
      </w:pPr>
      <w:r>
        <w:rPr>
          <w:rFonts w:hint="eastAsia" w:ascii="宋体"/>
          <w:b/>
          <w:szCs w:val="21"/>
        </w:rPr>
        <w:t>四. 对标的物提出异议的时间和办法</w:t>
      </w:r>
    </w:p>
    <w:p w14:paraId="1E307E84">
      <w:pPr>
        <w:spacing w:line="440" w:lineRule="exact"/>
        <w:rPr>
          <w:rFonts w:ascii="宋体"/>
          <w:szCs w:val="21"/>
        </w:rPr>
      </w:pPr>
      <w:r>
        <w:rPr>
          <w:rFonts w:hint="eastAsia" w:ascii="宋体"/>
          <w:szCs w:val="21"/>
        </w:rPr>
        <w:t xml:space="preserve">10、对标的物提出异议的时间和办法 </w:t>
      </w:r>
    </w:p>
    <w:p w14:paraId="471FDCF5">
      <w:pPr>
        <w:pStyle w:val="9"/>
        <w:overflowPunct w:val="0"/>
        <w:spacing w:line="440" w:lineRule="exact"/>
        <w:ind w:firstLine="532" w:firstLineChars="250"/>
        <w:rPr>
          <w:rFonts w:ascii="宋体"/>
          <w:szCs w:val="21"/>
          <w:u w:color="000000"/>
        </w:rPr>
      </w:pPr>
      <w:r>
        <w:rPr>
          <w:rFonts w:hint="eastAsia" w:ascii="宋体"/>
          <w:szCs w:val="21"/>
          <w:u w:color="000000"/>
        </w:rPr>
        <w:t>(1)买方在验收过程中，应当于双方约定的检验期间内将标的物的数量或质量不符合约定的情形及处理方式以书面形式通知卖方。</w:t>
      </w:r>
    </w:p>
    <w:p w14:paraId="45C27A82">
      <w:pPr>
        <w:pStyle w:val="9"/>
        <w:overflowPunct w:val="0"/>
        <w:spacing w:line="440" w:lineRule="exact"/>
        <w:ind w:firstLine="532" w:firstLineChars="250"/>
        <w:rPr>
          <w:rFonts w:ascii="宋体"/>
          <w:szCs w:val="21"/>
          <w:u w:color="000000"/>
        </w:rPr>
      </w:pPr>
      <w:r>
        <w:rPr>
          <w:rFonts w:hint="eastAsia" w:ascii="宋体"/>
          <w:szCs w:val="21"/>
          <w:u w:color="000000"/>
        </w:rPr>
        <w:t>(2)如买方在验收期满后既不出具验收合格证明又未提出书面异议的视为卖方所交标的物符合合同规定。</w:t>
      </w:r>
    </w:p>
    <w:p w14:paraId="1F568943">
      <w:pPr>
        <w:pStyle w:val="9"/>
        <w:overflowPunct w:val="0"/>
        <w:spacing w:line="440" w:lineRule="exact"/>
        <w:ind w:firstLine="532" w:firstLineChars="250"/>
        <w:rPr>
          <w:rFonts w:ascii="宋体"/>
          <w:szCs w:val="21"/>
          <w:u w:color="000000"/>
        </w:rPr>
      </w:pPr>
      <w:r>
        <w:rPr>
          <w:rFonts w:hint="eastAsia" w:ascii="宋体"/>
          <w:szCs w:val="21"/>
          <w:u w:color="000000"/>
        </w:rPr>
        <w:t>(3)卖方应在收到买方书面异议后七天内负责处理问题，否则将视为默认买方提出的异议和处理意见。</w:t>
      </w:r>
    </w:p>
    <w:p w14:paraId="6D5EA156">
      <w:pPr>
        <w:spacing w:line="440" w:lineRule="exact"/>
        <w:rPr>
          <w:rFonts w:ascii="宋体"/>
          <w:b/>
          <w:szCs w:val="21"/>
        </w:rPr>
      </w:pPr>
      <w:r>
        <w:rPr>
          <w:rFonts w:hint="eastAsia" w:ascii="宋体"/>
          <w:b/>
          <w:szCs w:val="21"/>
        </w:rPr>
        <w:t>五. 合同价款和支付</w:t>
      </w:r>
    </w:p>
    <w:p w14:paraId="4222C92E">
      <w:pPr>
        <w:spacing w:line="440" w:lineRule="exact"/>
        <w:rPr>
          <w:rFonts w:ascii="宋体"/>
          <w:szCs w:val="21"/>
        </w:rPr>
      </w:pPr>
      <w:r>
        <w:rPr>
          <w:rFonts w:hint="eastAsia" w:ascii="宋体"/>
          <w:szCs w:val="21"/>
        </w:rPr>
        <w:t>11、合同价款和支付</w:t>
      </w:r>
    </w:p>
    <w:p w14:paraId="084F2665">
      <w:pPr>
        <w:pStyle w:val="9"/>
        <w:overflowPunct w:val="0"/>
        <w:spacing w:line="440" w:lineRule="exact"/>
        <w:ind w:firstLine="532" w:firstLineChars="250"/>
        <w:rPr>
          <w:rFonts w:ascii="宋体"/>
          <w:szCs w:val="21"/>
          <w:u w:color="000000"/>
        </w:rPr>
      </w:pPr>
      <w:r>
        <w:rPr>
          <w:rFonts w:hint="eastAsia" w:ascii="宋体"/>
          <w:szCs w:val="21"/>
          <w:u w:color="000000"/>
        </w:rPr>
        <w:t>(1)本合同的结算货币为人民币，单位元。</w:t>
      </w:r>
    </w:p>
    <w:p w14:paraId="6B6281EB">
      <w:pPr>
        <w:pStyle w:val="9"/>
        <w:overflowPunct w:val="0"/>
        <w:spacing w:line="440" w:lineRule="exact"/>
        <w:ind w:firstLine="532" w:firstLineChars="250"/>
        <w:rPr>
          <w:rFonts w:ascii="宋体"/>
          <w:szCs w:val="21"/>
          <w:u w:color="000000"/>
        </w:rPr>
      </w:pPr>
      <w:r>
        <w:rPr>
          <w:rFonts w:hint="eastAsia" w:ascii="宋体"/>
          <w:szCs w:val="21"/>
          <w:u w:color="000000"/>
        </w:rPr>
        <w:t>(2)卖方应按照双方签订的合同规定交货并在合同主要条款规定的期限内持下列单据结算货款：</w:t>
      </w:r>
    </w:p>
    <w:p w14:paraId="13E798BE">
      <w:pPr>
        <w:pStyle w:val="9"/>
        <w:overflowPunct w:val="0"/>
        <w:spacing w:line="440" w:lineRule="exact"/>
        <w:ind w:firstLine="532" w:firstLineChars="250"/>
        <w:rPr>
          <w:rFonts w:ascii="宋体"/>
          <w:szCs w:val="21"/>
          <w:u w:color="000000"/>
        </w:rPr>
      </w:pPr>
      <w:r>
        <w:rPr>
          <w:rFonts w:hint="eastAsia" w:ascii="宋体"/>
          <w:szCs w:val="21"/>
          <w:u w:color="000000"/>
        </w:rPr>
        <w:t>&lt;1&gt;合格的销售发票；</w:t>
      </w:r>
    </w:p>
    <w:p w14:paraId="18392AB2">
      <w:pPr>
        <w:pStyle w:val="9"/>
        <w:overflowPunct w:val="0"/>
        <w:spacing w:line="440" w:lineRule="exact"/>
        <w:ind w:firstLine="532" w:firstLineChars="250"/>
        <w:rPr>
          <w:rFonts w:ascii="宋体"/>
          <w:szCs w:val="21"/>
          <w:u w:color="000000"/>
        </w:rPr>
      </w:pPr>
      <w:r>
        <w:rPr>
          <w:rFonts w:hint="eastAsia" w:ascii="宋体"/>
          <w:szCs w:val="21"/>
          <w:u w:color="000000"/>
        </w:rPr>
        <w:t>&lt;2&gt;买方盖章签收后的送货回单和验收合格证明。</w:t>
      </w:r>
    </w:p>
    <w:p w14:paraId="5ECF05C7">
      <w:pPr>
        <w:pStyle w:val="9"/>
        <w:overflowPunct w:val="0"/>
        <w:spacing w:line="440" w:lineRule="exact"/>
        <w:ind w:firstLine="532" w:firstLineChars="250"/>
        <w:rPr>
          <w:rFonts w:ascii="宋体"/>
          <w:szCs w:val="21"/>
          <w:u w:color="000000"/>
        </w:rPr>
      </w:pPr>
      <w:r>
        <w:rPr>
          <w:rFonts w:hint="eastAsia" w:ascii="宋体"/>
          <w:szCs w:val="21"/>
          <w:u w:color="000000"/>
        </w:rPr>
        <w:t>(3)买方应按合同主要条款规定的期限和方式付款。</w:t>
      </w:r>
    </w:p>
    <w:p w14:paraId="25FDAC13">
      <w:pPr>
        <w:pStyle w:val="9"/>
        <w:tabs>
          <w:tab w:val="left" w:pos="540"/>
        </w:tabs>
        <w:overflowPunct w:val="0"/>
        <w:spacing w:line="440" w:lineRule="exact"/>
        <w:ind w:firstLine="532" w:firstLineChars="250"/>
        <w:rPr>
          <w:rFonts w:ascii="宋体"/>
          <w:szCs w:val="21"/>
          <w:u w:color="000000"/>
        </w:rPr>
      </w:pPr>
      <w:r>
        <w:rPr>
          <w:rFonts w:hint="eastAsia" w:ascii="宋体"/>
          <w:szCs w:val="21"/>
          <w:u w:color="000000"/>
        </w:rPr>
        <w:t>(4)根据现行税法对买方征收的与本合同有关的一切税费均由买方承担；根据现行税法对卖方征收的与本合同有关的一切税费均由卖方承担。</w:t>
      </w:r>
    </w:p>
    <w:p w14:paraId="4437BC70">
      <w:pPr>
        <w:spacing w:line="440" w:lineRule="exact"/>
        <w:rPr>
          <w:rFonts w:ascii="宋体"/>
          <w:b/>
          <w:szCs w:val="21"/>
        </w:rPr>
      </w:pPr>
      <w:r>
        <w:rPr>
          <w:rFonts w:hint="eastAsia" w:ascii="宋体"/>
          <w:b/>
          <w:szCs w:val="21"/>
        </w:rPr>
        <w:t>六. 违约责任</w:t>
      </w:r>
    </w:p>
    <w:p w14:paraId="74878657">
      <w:pPr>
        <w:spacing w:line="440" w:lineRule="exact"/>
        <w:rPr>
          <w:rFonts w:ascii="宋体"/>
          <w:szCs w:val="21"/>
        </w:rPr>
      </w:pPr>
      <w:r>
        <w:rPr>
          <w:rFonts w:hint="eastAsia" w:ascii="宋体"/>
          <w:szCs w:val="21"/>
        </w:rPr>
        <w:t>12、违约责任</w:t>
      </w:r>
    </w:p>
    <w:p w14:paraId="2D87121A">
      <w:pPr>
        <w:pStyle w:val="9"/>
        <w:spacing w:line="440" w:lineRule="exact"/>
        <w:ind w:firstLine="478" w:firstLineChars="225"/>
        <w:rPr>
          <w:rFonts w:ascii="宋体"/>
          <w:szCs w:val="21"/>
          <w:u w:color="000000"/>
        </w:rPr>
      </w:pPr>
      <w:r>
        <w:rPr>
          <w:rFonts w:hint="eastAsia" w:ascii="宋体"/>
          <w:szCs w:val="21"/>
          <w:u w:color="000000"/>
        </w:rPr>
        <w:t>合同一方不履行合同义务或者履行合同义务不符合约定的，应当承担继续履行、采取补救措施或者赔偿损失等违约责任。</w:t>
      </w:r>
    </w:p>
    <w:p w14:paraId="551ED920">
      <w:pPr>
        <w:spacing w:line="440" w:lineRule="exact"/>
        <w:rPr>
          <w:rFonts w:ascii="宋体"/>
          <w:szCs w:val="21"/>
        </w:rPr>
      </w:pPr>
      <w:r>
        <w:rPr>
          <w:rFonts w:hint="eastAsia" w:ascii="宋体"/>
          <w:szCs w:val="21"/>
        </w:rPr>
        <w:t>13、买方违约责任</w:t>
      </w:r>
    </w:p>
    <w:p w14:paraId="55B42E11">
      <w:pPr>
        <w:pStyle w:val="9"/>
        <w:overflowPunct w:val="0"/>
        <w:spacing w:line="440" w:lineRule="exact"/>
        <w:ind w:firstLine="532" w:firstLineChars="250"/>
        <w:rPr>
          <w:rFonts w:ascii="宋体"/>
          <w:szCs w:val="21"/>
          <w:u w:color="000000"/>
        </w:rPr>
      </w:pPr>
      <w:r>
        <w:rPr>
          <w:rFonts w:hint="eastAsia" w:ascii="宋体"/>
          <w:szCs w:val="21"/>
          <w:u w:color="000000"/>
        </w:rPr>
        <w:t>(1)在合同生效后，买方要求退货的，应向卖方偿付合同总价款的5%，作为违约金，违约金不足以补偿损失的，卖方有权要求甲方补足。</w:t>
      </w:r>
    </w:p>
    <w:p w14:paraId="5C4890B7">
      <w:pPr>
        <w:pStyle w:val="9"/>
        <w:overflowPunct w:val="0"/>
        <w:spacing w:line="440" w:lineRule="exact"/>
        <w:ind w:right="-338" w:rightChars="-159" w:firstLine="532" w:firstLineChars="250"/>
        <w:rPr>
          <w:rFonts w:ascii="宋体"/>
          <w:szCs w:val="21"/>
          <w:u w:color="000000"/>
        </w:rPr>
      </w:pPr>
      <w:r>
        <w:rPr>
          <w:rFonts w:hint="eastAsia" w:ascii="宋体"/>
          <w:szCs w:val="21"/>
          <w:u w:color="000000"/>
        </w:rPr>
        <w:t>(2)买方逾期付款的应按照逾期付款金额的每天万分之四支付逾期付款违约金。</w:t>
      </w:r>
    </w:p>
    <w:p w14:paraId="7706BCE6">
      <w:pPr>
        <w:pStyle w:val="9"/>
        <w:overflowPunct w:val="0"/>
        <w:spacing w:line="440" w:lineRule="exact"/>
        <w:ind w:firstLine="532" w:firstLineChars="250"/>
        <w:rPr>
          <w:rFonts w:ascii="宋体"/>
          <w:szCs w:val="21"/>
          <w:u w:color="000000"/>
        </w:rPr>
      </w:pPr>
      <w:r>
        <w:rPr>
          <w:rFonts w:hint="eastAsia" w:ascii="宋体"/>
          <w:szCs w:val="21"/>
          <w:u w:color="000000"/>
        </w:rPr>
        <w:t>(3)买方违反合同规定，拒绝接收卖方交付的符合采购文件要求的合格标的物，应当承担卖方由此造成的损失。</w:t>
      </w:r>
    </w:p>
    <w:p w14:paraId="79DEE742">
      <w:pPr>
        <w:spacing w:line="440" w:lineRule="exact"/>
        <w:rPr>
          <w:rFonts w:ascii="宋体"/>
          <w:szCs w:val="21"/>
        </w:rPr>
      </w:pPr>
      <w:r>
        <w:rPr>
          <w:rFonts w:hint="eastAsia" w:ascii="宋体"/>
          <w:szCs w:val="21"/>
        </w:rPr>
        <w:t>14、卖方违约责任</w:t>
      </w:r>
    </w:p>
    <w:p w14:paraId="45AE710D">
      <w:pPr>
        <w:pStyle w:val="9"/>
        <w:overflowPunct w:val="0"/>
        <w:spacing w:line="440" w:lineRule="exact"/>
        <w:ind w:firstLine="532" w:firstLineChars="250"/>
        <w:rPr>
          <w:rFonts w:ascii="宋体"/>
          <w:szCs w:val="21"/>
          <w:u w:color="000000"/>
        </w:rPr>
      </w:pPr>
      <w:r>
        <w:rPr>
          <w:rFonts w:hint="eastAsia" w:ascii="宋体"/>
          <w:szCs w:val="21"/>
          <w:u w:color="000000"/>
        </w:rPr>
        <w:t>(1)卖方不能交货（逾期超过五天视为不能交货），或交货不合格从而影响买方按期正常使用的，应向买方偿付合同总价款5%的违约金，违约金不足以补偿损失的，买方有权要求卖方补足。</w:t>
      </w:r>
    </w:p>
    <w:p w14:paraId="702437B1">
      <w:pPr>
        <w:pStyle w:val="9"/>
        <w:overflowPunct w:val="0"/>
        <w:spacing w:line="440" w:lineRule="exact"/>
        <w:ind w:firstLine="532" w:firstLineChars="250"/>
        <w:rPr>
          <w:rFonts w:ascii="宋体"/>
          <w:szCs w:val="21"/>
          <w:u w:color="000000"/>
        </w:rPr>
      </w:pPr>
      <w:r>
        <w:rPr>
          <w:rFonts w:hint="eastAsia" w:ascii="宋体"/>
          <w:szCs w:val="21"/>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5A7C5170">
      <w:pPr>
        <w:spacing w:line="440" w:lineRule="exact"/>
        <w:rPr>
          <w:rFonts w:ascii="宋体"/>
          <w:szCs w:val="21"/>
        </w:rPr>
      </w:pPr>
      <w:r>
        <w:rPr>
          <w:rFonts w:hint="eastAsia" w:ascii="宋体"/>
          <w:szCs w:val="21"/>
        </w:rPr>
        <w:t>15、不可抗力</w:t>
      </w:r>
    </w:p>
    <w:p w14:paraId="6399FF34">
      <w:pPr>
        <w:pStyle w:val="9"/>
        <w:spacing w:line="440" w:lineRule="exact"/>
        <w:ind w:firstLine="532" w:firstLineChars="250"/>
        <w:rPr>
          <w:rFonts w:ascii="宋体"/>
          <w:szCs w:val="21"/>
          <w:u w:color="000000"/>
        </w:rPr>
      </w:pPr>
      <w:r>
        <w:rPr>
          <w:rFonts w:hint="eastAsia" w:ascii="宋体"/>
          <w:szCs w:val="21"/>
          <w:u w:color="000000"/>
        </w:rPr>
        <w:t>(1)因水灾、火灾、地震、战争等不可抗力不能履行合同的，根据不可抗力的影响，部分或者全部免除责任。但合同一方迟延履行后发生不可抗力的，不能免除责任。</w:t>
      </w:r>
    </w:p>
    <w:p w14:paraId="42F7FB37">
      <w:pPr>
        <w:pStyle w:val="9"/>
        <w:spacing w:line="440" w:lineRule="exact"/>
        <w:ind w:firstLine="532" w:firstLineChars="250"/>
        <w:rPr>
          <w:rFonts w:ascii="宋体"/>
          <w:szCs w:val="21"/>
          <w:u w:color="000000"/>
        </w:rPr>
      </w:pPr>
      <w:r>
        <w:rPr>
          <w:rFonts w:hint="eastAsia" w:ascii="宋体"/>
          <w:szCs w:val="21"/>
          <w:u w:color="000000"/>
        </w:rPr>
        <w:t>(2)合同一方因不可抗力不能履行合同的，应当及时通知对方，以减轻可能给对方造成的损失，并应当在合理期限内提供证明。</w:t>
      </w:r>
    </w:p>
    <w:p w14:paraId="35C9D1A3">
      <w:pPr>
        <w:spacing w:line="440" w:lineRule="exact"/>
        <w:rPr>
          <w:rFonts w:ascii="宋体"/>
          <w:b/>
          <w:szCs w:val="21"/>
        </w:rPr>
      </w:pPr>
      <w:r>
        <w:rPr>
          <w:rFonts w:hint="eastAsia" w:ascii="宋体"/>
          <w:b/>
          <w:szCs w:val="21"/>
        </w:rPr>
        <w:t>七. 索赔</w:t>
      </w:r>
    </w:p>
    <w:p w14:paraId="3DE5A9FD">
      <w:pPr>
        <w:spacing w:line="440" w:lineRule="exact"/>
        <w:rPr>
          <w:rFonts w:ascii="宋体"/>
          <w:szCs w:val="21"/>
        </w:rPr>
      </w:pPr>
      <w:r>
        <w:rPr>
          <w:rFonts w:hint="eastAsia" w:ascii="宋体"/>
          <w:szCs w:val="21"/>
        </w:rPr>
        <w:t>16、索赔</w:t>
      </w:r>
    </w:p>
    <w:p w14:paraId="1C1D05CA">
      <w:pPr>
        <w:pStyle w:val="9"/>
        <w:overflowPunct w:val="0"/>
        <w:spacing w:line="440" w:lineRule="exact"/>
        <w:ind w:firstLine="532" w:firstLineChars="250"/>
        <w:rPr>
          <w:rFonts w:ascii="宋体"/>
          <w:szCs w:val="21"/>
          <w:u w:color="000000"/>
        </w:rPr>
      </w:pPr>
      <w:r>
        <w:rPr>
          <w:rFonts w:hint="eastAsia" w:ascii="宋体"/>
          <w:szCs w:val="21"/>
          <w:u w:color="000000"/>
        </w:rPr>
        <w:t>(1)买方有权根据当地产品质量检验机构或其它有权威部门出具的检验证书向卖方提出索赔。</w:t>
      </w:r>
    </w:p>
    <w:p w14:paraId="1E81E3D5">
      <w:pPr>
        <w:pStyle w:val="9"/>
        <w:overflowPunct w:val="0"/>
        <w:spacing w:line="440" w:lineRule="exact"/>
        <w:ind w:firstLine="532" w:firstLineChars="250"/>
        <w:rPr>
          <w:rFonts w:ascii="宋体"/>
          <w:szCs w:val="21"/>
          <w:u w:color="000000"/>
        </w:rPr>
      </w:pPr>
      <w:r>
        <w:rPr>
          <w:rFonts w:hint="eastAsia" w:ascii="宋体"/>
          <w:szCs w:val="21"/>
          <w:u w:color="000000"/>
        </w:rPr>
        <w:t>(2)在本合同规定的检验期和质量保证期内，如果卖方对买方提出的索赔或差异有责任，则卖方应按买方同意的下列一种或多种方式解决索赔事宜：</w:t>
      </w:r>
    </w:p>
    <w:p w14:paraId="051395C7">
      <w:pPr>
        <w:pStyle w:val="9"/>
        <w:overflowPunct w:val="0"/>
        <w:spacing w:line="440" w:lineRule="exact"/>
        <w:ind w:firstLine="532" w:firstLineChars="250"/>
        <w:rPr>
          <w:rFonts w:ascii="宋体"/>
          <w:szCs w:val="21"/>
          <w:u w:color="000000"/>
        </w:rPr>
      </w:pPr>
      <w:r>
        <w:rPr>
          <w:rFonts w:hint="eastAsia" w:ascii="宋体"/>
          <w:szCs w:val="21"/>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085AD2B2">
      <w:pPr>
        <w:pStyle w:val="9"/>
        <w:overflowPunct w:val="0"/>
        <w:spacing w:line="440" w:lineRule="exact"/>
        <w:ind w:firstLine="532" w:firstLineChars="250"/>
        <w:rPr>
          <w:rFonts w:ascii="宋体"/>
          <w:szCs w:val="21"/>
          <w:u w:color="000000"/>
        </w:rPr>
      </w:pPr>
      <w:r>
        <w:rPr>
          <w:rFonts w:hint="eastAsia" w:ascii="宋体"/>
          <w:szCs w:val="21"/>
          <w:u w:color="000000"/>
        </w:rPr>
        <w:t>&lt;2&gt;根据标的物的低劣程度、损坏程度以及甲方遭受损失的数额，经双方协商确定降低标的物的价格；</w:t>
      </w:r>
    </w:p>
    <w:p w14:paraId="6CE8B532">
      <w:pPr>
        <w:pStyle w:val="9"/>
        <w:overflowPunct w:val="0"/>
        <w:spacing w:line="440" w:lineRule="exact"/>
        <w:ind w:firstLine="532" w:firstLineChars="250"/>
        <w:rPr>
          <w:rFonts w:ascii="宋体"/>
          <w:szCs w:val="21"/>
          <w:u w:color="000000"/>
        </w:rPr>
      </w:pPr>
      <w:r>
        <w:rPr>
          <w:rFonts w:hint="eastAsia" w:ascii="宋体"/>
          <w:szCs w:val="21"/>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434E5961">
      <w:pPr>
        <w:pStyle w:val="9"/>
        <w:overflowPunct w:val="0"/>
        <w:spacing w:line="440" w:lineRule="exact"/>
        <w:ind w:firstLine="532" w:firstLineChars="250"/>
        <w:rPr>
          <w:rFonts w:ascii="宋体"/>
          <w:szCs w:val="21"/>
          <w:u w:color="000000"/>
        </w:rPr>
      </w:pPr>
      <w:r>
        <w:rPr>
          <w:rFonts w:hint="eastAsia" w:ascii="宋体"/>
          <w:szCs w:val="21"/>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1A9DD5C">
      <w:pPr>
        <w:pStyle w:val="9"/>
        <w:overflowPunct w:val="0"/>
        <w:spacing w:line="440" w:lineRule="exact"/>
        <w:ind w:firstLine="532" w:firstLineChars="250"/>
        <w:rPr>
          <w:rFonts w:ascii="宋体"/>
          <w:szCs w:val="21"/>
          <w:u w:color="000000"/>
        </w:rPr>
      </w:pPr>
      <w:r>
        <w:rPr>
          <w:rFonts w:hint="eastAsia" w:ascii="宋体"/>
          <w:szCs w:val="21"/>
          <w:u w:color="000000"/>
        </w:rPr>
        <w:t>(4)买方提出索赔的书面材料应报当地政府采购管理部门备案。卖方同意的索赔方案应报当地政府采购管理部门审核。</w:t>
      </w:r>
    </w:p>
    <w:p w14:paraId="6E37402E">
      <w:pPr>
        <w:spacing w:line="440" w:lineRule="exact"/>
        <w:rPr>
          <w:rFonts w:ascii="宋体"/>
          <w:b/>
          <w:szCs w:val="21"/>
        </w:rPr>
      </w:pPr>
      <w:r>
        <w:rPr>
          <w:rFonts w:hint="eastAsia" w:ascii="宋体"/>
          <w:b/>
          <w:szCs w:val="21"/>
        </w:rPr>
        <w:t>八. 履约保证金</w:t>
      </w:r>
    </w:p>
    <w:p w14:paraId="062EF792">
      <w:pPr>
        <w:spacing w:line="440" w:lineRule="exact"/>
        <w:rPr>
          <w:rFonts w:ascii="宋体"/>
          <w:szCs w:val="21"/>
        </w:rPr>
      </w:pPr>
      <w:r>
        <w:rPr>
          <w:rFonts w:hint="eastAsia" w:ascii="宋体"/>
          <w:szCs w:val="21"/>
        </w:rPr>
        <w:t>17、履约保证金</w:t>
      </w:r>
    </w:p>
    <w:p w14:paraId="7374DF76">
      <w:pPr>
        <w:pStyle w:val="9"/>
        <w:overflowPunct w:val="0"/>
        <w:spacing w:line="440" w:lineRule="exact"/>
        <w:ind w:firstLine="532" w:firstLineChars="250"/>
        <w:rPr>
          <w:rFonts w:ascii="宋体"/>
          <w:szCs w:val="21"/>
          <w:u w:color="000000"/>
        </w:rPr>
      </w:pPr>
      <w:r>
        <w:rPr>
          <w:rFonts w:hint="eastAsia" w:ascii="宋体"/>
          <w:szCs w:val="21"/>
          <w:u w:color="000000"/>
        </w:rPr>
        <w:t>(1)卖方应在本合同签订时，按采购文件的约定提供相应的履约保证金，保证金的有效期应不低于合同有效期。</w:t>
      </w:r>
    </w:p>
    <w:p w14:paraId="24ED78DF">
      <w:pPr>
        <w:pStyle w:val="9"/>
        <w:overflowPunct w:val="0"/>
        <w:spacing w:line="440" w:lineRule="exact"/>
        <w:ind w:right="-338" w:rightChars="-159" w:firstLine="532" w:firstLineChars="250"/>
        <w:rPr>
          <w:rFonts w:ascii="宋体"/>
          <w:szCs w:val="21"/>
          <w:u w:color="000000"/>
        </w:rPr>
      </w:pPr>
      <w:r>
        <w:rPr>
          <w:rFonts w:hint="eastAsia" w:ascii="宋体"/>
          <w:szCs w:val="21"/>
          <w:u w:color="000000"/>
        </w:rPr>
        <w:t>(2)如果卖方未能履行合同规定的任何义务，买方有权从履约保证金中取得补偿。</w:t>
      </w:r>
    </w:p>
    <w:p w14:paraId="35FF666A">
      <w:pPr>
        <w:pStyle w:val="9"/>
        <w:overflowPunct w:val="0"/>
        <w:spacing w:line="440" w:lineRule="exact"/>
        <w:ind w:right="-886" w:rightChars="-416" w:firstLine="532" w:firstLineChars="250"/>
        <w:rPr>
          <w:rFonts w:ascii="宋体"/>
          <w:szCs w:val="21"/>
          <w:u w:color="000000"/>
        </w:rPr>
      </w:pPr>
      <w:r>
        <w:rPr>
          <w:rFonts w:hint="eastAsia" w:ascii="宋体"/>
          <w:szCs w:val="21"/>
          <w:u w:color="000000"/>
        </w:rPr>
        <w:t>(3)履约保证金（无息）将在卖方履行完合同义务，买方支付合同价款的五天内</w:t>
      </w:r>
    </w:p>
    <w:p w14:paraId="3C0F9153">
      <w:pPr>
        <w:pStyle w:val="9"/>
        <w:overflowPunct w:val="0"/>
        <w:spacing w:line="440" w:lineRule="exact"/>
        <w:ind w:right="-886" w:rightChars="-416" w:firstLine="0"/>
        <w:rPr>
          <w:rFonts w:ascii="宋体"/>
          <w:szCs w:val="21"/>
          <w:u w:color="000000"/>
        </w:rPr>
      </w:pPr>
      <w:r>
        <w:rPr>
          <w:rFonts w:hint="eastAsia" w:ascii="宋体"/>
          <w:szCs w:val="21"/>
          <w:u w:color="000000"/>
        </w:rPr>
        <w:t>退回。</w:t>
      </w:r>
    </w:p>
    <w:p w14:paraId="56649AA1">
      <w:pPr>
        <w:spacing w:line="440" w:lineRule="exact"/>
        <w:rPr>
          <w:rFonts w:ascii="宋体"/>
          <w:b/>
          <w:szCs w:val="21"/>
        </w:rPr>
      </w:pPr>
      <w:r>
        <w:rPr>
          <w:rFonts w:hint="eastAsia" w:ascii="宋体"/>
          <w:b/>
          <w:szCs w:val="21"/>
        </w:rPr>
        <w:t>九.  合同的解除和转让</w:t>
      </w:r>
    </w:p>
    <w:p w14:paraId="6D753890">
      <w:pPr>
        <w:spacing w:line="440" w:lineRule="exact"/>
        <w:rPr>
          <w:rFonts w:ascii="宋体"/>
          <w:szCs w:val="21"/>
        </w:rPr>
      </w:pPr>
      <w:r>
        <w:rPr>
          <w:rFonts w:hint="eastAsia" w:ascii="宋体"/>
          <w:szCs w:val="21"/>
        </w:rPr>
        <w:t>18、合同的解除</w:t>
      </w:r>
    </w:p>
    <w:p w14:paraId="64E014F5">
      <w:pPr>
        <w:pStyle w:val="9"/>
        <w:spacing w:line="440" w:lineRule="exact"/>
        <w:ind w:firstLine="532" w:firstLineChars="250"/>
        <w:rPr>
          <w:rFonts w:ascii="宋体"/>
          <w:szCs w:val="21"/>
          <w:u w:color="000000"/>
        </w:rPr>
      </w:pPr>
      <w:r>
        <w:rPr>
          <w:rFonts w:hint="eastAsia" w:ascii="宋体"/>
          <w:szCs w:val="21"/>
          <w:u w:color="000000"/>
        </w:rPr>
        <w:t>(1)买方和卖方协商一致，可以解除合同。</w:t>
      </w:r>
    </w:p>
    <w:p w14:paraId="7119813A">
      <w:pPr>
        <w:pStyle w:val="9"/>
        <w:spacing w:line="440" w:lineRule="exact"/>
        <w:ind w:firstLine="532" w:firstLineChars="250"/>
        <w:rPr>
          <w:rFonts w:ascii="宋体"/>
          <w:szCs w:val="21"/>
          <w:u w:color="000000"/>
        </w:rPr>
      </w:pPr>
      <w:r>
        <w:rPr>
          <w:rFonts w:hint="eastAsia" w:ascii="宋体"/>
          <w:szCs w:val="21"/>
          <w:u w:color="000000"/>
        </w:rPr>
        <w:t>(2)有下列情形之一，合同一方可以解除合同：</w:t>
      </w:r>
    </w:p>
    <w:p w14:paraId="2907F241">
      <w:pPr>
        <w:pStyle w:val="9"/>
        <w:spacing w:line="440" w:lineRule="exact"/>
        <w:ind w:firstLine="532" w:firstLineChars="250"/>
        <w:rPr>
          <w:rFonts w:ascii="宋体"/>
          <w:szCs w:val="21"/>
          <w:u w:color="000000"/>
        </w:rPr>
      </w:pPr>
      <w:r>
        <w:rPr>
          <w:rFonts w:hint="eastAsia" w:ascii="宋体"/>
          <w:szCs w:val="21"/>
          <w:u w:color="000000"/>
        </w:rPr>
        <w:t>&lt;1&gt;因不可抗力致使不能实现合同目的，未受不可抗力影响的一方有权解除合同；</w:t>
      </w:r>
    </w:p>
    <w:p w14:paraId="77E7F372">
      <w:pPr>
        <w:pStyle w:val="9"/>
        <w:spacing w:line="440" w:lineRule="exact"/>
        <w:ind w:firstLine="532" w:firstLineChars="250"/>
        <w:rPr>
          <w:rFonts w:ascii="宋体"/>
          <w:szCs w:val="21"/>
          <w:u w:color="000000"/>
        </w:rPr>
      </w:pPr>
      <w:r>
        <w:rPr>
          <w:rFonts w:hint="eastAsia" w:ascii="宋体"/>
          <w:szCs w:val="21"/>
          <w:u w:color="000000"/>
        </w:rPr>
        <w:t>&lt;2&gt;因合同一方违约导致合同不能履行，另一方有权解除合同。</w:t>
      </w:r>
    </w:p>
    <w:p w14:paraId="5461A311">
      <w:pPr>
        <w:pStyle w:val="9"/>
        <w:spacing w:line="440" w:lineRule="exact"/>
        <w:ind w:firstLine="532" w:firstLineChars="250"/>
        <w:rPr>
          <w:rFonts w:ascii="宋体"/>
          <w:szCs w:val="21"/>
          <w:u w:color="000000"/>
        </w:rPr>
      </w:pPr>
      <w:r>
        <w:rPr>
          <w:rFonts w:hint="eastAsia" w:ascii="宋体"/>
          <w:szCs w:val="21"/>
          <w:u w:color="000000"/>
        </w:rPr>
        <w:t>(3)有权解除合同的一方，应当在违约事实或不可抗力发生之后三十天内书面通知对方以主张解除合同，合同在书面通知到达对方时解除。</w:t>
      </w:r>
    </w:p>
    <w:p w14:paraId="0298557F">
      <w:pPr>
        <w:spacing w:line="440" w:lineRule="exact"/>
        <w:rPr>
          <w:rFonts w:ascii="宋体"/>
          <w:szCs w:val="21"/>
        </w:rPr>
      </w:pPr>
      <w:r>
        <w:rPr>
          <w:rFonts w:hint="eastAsia" w:ascii="宋体"/>
          <w:szCs w:val="21"/>
        </w:rPr>
        <w:t>19、合同的转让</w:t>
      </w:r>
    </w:p>
    <w:p w14:paraId="24D2B68C">
      <w:pPr>
        <w:spacing w:line="440" w:lineRule="exact"/>
        <w:rPr>
          <w:rFonts w:ascii="宋体"/>
          <w:szCs w:val="21"/>
        </w:rPr>
      </w:pPr>
      <w:r>
        <w:rPr>
          <w:rFonts w:hint="eastAsia" w:ascii="宋体"/>
          <w:szCs w:val="21"/>
        </w:rPr>
        <w:t xml:space="preserve">      合同的部分和全部都不得转让。</w:t>
      </w:r>
    </w:p>
    <w:p w14:paraId="4A14E823">
      <w:pPr>
        <w:spacing w:line="440" w:lineRule="exact"/>
        <w:rPr>
          <w:rFonts w:ascii="宋体"/>
          <w:b/>
          <w:szCs w:val="21"/>
        </w:rPr>
      </w:pPr>
      <w:r>
        <w:rPr>
          <w:rFonts w:hint="eastAsia" w:ascii="宋体"/>
          <w:b/>
          <w:szCs w:val="21"/>
        </w:rPr>
        <w:t>十. 合同的生效</w:t>
      </w:r>
    </w:p>
    <w:p w14:paraId="378B4189">
      <w:pPr>
        <w:spacing w:line="440" w:lineRule="exact"/>
        <w:rPr>
          <w:rFonts w:ascii="宋体"/>
          <w:szCs w:val="21"/>
        </w:rPr>
      </w:pPr>
      <w:r>
        <w:rPr>
          <w:rFonts w:hint="eastAsia" w:ascii="宋体"/>
          <w:szCs w:val="21"/>
        </w:rPr>
        <w:t>20、合同的生效</w:t>
      </w:r>
    </w:p>
    <w:p w14:paraId="33FCAA5F">
      <w:pPr>
        <w:spacing w:line="440" w:lineRule="exact"/>
        <w:ind w:firstLine="589" w:firstLineChars="277"/>
        <w:rPr>
          <w:rFonts w:ascii="宋体"/>
          <w:szCs w:val="21"/>
        </w:rPr>
      </w:pPr>
      <w:r>
        <w:rPr>
          <w:rFonts w:hint="eastAsia" w:ascii="宋体"/>
          <w:szCs w:val="21"/>
        </w:rPr>
        <w:t>本合同在双方签字盖章并在招标人收到中标人提交的履约保证金后，经招标采购管理部门备案后生效。</w:t>
      </w:r>
    </w:p>
    <w:p w14:paraId="31EAAD63">
      <w:pPr>
        <w:spacing w:line="440" w:lineRule="exact"/>
        <w:rPr>
          <w:rFonts w:ascii="宋体"/>
          <w:b/>
          <w:szCs w:val="21"/>
        </w:rPr>
      </w:pPr>
      <w:r>
        <w:rPr>
          <w:rFonts w:hint="eastAsia" w:ascii="宋体"/>
          <w:b/>
          <w:szCs w:val="21"/>
        </w:rPr>
        <w:t>十一. 争议解决</w:t>
      </w:r>
    </w:p>
    <w:p w14:paraId="70C553BF">
      <w:pPr>
        <w:spacing w:line="440" w:lineRule="exact"/>
        <w:ind w:firstLine="213" w:firstLineChars="100"/>
        <w:rPr>
          <w:rFonts w:ascii="宋体"/>
          <w:szCs w:val="21"/>
        </w:rPr>
      </w:pPr>
      <w:r>
        <w:rPr>
          <w:rFonts w:hint="eastAsia" w:ascii="宋体"/>
          <w:szCs w:val="21"/>
        </w:rPr>
        <w:t>21、争议解决</w:t>
      </w:r>
    </w:p>
    <w:p w14:paraId="1A56C8DD">
      <w:pPr>
        <w:pStyle w:val="9"/>
        <w:overflowPunct w:val="0"/>
        <w:spacing w:line="440" w:lineRule="exact"/>
        <w:rPr>
          <w:rFonts w:ascii="宋体"/>
          <w:szCs w:val="21"/>
          <w:u w:color="000000"/>
        </w:rPr>
      </w:pPr>
      <w:r>
        <w:rPr>
          <w:rFonts w:hint="eastAsia" w:ascii="宋体"/>
          <w:szCs w:val="21"/>
          <w:u w:color="000000"/>
        </w:rPr>
        <w:t xml:space="preserve"> 买卖双方因合同发生争议，进行调解，协商不成，可选择：</w:t>
      </w:r>
    </w:p>
    <w:p w14:paraId="0C9A81F7">
      <w:pPr>
        <w:pStyle w:val="9"/>
        <w:overflowPunct w:val="0"/>
        <w:spacing w:line="440" w:lineRule="exact"/>
        <w:ind w:firstLine="532" w:firstLineChars="250"/>
        <w:rPr>
          <w:rFonts w:ascii="宋体"/>
          <w:szCs w:val="21"/>
          <w:u w:color="000000"/>
        </w:rPr>
      </w:pPr>
      <w:r>
        <w:rPr>
          <w:rFonts w:hint="eastAsia" w:ascii="宋体"/>
          <w:szCs w:val="21"/>
          <w:u w:color="000000"/>
        </w:rPr>
        <w:t>(1)双方同时申请仲裁；</w:t>
      </w:r>
    </w:p>
    <w:p w14:paraId="7FF31BF2">
      <w:pPr>
        <w:pStyle w:val="9"/>
        <w:tabs>
          <w:tab w:val="left" w:pos="900"/>
        </w:tabs>
        <w:overflowPunct w:val="0"/>
        <w:spacing w:line="440" w:lineRule="exact"/>
        <w:ind w:firstLine="532" w:firstLineChars="250"/>
        <w:rPr>
          <w:rFonts w:ascii="宋体"/>
          <w:szCs w:val="21"/>
          <w:u w:color="000000"/>
        </w:rPr>
      </w:pPr>
      <w:r>
        <w:rPr>
          <w:rFonts w:hint="eastAsia" w:ascii="宋体"/>
          <w:szCs w:val="21"/>
          <w:u w:color="000000"/>
        </w:rPr>
        <w:t>(2)向买方所在地人民法院提起诉讼。</w:t>
      </w:r>
    </w:p>
    <w:p w14:paraId="3A5040FD">
      <w:pPr>
        <w:spacing w:line="440" w:lineRule="exact"/>
        <w:rPr>
          <w:rFonts w:ascii="宋体"/>
          <w:b/>
          <w:szCs w:val="21"/>
        </w:rPr>
      </w:pPr>
      <w:r>
        <w:rPr>
          <w:rFonts w:hint="eastAsia" w:ascii="宋体"/>
          <w:b/>
          <w:szCs w:val="21"/>
        </w:rPr>
        <w:t>十二 .附则</w:t>
      </w:r>
    </w:p>
    <w:p w14:paraId="6C2965E7">
      <w:pPr>
        <w:spacing w:line="440" w:lineRule="exact"/>
        <w:ind w:firstLine="213" w:firstLineChars="100"/>
        <w:rPr>
          <w:rFonts w:ascii="宋体"/>
          <w:szCs w:val="21"/>
        </w:rPr>
      </w:pPr>
      <w:r>
        <w:rPr>
          <w:rFonts w:hint="eastAsia" w:ascii="宋体"/>
          <w:szCs w:val="21"/>
        </w:rPr>
        <w:t>22、合同份数。</w:t>
      </w:r>
    </w:p>
    <w:p w14:paraId="012CDD66">
      <w:pPr>
        <w:spacing w:line="440" w:lineRule="exact"/>
        <w:rPr>
          <w:rFonts w:ascii="宋体"/>
          <w:szCs w:val="21"/>
        </w:rPr>
      </w:pPr>
      <w:r>
        <w:rPr>
          <w:rFonts w:hint="eastAsia" w:ascii="宋体"/>
          <w:szCs w:val="21"/>
        </w:rPr>
        <w:t xml:space="preserve"> </w:t>
      </w:r>
      <w:r>
        <w:rPr>
          <w:rFonts w:hint="eastAsia" w:ascii="宋体"/>
          <w:szCs w:val="21"/>
        </w:rPr>
        <w:tab/>
      </w:r>
      <w:r>
        <w:rPr>
          <w:rFonts w:hint="eastAsia" w:ascii="宋体"/>
          <w:szCs w:val="21"/>
        </w:rPr>
        <w:t xml:space="preserve">  本合同一式陆份，买卖双方各执二份，招标代理机构一份，招标采购管理部门一份。</w:t>
      </w:r>
    </w:p>
    <w:p w14:paraId="65327D61">
      <w:pPr>
        <w:spacing w:line="440" w:lineRule="exact"/>
        <w:ind w:firstLine="213" w:firstLineChars="100"/>
        <w:rPr>
          <w:rFonts w:ascii="宋体"/>
          <w:szCs w:val="21"/>
        </w:rPr>
      </w:pPr>
      <w:r>
        <w:rPr>
          <w:rFonts w:hint="eastAsia" w:ascii="宋体"/>
          <w:szCs w:val="21"/>
        </w:rPr>
        <w:t>23、未尽事宜</w:t>
      </w:r>
    </w:p>
    <w:p w14:paraId="05E97417">
      <w:pPr>
        <w:spacing w:line="440" w:lineRule="exact"/>
        <w:ind w:firstLine="532" w:firstLineChars="250"/>
        <w:rPr>
          <w:rFonts w:ascii="宋体"/>
          <w:szCs w:val="21"/>
        </w:rPr>
      </w:pPr>
      <w:r>
        <w:rPr>
          <w:rFonts w:hint="eastAsia" w:ascii="宋体"/>
          <w:szCs w:val="21"/>
        </w:rPr>
        <w:t>本合同未尽事宜应按《中华人民共和国政府采购法》、《中华人民共和国民法典》、《中华人民共和国产品质量法》之规定解释。</w:t>
      </w:r>
    </w:p>
    <w:p w14:paraId="52A88B31">
      <w:pPr>
        <w:spacing w:line="240" w:lineRule="atLeast"/>
        <w:rPr>
          <w:rFonts w:ascii="仿宋" w:hAnsi="仿宋" w:eastAsia="仿宋" w:cs="仿宋"/>
          <w:sz w:val="24"/>
        </w:rPr>
      </w:pPr>
    </w:p>
    <w:p w14:paraId="7BD4474D">
      <w:pPr>
        <w:pageBreakBefore/>
        <w:numPr>
          <w:ilvl w:val="0"/>
          <w:numId w:val="0"/>
        </w:numPr>
        <w:jc w:val="center"/>
        <w:outlineLvl w:val="0"/>
        <w:rPr>
          <w:rFonts w:ascii="宋体"/>
          <w:b/>
          <w:sz w:val="36"/>
          <w:szCs w:val="36"/>
        </w:rPr>
      </w:pPr>
      <w:r>
        <w:rPr>
          <w:rFonts w:hint="eastAsia" w:ascii="宋体" w:hAnsi="Calibri" w:eastAsia="宋体" w:cs="宋体"/>
          <w:b/>
          <w:kern w:val="2"/>
          <w:sz w:val="36"/>
          <w:szCs w:val="36"/>
          <w:lang w:val="en-US" w:eastAsia="zh-CN" w:bidi="ar-SA"/>
        </w:rPr>
        <w:t>第六章</w:t>
      </w:r>
      <w:r>
        <w:rPr>
          <w:rFonts w:hint="eastAsia" w:ascii="宋体"/>
          <w:b/>
          <w:sz w:val="36"/>
          <w:szCs w:val="36"/>
        </w:rPr>
        <w:t xml:space="preserve"> 投标文件格式</w:t>
      </w:r>
    </w:p>
    <w:p w14:paraId="39517267">
      <w:pPr>
        <w:pStyle w:val="3"/>
        <w:spacing w:before="0" w:line="240" w:lineRule="atLeast"/>
        <w:rPr>
          <w:rFonts w:ascii="宋体" w:hAnsi="宋体" w:eastAsia="宋体"/>
          <w:sz w:val="24"/>
        </w:rPr>
      </w:pPr>
      <w:r>
        <w:rPr>
          <w:rFonts w:hint="eastAsia" w:ascii="宋体" w:hAnsi="宋体" w:eastAsia="宋体"/>
          <w:sz w:val="24"/>
        </w:rPr>
        <w:t>1、（投标文件格式一）</w:t>
      </w:r>
    </w:p>
    <w:p w14:paraId="59A93525">
      <w:pPr>
        <w:pStyle w:val="9"/>
        <w:tabs>
          <w:tab w:val="left" w:pos="5580"/>
        </w:tabs>
        <w:spacing w:line="240" w:lineRule="atLeast"/>
        <w:ind w:firstLine="3364" w:firstLineChars="927"/>
        <w:rPr>
          <w:rFonts w:ascii="宋体" w:hAnsi="宋体"/>
        </w:rPr>
      </w:pPr>
      <w:bookmarkStart w:id="80" w:name="_Hlt520356241"/>
      <w:bookmarkEnd w:id="80"/>
      <w:bookmarkStart w:id="81" w:name="_Toc494296984"/>
      <w:bookmarkStart w:id="82" w:name="_Ref467988698"/>
      <w:bookmarkStart w:id="83" w:name="_Toc480942349"/>
      <w:bookmarkStart w:id="84" w:name="_Toc520356217"/>
      <w:bookmarkStart w:id="85" w:name="_Toc216582813"/>
      <w:r>
        <w:rPr>
          <w:rFonts w:hint="eastAsia" w:ascii="宋体" w:hAnsi="宋体"/>
          <w:b/>
          <w:sz w:val="36"/>
          <w:szCs w:val="24"/>
        </w:rPr>
        <w:t>开标一览表</w:t>
      </w:r>
      <w:bookmarkEnd w:id="81"/>
      <w:r>
        <w:rPr>
          <w:rFonts w:hint="eastAsia" w:ascii="宋体" w:hAnsi="宋体"/>
          <w:b/>
          <w:sz w:val="36"/>
          <w:szCs w:val="24"/>
        </w:rPr>
        <w:cr/>
      </w:r>
    </w:p>
    <w:p w14:paraId="552FAE61">
      <w:pPr>
        <w:adjustRightInd w:val="0"/>
        <w:snapToGrid w:val="0"/>
        <w:spacing w:line="500" w:lineRule="exact"/>
        <w:rPr>
          <w:rFonts w:ascii="宋体" w:hAnsi="宋体"/>
          <w:szCs w:val="21"/>
          <w:u w:val="single"/>
        </w:rPr>
      </w:pPr>
      <w:r>
        <w:rPr>
          <w:rFonts w:hint="eastAsia" w:ascii="宋体" w:hAnsi="宋体"/>
          <w:szCs w:val="21"/>
        </w:rPr>
        <w:t xml:space="preserve">招标项目名称： </w:t>
      </w:r>
      <w:r>
        <w:rPr>
          <w:rFonts w:hint="eastAsia" w:ascii="宋体" w:hAnsi="宋体"/>
          <w:szCs w:val="21"/>
          <w:u w:val="single"/>
        </w:rPr>
        <w:t xml:space="preserve">                         </w:t>
      </w:r>
    </w:p>
    <w:p w14:paraId="19E73F30">
      <w:pPr>
        <w:adjustRightInd w:val="0"/>
        <w:snapToGrid w:val="0"/>
        <w:spacing w:line="500" w:lineRule="exact"/>
        <w:rPr>
          <w:rFonts w:ascii="宋体" w:hAnsi="宋体"/>
          <w:i/>
          <w:iCs/>
          <w:szCs w:val="21"/>
        </w:rPr>
      </w:pPr>
      <w:r>
        <w:rPr>
          <w:rFonts w:hint="eastAsia" w:ascii="宋体" w:hAnsi="宋体"/>
          <w:szCs w:val="21"/>
        </w:rPr>
        <w:t>招标项目编号：</w:t>
      </w:r>
      <w:r>
        <w:rPr>
          <w:rFonts w:hint="eastAsia" w:ascii="宋体" w:hAnsi="宋体"/>
          <w:i/>
          <w:iCs/>
          <w:szCs w:val="21"/>
        </w:rPr>
        <w:t xml:space="preserve"> </w:t>
      </w:r>
      <w:r>
        <w:rPr>
          <w:rFonts w:hint="eastAsia" w:ascii="宋体" w:hAnsi="宋体"/>
          <w:szCs w:val="21"/>
          <w:u w:val="single"/>
        </w:rPr>
        <w:t xml:space="preserve">                         </w:t>
      </w:r>
    </w:p>
    <w:p w14:paraId="754ACCBB">
      <w:pPr>
        <w:spacing w:line="500" w:lineRule="exact"/>
        <w:rPr>
          <w:rFonts w:ascii="宋体" w:hAnsi="宋体"/>
          <w:szCs w:val="21"/>
        </w:rPr>
      </w:pPr>
      <w:r>
        <w:rPr>
          <w:rFonts w:hint="eastAsia" w:ascii="宋体" w:hAnsi="宋体"/>
          <w:szCs w:val="21"/>
        </w:rPr>
        <w:t xml:space="preserve">                                                 单位：元（人民币）</w:t>
      </w:r>
    </w:p>
    <w:tbl>
      <w:tblPr>
        <w:tblStyle w:val="2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332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2A214860">
            <w:pPr>
              <w:jc w:val="center"/>
              <w:rPr>
                <w:rFonts w:ascii="宋体" w:hAnsi="宋体"/>
                <w:szCs w:val="21"/>
              </w:rPr>
            </w:pPr>
            <w:r>
              <w:rPr>
                <w:rFonts w:hint="eastAsia" w:ascii="宋体" w:hAnsi="宋体"/>
                <w:szCs w:val="21"/>
              </w:rPr>
              <w:t>投标项目名称</w:t>
            </w:r>
          </w:p>
        </w:tc>
        <w:tc>
          <w:tcPr>
            <w:tcW w:w="6185" w:type="dxa"/>
            <w:vAlign w:val="center"/>
          </w:tcPr>
          <w:p w14:paraId="608FCF4C">
            <w:pPr>
              <w:rPr>
                <w:rFonts w:ascii="宋体" w:hAnsi="宋体"/>
                <w:szCs w:val="21"/>
              </w:rPr>
            </w:pPr>
          </w:p>
        </w:tc>
      </w:tr>
      <w:tr w14:paraId="7F94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3472D2E5">
            <w:pPr>
              <w:jc w:val="center"/>
              <w:rPr>
                <w:rFonts w:hint="eastAsia" w:ascii="宋体" w:hAnsi="宋体" w:eastAsia="宋体"/>
                <w:szCs w:val="21"/>
                <w:lang w:val="en-US" w:eastAsia="zh-CN"/>
              </w:rPr>
            </w:pPr>
            <w:r>
              <w:rPr>
                <w:rFonts w:hint="eastAsia" w:ascii="宋体" w:hAnsi="宋体"/>
                <w:szCs w:val="21"/>
              </w:rPr>
              <w:t>交货日期</w:t>
            </w:r>
            <w:r>
              <w:rPr>
                <w:rFonts w:hint="eastAsia" w:ascii="宋体" w:hAnsi="宋体"/>
                <w:szCs w:val="21"/>
                <w:lang w:val="en-US" w:eastAsia="zh-CN"/>
              </w:rPr>
              <w:t>及质保期</w:t>
            </w:r>
          </w:p>
        </w:tc>
        <w:tc>
          <w:tcPr>
            <w:tcW w:w="6185" w:type="dxa"/>
            <w:vAlign w:val="center"/>
          </w:tcPr>
          <w:p w14:paraId="411DFABB">
            <w:pPr>
              <w:jc w:val="center"/>
              <w:rPr>
                <w:rFonts w:ascii="宋体" w:hAnsi="宋体"/>
                <w:szCs w:val="21"/>
              </w:rPr>
            </w:pPr>
          </w:p>
        </w:tc>
      </w:tr>
      <w:tr w14:paraId="3057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1BC3075D">
            <w:pPr>
              <w:jc w:val="center"/>
              <w:rPr>
                <w:rFonts w:ascii="宋体" w:hAnsi="宋体"/>
                <w:szCs w:val="21"/>
              </w:rPr>
            </w:pPr>
            <w:r>
              <w:rPr>
                <w:rFonts w:hint="eastAsia" w:ascii="宋体" w:hAnsi="宋体"/>
                <w:szCs w:val="21"/>
              </w:rPr>
              <w:t>投标有效期</w:t>
            </w:r>
          </w:p>
        </w:tc>
        <w:tc>
          <w:tcPr>
            <w:tcW w:w="6185" w:type="dxa"/>
            <w:vAlign w:val="center"/>
          </w:tcPr>
          <w:p w14:paraId="43FE7F08">
            <w:pPr>
              <w:jc w:val="center"/>
              <w:rPr>
                <w:rFonts w:ascii="宋体" w:hAnsi="宋体"/>
                <w:szCs w:val="21"/>
              </w:rPr>
            </w:pPr>
          </w:p>
        </w:tc>
      </w:tr>
      <w:tr w14:paraId="6E3E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0358C9BB">
            <w:pPr>
              <w:jc w:val="center"/>
              <w:rPr>
                <w:rFonts w:ascii="宋体" w:hAnsi="宋体"/>
                <w:szCs w:val="21"/>
              </w:rPr>
            </w:pPr>
            <w:r>
              <w:rPr>
                <w:rFonts w:hint="eastAsia" w:ascii="宋体" w:hAnsi="宋体"/>
                <w:szCs w:val="21"/>
              </w:rPr>
              <w:t>投标报价</w:t>
            </w:r>
          </w:p>
          <w:p w14:paraId="36798A1A">
            <w:pPr>
              <w:jc w:val="center"/>
              <w:rPr>
                <w:rFonts w:ascii="宋体" w:hAnsi="宋体"/>
                <w:szCs w:val="21"/>
              </w:rPr>
            </w:pPr>
            <w:r>
              <w:rPr>
                <w:rFonts w:hint="eastAsia" w:ascii="宋体" w:hAnsi="宋体"/>
                <w:szCs w:val="21"/>
              </w:rPr>
              <w:t>（人民币）</w:t>
            </w:r>
          </w:p>
        </w:tc>
        <w:tc>
          <w:tcPr>
            <w:tcW w:w="974" w:type="dxa"/>
            <w:tcBorders>
              <w:top w:val="single" w:color="auto" w:sz="4" w:space="0"/>
              <w:bottom w:val="single" w:color="auto" w:sz="4" w:space="0"/>
            </w:tcBorders>
            <w:vAlign w:val="center"/>
          </w:tcPr>
          <w:p w14:paraId="58EA2018">
            <w:pPr>
              <w:widowControl/>
              <w:jc w:val="center"/>
              <w:rPr>
                <w:rFonts w:ascii="宋体" w:hAnsi="宋体"/>
                <w:szCs w:val="21"/>
              </w:rPr>
            </w:pPr>
            <w:r>
              <w:rPr>
                <w:rFonts w:hint="eastAsia" w:ascii="宋体" w:hAnsi="宋体"/>
                <w:szCs w:val="21"/>
              </w:rPr>
              <w:t>小写</w:t>
            </w:r>
          </w:p>
        </w:tc>
        <w:tc>
          <w:tcPr>
            <w:tcW w:w="6185" w:type="dxa"/>
            <w:vAlign w:val="center"/>
          </w:tcPr>
          <w:p w14:paraId="1D7E73C0">
            <w:pPr>
              <w:jc w:val="center"/>
              <w:rPr>
                <w:rFonts w:ascii="宋体" w:hAnsi="宋体"/>
                <w:szCs w:val="21"/>
              </w:rPr>
            </w:pPr>
          </w:p>
        </w:tc>
      </w:tr>
      <w:tr w14:paraId="079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A61A25A">
            <w:pPr>
              <w:jc w:val="center"/>
              <w:rPr>
                <w:rFonts w:ascii="宋体" w:hAnsi="宋体"/>
                <w:szCs w:val="21"/>
              </w:rPr>
            </w:pPr>
          </w:p>
        </w:tc>
        <w:tc>
          <w:tcPr>
            <w:tcW w:w="974" w:type="dxa"/>
            <w:tcBorders>
              <w:top w:val="single" w:color="auto" w:sz="4" w:space="0"/>
              <w:bottom w:val="single" w:color="auto" w:sz="4" w:space="0"/>
            </w:tcBorders>
            <w:vAlign w:val="center"/>
          </w:tcPr>
          <w:p w14:paraId="68AA32BE">
            <w:pPr>
              <w:widowControl/>
              <w:jc w:val="center"/>
              <w:rPr>
                <w:rFonts w:ascii="宋体" w:hAnsi="宋体"/>
                <w:szCs w:val="21"/>
              </w:rPr>
            </w:pPr>
            <w:r>
              <w:rPr>
                <w:rFonts w:hint="eastAsia" w:ascii="宋体" w:hAnsi="宋体"/>
                <w:szCs w:val="21"/>
              </w:rPr>
              <w:t>大写</w:t>
            </w:r>
          </w:p>
        </w:tc>
        <w:tc>
          <w:tcPr>
            <w:tcW w:w="6185" w:type="dxa"/>
            <w:vAlign w:val="center"/>
          </w:tcPr>
          <w:p w14:paraId="63CB1CB0">
            <w:pPr>
              <w:jc w:val="center"/>
              <w:rPr>
                <w:rFonts w:ascii="宋体" w:hAnsi="宋体"/>
                <w:szCs w:val="21"/>
              </w:rPr>
            </w:pPr>
          </w:p>
        </w:tc>
      </w:tr>
    </w:tbl>
    <w:p w14:paraId="6574B218">
      <w:pPr>
        <w:ind w:firstLine="416" w:firstLineChars="196"/>
        <w:rPr>
          <w:rFonts w:ascii="宋体" w:hAnsi="宋体"/>
          <w:szCs w:val="21"/>
        </w:rPr>
      </w:pPr>
      <w:r>
        <w:rPr>
          <w:rFonts w:hint="eastAsia" w:ascii="宋体" w:hAnsi="宋体"/>
          <w:szCs w:val="21"/>
        </w:rPr>
        <w:t>填写说明：</w:t>
      </w:r>
    </w:p>
    <w:p w14:paraId="6116DB9D">
      <w:pPr>
        <w:spacing w:line="440" w:lineRule="atLeast"/>
        <w:ind w:firstLine="486" w:firstLineChars="200"/>
        <w:rPr>
          <w:rFonts w:ascii="宋体" w:hAnsi="宋体"/>
          <w:sz w:val="24"/>
        </w:rPr>
      </w:pPr>
      <w:bookmarkStart w:id="86" w:name="_Toc17577"/>
      <w:bookmarkStart w:id="87" w:name="_Toc29899"/>
      <w:bookmarkStart w:id="88" w:name="_Toc4844"/>
      <w:bookmarkStart w:id="89" w:name="_Toc515647805"/>
      <w:r>
        <w:rPr>
          <w:rFonts w:hint="eastAsia" w:ascii="宋体" w:hAnsi="宋体"/>
          <w:sz w:val="24"/>
        </w:rPr>
        <w:t>1</w:t>
      </w:r>
      <w:r>
        <w:rPr>
          <w:rFonts w:ascii="宋体" w:hAnsi="宋体"/>
          <w:sz w:val="24"/>
        </w:rPr>
        <w:t>.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399787C4">
      <w:pPr>
        <w:spacing w:line="440" w:lineRule="atLeast"/>
        <w:ind w:firstLine="486" w:firstLineChars="200"/>
        <w:rPr>
          <w:rFonts w:ascii="宋体" w:hAnsi="宋体"/>
          <w:sz w:val="24"/>
        </w:rPr>
      </w:pPr>
      <w:r>
        <w:rPr>
          <w:rFonts w:hint="eastAsia" w:ascii="宋体" w:hAnsi="宋体"/>
          <w:sz w:val="24"/>
        </w:rPr>
        <w:t>2</w:t>
      </w:r>
      <w:r>
        <w:rPr>
          <w:rFonts w:ascii="宋体" w:hAnsi="宋体"/>
          <w:sz w:val="24"/>
        </w:rPr>
        <w:t>.投标总价为招标范围所列全部招标项目的报价总和，并应与投标报价明细表及分项价格表保持一致。</w:t>
      </w:r>
    </w:p>
    <w:p w14:paraId="052181D3">
      <w:pPr>
        <w:spacing w:line="440" w:lineRule="atLeast"/>
        <w:ind w:firstLine="486" w:firstLineChars="200"/>
        <w:rPr>
          <w:rFonts w:ascii="宋体" w:hAnsi="宋体"/>
          <w:sz w:val="24"/>
        </w:rPr>
      </w:pPr>
      <w:r>
        <w:rPr>
          <w:rFonts w:hint="eastAsia" w:ascii="宋体" w:hAnsi="宋体"/>
          <w:sz w:val="24"/>
        </w:rPr>
        <w:t>3</w:t>
      </w:r>
      <w:r>
        <w:rPr>
          <w:rFonts w:ascii="宋体" w:hAnsi="宋体"/>
          <w:sz w:val="24"/>
        </w:rPr>
        <w:t>.投标报价不得填报选择性报价。</w:t>
      </w:r>
    </w:p>
    <w:p w14:paraId="07B18737">
      <w:pPr>
        <w:spacing w:line="440" w:lineRule="atLeast"/>
        <w:ind w:firstLine="486" w:firstLineChars="200"/>
        <w:rPr>
          <w:rFonts w:ascii="宋体" w:hAnsi="宋体"/>
          <w:sz w:val="24"/>
        </w:rPr>
      </w:pPr>
      <w:r>
        <w:rPr>
          <w:rFonts w:ascii="宋体" w:hAnsi="宋体"/>
          <w:sz w:val="24"/>
        </w:rPr>
        <w:t>投标人名称：</w:t>
      </w:r>
      <w:r>
        <w:rPr>
          <w:rFonts w:ascii="宋体" w:hAnsi="宋体"/>
          <w:sz w:val="24"/>
          <w:u w:val="single"/>
        </w:rPr>
        <w:t xml:space="preserve">    （加盖公章）     </w:t>
      </w:r>
      <w:r>
        <w:rPr>
          <w:rFonts w:ascii="宋体" w:hAnsi="宋体"/>
          <w:sz w:val="24"/>
        </w:rPr>
        <w:t xml:space="preserve">       </w:t>
      </w:r>
    </w:p>
    <w:p w14:paraId="4DEC8CF5">
      <w:pPr>
        <w:spacing w:line="440" w:lineRule="atLeast"/>
        <w:ind w:firstLine="486" w:firstLineChars="200"/>
        <w:rPr>
          <w:rFonts w:ascii="宋体" w:hAnsi="宋体"/>
          <w:sz w:val="24"/>
        </w:rPr>
      </w:pPr>
      <w:r>
        <w:rPr>
          <w:rFonts w:ascii="宋体" w:hAnsi="宋体"/>
          <w:sz w:val="24"/>
        </w:rPr>
        <w:t>法定代表人签字或盖章：</w:t>
      </w:r>
      <w:r>
        <w:rPr>
          <w:rFonts w:ascii="宋体" w:hAnsi="宋体"/>
          <w:sz w:val="24"/>
          <w:u w:val="single"/>
        </w:rPr>
        <w:t xml:space="preserve">           </w:t>
      </w:r>
      <w:r>
        <w:rPr>
          <w:rFonts w:ascii="宋体" w:hAnsi="宋体"/>
          <w:sz w:val="24"/>
        </w:rPr>
        <w:t xml:space="preserve"> </w:t>
      </w:r>
    </w:p>
    <w:p w14:paraId="37EB6203">
      <w:pPr>
        <w:spacing w:line="440" w:lineRule="atLeast"/>
        <w:ind w:firstLine="486" w:firstLineChars="200"/>
        <w:rPr>
          <w:rFonts w:ascii="宋体" w:hAnsi="宋体"/>
          <w:sz w:val="24"/>
        </w:rPr>
      </w:pPr>
      <w:r>
        <w:rPr>
          <w:rFonts w:ascii="宋体" w:hAnsi="宋体"/>
          <w:sz w:val="24"/>
        </w:rPr>
        <w:t>授权代表签字：</w:t>
      </w:r>
      <w:r>
        <w:rPr>
          <w:rFonts w:ascii="宋体" w:hAnsi="宋体"/>
          <w:sz w:val="24"/>
          <w:u w:val="single"/>
        </w:rPr>
        <w:t xml:space="preserve">               </w:t>
      </w:r>
      <w:r>
        <w:rPr>
          <w:rFonts w:ascii="宋体" w:hAnsi="宋体"/>
          <w:sz w:val="24"/>
        </w:rPr>
        <w:t xml:space="preserve">  </w:t>
      </w:r>
    </w:p>
    <w:p w14:paraId="033B6398">
      <w:pPr>
        <w:spacing w:line="440" w:lineRule="atLeast"/>
        <w:ind w:firstLine="486" w:firstLineChars="200"/>
        <w:rPr>
          <w:rFonts w:ascii="宋体" w:hAnsi="宋体"/>
          <w:sz w:val="24"/>
        </w:rPr>
      </w:pPr>
      <w:r>
        <w:rPr>
          <w:rFonts w:ascii="宋体" w:hAnsi="宋体"/>
          <w:sz w:val="24"/>
        </w:rPr>
        <w:t>签署日期：</w:t>
      </w:r>
      <w:r>
        <w:rPr>
          <w:rFonts w:ascii="宋体" w:hAnsi="宋体"/>
          <w:sz w:val="24"/>
          <w:u w:val="single"/>
        </w:rPr>
        <w:t xml:space="preserve">       </w:t>
      </w:r>
      <w:r>
        <w:rPr>
          <w:rFonts w:ascii="宋体" w:hAnsi="宋体"/>
          <w:sz w:val="24"/>
        </w:rPr>
        <w:t xml:space="preserve"> 年</w:t>
      </w:r>
      <w:r>
        <w:rPr>
          <w:rFonts w:ascii="宋体" w:hAnsi="宋体"/>
          <w:sz w:val="24"/>
          <w:u w:val="single"/>
        </w:rPr>
        <w:t xml:space="preserve">     </w:t>
      </w:r>
      <w:r>
        <w:rPr>
          <w:rFonts w:ascii="宋体" w:hAnsi="宋体"/>
          <w:sz w:val="24"/>
        </w:rPr>
        <w:t xml:space="preserve">月 </w:t>
      </w:r>
      <w:r>
        <w:rPr>
          <w:rFonts w:ascii="宋体" w:hAnsi="宋体"/>
          <w:sz w:val="24"/>
          <w:u w:val="single"/>
        </w:rPr>
        <w:t xml:space="preserve">    </w:t>
      </w:r>
      <w:r>
        <w:rPr>
          <w:rFonts w:ascii="宋体" w:hAnsi="宋体"/>
          <w:sz w:val="24"/>
        </w:rPr>
        <w:t>日</w:t>
      </w:r>
    </w:p>
    <w:p w14:paraId="4D737E4A">
      <w:pPr>
        <w:pStyle w:val="3"/>
        <w:spacing w:before="0" w:line="400" w:lineRule="exact"/>
        <w:rPr>
          <w:rFonts w:ascii="宋体" w:hAnsi="宋体" w:eastAsia="宋体"/>
          <w:sz w:val="24"/>
        </w:rPr>
      </w:pPr>
    </w:p>
    <w:p w14:paraId="1D9EE16B"/>
    <w:p w14:paraId="0A7A4288">
      <w:pPr>
        <w:pStyle w:val="3"/>
        <w:spacing w:before="0" w:line="400" w:lineRule="exact"/>
        <w:rPr>
          <w:rFonts w:ascii="宋体" w:hAnsi="宋体" w:eastAsia="宋体"/>
          <w:sz w:val="24"/>
        </w:rPr>
      </w:pPr>
      <w:r>
        <w:rPr>
          <w:rFonts w:hint="eastAsia" w:ascii="宋体" w:hAnsi="宋体" w:eastAsia="宋体"/>
          <w:sz w:val="24"/>
        </w:rPr>
        <w:t xml:space="preserve">2、 </w:t>
      </w:r>
      <w:bookmarkEnd w:id="86"/>
      <w:bookmarkEnd w:id="87"/>
      <w:bookmarkEnd w:id="88"/>
      <w:bookmarkEnd w:id="89"/>
      <w:r>
        <w:rPr>
          <w:rFonts w:hint="eastAsia" w:ascii="宋体" w:hAnsi="宋体" w:eastAsia="宋体"/>
          <w:sz w:val="24"/>
        </w:rPr>
        <w:t>营业执照副本（三证合一）</w:t>
      </w:r>
    </w:p>
    <w:p w14:paraId="42BB2993">
      <w:pPr>
        <w:pStyle w:val="14"/>
        <w:tabs>
          <w:tab w:val="left" w:pos="5580"/>
        </w:tabs>
        <w:spacing w:line="400" w:lineRule="exact"/>
        <w:ind w:left="1087" w:leftChars="257" w:hanging="540"/>
        <w:rPr>
          <w:rFonts w:hAnsi="宋体"/>
          <w:sz w:val="24"/>
        </w:rPr>
      </w:pPr>
      <w:r>
        <w:rPr>
          <w:rFonts w:hint="eastAsia" w:hAnsi="宋体"/>
          <w:sz w:val="24"/>
        </w:rPr>
        <w:t>说明：1.提供有效的营业执照等证明文件扫描件，应加盖本单位章。</w:t>
      </w:r>
    </w:p>
    <w:p w14:paraId="1B47B362">
      <w:pPr>
        <w:pStyle w:val="14"/>
        <w:tabs>
          <w:tab w:val="left" w:pos="5580"/>
        </w:tabs>
        <w:spacing w:line="400" w:lineRule="exact"/>
        <w:ind w:left="1087" w:leftChars="257" w:hanging="540"/>
        <w:rPr>
          <w:rFonts w:hAnsi="宋体"/>
          <w:sz w:val="24"/>
        </w:rPr>
      </w:pPr>
      <w:r>
        <w:rPr>
          <w:rFonts w:hint="eastAsia" w:hAnsi="宋体"/>
          <w:sz w:val="24"/>
        </w:rPr>
        <w:t xml:space="preserve">      2. 投标人为自然人的，应提供身份证明文件。</w:t>
      </w:r>
    </w:p>
    <w:p w14:paraId="21A565E4">
      <w:pPr>
        <w:pStyle w:val="14"/>
        <w:tabs>
          <w:tab w:val="left" w:pos="5580"/>
        </w:tabs>
        <w:spacing w:line="400" w:lineRule="exact"/>
        <w:ind w:left="1087" w:leftChars="257" w:hanging="540"/>
      </w:pPr>
      <w:r>
        <w:rPr>
          <w:rFonts w:hint="eastAsia" w:hAnsi="宋体"/>
          <w:sz w:val="24"/>
        </w:rPr>
        <w:t xml:space="preserve">      3.联合体投标应提供联合体各方满足以上要求的证明文件。</w:t>
      </w:r>
      <w:bookmarkStart w:id="90" w:name="_Toc515647807"/>
      <w:bookmarkStart w:id="91" w:name="_Toc23503"/>
      <w:bookmarkStart w:id="92" w:name="_Toc22472"/>
      <w:bookmarkStart w:id="93" w:name="_Toc30244"/>
      <w:bookmarkStart w:id="94" w:name="_Toc1083"/>
      <w:bookmarkStart w:id="95" w:name="_Toc32520"/>
      <w:bookmarkStart w:id="96" w:name="_Toc515647808"/>
      <w:bookmarkStart w:id="97" w:name="_Toc7039"/>
    </w:p>
    <w:p w14:paraId="272DDBE9">
      <w:pPr>
        <w:pStyle w:val="3"/>
        <w:spacing w:before="0" w:line="240" w:lineRule="atLeast"/>
        <w:rPr>
          <w:rFonts w:ascii="宋体" w:hAnsi="宋体" w:eastAsia="宋体"/>
          <w:b w:val="0"/>
          <w:sz w:val="24"/>
          <w:u w:val="single"/>
        </w:rPr>
      </w:pPr>
      <w:r>
        <w:rPr>
          <w:rFonts w:hint="eastAsia" w:ascii="宋体" w:hAnsi="宋体" w:eastAsia="宋体"/>
          <w:sz w:val="24"/>
        </w:rPr>
        <w:t>3 、法定代表人资格证明书（见投标文件格式二，自然人投标的无需提供）</w:t>
      </w:r>
    </w:p>
    <w:p w14:paraId="23A93AF8">
      <w:pPr>
        <w:adjustRightInd w:val="0"/>
        <w:snapToGrid w:val="0"/>
        <w:spacing w:before="325" w:beforeLines="100" w:after="325" w:afterLines="100" w:line="500" w:lineRule="exact"/>
        <w:rPr>
          <w:rFonts w:ascii="宋体" w:hAnsi="宋体"/>
          <w:sz w:val="24"/>
        </w:rPr>
      </w:pPr>
      <w:r>
        <w:rPr>
          <w:rFonts w:hint="eastAsia" w:ascii="宋体" w:hAnsi="宋体"/>
          <w:sz w:val="24"/>
        </w:rPr>
        <w:t>致：</w:t>
      </w:r>
    </w:p>
    <w:p w14:paraId="51E77B50">
      <w:pPr>
        <w:spacing w:line="500" w:lineRule="exact"/>
        <w:rPr>
          <w:rFonts w:ascii="宋体" w:hAnsi="宋体"/>
          <w:sz w:val="24"/>
        </w:rPr>
      </w:pP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同志，现任我单位</w:t>
      </w:r>
      <w:r>
        <w:rPr>
          <w:rFonts w:hint="eastAsia" w:ascii="宋体" w:hAnsi="宋体"/>
          <w:sz w:val="24"/>
          <w:u w:val="single"/>
        </w:rPr>
        <w:t xml:space="preserve">          </w:t>
      </w:r>
      <w:r>
        <w:rPr>
          <w:rFonts w:hint="eastAsia" w:ascii="宋体" w:hAnsi="宋体"/>
          <w:sz w:val="24"/>
        </w:rPr>
        <w:t>职务，为法定代表人，特此证明。</w:t>
      </w:r>
    </w:p>
    <w:p w14:paraId="54018BBA">
      <w:pPr>
        <w:spacing w:line="500" w:lineRule="exact"/>
        <w:ind w:firstLine="243" w:firstLineChars="100"/>
        <w:rPr>
          <w:rFonts w:hint="eastAsia" w:ascii="宋体" w:hAnsi="宋体" w:eastAsia="宋体"/>
          <w:sz w:val="24"/>
          <w:lang w:eastAsia="zh-CN"/>
        </w:rPr>
      </w:pPr>
      <w:r>
        <w:rPr>
          <w:rFonts w:hint="eastAsia" w:ascii="宋体" w:hAnsi="宋体"/>
          <w:sz w:val="24"/>
        </w:rPr>
        <w:t xml:space="preserve">单位：           </w:t>
      </w:r>
    </w:p>
    <w:p w14:paraId="5DBD4424">
      <w:pPr>
        <w:spacing w:line="500" w:lineRule="exact"/>
        <w:ind w:firstLine="243" w:firstLineChars="100"/>
        <w:rPr>
          <w:rFonts w:ascii="宋体" w:hAnsi="宋体"/>
          <w:sz w:val="24"/>
        </w:rPr>
      </w:pPr>
      <w:r>
        <w:rPr>
          <w:rFonts w:hint="eastAsia" w:ascii="宋体" w:hAnsi="宋体"/>
          <w:sz w:val="24"/>
        </w:rPr>
        <w:t>附：代表人性别：            年龄：           身份证号码：</w:t>
      </w:r>
    </w:p>
    <w:p w14:paraId="4EFDBC85">
      <w:pPr>
        <w:spacing w:line="500" w:lineRule="exact"/>
        <w:ind w:firstLine="243" w:firstLineChars="100"/>
        <w:rPr>
          <w:rFonts w:ascii="宋体" w:hAnsi="宋体"/>
          <w:sz w:val="24"/>
        </w:rPr>
      </w:pPr>
      <w:r>
        <w:rPr>
          <w:rFonts w:hint="eastAsia" w:ascii="宋体" w:hAnsi="宋体"/>
          <w:sz w:val="24"/>
        </w:rPr>
        <w:t>联系电话：</w:t>
      </w:r>
    </w:p>
    <w:p w14:paraId="48151A87">
      <w:pPr>
        <w:spacing w:line="500" w:lineRule="exact"/>
        <w:ind w:firstLine="243" w:firstLineChars="100"/>
        <w:rPr>
          <w:rFonts w:ascii="宋体" w:hAnsi="宋体"/>
          <w:sz w:val="24"/>
        </w:rPr>
      </w:pPr>
      <w:r>
        <w:rPr>
          <w:rFonts w:hint="eastAsia" w:ascii="宋体" w:hAnsi="宋体"/>
          <w:sz w:val="24"/>
        </w:rPr>
        <w:t>营业执照号码：              经济性质：</w:t>
      </w:r>
    </w:p>
    <w:p w14:paraId="6C984A37">
      <w:pPr>
        <w:spacing w:line="500" w:lineRule="exact"/>
        <w:rPr>
          <w:rFonts w:ascii="宋体" w:hAnsi="宋体"/>
          <w:sz w:val="24"/>
        </w:rPr>
      </w:pPr>
      <w:r>
        <w:rPr>
          <w:rFonts w:hint="eastAsia" w:ascii="宋体" w:hAnsi="宋体"/>
          <w:sz w:val="24"/>
        </w:rPr>
        <w:t>说明：</w:t>
      </w:r>
    </w:p>
    <w:p w14:paraId="1BFEE0DD">
      <w:pPr>
        <w:spacing w:line="500" w:lineRule="exact"/>
        <w:ind w:firstLine="243" w:firstLineChars="100"/>
        <w:rPr>
          <w:rFonts w:ascii="宋体" w:hAnsi="宋体"/>
          <w:sz w:val="24"/>
        </w:rPr>
      </w:pPr>
      <w:r>
        <w:rPr>
          <w:rFonts w:hint="eastAsia" w:ascii="宋体" w:hAnsi="宋体"/>
          <w:sz w:val="24"/>
        </w:rPr>
        <w:t>1、法定代表人为企业事业单位、国家机关、社会团体的主要行政负责人。</w:t>
      </w:r>
    </w:p>
    <w:p w14:paraId="1964B13D">
      <w:pPr>
        <w:spacing w:line="500" w:lineRule="exact"/>
        <w:rPr>
          <w:rFonts w:ascii="宋体" w:hAnsi="宋体"/>
          <w:sz w:val="24"/>
        </w:rPr>
      </w:pPr>
      <w:r>
        <w:rPr>
          <w:rFonts w:hint="eastAsia" w:ascii="宋体" w:hAnsi="宋体"/>
          <w:sz w:val="24"/>
        </w:rPr>
        <w:t xml:space="preserve">  2、内容必须填写真实、清楚、涂改无效，不得转让。</w:t>
      </w:r>
    </w:p>
    <w:p w14:paraId="6FDAD3FA">
      <w:pPr>
        <w:spacing w:line="500" w:lineRule="exact"/>
        <w:rPr>
          <w:rFonts w:ascii="宋体" w:hAnsi="宋体"/>
          <w:sz w:val="24"/>
        </w:rPr>
      </w:pPr>
    </w:p>
    <w:p w14:paraId="1BC76D80">
      <w:pPr>
        <w:spacing w:line="500" w:lineRule="exact"/>
        <w:rPr>
          <w:rFonts w:ascii="宋体" w:hAnsi="宋体"/>
          <w:sz w:val="24"/>
        </w:rPr>
      </w:pPr>
      <w:r>
        <w:rPr>
          <w:rFonts w:hint="eastAsia" w:ascii="宋体" w:hAnsi="宋体"/>
          <w:sz w:val="24"/>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C42103D">
                            <w:pPr>
                              <w:jc w:val="center"/>
                              <w:rPr>
                                <w:rFonts w:hAnsi="宋体"/>
                                <w:szCs w:val="21"/>
                              </w:rPr>
                            </w:pPr>
                          </w:p>
                          <w:p w14:paraId="1CD0AA9E">
                            <w:pPr>
                              <w:jc w:val="center"/>
                              <w:rPr>
                                <w:rFonts w:hAnsi="宋体"/>
                                <w:szCs w:val="21"/>
                              </w:rPr>
                            </w:pPr>
                          </w:p>
                          <w:p w14:paraId="5598855B">
                            <w:pPr>
                              <w:jc w:val="center"/>
                              <w:rPr>
                                <w:rFonts w:hAnsi="宋体"/>
                                <w:szCs w:val="21"/>
                              </w:rPr>
                            </w:pPr>
                          </w:p>
                          <w:p w14:paraId="322E16BE">
                            <w:pPr>
                              <w:jc w:val="center"/>
                              <w:rPr>
                                <w:szCs w:val="21"/>
                              </w:rPr>
                            </w:pPr>
                            <w:r>
                              <w:rPr>
                                <w:rFonts w:hint="eastAsia" w:hAnsi="宋体"/>
                                <w:szCs w:val="21"/>
                              </w:rPr>
                              <w:t>法定代表人身份证复印件</w:t>
                            </w:r>
                          </w:p>
                        </w:txbxContent>
                      </wps:txbx>
                      <wps:bodyPr upright="1"/>
                    </wps:wsp>
                  </a:graphicData>
                </a:graphic>
              </wp:anchor>
            </w:drawing>
          </mc:Choice>
          <mc:Fallback>
            <w:pict>
              <v:shape id="流程图: 可选过程 9"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XBfHjWAAAACAEAAA8AAAAAAAAAAQAgAAAAIgAAAGRycy9kb3ducmV2LnhtbFBLAQIUABQA&#10;AAAIAIdO4kCyPLbLKwIAAFMEAAAOAAAAAAAAAAEAIAAAACUBAABkcnMvZTJvRG9jLnhtbFBLBQYA&#10;AAAABgAGAFkBAADCBQAAAAA=&#10;">
                <v:fill on="t" focussize="0,0"/>
                <v:stroke color="#000000" joinstyle="miter"/>
                <v:imagedata o:title=""/>
                <o:lock v:ext="edit" aspectratio="f"/>
                <v:textbox>
                  <w:txbxContent>
                    <w:p w14:paraId="0C42103D">
                      <w:pPr>
                        <w:jc w:val="center"/>
                        <w:rPr>
                          <w:rFonts w:hAnsi="宋体"/>
                          <w:szCs w:val="21"/>
                        </w:rPr>
                      </w:pPr>
                    </w:p>
                    <w:p w14:paraId="1CD0AA9E">
                      <w:pPr>
                        <w:jc w:val="center"/>
                        <w:rPr>
                          <w:rFonts w:hAnsi="宋体"/>
                          <w:szCs w:val="21"/>
                        </w:rPr>
                      </w:pPr>
                    </w:p>
                    <w:p w14:paraId="5598855B">
                      <w:pPr>
                        <w:jc w:val="center"/>
                        <w:rPr>
                          <w:rFonts w:hAnsi="宋体"/>
                          <w:szCs w:val="21"/>
                        </w:rPr>
                      </w:pPr>
                    </w:p>
                    <w:p w14:paraId="322E16BE">
                      <w:pPr>
                        <w:jc w:val="center"/>
                        <w:rPr>
                          <w:szCs w:val="21"/>
                        </w:rPr>
                      </w:pPr>
                      <w:r>
                        <w:rPr>
                          <w:rFonts w:hint="eastAsia" w:hAnsi="宋体"/>
                          <w:szCs w:val="21"/>
                        </w:rPr>
                        <w:t>法定代表人身份证复印件</w:t>
                      </w:r>
                    </w:p>
                  </w:txbxContent>
                </v:textbox>
              </v:shape>
            </w:pict>
          </mc:Fallback>
        </mc:AlternateContent>
      </w:r>
      <w:r>
        <w:rPr>
          <w:rFonts w:hint="eastAsia" w:ascii="宋体" w:hAnsi="宋体"/>
          <w:sz w:val="24"/>
        </w:rPr>
        <mc:AlternateContent>
          <mc:Choice Requires="wps">
            <w:drawing>
              <wp:anchor distT="0" distB="0" distL="0" distR="0" simplePos="0" relativeHeight="25165926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11"/>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CB3F0A5">
                            <w:pPr>
                              <w:jc w:val="center"/>
                              <w:rPr>
                                <w:rFonts w:hAnsi="宋体"/>
                                <w:szCs w:val="21"/>
                              </w:rPr>
                            </w:pPr>
                          </w:p>
                          <w:p w14:paraId="3BE05C90">
                            <w:pPr>
                              <w:jc w:val="center"/>
                              <w:rPr>
                                <w:rFonts w:hAnsi="宋体"/>
                                <w:szCs w:val="21"/>
                              </w:rPr>
                            </w:pPr>
                          </w:p>
                          <w:p w14:paraId="58DBF41A">
                            <w:pPr>
                              <w:jc w:val="center"/>
                              <w:rPr>
                                <w:rFonts w:hAnsi="宋体"/>
                                <w:szCs w:val="21"/>
                              </w:rPr>
                            </w:pPr>
                          </w:p>
                          <w:p w14:paraId="673DC525">
                            <w:pPr>
                              <w:jc w:val="center"/>
                              <w:rPr>
                                <w:szCs w:val="21"/>
                              </w:rPr>
                            </w:pPr>
                            <w:r>
                              <w:rPr>
                                <w:rFonts w:hint="eastAsia" w:hAnsi="宋体"/>
                                <w:szCs w:val="21"/>
                              </w:rPr>
                              <w:t>法定代表人身份证复印件</w:t>
                            </w:r>
                          </w:p>
                        </w:txbxContent>
                      </wps:txbx>
                      <wps:bodyPr upright="1"/>
                    </wps:wsp>
                  </a:graphicData>
                </a:graphic>
              </wp:anchor>
            </w:drawing>
          </mc:Choice>
          <mc:Fallback>
            <w:pict>
              <v:shape id="流程图: 可选过程 11" o:spid="_x0000_s1026" o:spt="176" type="#_x0000_t176" style="position:absolute;left:0pt;margin-left:254.05pt;margin-top:2.7pt;height:124.75pt;width:183.75pt;z-index:25165926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aE8Rh2AAAAAkBAAAPAAAAAAAAAAEAIAAAACIAAABkcnMvZG93bnJldi54bWxQSwEC&#10;FAAUAAAACACHTuJANmAcIC0CAABUBAAADgAAAAAAAAABACAAAAAnAQAAZHJzL2Uyb0RvYy54bWxQ&#10;SwUGAAAAAAYABgBZAQAAxgUAAAAA&#10;">
                <v:fill on="t" focussize="0,0"/>
                <v:stroke color="#000000" joinstyle="miter"/>
                <v:imagedata o:title=""/>
                <o:lock v:ext="edit" aspectratio="f"/>
                <v:textbox>
                  <w:txbxContent>
                    <w:p w14:paraId="7CB3F0A5">
                      <w:pPr>
                        <w:jc w:val="center"/>
                        <w:rPr>
                          <w:rFonts w:hAnsi="宋体"/>
                          <w:szCs w:val="21"/>
                        </w:rPr>
                      </w:pPr>
                    </w:p>
                    <w:p w14:paraId="3BE05C90">
                      <w:pPr>
                        <w:jc w:val="center"/>
                        <w:rPr>
                          <w:rFonts w:hAnsi="宋体"/>
                          <w:szCs w:val="21"/>
                        </w:rPr>
                      </w:pPr>
                    </w:p>
                    <w:p w14:paraId="58DBF41A">
                      <w:pPr>
                        <w:jc w:val="center"/>
                        <w:rPr>
                          <w:rFonts w:hAnsi="宋体"/>
                          <w:szCs w:val="21"/>
                        </w:rPr>
                      </w:pPr>
                    </w:p>
                    <w:p w14:paraId="673DC525">
                      <w:pPr>
                        <w:jc w:val="center"/>
                        <w:rPr>
                          <w:szCs w:val="21"/>
                        </w:rPr>
                      </w:pPr>
                      <w:r>
                        <w:rPr>
                          <w:rFonts w:hint="eastAsia" w:hAnsi="宋体"/>
                          <w:szCs w:val="21"/>
                        </w:rPr>
                        <w:t>法定代表人身份证复印件</w:t>
                      </w:r>
                    </w:p>
                  </w:txbxContent>
                </v:textbox>
              </v:shape>
            </w:pict>
          </mc:Fallback>
        </mc:AlternateContent>
      </w:r>
    </w:p>
    <w:p w14:paraId="0C998992">
      <w:pPr>
        <w:spacing w:line="500" w:lineRule="exact"/>
        <w:rPr>
          <w:rFonts w:ascii="宋体" w:hAnsi="宋体"/>
          <w:sz w:val="24"/>
        </w:rPr>
      </w:pPr>
    </w:p>
    <w:p w14:paraId="3F85EEF7">
      <w:pPr>
        <w:spacing w:line="500" w:lineRule="exact"/>
        <w:rPr>
          <w:rFonts w:ascii="宋体" w:hAnsi="宋体"/>
          <w:sz w:val="24"/>
        </w:rPr>
      </w:pPr>
    </w:p>
    <w:p w14:paraId="7E1F1A5F">
      <w:pPr>
        <w:tabs>
          <w:tab w:val="left" w:pos="654"/>
          <w:tab w:val="left" w:pos="1734"/>
          <w:tab w:val="left" w:pos="2814"/>
          <w:tab w:val="left" w:pos="3894"/>
          <w:tab w:val="left" w:pos="5334"/>
          <w:tab w:val="left" w:pos="6414"/>
          <w:tab w:val="left" w:pos="7254"/>
          <w:tab w:val="left" w:pos="8574"/>
          <w:tab w:val="left" w:pos="9654"/>
        </w:tabs>
        <w:spacing w:line="500" w:lineRule="exact"/>
        <w:rPr>
          <w:rFonts w:ascii="宋体" w:hAnsi="宋体"/>
          <w:sz w:val="24"/>
        </w:rPr>
      </w:pPr>
    </w:p>
    <w:p w14:paraId="1AD414BD">
      <w:pPr>
        <w:spacing w:line="500" w:lineRule="exact"/>
        <w:jc w:val="center"/>
        <w:rPr>
          <w:rFonts w:ascii="宋体" w:hAnsi="宋体"/>
          <w:sz w:val="24"/>
        </w:rPr>
      </w:pPr>
    </w:p>
    <w:p w14:paraId="2FE1A483">
      <w:pPr>
        <w:autoSpaceDE w:val="0"/>
        <w:autoSpaceDN w:val="0"/>
        <w:adjustRightInd w:val="0"/>
        <w:spacing w:line="500" w:lineRule="exact"/>
        <w:ind w:right="246" w:firstLine="793" w:firstLineChars="327"/>
        <w:rPr>
          <w:rFonts w:ascii="宋体" w:hAnsi="宋体"/>
          <w:kern w:val="0"/>
          <w:sz w:val="24"/>
        </w:rPr>
      </w:pPr>
    </w:p>
    <w:p w14:paraId="51A990BA">
      <w:pPr>
        <w:pStyle w:val="14"/>
        <w:tabs>
          <w:tab w:val="left" w:pos="5580"/>
        </w:tabs>
        <w:spacing w:line="360" w:lineRule="auto"/>
        <w:ind w:firstLine="486" w:firstLineChars="200"/>
        <w:rPr>
          <w:rFonts w:hAnsi="宋体"/>
          <w:sz w:val="24"/>
          <w:u w:val="single"/>
        </w:rPr>
      </w:pPr>
      <w:r>
        <w:rPr>
          <w:rFonts w:hint="eastAsia" w:hAnsi="宋体"/>
          <w:sz w:val="24"/>
        </w:rPr>
        <w:t>投标人（盖单位章）;</w:t>
      </w:r>
      <w:r>
        <w:rPr>
          <w:rFonts w:hint="eastAsia" w:hAnsi="宋体"/>
          <w:sz w:val="24"/>
          <w:u w:val="single"/>
        </w:rPr>
        <w:t xml:space="preserve">                           </w:t>
      </w:r>
    </w:p>
    <w:p w14:paraId="60068420">
      <w:pPr>
        <w:pStyle w:val="14"/>
        <w:tabs>
          <w:tab w:val="left" w:pos="5580"/>
        </w:tabs>
        <w:spacing w:line="360" w:lineRule="auto"/>
        <w:ind w:firstLine="486" w:firstLineChars="200"/>
        <w:rPr>
          <w:rFonts w:hAnsi="宋体"/>
          <w:sz w:val="24"/>
        </w:rPr>
      </w:pPr>
      <w:r>
        <w:rPr>
          <w:rFonts w:hint="eastAsia" w:hAnsi="宋体"/>
          <w:sz w:val="24"/>
        </w:rPr>
        <w:t>法定代表人（签字或签章）：</w:t>
      </w:r>
      <w:r>
        <w:rPr>
          <w:rFonts w:hint="eastAsia" w:hAnsi="宋体"/>
          <w:sz w:val="24"/>
          <w:u w:val="single"/>
        </w:rPr>
        <w:t xml:space="preserve">                     </w:t>
      </w:r>
    </w:p>
    <w:p w14:paraId="25C12F08">
      <w:pPr>
        <w:spacing w:line="360" w:lineRule="auto"/>
        <w:ind w:firstLine="486" w:firstLineChars="200"/>
        <w:jc w:val="left"/>
        <w:rPr>
          <w:rFonts w:ascii="宋体" w:hAnsi="宋体"/>
          <w:b/>
          <w:sz w:val="28"/>
          <w:szCs w:val="28"/>
        </w:rPr>
      </w:pPr>
      <w:r>
        <w:rPr>
          <w:rFonts w:hint="eastAsia" w:ascii="宋体" w:hAnsi="宋体"/>
          <w:sz w:val="24"/>
          <w:szCs w:val="20"/>
          <w:u w:color="000000"/>
        </w:rPr>
        <w:t xml:space="preserve">年   月   日 </w:t>
      </w:r>
    </w:p>
    <w:p w14:paraId="51C2A706">
      <w:pPr>
        <w:rPr>
          <w:rFonts w:hint="eastAsia" w:ascii="宋体" w:hAnsi="宋体" w:eastAsia="宋体"/>
          <w:sz w:val="24"/>
        </w:rPr>
      </w:pPr>
      <w:r>
        <w:rPr>
          <w:rFonts w:hint="eastAsia" w:ascii="宋体" w:hAnsi="宋体" w:eastAsia="宋体"/>
          <w:sz w:val="24"/>
        </w:rPr>
        <w:br w:type="page"/>
      </w:r>
    </w:p>
    <w:p w14:paraId="21CFACC6">
      <w:pPr>
        <w:pStyle w:val="3"/>
        <w:spacing w:before="0" w:line="240" w:lineRule="atLeast"/>
        <w:rPr>
          <w:rFonts w:ascii="宋体" w:hAnsi="宋体" w:eastAsia="宋体"/>
          <w:b w:val="0"/>
          <w:sz w:val="24"/>
          <w:u w:val="single"/>
        </w:rPr>
      </w:pPr>
      <w:r>
        <w:rPr>
          <w:rFonts w:hint="eastAsia" w:ascii="宋体" w:hAnsi="宋体" w:eastAsia="宋体"/>
          <w:sz w:val="24"/>
        </w:rPr>
        <w:t>4 、法定代表人授权委托书(投标文件格式三，自然人投标的无需提供)</w:t>
      </w:r>
      <w:bookmarkEnd w:id="90"/>
      <w:bookmarkEnd w:id="91"/>
      <w:bookmarkEnd w:id="92"/>
      <w:bookmarkEnd w:id="93"/>
      <w:bookmarkEnd w:id="94"/>
    </w:p>
    <w:p w14:paraId="0D0BAC2D">
      <w:pPr>
        <w:pStyle w:val="14"/>
        <w:spacing w:line="240" w:lineRule="atLeast"/>
        <w:ind w:left="1087" w:leftChars="257" w:hanging="540"/>
        <w:rPr>
          <w:rFonts w:hAnsi="宋体"/>
          <w:sz w:val="24"/>
        </w:rPr>
      </w:pPr>
      <w:r>
        <w:rPr>
          <w:rFonts w:hint="eastAsia" w:hAnsi="宋体"/>
          <w:sz w:val="24"/>
          <w:u w:val="single"/>
        </w:rPr>
        <w:cr/>
      </w:r>
    </w:p>
    <w:p w14:paraId="584B2293">
      <w:pPr>
        <w:pStyle w:val="14"/>
        <w:tabs>
          <w:tab w:val="left" w:pos="5580"/>
        </w:tabs>
        <w:spacing w:line="360" w:lineRule="auto"/>
        <w:rPr>
          <w:rFonts w:hAnsi="宋体"/>
          <w:sz w:val="24"/>
        </w:rPr>
      </w:pPr>
      <w:r>
        <w:rPr>
          <w:rFonts w:hint="eastAsia" w:hAnsi="宋体"/>
          <w:sz w:val="24"/>
        </w:rPr>
        <w:t xml:space="preserve">    本授权书声明：注册于</w:t>
      </w:r>
      <w:r>
        <w:rPr>
          <w:rFonts w:hint="eastAsia" w:hAnsi="宋体"/>
          <w:sz w:val="24"/>
          <w:u w:val="single"/>
        </w:rPr>
        <w:t>（国家或地区的名称）</w:t>
      </w:r>
      <w:r>
        <w:rPr>
          <w:rFonts w:hint="eastAsia" w:hAnsi="宋体"/>
          <w:sz w:val="24"/>
        </w:rPr>
        <w:t>的（</w:t>
      </w:r>
      <w:r>
        <w:rPr>
          <w:rFonts w:hint="eastAsia" w:hAnsi="宋体"/>
          <w:i/>
          <w:sz w:val="24"/>
          <w:u w:val="single"/>
        </w:rPr>
        <w:t>投标人</w:t>
      </w:r>
      <w:r>
        <w:rPr>
          <w:rFonts w:hint="eastAsia" w:hAnsi="宋体"/>
          <w:sz w:val="24"/>
        </w:rPr>
        <w:t>）的在下面签字的（</w:t>
      </w:r>
      <w:r>
        <w:rPr>
          <w:rFonts w:hint="eastAsia" w:hAnsi="宋体"/>
          <w:i/>
          <w:sz w:val="24"/>
          <w:u w:val="single"/>
        </w:rPr>
        <w:t>法人代表姓名、职务</w:t>
      </w:r>
      <w:r>
        <w:rPr>
          <w:rFonts w:hint="eastAsia" w:hAnsi="宋体"/>
          <w:sz w:val="24"/>
        </w:rPr>
        <w:t>）代表我单位授权（</w:t>
      </w:r>
      <w:r>
        <w:rPr>
          <w:rFonts w:hint="eastAsia" w:hAnsi="宋体"/>
          <w:i/>
          <w:sz w:val="24"/>
          <w:u w:val="single"/>
        </w:rPr>
        <w:t>单位名称</w:t>
      </w:r>
      <w:r>
        <w:rPr>
          <w:rFonts w:hint="eastAsia" w:hAnsi="宋体"/>
          <w:sz w:val="24"/>
        </w:rPr>
        <w:t>）的在下面签字的（</w:t>
      </w:r>
      <w:r>
        <w:rPr>
          <w:rFonts w:hint="eastAsia" w:hAnsi="宋体"/>
          <w:i/>
          <w:sz w:val="24"/>
          <w:u w:val="single"/>
        </w:rPr>
        <w:t>被授权人的姓名、职务</w:t>
      </w:r>
      <w:r>
        <w:rPr>
          <w:rFonts w:hint="eastAsia" w:hAnsi="宋体"/>
          <w:sz w:val="24"/>
        </w:rPr>
        <w:t>）为我单位的合法代理人，就（</w:t>
      </w:r>
      <w:r>
        <w:rPr>
          <w:rFonts w:hint="eastAsia" w:hAnsi="宋体"/>
          <w:i/>
          <w:sz w:val="24"/>
          <w:u w:val="single"/>
        </w:rPr>
        <w:t>项目名称</w:t>
      </w:r>
      <w:r>
        <w:rPr>
          <w:rFonts w:hint="eastAsia" w:hAnsi="宋体"/>
          <w:sz w:val="24"/>
        </w:rPr>
        <w:t>）投标，以我单位名义处理一切与之有关的事务。</w:t>
      </w:r>
      <w:r>
        <w:rPr>
          <w:rFonts w:hint="eastAsia" w:hAnsi="宋体"/>
          <w:sz w:val="24"/>
        </w:rPr>
        <w:cr/>
      </w:r>
      <w:r>
        <w:rPr>
          <w:rFonts w:hint="eastAsia" w:hAnsi="宋体"/>
          <w:sz w:val="24"/>
        </w:rPr>
        <w:t>　　本授权书于</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日签字生效,特此声明。</w:t>
      </w:r>
      <w:r>
        <w:rPr>
          <w:rFonts w:hint="eastAsia" w:hAnsi="宋体"/>
          <w:sz w:val="24"/>
        </w:rPr>
        <w:cr/>
      </w:r>
    </w:p>
    <w:p w14:paraId="23BC0902">
      <w:pPr>
        <w:pStyle w:val="14"/>
        <w:tabs>
          <w:tab w:val="left" w:pos="5580"/>
        </w:tabs>
        <w:spacing w:line="240" w:lineRule="atLeast"/>
        <w:ind w:left="-547" w:leftChars="-257" w:firstLine="911" w:firstLineChars="375"/>
        <w:rPr>
          <w:rFonts w:hAnsi="宋体"/>
          <w:sz w:val="24"/>
        </w:rPr>
      </w:pPr>
      <w:r>
        <w:rPr>
          <w:rFonts w:hint="eastAsia" w:hAnsi="宋体"/>
          <w:sz w:val="24"/>
        </w:rPr>
        <mc:AlternateContent>
          <mc:Choice Requires="wps">
            <w:drawing>
              <wp:anchor distT="0" distB="0" distL="0" distR="0" simplePos="0" relativeHeight="251659264"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1028" name="圆角矩形 5"/>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782C9B8B">
                            <w:pPr>
                              <w:rPr>
                                <w:rFonts w:hAnsi="宋体"/>
                              </w:rPr>
                            </w:pPr>
                          </w:p>
                          <w:p w14:paraId="3F7DE770">
                            <w:pPr>
                              <w:rPr>
                                <w:rFonts w:hAnsi="宋体"/>
                              </w:rPr>
                            </w:pPr>
                          </w:p>
                          <w:p w14:paraId="3BE29892">
                            <w:pPr>
                              <w:rPr>
                                <w:rFonts w:hAnsi="宋体"/>
                              </w:rPr>
                            </w:pPr>
                          </w:p>
                          <w:p w14:paraId="10DAFC9F">
                            <w:r>
                              <w:rPr>
                                <w:rFonts w:hint="eastAsia" w:hAnsi="宋体"/>
                              </w:rPr>
                              <w:t>授权委托人身份证复印件</w:t>
                            </w:r>
                          </w:p>
                          <w:p w14:paraId="4B4CC5BE"/>
                        </w:txbxContent>
                      </wps:txbx>
                      <wps:bodyPr upright="1"/>
                    </wps:wsp>
                  </a:graphicData>
                </a:graphic>
              </wp:anchor>
            </w:drawing>
          </mc:Choice>
          <mc:Fallback>
            <w:pict>
              <v:roundrect id="圆角矩形 5" o:spid="_x0000_s1026" o:spt="2" style="position:absolute;left:0pt;margin-left:239.3pt;margin-top:13.2pt;height:88.6pt;width:195.15pt;z-index:251659264;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JPo7eorAgAAZQQAAA4AAAAAAAAAAQAgAAAAKgEAAGRycy9lMm9Eb2MueG1s&#10;UEsFBgAAAAAGAAYAWQEAAMcFAAAAAA==&#10;">
                <v:fill on="t" focussize="0,0"/>
                <v:stroke weight="1.25pt" color="#808080" joinstyle="round"/>
                <v:imagedata o:title=""/>
                <o:lock v:ext="edit" aspectratio="f"/>
                <v:textbox>
                  <w:txbxContent>
                    <w:p w14:paraId="782C9B8B">
                      <w:pPr>
                        <w:rPr>
                          <w:rFonts w:hAnsi="宋体"/>
                        </w:rPr>
                      </w:pPr>
                    </w:p>
                    <w:p w14:paraId="3F7DE770">
                      <w:pPr>
                        <w:rPr>
                          <w:rFonts w:hAnsi="宋体"/>
                        </w:rPr>
                      </w:pPr>
                    </w:p>
                    <w:p w14:paraId="3BE29892">
                      <w:pPr>
                        <w:rPr>
                          <w:rFonts w:hAnsi="宋体"/>
                        </w:rPr>
                      </w:pPr>
                    </w:p>
                    <w:p w14:paraId="10DAFC9F">
                      <w:r>
                        <w:rPr>
                          <w:rFonts w:hint="eastAsia" w:hAnsi="宋体"/>
                        </w:rPr>
                        <w:t>授权委托人身份证复印件</w:t>
                      </w:r>
                    </w:p>
                    <w:p w14:paraId="4B4CC5BE"/>
                  </w:txbxContent>
                </v:textbox>
              </v:roundrect>
            </w:pict>
          </mc:Fallback>
        </mc:AlternateContent>
      </w:r>
      <w:r>
        <w:rPr>
          <w:rFonts w:hint="eastAsia" w:hAnsi="宋体"/>
          <w:sz w:val="24"/>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E0E647">
                            <w:pPr>
                              <w:jc w:val="center"/>
                              <w:rPr>
                                <w:rFonts w:hAnsi="宋体"/>
                              </w:rPr>
                            </w:pPr>
                          </w:p>
                          <w:p w14:paraId="66479537">
                            <w:pPr>
                              <w:jc w:val="center"/>
                              <w:rPr>
                                <w:rFonts w:hAnsi="宋体"/>
                              </w:rPr>
                            </w:pPr>
                          </w:p>
                          <w:p w14:paraId="6F71219D">
                            <w:pPr>
                              <w:jc w:val="center"/>
                              <w:rPr>
                                <w:rFonts w:hAnsi="宋体"/>
                              </w:rPr>
                            </w:pPr>
                          </w:p>
                          <w:p w14:paraId="3C94CC73">
                            <w:pPr>
                              <w:jc w:val="center"/>
                            </w:pPr>
                            <w:r>
                              <w:rPr>
                                <w:rFonts w:hint="eastAsia" w:hAnsi="宋体"/>
                              </w:rPr>
                              <w:t>授权委托人身份证复印件</w:t>
                            </w:r>
                          </w:p>
                        </w:txbxContent>
                      </wps:txbx>
                      <wps:bodyPr upright="1"/>
                    </wps:wsp>
                  </a:graphicData>
                </a:graphic>
              </wp:anchor>
            </w:drawing>
          </mc:Choice>
          <mc:Fallback>
            <w:pict>
              <v:shape id="流程图: 可选过程 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EjIw1gAAAAgBAAAPAAAAAAAAAAEAIAAAACIAAABkcnMvZG93bnJldi54bWxQSwEC&#10;FAAUAAAACACHTuJAN3XIOC8CAABTBAAADgAAAAAAAAABACAAAAAlAQAAZHJzL2Uyb0RvYy54bWxQ&#10;SwUGAAAAAAYABgBZAQAAxgUAAAAA&#10;">
                <v:fill on="t" focussize="0,0"/>
                <v:stroke color="#000000" joinstyle="miter"/>
                <v:imagedata o:title=""/>
                <o:lock v:ext="edit" aspectratio="f"/>
                <v:textbox>
                  <w:txbxContent>
                    <w:p w14:paraId="6CE0E647">
                      <w:pPr>
                        <w:jc w:val="center"/>
                        <w:rPr>
                          <w:rFonts w:hAnsi="宋体"/>
                        </w:rPr>
                      </w:pPr>
                    </w:p>
                    <w:p w14:paraId="66479537">
                      <w:pPr>
                        <w:jc w:val="center"/>
                        <w:rPr>
                          <w:rFonts w:hAnsi="宋体"/>
                        </w:rPr>
                      </w:pPr>
                    </w:p>
                    <w:p w14:paraId="6F71219D">
                      <w:pPr>
                        <w:jc w:val="center"/>
                        <w:rPr>
                          <w:rFonts w:hAnsi="宋体"/>
                        </w:rPr>
                      </w:pPr>
                    </w:p>
                    <w:p w14:paraId="3C94CC73">
                      <w:pPr>
                        <w:jc w:val="center"/>
                      </w:pPr>
                      <w:r>
                        <w:rPr>
                          <w:rFonts w:hint="eastAsia" w:hAnsi="宋体"/>
                        </w:rPr>
                        <w:t>授权委托人身份证复印件</w:t>
                      </w:r>
                    </w:p>
                  </w:txbxContent>
                </v:textbox>
              </v:shape>
            </w:pict>
          </mc:Fallback>
        </mc:AlternateContent>
      </w:r>
    </w:p>
    <w:p w14:paraId="21EC0059">
      <w:pPr>
        <w:spacing w:line="360" w:lineRule="auto"/>
        <w:ind w:firstLine="243" w:firstLineChars="100"/>
        <w:rPr>
          <w:rFonts w:ascii="宋体" w:hAnsi="宋体"/>
          <w:sz w:val="24"/>
        </w:rPr>
      </w:pPr>
    </w:p>
    <w:p w14:paraId="2FBED328">
      <w:pPr>
        <w:spacing w:line="360" w:lineRule="auto"/>
        <w:ind w:firstLine="243" w:firstLineChars="100"/>
        <w:rPr>
          <w:rFonts w:ascii="宋体" w:hAnsi="宋体"/>
          <w:sz w:val="24"/>
        </w:rPr>
      </w:pPr>
    </w:p>
    <w:p w14:paraId="6526D0D1">
      <w:pPr>
        <w:spacing w:line="360" w:lineRule="auto"/>
        <w:ind w:firstLine="243" w:firstLineChars="100"/>
        <w:rPr>
          <w:rFonts w:ascii="宋体" w:hAnsi="宋体"/>
          <w:sz w:val="24"/>
        </w:rPr>
      </w:pPr>
    </w:p>
    <w:p w14:paraId="3BD6F5A4">
      <w:pPr>
        <w:spacing w:line="360" w:lineRule="auto"/>
        <w:ind w:firstLine="243" w:firstLineChars="100"/>
        <w:rPr>
          <w:rFonts w:ascii="宋体" w:hAnsi="宋体"/>
          <w:sz w:val="24"/>
        </w:rPr>
      </w:pPr>
    </w:p>
    <w:p w14:paraId="0EFAFA78">
      <w:pPr>
        <w:spacing w:line="360" w:lineRule="auto"/>
        <w:ind w:firstLine="243" w:firstLineChars="100"/>
        <w:rPr>
          <w:rFonts w:ascii="宋体" w:hAnsi="宋体"/>
          <w:sz w:val="24"/>
        </w:rPr>
      </w:pPr>
      <w:r>
        <w:rPr>
          <w:rFonts w:hint="eastAsia" w:ascii="宋体" w:hAnsi="宋体"/>
          <w:sz w:val="24"/>
        </w:rPr>
        <mc:AlternateContent>
          <mc:Choice Requires="wps">
            <w:drawing>
              <wp:anchor distT="0" distB="0" distL="0" distR="0" simplePos="0" relativeHeight="251659264"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1030" name="圆角矩形 7"/>
                <wp:cNvGraphicFramePr/>
                <a:graphic xmlns:a="http://schemas.openxmlformats.org/drawingml/2006/main">
                  <a:graphicData uri="http://schemas.microsoft.com/office/word/2010/wordprocessingShape">
                    <wps:wsp>
                      <wps:cNvSpPr/>
                      <wps:spPr>
                        <a:xfrm>
                          <a:off x="0" y="0"/>
                          <a:ext cx="2535555" cy="1029334"/>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664B0B63">
                            <w:pPr>
                              <w:jc w:val="center"/>
                              <w:rPr>
                                <w:rFonts w:hAnsi="宋体"/>
                              </w:rPr>
                            </w:pPr>
                            <w:r>
                              <w:rPr>
                                <w:rFonts w:hint="eastAsia" w:hAnsi="宋体"/>
                              </w:rPr>
                              <w:t xml:space="preserve">  </w:t>
                            </w:r>
                          </w:p>
                          <w:p w14:paraId="55C363A0">
                            <w:pPr>
                              <w:jc w:val="center"/>
                              <w:rPr>
                                <w:rFonts w:hAnsi="宋体"/>
                              </w:rPr>
                            </w:pPr>
                          </w:p>
                          <w:p w14:paraId="40EA598B">
                            <w:pPr>
                              <w:jc w:val="center"/>
                              <w:rPr>
                                <w:rFonts w:hAnsi="宋体"/>
                              </w:rPr>
                            </w:pPr>
                          </w:p>
                          <w:p w14:paraId="52FDBC08">
                            <w:pPr>
                              <w:jc w:val="center"/>
                            </w:pPr>
                            <w:r>
                              <w:rPr>
                                <w:rFonts w:hint="eastAsia" w:hAnsi="宋体"/>
                              </w:rPr>
                              <w:t>法人身份证复印件</w:t>
                            </w:r>
                          </w:p>
                          <w:p w14:paraId="3806F011"/>
                        </w:txbxContent>
                      </wps:txbx>
                      <wps:bodyPr upright="1"/>
                    </wps:wsp>
                  </a:graphicData>
                </a:graphic>
              </wp:anchor>
            </w:drawing>
          </mc:Choice>
          <mc:Fallback>
            <w:pict>
              <v:roundrect id="圆角矩形 7" o:spid="_x0000_s1026" o:spt="2" style="position:absolute;left:0pt;margin-left:237.65pt;margin-top:4.25pt;height:81.05pt;width:199.65pt;z-index:251659264;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Qc0gvaAAAACQEAAA8AAAAAAAAAAQAgAAAAIgAAAGRycy9kb3ducmV2LnhtbFBLAQIU&#10;ABQAAAAIAIdO4kBat2rZKgIAAGUEAAAOAAAAAAAAAAEAIAAAACkBAABkcnMvZTJvRG9jLnhtbFBL&#10;BQYAAAAABgAGAFkBAADFBQAAAAA=&#10;">
                <v:fill on="t" focussize="0,0"/>
                <v:stroke weight="1.25pt" color="#808080" joinstyle="round"/>
                <v:imagedata o:title=""/>
                <o:lock v:ext="edit" aspectratio="f"/>
                <v:textbox>
                  <w:txbxContent>
                    <w:p w14:paraId="664B0B63">
                      <w:pPr>
                        <w:jc w:val="center"/>
                        <w:rPr>
                          <w:rFonts w:hAnsi="宋体"/>
                        </w:rPr>
                      </w:pPr>
                      <w:r>
                        <w:rPr>
                          <w:rFonts w:hint="eastAsia" w:hAnsi="宋体"/>
                        </w:rPr>
                        <w:t xml:space="preserve">  </w:t>
                      </w:r>
                    </w:p>
                    <w:p w14:paraId="55C363A0">
                      <w:pPr>
                        <w:jc w:val="center"/>
                        <w:rPr>
                          <w:rFonts w:hAnsi="宋体"/>
                        </w:rPr>
                      </w:pPr>
                    </w:p>
                    <w:p w14:paraId="40EA598B">
                      <w:pPr>
                        <w:jc w:val="center"/>
                        <w:rPr>
                          <w:rFonts w:hAnsi="宋体"/>
                        </w:rPr>
                      </w:pPr>
                    </w:p>
                    <w:p w14:paraId="52FDBC08">
                      <w:pPr>
                        <w:jc w:val="center"/>
                      </w:pPr>
                      <w:r>
                        <w:rPr>
                          <w:rFonts w:hint="eastAsia" w:hAnsi="宋体"/>
                        </w:rPr>
                        <w:t>法人身份证复印件</w:t>
                      </w:r>
                    </w:p>
                    <w:p w14:paraId="3806F011"/>
                  </w:txbxContent>
                </v:textbox>
              </v:roundrect>
            </w:pict>
          </mc:Fallback>
        </mc:AlternateContent>
      </w:r>
      <w:r>
        <w:rPr>
          <w:rFonts w:hint="eastAsia" w:ascii="宋体" w:hAnsi="宋体"/>
          <w:sz w:val="24"/>
        </w:rPr>
        <mc:AlternateContent>
          <mc:Choice Requires="wps">
            <w:drawing>
              <wp:anchor distT="0" distB="0" distL="0" distR="0" simplePos="0" relativeHeight="251659264"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1031" name="圆角矩形 8"/>
                <wp:cNvGraphicFramePr/>
                <a:graphic xmlns:a="http://schemas.openxmlformats.org/drawingml/2006/main">
                  <a:graphicData uri="http://schemas.microsoft.com/office/word/2010/wordprocessingShape">
                    <wps:wsp>
                      <wps:cNvSpPr/>
                      <wps:spPr>
                        <a:xfrm>
                          <a:off x="0" y="0"/>
                          <a:ext cx="2555240" cy="1024889"/>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70D5119A">
                            <w:pPr>
                              <w:jc w:val="center"/>
                              <w:rPr>
                                <w:rFonts w:hAnsi="宋体"/>
                              </w:rPr>
                            </w:pPr>
                          </w:p>
                          <w:p w14:paraId="75656A3A">
                            <w:pPr>
                              <w:jc w:val="center"/>
                              <w:rPr>
                                <w:rFonts w:hAnsi="宋体"/>
                              </w:rPr>
                            </w:pPr>
                          </w:p>
                          <w:p w14:paraId="322A32AC">
                            <w:pPr>
                              <w:jc w:val="center"/>
                              <w:rPr>
                                <w:rFonts w:hAnsi="宋体"/>
                              </w:rPr>
                            </w:pPr>
                          </w:p>
                          <w:p w14:paraId="6D1E3AE4">
                            <w:pPr>
                              <w:jc w:val="center"/>
                            </w:pPr>
                            <w:r>
                              <w:rPr>
                                <w:rFonts w:hint="eastAsia" w:hAnsi="宋体"/>
                              </w:rPr>
                              <w:t>法人身份证复印件</w:t>
                            </w:r>
                          </w:p>
                          <w:p w14:paraId="690DF204"/>
                        </w:txbxContent>
                      </wps:txbx>
                      <wps:bodyPr upright="1"/>
                    </wps:wsp>
                  </a:graphicData>
                </a:graphic>
              </wp:anchor>
            </w:drawing>
          </mc:Choice>
          <mc:Fallback>
            <w:pict>
              <v:roundrect id="圆角矩形 8" o:spid="_x0000_s1026" o:spt="2" style="position:absolute;left:0pt;margin-left:-0.85pt;margin-top:2.35pt;height:80.7pt;width:201.2pt;z-index:251659264;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O+C3vYAAAACAEAAA8AAAAAAAAAAQAgAAAAIgAAAGRycy9kb3ducmV2LnhtbFBLAQIU&#10;ABQAAAAIAIdO4kAGcXi+LAIAAGUEAAAOAAAAAAAAAAEAIAAAACcBAABkcnMvZTJvRG9jLnhtbFBL&#10;BQYAAAAABgAGAFkBAADFBQAAAAA=&#10;">
                <v:fill on="t" focussize="0,0"/>
                <v:stroke weight="1.25pt" color="#808080" joinstyle="round"/>
                <v:imagedata o:title=""/>
                <o:lock v:ext="edit" aspectratio="f"/>
                <v:textbox>
                  <w:txbxContent>
                    <w:p w14:paraId="70D5119A">
                      <w:pPr>
                        <w:jc w:val="center"/>
                        <w:rPr>
                          <w:rFonts w:hAnsi="宋体"/>
                        </w:rPr>
                      </w:pPr>
                    </w:p>
                    <w:p w14:paraId="75656A3A">
                      <w:pPr>
                        <w:jc w:val="center"/>
                        <w:rPr>
                          <w:rFonts w:hAnsi="宋体"/>
                        </w:rPr>
                      </w:pPr>
                    </w:p>
                    <w:p w14:paraId="322A32AC">
                      <w:pPr>
                        <w:jc w:val="center"/>
                        <w:rPr>
                          <w:rFonts w:hAnsi="宋体"/>
                        </w:rPr>
                      </w:pPr>
                    </w:p>
                    <w:p w14:paraId="6D1E3AE4">
                      <w:pPr>
                        <w:jc w:val="center"/>
                      </w:pPr>
                      <w:r>
                        <w:rPr>
                          <w:rFonts w:hint="eastAsia" w:hAnsi="宋体"/>
                        </w:rPr>
                        <w:t>法人身份证复印件</w:t>
                      </w:r>
                    </w:p>
                    <w:p w14:paraId="690DF204"/>
                  </w:txbxContent>
                </v:textbox>
              </v:roundrect>
            </w:pict>
          </mc:Fallback>
        </mc:AlternateContent>
      </w:r>
    </w:p>
    <w:p w14:paraId="48CB5BC9">
      <w:pPr>
        <w:spacing w:line="360" w:lineRule="auto"/>
        <w:ind w:firstLine="243" w:firstLineChars="100"/>
        <w:rPr>
          <w:rFonts w:ascii="宋体" w:hAnsi="宋体"/>
          <w:sz w:val="24"/>
        </w:rPr>
      </w:pPr>
    </w:p>
    <w:p w14:paraId="380F9E0E">
      <w:pPr>
        <w:spacing w:line="360" w:lineRule="auto"/>
        <w:ind w:firstLine="243" w:firstLineChars="100"/>
        <w:rPr>
          <w:rFonts w:ascii="宋体" w:hAnsi="宋体"/>
          <w:sz w:val="24"/>
        </w:rPr>
      </w:pPr>
    </w:p>
    <w:p w14:paraId="60CF84CE">
      <w:pPr>
        <w:spacing w:line="360" w:lineRule="auto"/>
        <w:ind w:firstLine="243" w:firstLineChars="100"/>
        <w:rPr>
          <w:rFonts w:ascii="宋体" w:hAnsi="宋体"/>
          <w:sz w:val="24"/>
        </w:rPr>
      </w:pPr>
    </w:p>
    <w:p w14:paraId="6F39D025">
      <w:pPr>
        <w:spacing w:line="360" w:lineRule="auto"/>
        <w:ind w:firstLine="243" w:firstLineChars="100"/>
        <w:rPr>
          <w:rFonts w:ascii="宋体" w:hAnsi="宋体"/>
          <w:sz w:val="24"/>
        </w:rPr>
      </w:pPr>
    </w:p>
    <w:p w14:paraId="20FA392E">
      <w:pPr>
        <w:pStyle w:val="14"/>
        <w:tabs>
          <w:tab w:val="left" w:pos="5580"/>
        </w:tabs>
        <w:spacing w:line="240" w:lineRule="atLeast"/>
        <w:ind w:left="-547" w:leftChars="-257" w:firstLine="911" w:firstLineChars="375"/>
        <w:rPr>
          <w:rFonts w:hAnsi="宋体"/>
          <w:sz w:val="24"/>
        </w:rPr>
      </w:pPr>
    </w:p>
    <w:p w14:paraId="7FBF0E09">
      <w:pPr>
        <w:pStyle w:val="14"/>
        <w:tabs>
          <w:tab w:val="left" w:pos="5580"/>
        </w:tabs>
        <w:spacing w:line="240" w:lineRule="atLeast"/>
        <w:ind w:left="-547" w:leftChars="-257" w:firstLine="911" w:firstLineChars="375"/>
        <w:rPr>
          <w:rFonts w:hAnsi="宋体"/>
          <w:sz w:val="24"/>
        </w:rPr>
      </w:pPr>
    </w:p>
    <w:p w14:paraId="257A7FAE">
      <w:pPr>
        <w:pStyle w:val="14"/>
        <w:tabs>
          <w:tab w:val="left" w:pos="5580"/>
        </w:tabs>
        <w:spacing w:line="240" w:lineRule="atLeast"/>
        <w:ind w:firstLine="486" w:firstLineChars="200"/>
        <w:rPr>
          <w:rFonts w:hAnsi="宋体"/>
          <w:sz w:val="24"/>
          <w:u w:val="single"/>
        </w:rPr>
      </w:pPr>
      <w:r>
        <w:rPr>
          <w:rFonts w:hint="eastAsia" w:hAnsi="宋体"/>
          <w:sz w:val="24"/>
        </w:rPr>
        <w:t>投标人（盖单位章）;</w:t>
      </w:r>
      <w:r>
        <w:rPr>
          <w:rFonts w:hint="eastAsia" w:hAnsi="宋体"/>
          <w:sz w:val="24"/>
          <w:u w:val="single"/>
        </w:rPr>
        <w:t xml:space="preserve">                           </w:t>
      </w:r>
    </w:p>
    <w:p w14:paraId="3A5F9D3A">
      <w:pPr>
        <w:pStyle w:val="14"/>
        <w:tabs>
          <w:tab w:val="left" w:pos="5580"/>
        </w:tabs>
        <w:spacing w:line="240" w:lineRule="atLeast"/>
        <w:ind w:firstLine="486" w:firstLineChars="200"/>
        <w:rPr>
          <w:rFonts w:hAnsi="宋体"/>
          <w:sz w:val="24"/>
        </w:rPr>
      </w:pPr>
      <w:r>
        <w:rPr>
          <w:rFonts w:hint="eastAsia" w:hAnsi="宋体"/>
          <w:sz w:val="24"/>
        </w:rPr>
        <w:t>法定代表人（签字或签章）：</w:t>
      </w:r>
      <w:r>
        <w:rPr>
          <w:rFonts w:hint="eastAsia" w:hAnsi="宋体"/>
          <w:sz w:val="24"/>
          <w:u w:val="single"/>
        </w:rPr>
        <w:t xml:space="preserve">                     </w:t>
      </w:r>
    </w:p>
    <w:p w14:paraId="26ADC727">
      <w:pPr>
        <w:pStyle w:val="14"/>
        <w:tabs>
          <w:tab w:val="left" w:pos="5580"/>
        </w:tabs>
        <w:spacing w:line="240" w:lineRule="atLeast"/>
        <w:ind w:firstLine="486" w:firstLineChars="200"/>
        <w:rPr>
          <w:rFonts w:hAnsi="宋体"/>
          <w:sz w:val="24"/>
          <w:u w:val="single"/>
        </w:rPr>
      </w:pPr>
      <w:r>
        <w:rPr>
          <w:rFonts w:hint="eastAsia" w:hAnsi="宋体"/>
          <w:sz w:val="24"/>
        </w:rPr>
        <w:t>委托代理人：</w:t>
      </w:r>
      <w:r>
        <w:rPr>
          <w:rFonts w:hint="eastAsia" w:hAnsi="宋体"/>
          <w:sz w:val="24"/>
          <w:u w:val="single"/>
        </w:rPr>
        <w:t xml:space="preserve">                                   </w:t>
      </w:r>
    </w:p>
    <w:p w14:paraId="043F8676">
      <w:pPr>
        <w:spacing w:line="360" w:lineRule="auto"/>
        <w:ind w:firstLine="486" w:firstLineChars="200"/>
        <w:jc w:val="left"/>
        <w:rPr>
          <w:rFonts w:ascii="宋体" w:hAnsi="宋体"/>
          <w:sz w:val="24"/>
          <w:szCs w:val="20"/>
          <w:u w:color="000000"/>
        </w:rPr>
      </w:pPr>
      <w:r>
        <w:rPr>
          <w:rFonts w:hint="eastAsia" w:ascii="宋体" w:hAnsi="宋体"/>
          <w:sz w:val="24"/>
          <w:szCs w:val="20"/>
          <w:u w:color="000000"/>
        </w:rPr>
        <w:t xml:space="preserve">年   月   日 </w:t>
      </w:r>
    </w:p>
    <w:p w14:paraId="0B19A3F6">
      <w:pPr>
        <w:pStyle w:val="3"/>
        <w:spacing w:before="0" w:line="240" w:lineRule="atLeast"/>
        <w:ind w:left="547" w:leftChars="257"/>
        <w:rPr>
          <w:rFonts w:ascii="宋体" w:hAnsi="宋体" w:eastAsia="宋体"/>
          <w:sz w:val="24"/>
        </w:rPr>
      </w:pPr>
      <w:r>
        <w:rPr>
          <w:rFonts w:hint="eastAsia" w:ascii="宋体" w:hAnsi="宋体" w:eastAsia="宋体"/>
          <w:sz w:val="24"/>
        </w:rPr>
        <w:br w:type="page"/>
      </w:r>
      <w:bookmarkStart w:id="98" w:name="_Toc26357"/>
    </w:p>
    <w:p w14:paraId="7CE642D0">
      <w:pPr>
        <w:pStyle w:val="3"/>
        <w:spacing w:before="0" w:line="240" w:lineRule="atLeast"/>
        <w:rPr>
          <w:rFonts w:ascii="宋体" w:hAnsi="宋体" w:eastAsia="宋体"/>
          <w:sz w:val="24"/>
        </w:rPr>
      </w:pPr>
      <w:r>
        <w:rPr>
          <w:rFonts w:hint="eastAsia" w:ascii="宋体" w:hAnsi="宋体" w:eastAsia="宋体"/>
          <w:sz w:val="24"/>
        </w:rPr>
        <w:t>5、</w:t>
      </w:r>
      <w:bookmarkEnd w:id="95"/>
      <w:bookmarkEnd w:id="96"/>
      <w:bookmarkEnd w:id="97"/>
      <w:bookmarkEnd w:id="98"/>
      <w:bookmarkStart w:id="99" w:name="_Toc4866"/>
      <w:bookmarkStart w:id="100" w:name="_Toc11047"/>
      <w:bookmarkStart w:id="101" w:name="_Toc515647809"/>
      <w:bookmarkStart w:id="102" w:name="_Toc28445"/>
      <w:r>
        <w:rPr>
          <w:rFonts w:hint="eastAsia" w:ascii="宋体" w:hAnsi="宋体" w:eastAsia="宋体"/>
          <w:sz w:val="24"/>
        </w:rPr>
        <w:t>投标保证金缴纳凭证或投标担保函</w:t>
      </w:r>
      <w:bookmarkEnd w:id="99"/>
      <w:bookmarkEnd w:id="100"/>
      <w:bookmarkEnd w:id="101"/>
      <w:bookmarkEnd w:id="102"/>
      <w:bookmarkStart w:id="103" w:name="_Toc494296665"/>
      <w:bookmarkStart w:id="104" w:name="_Toc494296991"/>
    </w:p>
    <w:p w14:paraId="612D4244">
      <w:pPr>
        <w:ind w:firstLine="486" w:firstLineChars="200"/>
        <w:rPr>
          <w:rFonts w:ascii="宋体" w:hAnsi="宋体"/>
          <w:sz w:val="24"/>
        </w:rPr>
      </w:pPr>
      <w:r>
        <w:rPr>
          <w:rFonts w:hint="eastAsia" w:ascii="宋体" w:hAnsi="宋体"/>
          <w:sz w:val="24"/>
        </w:rPr>
        <w:t>投标人可将本项目投标保证金支付的汇款凭证、支票、汇票的扫描件作为缴纳凭证一起制作在本部分，应加盖本单位章；</w:t>
      </w:r>
      <w:bookmarkEnd w:id="103"/>
      <w:bookmarkEnd w:id="104"/>
    </w:p>
    <w:p w14:paraId="6A9FADE8">
      <w:pPr>
        <w:pStyle w:val="9"/>
        <w:rPr>
          <w:rFonts w:ascii="宋体" w:hAnsi="宋体"/>
        </w:rPr>
      </w:pPr>
    </w:p>
    <w:p w14:paraId="02957D18">
      <w:pPr>
        <w:pStyle w:val="9"/>
        <w:rPr>
          <w:rFonts w:ascii="宋体" w:hAnsi="宋体"/>
        </w:rPr>
      </w:pPr>
    </w:p>
    <w:p w14:paraId="2779F219">
      <w:pPr>
        <w:spacing w:line="240" w:lineRule="atLeast"/>
        <w:ind w:left="1087" w:leftChars="257" w:hanging="540"/>
        <w:jc w:val="center"/>
        <w:rPr>
          <w:rFonts w:ascii="宋体" w:hAnsi="宋体"/>
          <w:sz w:val="24"/>
        </w:rPr>
      </w:pPr>
    </w:p>
    <w:tbl>
      <w:tblPr>
        <w:tblStyle w:val="27"/>
        <w:tblpPr w:leftFromText="180" w:rightFromText="180" w:vertAnchor="text" w:horzAnchor="page" w:tblpX="1845" w:tblpY="63"/>
        <w:tblOverlap w:val="never"/>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4238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8340" w:type="dxa"/>
          </w:tcPr>
          <w:p w14:paraId="05E83D20">
            <w:pPr>
              <w:rPr>
                <w:rFonts w:ascii="宋体" w:hAnsi="宋体"/>
                <w:b/>
                <w:bCs/>
                <w:sz w:val="30"/>
                <w:szCs w:val="30"/>
              </w:rPr>
            </w:pPr>
          </w:p>
          <w:p w14:paraId="085ACC1B">
            <w:pPr>
              <w:jc w:val="center"/>
              <w:rPr>
                <w:rFonts w:ascii="宋体" w:hAnsi="宋体"/>
                <w:b/>
                <w:bCs/>
                <w:sz w:val="30"/>
                <w:szCs w:val="30"/>
              </w:rPr>
            </w:pPr>
          </w:p>
          <w:p w14:paraId="31FF8CF8">
            <w:pPr>
              <w:jc w:val="center"/>
              <w:rPr>
                <w:rFonts w:ascii="宋体" w:hAnsi="宋体"/>
                <w:b/>
                <w:bCs/>
                <w:sz w:val="30"/>
                <w:szCs w:val="30"/>
              </w:rPr>
            </w:pPr>
          </w:p>
          <w:p w14:paraId="14615B5E">
            <w:pPr>
              <w:pStyle w:val="3"/>
              <w:spacing w:before="0" w:line="240" w:lineRule="atLeast"/>
              <w:ind w:firstLine="1701" w:firstLineChars="700"/>
              <w:rPr>
                <w:rFonts w:ascii="宋体" w:hAnsi="宋体" w:eastAsia="宋体"/>
                <w:sz w:val="24"/>
              </w:rPr>
            </w:pPr>
            <w:r>
              <w:rPr>
                <w:rFonts w:hint="eastAsia" w:ascii="宋体" w:hAnsi="宋体" w:eastAsia="宋体"/>
                <w:sz w:val="24"/>
              </w:rPr>
              <w:t>投标保证金缴纳凭证或投标担保函</w:t>
            </w:r>
          </w:p>
          <w:p w14:paraId="2345757A">
            <w:pPr>
              <w:jc w:val="center"/>
              <w:rPr>
                <w:rFonts w:ascii="宋体" w:hAnsi="宋体"/>
                <w:b/>
                <w:bCs/>
                <w:sz w:val="30"/>
                <w:szCs w:val="30"/>
              </w:rPr>
            </w:pPr>
          </w:p>
          <w:p w14:paraId="3B96D574">
            <w:pPr>
              <w:jc w:val="center"/>
              <w:rPr>
                <w:rFonts w:ascii="宋体" w:hAnsi="宋体"/>
                <w:b/>
                <w:bCs/>
                <w:sz w:val="30"/>
                <w:szCs w:val="30"/>
              </w:rPr>
            </w:pPr>
          </w:p>
        </w:tc>
      </w:tr>
    </w:tbl>
    <w:p w14:paraId="05CB621A">
      <w:pPr>
        <w:rPr>
          <w:rFonts w:ascii="宋体" w:hAnsi="宋体"/>
          <w:sz w:val="28"/>
          <w:szCs w:val="28"/>
        </w:rPr>
      </w:pPr>
    </w:p>
    <w:tbl>
      <w:tblPr>
        <w:tblStyle w:val="27"/>
        <w:tblpPr w:leftFromText="180" w:rightFromText="180" w:vertAnchor="text" w:horzAnchor="page" w:tblpX="1879" w:tblpY="279"/>
        <w:tblOverlap w:val="never"/>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0"/>
      </w:tblGrid>
      <w:tr w14:paraId="5356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trPr>
        <w:tc>
          <w:tcPr>
            <w:tcW w:w="8400" w:type="dxa"/>
          </w:tcPr>
          <w:p w14:paraId="73354766">
            <w:pPr>
              <w:rPr>
                <w:rFonts w:ascii="宋体" w:hAnsi="宋体"/>
                <w:b/>
                <w:bCs/>
                <w:sz w:val="30"/>
                <w:szCs w:val="30"/>
              </w:rPr>
            </w:pPr>
          </w:p>
          <w:p w14:paraId="56082699">
            <w:pPr>
              <w:jc w:val="center"/>
              <w:rPr>
                <w:rFonts w:ascii="宋体" w:hAnsi="宋体"/>
                <w:b/>
                <w:bCs/>
                <w:sz w:val="30"/>
                <w:szCs w:val="30"/>
              </w:rPr>
            </w:pPr>
          </w:p>
          <w:p w14:paraId="0DD2AEFD">
            <w:pPr>
              <w:jc w:val="center"/>
              <w:rPr>
                <w:rFonts w:ascii="宋体" w:hAnsi="宋体"/>
                <w:b/>
                <w:bCs/>
                <w:sz w:val="30"/>
                <w:szCs w:val="30"/>
              </w:rPr>
            </w:pPr>
          </w:p>
          <w:p w14:paraId="7FD49A0B">
            <w:pPr>
              <w:jc w:val="center"/>
              <w:rPr>
                <w:rFonts w:ascii="宋体" w:hAnsi="宋体"/>
                <w:b/>
                <w:bCs/>
                <w:sz w:val="30"/>
                <w:szCs w:val="30"/>
              </w:rPr>
            </w:pPr>
          </w:p>
          <w:p w14:paraId="29B94F95">
            <w:pPr>
              <w:jc w:val="center"/>
              <w:rPr>
                <w:rFonts w:ascii="宋体" w:hAnsi="宋体"/>
                <w:b/>
                <w:bCs/>
                <w:sz w:val="30"/>
                <w:szCs w:val="30"/>
              </w:rPr>
            </w:pPr>
          </w:p>
        </w:tc>
      </w:tr>
    </w:tbl>
    <w:p w14:paraId="5F2CE1D8">
      <w:pPr>
        <w:pStyle w:val="9"/>
        <w:rPr>
          <w:rFonts w:ascii="宋体" w:hAnsi="宋体"/>
        </w:rPr>
      </w:pPr>
    </w:p>
    <w:p w14:paraId="4EDDA125">
      <w:pPr>
        <w:pStyle w:val="9"/>
        <w:rPr>
          <w:rFonts w:ascii="宋体" w:hAnsi="宋体"/>
        </w:rPr>
      </w:pPr>
    </w:p>
    <w:p w14:paraId="32574129">
      <w:pPr>
        <w:rPr>
          <w:rFonts w:ascii="宋体" w:hAnsi="宋体"/>
          <w:sz w:val="28"/>
          <w:szCs w:val="28"/>
        </w:rPr>
      </w:pPr>
    </w:p>
    <w:p w14:paraId="1CC56147">
      <w:pPr>
        <w:pStyle w:val="12"/>
        <w:tabs>
          <w:tab w:val="left" w:pos="562"/>
          <w:tab w:val="left" w:pos="3372"/>
          <w:tab w:val="left" w:pos="3653"/>
        </w:tabs>
        <w:rPr>
          <w:rFonts w:ascii="宋体" w:hAnsi="宋体"/>
          <w:sz w:val="28"/>
          <w:szCs w:val="28"/>
        </w:rPr>
      </w:pPr>
    </w:p>
    <w:p w14:paraId="0969B867">
      <w:pPr>
        <w:pStyle w:val="12"/>
        <w:tabs>
          <w:tab w:val="left" w:pos="562"/>
          <w:tab w:val="left" w:pos="3372"/>
          <w:tab w:val="left" w:pos="3653"/>
        </w:tabs>
        <w:rPr>
          <w:rFonts w:ascii="宋体" w:hAnsi="宋体"/>
          <w:sz w:val="28"/>
          <w:szCs w:val="28"/>
        </w:rPr>
      </w:pPr>
    </w:p>
    <w:p w14:paraId="06B73D0A">
      <w:pPr>
        <w:jc w:val="left"/>
        <w:rPr>
          <w:rFonts w:hint="eastAsia" w:ascii="宋体" w:hAnsi="宋体"/>
          <w:sz w:val="22"/>
          <w:szCs w:val="28"/>
        </w:rPr>
      </w:pPr>
    </w:p>
    <w:p w14:paraId="338C355D">
      <w:pPr>
        <w:jc w:val="left"/>
        <w:rPr>
          <w:rFonts w:ascii="宋体" w:hAnsi="宋体"/>
          <w:sz w:val="22"/>
          <w:szCs w:val="28"/>
        </w:rPr>
      </w:pPr>
      <w:r>
        <w:rPr>
          <w:rFonts w:hint="eastAsia" w:ascii="宋体" w:hAnsi="宋体"/>
          <w:sz w:val="22"/>
          <w:szCs w:val="28"/>
        </w:rPr>
        <w:t>政府采购投标担保函 （项目用）            编号：</w:t>
      </w:r>
    </w:p>
    <w:p w14:paraId="05AE6676">
      <w:pPr>
        <w:rPr>
          <w:rFonts w:ascii="宋体" w:hAnsi="宋体"/>
        </w:rPr>
      </w:pPr>
      <w:r>
        <w:rPr>
          <w:rFonts w:hint="eastAsia" w:ascii="宋体" w:hAnsi="宋体"/>
        </w:rPr>
        <w:t xml:space="preserve"> </w:t>
      </w:r>
      <w:r>
        <w:rPr>
          <w:rFonts w:hint="eastAsia" w:ascii="宋体" w:hAnsi="宋体"/>
          <w:u w:val="single"/>
        </w:rPr>
        <w:t xml:space="preserve">                  </w:t>
      </w:r>
      <w:r>
        <w:rPr>
          <w:rFonts w:hint="eastAsia" w:ascii="宋体" w:hAnsi="宋体"/>
        </w:rPr>
        <w:t>（采购人或采购代理机构）：</w:t>
      </w:r>
    </w:p>
    <w:p w14:paraId="23692277">
      <w:pPr>
        <w:ind w:firstLine="426" w:firstLineChars="200"/>
        <w:rPr>
          <w:rFonts w:ascii="宋体" w:hAnsi="宋体"/>
        </w:rPr>
      </w:pPr>
      <w:r>
        <w:rPr>
          <w:rFonts w:hint="eastAsia" w:ascii="宋体" w:hAnsi="宋体"/>
        </w:rPr>
        <w:t>鉴于</w:t>
      </w:r>
      <w:r>
        <w:rPr>
          <w:rFonts w:hint="eastAsia" w:ascii="宋体" w:hAnsi="宋体"/>
          <w:u w:val="single"/>
        </w:rPr>
        <w:t xml:space="preserve">               </w:t>
      </w:r>
      <w:r>
        <w:rPr>
          <w:rFonts w:hint="eastAsia" w:ascii="宋体" w:hAnsi="宋体"/>
        </w:rPr>
        <w:t>（以下简称“投标人”）拟参加编号为</w:t>
      </w:r>
      <w:r>
        <w:rPr>
          <w:rFonts w:hint="eastAsia" w:ascii="宋体" w:hAnsi="宋体"/>
          <w:u w:val="single"/>
        </w:rPr>
        <w:t xml:space="preserve">            </w:t>
      </w:r>
      <w:r>
        <w:rPr>
          <w:rFonts w:hint="eastAsia" w:ascii="宋体" w:hAnsi="宋体"/>
        </w:rPr>
        <w:t>的</w:t>
      </w:r>
      <w:r>
        <w:rPr>
          <w:rFonts w:hint="eastAsia" w:ascii="宋体" w:hAnsi="宋体"/>
          <w:u w:val="single"/>
        </w:rPr>
        <w:t xml:space="preserve">           </w:t>
      </w:r>
      <w:r>
        <w:rPr>
          <w:rFonts w:hint="eastAsia" w:ascii="宋体" w:hAnsi="宋体"/>
        </w:rPr>
        <w:t xml:space="preserve">                            </w:t>
      </w:r>
    </w:p>
    <w:p w14:paraId="3FCC3C58">
      <w:pPr>
        <w:rPr>
          <w:rFonts w:ascii="宋体" w:hAnsi="宋体"/>
        </w:rPr>
      </w:pPr>
      <w:r>
        <w:rPr>
          <w:rFonts w:hint="eastAsia" w:ascii="宋体" w:hAnsi="宋体"/>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5770A6B5">
      <w:pPr>
        <w:ind w:firstLine="426" w:firstLineChars="200"/>
        <w:rPr>
          <w:rFonts w:ascii="宋体" w:hAnsi="宋体"/>
        </w:rPr>
      </w:pPr>
      <w:r>
        <w:rPr>
          <w:rFonts w:hint="eastAsia" w:ascii="宋体" w:hAnsi="宋体"/>
        </w:rPr>
        <w:t>一、保证责任的情形及保证金额</w:t>
      </w:r>
    </w:p>
    <w:p w14:paraId="562CF42A">
      <w:pPr>
        <w:ind w:firstLine="213" w:firstLineChars="100"/>
        <w:rPr>
          <w:rFonts w:ascii="宋体" w:hAnsi="宋体"/>
        </w:rPr>
      </w:pPr>
      <w:r>
        <w:rPr>
          <w:rFonts w:hint="eastAsia" w:ascii="宋体" w:hAnsi="宋体"/>
        </w:rPr>
        <w:t>（一）在投标人出现下列情形之一时，我方承担保证责任：</w:t>
      </w:r>
    </w:p>
    <w:p w14:paraId="7FF3CBE8">
      <w:pPr>
        <w:ind w:firstLine="426" w:firstLineChars="200"/>
        <w:rPr>
          <w:rFonts w:ascii="宋体" w:hAnsi="宋体"/>
        </w:rPr>
      </w:pPr>
      <w:r>
        <w:rPr>
          <w:rFonts w:hint="eastAsia" w:ascii="宋体" w:hAnsi="宋体"/>
        </w:rPr>
        <w:t>1．中标后投标人无正当理由不与采购人或者采购代理机构签订《政府采购合同》；</w:t>
      </w:r>
    </w:p>
    <w:p w14:paraId="4E79595E">
      <w:pPr>
        <w:ind w:firstLine="426" w:firstLineChars="200"/>
        <w:rPr>
          <w:rFonts w:ascii="宋体" w:hAnsi="宋体"/>
        </w:rPr>
      </w:pPr>
      <w:r>
        <w:rPr>
          <w:rFonts w:hint="eastAsia" w:ascii="宋体" w:hAnsi="宋体"/>
        </w:rPr>
        <w:t>2．招标文件规定的投标人应当缴纳保证金的其他情形。</w:t>
      </w:r>
    </w:p>
    <w:p w14:paraId="590ECA8D">
      <w:pPr>
        <w:ind w:firstLine="213" w:firstLineChars="100"/>
        <w:rPr>
          <w:rFonts w:ascii="宋体" w:hAnsi="宋体"/>
        </w:rPr>
      </w:pPr>
      <w:r>
        <w:rPr>
          <w:rFonts w:hint="eastAsia" w:ascii="宋体" w:hAnsi="宋体"/>
        </w:rPr>
        <w:t>（二）我方承担保证责任的最高金额为人民币</w:t>
      </w:r>
      <w:r>
        <w:rPr>
          <w:rFonts w:hint="eastAsia" w:ascii="宋体" w:hAnsi="宋体"/>
          <w:u w:val="single"/>
        </w:rPr>
        <w:t xml:space="preserve">      </w:t>
      </w:r>
      <w:r>
        <w:rPr>
          <w:rFonts w:hint="eastAsia" w:ascii="宋体" w:hAnsi="宋体"/>
        </w:rPr>
        <w:t>元（大写</w:t>
      </w:r>
      <w:r>
        <w:rPr>
          <w:rFonts w:hint="eastAsia" w:ascii="宋体" w:hAnsi="宋体"/>
          <w:u w:val="single"/>
        </w:rPr>
        <w:t xml:space="preserve">            </w:t>
      </w:r>
      <w:r>
        <w:rPr>
          <w:rFonts w:hint="eastAsia" w:ascii="宋体" w:hAnsi="宋体"/>
        </w:rPr>
        <w:t>），即本项目的投标保证金金额。</w:t>
      </w:r>
    </w:p>
    <w:p w14:paraId="48D88E60">
      <w:pPr>
        <w:ind w:firstLine="426" w:firstLineChars="200"/>
        <w:rPr>
          <w:rFonts w:ascii="宋体" w:hAnsi="宋体"/>
        </w:rPr>
      </w:pPr>
      <w:r>
        <w:rPr>
          <w:rFonts w:hint="eastAsia" w:ascii="宋体" w:hAnsi="宋体"/>
        </w:rPr>
        <w:t>二、保证的方式及保证期间</w:t>
      </w:r>
    </w:p>
    <w:p w14:paraId="7FEAB0E8">
      <w:pPr>
        <w:ind w:firstLine="426" w:firstLineChars="200"/>
        <w:rPr>
          <w:rFonts w:ascii="宋体" w:hAnsi="宋体"/>
        </w:rPr>
      </w:pPr>
      <w:r>
        <w:rPr>
          <w:rFonts w:hint="eastAsia" w:ascii="宋体" w:hAnsi="宋体"/>
        </w:rPr>
        <w:t>我方保证的方式为：连带责任保证。</w:t>
      </w:r>
    </w:p>
    <w:p w14:paraId="40D1ADA5">
      <w:pPr>
        <w:ind w:firstLine="426" w:firstLineChars="200"/>
        <w:rPr>
          <w:rFonts w:ascii="宋体" w:hAnsi="宋体"/>
        </w:rPr>
      </w:pPr>
      <w:r>
        <w:rPr>
          <w:rFonts w:hint="eastAsia" w:ascii="宋体" w:hAnsi="宋体"/>
        </w:rPr>
        <w:t>我方的保证期间为：自本保函生效之日起</w:t>
      </w:r>
      <w:r>
        <w:rPr>
          <w:rFonts w:hint="eastAsia" w:ascii="宋体" w:hAnsi="宋体"/>
          <w:u w:val="single"/>
        </w:rPr>
        <w:t xml:space="preserve">    </w:t>
      </w:r>
      <w:r>
        <w:rPr>
          <w:rFonts w:hint="eastAsia" w:ascii="宋体" w:hAnsi="宋体"/>
        </w:rPr>
        <w:t>个月止。</w:t>
      </w:r>
    </w:p>
    <w:p w14:paraId="0E588284">
      <w:pPr>
        <w:ind w:firstLine="426" w:firstLineChars="200"/>
        <w:rPr>
          <w:rFonts w:ascii="宋体" w:hAnsi="宋体"/>
        </w:rPr>
      </w:pPr>
      <w:r>
        <w:rPr>
          <w:rFonts w:hint="eastAsia" w:ascii="宋体" w:hAnsi="宋体"/>
        </w:rPr>
        <w:t>三、承担保证责任的程序</w:t>
      </w:r>
    </w:p>
    <w:p w14:paraId="70E074BC">
      <w:pPr>
        <w:ind w:firstLine="426" w:firstLineChars="200"/>
        <w:rPr>
          <w:rFonts w:ascii="宋体" w:hAnsi="宋体"/>
        </w:rPr>
      </w:pPr>
      <w:r>
        <w:rPr>
          <w:rFonts w:hint="eastAsia" w:ascii="宋体" w:hAnsi="宋体"/>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24A29881">
      <w:pPr>
        <w:ind w:firstLine="426" w:firstLineChars="200"/>
        <w:rPr>
          <w:rFonts w:ascii="宋体" w:hAnsi="宋体"/>
        </w:rPr>
      </w:pPr>
      <w:r>
        <w:rPr>
          <w:rFonts w:hint="eastAsia" w:ascii="宋体" w:hAnsi="宋体"/>
        </w:rPr>
        <w:t>2．我方在收到索赔通知及相关证明材料后，在</w:t>
      </w:r>
      <w:r>
        <w:rPr>
          <w:rFonts w:hint="eastAsia" w:ascii="宋体" w:hAnsi="宋体"/>
          <w:u w:val="single"/>
        </w:rPr>
        <w:t>　　　</w:t>
      </w:r>
      <w:r>
        <w:rPr>
          <w:rFonts w:hint="eastAsia" w:ascii="宋体" w:hAnsi="宋体"/>
        </w:rPr>
        <w:t>个工作日内进行审查，符合应承担保证责任情形的，我方应按照你方的要求代投标人向你方支付投标保证金。</w:t>
      </w:r>
    </w:p>
    <w:p w14:paraId="2438269A">
      <w:pPr>
        <w:ind w:firstLine="426" w:firstLineChars="200"/>
        <w:rPr>
          <w:rFonts w:ascii="宋体" w:hAnsi="宋体"/>
        </w:rPr>
      </w:pPr>
      <w:r>
        <w:rPr>
          <w:rFonts w:hint="eastAsia" w:ascii="宋体" w:hAnsi="宋体"/>
        </w:rPr>
        <w:t>四、保证责任的终止</w:t>
      </w:r>
    </w:p>
    <w:p w14:paraId="773B09B4">
      <w:pPr>
        <w:ind w:firstLine="426" w:firstLineChars="200"/>
        <w:rPr>
          <w:rFonts w:ascii="宋体" w:hAnsi="宋体"/>
        </w:rPr>
      </w:pPr>
      <w:r>
        <w:rPr>
          <w:rFonts w:hint="eastAsia" w:ascii="宋体" w:hAnsi="宋体"/>
        </w:rPr>
        <w:t>1．保证期间届满你方未向我方书面主张保证责任的，自保证期间届满次日起，我方保证责任自动终止。</w:t>
      </w:r>
    </w:p>
    <w:p w14:paraId="7A1CA3E3">
      <w:pPr>
        <w:ind w:firstLine="426" w:firstLineChars="200"/>
        <w:rPr>
          <w:rFonts w:ascii="宋体" w:hAnsi="宋体"/>
        </w:rPr>
      </w:pPr>
      <w:r>
        <w:rPr>
          <w:rFonts w:hint="eastAsia" w:ascii="宋体" w:hAnsi="宋体"/>
        </w:rPr>
        <w:t>2．我方按照本保函向你贵方履行了保证责任后，自我方向你贵方支付款项（支付款项从我方账户划出）之日起，保证责任终止。</w:t>
      </w:r>
    </w:p>
    <w:p w14:paraId="2E28CE37">
      <w:pPr>
        <w:ind w:firstLine="426" w:firstLineChars="200"/>
        <w:rPr>
          <w:rFonts w:ascii="宋体" w:hAnsi="宋体"/>
        </w:rPr>
      </w:pPr>
      <w:r>
        <w:rPr>
          <w:rFonts w:hint="eastAsia" w:ascii="宋体" w:hAnsi="宋体"/>
        </w:rPr>
        <w:t>3．按照法律法规的规定或出现我方保证责任终止的其它情形的，我方在本保函项下的保证责任亦终止。</w:t>
      </w:r>
    </w:p>
    <w:p w14:paraId="0416E7AD">
      <w:pPr>
        <w:ind w:firstLine="426" w:firstLineChars="200"/>
        <w:rPr>
          <w:rFonts w:ascii="宋体" w:hAnsi="宋体"/>
        </w:rPr>
      </w:pPr>
      <w:r>
        <w:rPr>
          <w:rFonts w:hint="eastAsia" w:ascii="宋体" w:hAnsi="宋体"/>
        </w:rPr>
        <w:t>五、免责条款</w:t>
      </w:r>
    </w:p>
    <w:p w14:paraId="22D02137">
      <w:pPr>
        <w:ind w:firstLine="426" w:firstLineChars="200"/>
        <w:rPr>
          <w:rFonts w:ascii="宋体" w:hAnsi="宋体"/>
        </w:rPr>
      </w:pPr>
      <w:r>
        <w:rPr>
          <w:rFonts w:hint="eastAsia" w:ascii="宋体" w:hAnsi="宋体"/>
        </w:rPr>
        <w:t>1．依照法律规定或你方与投标人的另行约定，全部或者部分免除投标人投标保证金义务时，我方亦免除相应的保证责任。</w:t>
      </w:r>
    </w:p>
    <w:p w14:paraId="572F45FD">
      <w:pPr>
        <w:ind w:firstLine="426" w:firstLineChars="200"/>
        <w:rPr>
          <w:rFonts w:ascii="宋体" w:hAnsi="宋体"/>
        </w:rPr>
      </w:pPr>
      <w:r>
        <w:rPr>
          <w:rFonts w:hint="eastAsia" w:ascii="宋体" w:hAnsi="宋体"/>
        </w:rPr>
        <w:t>2．因你方原因致使投标人发生本保函第一条第（一）款约定情形的，我方不承担保证责任。</w:t>
      </w:r>
    </w:p>
    <w:p w14:paraId="6F16C271">
      <w:pPr>
        <w:ind w:firstLine="426" w:firstLineChars="200"/>
        <w:rPr>
          <w:rFonts w:ascii="宋体" w:hAnsi="宋体"/>
        </w:rPr>
      </w:pPr>
      <w:r>
        <w:rPr>
          <w:rFonts w:hint="eastAsia" w:ascii="宋体" w:hAnsi="宋体"/>
        </w:rPr>
        <w:t>3．因不可抗力造成投标人发生本保函第一条约定情形的，我方不承担保证责任。</w:t>
      </w:r>
    </w:p>
    <w:p w14:paraId="03CB1D32">
      <w:pPr>
        <w:ind w:firstLine="426" w:firstLineChars="200"/>
        <w:rPr>
          <w:rFonts w:ascii="宋体" w:hAnsi="宋体"/>
        </w:rPr>
      </w:pPr>
      <w:r>
        <w:rPr>
          <w:rFonts w:hint="eastAsia" w:ascii="宋体" w:hAnsi="宋体"/>
        </w:rPr>
        <w:t>4．你方或其他有权机关对招标文件进行任何澄清或修改，加重我方保证责任的，我方对加重部分不承担保证责任，但该澄清或修改经我方事先书面同意的除外。</w:t>
      </w:r>
    </w:p>
    <w:p w14:paraId="77EFFDE1">
      <w:pPr>
        <w:ind w:firstLine="426" w:firstLineChars="200"/>
        <w:rPr>
          <w:rFonts w:ascii="宋体" w:hAnsi="宋体"/>
        </w:rPr>
      </w:pPr>
      <w:r>
        <w:rPr>
          <w:rFonts w:hint="eastAsia" w:ascii="宋体" w:hAnsi="宋体"/>
        </w:rPr>
        <w:t>六、争议的解决</w:t>
      </w:r>
    </w:p>
    <w:p w14:paraId="67D6320A">
      <w:pPr>
        <w:ind w:firstLine="426" w:firstLineChars="200"/>
        <w:rPr>
          <w:rFonts w:ascii="宋体" w:hAnsi="宋体"/>
        </w:rPr>
      </w:pPr>
      <w:r>
        <w:rPr>
          <w:rFonts w:hint="eastAsia" w:ascii="宋体" w:hAnsi="宋体"/>
        </w:rPr>
        <w:t>因本保函发生的纠纷，由你我双方协商解决，协商不成的，通过诉讼程序解决，诉讼管辖地法院为</w:t>
      </w:r>
      <w:r>
        <w:rPr>
          <w:rFonts w:hint="eastAsia" w:ascii="宋体" w:hAnsi="宋体"/>
          <w:u w:val="single"/>
        </w:rPr>
        <w:t xml:space="preserve">          </w:t>
      </w:r>
      <w:r>
        <w:rPr>
          <w:rFonts w:hint="eastAsia" w:ascii="宋体" w:hAnsi="宋体"/>
        </w:rPr>
        <w:t>法院。</w:t>
      </w:r>
    </w:p>
    <w:p w14:paraId="2E0F1E88">
      <w:pPr>
        <w:ind w:firstLine="426" w:firstLineChars="200"/>
        <w:rPr>
          <w:rFonts w:ascii="宋体" w:hAnsi="宋体"/>
        </w:rPr>
      </w:pPr>
      <w:r>
        <w:rPr>
          <w:rFonts w:hint="eastAsia" w:ascii="宋体" w:hAnsi="宋体"/>
        </w:rPr>
        <w:t>七、保函的生效</w:t>
      </w:r>
    </w:p>
    <w:p w14:paraId="503E142A">
      <w:pPr>
        <w:ind w:firstLine="426" w:firstLineChars="200"/>
        <w:rPr>
          <w:rFonts w:ascii="宋体" w:hAnsi="宋体"/>
        </w:rPr>
      </w:pPr>
      <w:r>
        <w:rPr>
          <w:rFonts w:hint="eastAsia" w:ascii="宋体" w:hAnsi="宋体"/>
        </w:rPr>
        <w:t>本保函自我方加盖公章之日起生效。</w:t>
      </w:r>
    </w:p>
    <w:p w14:paraId="0169B27A">
      <w:pPr>
        <w:ind w:firstLine="213" w:firstLineChars="100"/>
        <w:rPr>
          <w:rFonts w:ascii="宋体" w:hAnsi="宋体"/>
        </w:rPr>
      </w:pPr>
      <w:r>
        <w:rPr>
          <w:rFonts w:hint="eastAsia" w:ascii="宋体" w:hAnsi="宋体"/>
        </w:rPr>
        <w:t xml:space="preserve">保证人：（公章）                                年     月    日   </w:t>
      </w:r>
      <w:bookmarkStart w:id="105" w:name="_Toc27021"/>
      <w:bookmarkStart w:id="106" w:name="_Toc18754"/>
      <w:bookmarkStart w:id="107" w:name="_Toc5710"/>
      <w:bookmarkStart w:id="108" w:name="_Toc515647810"/>
    </w:p>
    <w:p w14:paraId="5A71A634">
      <w:pPr>
        <w:rPr>
          <w:rFonts w:ascii="宋体" w:hAnsi="宋体"/>
          <w:sz w:val="24"/>
        </w:rPr>
      </w:pPr>
    </w:p>
    <w:p w14:paraId="33DBF84A">
      <w:pPr>
        <w:pStyle w:val="14"/>
        <w:tabs>
          <w:tab w:val="left" w:pos="5580"/>
        </w:tabs>
        <w:spacing w:line="240" w:lineRule="atLeast"/>
        <w:rPr>
          <w:rFonts w:hAnsi="宋体"/>
          <w:b/>
          <w:sz w:val="24"/>
        </w:rPr>
      </w:pPr>
      <w:r>
        <w:rPr>
          <w:rFonts w:hint="eastAsia" w:hAnsi="宋体"/>
          <w:b/>
          <w:kern w:val="0"/>
          <w:sz w:val="24"/>
        </w:rPr>
        <w:t>6、</w:t>
      </w:r>
      <w:bookmarkEnd w:id="105"/>
      <w:bookmarkEnd w:id="106"/>
      <w:bookmarkEnd w:id="107"/>
      <w:bookmarkEnd w:id="108"/>
      <w:r>
        <w:rPr>
          <w:rFonts w:hint="eastAsia" w:hAnsi="宋体"/>
          <w:b/>
          <w:kern w:val="0"/>
          <w:sz w:val="24"/>
        </w:rPr>
        <w:t>投标企业须提供投标人（被授权在职人员）近</w:t>
      </w:r>
      <w:r>
        <w:rPr>
          <w:rFonts w:hint="eastAsia" w:hAnsi="宋体"/>
          <w:b/>
          <w:kern w:val="0"/>
          <w:sz w:val="24"/>
          <w:lang w:val="en-US" w:eastAsia="zh-CN"/>
        </w:rPr>
        <w:t>6</w:t>
      </w:r>
      <w:r>
        <w:rPr>
          <w:rFonts w:hint="eastAsia" w:hAnsi="宋体"/>
          <w:b/>
          <w:kern w:val="0"/>
          <w:sz w:val="24"/>
        </w:rPr>
        <w:t>个月</w:t>
      </w:r>
      <w:r>
        <w:rPr>
          <w:rFonts w:hint="eastAsia" w:hAnsi="宋体"/>
          <w:b/>
          <w:kern w:val="0"/>
          <w:sz w:val="24"/>
          <w:lang w:val="en-US" w:eastAsia="zh-CN"/>
        </w:rPr>
        <w:t>任意一个月</w:t>
      </w:r>
      <w:r>
        <w:rPr>
          <w:rFonts w:hint="eastAsia" w:hAnsi="宋体"/>
          <w:b/>
          <w:kern w:val="0"/>
          <w:sz w:val="24"/>
        </w:rPr>
        <w:t>的社保证明；</w:t>
      </w:r>
    </w:p>
    <w:p w14:paraId="655455C8">
      <w:pPr>
        <w:pStyle w:val="14"/>
        <w:tabs>
          <w:tab w:val="left" w:pos="5580"/>
        </w:tabs>
        <w:spacing w:line="240" w:lineRule="atLeast"/>
        <w:ind w:left="540"/>
        <w:rPr>
          <w:rFonts w:hAnsi="宋体"/>
          <w:b/>
          <w:sz w:val="24"/>
        </w:rPr>
      </w:pPr>
    </w:p>
    <w:p w14:paraId="352E8FD8">
      <w:pPr>
        <w:pStyle w:val="14"/>
        <w:tabs>
          <w:tab w:val="left" w:pos="5580"/>
        </w:tabs>
        <w:spacing w:line="240" w:lineRule="atLeast"/>
        <w:ind w:left="540"/>
        <w:rPr>
          <w:rFonts w:hAnsi="宋体"/>
          <w:sz w:val="24"/>
        </w:rPr>
      </w:pPr>
      <w:r>
        <w:rPr>
          <w:rFonts w:hint="eastAsia" w:hAnsi="宋体"/>
          <w:sz w:val="24"/>
        </w:rPr>
        <w:t>说明：1.按照</w:t>
      </w:r>
      <w:r>
        <w:rPr>
          <w:rFonts w:hint="eastAsia" w:hAnsi="宋体"/>
          <w:sz w:val="24"/>
          <w:u w:val="single"/>
        </w:rPr>
        <w:t>投标人须知资料表</w:t>
      </w:r>
      <w:r>
        <w:rPr>
          <w:rFonts w:hint="eastAsia" w:hAnsi="宋体"/>
          <w:sz w:val="24"/>
        </w:rPr>
        <w:t>中的规定提供。</w:t>
      </w:r>
    </w:p>
    <w:p w14:paraId="17119EED">
      <w:pPr>
        <w:pStyle w:val="14"/>
        <w:tabs>
          <w:tab w:val="left" w:pos="5580"/>
        </w:tabs>
        <w:spacing w:line="240" w:lineRule="atLeast"/>
        <w:ind w:left="1087" w:leftChars="257" w:hanging="540"/>
        <w:rPr>
          <w:rFonts w:hAnsi="宋体"/>
          <w:sz w:val="24"/>
        </w:rPr>
      </w:pPr>
      <w:r>
        <w:rPr>
          <w:rFonts w:hint="eastAsia" w:hAnsi="宋体"/>
          <w:sz w:val="24"/>
        </w:rPr>
        <w:t xml:space="preserve">      2.应加盖本单位章。</w:t>
      </w:r>
    </w:p>
    <w:p w14:paraId="54567624">
      <w:pPr>
        <w:tabs>
          <w:tab w:val="left" w:pos="5580"/>
        </w:tabs>
        <w:spacing w:line="240" w:lineRule="atLeast"/>
        <w:ind w:left="1087" w:leftChars="257" w:hanging="540"/>
        <w:rPr>
          <w:rFonts w:ascii="宋体" w:hAnsi="宋体"/>
          <w:sz w:val="24"/>
        </w:rPr>
      </w:pPr>
      <w:r>
        <w:rPr>
          <w:rFonts w:hint="eastAsia" w:ascii="宋体" w:hAnsi="宋体"/>
          <w:sz w:val="24"/>
        </w:rPr>
        <w:t xml:space="preserve">      3.（本项目不接受联合体）如果是联合体投标，联合体各方均需提供上述证明。</w:t>
      </w:r>
      <w:bookmarkStart w:id="109" w:name="_Toc2502"/>
      <w:bookmarkStart w:id="110" w:name="_Toc515647814"/>
      <w:bookmarkStart w:id="111" w:name="_Toc23044"/>
      <w:bookmarkStart w:id="112" w:name="_Toc14515"/>
    </w:p>
    <w:bookmarkEnd w:id="109"/>
    <w:bookmarkEnd w:id="110"/>
    <w:bookmarkEnd w:id="111"/>
    <w:bookmarkEnd w:id="112"/>
    <w:p w14:paraId="1B82454E">
      <w:pPr>
        <w:pStyle w:val="3"/>
        <w:spacing w:before="0" w:line="240" w:lineRule="atLeast"/>
        <w:rPr>
          <w:rFonts w:hint="eastAsia" w:ascii="宋体" w:hAnsi="宋体" w:eastAsia="宋体" w:cs="宋体"/>
          <w:b/>
          <w:kern w:val="0"/>
          <w:sz w:val="24"/>
          <w:szCs w:val="20"/>
          <w:lang w:val="en-US" w:eastAsia="zh-CN" w:bidi="ar-SA"/>
        </w:rPr>
      </w:pPr>
      <w:r>
        <w:rPr>
          <w:rFonts w:hint="eastAsia" w:ascii="宋体" w:hAnsi="宋体" w:eastAsia="宋体"/>
          <w:sz w:val="24"/>
          <w:highlight w:val="none"/>
        </w:rPr>
        <w:t>7、参加政府采购活动前三年内，在经营活动中没有重大违法记录</w:t>
      </w:r>
      <w:r>
        <w:rPr>
          <w:rFonts w:hint="eastAsia" w:ascii="宋体" w:hAnsi="宋体" w:eastAsia="宋体"/>
          <w:sz w:val="24"/>
          <w:highlight w:val="none"/>
          <w:lang w:eastAsia="zh-CN"/>
        </w:rPr>
        <w:t>，</w:t>
      </w:r>
      <w:r>
        <w:rPr>
          <w:rFonts w:hint="eastAsia" w:ascii="宋体" w:hAnsi="宋体" w:eastAsia="宋体" w:cs="宋体"/>
          <w:b/>
          <w:kern w:val="0"/>
          <w:sz w:val="24"/>
          <w:szCs w:val="20"/>
          <w:highlight w:val="none"/>
          <w:lang w:val="en-US" w:eastAsia="zh-CN" w:bidi="ar-SA"/>
        </w:rPr>
        <w:t>未</w:t>
      </w:r>
      <w:r>
        <w:rPr>
          <w:rFonts w:hint="eastAsia" w:ascii="宋体" w:hAnsi="宋体" w:eastAsia="宋体" w:cs="宋体"/>
          <w:b/>
          <w:kern w:val="0"/>
          <w:sz w:val="24"/>
          <w:szCs w:val="20"/>
          <w:lang w:val="en-US" w:eastAsia="zh-CN" w:bidi="ar-SA"/>
        </w:rPr>
        <w:t>被“信用中国”（www.creditchina.gov.cn）、中国政府采购网（www.ccgp.gov.cn）列入失信被执行人、重大税收违法案件当事人名单、政府采购严重违法失信行为记录名单；（提供网站截图加盖公章）；</w:t>
      </w:r>
    </w:p>
    <w:p w14:paraId="770D0621">
      <w:pPr>
        <w:widowControl/>
        <w:jc w:val="left"/>
        <w:textAlignment w:val="center"/>
        <w:rPr>
          <w:rFonts w:hint="eastAsia" w:ascii="宋体" w:hAnsi="宋体" w:eastAsia="宋体" w:cs="宋体"/>
          <w:b/>
          <w:kern w:val="0"/>
          <w:sz w:val="24"/>
          <w:szCs w:val="20"/>
          <w:lang w:val="en-US" w:eastAsia="zh-CN" w:bidi="ar-SA"/>
        </w:rPr>
      </w:pPr>
      <w:r>
        <w:rPr>
          <w:rFonts w:hint="eastAsia" w:ascii="宋体" w:hAnsi="宋体" w:eastAsia="宋体" w:cs="宋体"/>
          <w:b/>
          <w:kern w:val="0"/>
          <w:sz w:val="24"/>
          <w:szCs w:val="20"/>
          <w:lang w:val="en-US" w:eastAsia="zh-CN" w:bidi="ar-SA"/>
        </w:rPr>
        <w:t>8、投标人具有良好的商业信誉和健全的财务会计制度；（提供由具备资质的机构出具的（2024年或2025年）的财务审计报告；成立不满一年的企业或者小微企业可提供财务报表）；</w:t>
      </w:r>
    </w:p>
    <w:p w14:paraId="108DE934">
      <w:pPr>
        <w:rPr>
          <w:rFonts w:hint="eastAsia" w:ascii="宋体" w:hAnsi="宋体" w:eastAsia="宋体" w:cs="宋体"/>
          <w:b/>
          <w:kern w:val="0"/>
          <w:sz w:val="24"/>
          <w:szCs w:val="20"/>
          <w:lang w:val="en-US" w:eastAsia="zh-CN" w:bidi="ar-SA"/>
        </w:rPr>
      </w:pPr>
    </w:p>
    <w:p w14:paraId="64F7DCAE">
      <w:pPr>
        <w:widowControl/>
        <w:jc w:val="left"/>
        <w:textAlignment w:val="center"/>
        <w:rPr>
          <w:rFonts w:hint="eastAsia" w:ascii="宋体" w:hAnsi="宋体" w:eastAsia="宋体" w:cs="宋体"/>
          <w:b/>
          <w:kern w:val="0"/>
          <w:sz w:val="24"/>
          <w:szCs w:val="20"/>
          <w:lang w:val="en-US" w:eastAsia="zh-CN" w:bidi="ar-SA"/>
        </w:rPr>
      </w:pPr>
      <w:r>
        <w:rPr>
          <w:rFonts w:hint="eastAsia" w:ascii="宋体" w:hAnsi="宋体" w:eastAsia="宋体" w:cs="宋体"/>
          <w:b/>
          <w:kern w:val="0"/>
          <w:sz w:val="24"/>
          <w:szCs w:val="20"/>
          <w:lang w:val="en-US" w:eastAsia="zh-CN" w:bidi="ar-SA"/>
        </w:rPr>
        <w:t>9、投标人具有依法缴纳税收和社会保障资金的良好记录：①提供税务部门出具的近一年内任意三个月的完税证明（新公司从成立之日起算，如无产生税收，需提供不拖欠税收证明材料；）②依法缴纳近一年内任意三个月企业缴纳社保证明材料（专用收据或社会保险缴纳清单，新公司从成立之日起算）；</w:t>
      </w:r>
    </w:p>
    <w:p w14:paraId="6CAFA49C">
      <w:pPr>
        <w:widowControl/>
        <w:jc w:val="left"/>
        <w:textAlignment w:val="center"/>
        <w:rPr>
          <w:rFonts w:hint="eastAsia" w:ascii="宋体" w:hAnsi="宋体" w:eastAsia="宋体" w:cs="宋体"/>
          <w:b/>
          <w:kern w:val="0"/>
          <w:sz w:val="24"/>
          <w:szCs w:val="20"/>
          <w:lang w:val="en-US" w:eastAsia="zh-CN" w:bidi="ar-SA"/>
        </w:rPr>
      </w:pPr>
    </w:p>
    <w:p w14:paraId="6B8942E0">
      <w:pPr>
        <w:widowControl/>
        <w:numPr>
          <w:ilvl w:val="0"/>
          <w:numId w:val="7"/>
        </w:numPr>
        <w:jc w:val="left"/>
        <w:textAlignment w:val="center"/>
        <w:rPr>
          <w:rFonts w:hint="eastAsia" w:ascii="宋体" w:hAnsi="宋体" w:eastAsia="宋体" w:cs="宋体"/>
          <w:b/>
          <w:kern w:val="0"/>
          <w:sz w:val="24"/>
          <w:szCs w:val="20"/>
          <w:lang w:val="en-US" w:eastAsia="zh-CN" w:bidi="ar-SA"/>
        </w:rPr>
      </w:pPr>
      <w:r>
        <w:rPr>
          <w:rFonts w:hint="eastAsia" w:ascii="宋体" w:hAnsi="宋体" w:eastAsia="宋体" w:cs="宋体"/>
          <w:b/>
          <w:kern w:val="0"/>
          <w:sz w:val="24"/>
          <w:szCs w:val="20"/>
          <w:lang w:val="en-US" w:eastAsia="zh-CN" w:bidi="ar-SA"/>
        </w:rPr>
        <w:t>投标人须具备电子与智能化工程专业承包贰级及以上资质。</w:t>
      </w:r>
    </w:p>
    <w:p w14:paraId="179E2830">
      <w:pPr>
        <w:pStyle w:val="12"/>
        <w:spacing w:before="103" w:line="225" w:lineRule="auto"/>
        <w:rPr>
          <w:rFonts w:hint="eastAsia" w:ascii="宋体" w:hAnsi="宋体" w:eastAsia="宋体" w:cs="宋体"/>
          <w:b w:val="0"/>
          <w:bCs w:val="0"/>
          <w:kern w:val="0"/>
          <w:sz w:val="24"/>
          <w:szCs w:val="20"/>
          <w:lang w:val="en-US" w:eastAsia="zh-CN" w:bidi="ar-SA"/>
        </w:rPr>
      </w:pPr>
      <w:r>
        <w:rPr>
          <w:rFonts w:hint="eastAsia"/>
          <w:b w:val="0"/>
          <w:bCs w:val="0"/>
          <w:spacing w:val="2"/>
          <w:sz w:val="24"/>
          <w:szCs w:val="24"/>
          <w:lang w:val="en-US" w:eastAsia="zh-CN"/>
        </w:rPr>
        <w:t>说明： 1.按要求提供证明文件；扫描件上应加盖供应商公章。</w:t>
      </w:r>
    </w:p>
    <w:p w14:paraId="4E290173">
      <w:pPr>
        <w:pStyle w:val="3"/>
        <w:spacing w:before="0" w:line="240" w:lineRule="atLeast"/>
        <w:rPr>
          <w:rFonts w:hint="eastAsia" w:ascii="宋体" w:hAnsi="宋体" w:eastAsia="宋体"/>
          <w:sz w:val="24"/>
          <w:lang w:val="en-US" w:eastAsia="zh-CN"/>
        </w:rPr>
      </w:pPr>
    </w:p>
    <w:p w14:paraId="4430BBDC">
      <w:pPr>
        <w:pStyle w:val="3"/>
        <w:spacing w:before="0" w:line="240" w:lineRule="atLeast"/>
        <w:rPr>
          <w:rFonts w:ascii="宋体" w:hAnsi="宋体" w:eastAsia="宋体"/>
          <w:sz w:val="24"/>
        </w:rPr>
      </w:pPr>
      <w:r>
        <w:rPr>
          <w:rFonts w:hint="eastAsia" w:ascii="宋体" w:hAnsi="宋体" w:eastAsia="宋体"/>
          <w:sz w:val="24"/>
          <w:lang w:val="en-US" w:eastAsia="zh-CN"/>
        </w:rPr>
        <w:t>11</w:t>
      </w:r>
      <w:r>
        <w:rPr>
          <w:rFonts w:hint="eastAsia" w:ascii="宋体" w:hAnsi="宋体" w:eastAsia="宋体"/>
          <w:sz w:val="24"/>
        </w:rPr>
        <w:t>、投标人须知资料表要求的其他资格证明文件;</w:t>
      </w:r>
    </w:p>
    <w:p w14:paraId="4B1A07A8">
      <w:pPr>
        <w:pStyle w:val="14"/>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说明：1.应提供</w:t>
      </w:r>
      <w:r>
        <w:rPr>
          <w:rFonts w:hint="eastAsia" w:ascii="宋体" w:hAnsi="宋体" w:eastAsia="宋体" w:cs="宋体"/>
          <w:color w:val="auto"/>
          <w:sz w:val="24"/>
          <w:highlight w:val="none"/>
          <w:u w:val="single"/>
        </w:rPr>
        <w:t>投标人须知资料表</w:t>
      </w:r>
      <w:r>
        <w:rPr>
          <w:rFonts w:hint="eastAsia" w:ascii="宋体" w:hAnsi="宋体" w:eastAsia="宋体" w:cs="宋体"/>
          <w:color w:val="auto"/>
          <w:sz w:val="24"/>
          <w:highlight w:val="none"/>
        </w:rPr>
        <w:t>要求的其他资格证明文件。</w:t>
      </w:r>
    </w:p>
    <w:p w14:paraId="6D9F44E3">
      <w:pPr>
        <w:pStyle w:val="14"/>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2.复印件上应加盖本单位章（自然人投标的无需盖章，需要签字）。</w:t>
      </w:r>
    </w:p>
    <w:p w14:paraId="3B51FE22">
      <w:pPr>
        <w:pStyle w:val="14"/>
        <w:shd w:val="clear" w:color="auto" w:fill="auto"/>
        <w:tabs>
          <w:tab w:val="left" w:pos="5580"/>
        </w:tabs>
        <w:spacing w:line="240" w:lineRule="atLeast"/>
        <w:ind w:left="1270" w:leftChars="344" w:hanging="538"/>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37C0149">
      <w:pPr>
        <w:pStyle w:val="43"/>
        <w:spacing w:line="360" w:lineRule="auto"/>
        <w:ind w:left="0"/>
        <w:jc w:val="both"/>
        <w:rPr>
          <w:rFonts w:ascii="宋体" w:hAnsi="宋体"/>
          <w:b/>
          <w:sz w:val="24"/>
        </w:rPr>
      </w:pPr>
    </w:p>
    <w:p w14:paraId="1D2964FD">
      <w:pPr>
        <w:pStyle w:val="43"/>
      </w:pPr>
    </w:p>
    <w:p w14:paraId="4A8778A2">
      <w:pPr>
        <w:pStyle w:val="3"/>
        <w:spacing w:before="0" w:line="240" w:lineRule="atLeast"/>
        <w:rPr>
          <w:rFonts w:ascii="宋体" w:hAnsi="宋体" w:eastAsia="宋体"/>
          <w:sz w:val="24"/>
        </w:rPr>
      </w:pPr>
    </w:p>
    <w:p w14:paraId="6E02F981"/>
    <w:p w14:paraId="1378D05A">
      <w:pPr>
        <w:tabs>
          <w:tab w:val="left" w:pos="5580"/>
        </w:tabs>
        <w:spacing w:line="240" w:lineRule="atLeast"/>
        <w:ind w:left="1087" w:leftChars="257" w:hanging="540"/>
        <w:rPr>
          <w:rFonts w:ascii="宋体" w:hAnsi="宋体"/>
          <w:sz w:val="24"/>
        </w:rPr>
      </w:pPr>
    </w:p>
    <w:p w14:paraId="4B52CE5D">
      <w:pPr>
        <w:pStyle w:val="14"/>
        <w:tabs>
          <w:tab w:val="left" w:pos="5580"/>
        </w:tabs>
        <w:spacing w:line="240" w:lineRule="atLeast"/>
        <w:ind w:left="1087" w:leftChars="257" w:hanging="540"/>
        <w:rPr>
          <w:rFonts w:hAnsi="宋体"/>
          <w:sz w:val="24"/>
        </w:rPr>
      </w:pPr>
    </w:p>
    <w:p w14:paraId="381F4F14">
      <w:pPr>
        <w:pStyle w:val="15"/>
        <w:ind w:left="2557"/>
        <w:rPr>
          <w:rFonts w:ascii="宋体" w:hAnsi="宋体"/>
          <w:sz w:val="24"/>
        </w:rPr>
      </w:pPr>
    </w:p>
    <w:p w14:paraId="5A3D9CD4">
      <w:pPr>
        <w:rPr>
          <w:rFonts w:ascii="宋体" w:hAnsi="宋体"/>
          <w:sz w:val="24"/>
        </w:rPr>
      </w:pPr>
    </w:p>
    <w:p w14:paraId="7F73CB99">
      <w:pPr>
        <w:pStyle w:val="4"/>
        <w:rPr>
          <w:rFonts w:ascii="宋体" w:hAnsi="宋体"/>
          <w:sz w:val="24"/>
        </w:rPr>
      </w:pPr>
    </w:p>
    <w:p w14:paraId="521A0652">
      <w:pPr>
        <w:rPr>
          <w:rFonts w:ascii="宋体" w:hAnsi="宋体"/>
          <w:sz w:val="24"/>
        </w:rPr>
      </w:pPr>
    </w:p>
    <w:p w14:paraId="6961C5D1">
      <w:pPr>
        <w:rPr>
          <w:rFonts w:hint="eastAsia"/>
          <w:szCs w:val="32"/>
        </w:rPr>
      </w:pPr>
      <w:bookmarkStart w:id="113" w:name="_Toc515647816"/>
      <w:bookmarkStart w:id="114" w:name="_Toc5695"/>
      <w:bookmarkStart w:id="115" w:name="_Toc22967"/>
      <w:bookmarkStart w:id="116" w:name="_Toc11180"/>
    </w:p>
    <w:p w14:paraId="53DFC388">
      <w:pPr>
        <w:pStyle w:val="2"/>
        <w:spacing w:before="40" w:after="40" w:line="579" w:lineRule="auto"/>
        <w:ind w:firstLine="1292" w:firstLineChars="400"/>
        <w:jc w:val="both"/>
        <w:rPr>
          <w:szCs w:val="32"/>
        </w:rPr>
      </w:pPr>
      <w:r>
        <w:rPr>
          <w:rFonts w:hint="eastAsia"/>
          <w:szCs w:val="32"/>
        </w:rPr>
        <w:t>第二部分  商务及技术文件</w:t>
      </w:r>
      <w:bookmarkEnd w:id="113"/>
      <w:bookmarkEnd w:id="114"/>
      <w:bookmarkEnd w:id="115"/>
      <w:bookmarkEnd w:id="116"/>
    </w:p>
    <w:p w14:paraId="026BB6CD">
      <w:pPr>
        <w:pStyle w:val="14"/>
        <w:spacing w:line="400" w:lineRule="exact"/>
        <w:ind w:left="1087" w:leftChars="257" w:hanging="540"/>
        <w:rPr>
          <w:rFonts w:hAnsi="宋体"/>
          <w:sz w:val="24"/>
        </w:rPr>
      </w:pPr>
      <w:r>
        <w:rPr>
          <w:rFonts w:hint="eastAsia" w:hAnsi="宋体"/>
          <w:sz w:val="24"/>
        </w:rPr>
        <w:t>1、投标书（投标文件格式四）</w:t>
      </w:r>
    </w:p>
    <w:p w14:paraId="7730EB12">
      <w:pPr>
        <w:pStyle w:val="14"/>
        <w:spacing w:line="400" w:lineRule="exact"/>
        <w:ind w:left="1087" w:leftChars="257" w:hanging="540"/>
        <w:rPr>
          <w:rFonts w:hAnsi="宋体"/>
          <w:sz w:val="24"/>
        </w:rPr>
      </w:pPr>
      <w:r>
        <w:rPr>
          <w:rFonts w:hint="eastAsia" w:hAnsi="宋体"/>
          <w:sz w:val="24"/>
        </w:rPr>
        <w:t>2、投标分项报价表（投标文件格式五）</w:t>
      </w:r>
    </w:p>
    <w:p w14:paraId="4E2581D6">
      <w:pPr>
        <w:pStyle w:val="14"/>
        <w:spacing w:line="400" w:lineRule="exact"/>
        <w:ind w:left="1087" w:leftChars="257" w:hanging="540"/>
        <w:rPr>
          <w:rFonts w:hAnsi="宋体"/>
          <w:sz w:val="24"/>
        </w:rPr>
      </w:pPr>
      <w:r>
        <w:rPr>
          <w:rFonts w:hint="eastAsia" w:hAnsi="宋体"/>
          <w:sz w:val="24"/>
        </w:rPr>
        <w:t>3、货物（服务）说明一览表（投标文件格式六）</w:t>
      </w:r>
    </w:p>
    <w:p w14:paraId="032DD37C">
      <w:pPr>
        <w:pStyle w:val="14"/>
        <w:spacing w:line="400" w:lineRule="exact"/>
        <w:ind w:left="1087" w:leftChars="257" w:hanging="540"/>
        <w:rPr>
          <w:rFonts w:hAnsi="宋体"/>
          <w:sz w:val="24"/>
        </w:rPr>
      </w:pPr>
      <w:r>
        <w:rPr>
          <w:rFonts w:hint="eastAsia" w:hAnsi="宋体"/>
          <w:sz w:val="24"/>
        </w:rPr>
        <w:t>4、技术规格偏离表（投标文件格式七）</w:t>
      </w:r>
    </w:p>
    <w:p w14:paraId="52CE6D31">
      <w:pPr>
        <w:pStyle w:val="14"/>
        <w:spacing w:line="400" w:lineRule="exact"/>
        <w:ind w:left="1087" w:leftChars="257" w:hanging="540"/>
        <w:rPr>
          <w:rFonts w:hAnsi="宋体"/>
          <w:sz w:val="24"/>
        </w:rPr>
      </w:pPr>
      <w:r>
        <w:rPr>
          <w:rFonts w:hint="eastAsia" w:hAnsi="宋体"/>
          <w:sz w:val="24"/>
        </w:rPr>
        <w:t>5、商务条款偏离表（投标文件格式八）</w:t>
      </w:r>
    </w:p>
    <w:p w14:paraId="161C1943">
      <w:pPr>
        <w:pStyle w:val="14"/>
        <w:spacing w:line="400" w:lineRule="exact"/>
        <w:ind w:left="1087" w:leftChars="257" w:hanging="540"/>
        <w:rPr>
          <w:rFonts w:hAnsi="宋体"/>
          <w:sz w:val="24"/>
        </w:rPr>
      </w:pPr>
      <w:r>
        <w:rPr>
          <w:rFonts w:hint="eastAsia" w:hAnsi="宋体"/>
          <w:sz w:val="24"/>
        </w:rPr>
        <w:t>6、符合《政府采购促进中小企业发展管理办法》、《关于政府采购支持监狱企业发展有关问题的通知》和《三部门联合发布关于促进残疾人就业政府采购政策的通知》条件的投标人须提交</w:t>
      </w:r>
    </w:p>
    <w:p w14:paraId="1BDD21CD">
      <w:pPr>
        <w:pStyle w:val="14"/>
        <w:spacing w:line="400" w:lineRule="exact"/>
        <w:ind w:left="315" w:leftChars="148" w:firstLine="228"/>
        <w:rPr>
          <w:rFonts w:hAnsi="宋体"/>
          <w:sz w:val="24"/>
        </w:rPr>
      </w:pPr>
      <w:r>
        <w:rPr>
          <w:rFonts w:hint="eastAsia" w:hAnsi="宋体"/>
          <w:sz w:val="24"/>
        </w:rPr>
        <w:t>6-1《投标人企业（单位）类型声明函》（投标文件格式九）</w:t>
      </w:r>
    </w:p>
    <w:p w14:paraId="7A574D86">
      <w:pPr>
        <w:pStyle w:val="14"/>
        <w:spacing w:line="400" w:lineRule="exact"/>
        <w:ind w:left="315" w:leftChars="148" w:firstLine="228"/>
        <w:rPr>
          <w:rFonts w:hAnsi="宋体"/>
          <w:sz w:val="24"/>
        </w:rPr>
      </w:pPr>
      <w:r>
        <w:rPr>
          <w:rFonts w:hint="eastAsia" w:hAnsi="宋体"/>
          <w:sz w:val="24"/>
        </w:rPr>
        <w:t>6-2《残疾人福利性单位声明函》（投标文件格式十）</w:t>
      </w:r>
    </w:p>
    <w:p w14:paraId="7D3FE0F8">
      <w:pPr>
        <w:pStyle w:val="14"/>
        <w:spacing w:line="400" w:lineRule="exact"/>
        <w:ind w:left="315" w:leftChars="148" w:firstLine="228"/>
        <w:rPr>
          <w:rFonts w:hint="eastAsia" w:hAnsi="宋体"/>
          <w:sz w:val="24"/>
        </w:rPr>
      </w:pPr>
      <w:r>
        <w:rPr>
          <w:rFonts w:hint="eastAsia" w:hAnsi="宋体"/>
          <w:sz w:val="24"/>
        </w:rPr>
        <w:t>7、关于符合本国产品标准的声明函</w:t>
      </w:r>
    </w:p>
    <w:p w14:paraId="424B86E2">
      <w:pPr>
        <w:pStyle w:val="14"/>
        <w:spacing w:line="400" w:lineRule="exact"/>
        <w:ind w:left="315" w:leftChars="148" w:firstLine="228"/>
        <w:rPr>
          <w:rFonts w:hAnsi="宋体"/>
          <w:sz w:val="24"/>
        </w:rPr>
      </w:pPr>
      <w:r>
        <w:rPr>
          <w:rFonts w:hint="eastAsia" w:hAnsi="宋体"/>
          <w:sz w:val="24"/>
          <w:lang w:val="en-US" w:eastAsia="zh-CN"/>
        </w:rPr>
        <w:t>8.</w:t>
      </w:r>
      <w:r>
        <w:rPr>
          <w:rFonts w:hint="eastAsia" w:hAnsi="宋体"/>
          <w:sz w:val="24"/>
        </w:rPr>
        <w:t>投标人关联单位的说明（格式自拟）</w:t>
      </w:r>
    </w:p>
    <w:p w14:paraId="46DA36D3">
      <w:pPr>
        <w:pStyle w:val="14"/>
        <w:spacing w:line="400" w:lineRule="exact"/>
        <w:ind w:left="315" w:leftChars="148" w:firstLine="228"/>
        <w:rPr>
          <w:rFonts w:hAnsi="宋体"/>
          <w:sz w:val="24"/>
        </w:rPr>
      </w:pPr>
      <w:r>
        <w:rPr>
          <w:rFonts w:hint="eastAsia" w:hAnsi="宋体"/>
          <w:sz w:val="24"/>
          <w:lang w:val="en-US" w:eastAsia="zh-CN"/>
        </w:rPr>
        <w:t>9</w:t>
      </w:r>
      <w:r>
        <w:rPr>
          <w:rFonts w:hint="eastAsia" w:hAnsi="宋体"/>
          <w:sz w:val="24"/>
        </w:rPr>
        <w:t>、评分标准和细则中技术部分证明材料（格式自拟）</w:t>
      </w:r>
    </w:p>
    <w:p w14:paraId="43A951BE">
      <w:pPr>
        <w:pStyle w:val="14"/>
        <w:spacing w:line="400" w:lineRule="exact"/>
        <w:ind w:left="315" w:leftChars="148" w:firstLine="228"/>
        <w:rPr>
          <w:rFonts w:hAnsi="宋体"/>
          <w:sz w:val="24"/>
        </w:rPr>
      </w:pPr>
      <w:r>
        <w:rPr>
          <w:rFonts w:hint="eastAsia" w:hAnsi="宋体"/>
          <w:sz w:val="24"/>
          <w:lang w:val="en-US" w:eastAsia="zh-CN"/>
        </w:rPr>
        <w:t>10</w:t>
      </w:r>
      <w:r>
        <w:rPr>
          <w:rFonts w:hint="eastAsia" w:hAnsi="宋体"/>
          <w:sz w:val="24"/>
        </w:rPr>
        <w:t>、评分标准和细则中</w:t>
      </w:r>
      <w:r>
        <w:rPr>
          <w:rFonts w:hint="eastAsia" w:hAnsi="宋体"/>
          <w:sz w:val="24"/>
          <w:lang w:val="en-US" w:eastAsia="zh-CN"/>
        </w:rPr>
        <w:t>商务</w:t>
      </w:r>
      <w:r>
        <w:rPr>
          <w:rFonts w:hint="eastAsia" w:hAnsi="宋体"/>
          <w:sz w:val="24"/>
        </w:rPr>
        <w:t>部分证明材料（格式自拟）</w:t>
      </w:r>
    </w:p>
    <w:p w14:paraId="7A2DF52A">
      <w:pPr>
        <w:pStyle w:val="14"/>
        <w:spacing w:line="400" w:lineRule="exact"/>
        <w:ind w:left="315" w:leftChars="148" w:firstLine="228"/>
        <w:rPr>
          <w:rFonts w:hAnsi="宋体"/>
          <w:sz w:val="24"/>
        </w:rPr>
      </w:pPr>
      <w:r>
        <w:rPr>
          <w:rFonts w:hint="eastAsia" w:hAnsi="宋体"/>
          <w:sz w:val="24"/>
          <w:lang w:val="en-US" w:eastAsia="zh-CN"/>
        </w:rPr>
        <w:t>11</w:t>
      </w:r>
      <w:r>
        <w:rPr>
          <w:rFonts w:hint="eastAsia" w:hAnsi="宋体"/>
          <w:sz w:val="24"/>
        </w:rPr>
        <w:t>、投标人认为有必要提供的其他证明材料（格式自拟）</w:t>
      </w:r>
    </w:p>
    <w:p w14:paraId="4E024CE6">
      <w:pPr>
        <w:pStyle w:val="14"/>
        <w:tabs>
          <w:tab w:val="left" w:pos="5580"/>
        </w:tabs>
        <w:spacing w:line="400" w:lineRule="exact"/>
        <w:rPr>
          <w:rFonts w:hAnsi="宋体"/>
          <w:b/>
          <w:bCs/>
          <w:sz w:val="24"/>
        </w:rPr>
      </w:pPr>
      <w:r>
        <w:rPr>
          <w:rFonts w:hint="eastAsia" w:hAnsi="宋体"/>
          <w:sz w:val="24"/>
        </w:rPr>
        <w:br w:type="page"/>
      </w:r>
      <w:bookmarkEnd w:id="82"/>
      <w:bookmarkEnd w:id="83"/>
      <w:bookmarkEnd w:id="84"/>
      <w:bookmarkEnd w:id="85"/>
      <w:bookmarkStart w:id="117" w:name="_Toc14915"/>
      <w:bookmarkStart w:id="118" w:name="_Toc2041"/>
      <w:bookmarkStart w:id="119" w:name="_Toc515647817"/>
      <w:bookmarkStart w:id="120" w:name="_Toc6695"/>
      <w:r>
        <w:rPr>
          <w:rFonts w:hint="eastAsia" w:hAnsi="宋体"/>
          <w:b/>
          <w:bCs/>
          <w:sz w:val="24"/>
        </w:rPr>
        <w:t xml:space="preserve">1 </w:t>
      </w:r>
      <w:bookmarkStart w:id="121" w:name="_Hlt520355504"/>
      <w:bookmarkEnd w:id="121"/>
      <w:r>
        <w:rPr>
          <w:rFonts w:hint="eastAsia" w:hAnsi="宋体"/>
          <w:b/>
          <w:bCs/>
          <w:sz w:val="24"/>
        </w:rPr>
        <w:t>、投标书（投标文件格式四）</w:t>
      </w:r>
      <w:bookmarkEnd w:id="117"/>
      <w:bookmarkEnd w:id="118"/>
      <w:bookmarkEnd w:id="119"/>
      <w:bookmarkEnd w:id="120"/>
    </w:p>
    <w:p w14:paraId="6A0BCC49">
      <w:pPr>
        <w:tabs>
          <w:tab w:val="left" w:pos="5580"/>
        </w:tabs>
        <w:spacing w:line="240" w:lineRule="atLeast"/>
        <w:ind w:left="1087" w:leftChars="257" w:hanging="540"/>
        <w:rPr>
          <w:rFonts w:ascii="宋体" w:hAnsi="宋体"/>
          <w:sz w:val="24"/>
        </w:rPr>
      </w:pPr>
    </w:p>
    <w:p w14:paraId="2382A209">
      <w:pPr>
        <w:tabs>
          <w:tab w:val="left" w:pos="5580"/>
        </w:tabs>
        <w:spacing w:line="240" w:lineRule="atLeast"/>
        <w:ind w:left="1080" w:hanging="1080"/>
        <w:rPr>
          <w:rFonts w:ascii="宋体" w:hAnsi="宋体"/>
          <w:sz w:val="24"/>
        </w:rPr>
      </w:pPr>
      <w:r>
        <w:rPr>
          <w:rFonts w:hint="eastAsia" w:ascii="宋体" w:hAnsi="宋体"/>
          <w:sz w:val="24"/>
        </w:rPr>
        <w:t>致：</w:t>
      </w:r>
      <w:r>
        <w:rPr>
          <w:rFonts w:hint="eastAsia" w:ascii="宋体" w:hAnsi="宋体"/>
          <w:sz w:val="24"/>
          <w:u w:val="single"/>
        </w:rPr>
        <w:t>采购代理机构</w:t>
      </w:r>
    </w:p>
    <w:p w14:paraId="0DF89585">
      <w:pPr>
        <w:pStyle w:val="14"/>
        <w:tabs>
          <w:tab w:val="left" w:pos="5580"/>
        </w:tabs>
        <w:spacing w:line="240" w:lineRule="atLeast"/>
        <w:ind w:left="1087" w:leftChars="257" w:hanging="540"/>
        <w:rPr>
          <w:rFonts w:hAnsi="宋体"/>
          <w:sz w:val="24"/>
        </w:rPr>
      </w:pPr>
    </w:p>
    <w:p w14:paraId="7E231179">
      <w:pPr>
        <w:pStyle w:val="14"/>
        <w:tabs>
          <w:tab w:val="left" w:pos="5580"/>
        </w:tabs>
        <w:spacing w:line="240" w:lineRule="atLeast"/>
        <w:ind w:left="2" w:leftChars="1" w:firstLine="486" w:firstLineChars="200"/>
        <w:rPr>
          <w:rFonts w:hAnsi="宋体"/>
          <w:sz w:val="24"/>
        </w:rPr>
      </w:pPr>
      <w:r>
        <w:rPr>
          <w:rFonts w:hint="eastAsia" w:hAnsi="宋体"/>
          <w:sz w:val="24"/>
        </w:rPr>
        <w:t>根据贵方（采购项目名称)</w:t>
      </w:r>
      <w:r>
        <w:rPr>
          <w:rFonts w:hint="eastAsia" w:hAnsi="宋体"/>
          <w:sz w:val="24"/>
          <w:u w:val="single"/>
        </w:rPr>
        <w:t xml:space="preserve">    </w:t>
      </w:r>
      <w:r>
        <w:rPr>
          <w:rFonts w:hint="eastAsia" w:hAnsi="宋体"/>
          <w:sz w:val="24"/>
        </w:rPr>
        <w:t xml:space="preserve"> 项目的投标邀请(</w:t>
      </w:r>
      <w:r>
        <w:rPr>
          <w:rFonts w:hint="eastAsia" w:hAnsi="宋体"/>
          <w:sz w:val="24"/>
          <w:u w:val="single"/>
        </w:rPr>
        <w:t>招标编号</w:t>
      </w:r>
      <w:r>
        <w:rPr>
          <w:rFonts w:hint="eastAsia" w:hAnsi="宋体"/>
          <w:sz w:val="24"/>
        </w:rPr>
        <w:t>),签字代表(</w:t>
      </w:r>
      <w:r>
        <w:rPr>
          <w:rFonts w:hint="eastAsia" w:hAnsi="宋体"/>
          <w:sz w:val="24"/>
          <w:u w:val="single"/>
        </w:rPr>
        <w:t>姓名、职务)</w:t>
      </w:r>
      <w:r>
        <w:rPr>
          <w:rFonts w:hint="eastAsia" w:hAnsi="宋体"/>
          <w:sz w:val="24"/>
        </w:rPr>
        <w:t>经正式授权并代表投标人（</w:t>
      </w:r>
      <w:r>
        <w:rPr>
          <w:rFonts w:hint="eastAsia" w:hAnsi="宋体"/>
          <w:sz w:val="24"/>
          <w:u w:val="single"/>
        </w:rPr>
        <w:t>名称、地址</w:t>
      </w:r>
      <w:r>
        <w:rPr>
          <w:rFonts w:hint="eastAsia" w:hAnsi="宋体"/>
          <w:sz w:val="24"/>
        </w:rPr>
        <w:t>）提交下述文件正本</w:t>
      </w:r>
      <w:r>
        <w:rPr>
          <w:rFonts w:hint="eastAsia" w:hAnsi="宋体"/>
          <w:sz w:val="24"/>
          <w:u w:val="single"/>
        </w:rPr>
        <w:t xml:space="preserve">   </w:t>
      </w:r>
      <w:r>
        <w:rPr>
          <w:rFonts w:hint="eastAsia" w:hAnsi="宋体"/>
          <w:sz w:val="24"/>
        </w:rPr>
        <w:t>份、副本</w:t>
      </w:r>
      <w:r>
        <w:rPr>
          <w:rFonts w:hint="eastAsia" w:hAnsi="宋体"/>
          <w:sz w:val="24"/>
          <w:u w:val="single"/>
        </w:rPr>
        <w:t xml:space="preserve">     </w:t>
      </w:r>
      <w:r>
        <w:rPr>
          <w:rFonts w:hint="eastAsia" w:hAnsi="宋体"/>
          <w:sz w:val="24"/>
        </w:rPr>
        <w:t>份及电子文档</w:t>
      </w:r>
      <w:r>
        <w:rPr>
          <w:rFonts w:hint="eastAsia" w:hAnsi="宋体"/>
          <w:sz w:val="24"/>
          <w:u w:val="single"/>
        </w:rPr>
        <w:t xml:space="preserve">     </w:t>
      </w:r>
      <w:r>
        <w:rPr>
          <w:rFonts w:hint="eastAsia" w:hAnsi="宋体"/>
          <w:sz w:val="24"/>
        </w:rPr>
        <w:t>份，并出具的金额为人民币</w:t>
      </w:r>
      <w:r>
        <w:rPr>
          <w:rFonts w:hint="eastAsia" w:hAnsi="宋体"/>
          <w:sz w:val="24"/>
          <w:u w:val="single"/>
        </w:rPr>
        <w:t>　　　　</w:t>
      </w:r>
      <w:r>
        <w:rPr>
          <w:rFonts w:hint="eastAsia" w:hAnsi="宋体"/>
          <w:sz w:val="24"/>
        </w:rPr>
        <w:t>元的投标保证金。</w:t>
      </w:r>
    </w:p>
    <w:p w14:paraId="43263C6F">
      <w:pPr>
        <w:pStyle w:val="14"/>
        <w:tabs>
          <w:tab w:val="left" w:pos="5580"/>
        </w:tabs>
        <w:spacing w:line="240" w:lineRule="atLeast"/>
        <w:ind w:left="1087" w:leftChars="257" w:hanging="540"/>
        <w:rPr>
          <w:rFonts w:hAnsi="宋体"/>
          <w:sz w:val="24"/>
        </w:rPr>
      </w:pPr>
      <w:r>
        <w:rPr>
          <w:rFonts w:hint="eastAsia" w:hAnsi="宋体"/>
          <w:sz w:val="24"/>
        </w:rPr>
        <w:t>据此，签字代表宣布如下：</w:t>
      </w:r>
    </w:p>
    <w:p w14:paraId="29F0AEF5">
      <w:pPr>
        <w:pStyle w:val="14"/>
        <w:tabs>
          <w:tab w:val="left" w:pos="720"/>
          <w:tab w:val="left" w:pos="900"/>
        </w:tabs>
        <w:spacing w:line="240" w:lineRule="atLeast"/>
        <w:ind w:left="776" w:leftChars="257" w:hanging="229"/>
        <w:rPr>
          <w:rFonts w:hAnsi="宋体"/>
          <w:sz w:val="24"/>
        </w:rPr>
      </w:pPr>
      <w:r>
        <w:rPr>
          <w:rFonts w:hint="eastAsia" w:hAnsi="宋体"/>
          <w:sz w:val="24"/>
        </w:rPr>
        <w:t>（1）附投标书报价中规定的投标总价详见开标一览表，</w:t>
      </w:r>
      <w:r>
        <w:rPr>
          <w:rFonts w:hint="eastAsia" w:hAnsi="宋体"/>
          <w:sz w:val="24"/>
          <w:u w:val="single"/>
        </w:rPr>
        <w:t>其中由小型和</w:t>
      </w:r>
      <w:r>
        <w:rPr>
          <w:rFonts w:hint="eastAsia" w:hAnsi="宋体"/>
          <w:sz w:val="24"/>
        </w:rPr>
        <w:t>微型企业制造产品的价格为</w:t>
      </w:r>
      <w:r>
        <w:rPr>
          <w:rFonts w:hint="eastAsia" w:hAnsi="宋体"/>
          <w:sz w:val="24"/>
          <w:u w:val="single"/>
        </w:rPr>
        <w:t>　　  （用文字和数字表示），占投标价的‥</w:t>
      </w:r>
      <w:r>
        <w:rPr>
          <w:rFonts w:hint="eastAsia" w:hAnsi="宋体"/>
          <w:sz w:val="24"/>
        </w:rPr>
        <w:t>%</w:t>
      </w:r>
    </w:p>
    <w:p w14:paraId="18E5C519">
      <w:pPr>
        <w:pStyle w:val="14"/>
        <w:tabs>
          <w:tab w:val="left" w:pos="720"/>
          <w:tab w:val="left" w:pos="900"/>
        </w:tabs>
        <w:spacing w:line="240" w:lineRule="atLeast"/>
        <w:ind w:left="776" w:leftChars="257" w:hanging="229"/>
        <w:rPr>
          <w:rFonts w:hAnsi="宋体"/>
          <w:sz w:val="24"/>
          <w:u w:val="single"/>
        </w:rPr>
      </w:pPr>
      <w:r>
        <w:rPr>
          <w:rFonts w:hint="eastAsia" w:hAnsi="宋体"/>
          <w:sz w:val="24"/>
        </w:rPr>
        <w:t>（2）本投标有效期为投标标截止之日起</w:t>
      </w:r>
      <w:r>
        <w:rPr>
          <w:rFonts w:hint="eastAsia" w:hAnsi="宋体"/>
          <w:sz w:val="24"/>
          <w:u w:val="single"/>
        </w:rPr>
        <w:t xml:space="preserve">   </w:t>
      </w:r>
      <w:r>
        <w:rPr>
          <w:rFonts w:hint="eastAsia" w:hAnsi="宋体"/>
          <w:sz w:val="24"/>
        </w:rPr>
        <w:t>个日历日。</w:t>
      </w:r>
    </w:p>
    <w:p w14:paraId="0F621441">
      <w:pPr>
        <w:pStyle w:val="14"/>
        <w:tabs>
          <w:tab w:val="left" w:pos="5580"/>
        </w:tabs>
        <w:spacing w:line="240" w:lineRule="atLeast"/>
        <w:ind w:left="1087" w:leftChars="257" w:hanging="540"/>
        <w:rPr>
          <w:rFonts w:hAnsi="宋体"/>
          <w:sz w:val="24"/>
        </w:rPr>
      </w:pPr>
      <w:r>
        <w:rPr>
          <w:rFonts w:hint="eastAsia" w:hAnsi="宋体"/>
          <w:sz w:val="24"/>
        </w:rPr>
        <w:t>（3）联合体中的大中型企业、法人或者非法人组织，与联合体中的小型、微型企业之间</w:t>
      </w:r>
      <w:r>
        <w:rPr>
          <w:rFonts w:hint="eastAsia" w:hAnsi="宋体"/>
          <w:sz w:val="24"/>
          <w:u w:val="single"/>
        </w:rPr>
        <w:t xml:space="preserve">     （</w:t>
      </w:r>
      <w:r>
        <w:rPr>
          <w:rFonts w:hint="eastAsia" w:hAnsi="宋体"/>
          <w:sz w:val="24"/>
        </w:rPr>
        <w:t>存在、不存在）投资关系（如果是联合体的话）。</w:t>
      </w:r>
    </w:p>
    <w:p w14:paraId="2D15A68C">
      <w:pPr>
        <w:pStyle w:val="14"/>
        <w:tabs>
          <w:tab w:val="left" w:pos="5580"/>
        </w:tabs>
        <w:spacing w:line="240" w:lineRule="atLeast"/>
        <w:ind w:left="1087" w:leftChars="257" w:hanging="540"/>
        <w:rPr>
          <w:rFonts w:hAnsi="宋体"/>
          <w:sz w:val="24"/>
        </w:rPr>
      </w:pPr>
      <w:r>
        <w:rPr>
          <w:rFonts w:hint="eastAsia" w:hAnsi="宋体"/>
          <w:sz w:val="24"/>
        </w:rPr>
        <w:t>（4）已详细审查全部招标文件，包括所有补充通知（如果有的话），完全理解并同意放弃对这方面有不明、误解和质疑的权力。</w:t>
      </w:r>
    </w:p>
    <w:p w14:paraId="7D9EE545">
      <w:pPr>
        <w:pStyle w:val="14"/>
        <w:tabs>
          <w:tab w:val="left" w:pos="5580"/>
        </w:tabs>
        <w:spacing w:line="240" w:lineRule="atLeast"/>
        <w:ind w:left="1087" w:leftChars="257" w:hanging="540"/>
        <w:rPr>
          <w:rFonts w:hAnsi="宋体"/>
          <w:sz w:val="24"/>
        </w:rPr>
      </w:pPr>
      <w:r>
        <w:rPr>
          <w:rFonts w:hint="eastAsia" w:hAnsi="宋体"/>
          <w:sz w:val="24"/>
        </w:rPr>
        <w:t>（5）在规定的开标时间后，遵守招标文件中有关保证金的规定。</w:t>
      </w:r>
    </w:p>
    <w:p w14:paraId="58B7FF13">
      <w:pPr>
        <w:pStyle w:val="14"/>
        <w:tabs>
          <w:tab w:val="left" w:pos="5580"/>
        </w:tabs>
        <w:spacing w:line="240" w:lineRule="atLeast"/>
        <w:ind w:left="1087" w:leftChars="257" w:hanging="540"/>
        <w:rPr>
          <w:rFonts w:hAnsi="宋体"/>
          <w:sz w:val="24"/>
        </w:rPr>
      </w:pPr>
      <w:r>
        <w:rPr>
          <w:rFonts w:hint="eastAsia" w:hAnsi="宋体"/>
          <w:sz w:val="24"/>
        </w:rPr>
        <w:t>（6）我方不是为本项目提供整体设计、规范编制或者项目管理、监理、检测等服务的供应商，我方不是采购代理机构的附属机构。</w:t>
      </w:r>
    </w:p>
    <w:p w14:paraId="5ED93F0A">
      <w:pPr>
        <w:pStyle w:val="14"/>
        <w:tabs>
          <w:tab w:val="left" w:pos="5580"/>
        </w:tabs>
        <w:spacing w:line="240" w:lineRule="atLeast"/>
        <w:ind w:left="1087" w:leftChars="257" w:hanging="540"/>
        <w:rPr>
          <w:rFonts w:hAnsi="宋体"/>
          <w:sz w:val="24"/>
        </w:rPr>
      </w:pPr>
      <w:r>
        <w:rPr>
          <w:rFonts w:hint="eastAsia" w:hAnsi="宋体"/>
          <w:sz w:val="24"/>
        </w:rPr>
        <w:t>（7）在领取中标通知书的同时按招标文件规定的形式，向贵方一次性支付中标服务费。</w:t>
      </w:r>
    </w:p>
    <w:p w14:paraId="43928183">
      <w:pPr>
        <w:pStyle w:val="14"/>
        <w:tabs>
          <w:tab w:val="left" w:pos="5580"/>
        </w:tabs>
        <w:spacing w:line="240" w:lineRule="atLeast"/>
        <w:ind w:left="1087" w:leftChars="257" w:hanging="540"/>
        <w:rPr>
          <w:rFonts w:hAnsi="宋体"/>
          <w:sz w:val="24"/>
        </w:rPr>
      </w:pPr>
      <w:r>
        <w:rPr>
          <w:rFonts w:hint="eastAsia" w:hAnsi="宋体"/>
          <w:sz w:val="24"/>
        </w:rPr>
        <w:t>（8）按照贵方可能要求，提供与其投标有关的一切数据或资料，完全理解贵方不一定接受最低价的投标或收到的任何投标。</w:t>
      </w:r>
    </w:p>
    <w:p w14:paraId="590707D5">
      <w:pPr>
        <w:pStyle w:val="14"/>
        <w:tabs>
          <w:tab w:val="left" w:pos="5580"/>
        </w:tabs>
        <w:spacing w:line="240" w:lineRule="atLeast"/>
        <w:ind w:left="1087" w:leftChars="257" w:hanging="540"/>
        <w:rPr>
          <w:rFonts w:hAnsi="宋体"/>
          <w:sz w:val="24"/>
        </w:rPr>
      </w:pPr>
      <w:r>
        <w:rPr>
          <w:rFonts w:hint="eastAsia" w:hAnsi="宋体"/>
          <w:sz w:val="24"/>
        </w:rPr>
        <w:t>（9）按照招标文件的规定履行合同责任和义务。</w:t>
      </w:r>
    </w:p>
    <w:p w14:paraId="2F880BD3">
      <w:pPr>
        <w:pStyle w:val="14"/>
        <w:tabs>
          <w:tab w:val="left" w:pos="5580"/>
        </w:tabs>
        <w:spacing w:line="240" w:lineRule="atLeast"/>
        <w:ind w:left="362" w:leftChars="68" w:hanging="218" w:hangingChars="90"/>
        <w:rPr>
          <w:rFonts w:hAnsi="宋体"/>
          <w:sz w:val="24"/>
        </w:rPr>
      </w:pPr>
      <w:r>
        <w:rPr>
          <w:rFonts w:hint="eastAsia" w:hAnsi="宋体"/>
          <w:sz w:val="24"/>
        </w:rPr>
        <w:t xml:space="preserve">  与本投标有关的一切正式往来信函请寄：</w:t>
      </w:r>
    </w:p>
    <w:p w14:paraId="7F840635">
      <w:pPr>
        <w:pStyle w:val="14"/>
        <w:tabs>
          <w:tab w:val="left" w:pos="5580"/>
        </w:tabs>
        <w:spacing w:line="240" w:lineRule="atLeast"/>
        <w:ind w:left="1087" w:leftChars="257" w:hanging="540"/>
        <w:rPr>
          <w:rFonts w:hAnsi="宋体"/>
          <w:sz w:val="24"/>
        </w:rPr>
      </w:pPr>
      <w:r>
        <w:rPr>
          <w:rFonts w:hint="eastAsia" w:hAnsi="宋体"/>
          <w:sz w:val="24"/>
        </w:rPr>
        <w:t>地址</w:t>
      </w:r>
      <w:r>
        <w:rPr>
          <w:rFonts w:hint="eastAsia" w:hAnsi="宋体"/>
          <w:sz w:val="24"/>
          <w:u w:val="single"/>
        </w:rPr>
        <w:t xml:space="preserve">                         </w:t>
      </w:r>
      <w:r>
        <w:rPr>
          <w:rFonts w:hint="eastAsia" w:hAnsi="宋体"/>
          <w:sz w:val="24"/>
        </w:rPr>
        <w:t xml:space="preserve">     传真</w:t>
      </w:r>
      <w:r>
        <w:rPr>
          <w:rFonts w:hint="eastAsia" w:hAnsi="宋体"/>
          <w:sz w:val="24"/>
          <w:u w:val="single"/>
        </w:rPr>
        <w:t xml:space="preserve">                             </w:t>
      </w:r>
    </w:p>
    <w:p w14:paraId="0CED20B9">
      <w:pPr>
        <w:pStyle w:val="14"/>
        <w:tabs>
          <w:tab w:val="left" w:pos="5580"/>
        </w:tabs>
        <w:spacing w:line="240" w:lineRule="atLeast"/>
        <w:ind w:left="1087" w:leftChars="257" w:hanging="540"/>
        <w:rPr>
          <w:rFonts w:hAnsi="宋体"/>
          <w:b/>
          <w:sz w:val="24"/>
        </w:rPr>
      </w:pPr>
      <w:r>
        <w:rPr>
          <w:rFonts w:hint="eastAsia" w:hAnsi="宋体"/>
          <w:sz w:val="24"/>
        </w:rPr>
        <w:t>电话</w:t>
      </w:r>
      <w:r>
        <w:rPr>
          <w:rFonts w:hint="eastAsia" w:hAnsi="宋体"/>
          <w:sz w:val="24"/>
          <w:u w:val="single"/>
        </w:rPr>
        <w:t xml:space="preserve">                         </w:t>
      </w:r>
      <w:r>
        <w:rPr>
          <w:rFonts w:hint="eastAsia" w:hAnsi="宋体"/>
          <w:sz w:val="24"/>
        </w:rPr>
        <w:t xml:space="preserve">     电子函件</w:t>
      </w:r>
      <w:r>
        <w:rPr>
          <w:rFonts w:hint="eastAsia" w:hAnsi="宋体"/>
          <w:sz w:val="24"/>
          <w:u w:val="single"/>
        </w:rPr>
        <w:t xml:space="preserve">                         </w:t>
      </w:r>
    </w:p>
    <w:p w14:paraId="20B17180">
      <w:pPr>
        <w:pStyle w:val="14"/>
        <w:tabs>
          <w:tab w:val="left" w:pos="5580"/>
        </w:tabs>
        <w:spacing w:line="240" w:lineRule="atLeast"/>
        <w:ind w:left="1087" w:leftChars="257" w:hanging="540"/>
        <w:rPr>
          <w:rFonts w:hAnsi="宋体"/>
          <w:sz w:val="24"/>
        </w:rPr>
      </w:pPr>
    </w:p>
    <w:p w14:paraId="75F6EC92">
      <w:pPr>
        <w:pStyle w:val="14"/>
        <w:tabs>
          <w:tab w:val="left" w:pos="5580"/>
        </w:tabs>
        <w:spacing w:line="240" w:lineRule="atLeast"/>
        <w:ind w:left="1087" w:leftChars="257" w:hanging="540"/>
        <w:rPr>
          <w:rFonts w:hAnsi="宋体"/>
          <w:sz w:val="24"/>
        </w:rPr>
      </w:pPr>
      <w:r>
        <w:rPr>
          <w:rFonts w:hint="eastAsia" w:hAnsi="宋体"/>
          <w:sz w:val="24"/>
        </w:rPr>
        <w:t>法定代表人或其委托代理人签字-----------------</w:t>
      </w:r>
    </w:p>
    <w:p w14:paraId="28568A90">
      <w:pPr>
        <w:pStyle w:val="14"/>
        <w:tabs>
          <w:tab w:val="left" w:pos="5580"/>
        </w:tabs>
        <w:spacing w:line="240" w:lineRule="atLeast"/>
        <w:ind w:left="1087" w:leftChars="257" w:hanging="540"/>
        <w:rPr>
          <w:rFonts w:hAnsi="宋体"/>
          <w:sz w:val="24"/>
        </w:rPr>
      </w:pPr>
      <w:r>
        <w:rPr>
          <w:rFonts w:hint="eastAsia" w:hAnsi="宋体"/>
          <w:sz w:val="24"/>
        </w:rPr>
        <w:t>投标人名称（全称）-----------------</w:t>
      </w:r>
    </w:p>
    <w:p w14:paraId="198F93FE">
      <w:pPr>
        <w:pStyle w:val="14"/>
        <w:tabs>
          <w:tab w:val="left" w:pos="5580"/>
        </w:tabs>
        <w:spacing w:line="240" w:lineRule="atLeast"/>
        <w:ind w:left="1087" w:leftChars="257" w:hanging="540"/>
        <w:rPr>
          <w:rFonts w:hAnsi="宋体"/>
          <w:sz w:val="24"/>
        </w:rPr>
      </w:pPr>
      <w:r>
        <w:rPr>
          <w:rFonts w:hint="eastAsia" w:hAnsi="宋体"/>
          <w:sz w:val="24"/>
        </w:rPr>
        <w:t>投标人开户银行（全称）</w:t>
      </w:r>
      <w:r>
        <w:rPr>
          <w:rFonts w:hint="eastAsia" w:hAnsi="宋体"/>
          <w:sz w:val="24"/>
          <w:u w:val="single"/>
        </w:rPr>
        <w:t xml:space="preserve">　　　　　　 </w:t>
      </w:r>
    </w:p>
    <w:p w14:paraId="1D7EF9AF">
      <w:pPr>
        <w:pStyle w:val="14"/>
        <w:tabs>
          <w:tab w:val="left" w:pos="5580"/>
        </w:tabs>
        <w:spacing w:line="240" w:lineRule="atLeast"/>
        <w:ind w:left="1087" w:leftChars="257" w:hanging="540"/>
        <w:rPr>
          <w:rFonts w:hint="eastAsia"/>
          <w:lang w:val="en-US" w:eastAsia="zh-CN"/>
        </w:rPr>
      </w:pPr>
      <w:r>
        <w:rPr>
          <w:rFonts w:hint="eastAsia" w:hAnsi="宋体"/>
          <w:sz w:val="24"/>
        </w:rPr>
        <w:t>投标人银行帐号</w:t>
      </w:r>
      <w:r>
        <w:rPr>
          <w:rFonts w:hint="eastAsia" w:hAnsi="宋体"/>
          <w:sz w:val="24"/>
          <w:u w:val="single"/>
        </w:rPr>
        <w:t>　　　　　　　　 　　</w:t>
      </w:r>
      <w:r>
        <w:rPr>
          <w:rFonts w:hint="eastAsia" w:hAnsi="宋体"/>
          <w:sz w:val="24"/>
          <w:u w:val="single"/>
          <w:lang w:val="en-US" w:eastAsia="zh-CN"/>
        </w:rPr>
        <w:t xml:space="preserve"> </w:t>
      </w:r>
    </w:p>
    <w:p w14:paraId="2CB39254">
      <w:pPr>
        <w:pStyle w:val="14"/>
        <w:tabs>
          <w:tab w:val="left" w:pos="5580"/>
        </w:tabs>
        <w:spacing w:line="240" w:lineRule="atLeast"/>
        <w:ind w:left="1087" w:leftChars="257" w:hanging="540"/>
        <w:rPr>
          <w:rFonts w:hAnsi="宋体"/>
          <w:sz w:val="24"/>
        </w:rPr>
      </w:pPr>
      <w:r>
        <w:rPr>
          <w:rFonts w:hint="eastAsia" w:hAnsi="宋体"/>
          <w:sz w:val="24"/>
        </w:rPr>
        <w:t>投标人单位章------------------------</w:t>
      </w:r>
    </w:p>
    <w:p w14:paraId="49D9654B">
      <w:pPr>
        <w:pStyle w:val="14"/>
        <w:tabs>
          <w:tab w:val="left" w:pos="5580"/>
        </w:tabs>
        <w:spacing w:line="240" w:lineRule="atLeast"/>
        <w:ind w:left="1087" w:leftChars="257" w:hanging="540"/>
        <w:rPr>
          <w:rFonts w:hAnsi="宋体"/>
          <w:sz w:val="24"/>
        </w:rPr>
      </w:pPr>
      <w:r>
        <w:rPr>
          <w:rFonts w:hint="eastAsia" w:hAnsi="宋体"/>
          <w:sz w:val="24"/>
        </w:rPr>
        <w:t>日期-------------------------------</w:t>
      </w:r>
    </w:p>
    <w:p w14:paraId="7801FFEF">
      <w:pPr>
        <w:pStyle w:val="3"/>
        <w:spacing w:before="0" w:line="240" w:lineRule="atLeast"/>
        <w:rPr>
          <w:rFonts w:ascii="宋体" w:hAnsi="宋体" w:eastAsia="宋体"/>
          <w:bCs/>
          <w:sz w:val="24"/>
        </w:rPr>
      </w:pPr>
      <w:r>
        <w:rPr>
          <w:rFonts w:hint="eastAsia" w:ascii="宋体" w:hAnsi="宋体" w:eastAsia="宋体"/>
          <w:sz w:val="24"/>
        </w:rPr>
        <w:br w:type="page"/>
      </w:r>
      <w:bookmarkStart w:id="122" w:name="_Toc23473"/>
      <w:bookmarkStart w:id="123" w:name="_Toc10107"/>
      <w:bookmarkStart w:id="124" w:name="_Toc1266"/>
      <w:r>
        <w:rPr>
          <w:rFonts w:hint="eastAsia" w:ascii="宋体" w:hAnsi="宋体" w:eastAsia="宋体"/>
          <w:bCs/>
          <w:sz w:val="24"/>
        </w:rPr>
        <w:t>2 、</w:t>
      </w:r>
      <w:bookmarkEnd w:id="122"/>
      <w:bookmarkEnd w:id="123"/>
      <w:bookmarkEnd w:id="124"/>
      <w:bookmarkStart w:id="125" w:name="_Toc216582815"/>
      <w:bookmarkStart w:id="126" w:name="_Toc10313"/>
      <w:bookmarkStart w:id="127" w:name="_Toc20897"/>
      <w:bookmarkStart w:id="128" w:name="_Toc515647818"/>
      <w:bookmarkStart w:id="129" w:name="_Toc1881"/>
      <w:bookmarkStart w:id="130" w:name="_Toc216582817"/>
      <w:bookmarkStart w:id="131" w:name="_Toc28959"/>
      <w:bookmarkStart w:id="132" w:name="_Toc22563"/>
      <w:bookmarkStart w:id="133" w:name="_Toc515647820"/>
      <w:r>
        <w:rPr>
          <w:rFonts w:hint="eastAsia" w:ascii="宋体" w:hAnsi="宋体" w:eastAsia="宋体"/>
          <w:bCs/>
          <w:sz w:val="24"/>
        </w:rPr>
        <w:t>投标分项报价表</w:t>
      </w:r>
      <w:bookmarkEnd w:id="125"/>
      <w:r>
        <w:rPr>
          <w:rFonts w:hint="eastAsia" w:ascii="宋体" w:hAnsi="宋体" w:eastAsia="宋体"/>
          <w:bCs/>
          <w:sz w:val="24"/>
        </w:rPr>
        <w:t>（投标文件格式五）</w:t>
      </w:r>
      <w:bookmarkEnd w:id="126"/>
      <w:bookmarkEnd w:id="127"/>
      <w:bookmarkEnd w:id="128"/>
      <w:bookmarkEnd w:id="129"/>
    </w:p>
    <w:p w14:paraId="141C89F4">
      <w:pPr>
        <w:pStyle w:val="14"/>
        <w:spacing w:line="360" w:lineRule="auto"/>
        <w:rPr>
          <w:rFonts w:hint="eastAsia" w:hAnsi="宋体"/>
          <w:sz w:val="24"/>
        </w:rPr>
      </w:pPr>
      <w:r>
        <w:rPr>
          <w:rFonts w:hint="eastAsia" w:hAnsi="宋体"/>
          <w:sz w:val="24"/>
        </w:rPr>
        <w:t xml:space="preserve">项目名称:                     </w:t>
      </w:r>
    </w:p>
    <w:p w14:paraId="5EEE5B10">
      <w:pPr>
        <w:pStyle w:val="14"/>
        <w:spacing w:line="240" w:lineRule="atLeast"/>
        <w:rPr>
          <w:rFonts w:hAnsi="宋体"/>
          <w:sz w:val="24"/>
        </w:rPr>
      </w:pPr>
      <w:r>
        <w:rPr>
          <w:rFonts w:hint="eastAsia" w:hAnsi="宋体"/>
          <w:sz w:val="24"/>
          <w:lang w:eastAsia="zh-CN"/>
        </w:rPr>
        <w:t>项目</w:t>
      </w:r>
      <w:r>
        <w:rPr>
          <w:rFonts w:hint="eastAsia" w:hAnsi="宋体"/>
          <w:sz w:val="24"/>
        </w:rPr>
        <w:t xml:space="preserve">编号:                  </w:t>
      </w:r>
    </w:p>
    <w:p w14:paraId="40CDA3C5">
      <w:pPr>
        <w:pStyle w:val="14"/>
        <w:spacing w:line="240" w:lineRule="atLeast"/>
        <w:ind w:left="1087" w:leftChars="257" w:hanging="540"/>
        <w:jc w:val="center"/>
        <w:rPr>
          <w:rFonts w:hAnsi="宋体"/>
          <w:sz w:val="24"/>
        </w:rPr>
      </w:pPr>
      <w:r>
        <w:rPr>
          <w:rFonts w:hint="eastAsia" w:hAnsi="宋体"/>
          <w:sz w:val="24"/>
        </w:rPr>
        <w:t xml:space="preserve">                                         　报价单位：人民币元</w:t>
      </w:r>
    </w:p>
    <w:tbl>
      <w:tblPr>
        <w:tblStyle w:val="27"/>
        <w:tblW w:w="9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84"/>
        <w:gridCol w:w="1113"/>
        <w:gridCol w:w="1044"/>
        <w:gridCol w:w="950"/>
        <w:gridCol w:w="956"/>
        <w:gridCol w:w="1052"/>
        <w:gridCol w:w="872"/>
        <w:gridCol w:w="809"/>
        <w:gridCol w:w="966"/>
      </w:tblGrid>
      <w:tr w14:paraId="6436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781" w:type="dxa"/>
            <w:vAlign w:val="center"/>
          </w:tcPr>
          <w:p w14:paraId="37CD7827">
            <w:pPr>
              <w:pStyle w:val="14"/>
              <w:spacing w:line="240" w:lineRule="atLeast"/>
              <w:jc w:val="center"/>
              <w:rPr>
                <w:rFonts w:hAnsi="宋体"/>
                <w:sz w:val="24"/>
              </w:rPr>
            </w:pPr>
            <w:r>
              <w:rPr>
                <w:rFonts w:hint="eastAsia" w:hAnsi="宋体"/>
                <w:sz w:val="24"/>
              </w:rPr>
              <w:t>序号</w:t>
            </w:r>
          </w:p>
        </w:tc>
        <w:tc>
          <w:tcPr>
            <w:tcW w:w="1384" w:type="dxa"/>
            <w:vAlign w:val="center"/>
          </w:tcPr>
          <w:p w14:paraId="06C74BE4">
            <w:pPr>
              <w:pStyle w:val="14"/>
              <w:spacing w:line="240" w:lineRule="atLeast"/>
              <w:jc w:val="center"/>
              <w:rPr>
                <w:rFonts w:hAnsi="宋体"/>
                <w:sz w:val="24"/>
              </w:rPr>
            </w:pPr>
            <w:r>
              <w:rPr>
                <w:rFonts w:hint="eastAsia" w:hAnsi="宋体"/>
                <w:sz w:val="24"/>
              </w:rPr>
              <w:t>产品名称</w:t>
            </w:r>
          </w:p>
        </w:tc>
        <w:tc>
          <w:tcPr>
            <w:tcW w:w="1113" w:type="dxa"/>
            <w:vAlign w:val="center"/>
          </w:tcPr>
          <w:p w14:paraId="42B3AE0A">
            <w:pPr>
              <w:pStyle w:val="14"/>
              <w:spacing w:line="240" w:lineRule="atLeast"/>
              <w:jc w:val="center"/>
              <w:rPr>
                <w:rFonts w:hAnsi="宋体"/>
                <w:sz w:val="24"/>
              </w:rPr>
            </w:pPr>
            <w:r>
              <w:rPr>
                <w:rFonts w:hint="eastAsia" w:hAnsi="宋体"/>
                <w:sz w:val="24"/>
              </w:rPr>
              <w:t>型号和规格</w:t>
            </w:r>
          </w:p>
        </w:tc>
        <w:tc>
          <w:tcPr>
            <w:tcW w:w="1044" w:type="dxa"/>
            <w:vAlign w:val="center"/>
          </w:tcPr>
          <w:p w14:paraId="701E2CD7">
            <w:pPr>
              <w:pStyle w:val="14"/>
              <w:spacing w:line="240" w:lineRule="atLeast"/>
              <w:jc w:val="center"/>
              <w:rPr>
                <w:rFonts w:hAnsi="宋体"/>
                <w:sz w:val="24"/>
              </w:rPr>
            </w:pPr>
            <w:r>
              <w:rPr>
                <w:rFonts w:hint="eastAsia" w:hAnsi="宋体"/>
                <w:sz w:val="24"/>
              </w:rPr>
              <w:t>数量</w:t>
            </w:r>
          </w:p>
        </w:tc>
        <w:tc>
          <w:tcPr>
            <w:tcW w:w="950" w:type="dxa"/>
            <w:vAlign w:val="center"/>
          </w:tcPr>
          <w:p w14:paraId="5C92A09B">
            <w:pPr>
              <w:pStyle w:val="14"/>
              <w:spacing w:line="240" w:lineRule="atLeast"/>
              <w:jc w:val="center"/>
              <w:rPr>
                <w:rFonts w:hAnsi="宋体"/>
                <w:sz w:val="24"/>
              </w:rPr>
            </w:pPr>
            <w:r>
              <w:rPr>
                <w:rFonts w:hint="eastAsia" w:hAnsi="宋体"/>
                <w:sz w:val="24"/>
              </w:rPr>
              <w:t>单位</w:t>
            </w:r>
          </w:p>
        </w:tc>
        <w:tc>
          <w:tcPr>
            <w:tcW w:w="956" w:type="dxa"/>
            <w:vAlign w:val="center"/>
          </w:tcPr>
          <w:p w14:paraId="75089D34">
            <w:pPr>
              <w:pStyle w:val="14"/>
              <w:spacing w:line="240" w:lineRule="atLeast"/>
              <w:jc w:val="center"/>
              <w:rPr>
                <w:rFonts w:hAnsi="宋体"/>
                <w:sz w:val="24"/>
              </w:rPr>
            </w:pPr>
            <w:r>
              <w:rPr>
                <w:rFonts w:hint="eastAsia" w:hAnsi="宋体"/>
                <w:sz w:val="24"/>
              </w:rPr>
              <w:t>品牌</w:t>
            </w:r>
          </w:p>
        </w:tc>
        <w:tc>
          <w:tcPr>
            <w:tcW w:w="1052" w:type="dxa"/>
            <w:vAlign w:val="center"/>
          </w:tcPr>
          <w:p w14:paraId="1859F4A1">
            <w:pPr>
              <w:pStyle w:val="14"/>
              <w:spacing w:line="240" w:lineRule="atLeast"/>
              <w:jc w:val="center"/>
              <w:rPr>
                <w:rFonts w:hAnsi="宋体"/>
                <w:sz w:val="24"/>
              </w:rPr>
            </w:pPr>
            <w:r>
              <w:rPr>
                <w:rFonts w:hint="eastAsia" w:hAnsi="宋体"/>
                <w:sz w:val="24"/>
              </w:rPr>
              <w:t>制造商名称</w:t>
            </w:r>
          </w:p>
        </w:tc>
        <w:tc>
          <w:tcPr>
            <w:tcW w:w="872" w:type="dxa"/>
            <w:vAlign w:val="center"/>
          </w:tcPr>
          <w:p w14:paraId="46CECE80">
            <w:pPr>
              <w:pStyle w:val="14"/>
              <w:spacing w:line="240" w:lineRule="atLeast"/>
              <w:jc w:val="center"/>
              <w:rPr>
                <w:rFonts w:hAnsi="宋体"/>
                <w:sz w:val="24"/>
              </w:rPr>
            </w:pPr>
            <w:r>
              <w:rPr>
                <w:rFonts w:hint="eastAsia" w:hAnsi="宋体"/>
                <w:sz w:val="24"/>
              </w:rPr>
              <w:t>单价</w:t>
            </w:r>
          </w:p>
        </w:tc>
        <w:tc>
          <w:tcPr>
            <w:tcW w:w="809" w:type="dxa"/>
            <w:vAlign w:val="center"/>
          </w:tcPr>
          <w:p w14:paraId="1EBF5335">
            <w:pPr>
              <w:pStyle w:val="14"/>
              <w:spacing w:line="240" w:lineRule="atLeast"/>
              <w:jc w:val="center"/>
              <w:rPr>
                <w:rFonts w:hAnsi="宋体"/>
                <w:sz w:val="24"/>
              </w:rPr>
            </w:pPr>
            <w:r>
              <w:rPr>
                <w:rFonts w:hint="eastAsia" w:hAnsi="宋体"/>
                <w:sz w:val="24"/>
              </w:rPr>
              <w:t>总价</w:t>
            </w:r>
          </w:p>
        </w:tc>
        <w:tc>
          <w:tcPr>
            <w:tcW w:w="966" w:type="dxa"/>
            <w:vAlign w:val="center"/>
          </w:tcPr>
          <w:p w14:paraId="76A93DE6">
            <w:pPr>
              <w:pStyle w:val="14"/>
              <w:spacing w:line="240" w:lineRule="atLeast"/>
              <w:jc w:val="center"/>
              <w:rPr>
                <w:rFonts w:hAnsi="宋体"/>
                <w:sz w:val="24"/>
              </w:rPr>
            </w:pPr>
            <w:r>
              <w:rPr>
                <w:rFonts w:hint="eastAsia" w:hAnsi="宋体"/>
                <w:sz w:val="24"/>
              </w:rPr>
              <w:t>备注</w:t>
            </w:r>
          </w:p>
        </w:tc>
      </w:tr>
      <w:tr w14:paraId="2A0D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81" w:type="dxa"/>
            <w:vAlign w:val="center"/>
          </w:tcPr>
          <w:p w14:paraId="0F726059">
            <w:pPr>
              <w:pStyle w:val="14"/>
              <w:spacing w:line="240" w:lineRule="atLeast"/>
              <w:rPr>
                <w:rFonts w:hAnsi="宋体"/>
                <w:sz w:val="24"/>
              </w:rPr>
            </w:pPr>
            <w:r>
              <w:rPr>
                <w:rFonts w:hint="eastAsia" w:hAnsi="宋体"/>
                <w:sz w:val="24"/>
              </w:rPr>
              <w:t>1.</w:t>
            </w:r>
          </w:p>
        </w:tc>
        <w:tc>
          <w:tcPr>
            <w:tcW w:w="1384" w:type="dxa"/>
            <w:vAlign w:val="center"/>
          </w:tcPr>
          <w:p w14:paraId="4213DE96">
            <w:pPr>
              <w:pStyle w:val="14"/>
              <w:spacing w:line="240" w:lineRule="atLeast"/>
              <w:rPr>
                <w:rFonts w:hAnsi="宋体"/>
                <w:sz w:val="24"/>
              </w:rPr>
            </w:pPr>
          </w:p>
        </w:tc>
        <w:tc>
          <w:tcPr>
            <w:tcW w:w="1113" w:type="dxa"/>
            <w:vAlign w:val="center"/>
          </w:tcPr>
          <w:p w14:paraId="08974067">
            <w:pPr>
              <w:pStyle w:val="14"/>
              <w:spacing w:line="240" w:lineRule="atLeast"/>
              <w:ind w:left="1087" w:leftChars="257" w:hanging="540"/>
              <w:rPr>
                <w:rFonts w:hAnsi="宋体"/>
                <w:sz w:val="24"/>
              </w:rPr>
            </w:pPr>
          </w:p>
        </w:tc>
        <w:tc>
          <w:tcPr>
            <w:tcW w:w="1044" w:type="dxa"/>
            <w:vAlign w:val="center"/>
          </w:tcPr>
          <w:p w14:paraId="4B5845E0">
            <w:pPr>
              <w:pStyle w:val="14"/>
              <w:spacing w:line="240" w:lineRule="atLeast"/>
              <w:ind w:left="1087" w:leftChars="257" w:hanging="540"/>
              <w:rPr>
                <w:rFonts w:hAnsi="宋体"/>
                <w:sz w:val="24"/>
              </w:rPr>
            </w:pPr>
          </w:p>
        </w:tc>
        <w:tc>
          <w:tcPr>
            <w:tcW w:w="950" w:type="dxa"/>
            <w:vAlign w:val="center"/>
          </w:tcPr>
          <w:p w14:paraId="50C1A0D7">
            <w:pPr>
              <w:pStyle w:val="14"/>
              <w:spacing w:line="240" w:lineRule="atLeast"/>
              <w:ind w:left="1087" w:leftChars="257" w:hanging="540"/>
              <w:rPr>
                <w:rFonts w:hAnsi="宋体"/>
                <w:sz w:val="24"/>
              </w:rPr>
            </w:pPr>
          </w:p>
        </w:tc>
        <w:tc>
          <w:tcPr>
            <w:tcW w:w="956" w:type="dxa"/>
            <w:vAlign w:val="center"/>
          </w:tcPr>
          <w:p w14:paraId="563AD942">
            <w:pPr>
              <w:pStyle w:val="14"/>
              <w:spacing w:line="240" w:lineRule="atLeast"/>
              <w:ind w:left="1087" w:leftChars="257" w:hanging="540"/>
              <w:rPr>
                <w:rFonts w:hAnsi="宋体"/>
                <w:sz w:val="24"/>
              </w:rPr>
            </w:pPr>
          </w:p>
        </w:tc>
        <w:tc>
          <w:tcPr>
            <w:tcW w:w="1052" w:type="dxa"/>
            <w:vAlign w:val="center"/>
          </w:tcPr>
          <w:p w14:paraId="672C7901">
            <w:pPr>
              <w:pStyle w:val="14"/>
              <w:spacing w:line="240" w:lineRule="atLeast"/>
              <w:ind w:left="1087" w:leftChars="257" w:hanging="540"/>
              <w:rPr>
                <w:rFonts w:hAnsi="宋体"/>
                <w:sz w:val="24"/>
              </w:rPr>
            </w:pPr>
          </w:p>
        </w:tc>
        <w:tc>
          <w:tcPr>
            <w:tcW w:w="872" w:type="dxa"/>
            <w:vAlign w:val="center"/>
          </w:tcPr>
          <w:p w14:paraId="5103989B">
            <w:pPr>
              <w:pStyle w:val="14"/>
              <w:spacing w:line="240" w:lineRule="atLeast"/>
              <w:ind w:left="1087" w:leftChars="257" w:hanging="540"/>
              <w:rPr>
                <w:rFonts w:hAnsi="宋体"/>
                <w:sz w:val="24"/>
              </w:rPr>
            </w:pPr>
          </w:p>
        </w:tc>
        <w:tc>
          <w:tcPr>
            <w:tcW w:w="809" w:type="dxa"/>
            <w:vAlign w:val="center"/>
          </w:tcPr>
          <w:p w14:paraId="5E8A3390">
            <w:pPr>
              <w:pStyle w:val="14"/>
              <w:spacing w:line="240" w:lineRule="atLeast"/>
              <w:ind w:left="1087" w:leftChars="257" w:hanging="540"/>
              <w:rPr>
                <w:rFonts w:hAnsi="宋体"/>
                <w:sz w:val="24"/>
              </w:rPr>
            </w:pPr>
          </w:p>
        </w:tc>
        <w:tc>
          <w:tcPr>
            <w:tcW w:w="966" w:type="dxa"/>
            <w:vAlign w:val="center"/>
          </w:tcPr>
          <w:p w14:paraId="5837E3F6">
            <w:pPr>
              <w:pStyle w:val="14"/>
              <w:spacing w:line="240" w:lineRule="atLeast"/>
              <w:ind w:left="1087" w:leftChars="257" w:hanging="540"/>
              <w:rPr>
                <w:rFonts w:hAnsi="宋体"/>
                <w:sz w:val="24"/>
              </w:rPr>
            </w:pPr>
          </w:p>
        </w:tc>
      </w:tr>
      <w:tr w14:paraId="7C5B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81" w:type="dxa"/>
            <w:vAlign w:val="center"/>
          </w:tcPr>
          <w:p w14:paraId="63F01F2F">
            <w:pPr>
              <w:pStyle w:val="14"/>
              <w:spacing w:line="240" w:lineRule="atLeast"/>
              <w:rPr>
                <w:rFonts w:hAnsi="宋体"/>
                <w:sz w:val="24"/>
              </w:rPr>
            </w:pPr>
            <w:r>
              <w:rPr>
                <w:rFonts w:hint="eastAsia" w:hAnsi="宋体"/>
                <w:sz w:val="24"/>
              </w:rPr>
              <w:t>2.</w:t>
            </w:r>
          </w:p>
        </w:tc>
        <w:tc>
          <w:tcPr>
            <w:tcW w:w="1384" w:type="dxa"/>
            <w:vAlign w:val="center"/>
          </w:tcPr>
          <w:p w14:paraId="162F20AC">
            <w:pPr>
              <w:pStyle w:val="14"/>
              <w:spacing w:line="240" w:lineRule="atLeast"/>
              <w:rPr>
                <w:rFonts w:hAnsi="宋体"/>
                <w:sz w:val="24"/>
              </w:rPr>
            </w:pPr>
          </w:p>
        </w:tc>
        <w:tc>
          <w:tcPr>
            <w:tcW w:w="1113" w:type="dxa"/>
            <w:vAlign w:val="center"/>
          </w:tcPr>
          <w:p w14:paraId="2A89C124">
            <w:pPr>
              <w:pStyle w:val="14"/>
              <w:spacing w:line="240" w:lineRule="atLeast"/>
              <w:ind w:left="1087" w:leftChars="257" w:hanging="540"/>
              <w:rPr>
                <w:rFonts w:hAnsi="宋体"/>
                <w:sz w:val="24"/>
              </w:rPr>
            </w:pPr>
          </w:p>
        </w:tc>
        <w:tc>
          <w:tcPr>
            <w:tcW w:w="1044" w:type="dxa"/>
            <w:vAlign w:val="center"/>
          </w:tcPr>
          <w:p w14:paraId="0C377798">
            <w:pPr>
              <w:pStyle w:val="14"/>
              <w:spacing w:line="240" w:lineRule="atLeast"/>
              <w:ind w:left="1087" w:leftChars="257" w:hanging="540"/>
              <w:rPr>
                <w:rFonts w:hAnsi="宋体"/>
                <w:sz w:val="24"/>
              </w:rPr>
            </w:pPr>
          </w:p>
        </w:tc>
        <w:tc>
          <w:tcPr>
            <w:tcW w:w="950" w:type="dxa"/>
            <w:vAlign w:val="center"/>
          </w:tcPr>
          <w:p w14:paraId="31D0F960">
            <w:pPr>
              <w:pStyle w:val="14"/>
              <w:spacing w:line="240" w:lineRule="atLeast"/>
              <w:ind w:left="1087" w:leftChars="257" w:hanging="540"/>
              <w:rPr>
                <w:rFonts w:hAnsi="宋体"/>
                <w:sz w:val="24"/>
              </w:rPr>
            </w:pPr>
          </w:p>
        </w:tc>
        <w:tc>
          <w:tcPr>
            <w:tcW w:w="956" w:type="dxa"/>
            <w:vAlign w:val="center"/>
          </w:tcPr>
          <w:p w14:paraId="0EA693F8">
            <w:pPr>
              <w:pStyle w:val="14"/>
              <w:spacing w:line="240" w:lineRule="atLeast"/>
              <w:ind w:left="1087" w:leftChars="257" w:hanging="540"/>
              <w:rPr>
                <w:rFonts w:hAnsi="宋体"/>
                <w:sz w:val="24"/>
              </w:rPr>
            </w:pPr>
          </w:p>
        </w:tc>
        <w:tc>
          <w:tcPr>
            <w:tcW w:w="1052" w:type="dxa"/>
            <w:vAlign w:val="center"/>
          </w:tcPr>
          <w:p w14:paraId="0D97C9AD">
            <w:pPr>
              <w:pStyle w:val="14"/>
              <w:spacing w:line="240" w:lineRule="atLeast"/>
              <w:ind w:left="1087" w:leftChars="257" w:hanging="540"/>
              <w:rPr>
                <w:rFonts w:hAnsi="宋体"/>
                <w:sz w:val="24"/>
              </w:rPr>
            </w:pPr>
          </w:p>
        </w:tc>
        <w:tc>
          <w:tcPr>
            <w:tcW w:w="872" w:type="dxa"/>
            <w:vAlign w:val="center"/>
          </w:tcPr>
          <w:p w14:paraId="40244258">
            <w:pPr>
              <w:pStyle w:val="14"/>
              <w:spacing w:line="240" w:lineRule="atLeast"/>
              <w:ind w:left="1087" w:leftChars="257" w:hanging="540"/>
              <w:rPr>
                <w:rFonts w:hAnsi="宋体"/>
                <w:sz w:val="24"/>
              </w:rPr>
            </w:pPr>
          </w:p>
        </w:tc>
        <w:tc>
          <w:tcPr>
            <w:tcW w:w="809" w:type="dxa"/>
            <w:vAlign w:val="center"/>
          </w:tcPr>
          <w:p w14:paraId="3330E8A7">
            <w:pPr>
              <w:pStyle w:val="14"/>
              <w:spacing w:line="240" w:lineRule="atLeast"/>
              <w:ind w:left="1087" w:leftChars="257" w:hanging="540"/>
              <w:rPr>
                <w:rFonts w:hAnsi="宋体"/>
                <w:sz w:val="24"/>
              </w:rPr>
            </w:pPr>
          </w:p>
        </w:tc>
        <w:tc>
          <w:tcPr>
            <w:tcW w:w="966" w:type="dxa"/>
            <w:vAlign w:val="center"/>
          </w:tcPr>
          <w:p w14:paraId="1E5CC5D7">
            <w:pPr>
              <w:pStyle w:val="14"/>
              <w:spacing w:line="240" w:lineRule="atLeast"/>
              <w:ind w:left="1087" w:leftChars="257" w:hanging="540"/>
              <w:rPr>
                <w:rFonts w:hAnsi="宋体"/>
                <w:sz w:val="24"/>
              </w:rPr>
            </w:pPr>
          </w:p>
        </w:tc>
      </w:tr>
      <w:tr w14:paraId="04D7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1A3516EB">
            <w:pPr>
              <w:pStyle w:val="14"/>
              <w:spacing w:line="240" w:lineRule="atLeast"/>
              <w:rPr>
                <w:rFonts w:hAnsi="宋体"/>
                <w:sz w:val="24"/>
              </w:rPr>
            </w:pPr>
            <w:r>
              <w:rPr>
                <w:rFonts w:hint="eastAsia" w:hAnsi="宋体"/>
                <w:sz w:val="24"/>
              </w:rPr>
              <w:t>3.</w:t>
            </w:r>
          </w:p>
        </w:tc>
        <w:tc>
          <w:tcPr>
            <w:tcW w:w="1384" w:type="dxa"/>
            <w:vAlign w:val="center"/>
          </w:tcPr>
          <w:p w14:paraId="32EA721E">
            <w:pPr>
              <w:pStyle w:val="14"/>
              <w:spacing w:line="240" w:lineRule="atLeast"/>
              <w:rPr>
                <w:rFonts w:hAnsi="宋体"/>
                <w:sz w:val="24"/>
              </w:rPr>
            </w:pPr>
          </w:p>
        </w:tc>
        <w:tc>
          <w:tcPr>
            <w:tcW w:w="1113" w:type="dxa"/>
            <w:vAlign w:val="center"/>
          </w:tcPr>
          <w:p w14:paraId="5DC8F73B">
            <w:pPr>
              <w:pStyle w:val="14"/>
              <w:spacing w:line="240" w:lineRule="atLeast"/>
              <w:ind w:left="1087" w:leftChars="257" w:hanging="540"/>
              <w:rPr>
                <w:rFonts w:hAnsi="宋体"/>
                <w:sz w:val="24"/>
              </w:rPr>
            </w:pPr>
          </w:p>
        </w:tc>
        <w:tc>
          <w:tcPr>
            <w:tcW w:w="1044" w:type="dxa"/>
            <w:vAlign w:val="center"/>
          </w:tcPr>
          <w:p w14:paraId="33E0A8D6">
            <w:pPr>
              <w:pStyle w:val="14"/>
              <w:spacing w:line="240" w:lineRule="atLeast"/>
              <w:ind w:left="1087" w:leftChars="257" w:hanging="540"/>
              <w:rPr>
                <w:rFonts w:hAnsi="宋体"/>
                <w:sz w:val="24"/>
              </w:rPr>
            </w:pPr>
          </w:p>
        </w:tc>
        <w:tc>
          <w:tcPr>
            <w:tcW w:w="950" w:type="dxa"/>
            <w:vAlign w:val="center"/>
          </w:tcPr>
          <w:p w14:paraId="6EE0B41B">
            <w:pPr>
              <w:pStyle w:val="14"/>
              <w:spacing w:line="240" w:lineRule="atLeast"/>
              <w:ind w:left="1087" w:leftChars="257" w:hanging="540"/>
              <w:rPr>
                <w:rFonts w:hAnsi="宋体"/>
                <w:sz w:val="24"/>
              </w:rPr>
            </w:pPr>
          </w:p>
        </w:tc>
        <w:tc>
          <w:tcPr>
            <w:tcW w:w="956" w:type="dxa"/>
            <w:vAlign w:val="center"/>
          </w:tcPr>
          <w:p w14:paraId="2BC6AD07">
            <w:pPr>
              <w:pStyle w:val="14"/>
              <w:spacing w:line="240" w:lineRule="atLeast"/>
              <w:ind w:left="1087" w:leftChars="257" w:hanging="540"/>
              <w:rPr>
                <w:rFonts w:hAnsi="宋体"/>
                <w:sz w:val="24"/>
              </w:rPr>
            </w:pPr>
          </w:p>
        </w:tc>
        <w:tc>
          <w:tcPr>
            <w:tcW w:w="1052" w:type="dxa"/>
            <w:vAlign w:val="center"/>
          </w:tcPr>
          <w:p w14:paraId="0064437F">
            <w:pPr>
              <w:pStyle w:val="14"/>
              <w:spacing w:line="240" w:lineRule="atLeast"/>
              <w:ind w:left="1087" w:leftChars="257" w:hanging="540"/>
              <w:rPr>
                <w:rFonts w:hAnsi="宋体"/>
                <w:sz w:val="24"/>
              </w:rPr>
            </w:pPr>
          </w:p>
        </w:tc>
        <w:tc>
          <w:tcPr>
            <w:tcW w:w="872" w:type="dxa"/>
            <w:vAlign w:val="center"/>
          </w:tcPr>
          <w:p w14:paraId="222A4CDF">
            <w:pPr>
              <w:pStyle w:val="14"/>
              <w:spacing w:line="240" w:lineRule="atLeast"/>
              <w:ind w:left="1087" w:leftChars="257" w:hanging="540"/>
              <w:rPr>
                <w:rFonts w:hAnsi="宋体"/>
                <w:sz w:val="24"/>
              </w:rPr>
            </w:pPr>
          </w:p>
        </w:tc>
        <w:tc>
          <w:tcPr>
            <w:tcW w:w="809" w:type="dxa"/>
            <w:vAlign w:val="center"/>
          </w:tcPr>
          <w:p w14:paraId="6730132F">
            <w:pPr>
              <w:pStyle w:val="14"/>
              <w:spacing w:line="240" w:lineRule="atLeast"/>
              <w:ind w:left="1087" w:leftChars="257" w:hanging="540"/>
              <w:rPr>
                <w:rFonts w:hAnsi="宋体"/>
                <w:sz w:val="24"/>
              </w:rPr>
            </w:pPr>
          </w:p>
        </w:tc>
        <w:tc>
          <w:tcPr>
            <w:tcW w:w="966" w:type="dxa"/>
            <w:vAlign w:val="center"/>
          </w:tcPr>
          <w:p w14:paraId="5FD2F34F">
            <w:pPr>
              <w:pStyle w:val="14"/>
              <w:spacing w:line="240" w:lineRule="atLeast"/>
              <w:ind w:left="1087" w:leftChars="257" w:hanging="540"/>
              <w:rPr>
                <w:rFonts w:hAnsi="宋体"/>
                <w:sz w:val="24"/>
              </w:rPr>
            </w:pPr>
          </w:p>
        </w:tc>
      </w:tr>
      <w:tr w14:paraId="4DFC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578CB860">
            <w:pPr>
              <w:pStyle w:val="14"/>
              <w:spacing w:line="240" w:lineRule="atLeast"/>
              <w:rPr>
                <w:rFonts w:hAnsi="宋体"/>
                <w:sz w:val="24"/>
              </w:rPr>
            </w:pPr>
            <w:r>
              <w:rPr>
                <w:rFonts w:hint="eastAsia" w:hAnsi="宋体"/>
                <w:sz w:val="24"/>
              </w:rPr>
              <w:t>4.</w:t>
            </w:r>
          </w:p>
        </w:tc>
        <w:tc>
          <w:tcPr>
            <w:tcW w:w="1384" w:type="dxa"/>
            <w:vAlign w:val="center"/>
          </w:tcPr>
          <w:p w14:paraId="3D9E3AD5">
            <w:pPr>
              <w:pStyle w:val="14"/>
              <w:spacing w:line="240" w:lineRule="atLeast"/>
              <w:rPr>
                <w:rFonts w:hAnsi="宋体"/>
                <w:sz w:val="24"/>
              </w:rPr>
            </w:pPr>
          </w:p>
        </w:tc>
        <w:tc>
          <w:tcPr>
            <w:tcW w:w="1113" w:type="dxa"/>
            <w:vAlign w:val="center"/>
          </w:tcPr>
          <w:p w14:paraId="4BBFD5E6">
            <w:pPr>
              <w:pStyle w:val="14"/>
              <w:spacing w:line="240" w:lineRule="atLeast"/>
              <w:ind w:left="1087" w:leftChars="257" w:hanging="540"/>
              <w:rPr>
                <w:rFonts w:hAnsi="宋体"/>
                <w:sz w:val="24"/>
              </w:rPr>
            </w:pPr>
          </w:p>
        </w:tc>
        <w:tc>
          <w:tcPr>
            <w:tcW w:w="1044" w:type="dxa"/>
            <w:vAlign w:val="center"/>
          </w:tcPr>
          <w:p w14:paraId="097A316B">
            <w:pPr>
              <w:pStyle w:val="14"/>
              <w:spacing w:line="240" w:lineRule="atLeast"/>
              <w:ind w:left="1087" w:leftChars="257" w:hanging="540"/>
              <w:rPr>
                <w:rFonts w:hAnsi="宋体"/>
                <w:sz w:val="24"/>
              </w:rPr>
            </w:pPr>
          </w:p>
        </w:tc>
        <w:tc>
          <w:tcPr>
            <w:tcW w:w="950" w:type="dxa"/>
            <w:vAlign w:val="center"/>
          </w:tcPr>
          <w:p w14:paraId="662034D7">
            <w:pPr>
              <w:pStyle w:val="14"/>
              <w:spacing w:line="240" w:lineRule="atLeast"/>
              <w:ind w:left="1087" w:leftChars="257" w:hanging="540"/>
              <w:rPr>
                <w:rFonts w:hAnsi="宋体"/>
                <w:sz w:val="24"/>
              </w:rPr>
            </w:pPr>
          </w:p>
        </w:tc>
        <w:tc>
          <w:tcPr>
            <w:tcW w:w="956" w:type="dxa"/>
            <w:vAlign w:val="center"/>
          </w:tcPr>
          <w:p w14:paraId="3EDB1C7D">
            <w:pPr>
              <w:pStyle w:val="14"/>
              <w:spacing w:line="240" w:lineRule="atLeast"/>
              <w:ind w:left="1087" w:leftChars="257" w:hanging="540"/>
              <w:rPr>
                <w:rFonts w:hAnsi="宋体"/>
                <w:sz w:val="24"/>
              </w:rPr>
            </w:pPr>
          </w:p>
        </w:tc>
        <w:tc>
          <w:tcPr>
            <w:tcW w:w="1052" w:type="dxa"/>
            <w:vAlign w:val="center"/>
          </w:tcPr>
          <w:p w14:paraId="3787654D">
            <w:pPr>
              <w:pStyle w:val="14"/>
              <w:spacing w:line="240" w:lineRule="atLeast"/>
              <w:ind w:left="1087" w:leftChars="257" w:hanging="540"/>
              <w:rPr>
                <w:rFonts w:hAnsi="宋体"/>
                <w:sz w:val="24"/>
              </w:rPr>
            </w:pPr>
          </w:p>
        </w:tc>
        <w:tc>
          <w:tcPr>
            <w:tcW w:w="872" w:type="dxa"/>
            <w:vAlign w:val="center"/>
          </w:tcPr>
          <w:p w14:paraId="336B9527">
            <w:pPr>
              <w:pStyle w:val="14"/>
              <w:spacing w:line="240" w:lineRule="atLeast"/>
              <w:ind w:left="1087" w:leftChars="257" w:hanging="540"/>
              <w:rPr>
                <w:rFonts w:hAnsi="宋体"/>
                <w:sz w:val="24"/>
              </w:rPr>
            </w:pPr>
          </w:p>
        </w:tc>
        <w:tc>
          <w:tcPr>
            <w:tcW w:w="809" w:type="dxa"/>
            <w:vAlign w:val="center"/>
          </w:tcPr>
          <w:p w14:paraId="3AE96DF9">
            <w:pPr>
              <w:pStyle w:val="14"/>
              <w:spacing w:line="240" w:lineRule="atLeast"/>
              <w:ind w:left="1087" w:leftChars="257" w:hanging="540"/>
              <w:rPr>
                <w:rFonts w:hAnsi="宋体"/>
                <w:sz w:val="24"/>
              </w:rPr>
            </w:pPr>
          </w:p>
        </w:tc>
        <w:tc>
          <w:tcPr>
            <w:tcW w:w="966" w:type="dxa"/>
            <w:vAlign w:val="center"/>
          </w:tcPr>
          <w:p w14:paraId="4DCB7915">
            <w:pPr>
              <w:pStyle w:val="14"/>
              <w:spacing w:line="240" w:lineRule="atLeast"/>
              <w:ind w:left="1087" w:leftChars="257" w:hanging="540"/>
              <w:rPr>
                <w:rFonts w:hAnsi="宋体"/>
                <w:sz w:val="24"/>
              </w:rPr>
            </w:pPr>
          </w:p>
        </w:tc>
      </w:tr>
      <w:tr w14:paraId="4F9C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81" w:type="dxa"/>
            <w:vAlign w:val="center"/>
          </w:tcPr>
          <w:p w14:paraId="2DD4D6C8">
            <w:pPr>
              <w:pStyle w:val="14"/>
              <w:spacing w:line="240" w:lineRule="atLeast"/>
              <w:rPr>
                <w:rFonts w:hAnsi="宋体"/>
                <w:sz w:val="24"/>
              </w:rPr>
            </w:pPr>
            <w:r>
              <w:rPr>
                <w:rFonts w:hint="eastAsia" w:hAnsi="宋体"/>
                <w:sz w:val="24"/>
              </w:rPr>
              <w:t>5.</w:t>
            </w:r>
          </w:p>
        </w:tc>
        <w:tc>
          <w:tcPr>
            <w:tcW w:w="1384" w:type="dxa"/>
            <w:vAlign w:val="center"/>
          </w:tcPr>
          <w:p w14:paraId="142FBED5">
            <w:pPr>
              <w:pStyle w:val="14"/>
              <w:spacing w:line="240" w:lineRule="atLeast"/>
              <w:rPr>
                <w:rFonts w:hAnsi="宋体"/>
                <w:sz w:val="24"/>
              </w:rPr>
            </w:pPr>
          </w:p>
        </w:tc>
        <w:tc>
          <w:tcPr>
            <w:tcW w:w="1113" w:type="dxa"/>
            <w:vAlign w:val="center"/>
          </w:tcPr>
          <w:p w14:paraId="32739D91">
            <w:pPr>
              <w:pStyle w:val="14"/>
              <w:spacing w:line="240" w:lineRule="atLeast"/>
              <w:ind w:left="1087" w:leftChars="257" w:hanging="540"/>
              <w:rPr>
                <w:rFonts w:hAnsi="宋体"/>
                <w:sz w:val="24"/>
              </w:rPr>
            </w:pPr>
          </w:p>
        </w:tc>
        <w:tc>
          <w:tcPr>
            <w:tcW w:w="1044" w:type="dxa"/>
            <w:vAlign w:val="center"/>
          </w:tcPr>
          <w:p w14:paraId="66AAB55F">
            <w:pPr>
              <w:pStyle w:val="14"/>
              <w:spacing w:line="240" w:lineRule="atLeast"/>
              <w:ind w:left="1087" w:leftChars="257" w:hanging="540"/>
              <w:rPr>
                <w:rFonts w:hAnsi="宋体"/>
                <w:sz w:val="24"/>
              </w:rPr>
            </w:pPr>
          </w:p>
        </w:tc>
        <w:tc>
          <w:tcPr>
            <w:tcW w:w="950" w:type="dxa"/>
            <w:vAlign w:val="center"/>
          </w:tcPr>
          <w:p w14:paraId="0D2AADD3">
            <w:pPr>
              <w:pStyle w:val="14"/>
              <w:spacing w:line="240" w:lineRule="atLeast"/>
              <w:ind w:left="1087" w:leftChars="257" w:hanging="540"/>
              <w:rPr>
                <w:rFonts w:hAnsi="宋体"/>
                <w:sz w:val="24"/>
              </w:rPr>
            </w:pPr>
          </w:p>
        </w:tc>
        <w:tc>
          <w:tcPr>
            <w:tcW w:w="956" w:type="dxa"/>
            <w:vAlign w:val="center"/>
          </w:tcPr>
          <w:p w14:paraId="690FB6A3">
            <w:pPr>
              <w:pStyle w:val="14"/>
              <w:spacing w:line="240" w:lineRule="atLeast"/>
              <w:ind w:left="1087" w:leftChars="257" w:hanging="540"/>
              <w:rPr>
                <w:rFonts w:hAnsi="宋体"/>
                <w:sz w:val="24"/>
              </w:rPr>
            </w:pPr>
          </w:p>
        </w:tc>
        <w:tc>
          <w:tcPr>
            <w:tcW w:w="1052" w:type="dxa"/>
            <w:vAlign w:val="center"/>
          </w:tcPr>
          <w:p w14:paraId="4FE3C47F">
            <w:pPr>
              <w:pStyle w:val="14"/>
              <w:spacing w:line="240" w:lineRule="atLeast"/>
              <w:ind w:left="1087" w:leftChars="257" w:hanging="540"/>
              <w:rPr>
                <w:rFonts w:hAnsi="宋体"/>
                <w:sz w:val="24"/>
              </w:rPr>
            </w:pPr>
          </w:p>
        </w:tc>
        <w:tc>
          <w:tcPr>
            <w:tcW w:w="872" w:type="dxa"/>
            <w:vAlign w:val="center"/>
          </w:tcPr>
          <w:p w14:paraId="27F3DA37">
            <w:pPr>
              <w:pStyle w:val="14"/>
              <w:spacing w:line="240" w:lineRule="atLeast"/>
              <w:ind w:left="1087" w:leftChars="257" w:hanging="540"/>
              <w:rPr>
                <w:rFonts w:hAnsi="宋体"/>
                <w:sz w:val="24"/>
              </w:rPr>
            </w:pPr>
          </w:p>
        </w:tc>
        <w:tc>
          <w:tcPr>
            <w:tcW w:w="809" w:type="dxa"/>
            <w:vAlign w:val="center"/>
          </w:tcPr>
          <w:p w14:paraId="42AF6AFC">
            <w:pPr>
              <w:pStyle w:val="14"/>
              <w:spacing w:line="240" w:lineRule="atLeast"/>
              <w:ind w:left="1087" w:leftChars="257" w:hanging="540"/>
              <w:rPr>
                <w:rFonts w:hAnsi="宋体"/>
                <w:sz w:val="24"/>
              </w:rPr>
            </w:pPr>
          </w:p>
        </w:tc>
        <w:tc>
          <w:tcPr>
            <w:tcW w:w="966" w:type="dxa"/>
            <w:vAlign w:val="center"/>
          </w:tcPr>
          <w:p w14:paraId="3F08AF27">
            <w:pPr>
              <w:pStyle w:val="14"/>
              <w:spacing w:line="240" w:lineRule="atLeast"/>
              <w:ind w:left="1087" w:leftChars="257" w:hanging="540"/>
              <w:rPr>
                <w:rFonts w:hAnsi="宋体"/>
                <w:sz w:val="24"/>
              </w:rPr>
            </w:pPr>
          </w:p>
        </w:tc>
      </w:tr>
      <w:tr w14:paraId="2738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3188494F">
            <w:pPr>
              <w:pStyle w:val="14"/>
              <w:spacing w:line="240" w:lineRule="atLeast"/>
              <w:rPr>
                <w:rFonts w:hAnsi="宋体"/>
                <w:sz w:val="24"/>
              </w:rPr>
            </w:pPr>
            <w:r>
              <w:rPr>
                <w:rFonts w:hint="eastAsia" w:hAnsi="宋体"/>
                <w:sz w:val="24"/>
              </w:rPr>
              <w:t>6.</w:t>
            </w:r>
          </w:p>
        </w:tc>
        <w:tc>
          <w:tcPr>
            <w:tcW w:w="1384" w:type="dxa"/>
            <w:vAlign w:val="center"/>
          </w:tcPr>
          <w:p w14:paraId="6797053B">
            <w:pPr>
              <w:pStyle w:val="14"/>
              <w:spacing w:line="240" w:lineRule="atLeast"/>
              <w:rPr>
                <w:rFonts w:hAnsi="宋体"/>
                <w:sz w:val="24"/>
              </w:rPr>
            </w:pPr>
          </w:p>
        </w:tc>
        <w:tc>
          <w:tcPr>
            <w:tcW w:w="1113" w:type="dxa"/>
            <w:vAlign w:val="center"/>
          </w:tcPr>
          <w:p w14:paraId="3F5654C0">
            <w:pPr>
              <w:pStyle w:val="14"/>
              <w:spacing w:line="240" w:lineRule="atLeast"/>
              <w:ind w:left="1087" w:leftChars="257" w:hanging="540"/>
              <w:rPr>
                <w:rFonts w:hAnsi="宋体"/>
                <w:sz w:val="24"/>
              </w:rPr>
            </w:pPr>
          </w:p>
        </w:tc>
        <w:tc>
          <w:tcPr>
            <w:tcW w:w="1044" w:type="dxa"/>
            <w:vAlign w:val="center"/>
          </w:tcPr>
          <w:p w14:paraId="1C024DCF">
            <w:pPr>
              <w:pStyle w:val="14"/>
              <w:spacing w:line="240" w:lineRule="atLeast"/>
              <w:ind w:left="1087" w:leftChars="257" w:hanging="540"/>
              <w:rPr>
                <w:rFonts w:hAnsi="宋体"/>
                <w:sz w:val="24"/>
              </w:rPr>
            </w:pPr>
          </w:p>
        </w:tc>
        <w:tc>
          <w:tcPr>
            <w:tcW w:w="950" w:type="dxa"/>
            <w:vAlign w:val="center"/>
          </w:tcPr>
          <w:p w14:paraId="7EB24BBB">
            <w:pPr>
              <w:pStyle w:val="14"/>
              <w:spacing w:line="240" w:lineRule="atLeast"/>
              <w:ind w:left="1087" w:leftChars="257" w:hanging="540"/>
              <w:rPr>
                <w:rFonts w:hAnsi="宋体"/>
                <w:sz w:val="24"/>
              </w:rPr>
            </w:pPr>
          </w:p>
        </w:tc>
        <w:tc>
          <w:tcPr>
            <w:tcW w:w="956" w:type="dxa"/>
            <w:vAlign w:val="center"/>
          </w:tcPr>
          <w:p w14:paraId="5239E945">
            <w:pPr>
              <w:pStyle w:val="14"/>
              <w:spacing w:line="240" w:lineRule="atLeast"/>
              <w:ind w:left="1087" w:leftChars="257" w:hanging="540"/>
              <w:rPr>
                <w:rFonts w:hAnsi="宋体"/>
                <w:sz w:val="24"/>
              </w:rPr>
            </w:pPr>
          </w:p>
        </w:tc>
        <w:tc>
          <w:tcPr>
            <w:tcW w:w="1052" w:type="dxa"/>
            <w:vAlign w:val="center"/>
          </w:tcPr>
          <w:p w14:paraId="29F6DE39">
            <w:pPr>
              <w:pStyle w:val="14"/>
              <w:spacing w:line="240" w:lineRule="atLeast"/>
              <w:ind w:left="1087" w:leftChars="257" w:hanging="540"/>
              <w:rPr>
                <w:rFonts w:hAnsi="宋体"/>
                <w:sz w:val="24"/>
              </w:rPr>
            </w:pPr>
          </w:p>
        </w:tc>
        <w:tc>
          <w:tcPr>
            <w:tcW w:w="872" w:type="dxa"/>
            <w:vAlign w:val="center"/>
          </w:tcPr>
          <w:p w14:paraId="23424D0E">
            <w:pPr>
              <w:pStyle w:val="14"/>
              <w:spacing w:line="240" w:lineRule="atLeast"/>
              <w:ind w:left="1087" w:leftChars="257" w:hanging="540"/>
              <w:rPr>
                <w:rFonts w:hAnsi="宋体"/>
                <w:sz w:val="24"/>
              </w:rPr>
            </w:pPr>
          </w:p>
        </w:tc>
        <w:tc>
          <w:tcPr>
            <w:tcW w:w="809" w:type="dxa"/>
            <w:vAlign w:val="center"/>
          </w:tcPr>
          <w:p w14:paraId="43BA4957">
            <w:pPr>
              <w:pStyle w:val="14"/>
              <w:spacing w:line="240" w:lineRule="atLeast"/>
              <w:ind w:left="1087" w:leftChars="257" w:hanging="540"/>
              <w:rPr>
                <w:rFonts w:hAnsi="宋体"/>
                <w:sz w:val="24"/>
              </w:rPr>
            </w:pPr>
          </w:p>
        </w:tc>
        <w:tc>
          <w:tcPr>
            <w:tcW w:w="966" w:type="dxa"/>
            <w:vAlign w:val="center"/>
          </w:tcPr>
          <w:p w14:paraId="69ABD9C0">
            <w:pPr>
              <w:pStyle w:val="14"/>
              <w:spacing w:line="240" w:lineRule="atLeast"/>
              <w:ind w:left="1087" w:leftChars="257" w:hanging="540"/>
              <w:rPr>
                <w:rFonts w:hAnsi="宋体"/>
                <w:sz w:val="24"/>
              </w:rPr>
            </w:pPr>
          </w:p>
        </w:tc>
      </w:tr>
      <w:tr w14:paraId="04F3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9927" w:type="dxa"/>
            <w:gridSpan w:val="10"/>
            <w:vAlign w:val="center"/>
          </w:tcPr>
          <w:p w14:paraId="64A6E073">
            <w:pPr>
              <w:pStyle w:val="14"/>
              <w:spacing w:line="240" w:lineRule="atLeast"/>
              <w:ind w:firstLine="486" w:firstLineChars="200"/>
              <w:jc w:val="both"/>
              <w:rPr>
                <w:rFonts w:hAnsi="宋体"/>
                <w:sz w:val="24"/>
              </w:rPr>
            </w:pPr>
            <w:r>
              <w:rPr>
                <w:rFonts w:hint="eastAsia" w:hAnsi="宋体"/>
                <w:sz w:val="24"/>
              </w:rPr>
              <w:t>总价：</w:t>
            </w:r>
          </w:p>
        </w:tc>
      </w:tr>
    </w:tbl>
    <w:p w14:paraId="4F96C635">
      <w:pPr>
        <w:pStyle w:val="14"/>
        <w:spacing w:line="240" w:lineRule="atLeast"/>
        <w:ind w:left="1087" w:leftChars="257" w:hanging="540"/>
        <w:rPr>
          <w:rFonts w:hAnsi="宋体"/>
          <w:sz w:val="24"/>
        </w:rPr>
      </w:pPr>
    </w:p>
    <w:p w14:paraId="5073D46C">
      <w:pPr>
        <w:pStyle w:val="14"/>
        <w:spacing w:line="360" w:lineRule="auto"/>
        <w:ind w:left="1087" w:leftChars="257" w:hanging="540"/>
        <w:rPr>
          <w:rFonts w:hAnsi="宋体"/>
          <w:sz w:val="24"/>
        </w:rPr>
      </w:pPr>
      <w:r>
        <w:rPr>
          <w:rFonts w:hint="eastAsia" w:hAnsi="宋体"/>
          <w:sz w:val="24"/>
        </w:rPr>
        <w:t>法定代表人或其委托代理人签字: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200E67AB">
      <w:pPr>
        <w:pStyle w:val="14"/>
        <w:tabs>
          <w:tab w:val="left" w:pos="5370"/>
        </w:tabs>
        <w:spacing w:line="360" w:lineRule="auto"/>
        <w:ind w:left="1087" w:leftChars="257" w:hanging="540"/>
        <w:rPr>
          <w:rFonts w:hAnsi="宋体"/>
          <w:sz w:val="24"/>
          <w:u w:val="single"/>
        </w:rPr>
      </w:pPr>
      <w:r>
        <w:rPr>
          <w:rFonts w:hint="eastAsia" w:hAnsi="宋体"/>
          <w:sz w:val="24"/>
        </w:rPr>
        <w:t>投标人(盖单位章):</w:t>
      </w:r>
      <w:r>
        <w:rPr>
          <w:rFonts w:hint="eastAsia" w:hAnsi="宋体"/>
          <w:sz w:val="24"/>
          <w:u w:val="single"/>
        </w:rPr>
        <w:tab/>
      </w:r>
    </w:p>
    <w:p w14:paraId="65B9C617">
      <w:pPr>
        <w:pStyle w:val="15"/>
        <w:ind w:left="0" w:leftChars="0" w:firstLine="486" w:firstLineChars="200"/>
        <w:jc w:val="left"/>
      </w:pPr>
      <w:r>
        <w:rPr>
          <w:rFonts w:hint="eastAsia" w:ascii="宋体" w:hAnsi="宋体" w:cs="宋体"/>
          <w:sz w:val="24"/>
          <w:szCs w:val="20"/>
        </w:rPr>
        <w:t>日期：</w:t>
      </w:r>
      <w:r>
        <w:rPr>
          <w:rFonts w:hint="eastAsia" w:ascii="宋体" w:hAnsi="宋体" w:eastAsia="宋体" w:cs="宋体"/>
          <w:spacing w:val="6"/>
          <w:sz w:val="21"/>
          <w:szCs w:val="21"/>
          <w:highlight w:val="none"/>
        </w:rPr>
        <w:t> 年　  月　  日   </w:t>
      </w:r>
    </w:p>
    <w:p w14:paraId="2B84A016">
      <w:pPr>
        <w:pStyle w:val="14"/>
        <w:spacing w:line="360" w:lineRule="auto"/>
        <w:ind w:left="1087" w:leftChars="257" w:hanging="540"/>
        <w:rPr>
          <w:rFonts w:hAnsi="宋体"/>
          <w:sz w:val="24"/>
        </w:rPr>
      </w:pPr>
    </w:p>
    <w:p w14:paraId="6CE14A7D">
      <w:pPr>
        <w:pStyle w:val="14"/>
        <w:spacing w:line="240" w:lineRule="atLeast"/>
        <w:ind w:left="1087" w:leftChars="257" w:hanging="540"/>
        <w:rPr>
          <w:rFonts w:hAnsi="宋体"/>
          <w:sz w:val="24"/>
        </w:rPr>
      </w:pPr>
      <w:r>
        <w:rPr>
          <w:rFonts w:hint="eastAsia" w:hAnsi="宋体"/>
          <w:sz w:val="24"/>
        </w:rPr>
        <w:t>注:1.如果按单价计算的结果与总价不一致,以单价为准修正总价。</w:t>
      </w:r>
    </w:p>
    <w:p w14:paraId="5ED79F3A">
      <w:pPr>
        <w:pStyle w:val="14"/>
        <w:spacing w:line="240" w:lineRule="atLeast"/>
        <w:rPr>
          <w:rFonts w:hAnsi="宋体"/>
          <w:sz w:val="24"/>
        </w:rPr>
      </w:pPr>
    </w:p>
    <w:p w14:paraId="641D4141">
      <w:pPr>
        <w:pStyle w:val="14"/>
        <w:spacing w:line="240" w:lineRule="atLeast"/>
        <w:ind w:left="1087" w:leftChars="257" w:hanging="540"/>
        <w:rPr>
          <w:rFonts w:hAnsi="宋体"/>
          <w:sz w:val="24"/>
        </w:rPr>
      </w:pPr>
      <w:r>
        <w:rPr>
          <w:rFonts w:hint="eastAsia" w:hAnsi="宋体"/>
          <w:sz w:val="24"/>
        </w:rPr>
        <w:t xml:space="preserve">   2.如果开标一览表（报价表）内容与投标文件中明细表内容不一致的，以开标一览表（报价表）内容为准。</w:t>
      </w:r>
    </w:p>
    <w:p w14:paraId="1DCAE6B5">
      <w:pPr>
        <w:pStyle w:val="14"/>
        <w:spacing w:line="240" w:lineRule="atLeast"/>
        <w:rPr>
          <w:rFonts w:hAnsi="宋体"/>
          <w:b/>
          <w:bCs/>
          <w:sz w:val="24"/>
        </w:rPr>
      </w:pPr>
      <w:r>
        <w:rPr>
          <w:rFonts w:hint="eastAsia" w:hAnsi="宋体"/>
          <w:sz w:val="24"/>
        </w:rPr>
        <w:br w:type="page"/>
      </w:r>
      <w:bookmarkStart w:id="134" w:name="_Toc216582816"/>
      <w:bookmarkStart w:id="135" w:name="_Toc14037"/>
      <w:bookmarkStart w:id="136" w:name="_Toc4012"/>
      <w:bookmarkStart w:id="137" w:name="_Toc515647819"/>
      <w:bookmarkStart w:id="138" w:name="_Toc18267"/>
      <w:r>
        <w:rPr>
          <w:rFonts w:hint="eastAsia" w:hAnsi="宋体"/>
          <w:b/>
          <w:bCs/>
          <w:sz w:val="24"/>
        </w:rPr>
        <w:t>3、货物（服务）说明一览表</w:t>
      </w:r>
      <w:bookmarkEnd w:id="134"/>
      <w:r>
        <w:rPr>
          <w:rFonts w:hint="eastAsia" w:hAnsi="宋体"/>
          <w:b/>
          <w:bCs/>
          <w:sz w:val="24"/>
        </w:rPr>
        <w:t>（投标文件格式六）</w:t>
      </w:r>
      <w:bookmarkEnd w:id="135"/>
      <w:bookmarkEnd w:id="136"/>
      <w:bookmarkEnd w:id="137"/>
      <w:bookmarkEnd w:id="138"/>
    </w:p>
    <w:p w14:paraId="2FC4A771">
      <w:pPr>
        <w:pStyle w:val="14"/>
        <w:spacing w:line="240" w:lineRule="atLeast"/>
        <w:ind w:left="1087" w:leftChars="257" w:hanging="540"/>
        <w:rPr>
          <w:rFonts w:hAnsi="宋体"/>
          <w:sz w:val="24"/>
        </w:rPr>
      </w:pPr>
    </w:p>
    <w:p w14:paraId="44976664">
      <w:pPr>
        <w:pStyle w:val="14"/>
        <w:spacing w:line="240" w:lineRule="atLeast"/>
        <w:ind w:left="1087" w:leftChars="257" w:hanging="540"/>
        <w:rPr>
          <w:rFonts w:hAnsi="宋体"/>
          <w:sz w:val="24"/>
        </w:rPr>
      </w:pPr>
      <w:r>
        <w:rPr>
          <w:rFonts w:hint="eastAsia" w:hAnsi="宋体"/>
          <w:sz w:val="24"/>
        </w:rPr>
        <w:t xml:space="preserve">项目名称:                           </w:t>
      </w:r>
    </w:p>
    <w:p w14:paraId="29B80761">
      <w:pPr>
        <w:pStyle w:val="14"/>
        <w:spacing w:line="240" w:lineRule="atLeast"/>
        <w:ind w:left="1087" w:leftChars="257" w:hanging="540"/>
        <w:rPr>
          <w:rFonts w:hAnsi="宋体"/>
          <w:sz w:val="24"/>
        </w:rPr>
      </w:pPr>
      <w:r>
        <w:rPr>
          <w:rFonts w:hint="eastAsia" w:hAnsi="宋体"/>
          <w:sz w:val="24"/>
          <w:lang w:eastAsia="zh-CN"/>
        </w:rPr>
        <w:t>项目</w:t>
      </w:r>
      <w:r>
        <w:rPr>
          <w:rFonts w:hint="eastAsia" w:hAnsi="宋体"/>
          <w:sz w:val="24"/>
        </w:rPr>
        <w:t xml:space="preserve">编号:                             </w:t>
      </w:r>
    </w:p>
    <w:p w14:paraId="48DBAB26">
      <w:pPr>
        <w:pStyle w:val="14"/>
        <w:spacing w:line="240" w:lineRule="atLeast"/>
        <w:ind w:left="1087" w:leftChars="257" w:hanging="540"/>
        <w:rPr>
          <w:rFonts w:hAnsi="宋体"/>
          <w:sz w:val="24"/>
        </w:rPr>
      </w:pPr>
    </w:p>
    <w:tbl>
      <w:tblPr>
        <w:tblStyle w:val="27"/>
        <w:tblW w:w="887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225"/>
        <w:gridCol w:w="1138"/>
        <w:gridCol w:w="1275"/>
        <w:gridCol w:w="1250"/>
        <w:gridCol w:w="1690"/>
      </w:tblGrid>
      <w:tr w14:paraId="3A0C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96" w:type="dxa"/>
            <w:vAlign w:val="center"/>
          </w:tcPr>
          <w:p w14:paraId="13BF144C">
            <w:pPr>
              <w:jc w:val="center"/>
              <w:rPr>
                <w:rFonts w:ascii="宋体" w:hAnsi="宋体"/>
                <w:sz w:val="24"/>
                <w:szCs w:val="20"/>
                <w:u w:color="000000"/>
              </w:rPr>
            </w:pPr>
            <w:r>
              <w:rPr>
                <w:rFonts w:hint="eastAsia" w:ascii="宋体" w:hAnsi="宋体"/>
                <w:sz w:val="24"/>
                <w:szCs w:val="20"/>
                <w:u w:color="000000"/>
              </w:rPr>
              <w:t>序号</w:t>
            </w:r>
          </w:p>
        </w:tc>
        <w:tc>
          <w:tcPr>
            <w:tcW w:w="1601" w:type="dxa"/>
            <w:vAlign w:val="center"/>
          </w:tcPr>
          <w:p w14:paraId="55A50D63">
            <w:pPr>
              <w:jc w:val="center"/>
              <w:rPr>
                <w:rFonts w:ascii="宋体" w:hAnsi="宋体"/>
                <w:sz w:val="24"/>
                <w:szCs w:val="20"/>
                <w:u w:color="000000"/>
              </w:rPr>
            </w:pPr>
            <w:r>
              <w:rPr>
                <w:rFonts w:hint="eastAsia" w:ascii="宋体" w:hAnsi="宋体"/>
                <w:sz w:val="24"/>
                <w:szCs w:val="20"/>
                <w:u w:color="000000"/>
              </w:rPr>
              <w:t>货物（服务）名称</w:t>
            </w:r>
          </w:p>
        </w:tc>
        <w:tc>
          <w:tcPr>
            <w:tcW w:w="1225" w:type="dxa"/>
            <w:vAlign w:val="center"/>
          </w:tcPr>
          <w:p w14:paraId="07BDB146">
            <w:pPr>
              <w:jc w:val="center"/>
              <w:rPr>
                <w:rFonts w:ascii="宋体" w:hAnsi="宋体"/>
                <w:sz w:val="24"/>
                <w:szCs w:val="20"/>
                <w:u w:color="000000"/>
              </w:rPr>
            </w:pPr>
            <w:r>
              <w:rPr>
                <w:rFonts w:hint="eastAsia" w:ascii="宋体" w:hAnsi="宋体"/>
                <w:sz w:val="24"/>
                <w:szCs w:val="20"/>
                <w:u w:color="000000"/>
              </w:rPr>
              <w:t>主要规格</w:t>
            </w:r>
          </w:p>
        </w:tc>
        <w:tc>
          <w:tcPr>
            <w:tcW w:w="1138" w:type="dxa"/>
            <w:vAlign w:val="center"/>
          </w:tcPr>
          <w:p w14:paraId="59CA7938">
            <w:pPr>
              <w:jc w:val="center"/>
              <w:rPr>
                <w:rFonts w:ascii="宋体" w:hAnsi="宋体"/>
                <w:sz w:val="24"/>
                <w:szCs w:val="20"/>
                <w:u w:color="000000"/>
              </w:rPr>
            </w:pPr>
            <w:r>
              <w:rPr>
                <w:rFonts w:hint="eastAsia" w:ascii="宋体" w:hAnsi="宋体"/>
                <w:sz w:val="24"/>
                <w:szCs w:val="20"/>
                <w:u w:color="000000"/>
              </w:rPr>
              <w:t>数量</w:t>
            </w:r>
          </w:p>
        </w:tc>
        <w:tc>
          <w:tcPr>
            <w:tcW w:w="1275" w:type="dxa"/>
            <w:vAlign w:val="center"/>
          </w:tcPr>
          <w:p w14:paraId="7743A746">
            <w:pPr>
              <w:jc w:val="center"/>
              <w:rPr>
                <w:rFonts w:ascii="宋体" w:hAnsi="宋体"/>
                <w:sz w:val="24"/>
                <w:szCs w:val="20"/>
                <w:u w:color="000000"/>
              </w:rPr>
            </w:pPr>
            <w:r>
              <w:rPr>
                <w:rFonts w:hint="eastAsia" w:ascii="宋体" w:hAnsi="宋体"/>
                <w:sz w:val="24"/>
                <w:szCs w:val="20"/>
                <w:u w:color="000000"/>
              </w:rPr>
              <w:t>交货期</w:t>
            </w:r>
          </w:p>
        </w:tc>
        <w:tc>
          <w:tcPr>
            <w:tcW w:w="1250" w:type="dxa"/>
            <w:vAlign w:val="center"/>
          </w:tcPr>
          <w:p w14:paraId="37DBB6C4">
            <w:pPr>
              <w:jc w:val="center"/>
              <w:rPr>
                <w:rFonts w:ascii="宋体" w:hAnsi="宋体"/>
                <w:sz w:val="24"/>
                <w:szCs w:val="20"/>
                <w:u w:color="000000"/>
              </w:rPr>
            </w:pPr>
            <w:r>
              <w:rPr>
                <w:rFonts w:hint="eastAsia" w:ascii="宋体" w:hAnsi="宋体"/>
                <w:sz w:val="24"/>
                <w:szCs w:val="20"/>
                <w:u w:color="000000"/>
              </w:rPr>
              <w:t>交货地点</w:t>
            </w:r>
          </w:p>
        </w:tc>
        <w:tc>
          <w:tcPr>
            <w:tcW w:w="1690" w:type="dxa"/>
            <w:vAlign w:val="center"/>
          </w:tcPr>
          <w:p w14:paraId="6087C1C0">
            <w:pPr>
              <w:jc w:val="center"/>
              <w:rPr>
                <w:rFonts w:ascii="宋体" w:hAnsi="宋体"/>
                <w:sz w:val="24"/>
                <w:szCs w:val="20"/>
                <w:u w:color="000000"/>
              </w:rPr>
            </w:pPr>
            <w:r>
              <w:rPr>
                <w:rFonts w:hint="eastAsia" w:ascii="宋体" w:hAnsi="宋体"/>
                <w:sz w:val="24"/>
                <w:szCs w:val="20"/>
                <w:u w:color="000000"/>
              </w:rPr>
              <w:t>其它</w:t>
            </w:r>
          </w:p>
        </w:tc>
      </w:tr>
      <w:tr w14:paraId="5426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5D73EC9C">
            <w:pPr>
              <w:pStyle w:val="14"/>
              <w:spacing w:line="240" w:lineRule="atLeast"/>
              <w:ind w:left="1087" w:leftChars="257" w:hanging="540"/>
              <w:rPr>
                <w:rFonts w:hAnsi="宋体"/>
                <w:sz w:val="24"/>
              </w:rPr>
            </w:pPr>
          </w:p>
        </w:tc>
        <w:tc>
          <w:tcPr>
            <w:tcW w:w="1601" w:type="dxa"/>
          </w:tcPr>
          <w:p w14:paraId="20192724">
            <w:pPr>
              <w:pStyle w:val="14"/>
              <w:spacing w:line="240" w:lineRule="atLeast"/>
              <w:ind w:left="1087" w:leftChars="257" w:hanging="540"/>
              <w:rPr>
                <w:rFonts w:hAnsi="宋体"/>
                <w:sz w:val="24"/>
              </w:rPr>
            </w:pPr>
          </w:p>
        </w:tc>
        <w:tc>
          <w:tcPr>
            <w:tcW w:w="1225" w:type="dxa"/>
          </w:tcPr>
          <w:p w14:paraId="5B0533A5">
            <w:pPr>
              <w:pStyle w:val="14"/>
              <w:spacing w:line="240" w:lineRule="atLeast"/>
              <w:ind w:left="1087" w:leftChars="257" w:hanging="540"/>
              <w:rPr>
                <w:rFonts w:hAnsi="宋体"/>
                <w:sz w:val="24"/>
              </w:rPr>
            </w:pPr>
          </w:p>
        </w:tc>
        <w:tc>
          <w:tcPr>
            <w:tcW w:w="1138" w:type="dxa"/>
          </w:tcPr>
          <w:p w14:paraId="14DC71E1">
            <w:pPr>
              <w:pStyle w:val="14"/>
              <w:spacing w:line="240" w:lineRule="atLeast"/>
              <w:ind w:left="1087" w:leftChars="257" w:hanging="540"/>
              <w:rPr>
                <w:rFonts w:hAnsi="宋体"/>
                <w:sz w:val="24"/>
              </w:rPr>
            </w:pPr>
          </w:p>
        </w:tc>
        <w:tc>
          <w:tcPr>
            <w:tcW w:w="1275" w:type="dxa"/>
          </w:tcPr>
          <w:p w14:paraId="7F4F7D35">
            <w:pPr>
              <w:pStyle w:val="14"/>
              <w:spacing w:line="240" w:lineRule="atLeast"/>
              <w:ind w:left="1087" w:leftChars="257" w:hanging="540"/>
              <w:rPr>
                <w:rFonts w:hAnsi="宋体"/>
                <w:sz w:val="24"/>
              </w:rPr>
            </w:pPr>
          </w:p>
        </w:tc>
        <w:tc>
          <w:tcPr>
            <w:tcW w:w="1250" w:type="dxa"/>
          </w:tcPr>
          <w:p w14:paraId="0980AF93">
            <w:pPr>
              <w:pStyle w:val="14"/>
              <w:spacing w:line="240" w:lineRule="atLeast"/>
              <w:ind w:left="1087" w:leftChars="257" w:hanging="540"/>
              <w:rPr>
                <w:rFonts w:hAnsi="宋体"/>
                <w:sz w:val="24"/>
              </w:rPr>
            </w:pPr>
          </w:p>
        </w:tc>
        <w:tc>
          <w:tcPr>
            <w:tcW w:w="1690" w:type="dxa"/>
          </w:tcPr>
          <w:p w14:paraId="322048DF">
            <w:pPr>
              <w:pStyle w:val="14"/>
              <w:spacing w:line="240" w:lineRule="atLeast"/>
              <w:ind w:left="1087" w:leftChars="257" w:hanging="540"/>
              <w:rPr>
                <w:rFonts w:hAnsi="宋体"/>
                <w:sz w:val="24"/>
              </w:rPr>
            </w:pPr>
          </w:p>
        </w:tc>
      </w:tr>
      <w:tr w14:paraId="3C9D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2C31B500">
            <w:pPr>
              <w:pStyle w:val="14"/>
              <w:spacing w:line="240" w:lineRule="atLeast"/>
              <w:ind w:left="1087" w:leftChars="257" w:hanging="540"/>
              <w:rPr>
                <w:rFonts w:hAnsi="宋体"/>
                <w:sz w:val="24"/>
              </w:rPr>
            </w:pPr>
          </w:p>
        </w:tc>
        <w:tc>
          <w:tcPr>
            <w:tcW w:w="1601" w:type="dxa"/>
          </w:tcPr>
          <w:p w14:paraId="7FA2D732">
            <w:pPr>
              <w:pStyle w:val="14"/>
              <w:spacing w:line="240" w:lineRule="atLeast"/>
              <w:ind w:left="1087" w:leftChars="257" w:hanging="540"/>
              <w:rPr>
                <w:rFonts w:hAnsi="宋体"/>
                <w:sz w:val="24"/>
              </w:rPr>
            </w:pPr>
          </w:p>
        </w:tc>
        <w:tc>
          <w:tcPr>
            <w:tcW w:w="1225" w:type="dxa"/>
          </w:tcPr>
          <w:p w14:paraId="776F141A">
            <w:pPr>
              <w:pStyle w:val="14"/>
              <w:spacing w:line="240" w:lineRule="atLeast"/>
              <w:ind w:left="1087" w:leftChars="257" w:hanging="540"/>
              <w:rPr>
                <w:rFonts w:hAnsi="宋体"/>
                <w:sz w:val="24"/>
              </w:rPr>
            </w:pPr>
          </w:p>
        </w:tc>
        <w:tc>
          <w:tcPr>
            <w:tcW w:w="1138" w:type="dxa"/>
          </w:tcPr>
          <w:p w14:paraId="3B21E4FF">
            <w:pPr>
              <w:pStyle w:val="14"/>
              <w:spacing w:line="240" w:lineRule="atLeast"/>
              <w:ind w:left="1087" w:leftChars="257" w:hanging="540"/>
              <w:rPr>
                <w:rFonts w:hAnsi="宋体"/>
                <w:sz w:val="24"/>
              </w:rPr>
            </w:pPr>
          </w:p>
        </w:tc>
        <w:tc>
          <w:tcPr>
            <w:tcW w:w="1275" w:type="dxa"/>
          </w:tcPr>
          <w:p w14:paraId="6E3E5EC3">
            <w:pPr>
              <w:pStyle w:val="14"/>
              <w:spacing w:line="240" w:lineRule="atLeast"/>
              <w:ind w:left="1087" w:leftChars="257" w:hanging="540"/>
              <w:rPr>
                <w:rFonts w:hAnsi="宋体"/>
                <w:sz w:val="24"/>
              </w:rPr>
            </w:pPr>
          </w:p>
        </w:tc>
        <w:tc>
          <w:tcPr>
            <w:tcW w:w="1250" w:type="dxa"/>
          </w:tcPr>
          <w:p w14:paraId="6BA42328">
            <w:pPr>
              <w:pStyle w:val="14"/>
              <w:spacing w:line="240" w:lineRule="atLeast"/>
              <w:ind w:left="1087" w:leftChars="257" w:hanging="540"/>
              <w:rPr>
                <w:rFonts w:hAnsi="宋体"/>
                <w:sz w:val="24"/>
              </w:rPr>
            </w:pPr>
          </w:p>
        </w:tc>
        <w:tc>
          <w:tcPr>
            <w:tcW w:w="1690" w:type="dxa"/>
          </w:tcPr>
          <w:p w14:paraId="2F98D6C7">
            <w:pPr>
              <w:pStyle w:val="14"/>
              <w:spacing w:line="240" w:lineRule="atLeast"/>
              <w:ind w:left="1087" w:leftChars="257" w:hanging="540"/>
              <w:rPr>
                <w:rFonts w:hAnsi="宋体"/>
                <w:sz w:val="24"/>
              </w:rPr>
            </w:pPr>
          </w:p>
        </w:tc>
      </w:tr>
      <w:tr w14:paraId="049A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06053AE8">
            <w:pPr>
              <w:pStyle w:val="14"/>
              <w:spacing w:line="240" w:lineRule="atLeast"/>
              <w:ind w:left="1087" w:leftChars="257" w:hanging="540"/>
              <w:rPr>
                <w:rFonts w:hAnsi="宋体"/>
                <w:sz w:val="24"/>
              </w:rPr>
            </w:pPr>
          </w:p>
        </w:tc>
        <w:tc>
          <w:tcPr>
            <w:tcW w:w="1601" w:type="dxa"/>
          </w:tcPr>
          <w:p w14:paraId="44E8D93C">
            <w:pPr>
              <w:pStyle w:val="14"/>
              <w:spacing w:line="240" w:lineRule="atLeast"/>
              <w:ind w:left="1087" w:leftChars="257" w:hanging="540"/>
              <w:rPr>
                <w:rFonts w:hAnsi="宋体"/>
                <w:sz w:val="24"/>
              </w:rPr>
            </w:pPr>
          </w:p>
        </w:tc>
        <w:tc>
          <w:tcPr>
            <w:tcW w:w="1225" w:type="dxa"/>
          </w:tcPr>
          <w:p w14:paraId="491A11FF">
            <w:pPr>
              <w:pStyle w:val="14"/>
              <w:spacing w:line="240" w:lineRule="atLeast"/>
              <w:ind w:left="1087" w:leftChars="257" w:hanging="540"/>
              <w:rPr>
                <w:rFonts w:hAnsi="宋体"/>
                <w:sz w:val="24"/>
              </w:rPr>
            </w:pPr>
          </w:p>
        </w:tc>
        <w:tc>
          <w:tcPr>
            <w:tcW w:w="1138" w:type="dxa"/>
          </w:tcPr>
          <w:p w14:paraId="4918E5BB">
            <w:pPr>
              <w:pStyle w:val="14"/>
              <w:spacing w:line="240" w:lineRule="atLeast"/>
              <w:ind w:left="1087" w:leftChars="257" w:hanging="540"/>
              <w:rPr>
                <w:rFonts w:hAnsi="宋体"/>
                <w:sz w:val="24"/>
              </w:rPr>
            </w:pPr>
          </w:p>
        </w:tc>
        <w:tc>
          <w:tcPr>
            <w:tcW w:w="1275" w:type="dxa"/>
          </w:tcPr>
          <w:p w14:paraId="698333BF">
            <w:pPr>
              <w:pStyle w:val="14"/>
              <w:spacing w:line="240" w:lineRule="atLeast"/>
              <w:ind w:left="1087" w:leftChars="257" w:hanging="540"/>
              <w:rPr>
                <w:rFonts w:hAnsi="宋体"/>
                <w:sz w:val="24"/>
              </w:rPr>
            </w:pPr>
          </w:p>
        </w:tc>
        <w:tc>
          <w:tcPr>
            <w:tcW w:w="1250" w:type="dxa"/>
          </w:tcPr>
          <w:p w14:paraId="55282BAC">
            <w:pPr>
              <w:pStyle w:val="14"/>
              <w:spacing w:line="240" w:lineRule="atLeast"/>
              <w:ind w:left="1087" w:leftChars="257" w:hanging="540"/>
              <w:rPr>
                <w:rFonts w:hAnsi="宋体"/>
                <w:sz w:val="24"/>
              </w:rPr>
            </w:pPr>
          </w:p>
        </w:tc>
        <w:tc>
          <w:tcPr>
            <w:tcW w:w="1690" w:type="dxa"/>
          </w:tcPr>
          <w:p w14:paraId="5E7659E8">
            <w:pPr>
              <w:pStyle w:val="14"/>
              <w:spacing w:line="240" w:lineRule="atLeast"/>
              <w:ind w:left="1087" w:leftChars="257" w:hanging="540"/>
              <w:rPr>
                <w:rFonts w:hAnsi="宋体"/>
                <w:sz w:val="24"/>
              </w:rPr>
            </w:pPr>
          </w:p>
        </w:tc>
      </w:tr>
      <w:tr w14:paraId="1E1A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0EBF5A75">
            <w:pPr>
              <w:pStyle w:val="14"/>
              <w:spacing w:line="240" w:lineRule="atLeast"/>
              <w:ind w:left="1087" w:leftChars="257" w:hanging="540"/>
              <w:rPr>
                <w:rFonts w:hAnsi="宋体"/>
                <w:sz w:val="24"/>
              </w:rPr>
            </w:pPr>
          </w:p>
        </w:tc>
        <w:tc>
          <w:tcPr>
            <w:tcW w:w="1601" w:type="dxa"/>
          </w:tcPr>
          <w:p w14:paraId="740057BC">
            <w:pPr>
              <w:pStyle w:val="14"/>
              <w:spacing w:line="240" w:lineRule="atLeast"/>
              <w:ind w:left="1087" w:leftChars="257" w:hanging="540"/>
              <w:rPr>
                <w:rFonts w:hAnsi="宋体"/>
                <w:sz w:val="24"/>
              </w:rPr>
            </w:pPr>
          </w:p>
        </w:tc>
        <w:tc>
          <w:tcPr>
            <w:tcW w:w="1225" w:type="dxa"/>
          </w:tcPr>
          <w:p w14:paraId="344954C3">
            <w:pPr>
              <w:pStyle w:val="14"/>
              <w:spacing w:line="240" w:lineRule="atLeast"/>
              <w:ind w:left="1087" w:leftChars="257" w:hanging="540"/>
              <w:rPr>
                <w:rFonts w:hAnsi="宋体"/>
                <w:sz w:val="24"/>
              </w:rPr>
            </w:pPr>
          </w:p>
        </w:tc>
        <w:tc>
          <w:tcPr>
            <w:tcW w:w="1138" w:type="dxa"/>
          </w:tcPr>
          <w:p w14:paraId="6909E498">
            <w:pPr>
              <w:pStyle w:val="14"/>
              <w:spacing w:line="240" w:lineRule="atLeast"/>
              <w:ind w:left="1087" w:leftChars="257" w:hanging="540"/>
              <w:rPr>
                <w:rFonts w:hAnsi="宋体"/>
                <w:sz w:val="24"/>
              </w:rPr>
            </w:pPr>
          </w:p>
        </w:tc>
        <w:tc>
          <w:tcPr>
            <w:tcW w:w="1275" w:type="dxa"/>
          </w:tcPr>
          <w:p w14:paraId="2759F3EB">
            <w:pPr>
              <w:pStyle w:val="14"/>
              <w:spacing w:line="240" w:lineRule="atLeast"/>
              <w:ind w:left="1087" w:leftChars="257" w:hanging="540"/>
              <w:rPr>
                <w:rFonts w:hAnsi="宋体"/>
                <w:sz w:val="24"/>
              </w:rPr>
            </w:pPr>
          </w:p>
        </w:tc>
        <w:tc>
          <w:tcPr>
            <w:tcW w:w="1250" w:type="dxa"/>
          </w:tcPr>
          <w:p w14:paraId="37BB47EF">
            <w:pPr>
              <w:pStyle w:val="14"/>
              <w:spacing w:line="240" w:lineRule="atLeast"/>
              <w:ind w:left="1087" w:leftChars="257" w:hanging="540"/>
              <w:rPr>
                <w:rFonts w:hAnsi="宋体"/>
                <w:sz w:val="24"/>
              </w:rPr>
            </w:pPr>
          </w:p>
        </w:tc>
        <w:tc>
          <w:tcPr>
            <w:tcW w:w="1690" w:type="dxa"/>
          </w:tcPr>
          <w:p w14:paraId="23A54B93">
            <w:pPr>
              <w:pStyle w:val="14"/>
              <w:spacing w:line="240" w:lineRule="atLeast"/>
              <w:ind w:left="1087" w:leftChars="257" w:hanging="540"/>
              <w:rPr>
                <w:rFonts w:hAnsi="宋体"/>
                <w:sz w:val="24"/>
              </w:rPr>
            </w:pPr>
          </w:p>
        </w:tc>
      </w:tr>
      <w:tr w14:paraId="50A3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6" w:type="dxa"/>
          </w:tcPr>
          <w:p w14:paraId="2A692F9C">
            <w:pPr>
              <w:pStyle w:val="14"/>
              <w:spacing w:line="240" w:lineRule="atLeast"/>
              <w:ind w:left="1087" w:leftChars="257" w:hanging="540"/>
              <w:rPr>
                <w:rFonts w:hAnsi="宋体"/>
                <w:sz w:val="24"/>
              </w:rPr>
            </w:pPr>
          </w:p>
        </w:tc>
        <w:tc>
          <w:tcPr>
            <w:tcW w:w="1601" w:type="dxa"/>
          </w:tcPr>
          <w:p w14:paraId="45EC26E0">
            <w:pPr>
              <w:pStyle w:val="14"/>
              <w:spacing w:line="240" w:lineRule="atLeast"/>
              <w:ind w:left="1087" w:leftChars="257" w:hanging="540"/>
              <w:rPr>
                <w:rFonts w:hAnsi="宋体"/>
                <w:sz w:val="24"/>
              </w:rPr>
            </w:pPr>
          </w:p>
        </w:tc>
        <w:tc>
          <w:tcPr>
            <w:tcW w:w="1225" w:type="dxa"/>
          </w:tcPr>
          <w:p w14:paraId="3DE3ACCF">
            <w:pPr>
              <w:pStyle w:val="14"/>
              <w:spacing w:line="240" w:lineRule="atLeast"/>
              <w:ind w:left="1087" w:leftChars="257" w:hanging="540"/>
              <w:rPr>
                <w:rFonts w:hAnsi="宋体"/>
                <w:sz w:val="24"/>
              </w:rPr>
            </w:pPr>
          </w:p>
        </w:tc>
        <w:tc>
          <w:tcPr>
            <w:tcW w:w="1138" w:type="dxa"/>
          </w:tcPr>
          <w:p w14:paraId="601DFE6D">
            <w:pPr>
              <w:pStyle w:val="14"/>
              <w:spacing w:line="240" w:lineRule="atLeast"/>
              <w:ind w:left="1087" w:leftChars="257" w:hanging="540"/>
              <w:rPr>
                <w:rFonts w:hAnsi="宋体"/>
                <w:sz w:val="24"/>
              </w:rPr>
            </w:pPr>
          </w:p>
        </w:tc>
        <w:tc>
          <w:tcPr>
            <w:tcW w:w="1275" w:type="dxa"/>
          </w:tcPr>
          <w:p w14:paraId="616A81B5">
            <w:pPr>
              <w:pStyle w:val="14"/>
              <w:spacing w:line="240" w:lineRule="atLeast"/>
              <w:ind w:left="1087" w:leftChars="257" w:hanging="540"/>
              <w:rPr>
                <w:rFonts w:hAnsi="宋体"/>
                <w:sz w:val="24"/>
              </w:rPr>
            </w:pPr>
          </w:p>
        </w:tc>
        <w:tc>
          <w:tcPr>
            <w:tcW w:w="1250" w:type="dxa"/>
          </w:tcPr>
          <w:p w14:paraId="3C9B236E">
            <w:pPr>
              <w:pStyle w:val="14"/>
              <w:spacing w:line="240" w:lineRule="atLeast"/>
              <w:ind w:left="1087" w:leftChars="257" w:hanging="540"/>
              <w:rPr>
                <w:rFonts w:hAnsi="宋体"/>
                <w:sz w:val="24"/>
              </w:rPr>
            </w:pPr>
          </w:p>
        </w:tc>
        <w:tc>
          <w:tcPr>
            <w:tcW w:w="1690" w:type="dxa"/>
          </w:tcPr>
          <w:p w14:paraId="18BB223F">
            <w:pPr>
              <w:pStyle w:val="14"/>
              <w:spacing w:line="240" w:lineRule="atLeast"/>
              <w:ind w:left="1087" w:leftChars="257" w:hanging="540"/>
              <w:rPr>
                <w:rFonts w:hAnsi="宋体"/>
                <w:sz w:val="24"/>
              </w:rPr>
            </w:pPr>
          </w:p>
        </w:tc>
      </w:tr>
      <w:tr w14:paraId="7820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96" w:type="dxa"/>
          </w:tcPr>
          <w:p w14:paraId="3811A5A3">
            <w:pPr>
              <w:pStyle w:val="14"/>
              <w:spacing w:line="240" w:lineRule="atLeast"/>
              <w:ind w:left="1087" w:leftChars="257" w:hanging="540"/>
              <w:rPr>
                <w:rFonts w:hAnsi="宋体"/>
                <w:sz w:val="24"/>
              </w:rPr>
            </w:pPr>
          </w:p>
        </w:tc>
        <w:tc>
          <w:tcPr>
            <w:tcW w:w="1601" w:type="dxa"/>
          </w:tcPr>
          <w:p w14:paraId="7B2145BC">
            <w:pPr>
              <w:pStyle w:val="14"/>
              <w:spacing w:line="240" w:lineRule="atLeast"/>
              <w:ind w:left="1087" w:leftChars="257" w:hanging="540"/>
              <w:rPr>
                <w:rFonts w:hAnsi="宋体"/>
                <w:sz w:val="24"/>
              </w:rPr>
            </w:pPr>
          </w:p>
        </w:tc>
        <w:tc>
          <w:tcPr>
            <w:tcW w:w="1225" w:type="dxa"/>
          </w:tcPr>
          <w:p w14:paraId="38924279">
            <w:pPr>
              <w:pStyle w:val="14"/>
              <w:spacing w:line="240" w:lineRule="atLeast"/>
              <w:ind w:left="1087" w:leftChars="257" w:hanging="540"/>
              <w:rPr>
                <w:rFonts w:hAnsi="宋体"/>
                <w:sz w:val="24"/>
              </w:rPr>
            </w:pPr>
          </w:p>
        </w:tc>
        <w:tc>
          <w:tcPr>
            <w:tcW w:w="1138" w:type="dxa"/>
          </w:tcPr>
          <w:p w14:paraId="15D4562F">
            <w:pPr>
              <w:pStyle w:val="14"/>
              <w:spacing w:line="240" w:lineRule="atLeast"/>
              <w:ind w:left="1087" w:leftChars="257" w:hanging="540"/>
              <w:rPr>
                <w:rFonts w:hAnsi="宋体"/>
                <w:sz w:val="24"/>
              </w:rPr>
            </w:pPr>
          </w:p>
        </w:tc>
        <w:tc>
          <w:tcPr>
            <w:tcW w:w="1275" w:type="dxa"/>
          </w:tcPr>
          <w:p w14:paraId="46A8F475">
            <w:pPr>
              <w:pStyle w:val="14"/>
              <w:spacing w:line="240" w:lineRule="atLeast"/>
              <w:ind w:left="1087" w:leftChars="257" w:hanging="540"/>
              <w:rPr>
                <w:rFonts w:hAnsi="宋体"/>
                <w:sz w:val="24"/>
              </w:rPr>
            </w:pPr>
          </w:p>
        </w:tc>
        <w:tc>
          <w:tcPr>
            <w:tcW w:w="1250" w:type="dxa"/>
          </w:tcPr>
          <w:p w14:paraId="34B642C8">
            <w:pPr>
              <w:pStyle w:val="14"/>
              <w:spacing w:line="240" w:lineRule="atLeast"/>
              <w:ind w:left="1087" w:leftChars="257" w:hanging="540"/>
              <w:rPr>
                <w:rFonts w:hAnsi="宋体"/>
                <w:sz w:val="24"/>
              </w:rPr>
            </w:pPr>
          </w:p>
        </w:tc>
        <w:tc>
          <w:tcPr>
            <w:tcW w:w="1690" w:type="dxa"/>
          </w:tcPr>
          <w:p w14:paraId="753B8BC2">
            <w:pPr>
              <w:pStyle w:val="14"/>
              <w:spacing w:line="240" w:lineRule="atLeast"/>
              <w:ind w:left="1087" w:leftChars="257" w:hanging="540"/>
              <w:rPr>
                <w:rFonts w:hAnsi="宋体"/>
                <w:sz w:val="24"/>
              </w:rPr>
            </w:pPr>
          </w:p>
        </w:tc>
      </w:tr>
      <w:tr w14:paraId="75E3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96" w:type="dxa"/>
          </w:tcPr>
          <w:p w14:paraId="23422596">
            <w:pPr>
              <w:pStyle w:val="14"/>
              <w:spacing w:line="240" w:lineRule="atLeast"/>
              <w:ind w:left="1087" w:leftChars="257" w:hanging="540"/>
              <w:rPr>
                <w:rFonts w:hAnsi="宋体"/>
                <w:sz w:val="24"/>
              </w:rPr>
            </w:pPr>
          </w:p>
        </w:tc>
        <w:tc>
          <w:tcPr>
            <w:tcW w:w="1601" w:type="dxa"/>
          </w:tcPr>
          <w:p w14:paraId="5B63A350">
            <w:pPr>
              <w:pStyle w:val="14"/>
              <w:spacing w:line="240" w:lineRule="atLeast"/>
              <w:ind w:left="1087" w:leftChars="257" w:hanging="540"/>
              <w:rPr>
                <w:rFonts w:hAnsi="宋体"/>
                <w:sz w:val="24"/>
              </w:rPr>
            </w:pPr>
          </w:p>
        </w:tc>
        <w:tc>
          <w:tcPr>
            <w:tcW w:w="1225" w:type="dxa"/>
          </w:tcPr>
          <w:p w14:paraId="2BAEF7A8">
            <w:pPr>
              <w:pStyle w:val="14"/>
              <w:spacing w:line="240" w:lineRule="atLeast"/>
              <w:ind w:left="1087" w:leftChars="257" w:hanging="540"/>
              <w:rPr>
                <w:rFonts w:hAnsi="宋体"/>
                <w:sz w:val="24"/>
              </w:rPr>
            </w:pPr>
          </w:p>
        </w:tc>
        <w:tc>
          <w:tcPr>
            <w:tcW w:w="1138" w:type="dxa"/>
          </w:tcPr>
          <w:p w14:paraId="505B615F">
            <w:pPr>
              <w:pStyle w:val="14"/>
              <w:spacing w:line="240" w:lineRule="atLeast"/>
              <w:ind w:left="1087" w:leftChars="257" w:hanging="540"/>
              <w:rPr>
                <w:rFonts w:hAnsi="宋体"/>
                <w:sz w:val="24"/>
              </w:rPr>
            </w:pPr>
          </w:p>
        </w:tc>
        <w:tc>
          <w:tcPr>
            <w:tcW w:w="1275" w:type="dxa"/>
          </w:tcPr>
          <w:p w14:paraId="7F44EC5A">
            <w:pPr>
              <w:pStyle w:val="14"/>
              <w:spacing w:line="240" w:lineRule="atLeast"/>
              <w:ind w:left="1087" w:leftChars="257" w:hanging="540"/>
              <w:rPr>
                <w:rFonts w:hAnsi="宋体"/>
                <w:sz w:val="24"/>
              </w:rPr>
            </w:pPr>
          </w:p>
        </w:tc>
        <w:tc>
          <w:tcPr>
            <w:tcW w:w="1250" w:type="dxa"/>
          </w:tcPr>
          <w:p w14:paraId="1D613298">
            <w:pPr>
              <w:pStyle w:val="14"/>
              <w:spacing w:line="240" w:lineRule="atLeast"/>
              <w:ind w:left="1087" w:leftChars="257" w:hanging="540"/>
              <w:rPr>
                <w:rFonts w:hAnsi="宋体"/>
                <w:sz w:val="24"/>
              </w:rPr>
            </w:pPr>
          </w:p>
        </w:tc>
        <w:tc>
          <w:tcPr>
            <w:tcW w:w="1690" w:type="dxa"/>
          </w:tcPr>
          <w:p w14:paraId="77EC10BF">
            <w:pPr>
              <w:pStyle w:val="14"/>
              <w:spacing w:line="240" w:lineRule="atLeast"/>
              <w:ind w:left="1087" w:leftChars="257" w:hanging="540"/>
              <w:rPr>
                <w:rFonts w:hAnsi="宋体"/>
                <w:sz w:val="24"/>
              </w:rPr>
            </w:pPr>
          </w:p>
        </w:tc>
      </w:tr>
      <w:tr w14:paraId="1BD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6" w:type="dxa"/>
          </w:tcPr>
          <w:p w14:paraId="6F478422">
            <w:pPr>
              <w:pStyle w:val="14"/>
              <w:spacing w:line="240" w:lineRule="atLeast"/>
              <w:ind w:left="1087" w:leftChars="257" w:hanging="540"/>
              <w:rPr>
                <w:rFonts w:hAnsi="宋体"/>
                <w:sz w:val="24"/>
              </w:rPr>
            </w:pPr>
          </w:p>
        </w:tc>
        <w:tc>
          <w:tcPr>
            <w:tcW w:w="1601" w:type="dxa"/>
          </w:tcPr>
          <w:p w14:paraId="2782DB4C">
            <w:pPr>
              <w:pStyle w:val="14"/>
              <w:spacing w:line="240" w:lineRule="atLeast"/>
              <w:ind w:left="1087" w:leftChars="257" w:hanging="540"/>
              <w:rPr>
                <w:rFonts w:hAnsi="宋体"/>
                <w:sz w:val="24"/>
              </w:rPr>
            </w:pPr>
          </w:p>
        </w:tc>
        <w:tc>
          <w:tcPr>
            <w:tcW w:w="1225" w:type="dxa"/>
          </w:tcPr>
          <w:p w14:paraId="1169594F">
            <w:pPr>
              <w:pStyle w:val="14"/>
              <w:spacing w:line="240" w:lineRule="atLeast"/>
              <w:ind w:left="1087" w:leftChars="257" w:hanging="540"/>
              <w:rPr>
                <w:rFonts w:hAnsi="宋体"/>
                <w:sz w:val="24"/>
              </w:rPr>
            </w:pPr>
          </w:p>
        </w:tc>
        <w:tc>
          <w:tcPr>
            <w:tcW w:w="1138" w:type="dxa"/>
          </w:tcPr>
          <w:p w14:paraId="057B5AF8">
            <w:pPr>
              <w:pStyle w:val="14"/>
              <w:spacing w:line="240" w:lineRule="atLeast"/>
              <w:ind w:left="1087" w:leftChars="257" w:hanging="540"/>
              <w:rPr>
                <w:rFonts w:hAnsi="宋体"/>
                <w:sz w:val="24"/>
              </w:rPr>
            </w:pPr>
          </w:p>
        </w:tc>
        <w:tc>
          <w:tcPr>
            <w:tcW w:w="1275" w:type="dxa"/>
          </w:tcPr>
          <w:p w14:paraId="3A814D4B">
            <w:pPr>
              <w:pStyle w:val="14"/>
              <w:spacing w:line="240" w:lineRule="atLeast"/>
              <w:ind w:left="1087" w:leftChars="257" w:hanging="540"/>
              <w:rPr>
                <w:rFonts w:hAnsi="宋体"/>
                <w:sz w:val="24"/>
              </w:rPr>
            </w:pPr>
          </w:p>
        </w:tc>
        <w:tc>
          <w:tcPr>
            <w:tcW w:w="1250" w:type="dxa"/>
          </w:tcPr>
          <w:p w14:paraId="6D13CB31">
            <w:pPr>
              <w:pStyle w:val="14"/>
              <w:spacing w:line="240" w:lineRule="atLeast"/>
              <w:ind w:left="1087" w:leftChars="257" w:hanging="540"/>
              <w:rPr>
                <w:rFonts w:hAnsi="宋体"/>
                <w:sz w:val="24"/>
              </w:rPr>
            </w:pPr>
          </w:p>
        </w:tc>
        <w:tc>
          <w:tcPr>
            <w:tcW w:w="1690" w:type="dxa"/>
          </w:tcPr>
          <w:p w14:paraId="5A0ACA86">
            <w:pPr>
              <w:pStyle w:val="14"/>
              <w:spacing w:line="240" w:lineRule="atLeast"/>
              <w:ind w:left="1087" w:leftChars="257" w:hanging="540"/>
              <w:rPr>
                <w:rFonts w:hAnsi="宋体"/>
                <w:sz w:val="24"/>
              </w:rPr>
            </w:pPr>
          </w:p>
        </w:tc>
      </w:tr>
    </w:tbl>
    <w:p w14:paraId="31D0D69E">
      <w:pPr>
        <w:pStyle w:val="14"/>
        <w:spacing w:line="240" w:lineRule="atLeast"/>
        <w:ind w:left="1087" w:leftChars="257" w:hanging="540"/>
        <w:rPr>
          <w:rFonts w:hAnsi="宋体"/>
          <w:sz w:val="24"/>
        </w:rPr>
      </w:pPr>
    </w:p>
    <w:p w14:paraId="612B60F4">
      <w:pPr>
        <w:pStyle w:val="14"/>
        <w:spacing w:line="360" w:lineRule="auto"/>
        <w:ind w:left="1087" w:leftChars="257" w:hanging="540"/>
        <w:rPr>
          <w:rFonts w:hAnsi="宋体"/>
          <w:sz w:val="24"/>
        </w:rPr>
      </w:pPr>
      <w:r>
        <w:rPr>
          <w:rFonts w:hint="eastAsia" w:hAnsi="宋体"/>
          <w:sz w:val="24"/>
        </w:rPr>
        <w:t>法定代表人或其委托代理人签字: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6747D005">
      <w:pPr>
        <w:pStyle w:val="14"/>
        <w:tabs>
          <w:tab w:val="left" w:pos="5370"/>
        </w:tabs>
        <w:spacing w:line="360" w:lineRule="auto"/>
        <w:ind w:left="1087" w:leftChars="257" w:hanging="540"/>
        <w:rPr>
          <w:rFonts w:hAnsi="宋体"/>
          <w:sz w:val="24"/>
          <w:u w:val="single"/>
        </w:rPr>
      </w:pPr>
      <w:r>
        <w:rPr>
          <w:rFonts w:hint="eastAsia" w:hAnsi="宋体"/>
          <w:sz w:val="24"/>
        </w:rPr>
        <w:t>投标人(盖单位章):</w:t>
      </w:r>
      <w:r>
        <w:rPr>
          <w:rFonts w:hint="eastAsia" w:hAnsi="宋体"/>
          <w:sz w:val="24"/>
          <w:u w:val="single"/>
        </w:rPr>
        <w:tab/>
      </w:r>
    </w:p>
    <w:p w14:paraId="4E18783A">
      <w:pPr>
        <w:pStyle w:val="15"/>
        <w:ind w:left="0" w:leftChars="0" w:firstLine="486" w:firstLineChars="200"/>
        <w:jc w:val="left"/>
      </w:pPr>
      <w:r>
        <w:rPr>
          <w:rFonts w:hint="eastAsia" w:ascii="宋体" w:hAnsi="宋体" w:cs="宋体"/>
          <w:sz w:val="24"/>
          <w:szCs w:val="20"/>
        </w:rPr>
        <w:t>日期：</w:t>
      </w:r>
      <w:r>
        <w:rPr>
          <w:rFonts w:hint="eastAsia" w:ascii="宋体" w:hAnsi="宋体" w:eastAsia="宋体" w:cs="宋体"/>
          <w:spacing w:val="6"/>
          <w:sz w:val="21"/>
          <w:szCs w:val="21"/>
          <w:highlight w:val="none"/>
        </w:rPr>
        <w:t> 年　  月　  日   </w:t>
      </w:r>
    </w:p>
    <w:p w14:paraId="79D5EAB1">
      <w:pPr>
        <w:pStyle w:val="14"/>
        <w:spacing w:line="240" w:lineRule="atLeast"/>
        <w:ind w:left="1087" w:leftChars="257" w:hanging="540"/>
        <w:rPr>
          <w:rFonts w:hAnsi="宋体"/>
          <w:sz w:val="24"/>
        </w:rPr>
      </w:pPr>
    </w:p>
    <w:p w14:paraId="13BCA640">
      <w:pPr>
        <w:pStyle w:val="14"/>
        <w:spacing w:line="240" w:lineRule="atLeast"/>
        <w:ind w:left="1087" w:leftChars="257" w:hanging="540"/>
        <w:jc w:val="center"/>
        <w:rPr>
          <w:rFonts w:hAnsi="宋体"/>
          <w:sz w:val="24"/>
        </w:rPr>
      </w:pPr>
    </w:p>
    <w:p w14:paraId="0990CE88">
      <w:pPr>
        <w:pStyle w:val="14"/>
        <w:spacing w:line="240" w:lineRule="atLeast"/>
        <w:ind w:left="1087" w:leftChars="257" w:hanging="540"/>
        <w:jc w:val="center"/>
        <w:rPr>
          <w:rFonts w:hAnsi="宋体"/>
          <w:sz w:val="24"/>
        </w:rPr>
        <w:sectPr>
          <w:headerReference r:id="rId5" w:type="default"/>
          <w:footerReference r:id="rId6" w:type="default"/>
          <w:pgSz w:w="11905" w:h="16838"/>
          <w:pgMar w:top="1304" w:right="1417" w:bottom="1304" w:left="1417" w:header="850" w:footer="992" w:gutter="0"/>
          <w:cols w:space="720" w:num="1"/>
          <w:docGrid w:type="linesAndChars" w:linePitch="325" w:charSpace="635"/>
        </w:sectPr>
      </w:pPr>
    </w:p>
    <w:p w14:paraId="4AE952EB">
      <w:pPr>
        <w:pStyle w:val="3"/>
        <w:spacing w:before="0" w:line="240" w:lineRule="atLeast"/>
        <w:rPr>
          <w:rFonts w:ascii="宋体" w:hAnsi="宋体" w:eastAsia="宋体"/>
          <w:bCs/>
          <w:sz w:val="24"/>
        </w:rPr>
      </w:pPr>
      <w:bookmarkStart w:id="139" w:name="_Toc12170"/>
      <w:r>
        <w:rPr>
          <w:rFonts w:hint="eastAsia" w:ascii="宋体" w:hAnsi="宋体" w:eastAsia="宋体"/>
          <w:bCs/>
          <w:sz w:val="24"/>
        </w:rPr>
        <w:t>4、技术规格偏离表</w:t>
      </w:r>
      <w:bookmarkEnd w:id="130"/>
      <w:r>
        <w:rPr>
          <w:rFonts w:hint="eastAsia" w:ascii="宋体" w:hAnsi="宋体" w:eastAsia="宋体"/>
          <w:bCs/>
          <w:sz w:val="24"/>
        </w:rPr>
        <w:t>（投标文件格式七）</w:t>
      </w:r>
      <w:bookmarkEnd w:id="131"/>
      <w:bookmarkEnd w:id="132"/>
      <w:bookmarkEnd w:id="133"/>
      <w:bookmarkEnd w:id="139"/>
    </w:p>
    <w:p w14:paraId="4838FC25">
      <w:pPr>
        <w:pStyle w:val="14"/>
        <w:spacing w:line="240" w:lineRule="atLeast"/>
        <w:ind w:left="1080" w:leftChars="257" w:hanging="540"/>
        <w:rPr>
          <w:rFonts w:hAnsi="宋体"/>
          <w:sz w:val="24"/>
        </w:rPr>
      </w:pPr>
    </w:p>
    <w:p w14:paraId="225DF394">
      <w:pPr>
        <w:pStyle w:val="14"/>
        <w:spacing w:line="240" w:lineRule="atLeast"/>
        <w:rPr>
          <w:rFonts w:hAnsi="宋体"/>
          <w:sz w:val="24"/>
        </w:rPr>
      </w:pPr>
      <w:r>
        <w:rPr>
          <w:rFonts w:hint="eastAsia" w:hAnsi="宋体"/>
          <w:sz w:val="24"/>
        </w:rPr>
        <w:t xml:space="preserve">项目名称:                   </w:t>
      </w:r>
      <w:r>
        <w:rPr>
          <w:rFonts w:hint="eastAsia" w:hAnsi="宋体"/>
          <w:sz w:val="24"/>
          <w:lang w:eastAsia="zh-CN"/>
        </w:rPr>
        <w:t>项目</w:t>
      </w:r>
      <w:r>
        <w:rPr>
          <w:rFonts w:hint="eastAsia" w:hAnsi="宋体"/>
          <w:sz w:val="24"/>
        </w:rPr>
        <w:t xml:space="preserve">编号:                 </w:t>
      </w:r>
    </w:p>
    <w:p w14:paraId="432BBC60">
      <w:pPr>
        <w:pStyle w:val="14"/>
        <w:spacing w:line="240" w:lineRule="atLeast"/>
        <w:ind w:left="1080" w:leftChars="257" w:hanging="540"/>
        <w:rPr>
          <w:rFonts w:hAnsi="宋体"/>
          <w:sz w:val="24"/>
        </w:rPr>
      </w:pPr>
    </w:p>
    <w:tbl>
      <w:tblPr>
        <w:tblStyle w:val="27"/>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21DF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jc w:val="center"/>
        </w:trPr>
        <w:tc>
          <w:tcPr>
            <w:tcW w:w="828" w:type="dxa"/>
            <w:vAlign w:val="center"/>
          </w:tcPr>
          <w:p w14:paraId="03B516DD">
            <w:pPr>
              <w:pStyle w:val="14"/>
              <w:spacing w:line="240" w:lineRule="atLeast"/>
              <w:jc w:val="center"/>
              <w:rPr>
                <w:rFonts w:hAnsi="宋体"/>
                <w:sz w:val="24"/>
              </w:rPr>
            </w:pPr>
            <w:r>
              <w:rPr>
                <w:rFonts w:hint="eastAsia" w:hAnsi="宋体"/>
                <w:sz w:val="24"/>
              </w:rPr>
              <w:t>序号</w:t>
            </w:r>
          </w:p>
        </w:tc>
        <w:tc>
          <w:tcPr>
            <w:tcW w:w="1260" w:type="dxa"/>
            <w:vAlign w:val="center"/>
          </w:tcPr>
          <w:p w14:paraId="41E8D5AC">
            <w:pPr>
              <w:pStyle w:val="14"/>
              <w:spacing w:line="240" w:lineRule="atLeast"/>
              <w:jc w:val="center"/>
              <w:rPr>
                <w:rFonts w:hAnsi="宋体"/>
                <w:sz w:val="24"/>
              </w:rPr>
            </w:pPr>
            <w:r>
              <w:rPr>
                <w:rFonts w:hint="eastAsia" w:hAnsi="宋体"/>
                <w:sz w:val="24"/>
              </w:rPr>
              <w:t>货物（服务）名称</w:t>
            </w:r>
          </w:p>
        </w:tc>
        <w:tc>
          <w:tcPr>
            <w:tcW w:w="1640" w:type="dxa"/>
            <w:vAlign w:val="center"/>
          </w:tcPr>
          <w:p w14:paraId="56B4DB79">
            <w:pPr>
              <w:pStyle w:val="14"/>
              <w:spacing w:line="240" w:lineRule="atLeast"/>
              <w:ind w:left="269" w:leftChars="128"/>
              <w:jc w:val="center"/>
              <w:rPr>
                <w:rFonts w:hAnsi="宋体"/>
                <w:sz w:val="24"/>
              </w:rPr>
            </w:pPr>
            <w:r>
              <w:rPr>
                <w:rFonts w:hint="eastAsia" w:hAnsi="宋体"/>
                <w:sz w:val="24"/>
              </w:rPr>
              <w:t>招标文件条款号</w:t>
            </w:r>
          </w:p>
        </w:tc>
        <w:tc>
          <w:tcPr>
            <w:tcW w:w="1186" w:type="dxa"/>
            <w:vAlign w:val="center"/>
          </w:tcPr>
          <w:p w14:paraId="61176B8A">
            <w:pPr>
              <w:pStyle w:val="14"/>
              <w:spacing w:line="240" w:lineRule="atLeast"/>
              <w:jc w:val="center"/>
              <w:rPr>
                <w:rFonts w:hAnsi="宋体"/>
                <w:sz w:val="24"/>
              </w:rPr>
            </w:pPr>
            <w:r>
              <w:rPr>
                <w:rFonts w:hint="eastAsia" w:hAnsi="宋体"/>
                <w:sz w:val="24"/>
              </w:rPr>
              <w:t>招标规格</w:t>
            </w:r>
          </w:p>
        </w:tc>
        <w:tc>
          <w:tcPr>
            <w:tcW w:w="1282" w:type="dxa"/>
            <w:vAlign w:val="center"/>
          </w:tcPr>
          <w:p w14:paraId="21CF23F1">
            <w:pPr>
              <w:pStyle w:val="14"/>
              <w:spacing w:line="240" w:lineRule="atLeast"/>
              <w:jc w:val="center"/>
              <w:rPr>
                <w:rFonts w:hAnsi="宋体"/>
                <w:sz w:val="24"/>
              </w:rPr>
            </w:pPr>
            <w:r>
              <w:rPr>
                <w:rFonts w:hint="eastAsia" w:hAnsi="宋体"/>
                <w:sz w:val="24"/>
              </w:rPr>
              <w:t>投标规格</w:t>
            </w:r>
          </w:p>
        </w:tc>
        <w:tc>
          <w:tcPr>
            <w:tcW w:w="2414" w:type="dxa"/>
            <w:vAlign w:val="center"/>
          </w:tcPr>
          <w:p w14:paraId="153B1FD0">
            <w:pPr>
              <w:pStyle w:val="14"/>
              <w:spacing w:line="240" w:lineRule="atLeast"/>
              <w:jc w:val="center"/>
              <w:rPr>
                <w:rFonts w:hAnsi="宋体"/>
                <w:sz w:val="24"/>
              </w:rPr>
            </w:pPr>
            <w:r>
              <w:rPr>
                <w:rFonts w:hint="eastAsia" w:hAnsi="宋体"/>
                <w:sz w:val="24"/>
              </w:rPr>
              <w:t>偏离</w:t>
            </w:r>
          </w:p>
        </w:tc>
        <w:tc>
          <w:tcPr>
            <w:tcW w:w="700" w:type="dxa"/>
            <w:vAlign w:val="center"/>
          </w:tcPr>
          <w:p w14:paraId="3D176873">
            <w:pPr>
              <w:pStyle w:val="14"/>
              <w:spacing w:line="240" w:lineRule="atLeast"/>
              <w:jc w:val="center"/>
              <w:rPr>
                <w:rFonts w:hAnsi="宋体"/>
                <w:sz w:val="24"/>
              </w:rPr>
            </w:pPr>
            <w:r>
              <w:rPr>
                <w:rFonts w:hint="eastAsia" w:hAnsi="宋体"/>
                <w:sz w:val="24"/>
              </w:rPr>
              <w:t>说明</w:t>
            </w:r>
          </w:p>
        </w:tc>
      </w:tr>
      <w:tr w14:paraId="137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1D1BEFC">
            <w:pPr>
              <w:pStyle w:val="14"/>
              <w:spacing w:line="240" w:lineRule="atLeast"/>
              <w:ind w:left="1080" w:leftChars="257" w:hanging="540"/>
              <w:rPr>
                <w:rFonts w:hAnsi="宋体"/>
                <w:sz w:val="24"/>
              </w:rPr>
            </w:pPr>
          </w:p>
        </w:tc>
        <w:tc>
          <w:tcPr>
            <w:tcW w:w="1260" w:type="dxa"/>
          </w:tcPr>
          <w:p w14:paraId="5DFCCB6B">
            <w:pPr>
              <w:pStyle w:val="14"/>
              <w:spacing w:line="240" w:lineRule="atLeast"/>
              <w:ind w:left="1080" w:leftChars="257" w:hanging="540"/>
              <w:rPr>
                <w:rFonts w:hAnsi="宋体"/>
                <w:sz w:val="24"/>
              </w:rPr>
            </w:pPr>
          </w:p>
        </w:tc>
        <w:tc>
          <w:tcPr>
            <w:tcW w:w="1640" w:type="dxa"/>
          </w:tcPr>
          <w:p w14:paraId="6748B03D">
            <w:pPr>
              <w:pStyle w:val="14"/>
              <w:spacing w:line="240" w:lineRule="atLeast"/>
              <w:ind w:left="1080" w:leftChars="257" w:hanging="540"/>
              <w:rPr>
                <w:rFonts w:hAnsi="宋体"/>
                <w:sz w:val="24"/>
              </w:rPr>
            </w:pPr>
          </w:p>
        </w:tc>
        <w:tc>
          <w:tcPr>
            <w:tcW w:w="1186" w:type="dxa"/>
          </w:tcPr>
          <w:p w14:paraId="708E1AAC">
            <w:pPr>
              <w:pStyle w:val="14"/>
              <w:spacing w:line="240" w:lineRule="atLeast"/>
              <w:ind w:left="1080" w:leftChars="257" w:hanging="540"/>
              <w:rPr>
                <w:rFonts w:hAnsi="宋体"/>
                <w:sz w:val="24"/>
              </w:rPr>
            </w:pPr>
          </w:p>
        </w:tc>
        <w:tc>
          <w:tcPr>
            <w:tcW w:w="1282" w:type="dxa"/>
          </w:tcPr>
          <w:p w14:paraId="5A047548">
            <w:pPr>
              <w:pStyle w:val="14"/>
              <w:spacing w:line="240" w:lineRule="atLeast"/>
              <w:ind w:left="1080" w:leftChars="257" w:hanging="540"/>
              <w:rPr>
                <w:rFonts w:hAnsi="宋体"/>
                <w:sz w:val="24"/>
              </w:rPr>
            </w:pPr>
          </w:p>
        </w:tc>
        <w:tc>
          <w:tcPr>
            <w:tcW w:w="2414" w:type="dxa"/>
            <w:vAlign w:val="center"/>
          </w:tcPr>
          <w:p w14:paraId="7CA33118">
            <w:pPr>
              <w:pStyle w:val="14"/>
              <w:spacing w:line="240" w:lineRule="atLeast"/>
              <w:jc w:val="left"/>
              <w:rPr>
                <w:rFonts w:hAnsi="宋体"/>
                <w:sz w:val="24"/>
              </w:rPr>
            </w:pPr>
            <w:r>
              <w:rPr>
                <w:rFonts w:hint="eastAsia" w:hAnsi="宋体"/>
                <w:b/>
                <w:bCs/>
                <w:sz w:val="24"/>
                <w:u w:val="single"/>
              </w:rPr>
              <w:t>如有正偏离需提供证明材料，证明材料附后(并注明页码)</w:t>
            </w:r>
          </w:p>
        </w:tc>
        <w:tc>
          <w:tcPr>
            <w:tcW w:w="700" w:type="dxa"/>
          </w:tcPr>
          <w:p w14:paraId="6333A45D">
            <w:pPr>
              <w:pStyle w:val="14"/>
              <w:spacing w:line="240" w:lineRule="atLeast"/>
              <w:ind w:left="1080" w:leftChars="257" w:hanging="540"/>
              <w:rPr>
                <w:rFonts w:hAnsi="宋体"/>
                <w:sz w:val="24"/>
              </w:rPr>
            </w:pPr>
          </w:p>
        </w:tc>
      </w:tr>
      <w:tr w14:paraId="50EF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117850C4">
            <w:pPr>
              <w:pStyle w:val="14"/>
              <w:spacing w:line="240" w:lineRule="atLeast"/>
              <w:ind w:left="1080" w:leftChars="257" w:hanging="540"/>
              <w:rPr>
                <w:rFonts w:hAnsi="宋体"/>
                <w:sz w:val="24"/>
              </w:rPr>
            </w:pPr>
          </w:p>
        </w:tc>
        <w:tc>
          <w:tcPr>
            <w:tcW w:w="1260" w:type="dxa"/>
          </w:tcPr>
          <w:p w14:paraId="40D8F06A">
            <w:pPr>
              <w:pStyle w:val="14"/>
              <w:spacing w:line="240" w:lineRule="atLeast"/>
              <w:ind w:left="1080" w:leftChars="257" w:hanging="540"/>
              <w:rPr>
                <w:rFonts w:hAnsi="宋体"/>
                <w:sz w:val="24"/>
              </w:rPr>
            </w:pPr>
          </w:p>
        </w:tc>
        <w:tc>
          <w:tcPr>
            <w:tcW w:w="1640" w:type="dxa"/>
          </w:tcPr>
          <w:p w14:paraId="6C6D50D8">
            <w:pPr>
              <w:pStyle w:val="14"/>
              <w:spacing w:line="240" w:lineRule="atLeast"/>
              <w:ind w:left="1080" w:leftChars="257" w:hanging="540"/>
              <w:rPr>
                <w:rFonts w:hAnsi="宋体"/>
                <w:sz w:val="24"/>
              </w:rPr>
            </w:pPr>
          </w:p>
        </w:tc>
        <w:tc>
          <w:tcPr>
            <w:tcW w:w="1186" w:type="dxa"/>
          </w:tcPr>
          <w:p w14:paraId="7A916515">
            <w:pPr>
              <w:pStyle w:val="14"/>
              <w:spacing w:line="240" w:lineRule="atLeast"/>
              <w:ind w:left="1080" w:leftChars="257" w:hanging="540"/>
              <w:rPr>
                <w:rFonts w:hAnsi="宋体"/>
                <w:sz w:val="24"/>
              </w:rPr>
            </w:pPr>
          </w:p>
        </w:tc>
        <w:tc>
          <w:tcPr>
            <w:tcW w:w="1282" w:type="dxa"/>
          </w:tcPr>
          <w:p w14:paraId="43CD7A08">
            <w:pPr>
              <w:pStyle w:val="14"/>
              <w:spacing w:line="240" w:lineRule="atLeast"/>
              <w:ind w:left="1080" w:leftChars="257" w:hanging="540"/>
              <w:rPr>
                <w:rFonts w:hAnsi="宋体"/>
                <w:sz w:val="24"/>
              </w:rPr>
            </w:pPr>
          </w:p>
        </w:tc>
        <w:tc>
          <w:tcPr>
            <w:tcW w:w="2414" w:type="dxa"/>
          </w:tcPr>
          <w:p w14:paraId="2B97F0DC">
            <w:pPr>
              <w:pStyle w:val="14"/>
              <w:spacing w:line="240" w:lineRule="atLeast"/>
              <w:ind w:left="1080" w:leftChars="257" w:hanging="540"/>
              <w:rPr>
                <w:rFonts w:hAnsi="宋体"/>
                <w:sz w:val="24"/>
              </w:rPr>
            </w:pPr>
          </w:p>
        </w:tc>
        <w:tc>
          <w:tcPr>
            <w:tcW w:w="700" w:type="dxa"/>
          </w:tcPr>
          <w:p w14:paraId="09B36CD4">
            <w:pPr>
              <w:pStyle w:val="14"/>
              <w:spacing w:line="240" w:lineRule="atLeast"/>
              <w:ind w:left="1080" w:leftChars="257" w:hanging="540"/>
              <w:rPr>
                <w:rFonts w:hAnsi="宋体"/>
                <w:sz w:val="24"/>
              </w:rPr>
            </w:pPr>
          </w:p>
        </w:tc>
      </w:tr>
      <w:tr w14:paraId="6ED4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2184ADFD">
            <w:pPr>
              <w:pStyle w:val="14"/>
              <w:spacing w:line="240" w:lineRule="atLeast"/>
              <w:ind w:left="1080" w:leftChars="257" w:hanging="540"/>
              <w:rPr>
                <w:rFonts w:hAnsi="宋体"/>
                <w:sz w:val="24"/>
              </w:rPr>
            </w:pPr>
          </w:p>
        </w:tc>
        <w:tc>
          <w:tcPr>
            <w:tcW w:w="1260" w:type="dxa"/>
          </w:tcPr>
          <w:p w14:paraId="1BD63163">
            <w:pPr>
              <w:pStyle w:val="14"/>
              <w:spacing w:line="240" w:lineRule="atLeast"/>
              <w:ind w:left="1080" w:leftChars="257" w:hanging="540"/>
              <w:rPr>
                <w:rFonts w:hAnsi="宋体"/>
                <w:sz w:val="24"/>
              </w:rPr>
            </w:pPr>
          </w:p>
        </w:tc>
        <w:tc>
          <w:tcPr>
            <w:tcW w:w="1640" w:type="dxa"/>
          </w:tcPr>
          <w:p w14:paraId="4290A52E">
            <w:pPr>
              <w:pStyle w:val="14"/>
              <w:spacing w:line="240" w:lineRule="atLeast"/>
              <w:ind w:left="1080" w:leftChars="257" w:hanging="540"/>
              <w:rPr>
                <w:rFonts w:hAnsi="宋体"/>
                <w:sz w:val="24"/>
              </w:rPr>
            </w:pPr>
          </w:p>
        </w:tc>
        <w:tc>
          <w:tcPr>
            <w:tcW w:w="1186" w:type="dxa"/>
          </w:tcPr>
          <w:p w14:paraId="5D9DCCA5">
            <w:pPr>
              <w:pStyle w:val="14"/>
              <w:spacing w:line="240" w:lineRule="atLeast"/>
              <w:ind w:left="1080" w:leftChars="257" w:hanging="540"/>
              <w:rPr>
                <w:rFonts w:hAnsi="宋体"/>
                <w:sz w:val="24"/>
              </w:rPr>
            </w:pPr>
          </w:p>
        </w:tc>
        <w:tc>
          <w:tcPr>
            <w:tcW w:w="1282" w:type="dxa"/>
          </w:tcPr>
          <w:p w14:paraId="2AF4CF03">
            <w:pPr>
              <w:pStyle w:val="14"/>
              <w:spacing w:line="240" w:lineRule="atLeast"/>
              <w:ind w:left="1080" w:leftChars="257" w:hanging="540"/>
              <w:rPr>
                <w:rFonts w:hAnsi="宋体"/>
                <w:sz w:val="24"/>
              </w:rPr>
            </w:pPr>
          </w:p>
        </w:tc>
        <w:tc>
          <w:tcPr>
            <w:tcW w:w="2414" w:type="dxa"/>
          </w:tcPr>
          <w:p w14:paraId="5AC2F812">
            <w:pPr>
              <w:pStyle w:val="14"/>
              <w:spacing w:line="240" w:lineRule="atLeast"/>
              <w:ind w:left="1080" w:leftChars="257" w:hanging="540"/>
              <w:rPr>
                <w:rFonts w:hAnsi="宋体"/>
                <w:sz w:val="24"/>
              </w:rPr>
            </w:pPr>
          </w:p>
        </w:tc>
        <w:tc>
          <w:tcPr>
            <w:tcW w:w="700" w:type="dxa"/>
          </w:tcPr>
          <w:p w14:paraId="39DE6830">
            <w:pPr>
              <w:pStyle w:val="14"/>
              <w:spacing w:line="240" w:lineRule="atLeast"/>
              <w:ind w:left="1080" w:leftChars="257" w:hanging="540"/>
              <w:rPr>
                <w:rFonts w:hAnsi="宋体"/>
                <w:sz w:val="24"/>
              </w:rPr>
            </w:pPr>
          </w:p>
        </w:tc>
      </w:tr>
      <w:tr w14:paraId="0D7C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23F5607">
            <w:pPr>
              <w:pStyle w:val="14"/>
              <w:spacing w:line="240" w:lineRule="atLeast"/>
              <w:ind w:left="1080" w:leftChars="257" w:hanging="540"/>
              <w:rPr>
                <w:rFonts w:hAnsi="宋体"/>
                <w:sz w:val="24"/>
              </w:rPr>
            </w:pPr>
          </w:p>
        </w:tc>
        <w:tc>
          <w:tcPr>
            <w:tcW w:w="1260" w:type="dxa"/>
          </w:tcPr>
          <w:p w14:paraId="74BFDBEE">
            <w:pPr>
              <w:pStyle w:val="14"/>
              <w:spacing w:line="240" w:lineRule="atLeast"/>
              <w:ind w:left="1080" w:leftChars="257" w:hanging="540"/>
              <w:rPr>
                <w:rFonts w:hAnsi="宋体"/>
                <w:sz w:val="24"/>
              </w:rPr>
            </w:pPr>
          </w:p>
        </w:tc>
        <w:tc>
          <w:tcPr>
            <w:tcW w:w="1640" w:type="dxa"/>
          </w:tcPr>
          <w:p w14:paraId="5BC549A8">
            <w:pPr>
              <w:pStyle w:val="14"/>
              <w:spacing w:line="240" w:lineRule="atLeast"/>
              <w:ind w:left="1080" w:leftChars="257" w:hanging="540"/>
              <w:rPr>
                <w:rFonts w:hAnsi="宋体"/>
                <w:sz w:val="24"/>
              </w:rPr>
            </w:pPr>
          </w:p>
        </w:tc>
        <w:tc>
          <w:tcPr>
            <w:tcW w:w="1186" w:type="dxa"/>
          </w:tcPr>
          <w:p w14:paraId="5BE7B96E">
            <w:pPr>
              <w:pStyle w:val="14"/>
              <w:spacing w:line="240" w:lineRule="atLeast"/>
              <w:ind w:left="1080" w:leftChars="257" w:hanging="540"/>
              <w:rPr>
                <w:rFonts w:hAnsi="宋体"/>
                <w:sz w:val="24"/>
              </w:rPr>
            </w:pPr>
          </w:p>
        </w:tc>
        <w:tc>
          <w:tcPr>
            <w:tcW w:w="1282" w:type="dxa"/>
          </w:tcPr>
          <w:p w14:paraId="090FDA5E">
            <w:pPr>
              <w:pStyle w:val="14"/>
              <w:spacing w:line="240" w:lineRule="atLeast"/>
              <w:ind w:left="1080" w:leftChars="257" w:hanging="540"/>
              <w:rPr>
                <w:rFonts w:hAnsi="宋体"/>
                <w:sz w:val="24"/>
              </w:rPr>
            </w:pPr>
          </w:p>
        </w:tc>
        <w:tc>
          <w:tcPr>
            <w:tcW w:w="2414" w:type="dxa"/>
          </w:tcPr>
          <w:p w14:paraId="1295C643">
            <w:pPr>
              <w:pStyle w:val="14"/>
              <w:spacing w:line="240" w:lineRule="atLeast"/>
              <w:ind w:left="1080" w:leftChars="257" w:hanging="540"/>
              <w:rPr>
                <w:rFonts w:hAnsi="宋体"/>
                <w:sz w:val="24"/>
              </w:rPr>
            </w:pPr>
          </w:p>
        </w:tc>
        <w:tc>
          <w:tcPr>
            <w:tcW w:w="700" w:type="dxa"/>
          </w:tcPr>
          <w:p w14:paraId="62695FA3">
            <w:pPr>
              <w:pStyle w:val="14"/>
              <w:spacing w:line="240" w:lineRule="atLeast"/>
              <w:ind w:left="1080" w:leftChars="257" w:hanging="540"/>
              <w:rPr>
                <w:rFonts w:hAnsi="宋体"/>
                <w:sz w:val="24"/>
              </w:rPr>
            </w:pPr>
          </w:p>
        </w:tc>
      </w:tr>
      <w:tr w14:paraId="7C72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046B14DC">
            <w:pPr>
              <w:pStyle w:val="14"/>
              <w:spacing w:line="240" w:lineRule="atLeast"/>
              <w:ind w:left="1080" w:leftChars="257" w:hanging="540"/>
              <w:rPr>
                <w:rFonts w:hAnsi="宋体"/>
                <w:sz w:val="24"/>
              </w:rPr>
            </w:pPr>
          </w:p>
        </w:tc>
        <w:tc>
          <w:tcPr>
            <w:tcW w:w="1260" w:type="dxa"/>
          </w:tcPr>
          <w:p w14:paraId="2267EC64">
            <w:pPr>
              <w:pStyle w:val="14"/>
              <w:spacing w:line="240" w:lineRule="atLeast"/>
              <w:ind w:left="1080" w:leftChars="257" w:hanging="540"/>
              <w:rPr>
                <w:rFonts w:hAnsi="宋体"/>
                <w:sz w:val="24"/>
              </w:rPr>
            </w:pPr>
          </w:p>
        </w:tc>
        <w:tc>
          <w:tcPr>
            <w:tcW w:w="1640" w:type="dxa"/>
          </w:tcPr>
          <w:p w14:paraId="03AF7B8F">
            <w:pPr>
              <w:pStyle w:val="14"/>
              <w:spacing w:line="240" w:lineRule="atLeast"/>
              <w:ind w:left="1080" w:leftChars="257" w:hanging="540"/>
              <w:rPr>
                <w:rFonts w:hAnsi="宋体"/>
                <w:sz w:val="24"/>
              </w:rPr>
            </w:pPr>
          </w:p>
        </w:tc>
        <w:tc>
          <w:tcPr>
            <w:tcW w:w="1186" w:type="dxa"/>
          </w:tcPr>
          <w:p w14:paraId="7B7C2087">
            <w:pPr>
              <w:pStyle w:val="14"/>
              <w:spacing w:line="240" w:lineRule="atLeast"/>
              <w:ind w:left="1080" w:leftChars="257" w:hanging="540"/>
              <w:rPr>
                <w:rFonts w:hAnsi="宋体"/>
                <w:sz w:val="24"/>
              </w:rPr>
            </w:pPr>
          </w:p>
        </w:tc>
        <w:tc>
          <w:tcPr>
            <w:tcW w:w="1282" w:type="dxa"/>
          </w:tcPr>
          <w:p w14:paraId="70F2FE0E">
            <w:pPr>
              <w:pStyle w:val="14"/>
              <w:spacing w:line="240" w:lineRule="atLeast"/>
              <w:ind w:left="1080" w:leftChars="257" w:hanging="540"/>
              <w:rPr>
                <w:rFonts w:hAnsi="宋体"/>
                <w:sz w:val="24"/>
              </w:rPr>
            </w:pPr>
          </w:p>
        </w:tc>
        <w:tc>
          <w:tcPr>
            <w:tcW w:w="2414" w:type="dxa"/>
          </w:tcPr>
          <w:p w14:paraId="19A4890F">
            <w:pPr>
              <w:pStyle w:val="14"/>
              <w:spacing w:line="240" w:lineRule="atLeast"/>
              <w:ind w:left="1080" w:leftChars="257" w:hanging="540"/>
              <w:rPr>
                <w:rFonts w:hAnsi="宋体"/>
                <w:sz w:val="24"/>
              </w:rPr>
            </w:pPr>
          </w:p>
        </w:tc>
        <w:tc>
          <w:tcPr>
            <w:tcW w:w="700" w:type="dxa"/>
          </w:tcPr>
          <w:p w14:paraId="4AA41D26">
            <w:pPr>
              <w:pStyle w:val="14"/>
              <w:spacing w:line="240" w:lineRule="atLeast"/>
              <w:ind w:left="1080" w:leftChars="257" w:hanging="540"/>
              <w:rPr>
                <w:rFonts w:hAnsi="宋体"/>
                <w:sz w:val="24"/>
              </w:rPr>
            </w:pPr>
          </w:p>
        </w:tc>
      </w:tr>
      <w:tr w14:paraId="65CC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27AB0B9">
            <w:pPr>
              <w:pStyle w:val="14"/>
              <w:spacing w:line="240" w:lineRule="atLeast"/>
              <w:ind w:left="1080" w:leftChars="257" w:hanging="540"/>
              <w:rPr>
                <w:rFonts w:hAnsi="宋体"/>
                <w:sz w:val="24"/>
              </w:rPr>
            </w:pPr>
          </w:p>
        </w:tc>
        <w:tc>
          <w:tcPr>
            <w:tcW w:w="1260" w:type="dxa"/>
          </w:tcPr>
          <w:p w14:paraId="6113DCC2">
            <w:pPr>
              <w:pStyle w:val="14"/>
              <w:spacing w:line="240" w:lineRule="atLeast"/>
              <w:ind w:left="1080" w:leftChars="257" w:hanging="540"/>
              <w:rPr>
                <w:rFonts w:hAnsi="宋体"/>
                <w:sz w:val="24"/>
              </w:rPr>
            </w:pPr>
          </w:p>
        </w:tc>
        <w:tc>
          <w:tcPr>
            <w:tcW w:w="1640" w:type="dxa"/>
          </w:tcPr>
          <w:p w14:paraId="420A8BF2">
            <w:pPr>
              <w:pStyle w:val="14"/>
              <w:spacing w:line="240" w:lineRule="atLeast"/>
              <w:ind w:left="1080" w:leftChars="257" w:hanging="540"/>
              <w:rPr>
                <w:rFonts w:hAnsi="宋体"/>
                <w:sz w:val="24"/>
              </w:rPr>
            </w:pPr>
          </w:p>
        </w:tc>
        <w:tc>
          <w:tcPr>
            <w:tcW w:w="1186" w:type="dxa"/>
          </w:tcPr>
          <w:p w14:paraId="2D4534E3">
            <w:pPr>
              <w:pStyle w:val="14"/>
              <w:spacing w:line="240" w:lineRule="atLeast"/>
              <w:ind w:left="1080" w:leftChars="257" w:hanging="540"/>
              <w:rPr>
                <w:rFonts w:hAnsi="宋体"/>
                <w:sz w:val="24"/>
              </w:rPr>
            </w:pPr>
          </w:p>
        </w:tc>
        <w:tc>
          <w:tcPr>
            <w:tcW w:w="1282" w:type="dxa"/>
          </w:tcPr>
          <w:p w14:paraId="35438861">
            <w:pPr>
              <w:pStyle w:val="14"/>
              <w:spacing w:line="240" w:lineRule="atLeast"/>
              <w:ind w:left="1080" w:leftChars="257" w:hanging="540"/>
              <w:rPr>
                <w:rFonts w:hAnsi="宋体"/>
                <w:sz w:val="24"/>
              </w:rPr>
            </w:pPr>
          </w:p>
        </w:tc>
        <w:tc>
          <w:tcPr>
            <w:tcW w:w="2414" w:type="dxa"/>
          </w:tcPr>
          <w:p w14:paraId="24BBDA56">
            <w:pPr>
              <w:pStyle w:val="14"/>
              <w:spacing w:line="240" w:lineRule="atLeast"/>
              <w:ind w:left="1080" w:leftChars="257" w:hanging="540"/>
              <w:rPr>
                <w:rFonts w:hAnsi="宋体"/>
                <w:sz w:val="24"/>
              </w:rPr>
            </w:pPr>
          </w:p>
        </w:tc>
        <w:tc>
          <w:tcPr>
            <w:tcW w:w="700" w:type="dxa"/>
          </w:tcPr>
          <w:p w14:paraId="324D1058">
            <w:pPr>
              <w:pStyle w:val="14"/>
              <w:spacing w:line="240" w:lineRule="atLeast"/>
              <w:ind w:left="1080" w:leftChars="257" w:hanging="540"/>
              <w:rPr>
                <w:rFonts w:hAnsi="宋体"/>
                <w:sz w:val="24"/>
              </w:rPr>
            </w:pPr>
          </w:p>
        </w:tc>
      </w:tr>
      <w:tr w14:paraId="0384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03E54727">
            <w:pPr>
              <w:pStyle w:val="14"/>
              <w:spacing w:line="240" w:lineRule="atLeast"/>
              <w:ind w:left="1080" w:leftChars="257" w:hanging="540"/>
              <w:rPr>
                <w:rFonts w:hAnsi="宋体"/>
                <w:sz w:val="24"/>
              </w:rPr>
            </w:pPr>
          </w:p>
        </w:tc>
        <w:tc>
          <w:tcPr>
            <w:tcW w:w="1260" w:type="dxa"/>
          </w:tcPr>
          <w:p w14:paraId="2F438C97">
            <w:pPr>
              <w:pStyle w:val="14"/>
              <w:spacing w:line="240" w:lineRule="atLeast"/>
              <w:ind w:left="1080" w:leftChars="257" w:hanging="540"/>
              <w:rPr>
                <w:rFonts w:hAnsi="宋体"/>
                <w:sz w:val="24"/>
              </w:rPr>
            </w:pPr>
          </w:p>
        </w:tc>
        <w:tc>
          <w:tcPr>
            <w:tcW w:w="1640" w:type="dxa"/>
          </w:tcPr>
          <w:p w14:paraId="6D402958">
            <w:pPr>
              <w:pStyle w:val="14"/>
              <w:spacing w:line="240" w:lineRule="atLeast"/>
              <w:ind w:left="1080" w:leftChars="257" w:hanging="540"/>
              <w:rPr>
                <w:rFonts w:hAnsi="宋体"/>
                <w:sz w:val="24"/>
              </w:rPr>
            </w:pPr>
          </w:p>
        </w:tc>
        <w:tc>
          <w:tcPr>
            <w:tcW w:w="1186" w:type="dxa"/>
          </w:tcPr>
          <w:p w14:paraId="69149500">
            <w:pPr>
              <w:pStyle w:val="14"/>
              <w:spacing w:line="240" w:lineRule="atLeast"/>
              <w:ind w:left="1080" w:leftChars="257" w:hanging="540"/>
              <w:rPr>
                <w:rFonts w:hAnsi="宋体"/>
                <w:sz w:val="24"/>
              </w:rPr>
            </w:pPr>
          </w:p>
        </w:tc>
        <w:tc>
          <w:tcPr>
            <w:tcW w:w="1282" w:type="dxa"/>
          </w:tcPr>
          <w:p w14:paraId="7AECEE16">
            <w:pPr>
              <w:pStyle w:val="14"/>
              <w:spacing w:line="240" w:lineRule="atLeast"/>
              <w:ind w:left="1080" w:leftChars="257" w:hanging="540"/>
              <w:rPr>
                <w:rFonts w:hAnsi="宋体"/>
                <w:sz w:val="24"/>
              </w:rPr>
            </w:pPr>
          </w:p>
        </w:tc>
        <w:tc>
          <w:tcPr>
            <w:tcW w:w="2414" w:type="dxa"/>
          </w:tcPr>
          <w:p w14:paraId="1E67B0C6">
            <w:pPr>
              <w:pStyle w:val="14"/>
              <w:spacing w:line="240" w:lineRule="atLeast"/>
              <w:ind w:left="1080" w:leftChars="257" w:hanging="540"/>
              <w:rPr>
                <w:rFonts w:hAnsi="宋体"/>
                <w:sz w:val="24"/>
              </w:rPr>
            </w:pPr>
          </w:p>
        </w:tc>
        <w:tc>
          <w:tcPr>
            <w:tcW w:w="700" w:type="dxa"/>
          </w:tcPr>
          <w:p w14:paraId="6EA976BF">
            <w:pPr>
              <w:pStyle w:val="14"/>
              <w:spacing w:line="240" w:lineRule="atLeast"/>
              <w:ind w:left="1080" w:leftChars="257" w:hanging="540"/>
              <w:rPr>
                <w:rFonts w:hAnsi="宋体"/>
                <w:sz w:val="24"/>
              </w:rPr>
            </w:pPr>
          </w:p>
        </w:tc>
      </w:tr>
      <w:tr w14:paraId="1A95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563E3D0E">
            <w:pPr>
              <w:pStyle w:val="14"/>
              <w:spacing w:line="240" w:lineRule="atLeast"/>
              <w:ind w:left="1080" w:leftChars="257" w:hanging="540"/>
              <w:rPr>
                <w:rFonts w:hAnsi="宋体"/>
                <w:sz w:val="24"/>
              </w:rPr>
            </w:pPr>
          </w:p>
        </w:tc>
        <w:tc>
          <w:tcPr>
            <w:tcW w:w="1260" w:type="dxa"/>
          </w:tcPr>
          <w:p w14:paraId="2CE4D683">
            <w:pPr>
              <w:pStyle w:val="14"/>
              <w:spacing w:line="240" w:lineRule="atLeast"/>
              <w:ind w:left="1080" w:leftChars="257" w:hanging="540"/>
              <w:rPr>
                <w:rFonts w:hAnsi="宋体"/>
                <w:sz w:val="24"/>
              </w:rPr>
            </w:pPr>
          </w:p>
        </w:tc>
        <w:tc>
          <w:tcPr>
            <w:tcW w:w="1640" w:type="dxa"/>
          </w:tcPr>
          <w:p w14:paraId="7DDAA27E">
            <w:pPr>
              <w:pStyle w:val="14"/>
              <w:spacing w:line="240" w:lineRule="atLeast"/>
              <w:ind w:left="1080" w:leftChars="257" w:hanging="540"/>
              <w:rPr>
                <w:rFonts w:hAnsi="宋体"/>
                <w:sz w:val="24"/>
              </w:rPr>
            </w:pPr>
          </w:p>
        </w:tc>
        <w:tc>
          <w:tcPr>
            <w:tcW w:w="1186" w:type="dxa"/>
          </w:tcPr>
          <w:p w14:paraId="7612E04C">
            <w:pPr>
              <w:pStyle w:val="14"/>
              <w:spacing w:line="240" w:lineRule="atLeast"/>
              <w:ind w:left="1080" w:leftChars="257" w:hanging="540"/>
              <w:rPr>
                <w:rFonts w:hAnsi="宋体"/>
                <w:sz w:val="24"/>
              </w:rPr>
            </w:pPr>
          </w:p>
        </w:tc>
        <w:tc>
          <w:tcPr>
            <w:tcW w:w="1282" w:type="dxa"/>
          </w:tcPr>
          <w:p w14:paraId="13E8CF1D">
            <w:pPr>
              <w:pStyle w:val="14"/>
              <w:spacing w:line="240" w:lineRule="atLeast"/>
              <w:ind w:left="1080" w:leftChars="257" w:hanging="540"/>
              <w:rPr>
                <w:rFonts w:hAnsi="宋体"/>
                <w:sz w:val="24"/>
              </w:rPr>
            </w:pPr>
          </w:p>
        </w:tc>
        <w:tc>
          <w:tcPr>
            <w:tcW w:w="2414" w:type="dxa"/>
          </w:tcPr>
          <w:p w14:paraId="0E058E8F">
            <w:pPr>
              <w:pStyle w:val="14"/>
              <w:spacing w:line="240" w:lineRule="atLeast"/>
              <w:ind w:left="1080" w:leftChars="257" w:hanging="540"/>
              <w:rPr>
                <w:rFonts w:hAnsi="宋体"/>
                <w:sz w:val="24"/>
              </w:rPr>
            </w:pPr>
          </w:p>
        </w:tc>
        <w:tc>
          <w:tcPr>
            <w:tcW w:w="700" w:type="dxa"/>
          </w:tcPr>
          <w:p w14:paraId="7FB5C55A">
            <w:pPr>
              <w:pStyle w:val="14"/>
              <w:spacing w:line="240" w:lineRule="atLeast"/>
              <w:ind w:left="1080" w:leftChars="257" w:hanging="540"/>
              <w:rPr>
                <w:rFonts w:hAnsi="宋体"/>
                <w:sz w:val="24"/>
              </w:rPr>
            </w:pPr>
          </w:p>
        </w:tc>
      </w:tr>
      <w:tr w14:paraId="0F8F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40FA6D83">
            <w:pPr>
              <w:pStyle w:val="14"/>
              <w:spacing w:line="240" w:lineRule="atLeast"/>
              <w:ind w:left="1080" w:leftChars="257" w:hanging="540"/>
              <w:rPr>
                <w:rFonts w:hAnsi="宋体"/>
                <w:sz w:val="24"/>
              </w:rPr>
            </w:pPr>
          </w:p>
        </w:tc>
        <w:tc>
          <w:tcPr>
            <w:tcW w:w="1260" w:type="dxa"/>
          </w:tcPr>
          <w:p w14:paraId="052F7FA3">
            <w:pPr>
              <w:pStyle w:val="14"/>
              <w:spacing w:line="240" w:lineRule="atLeast"/>
              <w:ind w:left="1080" w:leftChars="257" w:hanging="540"/>
              <w:rPr>
                <w:rFonts w:hAnsi="宋体"/>
                <w:sz w:val="24"/>
              </w:rPr>
            </w:pPr>
          </w:p>
        </w:tc>
        <w:tc>
          <w:tcPr>
            <w:tcW w:w="1640" w:type="dxa"/>
          </w:tcPr>
          <w:p w14:paraId="376D71C6">
            <w:pPr>
              <w:pStyle w:val="14"/>
              <w:spacing w:line="240" w:lineRule="atLeast"/>
              <w:ind w:left="1080" w:leftChars="257" w:hanging="540"/>
              <w:rPr>
                <w:rFonts w:hAnsi="宋体"/>
                <w:sz w:val="24"/>
              </w:rPr>
            </w:pPr>
          </w:p>
        </w:tc>
        <w:tc>
          <w:tcPr>
            <w:tcW w:w="1186" w:type="dxa"/>
          </w:tcPr>
          <w:p w14:paraId="0A39C212">
            <w:pPr>
              <w:pStyle w:val="14"/>
              <w:spacing w:line="240" w:lineRule="atLeast"/>
              <w:ind w:left="1080" w:leftChars="257" w:hanging="540"/>
              <w:rPr>
                <w:rFonts w:hAnsi="宋体"/>
                <w:sz w:val="24"/>
              </w:rPr>
            </w:pPr>
          </w:p>
        </w:tc>
        <w:tc>
          <w:tcPr>
            <w:tcW w:w="1282" w:type="dxa"/>
          </w:tcPr>
          <w:p w14:paraId="2EFF90B8">
            <w:pPr>
              <w:pStyle w:val="14"/>
              <w:spacing w:line="240" w:lineRule="atLeast"/>
              <w:ind w:left="1080" w:leftChars="257" w:hanging="540"/>
              <w:rPr>
                <w:rFonts w:hAnsi="宋体"/>
                <w:sz w:val="24"/>
              </w:rPr>
            </w:pPr>
          </w:p>
        </w:tc>
        <w:tc>
          <w:tcPr>
            <w:tcW w:w="2414" w:type="dxa"/>
          </w:tcPr>
          <w:p w14:paraId="2E7279EF">
            <w:pPr>
              <w:pStyle w:val="14"/>
              <w:spacing w:line="240" w:lineRule="atLeast"/>
              <w:ind w:left="1080" w:leftChars="257" w:hanging="540"/>
              <w:rPr>
                <w:rFonts w:hAnsi="宋体"/>
                <w:sz w:val="24"/>
              </w:rPr>
            </w:pPr>
          </w:p>
        </w:tc>
        <w:tc>
          <w:tcPr>
            <w:tcW w:w="700" w:type="dxa"/>
          </w:tcPr>
          <w:p w14:paraId="7804FCA8">
            <w:pPr>
              <w:pStyle w:val="14"/>
              <w:spacing w:line="240" w:lineRule="atLeast"/>
              <w:ind w:left="1080" w:leftChars="257" w:hanging="540"/>
              <w:rPr>
                <w:rFonts w:hAnsi="宋体"/>
                <w:sz w:val="24"/>
              </w:rPr>
            </w:pPr>
          </w:p>
        </w:tc>
      </w:tr>
      <w:tr w14:paraId="696F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28E2D283">
            <w:pPr>
              <w:pStyle w:val="14"/>
              <w:spacing w:line="240" w:lineRule="atLeast"/>
              <w:ind w:left="1080" w:leftChars="257" w:hanging="540"/>
              <w:rPr>
                <w:rFonts w:hAnsi="宋体"/>
                <w:sz w:val="24"/>
              </w:rPr>
            </w:pPr>
          </w:p>
        </w:tc>
        <w:tc>
          <w:tcPr>
            <w:tcW w:w="1260" w:type="dxa"/>
          </w:tcPr>
          <w:p w14:paraId="4083F286">
            <w:pPr>
              <w:pStyle w:val="14"/>
              <w:spacing w:line="240" w:lineRule="atLeast"/>
              <w:ind w:left="1080" w:leftChars="257" w:hanging="540"/>
              <w:rPr>
                <w:rFonts w:hAnsi="宋体"/>
                <w:sz w:val="24"/>
              </w:rPr>
            </w:pPr>
          </w:p>
        </w:tc>
        <w:tc>
          <w:tcPr>
            <w:tcW w:w="1640" w:type="dxa"/>
          </w:tcPr>
          <w:p w14:paraId="3CB50B86">
            <w:pPr>
              <w:pStyle w:val="14"/>
              <w:spacing w:line="240" w:lineRule="atLeast"/>
              <w:ind w:left="1080" w:leftChars="257" w:hanging="540"/>
              <w:rPr>
                <w:rFonts w:hAnsi="宋体"/>
                <w:sz w:val="24"/>
              </w:rPr>
            </w:pPr>
          </w:p>
        </w:tc>
        <w:tc>
          <w:tcPr>
            <w:tcW w:w="1186" w:type="dxa"/>
          </w:tcPr>
          <w:p w14:paraId="5701D137">
            <w:pPr>
              <w:pStyle w:val="14"/>
              <w:spacing w:line="240" w:lineRule="atLeast"/>
              <w:ind w:left="1080" w:leftChars="257" w:hanging="540"/>
              <w:rPr>
                <w:rFonts w:hAnsi="宋体"/>
                <w:sz w:val="24"/>
              </w:rPr>
            </w:pPr>
          </w:p>
        </w:tc>
        <w:tc>
          <w:tcPr>
            <w:tcW w:w="1282" w:type="dxa"/>
          </w:tcPr>
          <w:p w14:paraId="5658AACD">
            <w:pPr>
              <w:pStyle w:val="14"/>
              <w:spacing w:line="240" w:lineRule="atLeast"/>
              <w:ind w:left="1080" w:leftChars="257" w:hanging="540"/>
              <w:rPr>
                <w:rFonts w:hAnsi="宋体"/>
                <w:sz w:val="24"/>
              </w:rPr>
            </w:pPr>
          </w:p>
        </w:tc>
        <w:tc>
          <w:tcPr>
            <w:tcW w:w="2414" w:type="dxa"/>
          </w:tcPr>
          <w:p w14:paraId="3CC28E1F">
            <w:pPr>
              <w:pStyle w:val="14"/>
              <w:spacing w:line="240" w:lineRule="atLeast"/>
              <w:ind w:left="1080" w:leftChars="257" w:hanging="540"/>
              <w:rPr>
                <w:rFonts w:hAnsi="宋体"/>
                <w:sz w:val="24"/>
              </w:rPr>
            </w:pPr>
          </w:p>
        </w:tc>
        <w:tc>
          <w:tcPr>
            <w:tcW w:w="700" w:type="dxa"/>
          </w:tcPr>
          <w:p w14:paraId="249D544A">
            <w:pPr>
              <w:pStyle w:val="14"/>
              <w:spacing w:line="240" w:lineRule="atLeast"/>
              <w:ind w:left="1080" w:leftChars="257" w:hanging="540"/>
              <w:rPr>
                <w:rFonts w:hAnsi="宋体"/>
                <w:sz w:val="24"/>
              </w:rPr>
            </w:pPr>
          </w:p>
        </w:tc>
      </w:tr>
      <w:tr w14:paraId="18C7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2FD7D41B">
            <w:pPr>
              <w:pStyle w:val="14"/>
              <w:spacing w:line="240" w:lineRule="atLeast"/>
              <w:ind w:left="1080" w:leftChars="257" w:hanging="540"/>
              <w:rPr>
                <w:rFonts w:hAnsi="宋体"/>
                <w:sz w:val="24"/>
              </w:rPr>
            </w:pPr>
          </w:p>
        </w:tc>
        <w:tc>
          <w:tcPr>
            <w:tcW w:w="1260" w:type="dxa"/>
          </w:tcPr>
          <w:p w14:paraId="25FAA45F">
            <w:pPr>
              <w:pStyle w:val="14"/>
              <w:spacing w:line="240" w:lineRule="atLeast"/>
              <w:ind w:left="1080" w:leftChars="257" w:hanging="540"/>
              <w:rPr>
                <w:rFonts w:hAnsi="宋体"/>
                <w:sz w:val="24"/>
              </w:rPr>
            </w:pPr>
          </w:p>
        </w:tc>
        <w:tc>
          <w:tcPr>
            <w:tcW w:w="1640" w:type="dxa"/>
          </w:tcPr>
          <w:p w14:paraId="7DFB2EBC">
            <w:pPr>
              <w:pStyle w:val="14"/>
              <w:spacing w:line="240" w:lineRule="atLeast"/>
              <w:ind w:left="1080" w:leftChars="257" w:hanging="540"/>
              <w:rPr>
                <w:rFonts w:hAnsi="宋体"/>
                <w:sz w:val="24"/>
              </w:rPr>
            </w:pPr>
          </w:p>
        </w:tc>
        <w:tc>
          <w:tcPr>
            <w:tcW w:w="1186" w:type="dxa"/>
          </w:tcPr>
          <w:p w14:paraId="1101E0E1">
            <w:pPr>
              <w:pStyle w:val="14"/>
              <w:spacing w:line="240" w:lineRule="atLeast"/>
              <w:ind w:left="1080" w:leftChars="257" w:hanging="540"/>
              <w:rPr>
                <w:rFonts w:hAnsi="宋体"/>
                <w:sz w:val="24"/>
              </w:rPr>
            </w:pPr>
          </w:p>
        </w:tc>
        <w:tc>
          <w:tcPr>
            <w:tcW w:w="1282" w:type="dxa"/>
          </w:tcPr>
          <w:p w14:paraId="747D0B42">
            <w:pPr>
              <w:pStyle w:val="14"/>
              <w:spacing w:line="240" w:lineRule="atLeast"/>
              <w:ind w:left="1080" w:leftChars="257" w:hanging="540"/>
              <w:rPr>
                <w:rFonts w:hAnsi="宋体"/>
                <w:sz w:val="24"/>
              </w:rPr>
            </w:pPr>
          </w:p>
        </w:tc>
        <w:tc>
          <w:tcPr>
            <w:tcW w:w="2414" w:type="dxa"/>
          </w:tcPr>
          <w:p w14:paraId="4777FFBF">
            <w:pPr>
              <w:pStyle w:val="14"/>
              <w:spacing w:line="240" w:lineRule="atLeast"/>
              <w:ind w:left="1080" w:leftChars="257" w:hanging="540"/>
              <w:rPr>
                <w:rFonts w:hAnsi="宋体"/>
                <w:sz w:val="24"/>
              </w:rPr>
            </w:pPr>
          </w:p>
        </w:tc>
        <w:tc>
          <w:tcPr>
            <w:tcW w:w="700" w:type="dxa"/>
          </w:tcPr>
          <w:p w14:paraId="6C42F743">
            <w:pPr>
              <w:pStyle w:val="14"/>
              <w:spacing w:line="240" w:lineRule="atLeast"/>
              <w:ind w:left="1080" w:leftChars="257" w:hanging="540"/>
              <w:rPr>
                <w:rFonts w:hAnsi="宋体"/>
                <w:sz w:val="24"/>
              </w:rPr>
            </w:pPr>
          </w:p>
        </w:tc>
      </w:tr>
      <w:tr w14:paraId="59B7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5B57C57">
            <w:pPr>
              <w:pStyle w:val="14"/>
              <w:spacing w:line="240" w:lineRule="atLeast"/>
              <w:ind w:left="1080" w:leftChars="257" w:hanging="540"/>
              <w:rPr>
                <w:rFonts w:hAnsi="宋体"/>
                <w:sz w:val="24"/>
              </w:rPr>
            </w:pPr>
          </w:p>
        </w:tc>
        <w:tc>
          <w:tcPr>
            <w:tcW w:w="1260" w:type="dxa"/>
          </w:tcPr>
          <w:p w14:paraId="682ACC51">
            <w:pPr>
              <w:pStyle w:val="14"/>
              <w:spacing w:line="240" w:lineRule="atLeast"/>
              <w:ind w:left="1080" w:leftChars="257" w:hanging="540"/>
              <w:rPr>
                <w:rFonts w:hAnsi="宋体"/>
                <w:sz w:val="24"/>
              </w:rPr>
            </w:pPr>
          </w:p>
        </w:tc>
        <w:tc>
          <w:tcPr>
            <w:tcW w:w="1640" w:type="dxa"/>
          </w:tcPr>
          <w:p w14:paraId="0BF88ABC">
            <w:pPr>
              <w:pStyle w:val="14"/>
              <w:spacing w:line="240" w:lineRule="atLeast"/>
              <w:ind w:left="1080" w:leftChars="257" w:hanging="540"/>
              <w:rPr>
                <w:rFonts w:hAnsi="宋体"/>
                <w:sz w:val="24"/>
              </w:rPr>
            </w:pPr>
          </w:p>
        </w:tc>
        <w:tc>
          <w:tcPr>
            <w:tcW w:w="1186" w:type="dxa"/>
          </w:tcPr>
          <w:p w14:paraId="07B44282">
            <w:pPr>
              <w:pStyle w:val="14"/>
              <w:spacing w:line="240" w:lineRule="atLeast"/>
              <w:ind w:left="1080" w:leftChars="257" w:hanging="540"/>
              <w:rPr>
                <w:rFonts w:hAnsi="宋体"/>
                <w:sz w:val="24"/>
              </w:rPr>
            </w:pPr>
          </w:p>
        </w:tc>
        <w:tc>
          <w:tcPr>
            <w:tcW w:w="1282" w:type="dxa"/>
          </w:tcPr>
          <w:p w14:paraId="69186CF8">
            <w:pPr>
              <w:pStyle w:val="14"/>
              <w:spacing w:line="240" w:lineRule="atLeast"/>
              <w:ind w:left="1080" w:leftChars="257" w:hanging="540"/>
              <w:rPr>
                <w:rFonts w:hAnsi="宋体"/>
                <w:sz w:val="24"/>
              </w:rPr>
            </w:pPr>
          </w:p>
        </w:tc>
        <w:tc>
          <w:tcPr>
            <w:tcW w:w="2414" w:type="dxa"/>
          </w:tcPr>
          <w:p w14:paraId="5E793C8B">
            <w:pPr>
              <w:pStyle w:val="14"/>
              <w:spacing w:line="240" w:lineRule="atLeast"/>
              <w:ind w:left="1080" w:leftChars="257" w:hanging="540"/>
              <w:rPr>
                <w:rFonts w:hAnsi="宋体"/>
                <w:sz w:val="24"/>
              </w:rPr>
            </w:pPr>
          </w:p>
        </w:tc>
        <w:tc>
          <w:tcPr>
            <w:tcW w:w="700" w:type="dxa"/>
          </w:tcPr>
          <w:p w14:paraId="7EF2611C">
            <w:pPr>
              <w:pStyle w:val="14"/>
              <w:spacing w:line="240" w:lineRule="atLeast"/>
              <w:ind w:left="1080" w:leftChars="257" w:hanging="540"/>
              <w:rPr>
                <w:rFonts w:hAnsi="宋体"/>
                <w:sz w:val="24"/>
              </w:rPr>
            </w:pPr>
          </w:p>
        </w:tc>
      </w:tr>
      <w:tr w14:paraId="392F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18B9CE30">
            <w:pPr>
              <w:pStyle w:val="14"/>
              <w:spacing w:line="240" w:lineRule="atLeast"/>
              <w:ind w:left="1080" w:leftChars="257" w:hanging="540"/>
              <w:rPr>
                <w:rFonts w:hAnsi="宋体"/>
                <w:sz w:val="24"/>
              </w:rPr>
            </w:pPr>
          </w:p>
        </w:tc>
        <w:tc>
          <w:tcPr>
            <w:tcW w:w="1260" w:type="dxa"/>
          </w:tcPr>
          <w:p w14:paraId="4734CF90">
            <w:pPr>
              <w:pStyle w:val="14"/>
              <w:spacing w:line="240" w:lineRule="atLeast"/>
              <w:ind w:left="1080" w:leftChars="257" w:hanging="540"/>
              <w:rPr>
                <w:rFonts w:hAnsi="宋体"/>
                <w:sz w:val="24"/>
              </w:rPr>
            </w:pPr>
          </w:p>
        </w:tc>
        <w:tc>
          <w:tcPr>
            <w:tcW w:w="1640" w:type="dxa"/>
          </w:tcPr>
          <w:p w14:paraId="7035966A">
            <w:pPr>
              <w:pStyle w:val="14"/>
              <w:spacing w:line="240" w:lineRule="atLeast"/>
              <w:ind w:left="1080" w:leftChars="257" w:hanging="540"/>
              <w:rPr>
                <w:rFonts w:hAnsi="宋体"/>
                <w:sz w:val="24"/>
              </w:rPr>
            </w:pPr>
          </w:p>
        </w:tc>
        <w:tc>
          <w:tcPr>
            <w:tcW w:w="1186" w:type="dxa"/>
          </w:tcPr>
          <w:p w14:paraId="2E448D2A">
            <w:pPr>
              <w:pStyle w:val="14"/>
              <w:spacing w:line="240" w:lineRule="atLeast"/>
              <w:ind w:left="1080" w:leftChars="257" w:hanging="540"/>
              <w:rPr>
                <w:rFonts w:hAnsi="宋体"/>
                <w:sz w:val="24"/>
              </w:rPr>
            </w:pPr>
          </w:p>
        </w:tc>
        <w:tc>
          <w:tcPr>
            <w:tcW w:w="1282" w:type="dxa"/>
          </w:tcPr>
          <w:p w14:paraId="08F0FFEA">
            <w:pPr>
              <w:pStyle w:val="14"/>
              <w:spacing w:line="240" w:lineRule="atLeast"/>
              <w:ind w:left="1080" w:leftChars="257" w:hanging="540"/>
              <w:rPr>
                <w:rFonts w:hAnsi="宋体"/>
                <w:sz w:val="24"/>
              </w:rPr>
            </w:pPr>
          </w:p>
        </w:tc>
        <w:tc>
          <w:tcPr>
            <w:tcW w:w="2414" w:type="dxa"/>
          </w:tcPr>
          <w:p w14:paraId="33EDE143">
            <w:pPr>
              <w:pStyle w:val="14"/>
              <w:spacing w:line="240" w:lineRule="atLeast"/>
              <w:ind w:left="1080" w:leftChars="257" w:hanging="540"/>
              <w:rPr>
                <w:rFonts w:hAnsi="宋体"/>
                <w:sz w:val="24"/>
              </w:rPr>
            </w:pPr>
          </w:p>
        </w:tc>
        <w:tc>
          <w:tcPr>
            <w:tcW w:w="700" w:type="dxa"/>
          </w:tcPr>
          <w:p w14:paraId="795CDB1D">
            <w:pPr>
              <w:pStyle w:val="14"/>
              <w:spacing w:line="240" w:lineRule="atLeast"/>
              <w:ind w:left="1080" w:leftChars="257" w:hanging="540"/>
              <w:rPr>
                <w:rFonts w:hAnsi="宋体"/>
                <w:sz w:val="24"/>
              </w:rPr>
            </w:pPr>
          </w:p>
        </w:tc>
      </w:tr>
      <w:tr w14:paraId="0901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7BEAA1E">
            <w:pPr>
              <w:pStyle w:val="14"/>
              <w:spacing w:line="240" w:lineRule="atLeast"/>
              <w:ind w:left="1080" w:leftChars="257" w:hanging="540"/>
              <w:rPr>
                <w:rFonts w:hAnsi="宋体"/>
                <w:sz w:val="24"/>
              </w:rPr>
            </w:pPr>
          </w:p>
        </w:tc>
        <w:tc>
          <w:tcPr>
            <w:tcW w:w="1260" w:type="dxa"/>
          </w:tcPr>
          <w:p w14:paraId="44D2F3A3">
            <w:pPr>
              <w:pStyle w:val="14"/>
              <w:spacing w:line="240" w:lineRule="atLeast"/>
              <w:ind w:left="1080" w:leftChars="257" w:hanging="540"/>
              <w:rPr>
                <w:rFonts w:hAnsi="宋体"/>
                <w:sz w:val="24"/>
              </w:rPr>
            </w:pPr>
          </w:p>
        </w:tc>
        <w:tc>
          <w:tcPr>
            <w:tcW w:w="1640" w:type="dxa"/>
          </w:tcPr>
          <w:p w14:paraId="2D17A55C">
            <w:pPr>
              <w:pStyle w:val="14"/>
              <w:spacing w:line="240" w:lineRule="atLeast"/>
              <w:ind w:left="1080" w:leftChars="257" w:hanging="540"/>
              <w:rPr>
                <w:rFonts w:hAnsi="宋体"/>
                <w:sz w:val="24"/>
              </w:rPr>
            </w:pPr>
          </w:p>
        </w:tc>
        <w:tc>
          <w:tcPr>
            <w:tcW w:w="1186" w:type="dxa"/>
          </w:tcPr>
          <w:p w14:paraId="19437B5E">
            <w:pPr>
              <w:pStyle w:val="14"/>
              <w:spacing w:line="240" w:lineRule="atLeast"/>
              <w:ind w:left="1080" w:leftChars="257" w:hanging="540"/>
              <w:rPr>
                <w:rFonts w:hAnsi="宋体"/>
                <w:sz w:val="24"/>
              </w:rPr>
            </w:pPr>
          </w:p>
        </w:tc>
        <w:tc>
          <w:tcPr>
            <w:tcW w:w="1282" w:type="dxa"/>
          </w:tcPr>
          <w:p w14:paraId="74EAED87">
            <w:pPr>
              <w:pStyle w:val="14"/>
              <w:spacing w:line="240" w:lineRule="atLeast"/>
              <w:ind w:left="1080" w:leftChars="257" w:hanging="540"/>
              <w:rPr>
                <w:rFonts w:hAnsi="宋体"/>
                <w:sz w:val="24"/>
              </w:rPr>
            </w:pPr>
          </w:p>
        </w:tc>
        <w:tc>
          <w:tcPr>
            <w:tcW w:w="2414" w:type="dxa"/>
          </w:tcPr>
          <w:p w14:paraId="69EC49E3">
            <w:pPr>
              <w:pStyle w:val="14"/>
              <w:spacing w:line="240" w:lineRule="atLeast"/>
              <w:ind w:left="1080" w:leftChars="257" w:hanging="540"/>
              <w:rPr>
                <w:rFonts w:hAnsi="宋体"/>
                <w:sz w:val="24"/>
              </w:rPr>
            </w:pPr>
          </w:p>
        </w:tc>
        <w:tc>
          <w:tcPr>
            <w:tcW w:w="700" w:type="dxa"/>
          </w:tcPr>
          <w:p w14:paraId="73872D55">
            <w:pPr>
              <w:pStyle w:val="14"/>
              <w:spacing w:line="240" w:lineRule="atLeast"/>
              <w:ind w:left="1080" w:leftChars="257" w:hanging="540"/>
              <w:rPr>
                <w:rFonts w:hAnsi="宋体"/>
                <w:sz w:val="24"/>
              </w:rPr>
            </w:pPr>
          </w:p>
        </w:tc>
      </w:tr>
      <w:tr w14:paraId="3349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1B0692C4">
            <w:pPr>
              <w:pStyle w:val="14"/>
              <w:spacing w:line="240" w:lineRule="atLeast"/>
              <w:ind w:left="1080" w:leftChars="257" w:hanging="540"/>
              <w:rPr>
                <w:rFonts w:hAnsi="宋体"/>
                <w:sz w:val="24"/>
              </w:rPr>
            </w:pPr>
          </w:p>
        </w:tc>
        <w:tc>
          <w:tcPr>
            <w:tcW w:w="1260" w:type="dxa"/>
          </w:tcPr>
          <w:p w14:paraId="580C02DB">
            <w:pPr>
              <w:pStyle w:val="14"/>
              <w:spacing w:line="240" w:lineRule="atLeast"/>
              <w:ind w:left="1080" w:leftChars="257" w:hanging="540"/>
              <w:rPr>
                <w:rFonts w:hAnsi="宋体"/>
                <w:sz w:val="24"/>
              </w:rPr>
            </w:pPr>
          </w:p>
        </w:tc>
        <w:tc>
          <w:tcPr>
            <w:tcW w:w="1640" w:type="dxa"/>
          </w:tcPr>
          <w:p w14:paraId="597037B5">
            <w:pPr>
              <w:pStyle w:val="14"/>
              <w:spacing w:line="240" w:lineRule="atLeast"/>
              <w:ind w:left="1080" w:leftChars="257" w:hanging="540"/>
              <w:rPr>
                <w:rFonts w:hAnsi="宋体"/>
                <w:sz w:val="24"/>
              </w:rPr>
            </w:pPr>
          </w:p>
        </w:tc>
        <w:tc>
          <w:tcPr>
            <w:tcW w:w="1186" w:type="dxa"/>
          </w:tcPr>
          <w:p w14:paraId="513E5A39">
            <w:pPr>
              <w:pStyle w:val="14"/>
              <w:spacing w:line="240" w:lineRule="atLeast"/>
              <w:ind w:left="1080" w:leftChars="257" w:hanging="540"/>
              <w:rPr>
                <w:rFonts w:hAnsi="宋体"/>
                <w:sz w:val="24"/>
              </w:rPr>
            </w:pPr>
          </w:p>
        </w:tc>
        <w:tc>
          <w:tcPr>
            <w:tcW w:w="1282" w:type="dxa"/>
          </w:tcPr>
          <w:p w14:paraId="651C6E2D">
            <w:pPr>
              <w:pStyle w:val="14"/>
              <w:spacing w:line="240" w:lineRule="atLeast"/>
              <w:ind w:left="1080" w:leftChars="257" w:hanging="540"/>
              <w:rPr>
                <w:rFonts w:hAnsi="宋体"/>
                <w:sz w:val="24"/>
              </w:rPr>
            </w:pPr>
          </w:p>
        </w:tc>
        <w:tc>
          <w:tcPr>
            <w:tcW w:w="2414" w:type="dxa"/>
          </w:tcPr>
          <w:p w14:paraId="6EC98447">
            <w:pPr>
              <w:pStyle w:val="14"/>
              <w:spacing w:line="240" w:lineRule="atLeast"/>
              <w:ind w:left="1080" w:leftChars="257" w:hanging="540"/>
              <w:rPr>
                <w:rFonts w:hAnsi="宋体"/>
                <w:sz w:val="24"/>
              </w:rPr>
            </w:pPr>
          </w:p>
        </w:tc>
        <w:tc>
          <w:tcPr>
            <w:tcW w:w="700" w:type="dxa"/>
          </w:tcPr>
          <w:p w14:paraId="1B1027D9">
            <w:pPr>
              <w:pStyle w:val="14"/>
              <w:spacing w:line="240" w:lineRule="atLeast"/>
              <w:ind w:left="1080" w:leftChars="257" w:hanging="540"/>
              <w:rPr>
                <w:rFonts w:hAnsi="宋体"/>
                <w:sz w:val="24"/>
              </w:rPr>
            </w:pPr>
          </w:p>
        </w:tc>
      </w:tr>
      <w:tr w14:paraId="07C3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2886470">
            <w:pPr>
              <w:pStyle w:val="14"/>
              <w:spacing w:line="240" w:lineRule="atLeast"/>
              <w:ind w:left="1080" w:leftChars="257" w:hanging="540"/>
              <w:rPr>
                <w:rFonts w:hAnsi="宋体"/>
                <w:sz w:val="24"/>
              </w:rPr>
            </w:pPr>
          </w:p>
        </w:tc>
        <w:tc>
          <w:tcPr>
            <w:tcW w:w="1260" w:type="dxa"/>
          </w:tcPr>
          <w:p w14:paraId="4A1FDB60">
            <w:pPr>
              <w:pStyle w:val="14"/>
              <w:spacing w:line="240" w:lineRule="atLeast"/>
              <w:ind w:left="1080" w:leftChars="257" w:hanging="540"/>
              <w:rPr>
                <w:rFonts w:hAnsi="宋体"/>
                <w:sz w:val="24"/>
              </w:rPr>
            </w:pPr>
          </w:p>
        </w:tc>
        <w:tc>
          <w:tcPr>
            <w:tcW w:w="1640" w:type="dxa"/>
          </w:tcPr>
          <w:p w14:paraId="3AFE6BAB">
            <w:pPr>
              <w:pStyle w:val="14"/>
              <w:spacing w:line="240" w:lineRule="atLeast"/>
              <w:ind w:left="1080" w:leftChars="257" w:hanging="540"/>
              <w:rPr>
                <w:rFonts w:hAnsi="宋体"/>
                <w:sz w:val="24"/>
              </w:rPr>
            </w:pPr>
          </w:p>
        </w:tc>
        <w:tc>
          <w:tcPr>
            <w:tcW w:w="1186" w:type="dxa"/>
          </w:tcPr>
          <w:p w14:paraId="367EF672">
            <w:pPr>
              <w:pStyle w:val="14"/>
              <w:spacing w:line="240" w:lineRule="atLeast"/>
              <w:ind w:left="1080" w:leftChars="257" w:hanging="540"/>
              <w:rPr>
                <w:rFonts w:hAnsi="宋体"/>
                <w:sz w:val="24"/>
              </w:rPr>
            </w:pPr>
          </w:p>
        </w:tc>
        <w:tc>
          <w:tcPr>
            <w:tcW w:w="1282" w:type="dxa"/>
          </w:tcPr>
          <w:p w14:paraId="3F1BFE72">
            <w:pPr>
              <w:pStyle w:val="14"/>
              <w:spacing w:line="240" w:lineRule="atLeast"/>
              <w:ind w:left="1080" w:leftChars="257" w:hanging="540"/>
              <w:rPr>
                <w:rFonts w:hAnsi="宋体"/>
                <w:sz w:val="24"/>
              </w:rPr>
            </w:pPr>
          </w:p>
        </w:tc>
        <w:tc>
          <w:tcPr>
            <w:tcW w:w="2414" w:type="dxa"/>
          </w:tcPr>
          <w:p w14:paraId="55B68E3D">
            <w:pPr>
              <w:pStyle w:val="14"/>
              <w:spacing w:line="240" w:lineRule="atLeast"/>
              <w:ind w:left="1080" w:leftChars="257" w:hanging="540"/>
              <w:rPr>
                <w:rFonts w:hAnsi="宋体"/>
                <w:sz w:val="24"/>
              </w:rPr>
            </w:pPr>
          </w:p>
        </w:tc>
        <w:tc>
          <w:tcPr>
            <w:tcW w:w="700" w:type="dxa"/>
          </w:tcPr>
          <w:p w14:paraId="14AE42B9">
            <w:pPr>
              <w:pStyle w:val="14"/>
              <w:spacing w:line="240" w:lineRule="atLeast"/>
              <w:ind w:left="1080" w:leftChars="257" w:hanging="540"/>
              <w:rPr>
                <w:rFonts w:hAnsi="宋体"/>
                <w:sz w:val="24"/>
              </w:rPr>
            </w:pPr>
          </w:p>
        </w:tc>
      </w:tr>
      <w:tr w14:paraId="7826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5F665FD9">
            <w:pPr>
              <w:pStyle w:val="14"/>
              <w:spacing w:line="240" w:lineRule="atLeast"/>
              <w:ind w:left="1080" w:leftChars="257" w:hanging="540"/>
              <w:rPr>
                <w:rFonts w:hAnsi="宋体"/>
                <w:sz w:val="24"/>
              </w:rPr>
            </w:pPr>
          </w:p>
        </w:tc>
        <w:tc>
          <w:tcPr>
            <w:tcW w:w="1260" w:type="dxa"/>
          </w:tcPr>
          <w:p w14:paraId="7828181B">
            <w:pPr>
              <w:pStyle w:val="14"/>
              <w:spacing w:line="240" w:lineRule="atLeast"/>
              <w:ind w:left="1080" w:leftChars="257" w:hanging="540"/>
              <w:rPr>
                <w:rFonts w:hAnsi="宋体"/>
                <w:sz w:val="24"/>
              </w:rPr>
            </w:pPr>
          </w:p>
        </w:tc>
        <w:tc>
          <w:tcPr>
            <w:tcW w:w="1640" w:type="dxa"/>
          </w:tcPr>
          <w:p w14:paraId="3128F17A">
            <w:pPr>
              <w:pStyle w:val="14"/>
              <w:spacing w:line="240" w:lineRule="atLeast"/>
              <w:ind w:left="1080" w:leftChars="257" w:hanging="540"/>
              <w:rPr>
                <w:rFonts w:hAnsi="宋体"/>
                <w:sz w:val="24"/>
              </w:rPr>
            </w:pPr>
          </w:p>
        </w:tc>
        <w:tc>
          <w:tcPr>
            <w:tcW w:w="1186" w:type="dxa"/>
          </w:tcPr>
          <w:p w14:paraId="08CF39D9">
            <w:pPr>
              <w:pStyle w:val="14"/>
              <w:spacing w:line="240" w:lineRule="atLeast"/>
              <w:ind w:left="1080" w:leftChars="257" w:hanging="540"/>
              <w:rPr>
                <w:rFonts w:hAnsi="宋体"/>
                <w:sz w:val="24"/>
              </w:rPr>
            </w:pPr>
          </w:p>
        </w:tc>
        <w:tc>
          <w:tcPr>
            <w:tcW w:w="1282" w:type="dxa"/>
          </w:tcPr>
          <w:p w14:paraId="3B848B9D">
            <w:pPr>
              <w:pStyle w:val="14"/>
              <w:spacing w:line="240" w:lineRule="atLeast"/>
              <w:ind w:left="1080" w:leftChars="257" w:hanging="540"/>
              <w:rPr>
                <w:rFonts w:hAnsi="宋体"/>
                <w:sz w:val="24"/>
              </w:rPr>
            </w:pPr>
          </w:p>
        </w:tc>
        <w:tc>
          <w:tcPr>
            <w:tcW w:w="2414" w:type="dxa"/>
          </w:tcPr>
          <w:p w14:paraId="7B88B285">
            <w:pPr>
              <w:pStyle w:val="14"/>
              <w:spacing w:line="240" w:lineRule="atLeast"/>
              <w:ind w:left="1080" w:leftChars="257" w:hanging="540"/>
              <w:rPr>
                <w:rFonts w:hAnsi="宋体"/>
                <w:sz w:val="24"/>
              </w:rPr>
            </w:pPr>
          </w:p>
        </w:tc>
        <w:tc>
          <w:tcPr>
            <w:tcW w:w="700" w:type="dxa"/>
          </w:tcPr>
          <w:p w14:paraId="50267A1D">
            <w:pPr>
              <w:pStyle w:val="14"/>
              <w:spacing w:line="240" w:lineRule="atLeast"/>
              <w:ind w:left="1080" w:leftChars="257" w:hanging="540"/>
              <w:rPr>
                <w:rFonts w:hAnsi="宋体"/>
                <w:sz w:val="24"/>
              </w:rPr>
            </w:pPr>
          </w:p>
        </w:tc>
      </w:tr>
    </w:tbl>
    <w:p w14:paraId="51E96842">
      <w:pPr>
        <w:pStyle w:val="14"/>
        <w:spacing w:line="240" w:lineRule="atLeast"/>
        <w:ind w:left="1080" w:leftChars="257" w:hanging="540"/>
        <w:rPr>
          <w:rFonts w:hAnsi="宋体"/>
          <w:sz w:val="24"/>
        </w:rPr>
      </w:pPr>
    </w:p>
    <w:p w14:paraId="517CE60C">
      <w:pPr>
        <w:pStyle w:val="14"/>
        <w:spacing w:line="360" w:lineRule="auto"/>
        <w:ind w:left="1080" w:leftChars="257" w:hanging="540"/>
        <w:rPr>
          <w:rFonts w:hAnsi="宋体"/>
          <w:sz w:val="24"/>
        </w:rPr>
      </w:pPr>
      <w:r>
        <w:rPr>
          <w:rFonts w:hint="eastAsia" w:hAnsi="宋体"/>
          <w:sz w:val="24"/>
        </w:rPr>
        <w:t>法定代表人或其委托代理人签字: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28BDF6D9">
      <w:pPr>
        <w:pStyle w:val="14"/>
        <w:tabs>
          <w:tab w:val="left" w:pos="5370"/>
        </w:tabs>
        <w:spacing w:line="360" w:lineRule="auto"/>
        <w:ind w:left="1080" w:leftChars="257" w:hanging="540"/>
        <w:rPr>
          <w:rFonts w:hint="eastAsia" w:hAnsi="宋体"/>
          <w:sz w:val="24"/>
          <w:u w:val="single"/>
        </w:rPr>
      </w:pPr>
      <w:r>
        <w:rPr>
          <w:rFonts w:hint="eastAsia" w:hAnsi="宋体"/>
          <w:sz w:val="24"/>
        </w:rPr>
        <w:t>投标人(盖单位章):</w:t>
      </w:r>
      <w:r>
        <w:rPr>
          <w:rFonts w:hint="eastAsia" w:hAnsi="宋体"/>
          <w:sz w:val="24"/>
          <w:u w:val="single"/>
        </w:rPr>
        <w:tab/>
      </w:r>
    </w:p>
    <w:p w14:paraId="175C4BB8">
      <w:pPr>
        <w:pStyle w:val="15"/>
        <w:ind w:left="0" w:leftChars="0" w:firstLine="480" w:firstLineChars="200"/>
        <w:jc w:val="left"/>
      </w:pPr>
      <w:r>
        <w:rPr>
          <w:rFonts w:hint="eastAsia" w:ascii="宋体" w:hAnsi="宋体" w:cs="宋体"/>
          <w:sz w:val="24"/>
          <w:szCs w:val="20"/>
        </w:rPr>
        <w:t>日期：</w:t>
      </w:r>
      <w:r>
        <w:rPr>
          <w:rFonts w:hint="eastAsia" w:ascii="宋体" w:hAnsi="宋体" w:eastAsia="宋体" w:cs="宋体"/>
          <w:spacing w:val="6"/>
          <w:sz w:val="21"/>
          <w:szCs w:val="21"/>
          <w:highlight w:val="none"/>
        </w:rPr>
        <w:t> 年　  月　  日   </w:t>
      </w:r>
    </w:p>
    <w:p w14:paraId="232CE09E">
      <w:pPr>
        <w:pStyle w:val="14"/>
        <w:tabs>
          <w:tab w:val="left" w:pos="5580"/>
        </w:tabs>
        <w:spacing w:line="240" w:lineRule="atLeast"/>
        <w:rPr>
          <w:rFonts w:hAnsi="宋体"/>
          <w:b/>
          <w:bCs/>
          <w:sz w:val="24"/>
        </w:rPr>
      </w:pPr>
      <w:r>
        <w:rPr>
          <w:rFonts w:hint="eastAsia" w:hAnsi="宋体"/>
          <w:sz w:val="24"/>
          <w:u w:val="single"/>
        </w:rPr>
        <w:br w:type="page"/>
      </w:r>
      <w:bookmarkStart w:id="140" w:name="_Toc216582818"/>
      <w:bookmarkStart w:id="141" w:name="_Toc21391"/>
      <w:bookmarkStart w:id="142" w:name="_Toc1980"/>
      <w:bookmarkStart w:id="143" w:name="_Toc23"/>
      <w:bookmarkStart w:id="144" w:name="_Toc515647821"/>
      <w:r>
        <w:rPr>
          <w:rFonts w:hint="eastAsia" w:hAnsi="宋体"/>
          <w:b/>
          <w:bCs/>
          <w:sz w:val="24"/>
        </w:rPr>
        <w:t>5、商务条款偏离表</w:t>
      </w:r>
      <w:bookmarkEnd w:id="140"/>
      <w:r>
        <w:rPr>
          <w:rFonts w:hint="eastAsia" w:hAnsi="宋体"/>
          <w:b/>
          <w:bCs/>
          <w:sz w:val="24"/>
        </w:rPr>
        <w:t>（投标文件格式八）</w:t>
      </w:r>
      <w:bookmarkEnd w:id="141"/>
      <w:bookmarkEnd w:id="142"/>
      <w:bookmarkEnd w:id="143"/>
      <w:bookmarkEnd w:id="144"/>
    </w:p>
    <w:p w14:paraId="3CEF294C">
      <w:pPr>
        <w:pStyle w:val="14"/>
        <w:spacing w:line="240" w:lineRule="atLeast"/>
        <w:ind w:left="1080" w:leftChars="257" w:hanging="540"/>
        <w:rPr>
          <w:rFonts w:hAnsi="宋体"/>
          <w:sz w:val="24"/>
        </w:rPr>
      </w:pPr>
    </w:p>
    <w:p w14:paraId="3D1ECC9D">
      <w:pPr>
        <w:pStyle w:val="14"/>
        <w:spacing w:line="240" w:lineRule="atLeast"/>
        <w:ind w:left="1080" w:leftChars="257" w:hanging="540"/>
        <w:rPr>
          <w:rFonts w:hAnsi="宋体"/>
          <w:sz w:val="24"/>
        </w:rPr>
      </w:pPr>
    </w:p>
    <w:p w14:paraId="70B7561B">
      <w:pPr>
        <w:pStyle w:val="14"/>
        <w:spacing w:line="240" w:lineRule="atLeast"/>
        <w:ind w:left="1080" w:leftChars="257" w:hanging="540"/>
        <w:rPr>
          <w:rFonts w:hAnsi="宋体"/>
          <w:sz w:val="24"/>
        </w:rPr>
      </w:pPr>
      <w:r>
        <w:rPr>
          <w:rFonts w:hint="eastAsia" w:hAnsi="宋体"/>
          <w:sz w:val="24"/>
        </w:rPr>
        <w:t xml:space="preserve">项目名称:                      </w:t>
      </w:r>
      <w:r>
        <w:rPr>
          <w:rFonts w:hint="eastAsia" w:hAnsi="宋体"/>
          <w:sz w:val="24"/>
          <w:lang w:eastAsia="zh-CN"/>
        </w:rPr>
        <w:t>项目</w:t>
      </w:r>
      <w:r>
        <w:rPr>
          <w:rFonts w:hint="eastAsia" w:hAnsi="宋体"/>
          <w:sz w:val="24"/>
        </w:rPr>
        <w:t xml:space="preserve">编号:             </w:t>
      </w:r>
    </w:p>
    <w:tbl>
      <w:tblPr>
        <w:tblStyle w:val="27"/>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0938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745C7D6C">
            <w:pPr>
              <w:pStyle w:val="14"/>
              <w:spacing w:line="240" w:lineRule="atLeast"/>
              <w:jc w:val="center"/>
              <w:rPr>
                <w:rFonts w:hAnsi="宋体"/>
                <w:sz w:val="24"/>
              </w:rPr>
            </w:pPr>
            <w:r>
              <w:rPr>
                <w:rFonts w:hint="eastAsia" w:hAnsi="宋体"/>
                <w:sz w:val="24"/>
              </w:rPr>
              <w:t>序号</w:t>
            </w:r>
          </w:p>
        </w:tc>
        <w:tc>
          <w:tcPr>
            <w:tcW w:w="2040" w:type="dxa"/>
            <w:vAlign w:val="center"/>
          </w:tcPr>
          <w:p w14:paraId="2CDDA681">
            <w:pPr>
              <w:pStyle w:val="14"/>
              <w:spacing w:line="240" w:lineRule="atLeast"/>
              <w:jc w:val="center"/>
              <w:rPr>
                <w:rFonts w:hAnsi="宋体"/>
                <w:sz w:val="24"/>
              </w:rPr>
            </w:pPr>
            <w:r>
              <w:rPr>
                <w:rFonts w:hint="eastAsia" w:hAnsi="宋体"/>
                <w:sz w:val="24"/>
              </w:rPr>
              <w:t>招标文件条款号</w:t>
            </w:r>
          </w:p>
        </w:tc>
        <w:tc>
          <w:tcPr>
            <w:tcW w:w="2520" w:type="dxa"/>
            <w:vAlign w:val="center"/>
          </w:tcPr>
          <w:p w14:paraId="05358390">
            <w:pPr>
              <w:pStyle w:val="14"/>
              <w:spacing w:line="240" w:lineRule="atLeast"/>
              <w:jc w:val="center"/>
              <w:rPr>
                <w:rFonts w:hAnsi="宋体"/>
                <w:sz w:val="24"/>
              </w:rPr>
            </w:pPr>
            <w:r>
              <w:rPr>
                <w:rFonts w:hint="eastAsia" w:hAnsi="宋体"/>
                <w:sz w:val="24"/>
              </w:rPr>
              <w:t>招标文件的商务条款</w:t>
            </w:r>
          </w:p>
        </w:tc>
        <w:tc>
          <w:tcPr>
            <w:tcW w:w="2520" w:type="dxa"/>
            <w:vAlign w:val="center"/>
          </w:tcPr>
          <w:p w14:paraId="1066C72E">
            <w:pPr>
              <w:pStyle w:val="14"/>
              <w:spacing w:line="240" w:lineRule="atLeast"/>
              <w:jc w:val="center"/>
              <w:rPr>
                <w:rFonts w:hAnsi="宋体"/>
                <w:sz w:val="24"/>
              </w:rPr>
            </w:pPr>
            <w:r>
              <w:rPr>
                <w:rFonts w:hint="eastAsia" w:hAnsi="宋体"/>
                <w:sz w:val="24"/>
              </w:rPr>
              <w:t>投标文件的商务条款</w:t>
            </w:r>
          </w:p>
        </w:tc>
        <w:tc>
          <w:tcPr>
            <w:tcW w:w="900" w:type="dxa"/>
            <w:vAlign w:val="center"/>
          </w:tcPr>
          <w:p w14:paraId="134B851C">
            <w:pPr>
              <w:pStyle w:val="14"/>
              <w:spacing w:line="240" w:lineRule="atLeast"/>
              <w:jc w:val="center"/>
              <w:rPr>
                <w:rFonts w:hAnsi="宋体"/>
                <w:sz w:val="24"/>
              </w:rPr>
            </w:pPr>
            <w:r>
              <w:rPr>
                <w:rFonts w:hint="eastAsia" w:hAnsi="宋体"/>
                <w:sz w:val="24"/>
              </w:rPr>
              <w:t>说明</w:t>
            </w:r>
          </w:p>
        </w:tc>
      </w:tr>
      <w:tr w14:paraId="56B6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2E87441">
            <w:pPr>
              <w:pStyle w:val="14"/>
              <w:spacing w:line="240" w:lineRule="atLeast"/>
              <w:ind w:left="1080" w:leftChars="257" w:hanging="540"/>
              <w:rPr>
                <w:rFonts w:hAnsi="宋体"/>
                <w:sz w:val="24"/>
              </w:rPr>
            </w:pPr>
          </w:p>
        </w:tc>
        <w:tc>
          <w:tcPr>
            <w:tcW w:w="2040" w:type="dxa"/>
          </w:tcPr>
          <w:p w14:paraId="5426A723">
            <w:pPr>
              <w:pStyle w:val="14"/>
              <w:spacing w:line="240" w:lineRule="atLeast"/>
              <w:ind w:left="1080" w:leftChars="257" w:hanging="540"/>
              <w:rPr>
                <w:rFonts w:hAnsi="宋体"/>
                <w:sz w:val="24"/>
              </w:rPr>
            </w:pPr>
          </w:p>
        </w:tc>
        <w:tc>
          <w:tcPr>
            <w:tcW w:w="2520" w:type="dxa"/>
          </w:tcPr>
          <w:p w14:paraId="4BD1C7F9">
            <w:pPr>
              <w:pStyle w:val="14"/>
              <w:spacing w:line="240" w:lineRule="atLeast"/>
              <w:ind w:left="1080" w:leftChars="257" w:hanging="540"/>
              <w:jc w:val="center"/>
              <w:rPr>
                <w:rFonts w:hAnsi="宋体"/>
                <w:sz w:val="24"/>
              </w:rPr>
            </w:pPr>
          </w:p>
        </w:tc>
        <w:tc>
          <w:tcPr>
            <w:tcW w:w="2520" w:type="dxa"/>
          </w:tcPr>
          <w:p w14:paraId="2ED67A8E">
            <w:pPr>
              <w:pStyle w:val="14"/>
              <w:spacing w:line="240" w:lineRule="atLeast"/>
              <w:ind w:left="1080" w:leftChars="257" w:hanging="540"/>
              <w:jc w:val="center"/>
              <w:rPr>
                <w:rFonts w:hAnsi="宋体"/>
                <w:sz w:val="24"/>
              </w:rPr>
            </w:pPr>
          </w:p>
        </w:tc>
        <w:tc>
          <w:tcPr>
            <w:tcW w:w="900" w:type="dxa"/>
          </w:tcPr>
          <w:p w14:paraId="7D2D8052">
            <w:pPr>
              <w:pStyle w:val="14"/>
              <w:spacing w:line="240" w:lineRule="atLeast"/>
              <w:ind w:left="1080" w:leftChars="257" w:hanging="540"/>
              <w:rPr>
                <w:rFonts w:hAnsi="宋体"/>
                <w:sz w:val="24"/>
              </w:rPr>
            </w:pPr>
          </w:p>
        </w:tc>
      </w:tr>
      <w:tr w14:paraId="050E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F5D55BB">
            <w:pPr>
              <w:pStyle w:val="14"/>
              <w:spacing w:line="240" w:lineRule="atLeast"/>
              <w:ind w:left="1080" w:leftChars="257" w:hanging="540"/>
              <w:rPr>
                <w:rFonts w:hAnsi="宋体"/>
                <w:sz w:val="24"/>
              </w:rPr>
            </w:pPr>
          </w:p>
        </w:tc>
        <w:tc>
          <w:tcPr>
            <w:tcW w:w="2040" w:type="dxa"/>
          </w:tcPr>
          <w:p w14:paraId="58FA9E15">
            <w:pPr>
              <w:pStyle w:val="14"/>
              <w:spacing w:line="240" w:lineRule="atLeast"/>
              <w:ind w:left="1080" w:leftChars="257" w:hanging="540"/>
              <w:rPr>
                <w:rFonts w:hAnsi="宋体"/>
                <w:sz w:val="24"/>
              </w:rPr>
            </w:pPr>
          </w:p>
        </w:tc>
        <w:tc>
          <w:tcPr>
            <w:tcW w:w="2520" w:type="dxa"/>
          </w:tcPr>
          <w:p w14:paraId="7149589B">
            <w:pPr>
              <w:pStyle w:val="14"/>
              <w:spacing w:line="240" w:lineRule="atLeast"/>
              <w:ind w:left="1080" w:leftChars="257" w:hanging="540"/>
              <w:rPr>
                <w:rFonts w:hAnsi="宋体"/>
                <w:sz w:val="24"/>
              </w:rPr>
            </w:pPr>
          </w:p>
        </w:tc>
        <w:tc>
          <w:tcPr>
            <w:tcW w:w="2520" w:type="dxa"/>
          </w:tcPr>
          <w:p w14:paraId="52BA8D8D">
            <w:pPr>
              <w:pStyle w:val="14"/>
              <w:spacing w:line="240" w:lineRule="atLeast"/>
              <w:ind w:left="1080" w:leftChars="257" w:hanging="540"/>
              <w:rPr>
                <w:rFonts w:hAnsi="宋体"/>
                <w:sz w:val="24"/>
              </w:rPr>
            </w:pPr>
          </w:p>
        </w:tc>
        <w:tc>
          <w:tcPr>
            <w:tcW w:w="900" w:type="dxa"/>
          </w:tcPr>
          <w:p w14:paraId="6F04A778">
            <w:pPr>
              <w:pStyle w:val="14"/>
              <w:spacing w:line="240" w:lineRule="atLeast"/>
              <w:ind w:left="1080" w:leftChars="257" w:hanging="540"/>
              <w:rPr>
                <w:rFonts w:hAnsi="宋体"/>
                <w:sz w:val="24"/>
              </w:rPr>
            </w:pPr>
          </w:p>
        </w:tc>
      </w:tr>
      <w:tr w14:paraId="3ADD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42D5EA5B">
            <w:pPr>
              <w:pStyle w:val="14"/>
              <w:spacing w:line="240" w:lineRule="atLeast"/>
              <w:ind w:left="1080" w:leftChars="257" w:hanging="540"/>
              <w:rPr>
                <w:rFonts w:hAnsi="宋体"/>
                <w:sz w:val="24"/>
              </w:rPr>
            </w:pPr>
          </w:p>
        </w:tc>
        <w:tc>
          <w:tcPr>
            <w:tcW w:w="2040" w:type="dxa"/>
          </w:tcPr>
          <w:p w14:paraId="30B45852">
            <w:pPr>
              <w:pStyle w:val="14"/>
              <w:spacing w:line="240" w:lineRule="atLeast"/>
              <w:ind w:left="1080" w:leftChars="257" w:hanging="540"/>
              <w:rPr>
                <w:rFonts w:hAnsi="宋体"/>
                <w:sz w:val="24"/>
              </w:rPr>
            </w:pPr>
          </w:p>
        </w:tc>
        <w:tc>
          <w:tcPr>
            <w:tcW w:w="2520" w:type="dxa"/>
          </w:tcPr>
          <w:p w14:paraId="29EF6A7E">
            <w:pPr>
              <w:pStyle w:val="14"/>
              <w:spacing w:line="240" w:lineRule="atLeast"/>
              <w:ind w:left="1080" w:leftChars="257" w:hanging="540"/>
              <w:rPr>
                <w:rFonts w:hAnsi="宋体"/>
                <w:sz w:val="24"/>
              </w:rPr>
            </w:pPr>
          </w:p>
        </w:tc>
        <w:tc>
          <w:tcPr>
            <w:tcW w:w="2520" w:type="dxa"/>
          </w:tcPr>
          <w:p w14:paraId="22E4B8AB">
            <w:pPr>
              <w:pStyle w:val="14"/>
              <w:spacing w:line="240" w:lineRule="atLeast"/>
              <w:ind w:left="1080" w:leftChars="257" w:hanging="540"/>
              <w:rPr>
                <w:rFonts w:hAnsi="宋体"/>
                <w:sz w:val="24"/>
              </w:rPr>
            </w:pPr>
          </w:p>
        </w:tc>
        <w:tc>
          <w:tcPr>
            <w:tcW w:w="900" w:type="dxa"/>
          </w:tcPr>
          <w:p w14:paraId="579901C3">
            <w:pPr>
              <w:pStyle w:val="14"/>
              <w:spacing w:line="240" w:lineRule="atLeast"/>
              <w:ind w:left="1080" w:leftChars="257" w:hanging="540"/>
              <w:rPr>
                <w:rFonts w:hAnsi="宋体"/>
                <w:sz w:val="24"/>
              </w:rPr>
            </w:pPr>
          </w:p>
        </w:tc>
      </w:tr>
      <w:tr w14:paraId="6BC2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B56D02D">
            <w:pPr>
              <w:pStyle w:val="14"/>
              <w:spacing w:line="240" w:lineRule="atLeast"/>
              <w:ind w:left="1080" w:leftChars="257" w:hanging="540"/>
              <w:rPr>
                <w:rFonts w:hAnsi="宋体"/>
                <w:sz w:val="24"/>
              </w:rPr>
            </w:pPr>
          </w:p>
        </w:tc>
        <w:tc>
          <w:tcPr>
            <w:tcW w:w="2040" w:type="dxa"/>
          </w:tcPr>
          <w:p w14:paraId="0721C9FF">
            <w:pPr>
              <w:pStyle w:val="14"/>
              <w:spacing w:line="240" w:lineRule="atLeast"/>
              <w:ind w:left="1080" w:leftChars="257" w:hanging="540"/>
              <w:rPr>
                <w:rFonts w:hAnsi="宋体"/>
                <w:sz w:val="24"/>
              </w:rPr>
            </w:pPr>
          </w:p>
        </w:tc>
        <w:tc>
          <w:tcPr>
            <w:tcW w:w="2520" w:type="dxa"/>
          </w:tcPr>
          <w:p w14:paraId="2F80797D">
            <w:pPr>
              <w:pStyle w:val="14"/>
              <w:spacing w:line="240" w:lineRule="atLeast"/>
              <w:ind w:left="1080" w:leftChars="257" w:hanging="540"/>
              <w:rPr>
                <w:rFonts w:hAnsi="宋体"/>
                <w:sz w:val="24"/>
              </w:rPr>
            </w:pPr>
          </w:p>
        </w:tc>
        <w:tc>
          <w:tcPr>
            <w:tcW w:w="2520" w:type="dxa"/>
          </w:tcPr>
          <w:p w14:paraId="348DCFAB">
            <w:pPr>
              <w:pStyle w:val="14"/>
              <w:spacing w:line="240" w:lineRule="atLeast"/>
              <w:ind w:left="1080" w:leftChars="257" w:hanging="540"/>
              <w:rPr>
                <w:rFonts w:hAnsi="宋体"/>
                <w:sz w:val="24"/>
              </w:rPr>
            </w:pPr>
          </w:p>
        </w:tc>
        <w:tc>
          <w:tcPr>
            <w:tcW w:w="900" w:type="dxa"/>
          </w:tcPr>
          <w:p w14:paraId="06D5B580">
            <w:pPr>
              <w:pStyle w:val="14"/>
              <w:spacing w:line="240" w:lineRule="atLeast"/>
              <w:ind w:left="1080" w:leftChars="257" w:hanging="540"/>
              <w:rPr>
                <w:rFonts w:hAnsi="宋体"/>
                <w:sz w:val="24"/>
              </w:rPr>
            </w:pPr>
          </w:p>
        </w:tc>
      </w:tr>
      <w:tr w14:paraId="52C1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9B07DB4">
            <w:pPr>
              <w:pStyle w:val="14"/>
              <w:spacing w:line="240" w:lineRule="atLeast"/>
              <w:ind w:left="1080" w:leftChars="257" w:hanging="540"/>
              <w:rPr>
                <w:rFonts w:hAnsi="宋体"/>
                <w:sz w:val="24"/>
              </w:rPr>
            </w:pPr>
          </w:p>
        </w:tc>
        <w:tc>
          <w:tcPr>
            <w:tcW w:w="2040" w:type="dxa"/>
          </w:tcPr>
          <w:p w14:paraId="599E6F4F">
            <w:pPr>
              <w:pStyle w:val="14"/>
              <w:spacing w:line="240" w:lineRule="atLeast"/>
              <w:ind w:left="1080" w:leftChars="257" w:hanging="540"/>
              <w:rPr>
                <w:rFonts w:hAnsi="宋体"/>
                <w:sz w:val="24"/>
              </w:rPr>
            </w:pPr>
          </w:p>
        </w:tc>
        <w:tc>
          <w:tcPr>
            <w:tcW w:w="2520" w:type="dxa"/>
          </w:tcPr>
          <w:p w14:paraId="26111712">
            <w:pPr>
              <w:pStyle w:val="14"/>
              <w:spacing w:line="240" w:lineRule="atLeast"/>
              <w:ind w:left="1080" w:leftChars="257" w:hanging="540"/>
              <w:rPr>
                <w:rFonts w:hAnsi="宋体"/>
                <w:sz w:val="24"/>
              </w:rPr>
            </w:pPr>
          </w:p>
        </w:tc>
        <w:tc>
          <w:tcPr>
            <w:tcW w:w="2520" w:type="dxa"/>
          </w:tcPr>
          <w:p w14:paraId="4CAA85EE">
            <w:pPr>
              <w:pStyle w:val="14"/>
              <w:spacing w:line="240" w:lineRule="atLeast"/>
              <w:ind w:left="1080" w:leftChars="257" w:hanging="540"/>
              <w:rPr>
                <w:rFonts w:hAnsi="宋体"/>
                <w:sz w:val="24"/>
              </w:rPr>
            </w:pPr>
          </w:p>
        </w:tc>
        <w:tc>
          <w:tcPr>
            <w:tcW w:w="900" w:type="dxa"/>
          </w:tcPr>
          <w:p w14:paraId="67FE4C8F">
            <w:pPr>
              <w:pStyle w:val="14"/>
              <w:spacing w:line="240" w:lineRule="atLeast"/>
              <w:ind w:left="1080" w:leftChars="257" w:hanging="540"/>
              <w:rPr>
                <w:rFonts w:hAnsi="宋体"/>
                <w:sz w:val="24"/>
              </w:rPr>
            </w:pPr>
          </w:p>
        </w:tc>
      </w:tr>
      <w:tr w14:paraId="49F7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8037D95">
            <w:pPr>
              <w:pStyle w:val="14"/>
              <w:spacing w:line="240" w:lineRule="atLeast"/>
              <w:ind w:left="1080" w:leftChars="257" w:hanging="540"/>
              <w:rPr>
                <w:rFonts w:hAnsi="宋体"/>
                <w:sz w:val="24"/>
              </w:rPr>
            </w:pPr>
          </w:p>
        </w:tc>
        <w:tc>
          <w:tcPr>
            <w:tcW w:w="2040" w:type="dxa"/>
          </w:tcPr>
          <w:p w14:paraId="5E65E711">
            <w:pPr>
              <w:pStyle w:val="14"/>
              <w:spacing w:line="240" w:lineRule="atLeast"/>
              <w:ind w:left="1080" w:leftChars="257" w:hanging="540"/>
              <w:rPr>
                <w:rFonts w:hAnsi="宋体"/>
                <w:sz w:val="24"/>
              </w:rPr>
            </w:pPr>
          </w:p>
        </w:tc>
        <w:tc>
          <w:tcPr>
            <w:tcW w:w="2520" w:type="dxa"/>
          </w:tcPr>
          <w:p w14:paraId="6E9D8E0B">
            <w:pPr>
              <w:pStyle w:val="14"/>
              <w:spacing w:line="240" w:lineRule="atLeast"/>
              <w:ind w:left="1080" w:leftChars="257" w:hanging="540"/>
              <w:rPr>
                <w:rFonts w:hAnsi="宋体"/>
                <w:sz w:val="24"/>
              </w:rPr>
            </w:pPr>
          </w:p>
        </w:tc>
        <w:tc>
          <w:tcPr>
            <w:tcW w:w="2520" w:type="dxa"/>
          </w:tcPr>
          <w:p w14:paraId="053DA1BB">
            <w:pPr>
              <w:pStyle w:val="14"/>
              <w:spacing w:line="240" w:lineRule="atLeast"/>
              <w:ind w:left="1080" w:leftChars="257" w:hanging="540"/>
              <w:rPr>
                <w:rFonts w:hAnsi="宋体"/>
                <w:sz w:val="24"/>
              </w:rPr>
            </w:pPr>
          </w:p>
        </w:tc>
        <w:tc>
          <w:tcPr>
            <w:tcW w:w="900" w:type="dxa"/>
          </w:tcPr>
          <w:p w14:paraId="11505A18">
            <w:pPr>
              <w:pStyle w:val="14"/>
              <w:spacing w:line="240" w:lineRule="atLeast"/>
              <w:ind w:left="1080" w:leftChars="257" w:hanging="540"/>
              <w:rPr>
                <w:rFonts w:hAnsi="宋体"/>
                <w:sz w:val="24"/>
              </w:rPr>
            </w:pPr>
          </w:p>
        </w:tc>
      </w:tr>
      <w:tr w14:paraId="7586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4BB3EDB">
            <w:pPr>
              <w:pStyle w:val="14"/>
              <w:spacing w:line="240" w:lineRule="atLeast"/>
              <w:ind w:left="1080" w:leftChars="257" w:hanging="540"/>
              <w:rPr>
                <w:rFonts w:hAnsi="宋体"/>
                <w:sz w:val="24"/>
              </w:rPr>
            </w:pPr>
          </w:p>
        </w:tc>
        <w:tc>
          <w:tcPr>
            <w:tcW w:w="2040" w:type="dxa"/>
          </w:tcPr>
          <w:p w14:paraId="6BE8B812">
            <w:pPr>
              <w:pStyle w:val="14"/>
              <w:spacing w:line="240" w:lineRule="atLeast"/>
              <w:ind w:left="1080" w:leftChars="257" w:hanging="540"/>
              <w:rPr>
                <w:rFonts w:hAnsi="宋体"/>
                <w:sz w:val="24"/>
              </w:rPr>
            </w:pPr>
          </w:p>
        </w:tc>
        <w:tc>
          <w:tcPr>
            <w:tcW w:w="2520" w:type="dxa"/>
          </w:tcPr>
          <w:p w14:paraId="524BC6D3">
            <w:pPr>
              <w:pStyle w:val="14"/>
              <w:spacing w:line="240" w:lineRule="atLeast"/>
              <w:ind w:left="1080" w:leftChars="257" w:hanging="540"/>
              <w:rPr>
                <w:rFonts w:hAnsi="宋体"/>
                <w:sz w:val="24"/>
              </w:rPr>
            </w:pPr>
          </w:p>
        </w:tc>
        <w:tc>
          <w:tcPr>
            <w:tcW w:w="2520" w:type="dxa"/>
          </w:tcPr>
          <w:p w14:paraId="23C7337D">
            <w:pPr>
              <w:pStyle w:val="14"/>
              <w:spacing w:line="240" w:lineRule="atLeast"/>
              <w:ind w:left="1080" w:leftChars="257" w:hanging="540"/>
              <w:rPr>
                <w:rFonts w:hAnsi="宋体"/>
                <w:sz w:val="24"/>
              </w:rPr>
            </w:pPr>
          </w:p>
        </w:tc>
        <w:tc>
          <w:tcPr>
            <w:tcW w:w="900" w:type="dxa"/>
          </w:tcPr>
          <w:p w14:paraId="2F349A21">
            <w:pPr>
              <w:pStyle w:val="14"/>
              <w:spacing w:line="240" w:lineRule="atLeast"/>
              <w:ind w:left="1080" w:leftChars="257" w:hanging="540"/>
              <w:rPr>
                <w:rFonts w:hAnsi="宋体"/>
                <w:sz w:val="24"/>
              </w:rPr>
            </w:pPr>
          </w:p>
        </w:tc>
      </w:tr>
      <w:tr w14:paraId="24FF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6F9F2AD6">
            <w:pPr>
              <w:pStyle w:val="14"/>
              <w:spacing w:line="240" w:lineRule="atLeast"/>
              <w:ind w:left="1080" w:leftChars="257" w:hanging="540"/>
              <w:rPr>
                <w:rFonts w:hAnsi="宋体"/>
                <w:sz w:val="24"/>
              </w:rPr>
            </w:pPr>
          </w:p>
        </w:tc>
        <w:tc>
          <w:tcPr>
            <w:tcW w:w="2040" w:type="dxa"/>
          </w:tcPr>
          <w:p w14:paraId="55A26910">
            <w:pPr>
              <w:pStyle w:val="14"/>
              <w:spacing w:line="240" w:lineRule="atLeast"/>
              <w:ind w:left="1080" w:leftChars="257" w:hanging="540"/>
              <w:rPr>
                <w:rFonts w:hAnsi="宋体"/>
                <w:sz w:val="24"/>
              </w:rPr>
            </w:pPr>
          </w:p>
        </w:tc>
        <w:tc>
          <w:tcPr>
            <w:tcW w:w="2520" w:type="dxa"/>
          </w:tcPr>
          <w:p w14:paraId="60D89F79">
            <w:pPr>
              <w:pStyle w:val="14"/>
              <w:spacing w:line="240" w:lineRule="atLeast"/>
              <w:ind w:left="1080" w:leftChars="257" w:hanging="540"/>
              <w:rPr>
                <w:rFonts w:hAnsi="宋体"/>
                <w:sz w:val="24"/>
              </w:rPr>
            </w:pPr>
          </w:p>
        </w:tc>
        <w:tc>
          <w:tcPr>
            <w:tcW w:w="2520" w:type="dxa"/>
          </w:tcPr>
          <w:p w14:paraId="4DABC403">
            <w:pPr>
              <w:pStyle w:val="14"/>
              <w:spacing w:line="240" w:lineRule="atLeast"/>
              <w:ind w:left="1080" w:leftChars="257" w:hanging="540"/>
              <w:rPr>
                <w:rFonts w:hAnsi="宋体"/>
                <w:sz w:val="24"/>
              </w:rPr>
            </w:pPr>
          </w:p>
        </w:tc>
        <w:tc>
          <w:tcPr>
            <w:tcW w:w="900" w:type="dxa"/>
          </w:tcPr>
          <w:p w14:paraId="04AEEE11">
            <w:pPr>
              <w:pStyle w:val="14"/>
              <w:spacing w:line="240" w:lineRule="atLeast"/>
              <w:ind w:left="1080" w:leftChars="257" w:hanging="540"/>
              <w:rPr>
                <w:rFonts w:hAnsi="宋体"/>
                <w:sz w:val="24"/>
              </w:rPr>
            </w:pPr>
          </w:p>
        </w:tc>
      </w:tr>
      <w:tr w14:paraId="4148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0B18FCA">
            <w:pPr>
              <w:pStyle w:val="14"/>
              <w:spacing w:line="240" w:lineRule="atLeast"/>
              <w:ind w:left="1080" w:leftChars="257" w:hanging="540"/>
              <w:rPr>
                <w:rFonts w:hAnsi="宋体"/>
                <w:sz w:val="24"/>
              </w:rPr>
            </w:pPr>
          </w:p>
        </w:tc>
        <w:tc>
          <w:tcPr>
            <w:tcW w:w="2040" w:type="dxa"/>
          </w:tcPr>
          <w:p w14:paraId="5BAACD97">
            <w:pPr>
              <w:pStyle w:val="14"/>
              <w:spacing w:line="240" w:lineRule="atLeast"/>
              <w:ind w:left="1080" w:leftChars="257" w:hanging="540"/>
              <w:rPr>
                <w:rFonts w:hAnsi="宋体"/>
                <w:sz w:val="24"/>
              </w:rPr>
            </w:pPr>
          </w:p>
        </w:tc>
        <w:tc>
          <w:tcPr>
            <w:tcW w:w="2520" w:type="dxa"/>
          </w:tcPr>
          <w:p w14:paraId="20571D00">
            <w:pPr>
              <w:pStyle w:val="14"/>
              <w:spacing w:line="240" w:lineRule="atLeast"/>
              <w:ind w:left="1080" w:leftChars="257" w:hanging="540"/>
              <w:rPr>
                <w:rFonts w:hAnsi="宋体"/>
                <w:sz w:val="24"/>
              </w:rPr>
            </w:pPr>
          </w:p>
        </w:tc>
        <w:tc>
          <w:tcPr>
            <w:tcW w:w="2520" w:type="dxa"/>
          </w:tcPr>
          <w:p w14:paraId="51A0AC6C">
            <w:pPr>
              <w:pStyle w:val="14"/>
              <w:spacing w:line="240" w:lineRule="atLeast"/>
              <w:ind w:left="1080" w:leftChars="257" w:hanging="540"/>
              <w:rPr>
                <w:rFonts w:hAnsi="宋体"/>
                <w:sz w:val="24"/>
              </w:rPr>
            </w:pPr>
          </w:p>
        </w:tc>
        <w:tc>
          <w:tcPr>
            <w:tcW w:w="900" w:type="dxa"/>
          </w:tcPr>
          <w:p w14:paraId="003F562B">
            <w:pPr>
              <w:pStyle w:val="14"/>
              <w:spacing w:line="240" w:lineRule="atLeast"/>
              <w:ind w:left="1080" w:leftChars="257" w:hanging="540"/>
              <w:rPr>
                <w:rFonts w:hAnsi="宋体"/>
                <w:sz w:val="24"/>
              </w:rPr>
            </w:pPr>
          </w:p>
        </w:tc>
      </w:tr>
      <w:tr w14:paraId="22C2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23DDAF80">
            <w:pPr>
              <w:pStyle w:val="14"/>
              <w:spacing w:line="240" w:lineRule="atLeast"/>
              <w:ind w:left="1080" w:leftChars="257" w:hanging="540"/>
              <w:rPr>
                <w:rFonts w:hAnsi="宋体"/>
                <w:sz w:val="24"/>
              </w:rPr>
            </w:pPr>
          </w:p>
        </w:tc>
        <w:tc>
          <w:tcPr>
            <w:tcW w:w="2040" w:type="dxa"/>
          </w:tcPr>
          <w:p w14:paraId="663525C7">
            <w:pPr>
              <w:pStyle w:val="14"/>
              <w:spacing w:line="240" w:lineRule="atLeast"/>
              <w:ind w:left="1080" w:leftChars="257" w:hanging="540"/>
              <w:rPr>
                <w:rFonts w:hAnsi="宋体"/>
                <w:sz w:val="24"/>
              </w:rPr>
            </w:pPr>
          </w:p>
        </w:tc>
        <w:tc>
          <w:tcPr>
            <w:tcW w:w="2520" w:type="dxa"/>
          </w:tcPr>
          <w:p w14:paraId="1EC4077D">
            <w:pPr>
              <w:pStyle w:val="14"/>
              <w:spacing w:line="240" w:lineRule="atLeast"/>
              <w:ind w:left="1080" w:leftChars="257" w:hanging="540"/>
              <w:rPr>
                <w:rFonts w:hAnsi="宋体"/>
                <w:sz w:val="24"/>
              </w:rPr>
            </w:pPr>
          </w:p>
        </w:tc>
        <w:tc>
          <w:tcPr>
            <w:tcW w:w="2520" w:type="dxa"/>
          </w:tcPr>
          <w:p w14:paraId="563FA451">
            <w:pPr>
              <w:pStyle w:val="14"/>
              <w:spacing w:line="240" w:lineRule="atLeast"/>
              <w:ind w:left="1080" w:leftChars="257" w:hanging="540"/>
              <w:rPr>
                <w:rFonts w:hAnsi="宋体"/>
                <w:sz w:val="24"/>
              </w:rPr>
            </w:pPr>
          </w:p>
        </w:tc>
        <w:tc>
          <w:tcPr>
            <w:tcW w:w="900" w:type="dxa"/>
          </w:tcPr>
          <w:p w14:paraId="300728F9">
            <w:pPr>
              <w:pStyle w:val="14"/>
              <w:spacing w:line="240" w:lineRule="atLeast"/>
              <w:ind w:left="1080" w:leftChars="257" w:hanging="540"/>
              <w:rPr>
                <w:rFonts w:hAnsi="宋体"/>
                <w:sz w:val="24"/>
              </w:rPr>
            </w:pPr>
          </w:p>
        </w:tc>
      </w:tr>
      <w:tr w14:paraId="7184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E130AFF">
            <w:pPr>
              <w:pStyle w:val="14"/>
              <w:spacing w:line="240" w:lineRule="atLeast"/>
              <w:ind w:left="1080" w:leftChars="257" w:hanging="540"/>
              <w:rPr>
                <w:rFonts w:hAnsi="宋体"/>
                <w:sz w:val="24"/>
              </w:rPr>
            </w:pPr>
          </w:p>
        </w:tc>
        <w:tc>
          <w:tcPr>
            <w:tcW w:w="2040" w:type="dxa"/>
          </w:tcPr>
          <w:p w14:paraId="1113AFB2">
            <w:pPr>
              <w:pStyle w:val="14"/>
              <w:spacing w:line="240" w:lineRule="atLeast"/>
              <w:ind w:left="1080" w:leftChars="257" w:hanging="540"/>
              <w:rPr>
                <w:rFonts w:hAnsi="宋体"/>
                <w:sz w:val="24"/>
              </w:rPr>
            </w:pPr>
          </w:p>
        </w:tc>
        <w:tc>
          <w:tcPr>
            <w:tcW w:w="2520" w:type="dxa"/>
          </w:tcPr>
          <w:p w14:paraId="3D217C77">
            <w:pPr>
              <w:pStyle w:val="14"/>
              <w:spacing w:line="240" w:lineRule="atLeast"/>
              <w:ind w:left="1080" w:leftChars="257" w:hanging="540"/>
              <w:rPr>
                <w:rFonts w:hAnsi="宋体"/>
                <w:sz w:val="24"/>
              </w:rPr>
            </w:pPr>
          </w:p>
        </w:tc>
        <w:tc>
          <w:tcPr>
            <w:tcW w:w="2520" w:type="dxa"/>
          </w:tcPr>
          <w:p w14:paraId="67AF75D3">
            <w:pPr>
              <w:pStyle w:val="14"/>
              <w:spacing w:line="240" w:lineRule="atLeast"/>
              <w:ind w:left="1080" w:leftChars="257" w:hanging="540"/>
              <w:rPr>
                <w:rFonts w:hAnsi="宋体"/>
                <w:sz w:val="24"/>
              </w:rPr>
            </w:pPr>
          </w:p>
        </w:tc>
        <w:tc>
          <w:tcPr>
            <w:tcW w:w="900" w:type="dxa"/>
          </w:tcPr>
          <w:p w14:paraId="0BC78116">
            <w:pPr>
              <w:pStyle w:val="14"/>
              <w:spacing w:line="240" w:lineRule="atLeast"/>
              <w:ind w:left="1080" w:leftChars="257" w:hanging="540"/>
              <w:rPr>
                <w:rFonts w:hAnsi="宋体"/>
                <w:sz w:val="24"/>
              </w:rPr>
            </w:pPr>
          </w:p>
        </w:tc>
      </w:tr>
      <w:tr w14:paraId="6FD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603164C">
            <w:pPr>
              <w:pStyle w:val="14"/>
              <w:spacing w:line="240" w:lineRule="atLeast"/>
              <w:ind w:left="1080" w:leftChars="257" w:hanging="540"/>
              <w:rPr>
                <w:rFonts w:hAnsi="宋体"/>
                <w:sz w:val="24"/>
              </w:rPr>
            </w:pPr>
          </w:p>
        </w:tc>
        <w:tc>
          <w:tcPr>
            <w:tcW w:w="2040" w:type="dxa"/>
          </w:tcPr>
          <w:p w14:paraId="297C4380">
            <w:pPr>
              <w:pStyle w:val="14"/>
              <w:spacing w:line="240" w:lineRule="atLeast"/>
              <w:ind w:left="1080" w:leftChars="257" w:hanging="540"/>
              <w:rPr>
                <w:rFonts w:hAnsi="宋体"/>
                <w:sz w:val="24"/>
              </w:rPr>
            </w:pPr>
          </w:p>
        </w:tc>
        <w:tc>
          <w:tcPr>
            <w:tcW w:w="2520" w:type="dxa"/>
          </w:tcPr>
          <w:p w14:paraId="618B72B9">
            <w:pPr>
              <w:pStyle w:val="14"/>
              <w:spacing w:line="240" w:lineRule="atLeast"/>
              <w:ind w:left="1080" w:leftChars="257" w:hanging="540"/>
              <w:rPr>
                <w:rFonts w:hAnsi="宋体"/>
                <w:sz w:val="24"/>
              </w:rPr>
            </w:pPr>
          </w:p>
        </w:tc>
        <w:tc>
          <w:tcPr>
            <w:tcW w:w="2520" w:type="dxa"/>
          </w:tcPr>
          <w:p w14:paraId="4786F92F">
            <w:pPr>
              <w:pStyle w:val="14"/>
              <w:spacing w:line="240" w:lineRule="atLeast"/>
              <w:ind w:left="1080" w:leftChars="257" w:hanging="540"/>
              <w:rPr>
                <w:rFonts w:hAnsi="宋体"/>
                <w:sz w:val="24"/>
              </w:rPr>
            </w:pPr>
          </w:p>
        </w:tc>
        <w:tc>
          <w:tcPr>
            <w:tcW w:w="900" w:type="dxa"/>
          </w:tcPr>
          <w:p w14:paraId="11701B04">
            <w:pPr>
              <w:pStyle w:val="14"/>
              <w:spacing w:line="240" w:lineRule="atLeast"/>
              <w:ind w:left="1080" w:leftChars="257" w:hanging="540"/>
              <w:rPr>
                <w:rFonts w:hAnsi="宋体"/>
                <w:sz w:val="24"/>
              </w:rPr>
            </w:pPr>
          </w:p>
        </w:tc>
      </w:tr>
      <w:tr w14:paraId="7022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C6A3249">
            <w:pPr>
              <w:pStyle w:val="14"/>
              <w:spacing w:line="240" w:lineRule="atLeast"/>
              <w:ind w:left="1080" w:leftChars="257" w:hanging="540"/>
              <w:rPr>
                <w:rFonts w:hAnsi="宋体"/>
                <w:sz w:val="24"/>
              </w:rPr>
            </w:pPr>
          </w:p>
        </w:tc>
        <w:tc>
          <w:tcPr>
            <w:tcW w:w="2040" w:type="dxa"/>
          </w:tcPr>
          <w:p w14:paraId="5AC17C71">
            <w:pPr>
              <w:pStyle w:val="14"/>
              <w:spacing w:line="240" w:lineRule="atLeast"/>
              <w:ind w:left="1080" w:leftChars="257" w:hanging="540"/>
              <w:rPr>
                <w:rFonts w:hAnsi="宋体"/>
                <w:sz w:val="24"/>
              </w:rPr>
            </w:pPr>
          </w:p>
        </w:tc>
        <w:tc>
          <w:tcPr>
            <w:tcW w:w="2520" w:type="dxa"/>
          </w:tcPr>
          <w:p w14:paraId="49B3CB9C">
            <w:pPr>
              <w:pStyle w:val="14"/>
              <w:spacing w:line="240" w:lineRule="atLeast"/>
              <w:ind w:left="1080" w:leftChars="257" w:hanging="540"/>
              <w:rPr>
                <w:rFonts w:hAnsi="宋体"/>
                <w:sz w:val="24"/>
              </w:rPr>
            </w:pPr>
          </w:p>
        </w:tc>
        <w:tc>
          <w:tcPr>
            <w:tcW w:w="2520" w:type="dxa"/>
          </w:tcPr>
          <w:p w14:paraId="7CEBA17A">
            <w:pPr>
              <w:pStyle w:val="14"/>
              <w:spacing w:line="240" w:lineRule="atLeast"/>
              <w:ind w:left="1080" w:leftChars="257" w:hanging="540"/>
              <w:rPr>
                <w:rFonts w:hAnsi="宋体"/>
                <w:sz w:val="24"/>
              </w:rPr>
            </w:pPr>
          </w:p>
        </w:tc>
        <w:tc>
          <w:tcPr>
            <w:tcW w:w="900" w:type="dxa"/>
          </w:tcPr>
          <w:p w14:paraId="06B6B015">
            <w:pPr>
              <w:pStyle w:val="14"/>
              <w:spacing w:line="240" w:lineRule="atLeast"/>
              <w:ind w:left="1080" w:leftChars="257" w:hanging="540"/>
              <w:rPr>
                <w:rFonts w:hAnsi="宋体"/>
                <w:sz w:val="24"/>
              </w:rPr>
            </w:pPr>
          </w:p>
        </w:tc>
      </w:tr>
      <w:tr w14:paraId="2804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424C09C9">
            <w:pPr>
              <w:pStyle w:val="14"/>
              <w:spacing w:line="240" w:lineRule="atLeast"/>
              <w:ind w:left="1080" w:leftChars="257" w:hanging="540"/>
              <w:rPr>
                <w:rFonts w:hAnsi="宋体"/>
                <w:sz w:val="24"/>
              </w:rPr>
            </w:pPr>
          </w:p>
        </w:tc>
        <w:tc>
          <w:tcPr>
            <w:tcW w:w="2040" w:type="dxa"/>
          </w:tcPr>
          <w:p w14:paraId="1AACA9D3">
            <w:pPr>
              <w:pStyle w:val="14"/>
              <w:spacing w:line="240" w:lineRule="atLeast"/>
              <w:ind w:left="1080" w:leftChars="257" w:hanging="540"/>
              <w:rPr>
                <w:rFonts w:hAnsi="宋体"/>
                <w:sz w:val="24"/>
              </w:rPr>
            </w:pPr>
          </w:p>
        </w:tc>
        <w:tc>
          <w:tcPr>
            <w:tcW w:w="2520" w:type="dxa"/>
          </w:tcPr>
          <w:p w14:paraId="429AF72C">
            <w:pPr>
              <w:pStyle w:val="14"/>
              <w:spacing w:line="240" w:lineRule="atLeast"/>
              <w:ind w:left="1080" w:leftChars="257" w:hanging="540"/>
              <w:rPr>
                <w:rFonts w:hAnsi="宋体"/>
                <w:sz w:val="24"/>
              </w:rPr>
            </w:pPr>
          </w:p>
        </w:tc>
        <w:tc>
          <w:tcPr>
            <w:tcW w:w="2520" w:type="dxa"/>
          </w:tcPr>
          <w:p w14:paraId="2CCEDE7D">
            <w:pPr>
              <w:pStyle w:val="14"/>
              <w:spacing w:line="240" w:lineRule="atLeast"/>
              <w:ind w:left="1080" w:leftChars="257" w:hanging="540"/>
              <w:rPr>
                <w:rFonts w:hAnsi="宋体"/>
                <w:sz w:val="24"/>
              </w:rPr>
            </w:pPr>
          </w:p>
        </w:tc>
        <w:tc>
          <w:tcPr>
            <w:tcW w:w="900" w:type="dxa"/>
          </w:tcPr>
          <w:p w14:paraId="3E5EE7C8">
            <w:pPr>
              <w:pStyle w:val="14"/>
              <w:spacing w:line="240" w:lineRule="atLeast"/>
              <w:ind w:left="1080" w:leftChars="257" w:hanging="540"/>
              <w:rPr>
                <w:rFonts w:hAnsi="宋体"/>
                <w:sz w:val="24"/>
              </w:rPr>
            </w:pPr>
          </w:p>
        </w:tc>
      </w:tr>
      <w:tr w14:paraId="6A5F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676A557">
            <w:pPr>
              <w:pStyle w:val="14"/>
              <w:spacing w:line="240" w:lineRule="atLeast"/>
              <w:ind w:left="1080" w:leftChars="257" w:hanging="540"/>
              <w:rPr>
                <w:rFonts w:hAnsi="宋体"/>
                <w:sz w:val="24"/>
              </w:rPr>
            </w:pPr>
          </w:p>
        </w:tc>
        <w:tc>
          <w:tcPr>
            <w:tcW w:w="2040" w:type="dxa"/>
          </w:tcPr>
          <w:p w14:paraId="61BA9B5B">
            <w:pPr>
              <w:pStyle w:val="14"/>
              <w:spacing w:line="240" w:lineRule="atLeast"/>
              <w:ind w:left="1080" w:leftChars="257" w:hanging="540"/>
              <w:rPr>
                <w:rFonts w:hAnsi="宋体"/>
                <w:sz w:val="24"/>
              </w:rPr>
            </w:pPr>
          </w:p>
        </w:tc>
        <w:tc>
          <w:tcPr>
            <w:tcW w:w="2520" w:type="dxa"/>
          </w:tcPr>
          <w:p w14:paraId="489898DD">
            <w:pPr>
              <w:pStyle w:val="14"/>
              <w:spacing w:line="240" w:lineRule="atLeast"/>
              <w:ind w:left="1080" w:leftChars="257" w:hanging="540"/>
              <w:rPr>
                <w:rFonts w:hAnsi="宋体"/>
                <w:sz w:val="24"/>
              </w:rPr>
            </w:pPr>
          </w:p>
        </w:tc>
        <w:tc>
          <w:tcPr>
            <w:tcW w:w="2520" w:type="dxa"/>
          </w:tcPr>
          <w:p w14:paraId="6A855BB7">
            <w:pPr>
              <w:pStyle w:val="14"/>
              <w:spacing w:line="240" w:lineRule="atLeast"/>
              <w:ind w:left="1080" w:leftChars="257" w:hanging="540"/>
              <w:rPr>
                <w:rFonts w:hAnsi="宋体"/>
                <w:sz w:val="24"/>
              </w:rPr>
            </w:pPr>
          </w:p>
        </w:tc>
        <w:tc>
          <w:tcPr>
            <w:tcW w:w="900" w:type="dxa"/>
          </w:tcPr>
          <w:p w14:paraId="53FA5777">
            <w:pPr>
              <w:pStyle w:val="14"/>
              <w:spacing w:line="240" w:lineRule="atLeast"/>
              <w:ind w:left="1080" w:leftChars="257" w:hanging="540"/>
              <w:rPr>
                <w:rFonts w:hAnsi="宋体"/>
                <w:sz w:val="24"/>
              </w:rPr>
            </w:pPr>
          </w:p>
        </w:tc>
      </w:tr>
      <w:tr w14:paraId="1CD5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51A66E7">
            <w:pPr>
              <w:pStyle w:val="14"/>
              <w:spacing w:line="240" w:lineRule="atLeast"/>
              <w:ind w:left="1080" w:leftChars="257" w:hanging="540"/>
              <w:rPr>
                <w:rFonts w:hAnsi="宋体"/>
                <w:sz w:val="24"/>
              </w:rPr>
            </w:pPr>
          </w:p>
        </w:tc>
        <w:tc>
          <w:tcPr>
            <w:tcW w:w="2040" w:type="dxa"/>
          </w:tcPr>
          <w:p w14:paraId="32AC41D9">
            <w:pPr>
              <w:pStyle w:val="14"/>
              <w:spacing w:line="240" w:lineRule="atLeast"/>
              <w:ind w:left="1080" w:leftChars="257" w:hanging="540"/>
              <w:rPr>
                <w:rFonts w:hAnsi="宋体"/>
                <w:sz w:val="24"/>
              </w:rPr>
            </w:pPr>
          </w:p>
        </w:tc>
        <w:tc>
          <w:tcPr>
            <w:tcW w:w="2520" w:type="dxa"/>
          </w:tcPr>
          <w:p w14:paraId="017C6F6D">
            <w:pPr>
              <w:pStyle w:val="14"/>
              <w:spacing w:line="240" w:lineRule="atLeast"/>
              <w:ind w:left="1080" w:leftChars="257" w:hanging="540"/>
              <w:rPr>
                <w:rFonts w:hAnsi="宋体"/>
                <w:sz w:val="24"/>
              </w:rPr>
            </w:pPr>
          </w:p>
        </w:tc>
        <w:tc>
          <w:tcPr>
            <w:tcW w:w="2520" w:type="dxa"/>
          </w:tcPr>
          <w:p w14:paraId="51F71885">
            <w:pPr>
              <w:pStyle w:val="14"/>
              <w:spacing w:line="240" w:lineRule="atLeast"/>
              <w:ind w:left="1080" w:leftChars="257" w:hanging="540"/>
              <w:rPr>
                <w:rFonts w:hAnsi="宋体"/>
                <w:sz w:val="24"/>
              </w:rPr>
            </w:pPr>
          </w:p>
        </w:tc>
        <w:tc>
          <w:tcPr>
            <w:tcW w:w="900" w:type="dxa"/>
          </w:tcPr>
          <w:p w14:paraId="4BC06DFD">
            <w:pPr>
              <w:pStyle w:val="14"/>
              <w:spacing w:line="240" w:lineRule="atLeast"/>
              <w:ind w:left="1080" w:leftChars="257" w:hanging="540"/>
              <w:rPr>
                <w:rFonts w:hAnsi="宋体"/>
                <w:sz w:val="24"/>
              </w:rPr>
            </w:pPr>
          </w:p>
        </w:tc>
      </w:tr>
      <w:tr w14:paraId="1543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BC56F0D">
            <w:pPr>
              <w:pStyle w:val="14"/>
              <w:spacing w:line="240" w:lineRule="atLeast"/>
              <w:ind w:left="1080" w:leftChars="257" w:hanging="540"/>
              <w:rPr>
                <w:rFonts w:hAnsi="宋体"/>
                <w:sz w:val="24"/>
              </w:rPr>
            </w:pPr>
          </w:p>
        </w:tc>
        <w:tc>
          <w:tcPr>
            <w:tcW w:w="2040" w:type="dxa"/>
          </w:tcPr>
          <w:p w14:paraId="332C3645">
            <w:pPr>
              <w:pStyle w:val="14"/>
              <w:spacing w:line="240" w:lineRule="atLeast"/>
              <w:ind w:left="1080" w:leftChars="257" w:hanging="540"/>
              <w:rPr>
                <w:rFonts w:hAnsi="宋体"/>
                <w:sz w:val="24"/>
              </w:rPr>
            </w:pPr>
          </w:p>
        </w:tc>
        <w:tc>
          <w:tcPr>
            <w:tcW w:w="2520" w:type="dxa"/>
          </w:tcPr>
          <w:p w14:paraId="4AD798B5">
            <w:pPr>
              <w:pStyle w:val="14"/>
              <w:spacing w:line="240" w:lineRule="atLeast"/>
              <w:ind w:left="1080" w:leftChars="257" w:hanging="540"/>
              <w:rPr>
                <w:rFonts w:hAnsi="宋体"/>
                <w:sz w:val="24"/>
              </w:rPr>
            </w:pPr>
          </w:p>
        </w:tc>
        <w:tc>
          <w:tcPr>
            <w:tcW w:w="2520" w:type="dxa"/>
          </w:tcPr>
          <w:p w14:paraId="607AFA14">
            <w:pPr>
              <w:pStyle w:val="14"/>
              <w:spacing w:line="240" w:lineRule="atLeast"/>
              <w:ind w:left="1080" w:leftChars="257" w:hanging="540"/>
              <w:rPr>
                <w:rFonts w:hAnsi="宋体"/>
                <w:sz w:val="24"/>
              </w:rPr>
            </w:pPr>
          </w:p>
        </w:tc>
        <w:tc>
          <w:tcPr>
            <w:tcW w:w="900" w:type="dxa"/>
          </w:tcPr>
          <w:p w14:paraId="655D5452">
            <w:pPr>
              <w:pStyle w:val="14"/>
              <w:spacing w:line="240" w:lineRule="atLeast"/>
              <w:ind w:left="1080" w:leftChars="257" w:hanging="540"/>
              <w:rPr>
                <w:rFonts w:hAnsi="宋体"/>
                <w:sz w:val="24"/>
              </w:rPr>
            </w:pPr>
          </w:p>
        </w:tc>
      </w:tr>
    </w:tbl>
    <w:p w14:paraId="1AD9EC10">
      <w:pPr>
        <w:pStyle w:val="14"/>
        <w:spacing w:line="240" w:lineRule="atLeast"/>
        <w:ind w:left="1080" w:leftChars="257" w:hanging="540"/>
        <w:rPr>
          <w:rFonts w:hAnsi="宋体"/>
          <w:sz w:val="24"/>
        </w:rPr>
      </w:pPr>
    </w:p>
    <w:p w14:paraId="11402F26">
      <w:pPr>
        <w:pStyle w:val="14"/>
        <w:spacing w:line="360" w:lineRule="auto"/>
        <w:ind w:left="1080" w:leftChars="257" w:hanging="540"/>
        <w:rPr>
          <w:rFonts w:hAnsi="宋体"/>
          <w:sz w:val="24"/>
        </w:rPr>
      </w:pPr>
    </w:p>
    <w:p w14:paraId="0127B1DF">
      <w:pPr>
        <w:pStyle w:val="14"/>
        <w:spacing w:line="360" w:lineRule="auto"/>
        <w:ind w:left="1080" w:leftChars="257" w:hanging="540"/>
        <w:rPr>
          <w:rFonts w:hAnsi="宋体"/>
          <w:sz w:val="24"/>
        </w:rPr>
      </w:pPr>
      <w:r>
        <w:rPr>
          <w:rFonts w:hint="eastAsia" w:hAnsi="宋体"/>
          <w:sz w:val="24"/>
        </w:rPr>
        <w:t>法定代表人或其委托代理人签字: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7A4FC677">
      <w:pPr>
        <w:pStyle w:val="14"/>
        <w:tabs>
          <w:tab w:val="left" w:pos="5370"/>
        </w:tabs>
        <w:spacing w:line="360" w:lineRule="auto"/>
        <w:ind w:left="1080" w:leftChars="257" w:hanging="540"/>
        <w:rPr>
          <w:rFonts w:hAnsi="宋体"/>
          <w:sz w:val="24"/>
          <w:u w:val="single"/>
        </w:rPr>
      </w:pPr>
      <w:r>
        <w:rPr>
          <w:rFonts w:hint="eastAsia" w:hAnsi="宋体"/>
          <w:sz w:val="24"/>
        </w:rPr>
        <w:t>投标人(盖单位章):</w:t>
      </w:r>
      <w:r>
        <w:rPr>
          <w:rFonts w:hint="eastAsia" w:hAnsi="宋体"/>
          <w:sz w:val="24"/>
          <w:u w:val="single"/>
        </w:rPr>
        <w:tab/>
      </w:r>
    </w:p>
    <w:p w14:paraId="25B9F8BD">
      <w:pPr>
        <w:pStyle w:val="15"/>
        <w:ind w:left="0" w:leftChars="0" w:firstLine="480" w:firstLineChars="200"/>
        <w:jc w:val="left"/>
      </w:pPr>
      <w:r>
        <w:rPr>
          <w:rFonts w:hint="eastAsia" w:ascii="宋体" w:hAnsi="宋体" w:cs="宋体"/>
          <w:sz w:val="24"/>
          <w:szCs w:val="20"/>
        </w:rPr>
        <w:t>日期：</w:t>
      </w:r>
      <w:r>
        <w:rPr>
          <w:rFonts w:hint="eastAsia" w:ascii="宋体" w:hAnsi="宋体" w:eastAsia="宋体" w:cs="宋体"/>
          <w:spacing w:val="6"/>
          <w:sz w:val="21"/>
          <w:szCs w:val="21"/>
          <w:highlight w:val="none"/>
        </w:rPr>
        <w:t> 年　  月　  日   </w:t>
      </w:r>
    </w:p>
    <w:p w14:paraId="6C77B68B">
      <w:pPr>
        <w:pStyle w:val="3"/>
        <w:spacing w:before="0" w:line="240" w:lineRule="atLeast"/>
        <w:rPr>
          <w:rFonts w:ascii="宋体" w:hAnsi="宋体" w:eastAsia="宋体"/>
        </w:rPr>
      </w:pPr>
      <w:r>
        <w:rPr>
          <w:rFonts w:hint="eastAsia" w:ascii="宋体" w:hAnsi="宋体" w:eastAsia="宋体"/>
        </w:rPr>
        <w:br w:type="page"/>
      </w:r>
      <w:bookmarkStart w:id="145" w:name="_Toc2963"/>
      <w:bookmarkStart w:id="146" w:name="_Toc10725"/>
      <w:bookmarkStart w:id="147" w:name="_Toc515647823"/>
      <w:bookmarkStart w:id="148" w:name="_Toc21312"/>
      <w:bookmarkStart w:id="149" w:name="_Toc515647827"/>
      <w:bookmarkStart w:id="150" w:name="_Toc30795"/>
      <w:bookmarkStart w:id="151" w:name="_Toc28099"/>
    </w:p>
    <w:p w14:paraId="05F91FBB">
      <w:pPr>
        <w:pStyle w:val="14"/>
        <w:spacing w:line="400" w:lineRule="exact"/>
        <w:rPr>
          <w:rFonts w:hAnsi="宋体"/>
          <w:sz w:val="24"/>
        </w:rPr>
      </w:pPr>
      <w:r>
        <w:rPr>
          <w:rFonts w:hint="eastAsia" w:hAnsi="宋体"/>
          <w:b/>
          <w:bCs/>
          <w:sz w:val="24"/>
        </w:rPr>
        <w:t>6、</w:t>
      </w:r>
      <w:r>
        <w:rPr>
          <w:rFonts w:hint="eastAsia" w:hAnsi="宋体"/>
          <w:sz w:val="24"/>
        </w:rPr>
        <w:t>符合《政府采购促进中小企业发展管理办法》、《关于政府采购支持监狱企业发展有关问题的通知》和《三部门联合发布关于促进残疾人就业政府采购政策的通知》条件的投标人提交）</w:t>
      </w:r>
    </w:p>
    <w:p w14:paraId="08C6F2AD">
      <w:pPr>
        <w:pStyle w:val="3"/>
        <w:spacing w:before="0" w:line="240" w:lineRule="atLeast"/>
        <w:rPr>
          <w:rFonts w:ascii="宋体" w:hAnsi="宋体" w:eastAsia="宋体"/>
          <w:bCs/>
          <w:sz w:val="24"/>
        </w:rPr>
      </w:pPr>
    </w:p>
    <w:p w14:paraId="37CCD3C1">
      <w:pPr>
        <w:pStyle w:val="3"/>
        <w:spacing w:before="0" w:line="240" w:lineRule="atLeast"/>
        <w:rPr>
          <w:rFonts w:ascii="宋体" w:hAnsi="宋体" w:eastAsia="宋体"/>
          <w:sz w:val="24"/>
        </w:rPr>
      </w:pPr>
      <w:r>
        <w:rPr>
          <w:rFonts w:hint="eastAsia" w:ascii="宋体" w:hAnsi="宋体" w:eastAsia="宋体"/>
          <w:bCs/>
          <w:sz w:val="24"/>
        </w:rPr>
        <w:t>6-1  投标人企业（单位）类型声明函（投标文件格式九）</w:t>
      </w:r>
      <w:bookmarkEnd w:id="145"/>
      <w:bookmarkEnd w:id="146"/>
      <w:bookmarkEnd w:id="147"/>
      <w:bookmarkEnd w:id="148"/>
    </w:p>
    <w:p w14:paraId="7E16DCF2">
      <w:pPr>
        <w:spacing w:line="360" w:lineRule="auto"/>
        <w:jc w:val="center"/>
        <w:rPr>
          <w:rFonts w:hint="eastAsia" w:ascii="宋体" w:hAnsi="宋体" w:cs="宋体"/>
          <w:b/>
          <w:bCs/>
          <w:sz w:val="24"/>
          <w:szCs w:val="20"/>
        </w:rPr>
      </w:pPr>
      <w:bookmarkStart w:id="152" w:name="_Toc11803"/>
      <w:bookmarkStart w:id="153" w:name="_Toc10977"/>
      <w:bookmarkStart w:id="154" w:name="_Toc515647824"/>
      <w:r>
        <w:rPr>
          <w:rFonts w:hint="eastAsia" w:ascii="宋体" w:hAnsi="宋体" w:cs="宋体"/>
          <w:b/>
          <w:bCs/>
          <w:sz w:val="24"/>
          <w:szCs w:val="20"/>
        </w:rPr>
        <w:t>中小企业声明函(货物)</w:t>
      </w:r>
    </w:p>
    <w:p w14:paraId="7C97BEE2">
      <w:pPr>
        <w:spacing w:line="360" w:lineRule="auto"/>
        <w:jc w:val="center"/>
        <w:rPr>
          <w:rFonts w:hint="eastAsia" w:ascii="宋体" w:hAnsi="宋体" w:cs="宋体"/>
          <w:b/>
          <w:bCs/>
          <w:sz w:val="24"/>
          <w:szCs w:val="20"/>
        </w:rPr>
      </w:pPr>
    </w:p>
    <w:p w14:paraId="0FA31A46">
      <w:pPr>
        <w:spacing w:line="360" w:lineRule="auto"/>
        <w:ind w:firstLine="480" w:firstLineChars="200"/>
        <w:jc w:val="left"/>
        <w:rPr>
          <w:rFonts w:hint="eastAsia" w:ascii="宋体" w:hAnsi="宋体" w:cs="宋体"/>
          <w:sz w:val="24"/>
          <w:szCs w:val="20"/>
        </w:rPr>
      </w:pPr>
      <w:r>
        <w:rPr>
          <w:rFonts w:hint="eastAsia" w:ascii="宋体" w:hAnsi="宋体" w:cs="宋体"/>
          <w:sz w:val="24"/>
          <w:szCs w:val="20"/>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3D0F21B">
      <w:pPr>
        <w:spacing w:line="360" w:lineRule="auto"/>
        <w:ind w:firstLine="480" w:firstLineChars="200"/>
        <w:jc w:val="left"/>
        <w:rPr>
          <w:rFonts w:hint="eastAsia" w:ascii="宋体" w:hAnsi="宋体" w:cs="宋体"/>
          <w:sz w:val="24"/>
          <w:szCs w:val="20"/>
        </w:rPr>
      </w:pPr>
      <w:r>
        <w:rPr>
          <w:rFonts w:hint="eastAsia" w:ascii="宋体" w:hAnsi="宋体" w:cs="宋体"/>
          <w:sz w:val="24"/>
          <w:szCs w:val="20"/>
        </w:rPr>
        <w:t>1.（标的名称），属于</w:t>
      </w:r>
      <w:r>
        <w:rPr>
          <w:rFonts w:hint="eastAsia" w:ascii="宋体" w:hAnsi="宋体" w:cs="宋体"/>
          <w:sz w:val="24"/>
          <w:szCs w:val="20"/>
          <w:u w:val="single"/>
        </w:rPr>
        <w:t xml:space="preserve">     （采</w:t>
      </w:r>
      <w:r>
        <w:rPr>
          <w:rFonts w:hint="eastAsia" w:ascii="宋体" w:hAnsi="宋体" w:cs="宋体"/>
          <w:sz w:val="24"/>
          <w:szCs w:val="20"/>
        </w:rPr>
        <w:t>购文件中明确的所属行业）；制造商为（企业名称），从业人员</w:t>
      </w:r>
      <w:r>
        <w:rPr>
          <w:rFonts w:hint="eastAsia" w:ascii="宋体" w:hAnsi="宋体" w:cs="宋体"/>
          <w:sz w:val="24"/>
          <w:szCs w:val="20"/>
          <w:u w:val="single"/>
        </w:rPr>
        <w:t xml:space="preserve">  </w:t>
      </w:r>
      <w:r>
        <w:rPr>
          <w:rFonts w:hint="eastAsia" w:ascii="宋体" w:hAnsi="宋体" w:cs="宋体"/>
          <w:sz w:val="24"/>
          <w:szCs w:val="20"/>
        </w:rPr>
        <w:t>人，营业收入为</w:t>
      </w:r>
      <w:r>
        <w:rPr>
          <w:rFonts w:hint="eastAsia" w:ascii="宋体" w:hAnsi="宋体" w:cs="宋体"/>
          <w:sz w:val="24"/>
          <w:szCs w:val="20"/>
          <w:u w:val="single"/>
        </w:rPr>
        <w:t xml:space="preserve">  </w:t>
      </w:r>
      <w:r>
        <w:rPr>
          <w:rFonts w:hint="eastAsia" w:ascii="宋体" w:hAnsi="宋体" w:cs="宋体"/>
          <w:sz w:val="24"/>
          <w:szCs w:val="20"/>
        </w:rPr>
        <w:t>万元，资产总额为</w:t>
      </w:r>
      <w:r>
        <w:rPr>
          <w:rFonts w:hint="eastAsia" w:ascii="宋体" w:hAnsi="宋体" w:cs="宋体"/>
          <w:sz w:val="24"/>
          <w:szCs w:val="20"/>
          <w:u w:val="single"/>
        </w:rPr>
        <w:t xml:space="preserve">  </w:t>
      </w:r>
      <w:r>
        <w:rPr>
          <w:rFonts w:hint="eastAsia" w:ascii="宋体" w:hAnsi="宋体" w:cs="宋体"/>
          <w:sz w:val="24"/>
          <w:szCs w:val="20"/>
        </w:rPr>
        <w:t>万元，属于（中型企业、小型企业、微型企业）；</w:t>
      </w:r>
    </w:p>
    <w:p w14:paraId="7A4DC5BE">
      <w:pPr>
        <w:spacing w:line="360" w:lineRule="auto"/>
        <w:ind w:firstLine="480" w:firstLineChars="200"/>
        <w:jc w:val="left"/>
        <w:rPr>
          <w:rFonts w:hint="eastAsia" w:ascii="宋体" w:hAnsi="宋体" w:cs="宋体"/>
          <w:sz w:val="24"/>
          <w:szCs w:val="20"/>
        </w:rPr>
      </w:pPr>
      <w:r>
        <w:rPr>
          <w:rFonts w:hint="eastAsia" w:ascii="宋体" w:hAnsi="宋体" w:cs="宋体"/>
          <w:sz w:val="24"/>
          <w:szCs w:val="20"/>
        </w:rPr>
        <w:t>2. （标的名称），属于</w:t>
      </w:r>
      <w:r>
        <w:rPr>
          <w:rFonts w:hint="eastAsia" w:ascii="宋体" w:hAnsi="宋体" w:cs="宋体"/>
          <w:sz w:val="24"/>
          <w:szCs w:val="20"/>
          <w:u w:val="single"/>
        </w:rPr>
        <w:t xml:space="preserve">    </w:t>
      </w:r>
      <w:r>
        <w:rPr>
          <w:rFonts w:hint="eastAsia" w:ascii="宋体" w:hAnsi="宋体" w:cs="宋体"/>
          <w:sz w:val="24"/>
          <w:szCs w:val="20"/>
          <w:u w:val="none"/>
        </w:rPr>
        <w:t>（采</w:t>
      </w:r>
      <w:r>
        <w:rPr>
          <w:rFonts w:hint="eastAsia" w:ascii="宋体" w:hAnsi="宋体" w:cs="宋体"/>
          <w:sz w:val="24"/>
          <w:szCs w:val="20"/>
        </w:rPr>
        <w:t>购文件中明确的所属行业）；制造商为（企业名称），从业人员</w:t>
      </w:r>
      <w:r>
        <w:rPr>
          <w:rFonts w:hint="eastAsia" w:ascii="宋体" w:hAnsi="宋体" w:cs="宋体"/>
          <w:sz w:val="24"/>
          <w:szCs w:val="20"/>
          <w:u w:val="single"/>
        </w:rPr>
        <w:t xml:space="preserve">  </w:t>
      </w:r>
      <w:r>
        <w:rPr>
          <w:rFonts w:hint="eastAsia" w:ascii="宋体" w:hAnsi="宋体" w:cs="宋体"/>
          <w:sz w:val="24"/>
          <w:szCs w:val="20"/>
        </w:rPr>
        <w:t>人，营业收入为</w:t>
      </w:r>
      <w:r>
        <w:rPr>
          <w:rFonts w:hint="eastAsia" w:ascii="宋体" w:hAnsi="宋体" w:cs="宋体"/>
          <w:sz w:val="24"/>
          <w:szCs w:val="20"/>
          <w:u w:val="single"/>
        </w:rPr>
        <w:t xml:space="preserve">  </w:t>
      </w:r>
      <w:r>
        <w:rPr>
          <w:rFonts w:hint="eastAsia" w:ascii="宋体" w:hAnsi="宋体" w:cs="宋体"/>
          <w:sz w:val="24"/>
          <w:szCs w:val="20"/>
        </w:rPr>
        <w:t>万元，资产总额为</w:t>
      </w:r>
      <w:r>
        <w:rPr>
          <w:rFonts w:hint="eastAsia" w:ascii="宋体" w:hAnsi="宋体" w:cs="宋体"/>
          <w:sz w:val="24"/>
          <w:szCs w:val="20"/>
          <w:u w:val="single"/>
        </w:rPr>
        <w:t xml:space="preserve">  </w:t>
      </w:r>
      <w:r>
        <w:rPr>
          <w:rFonts w:hint="eastAsia" w:ascii="宋体" w:hAnsi="宋体" w:cs="宋体"/>
          <w:sz w:val="24"/>
          <w:szCs w:val="20"/>
        </w:rPr>
        <w:t>万元，属于（中型企业、小型企业、微型企业）；</w:t>
      </w:r>
    </w:p>
    <w:p w14:paraId="202CB46C">
      <w:pPr>
        <w:spacing w:line="360" w:lineRule="auto"/>
        <w:jc w:val="left"/>
        <w:rPr>
          <w:rFonts w:hint="eastAsia" w:ascii="宋体" w:hAnsi="宋体" w:cs="宋体"/>
          <w:sz w:val="24"/>
          <w:szCs w:val="20"/>
        </w:rPr>
      </w:pPr>
      <w:r>
        <w:rPr>
          <w:rFonts w:hint="eastAsia" w:ascii="宋体" w:hAnsi="宋体" w:cs="宋体"/>
          <w:sz w:val="24"/>
          <w:szCs w:val="20"/>
        </w:rPr>
        <w:t>……</w:t>
      </w:r>
    </w:p>
    <w:p w14:paraId="04B944A9">
      <w:pPr>
        <w:spacing w:line="360" w:lineRule="auto"/>
        <w:ind w:firstLine="480" w:firstLineChars="200"/>
        <w:jc w:val="left"/>
        <w:rPr>
          <w:rFonts w:hint="eastAsia" w:ascii="宋体" w:hAnsi="宋体" w:cs="宋体"/>
          <w:sz w:val="24"/>
          <w:szCs w:val="20"/>
        </w:rPr>
      </w:pPr>
      <w:r>
        <w:rPr>
          <w:rFonts w:hint="eastAsia" w:ascii="宋体" w:hAnsi="宋体" w:cs="宋体"/>
          <w:sz w:val="24"/>
          <w:szCs w:val="20"/>
        </w:rPr>
        <w:t>以上企业，不属于大企业的分支机构，不存在控股股东为大企业的情形，也不存在与大企业的负责人为同一人的情形。</w:t>
      </w:r>
    </w:p>
    <w:p w14:paraId="467F8798">
      <w:pPr>
        <w:spacing w:line="360" w:lineRule="auto"/>
        <w:jc w:val="left"/>
        <w:rPr>
          <w:rFonts w:hint="eastAsia" w:ascii="宋体" w:hAnsi="宋体" w:cs="宋体"/>
          <w:sz w:val="24"/>
          <w:szCs w:val="20"/>
        </w:rPr>
      </w:pPr>
    </w:p>
    <w:p w14:paraId="413C4A3B">
      <w:pPr>
        <w:spacing w:line="360" w:lineRule="auto"/>
        <w:jc w:val="left"/>
        <w:rPr>
          <w:rFonts w:hint="eastAsia" w:ascii="宋体" w:hAnsi="宋体" w:cs="宋体"/>
          <w:sz w:val="24"/>
          <w:szCs w:val="20"/>
        </w:rPr>
      </w:pPr>
      <w:r>
        <w:rPr>
          <w:rFonts w:hint="eastAsia" w:ascii="宋体" w:hAnsi="宋体" w:cs="宋体"/>
          <w:sz w:val="24"/>
          <w:szCs w:val="20"/>
        </w:rPr>
        <w:t>本企业对上述声明内容的真实性负责。如有虚假，将依法承担相应责任。</w:t>
      </w:r>
    </w:p>
    <w:p w14:paraId="0DE037C5">
      <w:pPr>
        <w:spacing w:line="360" w:lineRule="auto"/>
        <w:jc w:val="left"/>
        <w:rPr>
          <w:rFonts w:hint="eastAsia" w:ascii="宋体" w:hAnsi="宋体" w:cs="宋体"/>
          <w:sz w:val="24"/>
          <w:szCs w:val="20"/>
        </w:rPr>
      </w:pPr>
      <w:r>
        <w:rPr>
          <w:rFonts w:hint="eastAsia" w:ascii="宋体" w:hAnsi="宋体" w:cs="宋体"/>
          <w:sz w:val="24"/>
          <w:szCs w:val="20"/>
        </w:rPr>
        <w:t xml:space="preserve">                     </w:t>
      </w:r>
    </w:p>
    <w:p w14:paraId="0379F8CA">
      <w:pPr>
        <w:spacing w:line="360" w:lineRule="auto"/>
        <w:jc w:val="left"/>
        <w:rPr>
          <w:rFonts w:hint="eastAsia" w:ascii="宋体" w:hAnsi="宋体" w:cs="宋体"/>
          <w:sz w:val="24"/>
          <w:szCs w:val="20"/>
        </w:rPr>
      </w:pPr>
    </w:p>
    <w:p w14:paraId="0CE65A37">
      <w:pPr>
        <w:spacing w:line="360" w:lineRule="auto"/>
        <w:jc w:val="right"/>
        <w:rPr>
          <w:rFonts w:hint="eastAsia" w:ascii="宋体" w:hAnsi="宋体" w:cs="宋体"/>
          <w:sz w:val="24"/>
          <w:szCs w:val="20"/>
        </w:rPr>
      </w:pPr>
      <w:r>
        <w:rPr>
          <w:rFonts w:hint="eastAsia" w:ascii="宋体" w:hAnsi="宋体" w:cs="宋体"/>
          <w:sz w:val="24"/>
          <w:szCs w:val="20"/>
        </w:rPr>
        <w:t xml:space="preserve"> 企业名称（盖章）：</w:t>
      </w:r>
    </w:p>
    <w:p w14:paraId="246E68C9">
      <w:pPr>
        <w:spacing w:line="360" w:lineRule="auto"/>
        <w:jc w:val="right"/>
        <w:rPr>
          <w:rFonts w:hint="eastAsia" w:ascii="宋体" w:hAnsi="宋体" w:cs="宋体"/>
          <w:sz w:val="24"/>
          <w:szCs w:val="20"/>
        </w:rPr>
      </w:pPr>
      <w:r>
        <w:rPr>
          <w:rFonts w:hint="eastAsia" w:ascii="宋体" w:hAnsi="宋体" w:cs="宋体"/>
          <w:b/>
          <w:bCs/>
          <w:sz w:val="24"/>
          <w:szCs w:val="20"/>
        </w:rPr>
        <w:t xml:space="preserve">                                    </w:t>
      </w:r>
      <w:r>
        <w:rPr>
          <w:rFonts w:hint="eastAsia" w:ascii="宋体" w:hAnsi="宋体" w:cs="宋体"/>
          <w:sz w:val="24"/>
          <w:szCs w:val="20"/>
        </w:rPr>
        <w:t>日期：</w:t>
      </w:r>
      <w:r>
        <w:rPr>
          <w:rFonts w:hint="eastAsia" w:ascii="宋体" w:hAnsi="宋体" w:eastAsia="宋体" w:cs="宋体"/>
          <w:spacing w:val="6"/>
          <w:sz w:val="21"/>
          <w:szCs w:val="21"/>
          <w:highlight w:val="none"/>
        </w:rPr>
        <w:t> 年　  月　  日   </w:t>
      </w:r>
    </w:p>
    <w:bookmarkEnd w:id="152"/>
    <w:bookmarkEnd w:id="153"/>
    <w:bookmarkEnd w:id="154"/>
    <w:p w14:paraId="17C5029B">
      <w:pPr>
        <w:pStyle w:val="3"/>
        <w:spacing w:before="0" w:line="240" w:lineRule="atLeast"/>
        <w:jc w:val="left"/>
        <w:rPr>
          <w:rFonts w:hint="eastAsia" w:ascii="宋体" w:hAnsi="宋体" w:eastAsia="宋体"/>
          <w:bCs/>
          <w:sz w:val="24"/>
        </w:rPr>
      </w:pPr>
      <w:bookmarkStart w:id="155" w:name="_Toc19284"/>
      <w:bookmarkStart w:id="156" w:name="_Toc8010"/>
      <w:bookmarkStart w:id="157" w:name="_Toc515647825"/>
      <w:bookmarkStart w:id="158" w:name="_Toc23068"/>
    </w:p>
    <w:p w14:paraId="560282E3">
      <w:pPr>
        <w:pStyle w:val="3"/>
        <w:spacing w:before="0" w:line="240" w:lineRule="atLeast"/>
        <w:jc w:val="left"/>
        <w:rPr>
          <w:rFonts w:ascii="宋体" w:hAnsi="宋体" w:eastAsia="宋体"/>
          <w:bCs/>
          <w:sz w:val="24"/>
        </w:rPr>
      </w:pPr>
      <w:r>
        <w:rPr>
          <w:rFonts w:hint="eastAsia" w:ascii="宋体" w:hAnsi="宋体" w:eastAsia="宋体"/>
          <w:bCs/>
          <w:sz w:val="24"/>
        </w:rPr>
        <w:t>6-2  残疾人福利性单位声明函（投标文件格式十）</w:t>
      </w:r>
      <w:bookmarkEnd w:id="155"/>
      <w:bookmarkEnd w:id="156"/>
      <w:bookmarkEnd w:id="157"/>
      <w:bookmarkEnd w:id="158"/>
    </w:p>
    <w:p w14:paraId="50A3870E">
      <w:pPr>
        <w:spacing w:line="240" w:lineRule="atLeast"/>
        <w:ind w:left="1080" w:leftChars="257" w:hanging="540"/>
        <w:jc w:val="center"/>
        <w:rPr>
          <w:rFonts w:ascii="宋体" w:hAnsi="宋体"/>
          <w:kern w:val="0"/>
          <w:sz w:val="24"/>
          <w:szCs w:val="20"/>
        </w:rPr>
      </w:pPr>
    </w:p>
    <w:p w14:paraId="7282C3EF">
      <w:pPr>
        <w:spacing w:line="360" w:lineRule="auto"/>
        <w:ind w:firstLine="567"/>
        <w:rPr>
          <w:rFonts w:ascii="宋体" w:hAnsi="宋体"/>
          <w:kern w:val="0"/>
          <w:sz w:val="24"/>
          <w:szCs w:val="20"/>
        </w:rPr>
      </w:pPr>
      <w:r>
        <w:rPr>
          <w:rFonts w:hint="eastAsia" w:ascii="宋体" w:hAnsi="宋体"/>
          <w:kern w:val="0"/>
          <w:sz w:val="24"/>
          <w:szCs w:val="20"/>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544AEEC">
      <w:pPr>
        <w:spacing w:line="360" w:lineRule="auto"/>
        <w:ind w:left="1080" w:leftChars="257" w:hanging="540"/>
        <w:rPr>
          <w:rFonts w:ascii="宋体" w:hAnsi="宋体"/>
          <w:kern w:val="0"/>
          <w:sz w:val="24"/>
          <w:szCs w:val="20"/>
        </w:rPr>
      </w:pPr>
      <w:r>
        <w:rPr>
          <w:rFonts w:hint="eastAsia" w:ascii="宋体" w:hAnsi="宋体"/>
          <w:kern w:val="0"/>
          <w:sz w:val="24"/>
          <w:szCs w:val="20"/>
        </w:rPr>
        <w:t>本单位对上述声明的真实性负责。如有虚假，将依法承担相应责任。</w:t>
      </w:r>
    </w:p>
    <w:p w14:paraId="470F425D">
      <w:pPr>
        <w:spacing w:line="240" w:lineRule="atLeast"/>
        <w:ind w:left="1080" w:leftChars="257" w:hanging="540"/>
        <w:jc w:val="center"/>
        <w:rPr>
          <w:rFonts w:ascii="宋体" w:hAnsi="宋体"/>
          <w:kern w:val="0"/>
          <w:sz w:val="24"/>
          <w:szCs w:val="20"/>
        </w:rPr>
      </w:pPr>
    </w:p>
    <w:p w14:paraId="103DE256">
      <w:pPr>
        <w:spacing w:line="240" w:lineRule="atLeast"/>
        <w:ind w:left="1080" w:leftChars="257" w:hanging="540"/>
        <w:jc w:val="center"/>
        <w:rPr>
          <w:rFonts w:ascii="宋体" w:hAnsi="宋体"/>
          <w:kern w:val="0"/>
          <w:sz w:val="24"/>
          <w:szCs w:val="20"/>
        </w:rPr>
      </w:pPr>
    </w:p>
    <w:p w14:paraId="5A460FD1">
      <w:pPr>
        <w:spacing w:line="360" w:lineRule="auto"/>
        <w:ind w:left="1080" w:leftChars="257" w:hanging="540"/>
        <w:jc w:val="center"/>
        <w:rPr>
          <w:rFonts w:ascii="宋体" w:hAnsi="宋体"/>
          <w:kern w:val="0"/>
          <w:sz w:val="24"/>
          <w:szCs w:val="20"/>
        </w:rPr>
      </w:pPr>
      <w:r>
        <w:rPr>
          <w:rFonts w:hint="eastAsia" w:ascii="宋体" w:hAnsi="宋体"/>
          <w:kern w:val="0"/>
          <w:sz w:val="24"/>
          <w:szCs w:val="20"/>
        </w:rPr>
        <w:t xml:space="preserve">              残疾人福利性单位名称（盖单位章）：______________</w:t>
      </w:r>
    </w:p>
    <w:p w14:paraId="094FE32C">
      <w:pPr>
        <w:spacing w:line="360" w:lineRule="auto"/>
        <w:ind w:left="1080" w:leftChars="257" w:hanging="540"/>
        <w:jc w:val="center"/>
        <w:rPr>
          <w:rFonts w:ascii="宋体" w:hAnsi="宋体"/>
          <w:b/>
          <w:kern w:val="0"/>
          <w:sz w:val="24"/>
          <w:szCs w:val="20"/>
        </w:rPr>
      </w:pPr>
      <w:r>
        <w:rPr>
          <w:rFonts w:hint="eastAsia" w:ascii="宋体" w:hAnsi="宋体"/>
          <w:kern w:val="0"/>
          <w:sz w:val="24"/>
          <w:szCs w:val="20"/>
        </w:rPr>
        <w:t xml:space="preserve">  </w:t>
      </w:r>
      <w:r>
        <w:rPr>
          <w:rFonts w:hint="eastAsia" w:ascii="宋体" w:hAnsi="宋体"/>
          <w:kern w:val="0"/>
          <w:sz w:val="24"/>
          <w:szCs w:val="20"/>
          <w:u w:val="single" w:color="FFFFFF"/>
        </w:rPr>
        <w:t xml:space="preserve">       </w:t>
      </w:r>
      <w:r>
        <w:rPr>
          <w:rFonts w:hint="eastAsia" w:ascii="宋体" w:hAnsi="宋体"/>
          <w:kern w:val="0"/>
          <w:sz w:val="24"/>
          <w:szCs w:val="20"/>
          <w:u w:val="single" w:color="FFFFFF"/>
          <w:lang w:val="en-US" w:eastAsia="zh-CN"/>
        </w:rPr>
        <w:t xml:space="preserve">  </w:t>
      </w:r>
      <w:r>
        <w:rPr>
          <w:rFonts w:hint="eastAsia" w:ascii="宋体" w:hAnsi="宋体"/>
          <w:kern w:val="0"/>
          <w:sz w:val="24"/>
          <w:szCs w:val="20"/>
        </w:rPr>
        <w:t>日  期：______________________________________</w:t>
      </w:r>
    </w:p>
    <w:p w14:paraId="526DC390">
      <w:pPr>
        <w:spacing w:line="240" w:lineRule="atLeast"/>
        <w:ind w:left="1080" w:leftChars="257" w:hanging="540"/>
        <w:jc w:val="center"/>
        <w:rPr>
          <w:rFonts w:ascii="宋体" w:hAnsi="宋体"/>
          <w:b/>
          <w:kern w:val="0"/>
          <w:sz w:val="24"/>
          <w:szCs w:val="20"/>
        </w:rPr>
      </w:pPr>
    </w:p>
    <w:p w14:paraId="6BF7B285">
      <w:pPr>
        <w:pStyle w:val="3"/>
        <w:spacing w:before="0" w:line="240" w:lineRule="atLeast"/>
        <w:ind w:left="540" w:leftChars="257"/>
        <w:rPr>
          <w:rFonts w:ascii="宋体" w:hAnsi="宋体" w:eastAsia="宋体"/>
          <w:sz w:val="24"/>
        </w:rPr>
      </w:pPr>
    </w:p>
    <w:p w14:paraId="17C58114">
      <w:pPr>
        <w:rPr>
          <w:rFonts w:hint="eastAsia" w:ascii="黑体" w:hAnsi="宋体" w:eastAsia="黑体" w:cs="Times New Roman"/>
          <w:color w:val="000000"/>
          <w:sz w:val="36"/>
          <w:szCs w:val="36"/>
          <w:highlight w:val="none"/>
          <w:lang w:val="en-US" w:eastAsia="zh-CN"/>
        </w:rPr>
      </w:pPr>
      <w:bookmarkStart w:id="159" w:name="_Toc6386"/>
      <w:r>
        <w:rPr>
          <w:rFonts w:hint="eastAsia" w:ascii="黑体" w:hAnsi="宋体" w:eastAsia="黑体" w:cs="Times New Roman"/>
          <w:color w:val="000000"/>
          <w:sz w:val="36"/>
          <w:szCs w:val="36"/>
          <w:highlight w:val="none"/>
          <w:lang w:val="en-US" w:eastAsia="zh-CN"/>
        </w:rPr>
        <w:br w:type="page"/>
      </w:r>
    </w:p>
    <w:p w14:paraId="2D8C090F">
      <w:pPr>
        <w:adjustRightInd w:val="0"/>
        <w:snapToGrid w:val="0"/>
        <w:spacing w:before="50" w:line="360" w:lineRule="auto"/>
        <w:jc w:val="both"/>
        <w:rPr>
          <w:rFonts w:hint="default" w:ascii="宋体" w:hAnsi="宋体" w:eastAsia="宋体" w:cs="宋体"/>
          <w:b/>
          <w:bCs/>
          <w:caps w:val="0"/>
          <w:color w:val="333333"/>
          <w:spacing w:val="0"/>
          <w:sz w:val="21"/>
          <w:szCs w:val="21"/>
          <w:highlight w:val="none"/>
          <w:vertAlign w:val="baseline"/>
          <w:lang w:val="en-US" w:eastAsia="zh-CN"/>
        </w:rPr>
      </w:pPr>
      <w:r>
        <w:rPr>
          <w:rFonts w:hint="eastAsia" w:ascii="黑体" w:hAnsi="宋体" w:eastAsia="黑体" w:cs="Times New Roman"/>
          <w:b w:val="0"/>
          <w:bCs w:val="0"/>
          <w:color w:val="000000"/>
          <w:sz w:val="28"/>
          <w:szCs w:val="28"/>
          <w:highlight w:val="none"/>
          <w:lang w:val="en-US" w:eastAsia="zh-CN"/>
        </w:rPr>
        <w:t>7</w:t>
      </w:r>
      <w:r>
        <w:rPr>
          <w:rFonts w:hint="eastAsia" w:ascii="黑体" w:hAnsi="宋体" w:eastAsia="黑体" w:cs="Times New Roman"/>
          <w:b w:val="0"/>
          <w:bCs w:val="0"/>
          <w:color w:val="000000"/>
          <w:sz w:val="28"/>
          <w:szCs w:val="28"/>
          <w:highlight w:val="none"/>
        </w:rPr>
        <w:t>.关于符合本国产品标准的声明函</w:t>
      </w:r>
    </w:p>
    <w:p w14:paraId="1423AC55">
      <w:pPr>
        <w:adjustRightInd w:val="0"/>
        <w:snapToGrid w:val="0"/>
        <w:spacing w:before="50" w:line="360" w:lineRule="auto"/>
        <w:jc w:val="center"/>
        <w:rPr>
          <w:rFonts w:hint="eastAsia" w:ascii="黑体" w:hAnsi="宋体" w:eastAsia="黑体" w:cs="Times New Roman"/>
          <w:color w:val="000000"/>
          <w:sz w:val="36"/>
          <w:szCs w:val="36"/>
          <w:highlight w:val="none"/>
        </w:rPr>
      </w:pPr>
      <w:r>
        <w:rPr>
          <w:rFonts w:hint="eastAsia" w:ascii="黑体" w:hAnsi="宋体" w:eastAsia="黑体" w:cs="Times New Roman"/>
          <w:color w:val="000000"/>
          <w:sz w:val="36"/>
          <w:szCs w:val="36"/>
          <w:highlight w:val="none"/>
        </w:rPr>
        <w:t>关于符合本国产品标准的声明函</w:t>
      </w:r>
    </w:p>
    <w:p w14:paraId="5D0DA98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2010151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生产厂为（厂名）</w:t>
      </w:r>
      <w:r>
        <w:rPr>
          <w:rFonts w:hint="eastAsia" w:ascii="宋体" w:hAnsi="宋体" w:eastAsia="宋体" w:cs="宋体"/>
          <w:spacing w:val="6"/>
          <w:sz w:val="21"/>
          <w:szCs w:val="21"/>
          <w:highlight w:val="none"/>
        </w:rPr>
        <w:t>2，</w:t>
      </w:r>
      <w:r>
        <w:rPr>
          <w:rFonts w:hint="eastAsia" w:ascii="宋体" w:hAnsi="宋体" w:eastAsia="宋体" w:cs="宋体"/>
          <w:spacing w:val="6"/>
          <w:sz w:val="21"/>
          <w:szCs w:val="21"/>
          <w:highlight w:val="none"/>
          <w:u w:val="single"/>
        </w:rPr>
        <w:t>厂址为（生产厂址）</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的中国境内生产的组件成本占比≥</w:t>
      </w:r>
      <w:r>
        <w:rPr>
          <w:rFonts w:hint="eastAsia" w:ascii="宋体" w:hAnsi="宋体" w:eastAsia="宋体" w:cs="宋体"/>
          <w:spacing w:val="6"/>
          <w:sz w:val="21"/>
          <w:szCs w:val="21"/>
          <w:highlight w:val="none"/>
          <w:u w:val="single"/>
        </w:rPr>
        <w:t>（规定比例）</w:t>
      </w:r>
      <w:r>
        <w:rPr>
          <w:rFonts w:hint="eastAsia" w:ascii="宋体" w:hAnsi="宋体" w:eastAsia="宋体" w:cs="宋体"/>
          <w:spacing w:val="6"/>
          <w:sz w:val="21"/>
          <w:szCs w:val="21"/>
          <w:highlight w:val="none"/>
        </w:rPr>
        <w:t>3。</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（关键组件）</w:t>
      </w:r>
      <w:r>
        <w:rPr>
          <w:rFonts w:hint="eastAsia" w:ascii="宋体" w:hAnsi="宋体" w:eastAsia="宋体" w:cs="宋体"/>
          <w:spacing w:val="6"/>
          <w:sz w:val="21"/>
          <w:szCs w:val="21"/>
          <w:highlight w:val="none"/>
        </w:rPr>
        <w:t>4在中国境内生产。（</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（关键工序）</w:t>
      </w:r>
      <w:r>
        <w:rPr>
          <w:rFonts w:hint="eastAsia" w:ascii="宋体" w:hAnsi="宋体" w:eastAsia="宋体" w:cs="宋体"/>
          <w:spacing w:val="6"/>
          <w:sz w:val="21"/>
          <w:szCs w:val="21"/>
          <w:highlight w:val="none"/>
        </w:rPr>
        <w:t>5在中国境内完成。</w:t>
      </w:r>
    </w:p>
    <w:p w14:paraId="5D1AC402">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生产厂为（厂名）</w:t>
      </w:r>
      <w:r>
        <w:rPr>
          <w:rFonts w:hint="eastAsia" w:ascii="宋体" w:hAnsi="宋体" w:eastAsia="宋体" w:cs="宋体"/>
          <w:spacing w:val="6"/>
          <w:sz w:val="21"/>
          <w:szCs w:val="21"/>
          <w:highlight w:val="none"/>
        </w:rPr>
        <w:t>2，</w:t>
      </w:r>
      <w:r>
        <w:rPr>
          <w:rFonts w:hint="eastAsia" w:ascii="宋体" w:hAnsi="宋体" w:eastAsia="宋体" w:cs="宋体"/>
          <w:spacing w:val="6"/>
          <w:sz w:val="21"/>
          <w:szCs w:val="21"/>
          <w:highlight w:val="none"/>
          <w:u w:val="single"/>
        </w:rPr>
        <w:t>厂址为（生产厂址）</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的中国境内生产的组件成本占比≥</w:t>
      </w:r>
      <w:r>
        <w:rPr>
          <w:rFonts w:hint="eastAsia" w:ascii="宋体" w:hAnsi="宋体" w:eastAsia="宋体" w:cs="宋体"/>
          <w:spacing w:val="6"/>
          <w:sz w:val="21"/>
          <w:szCs w:val="21"/>
          <w:highlight w:val="none"/>
          <w:u w:val="single"/>
        </w:rPr>
        <w:t>（规定比例）</w:t>
      </w:r>
      <w:r>
        <w:rPr>
          <w:rFonts w:hint="eastAsia" w:ascii="宋体" w:hAnsi="宋体" w:eastAsia="宋体" w:cs="宋体"/>
          <w:spacing w:val="6"/>
          <w:sz w:val="21"/>
          <w:szCs w:val="21"/>
          <w:highlight w:val="none"/>
        </w:rPr>
        <w:t>3。</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（关键组件）</w:t>
      </w:r>
      <w:r>
        <w:rPr>
          <w:rFonts w:hint="eastAsia" w:ascii="宋体" w:hAnsi="宋体" w:eastAsia="宋体" w:cs="宋体"/>
          <w:spacing w:val="6"/>
          <w:sz w:val="21"/>
          <w:szCs w:val="21"/>
          <w:highlight w:val="none"/>
        </w:rPr>
        <w:t>4在中国境内生产。（</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（关键工序）</w:t>
      </w:r>
      <w:r>
        <w:rPr>
          <w:rFonts w:hint="eastAsia" w:ascii="宋体" w:hAnsi="宋体" w:eastAsia="宋体" w:cs="宋体"/>
          <w:spacing w:val="6"/>
          <w:sz w:val="21"/>
          <w:szCs w:val="21"/>
          <w:highlight w:val="none"/>
        </w:rPr>
        <w:t>5在中国境内完成。</w:t>
      </w:r>
    </w:p>
    <w:p w14:paraId="60C7B525">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w:t>
      </w:r>
    </w:p>
    <w:p w14:paraId="34AA8629">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w:t>
      </w:r>
    </w:p>
    <w:p w14:paraId="7507698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本公司（单位）对上述声明内容的真实性负责。如有虚假，愿承担相应法律责任。</w:t>
      </w:r>
    </w:p>
    <w:p w14:paraId="2D02B747">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 </w:t>
      </w:r>
    </w:p>
    <w:p w14:paraId="607E925B">
      <w:pPr>
        <w:adjustRightInd w:val="0"/>
        <w:snapToGrid w:val="0"/>
        <w:spacing w:line="440" w:lineRule="exact"/>
        <w:ind w:firstLine="444" w:firstLineChars="200"/>
        <w:jc w:val="right"/>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公司（单位）名称（盖章）：　        </w:t>
      </w:r>
    </w:p>
    <w:p w14:paraId="314C49CE">
      <w:pPr>
        <w:adjustRightInd w:val="0"/>
        <w:snapToGrid w:val="0"/>
        <w:spacing w:line="440" w:lineRule="exact"/>
        <w:ind w:firstLine="444" w:firstLineChars="200"/>
        <w:jc w:val="right"/>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日期：　     年　  月　  日         </w:t>
      </w:r>
    </w:p>
    <w:p w14:paraId="2287709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1.产品如有型号，请在“产品名称”栏一并填写。</w:t>
      </w:r>
    </w:p>
    <w:p w14:paraId="78C8A732">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2.生产厂名与厂址应与生产厂营业执照载明的相关信息保持一致。</w:t>
      </w:r>
    </w:p>
    <w:p w14:paraId="27A8B335">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3.该产品的中国境内生产的组件成本占比相关要求实施前，“规定比例”栏可不填，下同。</w:t>
      </w:r>
    </w:p>
    <w:p w14:paraId="5055D988">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4.该产品的关键组件要求实施前，“关键组件”栏可不填，下同。</w:t>
      </w:r>
    </w:p>
    <w:p w14:paraId="4E1F687C">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5.该产品的关键工序要求实施前，“关键工序”栏可不填，下同。</w:t>
      </w:r>
    </w:p>
    <w:p w14:paraId="0285D384">
      <w:pPr>
        <w:pStyle w:val="3"/>
        <w:spacing w:before="0" w:line="240" w:lineRule="atLeast"/>
        <w:ind w:left="540" w:leftChars="257"/>
        <w:jc w:val="center"/>
        <w:rPr>
          <w:rFonts w:ascii="宋体" w:hAnsi="宋体" w:eastAsia="宋体"/>
          <w:sz w:val="24"/>
        </w:rPr>
      </w:pPr>
    </w:p>
    <w:p w14:paraId="35670343">
      <w:pPr>
        <w:pStyle w:val="3"/>
        <w:spacing w:before="0" w:line="240" w:lineRule="atLeast"/>
        <w:ind w:left="540" w:leftChars="257"/>
        <w:jc w:val="center"/>
        <w:rPr>
          <w:rFonts w:ascii="宋体" w:hAnsi="宋体" w:eastAsia="宋体"/>
          <w:sz w:val="24"/>
        </w:rPr>
      </w:pPr>
    </w:p>
    <w:p w14:paraId="55CA3997">
      <w:pPr>
        <w:rPr>
          <w:rFonts w:ascii="宋体" w:hAnsi="宋体"/>
          <w:sz w:val="24"/>
        </w:rPr>
      </w:pPr>
    </w:p>
    <w:p w14:paraId="1154F8AB">
      <w:pPr>
        <w:pStyle w:val="36"/>
        <w:rPr>
          <w:rFonts w:ascii="宋体" w:hAnsi="宋体"/>
        </w:rPr>
      </w:pPr>
    </w:p>
    <w:p w14:paraId="0299C6C4">
      <w:pPr>
        <w:pStyle w:val="36"/>
        <w:rPr>
          <w:rFonts w:ascii="宋体" w:hAnsi="宋体"/>
        </w:rPr>
      </w:pPr>
    </w:p>
    <w:p w14:paraId="5771C695">
      <w:pPr>
        <w:pStyle w:val="36"/>
        <w:rPr>
          <w:rFonts w:ascii="宋体" w:hAnsi="宋体"/>
        </w:rPr>
      </w:pPr>
    </w:p>
    <w:p w14:paraId="31C4B8CC">
      <w:pPr>
        <w:pStyle w:val="36"/>
        <w:ind w:firstLine="0"/>
        <w:rPr>
          <w:rFonts w:ascii="宋体" w:hAnsi="宋体"/>
        </w:rPr>
      </w:pPr>
    </w:p>
    <w:p w14:paraId="086107DB">
      <w:pPr>
        <w:pStyle w:val="3"/>
        <w:spacing w:before="0" w:line="240" w:lineRule="atLeast"/>
        <w:jc w:val="left"/>
        <w:rPr>
          <w:rFonts w:ascii="宋体" w:hAnsi="宋体" w:eastAsia="宋体"/>
          <w:bCs/>
          <w:sz w:val="24"/>
        </w:rPr>
      </w:pPr>
      <w:r>
        <w:rPr>
          <w:rFonts w:hint="eastAsia" w:ascii="宋体" w:hAnsi="宋体" w:eastAsia="宋体"/>
          <w:bCs/>
          <w:sz w:val="24"/>
          <w:lang w:val="en-US" w:eastAsia="zh-CN"/>
        </w:rPr>
        <w:t>8</w:t>
      </w:r>
      <w:r>
        <w:rPr>
          <w:rFonts w:hint="eastAsia" w:ascii="宋体" w:hAnsi="宋体" w:eastAsia="宋体"/>
          <w:bCs/>
          <w:sz w:val="24"/>
        </w:rPr>
        <w:t>、投标人关联单位的说明</w:t>
      </w:r>
      <w:bookmarkEnd w:id="149"/>
      <w:bookmarkEnd w:id="150"/>
      <w:bookmarkEnd w:id="151"/>
      <w:bookmarkEnd w:id="159"/>
    </w:p>
    <w:p w14:paraId="133C048C">
      <w:pPr>
        <w:pStyle w:val="9"/>
        <w:jc w:val="center"/>
        <w:rPr>
          <w:rFonts w:ascii="宋体" w:hAnsi="宋体"/>
        </w:rPr>
      </w:pPr>
    </w:p>
    <w:p w14:paraId="13AE3FFA">
      <w:pPr>
        <w:pStyle w:val="9"/>
        <w:spacing w:line="360" w:lineRule="auto"/>
        <w:ind w:firstLine="480" w:firstLineChars="200"/>
        <w:rPr>
          <w:rFonts w:ascii="宋体" w:hAnsi="宋体"/>
          <w:sz w:val="24"/>
        </w:rPr>
      </w:pPr>
      <w:r>
        <w:rPr>
          <w:rFonts w:hint="eastAsia" w:ascii="宋体" w:hAnsi="宋体"/>
          <w:sz w:val="24"/>
        </w:rPr>
        <w:t>说明：投标人应当如实披露与本单位存在下列关联关系的单位名称：</w:t>
      </w:r>
    </w:p>
    <w:p w14:paraId="6D258CB7">
      <w:pPr>
        <w:pStyle w:val="9"/>
        <w:spacing w:line="360" w:lineRule="auto"/>
        <w:ind w:firstLine="960" w:firstLineChars="400"/>
        <w:rPr>
          <w:rFonts w:ascii="宋体" w:hAnsi="宋体"/>
          <w:sz w:val="24"/>
        </w:rPr>
      </w:pPr>
      <w:r>
        <w:rPr>
          <w:rFonts w:hint="eastAsia" w:ascii="宋体" w:hAnsi="宋体"/>
          <w:sz w:val="24"/>
        </w:rPr>
        <w:t>（1）与投标人单位负责人为同一人的其他单位；</w:t>
      </w:r>
    </w:p>
    <w:p w14:paraId="32898D5B">
      <w:pPr>
        <w:pStyle w:val="9"/>
        <w:spacing w:line="360" w:lineRule="auto"/>
        <w:ind w:firstLine="480" w:firstLineChars="200"/>
        <w:rPr>
          <w:rFonts w:ascii="宋体" w:hAnsi="宋体"/>
          <w:sz w:val="24"/>
        </w:rPr>
      </w:pPr>
      <w:r>
        <w:rPr>
          <w:rFonts w:hint="eastAsia" w:ascii="宋体" w:hAnsi="宋体"/>
          <w:sz w:val="24"/>
        </w:rPr>
        <w:t xml:space="preserve">    （2）与投标人存在直接控股、管理关系的其他单位。</w:t>
      </w:r>
    </w:p>
    <w:p w14:paraId="74DA3BEF">
      <w:pPr>
        <w:pStyle w:val="9"/>
        <w:ind w:firstLine="0"/>
        <w:rPr>
          <w:rFonts w:ascii="宋体" w:hAnsi="宋体"/>
        </w:rPr>
      </w:pPr>
      <w:bookmarkStart w:id="160" w:name="_Toc515647828"/>
      <w:bookmarkStart w:id="161" w:name="_Toc17333"/>
      <w:bookmarkStart w:id="162" w:name="_Toc7414"/>
    </w:p>
    <w:p w14:paraId="76DE7F83">
      <w:pPr>
        <w:pStyle w:val="9"/>
        <w:ind w:firstLine="0"/>
        <w:rPr>
          <w:rFonts w:ascii="宋体" w:hAnsi="宋体"/>
        </w:rPr>
      </w:pPr>
    </w:p>
    <w:bookmarkEnd w:id="160"/>
    <w:bookmarkEnd w:id="161"/>
    <w:bookmarkEnd w:id="162"/>
    <w:p w14:paraId="37292A29">
      <w:pPr>
        <w:rPr>
          <w:rFonts w:ascii="宋体" w:hAnsi="宋体"/>
          <w:b/>
          <w:bCs/>
          <w:sz w:val="24"/>
        </w:rPr>
      </w:pPr>
    </w:p>
    <w:p w14:paraId="4EF78F71"/>
    <w:p w14:paraId="78EEDC2E">
      <w:pPr>
        <w:pStyle w:val="3"/>
        <w:numPr>
          <w:ilvl w:val="1"/>
          <w:numId w:val="0"/>
        </w:numPr>
        <w:spacing w:before="0" w:line="240" w:lineRule="atLeast"/>
        <w:jc w:val="left"/>
        <w:rPr>
          <w:rFonts w:ascii="宋体" w:hAnsi="宋体" w:eastAsia="宋体"/>
          <w:bCs/>
          <w:sz w:val="24"/>
        </w:rPr>
      </w:pPr>
      <w:r>
        <w:rPr>
          <w:rFonts w:hint="eastAsia" w:ascii="宋体" w:hAnsi="宋体" w:eastAsia="宋体"/>
          <w:bCs/>
          <w:sz w:val="24"/>
          <w:lang w:val="en-US" w:eastAsia="zh-CN"/>
        </w:rPr>
        <w:t>9</w:t>
      </w:r>
      <w:r>
        <w:rPr>
          <w:rFonts w:hint="eastAsia" w:ascii="宋体" w:hAnsi="宋体" w:eastAsia="宋体"/>
          <w:bCs/>
          <w:sz w:val="24"/>
        </w:rPr>
        <w:t>、评分标准和细则中技术部分证明材料（格式自拟）</w:t>
      </w:r>
    </w:p>
    <w:p w14:paraId="1CEAC9E7">
      <w:pPr>
        <w:pStyle w:val="3"/>
        <w:numPr>
          <w:ilvl w:val="1"/>
          <w:numId w:val="0"/>
        </w:numPr>
        <w:spacing w:before="0" w:line="240" w:lineRule="atLeast"/>
        <w:rPr>
          <w:rFonts w:ascii="宋体" w:hAnsi="宋体" w:eastAsia="宋体"/>
          <w:sz w:val="24"/>
          <w:highlight w:val="none"/>
        </w:rPr>
      </w:pPr>
    </w:p>
    <w:p w14:paraId="62DDFD4F">
      <w:pPr>
        <w:pStyle w:val="14"/>
        <w:tabs>
          <w:tab w:val="left" w:pos="5580"/>
        </w:tabs>
        <w:spacing w:line="360" w:lineRule="auto"/>
        <w:ind w:left="1080" w:leftChars="257" w:hanging="540"/>
        <w:rPr>
          <w:rFonts w:hAnsi="宋体"/>
          <w:sz w:val="24"/>
          <w:highlight w:val="none"/>
        </w:rPr>
      </w:pPr>
      <w:r>
        <w:rPr>
          <w:rFonts w:hint="eastAsia" w:hAnsi="宋体"/>
          <w:sz w:val="24"/>
          <w:highlight w:val="none"/>
        </w:rPr>
        <w:t>说明：1.应提供</w:t>
      </w:r>
      <w:r>
        <w:rPr>
          <w:rFonts w:hint="eastAsia" w:hAnsi="宋体"/>
          <w:sz w:val="24"/>
          <w:highlight w:val="none"/>
          <w:u w:val="single"/>
        </w:rPr>
        <w:t>评分标准和细则中技术部分</w:t>
      </w:r>
      <w:r>
        <w:rPr>
          <w:rFonts w:hint="eastAsia" w:hAnsi="宋体"/>
          <w:sz w:val="24"/>
          <w:highlight w:val="none"/>
        </w:rPr>
        <w:t>要求的其他资格证明文件（主要包括：技术指标、实施方案等）。</w:t>
      </w:r>
    </w:p>
    <w:p w14:paraId="77909AE7">
      <w:pPr>
        <w:pStyle w:val="14"/>
        <w:tabs>
          <w:tab w:val="left" w:pos="5580"/>
        </w:tabs>
        <w:spacing w:line="360" w:lineRule="auto"/>
        <w:ind w:firstLine="1200" w:firstLineChars="500"/>
        <w:rPr>
          <w:rFonts w:hAnsi="宋体"/>
          <w:sz w:val="24"/>
        </w:rPr>
      </w:pPr>
      <w:r>
        <w:rPr>
          <w:rFonts w:hint="eastAsia" w:hAnsi="宋体"/>
          <w:sz w:val="24"/>
        </w:rPr>
        <w:t>2.应加盖本单位章（自然人投标的无需盖章，需要签字）。</w:t>
      </w:r>
    </w:p>
    <w:p w14:paraId="00102CFE">
      <w:pPr>
        <w:pStyle w:val="14"/>
        <w:tabs>
          <w:tab w:val="left" w:pos="5580"/>
        </w:tabs>
        <w:spacing w:line="360" w:lineRule="auto"/>
        <w:ind w:left="1260" w:leftChars="344" w:hanging="538"/>
        <w:rPr>
          <w:rFonts w:hAnsi="宋体"/>
          <w:sz w:val="24"/>
        </w:rPr>
      </w:pPr>
      <w:r>
        <w:rPr>
          <w:rFonts w:hint="eastAsia" w:hAnsi="宋体"/>
          <w:sz w:val="24"/>
        </w:rPr>
        <w:t xml:space="preserve">    3.（本项目不接受联合体）如果是联合体投标，联合体各方需提供的满足招标文件要求的其他资格证明文件。</w:t>
      </w:r>
    </w:p>
    <w:p w14:paraId="2C321A64">
      <w:pPr>
        <w:rPr>
          <w:rFonts w:ascii="宋体" w:hAnsi="宋体"/>
          <w:sz w:val="24"/>
        </w:rPr>
      </w:pPr>
    </w:p>
    <w:p w14:paraId="4B6089A1">
      <w:pPr>
        <w:pStyle w:val="3"/>
        <w:numPr>
          <w:ilvl w:val="1"/>
          <w:numId w:val="0"/>
        </w:numPr>
        <w:spacing w:before="0" w:line="240" w:lineRule="atLeast"/>
        <w:jc w:val="left"/>
        <w:rPr>
          <w:rFonts w:ascii="宋体" w:hAnsi="宋体" w:eastAsia="宋体"/>
          <w:bCs/>
          <w:sz w:val="24"/>
        </w:rPr>
      </w:pPr>
    </w:p>
    <w:p w14:paraId="57D3AD13">
      <w:pPr>
        <w:pStyle w:val="4"/>
      </w:pPr>
    </w:p>
    <w:p w14:paraId="6436086A"/>
    <w:p w14:paraId="75099ED6"/>
    <w:p w14:paraId="1031D544"/>
    <w:p w14:paraId="6BC01EE9"/>
    <w:p w14:paraId="0EF1482B"/>
    <w:p w14:paraId="30DC46C7"/>
    <w:p w14:paraId="003DDE78"/>
    <w:p w14:paraId="23250DA1"/>
    <w:p w14:paraId="6985F485"/>
    <w:p w14:paraId="57FE2F5A">
      <w:pPr>
        <w:rPr>
          <w:rFonts w:hint="eastAsia" w:ascii="宋体" w:hAnsi="宋体" w:eastAsia="宋体"/>
          <w:bCs/>
          <w:sz w:val="24"/>
          <w:lang w:val="en-US" w:eastAsia="zh-CN"/>
        </w:rPr>
      </w:pPr>
      <w:r>
        <w:rPr>
          <w:rFonts w:hint="eastAsia" w:ascii="宋体" w:hAnsi="宋体" w:eastAsia="宋体"/>
          <w:bCs/>
          <w:sz w:val="24"/>
          <w:lang w:val="en-US" w:eastAsia="zh-CN"/>
        </w:rPr>
        <w:br w:type="page"/>
      </w:r>
    </w:p>
    <w:p w14:paraId="5CE9E102">
      <w:pPr>
        <w:pStyle w:val="3"/>
        <w:numPr>
          <w:ilvl w:val="1"/>
          <w:numId w:val="0"/>
        </w:numPr>
        <w:spacing w:before="0" w:line="240" w:lineRule="atLeast"/>
        <w:jc w:val="left"/>
        <w:rPr>
          <w:rFonts w:ascii="宋体" w:hAnsi="宋体" w:eastAsia="宋体"/>
          <w:sz w:val="24"/>
        </w:rPr>
      </w:pPr>
      <w:r>
        <w:rPr>
          <w:rFonts w:hint="eastAsia" w:ascii="宋体" w:hAnsi="宋体" w:eastAsia="宋体"/>
          <w:bCs/>
          <w:sz w:val="24"/>
          <w:lang w:val="en-US" w:eastAsia="zh-CN"/>
        </w:rPr>
        <w:t>10</w:t>
      </w:r>
      <w:r>
        <w:rPr>
          <w:rFonts w:hint="eastAsia" w:ascii="宋体" w:hAnsi="宋体" w:eastAsia="宋体"/>
          <w:bCs/>
          <w:sz w:val="24"/>
        </w:rPr>
        <w:t>、评分标准和细则中商务部分证明材料（格式自拟）</w:t>
      </w:r>
    </w:p>
    <w:p w14:paraId="62ED73C3">
      <w:pPr>
        <w:pStyle w:val="14"/>
        <w:tabs>
          <w:tab w:val="left" w:pos="5580"/>
        </w:tabs>
        <w:spacing w:line="240" w:lineRule="atLeast"/>
        <w:ind w:left="1080" w:leftChars="257" w:hanging="540"/>
        <w:rPr>
          <w:rFonts w:hAnsi="宋体"/>
          <w:sz w:val="24"/>
        </w:rPr>
      </w:pPr>
    </w:p>
    <w:p w14:paraId="768D361A">
      <w:pPr>
        <w:pStyle w:val="14"/>
        <w:tabs>
          <w:tab w:val="left" w:pos="5580"/>
        </w:tabs>
        <w:spacing w:line="240" w:lineRule="atLeast"/>
        <w:ind w:left="1080" w:leftChars="257" w:hanging="540"/>
        <w:rPr>
          <w:rFonts w:hAnsi="宋体"/>
          <w:sz w:val="24"/>
          <w:highlight w:val="none"/>
        </w:rPr>
      </w:pPr>
      <w:r>
        <w:rPr>
          <w:rFonts w:hint="eastAsia" w:hAnsi="宋体"/>
          <w:sz w:val="24"/>
        </w:rPr>
        <w:t>说明：1.应提供</w:t>
      </w:r>
      <w:r>
        <w:rPr>
          <w:rFonts w:hint="eastAsia" w:hAnsi="宋体"/>
          <w:sz w:val="24"/>
          <w:u w:val="single"/>
        </w:rPr>
        <w:t>评分标准和细则中商务部分</w:t>
      </w:r>
      <w:r>
        <w:rPr>
          <w:rFonts w:hint="eastAsia" w:hAnsi="宋体"/>
          <w:sz w:val="24"/>
        </w:rPr>
        <w:t>要求的其他</w:t>
      </w:r>
      <w:r>
        <w:rPr>
          <w:rFonts w:hint="eastAsia" w:hAnsi="宋体"/>
          <w:sz w:val="24"/>
          <w:highlight w:val="none"/>
        </w:rPr>
        <w:t>资格证明文件（主要包括：综合实力、售后服务等）。</w:t>
      </w:r>
    </w:p>
    <w:p w14:paraId="0E367F61">
      <w:pPr>
        <w:pStyle w:val="14"/>
        <w:tabs>
          <w:tab w:val="left" w:pos="5580"/>
        </w:tabs>
        <w:spacing w:line="240" w:lineRule="atLeast"/>
        <w:ind w:firstLine="1200" w:firstLineChars="500"/>
        <w:rPr>
          <w:rFonts w:hAnsi="宋体"/>
          <w:sz w:val="24"/>
        </w:rPr>
      </w:pPr>
      <w:r>
        <w:rPr>
          <w:rFonts w:hint="eastAsia" w:hAnsi="宋体"/>
          <w:sz w:val="24"/>
        </w:rPr>
        <w:t>2.应加盖本单位章（自然人投标的无需盖章，需要签字）。</w:t>
      </w:r>
    </w:p>
    <w:p w14:paraId="38BF6904">
      <w:pPr>
        <w:pStyle w:val="14"/>
        <w:tabs>
          <w:tab w:val="left" w:pos="5580"/>
        </w:tabs>
        <w:spacing w:line="240" w:lineRule="atLeast"/>
        <w:ind w:left="1260" w:leftChars="344" w:hanging="538"/>
        <w:rPr>
          <w:rFonts w:hAnsi="宋体"/>
          <w:sz w:val="24"/>
        </w:rPr>
      </w:pPr>
      <w:r>
        <w:rPr>
          <w:rFonts w:hint="eastAsia" w:hAnsi="宋体"/>
          <w:sz w:val="24"/>
        </w:rPr>
        <w:t xml:space="preserve">    3. （本项目不接受联合体）如果是联合体投标，联合体各方需提供的满足招标文件要求的其他资格证明文件。</w:t>
      </w:r>
    </w:p>
    <w:p w14:paraId="14AB70F4">
      <w:pPr>
        <w:pStyle w:val="36"/>
        <w:ind w:left="0" w:leftChars="0" w:firstLine="0" w:firstLineChars="0"/>
      </w:pPr>
    </w:p>
    <w:p w14:paraId="479F15B5">
      <w:pPr>
        <w:pStyle w:val="36"/>
        <w:rPr>
          <w:sz w:val="11"/>
          <w:szCs w:val="11"/>
        </w:rPr>
      </w:pPr>
    </w:p>
    <w:p w14:paraId="1DCEF430">
      <w:pPr>
        <w:pStyle w:val="3"/>
        <w:numPr>
          <w:ilvl w:val="1"/>
          <w:numId w:val="0"/>
        </w:numPr>
        <w:spacing w:before="0" w:line="240" w:lineRule="atLeast"/>
        <w:jc w:val="left"/>
        <w:rPr>
          <w:rFonts w:ascii="宋体" w:hAnsi="宋体" w:eastAsia="宋体"/>
          <w:sz w:val="24"/>
        </w:rPr>
      </w:pPr>
      <w:r>
        <w:rPr>
          <w:rFonts w:hint="eastAsia" w:ascii="宋体" w:hAnsi="宋体" w:eastAsia="宋体"/>
          <w:bCs/>
          <w:sz w:val="24"/>
        </w:rPr>
        <w:t>1</w:t>
      </w:r>
      <w:r>
        <w:rPr>
          <w:rFonts w:hint="eastAsia" w:ascii="宋体" w:hAnsi="宋体" w:eastAsia="宋体"/>
          <w:bCs/>
          <w:sz w:val="24"/>
          <w:lang w:val="en-US" w:eastAsia="zh-CN"/>
        </w:rPr>
        <w:t>1</w:t>
      </w:r>
      <w:r>
        <w:rPr>
          <w:rFonts w:hint="eastAsia" w:ascii="宋体" w:hAnsi="宋体" w:eastAsia="宋体"/>
          <w:bCs/>
          <w:sz w:val="24"/>
        </w:rPr>
        <w:t>、投标人认为有必要提供的其他证明材料（格式自拟）</w:t>
      </w:r>
    </w:p>
    <w:p w14:paraId="49E443A3">
      <w:pPr>
        <w:pStyle w:val="14"/>
        <w:tabs>
          <w:tab w:val="left" w:pos="5580"/>
        </w:tabs>
        <w:spacing w:line="240" w:lineRule="atLeast"/>
        <w:ind w:firstLine="1200" w:firstLineChars="500"/>
        <w:rPr>
          <w:rFonts w:hAnsi="宋体"/>
          <w:sz w:val="24"/>
        </w:rPr>
      </w:pPr>
    </w:p>
    <w:p w14:paraId="25D013DB">
      <w:pPr>
        <w:pStyle w:val="14"/>
        <w:tabs>
          <w:tab w:val="left" w:pos="5580"/>
        </w:tabs>
        <w:spacing w:line="240" w:lineRule="atLeast"/>
        <w:ind w:firstLine="1200" w:firstLineChars="500"/>
        <w:rPr>
          <w:rFonts w:hAnsi="宋体"/>
          <w:sz w:val="24"/>
        </w:rPr>
      </w:pPr>
      <w:r>
        <w:rPr>
          <w:rFonts w:hint="eastAsia" w:hAnsi="宋体"/>
          <w:sz w:val="24"/>
        </w:rPr>
        <w:t>说明：1.应加盖本单位章（自然人投标的无需盖章，需要签字）。</w:t>
      </w:r>
    </w:p>
    <w:p w14:paraId="77FFAD7E">
      <w:pPr>
        <w:pStyle w:val="14"/>
        <w:tabs>
          <w:tab w:val="left" w:pos="5580"/>
        </w:tabs>
        <w:spacing w:line="240" w:lineRule="atLeast"/>
        <w:ind w:left="1915" w:leftChars="912"/>
      </w:pPr>
      <w:r>
        <w:rPr>
          <w:rFonts w:hint="eastAsia" w:hAnsi="宋体"/>
          <w:sz w:val="24"/>
          <w:u w:color="000000"/>
        </w:rPr>
        <w:t>2.（本项目不接受联合体）如果是联合体投标，联合体各方需提供的满足招标文件要求的其他资格证明文件。</w:t>
      </w:r>
    </w:p>
    <w:p w14:paraId="58065715"/>
    <w:p w14:paraId="5C918F34">
      <w:pPr>
        <w:pStyle w:val="14"/>
        <w:tabs>
          <w:tab w:val="left" w:pos="5580"/>
        </w:tabs>
        <w:spacing w:line="240" w:lineRule="atLeast"/>
        <w:ind w:left="1915" w:leftChars="912"/>
        <w:rPr>
          <w:rFonts w:hAnsi="宋体"/>
          <w:b/>
          <w:bCs/>
          <w:color w:val="000000"/>
          <w:sz w:val="36"/>
          <w:szCs w:val="36"/>
        </w:rPr>
      </w:pPr>
    </w:p>
    <w:p w14:paraId="696C55AC"/>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Courier New"/>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3B27">
    <w:pPr>
      <w:pStyle w:val="17"/>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7DB77DA">
                          <w:pPr>
                            <w:pStyle w:val="17"/>
                          </w:pPr>
                          <w:r>
                            <w:fldChar w:fldCharType="begin"/>
                          </w:r>
                          <w:r>
                            <w:instrText xml:space="preserve"> PAGE  \* MERGEFORMAT </w:instrText>
                          </w:r>
                          <w:r>
                            <w:fldChar w:fldCharType="separate"/>
                          </w:r>
                          <w:r>
                            <w:t>１</w:t>
                          </w:r>
                          <w:r>
                            <w:fldChar w:fldCharType="end"/>
                          </w: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unM+tL0BAAB7AwAADgAAAAAAAAABACAAAAAfAQAAZHJzL2Uyb0RvYy54bWxQSwUGAAAA&#10;AAYABgBZAQAATgUAAAAA&#10;">
              <v:fill on="f" focussize="0,0"/>
              <v:stroke on="f"/>
              <v:imagedata o:title=""/>
              <o:lock v:ext="edit" aspectratio="f"/>
              <v:textbox inset="0mm,0mm,0mm,0mm" style="mso-fit-shape-to-text:t;">
                <w:txbxContent>
                  <w:p w14:paraId="27DB77DA">
                    <w:pPr>
                      <w:pStyle w:val="17"/>
                    </w:pPr>
                    <w:r>
                      <w:fldChar w:fldCharType="begin"/>
                    </w:r>
                    <w:r>
                      <w:instrText xml:space="preserve"> PAGE  \* MERGEFORMAT </w:instrText>
                    </w:r>
                    <w:r>
                      <w:fldChar w:fldCharType="separate"/>
                    </w:r>
                    <w:r>
                      <w:t>１</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FDBF7">
    <w:pPr>
      <w:pStyle w:val="17"/>
      <w:tabs>
        <w:tab w:val="clear" w:pos="4320"/>
        <w:tab w:val="clear" w:pos="8640"/>
      </w:tabs>
      <w:ind w:right="360"/>
      <w:jc w:val="both"/>
    </w:pPr>
    <w:r>
      <w:rPr>
        <w:sz w:val="16"/>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002C37">
                          <w:pPr>
                            <w:pStyle w:val="17"/>
                            <w:tabs>
                              <w:tab w:val="clear" w:pos="4320"/>
                              <w:tab w:val="clear" w:pos="8640"/>
                            </w:tabs>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AkOnjquQEAAHgDAAAOAAAAAAAAAAEAIAAAAB8BAABkcnMvZTJvRG9jLnhtbFBLBQYAAAAABgAG&#10;AFkBAABKBQAAAAA=&#10;">
              <v:fill on="f" focussize="0,0"/>
              <v:stroke on="f"/>
              <v:imagedata o:title=""/>
              <o:lock v:ext="edit" aspectratio="f"/>
              <v:textbox inset="0mm,0mm,0mm,0mm" style="mso-fit-shape-to-text:t;">
                <w:txbxContent>
                  <w:p w14:paraId="7F002C37">
                    <w:pPr>
                      <w:pStyle w:val="17"/>
                      <w:tabs>
                        <w:tab w:val="clear" w:pos="4320"/>
                        <w:tab w:val="clear" w:pos="8640"/>
                      </w:tabs>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color w:val="800000"/>
        <w:sz w:val="16"/>
      </w:rPr>
      <w:t xml:space="preserve">       </w:t>
    </w:r>
  </w:p>
  <w:p w14:paraId="5D7A3B92">
    <w:pPr>
      <w:pStyle w:val="17"/>
      <w:tabs>
        <w:tab w:val="clear" w:pos="4320"/>
        <w:tab w:val="clear" w:pos="8640"/>
      </w:tabs>
      <w:autoSpaceDE w:val="0"/>
      <w:autoSpaceDN w:val="0"/>
      <w:snapToGrid w:val="0"/>
      <w:spacing w:line="240" w:lineRule="auto"/>
      <w:ind w:left="7200" w:hanging="7200" w:hangingChars="4000"/>
      <w:jc w:val="both"/>
      <w:textAlignment w:val="auto"/>
    </w:pPr>
  </w:p>
  <w:p w14:paraId="35E9EFB4">
    <w:pPr>
      <w:pStyle w:val="17"/>
      <w:tabs>
        <w:tab w:val="clear" w:pos="4320"/>
        <w:tab w:val="clear" w:pos="8640"/>
      </w:tabs>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7293">
    <w:pPr>
      <w:pStyle w:val="17"/>
      <w:tabs>
        <w:tab w:val="clear" w:pos="4320"/>
        <w:tab w:val="clear" w:pos="8640"/>
      </w:tabs>
      <w:ind w:right="360"/>
      <w:jc w:val="both"/>
    </w:pPr>
    <w:r>
      <w:rPr>
        <w:sz w:val="16"/>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9AFF41">
                          <w:pPr>
                            <w:pStyle w:val="17"/>
                            <w:tabs>
                              <w:tab w:val="clear" w:pos="4320"/>
                              <w:tab w:val="clear" w:pos="8640"/>
                            </w:tabs>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SzUXEL0BAAB7AwAADgAAAAAAAAABACAAAAAfAQAAZHJzL2Uyb0RvYy54bWxQSwUGAAAA&#10;AAYABgBZAQAATgUAAAAA&#10;">
              <v:fill on="f" focussize="0,0"/>
              <v:stroke on="f"/>
              <v:imagedata o:title=""/>
              <o:lock v:ext="edit" aspectratio="f"/>
              <v:textbox inset="0mm,0mm,0mm,0mm" style="mso-fit-shape-to-text:t;">
                <w:txbxContent>
                  <w:p w14:paraId="7F9AFF41">
                    <w:pPr>
                      <w:pStyle w:val="17"/>
                      <w:tabs>
                        <w:tab w:val="clear" w:pos="4320"/>
                        <w:tab w:val="clear" w:pos="8640"/>
                      </w:tabs>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color w:val="800000"/>
        <w:sz w:val="16"/>
      </w:rPr>
      <w:t xml:space="preserve">       </w:t>
    </w:r>
  </w:p>
  <w:p w14:paraId="7DA32598">
    <w:pPr>
      <w:pStyle w:val="17"/>
      <w:tabs>
        <w:tab w:val="clear" w:pos="4320"/>
        <w:tab w:val="clear" w:pos="8640"/>
      </w:tabs>
      <w:autoSpaceDE w:val="0"/>
      <w:autoSpaceDN w:val="0"/>
      <w:snapToGrid w:val="0"/>
      <w:spacing w:line="240" w:lineRule="auto"/>
      <w:ind w:left="7200" w:hanging="7200" w:hangingChars="4000"/>
      <w:jc w:val="both"/>
      <w:textAlignment w:val="auto"/>
    </w:pPr>
  </w:p>
  <w:p w14:paraId="3474E960">
    <w:pPr>
      <w:pStyle w:val="17"/>
      <w:tabs>
        <w:tab w:val="clear" w:pos="4320"/>
        <w:tab w:val="clear" w:pos="8640"/>
      </w:tabs>
      <w:ind w:right="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26DC2">
    <w:pPr>
      <w:pStyle w:val="18"/>
    </w:pPr>
    <w:r>
      <w:tab/>
    </w:r>
    <w:r>
      <w:rPr>
        <w:rFonts w:hint="eastAsia"/>
      </w:rPr>
      <w:t xml:space="preserve">                           </w:t>
    </w:r>
  </w:p>
  <w:p w14:paraId="1461916F">
    <w:pPr>
      <w:pStyle w:val="18"/>
      <w:ind w:left="7730" w:hanging="7730" w:hangingChars="3500"/>
      <w:jc w:val="both"/>
      <w:rPr>
        <w:sz w:val="20"/>
      </w:rPr>
    </w:pPr>
    <w:r>
      <w:rPr>
        <w:rFonts w:hint="eastAsia"/>
        <w:b/>
        <w:bCs/>
        <w:sz w:val="22"/>
        <w:szCs w:val="24"/>
        <w:lang w:eastAsia="zh-CN"/>
      </w:rPr>
      <w:t>新疆聚友共创项目管理有限公司</w:t>
    </w:r>
    <w:r>
      <w:rPr>
        <w:rFonts w:hint="eastAsia"/>
        <w:b/>
        <w:bCs/>
        <w:sz w:val="22"/>
        <w:szCs w:val="24"/>
      </w:rPr>
      <w:t xml:space="preserve"> </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19A24951">
    <w:pPr>
      <w:adjustRightInd w:val="0"/>
      <w:ind w:firstLine="420" w:firstLineChars="200"/>
      <w:jc w:val="right"/>
    </w:pPr>
    <w:r>
      <w:rPr>
        <w:rFonts w:hint="eastAsia"/>
      </w:rPr>
      <w:t xml:space="preserve">   </w:t>
    </w:r>
    <w:r>
      <w:rPr>
        <w:rFonts w:hint="eastAsia"/>
        <w:sz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C96DE">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FE140">
    <w:pPr>
      <w:pStyle w:val="18"/>
      <w:jc w:val="both"/>
      <w:rPr>
        <w:rFonts w:ascii="宋体" w:hAnsi="宋体"/>
        <w:sz w:val="20"/>
      </w:rPr>
    </w:pPr>
  </w:p>
  <w:p w14:paraId="191BBD94">
    <w:pPr>
      <w:pStyle w:val="18"/>
      <w:ind w:left="7730" w:hanging="7730" w:hangingChars="3500"/>
      <w:jc w:val="both"/>
      <w:rPr>
        <w:sz w:val="20"/>
      </w:rPr>
    </w:pPr>
    <w:r>
      <w:rPr>
        <w:rFonts w:hint="eastAsia"/>
        <w:b/>
        <w:bCs/>
        <w:sz w:val="22"/>
        <w:szCs w:val="24"/>
        <w:lang w:eastAsia="zh-CN"/>
      </w:rPr>
      <w:t>新疆聚友共创项目管理有限公司</w:t>
    </w:r>
    <w:r>
      <w:rPr>
        <w:rFonts w:hint="eastAsia"/>
        <w:b/>
        <w:bCs/>
        <w:sz w:val="22"/>
        <w:szCs w:val="24"/>
      </w:rPr>
      <w:t xml:space="preserve">  </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2E13FE40">
    <w:pPr>
      <w:pStyle w:val="18"/>
      <w:jc w:val="right"/>
      <w:rPr>
        <w:rFonts w:ascii="宋体" w:hAnsi="宋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EA23BA"/>
    <w:multiLevelType w:val="singleLevel"/>
    <w:tmpl w:val="EBEA23BA"/>
    <w:lvl w:ilvl="0" w:tentative="0">
      <w:start w:val="1"/>
      <w:numFmt w:val="decimal"/>
      <w:suff w:val="nothing"/>
      <w:lvlText w:val="%1、"/>
      <w:lvlJc w:val="left"/>
      <w:pPr>
        <w:ind w:left="210"/>
      </w:pPr>
    </w:lvl>
  </w:abstractNum>
  <w:abstractNum w:abstractNumId="1">
    <w:nsid w:val="00000000"/>
    <w:multiLevelType w:val="singleLevel"/>
    <w:tmpl w:val="00000000"/>
    <w:lvl w:ilvl="0" w:tentative="0">
      <w:start w:val="1"/>
      <w:numFmt w:val="decimal"/>
      <w:suff w:val="nothing"/>
      <w:lvlText w:val="（%1）"/>
      <w:lvlJc w:val="left"/>
      <w:rPr>
        <w:rFonts w:hint="default"/>
        <w:sz w:val="20"/>
        <w:szCs w:val="20"/>
      </w:rPr>
    </w:lvl>
  </w:abstractNum>
  <w:abstractNum w:abstractNumId="2">
    <w:nsid w:val="00000003"/>
    <w:multiLevelType w:val="multilevel"/>
    <w:tmpl w:val="00000003"/>
    <w:lvl w:ilvl="0" w:tentative="0">
      <w:start w:val="1"/>
      <w:numFmt w:val="decimal"/>
      <w:suff w:val="nothing"/>
      <w:lvlText w:val="%1、"/>
      <w:lvlJc w:val="left"/>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00000004"/>
    <w:multiLevelType w:val="multilevel"/>
    <w:tmpl w:val="00000004"/>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4">
    <w:nsid w:val="00000005"/>
    <w:multiLevelType w:val="singleLevel"/>
    <w:tmpl w:val="00000005"/>
    <w:lvl w:ilvl="0" w:tentative="0">
      <w:start w:val="1"/>
      <w:numFmt w:val="chineseCounting"/>
      <w:suff w:val="nothing"/>
      <w:lvlText w:val="%1、"/>
      <w:lvlJc w:val="left"/>
    </w:lvl>
  </w:abstractNum>
  <w:abstractNum w:abstractNumId="5">
    <w:nsid w:val="00000006"/>
    <w:multiLevelType w:val="multilevel"/>
    <w:tmpl w:val="00000006"/>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6">
    <w:nsid w:val="39E536B7"/>
    <w:multiLevelType w:val="singleLevel"/>
    <w:tmpl w:val="39E536B7"/>
    <w:lvl w:ilvl="0" w:tentative="0">
      <w:start w:val="10"/>
      <w:numFmt w:val="decimal"/>
      <w:suff w:val="nothing"/>
      <w:lvlText w:val="%1、"/>
      <w:lvlJc w:val="left"/>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yODA5YWZmMzQwYzUwZDk5NzU4MjBmMGQ1ZjI2N2IifQ=="/>
  </w:docVars>
  <w:rsids>
    <w:rsidRoot w:val="00000000"/>
    <w:rsid w:val="0002117A"/>
    <w:rsid w:val="00496DA9"/>
    <w:rsid w:val="00563274"/>
    <w:rsid w:val="0057559E"/>
    <w:rsid w:val="0058523E"/>
    <w:rsid w:val="008B1170"/>
    <w:rsid w:val="00A14719"/>
    <w:rsid w:val="00A65FA9"/>
    <w:rsid w:val="00B92181"/>
    <w:rsid w:val="00BC5FBE"/>
    <w:rsid w:val="00F74A57"/>
    <w:rsid w:val="00FC206D"/>
    <w:rsid w:val="010942E8"/>
    <w:rsid w:val="010D5B44"/>
    <w:rsid w:val="011078C7"/>
    <w:rsid w:val="01113D6B"/>
    <w:rsid w:val="011E3D92"/>
    <w:rsid w:val="01203FAE"/>
    <w:rsid w:val="013C06BC"/>
    <w:rsid w:val="013E4434"/>
    <w:rsid w:val="01431A4A"/>
    <w:rsid w:val="014C249B"/>
    <w:rsid w:val="01527EDF"/>
    <w:rsid w:val="0176597C"/>
    <w:rsid w:val="017716F4"/>
    <w:rsid w:val="018B7BC6"/>
    <w:rsid w:val="01A56261"/>
    <w:rsid w:val="01AB4BCB"/>
    <w:rsid w:val="01AC3A93"/>
    <w:rsid w:val="01B96DFD"/>
    <w:rsid w:val="01BD35AB"/>
    <w:rsid w:val="01D134FA"/>
    <w:rsid w:val="01E44FDB"/>
    <w:rsid w:val="01E90844"/>
    <w:rsid w:val="02004145"/>
    <w:rsid w:val="02151230"/>
    <w:rsid w:val="021A6C4F"/>
    <w:rsid w:val="02333474"/>
    <w:rsid w:val="023B0973"/>
    <w:rsid w:val="02447828"/>
    <w:rsid w:val="0249725E"/>
    <w:rsid w:val="025657AD"/>
    <w:rsid w:val="026305F6"/>
    <w:rsid w:val="02A22CA5"/>
    <w:rsid w:val="02A23094"/>
    <w:rsid w:val="02BF77F6"/>
    <w:rsid w:val="02CE260B"/>
    <w:rsid w:val="02D21B2C"/>
    <w:rsid w:val="02ED08AC"/>
    <w:rsid w:val="03062D2F"/>
    <w:rsid w:val="030F42DA"/>
    <w:rsid w:val="03125B78"/>
    <w:rsid w:val="0317318F"/>
    <w:rsid w:val="03200295"/>
    <w:rsid w:val="035B6E0C"/>
    <w:rsid w:val="0375005C"/>
    <w:rsid w:val="03791753"/>
    <w:rsid w:val="037B196F"/>
    <w:rsid w:val="039E69EE"/>
    <w:rsid w:val="03B44E81"/>
    <w:rsid w:val="03D66BA6"/>
    <w:rsid w:val="03EA08A3"/>
    <w:rsid w:val="04075367"/>
    <w:rsid w:val="04185410"/>
    <w:rsid w:val="042A2F4E"/>
    <w:rsid w:val="043833BC"/>
    <w:rsid w:val="0439572B"/>
    <w:rsid w:val="043A35D9"/>
    <w:rsid w:val="04521B53"/>
    <w:rsid w:val="04675A50"/>
    <w:rsid w:val="046B6107"/>
    <w:rsid w:val="048B7202"/>
    <w:rsid w:val="049A4077"/>
    <w:rsid w:val="049B394B"/>
    <w:rsid w:val="04A81782"/>
    <w:rsid w:val="04B14F1D"/>
    <w:rsid w:val="04BD38C2"/>
    <w:rsid w:val="04D035F5"/>
    <w:rsid w:val="04D61A35"/>
    <w:rsid w:val="04DA0918"/>
    <w:rsid w:val="04E43544"/>
    <w:rsid w:val="04F75026"/>
    <w:rsid w:val="04F92425"/>
    <w:rsid w:val="051756C8"/>
    <w:rsid w:val="053A3164"/>
    <w:rsid w:val="056B064F"/>
    <w:rsid w:val="058014BF"/>
    <w:rsid w:val="05882122"/>
    <w:rsid w:val="058B6EA0"/>
    <w:rsid w:val="05A21435"/>
    <w:rsid w:val="05BE3D95"/>
    <w:rsid w:val="05C313AC"/>
    <w:rsid w:val="05CA098C"/>
    <w:rsid w:val="061B4D44"/>
    <w:rsid w:val="06222576"/>
    <w:rsid w:val="062747EF"/>
    <w:rsid w:val="063E42A4"/>
    <w:rsid w:val="065A3F7A"/>
    <w:rsid w:val="06654509"/>
    <w:rsid w:val="066B0BC2"/>
    <w:rsid w:val="06AB256C"/>
    <w:rsid w:val="06B37672"/>
    <w:rsid w:val="06EA5A5A"/>
    <w:rsid w:val="06F537E7"/>
    <w:rsid w:val="06FC4B75"/>
    <w:rsid w:val="07056611"/>
    <w:rsid w:val="070D6D82"/>
    <w:rsid w:val="070E48A8"/>
    <w:rsid w:val="07123728"/>
    <w:rsid w:val="071C5AD0"/>
    <w:rsid w:val="074D3623"/>
    <w:rsid w:val="075F6EB2"/>
    <w:rsid w:val="077566D6"/>
    <w:rsid w:val="07844B53"/>
    <w:rsid w:val="07846919"/>
    <w:rsid w:val="07895BA7"/>
    <w:rsid w:val="079923C4"/>
    <w:rsid w:val="07A019A5"/>
    <w:rsid w:val="07B16ADF"/>
    <w:rsid w:val="07CA6A21"/>
    <w:rsid w:val="07CD61B3"/>
    <w:rsid w:val="07D7113E"/>
    <w:rsid w:val="07DB0C2F"/>
    <w:rsid w:val="07DB47E0"/>
    <w:rsid w:val="08057A5A"/>
    <w:rsid w:val="081144B5"/>
    <w:rsid w:val="082D5236"/>
    <w:rsid w:val="08314CF2"/>
    <w:rsid w:val="08381BDD"/>
    <w:rsid w:val="083D71F3"/>
    <w:rsid w:val="085048C6"/>
    <w:rsid w:val="085D5AE7"/>
    <w:rsid w:val="086B2D03"/>
    <w:rsid w:val="088072D9"/>
    <w:rsid w:val="089356DD"/>
    <w:rsid w:val="08945E4C"/>
    <w:rsid w:val="089808CE"/>
    <w:rsid w:val="089D4136"/>
    <w:rsid w:val="089D7C92"/>
    <w:rsid w:val="08A454C4"/>
    <w:rsid w:val="08A47272"/>
    <w:rsid w:val="08C711B3"/>
    <w:rsid w:val="08EE04EE"/>
    <w:rsid w:val="08F85810"/>
    <w:rsid w:val="09022B52"/>
    <w:rsid w:val="090B44BE"/>
    <w:rsid w:val="09120680"/>
    <w:rsid w:val="091C11FF"/>
    <w:rsid w:val="091C4700"/>
    <w:rsid w:val="091F4B4B"/>
    <w:rsid w:val="092B34F0"/>
    <w:rsid w:val="0946657C"/>
    <w:rsid w:val="09540C99"/>
    <w:rsid w:val="0970184A"/>
    <w:rsid w:val="098826F0"/>
    <w:rsid w:val="099512B1"/>
    <w:rsid w:val="099E2789"/>
    <w:rsid w:val="09A83165"/>
    <w:rsid w:val="09A908B8"/>
    <w:rsid w:val="09B80052"/>
    <w:rsid w:val="09F63AFE"/>
    <w:rsid w:val="09FA3227"/>
    <w:rsid w:val="0A193C90"/>
    <w:rsid w:val="0A3C533C"/>
    <w:rsid w:val="0A456833"/>
    <w:rsid w:val="0A960E3D"/>
    <w:rsid w:val="0A990F8B"/>
    <w:rsid w:val="0AA374E8"/>
    <w:rsid w:val="0AA53386"/>
    <w:rsid w:val="0AAC240E"/>
    <w:rsid w:val="0ACB4485"/>
    <w:rsid w:val="0ACC6B48"/>
    <w:rsid w:val="0AD02E89"/>
    <w:rsid w:val="0AD57BB7"/>
    <w:rsid w:val="0ADD4CBE"/>
    <w:rsid w:val="0ADD6A6C"/>
    <w:rsid w:val="0AE222D4"/>
    <w:rsid w:val="0B0523A4"/>
    <w:rsid w:val="0B0B3459"/>
    <w:rsid w:val="0B2C27CD"/>
    <w:rsid w:val="0B4B40F9"/>
    <w:rsid w:val="0B542FDE"/>
    <w:rsid w:val="0B705B32"/>
    <w:rsid w:val="0B7C5866"/>
    <w:rsid w:val="0B7D7F39"/>
    <w:rsid w:val="0B8B2A81"/>
    <w:rsid w:val="0B8D2240"/>
    <w:rsid w:val="0B996E37"/>
    <w:rsid w:val="0BD240F7"/>
    <w:rsid w:val="0BE1258C"/>
    <w:rsid w:val="0BE81B6C"/>
    <w:rsid w:val="0BEF2EFA"/>
    <w:rsid w:val="0C0544CC"/>
    <w:rsid w:val="0C1069CD"/>
    <w:rsid w:val="0C126BE9"/>
    <w:rsid w:val="0C517711"/>
    <w:rsid w:val="0C566AD6"/>
    <w:rsid w:val="0C5C1C12"/>
    <w:rsid w:val="0C6C62F9"/>
    <w:rsid w:val="0C770F81"/>
    <w:rsid w:val="0C8A677F"/>
    <w:rsid w:val="0CAA0BCF"/>
    <w:rsid w:val="0CB8153E"/>
    <w:rsid w:val="0CC779D3"/>
    <w:rsid w:val="0CDA7707"/>
    <w:rsid w:val="0CEC743A"/>
    <w:rsid w:val="0D2D6A5E"/>
    <w:rsid w:val="0D436BFF"/>
    <w:rsid w:val="0D8535F3"/>
    <w:rsid w:val="0D9F625A"/>
    <w:rsid w:val="0DC67C8B"/>
    <w:rsid w:val="0DC857B1"/>
    <w:rsid w:val="0DE87C01"/>
    <w:rsid w:val="0DEF602F"/>
    <w:rsid w:val="0DF447F8"/>
    <w:rsid w:val="0DFA7DB2"/>
    <w:rsid w:val="0E0F1632"/>
    <w:rsid w:val="0E554C8F"/>
    <w:rsid w:val="0E567261"/>
    <w:rsid w:val="0E5E6115"/>
    <w:rsid w:val="0E8D2557"/>
    <w:rsid w:val="0E8F64FA"/>
    <w:rsid w:val="0EB71B96"/>
    <w:rsid w:val="0EF45918"/>
    <w:rsid w:val="0F020981"/>
    <w:rsid w:val="0F0E18EA"/>
    <w:rsid w:val="0F136C4B"/>
    <w:rsid w:val="0F230706"/>
    <w:rsid w:val="0F3B6457"/>
    <w:rsid w:val="0F411414"/>
    <w:rsid w:val="0F4E7F7D"/>
    <w:rsid w:val="0F6A2898"/>
    <w:rsid w:val="0F707EAE"/>
    <w:rsid w:val="0F8E47D8"/>
    <w:rsid w:val="0FCD3553"/>
    <w:rsid w:val="0FD91EF8"/>
    <w:rsid w:val="0FDC19E8"/>
    <w:rsid w:val="0FED59A3"/>
    <w:rsid w:val="10137E34"/>
    <w:rsid w:val="101F18D4"/>
    <w:rsid w:val="103A0940"/>
    <w:rsid w:val="103A226A"/>
    <w:rsid w:val="103D7805"/>
    <w:rsid w:val="10594DE6"/>
    <w:rsid w:val="10596B94"/>
    <w:rsid w:val="106D43EE"/>
    <w:rsid w:val="107B2FAF"/>
    <w:rsid w:val="108163E5"/>
    <w:rsid w:val="10863702"/>
    <w:rsid w:val="108A31F2"/>
    <w:rsid w:val="10A73DA4"/>
    <w:rsid w:val="10C124E5"/>
    <w:rsid w:val="10FD1C16"/>
    <w:rsid w:val="111E1B8C"/>
    <w:rsid w:val="112371A2"/>
    <w:rsid w:val="11357601"/>
    <w:rsid w:val="11545111"/>
    <w:rsid w:val="11555F29"/>
    <w:rsid w:val="11B85B3D"/>
    <w:rsid w:val="11C049F1"/>
    <w:rsid w:val="11C20769"/>
    <w:rsid w:val="11D95D2F"/>
    <w:rsid w:val="11DE2F5E"/>
    <w:rsid w:val="11EB4164"/>
    <w:rsid w:val="11EB5169"/>
    <w:rsid w:val="11F612D3"/>
    <w:rsid w:val="121C256F"/>
    <w:rsid w:val="12241424"/>
    <w:rsid w:val="123214FF"/>
    <w:rsid w:val="123C676E"/>
    <w:rsid w:val="124B4C03"/>
    <w:rsid w:val="12525F91"/>
    <w:rsid w:val="12681311"/>
    <w:rsid w:val="126F6B43"/>
    <w:rsid w:val="127759F8"/>
    <w:rsid w:val="129245E0"/>
    <w:rsid w:val="129D1659"/>
    <w:rsid w:val="12AE6362"/>
    <w:rsid w:val="12F47048"/>
    <w:rsid w:val="130354DD"/>
    <w:rsid w:val="13051255"/>
    <w:rsid w:val="131274CE"/>
    <w:rsid w:val="13141499"/>
    <w:rsid w:val="131C20FB"/>
    <w:rsid w:val="132711CC"/>
    <w:rsid w:val="13274D28"/>
    <w:rsid w:val="1331686B"/>
    <w:rsid w:val="135568F2"/>
    <w:rsid w:val="135F0966"/>
    <w:rsid w:val="136046DE"/>
    <w:rsid w:val="13877EBC"/>
    <w:rsid w:val="138B678C"/>
    <w:rsid w:val="13A02D2C"/>
    <w:rsid w:val="13B011C1"/>
    <w:rsid w:val="13C540FC"/>
    <w:rsid w:val="13FC61B5"/>
    <w:rsid w:val="140B464A"/>
    <w:rsid w:val="141247ED"/>
    <w:rsid w:val="141259D8"/>
    <w:rsid w:val="14131750"/>
    <w:rsid w:val="14144A94"/>
    <w:rsid w:val="14153E12"/>
    <w:rsid w:val="143376FC"/>
    <w:rsid w:val="1438100F"/>
    <w:rsid w:val="14397409"/>
    <w:rsid w:val="144855D7"/>
    <w:rsid w:val="145C30F7"/>
    <w:rsid w:val="14667AD2"/>
    <w:rsid w:val="148A7C64"/>
    <w:rsid w:val="149C34F4"/>
    <w:rsid w:val="14A8037D"/>
    <w:rsid w:val="14AE3227"/>
    <w:rsid w:val="14B561ED"/>
    <w:rsid w:val="14BE16BC"/>
    <w:rsid w:val="14C804A6"/>
    <w:rsid w:val="14CA0061"/>
    <w:rsid w:val="14DB226E"/>
    <w:rsid w:val="150C68CB"/>
    <w:rsid w:val="15121A08"/>
    <w:rsid w:val="151E215B"/>
    <w:rsid w:val="15512530"/>
    <w:rsid w:val="15910B7E"/>
    <w:rsid w:val="159266A5"/>
    <w:rsid w:val="15966195"/>
    <w:rsid w:val="15A5462A"/>
    <w:rsid w:val="15AE4C8C"/>
    <w:rsid w:val="15B12FCF"/>
    <w:rsid w:val="15BB209F"/>
    <w:rsid w:val="15CD54C7"/>
    <w:rsid w:val="15F1381F"/>
    <w:rsid w:val="15F15AC1"/>
    <w:rsid w:val="15F829AC"/>
    <w:rsid w:val="161812A0"/>
    <w:rsid w:val="162E2871"/>
    <w:rsid w:val="1635775C"/>
    <w:rsid w:val="164200CB"/>
    <w:rsid w:val="166B13D0"/>
    <w:rsid w:val="166C5148"/>
    <w:rsid w:val="16773C61"/>
    <w:rsid w:val="16783AEC"/>
    <w:rsid w:val="169E79F7"/>
    <w:rsid w:val="16A50D85"/>
    <w:rsid w:val="16D50F3F"/>
    <w:rsid w:val="16E64EFA"/>
    <w:rsid w:val="16F92E7F"/>
    <w:rsid w:val="172D2B29"/>
    <w:rsid w:val="1750136A"/>
    <w:rsid w:val="17552A6B"/>
    <w:rsid w:val="17626C76"/>
    <w:rsid w:val="17773DA4"/>
    <w:rsid w:val="17873256"/>
    <w:rsid w:val="179D1A5D"/>
    <w:rsid w:val="17A50911"/>
    <w:rsid w:val="17AA1A8B"/>
    <w:rsid w:val="17B90E2A"/>
    <w:rsid w:val="17C1746A"/>
    <w:rsid w:val="17C52D61"/>
    <w:rsid w:val="17D64F6F"/>
    <w:rsid w:val="17E07B9B"/>
    <w:rsid w:val="17E72CD8"/>
    <w:rsid w:val="17F65611"/>
    <w:rsid w:val="17FF6273"/>
    <w:rsid w:val="180970F2"/>
    <w:rsid w:val="182867A9"/>
    <w:rsid w:val="18381785"/>
    <w:rsid w:val="186C7681"/>
    <w:rsid w:val="18775EAF"/>
    <w:rsid w:val="189A2440"/>
    <w:rsid w:val="18A40754"/>
    <w:rsid w:val="18A706B9"/>
    <w:rsid w:val="18C80D5B"/>
    <w:rsid w:val="18CC437C"/>
    <w:rsid w:val="18D70F9E"/>
    <w:rsid w:val="18EF58AD"/>
    <w:rsid w:val="19202945"/>
    <w:rsid w:val="193B777F"/>
    <w:rsid w:val="19483C4A"/>
    <w:rsid w:val="19540841"/>
    <w:rsid w:val="19597C05"/>
    <w:rsid w:val="196F4257"/>
    <w:rsid w:val="197046D1"/>
    <w:rsid w:val="199D3F96"/>
    <w:rsid w:val="19A215AC"/>
    <w:rsid w:val="19BE215E"/>
    <w:rsid w:val="19C07B2F"/>
    <w:rsid w:val="19C37774"/>
    <w:rsid w:val="19D90D46"/>
    <w:rsid w:val="19EE0799"/>
    <w:rsid w:val="19F339F5"/>
    <w:rsid w:val="1A1862C4"/>
    <w:rsid w:val="1A3366A8"/>
    <w:rsid w:val="1A3411EE"/>
    <w:rsid w:val="1A4408B5"/>
    <w:rsid w:val="1A4E34E2"/>
    <w:rsid w:val="1A554870"/>
    <w:rsid w:val="1A7171D0"/>
    <w:rsid w:val="1A82318C"/>
    <w:rsid w:val="1AA43102"/>
    <w:rsid w:val="1AB437AE"/>
    <w:rsid w:val="1AE34745"/>
    <w:rsid w:val="1B03607B"/>
    <w:rsid w:val="1B041DF3"/>
    <w:rsid w:val="1B0D514B"/>
    <w:rsid w:val="1B0E43FD"/>
    <w:rsid w:val="1B124510"/>
    <w:rsid w:val="1B154000"/>
    <w:rsid w:val="1B184F4E"/>
    <w:rsid w:val="1B1A7F06"/>
    <w:rsid w:val="1B281F85"/>
    <w:rsid w:val="1B5C1C2F"/>
    <w:rsid w:val="1B7725C5"/>
    <w:rsid w:val="1B7927E1"/>
    <w:rsid w:val="1B882A24"/>
    <w:rsid w:val="1B89131B"/>
    <w:rsid w:val="1B9E5DA3"/>
    <w:rsid w:val="1BA17641"/>
    <w:rsid w:val="1BBE1FA1"/>
    <w:rsid w:val="1BC17CE4"/>
    <w:rsid w:val="1BD17F27"/>
    <w:rsid w:val="1BD87507"/>
    <w:rsid w:val="1BEA723A"/>
    <w:rsid w:val="1BF142A3"/>
    <w:rsid w:val="1C1E5DF5"/>
    <w:rsid w:val="1C5411A7"/>
    <w:rsid w:val="1C6C3736"/>
    <w:rsid w:val="1C9570D1"/>
    <w:rsid w:val="1C9658C0"/>
    <w:rsid w:val="1C984EE8"/>
    <w:rsid w:val="1CA61F02"/>
    <w:rsid w:val="1CAA0778"/>
    <w:rsid w:val="1CBF06C7"/>
    <w:rsid w:val="1CD203FA"/>
    <w:rsid w:val="1D0E6F59"/>
    <w:rsid w:val="1D152095"/>
    <w:rsid w:val="1D174F3D"/>
    <w:rsid w:val="1D445D2D"/>
    <w:rsid w:val="1D5C4168"/>
    <w:rsid w:val="1D7E40DE"/>
    <w:rsid w:val="1D921938"/>
    <w:rsid w:val="1D9E02DC"/>
    <w:rsid w:val="1DAB0863"/>
    <w:rsid w:val="1DC35F95"/>
    <w:rsid w:val="1DDC7057"/>
    <w:rsid w:val="1DE06B47"/>
    <w:rsid w:val="1E1265D5"/>
    <w:rsid w:val="1E162569"/>
    <w:rsid w:val="1E18008F"/>
    <w:rsid w:val="1E236A34"/>
    <w:rsid w:val="1E3173A3"/>
    <w:rsid w:val="1E3649B9"/>
    <w:rsid w:val="1E4470D6"/>
    <w:rsid w:val="1E686F82"/>
    <w:rsid w:val="1E6F3A27"/>
    <w:rsid w:val="1E7352C5"/>
    <w:rsid w:val="1E845724"/>
    <w:rsid w:val="1E870D71"/>
    <w:rsid w:val="1EB37DB8"/>
    <w:rsid w:val="1EC45B21"/>
    <w:rsid w:val="1EDC730E"/>
    <w:rsid w:val="1EF87EC0"/>
    <w:rsid w:val="1EFC27C7"/>
    <w:rsid w:val="1F1A7E37"/>
    <w:rsid w:val="1F204D21"/>
    <w:rsid w:val="1F2E2F7C"/>
    <w:rsid w:val="1F703EFB"/>
    <w:rsid w:val="1F720C23"/>
    <w:rsid w:val="1F7B3932"/>
    <w:rsid w:val="1F811C64"/>
    <w:rsid w:val="1F996FAD"/>
    <w:rsid w:val="1FA26029"/>
    <w:rsid w:val="1FAA6608"/>
    <w:rsid w:val="1FAF4A23"/>
    <w:rsid w:val="1FB262C1"/>
    <w:rsid w:val="1FBC6ED8"/>
    <w:rsid w:val="1FD53D5E"/>
    <w:rsid w:val="1FDE70B6"/>
    <w:rsid w:val="1FFC76D4"/>
    <w:rsid w:val="1FFE5062"/>
    <w:rsid w:val="20124993"/>
    <w:rsid w:val="201D38B2"/>
    <w:rsid w:val="20256A93"/>
    <w:rsid w:val="202F7912"/>
    <w:rsid w:val="2054789A"/>
    <w:rsid w:val="205B0707"/>
    <w:rsid w:val="208C6B12"/>
    <w:rsid w:val="20977E55"/>
    <w:rsid w:val="20A953AC"/>
    <w:rsid w:val="20AC2D10"/>
    <w:rsid w:val="20B2751A"/>
    <w:rsid w:val="20B83463"/>
    <w:rsid w:val="20BB11A5"/>
    <w:rsid w:val="20D858B3"/>
    <w:rsid w:val="20EE3329"/>
    <w:rsid w:val="20FB5A46"/>
    <w:rsid w:val="21222FD3"/>
    <w:rsid w:val="21257950"/>
    <w:rsid w:val="21274A8D"/>
    <w:rsid w:val="213B08EC"/>
    <w:rsid w:val="21423675"/>
    <w:rsid w:val="21442F49"/>
    <w:rsid w:val="216929AF"/>
    <w:rsid w:val="217001E2"/>
    <w:rsid w:val="217459EC"/>
    <w:rsid w:val="219263AA"/>
    <w:rsid w:val="21A460DD"/>
    <w:rsid w:val="21A734D8"/>
    <w:rsid w:val="21AB121A"/>
    <w:rsid w:val="21B32EAC"/>
    <w:rsid w:val="21D27798"/>
    <w:rsid w:val="21D94BA3"/>
    <w:rsid w:val="21D97B35"/>
    <w:rsid w:val="21E45026"/>
    <w:rsid w:val="21F77FBB"/>
    <w:rsid w:val="21FC7D50"/>
    <w:rsid w:val="22123047"/>
    <w:rsid w:val="22132E1C"/>
    <w:rsid w:val="22364F87"/>
    <w:rsid w:val="227F4BB4"/>
    <w:rsid w:val="22873A35"/>
    <w:rsid w:val="22902F40"/>
    <w:rsid w:val="22963C78"/>
    <w:rsid w:val="229E2B2D"/>
    <w:rsid w:val="22AB5A93"/>
    <w:rsid w:val="22AC2D12"/>
    <w:rsid w:val="22B660C8"/>
    <w:rsid w:val="22D14CB0"/>
    <w:rsid w:val="22D6753F"/>
    <w:rsid w:val="22FF181D"/>
    <w:rsid w:val="230706D2"/>
    <w:rsid w:val="23073B84"/>
    <w:rsid w:val="231352C9"/>
    <w:rsid w:val="233065B1"/>
    <w:rsid w:val="23333275"/>
    <w:rsid w:val="23337719"/>
    <w:rsid w:val="233C481F"/>
    <w:rsid w:val="234619DB"/>
    <w:rsid w:val="236478D2"/>
    <w:rsid w:val="237A0137"/>
    <w:rsid w:val="23825FAA"/>
    <w:rsid w:val="239301B8"/>
    <w:rsid w:val="23B87C1E"/>
    <w:rsid w:val="23C00DDE"/>
    <w:rsid w:val="23EB61A9"/>
    <w:rsid w:val="23FE7D27"/>
    <w:rsid w:val="24066BDB"/>
    <w:rsid w:val="242552B4"/>
    <w:rsid w:val="24294678"/>
    <w:rsid w:val="2432352D"/>
    <w:rsid w:val="2435301D"/>
    <w:rsid w:val="244F7C56"/>
    <w:rsid w:val="245711E5"/>
    <w:rsid w:val="246F29D3"/>
    <w:rsid w:val="247B1377"/>
    <w:rsid w:val="249D7540"/>
    <w:rsid w:val="24A361D8"/>
    <w:rsid w:val="24CE594B"/>
    <w:rsid w:val="24EC4023"/>
    <w:rsid w:val="252B4E89"/>
    <w:rsid w:val="254259F1"/>
    <w:rsid w:val="254B065A"/>
    <w:rsid w:val="255319AC"/>
    <w:rsid w:val="257D4C7B"/>
    <w:rsid w:val="258129BE"/>
    <w:rsid w:val="25837821"/>
    <w:rsid w:val="25A23638"/>
    <w:rsid w:val="25A77F4A"/>
    <w:rsid w:val="25AC5561"/>
    <w:rsid w:val="25B508B9"/>
    <w:rsid w:val="25B763DF"/>
    <w:rsid w:val="25C24D84"/>
    <w:rsid w:val="25C40AFC"/>
    <w:rsid w:val="25C805EC"/>
    <w:rsid w:val="25C91C6F"/>
    <w:rsid w:val="25DC4098"/>
    <w:rsid w:val="25E17ECF"/>
    <w:rsid w:val="25EA2F9C"/>
    <w:rsid w:val="25EC2454"/>
    <w:rsid w:val="25EF0DCD"/>
    <w:rsid w:val="260678C3"/>
    <w:rsid w:val="263920A0"/>
    <w:rsid w:val="263A5E5B"/>
    <w:rsid w:val="263B7010"/>
    <w:rsid w:val="263E265D"/>
    <w:rsid w:val="266D4CF0"/>
    <w:rsid w:val="267267AA"/>
    <w:rsid w:val="2674607E"/>
    <w:rsid w:val="267F67D1"/>
    <w:rsid w:val="268169ED"/>
    <w:rsid w:val="26A5092E"/>
    <w:rsid w:val="26A655C9"/>
    <w:rsid w:val="26B7240F"/>
    <w:rsid w:val="26C64400"/>
    <w:rsid w:val="26D4287A"/>
    <w:rsid w:val="26DB493C"/>
    <w:rsid w:val="26F337A9"/>
    <w:rsid w:val="27242053"/>
    <w:rsid w:val="272E26D1"/>
    <w:rsid w:val="27582E99"/>
    <w:rsid w:val="276C4FA7"/>
    <w:rsid w:val="27822A1D"/>
    <w:rsid w:val="27A27E15"/>
    <w:rsid w:val="27A91D58"/>
    <w:rsid w:val="27B32BD6"/>
    <w:rsid w:val="27C546B8"/>
    <w:rsid w:val="27C941A8"/>
    <w:rsid w:val="28002C20"/>
    <w:rsid w:val="285458BA"/>
    <w:rsid w:val="286C64BE"/>
    <w:rsid w:val="288D3427"/>
    <w:rsid w:val="288D5494"/>
    <w:rsid w:val="28902F18"/>
    <w:rsid w:val="28943FB7"/>
    <w:rsid w:val="28B02089"/>
    <w:rsid w:val="28B05368"/>
    <w:rsid w:val="28B22E8E"/>
    <w:rsid w:val="28B409B4"/>
    <w:rsid w:val="28B83DD5"/>
    <w:rsid w:val="28BC3D0D"/>
    <w:rsid w:val="28C2683A"/>
    <w:rsid w:val="28CA642A"/>
    <w:rsid w:val="28CC03F4"/>
    <w:rsid w:val="28E55011"/>
    <w:rsid w:val="28F61640"/>
    <w:rsid w:val="28FE4325"/>
    <w:rsid w:val="290A2CCA"/>
    <w:rsid w:val="2927562A"/>
    <w:rsid w:val="293E12C8"/>
    <w:rsid w:val="294361DC"/>
    <w:rsid w:val="29514455"/>
    <w:rsid w:val="29534671"/>
    <w:rsid w:val="29560760"/>
    <w:rsid w:val="29910CF5"/>
    <w:rsid w:val="29A44ECD"/>
    <w:rsid w:val="29A9603F"/>
    <w:rsid w:val="29B844D4"/>
    <w:rsid w:val="29BB5D72"/>
    <w:rsid w:val="29CB06AB"/>
    <w:rsid w:val="29D357B2"/>
    <w:rsid w:val="29D46E34"/>
    <w:rsid w:val="29D67050"/>
    <w:rsid w:val="29F15C38"/>
    <w:rsid w:val="2A05578E"/>
    <w:rsid w:val="2A241B69"/>
    <w:rsid w:val="2A460026"/>
    <w:rsid w:val="2A5749FC"/>
    <w:rsid w:val="2A5E21FC"/>
    <w:rsid w:val="2A6D34A8"/>
    <w:rsid w:val="2A827291"/>
    <w:rsid w:val="2AC82E3D"/>
    <w:rsid w:val="2ACA2711"/>
    <w:rsid w:val="2ADB2B70"/>
    <w:rsid w:val="2AE74CA7"/>
    <w:rsid w:val="2AF61758"/>
    <w:rsid w:val="2AFC4894"/>
    <w:rsid w:val="2B0A5FCD"/>
    <w:rsid w:val="2B253DEB"/>
    <w:rsid w:val="2B285689"/>
    <w:rsid w:val="2B43433A"/>
    <w:rsid w:val="2B4D50F0"/>
    <w:rsid w:val="2B634913"/>
    <w:rsid w:val="2B6568DD"/>
    <w:rsid w:val="2B6C5576"/>
    <w:rsid w:val="2B6D7540"/>
    <w:rsid w:val="2B724B56"/>
    <w:rsid w:val="2B786611"/>
    <w:rsid w:val="2B852ADC"/>
    <w:rsid w:val="2B975463"/>
    <w:rsid w:val="2B9B22FF"/>
    <w:rsid w:val="2BAA0794"/>
    <w:rsid w:val="2BAA2542"/>
    <w:rsid w:val="2BB67139"/>
    <w:rsid w:val="2BC74EA2"/>
    <w:rsid w:val="2BEA0B91"/>
    <w:rsid w:val="2BF043F9"/>
    <w:rsid w:val="2C161986"/>
    <w:rsid w:val="2C1B6F9C"/>
    <w:rsid w:val="2C1F4CDE"/>
    <w:rsid w:val="2C3758DA"/>
    <w:rsid w:val="2C534988"/>
    <w:rsid w:val="2C545A11"/>
    <w:rsid w:val="2C646B95"/>
    <w:rsid w:val="2C7C7A3B"/>
    <w:rsid w:val="2C7F577D"/>
    <w:rsid w:val="2C840FE5"/>
    <w:rsid w:val="2C8F4EED"/>
    <w:rsid w:val="2C974C49"/>
    <w:rsid w:val="2CC47634"/>
    <w:rsid w:val="2CD0422B"/>
    <w:rsid w:val="2CE87EAA"/>
    <w:rsid w:val="2CEB696E"/>
    <w:rsid w:val="2CF022BF"/>
    <w:rsid w:val="2CFA3055"/>
    <w:rsid w:val="2D047A30"/>
    <w:rsid w:val="2D1138FA"/>
    <w:rsid w:val="2D19172E"/>
    <w:rsid w:val="2D1E6D44"/>
    <w:rsid w:val="2D236108"/>
    <w:rsid w:val="2D460049"/>
    <w:rsid w:val="2D4A18E7"/>
    <w:rsid w:val="2D561F93"/>
    <w:rsid w:val="2D7339BD"/>
    <w:rsid w:val="2D8172D3"/>
    <w:rsid w:val="2D824B64"/>
    <w:rsid w:val="2DC076DD"/>
    <w:rsid w:val="2DC63E07"/>
    <w:rsid w:val="2DC76219"/>
    <w:rsid w:val="2DCC67A0"/>
    <w:rsid w:val="2E162111"/>
    <w:rsid w:val="2E2F2E63"/>
    <w:rsid w:val="2E60513A"/>
    <w:rsid w:val="2E6115DE"/>
    <w:rsid w:val="2E61338C"/>
    <w:rsid w:val="2E693FEF"/>
    <w:rsid w:val="2E725599"/>
    <w:rsid w:val="2E7C1A67"/>
    <w:rsid w:val="2E8150F8"/>
    <w:rsid w:val="2E996F2D"/>
    <w:rsid w:val="2E9A7ACB"/>
    <w:rsid w:val="2EA25C4E"/>
    <w:rsid w:val="2EBF4557"/>
    <w:rsid w:val="2ECD6C74"/>
    <w:rsid w:val="2EDC6EB7"/>
    <w:rsid w:val="2EE57703"/>
    <w:rsid w:val="2F070637"/>
    <w:rsid w:val="2F0B779C"/>
    <w:rsid w:val="2F0D52C2"/>
    <w:rsid w:val="2F176141"/>
    <w:rsid w:val="2F177EEF"/>
    <w:rsid w:val="2F1E302B"/>
    <w:rsid w:val="2F566C69"/>
    <w:rsid w:val="2F594063"/>
    <w:rsid w:val="2F5E78CC"/>
    <w:rsid w:val="2F61560E"/>
    <w:rsid w:val="2F715851"/>
    <w:rsid w:val="2F805A94"/>
    <w:rsid w:val="2F9B467C"/>
    <w:rsid w:val="2FAE299B"/>
    <w:rsid w:val="2FF87D20"/>
    <w:rsid w:val="2FFE4C0B"/>
    <w:rsid w:val="30112B90"/>
    <w:rsid w:val="302043F9"/>
    <w:rsid w:val="3034062C"/>
    <w:rsid w:val="30393E95"/>
    <w:rsid w:val="303A20E7"/>
    <w:rsid w:val="30684D7B"/>
    <w:rsid w:val="306C6018"/>
    <w:rsid w:val="308B0B94"/>
    <w:rsid w:val="30997DD7"/>
    <w:rsid w:val="30A27C8C"/>
    <w:rsid w:val="30BA4FD6"/>
    <w:rsid w:val="30C416F4"/>
    <w:rsid w:val="30ED7159"/>
    <w:rsid w:val="3112096E"/>
    <w:rsid w:val="311A687D"/>
    <w:rsid w:val="31264419"/>
    <w:rsid w:val="315F16D9"/>
    <w:rsid w:val="31603DCF"/>
    <w:rsid w:val="316E6827"/>
    <w:rsid w:val="31735A37"/>
    <w:rsid w:val="319C697D"/>
    <w:rsid w:val="31A51F93"/>
    <w:rsid w:val="31AB37CE"/>
    <w:rsid w:val="31AC0DC2"/>
    <w:rsid w:val="31BC4D7D"/>
    <w:rsid w:val="31EA18EB"/>
    <w:rsid w:val="32186458"/>
    <w:rsid w:val="3227669B"/>
    <w:rsid w:val="322862F8"/>
    <w:rsid w:val="322D595C"/>
    <w:rsid w:val="32333292"/>
    <w:rsid w:val="323E39E4"/>
    <w:rsid w:val="324200DA"/>
    <w:rsid w:val="32456B21"/>
    <w:rsid w:val="325B2637"/>
    <w:rsid w:val="32696CB3"/>
    <w:rsid w:val="326E25C1"/>
    <w:rsid w:val="32B90276"/>
    <w:rsid w:val="32BA306B"/>
    <w:rsid w:val="32BD2B5B"/>
    <w:rsid w:val="32D00AE0"/>
    <w:rsid w:val="32D3061D"/>
    <w:rsid w:val="32E47806"/>
    <w:rsid w:val="32E95C5F"/>
    <w:rsid w:val="32F32A21"/>
    <w:rsid w:val="330475E9"/>
    <w:rsid w:val="33150BE9"/>
    <w:rsid w:val="33184235"/>
    <w:rsid w:val="334141A4"/>
    <w:rsid w:val="334E3F9D"/>
    <w:rsid w:val="33596D28"/>
    <w:rsid w:val="335F5A1F"/>
    <w:rsid w:val="33617D86"/>
    <w:rsid w:val="336C3BFA"/>
    <w:rsid w:val="33C817B8"/>
    <w:rsid w:val="33E259E6"/>
    <w:rsid w:val="33E32A95"/>
    <w:rsid w:val="34030B44"/>
    <w:rsid w:val="340437F6"/>
    <w:rsid w:val="34232E92"/>
    <w:rsid w:val="342C311B"/>
    <w:rsid w:val="34346E4D"/>
    <w:rsid w:val="345D3677"/>
    <w:rsid w:val="34605E94"/>
    <w:rsid w:val="346239BA"/>
    <w:rsid w:val="346F257B"/>
    <w:rsid w:val="347831DE"/>
    <w:rsid w:val="34873421"/>
    <w:rsid w:val="34A9783B"/>
    <w:rsid w:val="34B8182C"/>
    <w:rsid w:val="34C0036D"/>
    <w:rsid w:val="34F82570"/>
    <w:rsid w:val="34F85328"/>
    <w:rsid w:val="3502519D"/>
    <w:rsid w:val="350F723F"/>
    <w:rsid w:val="351A6043"/>
    <w:rsid w:val="35204D95"/>
    <w:rsid w:val="35492DCC"/>
    <w:rsid w:val="354D6418"/>
    <w:rsid w:val="354E03E2"/>
    <w:rsid w:val="35521215"/>
    <w:rsid w:val="35551771"/>
    <w:rsid w:val="355C762B"/>
    <w:rsid w:val="355F614C"/>
    <w:rsid w:val="357F21C9"/>
    <w:rsid w:val="35C67F79"/>
    <w:rsid w:val="35CD7559"/>
    <w:rsid w:val="35D07049"/>
    <w:rsid w:val="35EB5C31"/>
    <w:rsid w:val="360016DD"/>
    <w:rsid w:val="36021CA3"/>
    <w:rsid w:val="360B1E2F"/>
    <w:rsid w:val="36294C3C"/>
    <w:rsid w:val="36381C83"/>
    <w:rsid w:val="36401AD9"/>
    <w:rsid w:val="36455341"/>
    <w:rsid w:val="3647730B"/>
    <w:rsid w:val="36525CB0"/>
    <w:rsid w:val="365B6913"/>
    <w:rsid w:val="36704443"/>
    <w:rsid w:val="367D0F7F"/>
    <w:rsid w:val="36914A2B"/>
    <w:rsid w:val="369E2CA4"/>
    <w:rsid w:val="36AA5AEC"/>
    <w:rsid w:val="36AA789A"/>
    <w:rsid w:val="36C50230"/>
    <w:rsid w:val="36C73FA8"/>
    <w:rsid w:val="36CF40E7"/>
    <w:rsid w:val="36EC3A0F"/>
    <w:rsid w:val="36F54FB9"/>
    <w:rsid w:val="36FB00F6"/>
    <w:rsid w:val="371116C7"/>
    <w:rsid w:val="37133692"/>
    <w:rsid w:val="371B2546"/>
    <w:rsid w:val="371D62BE"/>
    <w:rsid w:val="3724764D"/>
    <w:rsid w:val="372B2789"/>
    <w:rsid w:val="373F4037"/>
    <w:rsid w:val="374B6987"/>
    <w:rsid w:val="37533A8E"/>
    <w:rsid w:val="37623CD1"/>
    <w:rsid w:val="3764692A"/>
    <w:rsid w:val="3768578B"/>
    <w:rsid w:val="377111BB"/>
    <w:rsid w:val="379F0A81"/>
    <w:rsid w:val="37C2386A"/>
    <w:rsid w:val="37EA2644"/>
    <w:rsid w:val="37F848EE"/>
    <w:rsid w:val="37FA18E4"/>
    <w:rsid w:val="38082ACA"/>
    <w:rsid w:val="380F20AB"/>
    <w:rsid w:val="3814146F"/>
    <w:rsid w:val="38207E14"/>
    <w:rsid w:val="382513DD"/>
    <w:rsid w:val="382C4A0B"/>
    <w:rsid w:val="38454AF6"/>
    <w:rsid w:val="384A6C3F"/>
    <w:rsid w:val="38507FCD"/>
    <w:rsid w:val="38540514"/>
    <w:rsid w:val="387B504A"/>
    <w:rsid w:val="38B603BB"/>
    <w:rsid w:val="38C56C0D"/>
    <w:rsid w:val="38D83033"/>
    <w:rsid w:val="38F80D91"/>
    <w:rsid w:val="38F92413"/>
    <w:rsid w:val="390F455A"/>
    <w:rsid w:val="39205BF2"/>
    <w:rsid w:val="39555694"/>
    <w:rsid w:val="39671A73"/>
    <w:rsid w:val="397B107A"/>
    <w:rsid w:val="397E5FE3"/>
    <w:rsid w:val="3986639D"/>
    <w:rsid w:val="39A04C8F"/>
    <w:rsid w:val="39C173D5"/>
    <w:rsid w:val="39D03A68"/>
    <w:rsid w:val="39DA6378"/>
    <w:rsid w:val="39EE7A9E"/>
    <w:rsid w:val="3A2D4229"/>
    <w:rsid w:val="3A4F7367"/>
    <w:rsid w:val="3A543DA5"/>
    <w:rsid w:val="3A5E69D2"/>
    <w:rsid w:val="3A655FB2"/>
    <w:rsid w:val="3A687753"/>
    <w:rsid w:val="3A816B64"/>
    <w:rsid w:val="3A843D7E"/>
    <w:rsid w:val="3A8A3C6B"/>
    <w:rsid w:val="3A974261"/>
    <w:rsid w:val="3A977FAE"/>
    <w:rsid w:val="3A9B7C26"/>
    <w:rsid w:val="3AA4159E"/>
    <w:rsid w:val="3AB17449"/>
    <w:rsid w:val="3AD33C5B"/>
    <w:rsid w:val="3AFD443D"/>
    <w:rsid w:val="3B135A0E"/>
    <w:rsid w:val="3B141786"/>
    <w:rsid w:val="3B9A1C8B"/>
    <w:rsid w:val="3BA7366E"/>
    <w:rsid w:val="3BCC2061"/>
    <w:rsid w:val="3BD643C7"/>
    <w:rsid w:val="3BE70C49"/>
    <w:rsid w:val="3BFC2946"/>
    <w:rsid w:val="3C035F1A"/>
    <w:rsid w:val="3C093630"/>
    <w:rsid w:val="3C0B4937"/>
    <w:rsid w:val="3C1063F2"/>
    <w:rsid w:val="3C1732DC"/>
    <w:rsid w:val="3C1E4520"/>
    <w:rsid w:val="3C2F4917"/>
    <w:rsid w:val="3C2F4ACA"/>
    <w:rsid w:val="3C3F2833"/>
    <w:rsid w:val="3C5502A8"/>
    <w:rsid w:val="3C5A58BF"/>
    <w:rsid w:val="3C5C1637"/>
    <w:rsid w:val="3C5F2ED5"/>
    <w:rsid w:val="3C65673D"/>
    <w:rsid w:val="3C667DC0"/>
    <w:rsid w:val="3C8028CB"/>
    <w:rsid w:val="3C89259B"/>
    <w:rsid w:val="3C8D1071"/>
    <w:rsid w:val="3CA54D8C"/>
    <w:rsid w:val="3CB054DF"/>
    <w:rsid w:val="3CD92C87"/>
    <w:rsid w:val="3CE62073"/>
    <w:rsid w:val="3CEF4259"/>
    <w:rsid w:val="3D015D3A"/>
    <w:rsid w:val="3D0D46DF"/>
    <w:rsid w:val="3D1F2E41"/>
    <w:rsid w:val="3D257C7B"/>
    <w:rsid w:val="3D346110"/>
    <w:rsid w:val="3D4E0F7F"/>
    <w:rsid w:val="3D8250CD"/>
    <w:rsid w:val="3D85696B"/>
    <w:rsid w:val="3D8F1E8C"/>
    <w:rsid w:val="3D917517"/>
    <w:rsid w:val="3DA8208E"/>
    <w:rsid w:val="3DAD4B25"/>
    <w:rsid w:val="3DC15BF5"/>
    <w:rsid w:val="3DC70D32"/>
    <w:rsid w:val="3DDE0EDF"/>
    <w:rsid w:val="3DE21C94"/>
    <w:rsid w:val="3DE418E4"/>
    <w:rsid w:val="3DEE2762"/>
    <w:rsid w:val="3DF5589F"/>
    <w:rsid w:val="3DF604AE"/>
    <w:rsid w:val="3DFD29A6"/>
    <w:rsid w:val="3E034483"/>
    <w:rsid w:val="3E045AE2"/>
    <w:rsid w:val="3E0E6B7D"/>
    <w:rsid w:val="3E2D5039"/>
    <w:rsid w:val="3E3068D7"/>
    <w:rsid w:val="3E416D36"/>
    <w:rsid w:val="3E571818"/>
    <w:rsid w:val="3E614CE2"/>
    <w:rsid w:val="3E78202C"/>
    <w:rsid w:val="3E7925D6"/>
    <w:rsid w:val="3E802A97"/>
    <w:rsid w:val="3E8A2332"/>
    <w:rsid w:val="3E904E40"/>
    <w:rsid w:val="3E9C29F6"/>
    <w:rsid w:val="3E9F580B"/>
    <w:rsid w:val="3EDE4585"/>
    <w:rsid w:val="3EE766E7"/>
    <w:rsid w:val="3EE871B2"/>
    <w:rsid w:val="3EEC4607"/>
    <w:rsid w:val="3EFA5B88"/>
    <w:rsid w:val="3F11188E"/>
    <w:rsid w:val="3F2724C3"/>
    <w:rsid w:val="3F2D29D4"/>
    <w:rsid w:val="3F370BCB"/>
    <w:rsid w:val="3F566811"/>
    <w:rsid w:val="3F5B7984"/>
    <w:rsid w:val="3F7B1C63"/>
    <w:rsid w:val="3F802D74"/>
    <w:rsid w:val="3F827606"/>
    <w:rsid w:val="3F9520B5"/>
    <w:rsid w:val="3FA0183A"/>
    <w:rsid w:val="3FAF1A7E"/>
    <w:rsid w:val="3FC932BA"/>
    <w:rsid w:val="3FDA11F0"/>
    <w:rsid w:val="3FE12F9D"/>
    <w:rsid w:val="3FF974C4"/>
    <w:rsid w:val="3FFA2304"/>
    <w:rsid w:val="3FFA53EF"/>
    <w:rsid w:val="3FFD0A3B"/>
    <w:rsid w:val="40054535"/>
    <w:rsid w:val="40063D93"/>
    <w:rsid w:val="40175FA1"/>
    <w:rsid w:val="401F30A7"/>
    <w:rsid w:val="40291830"/>
    <w:rsid w:val="404B79F8"/>
    <w:rsid w:val="40510A2D"/>
    <w:rsid w:val="405E3BCF"/>
    <w:rsid w:val="40603B42"/>
    <w:rsid w:val="407654D0"/>
    <w:rsid w:val="407F67D3"/>
    <w:rsid w:val="408B6047"/>
    <w:rsid w:val="40B01F51"/>
    <w:rsid w:val="40B57568"/>
    <w:rsid w:val="40BA692C"/>
    <w:rsid w:val="40CF23D7"/>
    <w:rsid w:val="40D774DE"/>
    <w:rsid w:val="40F57374"/>
    <w:rsid w:val="410D2F00"/>
    <w:rsid w:val="410D73A4"/>
    <w:rsid w:val="4114603C"/>
    <w:rsid w:val="413466DE"/>
    <w:rsid w:val="41464524"/>
    <w:rsid w:val="415B010F"/>
    <w:rsid w:val="415B3C6E"/>
    <w:rsid w:val="415E7BFF"/>
    <w:rsid w:val="41885B91"/>
    <w:rsid w:val="41A2189A"/>
    <w:rsid w:val="41A24CB0"/>
    <w:rsid w:val="41AE46E3"/>
    <w:rsid w:val="41BD66D4"/>
    <w:rsid w:val="41C21F3C"/>
    <w:rsid w:val="41D03EE9"/>
    <w:rsid w:val="41E51C11"/>
    <w:rsid w:val="42002B7B"/>
    <w:rsid w:val="4203735D"/>
    <w:rsid w:val="42044303"/>
    <w:rsid w:val="420625A2"/>
    <w:rsid w:val="42084BCD"/>
    <w:rsid w:val="42671AEE"/>
    <w:rsid w:val="426D0166"/>
    <w:rsid w:val="42A47894"/>
    <w:rsid w:val="42AD499A"/>
    <w:rsid w:val="42AE426E"/>
    <w:rsid w:val="42C615B8"/>
    <w:rsid w:val="42E14644"/>
    <w:rsid w:val="4303280C"/>
    <w:rsid w:val="43086074"/>
    <w:rsid w:val="431A7B56"/>
    <w:rsid w:val="432033BE"/>
    <w:rsid w:val="433C7ACC"/>
    <w:rsid w:val="433F136A"/>
    <w:rsid w:val="434A043B"/>
    <w:rsid w:val="43790D20"/>
    <w:rsid w:val="43827BD5"/>
    <w:rsid w:val="43A833B4"/>
    <w:rsid w:val="43BF2BD7"/>
    <w:rsid w:val="43CA50D8"/>
    <w:rsid w:val="43D30430"/>
    <w:rsid w:val="43E3619A"/>
    <w:rsid w:val="43FE4D82"/>
    <w:rsid w:val="440F4264"/>
    <w:rsid w:val="443240AC"/>
    <w:rsid w:val="443C2B2F"/>
    <w:rsid w:val="444430DC"/>
    <w:rsid w:val="44450C02"/>
    <w:rsid w:val="44782D86"/>
    <w:rsid w:val="447A4D50"/>
    <w:rsid w:val="448B4867"/>
    <w:rsid w:val="44A75419"/>
    <w:rsid w:val="44B244EA"/>
    <w:rsid w:val="44C45FCB"/>
    <w:rsid w:val="44F867C4"/>
    <w:rsid w:val="450A1C21"/>
    <w:rsid w:val="452151CC"/>
    <w:rsid w:val="4541761C"/>
    <w:rsid w:val="45523B6B"/>
    <w:rsid w:val="455E1F7C"/>
    <w:rsid w:val="456301EE"/>
    <w:rsid w:val="45A55DFD"/>
    <w:rsid w:val="45FE550D"/>
    <w:rsid w:val="460C19D8"/>
    <w:rsid w:val="462211FB"/>
    <w:rsid w:val="462638EC"/>
    <w:rsid w:val="46380A1F"/>
    <w:rsid w:val="46396545"/>
    <w:rsid w:val="464A3349"/>
    <w:rsid w:val="465348A0"/>
    <w:rsid w:val="46535859"/>
    <w:rsid w:val="4659529A"/>
    <w:rsid w:val="4679192E"/>
    <w:rsid w:val="46900E15"/>
    <w:rsid w:val="469367CD"/>
    <w:rsid w:val="46C83D2F"/>
    <w:rsid w:val="46DB13AA"/>
    <w:rsid w:val="46DF70EC"/>
    <w:rsid w:val="46F61390"/>
    <w:rsid w:val="46FC6684"/>
    <w:rsid w:val="47057E81"/>
    <w:rsid w:val="47060B1D"/>
    <w:rsid w:val="471072A6"/>
    <w:rsid w:val="471274C2"/>
    <w:rsid w:val="47152B0E"/>
    <w:rsid w:val="47170634"/>
    <w:rsid w:val="47173184"/>
    <w:rsid w:val="47176886"/>
    <w:rsid w:val="47226FD9"/>
    <w:rsid w:val="47262F6D"/>
    <w:rsid w:val="4734568A"/>
    <w:rsid w:val="47605D7C"/>
    <w:rsid w:val="47A83982"/>
    <w:rsid w:val="47AF2F63"/>
    <w:rsid w:val="47CF7161"/>
    <w:rsid w:val="47F60B91"/>
    <w:rsid w:val="48270D4B"/>
    <w:rsid w:val="482C010F"/>
    <w:rsid w:val="487F2935"/>
    <w:rsid w:val="48816A33"/>
    <w:rsid w:val="48842EEC"/>
    <w:rsid w:val="488A0D40"/>
    <w:rsid w:val="489D2DBB"/>
    <w:rsid w:val="489E4A98"/>
    <w:rsid w:val="48A4239B"/>
    <w:rsid w:val="48BB1493"/>
    <w:rsid w:val="48C42A3E"/>
    <w:rsid w:val="48E96000"/>
    <w:rsid w:val="490270C2"/>
    <w:rsid w:val="49033566"/>
    <w:rsid w:val="4913307D"/>
    <w:rsid w:val="49374FBE"/>
    <w:rsid w:val="49486DAB"/>
    <w:rsid w:val="495723CC"/>
    <w:rsid w:val="4957740E"/>
    <w:rsid w:val="49784602"/>
    <w:rsid w:val="498B355B"/>
    <w:rsid w:val="499441BE"/>
    <w:rsid w:val="49A63EF1"/>
    <w:rsid w:val="49D92519"/>
    <w:rsid w:val="49F25388"/>
    <w:rsid w:val="49F44C5D"/>
    <w:rsid w:val="4A421E6C"/>
    <w:rsid w:val="4A534079"/>
    <w:rsid w:val="4A657908"/>
    <w:rsid w:val="4A6D4A0F"/>
    <w:rsid w:val="4A6F0787"/>
    <w:rsid w:val="4A742241"/>
    <w:rsid w:val="4A7B35D0"/>
    <w:rsid w:val="4A930919"/>
    <w:rsid w:val="4A9C0625"/>
    <w:rsid w:val="4AA448D5"/>
    <w:rsid w:val="4AA8710A"/>
    <w:rsid w:val="4AC07235"/>
    <w:rsid w:val="4AC52021"/>
    <w:rsid w:val="4AC5484B"/>
    <w:rsid w:val="4AD8457E"/>
    <w:rsid w:val="4AD93E52"/>
    <w:rsid w:val="4AE253FD"/>
    <w:rsid w:val="4B1F3C01"/>
    <w:rsid w:val="4B211352"/>
    <w:rsid w:val="4B2B0B52"/>
    <w:rsid w:val="4B3317B5"/>
    <w:rsid w:val="4B4475D2"/>
    <w:rsid w:val="4B59658C"/>
    <w:rsid w:val="4B663938"/>
    <w:rsid w:val="4B756271"/>
    <w:rsid w:val="4B95246F"/>
    <w:rsid w:val="4BB33A7C"/>
    <w:rsid w:val="4BB351BD"/>
    <w:rsid w:val="4BB5666E"/>
    <w:rsid w:val="4BBC605A"/>
    <w:rsid w:val="4BC66ACD"/>
    <w:rsid w:val="4BDE7972"/>
    <w:rsid w:val="4BE13907"/>
    <w:rsid w:val="4BE62CCB"/>
    <w:rsid w:val="4BFE6267"/>
    <w:rsid w:val="4C017B05"/>
    <w:rsid w:val="4C2A0E0A"/>
    <w:rsid w:val="4C325F10"/>
    <w:rsid w:val="4C891FD4"/>
    <w:rsid w:val="4CBD7ED0"/>
    <w:rsid w:val="4CC446E4"/>
    <w:rsid w:val="4CC72AFC"/>
    <w:rsid w:val="4CD3324F"/>
    <w:rsid w:val="4CE27936"/>
    <w:rsid w:val="4CEF795D"/>
    <w:rsid w:val="4CF84A64"/>
    <w:rsid w:val="4CFD207A"/>
    <w:rsid w:val="4D0E0101"/>
    <w:rsid w:val="4D203FBB"/>
    <w:rsid w:val="4D3B0EF1"/>
    <w:rsid w:val="4D69372C"/>
    <w:rsid w:val="4D706CF0"/>
    <w:rsid w:val="4D9D560B"/>
    <w:rsid w:val="4DAE7818"/>
    <w:rsid w:val="4DB90697"/>
    <w:rsid w:val="4DC10432"/>
    <w:rsid w:val="4DC42B98"/>
    <w:rsid w:val="4DD252B5"/>
    <w:rsid w:val="4DD33459"/>
    <w:rsid w:val="4DE17BEE"/>
    <w:rsid w:val="4DE51ADA"/>
    <w:rsid w:val="4DEF230B"/>
    <w:rsid w:val="4DF72F6D"/>
    <w:rsid w:val="4E1458CD"/>
    <w:rsid w:val="4E2D698F"/>
    <w:rsid w:val="4E312DF1"/>
    <w:rsid w:val="4E353A96"/>
    <w:rsid w:val="4E3F66C2"/>
    <w:rsid w:val="4E4A4EF7"/>
    <w:rsid w:val="4E670DAE"/>
    <w:rsid w:val="4E6C5709"/>
    <w:rsid w:val="4E712D20"/>
    <w:rsid w:val="4E726A98"/>
    <w:rsid w:val="4E9E788D"/>
    <w:rsid w:val="4EC33834"/>
    <w:rsid w:val="4ECA0682"/>
    <w:rsid w:val="4ECC61A8"/>
    <w:rsid w:val="4EF94AC3"/>
    <w:rsid w:val="4F0A4FFC"/>
    <w:rsid w:val="4F271630"/>
    <w:rsid w:val="4F5D5052"/>
    <w:rsid w:val="4F5F4176"/>
    <w:rsid w:val="4F8E537E"/>
    <w:rsid w:val="4F963A1F"/>
    <w:rsid w:val="4FBA06F6"/>
    <w:rsid w:val="4FC652ED"/>
    <w:rsid w:val="4FD07F1A"/>
    <w:rsid w:val="4FD55530"/>
    <w:rsid w:val="500C2504"/>
    <w:rsid w:val="50355FCF"/>
    <w:rsid w:val="50574197"/>
    <w:rsid w:val="506568B4"/>
    <w:rsid w:val="50812FC2"/>
    <w:rsid w:val="509429EC"/>
    <w:rsid w:val="50B11AF9"/>
    <w:rsid w:val="50EF2622"/>
    <w:rsid w:val="50F106AC"/>
    <w:rsid w:val="50F87728"/>
    <w:rsid w:val="510F333D"/>
    <w:rsid w:val="51167BAE"/>
    <w:rsid w:val="51200A2D"/>
    <w:rsid w:val="514209A3"/>
    <w:rsid w:val="51501CA0"/>
    <w:rsid w:val="51556929"/>
    <w:rsid w:val="5156444F"/>
    <w:rsid w:val="515E50B1"/>
    <w:rsid w:val="51644DBE"/>
    <w:rsid w:val="517D5E7F"/>
    <w:rsid w:val="51B573C7"/>
    <w:rsid w:val="51C404BD"/>
    <w:rsid w:val="51FD5492"/>
    <w:rsid w:val="520E2B94"/>
    <w:rsid w:val="521D51BC"/>
    <w:rsid w:val="5227549F"/>
    <w:rsid w:val="52392176"/>
    <w:rsid w:val="5253098E"/>
    <w:rsid w:val="525C3CE7"/>
    <w:rsid w:val="52884ADC"/>
    <w:rsid w:val="529945F3"/>
    <w:rsid w:val="529E3516"/>
    <w:rsid w:val="529E60AD"/>
    <w:rsid w:val="52A42CA8"/>
    <w:rsid w:val="52A82A88"/>
    <w:rsid w:val="52F201A7"/>
    <w:rsid w:val="52F5184E"/>
    <w:rsid w:val="52F67C97"/>
    <w:rsid w:val="532E5683"/>
    <w:rsid w:val="534C3D5B"/>
    <w:rsid w:val="5362207D"/>
    <w:rsid w:val="53722A3B"/>
    <w:rsid w:val="537806AC"/>
    <w:rsid w:val="539A4AC7"/>
    <w:rsid w:val="53CE29C2"/>
    <w:rsid w:val="53FA37B7"/>
    <w:rsid w:val="54181E8F"/>
    <w:rsid w:val="541C372E"/>
    <w:rsid w:val="54210D44"/>
    <w:rsid w:val="542B571F"/>
    <w:rsid w:val="54362F1B"/>
    <w:rsid w:val="54703A7A"/>
    <w:rsid w:val="54772DEC"/>
    <w:rsid w:val="547D1CF3"/>
    <w:rsid w:val="548D462B"/>
    <w:rsid w:val="54977258"/>
    <w:rsid w:val="54C07DA7"/>
    <w:rsid w:val="54C16083"/>
    <w:rsid w:val="54C97CAA"/>
    <w:rsid w:val="54D47B64"/>
    <w:rsid w:val="54DA5642"/>
    <w:rsid w:val="54DB3AC3"/>
    <w:rsid w:val="54DF0B0E"/>
    <w:rsid w:val="54E23F51"/>
    <w:rsid w:val="54E658DC"/>
    <w:rsid w:val="54F4122A"/>
    <w:rsid w:val="55036B16"/>
    <w:rsid w:val="55172147"/>
    <w:rsid w:val="5523289A"/>
    <w:rsid w:val="55287EB0"/>
    <w:rsid w:val="553A1DBE"/>
    <w:rsid w:val="553D1BAE"/>
    <w:rsid w:val="553E5926"/>
    <w:rsid w:val="55482300"/>
    <w:rsid w:val="554C3B9F"/>
    <w:rsid w:val="557D3636"/>
    <w:rsid w:val="558D64CB"/>
    <w:rsid w:val="559A7000"/>
    <w:rsid w:val="55C73B6D"/>
    <w:rsid w:val="55C951EF"/>
    <w:rsid w:val="55D537CD"/>
    <w:rsid w:val="55E93AE3"/>
    <w:rsid w:val="55F304BE"/>
    <w:rsid w:val="5604091D"/>
    <w:rsid w:val="56076563"/>
    <w:rsid w:val="560E70A6"/>
    <w:rsid w:val="561F7505"/>
    <w:rsid w:val="563A433F"/>
    <w:rsid w:val="56411F70"/>
    <w:rsid w:val="564927D4"/>
    <w:rsid w:val="565106D4"/>
    <w:rsid w:val="56574EF1"/>
    <w:rsid w:val="56837A94"/>
    <w:rsid w:val="56A93273"/>
    <w:rsid w:val="56BA7E85"/>
    <w:rsid w:val="56CA56C3"/>
    <w:rsid w:val="56E238AF"/>
    <w:rsid w:val="56E83D9B"/>
    <w:rsid w:val="57183488"/>
    <w:rsid w:val="571A1A7B"/>
    <w:rsid w:val="57430FD1"/>
    <w:rsid w:val="57482A8C"/>
    <w:rsid w:val="574F663D"/>
    <w:rsid w:val="57631674"/>
    <w:rsid w:val="577A3C15"/>
    <w:rsid w:val="577D2735"/>
    <w:rsid w:val="579334BA"/>
    <w:rsid w:val="57E63DAD"/>
    <w:rsid w:val="57EE53E1"/>
    <w:rsid w:val="57F347A6"/>
    <w:rsid w:val="57F563D4"/>
    <w:rsid w:val="57F624E8"/>
    <w:rsid w:val="58003366"/>
    <w:rsid w:val="5821437D"/>
    <w:rsid w:val="582901C7"/>
    <w:rsid w:val="584E29FC"/>
    <w:rsid w:val="585B234B"/>
    <w:rsid w:val="58733B38"/>
    <w:rsid w:val="587873A1"/>
    <w:rsid w:val="587B479B"/>
    <w:rsid w:val="58920462"/>
    <w:rsid w:val="58975A79"/>
    <w:rsid w:val="58B63CCA"/>
    <w:rsid w:val="58B959EF"/>
    <w:rsid w:val="58D565A1"/>
    <w:rsid w:val="58F94086"/>
    <w:rsid w:val="591B0458"/>
    <w:rsid w:val="591F1435"/>
    <w:rsid w:val="59345076"/>
    <w:rsid w:val="59351B2D"/>
    <w:rsid w:val="59360232"/>
    <w:rsid w:val="594D6137"/>
    <w:rsid w:val="59514684"/>
    <w:rsid w:val="5966544B"/>
    <w:rsid w:val="5967369D"/>
    <w:rsid w:val="59684D1F"/>
    <w:rsid w:val="596E1AC6"/>
    <w:rsid w:val="59725B9E"/>
    <w:rsid w:val="59796F2C"/>
    <w:rsid w:val="59850085"/>
    <w:rsid w:val="59C31A73"/>
    <w:rsid w:val="59E94913"/>
    <w:rsid w:val="5A054C64"/>
    <w:rsid w:val="5A186745"/>
    <w:rsid w:val="5A295067"/>
    <w:rsid w:val="5A2F1CE1"/>
    <w:rsid w:val="5A4412E8"/>
    <w:rsid w:val="5A4E660B"/>
    <w:rsid w:val="5A4F7C8D"/>
    <w:rsid w:val="5A6373D1"/>
    <w:rsid w:val="5A680816"/>
    <w:rsid w:val="5A706581"/>
    <w:rsid w:val="5A8262B5"/>
    <w:rsid w:val="5A83034D"/>
    <w:rsid w:val="5AA0484E"/>
    <w:rsid w:val="5AA601F5"/>
    <w:rsid w:val="5AAB1367"/>
    <w:rsid w:val="5AE44879"/>
    <w:rsid w:val="5AF251E8"/>
    <w:rsid w:val="5B013D9A"/>
    <w:rsid w:val="5B24111A"/>
    <w:rsid w:val="5B3255E5"/>
    <w:rsid w:val="5B5419FF"/>
    <w:rsid w:val="5B7976B8"/>
    <w:rsid w:val="5B8F6EDB"/>
    <w:rsid w:val="5BA069F2"/>
    <w:rsid w:val="5BD3501A"/>
    <w:rsid w:val="5BE82147"/>
    <w:rsid w:val="5BE96A18"/>
    <w:rsid w:val="5BF3746A"/>
    <w:rsid w:val="5C0304F1"/>
    <w:rsid w:val="5C076D26"/>
    <w:rsid w:val="5C151532"/>
    <w:rsid w:val="5C164F06"/>
    <w:rsid w:val="5C2C131F"/>
    <w:rsid w:val="5C425CFC"/>
    <w:rsid w:val="5C6519EA"/>
    <w:rsid w:val="5C71038F"/>
    <w:rsid w:val="5C89392A"/>
    <w:rsid w:val="5C9D30FF"/>
    <w:rsid w:val="5C9D73D6"/>
    <w:rsid w:val="5CA0728B"/>
    <w:rsid w:val="5CAC6214"/>
    <w:rsid w:val="5CC901CB"/>
    <w:rsid w:val="5CD85DEB"/>
    <w:rsid w:val="5CE43D28"/>
    <w:rsid w:val="5CE62F49"/>
    <w:rsid w:val="5CE80A78"/>
    <w:rsid w:val="5CF127EB"/>
    <w:rsid w:val="5CF25EAD"/>
    <w:rsid w:val="5CF54B1C"/>
    <w:rsid w:val="5D015BB7"/>
    <w:rsid w:val="5D0C00B7"/>
    <w:rsid w:val="5D33100E"/>
    <w:rsid w:val="5D333896"/>
    <w:rsid w:val="5D3F5111"/>
    <w:rsid w:val="5D8D11F8"/>
    <w:rsid w:val="5DBB3FB7"/>
    <w:rsid w:val="5DC15346"/>
    <w:rsid w:val="5DCB1D21"/>
    <w:rsid w:val="5DE0757A"/>
    <w:rsid w:val="5E115985"/>
    <w:rsid w:val="5E592488"/>
    <w:rsid w:val="5E7D74BF"/>
    <w:rsid w:val="5E7F3237"/>
    <w:rsid w:val="5E8545C5"/>
    <w:rsid w:val="5EA507C4"/>
    <w:rsid w:val="5EA63358"/>
    <w:rsid w:val="5EAB402C"/>
    <w:rsid w:val="5F074FDA"/>
    <w:rsid w:val="5F3A0F0C"/>
    <w:rsid w:val="5F3C2ED6"/>
    <w:rsid w:val="5F3C4C84"/>
    <w:rsid w:val="5F4A77E2"/>
    <w:rsid w:val="5F612207"/>
    <w:rsid w:val="5F646803"/>
    <w:rsid w:val="5F6D308F"/>
    <w:rsid w:val="5F700DD2"/>
    <w:rsid w:val="5F795ED8"/>
    <w:rsid w:val="5F88611B"/>
    <w:rsid w:val="5FA016B7"/>
    <w:rsid w:val="5FA07D52"/>
    <w:rsid w:val="5FAA42E4"/>
    <w:rsid w:val="5FAC2886"/>
    <w:rsid w:val="5FE61094"/>
    <w:rsid w:val="5FEE4944"/>
    <w:rsid w:val="600D6620"/>
    <w:rsid w:val="60487659"/>
    <w:rsid w:val="606314D1"/>
    <w:rsid w:val="60675D31"/>
    <w:rsid w:val="606D714B"/>
    <w:rsid w:val="607A0411"/>
    <w:rsid w:val="607B7A2E"/>
    <w:rsid w:val="607C4315"/>
    <w:rsid w:val="607C7302"/>
    <w:rsid w:val="60996106"/>
    <w:rsid w:val="60A24FBB"/>
    <w:rsid w:val="60D64E38"/>
    <w:rsid w:val="60DA0C1D"/>
    <w:rsid w:val="60E20C4E"/>
    <w:rsid w:val="61190980"/>
    <w:rsid w:val="61247F56"/>
    <w:rsid w:val="612B51A7"/>
    <w:rsid w:val="61330309"/>
    <w:rsid w:val="613445FC"/>
    <w:rsid w:val="6138591F"/>
    <w:rsid w:val="614E0C9F"/>
    <w:rsid w:val="615603CA"/>
    <w:rsid w:val="61656047"/>
    <w:rsid w:val="618F19E3"/>
    <w:rsid w:val="618F621F"/>
    <w:rsid w:val="61AD3C17"/>
    <w:rsid w:val="61BB512B"/>
    <w:rsid w:val="61C64CD9"/>
    <w:rsid w:val="61CE3B8D"/>
    <w:rsid w:val="61E810F3"/>
    <w:rsid w:val="620121B5"/>
    <w:rsid w:val="6209259E"/>
    <w:rsid w:val="62141908"/>
    <w:rsid w:val="621C0D9D"/>
    <w:rsid w:val="622814F0"/>
    <w:rsid w:val="622D4D58"/>
    <w:rsid w:val="623E51B7"/>
    <w:rsid w:val="62514EEA"/>
    <w:rsid w:val="62586279"/>
    <w:rsid w:val="627477C8"/>
    <w:rsid w:val="62946B85"/>
    <w:rsid w:val="62A80882"/>
    <w:rsid w:val="62B234A0"/>
    <w:rsid w:val="62B45479"/>
    <w:rsid w:val="62BD59E7"/>
    <w:rsid w:val="62DB398B"/>
    <w:rsid w:val="62DD22DA"/>
    <w:rsid w:val="62E47B0C"/>
    <w:rsid w:val="63284D3B"/>
    <w:rsid w:val="63293771"/>
    <w:rsid w:val="633013C5"/>
    <w:rsid w:val="63433366"/>
    <w:rsid w:val="635307EE"/>
    <w:rsid w:val="637B1AF3"/>
    <w:rsid w:val="637D5B70"/>
    <w:rsid w:val="63807A43"/>
    <w:rsid w:val="638E5CCA"/>
    <w:rsid w:val="63B3128D"/>
    <w:rsid w:val="63B868A3"/>
    <w:rsid w:val="63B958D9"/>
    <w:rsid w:val="63BE20DB"/>
    <w:rsid w:val="63CB65D6"/>
    <w:rsid w:val="63DE27AE"/>
    <w:rsid w:val="63F27673"/>
    <w:rsid w:val="63FA61A4"/>
    <w:rsid w:val="64124205"/>
    <w:rsid w:val="64153CF6"/>
    <w:rsid w:val="64216B3E"/>
    <w:rsid w:val="643979E4"/>
    <w:rsid w:val="643E2F1B"/>
    <w:rsid w:val="644847A3"/>
    <w:rsid w:val="64591E34"/>
    <w:rsid w:val="64615D18"/>
    <w:rsid w:val="647E7AED"/>
    <w:rsid w:val="649B069F"/>
    <w:rsid w:val="64B145FA"/>
    <w:rsid w:val="64B259E8"/>
    <w:rsid w:val="64E8140A"/>
    <w:rsid w:val="65277AC0"/>
    <w:rsid w:val="652A557F"/>
    <w:rsid w:val="653603C7"/>
    <w:rsid w:val="653B572C"/>
    <w:rsid w:val="654C3747"/>
    <w:rsid w:val="655645C6"/>
    <w:rsid w:val="656B0071"/>
    <w:rsid w:val="658B0713"/>
    <w:rsid w:val="658E3D60"/>
    <w:rsid w:val="65956E9C"/>
    <w:rsid w:val="659A13EE"/>
    <w:rsid w:val="65AF7327"/>
    <w:rsid w:val="65CE6852"/>
    <w:rsid w:val="65E671BD"/>
    <w:rsid w:val="65EB7404"/>
    <w:rsid w:val="65F30067"/>
    <w:rsid w:val="660F30F2"/>
    <w:rsid w:val="661E3335"/>
    <w:rsid w:val="66320B8F"/>
    <w:rsid w:val="6633410B"/>
    <w:rsid w:val="663366B5"/>
    <w:rsid w:val="663A7A43"/>
    <w:rsid w:val="664D397F"/>
    <w:rsid w:val="664D7777"/>
    <w:rsid w:val="665653C5"/>
    <w:rsid w:val="6663343E"/>
    <w:rsid w:val="666845B1"/>
    <w:rsid w:val="6686712D"/>
    <w:rsid w:val="6692787F"/>
    <w:rsid w:val="66B43C9A"/>
    <w:rsid w:val="66C0263F"/>
    <w:rsid w:val="66CA526B"/>
    <w:rsid w:val="66CC2D91"/>
    <w:rsid w:val="66DE4873"/>
    <w:rsid w:val="66EA1469"/>
    <w:rsid w:val="66F04D16"/>
    <w:rsid w:val="66F61BAB"/>
    <w:rsid w:val="67002A3B"/>
    <w:rsid w:val="6723497B"/>
    <w:rsid w:val="67332E10"/>
    <w:rsid w:val="67340937"/>
    <w:rsid w:val="676E3E49"/>
    <w:rsid w:val="677B47B7"/>
    <w:rsid w:val="6787315C"/>
    <w:rsid w:val="678F3DBF"/>
    <w:rsid w:val="67A309B0"/>
    <w:rsid w:val="67AD63A4"/>
    <w:rsid w:val="67BD092C"/>
    <w:rsid w:val="67DF08A2"/>
    <w:rsid w:val="68282249"/>
    <w:rsid w:val="68356C86"/>
    <w:rsid w:val="688F22C8"/>
    <w:rsid w:val="68BB5FE1"/>
    <w:rsid w:val="68C0149A"/>
    <w:rsid w:val="68D26659"/>
    <w:rsid w:val="68D45F2D"/>
    <w:rsid w:val="68F16ADF"/>
    <w:rsid w:val="69117181"/>
    <w:rsid w:val="692F585A"/>
    <w:rsid w:val="6949691B"/>
    <w:rsid w:val="695122CE"/>
    <w:rsid w:val="695B03FD"/>
    <w:rsid w:val="69635AFC"/>
    <w:rsid w:val="6976016E"/>
    <w:rsid w:val="69781504"/>
    <w:rsid w:val="69807E63"/>
    <w:rsid w:val="698C2D16"/>
    <w:rsid w:val="69931944"/>
    <w:rsid w:val="69A60F3C"/>
    <w:rsid w:val="69B43ABA"/>
    <w:rsid w:val="69BA15C7"/>
    <w:rsid w:val="69E7734D"/>
    <w:rsid w:val="69FC1E52"/>
    <w:rsid w:val="69FE68C7"/>
    <w:rsid w:val="6A077C02"/>
    <w:rsid w:val="6A097E59"/>
    <w:rsid w:val="6A1862EE"/>
    <w:rsid w:val="6A192549"/>
    <w:rsid w:val="6A294057"/>
    <w:rsid w:val="6A2958D6"/>
    <w:rsid w:val="6A38073E"/>
    <w:rsid w:val="6A49294B"/>
    <w:rsid w:val="6A521800"/>
    <w:rsid w:val="6A611A43"/>
    <w:rsid w:val="6A681023"/>
    <w:rsid w:val="6A865F51"/>
    <w:rsid w:val="6AA803E7"/>
    <w:rsid w:val="6AAD2EDA"/>
    <w:rsid w:val="6ACB0453"/>
    <w:rsid w:val="6AEA5EDC"/>
    <w:rsid w:val="6AEB1671"/>
    <w:rsid w:val="6AEB755E"/>
    <w:rsid w:val="6AF164A8"/>
    <w:rsid w:val="6B1C1E0E"/>
    <w:rsid w:val="6B2C1649"/>
    <w:rsid w:val="6B2D401B"/>
    <w:rsid w:val="6B2E1869"/>
    <w:rsid w:val="6B463C1C"/>
    <w:rsid w:val="6B601CFA"/>
    <w:rsid w:val="6B79100E"/>
    <w:rsid w:val="6B807383"/>
    <w:rsid w:val="6B930322"/>
    <w:rsid w:val="6B9876E6"/>
    <w:rsid w:val="6BB562F5"/>
    <w:rsid w:val="6BD34BC2"/>
    <w:rsid w:val="6BDF3567"/>
    <w:rsid w:val="6BEE37AA"/>
    <w:rsid w:val="6C5042C3"/>
    <w:rsid w:val="6C6C46CF"/>
    <w:rsid w:val="6C706D77"/>
    <w:rsid w:val="6C731F01"/>
    <w:rsid w:val="6C8E0AE9"/>
    <w:rsid w:val="6C9C3206"/>
    <w:rsid w:val="6CA9147F"/>
    <w:rsid w:val="6CB822FD"/>
    <w:rsid w:val="6CCD7863"/>
    <w:rsid w:val="6CF070AE"/>
    <w:rsid w:val="6D1C7EA3"/>
    <w:rsid w:val="6D341690"/>
    <w:rsid w:val="6D373473"/>
    <w:rsid w:val="6D4146BF"/>
    <w:rsid w:val="6D4630B0"/>
    <w:rsid w:val="6D54763D"/>
    <w:rsid w:val="6D673814"/>
    <w:rsid w:val="6D7221B9"/>
    <w:rsid w:val="6D7E0B5E"/>
    <w:rsid w:val="6D997745"/>
    <w:rsid w:val="6DB60126"/>
    <w:rsid w:val="6DB602F7"/>
    <w:rsid w:val="6DBD1011"/>
    <w:rsid w:val="6DD8026E"/>
    <w:rsid w:val="6DE36C79"/>
    <w:rsid w:val="6DF03E31"/>
    <w:rsid w:val="6DFD5F26"/>
    <w:rsid w:val="6DFF3A4C"/>
    <w:rsid w:val="6E1B63AC"/>
    <w:rsid w:val="6E696B37"/>
    <w:rsid w:val="6E745C57"/>
    <w:rsid w:val="6E996E4B"/>
    <w:rsid w:val="6EA42846"/>
    <w:rsid w:val="6EC12DC3"/>
    <w:rsid w:val="6EEF60FD"/>
    <w:rsid w:val="6EFE46BB"/>
    <w:rsid w:val="6F0155A2"/>
    <w:rsid w:val="6F20674B"/>
    <w:rsid w:val="6F2F210F"/>
    <w:rsid w:val="6F394D3C"/>
    <w:rsid w:val="6F6049BF"/>
    <w:rsid w:val="6F7264A0"/>
    <w:rsid w:val="6F764ECD"/>
    <w:rsid w:val="6F9044C3"/>
    <w:rsid w:val="6F925F92"/>
    <w:rsid w:val="6F967C1E"/>
    <w:rsid w:val="6FA348AB"/>
    <w:rsid w:val="6FC0720B"/>
    <w:rsid w:val="6FCA1E38"/>
    <w:rsid w:val="6FEC0000"/>
    <w:rsid w:val="6FF03D41"/>
    <w:rsid w:val="6FFE1AE2"/>
    <w:rsid w:val="701113A9"/>
    <w:rsid w:val="701806DC"/>
    <w:rsid w:val="70251764"/>
    <w:rsid w:val="703419A7"/>
    <w:rsid w:val="70433998"/>
    <w:rsid w:val="70447E3C"/>
    <w:rsid w:val="705636CC"/>
    <w:rsid w:val="705838E8"/>
    <w:rsid w:val="705A140E"/>
    <w:rsid w:val="70626515"/>
    <w:rsid w:val="70757E8B"/>
    <w:rsid w:val="707D2EED"/>
    <w:rsid w:val="70860455"/>
    <w:rsid w:val="70926DFA"/>
    <w:rsid w:val="70A703CB"/>
    <w:rsid w:val="70A97C9F"/>
    <w:rsid w:val="70C364EC"/>
    <w:rsid w:val="70D54A2C"/>
    <w:rsid w:val="70DF1913"/>
    <w:rsid w:val="70F71913"/>
    <w:rsid w:val="70FF2DCA"/>
    <w:rsid w:val="71117E32"/>
    <w:rsid w:val="711209D1"/>
    <w:rsid w:val="71211781"/>
    <w:rsid w:val="712A5A10"/>
    <w:rsid w:val="71520337"/>
    <w:rsid w:val="716E2F8A"/>
    <w:rsid w:val="717B788E"/>
    <w:rsid w:val="71801AB8"/>
    <w:rsid w:val="71924BD7"/>
    <w:rsid w:val="71A32AFB"/>
    <w:rsid w:val="71AF12E6"/>
    <w:rsid w:val="71B12624"/>
    <w:rsid w:val="71B30B97"/>
    <w:rsid w:val="71B51BD9"/>
    <w:rsid w:val="71BD61D2"/>
    <w:rsid w:val="71F46A46"/>
    <w:rsid w:val="72005FE5"/>
    <w:rsid w:val="72282CA4"/>
    <w:rsid w:val="72442376"/>
    <w:rsid w:val="7258372B"/>
    <w:rsid w:val="7296248F"/>
    <w:rsid w:val="72AF5315"/>
    <w:rsid w:val="72B50B7E"/>
    <w:rsid w:val="72C47013"/>
    <w:rsid w:val="72C76B03"/>
    <w:rsid w:val="72CC70E6"/>
    <w:rsid w:val="72D57472"/>
    <w:rsid w:val="72FC49FE"/>
    <w:rsid w:val="73133AF6"/>
    <w:rsid w:val="731F082D"/>
    <w:rsid w:val="733545E3"/>
    <w:rsid w:val="73397A01"/>
    <w:rsid w:val="73441F01"/>
    <w:rsid w:val="73520AC2"/>
    <w:rsid w:val="737E3665"/>
    <w:rsid w:val="739A54A6"/>
    <w:rsid w:val="73A330CC"/>
    <w:rsid w:val="73B92BFD"/>
    <w:rsid w:val="73BB7039"/>
    <w:rsid w:val="73CF5C6F"/>
    <w:rsid w:val="73DD4830"/>
    <w:rsid w:val="73F9194C"/>
    <w:rsid w:val="73F92CEC"/>
    <w:rsid w:val="73FB4CB6"/>
    <w:rsid w:val="74086CFF"/>
    <w:rsid w:val="740B75F5"/>
    <w:rsid w:val="741915E0"/>
    <w:rsid w:val="742873A2"/>
    <w:rsid w:val="743B3304"/>
    <w:rsid w:val="743C7867"/>
    <w:rsid w:val="74427A1C"/>
    <w:rsid w:val="746740F9"/>
    <w:rsid w:val="746E5488"/>
    <w:rsid w:val="748A428C"/>
    <w:rsid w:val="749018A2"/>
    <w:rsid w:val="749B2518"/>
    <w:rsid w:val="74AA2238"/>
    <w:rsid w:val="74B9247B"/>
    <w:rsid w:val="74BB2697"/>
    <w:rsid w:val="74C432FA"/>
    <w:rsid w:val="74ED2D52"/>
    <w:rsid w:val="75004DE5"/>
    <w:rsid w:val="750758DC"/>
    <w:rsid w:val="751029E3"/>
    <w:rsid w:val="751B470E"/>
    <w:rsid w:val="751F6782"/>
    <w:rsid w:val="75215851"/>
    <w:rsid w:val="753352D6"/>
    <w:rsid w:val="75377F70"/>
    <w:rsid w:val="75397EDA"/>
    <w:rsid w:val="753D4E5A"/>
    <w:rsid w:val="75404290"/>
    <w:rsid w:val="755F4421"/>
    <w:rsid w:val="75790588"/>
    <w:rsid w:val="758058F9"/>
    <w:rsid w:val="758B02BC"/>
    <w:rsid w:val="75932CCC"/>
    <w:rsid w:val="75AB270C"/>
    <w:rsid w:val="75CB4B5C"/>
    <w:rsid w:val="75D532E5"/>
    <w:rsid w:val="75ED2A33"/>
    <w:rsid w:val="76040FE2"/>
    <w:rsid w:val="762A3631"/>
    <w:rsid w:val="76315C94"/>
    <w:rsid w:val="764566BC"/>
    <w:rsid w:val="764A7A65"/>
    <w:rsid w:val="76544B51"/>
    <w:rsid w:val="765E777E"/>
    <w:rsid w:val="76674F2A"/>
    <w:rsid w:val="766A7ED1"/>
    <w:rsid w:val="767E397C"/>
    <w:rsid w:val="76CF2CE1"/>
    <w:rsid w:val="76E00193"/>
    <w:rsid w:val="76EC2FDC"/>
    <w:rsid w:val="77415486"/>
    <w:rsid w:val="77550B81"/>
    <w:rsid w:val="775D3592"/>
    <w:rsid w:val="776772EE"/>
    <w:rsid w:val="77685E54"/>
    <w:rsid w:val="7797530A"/>
    <w:rsid w:val="779A47E6"/>
    <w:rsid w:val="779C055E"/>
    <w:rsid w:val="77B22A41"/>
    <w:rsid w:val="77B27D81"/>
    <w:rsid w:val="77E15F71"/>
    <w:rsid w:val="77F739E6"/>
    <w:rsid w:val="77F75794"/>
    <w:rsid w:val="78006D3F"/>
    <w:rsid w:val="780879A1"/>
    <w:rsid w:val="780D4FB8"/>
    <w:rsid w:val="78280044"/>
    <w:rsid w:val="78454752"/>
    <w:rsid w:val="78482494"/>
    <w:rsid w:val="78487104"/>
    <w:rsid w:val="786F7054"/>
    <w:rsid w:val="78743289"/>
    <w:rsid w:val="78761059"/>
    <w:rsid w:val="78857244"/>
    <w:rsid w:val="789A1F54"/>
    <w:rsid w:val="789D27E0"/>
    <w:rsid w:val="78A27DF6"/>
    <w:rsid w:val="78C7785D"/>
    <w:rsid w:val="78CA10FB"/>
    <w:rsid w:val="78CE2999"/>
    <w:rsid w:val="78CF226D"/>
    <w:rsid w:val="78E8332F"/>
    <w:rsid w:val="7924080B"/>
    <w:rsid w:val="792627D5"/>
    <w:rsid w:val="792A61BA"/>
    <w:rsid w:val="79334EF2"/>
    <w:rsid w:val="79386064"/>
    <w:rsid w:val="793D09E9"/>
    <w:rsid w:val="794744F9"/>
    <w:rsid w:val="79584959"/>
    <w:rsid w:val="796B625E"/>
    <w:rsid w:val="79733540"/>
    <w:rsid w:val="79751067"/>
    <w:rsid w:val="79786DA9"/>
    <w:rsid w:val="798B5DEA"/>
    <w:rsid w:val="79CB0C87"/>
    <w:rsid w:val="79E920C0"/>
    <w:rsid w:val="7A1B7E60"/>
    <w:rsid w:val="7A1F0FD2"/>
    <w:rsid w:val="7A3E76AA"/>
    <w:rsid w:val="7A5213A8"/>
    <w:rsid w:val="7A5E1AFB"/>
    <w:rsid w:val="7A6335B5"/>
    <w:rsid w:val="7A6E38A0"/>
    <w:rsid w:val="7A7206F1"/>
    <w:rsid w:val="7A811389"/>
    <w:rsid w:val="7A8D418E"/>
    <w:rsid w:val="7A911ED0"/>
    <w:rsid w:val="7A9D6FB6"/>
    <w:rsid w:val="7AAC0AB8"/>
    <w:rsid w:val="7AB07386"/>
    <w:rsid w:val="7ACE4ED2"/>
    <w:rsid w:val="7AD95625"/>
    <w:rsid w:val="7AE528BD"/>
    <w:rsid w:val="7AF406B1"/>
    <w:rsid w:val="7B0365AA"/>
    <w:rsid w:val="7B0E3521"/>
    <w:rsid w:val="7B2274CE"/>
    <w:rsid w:val="7B47099D"/>
    <w:rsid w:val="7B474C85"/>
    <w:rsid w:val="7B5A1BAF"/>
    <w:rsid w:val="7B5B24DE"/>
    <w:rsid w:val="7B6B51FA"/>
    <w:rsid w:val="7B937ECA"/>
    <w:rsid w:val="7BB544F2"/>
    <w:rsid w:val="7BD14F61"/>
    <w:rsid w:val="7BD32074"/>
    <w:rsid w:val="7BE349AD"/>
    <w:rsid w:val="7C000845"/>
    <w:rsid w:val="7C2D79D7"/>
    <w:rsid w:val="7C507B69"/>
    <w:rsid w:val="7C712F11"/>
    <w:rsid w:val="7C7A7ECB"/>
    <w:rsid w:val="7C80044E"/>
    <w:rsid w:val="7CA81753"/>
    <w:rsid w:val="7CAE2BAE"/>
    <w:rsid w:val="7CB225D2"/>
    <w:rsid w:val="7CBD54D6"/>
    <w:rsid w:val="7CDB7433"/>
    <w:rsid w:val="7CDE6F23"/>
    <w:rsid w:val="7CE42970"/>
    <w:rsid w:val="7CE87DA1"/>
    <w:rsid w:val="7CFB5D27"/>
    <w:rsid w:val="7D006E99"/>
    <w:rsid w:val="7D063CDB"/>
    <w:rsid w:val="7D126BCC"/>
    <w:rsid w:val="7D1943FF"/>
    <w:rsid w:val="7D1D5C9D"/>
    <w:rsid w:val="7D387BFF"/>
    <w:rsid w:val="7D4A280A"/>
    <w:rsid w:val="7D567401"/>
    <w:rsid w:val="7D5E7E3F"/>
    <w:rsid w:val="7D6C09D3"/>
    <w:rsid w:val="7D745762"/>
    <w:rsid w:val="7D796C4C"/>
    <w:rsid w:val="7D7D673C"/>
    <w:rsid w:val="7D845D1C"/>
    <w:rsid w:val="7D9121E7"/>
    <w:rsid w:val="7DA70D41"/>
    <w:rsid w:val="7DA95783"/>
    <w:rsid w:val="7DAE0FEB"/>
    <w:rsid w:val="7DB303AF"/>
    <w:rsid w:val="7DBD2FDC"/>
    <w:rsid w:val="7DC223A1"/>
    <w:rsid w:val="7DDB5436"/>
    <w:rsid w:val="7DF32EA2"/>
    <w:rsid w:val="7DF82266"/>
    <w:rsid w:val="7E050715"/>
    <w:rsid w:val="7E260B81"/>
    <w:rsid w:val="7E2D2AC6"/>
    <w:rsid w:val="7E317FCB"/>
    <w:rsid w:val="7E32079A"/>
    <w:rsid w:val="7E363E11"/>
    <w:rsid w:val="7E4646F5"/>
    <w:rsid w:val="7E484F9C"/>
    <w:rsid w:val="7E510D92"/>
    <w:rsid w:val="7E696CC0"/>
    <w:rsid w:val="7E6E2528"/>
    <w:rsid w:val="7E6F1919"/>
    <w:rsid w:val="7E8B6C36"/>
    <w:rsid w:val="7E9C0E44"/>
    <w:rsid w:val="7EA34743"/>
    <w:rsid w:val="7EB048EF"/>
    <w:rsid w:val="7EB22415"/>
    <w:rsid w:val="7EB73ECF"/>
    <w:rsid w:val="7ED311A8"/>
    <w:rsid w:val="7EEA1BAF"/>
    <w:rsid w:val="7EEE6A0D"/>
    <w:rsid w:val="7F2D7CEE"/>
    <w:rsid w:val="7F3379FA"/>
    <w:rsid w:val="7F364DF4"/>
    <w:rsid w:val="7F4C0ABC"/>
    <w:rsid w:val="7F5B2AAD"/>
    <w:rsid w:val="7F5B391B"/>
    <w:rsid w:val="7F5C44BA"/>
    <w:rsid w:val="7F8D69DE"/>
    <w:rsid w:val="7F8F2756"/>
    <w:rsid w:val="7FB977D3"/>
    <w:rsid w:val="7FD81D7B"/>
    <w:rsid w:val="7FE26726"/>
    <w:rsid w:val="7FE65E0B"/>
    <w:rsid w:val="7FF76C79"/>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2"/>
    </w:rPr>
  </w:style>
  <w:style w:type="paragraph" w:styleId="3">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kern w:val="0"/>
      <w:sz w:val="32"/>
      <w:szCs w:val="20"/>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paragraph" w:styleId="5">
    <w:name w:val="heading 4"/>
    <w:basedOn w:val="1"/>
    <w:next w:val="1"/>
    <w:qFormat/>
    <w:uiPriority w:val="9"/>
    <w:pPr>
      <w:keepNext/>
      <w:keepLines/>
      <w:spacing w:before="280" w:after="290" w:line="374" w:lineRule="auto"/>
      <w:outlineLvl w:val="3"/>
    </w:pPr>
    <w:rPr>
      <w:rFonts w:ascii="Arial" w:hAnsi="Arial" w:eastAsia="黑体"/>
      <w:b/>
      <w:bCs/>
      <w:kern w:val="0"/>
      <w:sz w:val="28"/>
      <w:szCs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ind w:firstLine="0" w:firstLineChars="0"/>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ind w:firstLine="0" w:firstLineChars="0"/>
      <w:outlineLvl w:val="5"/>
    </w:pPr>
    <w:rPr>
      <w:rFonts w:ascii="Arial" w:hAnsi="Arial" w:eastAsia="黑体"/>
      <w:b/>
      <w:sz w:val="24"/>
    </w:rPr>
  </w:style>
  <w:style w:type="paragraph" w:styleId="8">
    <w:name w:val="heading 7"/>
    <w:basedOn w:val="1"/>
    <w:next w:val="1"/>
    <w:unhideWhenUsed/>
    <w:qFormat/>
    <w:uiPriority w:val="0"/>
    <w:pPr>
      <w:keepNext/>
      <w:keepLines/>
      <w:spacing w:before="240" w:beforeLines="0" w:beforeAutospacing="0" w:after="64" w:afterLines="0" w:afterAutospacing="0" w:line="317" w:lineRule="auto"/>
      <w:ind w:firstLine="0" w:firstLineChars="0"/>
      <w:outlineLvl w:val="6"/>
    </w:pPr>
    <w:rPr>
      <w:b/>
      <w:sz w:val="24"/>
    </w:rPr>
  </w:style>
  <w:style w:type="character" w:default="1" w:styleId="29">
    <w:name w:val="Default Paragraph Font"/>
    <w:qFormat/>
    <w:uiPriority w:val="1"/>
  </w:style>
  <w:style w:type="table" w:default="1" w:styleId="27">
    <w:name w:val="Normal Table"/>
    <w:qFormat/>
    <w:uiPriority w:val="99"/>
    <w:tblPr>
      <w:tblCellMar>
        <w:top w:w="0" w:type="dxa"/>
        <w:left w:w="108" w:type="dxa"/>
        <w:bottom w:w="0" w:type="dxa"/>
        <w:right w:w="108" w:type="dxa"/>
      </w:tblCellMar>
    </w:tblPr>
  </w:style>
  <w:style w:type="paragraph" w:styleId="9">
    <w:name w:val="Normal Indent"/>
    <w:basedOn w:val="1"/>
    <w:next w:val="1"/>
    <w:qFormat/>
    <w:uiPriority w:val="0"/>
    <w:pPr>
      <w:adjustRightInd w:val="0"/>
      <w:spacing w:line="312" w:lineRule="atLeast"/>
      <w:ind w:firstLine="420"/>
      <w:textAlignment w:val="baseline"/>
    </w:pPr>
    <w:rPr>
      <w:kern w:val="0"/>
      <w:szCs w:val="20"/>
    </w:rPr>
  </w:style>
  <w:style w:type="paragraph" w:styleId="10">
    <w:name w:val="annotation text"/>
    <w:basedOn w:val="1"/>
    <w:qFormat/>
    <w:uiPriority w:val="0"/>
    <w:pPr>
      <w:jc w:val="left"/>
    </w:pPr>
  </w:style>
  <w:style w:type="paragraph" w:styleId="11">
    <w:name w:val="index 6"/>
    <w:basedOn w:val="1"/>
    <w:next w:val="1"/>
    <w:qFormat/>
    <w:uiPriority w:val="99"/>
    <w:pPr>
      <w:ind w:left="2100"/>
    </w:pPr>
  </w:style>
  <w:style w:type="paragraph" w:styleId="12">
    <w:name w:val="Body Text"/>
    <w:basedOn w:val="1"/>
    <w:qFormat/>
    <w:uiPriority w:val="0"/>
    <w:pPr>
      <w:spacing w:after="120"/>
    </w:pPr>
  </w:style>
  <w:style w:type="paragraph" w:styleId="13">
    <w:name w:val="Body Text Indent"/>
    <w:basedOn w:val="1"/>
    <w:qFormat/>
    <w:uiPriority w:val="0"/>
    <w:pPr>
      <w:spacing w:line="400" w:lineRule="atLeast"/>
      <w:ind w:firstLine="432"/>
    </w:pPr>
    <w:rPr>
      <w:sz w:val="24"/>
    </w:rPr>
  </w:style>
  <w:style w:type="paragraph" w:styleId="14">
    <w:name w:val="Plain Text"/>
    <w:basedOn w:val="1"/>
    <w:next w:val="15"/>
    <w:qFormat/>
    <w:uiPriority w:val="0"/>
    <w:rPr>
      <w:rFonts w:ascii="宋体" w:hAnsi="Courier New"/>
      <w:szCs w:val="20"/>
    </w:rPr>
  </w:style>
  <w:style w:type="paragraph" w:styleId="15">
    <w:name w:val="index 7"/>
    <w:basedOn w:val="1"/>
    <w:next w:val="1"/>
    <w:qFormat/>
    <w:uiPriority w:val="0"/>
    <w:pPr>
      <w:ind w:left="1200" w:leftChars="1200"/>
    </w:pPr>
  </w:style>
  <w:style w:type="paragraph" w:styleId="16">
    <w:name w:val="Date"/>
    <w:basedOn w:val="1"/>
    <w:next w:val="1"/>
    <w:qFormat/>
    <w:uiPriority w:val="0"/>
    <w:pPr>
      <w:ind w:left="100"/>
    </w:pPr>
    <w:rPr>
      <w:sz w:val="24"/>
      <w:szCs w:val="20"/>
    </w:rPr>
  </w:style>
  <w:style w:type="paragraph" w:styleId="17">
    <w:name w:val="footer"/>
    <w:basedOn w:val="1"/>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9">
    <w:name w:val="toc 1"/>
    <w:basedOn w:val="1"/>
    <w:next w:val="1"/>
    <w:qFormat/>
    <w:uiPriority w:val="39"/>
  </w:style>
  <w:style w:type="paragraph" w:styleId="20">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21">
    <w:name w:val="footnote text"/>
    <w:basedOn w:val="1"/>
    <w:qFormat/>
    <w:uiPriority w:val="99"/>
    <w:pPr>
      <w:snapToGrid w:val="0"/>
      <w:jc w:val="left"/>
    </w:pPr>
    <w:rPr>
      <w:sz w:val="18"/>
      <w:szCs w:val="18"/>
    </w:rPr>
  </w:style>
  <w:style w:type="paragraph" w:styleId="22">
    <w:name w:val="Body Text 2"/>
    <w:basedOn w:val="1"/>
    <w:qFormat/>
    <w:uiPriority w:val="0"/>
    <w:pPr>
      <w:tabs>
        <w:tab w:val="left" w:pos="0"/>
      </w:tabs>
      <w:spacing w:line="400" w:lineRule="atLeast"/>
    </w:pPr>
    <w:rPr>
      <w:rFonts w:ascii="Arial" w:hAnsi="Arial"/>
      <w:color w:val="000000"/>
    </w:r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styleId="24">
    <w:name w:val="Normal (Web)"/>
    <w:basedOn w:val="1"/>
    <w:qFormat/>
    <w:uiPriority w:val="0"/>
    <w:pPr>
      <w:widowControl/>
      <w:spacing w:before="100" w:beforeAutospacing="1" w:after="100" w:afterAutospacing="1"/>
      <w:jc w:val="left"/>
    </w:pPr>
    <w:rPr>
      <w:rFonts w:ascii="宋体" w:hAnsi="宋体"/>
      <w:kern w:val="0"/>
      <w:sz w:val="24"/>
    </w:rPr>
  </w:style>
  <w:style w:type="paragraph" w:styleId="25">
    <w:name w:val="Body Text First Indent"/>
    <w:basedOn w:val="12"/>
    <w:next w:val="1"/>
    <w:qFormat/>
    <w:uiPriority w:val="0"/>
    <w:pPr>
      <w:tabs>
        <w:tab w:val="left" w:pos="567"/>
      </w:tabs>
      <w:spacing w:line="360" w:lineRule="auto"/>
      <w:ind w:firstLine="200" w:firstLineChars="200"/>
    </w:pPr>
    <w:rPr>
      <w:rFonts w:ascii="仿宋_GB2312" w:hAnsi="Times New Roman" w:eastAsia="仿宋_GB2312"/>
      <w:sz w:val="30"/>
      <w:szCs w:val="30"/>
    </w:rPr>
  </w:style>
  <w:style w:type="paragraph" w:styleId="26">
    <w:name w:val="Body Text First Indent 2"/>
    <w:basedOn w:val="13"/>
    <w:unhideWhenUsed/>
    <w:qFormat/>
    <w:uiPriority w:val="99"/>
    <w:pPr>
      <w:ind w:firstLine="420"/>
    </w:p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bCs/>
    </w:rPr>
  </w:style>
  <w:style w:type="character" w:styleId="31">
    <w:name w:val="Hyperlink"/>
    <w:basedOn w:val="29"/>
    <w:qFormat/>
    <w:uiPriority w:val="0"/>
    <w:rPr>
      <w:color w:val="2D64B3"/>
      <w:szCs w:val="21"/>
      <w:u w:val="none"/>
    </w:rPr>
  </w:style>
  <w:style w:type="character" w:styleId="32">
    <w:name w:val="HTML Sample"/>
    <w:basedOn w:val="29"/>
    <w:qFormat/>
    <w:uiPriority w:val="0"/>
    <w:rPr>
      <w:rFonts w:ascii="Courier New" w:hAnsi="Courier New"/>
    </w:rPr>
  </w:style>
  <w:style w:type="paragraph" w:customStyle="1" w:styleId="33">
    <w:name w:val="Quote"/>
    <w:basedOn w:val="1"/>
    <w:next w:val="1"/>
    <w:qFormat/>
    <w:uiPriority w:val="29"/>
    <w:pPr>
      <w:spacing w:beforeLines="50" w:afterLines="50" w:line="360" w:lineRule="auto"/>
    </w:pPr>
    <w:rPr>
      <w:i/>
      <w:iCs/>
      <w:color w:val="000000"/>
      <w:sz w:val="21"/>
      <w:szCs w:val="24"/>
      <w:lang w:val="zh-CN"/>
    </w:rPr>
  </w:style>
  <w:style w:type="paragraph" w:customStyle="1" w:styleId="34">
    <w:name w:val="_Style 2"/>
    <w:basedOn w:val="1"/>
    <w:qFormat/>
    <w:uiPriority w:val="34"/>
    <w:pPr>
      <w:ind w:firstLine="420" w:firstLineChars="200"/>
    </w:pPr>
  </w:style>
  <w:style w:type="paragraph" w:customStyle="1" w:styleId="35">
    <w:name w:val="样式 样式 左侧:  2 字符 + 左侧:  0.85 厘米 首行缩进:  2 字符1"/>
    <w:basedOn w:val="1"/>
    <w:qFormat/>
    <w:uiPriority w:val="0"/>
    <w:pPr>
      <w:ind w:left="482" w:firstLine="200" w:firstLineChars="200"/>
    </w:pPr>
    <w:rPr>
      <w:szCs w:val="20"/>
    </w:rPr>
  </w:style>
  <w:style w:type="paragraph" w:customStyle="1" w:styleId="3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37">
    <w:name w:val="正文 A"/>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38">
    <w:name w:val="_Style 4"/>
    <w:basedOn w:val="1"/>
    <w:qFormat/>
    <w:uiPriority w:val="34"/>
    <w:pPr>
      <w:ind w:firstLine="420" w:firstLineChars="200"/>
    </w:pPr>
  </w:style>
  <w:style w:type="paragraph" w:customStyle="1" w:styleId="39">
    <w:name w:val="彩色列表 - 着色 11"/>
    <w:basedOn w:val="1"/>
    <w:qFormat/>
    <w:uiPriority w:val="34"/>
    <w:pPr>
      <w:ind w:firstLine="420" w:firstLineChars="200"/>
    </w:pPr>
  </w:style>
  <w:style w:type="paragraph" w:customStyle="1" w:styleId="4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
    <w:name w:val="black1"/>
    <w:basedOn w:val="1"/>
    <w:qFormat/>
    <w:uiPriority w:val="0"/>
    <w:pPr>
      <w:widowControl/>
      <w:spacing w:before="100" w:beforeAutospacing="1" w:after="100" w:afterAutospacing="1" w:line="280" w:lineRule="atLeast"/>
      <w:jc w:val="left"/>
    </w:pPr>
    <w:rPr>
      <w:rFonts w:ascii="_x000B__x000C_" w:hAnsi="_x000B__x000C_"/>
      <w:color w:val="000000"/>
      <w:kern w:val="0"/>
      <w:sz w:val="18"/>
      <w:szCs w:val="18"/>
    </w:rPr>
  </w:style>
  <w:style w:type="paragraph" w:customStyle="1" w:styleId="42">
    <w:name w:val="样式 左侧:  0 厘米 悬挂缩进: 2.5 字符"/>
    <w:basedOn w:val="1"/>
    <w:qFormat/>
    <w:uiPriority w:val="0"/>
    <w:pPr>
      <w:ind w:left="525" w:hanging="525" w:hangingChars="250"/>
    </w:pPr>
    <w:rPr>
      <w:szCs w:val="20"/>
    </w:rPr>
  </w:style>
  <w:style w:type="paragraph" w:customStyle="1" w:styleId="43">
    <w:name w:val="目录 81"/>
    <w:basedOn w:val="1"/>
    <w:next w:val="1"/>
    <w:qFormat/>
    <w:uiPriority w:val="0"/>
    <w:pPr>
      <w:ind w:left="1470"/>
      <w:jc w:val="left"/>
    </w:pPr>
    <w:rPr>
      <w:szCs w:val="21"/>
    </w:rPr>
  </w:style>
  <w:style w:type="paragraph" w:customStyle="1" w:styleId="44">
    <w:name w:val="Table Paragraph"/>
    <w:basedOn w:val="1"/>
    <w:qFormat/>
    <w:uiPriority w:val="1"/>
    <w:pPr>
      <w:jc w:val="left"/>
    </w:pPr>
    <w:rPr>
      <w:kern w:val="0"/>
      <w:sz w:val="22"/>
      <w:lang w:eastAsia="en-US"/>
    </w:rPr>
  </w:style>
  <w:style w:type="paragraph" w:customStyle="1" w:styleId="45">
    <w:name w:val="图例"/>
    <w:basedOn w:val="1"/>
    <w:qFormat/>
    <w:uiPriority w:val="0"/>
    <w:pPr>
      <w:spacing w:before="120" w:after="120" w:line="360" w:lineRule="auto"/>
      <w:jc w:val="center"/>
    </w:pPr>
    <w:rPr>
      <w:rFonts w:eastAsia="仿宋_GB2312"/>
      <w:b/>
      <w:sz w:val="24"/>
    </w:rPr>
  </w:style>
  <w:style w:type="paragraph" w:customStyle="1" w:styleId="46">
    <w:name w:val="文档标题"/>
    <w:basedOn w:val="1"/>
    <w:qFormat/>
    <w:uiPriority w:val="0"/>
    <w:pPr>
      <w:jc w:val="right"/>
    </w:pPr>
    <w:rPr>
      <w:b/>
      <w:sz w:val="56"/>
    </w:rPr>
  </w:style>
  <w:style w:type="character" w:customStyle="1" w:styleId="47">
    <w:name w:val="font21"/>
    <w:basedOn w:val="29"/>
    <w:qFormat/>
    <w:uiPriority w:val="0"/>
    <w:rPr>
      <w:rFonts w:hint="eastAsia" w:ascii="仿宋" w:hAnsi="仿宋" w:eastAsia="仿宋" w:cs="仿宋"/>
      <w:color w:val="000000"/>
      <w:sz w:val="28"/>
      <w:szCs w:val="28"/>
      <w:u w:val="none"/>
    </w:rPr>
  </w:style>
  <w:style w:type="paragraph" w:styleId="48">
    <w:name w:val="List Paragraph"/>
    <w:basedOn w:val="1"/>
    <w:qFormat/>
    <w:uiPriority w:val="34"/>
    <w:pPr>
      <w:ind w:firstLine="420" w:firstLineChars="200"/>
    </w:pPr>
  </w:style>
  <w:style w:type="character" w:customStyle="1" w:styleId="49">
    <w:name w:val="font71"/>
    <w:basedOn w:val="29"/>
    <w:qFormat/>
    <w:uiPriority w:val="0"/>
    <w:rPr>
      <w:rFonts w:ascii="Arial" w:hAnsi="Arial" w:cs="Arial"/>
      <w:color w:val="000000"/>
      <w:sz w:val="28"/>
      <w:szCs w:val="28"/>
      <w:u w:val="none"/>
    </w:rPr>
  </w:style>
  <w:style w:type="character" w:customStyle="1" w:styleId="50">
    <w:name w:val="font81"/>
    <w:basedOn w:val="29"/>
    <w:qFormat/>
    <w:uiPriority w:val="0"/>
    <w:rPr>
      <w:rFonts w:hint="eastAsia" w:ascii="宋体" w:hAnsi="宋体" w:eastAsia="宋体" w:cs="宋体"/>
      <w:color w:val="000000"/>
      <w:sz w:val="28"/>
      <w:szCs w:val="28"/>
      <w:u w:val="none"/>
    </w:rPr>
  </w:style>
  <w:style w:type="character" w:customStyle="1" w:styleId="51">
    <w:name w:val="font41"/>
    <w:basedOn w:val="29"/>
    <w:qFormat/>
    <w:uiPriority w:val="0"/>
    <w:rPr>
      <w:rFonts w:hint="eastAsia" w:ascii="仿宋" w:hAnsi="仿宋" w:eastAsia="仿宋" w:cs="仿宋"/>
      <w:color w:val="000000"/>
      <w:sz w:val="28"/>
      <w:szCs w:val="28"/>
      <w:u w:val="none"/>
    </w:rPr>
  </w:style>
  <w:style w:type="character" w:customStyle="1" w:styleId="52">
    <w:name w:val="fontstyle01"/>
    <w:qFormat/>
    <w:uiPriority w:val="0"/>
    <w:rPr>
      <w:rFonts w:ascii="宋体" w:hAnsi="宋体" w:eastAsia="宋体" w:cs="宋体"/>
      <w:color w:val="000000"/>
      <w:sz w:val="24"/>
      <w:szCs w:val="24"/>
    </w:rPr>
  </w:style>
  <w:style w:type="paragraph" w:customStyle="1" w:styleId="53">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54">
    <w:name w:val="正文缩进1"/>
    <w:basedOn w:val="1"/>
    <w:qFormat/>
    <w:uiPriority w:val="0"/>
    <w:pPr>
      <w:ind w:firstLine="420"/>
    </w:pPr>
    <w:rPr>
      <w:rFonts w:ascii="Times New Roman" w:hAnsi="Times New Roman"/>
      <w:szCs w:val="20"/>
    </w:rPr>
  </w:style>
  <w:style w:type="paragraph" w:customStyle="1" w:styleId="55">
    <w:name w:val="Table Text"/>
    <w:basedOn w:val="1"/>
    <w:semiHidden/>
    <w:qFormat/>
    <w:uiPriority w:val="0"/>
    <w:rPr>
      <w:rFonts w:ascii="宋体" w:hAnsi="宋体" w:eastAsia="宋体" w:cs="宋体"/>
      <w:sz w:val="22"/>
      <w:szCs w:val="22"/>
      <w:lang w:val="en-US" w:eastAsia="en-US" w:bidi="ar-SA"/>
    </w:rPr>
  </w:style>
  <w:style w:type="paragraph" w:customStyle="1" w:styleId="5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table" w:customStyle="1" w:styleId="57">
    <w:name w:val="Table Normal"/>
    <w:semiHidden/>
    <w:unhideWhenUsed/>
    <w:qFormat/>
    <w:uiPriority w:val="0"/>
    <w:tblPr>
      <w:tblCellMar>
        <w:top w:w="0" w:type="dxa"/>
        <w:left w:w="0" w:type="dxa"/>
        <w:bottom w:w="0" w:type="dxa"/>
        <w:right w:w="0" w:type="dxa"/>
      </w:tblCellMar>
    </w:tblPr>
  </w:style>
  <w:style w:type="character" w:customStyle="1" w:styleId="58">
    <w:name w:val="font11"/>
    <w:basedOn w:val="29"/>
    <w:qFormat/>
    <w:uiPriority w:val="0"/>
    <w:rPr>
      <w:rFonts w:hint="eastAsia" w:ascii="宋体" w:hAnsi="宋体" w:eastAsia="宋体" w:cs="宋体"/>
      <w:color w:val="000000"/>
      <w:sz w:val="20"/>
      <w:szCs w:val="20"/>
      <w:u w:val="none"/>
    </w:rPr>
  </w:style>
  <w:style w:type="character" w:customStyle="1" w:styleId="59">
    <w:name w:val="font91"/>
    <w:basedOn w:val="29"/>
    <w:qFormat/>
    <w:uiPriority w:val="0"/>
    <w:rPr>
      <w:rFonts w:ascii="Calibri" w:hAnsi="Calibri" w:cs="Calibri"/>
      <w:color w:val="000000"/>
      <w:sz w:val="20"/>
      <w:szCs w:val="20"/>
      <w:u w:val="none"/>
    </w:rPr>
  </w:style>
  <w:style w:type="character" w:customStyle="1" w:styleId="60">
    <w:name w:val="font101"/>
    <w:basedOn w:val="29"/>
    <w:qFormat/>
    <w:uiPriority w:val="0"/>
    <w:rPr>
      <w:rFonts w:ascii="Arial" w:hAnsi="Arial" w:cs="Arial"/>
      <w:color w:val="000000"/>
      <w:sz w:val="20"/>
      <w:szCs w:val="20"/>
      <w:u w:val="none"/>
    </w:rPr>
  </w:style>
  <w:style w:type="paragraph" w:customStyle="1" w:styleId="61">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F3DF1-D6E6-42F1-A27D-AB89AC2A9052}">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25431</Words>
  <Characters>27202</Characters>
  <Paragraphs>2929</Paragraphs>
  <TotalTime>42</TotalTime>
  <ScaleCrop>false</ScaleCrop>
  <LinksUpToDate>false</LinksUpToDate>
  <CharactersWithSpaces>27937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2023-10-29T02:41:00Z</dcterms:created>
  <dc:creator>周周周</dc:creator>
  <cp:lastModifiedBy>春雨</cp:lastModifiedBy>
  <cp:lastPrinted>2023-08-28T09:48:00Z</cp:lastPrinted>
  <dcterms:modified xsi:type="dcterms:W3CDTF">2026-10-23T08:26:26Z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A7F26539D0DC40BA8A31678C90374CC4_13</vt:lpwstr>
  </property>
  <property fmtid="{D5CDD505-2E9C-101B-9397-08002B2CF9AE}" pid="4" name="KSOTemplateDocerSaveRecord">
    <vt:lpwstr>eyJoZGlkIjoiOWVlOGY4ZWI2YTA1NzRhOTdhZTc4ZTYxZmYzNjZhNDUiLCJ1c2VySWQiOiIyNjIxNDY0MDMifQ==</vt:lpwstr>
  </property>
</Properties>
</file>