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9F7F1">
      <w:pPr>
        <w:pStyle w:val="31"/>
        <w:spacing w:line="760" w:lineRule="exact"/>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44"/>
          <w:szCs w:val="44"/>
          <w:highlight w:val="none"/>
          <w:lang w:val="en-US" w:eastAsia="zh-CN"/>
        </w:rPr>
        <w:t>阿图什市松他克镇中心学校新建改扩建项目（设备采购）</w:t>
      </w:r>
    </w:p>
    <w:p w14:paraId="66187153">
      <w:pPr>
        <w:pStyle w:val="31"/>
        <w:spacing w:line="760" w:lineRule="exact"/>
        <w:jc w:val="center"/>
        <w:rPr>
          <w:rFonts w:hint="default" w:ascii="宋体" w:hAnsi="宋体" w:eastAsia="宋体" w:cs="宋体"/>
          <w:color w:val="auto"/>
          <w:highlight w:val="none"/>
          <w:lang w:val="en-US" w:eastAsia="zh-CN"/>
        </w:rPr>
      </w:pPr>
      <w:r>
        <w:rPr>
          <w:rFonts w:hint="eastAsia" w:ascii="宋体" w:hAnsi="宋体" w:eastAsia="宋体" w:cs="宋体"/>
          <w:b/>
          <w:bCs/>
          <w:color w:val="auto"/>
          <w:sz w:val="36"/>
          <w:szCs w:val="36"/>
          <w:highlight w:val="none"/>
        </w:rPr>
        <w:t>项目编号：</w:t>
      </w:r>
      <w:r>
        <w:rPr>
          <w:rFonts w:hint="eastAsia" w:hAnsi="宋体" w:cs="宋体"/>
          <w:b/>
          <w:bCs/>
          <w:color w:val="auto"/>
          <w:sz w:val="36"/>
          <w:szCs w:val="36"/>
          <w:highlight w:val="none"/>
          <w:lang w:val="en-US" w:eastAsia="zh-CN"/>
        </w:rPr>
        <w:t>ATSJXZX-CG-2026126</w:t>
      </w:r>
    </w:p>
    <w:p w14:paraId="4C8E6EF2">
      <w:pPr>
        <w:pStyle w:val="31"/>
        <w:rPr>
          <w:rFonts w:hint="eastAsia" w:ascii="宋体" w:hAnsi="宋体" w:eastAsia="宋体" w:cs="宋体"/>
          <w:color w:val="auto"/>
          <w:highlight w:val="none"/>
        </w:rPr>
      </w:pPr>
    </w:p>
    <w:p w14:paraId="2E9536B1">
      <w:pPr>
        <w:pStyle w:val="31"/>
        <w:jc w:val="center"/>
        <w:rPr>
          <w:rFonts w:hint="eastAsia" w:ascii="宋体" w:hAnsi="宋体" w:eastAsia="宋体" w:cs="宋体"/>
          <w:b/>
          <w:bCs/>
          <w:color w:val="auto"/>
          <w:sz w:val="96"/>
          <w:szCs w:val="96"/>
          <w:highlight w:val="none"/>
          <w:lang w:eastAsia="zh-CN"/>
        </w:rPr>
      </w:pPr>
      <w:r>
        <w:rPr>
          <w:rFonts w:hint="eastAsia" w:ascii="宋体" w:hAnsi="宋体" w:eastAsia="宋体" w:cs="宋体"/>
          <w:b/>
          <w:color w:val="auto"/>
          <w:sz w:val="96"/>
          <w:szCs w:val="96"/>
          <w:highlight w:val="none"/>
          <w:lang w:eastAsia="zh-CN"/>
        </w:rPr>
        <w:t>谈</w:t>
      </w:r>
    </w:p>
    <w:p w14:paraId="0BE008BC">
      <w:pPr>
        <w:pStyle w:val="31"/>
        <w:jc w:val="center"/>
        <w:rPr>
          <w:rFonts w:hint="eastAsia" w:ascii="宋体" w:hAnsi="宋体" w:eastAsia="宋体" w:cs="宋体"/>
          <w:b/>
          <w:bCs/>
          <w:color w:val="auto"/>
          <w:sz w:val="96"/>
          <w:szCs w:val="96"/>
          <w:highlight w:val="none"/>
          <w:lang w:eastAsia="zh-CN"/>
        </w:rPr>
      </w:pPr>
      <w:r>
        <w:rPr>
          <w:rFonts w:hint="eastAsia" w:ascii="宋体" w:hAnsi="宋体" w:eastAsia="宋体" w:cs="宋体"/>
          <w:b/>
          <w:bCs/>
          <w:color w:val="auto"/>
          <w:sz w:val="96"/>
          <w:szCs w:val="96"/>
          <w:highlight w:val="none"/>
          <w:lang w:eastAsia="zh-CN"/>
        </w:rPr>
        <w:t>判</w:t>
      </w:r>
    </w:p>
    <w:p w14:paraId="093E4726">
      <w:pPr>
        <w:pStyle w:val="31"/>
        <w:jc w:val="center"/>
        <w:rPr>
          <w:rFonts w:hint="eastAsia" w:ascii="宋体" w:hAnsi="宋体" w:eastAsia="宋体" w:cs="宋体"/>
          <w:b/>
          <w:bCs/>
          <w:color w:val="auto"/>
          <w:sz w:val="96"/>
          <w:szCs w:val="96"/>
          <w:highlight w:val="none"/>
        </w:rPr>
      </w:pPr>
      <w:r>
        <w:rPr>
          <w:rFonts w:hint="eastAsia" w:ascii="宋体" w:hAnsi="宋体" w:eastAsia="宋体" w:cs="宋体"/>
          <w:b/>
          <w:bCs/>
          <w:color w:val="auto"/>
          <w:sz w:val="96"/>
          <w:szCs w:val="96"/>
          <w:highlight w:val="none"/>
        </w:rPr>
        <w:t>文</w:t>
      </w:r>
    </w:p>
    <w:p w14:paraId="5470F8C6">
      <w:pPr>
        <w:pStyle w:val="31"/>
        <w:jc w:val="center"/>
        <w:rPr>
          <w:rFonts w:hint="eastAsia" w:ascii="宋体" w:hAnsi="宋体" w:eastAsia="宋体" w:cs="宋体"/>
          <w:color w:val="auto"/>
          <w:sz w:val="84"/>
          <w:szCs w:val="84"/>
          <w:highlight w:val="none"/>
        </w:rPr>
      </w:pPr>
      <w:r>
        <w:rPr>
          <w:rFonts w:hint="eastAsia" w:ascii="宋体" w:hAnsi="宋体" w:eastAsia="宋体" w:cs="宋体"/>
          <w:b/>
          <w:bCs/>
          <w:color w:val="auto"/>
          <w:sz w:val="96"/>
          <w:szCs w:val="96"/>
          <w:highlight w:val="none"/>
        </w:rPr>
        <w:t>件</w:t>
      </w:r>
    </w:p>
    <w:p w14:paraId="54DB03D6">
      <w:pPr>
        <w:pStyle w:val="31"/>
        <w:rPr>
          <w:rFonts w:hint="eastAsia" w:ascii="宋体" w:hAnsi="宋体" w:eastAsia="宋体" w:cs="宋体"/>
          <w:color w:val="auto"/>
          <w:highlight w:val="none"/>
        </w:rPr>
      </w:pPr>
    </w:p>
    <w:p w14:paraId="43DCDCCC">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采购单位：阿图什市教育局</w:t>
      </w:r>
    </w:p>
    <w:p w14:paraId="21375DCB">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联</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系</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人：</w:t>
      </w:r>
      <w:r>
        <w:rPr>
          <w:rFonts w:hint="eastAsia" w:ascii="宋体" w:hAnsi="宋体" w:eastAsia="宋体" w:cs="宋体"/>
          <w:b/>
          <w:bCs/>
          <w:color w:val="auto"/>
          <w:sz w:val="32"/>
          <w:szCs w:val="32"/>
          <w:highlight w:val="none"/>
          <w:lang w:val="en-US" w:eastAsia="zh-CN"/>
        </w:rPr>
        <w:t>沙先生</w:t>
      </w:r>
    </w:p>
    <w:p w14:paraId="5ACEBBB8">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联系电话：18199726032</w:t>
      </w:r>
    </w:p>
    <w:p w14:paraId="14179FCE">
      <w:pPr>
        <w:spacing w:line="700" w:lineRule="exac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代理机构：</w:t>
      </w:r>
      <w:r>
        <w:rPr>
          <w:rFonts w:hint="eastAsia" w:ascii="宋体" w:hAnsi="宋体" w:eastAsia="宋体" w:cs="宋体"/>
          <w:b/>
          <w:bCs/>
          <w:color w:val="auto"/>
          <w:sz w:val="32"/>
          <w:szCs w:val="32"/>
          <w:highlight w:val="none"/>
          <w:lang w:eastAsia="zh-CN"/>
        </w:rPr>
        <w:t>新疆融联通达工程项目管理有限公司</w:t>
      </w:r>
    </w:p>
    <w:p w14:paraId="5C5F1769">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联 系 人：</w:t>
      </w:r>
      <w:r>
        <w:rPr>
          <w:rFonts w:hint="eastAsia" w:ascii="宋体" w:hAnsi="宋体" w:eastAsia="宋体" w:cs="宋体"/>
          <w:b/>
          <w:bCs/>
          <w:color w:val="auto"/>
          <w:sz w:val="32"/>
          <w:szCs w:val="32"/>
          <w:highlight w:val="none"/>
          <w:lang w:val="en-US" w:eastAsia="zh-CN"/>
        </w:rPr>
        <w:t>张先生</w:t>
      </w:r>
    </w:p>
    <w:p w14:paraId="6EAF0340">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 xml:space="preserve">联系电话: </w:t>
      </w:r>
      <w:r>
        <w:rPr>
          <w:rFonts w:hint="eastAsia" w:ascii="宋体" w:hAnsi="宋体" w:eastAsia="宋体" w:cs="宋体"/>
          <w:b/>
          <w:bCs/>
          <w:color w:val="auto"/>
          <w:sz w:val="32"/>
          <w:szCs w:val="32"/>
          <w:highlight w:val="none"/>
          <w:lang w:val="en-US" w:eastAsia="zh-CN"/>
        </w:rPr>
        <w:t>13909955772</w:t>
      </w:r>
    </w:p>
    <w:p w14:paraId="0AD0C5E8">
      <w:pPr>
        <w:pStyle w:val="32"/>
        <w:spacing w:before="0" w:line="360" w:lineRule="auto"/>
        <w:jc w:val="center"/>
        <w:rPr>
          <w:rFonts w:hint="eastAsia" w:ascii="仿宋" w:hAnsi="仿宋" w:eastAsia="仿宋" w:cs="仿宋"/>
          <w:color w:val="auto"/>
          <w:sz w:val="44"/>
          <w:szCs w:val="44"/>
          <w:highlight w:val="none"/>
          <w:lang w:val="zh-CN"/>
        </w:rPr>
      </w:pPr>
    </w:p>
    <w:p w14:paraId="32257103">
      <w:pPr>
        <w:pStyle w:val="32"/>
        <w:spacing w:before="0" w:line="360" w:lineRule="auto"/>
        <w:jc w:val="center"/>
        <w:rPr>
          <w:rFonts w:ascii="仿宋" w:hAnsi="仿宋" w:eastAsia="仿宋" w:cs="仿宋"/>
          <w:color w:val="auto"/>
          <w:sz w:val="44"/>
          <w:szCs w:val="44"/>
          <w:highlight w:val="none"/>
          <w:lang w:val="zh-CN"/>
        </w:rPr>
      </w:pPr>
      <w:r>
        <w:rPr>
          <w:rFonts w:hint="eastAsia" w:ascii="仿宋" w:hAnsi="仿宋" w:eastAsia="仿宋" w:cs="仿宋"/>
          <w:color w:val="auto"/>
          <w:sz w:val="44"/>
          <w:szCs w:val="44"/>
          <w:highlight w:val="none"/>
          <w:lang w:val="zh-CN"/>
        </w:rPr>
        <w:t>目    录</w:t>
      </w:r>
    </w:p>
    <w:p w14:paraId="3EA9D809">
      <w:pPr>
        <w:rPr>
          <w:rFonts w:ascii="仿宋" w:hAnsi="仿宋" w:eastAsia="仿宋" w:cs="仿宋"/>
          <w:color w:val="auto"/>
          <w:sz w:val="30"/>
          <w:szCs w:val="30"/>
          <w:highlight w:val="none"/>
          <w:lang w:val="zh-CN"/>
        </w:rPr>
      </w:pPr>
    </w:p>
    <w:p w14:paraId="4C0C649E">
      <w:pPr>
        <w:spacing w:line="360" w:lineRule="auto"/>
        <w:rPr>
          <w:rFonts w:ascii="仿宋" w:hAnsi="仿宋" w:eastAsia="仿宋" w:cs="仿宋"/>
          <w:color w:val="auto"/>
          <w:sz w:val="30"/>
          <w:szCs w:val="30"/>
          <w:highlight w:val="none"/>
        </w:rPr>
      </w:pPr>
    </w:p>
    <w:p w14:paraId="6D4E9F3F">
      <w:pPr>
        <w:widowControl/>
        <w:rPr>
          <w:rFonts w:ascii="仿宋" w:hAnsi="仿宋" w:eastAsia="仿宋" w:cs="仿宋"/>
          <w:color w:val="auto"/>
          <w:sz w:val="30"/>
          <w:szCs w:val="30"/>
          <w:highlight w:val="none"/>
        </w:rPr>
      </w:pPr>
    </w:p>
    <w:p w14:paraId="357EE61D">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第一部分      竞争性</w:t>
      </w:r>
      <w:r>
        <w:rPr>
          <w:rFonts w:hint="eastAsia" w:ascii="仿宋" w:hAnsi="仿宋" w:eastAsia="仿宋" w:cs="仿宋"/>
          <w:b/>
          <w:color w:val="auto"/>
          <w:sz w:val="30"/>
          <w:szCs w:val="30"/>
          <w:highlight w:val="none"/>
          <w:lang w:eastAsia="zh-CN"/>
        </w:rPr>
        <w:t>谈判</w:t>
      </w:r>
      <w:r>
        <w:rPr>
          <w:rFonts w:hint="eastAsia" w:ascii="仿宋" w:hAnsi="仿宋" w:eastAsia="仿宋" w:cs="仿宋"/>
          <w:b/>
          <w:color w:val="auto"/>
          <w:sz w:val="30"/>
          <w:szCs w:val="30"/>
          <w:highlight w:val="none"/>
        </w:rPr>
        <w:t>公告</w:t>
      </w:r>
    </w:p>
    <w:p w14:paraId="70F7BE65">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第二部分      供应商须知</w:t>
      </w:r>
    </w:p>
    <w:p w14:paraId="1F1EDC5A">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第三部分      </w:t>
      </w:r>
      <w:r>
        <w:rPr>
          <w:rFonts w:hint="eastAsia" w:ascii="仿宋" w:hAnsi="仿宋" w:eastAsia="仿宋" w:cs="仿宋"/>
          <w:b/>
          <w:color w:val="auto"/>
          <w:sz w:val="30"/>
          <w:szCs w:val="30"/>
          <w:highlight w:val="none"/>
          <w:lang w:eastAsia="zh-CN"/>
        </w:rPr>
        <w:t>技术要</w:t>
      </w:r>
      <w:r>
        <w:rPr>
          <w:rFonts w:hint="eastAsia" w:ascii="仿宋" w:hAnsi="仿宋" w:eastAsia="仿宋" w:cs="仿宋"/>
          <w:b/>
          <w:color w:val="auto"/>
          <w:sz w:val="30"/>
          <w:szCs w:val="30"/>
          <w:highlight w:val="none"/>
        </w:rPr>
        <w:t>求</w:t>
      </w:r>
    </w:p>
    <w:p w14:paraId="2A263235">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第四部分      合同文本（参考）</w:t>
      </w:r>
    </w:p>
    <w:p w14:paraId="77CE0A73">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第五部分      响应文件格式</w:t>
      </w:r>
    </w:p>
    <w:p w14:paraId="2F870B2D">
      <w:pPr>
        <w:pStyle w:val="7"/>
        <w:numPr>
          <w:ilvl w:val="0"/>
          <w:numId w:val="0"/>
        </w:numPr>
        <w:tabs>
          <w:tab w:val="clear" w:pos="780"/>
        </w:tabs>
        <w:rPr>
          <w:rFonts w:ascii="仿宋" w:hAnsi="仿宋" w:eastAsia="仿宋" w:cs="仿宋"/>
          <w:color w:val="auto"/>
          <w:highlight w:val="none"/>
        </w:rPr>
      </w:pPr>
    </w:p>
    <w:p w14:paraId="228A3CA8">
      <w:pPr>
        <w:rPr>
          <w:rFonts w:ascii="仿宋" w:hAnsi="仿宋" w:eastAsia="仿宋" w:cs="仿宋"/>
          <w:color w:val="auto"/>
          <w:highlight w:val="none"/>
        </w:rPr>
      </w:pPr>
    </w:p>
    <w:p w14:paraId="226C8D0A">
      <w:pPr>
        <w:pStyle w:val="4"/>
        <w:rPr>
          <w:rFonts w:ascii="仿宋" w:hAnsi="仿宋" w:eastAsia="仿宋" w:cs="仿宋"/>
          <w:color w:val="auto"/>
          <w:highlight w:val="none"/>
          <w:lang w:eastAsia="zh-CN"/>
        </w:rPr>
      </w:pPr>
    </w:p>
    <w:p w14:paraId="0413E098">
      <w:pPr>
        <w:rPr>
          <w:rFonts w:ascii="仿宋" w:hAnsi="仿宋" w:eastAsia="仿宋" w:cs="仿宋"/>
          <w:color w:val="auto"/>
          <w:highlight w:val="none"/>
        </w:rPr>
      </w:pPr>
    </w:p>
    <w:p w14:paraId="78A95C1D">
      <w:pPr>
        <w:rPr>
          <w:rFonts w:ascii="仿宋" w:hAnsi="仿宋" w:eastAsia="仿宋" w:cs="仿宋"/>
          <w:color w:val="auto"/>
          <w:highlight w:val="none"/>
        </w:rPr>
      </w:pPr>
    </w:p>
    <w:p w14:paraId="6733200B">
      <w:pPr>
        <w:pStyle w:val="4"/>
        <w:rPr>
          <w:rFonts w:ascii="仿宋" w:hAnsi="仿宋" w:eastAsia="仿宋" w:cs="仿宋"/>
          <w:color w:val="auto"/>
          <w:highlight w:val="none"/>
        </w:rPr>
      </w:pPr>
    </w:p>
    <w:p w14:paraId="7BD393DC">
      <w:pPr>
        <w:rPr>
          <w:rFonts w:ascii="仿宋" w:hAnsi="仿宋" w:eastAsia="仿宋" w:cs="仿宋"/>
          <w:color w:val="auto"/>
          <w:highlight w:val="none"/>
        </w:rPr>
      </w:pPr>
    </w:p>
    <w:p w14:paraId="7BDE26FC">
      <w:pPr>
        <w:pStyle w:val="4"/>
        <w:rPr>
          <w:rFonts w:ascii="仿宋" w:hAnsi="仿宋" w:eastAsia="仿宋" w:cs="仿宋"/>
          <w:color w:val="auto"/>
          <w:highlight w:val="none"/>
        </w:rPr>
      </w:pPr>
    </w:p>
    <w:p w14:paraId="1F0A8037">
      <w:pPr>
        <w:rPr>
          <w:rFonts w:ascii="仿宋" w:hAnsi="仿宋" w:eastAsia="仿宋" w:cs="仿宋"/>
          <w:color w:val="auto"/>
          <w:highlight w:val="none"/>
        </w:rPr>
      </w:pPr>
    </w:p>
    <w:p w14:paraId="2570DF32">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pPr>
    </w:p>
    <w:p w14:paraId="4D911F7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highlight w:val="none"/>
        </w:rPr>
      </w:pPr>
    </w:p>
    <w:p w14:paraId="751B4007">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sectPr>
          <w:footerReference r:id="rId3" w:type="default"/>
          <w:pgSz w:w="11905" w:h="16838"/>
          <w:pgMar w:top="1417" w:right="1417" w:bottom="1134" w:left="1417" w:header="850" w:footer="992" w:gutter="0"/>
          <w:pgNumType w:fmt="decimal" w:start="1"/>
          <w:cols w:space="0" w:num="1"/>
          <w:rtlGutter w:val="0"/>
          <w:docGrid w:type="linesAndChars" w:linePitch="332" w:charSpace="1057"/>
        </w:sectPr>
      </w:pPr>
    </w:p>
    <w:p w14:paraId="4E8B0454">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第一部分</w:t>
      </w:r>
      <w:r>
        <w:rPr>
          <w:rFonts w:hint="eastAsia" w:ascii="仿宋" w:hAnsi="仿宋" w:eastAsia="仿宋" w:cs="仿宋"/>
          <w:b/>
          <w:bCs/>
          <w:color w:val="auto"/>
          <w:highlight w:val="none"/>
          <w:lang w:val="en-US" w:eastAsia="zh-CN"/>
        </w:rPr>
        <w:t xml:space="preserve"> </w:t>
      </w:r>
      <w:r>
        <w:rPr>
          <w:rFonts w:hint="eastAsia" w:ascii="仿宋" w:hAnsi="仿宋" w:eastAsia="仿宋" w:cs="仿宋"/>
          <w:b/>
          <w:bCs/>
          <w:color w:val="auto"/>
          <w:highlight w:val="none"/>
          <w:lang w:eastAsia="zh-CN"/>
        </w:rPr>
        <w:t>竞争性谈判公告</w:t>
      </w:r>
      <w:bookmarkStart w:id="0" w:name="_Toc28359001"/>
      <w:bookmarkStart w:id="1" w:name="_Toc35393789"/>
    </w:p>
    <w:bookmarkEnd w:id="0"/>
    <w:bookmarkEnd w:id="1"/>
    <w:p w14:paraId="1194380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新宋体" w:hAnsi="新宋体" w:eastAsia="新宋体" w:cs="新宋体"/>
          <w:b/>
          <w:bCs/>
          <w:color w:val="auto"/>
          <w:kern w:val="0"/>
          <w:sz w:val="36"/>
          <w:szCs w:val="36"/>
          <w:highlight w:val="none"/>
          <w:u w:val="none"/>
          <w:lang w:val="en-US" w:eastAsia="zh-CN" w:bidi="ar"/>
        </w:rPr>
      </w:pPr>
      <w:r>
        <w:rPr>
          <w:rFonts w:hint="eastAsia" w:ascii="新宋体" w:hAnsi="新宋体" w:eastAsia="新宋体" w:cs="新宋体"/>
          <w:b/>
          <w:bCs/>
          <w:color w:val="auto"/>
          <w:kern w:val="0"/>
          <w:sz w:val="36"/>
          <w:szCs w:val="36"/>
          <w:highlight w:val="none"/>
          <w:u w:val="none"/>
          <w:lang w:val="en-US" w:eastAsia="zh-CN" w:bidi="ar"/>
        </w:rPr>
        <w:t>阿图什市松他克镇中心学校新建改扩建项目（设备采购）</w:t>
      </w:r>
    </w:p>
    <w:p w14:paraId="09E7770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default" w:ascii="Times New Roman" w:hAnsi="Times New Roman" w:cs="Times New Roman"/>
          <w:i w:val="0"/>
          <w:iCs w:val="0"/>
          <w:caps w:val="0"/>
          <w:color w:val="auto"/>
          <w:spacing w:val="0"/>
          <w:sz w:val="28"/>
          <w:szCs w:val="28"/>
          <w:highlight w:val="none"/>
        </w:rPr>
      </w:pPr>
      <w:r>
        <w:rPr>
          <w:rFonts w:hint="eastAsia" w:ascii="新宋体" w:hAnsi="新宋体" w:eastAsia="新宋体" w:cs="新宋体"/>
          <w:b/>
          <w:bCs/>
          <w:color w:val="auto"/>
          <w:kern w:val="0"/>
          <w:sz w:val="36"/>
          <w:szCs w:val="36"/>
          <w:highlight w:val="none"/>
          <w:u w:val="none"/>
          <w:lang w:val="en-US" w:eastAsia="zh-CN" w:bidi="ar"/>
        </w:rPr>
        <w:t>竞争性谈判公告</w:t>
      </w:r>
    </w:p>
    <w:tbl>
      <w:tblPr>
        <w:tblStyle w:val="48"/>
        <w:tblW w:w="8534"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534"/>
      </w:tblGrid>
      <w:tr w14:paraId="2BFADA2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431" w:hRule="atLeast"/>
        </w:trPr>
        <w:tc>
          <w:tcPr>
            <w:tcW w:w="8534" w:type="dxa"/>
            <w:vAlign w:val="top"/>
          </w:tcPr>
          <w:p w14:paraId="4D821129">
            <w:pPr>
              <w:pStyle w:val="47"/>
              <w:spacing w:before="58" w:line="188" w:lineRule="auto"/>
              <w:ind w:left="125"/>
              <w:rPr>
                <w:color w:val="auto"/>
              </w:rPr>
            </w:pPr>
            <w:r>
              <w:rPr>
                <w:b/>
                <w:bCs/>
                <w:color w:val="auto"/>
                <w:spacing w:val="-4"/>
              </w:rPr>
              <w:t>项目概况</w:t>
            </w:r>
          </w:p>
          <w:p w14:paraId="1E55CDDE">
            <w:pPr>
              <w:pStyle w:val="47"/>
              <w:spacing w:before="31" w:line="196" w:lineRule="auto"/>
              <w:ind w:left="127" w:right="109" w:firstLine="485"/>
              <w:jc w:val="both"/>
              <w:rPr>
                <w:color w:val="auto"/>
              </w:rPr>
            </w:pPr>
            <w:r>
              <w:rPr>
                <w:rFonts w:hint="eastAsia"/>
                <w:color w:val="auto"/>
                <w:spacing w:val="3"/>
                <w:lang w:val="en-US" w:eastAsia="zh-CN"/>
              </w:rPr>
              <w:t>阿图什市松他克镇中心学校新建改扩建项目（设备采购）</w:t>
            </w:r>
            <w:r>
              <w:rPr>
                <w:color w:val="auto"/>
                <w:spacing w:val="3"/>
              </w:rPr>
              <w:t>的</w:t>
            </w:r>
            <w:r>
              <w:rPr>
                <w:color w:val="auto"/>
                <w:spacing w:val="-9"/>
              </w:rPr>
              <w:t>潜在投标人应在政采云平台获取招标文件，并于202</w:t>
            </w:r>
            <w:r>
              <w:rPr>
                <w:rFonts w:hint="eastAsia"/>
                <w:color w:val="auto"/>
                <w:spacing w:val="-9"/>
                <w:lang w:val="en-US" w:eastAsia="zh-CN"/>
              </w:rPr>
              <w:t>6</w:t>
            </w:r>
            <w:r>
              <w:rPr>
                <w:color w:val="auto"/>
                <w:spacing w:val="-9"/>
              </w:rPr>
              <w:t>年</w:t>
            </w:r>
            <w:r>
              <w:rPr>
                <w:rFonts w:hint="eastAsia"/>
                <w:color w:val="auto"/>
                <w:spacing w:val="-9"/>
                <w:lang w:val="en-US" w:eastAsia="zh-CN"/>
              </w:rPr>
              <w:t>10</w:t>
            </w:r>
            <w:r>
              <w:rPr>
                <w:color w:val="auto"/>
                <w:spacing w:val="-10"/>
              </w:rPr>
              <w:t>月</w:t>
            </w:r>
            <w:r>
              <w:rPr>
                <w:rFonts w:hint="eastAsia"/>
                <w:color w:val="auto"/>
                <w:spacing w:val="-10"/>
                <w:lang w:val="en-US" w:eastAsia="zh-CN"/>
              </w:rPr>
              <w:t>26</w:t>
            </w:r>
            <w:r>
              <w:rPr>
                <w:color w:val="auto"/>
                <w:spacing w:val="-10"/>
              </w:rPr>
              <w:t>日1</w:t>
            </w:r>
            <w:r>
              <w:rPr>
                <w:rFonts w:hint="eastAsia"/>
                <w:color w:val="auto"/>
                <w:spacing w:val="-10"/>
                <w:lang w:val="en-US" w:eastAsia="zh-CN"/>
              </w:rPr>
              <w:t>0</w:t>
            </w:r>
            <w:r>
              <w:rPr>
                <w:color w:val="auto"/>
                <w:spacing w:val="-10"/>
              </w:rPr>
              <w:t>点</w:t>
            </w:r>
            <w:r>
              <w:rPr>
                <w:rFonts w:hint="eastAsia"/>
                <w:color w:val="auto"/>
                <w:spacing w:val="-10"/>
                <w:lang w:val="en-US" w:eastAsia="zh-CN"/>
              </w:rPr>
              <w:t>15</w:t>
            </w:r>
            <w:r>
              <w:rPr>
                <w:color w:val="auto"/>
                <w:spacing w:val="-4"/>
              </w:rPr>
              <w:t>分（北京时间）前上传</w:t>
            </w:r>
            <w:r>
              <w:rPr>
                <w:rFonts w:hint="eastAsia"/>
                <w:color w:val="auto"/>
                <w:spacing w:val="-4"/>
                <w:lang w:val="en-US" w:eastAsia="zh-CN"/>
              </w:rPr>
              <w:t>响应</w:t>
            </w:r>
            <w:r>
              <w:rPr>
                <w:color w:val="auto"/>
                <w:spacing w:val="-4"/>
              </w:rPr>
              <w:t>文件。</w:t>
            </w:r>
          </w:p>
        </w:tc>
      </w:tr>
    </w:tbl>
    <w:p w14:paraId="59C8029A">
      <w:pPr>
        <w:pStyle w:val="21"/>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right="0"/>
        <w:jc w:val="both"/>
        <w:textAlignment w:val="auto"/>
        <w:rPr>
          <w:rFonts w:hint="eastAsia" w:ascii="新宋体" w:hAnsi="新宋体" w:eastAsia="新宋体" w:cs="新宋体"/>
          <w:b/>
          <w:bCs/>
          <w:i w:val="0"/>
          <w:caps w:val="0"/>
          <w:color w:val="auto"/>
          <w:spacing w:val="0"/>
          <w:sz w:val="21"/>
          <w:szCs w:val="21"/>
          <w:highlight w:val="none"/>
        </w:rPr>
      </w:pPr>
    </w:p>
    <w:p w14:paraId="52050BD6">
      <w:pPr>
        <w:pStyle w:val="21"/>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30" w:firstLineChars="200"/>
        <w:jc w:val="both"/>
        <w:textAlignment w:val="auto"/>
        <w:rPr>
          <w:rFonts w:hint="eastAsia" w:ascii="新宋体" w:hAnsi="新宋体" w:eastAsia="新宋体" w:cs="新宋体"/>
          <w:b/>
          <w:bCs/>
          <w:i w:val="0"/>
          <w:caps w:val="0"/>
          <w:color w:val="auto"/>
          <w:spacing w:val="0"/>
          <w:sz w:val="21"/>
          <w:szCs w:val="21"/>
          <w:highlight w:val="none"/>
        </w:rPr>
      </w:pPr>
      <w:r>
        <w:rPr>
          <w:rFonts w:hint="eastAsia" w:ascii="新宋体" w:hAnsi="新宋体" w:eastAsia="新宋体" w:cs="新宋体"/>
          <w:b/>
          <w:bCs/>
          <w:i w:val="0"/>
          <w:caps w:val="0"/>
          <w:color w:val="auto"/>
          <w:spacing w:val="0"/>
          <w:sz w:val="21"/>
          <w:szCs w:val="21"/>
          <w:highlight w:val="none"/>
        </w:rPr>
        <w:t>一、项目基本情况</w:t>
      </w:r>
    </w:p>
    <w:p w14:paraId="0F15D62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项目编号：ATSJXZX-CG-2026126</w:t>
      </w:r>
    </w:p>
    <w:p w14:paraId="67CBC23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项目名称：阿图什市松他克镇中心学校新建改扩建项目（设备采购）</w:t>
      </w:r>
    </w:p>
    <w:p w14:paraId="325D628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采购方式：竞争性谈判</w:t>
      </w:r>
    </w:p>
    <w:p w14:paraId="030DAE6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预算金额（元）：1700000.00</w:t>
      </w:r>
    </w:p>
    <w:p w14:paraId="3B3707A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最高限价（元）：1700000.00</w:t>
      </w:r>
    </w:p>
    <w:p w14:paraId="498862C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采购需求：</w:t>
      </w:r>
    </w:p>
    <w:p w14:paraId="05272AC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标项名称:阿图什市松他克镇中心学校新建改扩建项目（设备采购）</w:t>
      </w:r>
    </w:p>
    <w:p w14:paraId="10E2F24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数量: 1  </w:t>
      </w:r>
    </w:p>
    <w:p w14:paraId="062EA3E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预算金额（元）：1700000.00</w:t>
      </w:r>
    </w:p>
    <w:p w14:paraId="10E6E53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单位：批</w:t>
      </w:r>
    </w:p>
    <w:p w14:paraId="0AC3CA1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简要规格描述或项目基本概况介绍、用途：食堂设备、监控设备、生活设备、等其他设备（数量及参数详见附表）</w:t>
      </w:r>
    </w:p>
    <w:p w14:paraId="14172B8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备注：详见竞争性谈判文件</w:t>
      </w:r>
    </w:p>
    <w:p w14:paraId="3CF3034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合同履行期限：标项1，20天</w:t>
      </w:r>
    </w:p>
    <w:p w14:paraId="21963E6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本项目（否）接受联合体投标</w:t>
      </w:r>
    </w:p>
    <w:p w14:paraId="6F0C6253">
      <w:pPr>
        <w:pStyle w:val="21"/>
        <w:keepNext w:val="0"/>
        <w:keepLines w:val="0"/>
        <w:pageBreakBefore w:val="0"/>
        <w:widowControl/>
        <w:suppressLineNumbers w:val="0"/>
        <w:kinsoku/>
        <w:wordWrap/>
        <w:overflowPunct/>
        <w:topLinePunct w:val="0"/>
        <w:autoSpaceDE w:val="0"/>
        <w:autoSpaceDN/>
        <w:bidi w:val="0"/>
        <w:adjustRightInd/>
        <w:snapToGrid/>
        <w:spacing w:before="255" w:beforeAutospacing="0" w:after="255" w:afterAutospacing="0" w:line="380" w:lineRule="exact"/>
        <w:ind w:left="0" w:right="0" w:firstLine="430" w:firstLineChars="200"/>
        <w:jc w:val="both"/>
        <w:textAlignment w:val="auto"/>
        <w:rPr>
          <w:rFonts w:hint="eastAsia" w:ascii="新宋体" w:hAnsi="新宋体" w:eastAsia="新宋体" w:cs="新宋体"/>
          <w:b/>
          <w:bCs w:val="0"/>
          <w:color w:val="auto"/>
          <w:sz w:val="21"/>
          <w:szCs w:val="21"/>
          <w:highlight w:val="none"/>
        </w:rPr>
      </w:pPr>
      <w:r>
        <w:rPr>
          <w:rFonts w:hint="eastAsia" w:ascii="新宋体" w:hAnsi="新宋体" w:eastAsia="新宋体" w:cs="新宋体"/>
          <w:b/>
          <w:bCs w:val="0"/>
          <w:i w:val="0"/>
          <w:caps w:val="0"/>
          <w:color w:val="auto"/>
          <w:spacing w:val="0"/>
          <w:sz w:val="21"/>
          <w:szCs w:val="21"/>
          <w:highlight w:val="none"/>
        </w:rPr>
        <w:t>二、申请人的资格要求：</w:t>
      </w:r>
    </w:p>
    <w:p w14:paraId="0446A76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1.满足《中华人民共和国政府采购法》第二十二条规定；</w:t>
      </w:r>
    </w:p>
    <w:p w14:paraId="2AC09E3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2.落实政府采购政策需满足的资格要求：标项1：供应商为中小企业。</w:t>
      </w:r>
    </w:p>
    <w:p w14:paraId="25303C1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 xml:space="preserve">3.本项目的特定资格要求：标项1： </w:t>
      </w:r>
    </w:p>
    <w:p w14:paraId="1DC8E7C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（1）具备三证合一营业执照；</w:t>
      </w:r>
      <w:r>
        <w:rPr>
          <w:rFonts w:hint="eastAsia" w:ascii="新宋体" w:hAnsi="新宋体" w:eastAsia="新宋体" w:cs="新宋体"/>
          <w:i w:val="0"/>
          <w:caps w:val="0"/>
          <w:color w:val="auto"/>
          <w:spacing w:val="0"/>
          <w:kern w:val="0"/>
          <w:sz w:val="21"/>
          <w:szCs w:val="21"/>
          <w:highlight w:val="none"/>
          <w:lang w:val="en-US" w:eastAsia="zh-CN"/>
        </w:rPr>
        <w:tab/>
      </w:r>
    </w:p>
    <w:p w14:paraId="087F2E3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（2）法定代表人投标需提供法定代表人资格证明书，委托代理人投标需提供法定代表人授权委托书；</w:t>
      </w:r>
    </w:p>
    <w:p w14:paraId="1EE2D7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（3）投标企业须提供投标人（被授权在职人员）近6个月内任意一个月有效的社保证明；</w:t>
      </w:r>
    </w:p>
    <w:p w14:paraId="741892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（4）未被“信用中国”（www.creditchina.gov.cn）、中国政府采购网（www.ccgp.gov.cn）列入失信被执行人、重大税收违法案件当事人名单、政府采购严重违法失信行为记录名单；</w:t>
      </w:r>
    </w:p>
    <w:p w14:paraId="1E58A671">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三、获取采购文件</w:t>
      </w:r>
    </w:p>
    <w:p w14:paraId="3E26DDF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时间：2026年10月13日至2026年10月19日，每天上午10:00至14:00，下午16:00至20：00（北京时间，法定节假日除外）</w:t>
      </w:r>
    </w:p>
    <w:p w14:paraId="1A76945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地点：登陆政采云平台http://www.zcygov.cn/，在线申请（登录政府采购云平台 → 项目采购 → 获取竞争性谈判文件→申请，审核通过后可下载竞争性谈判文件，如有操作性问题，可与政采云在线客服进行咨询，咨询电话：95763） </w:t>
      </w:r>
    </w:p>
    <w:p w14:paraId="3FAC697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方式：供应商登录政采云平台https://www.zcygov.cn/在线申请获取竞争性谈判文件（进入“项目采购”应用，在获取竞争性谈判文件菜单中选择项目，申请获取竞争性谈判文件）。</w:t>
      </w:r>
    </w:p>
    <w:p w14:paraId="63B810B4">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售价（元）：0</w:t>
      </w:r>
    </w:p>
    <w:p w14:paraId="44272D5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四、响应文件提交</w:t>
      </w:r>
    </w:p>
    <w:p w14:paraId="462213CB">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val="0"/>
          <w:bCs w:val="0"/>
          <w:color w:val="auto"/>
          <w:kern w:val="0"/>
          <w:sz w:val="21"/>
          <w:szCs w:val="21"/>
          <w:highlight w:val="none"/>
          <w:u w:val="none"/>
          <w:lang w:val="en-US" w:eastAsia="zh-CN" w:bidi="ar"/>
        </w:rPr>
      </w:pPr>
      <w:r>
        <w:rPr>
          <w:rFonts w:hint="eastAsia" w:ascii="新宋体" w:hAnsi="新宋体" w:eastAsia="新宋体" w:cs="新宋体"/>
          <w:b w:val="0"/>
          <w:bCs w:val="0"/>
          <w:color w:val="auto"/>
          <w:kern w:val="0"/>
          <w:sz w:val="21"/>
          <w:szCs w:val="21"/>
          <w:highlight w:val="none"/>
          <w:u w:val="none"/>
          <w:lang w:val="en-US" w:eastAsia="zh-CN" w:bidi="ar"/>
        </w:rPr>
        <w:t>截止时间：2026年10月26日 10:15（北京时间）</w:t>
      </w:r>
    </w:p>
    <w:p w14:paraId="1023D415">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val="0"/>
          <w:bCs w:val="0"/>
          <w:color w:val="auto"/>
          <w:kern w:val="0"/>
          <w:sz w:val="21"/>
          <w:szCs w:val="21"/>
          <w:highlight w:val="none"/>
          <w:u w:val="none"/>
          <w:lang w:val="en-US" w:eastAsia="zh-CN" w:bidi="ar"/>
        </w:rPr>
      </w:pPr>
      <w:r>
        <w:rPr>
          <w:rFonts w:hint="eastAsia" w:ascii="新宋体" w:hAnsi="新宋体" w:eastAsia="新宋体" w:cs="新宋体"/>
          <w:b w:val="0"/>
          <w:bCs w:val="0"/>
          <w:color w:val="auto"/>
          <w:kern w:val="0"/>
          <w:sz w:val="21"/>
          <w:szCs w:val="21"/>
          <w:highlight w:val="none"/>
          <w:u w:val="none"/>
          <w:lang w:val="en-US" w:eastAsia="zh-CN" w:bidi="ar"/>
        </w:rPr>
        <w:t>地点：请登录政采云投标客户端投标</w:t>
      </w:r>
    </w:p>
    <w:p w14:paraId="5A5A01B8">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五、响应文件开启</w:t>
      </w:r>
    </w:p>
    <w:p w14:paraId="0F99BB3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开启时间：2026年10月26日 10:15（北京时间）</w:t>
      </w:r>
    </w:p>
    <w:p w14:paraId="7F53B3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地点：投标人登录政采云平台https://www.zcygov.cn/，进入“项目采购-开标评标-右边选择对应项目点击“进入项目”进入开标大厅</w:t>
      </w:r>
    </w:p>
    <w:p w14:paraId="0FCF7DD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六、公告期限</w:t>
      </w:r>
    </w:p>
    <w:p w14:paraId="752A7B7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自本公告发布之日起3个工作日</w:t>
      </w:r>
    </w:p>
    <w:p w14:paraId="2E678303">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七、其他补充事宜</w:t>
      </w:r>
    </w:p>
    <w:p w14:paraId="5F59063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1、本项目实行网上投标，采用电子投标文件。</w:t>
      </w:r>
    </w:p>
    <w:p w14:paraId="5671E36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CA服务热线4000921999；翔晟CA服务热线025-66085508。</w:t>
      </w:r>
    </w:p>
    <w:p w14:paraId="1ABC97D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31A3B9A5">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4、其他事项：/</w:t>
      </w:r>
    </w:p>
    <w:p w14:paraId="1A8B5A7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ascii="仿宋" w:hAnsi="仿宋" w:eastAsia="仿宋" w:cs="仿宋"/>
          <w:i w:val="0"/>
          <w:iCs w:val="0"/>
          <w:caps w:val="0"/>
          <w:color w:val="auto"/>
          <w:spacing w:val="0"/>
          <w:kern w:val="0"/>
          <w:sz w:val="21"/>
          <w:szCs w:val="21"/>
          <w:highlight w:val="none"/>
          <w:lang w:val="en-US" w:eastAsia="zh-CN" w:bidi="ar"/>
        </w:rPr>
      </w:pPr>
      <w:r>
        <w:rPr>
          <w:rFonts w:ascii="仿宋" w:hAnsi="仿宋" w:eastAsia="仿宋" w:cs="仿宋"/>
          <w:i w:val="0"/>
          <w:iCs w:val="0"/>
          <w:caps w:val="0"/>
          <w:color w:val="auto"/>
          <w:spacing w:val="0"/>
          <w:kern w:val="0"/>
          <w:sz w:val="21"/>
          <w:szCs w:val="21"/>
          <w:highlight w:val="none"/>
          <w:lang w:val="en-US" w:eastAsia="zh-CN" w:bidi="ar"/>
        </w:rPr>
        <w:t>特别提示：</w:t>
      </w:r>
      <w:r>
        <w:rPr>
          <w:rFonts w:hint="eastAsia" w:ascii="仿宋" w:hAnsi="仿宋" w:eastAsia="仿宋" w:cs="仿宋"/>
          <w:i w:val="0"/>
          <w:iCs w:val="0"/>
          <w:caps w:val="0"/>
          <w:color w:val="auto"/>
          <w:spacing w:val="0"/>
          <w:kern w:val="0"/>
          <w:sz w:val="21"/>
          <w:szCs w:val="21"/>
          <w:highlight w:val="none"/>
          <w:lang w:val="en-US" w:eastAsia="zh-CN" w:bidi="ar"/>
        </w:rPr>
        <w:br w:type="textWrapping"/>
      </w:r>
      <w:r>
        <w:rPr>
          <w:rFonts w:hint="eastAsia" w:ascii="仿宋" w:hAnsi="仿宋" w:eastAsia="仿宋" w:cs="仿宋"/>
          <w:i w:val="0"/>
          <w:iCs w:val="0"/>
          <w:caps w:val="0"/>
          <w:color w:val="auto"/>
          <w:spacing w:val="0"/>
          <w:kern w:val="0"/>
          <w:sz w:val="21"/>
          <w:szCs w:val="21"/>
          <w:highlight w:val="none"/>
          <w:lang w:val="en-US" w:eastAsia="zh-CN" w:bidi="ar"/>
        </w:rPr>
        <w:t>1、采购限额标准以上，200万元以下的货物和服务采购项目、400万元以下的工程采购项目，适宜由中小企业提供的，采购人应当专门面向中小企业采购。</w:t>
      </w:r>
    </w:p>
    <w:p w14:paraId="0FC3291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2、超过200万元的货物和服务采购项目，预留该部分采购项目预算总额的30%以上专门面向中小企业采购，其中预留给小微企业的比例不低于60%。</w:t>
      </w:r>
    </w:p>
    <w:p w14:paraId="18B7DC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3、超过400万元的工程采购项目中适宜由中小企业提供的，预留该部分采购项目预算总额的40%以上专门面向中小企业采购，其中预留给小微企业的比例不低于60%。</w:t>
      </w:r>
    </w:p>
    <w:p w14:paraId="6305539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4EE8E2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04B4FE8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 xml:space="preserve">八、对本次采购提出询问，请按以下方式联系 </w:t>
      </w:r>
      <w:r>
        <w:rPr>
          <w:rFonts w:hint="eastAsia" w:ascii="新宋体" w:hAnsi="新宋体" w:eastAsia="新宋体" w:cs="新宋体"/>
          <w:color w:val="auto"/>
          <w:kern w:val="0"/>
          <w:sz w:val="21"/>
          <w:szCs w:val="21"/>
          <w:highlight w:val="none"/>
          <w:u w:val="none"/>
          <w:lang w:val="en-US" w:eastAsia="zh-CN" w:bidi="ar"/>
        </w:rPr>
        <w:t xml:space="preserve">        </w:t>
      </w:r>
    </w:p>
    <w:p w14:paraId="6868A46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1.采购人信息</w:t>
      </w:r>
    </w:p>
    <w:p w14:paraId="091C3E08">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名    称：阿图什市教育局         </w:t>
      </w:r>
    </w:p>
    <w:p w14:paraId="27027CED">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地    址：阿图什市 </w:t>
      </w:r>
    </w:p>
    <w:p w14:paraId="025F55E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联系方式：18199726032 </w:t>
      </w:r>
    </w:p>
    <w:p w14:paraId="1B71D06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2.采购代理机构信息</w:t>
      </w:r>
    </w:p>
    <w:p w14:paraId="0FE071CC">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名    称：新疆融联通达工程项目管理有限公司    </w:t>
      </w:r>
    </w:p>
    <w:p w14:paraId="541156A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地    址：新疆阿图什市友谊北路23号         </w:t>
      </w:r>
    </w:p>
    <w:p w14:paraId="67DD59D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联系方式：13909955772 </w:t>
      </w:r>
    </w:p>
    <w:p w14:paraId="7A395614">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3.项目联系方式</w:t>
      </w:r>
    </w:p>
    <w:p w14:paraId="7307ED4A">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项目联系人：张先生</w:t>
      </w:r>
    </w:p>
    <w:p w14:paraId="3D2E5301">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电 话：13909955772</w:t>
      </w:r>
    </w:p>
    <w:p w14:paraId="3CAF6E09">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490" w:firstLineChars="200"/>
        <w:jc w:val="left"/>
        <w:textAlignment w:val="auto"/>
        <w:rPr>
          <w:rFonts w:hint="eastAsia" w:ascii="仿宋" w:hAnsi="仿宋" w:eastAsia="仿宋" w:cs="仿宋"/>
          <w:i w:val="0"/>
          <w:iCs w:val="0"/>
          <w:caps w:val="0"/>
          <w:color w:val="auto"/>
          <w:spacing w:val="0"/>
          <w:sz w:val="24"/>
          <w:szCs w:val="24"/>
          <w:highlight w:val="none"/>
        </w:rPr>
      </w:pPr>
    </w:p>
    <w:p w14:paraId="341A9E2A">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highlight w:val="none"/>
        </w:rPr>
      </w:pPr>
    </w:p>
    <w:p w14:paraId="688E979E">
      <w:pPr>
        <w:pStyle w:val="7"/>
        <w:rPr>
          <w:rFonts w:hint="eastAsia"/>
        </w:rPr>
      </w:pPr>
    </w:p>
    <w:p w14:paraId="5BF2542F">
      <w:pPr>
        <w:pageBreakBefore w:val="0"/>
        <w:kinsoku/>
        <w:wordWrap/>
        <w:overflowPunct/>
        <w:topLinePunct w:val="0"/>
        <w:autoSpaceDE/>
        <w:autoSpaceDN/>
        <w:bidi w:val="0"/>
        <w:spacing w:line="440" w:lineRule="exact"/>
        <w:ind w:firstLine="365" w:firstLineChars="100"/>
        <w:jc w:val="center"/>
        <w:rPr>
          <w:rFonts w:ascii="仿宋" w:hAnsi="仿宋" w:eastAsia="仿宋" w:cs="仿宋"/>
          <w:color w:val="auto"/>
          <w:sz w:val="36"/>
          <w:szCs w:val="36"/>
          <w:highlight w:val="none"/>
        </w:rPr>
      </w:pPr>
      <w:r>
        <w:rPr>
          <w:rFonts w:hint="eastAsia" w:ascii="仿宋" w:hAnsi="仿宋" w:eastAsia="仿宋" w:cs="仿宋"/>
          <w:b/>
          <w:bCs/>
          <w:color w:val="auto"/>
          <w:sz w:val="36"/>
          <w:szCs w:val="36"/>
          <w:highlight w:val="none"/>
        </w:rPr>
        <w:t>第二部分供应商须知</w:t>
      </w:r>
    </w:p>
    <w:p w14:paraId="12E0E218">
      <w:pPr>
        <w:pStyle w:val="34"/>
        <w:spacing w:after="0"/>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须知前附表</w:t>
      </w:r>
    </w:p>
    <w:tbl>
      <w:tblPr>
        <w:tblStyle w:val="23"/>
        <w:tblW w:w="9888" w:type="dxa"/>
        <w:jc w:val="center"/>
        <w:tblLayout w:type="fixed"/>
        <w:tblCellMar>
          <w:top w:w="0" w:type="dxa"/>
          <w:left w:w="108" w:type="dxa"/>
          <w:bottom w:w="0" w:type="dxa"/>
          <w:right w:w="108" w:type="dxa"/>
        </w:tblCellMar>
      </w:tblPr>
      <w:tblGrid>
        <w:gridCol w:w="784"/>
        <w:gridCol w:w="1818"/>
        <w:gridCol w:w="7286"/>
      </w:tblGrid>
      <w:tr w14:paraId="68968CB6">
        <w:tblPrEx>
          <w:tblCellMar>
            <w:top w:w="0" w:type="dxa"/>
            <w:left w:w="108" w:type="dxa"/>
            <w:bottom w:w="0" w:type="dxa"/>
            <w:right w:w="108" w:type="dxa"/>
          </w:tblCellMar>
        </w:tblPrEx>
        <w:trPr>
          <w:trHeight w:val="54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C13FE78">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 号</w:t>
            </w:r>
          </w:p>
        </w:tc>
        <w:tc>
          <w:tcPr>
            <w:tcW w:w="1818" w:type="dxa"/>
            <w:tcBorders>
              <w:top w:val="single" w:color="auto" w:sz="4" w:space="0"/>
              <w:left w:val="single" w:color="auto" w:sz="4" w:space="0"/>
              <w:bottom w:val="single" w:color="auto" w:sz="4" w:space="0"/>
              <w:right w:val="single" w:color="auto" w:sz="4" w:space="0"/>
            </w:tcBorders>
            <w:vAlign w:val="center"/>
          </w:tcPr>
          <w:p w14:paraId="6F344702">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名  称</w:t>
            </w:r>
          </w:p>
        </w:tc>
        <w:tc>
          <w:tcPr>
            <w:tcW w:w="7286" w:type="dxa"/>
            <w:tcBorders>
              <w:top w:val="single" w:color="auto" w:sz="4" w:space="0"/>
              <w:left w:val="single" w:color="auto" w:sz="4" w:space="0"/>
              <w:bottom w:val="single" w:color="auto" w:sz="4" w:space="0"/>
              <w:right w:val="single" w:color="auto" w:sz="4" w:space="0"/>
            </w:tcBorders>
            <w:vAlign w:val="center"/>
          </w:tcPr>
          <w:p w14:paraId="2FE8B9AC">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  列  内  容</w:t>
            </w:r>
          </w:p>
        </w:tc>
      </w:tr>
      <w:tr w14:paraId="3237DB8D">
        <w:tblPrEx>
          <w:tblCellMar>
            <w:top w:w="0" w:type="dxa"/>
            <w:left w:w="108" w:type="dxa"/>
            <w:bottom w:w="0" w:type="dxa"/>
            <w:right w:w="108" w:type="dxa"/>
          </w:tblCellMar>
        </w:tblPrEx>
        <w:trPr>
          <w:trHeight w:val="190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28FACE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w:t>
            </w:r>
          </w:p>
        </w:tc>
        <w:tc>
          <w:tcPr>
            <w:tcW w:w="1818" w:type="dxa"/>
            <w:tcBorders>
              <w:top w:val="single" w:color="auto" w:sz="4" w:space="0"/>
              <w:left w:val="single" w:color="auto" w:sz="4" w:space="0"/>
              <w:bottom w:val="single" w:color="auto" w:sz="4" w:space="0"/>
              <w:right w:val="single" w:color="auto" w:sz="4" w:space="0"/>
            </w:tcBorders>
            <w:vAlign w:val="center"/>
          </w:tcPr>
          <w:p w14:paraId="2390D09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项目名称</w:t>
            </w:r>
          </w:p>
          <w:p w14:paraId="3E4B5FFC">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项目编号</w:t>
            </w:r>
          </w:p>
          <w:p w14:paraId="4A18681F">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采购内容</w:t>
            </w:r>
          </w:p>
          <w:p w14:paraId="3BFDA5AE">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供货期</w:t>
            </w:r>
          </w:p>
        </w:tc>
        <w:tc>
          <w:tcPr>
            <w:tcW w:w="7286" w:type="dxa"/>
            <w:tcBorders>
              <w:top w:val="single" w:color="auto" w:sz="4" w:space="0"/>
              <w:left w:val="single" w:color="auto" w:sz="4" w:space="0"/>
              <w:bottom w:val="single" w:color="auto" w:sz="4" w:space="0"/>
              <w:right w:val="single" w:color="auto" w:sz="4" w:space="0"/>
            </w:tcBorders>
            <w:vAlign w:val="center"/>
          </w:tcPr>
          <w:p w14:paraId="63F143E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项目名称：</w:t>
            </w:r>
            <w:r>
              <w:rPr>
                <w:rFonts w:hint="eastAsia" w:hAnsi="宋体" w:eastAsia="宋体" w:cs="宋体"/>
                <w:color w:val="auto"/>
                <w:sz w:val="21"/>
                <w:szCs w:val="21"/>
                <w:highlight w:val="none"/>
                <w:u w:val="none" w:color="000000"/>
                <w:lang w:val="en-US" w:eastAsia="zh-CN" w:bidi="en-US"/>
              </w:rPr>
              <w:t>阿图什市松他克镇中心学校新建改扩建项目（设备采购）</w:t>
            </w:r>
          </w:p>
          <w:p w14:paraId="0856D37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项目编号：</w:t>
            </w:r>
            <w:r>
              <w:rPr>
                <w:rFonts w:hint="eastAsia" w:hAnsi="宋体" w:eastAsia="宋体" w:cs="宋体"/>
                <w:color w:val="auto"/>
                <w:sz w:val="21"/>
                <w:szCs w:val="21"/>
                <w:highlight w:val="none"/>
                <w:u w:val="none" w:color="000000"/>
                <w:lang w:val="en-US" w:eastAsia="zh-CN" w:bidi="en-US"/>
              </w:rPr>
              <w:t>ATSJXZX-CG-2026126</w:t>
            </w:r>
            <w:r>
              <w:rPr>
                <w:rFonts w:hint="eastAsia" w:ascii="宋体" w:hAnsi="宋体" w:eastAsia="宋体" w:cs="宋体"/>
                <w:color w:val="auto"/>
                <w:sz w:val="21"/>
                <w:szCs w:val="21"/>
                <w:highlight w:val="none"/>
                <w:u w:val="none" w:color="000000"/>
                <w:lang w:val="en-US" w:eastAsia="zh-CN" w:bidi="en-US"/>
              </w:rPr>
              <w:t xml:space="preserve"> </w:t>
            </w:r>
          </w:p>
          <w:p w14:paraId="47F1F11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采购内容：</w:t>
            </w:r>
            <w:r>
              <w:rPr>
                <w:rFonts w:hint="eastAsia" w:hAnsi="宋体" w:eastAsia="宋体" w:cs="宋体"/>
                <w:color w:val="auto"/>
                <w:sz w:val="21"/>
                <w:szCs w:val="21"/>
                <w:highlight w:val="none"/>
                <w:u w:val="none" w:color="000000"/>
                <w:lang w:val="en-US" w:eastAsia="zh-CN" w:bidi="en-US"/>
              </w:rPr>
              <w:t>食堂设备、监控设备、生活设备、等其他设备（数量及参数详见附表）</w:t>
            </w:r>
          </w:p>
          <w:p w14:paraId="377E410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供货期：</w:t>
            </w:r>
            <w:r>
              <w:rPr>
                <w:rFonts w:hint="eastAsia" w:hAnsi="宋体" w:eastAsia="宋体" w:cs="宋体"/>
                <w:color w:val="auto"/>
                <w:sz w:val="21"/>
                <w:szCs w:val="21"/>
                <w:highlight w:val="none"/>
                <w:u w:val="none" w:color="000000"/>
                <w:lang w:val="en-US" w:eastAsia="zh-CN" w:bidi="en-US"/>
              </w:rPr>
              <w:t>20天</w:t>
            </w:r>
            <w:r>
              <w:rPr>
                <w:rFonts w:hint="eastAsia" w:ascii="宋体" w:hAnsi="宋体" w:eastAsia="宋体" w:cs="宋体"/>
                <w:color w:val="auto"/>
                <w:sz w:val="21"/>
                <w:szCs w:val="21"/>
                <w:highlight w:val="none"/>
                <w:u w:val="none" w:color="000000"/>
                <w:lang w:val="en-US" w:eastAsia="zh-CN" w:bidi="en-US"/>
              </w:rPr>
              <w:t xml:space="preserve"> </w:t>
            </w:r>
          </w:p>
        </w:tc>
      </w:tr>
      <w:tr w14:paraId="5C934260">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A243E5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w:t>
            </w:r>
          </w:p>
        </w:tc>
        <w:tc>
          <w:tcPr>
            <w:tcW w:w="1818" w:type="dxa"/>
            <w:tcBorders>
              <w:top w:val="single" w:color="auto" w:sz="4" w:space="0"/>
              <w:left w:val="single" w:color="auto" w:sz="4" w:space="0"/>
              <w:bottom w:val="single" w:color="auto" w:sz="4" w:space="0"/>
              <w:right w:val="single" w:color="auto" w:sz="4" w:space="0"/>
            </w:tcBorders>
            <w:vAlign w:val="center"/>
          </w:tcPr>
          <w:p w14:paraId="20F9413F">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采购人信息</w:t>
            </w:r>
          </w:p>
        </w:tc>
        <w:tc>
          <w:tcPr>
            <w:tcW w:w="7286" w:type="dxa"/>
            <w:tcBorders>
              <w:top w:val="single" w:color="auto" w:sz="4" w:space="0"/>
              <w:left w:val="single" w:color="auto" w:sz="4" w:space="0"/>
              <w:bottom w:val="single" w:color="auto" w:sz="4" w:space="0"/>
              <w:right w:val="single" w:color="auto" w:sz="4" w:space="0"/>
            </w:tcBorders>
            <w:vAlign w:val="center"/>
          </w:tcPr>
          <w:p w14:paraId="689615B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名  称：</w:t>
            </w:r>
            <w:r>
              <w:rPr>
                <w:rFonts w:hint="eastAsia" w:hAnsi="宋体" w:eastAsia="宋体" w:cs="宋体"/>
                <w:color w:val="auto"/>
                <w:sz w:val="21"/>
                <w:szCs w:val="21"/>
                <w:highlight w:val="none"/>
                <w:u w:val="none" w:color="000000"/>
                <w:lang w:val="en-US" w:eastAsia="zh-CN" w:bidi="en-US"/>
              </w:rPr>
              <w:t>阿图什市教育局</w:t>
            </w:r>
          </w:p>
          <w:p w14:paraId="679DF2C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联系人：</w:t>
            </w:r>
            <w:r>
              <w:rPr>
                <w:rFonts w:hint="eastAsia" w:hAnsi="宋体" w:eastAsia="宋体" w:cs="宋体"/>
                <w:color w:val="auto"/>
                <w:sz w:val="21"/>
                <w:szCs w:val="21"/>
                <w:highlight w:val="none"/>
                <w:u w:val="none" w:color="000000"/>
                <w:lang w:val="en-US" w:eastAsia="zh-CN" w:bidi="en-US"/>
              </w:rPr>
              <w:t>沙先生</w:t>
            </w:r>
            <w:r>
              <w:rPr>
                <w:rFonts w:hint="eastAsia" w:ascii="宋体" w:hAnsi="宋体" w:eastAsia="宋体" w:cs="宋体"/>
                <w:color w:val="auto"/>
                <w:sz w:val="21"/>
                <w:szCs w:val="21"/>
                <w:highlight w:val="none"/>
                <w:u w:val="none" w:color="000000"/>
                <w:lang w:val="en-US" w:eastAsia="zh-CN" w:bidi="en-US"/>
              </w:rPr>
              <w:t xml:space="preserve">     </w:t>
            </w:r>
          </w:p>
          <w:p w14:paraId="53CF707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bookmarkStart w:id="45" w:name="_GoBack"/>
            <w:bookmarkEnd w:id="45"/>
            <w:r>
              <w:rPr>
                <w:rFonts w:hint="eastAsia" w:ascii="宋体" w:hAnsi="宋体" w:eastAsia="宋体" w:cs="宋体"/>
                <w:color w:val="auto"/>
                <w:sz w:val="21"/>
                <w:szCs w:val="21"/>
                <w:highlight w:val="none"/>
                <w:u w:val="none" w:color="000000"/>
                <w:lang w:val="en-US" w:eastAsia="zh-CN" w:bidi="en-US"/>
              </w:rPr>
              <w:t>电  话：</w:t>
            </w:r>
            <w:r>
              <w:rPr>
                <w:rFonts w:hint="eastAsia" w:hAnsi="宋体" w:eastAsia="宋体" w:cs="宋体"/>
                <w:color w:val="auto"/>
                <w:sz w:val="21"/>
                <w:szCs w:val="21"/>
                <w:highlight w:val="none"/>
                <w:u w:val="none" w:color="000000"/>
                <w:lang w:val="en-US" w:eastAsia="zh-CN" w:bidi="en-US"/>
              </w:rPr>
              <w:t>18199726032</w:t>
            </w:r>
          </w:p>
        </w:tc>
      </w:tr>
      <w:tr w14:paraId="0AC5DFF8">
        <w:tblPrEx>
          <w:tblCellMar>
            <w:top w:w="0" w:type="dxa"/>
            <w:left w:w="108" w:type="dxa"/>
            <w:bottom w:w="0" w:type="dxa"/>
            <w:right w:w="108" w:type="dxa"/>
          </w:tblCellMar>
        </w:tblPrEx>
        <w:trPr>
          <w:trHeight w:val="87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915C3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w:t>
            </w:r>
          </w:p>
        </w:tc>
        <w:tc>
          <w:tcPr>
            <w:tcW w:w="1818" w:type="dxa"/>
            <w:tcBorders>
              <w:top w:val="single" w:color="auto" w:sz="4" w:space="0"/>
              <w:left w:val="single" w:color="auto" w:sz="4" w:space="0"/>
              <w:bottom w:val="single" w:color="auto" w:sz="4" w:space="0"/>
              <w:right w:val="single" w:color="auto" w:sz="4" w:space="0"/>
            </w:tcBorders>
            <w:vAlign w:val="center"/>
          </w:tcPr>
          <w:p w14:paraId="4EC3A634">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采购代理机构</w:t>
            </w:r>
          </w:p>
        </w:tc>
        <w:tc>
          <w:tcPr>
            <w:tcW w:w="7286" w:type="dxa"/>
            <w:tcBorders>
              <w:top w:val="single" w:color="auto" w:sz="4" w:space="0"/>
              <w:left w:val="single" w:color="auto" w:sz="4" w:space="0"/>
              <w:bottom w:val="single" w:color="auto" w:sz="4" w:space="0"/>
              <w:right w:val="single" w:color="auto" w:sz="4" w:space="0"/>
            </w:tcBorders>
            <w:vAlign w:val="center"/>
          </w:tcPr>
          <w:p w14:paraId="32A9DD1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名  称：</w:t>
            </w:r>
            <w:r>
              <w:rPr>
                <w:rFonts w:hint="eastAsia" w:hAnsi="宋体" w:eastAsia="宋体" w:cs="宋体"/>
                <w:color w:val="auto"/>
                <w:sz w:val="21"/>
                <w:szCs w:val="21"/>
                <w:highlight w:val="none"/>
                <w:u w:val="none" w:color="000000"/>
                <w:lang w:val="en-US" w:eastAsia="zh-CN" w:bidi="en-US"/>
              </w:rPr>
              <w:t>新疆融联通达工程项目管理有限公司</w:t>
            </w:r>
          </w:p>
          <w:p w14:paraId="3F9AA47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地  址：</w:t>
            </w:r>
            <w:r>
              <w:rPr>
                <w:rFonts w:hint="eastAsia" w:hAnsi="宋体" w:eastAsia="宋体" w:cs="宋体"/>
                <w:color w:val="auto"/>
                <w:sz w:val="21"/>
                <w:szCs w:val="21"/>
                <w:highlight w:val="none"/>
                <w:u w:val="none" w:color="000000"/>
                <w:lang w:val="en-US" w:eastAsia="zh-CN" w:bidi="en-US"/>
              </w:rPr>
              <w:t>新疆阿图什市友谊北路23号</w:t>
            </w:r>
            <w:r>
              <w:rPr>
                <w:rFonts w:hint="eastAsia" w:ascii="宋体" w:hAnsi="宋体" w:eastAsia="宋体" w:cs="宋体"/>
                <w:color w:val="auto"/>
                <w:sz w:val="21"/>
                <w:szCs w:val="21"/>
                <w:highlight w:val="none"/>
                <w:u w:val="none" w:color="000000"/>
                <w:lang w:val="en-US" w:eastAsia="zh-CN" w:bidi="en-US"/>
              </w:rPr>
              <w:t xml:space="preserve"> </w:t>
            </w:r>
          </w:p>
          <w:p w14:paraId="6883E03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联系人：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 xml:space="preserve">  联系电话：</w:t>
            </w:r>
            <w:r>
              <w:rPr>
                <w:rFonts w:hint="eastAsia" w:hAnsi="宋体" w:eastAsia="宋体" w:cs="宋体"/>
                <w:color w:val="auto"/>
                <w:sz w:val="21"/>
                <w:szCs w:val="21"/>
                <w:highlight w:val="none"/>
                <w:u w:val="none" w:color="000000"/>
                <w:lang w:val="en-US" w:eastAsia="zh-CN" w:bidi="en-US"/>
              </w:rPr>
              <w:t>13909955772</w:t>
            </w:r>
          </w:p>
        </w:tc>
      </w:tr>
      <w:tr w14:paraId="50A7622B">
        <w:tblPrEx>
          <w:tblCellMar>
            <w:top w:w="0" w:type="dxa"/>
            <w:left w:w="108" w:type="dxa"/>
            <w:bottom w:w="0" w:type="dxa"/>
            <w:right w:w="108" w:type="dxa"/>
          </w:tblCellMar>
        </w:tblPrEx>
        <w:trPr>
          <w:trHeight w:val="14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BB08118">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4</w:t>
            </w:r>
          </w:p>
        </w:tc>
        <w:tc>
          <w:tcPr>
            <w:tcW w:w="1818" w:type="dxa"/>
            <w:tcBorders>
              <w:top w:val="single" w:color="auto" w:sz="4" w:space="0"/>
              <w:left w:val="single" w:color="auto" w:sz="4" w:space="0"/>
              <w:bottom w:val="single" w:color="auto" w:sz="4" w:space="0"/>
              <w:right w:val="single" w:color="auto" w:sz="4" w:space="0"/>
            </w:tcBorders>
            <w:vAlign w:val="center"/>
          </w:tcPr>
          <w:p w14:paraId="66D6B12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最终交货地点</w:t>
            </w:r>
          </w:p>
        </w:tc>
        <w:tc>
          <w:tcPr>
            <w:tcW w:w="7286" w:type="dxa"/>
            <w:tcBorders>
              <w:top w:val="single" w:color="auto" w:sz="4" w:space="0"/>
              <w:left w:val="single" w:color="auto" w:sz="4" w:space="0"/>
              <w:bottom w:val="single" w:color="auto" w:sz="4" w:space="0"/>
              <w:right w:val="single" w:color="auto" w:sz="4" w:space="0"/>
            </w:tcBorders>
            <w:vAlign w:val="center"/>
          </w:tcPr>
          <w:p w14:paraId="49D5F24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采购单位指定地点</w:t>
            </w:r>
          </w:p>
        </w:tc>
      </w:tr>
      <w:tr w14:paraId="3A1FB1BE">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FA8F4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5</w:t>
            </w:r>
          </w:p>
        </w:tc>
        <w:tc>
          <w:tcPr>
            <w:tcW w:w="1818" w:type="dxa"/>
            <w:tcBorders>
              <w:top w:val="single" w:color="auto" w:sz="4" w:space="0"/>
              <w:left w:val="single" w:color="auto" w:sz="4" w:space="0"/>
              <w:bottom w:val="single" w:color="auto" w:sz="4" w:space="0"/>
              <w:right w:val="single" w:color="auto" w:sz="4" w:space="0"/>
            </w:tcBorders>
            <w:vAlign w:val="center"/>
          </w:tcPr>
          <w:p w14:paraId="504A6248">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资格要求</w:t>
            </w:r>
          </w:p>
        </w:tc>
        <w:tc>
          <w:tcPr>
            <w:tcW w:w="7286" w:type="dxa"/>
            <w:tcBorders>
              <w:top w:val="single" w:color="auto" w:sz="4" w:space="0"/>
              <w:left w:val="single" w:color="auto" w:sz="4" w:space="0"/>
              <w:bottom w:val="single" w:color="auto" w:sz="4" w:space="0"/>
              <w:right w:val="single" w:color="auto" w:sz="4" w:space="0"/>
            </w:tcBorders>
            <w:vAlign w:val="center"/>
          </w:tcPr>
          <w:p w14:paraId="7B0B0AF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1.满足《中华人民共和国政府采购法》第二十二条规定；</w:t>
            </w:r>
          </w:p>
          <w:p w14:paraId="2BDEE9B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2.落实政府采购政策需满足的资格要求：供应商为中小企业。 </w:t>
            </w:r>
          </w:p>
          <w:p w14:paraId="27E752C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3.本项目的特定资格要求：</w:t>
            </w:r>
          </w:p>
          <w:p w14:paraId="7D889AE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w:t>
            </w:r>
            <w:r>
              <w:rPr>
                <w:rFonts w:hint="eastAsia" w:hAnsi="宋体" w:eastAsia="宋体" w:cs="宋体"/>
                <w:color w:val="auto"/>
                <w:sz w:val="21"/>
                <w:szCs w:val="21"/>
                <w:highlight w:val="none"/>
                <w:u w:val="none" w:color="000000"/>
                <w:lang w:val="en-US" w:eastAsia="zh-CN" w:bidi="en-US"/>
              </w:rPr>
              <w:t>具备三证合一营业执照</w:t>
            </w:r>
            <w:r>
              <w:rPr>
                <w:rFonts w:hint="eastAsia" w:ascii="宋体" w:hAnsi="宋体" w:eastAsia="宋体" w:cs="宋体"/>
                <w:color w:val="auto"/>
                <w:sz w:val="21"/>
                <w:szCs w:val="21"/>
                <w:highlight w:val="none"/>
                <w:u w:val="none" w:color="000000"/>
                <w:lang w:val="en-US" w:eastAsia="zh-CN" w:bidi="en-US"/>
              </w:rPr>
              <w:t>；</w:t>
            </w:r>
            <w:r>
              <w:rPr>
                <w:rFonts w:hint="eastAsia" w:ascii="宋体" w:hAnsi="宋体" w:eastAsia="宋体" w:cs="宋体"/>
                <w:color w:val="auto"/>
                <w:sz w:val="21"/>
                <w:szCs w:val="21"/>
                <w:highlight w:val="none"/>
                <w:u w:val="none" w:color="000000"/>
                <w:lang w:val="en-US" w:eastAsia="zh-CN" w:bidi="en-US"/>
              </w:rPr>
              <w:tab/>
            </w:r>
          </w:p>
          <w:p w14:paraId="621B6CF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（2）法定代表人投标需提供法定代表人资格证明书，委托代理人投标需提供法定代表人授权委托书；</w:t>
            </w:r>
          </w:p>
          <w:p w14:paraId="1E0713B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（3）投标企业须提供投标人（被授权在职人员）近6个月内任意一个月有效的社保证明；</w:t>
            </w:r>
          </w:p>
          <w:p w14:paraId="78A622C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（4）未被“信用中国”（www.creditchina.gov.cn）、中国政府采购网（www.ccgp.gov.cn）列入失信被执行人、重大税收违法案件当事人名单、政府采购严重违法失信行为记录名单；</w:t>
            </w:r>
          </w:p>
          <w:p w14:paraId="53BD4B7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5</w:t>
            </w:r>
            <w:r>
              <w:rPr>
                <w:rFonts w:hint="eastAsia" w:ascii="宋体" w:hAnsi="宋体" w:eastAsia="宋体" w:cs="宋体"/>
                <w:color w:val="auto"/>
                <w:sz w:val="21"/>
                <w:szCs w:val="21"/>
                <w:highlight w:val="none"/>
                <w:u w:val="none" w:color="000000"/>
                <w:lang w:val="en-US" w:eastAsia="zh-CN" w:bidi="en-US"/>
              </w:rPr>
              <w:t>）供应商须提供中小企业声明函；</w:t>
            </w:r>
          </w:p>
          <w:p w14:paraId="6DBBE40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）投标保证金缴纳凭证或保函等票据。</w:t>
            </w:r>
          </w:p>
          <w:p w14:paraId="4BF552E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4.本项目不接受联合体投标。</w:t>
            </w:r>
          </w:p>
        </w:tc>
      </w:tr>
      <w:tr w14:paraId="0EE7B473">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793E480">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6</w:t>
            </w:r>
          </w:p>
        </w:tc>
        <w:tc>
          <w:tcPr>
            <w:tcW w:w="1818" w:type="dxa"/>
            <w:tcBorders>
              <w:top w:val="single" w:color="auto" w:sz="4" w:space="0"/>
              <w:left w:val="single" w:color="auto" w:sz="4" w:space="0"/>
              <w:bottom w:val="single" w:color="auto" w:sz="4" w:space="0"/>
              <w:right w:val="single" w:color="auto" w:sz="4" w:space="0"/>
            </w:tcBorders>
            <w:vAlign w:val="center"/>
          </w:tcPr>
          <w:p w14:paraId="0C47045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资金来源</w:t>
            </w:r>
          </w:p>
        </w:tc>
        <w:tc>
          <w:tcPr>
            <w:tcW w:w="7286" w:type="dxa"/>
            <w:tcBorders>
              <w:top w:val="single" w:color="auto" w:sz="4" w:space="0"/>
              <w:left w:val="single" w:color="auto" w:sz="4" w:space="0"/>
              <w:bottom w:val="single" w:color="auto" w:sz="4" w:space="0"/>
              <w:right w:val="single" w:color="auto" w:sz="4" w:space="0"/>
            </w:tcBorders>
            <w:vAlign w:val="center"/>
          </w:tcPr>
          <w:p w14:paraId="2A46CE4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default" w:ascii="宋体" w:hAnsi="宋体" w:eastAsia="宋体" w:cs="宋体"/>
                <w:color w:val="auto"/>
                <w:sz w:val="21"/>
                <w:szCs w:val="21"/>
                <w:highlight w:val="none"/>
                <w:u w:val="none" w:color="000000"/>
                <w:lang w:val="en-US" w:eastAsia="zh-CN" w:bidi="en-US"/>
              </w:rPr>
              <w:t>中国华电集团有限公司援助资金。</w:t>
            </w:r>
          </w:p>
        </w:tc>
      </w:tr>
      <w:tr w14:paraId="47C65105">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36A54D">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7</w:t>
            </w:r>
          </w:p>
        </w:tc>
        <w:tc>
          <w:tcPr>
            <w:tcW w:w="1818" w:type="dxa"/>
            <w:tcBorders>
              <w:top w:val="single" w:color="auto" w:sz="4" w:space="0"/>
              <w:left w:val="single" w:color="auto" w:sz="4" w:space="0"/>
              <w:bottom w:val="single" w:color="auto" w:sz="4" w:space="0"/>
              <w:right w:val="single" w:color="auto" w:sz="4" w:space="0"/>
            </w:tcBorders>
            <w:vAlign w:val="center"/>
          </w:tcPr>
          <w:p w14:paraId="45C86ADB">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招标方式</w:t>
            </w:r>
          </w:p>
        </w:tc>
        <w:tc>
          <w:tcPr>
            <w:tcW w:w="7286" w:type="dxa"/>
            <w:tcBorders>
              <w:top w:val="single" w:color="auto" w:sz="4" w:space="0"/>
              <w:left w:val="single" w:color="auto" w:sz="4" w:space="0"/>
              <w:bottom w:val="single" w:color="auto" w:sz="4" w:space="0"/>
              <w:right w:val="single" w:color="auto" w:sz="4" w:space="0"/>
            </w:tcBorders>
            <w:vAlign w:val="center"/>
          </w:tcPr>
          <w:p w14:paraId="1460BDB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 xml:space="preserve">竞争性谈判(本项目采用网上电子招投标)  </w:t>
            </w:r>
          </w:p>
        </w:tc>
      </w:tr>
      <w:tr w14:paraId="36EF8D9A">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41E9A44">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8</w:t>
            </w:r>
          </w:p>
        </w:tc>
        <w:tc>
          <w:tcPr>
            <w:tcW w:w="1818" w:type="dxa"/>
            <w:tcBorders>
              <w:top w:val="single" w:color="auto" w:sz="4" w:space="0"/>
              <w:left w:val="single" w:color="auto" w:sz="4" w:space="0"/>
              <w:bottom w:val="single" w:color="auto" w:sz="4" w:space="0"/>
              <w:right w:val="single" w:color="auto" w:sz="4" w:space="0"/>
            </w:tcBorders>
            <w:vAlign w:val="center"/>
          </w:tcPr>
          <w:p w14:paraId="57A22D6D">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供应商信用查询</w:t>
            </w:r>
          </w:p>
        </w:tc>
        <w:tc>
          <w:tcPr>
            <w:tcW w:w="7286" w:type="dxa"/>
            <w:tcBorders>
              <w:top w:val="single" w:color="auto" w:sz="4" w:space="0"/>
              <w:left w:val="single" w:color="auto" w:sz="4" w:space="0"/>
              <w:bottom w:val="single" w:color="auto" w:sz="4" w:space="0"/>
              <w:right w:val="single" w:color="auto" w:sz="4" w:space="0"/>
            </w:tcBorders>
            <w:vAlign w:val="center"/>
          </w:tcPr>
          <w:p w14:paraId="4198030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1、查询渠道：信用中国（网址：http://www.creditchina.gov.cn）、中国政府采购网(网址：http://www.ccgp.gov.cn）。</w:t>
            </w:r>
          </w:p>
          <w:p w14:paraId="1A2659A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2、截止时点：开标后评标前。</w:t>
            </w:r>
          </w:p>
          <w:p w14:paraId="1FED702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3、信用信息查询记录和证据留存的具体方式：由采购组织机构在规定查询时间内打印信用信息查询记录并归入项目档案。</w:t>
            </w:r>
          </w:p>
          <w:p w14:paraId="2E7C618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193E80BD">
        <w:tblPrEx>
          <w:tblCellMar>
            <w:top w:w="0" w:type="dxa"/>
            <w:left w:w="108" w:type="dxa"/>
            <w:bottom w:w="0" w:type="dxa"/>
            <w:right w:w="108" w:type="dxa"/>
          </w:tblCellMar>
        </w:tblPrEx>
        <w:trPr>
          <w:trHeight w:val="696"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972E89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9</w:t>
            </w:r>
          </w:p>
        </w:tc>
        <w:tc>
          <w:tcPr>
            <w:tcW w:w="1818" w:type="dxa"/>
            <w:tcBorders>
              <w:top w:val="single" w:color="auto" w:sz="4" w:space="0"/>
              <w:left w:val="single" w:color="auto" w:sz="4" w:space="0"/>
              <w:bottom w:val="single" w:color="auto" w:sz="4" w:space="0"/>
              <w:right w:val="single" w:color="auto" w:sz="4" w:space="0"/>
            </w:tcBorders>
            <w:vAlign w:val="center"/>
          </w:tcPr>
          <w:p w14:paraId="7DA813F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是否接受联合体投标</w:t>
            </w:r>
          </w:p>
        </w:tc>
        <w:tc>
          <w:tcPr>
            <w:tcW w:w="7286" w:type="dxa"/>
            <w:tcBorders>
              <w:top w:val="single" w:color="auto" w:sz="4" w:space="0"/>
              <w:left w:val="single" w:color="auto" w:sz="4" w:space="0"/>
              <w:bottom w:val="single" w:color="auto" w:sz="4" w:space="0"/>
              <w:right w:val="single" w:color="auto" w:sz="4" w:space="0"/>
            </w:tcBorders>
            <w:vAlign w:val="center"/>
          </w:tcPr>
          <w:p w14:paraId="7F9A207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☑不接受</w:t>
            </w:r>
          </w:p>
          <w:p w14:paraId="2CC346C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□接  受</w:t>
            </w:r>
          </w:p>
        </w:tc>
      </w:tr>
      <w:tr w14:paraId="4C54D0DF">
        <w:tblPrEx>
          <w:tblCellMar>
            <w:top w:w="0" w:type="dxa"/>
            <w:left w:w="108" w:type="dxa"/>
            <w:bottom w:w="0" w:type="dxa"/>
            <w:right w:w="108" w:type="dxa"/>
          </w:tblCellMar>
        </w:tblPrEx>
        <w:trPr>
          <w:trHeight w:val="66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0426226">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10</w:t>
            </w:r>
          </w:p>
        </w:tc>
        <w:tc>
          <w:tcPr>
            <w:tcW w:w="1818" w:type="dxa"/>
            <w:tcBorders>
              <w:top w:val="single" w:color="auto" w:sz="4" w:space="0"/>
              <w:left w:val="single" w:color="auto" w:sz="4" w:space="0"/>
              <w:bottom w:val="single" w:color="auto" w:sz="4" w:space="0"/>
              <w:right w:val="single" w:color="auto" w:sz="4" w:space="0"/>
            </w:tcBorders>
            <w:vAlign w:val="center"/>
          </w:tcPr>
          <w:p w14:paraId="7425C836">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踏勘现场</w:t>
            </w:r>
          </w:p>
        </w:tc>
        <w:tc>
          <w:tcPr>
            <w:tcW w:w="7286" w:type="dxa"/>
            <w:tcBorders>
              <w:top w:val="single" w:color="auto" w:sz="4" w:space="0"/>
              <w:left w:val="single" w:color="auto" w:sz="4" w:space="0"/>
              <w:bottom w:val="single" w:color="auto" w:sz="4" w:space="0"/>
              <w:right w:val="single" w:color="auto" w:sz="4" w:space="0"/>
            </w:tcBorders>
            <w:vAlign w:val="center"/>
          </w:tcPr>
          <w:p w14:paraId="686C8E0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不组织,投标人自行组织踏勘现场。</w:t>
            </w:r>
          </w:p>
        </w:tc>
      </w:tr>
      <w:tr w14:paraId="3820D13E">
        <w:tblPrEx>
          <w:tblCellMar>
            <w:top w:w="0" w:type="dxa"/>
            <w:left w:w="108" w:type="dxa"/>
            <w:bottom w:w="0" w:type="dxa"/>
            <w:right w:w="108" w:type="dxa"/>
          </w:tblCellMar>
        </w:tblPrEx>
        <w:trPr>
          <w:trHeight w:val="79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2251DF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11</w:t>
            </w:r>
          </w:p>
        </w:tc>
        <w:tc>
          <w:tcPr>
            <w:tcW w:w="1818" w:type="dxa"/>
            <w:tcBorders>
              <w:top w:val="single" w:color="auto" w:sz="4" w:space="0"/>
              <w:left w:val="single" w:color="auto" w:sz="4" w:space="0"/>
              <w:bottom w:val="single" w:color="auto" w:sz="4" w:space="0"/>
              <w:right w:val="single" w:color="auto" w:sz="4" w:space="0"/>
            </w:tcBorders>
            <w:vAlign w:val="center"/>
          </w:tcPr>
          <w:p w14:paraId="7E93793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投标截止时间 （开标时间）</w:t>
            </w:r>
          </w:p>
        </w:tc>
        <w:tc>
          <w:tcPr>
            <w:tcW w:w="7286" w:type="dxa"/>
            <w:tcBorders>
              <w:top w:val="single" w:color="auto" w:sz="4" w:space="0"/>
              <w:left w:val="single" w:color="auto" w:sz="4" w:space="0"/>
              <w:bottom w:val="single" w:color="auto" w:sz="4" w:space="0"/>
              <w:right w:val="single" w:color="auto" w:sz="4" w:space="0"/>
            </w:tcBorders>
            <w:vAlign w:val="center"/>
          </w:tcPr>
          <w:p w14:paraId="2FF22B5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截止时间：202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26</w:t>
            </w:r>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tc>
      </w:tr>
      <w:tr w14:paraId="13F802F9">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8AC2B09">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12</w:t>
            </w:r>
          </w:p>
        </w:tc>
        <w:tc>
          <w:tcPr>
            <w:tcW w:w="1818" w:type="dxa"/>
            <w:tcBorders>
              <w:top w:val="single" w:color="auto" w:sz="4" w:space="0"/>
              <w:left w:val="single" w:color="auto" w:sz="4" w:space="0"/>
              <w:bottom w:val="single" w:color="auto" w:sz="4" w:space="0"/>
              <w:right w:val="single" w:color="auto" w:sz="4" w:space="0"/>
            </w:tcBorders>
            <w:vAlign w:val="center"/>
          </w:tcPr>
          <w:p w14:paraId="6CAD7F12">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投标有效期</w:t>
            </w:r>
          </w:p>
        </w:tc>
        <w:tc>
          <w:tcPr>
            <w:tcW w:w="7286" w:type="dxa"/>
            <w:tcBorders>
              <w:top w:val="single" w:color="auto" w:sz="4" w:space="0"/>
              <w:left w:val="single" w:color="auto" w:sz="4" w:space="0"/>
              <w:bottom w:val="single" w:color="auto" w:sz="4" w:space="0"/>
              <w:right w:val="single" w:color="auto" w:sz="4" w:space="0"/>
            </w:tcBorders>
            <w:vAlign w:val="center"/>
          </w:tcPr>
          <w:p w14:paraId="1BC6B01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投标有效期为 60 日历天（从投标截止之日算起）。在此期限内，凡符合本谈判文件要求的响应文件均保持有效。</w:t>
            </w:r>
          </w:p>
        </w:tc>
      </w:tr>
      <w:tr w14:paraId="1CD53FB7">
        <w:tblPrEx>
          <w:tblCellMar>
            <w:top w:w="0" w:type="dxa"/>
            <w:left w:w="108" w:type="dxa"/>
            <w:bottom w:w="0" w:type="dxa"/>
            <w:right w:w="108" w:type="dxa"/>
          </w:tblCellMar>
        </w:tblPrEx>
        <w:trPr>
          <w:trHeight w:val="63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99B071">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13</w:t>
            </w:r>
          </w:p>
        </w:tc>
        <w:tc>
          <w:tcPr>
            <w:tcW w:w="1818" w:type="dxa"/>
            <w:tcBorders>
              <w:top w:val="single" w:color="auto" w:sz="4" w:space="0"/>
              <w:left w:val="single" w:color="auto" w:sz="4" w:space="0"/>
              <w:bottom w:val="single" w:color="auto" w:sz="4" w:space="0"/>
              <w:right w:val="single" w:color="auto" w:sz="4" w:space="0"/>
            </w:tcBorders>
            <w:vAlign w:val="center"/>
          </w:tcPr>
          <w:p w14:paraId="2C676035">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投标保证金</w:t>
            </w:r>
          </w:p>
        </w:tc>
        <w:tc>
          <w:tcPr>
            <w:tcW w:w="7286" w:type="dxa"/>
            <w:tcBorders>
              <w:top w:val="single" w:color="auto" w:sz="4" w:space="0"/>
              <w:left w:val="single" w:color="auto" w:sz="4" w:space="0"/>
              <w:bottom w:val="single" w:color="auto" w:sz="4" w:space="0"/>
              <w:right w:val="single" w:color="auto" w:sz="4" w:space="0"/>
            </w:tcBorders>
            <w:vAlign w:val="center"/>
          </w:tcPr>
          <w:p w14:paraId="3113CD24">
            <w:pPr>
              <w:widowControl/>
              <w:spacing w:line="240" w:lineRule="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标保证金：</w:t>
            </w:r>
          </w:p>
          <w:p w14:paraId="62219A1A">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一、投标保证金交纳要求：</w:t>
            </w:r>
          </w:p>
          <w:p w14:paraId="5B2D5974">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投标保证金应当在投标截止时间前以支票、汇票、本票、网上银行支付或者金融机构、担保机构出具的保函等非现金形式缴纳。</w:t>
            </w:r>
          </w:p>
          <w:p w14:paraId="5073B947">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投标保证金金额：30000.00元  大写：叁万元整</w:t>
            </w:r>
          </w:p>
          <w:p w14:paraId="098BD598">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具体缴纳方式如下：</w:t>
            </w:r>
          </w:p>
          <w:p w14:paraId="71C06C7D">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方式一：电子保证金</w:t>
            </w:r>
          </w:p>
          <w:p w14:paraId="5EEC491A">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078CA5A6">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方式二：保函</w:t>
            </w:r>
          </w:p>
          <w:p w14:paraId="13956629">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电子保函。(1)缴纳程序：投标人可登录新疆政府采购网“电子保函”窗口线上办理投保手续；(2)办理电子保函必须在投标截止时间(开标时间)前完成；(3)开标前，投保人须下载加密保单作并加盖公章做为保证金缴纳凭证一并上传至资格审查文件中提交；(4)技术支持电话详见新疆政府采购网电子保函服务系统。   </w:t>
            </w:r>
          </w:p>
          <w:p w14:paraId="0F46414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kern w:val="0"/>
                <w:sz w:val="24"/>
                <w:szCs w:val="24"/>
                <w:highlight w:val="none"/>
                <w:lang w:val="en-US" w:eastAsia="zh-CN"/>
              </w:rPr>
              <w:t xml:space="preserve">保证金退还须知：开标后，未中标企业在法定工作时间内自动退还保证金，中标企业在签订合同后自动退还保证金。 </w:t>
            </w:r>
          </w:p>
        </w:tc>
      </w:tr>
      <w:tr w14:paraId="2C1F3352">
        <w:tblPrEx>
          <w:tblCellMar>
            <w:top w:w="0" w:type="dxa"/>
            <w:left w:w="108" w:type="dxa"/>
            <w:bottom w:w="0" w:type="dxa"/>
            <w:right w:w="108" w:type="dxa"/>
          </w:tblCellMar>
        </w:tblPrEx>
        <w:trPr>
          <w:trHeight w:val="90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F69D2C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14</w:t>
            </w:r>
          </w:p>
        </w:tc>
        <w:tc>
          <w:tcPr>
            <w:tcW w:w="1818" w:type="dxa"/>
            <w:tcBorders>
              <w:top w:val="single" w:color="auto" w:sz="4" w:space="0"/>
              <w:left w:val="single" w:color="auto" w:sz="4" w:space="0"/>
              <w:bottom w:val="single" w:color="auto" w:sz="4" w:space="0"/>
              <w:right w:val="single" w:color="auto" w:sz="4" w:space="0"/>
            </w:tcBorders>
            <w:vAlign w:val="center"/>
          </w:tcPr>
          <w:p w14:paraId="32E0A44E">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是否允许递交备选  投标方案</w:t>
            </w:r>
          </w:p>
        </w:tc>
        <w:tc>
          <w:tcPr>
            <w:tcW w:w="7286" w:type="dxa"/>
            <w:tcBorders>
              <w:top w:val="single" w:color="auto" w:sz="4" w:space="0"/>
              <w:left w:val="single" w:color="auto" w:sz="4" w:space="0"/>
              <w:bottom w:val="single" w:color="auto" w:sz="4" w:space="0"/>
              <w:right w:val="single" w:color="auto" w:sz="4" w:space="0"/>
            </w:tcBorders>
            <w:vAlign w:val="center"/>
          </w:tcPr>
          <w:p w14:paraId="14DE397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☑不允许</w:t>
            </w:r>
          </w:p>
          <w:p w14:paraId="2E2194B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□允  许</w:t>
            </w:r>
          </w:p>
        </w:tc>
      </w:tr>
      <w:tr w14:paraId="646418B7">
        <w:tblPrEx>
          <w:tblCellMar>
            <w:top w:w="0" w:type="dxa"/>
            <w:left w:w="108" w:type="dxa"/>
            <w:bottom w:w="0" w:type="dxa"/>
            <w:right w:w="108" w:type="dxa"/>
          </w:tblCellMar>
        </w:tblPrEx>
        <w:trPr>
          <w:trHeight w:val="288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0EAD7F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15</w:t>
            </w:r>
          </w:p>
        </w:tc>
        <w:tc>
          <w:tcPr>
            <w:tcW w:w="1818" w:type="dxa"/>
            <w:tcBorders>
              <w:top w:val="single" w:color="auto" w:sz="4" w:space="0"/>
              <w:left w:val="single" w:color="auto" w:sz="4" w:space="0"/>
              <w:bottom w:val="single" w:color="auto" w:sz="4" w:space="0"/>
              <w:right w:val="single" w:color="auto" w:sz="4" w:space="0"/>
            </w:tcBorders>
            <w:vAlign w:val="center"/>
          </w:tcPr>
          <w:p w14:paraId="6B01429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谈判文件领取</w:t>
            </w:r>
          </w:p>
        </w:tc>
        <w:tc>
          <w:tcPr>
            <w:tcW w:w="7286" w:type="dxa"/>
            <w:tcBorders>
              <w:top w:val="single" w:color="auto" w:sz="4" w:space="0"/>
              <w:left w:val="single" w:color="auto" w:sz="4" w:space="0"/>
              <w:bottom w:val="single" w:color="auto" w:sz="4" w:space="0"/>
              <w:right w:val="single" w:color="auto" w:sz="4" w:space="0"/>
            </w:tcBorders>
            <w:vAlign w:val="center"/>
          </w:tcPr>
          <w:p w14:paraId="5D7C03D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13</w:t>
            </w:r>
            <w:r>
              <w:rPr>
                <w:rFonts w:hint="eastAsia" w:ascii="宋体" w:hAnsi="宋体" w:eastAsia="宋体" w:cs="宋体"/>
                <w:color w:val="auto"/>
                <w:sz w:val="21"/>
                <w:szCs w:val="21"/>
                <w:highlight w:val="none"/>
                <w:u w:val="none" w:color="000000"/>
                <w:lang w:val="en-US" w:eastAsia="zh-CN" w:bidi="en-US"/>
              </w:rPr>
              <w:t>日至202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19</w:t>
            </w:r>
            <w:r>
              <w:rPr>
                <w:rFonts w:hint="eastAsia" w:ascii="宋体" w:hAnsi="宋体" w:eastAsia="宋体" w:cs="宋体"/>
                <w:color w:val="auto"/>
                <w:sz w:val="21"/>
                <w:szCs w:val="21"/>
                <w:highlight w:val="none"/>
                <w:u w:val="none" w:color="000000"/>
                <w:lang w:val="en-US" w:eastAsia="zh-CN" w:bidi="en-US"/>
              </w:rPr>
              <w:t>日，每天上午10:00至14:00，下午16:00至20：00（北京时间，法定节假日除外）</w:t>
            </w:r>
          </w:p>
          <w:p w14:paraId="0C3C1AB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地点：登陆政采云平台http://www.zcygov.cn/，在线申请（登录政府采购云平台 → 项目采购 → 获取竞争性谈判文件→申请，审核通过后可下载竞争性谈判文件，如有操作性问题，可与政采云在线客服进行咨询，咨询电话：95763） </w:t>
            </w:r>
          </w:p>
          <w:p w14:paraId="2D69477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方式：供应商登录政采云平台https://www.zcygov.cn/在线申请获取竞争性谈判文件（进入“项目采购”应用，在获取竞争性谈判文件菜单中选择项目，申请获取竞争性谈判文件）。</w:t>
            </w:r>
          </w:p>
        </w:tc>
      </w:tr>
      <w:tr w14:paraId="0B0A3820">
        <w:tblPrEx>
          <w:tblCellMar>
            <w:top w:w="0" w:type="dxa"/>
            <w:left w:w="108" w:type="dxa"/>
            <w:bottom w:w="0" w:type="dxa"/>
            <w:right w:w="108" w:type="dxa"/>
          </w:tblCellMar>
        </w:tblPrEx>
        <w:trPr>
          <w:trHeight w:val="38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BB0A1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16</w:t>
            </w:r>
          </w:p>
        </w:tc>
        <w:tc>
          <w:tcPr>
            <w:tcW w:w="1818" w:type="dxa"/>
            <w:tcBorders>
              <w:top w:val="single" w:color="auto" w:sz="4" w:space="0"/>
              <w:left w:val="single" w:color="auto" w:sz="4" w:space="0"/>
              <w:bottom w:val="single" w:color="auto" w:sz="4" w:space="0"/>
              <w:right w:val="single" w:color="auto" w:sz="4" w:space="0"/>
            </w:tcBorders>
            <w:vAlign w:val="center"/>
          </w:tcPr>
          <w:p w14:paraId="03F3465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响应文件形式</w:t>
            </w:r>
          </w:p>
        </w:tc>
        <w:tc>
          <w:tcPr>
            <w:tcW w:w="7286" w:type="dxa"/>
            <w:tcBorders>
              <w:top w:val="single" w:color="auto" w:sz="4" w:space="0"/>
              <w:left w:val="single" w:color="auto" w:sz="4" w:space="0"/>
              <w:bottom w:val="single" w:color="auto" w:sz="4" w:space="0"/>
              <w:right w:val="single" w:color="auto" w:sz="4" w:space="0"/>
            </w:tcBorders>
            <w:vAlign w:val="center"/>
          </w:tcPr>
          <w:p w14:paraId="3C0C046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电子响应文件包括“电子加密响应文件”和“备份响应文件”，在响应文件编制完成后同时生成。</w:t>
            </w:r>
          </w:p>
          <w:p w14:paraId="288485D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1、“电子加密响应文件”是指通过“政采云电子交易客户端”完成响应文件编制后生成并加密的数据电文形式的响应文件。</w:t>
            </w:r>
          </w:p>
          <w:p w14:paraId="5ECB4BC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2、“备份响应文件”是指与“电子加密响应文件”同时生成的数据电文形式的电子文件（备份标书，用于供应商标书解密异常时应急使用），其他方式编制的备份响应文件视为无效备份响应文件。</w:t>
            </w:r>
          </w:p>
        </w:tc>
      </w:tr>
      <w:tr w14:paraId="0D62BE6C">
        <w:tblPrEx>
          <w:tblCellMar>
            <w:top w:w="0" w:type="dxa"/>
            <w:left w:w="108" w:type="dxa"/>
            <w:bottom w:w="0" w:type="dxa"/>
            <w:right w:w="108" w:type="dxa"/>
          </w:tblCellMar>
        </w:tblPrEx>
        <w:trPr>
          <w:trHeight w:val="99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C07B70F">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17</w:t>
            </w:r>
          </w:p>
        </w:tc>
        <w:tc>
          <w:tcPr>
            <w:tcW w:w="1818" w:type="dxa"/>
            <w:tcBorders>
              <w:top w:val="single" w:color="auto" w:sz="4" w:space="0"/>
              <w:left w:val="single" w:color="auto" w:sz="4" w:space="0"/>
              <w:bottom w:val="single" w:color="auto" w:sz="4" w:space="0"/>
              <w:right w:val="single" w:color="auto" w:sz="4" w:space="0"/>
            </w:tcBorders>
            <w:vAlign w:val="center"/>
          </w:tcPr>
          <w:p w14:paraId="41DE929A">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响应文件份数及要求</w:t>
            </w:r>
          </w:p>
        </w:tc>
        <w:tc>
          <w:tcPr>
            <w:tcW w:w="7286" w:type="dxa"/>
            <w:tcBorders>
              <w:top w:val="single" w:color="auto" w:sz="4" w:space="0"/>
              <w:left w:val="single" w:color="auto" w:sz="4" w:space="0"/>
              <w:bottom w:val="single" w:color="auto" w:sz="4" w:space="0"/>
              <w:right w:val="single" w:color="auto" w:sz="4" w:space="0"/>
            </w:tcBorders>
            <w:vAlign w:val="center"/>
          </w:tcPr>
          <w:p w14:paraId="27C0007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1、一份电子加密标书（“.jmbs”格式），一份备份标书文件（“.bfbs”格式）。</w:t>
            </w:r>
          </w:p>
          <w:p w14:paraId="5008DBB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2、每份电子响应文件应包括资格证明文件和商务及技术文件两部分。</w:t>
            </w:r>
          </w:p>
        </w:tc>
      </w:tr>
      <w:tr w14:paraId="1EACE6CE">
        <w:tblPrEx>
          <w:tblCellMar>
            <w:top w:w="0" w:type="dxa"/>
            <w:left w:w="108" w:type="dxa"/>
            <w:bottom w:w="0" w:type="dxa"/>
            <w:right w:w="108" w:type="dxa"/>
          </w:tblCellMar>
        </w:tblPrEx>
        <w:trPr>
          <w:trHeight w:val="731"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2045B84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18</w:t>
            </w:r>
          </w:p>
        </w:tc>
        <w:tc>
          <w:tcPr>
            <w:tcW w:w="1818" w:type="dxa"/>
            <w:vMerge w:val="restart"/>
            <w:tcBorders>
              <w:top w:val="single" w:color="auto" w:sz="4" w:space="0"/>
              <w:left w:val="single" w:color="auto" w:sz="4" w:space="0"/>
              <w:bottom w:val="single" w:color="auto" w:sz="4" w:space="0"/>
              <w:right w:val="single" w:color="auto" w:sz="4" w:space="0"/>
            </w:tcBorders>
            <w:vAlign w:val="center"/>
          </w:tcPr>
          <w:p w14:paraId="00D40142">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响应文件的上传和递交</w:t>
            </w:r>
          </w:p>
        </w:tc>
        <w:tc>
          <w:tcPr>
            <w:tcW w:w="7286" w:type="dxa"/>
            <w:tcBorders>
              <w:top w:val="single" w:color="auto" w:sz="4" w:space="0"/>
              <w:left w:val="single" w:color="auto" w:sz="4" w:space="0"/>
              <w:bottom w:val="single" w:color="auto" w:sz="4" w:space="0"/>
              <w:right w:val="single" w:color="auto" w:sz="4" w:space="0"/>
            </w:tcBorders>
            <w:vAlign w:val="center"/>
          </w:tcPr>
          <w:p w14:paraId="74BF874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1.电子加密响应文件：响应文件制作完成并生成加密标书，在投标截止时间前，供应商需将加密的响应文件上传至政采云平台，在开标时间开始后，待采购组织机构发出解密通知后30分钟内解密响应文件。</w:t>
            </w:r>
          </w:p>
          <w:p w14:paraId="4E05A15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a.供应商未能在投标截止时间前成功上传电子加密响应文件的投标无效。</w:t>
            </w:r>
          </w:p>
          <w:p w14:paraId="2B989BE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b.供应商成功上传电子加密响应文件后，可自行打印响应文件接收回执。</w:t>
            </w:r>
          </w:p>
        </w:tc>
      </w:tr>
      <w:tr w14:paraId="410A3A3B">
        <w:tblPrEx>
          <w:tblCellMar>
            <w:top w:w="0" w:type="dxa"/>
            <w:left w:w="108" w:type="dxa"/>
            <w:bottom w:w="0" w:type="dxa"/>
            <w:right w:w="108" w:type="dxa"/>
          </w:tblCellMar>
        </w:tblPrEx>
        <w:trPr>
          <w:trHeight w:val="731"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1FAEF29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1E040B2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p>
        </w:tc>
        <w:tc>
          <w:tcPr>
            <w:tcW w:w="7286" w:type="dxa"/>
            <w:tcBorders>
              <w:top w:val="single" w:color="auto" w:sz="4" w:space="0"/>
              <w:left w:val="single" w:color="auto" w:sz="4" w:space="0"/>
              <w:bottom w:val="single" w:color="auto" w:sz="4" w:space="0"/>
              <w:right w:val="single" w:color="auto" w:sz="4" w:space="0"/>
            </w:tcBorders>
            <w:vAlign w:val="center"/>
          </w:tcPr>
          <w:p w14:paraId="177CF61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2.备份响应文件：供应商在投标截止时间前将加密的响应文件上传至政府采购云平台，还可以在投标截止时间前以电子邮件方式提供备份响应文件1份（接收人邮箱：</w:t>
            </w:r>
            <w:r>
              <w:rPr>
                <w:rFonts w:hint="eastAsia" w:hAnsi="宋体" w:eastAsia="宋体" w:cs="宋体"/>
                <w:color w:val="auto"/>
                <w:sz w:val="21"/>
                <w:szCs w:val="21"/>
                <w:highlight w:val="none"/>
                <w:u w:val="none" w:color="000000"/>
                <w:lang w:val="en-US" w:eastAsia="zh-CN" w:bidi="en-US"/>
              </w:rPr>
              <w:t>1449947815</w:t>
            </w:r>
            <w:r>
              <w:rPr>
                <w:rFonts w:hint="eastAsia" w:ascii="宋体" w:hAnsi="宋体" w:eastAsia="宋体" w:cs="宋体"/>
                <w:color w:val="auto"/>
                <w:sz w:val="21"/>
                <w:szCs w:val="21"/>
                <w:highlight w:val="none"/>
                <w:u w:val="none" w:color="000000"/>
                <w:lang w:val="en-US" w:eastAsia="zh-CN" w:bidi="en-US"/>
              </w:rPr>
              <w:t>@qq.com，接收人：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，电话：</w:t>
            </w:r>
            <w:r>
              <w:rPr>
                <w:rFonts w:hint="eastAsia" w:hAnsi="宋体" w:eastAsia="宋体" w:cs="宋体"/>
                <w:color w:val="auto"/>
                <w:sz w:val="21"/>
                <w:szCs w:val="21"/>
                <w:highlight w:val="none"/>
                <w:u w:val="none" w:color="000000"/>
                <w:lang w:val="en-US" w:eastAsia="zh-CN" w:bidi="en-US"/>
              </w:rPr>
              <w:t>13909955772</w:t>
            </w:r>
            <w:r>
              <w:rPr>
                <w:rFonts w:hint="eastAsia" w:ascii="宋体" w:hAnsi="宋体" w:eastAsia="宋体" w:cs="宋体"/>
                <w:color w:val="auto"/>
                <w:sz w:val="21"/>
                <w:szCs w:val="21"/>
                <w:highlight w:val="none"/>
                <w:u w:val="none" w:color="000000"/>
                <w:lang w:val="en-US" w:eastAsia="zh-CN" w:bidi="en-US"/>
              </w:rPr>
              <w:t>），“备份响应文件”由供应商自愿提供，谈判文件不作强制性要求；如不提供或未按要求提供的，当电子响应文件无法解密时，将导致无备份响应文件而失去投标资格。</w:t>
            </w:r>
          </w:p>
          <w:p w14:paraId="48D91FE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a.备份响应文件提供要求：供应商可以将备份响应文件打包压缩并加密，压缩包命名为“XX单位备份响应文件”，加密密码由供应商自行保管；送达时间以采购代理机构实际接收时间为准。“备份响应文件”逾期或未按要求提供的视为未提供，建议供应商提前1日办理邮件提供事宜。</w:t>
            </w:r>
          </w:p>
          <w:p w14:paraId="5CD53B2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0A99EACE">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828941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19</w:t>
            </w:r>
          </w:p>
        </w:tc>
        <w:tc>
          <w:tcPr>
            <w:tcW w:w="1818" w:type="dxa"/>
            <w:tcBorders>
              <w:top w:val="single" w:color="auto" w:sz="4" w:space="0"/>
              <w:left w:val="single" w:color="auto" w:sz="4" w:space="0"/>
              <w:bottom w:val="single" w:color="auto" w:sz="4" w:space="0"/>
              <w:right w:val="single" w:color="auto" w:sz="4" w:space="0"/>
            </w:tcBorders>
            <w:vAlign w:val="center"/>
          </w:tcPr>
          <w:p w14:paraId="0DE8E62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评标委员会的组建</w:t>
            </w:r>
          </w:p>
        </w:tc>
        <w:tc>
          <w:tcPr>
            <w:tcW w:w="7286" w:type="dxa"/>
            <w:tcBorders>
              <w:top w:val="single" w:color="auto" w:sz="4" w:space="0"/>
              <w:left w:val="single" w:color="auto" w:sz="4" w:space="0"/>
              <w:bottom w:val="single" w:color="auto" w:sz="4" w:space="0"/>
              <w:right w:val="single" w:color="auto" w:sz="4" w:space="0"/>
            </w:tcBorders>
            <w:vAlign w:val="center"/>
          </w:tcPr>
          <w:p w14:paraId="0F26627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评标委员会由招标人依法组建，由采购人代表1人，评审专家2人，共3人组成。</w:t>
            </w:r>
          </w:p>
          <w:p w14:paraId="7226C06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zh-CN" w:eastAsia="zh-CN" w:bidi="en-US"/>
              </w:rPr>
            </w:pPr>
            <w:r>
              <w:rPr>
                <w:rFonts w:hint="eastAsia" w:ascii="宋体" w:hAnsi="宋体" w:eastAsia="宋体" w:cs="宋体"/>
                <w:color w:val="auto"/>
                <w:sz w:val="21"/>
                <w:szCs w:val="21"/>
                <w:highlight w:val="none"/>
                <w:u w:val="none" w:color="000000"/>
                <w:lang w:val="en-US" w:eastAsia="zh-CN" w:bidi="en-US"/>
              </w:rPr>
              <w:t>评审专家确定方式：评审专家由招标人在开标前从政采云专家库中随机抽取。</w:t>
            </w:r>
          </w:p>
        </w:tc>
      </w:tr>
      <w:tr w14:paraId="30374154">
        <w:tblPrEx>
          <w:tblCellMar>
            <w:top w:w="0" w:type="dxa"/>
            <w:left w:w="108" w:type="dxa"/>
            <w:bottom w:w="0" w:type="dxa"/>
            <w:right w:w="108" w:type="dxa"/>
          </w:tblCellMar>
        </w:tblPrEx>
        <w:trPr>
          <w:trHeight w:val="75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30E913B">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20</w:t>
            </w:r>
          </w:p>
        </w:tc>
        <w:tc>
          <w:tcPr>
            <w:tcW w:w="1818" w:type="dxa"/>
            <w:tcBorders>
              <w:top w:val="single" w:color="auto" w:sz="4" w:space="0"/>
              <w:left w:val="single" w:color="auto" w:sz="4" w:space="0"/>
              <w:bottom w:val="single" w:color="auto" w:sz="4" w:space="0"/>
              <w:right w:val="single" w:color="auto" w:sz="4" w:space="0"/>
            </w:tcBorders>
            <w:vAlign w:val="center"/>
          </w:tcPr>
          <w:p w14:paraId="5688A74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是否授权评标委员会确定中标</w:t>
            </w:r>
            <w:r>
              <w:rPr>
                <w:rFonts w:hint="eastAsia" w:hAnsi="宋体" w:eastAsia="宋体" w:cs="宋体"/>
                <w:color w:val="auto"/>
                <w:sz w:val="21"/>
                <w:szCs w:val="21"/>
                <w:highlight w:val="none"/>
                <w:u w:val="none" w:color="000000"/>
                <w:lang w:val="en-US" w:eastAsia="zh-CN" w:bidi="en-US"/>
              </w:rPr>
              <w:t>（成交）</w:t>
            </w:r>
            <w:r>
              <w:rPr>
                <w:rFonts w:hint="eastAsia" w:ascii="宋体" w:hAnsi="宋体" w:eastAsia="宋体" w:cs="宋体"/>
                <w:color w:val="auto"/>
                <w:sz w:val="21"/>
                <w:szCs w:val="21"/>
                <w:highlight w:val="none"/>
                <w:u w:val="none" w:color="000000"/>
                <w:lang w:val="en-US" w:eastAsia="zh-CN" w:bidi="en-US"/>
              </w:rPr>
              <w:t>候选人</w:t>
            </w:r>
          </w:p>
        </w:tc>
        <w:tc>
          <w:tcPr>
            <w:tcW w:w="7286" w:type="dxa"/>
            <w:tcBorders>
              <w:top w:val="single" w:color="auto" w:sz="4" w:space="0"/>
              <w:left w:val="single" w:color="auto" w:sz="4" w:space="0"/>
              <w:bottom w:val="single" w:color="auto" w:sz="4" w:space="0"/>
              <w:right w:val="single" w:color="auto" w:sz="4" w:space="0"/>
            </w:tcBorders>
            <w:vAlign w:val="center"/>
          </w:tcPr>
          <w:p w14:paraId="600ABD5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zh-CN" w:eastAsia="zh-CN" w:bidi="en-US"/>
              </w:rPr>
            </w:pPr>
            <w:r>
              <w:rPr>
                <w:rFonts w:hint="eastAsia" w:ascii="宋体" w:hAnsi="宋体" w:eastAsia="宋体" w:cs="宋体"/>
                <w:color w:val="auto"/>
                <w:sz w:val="21"/>
                <w:szCs w:val="21"/>
                <w:highlight w:val="none"/>
                <w:u w:val="none" w:color="000000"/>
                <w:lang w:val="en-US" w:eastAsia="zh-CN" w:bidi="en-US"/>
              </w:rPr>
              <w:t>是。</w:t>
            </w:r>
          </w:p>
        </w:tc>
      </w:tr>
      <w:tr w14:paraId="3609087D">
        <w:tblPrEx>
          <w:tblCellMar>
            <w:top w:w="0" w:type="dxa"/>
            <w:left w:w="108" w:type="dxa"/>
            <w:bottom w:w="0" w:type="dxa"/>
            <w:right w:w="108" w:type="dxa"/>
          </w:tblCellMar>
        </w:tblPrEx>
        <w:trPr>
          <w:trHeight w:val="756"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A70012B">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21</w:t>
            </w:r>
          </w:p>
        </w:tc>
        <w:tc>
          <w:tcPr>
            <w:tcW w:w="1818" w:type="dxa"/>
            <w:tcBorders>
              <w:top w:val="single" w:color="auto" w:sz="4" w:space="0"/>
              <w:left w:val="single" w:color="auto" w:sz="4" w:space="0"/>
              <w:bottom w:val="single" w:color="auto" w:sz="4" w:space="0"/>
              <w:right w:val="single" w:color="auto" w:sz="4" w:space="0"/>
            </w:tcBorders>
            <w:vAlign w:val="center"/>
          </w:tcPr>
          <w:p w14:paraId="22D1ACD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递交响应文件地点</w:t>
            </w:r>
          </w:p>
        </w:tc>
        <w:tc>
          <w:tcPr>
            <w:tcW w:w="7286" w:type="dxa"/>
            <w:tcBorders>
              <w:top w:val="single" w:color="auto" w:sz="4" w:space="0"/>
              <w:left w:val="single" w:color="auto" w:sz="4" w:space="0"/>
              <w:bottom w:val="single" w:color="auto" w:sz="4" w:space="0"/>
              <w:right w:val="single" w:color="auto" w:sz="4" w:space="0"/>
            </w:tcBorders>
            <w:vAlign w:val="center"/>
          </w:tcPr>
          <w:p w14:paraId="7C440CC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截止时间：202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26</w:t>
            </w:r>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p w14:paraId="242ACBD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投标地点：请登录政采云投标客户端投标</w:t>
            </w:r>
          </w:p>
        </w:tc>
      </w:tr>
      <w:tr w14:paraId="089D24FA">
        <w:tblPrEx>
          <w:tblCellMar>
            <w:top w:w="0" w:type="dxa"/>
            <w:left w:w="108" w:type="dxa"/>
            <w:bottom w:w="0" w:type="dxa"/>
            <w:right w:w="108" w:type="dxa"/>
          </w:tblCellMar>
        </w:tblPrEx>
        <w:trPr>
          <w:trHeight w:val="7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4D58961">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22</w:t>
            </w:r>
          </w:p>
        </w:tc>
        <w:tc>
          <w:tcPr>
            <w:tcW w:w="1818" w:type="dxa"/>
            <w:tcBorders>
              <w:top w:val="single" w:color="auto" w:sz="4" w:space="0"/>
              <w:left w:val="single" w:color="auto" w:sz="4" w:space="0"/>
              <w:bottom w:val="single" w:color="auto" w:sz="4" w:space="0"/>
              <w:right w:val="single" w:color="auto" w:sz="4" w:space="0"/>
            </w:tcBorders>
            <w:vAlign w:val="center"/>
          </w:tcPr>
          <w:p w14:paraId="0021717D">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开标时间和地点</w:t>
            </w:r>
          </w:p>
        </w:tc>
        <w:tc>
          <w:tcPr>
            <w:tcW w:w="7286" w:type="dxa"/>
            <w:tcBorders>
              <w:top w:val="single" w:color="auto" w:sz="4" w:space="0"/>
              <w:left w:val="single" w:color="auto" w:sz="4" w:space="0"/>
              <w:bottom w:val="single" w:color="auto" w:sz="4" w:space="0"/>
              <w:right w:val="single" w:color="auto" w:sz="4" w:space="0"/>
            </w:tcBorders>
            <w:vAlign w:val="center"/>
          </w:tcPr>
          <w:p w14:paraId="5D7854E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开标时间：202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26</w:t>
            </w:r>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p w14:paraId="0E10469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 xml:space="preserve">开标地点：投标人登录政采云平台https://www.zcygov.cn/，进入“项目采购-开标评标-右边选择对应项目点击“进入项目”进入开标大厅。         </w:t>
            </w:r>
          </w:p>
        </w:tc>
      </w:tr>
      <w:tr w14:paraId="25F6F305">
        <w:tblPrEx>
          <w:tblCellMar>
            <w:top w:w="0" w:type="dxa"/>
            <w:left w:w="108" w:type="dxa"/>
            <w:bottom w:w="0" w:type="dxa"/>
            <w:right w:w="108" w:type="dxa"/>
          </w:tblCellMar>
        </w:tblPrEx>
        <w:trPr>
          <w:trHeight w:val="710"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30266A4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23</w:t>
            </w:r>
          </w:p>
        </w:tc>
        <w:tc>
          <w:tcPr>
            <w:tcW w:w="1818" w:type="dxa"/>
            <w:vMerge w:val="restart"/>
            <w:tcBorders>
              <w:top w:val="single" w:color="auto" w:sz="4" w:space="0"/>
              <w:left w:val="single" w:color="auto" w:sz="4" w:space="0"/>
              <w:bottom w:val="single" w:color="auto" w:sz="4" w:space="0"/>
              <w:right w:val="single" w:color="auto" w:sz="4" w:space="0"/>
            </w:tcBorders>
            <w:vAlign w:val="center"/>
          </w:tcPr>
          <w:p w14:paraId="7633409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重要说明</w:t>
            </w:r>
          </w:p>
        </w:tc>
        <w:tc>
          <w:tcPr>
            <w:tcW w:w="7286" w:type="dxa"/>
            <w:tcBorders>
              <w:top w:val="single" w:color="auto" w:sz="4" w:space="0"/>
              <w:left w:val="single" w:color="auto" w:sz="4" w:space="0"/>
              <w:bottom w:val="single" w:color="auto" w:sz="4" w:space="0"/>
              <w:right w:val="single" w:color="auto" w:sz="4" w:space="0"/>
            </w:tcBorders>
            <w:vAlign w:val="center"/>
          </w:tcPr>
          <w:p w14:paraId="3141B04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1.本项目采用全流程不见面电子开评标，投标供应商需要使用CA加密设备，供应商可通过新疆数字证书认证中心官网（https://www.xjca.com.cn/）或下载“新疆政务通”APP自行进行申领。</w:t>
            </w:r>
          </w:p>
          <w:p w14:paraId="4D4A972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2.本项目实行网上投标，采用加密电子响应文件(供应商须使用CA加密设备通过政采云电子投标客户端制作响应文件)。若供应商参与投标，自行承担投标一切费用。</w:t>
            </w:r>
          </w:p>
          <w:p w14:paraId="260181A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5BE5D1C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70A7C9D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5.供应商在开标时须使用制作加密电子响应文件所使用的CA锁及电脑，电脑须提前配置好浏览器（建议使用谷歌浏览器），以便开标时解锁。</w:t>
            </w:r>
          </w:p>
          <w:p w14:paraId="2455D7E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4F5EB1F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7.为了保证开评标顺利进行，政采云线上开标功能完全实现，供应商开标所使用的电脑设备须具有视频及语音功能。</w:t>
            </w:r>
          </w:p>
        </w:tc>
      </w:tr>
      <w:tr w14:paraId="206589B1">
        <w:tblPrEx>
          <w:tblCellMar>
            <w:top w:w="0" w:type="dxa"/>
            <w:left w:w="108" w:type="dxa"/>
            <w:bottom w:w="0" w:type="dxa"/>
            <w:right w:w="108" w:type="dxa"/>
          </w:tblCellMar>
        </w:tblPrEx>
        <w:trPr>
          <w:trHeight w:val="710"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478065EB">
            <w:pPr>
              <w:spacing w:line="360" w:lineRule="auto"/>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7F6D3871">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p>
        </w:tc>
        <w:tc>
          <w:tcPr>
            <w:tcW w:w="7286" w:type="dxa"/>
            <w:tcBorders>
              <w:top w:val="single" w:color="auto" w:sz="4" w:space="0"/>
              <w:left w:val="single" w:color="auto" w:sz="4" w:space="0"/>
              <w:bottom w:val="single" w:color="auto" w:sz="4" w:space="0"/>
              <w:right w:val="single" w:color="auto" w:sz="4" w:space="0"/>
            </w:tcBorders>
            <w:vAlign w:val="center"/>
          </w:tcPr>
          <w:p w14:paraId="7693302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1、电子招投标情况说明：</w:t>
            </w:r>
          </w:p>
          <w:p w14:paraId="49BA7D8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（1）电子招投标：本项目以数据电文形式，依托“政府采购云平台（www.zcygov.cn）”进行招投标活动。</w:t>
            </w:r>
          </w:p>
          <w:p w14:paraId="38BCB07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1F2A86A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（3）谈判文件的获取：使用账号登录或者短信验证码或者使用CA登录政采云平台；进入“项目采购”应用，在获取谈判文件 菜单中选择项目，获取谈判文件 。</w:t>
            </w:r>
          </w:p>
          <w:p w14:paraId="7B5235E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（4）响应文件的制作：在“政采云电子交易客户端”中完成“填写基本信息”、“导入响应文件”、“标书关联”、“标书检查”、“电子签名”、“生成电子标书”等操作。</w:t>
            </w:r>
          </w:p>
          <w:p w14:paraId="1277E11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（5）响应文件的传输递交：供应商在投标截止时间前将加密的响应文件上传至政府采购云平台，还可以在投标截止时间前以电子邮件方式提供备份响应文件1份（接收人邮箱：</w:t>
            </w:r>
            <w:r>
              <w:rPr>
                <w:rFonts w:hint="eastAsia" w:hAnsi="宋体" w:eastAsia="宋体" w:cs="宋体"/>
                <w:color w:val="auto"/>
                <w:sz w:val="21"/>
                <w:szCs w:val="21"/>
                <w:highlight w:val="none"/>
                <w:u w:val="none" w:color="000000"/>
                <w:lang w:val="en-US" w:eastAsia="zh-CN" w:bidi="en-US"/>
              </w:rPr>
              <w:t>1449947815</w:t>
            </w:r>
            <w:r>
              <w:rPr>
                <w:rFonts w:hint="eastAsia" w:ascii="宋体" w:hAnsi="宋体" w:eastAsia="宋体" w:cs="宋体"/>
                <w:color w:val="auto"/>
                <w:sz w:val="21"/>
                <w:szCs w:val="21"/>
                <w:highlight w:val="none"/>
                <w:u w:val="none" w:color="000000"/>
                <w:lang w:val="en-US" w:eastAsia="zh-CN" w:bidi="en-US"/>
              </w:rPr>
              <w:t>@qq.com，接收人：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，电话：</w:t>
            </w:r>
            <w:r>
              <w:rPr>
                <w:rFonts w:hint="eastAsia" w:hAnsi="宋体" w:eastAsia="宋体" w:cs="宋体"/>
                <w:color w:val="auto"/>
                <w:sz w:val="21"/>
                <w:szCs w:val="21"/>
                <w:highlight w:val="none"/>
                <w:u w:val="none" w:color="000000"/>
                <w:lang w:val="en-US" w:eastAsia="zh-CN" w:bidi="en-US"/>
              </w:rPr>
              <w:t>13909955772</w:t>
            </w:r>
            <w:r>
              <w:rPr>
                <w:rFonts w:hint="eastAsia" w:ascii="宋体" w:hAnsi="宋体" w:eastAsia="宋体" w:cs="宋体"/>
                <w:color w:val="auto"/>
                <w:sz w:val="21"/>
                <w:szCs w:val="21"/>
                <w:highlight w:val="none"/>
                <w:u w:val="none" w:color="000000"/>
                <w:lang w:val="en-US" w:eastAsia="zh-CN" w:bidi="en-US"/>
              </w:rPr>
              <w:t>），备份响应文件可以打包压缩并加密，压缩包命名为“XX单位备份响应文件”，加密密码由供应商自行保管（“备份响应文件”由供应商自愿提供，谈判文件 不作强制性要求；如不提供或未按要求提供的，当电子响应文件无法解密时，将导致无备份响应文件而失去投标资格）。</w:t>
            </w:r>
          </w:p>
          <w:p w14:paraId="07C19CF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（6）响应文件的解密：供应商按照平台提示和谈判文件 的规定在半小时内完成在线解密。通过“政府采购云平台”上传递交的响应文件无法按时解密，投标供应商提供了备份响应文件的，以备份响应文件为依据，否则视为响应文件撤回。通过“政府采购云平台”上传递交的响应文件已按时解密的，备份响应文件自动失效。供应商仅提供备份响应文件，没有在电子交易平台传输递交响应文件的，投标无效。</w:t>
            </w:r>
          </w:p>
          <w:p w14:paraId="1327F0C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（7）具体操作指南：详见政采云平台“服务中心-帮助文档-项目采购-操作流程-电子招投标-政府采购项目电子交易管理操作指南-供应商”。</w:t>
            </w:r>
          </w:p>
          <w:p w14:paraId="785AEF0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（8）供应商在进行上述操作时，如遇技术问题可登录政采云（https://</w:t>
            </w:r>
            <w:r>
              <w:rPr>
                <w:rFonts w:hint="eastAsia" w:ascii="宋体" w:hAnsi="宋体" w:eastAsia="宋体" w:cs="宋体"/>
                <w:color w:val="auto"/>
                <w:sz w:val="21"/>
                <w:szCs w:val="21"/>
                <w:highlight w:val="none"/>
                <w:u w:val="none" w:color="000000"/>
                <w:lang w:val="en-US" w:eastAsia="zh-CN" w:bidi="en-US"/>
              </w:rPr>
              <w:fldChar w:fldCharType="begin"/>
            </w:r>
            <w:r>
              <w:rPr>
                <w:rFonts w:hint="eastAsia" w:ascii="宋体" w:hAnsi="宋体" w:eastAsia="宋体" w:cs="宋体"/>
                <w:color w:val="auto"/>
                <w:sz w:val="21"/>
                <w:szCs w:val="21"/>
                <w:highlight w:val="none"/>
                <w:u w:val="none" w:color="000000"/>
                <w:lang w:val="en-US" w:eastAsia="zh-CN" w:bidi="en-US"/>
              </w:rPr>
              <w:instrText xml:space="preserve"> HYPERLINK "http://www.zcygov.cn/" \h </w:instrText>
            </w:r>
            <w:r>
              <w:rPr>
                <w:rFonts w:hint="eastAsia" w:ascii="宋体" w:hAnsi="宋体" w:eastAsia="宋体" w:cs="宋体"/>
                <w:color w:val="auto"/>
                <w:sz w:val="21"/>
                <w:szCs w:val="21"/>
                <w:highlight w:val="none"/>
                <w:u w:val="none" w:color="000000"/>
                <w:lang w:val="en-US" w:eastAsia="zh-CN" w:bidi="en-US"/>
              </w:rPr>
              <w:fldChar w:fldCharType="separate"/>
            </w:r>
            <w:r>
              <w:rPr>
                <w:rFonts w:hint="eastAsia" w:ascii="宋体" w:hAnsi="宋体" w:eastAsia="宋体" w:cs="宋体"/>
                <w:color w:val="auto"/>
                <w:sz w:val="21"/>
                <w:szCs w:val="21"/>
                <w:highlight w:val="none"/>
                <w:u w:val="none" w:color="000000"/>
                <w:lang w:val="en-US" w:eastAsia="zh-CN" w:bidi="en-US"/>
              </w:rPr>
              <w:t>www.zcygov.cn/</w:t>
            </w:r>
            <w:r>
              <w:rPr>
                <w:rFonts w:hint="eastAsia" w:ascii="宋体" w:hAnsi="宋体" w:eastAsia="宋体" w:cs="宋体"/>
                <w:color w:val="auto"/>
                <w:sz w:val="21"/>
                <w:szCs w:val="21"/>
                <w:highlight w:val="none"/>
                <w:u w:val="none" w:color="000000"/>
                <w:lang w:val="en-US" w:eastAsia="zh-CN" w:bidi="en-US"/>
              </w:rPr>
              <w:fldChar w:fldCharType="end"/>
            </w:r>
            <w:r>
              <w:rPr>
                <w:rFonts w:hint="eastAsia" w:ascii="宋体" w:hAnsi="宋体" w:eastAsia="宋体" w:cs="宋体"/>
                <w:color w:val="auto"/>
                <w:sz w:val="21"/>
                <w:szCs w:val="21"/>
                <w:highlight w:val="none"/>
                <w:u w:val="none" w:color="000000"/>
                <w:lang w:val="en-US" w:eastAsia="zh-CN" w:bidi="en-US"/>
              </w:rPr>
              <w:t>），点击右侧咨询小采，获取采小蜜智能服务管家帮助，或拨打政采云服务热线 95763 获取热线服务帮助。</w:t>
            </w:r>
          </w:p>
          <w:p w14:paraId="5426CCF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温馨提醒：供应商应提前上传，以便在上传时遇到技术问题，有充足的时间请教平台的技术人员。</w:t>
            </w:r>
          </w:p>
          <w:p w14:paraId="3789F81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2、供应商认为谈判文件使自己的权益受到损害的，可以自收到谈判文件之日（谈判文件公告期限届满之前收到谈判文件的，以完成获取谈判文件 申请后下载谈判文件的时间为准）或者谈判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谈判文件 或逾期提出的不予受理、答复。</w:t>
            </w:r>
          </w:p>
        </w:tc>
      </w:tr>
      <w:tr w14:paraId="54A8B0E9">
        <w:tblPrEx>
          <w:tblCellMar>
            <w:top w:w="0" w:type="dxa"/>
            <w:left w:w="108" w:type="dxa"/>
            <w:bottom w:w="0" w:type="dxa"/>
            <w:right w:w="108" w:type="dxa"/>
          </w:tblCellMar>
        </w:tblPrEx>
        <w:trPr>
          <w:trHeight w:val="7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727D91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24</w:t>
            </w:r>
          </w:p>
        </w:tc>
        <w:tc>
          <w:tcPr>
            <w:tcW w:w="1818" w:type="dxa"/>
            <w:tcBorders>
              <w:top w:val="single" w:color="auto" w:sz="4" w:space="0"/>
              <w:left w:val="single" w:color="auto" w:sz="4" w:space="0"/>
              <w:bottom w:val="single" w:color="auto" w:sz="4" w:space="0"/>
              <w:right w:val="single" w:color="auto" w:sz="4" w:space="0"/>
            </w:tcBorders>
            <w:vAlign w:val="center"/>
          </w:tcPr>
          <w:p w14:paraId="0DC8BB2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成交候选人公示媒介</w:t>
            </w:r>
          </w:p>
        </w:tc>
        <w:tc>
          <w:tcPr>
            <w:tcW w:w="7286" w:type="dxa"/>
            <w:tcBorders>
              <w:top w:val="single" w:color="auto" w:sz="4" w:space="0"/>
              <w:left w:val="single" w:color="auto" w:sz="4" w:space="0"/>
              <w:bottom w:val="single" w:color="auto" w:sz="4" w:space="0"/>
              <w:right w:val="single" w:color="auto" w:sz="4" w:space="0"/>
            </w:tcBorders>
            <w:vAlign w:val="center"/>
          </w:tcPr>
          <w:p w14:paraId="7812380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新疆政府采购网、克州公共资源交易网，公示期为一个工作日。</w:t>
            </w:r>
          </w:p>
        </w:tc>
      </w:tr>
      <w:tr w14:paraId="7706C205">
        <w:tblPrEx>
          <w:tblCellMar>
            <w:top w:w="0" w:type="dxa"/>
            <w:left w:w="108" w:type="dxa"/>
            <w:bottom w:w="0" w:type="dxa"/>
            <w:right w:w="108" w:type="dxa"/>
          </w:tblCellMar>
        </w:tblPrEx>
        <w:trPr>
          <w:trHeight w:val="4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51FE74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25</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7312E91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招标代理服务费</w:t>
            </w:r>
          </w:p>
        </w:tc>
      </w:tr>
      <w:tr w14:paraId="711759A9">
        <w:tblPrEx>
          <w:tblCellMar>
            <w:top w:w="0" w:type="dxa"/>
            <w:left w:w="108" w:type="dxa"/>
            <w:bottom w:w="0" w:type="dxa"/>
            <w:right w:w="108" w:type="dxa"/>
          </w:tblCellMar>
        </w:tblPrEx>
        <w:trPr>
          <w:trHeight w:val="65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40DDA42">
            <w:pPr>
              <w:spacing w:line="360" w:lineRule="auto"/>
              <w:rPr>
                <w:rFonts w:hint="eastAsia" w:ascii="新宋体" w:hAnsi="新宋体" w:eastAsia="新宋体" w:cs="新宋体"/>
                <w:i w:val="0"/>
                <w:caps w:val="0"/>
                <w:color w:val="auto"/>
                <w:spacing w:val="0"/>
                <w:kern w:val="0"/>
                <w:sz w:val="21"/>
                <w:szCs w:val="21"/>
                <w:highlight w:val="none"/>
                <w:lang w:val="en-US" w:eastAsia="zh-CN" w:bidi="en-US"/>
              </w:rPr>
            </w:pP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2953A0F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招标代理费根据《中华人民共和国招标投标法》、《中华人民共和国招标投标法实施条</w:t>
            </w:r>
            <w:r>
              <w:rPr>
                <w:rFonts w:hint="default" w:ascii="宋体" w:hAnsi="宋体" w:eastAsia="宋体" w:cs="宋体"/>
                <w:color w:val="auto"/>
                <w:sz w:val="21"/>
                <w:szCs w:val="21"/>
                <w:highlight w:val="none"/>
                <w:u w:val="none" w:color="000000"/>
                <w:lang w:val="en-US" w:eastAsia="zh-CN" w:bidi="en-US"/>
              </w:rPr>
              <w:t>例》</w:t>
            </w:r>
            <w:r>
              <w:rPr>
                <w:rFonts w:hint="eastAsia" w:ascii="宋体" w:hAnsi="宋体" w:eastAsia="宋体" w:cs="宋体"/>
                <w:color w:val="auto"/>
                <w:sz w:val="21"/>
                <w:szCs w:val="21"/>
                <w:highlight w:val="none"/>
                <w:u w:val="none" w:color="000000"/>
                <w:lang w:val="en-US" w:eastAsia="zh-CN" w:bidi="en-US"/>
              </w:rPr>
              <w:t>、</w:t>
            </w:r>
            <w:r>
              <w:rPr>
                <w:rFonts w:hint="default" w:ascii="宋体" w:hAnsi="宋体" w:eastAsia="宋体" w:cs="宋体"/>
                <w:color w:val="auto"/>
                <w:sz w:val="21"/>
                <w:szCs w:val="21"/>
                <w:highlight w:val="none"/>
                <w:u w:val="none" w:color="000000"/>
                <w:lang w:val="en-US" w:eastAsia="zh-CN" w:bidi="en-US"/>
              </w:rPr>
              <w:t>《国家发展改革委关于进一步放开建设项目专业服务价格的通知》（发改价格【2015】299号）文件等规定收费基准价格计取。</w:t>
            </w:r>
          </w:p>
        </w:tc>
      </w:tr>
      <w:tr w14:paraId="27FF4B7D">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45F4FD4">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26</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1F1F8D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评标办法：本项目采用最低评标价法</w:t>
            </w:r>
          </w:p>
        </w:tc>
      </w:tr>
      <w:tr w14:paraId="1BE08BAA">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9195ECD">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27</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0FC6CE2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不管投标结果如何，投标人均应承担自己投标所需一切费用。</w:t>
            </w:r>
          </w:p>
        </w:tc>
      </w:tr>
      <w:tr w14:paraId="77691689">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B30656F">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28</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482C8D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right="0"/>
              <w:jc w:val="both"/>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宋体" w:hAnsi="宋体" w:eastAsia="宋体" w:cs="宋体"/>
                <w:color w:val="auto"/>
                <w:sz w:val="21"/>
                <w:szCs w:val="21"/>
                <w:highlight w:val="none"/>
                <w:u w:val="none" w:color="000000"/>
                <w:lang w:val="en-US" w:eastAsia="zh-CN" w:bidi="en-US"/>
              </w:rPr>
              <w:t>本次招标预算价：</w:t>
            </w:r>
            <w:r>
              <w:rPr>
                <w:rFonts w:hint="eastAsia" w:hAnsi="宋体" w:eastAsia="宋体" w:cs="宋体"/>
                <w:color w:val="auto"/>
                <w:sz w:val="21"/>
                <w:szCs w:val="21"/>
                <w:highlight w:val="none"/>
                <w:u w:val="none" w:color="000000"/>
                <w:lang w:val="en-US" w:eastAsia="zh-CN" w:bidi="en-US"/>
              </w:rPr>
              <w:t>1700000.00</w:t>
            </w:r>
            <w:r>
              <w:rPr>
                <w:rFonts w:hint="eastAsia" w:ascii="宋体" w:hAnsi="宋体" w:eastAsia="宋体" w:cs="宋体"/>
                <w:color w:val="auto"/>
                <w:sz w:val="21"/>
                <w:szCs w:val="21"/>
                <w:highlight w:val="none"/>
                <w:u w:val="none" w:color="000000"/>
                <w:lang w:val="en-US" w:eastAsia="zh-CN" w:bidi="en-US"/>
              </w:rPr>
              <w:t>元，</w:t>
            </w:r>
            <w:r>
              <w:rPr>
                <w:rFonts w:hint="eastAsia" w:ascii="新宋体" w:hAnsi="新宋体" w:eastAsia="新宋体" w:cs="新宋体"/>
                <w:i w:val="0"/>
                <w:caps w:val="0"/>
                <w:color w:val="auto"/>
                <w:spacing w:val="0"/>
                <w:kern w:val="0"/>
                <w:sz w:val="21"/>
                <w:szCs w:val="21"/>
                <w:highlight w:val="none"/>
                <w:lang w:val="en-US" w:eastAsia="zh-CN"/>
              </w:rPr>
              <w:t>最高限价（元）：1700000.00</w:t>
            </w:r>
          </w:p>
          <w:p w14:paraId="50D20D3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投标总报价超过招标</w:t>
            </w:r>
            <w:r>
              <w:rPr>
                <w:rFonts w:hint="eastAsia" w:hAnsi="宋体" w:eastAsia="宋体" w:cs="宋体"/>
                <w:color w:val="auto"/>
                <w:sz w:val="21"/>
                <w:szCs w:val="21"/>
                <w:highlight w:val="none"/>
                <w:u w:val="none" w:color="000000"/>
                <w:lang w:val="en-US" w:eastAsia="zh-CN" w:bidi="en-US"/>
              </w:rPr>
              <w:t>最高限</w:t>
            </w:r>
            <w:r>
              <w:rPr>
                <w:rFonts w:hint="eastAsia" w:ascii="宋体" w:hAnsi="宋体" w:eastAsia="宋体" w:cs="宋体"/>
                <w:color w:val="auto"/>
                <w:sz w:val="21"/>
                <w:szCs w:val="21"/>
                <w:highlight w:val="none"/>
                <w:u w:val="none" w:color="000000"/>
                <w:lang w:val="en-US" w:eastAsia="zh-CN" w:bidi="en-US"/>
              </w:rPr>
              <w:t>价的按废标处理。</w:t>
            </w:r>
          </w:p>
        </w:tc>
      </w:tr>
      <w:tr w14:paraId="75EFB6EE">
        <w:tblPrEx>
          <w:tblCellMar>
            <w:top w:w="0" w:type="dxa"/>
            <w:left w:w="108" w:type="dxa"/>
            <w:bottom w:w="0" w:type="dxa"/>
            <w:right w:w="108" w:type="dxa"/>
          </w:tblCellMar>
        </w:tblPrEx>
        <w:trPr>
          <w:trHeight w:val="4352"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146F884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29</w:t>
            </w:r>
          </w:p>
        </w:tc>
        <w:tc>
          <w:tcPr>
            <w:tcW w:w="1818" w:type="dxa"/>
            <w:tcBorders>
              <w:top w:val="single" w:color="auto" w:sz="4" w:space="0"/>
              <w:left w:val="single" w:color="auto" w:sz="4" w:space="0"/>
              <w:bottom w:val="single" w:color="auto" w:sz="4" w:space="0"/>
              <w:right w:val="single" w:color="auto" w:sz="4" w:space="0"/>
            </w:tcBorders>
            <w:vAlign w:val="center"/>
          </w:tcPr>
          <w:p w14:paraId="443762B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中小微企业政策文件</w:t>
            </w:r>
          </w:p>
        </w:tc>
        <w:tc>
          <w:tcPr>
            <w:tcW w:w="7286" w:type="dxa"/>
            <w:tcBorders>
              <w:top w:val="single" w:color="auto" w:sz="4" w:space="0"/>
              <w:left w:val="single" w:color="auto" w:sz="4" w:space="0"/>
              <w:bottom w:val="single" w:color="auto" w:sz="4" w:space="0"/>
              <w:right w:val="single" w:color="auto" w:sz="4" w:space="0"/>
            </w:tcBorders>
            <w:vAlign w:val="center"/>
          </w:tcPr>
          <w:p w14:paraId="6DFCB35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根据财政部、工业和信息化部关于印发《政府采购促进中小企业发展管理办法》的通知（财库[2020]46号）和关于进一步加大政府采购支持中小企业力度的通知-财库[2022]19号，供应商提供的服务属于《工业和信息化部、国家统计局、国家发展和改革委员会、财政部关于印发中小企业划型标准规定的通知》（工信部联企业[2011]300号）中规定的小型、微型企业标准的，按招标文件格式提供《中小企业声明函（货物）》。</w:t>
            </w:r>
          </w:p>
          <w:p w14:paraId="625383F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2B3F9AD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6AB41840">
        <w:tblPrEx>
          <w:tblCellMar>
            <w:top w:w="0" w:type="dxa"/>
            <w:left w:w="108" w:type="dxa"/>
            <w:bottom w:w="0" w:type="dxa"/>
            <w:right w:w="108" w:type="dxa"/>
          </w:tblCellMar>
        </w:tblPrEx>
        <w:trPr>
          <w:trHeight w:val="312"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6EEC9F30">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tcBorders>
              <w:top w:val="single" w:color="auto" w:sz="4" w:space="0"/>
              <w:left w:val="single" w:color="auto" w:sz="4" w:space="0"/>
              <w:bottom w:val="single" w:color="auto" w:sz="4" w:space="0"/>
              <w:right w:val="single" w:color="auto" w:sz="4" w:space="0"/>
            </w:tcBorders>
            <w:vAlign w:val="center"/>
          </w:tcPr>
          <w:p w14:paraId="4E9173E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中小微企业政策文件说明</w:t>
            </w:r>
          </w:p>
        </w:tc>
        <w:tc>
          <w:tcPr>
            <w:tcW w:w="7286" w:type="dxa"/>
            <w:tcBorders>
              <w:top w:val="single" w:color="auto" w:sz="4" w:space="0"/>
              <w:left w:val="single" w:color="auto" w:sz="4" w:space="0"/>
              <w:bottom w:val="single" w:color="auto" w:sz="4" w:space="0"/>
              <w:right w:val="single" w:color="auto" w:sz="4" w:space="0"/>
            </w:tcBorders>
            <w:vAlign w:val="center"/>
          </w:tcPr>
          <w:p w14:paraId="6FC80A9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1.本项目为专门面向中小企业项目，资金为全部预留。</w:t>
            </w:r>
          </w:p>
          <w:p w14:paraId="1A05B33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2.本采购项目中小企业划分标准所属行业为：</w:t>
            </w:r>
            <w:r>
              <w:rPr>
                <w:rFonts w:hint="eastAsia" w:ascii="宋体" w:hAnsi="宋体" w:eastAsia="宋体" w:cs="宋体"/>
                <w:b/>
                <w:bCs/>
                <w:color w:val="auto"/>
                <w:sz w:val="21"/>
                <w:szCs w:val="21"/>
                <w:highlight w:val="none"/>
                <w:u w:val="single" w:color="auto"/>
                <w:lang w:val="en-US" w:eastAsia="zh-CN" w:bidi="en-US"/>
              </w:rPr>
              <w:t>工业</w:t>
            </w:r>
            <w:r>
              <w:rPr>
                <w:rFonts w:hint="eastAsia" w:ascii="宋体" w:hAnsi="宋体" w:eastAsia="宋体" w:cs="宋体"/>
                <w:color w:val="auto"/>
                <w:sz w:val="21"/>
                <w:szCs w:val="21"/>
                <w:highlight w:val="none"/>
                <w:u w:val="single" w:color="auto"/>
                <w:lang w:val="en-US" w:eastAsia="zh-CN" w:bidi="en-US"/>
              </w:rPr>
              <w:t>。</w:t>
            </w:r>
          </w:p>
          <w:p w14:paraId="5390935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3.着重提醒：投标供应商在提供《中小企业声明函》时，必须将招标文件采购标的物全部列入《中小企业声明函》，否则按废标处理。</w:t>
            </w:r>
          </w:p>
        </w:tc>
      </w:tr>
      <w:tr w14:paraId="39F2A843">
        <w:tblPrEx>
          <w:tblCellMar>
            <w:top w:w="0" w:type="dxa"/>
            <w:left w:w="108" w:type="dxa"/>
            <w:bottom w:w="0" w:type="dxa"/>
            <w:right w:w="108" w:type="dxa"/>
          </w:tblCellMar>
        </w:tblPrEx>
        <w:trPr>
          <w:trHeight w:val="31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6AAC823">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30</w:t>
            </w:r>
          </w:p>
        </w:tc>
        <w:tc>
          <w:tcPr>
            <w:tcW w:w="1818" w:type="dxa"/>
            <w:tcBorders>
              <w:top w:val="single" w:color="auto" w:sz="4" w:space="0"/>
              <w:left w:val="single" w:color="auto" w:sz="4" w:space="0"/>
              <w:bottom w:val="single" w:color="auto" w:sz="4" w:space="0"/>
              <w:right w:val="single" w:color="auto" w:sz="4" w:space="0"/>
            </w:tcBorders>
            <w:vAlign w:val="center"/>
          </w:tcPr>
          <w:p w14:paraId="13B4625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Times New Roman"/>
                <w:color w:val="auto"/>
                <w:kern w:val="2"/>
                <w:sz w:val="21"/>
                <w:szCs w:val="21"/>
                <w:highlight w:val="none"/>
                <w:lang w:val="en-US" w:eastAsia="zh-CN" w:bidi="ar-SA"/>
              </w:rPr>
              <w:t>各行业划型标准为：</w:t>
            </w:r>
          </w:p>
        </w:tc>
        <w:tc>
          <w:tcPr>
            <w:tcW w:w="7286" w:type="dxa"/>
            <w:tcBorders>
              <w:top w:val="single" w:color="auto" w:sz="4" w:space="0"/>
              <w:left w:val="single" w:color="auto" w:sz="4" w:space="0"/>
              <w:bottom w:val="single" w:color="auto" w:sz="4" w:space="0"/>
              <w:right w:val="single" w:color="auto" w:sz="4" w:space="0"/>
            </w:tcBorders>
            <w:vAlign w:val="center"/>
          </w:tcPr>
          <w:p w14:paraId="297CDF11">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DC10C81">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（一）农、林、牧、渔业。营业收入20000万元以下的为中小微型企业。其中，营业收入500万元及以上的为中型企业，营业收入50万元及以上的为小型企业，营业收入50万元以下的为微型企业。</w:t>
            </w:r>
          </w:p>
          <w:p w14:paraId="5BE1F5F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C2B9E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7607C97">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84D71EF">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3192688">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E9E61A0">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7ACF08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197E308">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2620A1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B2D871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3D1347F">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078648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F2A05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1CB155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20F84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（十六）其他未列明行业。从业人员300人以下的为中小微型企业。其中，从业人员100人及以上的为中型企业；从业人员10人及以上的为小型企业；从业人员10人以下的为微型企业。</w:t>
            </w:r>
          </w:p>
          <w:p w14:paraId="2658AB3E">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五、企业类型的划分以统计部门的统计数据为依据。</w:t>
            </w:r>
          </w:p>
          <w:p w14:paraId="64F9D92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六、本规定适用于在中华人民共和国境内依法设立的各类所有制和各种组织形式的企业。个体工商户和本规定以外的行业，参照本规定进行划型。</w:t>
            </w:r>
          </w:p>
          <w:p w14:paraId="2F993CF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七、本规定的中型企业标准上限即为大型企业标准的下限，国家统计部门据此制定大中小微型企业的统计分类。国务院有关部门据此进行相关数据分析，不得制定与本规定不一致的企业划型标准。</w:t>
            </w:r>
          </w:p>
          <w:p w14:paraId="5A095CAC">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八、本规定由工业和信息化部、国家统计局会同有关部门根据《国民经济行业分类》修订情况和企业发展变化情况适时修订。</w:t>
            </w:r>
          </w:p>
          <w:p w14:paraId="746B5684">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九、本规定由工业和信息化部、国家统计局会同有关部门负责解释。</w:t>
            </w:r>
          </w:p>
          <w:p w14:paraId="3935343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Times New Roman"/>
                <w:color w:val="auto"/>
                <w:kern w:val="2"/>
                <w:sz w:val="21"/>
                <w:szCs w:val="21"/>
                <w:highlight w:val="none"/>
                <w:lang w:val="en-US" w:eastAsia="zh-CN" w:bidi="ar-SA"/>
              </w:rPr>
              <w:t>十、本规定自发布之日起执行，原国家经贸委、原国家计委、财政部和国家统计局2003年颁布的《中小企业标准暂行规定》同时废止。</w:t>
            </w:r>
          </w:p>
        </w:tc>
      </w:tr>
      <w:tr w14:paraId="03D52FCB">
        <w:tblPrEx>
          <w:tblCellMar>
            <w:top w:w="0" w:type="dxa"/>
            <w:left w:w="108" w:type="dxa"/>
            <w:bottom w:w="0" w:type="dxa"/>
            <w:right w:w="108" w:type="dxa"/>
          </w:tblCellMar>
        </w:tblPrEx>
        <w:trPr>
          <w:trHeight w:val="31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958DB3">
            <w:pPr>
              <w:snapToGrid w:val="0"/>
              <w:spacing w:line="290" w:lineRule="exact"/>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宋体" w:hAnsi="宋体" w:cs="宋体"/>
                <w:color w:val="auto"/>
                <w:kern w:val="2"/>
                <w:sz w:val="21"/>
                <w:szCs w:val="21"/>
                <w:highlight w:val="none"/>
                <w:lang w:val="en-US" w:eastAsia="zh-CN" w:bidi="ar-SA"/>
              </w:rPr>
              <w:t>31</w:t>
            </w:r>
          </w:p>
        </w:tc>
        <w:tc>
          <w:tcPr>
            <w:tcW w:w="1818" w:type="dxa"/>
            <w:tcBorders>
              <w:top w:val="single" w:color="auto" w:sz="4" w:space="0"/>
              <w:left w:val="single" w:color="auto" w:sz="4" w:space="0"/>
              <w:bottom w:val="single" w:color="auto" w:sz="4" w:space="0"/>
              <w:right w:val="single" w:color="auto" w:sz="4" w:space="0"/>
            </w:tcBorders>
            <w:vAlign w:val="center"/>
          </w:tcPr>
          <w:p w14:paraId="630E345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auto"/>
                <w:sz w:val="21"/>
                <w:szCs w:val="21"/>
                <w:highlight w:val="none"/>
                <w:u w:val="none" w:color="000000"/>
                <w:lang w:val="en-US" w:eastAsia="zh-CN" w:bidi="en-US"/>
              </w:rPr>
              <w:t>低于成本价不正当竞争预防措施</w:t>
            </w:r>
          </w:p>
        </w:tc>
        <w:tc>
          <w:tcPr>
            <w:tcW w:w="7286" w:type="dxa"/>
            <w:tcBorders>
              <w:top w:val="single" w:color="auto" w:sz="4" w:space="0"/>
              <w:left w:val="single" w:color="auto" w:sz="4" w:space="0"/>
              <w:bottom w:val="single" w:color="auto" w:sz="4" w:space="0"/>
              <w:right w:val="single" w:color="auto" w:sz="4" w:space="0"/>
            </w:tcBorders>
            <w:vAlign w:val="center"/>
          </w:tcPr>
          <w:p w14:paraId="65DC8800">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根据财库〔2026〕2号《关于推动解决政府采购异常低价问题的通知》</w:t>
            </w:r>
          </w:p>
          <w:p w14:paraId="569569D2">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为强化政府采购异常低价审查，在此次政府采购评审中出现下列情形之一的，评审委员会应当启动异常低价投标（响应）审查程序：</w:t>
            </w:r>
          </w:p>
          <w:p w14:paraId="49D39EE2">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1.投标（响应）报价低于全部通过符合性审查供应商投标（响应）报价平均值50%的，即投标（响应）报价&lt;全部通过符合性审查供应商投标（响应）报价平均值×50%；</w:t>
            </w:r>
          </w:p>
          <w:p w14:paraId="4A315987">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2.投标（响应）报价低于通过符合性审查的次低报价供应商投标（响应）报价50%的，即投标（响应）报价&lt;通过符合性审查的次低报价供应商投标（响应）报价×50%；</w:t>
            </w:r>
          </w:p>
          <w:p w14:paraId="27CE657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3.投标（响应）报价低于采购项目最高限价45%的，即投标（响应）报价&lt;采购项目最高限价×45%；</w:t>
            </w:r>
          </w:p>
          <w:p w14:paraId="0D8A18AA">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4.评审委员会基于专业判断，认为供应商报价过低，有可能影响产品质量或者不能诚信履约的其他情形。</w:t>
            </w:r>
          </w:p>
          <w:p w14:paraId="590F8C2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在评审过程中，评审小组应当要求其在开标现场合理的时间内提供书面说明，并提交相关证明材料，投标人不能证明其报价合理性的，评审小组应当将其作为无效处理。</w:t>
            </w:r>
          </w:p>
          <w:p w14:paraId="316DECA0">
            <w:pPr>
              <w:pStyle w:val="29"/>
              <w:ind w:left="0" w:leftChars="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p>
        </w:tc>
      </w:tr>
      <w:tr w14:paraId="3547215F">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8FE7133">
            <w:pPr>
              <w:keepNext w:val="0"/>
              <w:keepLines w:val="0"/>
              <w:pageBreakBefore w:val="0"/>
              <w:kinsoku/>
              <w:overflowPunct/>
              <w:topLinePunct w:val="0"/>
              <w:autoSpaceDN/>
              <w:bidi w:val="0"/>
              <w:adjustRightInd/>
              <w:spacing w:line="420" w:lineRule="exact"/>
              <w:jc w:val="center"/>
              <w:textAlignment w:val="auto"/>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仿宋" w:hAnsi="仿宋" w:eastAsia="仿宋" w:cs="仿宋"/>
                <w:szCs w:val="21"/>
                <w:lang w:val="en-US" w:eastAsia="zh-CN"/>
              </w:rPr>
              <w:t>32</w:t>
            </w:r>
          </w:p>
        </w:tc>
        <w:tc>
          <w:tcPr>
            <w:tcW w:w="1818" w:type="dxa"/>
            <w:tcBorders>
              <w:top w:val="single" w:color="auto" w:sz="4" w:space="0"/>
              <w:left w:val="single" w:color="auto" w:sz="4" w:space="0"/>
              <w:bottom w:val="single" w:color="auto" w:sz="4" w:space="0"/>
              <w:right w:val="single" w:color="auto" w:sz="4" w:space="0"/>
            </w:tcBorders>
            <w:vAlign w:val="center"/>
          </w:tcPr>
          <w:p w14:paraId="7F3DEA27">
            <w:pPr>
              <w:keepNext w:val="0"/>
              <w:keepLines w:val="0"/>
              <w:pageBreakBefore w:val="0"/>
              <w:kinsoku/>
              <w:overflowPunct/>
              <w:topLinePunct w:val="0"/>
              <w:autoSpaceDN/>
              <w:bidi w:val="0"/>
              <w:adjustRightInd/>
              <w:snapToGrid w:val="0"/>
              <w:spacing w:line="420" w:lineRule="exact"/>
              <w:jc w:val="center"/>
              <w:textAlignment w:val="auto"/>
              <w:rPr>
                <w:rFonts w:hint="eastAsia" w:ascii="宋体" w:hAnsi="宋体" w:eastAsia="宋体" w:cs="宋体"/>
                <w:color w:val="auto"/>
                <w:sz w:val="21"/>
                <w:szCs w:val="21"/>
                <w:highlight w:val="none"/>
                <w:u w:val="none" w:color="000000"/>
                <w:lang w:val="en-US" w:eastAsia="zh-CN" w:bidi="en-US"/>
              </w:rPr>
            </w:pPr>
            <w:r>
              <w:rPr>
                <w:rFonts w:hint="eastAsia" w:ascii="仿宋" w:hAnsi="仿宋" w:eastAsia="仿宋" w:cs="仿宋"/>
                <w:szCs w:val="21"/>
                <w:lang w:val="en-US" w:eastAsia="zh-CN"/>
              </w:rPr>
              <w:t>国产政策文件</w:t>
            </w:r>
          </w:p>
        </w:tc>
        <w:tc>
          <w:tcPr>
            <w:tcW w:w="7286" w:type="dxa"/>
            <w:tcBorders>
              <w:top w:val="single" w:color="auto" w:sz="4" w:space="0"/>
              <w:left w:val="single" w:color="auto" w:sz="4" w:space="0"/>
              <w:bottom w:val="single" w:color="auto" w:sz="4" w:space="0"/>
              <w:right w:val="single" w:color="auto" w:sz="4" w:space="0"/>
            </w:tcBorders>
            <w:vAlign w:val="top"/>
          </w:tcPr>
          <w:p w14:paraId="26B0296E">
            <w:pPr>
              <w:keepNext w:val="0"/>
              <w:keepLines w:val="0"/>
              <w:pageBreakBefore w:val="0"/>
              <w:kinsoku/>
              <w:overflowPunct/>
              <w:topLinePunct w:val="0"/>
              <w:autoSpaceDN/>
              <w:bidi w:val="0"/>
              <w:adjustRightInd/>
              <w:snapToGrid w:val="0"/>
              <w:spacing w:line="420" w:lineRule="exact"/>
              <w:textAlignment w:val="auto"/>
              <w:rPr>
                <w:rFonts w:hint="eastAsia" w:ascii="仿宋" w:hAnsi="仿宋" w:eastAsia="仿宋" w:cs="仿宋"/>
                <w:color w:val="auto"/>
                <w:kern w:val="0"/>
                <w:szCs w:val="21"/>
                <w:highlight w:val="none"/>
                <w:u w:val="none"/>
                <w:lang w:val="en-US" w:eastAsia="zh-CN"/>
              </w:rPr>
            </w:pPr>
            <w:r>
              <w:rPr>
                <w:rFonts w:hint="eastAsia" w:ascii="仿宋" w:hAnsi="仿宋" w:eastAsia="仿宋" w:cs="仿宋"/>
                <w:color w:val="auto"/>
                <w:kern w:val="0"/>
                <w:szCs w:val="21"/>
                <w:highlight w:val="none"/>
                <w:u w:val="none"/>
                <w:lang w:val="en-US" w:eastAsia="zh-CN"/>
              </w:rPr>
              <w:t>1.政府采购中实施本国产品标准及相关政策：1）根据国务院办公厅国办发〔2025〕34号《国务院办公厅关于在政府采购中实施本国产品标准及相关政策的通知》相关要求，按招标文件格式提供《关于符合本国产品标准的声明函》；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3A33E3A">
            <w:pPr>
              <w:keepNext w:val="0"/>
              <w:keepLines w:val="0"/>
              <w:pageBreakBefore w:val="0"/>
              <w:kinsoku/>
              <w:overflowPunct/>
              <w:topLinePunct w:val="0"/>
              <w:autoSpaceDN/>
              <w:bidi w:val="0"/>
              <w:adjustRightInd/>
              <w:snapToGrid w:val="0"/>
              <w:spacing w:line="420" w:lineRule="exact"/>
              <w:textAlignment w:val="auto"/>
              <w:rPr>
                <w:rFonts w:hint="eastAsia" w:ascii="宋体" w:hAnsi="宋体" w:eastAsia="宋体" w:cs="宋体"/>
                <w:color w:val="auto"/>
                <w:sz w:val="21"/>
                <w:szCs w:val="21"/>
                <w:highlight w:val="none"/>
                <w:u w:val="none" w:color="000000"/>
                <w:lang w:val="zh-CN" w:eastAsia="zh-CN" w:bidi="en-US"/>
              </w:rPr>
            </w:pPr>
            <w:r>
              <w:rPr>
                <w:rFonts w:hint="eastAsia" w:ascii="仿宋" w:hAnsi="仿宋" w:eastAsia="仿宋" w:cs="仿宋"/>
                <w:color w:val="auto"/>
                <w:kern w:val="0"/>
                <w:szCs w:val="21"/>
                <w:highlight w:val="none"/>
                <w:u w:val="none"/>
                <w:lang w:val="en-US" w:eastAsia="zh-CN"/>
              </w:rPr>
              <w:t>着重提醒：投标供应商必须将招标文件采购标的物全部列入《关于符合本国产品标准的声明函》，否则不享受对本国产品的政府采购支持政策。</w:t>
            </w:r>
          </w:p>
        </w:tc>
      </w:tr>
      <w:tr w14:paraId="4D3E6DCF">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78CB4BC">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33</w:t>
            </w:r>
          </w:p>
        </w:tc>
        <w:tc>
          <w:tcPr>
            <w:tcW w:w="1818" w:type="dxa"/>
            <w:tcBorders>
              <w:top w:val="single" w:color="auto" w:sz="4" w:space="0"/>
              <w:left w:val="single" w:color="auto" w:sz="4" w:space="0"/>
              <w:bottom w:val="single" w:color="auto" w:sz="4" w:space="0"/>
              <w:right w:val="single" w:color="auto" w:sz="4" w:space="0"/>
            </w:tcBorders>
            <w:vAlign w:val="center"/>
          </w:tcPr>
          <w:p w14:paraId="595E5F0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履约保证金</w:t>
            </w:r>
          </w:p>
        </w:tc>
        <w:tc>
          <w:tcPr>
            <w:tcW w:w="7286" w:type="dxa"/>
            <w:tcBorders>
              <w:top w:val="single" w:color="auto" w:sz="4" w:space="0"/>
              <w:left w:val="single" w:color="auto" w:sz="4" w:space="0"/>
              <w:bottom w:val="single" w:color="auto" w:sz="4" w:space="0"/>
              <w:right w:val="single" w:color="auto" w:sz="4" w:space="0"/>
            </w:tcBorders>
            <w:vAlign w:val="center"/>
          </w:tcPr>
          <w:p w14:paraId="0A48533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default" w:ascii="宋体" w:hAnsi="宋体" w:eastAsia="宋体" w:cs="宋体"/>
                <w:color w:val="auto"/>
                <w:sz w:val="21"/>
                <w:szCs w:val="21"/>
                <w:highlight w:val="none"/>
                <w:u w:val="none" w:color="000000"/>
                <w:lang w:val="en-US" w:eastAsia="zh-CN" w:bidi="en-US"/>
              </w:rPr>
              <w:t>成交人应在领取《成交通知书》后的5个工作日内，办理履约保证金（供应商应当以支票、汇票、本票或者金融机构、担保机构出具的保函等非现金形式提交，若以电汇、银行转账方式提交的，必须转到采购人的指定账户）履约保证金为合同总价的2%。</w:t>
            </w:r>
          </w:p>
        </w:tc>
      </w:tr>
      <w:tr w14:paraId="7B3A38EC">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23CB7E5">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备注</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718CCA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1、着重提醒各投标人注意，并认真查看采购文件中的每一个条款及要求，因误读采购文件而造成的后果，招标人概不负责。</w:t>
            </w:r>
          </w:p>
          <w:p w14:paraId="2D72CC3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除法律、法规和规章规定外，采购文件中用“拒绝”、“不接受”、“无效”、“不得”等文字规定，对其中任何一条的偏离，在评审时将其视为无效文件。未用上述文字规定或符号标注的条款为非实质性要求条款(即一般条款)。</w:t>
            </w:r>
          </w:p>
          <w:p w14:paraId="5687631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除非另有特殊说明，若本采购文件中引用了某一品牌、型号或生产供应商名称，均是指参照该品牌、型号或生产供应商的产品或服务，所引用的品牌、型号或生产供应商不构成对投标的限制。若采用的外文术语与某一供应商或某一产品使用的术语相同，并非表示指定了该供应商或该产品。</w:t>
            </w:r>
          </w:p>
          <w:p w14:paraId="670A08A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4CB2A03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5、投标人使用相同IP地址的，一经发现，相关部门将进一步核实，查实后按串通投标处理。</w:t>
            </w:r>
          </w:p>
          <w:p w14:paraId="78D20C4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应当否决其投标。请供应商正确填写报价。</w:t>
            </w:r>
          </w:p>
          <w:p w14:paraId="66D7652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7、其他：</w:t>
            </w:r>
          </w:p>
          <w:p w14:paraId="78BBA7C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（1）投标企业严格遵守国家的法律法规及招标纪律，无违法违纪及商业贿赂行为。</w:t>
            </w:r>
          </w:p>
          <w:p w14:paraId="06D9D07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（2）不管投标结果如何，供应商均应自行承担投标所需一切费用。</w:t>
            </w:r>
          </w:p>
          <w:p w14:paraId="3641F66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3</w:t>
            </w:r>
            <w:r>
              <w:rPr>
                <w:rFonts w:hint="eastAsia" w:ascii="宋体" w:hAnsi="宋体" w:eastAsia="宋体" w:cs="宋体"/>
                <w:color w:val="auto"/>
                <w:sz w:val="21"/>
                <w:szCs w:val="21"/>
                <w:highlight w:val="none"/>
                <w:u w:val="none" w:color="000000"/>
                <w:lang w:val="en-US" w:eastAsia="zh-CN" w:bidi="en-US"/>
              </w:rPr>
              <w:t>）采购文件中如出现前后不一致情况，均以前附表内容为准。</w:t>
            </w:r>
          </w:p>
          <w:p w14:paraId="33448C7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8、</w:t>
            </w:r>
            <w:r>
              <w:rPr>
                <w:rFonts w:hint="eastAsia" w:hAnsi="宋体" w:eastAsia="宋体" w:cs="宋体"/>
                <w:color w:val="auto"/>
                <w:sz w:val="21"/>
                <w:szCs w:val="21"/>
                <w:highlight w:val="none"/>
                <w:u w:val="none" w:color="000000"/>
                <w:lang w:val="en-US" w:eastAsia="zh-CN" w:bidi="en-US"/>
              </w:rPr>
              <w:t>付款方式：合同签订后，供应方向采购方提供中标价2%的履约保证金，采购方向供应方支付合同价50％预付款，验收合格后，采购方向供应方支付合同货款的50%。</w:t>
            </w:r>
            <w:r>
              <w:rPr>
                <w:rFonts w:hint="eastAsia" w:ascii="宋体" w:hAnsi="宋体" w:eastAsia="宋体" w:cs="宋体"/>
                <w:color w:val="auto"/>
                <w:sz w:val="21"/>
                <w:szCs w:val="21"/>
                <w:highlight w:val="none"/>
                <w:u w:val="none" w:color="000000"/>
                <w:lang w:val="en-US" w:eastAsia="zh-CN" w:bidi="en-US"/>
              </w:rPr>
              <w:t>，</w:t>
            </w:r>
          </w:p>
          <w:p w14:paraId="7930BAD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hAnsi="宋体" w:eastAsia="宋体" w:cs="宋体"/>
                <w:color w:val="auto"/>
                <w:sz w:val="21"/>
                <w:szCs w:val="21"/>
                <w:highlight w:val="none"/>
                <w:u w:val="none" w:color="000000"/>
                <w:lang w:val="en-US" w:eastAsia="zh-CN" w:bidi="en-US"/>
              </w:rPr>
              <w:t>9、</w:t>
            </w:r>
            <w:r>
              <w:rPr>
                <w:rFonts w:hint="eastAsia" w:ascii="宋体" w:hAnsi="宋体" w:eastAsia="宋体" w:cs="宋体"/>
                <w:color w:val="auto"/>
                <w:sz w:val="21"/>
                <w:szCs w:val="21"/>
                <w:highlight w:val="none"/>
                <w:u w:val="none" w:color="000000"/>
                <w:lang w:val="en-US" w:eastAsia="zh-CN" w:bidi="en-US"/>
              </w:rPr>
              <w:t>如设备无法满</w:t>
            </w:r>
            <w:r>
              <w:rPr>
                <w:rFonts w:hint="eastAsia" w:hAnsi="宋体" w:eastAsia="宋体" w:cs="宋体"/>
                <w:color w:val="auto"/>
                <w:sz w:val="21"/>
                <w:szCs w:val="21"/>
                <w:highlight w:val="none"/>
                <w:u w:val="none" w:color="000000"/>
                <w:lang w:val="en-US" w:eastAsia="zh-CN" w:bidi="en-US"/>
              </w:rPr>
              <w:t>本招标文件内技术要求</w:t>
            </w:r>
            <w:r>
              <w:rPr>
                <w:rFonts w:hint="eastAsia" w:ascii="宋体" w:hAnsi="宋体" w:eastAsia="宋体" w:cs="宋体"/>
                <w:color w:val="auto"/>
                <w:sz w:val="21"/>
                <w:szCs w:val="21"/>
                <w:highlight w:val="none"/>
                <w:u w:val="none" w:color="000000"/>
                <w:lang w:val="en-US" w:eastAsia="zh-CN" w:bidi="en-US"/>
              </w:rPr>
              <w:t>要求，视为乙方违约，需退还已支付金额，同时乙方需拆除设备并进行还原。</w:t>
            </w:r>
          </w:p>
        </w:tc>
      </w:tr>
    </w:tbl>
    <w:p w14:paraId="5FD0ED0D">
      <w:pPr>
        <w:pStyle w:val="29"/>
        <w:ind w:left="0" w:leftChars="0" w:firstLine="0" w:firstLineChars="0"/>
        <w:rPr>
          <w:rFonts w:hint="eastAsia" w:ascii="新宋体" w:hAnsi="新宋体" w:eastAsia="新宋体" w:cs="新宋体"/>
          <w:i w:val="0"/>
          <w:caps w:val="0"/>
          <w:color w:val="auto"/>
          <w:spacing w:val="0"/>
          <w:kern w:val="0"/>
          <w:sz w:val="21"/>
          <w:szCs w:val="21"/>
          <w:highlight w:val="none"/>
          <w:lang w:val="en-US" w:eastAsia="zh-CN" w:bidi="en-US"/>
        </w:rPr>
      </w:pPr>
    </w:p>
    <w:p w14:paraId="53717E0F">
      <w:pPr>
        <w:rPr>
          <w:rFonts w:hint="eastAsia"/>
          <w:color w:val="auto"/>
          <w:highlight w:val="none"/>
        </w:rPr>
      </w:pPr>
    </w:p>
    <w:p w14:paraId="37D4C743">
      <w:pPr>
        <w:rPr>
          <w:rFonts w:hint="eastAsia"/>
          <w:color w:val="auto"/>
          <w:highlight w:val="none"/>
        </w:rPr>
      </w:pPr>
      <w:r>
        <w:rPr>
          <w:rFonts w:hint="eastAsia"/>
          <w:color w:val="auto"/>
          <w:highlight w:val="none"/>
        </w:rPr>
        <w:br w:type="page"/>
      </w:r>
    </w:p>
    <w:p w14:paraId="1274E44B">
      <w:pPr>
        <w:rPr>
          <w:rFonts w:hint="eastAsia"/>
          <w:color w:val="auto"/>
          <w:highlight w:val="none"/>
        </w:rPr>
      </w:pPr>
    </w:p>
    <w:p w14:paraId="5A66B8FA">
      <w:pPr>
        <w:pStyle w:val="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一、总则</w:t>
      </w:r>
    </w:p>
    <w:p w14:paraId="0D2C79C9">
      <w:pPr>
        <w:pStyle w:val="21"/>
        <w:snapToGrid w:val="0"/>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kern w:val="2"/>
          <w:sz w:val="24"/>
          <w:szCs w:val="24"/>
          <w:highlight w:val="none"/>
        </w:rPr>
        <w:t>（一）项目名称</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阿图什市松他克镇中心学校新建改扩建项目（设备采购）</w:t>
      </w:r>
    </w:p>
    <w:p w14:paraId="4D66C671">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（二）采购方式</w:t>
      </w:r>
      <w:r>
        <w:rPr>
          <w:rFonts w:hint="eastAsia" w:ascii="仿宋" w:hAnsi="仿宋" w:eastAsia="仿宋" w:cs="仿宋"/>
          <w:b/>
          <w:bCs/>
          <w:color w:val="auto"/>
          <w:sz w:val="24"/>
          <w:szCs w:val="24"/>
          <w:highlight w:val="none"/>
          <w:lang w:eastAsia="zh-CN"/>
        </w:rPr>
        <w:t>：</w:t>
      </w:r>
      <w:r>
        <w:rPr>
          <w:rFonts w:hint="eastAsia" w:ascii="仿宋" w:hAnsi="仿宋" w:eastAsia="仿宋" w:cs="仿宋"/>
          <w:color w:val="auto"/>
          <w:sz w:val="24"/>
          <w:szCs w:val="24"/>
          <w:highlight w:val="none"/>
        </w:rPr>
        <w:t>本项目采取</w:t>
      </w:r>
      <w:r>
        <w:rPr>
          <w:rFonts w:hint="eastAsia" w:ascii="仿宋" w:hAnsi="仿宋" w:eastAsia="仿宋" w:cs="仿宋"/>
          <w:color w:val="auto"/>
          <w:sz w:val="24"/>
          <w:szCs w:val="24"/>
          <w:highlight w:val="none"/>
          <w:u w:val="single"/>
          <w:lang w:eastAsia="zh-CN"/>
        </w:rPr>
        <w:t>竞争性谈判</w:t>
      </w:r>
      <w:r>
        <w:rPr>
          <w:rFonts w:hint="eastAsia" w:ascii="仿宋" w:hAnsi="仿宋" w:eastAsia="仿宋" w:cs="仿宋"/>
          <w:color w:val="auto"/>
          <w:sz w:val="24"/>
          <w:szCs w:val="24"/>
          <w:highlight w:val="none"/>
        </w:rPr>
        <w:t>方式采购。</w:t>
      </w:r>
    </w:p>
    <w:p w14:paraId="04E3A7EB">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（三）合格的供应商</w:t>
      </w:r>
    </w:p>
    <w:p w14:paraId="1E5B71EE">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详见供应商须知前附表</w:t>
      </w:r>
    </w:p>
    <w:p w14:paraId="2463B960">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（四）适用法律</w:t>
      </w:r>
    </w:p>
    <w:p w14:paraId="366911FD">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本次招标及由本次招标产生的合同受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中华人民共和国政府采购法》、《</w:t>
      </w:r>
      <w:r>
        <w:rPr>
          <w:rFonts w:hint="eastAsia" w:ascii="仿宋" w:hAnsi="仿宋" w:eastAsia="仿宋" w:cs="仿宋"/>
          <w:color w:val="auto"/>
          <w:sz w:val="24"/>
          <w:szCs w:val="24"/>
          <w:highlight w:val="none"/>
          <w:lang w:eastAsia="zh-CN"/>
        </w:rPr>
        <w:t>政府采购非招标采购方式管理办法【74号】</w:t>
      </w:r>
      <w:r>
        <w:rPr>
          <w:rFonts w:hint="eastAsia" w:ascii="仿宋" w:hAnsi="仿宋" w:eastAsia="仿宋" w:cs="仿宋"/>
          <w:color w:val="auto"/>
          <w:sz w:val="24"/>
          <w:szCs w:val="24"/>
          <w:highlight w:val="none"/>
        </w:rPr>
        <w:t>》等相关法律、法规制约和保护。</w:t>
      </w:r>
    </w:p>
    <w:p w14:paraId="674763A1">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（五）招标费用</w:t>
      </w:r>
    </w:p>
    <w:p w14:paraId="03646B56">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供应商应自行承担所有参加招标有关的费用。</w:t>
      </w:r>
    </w:p>
    <w:p w14:paraId="35A4985C">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（六）</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的约束力</w:t>
      </w:r>
    </w:p>
    <w:p w14:paraId="271408A5">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供应商一旦报名参加本项目投标，即被认为接受了本</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中的所有条件和规定。</w:t>
      </w:r>
    </w:p>
    <w:p w14:paraId="35DD0F72">
      <w:pPr>
        <w:pStyle w:val="3"/>
        <w:rPr>
          <w:rFonts w:hint="eastAsia" w:ascii="仿宋" w:hAnsi="仿宋" w:eastAsia="仿宋" w:cs="仿宋"/>
          <w:color w:val="auto"/>
          <w:sz w:val="28"/>
          <w:szCs w:val="28"/>
          <w:highlight w:val="none"/>
        </w:rPr>
      </w:pPr>
      <w:bookmarkStart w:id="2" w:name="_Toc497129137"/>
      <w:bookmarkStart w:id="3" w:name="_Toc452657552"/>
      <w:r>
        <w:rPr>
          <w:rFonts w:hint="eastAsia" w:ascii="仿宋" w:hAnsi="仿宋" w:eastAsia="仿宋" w:cs="仿宋"/>
          <w:color w:val="auto"/>
          <w:sz w:val="28"/>
          <w:szCs w:val="28"/>
          <w:highlight w:val="none"/>
        </w:rPr>
        <w:t>二、</w:t>
      </w:r>
      <w:bookmarkEnd w:id="2"/>
      <w:bookmarkEnd w:id="3"/>
      <w:r>
        <w:rPr>
          <w:rFonts w:hint="eastAsia" w:ascii="仿宋" w:hAnsi="仿宋" w:eastAsia="仿宋" w:cs="仿宋"/>
          <w:color w:val="auto"/>
          <w:sz w:val="28"/>
          <w:szCs w:val="28"/>
          <w:highlight w:val="none"/>
          <w:lang w:eastAsia="zh-CN"/>
        </w:rPr>
        <w:t>谈判文件</w:t>
      </w:r>
    </w:p>
    <w:p w14:paraId="6B493478">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（七）</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构成</w:t>
      </w:r>
    </w:p>
    <w:p w14:paraId="37DA1FD2">
      <w:pPr>
        <w:snapToGrid w:val="0"/>
        <w:spacing w:line="360" w:lineRule="auto"/>
        <w:ind w:firstLine="49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竞争性谈判</w:t>
      </w:r>
      <w:r>
        <w:rPr>
          <w:rFonts w:hint="eastAsia" w:ascii="仿宋" w:hAnsi="仿宋" w:eastAsia="仿宋" w:cs="仿宋"/>
          <w:color w:val="auto"/>
          <w:sz w:val="24"/>
          <w:szCs w:val="24"/>
          <w:highlight w:val="none"/>
        </w:rPr>
        <w:t>公</w:t>
      </w:r>
      <w:r>
        <w:rPr>
          <w:rFonts w:hint="eastAsia" w:ascii="仿宋" w:hAnsi="仿宋" w:eastAsia="仿宋" w:cs="仿宋"/>
          <w:color w:val="auto"/>
          <w:sz w:val="24"/>
          <w:szCs w:val="24"/>
          <w:highlight w:val="none"/>
          <w:lang w:eastAsia="zh-CN"/>
        </w:rPr>
        <w:t>告</w:t>
      </w:r>
    </w:p>
    <w:p w14:paraId="2BD9D5A9">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2.供应商须知</w:t>
      </w:r>
    </w:p>
    <w:p w14:paraId="51980F83">
      <w:pPr>
        <w:adjustRightInd w:val="0"/>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3.技术要求</w:t>
      </w:r>
    </w:p>
    <w:p w14:paraId="09CDC539">
      <w:pPr>
        <w:adjustRightInd w:val="0"/>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4.合同文本（参考）</w:t>
      </w:r>
    </w:p>
    <w:p w14:paraId="1DA28F50">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5.响应文件格式</w:t>
      </w:r>
    </w:p>
    <w:p w14:paraId="201DDE7E">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供应商获取</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后，应仔细检查文件页数和附件数量，如发现有缺漏，请及时与采购代理机构联系补全。如果供应商不按上述要求操作而造成不良后果，采购代理机构不承担责任。</w:t>
      </w:r>
    </w:p>
    <w:p w14:paraId="25D4B682">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（八）</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的澄清</w:t>
      </w:r>
    </w:p>
    <w:p w14:paraId="1D038F8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任何要求对</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澄清的供应商，均应在在响应文件接收截止时间5日之前，</w:t>
      </w:r>
      <w:r>
        <w:rPr>
          <w:rFonts w:hint="eastAsia" w:ascii="仿宋" w:hAnsi="仿宋" w:eastAsia="仿宋" w:cs="仿宋"/>
          <w:color w:val="auto"/>
          <w:sz w:val="24"/>
          <w:szCs w:val="24"/>
          <w:highlight w:val="none"/>
          <w:lang w:eastAsia="zh-CN"/>
        </w:rPr>
        <w:t>由澄清或质疑方的法定代表人或授权投标人（必须为法定代表人授权进行该项目投标的被授权人）以书面形式向采购人及招标代理公司递交澄清或质疑函(原件)，并登记备案。澄清或质疑函须有法定代表人亲笔签章。澄清函应说明需要澄清的内容，质疑函除应说明需要质疑的内容外，还应提供能够证明质疑内容的相关书面证据。澄清或质疑函应内容真实，证据充分，不得进行恶意质疑。由法定代表人递交澄清或质疑函时，提供法定代表人身份证复印件；由授权投标人递交澄清或质疑函时，还须提供法人投标授权函和质疑授权函（均为原件）及被授权投标人的身份证复印件。身份证复印件须正反面清晰、有效，并要求由该身份证持有人在复印件正反面非空白位置注明“该复印件用于</w:t>
      </w:r>
      <w:r>
        <w:rPr>
          <w:rFonts w:hint="eastAsia" w:ascii="仿宋" w:hAnsi="仿宋" w:eastAsia="仿宋" w:cs="仿宋"/>
          <w:color w:val="auto"/>
          <w:sz w:val="24"/>
          <w:szCs w:val="24"/>
          <w:highlight w:val="none"/>
          <w:u w:val="single"/>
          <w:lang w:eastAsia="zh-CN"/>
        </w:rPr>
        <w:t>阿图什市松他克镇中心学校新建改扩建项目（设备采购）</w:t>
      </w:r>
      <w:r>
        <w:rPr>
          <w:rFonts w:hint="eastAsia" w:ascii="仿宋" w:hAnsi="仿宋" w:eastAsia="仿宋" w:cs="仿宋"/>
          <w:color w:val="auto"/>
          <w:sz w:val="24"/>
          <w:szCs w:val="24"/>
          <w:highlight w:val="none"/>
          <w:lang w:eastAsia="zh-CN"/>
        </w:rPr>
        <w:t>澄清或质疑使用”字样，并由身份证持有人签章确认。上述资料均须加盖公章。</w:t>
      </w:r>
      <w:r>
        <w:rPr>
          <w:rFonts w:hint="eastAsia" w:ascii="仿宋" w:hAnsi="仿宋" w:eastAsia="仿宋" w:cs="仿宋"/>
          <w:color w:val="auto"/>
          <w:sz w:val="24"/>
          <w:szCs w:val="24"/>
          <w:highlight w:val="none"/>
        </w:rPr>
        <w:t>采购代理机构对规定时间内收到的澄清要求以书面形式予以答复，答复不包括问题的来源。</w:t>
      </w:r>
    </w:p>
    <w:p w14:paraId="0387416D">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的修改</w:t>
      </w:r>
    </w:p>
    <w:p w14:paraId="741F2C02">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1、在响应文件接收截止5日前，采购代理机构可以更正文件以补充文件的形式对</w:t>
      </w:r>
      <w:r>
        <w:rPr>
          <w:rFonts w:hint="eastAsia" w:ascii="仿宋" w:hAnsi="仿宋" w:eastAsia="仿宋" w:cs="仿宋"/>
          <w:bCs/>
          <w:color w:val="auto"/>
          <w:sz w:val="24"/>
          <w:szCs w:val="24"/>
          <w:highlight w:val="none"/>
          <w:lang w:eastAsia="zh-CN"/>
        </w:rPr>
        <w:t>竞争性谈判</w:t>
      </w:r>
      <w:r>
        <w:rPr>
          <w:rFonts w:hint="eastAsia" w:ascii="仿宋" w:hAnsi="仿宋" w:eastAsia="仿宋" w:cs="仿宋"/>
          <w:color w:val="auto"/>
          <w:sz w:val="24"/>
          <w:szCs w:val="24"/>
          <w:highlight w:val="none"/>
        </w:rPr>
        <w:t>进行修改。</w:t>
      </w:r>
    </w:p>
    <w:p w14:paraId="78970F84">
      <w:pPr>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2、为使供应商有充分的时间对</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的修改部分进行分析、研究，采购代理机构有权推迟响应文件接收截止日期和招标时间，并将此变更在</w:t>
      </w:r>
      <w:r>
        <w:rPr>
          <w:rFonts w:hint="eastAsia" w:ascii="仿宋" w:hAnsi="仿宋" w:eastAsia="仿宋" w:cs="仿宋"/>
          <w:color w:val="auto"/>
          <w:sz w:val="24"/>
          <w:szCs w:val="24"/>
          <w:highlight w:val="none"/>
          <w:lang w:eastAsia="zh-CN"/>
        </w:rPr>
        <w:t>政采云平台</w:t>
      </w:r>
      <w:r>
        <w:rPr>
          <w:rFonts w:hint="eastAsia" w:ascii="仿宋" w:hAnsi="仿宋" w:eastAsia="仿宋" w:cs="仿宋"/>
          <w:color w:val="auto"/>
          <w:sz w:val="24"/>
          <w:szCs w:val="24"/>
          <w:highlight w:val="none"/>
        </w:rPr>
        <w:t>以变更通知的形式予以公布或以书面通知所有购买</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的供应商。</w:t>
      </w:r>
    </w:p>
    <w:p w14:paraId="6118507E">
      <w:pPr>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、采购代理机构发出的所有补充、修改和变更文件均作为</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的组成部分，与</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具有同等法律效力。</w:t>
      </w:r>
    </w:p>
    <w:p w14:paraId="36DEEC72">
      <w:pPr>
        <w:pStyle w:val="3"/>
        <w:rPr>
          <w:rFonts w:hint="eastAsia" w:ascii="仿宋" w:hAnsi="仿宋" w:eastAsia="仿宋" w:cs="仿宋"/>
          <w:color w:val="auto"/>
          <w:sz w:val="28"/>
          <w:szCs w:val="28"/>
          <w:highlight w:val="none"/>
        </w:rPr>
      </w:pPr>
      <w:bookmarkStart w:id="4" w:name="_Toc452657553"/>
      <w:bookmarkStart w:id="5" w:name="_Toc497129138"/>
      <w:r>
        <w:rPr>
          <w:rFonts w:hint="eastAsia" w:ascii="仿宋" w:hAnsi="仿宋" w:eastAsia="仿宋" w:cs="仿宋"/>
          <w:color w:val="auto"/>
          <w:sz w:val="28"/>
          <w:szCs w:val="28"/>
          <w:highlight w:val="none"/>
        </w:rPr>
        <w:t>三、响应文件的编制</w:t>
      </w:r>
      <w:bookmarkEnd w:id="4"/>
      <w:bookmarkEnd w:id="5"/>
    </w:p>
    <w:p w14:paraId="6A38F8B4">
      <w:pPr>
        <w:snapToGrid w:val="0"/>
        <w:spacing w:line="360" w:lineRule="auto"/>
        <w:ind w:firstLine="245"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（十）响应文件的编制要求</w:t>
      </w:r>
    </w:p>
    <w:p w14:paraId="5B380E8E">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供应商应仔细阅读“</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”的所有内容，按“</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”的要求编制“响应文件”，并保证所提供的全部资料的真实性、完整性及有效性，以使其投标对“</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”做出</w:t>
      </w:r>
      <w:r>
        <w:rPr>
          <w:rFonts w:hint="eastAsia" w:ascii="仿宋" w:hAnsi="仿宋" w:eastAsia="仿宋" w:cs="仿宋"/>
          <w:b/>
          <w:color w:val="auto"/>
          <w:sz w:val="24"/>
          <w:szCs w:val="24"/>
          <w:highlight w:val="none"/>
        </w:rPr>
        <w:t>实质性响应</w:t>
      </w:r>
      <w:r>
        <w:rPr>
          <w:rFonts w:hint="eastAsia" w:ascii="仿宋" w:hAnsi="仿宋" w:eastAsia="仿宋" w:cs="仿宋"/>
          <w:color w:val="auto"/>
          <w:sz w:val="24"/>
          <w:szCs w:val="24"/>
          <w:highlight w:val="none"/>
        </w:rPr>
        <w:t>。否则，可能被拒绝。</w:t>
      </w:r>
    </w:p>
    <w:p w14:paraId="655F3AA4">
      <w:pPr>
        <w:snapToGrid w:val="0"/>
        <w:spacing w:line="360" w:lineRule="auto"/>
        <w:ind w:firstLine="245" w:firstLineChars="1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（十一）响应文件构成</w:t>
      </w:r>
    </w:p>
    <w:p w14:paraId="1058F96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资格证明文件和商务及技术文件两部分</w:t>
      </w:r>
    </w:p>
    <w:p w14:paraId="6ACB03E1">
      <w:pPr>
        <w:snapToGrid w:val="0"/>
        <w:spacing w:line="360" w:lineRule="auto"/>
        <w:ind w:firstLine="490" w:firstLineChars="200"/>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lang w:eastAsia="zh-CN"/>
        </w:rPr>
        <w:t>资格证明文件（包括但不限于）</w:t>
      </w:r>
    </w:p>
    <w:p w14:paraId="42EB7589">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资格证明文件是证明投标人有资格参加投标和成交后有能力履行合同的文件，这些文件应能满足招标的要求，否则作无效投标处理。</w:t>
      </w:r>
    </w:p>
    <w:p w14:paraId="70C2DCCE">
      <w:pPr>
        <w:numPr>
          <w:ilvl w:val="0"/>
          <w:numId w:val="0"/>
        </w:num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具备三证合一营业执照；</w:t>
      </w:r>
    </w:p>
    <w:p w14:paraId="0CF4001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2、法定代表人资格证明书；</w:t>
      </w:r>
    </w:p>
    <w:p w14:paraId="6F7EFF3E">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3、法定代表人授权书；（</w:t>
      </w:r>
      <w:r>
        <w:rPr>
          <w:rFonts w:hint="eastAsia" w:ascii="仿宋" w:hAnsi="仿宋" w:eastAsia="仿宋" w:cs="仿宋"/>
          <w:b w:val="0"/>
          <w:bCs/>
          <w:color w:val="auto"/>
          <w:sz w:val="24"/>
          <w:szCs w:val="24"/>
          <w:highlight w:val="none"/>
          <w:lang w:val="en-US" w:eastAsia="zh-CN"/>
        </w:rPr>
        <w:t>委托人投标提供</w:t>
      </w:r>
      <w:r>
        <w:rPr>
          <w:rFonts w:hint="eastAsia" w:ascii="仿宋" w:hAnsi="仿宋" w:eastAsia="仿宋" w:cs="仿宋"/>
          <w:b w:val="0"/>
          <w:bCs/>
          <w:color w:val="auto"/>
          <w:sz w:val="24"/>
          <w:szCs w:val="24"/>
          <w:highlight w:val="none"/>
          <w:lang w:eastAsia="zh-CN"/>
        </w:rPr>
        <w:t>）</w:t>
      </w:r>
    </w:p>
    <w:p w14:paraId="7A96FFA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4</w:t>
      </w:r>
      <w:r>
        <w:rPr>
          <w:rFonts w:hint="eastAsia" w:ascii="仿宋" w:hAnsi="仿宋" w:eastAsia="仿宋" w:cs="仿宋"/>
          <w:b w:val="0"/>
          <w:bCs/>
          <w:color w:val="auto"/>
          <w:sz w:val="24"/>
          <w:szCs w:val="24"/>
          <w:highlight w:val="none"/>
          <w:lang w:eastAsia="zh-CN"/>
        </w:rPr>
        <w:t>、投标企业须提供投标人（被授权在职人员）近6个月内任意一个月有效的社保证明；（</w:t>
      </w:r>
      <w:r>
        <w:rPr>
          <w:rFonts w:hint="eastAsia" w:ascii="仿宋" w:hAnsi="仿宋" w:eastAsia="仿宋" w:cs="仿宋"/>
          <w:b w:val="0"/>
          <w:bCs/>
          <w:color w:val="auto"/>
          <w:sz w:val="24"/>
          <w:szCs w:val="24"/>
          <w:highlight w:val="none"/>
          <w:lang w:val="en-US" w:eastAsia="zh-CN"/>
        </w:rPr>
        <w:t>委托人投标提供</w:t>
      </w:r>
      <w:r>
        <w:rPr>
          <w:rFonts w:hint="eastAsia" w:ascii="仿宋" w:hAnsi="仿宋" w:eastAsia="仿宋" w:cs="仿宋"/>
          <w:b w:val="0"/>
          <w:bCs/>
          <w:color w:val="auto"/>
          <w:sz w:val="24"/>
          <w:szCs w:val="24"/>
          <w:highlight w:val="none"/>
          <w:lang w:eastAsia="zh-CN"/>
        </w:rPr>
        <w:t>）</w:t>
      </w:r>
    </w:p>
    <w:p w14:paraId="457B4F4D">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5</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未被“信用中国”（www.creditchina.gov.cn）、中国政府采购网（www.ccgp.gov.cn）列入失信被执行人、重大税收违法案件当事人名单、政府采购严重违法失信行为记录名单；</w:t>
      </w:r>
    </w:p>
    <w:p w14:paraId="4AB63E8F">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6</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投标保证金缴纳凭证或保函等票据</w:t>
      </w:r>
      <w:r>
        <w:rPr>
          <w:rFonts w:hint="eastAsia" w:ascii="仿宋" w:hAnsi="仿宋" w:eastAsia="仿宋" w:cs="仿宋"/>
          <w:b w:val="0"/>
          <w:bCs/>
          <w:color w:val="auto"/>
          <w:sz w:val="24"/>
          <w:szCs w:val="24"/>
          <w:highlight w:val="none"/>
          <w:lang w:eastAsia="zh-CN"/>
        </w:rPr>
        <w:t>；</w:t>
      </w:r>
    </w:p>
    <w:p w14:paraId="30049A0A">
      <w:pPr>
        <w:snapToGrid w:val="0"/>
        <w:spacing w:line="360" w:lineRule="auto"/>
        <w:ind w:firstLine="490" w:firstLineChars="200"/>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7、供应商须提供中小企业声明函</w:t>
      </w:r>
    </w:p>
    <w:p w14:paraId="4071F288">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8、</w:t>
      </w:r>
      <w:r>
        <w:rPr>
          <w:rFonts w:hint="eastAsia" w:ascii="仿宋" w:hAnsi="仿宋" w:eastAsia="仿宋" w:cs="仿宋"/>
          <w:b w:val="0"/>
          <w:bCs/>
          <w:color w:val="auto"/>
          <w:sz w:val="24"/>
          <w:szCs w:val="24"/>
          <w:highlight w:val="none"/>
          <w:lang w:eastAsia="zh-CN"/>
        </w:rPr>
        <w:t xml:space="preserve">投标人须知资料表要求的其他资格证明文件; </w:t>
      </w:r>
    </w:p>
    <w:p w14:paraId="7CF4EFA0">
      <w:pPr>
        <w:snapToGrid w:val="0"/>
        <w:spacing w:line="360" w:lineRule="auto"/>
        <w:ind w:firstLine="245" w:firstLineChars="100"/>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（2）商务及技术文件（包括但不限于）</w:t>
      </w:r>
    </w:p>
    <w:p w14:paraId="4CBE4383">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1、投标函</w:t>
      </w:r>
    </w:p>
    <w:p w14:paraId="42A3CCCA">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2、开标一览表</w:t>
      </w:r>
    </w:p>
    <w:p w14:paraId="164F7ADC">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3、货物说明一览表</w:t>
      </w:r>
    </w:p>
    <w:p w14:paraId="7BDB3DAA">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4、投标分项报价明细表</w:t>
      </w:r>
    </w:p>
    <w:p w14:paraId="31E49760">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5、技术规格偏离表</w:t>
      </w:r>
    </w:p>
    <w:p w14:paraId="281CD5E4">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6、商务条款偏离表</w:t>
      </w:r>
    </w:p>
    <w:p w14:paraId="1F9788DD">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7、投标人基本情况表</w:t>
      </w:r>
    </w:p>
    <w:p w14:paraId="1A3D9219">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8、中小企业声明函(货物)</w:t>
      </w:r>
    </w:p>
    <w:p w14:paraId="083C098C">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9、残疾人福利性单位声明函</w:t>
      </w:r>
    </w:p>
    <w:p w14:paraId="3FF91965">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10、关于符合本国产品标准的声明函</w:t>
      </w:r>
    </w:p>
    <w:p w14:paraId="1A592F46">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11、投标人认为有必要提供的其他证明材料</w:t>
      </w:r>
    </w:p>
    <w:p w14:paraId="3CFA622E">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注：</w:t>
      </w:r>
      <w:r>
        <w:rPr>
          <w:rFonts w:hint="eastAsia" w:ascii="仿宋" w:hAnsi="仿宋" w:eastAsia="仿宋" w:cs="仿宋"/>
          <w:b/>
          <w:bCs/>
          <w:color w:val="auto"/>
          <w:sz w:val="24"/>
          <w:szCs w:val="24"/>
          <w:highlight w:val="none"/>
          <w:u w:val="single"/>
          <w:lang w:val="en-US" w:eastAsia="zh-CN"/>
        </w:rPr>
        <w:t>1.为了便于查找，请按上述顺序编制内容，并在目录中标明每项内容的起始页码。</w:t>
      </w:r>
      <w:r>
        <w:rPr>
          <w:rFonts w:hint="eastAsia" w:ascii="仿宋" w:hAnsi="仿宋" w:eastAsia="仿宋" w:cs="仿宋"/>
          <w:b/>
          <w:bCs/>
          <w:color w:val="auto"/>
          <w:sz w:val="24"/>
          <w:szCs w:val="24"/>
          <w:highlight w:val="none"/>
          <w:lang w:val="en-US" w:eastAsia="zh-CN"/>
        </w:rPr>
        <w:t xml:space="preserve"> </w:t>
      </w:r>
    </w:p>
    <w:p w14:paraId="69EE448A">
      <w:pPr>
        <w:snapToGrid w:val="0"/>
        <w:spacing w:line="360" w:lineRule="auto"/>
        <w:ind w:firstLine="490"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u w:val="single"/>
          <w:lang w:val="en-US" w:eastAsia="zh-CN"/>
        </w:rPr>
        <w:t>2.以上材料须加盖单位公章。</w:t>
      </w:r>
      <w:r>
        <w:rPr>
          <w:rFonts w:hint="eastAsia" w:ascii="仿宋" w:hAnsi="仿宋" w:eastAsia="仿宋" w:cs="仿宋"/>
          <w:b/>
          <w:bCs/>
          <w:color w:val="auto"/>
          <w:sz w:val="24"/>
          <w:szCs w:val="24"/>
          <w:highlight w:val="none"/>
          <w:lang w:val="en-US" w:eastAsia="zh-CN"/>
        </w:rPr>
        <w:t xml:space="preserve"> </w:t>
      </w:r>
    </w:p>
    <w:p w14:paraId="7F31D604">
      <w:pPr>
        <w:snapToGrid w:val="0"/>
        <w:spacing w:line="360" w:lineRule="auto"/>
        <w:ind w:firstLine="490" w:firstLineChars="200"/>
        <w:rPr>
          <w:rFonts w:hint="eastAsia" w:ascii="仿宋" w:hAnsi="仿宋" w:eastAsia="仿宋" w:cs="仿宋"/>
          <w:b/>
          <w:bCs/>
          <w:color w:val="auto"/>
          <w:sz w:val="24"/>
          <w:szCs w:val="24"/>
          <w:highlight w:val="none"/>
          <w:u w:val="single"/>
        </w:rPr>
      </w:pPr>
      <w:r>
        <w:rPr>
          <w:rFonts w:hint="eastAsia" w:ascii="仿宋" w:hAnsi="仿宋" w:eastAsia="仿宋" w:cs="仿宋"/>
          <w:b/>
          <w:bCs/>
          <w:color w:val="auto"/>
          <w:sz w:val="24"/>
          <w:szCs w:val="24"/>
          <w:highlight w:val="none"/>
          <w:u w:val="single"/>
          <w:lang w:val="en-US" w:eastAsia="zh-CN"/>
        </w:rPr>
        <w:t>3.请各投标供应商根据项目实际需求，并结合企业自身情况以及相关评标办法进行编制。</w:t>
      </w:r>
    </w:p>
    <w:p w14:paraId="7AD3D5A5">
      <w:pPr>
        <w:snapToGrid w:val="0"/>
        <w:spacing w:line="360" w:lineRule="auto"/>
        <w:ind w:firstLine="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（十二）响应文件格式</w:t>
      </w:r>
    </w:p>
    <w:p w14:paraId="02F34CE3">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供应商应仔细阅读谈判文件的所有内容，按照谈判文件的要求详细编制响应文件，所提交的全部资料必须真实有效，并且要保证字迹清晰易于辨认。响应文件应对谈判文件实质性内容作出响应，否则按无效标处理。</w:t>
      </w:r>
    </w:p>
    <w:p w14:paraId="3A52F2DE">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（2）响应文件格式应按本谈判文件第五章格式要求编制，不得对谈判文件格式进行增删更改，否则按无效标处理。</w:t>
      </w:r>
    </w:p>
    <w:p w14:paraId="60EAB697">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（3）对谈判文件格式可更改的例外情况：谈判文件第五部分附件格式要求中明确规定表格中行数不够用时可按相同格式增加行数，其他一切内容和格式不得更改。 </w:t>
      </w:r>
    </w:p>
    <w:p w14:paraId="79160133">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（4）响应文件为电子响应文件，电子响应文件按“政采云供应商项目采购-电子招投标操作指南”及本谈判文件要求制作、加密传输。</w:t>
      </w:r>
    </w:p>
    <w:p w14:paraId="75D94B11">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（5）响应文件未在投标截止时间前完成传输的，视为响应文件撤回；响应文件未按时解密也未提供备份响应文件的，亦视为响应文件撤回。</w:t>
      </w:r>
    </w:p>
    <w:p w14:paraId="379CB09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（十三）</w:t>
      </w:r>
      <w:r>
        <w:rPr>
          <w:rFonts w:hint="eastAsia" w:ascii="仿宋" w:hAnsi="仿宋" w:eastAsia="仿宋" w:cs="仿宋"/>
          <w:b/>
          <w:bCs/>
          <w:color w:val="auto"/>
          <w:sz w:val="24"/>
          <w:szCs w:val="24"/>
          <w:highlight w:val="none"/>
          <w:lang w:eastAsia="zh-CN"/>
        </w:rPr>
        <w:t>谈判</w:t>
      </w:r>
      <w:r>
        <w:rPr>
          <w:rFonts w:hint="eastAsia" w:ascii="仿宋" w:hAnsi="仿宋" w:eastAsia="仿宋" w:cs="仿宋"/>
          <w:b/>
          <w:bCs/>
          <w:color w:val="auto"/>
          <w:sz w:val="24"/>
          <w:szCs w:val="24"/>
          <w:highlight w:val="none"/>
        </w:rPr>
        <w:t>报价</w:t>
      </w:r>
    </w:p>
    <w:p w14:paraId="1BF63B15">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报价为“招标范围”内的总报价。</w:t>
      </w:r>
    </w:p>
    <w:p w14:paraId="270B69A3">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2、凡要求供应商考虑在报价中的内容供应商在响应文件中没有考虑、没有计入的或未单独列出，采购人认为供应商已将此项费用涵盖在其它费用价格中。</w:t>
      </w:r>
    </w:p>
    <w:p w14:paraId="6B763FEA">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报价应包含项目实施过程中涉及到的一切费用。</w:t>
      </w:r>
    </w:p>
    <w:p w14:paraId="571FFCE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4、报价注意事项：</w:t>
      </w:r>
    </w:p>
    <w:p w14:paraId="7DD042B8">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供应商报价时应充分考虑所有可能影响到报价的报价因素，一旦招标结束最终成交，总价将固定，不予调整。如发生漏、缺、少项，都将被认为是成交人的报价让利行为，损失自负。</w:t>
      </w:r>
    </w:p>
    <w:p w14:paraId="10CED232">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（十四）投标有效期</w:t>
      </w:r>
    </w:p>
    <w:p w14:paraId="3099F4CD">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1、投标有效期为</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规定的供应商提交响应文件截止之日起</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lang w:eastAsia="zh-CN"/>
        </w:rPr>
        <w:t>0</w:t>
      </w:r>
      <w:r>
        <w:rPr>
          <w:rFonts w:hint="eastAsia" w:ascii="仿宋" w:hAnsi="仿宋" w:eastAsia="仿宋" w:cs="仿宋"/>
          <w:color w:val="auto"/>
          <w:sz w:val="24"/>
          <w:szCs w:val="24"/>
          <w:highlight w:val="none"/>
        </w:rPr>
        <w:t>天。投标有效期不满足</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要求的将视为非响应性文件而予以拒绝。</w:t>
      </w:r>
    </w:p>
    <w:p w14:paraId="4F825030">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特殊情况下，采购人于原投标有效期满之前，可向供应商提出延长投标有效期的要求，这种要求与答复均应采用书面形式（如信件、传真或电报等），供应商可以拒绝采购人的这一要求而放弃参与投标；同意延长的供应商不允许修改其响应文件。</w:t>
      </w:r>
    </w:p>
    <w:p w14:paraId="5A5ADCB7">
      <w:pPr>
        <w:snapToGrid w:val="0"/>
        <w:spacing w:line="360" w:lineRule="auto"/>
        <w:ind w:firstLine="239" w:firstLineChars="98"/>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eastAsia="zh-CN"/>
        </w:rPr>
        <w:t>五</w:t>
      </w:r>
      <w:r>
        <w:rPr>
          <w:rFonts w:hint="eastAsia" w:ascii="仿宋" w:hAnsi="仿宋" w:eastAsia="仿宋" w:cs="仿宋"/>
          <w:b/>
          <w:bCs/>
          <w:color w:val="auto"/>
          <w:sz w:val="24"/>
          <w:szCs w:val="24"/>
          <w:highlight w:val="none"/>
        </w:rPr>
        <w:t>）响应文件</w:t>
      </w:r>
      <w:r>
        <w:rPr>
          <w:rFonts w:hint="eastAsia" w:ascii="仿宋" w:hAnsi="仿宋" w:eastAsia="仿宋" w:cs="仿宋"/>
          <w:b/>
          <w:bCs/>
          <w:color w:val="auto"/>
          <w:sz w:val="24"/>
          <w:szCs w:val="24"/>
          <w:highlight w:val="none"/>
          <w:lang w:eastAsia="zh-CN"/>
        </w:rPr>
        <w:t>的</w:t>
      </w:r>
      <w:r>
        <w:rPr>
          <w:rFonts w:hint="eastAsia" w:ascii="仿宋" w:hAnsi="仿宋" w:eastAsia="仿宋" w:cs="仿宋"/>
          <w:b/>
          <w:bCs/>
          <w:color w:val="auto"/>
          <w:sz w:val="24"/>
          <w:szCs w:val="24"/>
          <w:highlight w:val="none"/>
        </w:rPr>
        <w:t>签署</w:t>
      </w:r>
    </w:p>
    <w:p w14:paraId="4D36448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1、除供应商对错处做必要修改外，响应文件不得行间插字、涂改或增删，必要的修改处必须有供应商法人代表或其被授权人</w:t>
      </w:r>
      <w:r>
        <w:rPr>
          <w:rFonts w:hint="eastAsia" w:ascii="仿宋" w:hAnsi="仿宋" w:eastAsia="仿宋" w:cs="仿宋"/>
          <w:color w:val="auto"/>
          <w:sz w:val="24"/>
          <w:szCs w:val="24"/>
          <w:highlight w:val="none"/>
          <w:lang w:eastAsia="zh-CN"/>
        </w:rPr>
        <w:t>签章</w:t>
      </w:r>
      <w:r>
        <w:rPr>
          <w:rFonts w:hint="eastAsia" w:ascii="仿宋" w:hAnsi="仿宋" w:eastAsia="仿宋" w:cs="仿宋"/>
          <w:color w:val="auto"/>
          <w:sz w:val="24"/>
          <w:szCs w:val="24"/>
          <w:highlight w:val="none"/>
        </w:rPr>
        <w:t>并加盖公章。</w:t>
      </w:r>
    </w:p>
    <w:p w14:paraId="5C4FFC58">
      <w:pPr>
        <w:snapToGrid w:val="0"/>
        <w:spacing w:line="360" w:lineRule="auto"/>
        <w:ind w:firstLine="490" w:firstLineChars="200"/>
        <w:rPr>
          <w:rFonts w:hint="eastAsia" w:ascii="仿宋" w:hAnsi="仿宋" w:eastAsia="仿宋" w:cs="仿宋"/>
          <w:color w:val="auto"/>
          <w:sz w:val="24"/>
          <w:szCs w:val="24"/>
          <w:highlight w:val="none"/>
        </w:rPr>
      </w:pPr>
    </w:p>
    <w:p w14:paraId="339F0C31">
      <w:pPr>
        <w:pStyle w:val="3"/>
        <w:rPr>
          <w:rFonts w:hint="eastAsia" w:ascii="仿宋" w:hAnsi="仿宋" w:eastAsia="仿宋" w:cs="仿宋"/>
          <w:b/>
          <w:bCs/>
          <w:color w:val="auto"/>
          <w:sz w:val="24"/>
          <w:szCs w:val="24"/>
          <w:highlight w:val="none"/>
          <w:lang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四</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的制作、上传及递交要求</w:t>
      </w:r>
    </w:p>
    <w:p w14:paraId="6E65E030">
      <w:pPr>
        <w:snapToGrid w:val="0"/>
        <w:spacing w:line="360" w:lineRule="auto"/>
        <w:ind w:firstLine="49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eastAsia="zh-CN"/>
        </w:rPr>
        <w:t>（十六）响应文件</w:t>
      </w:r>
      <w:r>
        <w:rPr>
          <w:rFonts w:hint="eastAsia" w:ascii="仿宋" w:hAnsi="仿宋" w:eastAsia="仿宋" w:cs="仿宋"/>
          <w:b/>
          <w:bCs/>
          <w:color w:val="auto"/>
          <w:sz w:val="24"/>
          <w:szCs w:val="24"/>
          <w:highlight w:val="none"/>
        </w:rPr>
        <w:t>的制作要求</w:t>
      </w:r>
    </w:p>
    <w:p w14:paraId="2B09D62D">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（1）供应商应按照</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组成内容及项目招标需求和</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政府采购云平台要求制作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，不按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政府采购云平台要求制作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的将视情况处理（拒收等），由此产生的责任由供应商自行承担。</w:t>
      </w:r>
    </w:p>
    <w:p w14:paraId="30046A68">
      <w:pPr>
        <w:pStyle w:val="5"/>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部分：供应商应根据“政采云供应商项目采购-电子招投标操作指南”及本</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规定的格式和顺序编制电子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并进行关联定位。本文件《</w:t>
      </w:r>
      <w:r>
        <w:rPr>
          <w:rFonts w:hint="eastAsia" w:ascii="仿宋" w:hAnsi="仿宋" w:eastAsia="仿宋" w:cs="仿宋"/>
          <w:color w:val="auto"/>
          <w:sz w:val="24"/>
          <w:szCs w:val="24"/>
          <w:highlight w:val="none"/>
          <w:lang w:eastAsia="zh-CN"/>
        </w:rPr>
        <w:t>第五部分</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格式》中有提供格式的，供应商应按照格式进行编制（格式中要求提供相关证明材料的还需后附相关证明材料），并按格式要求在指定位置根据要求进行签章，否则视为未提供；本文件《</w:t>
      </w:r>
      <w:r>
        <w:rPr>
          <w:rFonts w:hint="eastAsia" w:ascii="仿宋" w:hAnsi="仿宋" w:eastAsia="仿宋" w:cs="仿宋"/>
          <w:color w:val="auto"/>
          <w:sz w:val="24"/>
          <w:szCs w:val="24"/>
          <w:highlight w:val="none"/>
          <w:lang w:eastAsia="zh-CN"/>
        </w:rPr>
        <w:t>第五部分响应文件</w:t>
      </w:r>
      <w:r>
        <w:rPr>
          <w:rFonts w:hint="eastAsia" w:ascii="仿宋" w:hAnsi="仿宋" w:eastAsia="仿宋" w:cs="仿宋"/>
          <w:color w:val="auto"/>
          <w:sz w:val="24"/>
          <w:szCs w:val="24"/>
          <w:highlight w:val="none"/>
        </w:rPr>
        <w:t>格式》未提供格式的，请供应商自行拟定格式，并加盖单位公章，否则视为未提供。</w:t>
      </w:r>
    </w:p>
    <w:p w14:paraId="30C6B312">
      <w:pPr>
        <w:pStyle w:val="5"/>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：通过“政采云”平台电子投标工具制作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所产生的备份文件。</w:t>
      </w:r>
    </w:p>
    <w:p w14:paraId="76218B44">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（2）供应商应对所提供的全部资料的真实性、有效性承担法律责任，电子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中所须加盖公章部分均采用CA签章。</w:t>
      </w:r>
    </w:p>
    <w:p w14:paraId="67CE15E8">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以及供应商与采购组织机构就有关投标事宜的所有来往函电，均应以中文汉语书写。除</w:t>
      </w:r>
      <w:r>
        <w:rPr>
          <w:rFonts w:hint="eastAsia" w:ascii="仿宋" w:hAnsi="仿宋" w:eastAsia="仿宋" w:cs="仿宋"/>
          <w:color w:val="auto"/>
          <w:sz w:val="24"/>
          <w:szCs w:val="24"/>
          <w:highlight w:val="none"/>
          <w:lang w:eastAsia="zh-CN"/>
        </w:rPr>
        <w:t>签章</w:t>
      </w:r>
      <w:r>
        <w:rPr>
          <w:rFonts w:hint="eastAsia" w:ascii="仿宋" w:hAnsi="仿宋" w:eastAsia="仿宋" w:cs="仿宋"/>
          <w:color w:val="auto"/>
          <w:sz w:val="24"/>
          <w:szCs w:val="24"/>
          <w:highlight w:val="none"/>
        </w:rPr>
        <w:t>、盖章、专用名称等特殊情形外，以中文汉语以外的文字表述的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视同未提供。</w:t>
      </w:r>
    </w:p>
    <w:p w14:paraId="54C469E8">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（4）投标计量单位，</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已有明确规定的，使用</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规定的计量单位；</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没有规定的，应采用中华人民共和国法定计量单位（货币单位：人民币元）。</w:t>
      </w:r>
    </w:p>
    <w:p w14:paraId="744C5B7C">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（5）若供应商不按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的要求提供资格审查材料，其风险由供应商自行承担。</w:t>
      </w:r>
    </w:p>
    <w:p w14:paraId="2870DF3D">
      <w:pPr>
        <w:pStyle w:val="5"/>
        <w:snapToGrid w:val="0"/>
        <w:spacing w:line="360" w:lineRule="auto"/>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rPr>
        <w:t>（6）与本次投标无关的内容请不要制作在内，确保</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有针对性、简洁明</w:t>
      </w:r>
      <w:r>
        <w:rPr>
          <w:rFonts w:hint="eastAsia" w:ascii="仿宋" w:hAnsi="仿宋" w:eastAsia="仿宋" w:cs="仿宋"/>
          <w:bCs/>
          <w:color w:val="auto"/>
          <w:sz w:val="24"/>
          <w:szCs w:val="24"/>
          <w:highlight w:val="none"/>
        </w:rPr>
        <w:t>了。</w:t>
      </w:r>
    </w:p>
    <w:p w14:paraId="6B93B48F">
      <w:pPr>
        <w:snapToGrid w:val="0"/>
        <w:spacing w:line="360" w:lineRule="auto"/>
        <w:ind w:firstLine="49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eastAsia="zh-CN"/>
        </w:rPr>
        <w:t>（十七）响应文件</w:t>
      </w:r>
      <w:r>
        <w:rPr>
          <w:rFonts w:hint="eastAsia" w:ascii="仿宋" w:hAnsi="仿宋" w:eastAsia="仿宋" w:cs="仿宋"/>
          <w:b/>
          <w:bCs/>
          <w:color w:val="auto"/>
          <w:sz w:val="24"/>
          <w:szCs w:val="24"/>
          <w:highlight w:val="none"/>
        </w:rPr>
        <w:t>的上传</w:t>
      </w:r>
    </w:p>
    <w:p w14:paraId="7BF6DCF4">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（1）电子加密响应文件（“.jmbs”格式）：</w:t>
      </w:r>
    </w:p>
    <w:p w14:paraId="3E362671">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 供应商应在投标截止时间前将电子加密响应文件成功上传递交至新疆政府采购云平台，否则投标无效；</w:t>
      </w:r>
    </w:p>
    <w:p w14:paraId="21867991">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b.供应商成功上传电子加密响应文件后，可自行打印响应文件接收回执。</w:t>
      </w:r>
    </w:p>
    <w:p w14:paraId="6444C84C">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（2）备份响应文件（“.bfbs”格式）：</w:t>
      </w:r>
    </w:p>
    <w:p w14:paraId="045DE8D3">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供应商可以将备份响应文件打包压缩并加密，压缩包命名为“XX单位备份响应文件”，加密密码由供应商自行保管；送达时间以采购代理机构实际接收时间为准。“备份响应文件”以投标截止时间前指定接收邮箱最终收到的文件为准，逾期或未按要求提供的视为未提供，建议供应商提前1日办理邮件提供事宜（接收人邮箱：</w:t>
      </w:r>
      <w:r>
        <w:rPr>
          <w:color w:val="auto"/>
          <w:sz w:val="24"/>
          <w:szCs w:val="24"/>
          <w:highlight w:val="none"/>
        </w:rPr>
        <w:fldChar w:fldCharType="begin"/>
      </w:r>
      <w:r>
        <w:rPr>
          <w:color w:val="auto"/>
          <w:sz w:val="24"/>
          <w:szCs w:val="24"/>
          <w:highlight w:val="none"/>
        </w:rPr>
        <w:instrText xml:space="preserve"> HYPERLINK "mailto:1207446769@qq.com，接收人：陈加轲，电话：15157655122" </w:instrText>
      </w:r>
      <w:r>
        <w:rPr>
          <w:color w:val="auto"/>
          <w:sz w:val="24"/>
          <w:szCs w:val="24"/>
          <w:highlight w:val="none"/>
        </w:rPr>
        <w:fldChar w:fldCharType="separate"/>
      </w:r>
      <w:r>
        <w:rPr>
          <w:rFonts w:hint="eastAsia" w:ascii="仿宋" w:hAnsi="仿宋" w:eastAsia="仿宋" w:cs="仿宋"/>
          <w:color w:val="auto"/>
          <w:sz w:val="24"/>
          <w:szCs w:val="24"/>
          <w:highlight w:val="none"/>
          <w:lang w:val="en-US" w:eastAsia="zh-CN"/>
        </w:rPr>
        <w:t>1449947815</w:t>
      </w:r>
      <w:r>
        <w:rPr>
          <w:rFonts w:hint="eastAsia" w:ascii="仿宋" w:hAnsi="仿宋" w:eastAsia="仿宋" w:cs="仿宋"/>
          <w:color w:val="auto"/>
          <w:sz w:val="24"/>
          <w:szCs w:val="24"/>
          <w:highlight w:val="none"/>
        </w:rPr>
        <w:t>@qq.com，接收人：</w:t>
      </w:r>
      <w:r>
        <w:rPr>
          <w:rFonts w:hint="eastAsia" w:ascii="仿宋" w:hAnsi="仿宋" w:eastAsia="仿宋" w:cs="仿宋"/>
          <w:color w:val="auto"/>
          <w:sz w:val="24"/>
          <w:szCs w:val="24"/>
          <w:highlight w:val="none"/>
          <w:lang w:val="en-US" w:eastAsia="zh-CN"/>
        </w:rPr>
        <w:t>张先生</w:t>
      </w: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lang w:val="en-US" w:eastAsia="zh-CN"/>
        </w:rPr>
        <w:t>13909955772</w:t>
      </w:r>
      <w:r>
        <w:rPr>
          <w:rFonts w:hint="eastAsia" w:ascii="仿宋" w:hAnsi="仿宋" w:eastAsia="仿宋" w:cs="仿宋"/>
          <w:color w:val="auto"/>
          <w:sz w:val="24"/>
          <w:szCs w:val="24"/>
          <w:highlight w:val="none"/>
        </w:rPr>
        <w:t>）；</w:t>
      </w:r>
    </w:p>
    <w:p w14:paraId="42FDAB07">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通过“新疆政府采购云平台”成功上传递交的“电子加密响应文件”已按时解密的，“备份响应文件”自动失效。投标截止时间前，投标供应商仅递交了“备份响应文件”而未将“电子加密响应文件”成功上传至“政府采购云平台”的，投标无效。</w:t>
      </w:r>
    </w:p>
    <w:p w14:paraId="7B4EC377">
      <w:pPr>
        <w:pStyle w:val="5"/>
        <w:snapToGrid w:val="0"/>
        <w:spacing w:line="360" w:lineRule="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（十八）响应文件</w:t>
      </w:r>
      <w:r>
        <w:rPr>
          <w:rFonts w:hint="eastAsia" w:ascii="仿宋" w:hAnsi="仿宋" w:eastAsia="仿宋" w:cs="仿宋"/>
          <w:b/>
          <w:bCs/>
          <w:color w:val="auto"/>
          <w:sz w:val="24"/>
          <w:szCs w:val="24"/>
          <w:highlight w:val="none"/>
        </w:rPr>
        <w:t>的递交要求</w:t>
      </w:r>
    </w:p>
    <w:p w14:paraId="07B9196B">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（1）供应商须按照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和政采云平台的要求编制并加密</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递交截止时间以前完成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的传输递交，截止时间后递交的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，将被拒收。</w:t>
      </w:r>
    </w:p>
    <w:p w14:paraId="309C2DB9">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必须在投标截止时间前送达指定的投标地点。备份电子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在截止时间后提交，采购组织机构将拒绝接收。</w:t>
      </w:r>
    </w:p>
    <w:p w14:paraId="09C1D26D">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（3）如有特殊情况，采购组织机构延长截止时间和开标时间，采购组织机构和供应商的权利和义务将受到新的截止时间和开标时间的约束。</w:t>
      </w:r>
    </w:p>
    <w:p w14:paraId="0BAD44FC">
      <w:pPr>
        <w:pStyle w:val="5"/>
        <w:snapToGrid w:val="0"/>
        <w:spacing w:line="360" w:lineRule="auto"/>
        <w:rPr>
          <w:rFonts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（十九）响应文件的补充、修改与撤回</w:t>
      </w:r>
    </w:p>
    <w:p w14:paraId="1F6904AB">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撤回。投标截止时间后传输递交的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，“政府采购云平台”将予以拒收。投标截止时间后，供应商不得修改（补充）或撤回其</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w:t>
      </w:r>
    </w:p>
    <w:p w14:paraId="375E53FC">
      <w:pPr>
        <w:pStyle w:val="3"/>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五、无效标、废标条款</w:t>
      </w:r>
      <w:bookmarkStart w:id="6" w:name="_Toc497129141"/>
      <w:bookmarkStart w:id="7" w:name="_Toc452657556"/>
    </w:p>
    <w:p w14:paraId="4745F4DC">
      <w:pPr>
        <w:spacing w:line="440" w:lineRule="exact"/>
        <w:ind w:firstLine="245" w:firstLineChars="100"/>
        <w:rPr>
          <w:rFonts w:hint="eastAsia" w:ascii="仿宋" w:hAnsi="仿宋" w:eastAsia="仿宋" w:cs="仿宋"/>
          <w:b/>
          <w:bCs/>
          <w:color w:val="auto"/>
          <w:sz w:val="24"/>
          <w:szCs w:val="24"/>
          <w:highlight w:val="none"/>
          <w:lang w:val="en-US" w:eastAsia="zh-CN" w:bidi="en-US"/>
        </w:rPr>
      </w:pPr>
      <w:r>
        <w:rPr>
          <w:rFonts w:hint="eastAsia" w:ascii="仿宋" w:hAnsi="仿宋" w:eastAsia="仿宋" w:cs="仿宋"/>
          <w:b/>
          <w:bCs/>
          <w:color w:val="auto"/>
          <w:sz w:val="24"/>
          <w:szCs w:val="24"/>
          <w:highlight w:val="none"/>
          <w:lang w:val="en-US" w:eastAsia="zh-CN" w:bidi="en-US"/>
        </w:rPr>
        <w:t>（二十）无效标</w:t>
      </w:r>
    </w:p>
    <w:p w14:paraId="32030DC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有下列情形之一的，响应文件按无效标处理：</w:t>
      </w:r>
    </w:p>
    <w:p w14:paraId="259CEA0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报名的投标人与参加投标的投标人发生实质性变更的且未提供有效证明的；</w:t>
      </w:r>
    </w:p>
    <w:p w14:paraId="2C7E4B07">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投标人提交两份或两份以上内容不同的响应文件，未声明哪一份有效的；</w:t>
      </w:r>
    </w:p>
    <w:p w14:paraId="31F9F19B">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3、响应文件非投标人法定代表人签署的，未提供或提供无效的法定代表人授权书；</w:t>
      </w:r>
    </w:p>
    <w:p w14:paraId="424D055A">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4、响应文件内容未按谈判文件规定签章或盖章的；</w:t>
      </w:r>
    </w:p>
    <w:p w14:paraId="3DA764DB">
      <w:pPr>
        <w:spacing w:line="440" w:lineRule="exact"/>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、响应文件组成漏项或未按规定的格式编制或响应文件正、副本份数不足或内容不全或内容字迹模糊辨认不清的等而导致评标活动无法正常进行；</w:t>
      </w:r>
    </w:p>
    <w:p w14:paraId="32B0071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、投标人未按谈判文件变更通知更改响应文件的；</w:t>
      </w:r>
    </w:p>
    <w:p w14:paraId="4390773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、《开标一览表》和《投标分项报价表》内容不完整且不接受修正意见或字迹不能辨认的或未提供；</w:t>
      </w:r>
    </w:p>
    <w:p w14:paraId="0E900446">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、投标报价超过谈判文件规定的预算金额或最高限价；</w:t>
      </w:r>
    </w:p>
    <w:p w14:paraId="58D2F42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因投标人原因编制错误造成经评标委员会修正后的报价达到或超过投标报价的0.5%；</w:t>
      </w:r>
    </w:p>
    <w:p w14:paraId="19C5B51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eastAsia="zh-CN"/>
        </w:rPr>
        <w:t>、投标人的报价明显低于其他通过符合性审查投标人的报价，有可能影响产品质量或者不能诚信履约的，且在规定时间内不能合理说明原因并提供证明材料的；</w:t>
      </w:r>
    </w:p>
    <w:p w14:paraId="70FB5A3D">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未实质性响应谈判文件中条款要求的响应文件；</w:t>
      </w:r>
    </w:p>
    <w:p w14:paraId="1CE753A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lang w:eastAsia="zh-CN"/>
        </w:rPr>
        <w:t>、不符合招标范围、技术规格、技术标准的要求无法满足采购人使用要求；</w:t>
      </w:r>
    </w:p>
    <w:p w14:paraId="16965EA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lang w:eastAsia="zh-CN"/>
        </w:rPr>
        <w:t>、响应文件附有采购人不能接受的条款；</w:t>
      </w:r>
    </w:p>
    <w:p w14:paraId="5537E69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lang w:eastAsia="zh-CN"/>
        </w:rPr>
        <w:t>、响应文件中提供了赠品或者与本项目采购无关的其他商品、服务；</w:t>
      </w:r>
    </w:p>
    <w:p w14:paraId="016D75F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lang w:eastAsia="zh-CN"/>
        </w:rPr>
        <w:t>、响应文件中承诺的投标有效期少于谈判文件中载明的投标有效期；</w:t>
      </w:r>
    </w:p>
    <w:p w14:paraId="381265A2">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lang w:eastAsia="zh-CN"/>
        </w:rPr>
        <w:t>、投标人串通投标，妨碍其他投标人的竞争行为，损害采购人或者其他投标人的合法权益；</w:t>
      </w:r>
    </w:p>
    <w:p w14:paraId="4405F0EC">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17</w:t>
      </w:r>
      <w:r>
        <w:rPr>
          <w:rFonts w:hint="eastAsia" w:ascii="仿宋" w:hAnsi="仿宋" w:eastAsia="仿宋" w:cs="仿宋"/>
          <w:color w:val="auto"/>
          <w:sz w:val="24"/>
          <w:szCs w:val="24"/>
          <w:highlight w:val="none"/>
          <w:lang w:eastAsia="zh-CN"/>
        </w:rPr>
        <w:t>、违反国家及政府部门相关法律、法规、文件规定或经评标委员会认定的其他属于重大偏离；</w:t>
      </w:r>
    </w:p>
    <w:p w14:paraId="7CB717BB">
      <w:pPr>
        <w:spacing w:line="440" w:lineRule="exact"/>
        <w:ind w:firstLine="245" w:firstLineChars="100"/>
        <w:rPr>
          <w:rFonts w:hint="eastAsia" w:ascii="仿宋" w:hAnsi="仿宋" w:eastAsia="仿宋" w:cs="仿宋"/>
          <w:b/>
          <w:bCs/>
          <w:color w:val="auto"/>
          <w:sz w:val="24"/>
          <w:szCs w:val="24"/>
          <w:highlight w:val="none"/>
          <w:lang w:val="en-US" w:eastAsia="zh-CN" w:bidi="en-US"/>
        </w:rPr>
      </w:pPr>
      <w:r>
        <w:rPr>
          <w:rFonts w:hint="eastAsia" w:ascii="仿宋" w:hAnsi="仿宋" w:eastAsia="仿宋" w:cs="仿宋"/>
          <w:b/>
          <w:bCs/>
          <w:color w:val="auto"/>
          <w:sz w:val="24"/>
          <w:szCs w:val="24"/>
          <w:highlight w:val="none"/>
          <w:lang w:val="en-US" w:eastAsia="zh-CN" w:bidi="en-US"/>
        </w:rPr>
        <w:t>（二十一）废标</w:t>
      </w:r>
    </w:p>
    <w:p w14:paraId="085EB151">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符合谈判文件规定废标情形的；</w:t>
      </w:r>
    </w:p>
    <w:p w14:paraId="37660057">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出现影响采购公正的违法、违规行为的；</w:t>
      </w:r>
    </w:p>
    <w:p w14:paraId="5FA5E134">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供应商的报价均超过了采购预算（或最高限价），采购人不能支付的;</w:t>
      </w:r>
    </w:p>
    <w:p w14:paraId="26F04F21">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因重大变故，采购任务取消的。</w:t>
      </w:r>
    </w:p>
    <w:p w14:paraId="3E1857C4">
      <w:pPr>
        <w:spacing w:line="440" w:lineRule="exact"/>
        <w:ind w:firstLine="245" w:firstLineChars="100"/>
        <w:rPr>
          <w:rFonts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（二十二）突发情况处理</w:t>
      </w:r>
    </w:p>
    <w:p w14:paraId="025A625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采购过程中出现以下情形，导致电子交易平台无法正常运行，或者无法保证电子交易的公平、公正和安全时，采购组织机构可中止电子交易活动：</w:t>
      </w:r>
    </w:p>
    <w:p w14:paraId="2A2B221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（1）电子交易平台发生故障而无法登录访问的； </w:t>
      </w:r>
    </w:p>
    <w:p w14:paraId="0F8AD6CC">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（2）电子交易平台应用或数据库出现错误，不能进行正常操作的；</w:t>
      </w:r>
    </w:p>
    <w:p w14:paraId="2777EDB3">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（3）电子交易平台发现严重安全漏洞，有潜在泄密危险的；</w:t>
      </w:r>
    </w:p>
    <w:p w14:paraId="7FCFF5A6">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（4）病毒发作导致不能进行正常操作的； </w:t>
      </w:r>
    </w:p>
    <w:p w14:paraId="70CA77C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（5）其他无法保证电子交易的公平、公正和安全的情况。</w:t>
      </w:r>
    </w:p>
    <w:p w14:paraId="0F776FA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08919D98">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采购代理机构或评审小组因不可抗力（不可抗力包括但不限于自然灾害、断电、传播疫病等）原因造成电子交易活动无法正常运行的，将采取以下措施：</w:t>
      </w:r>
    </w:p>
    <w:p w14:paraId="2B03EEB7">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（1）短时间内能消除不可抗力因素的，采购代理机构或评审小组在消除不可抗力因素后继续组织电子交易活动； </w:t>
      </w:r>
    </w:p>
    <w:p w14:paraId="5FA6DF7F">
      <w:pPr>
        <w:spacing w:line="440" w:lineRule="exact"/>
        <w:ind w:firstLine="245" w:firstLineChars="1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（2）长时间内无法消除不可抗力因素的，采购代理机构或评审小组将中止电子交易活动。中止电子交易活动的，采购人应当重新组织政府采购活动。</w:t>
      </w:r>
    </w:p>
    <w:p w14:paraId="4C895597">
      <w:pPr>
        <w:pStyle w:val="3"/>
        <w:jc w:val="center"/>
        <w:rPr>
          <w:rFonts w:hint="eastAsia" w:ascii="仿宋" w:hAnsi="仿宋" w:eastAsia="仿宋" w:cs="仿宋"/>
          <w:color w:val="auto"/>
          <w:sz w:val="28"/>
          <w:szCs w:val="28"/>
          <w:highlight w:val="none"/>
        </w:rPr>
      </w:pPr>
    </w:p>
    <w:p w14:paraId="0FA7D4F5">
      <w:pPr>
        <w:rPr>
          <w:rFonts w:hint="eastAsia" w:ascii="仿宋" w:hAnsi="仿宋" w:eastAsia="仿宋" w:cs="仿宋"/>
          <w:color w:val="auto"/>
          <w:sz w:val="28"/>
          <w:szCs w:val="28"/>
          <w:highlight w:val="none"/>
        </w:rPr>
      </w:pPr>
    </w:p>
    <w:p w14:paraId="05E9EE39">
      <w:pPr>
        <w:rPr>
          <w:rFonts w:hint="eastAsia" w:ascii="仿宋" w:hAnsi="仿宋" w:eastAsia="仿宋" w:cs="仿宋"/>
          <w:color w:val="auto"/>
          <w:sz w:val="28"/>
          <w:szCs w:val="28"/>
          <w:highlight w:val="none"/>
        </w:rPr>
      </w:pPr>
    </w:p>
    <w:p w14:paraId="4169597B">
      <w:pPr>
        <w:pStyle w:val="3"/>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六、开标</w:t>
      </w:r>
      <w:r>
        <w:rPr>
          <w:rFonts w:hint="eastAsia" w:ascii="仿宋" w:hAnsi="仿宋" w:eastAsia="仿宋" w:cs="仿宋"/>
          <w:color w:val="auto"/>
          <w:sz w:val="28"/>
          <w:szCs w:val="28"/>
          <w:highlight w:val="none"/>
          <w:lang w:eastAsia="zh-CN"/>
        </w:rPr>
        <w:t>、评标和定标</w:t>
      </w:r>
      <w:bookmarkEnd w:id="6"/>
      <w:bookmarkEnd w:id="7"/>
    </w:p>
    <w:p w14:paraId="4380C402">
      <w:pPr>
        <w:snapToGrid w:val="0"/>
        <w:spacing w:line="360" w:lineRule="auto"/>
        <w:ind w:firstLine="359" w:firstLineChars="147"/>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三</w:t>
      </w:r>
      <w:r>
        <w:rPr>
          <w:rFonts w:hint="eastAsia" w:ascii="仿宋" w:hAnsi="仿宋" w:eastAsia="仿宋" w:cs="仿宋"/>
          <w:b/>
          <w:bCs/>
          <w:color w:val="auto"/>
          <w:sz w:val="24"/>
          <w:szCs w:val="24"/>
          <w:highlight w:val="none"/>
        </w:rPr>
        <w:t>）开标程序</w:t>
      </w:r>
    </w:p>
    <w:p w14:paraId="15DE8E59">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开标时间到后，主持人宣布开标会议开始。</w:t>
      </w:r>
    </w:p>
    <w:p w14:paraId="5D938C4F">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（2）响应文件</w:t>
      </w:r>
      <w:r>
        <w:rPr>
          <w:rFonts w:hint="eastAsia" w:ascii="仿宋" w:hAnsi="仿宋" w:eastAsia="仿宋" w:cs="仿宋"/>
          <w:color w:val="auto"/>
          <w:sz w:val="24"/>
          <w:szCs w:val="24"/>
          <w:highlight w:val="none"/>
        </w:rPr>
        <w:t>解密（</w:t>
      </w:r>
      <w:r>
        <w:rPr>
          <w:rFonts w:hint="eastAsia" w:ascii="仿宋" w:hAnsi="仿宋" w:eastAsia="仿宋" w:cs="仿宋"/>
          <w:b/>
          <w:color w:val="auto"/>
          <w:sz w:val="24"/>
          <w:szCs w:val="24"/>
          <w:highlight w:val="none"/>
        </w:rPr>
        <w:t>解密规定见《供应商须知前附表》</w:t>
      </w:r>
      <w:r>
        <w:rPr>
          <w:rFonts w:hint="eastAsia" w:ascii="仿宋" w:hAnsi="仿宋" w:eastAsia="仿宋" w:cs="仿宋"/>
          <w:color w:val="auto"/>
          <w:sz w:val="24"/>
          <w:szCs w:val="24"/>
          <w:highlight w:val="none"/>
        </w:rPr>
        <w:t>）。</w:t>
      </w:r>
    </w:p>
    <w:p w14:paraId="07313B7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（3）响应文件</w:t>
      </w:r>
      <w:r>
        <w:rPr>
          <w:rFonts w:hint="eastAsia" w:ascii="仿宋" w:hAnsi="仿宋" w:eastAsia="仿宋" w:cs="仿宋"/>
          <w:color w:val="auto"/>
          <w:sz w:val="24"/>
          <w:szCs w:val="24"/>
          <w:highlight w:val="none"/>
        </w:rPr>
        <w:t>解密异常情况处理（</w:t>
      </w:r>
      <w:r>
        <w:rPr>
          <w:rFonts w:hint="eastAsia" w:ascii="仿宋" w:hAnsi="仿宋" w:eastAsia="仿宋" w:cs="仿宋"/>
          <w:b/>
          <w:color w:val="auto"/>
          <w:sz w:val="24"/>
          <w:szCs w:val="24"/>
          <w:highlight w:val="none"/>
        </w:rPr>
        <w:t>处理办法见《供应商须知前附表》</w:t>
      </w:r>
      <w:r>
        <w:rPr>
          <w:rFonts w:hint="eastAsia" w:ascii="仿宋" w:hAnsi="仿宋" w:eastAsia="仿宋" w:cs="仿宋"/>
          <w:color w:val="auto"/>
          <w:sz w:val="24"/>
          <w:szCs w:val="24"/>
          <w:highlight w:val="none"/>
        </w:rPr>
        <w:t>）。</w:t>
      </w:r>
    </w:p>
    <w:p w14:paraId="32156DB4">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公布</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解密情况（</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成功解密的供应商名单等信息）。</w:t>
      </w:r>
    </w:p>
    <w:p w14:paraId="02AEECD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开启标书信息（资格</w:t>
      </w:r>
      <w:r>
        <w:rPr>
          <w:rFonts w:hint="eastAsia" w:ascii="仿宋" w:hAnsi="仿宋" w:eastAsia="仿宋" w:cs="仿宋"/>
          <w:color w:val="auto"/>
          <w:sz w:val="24"/>
          <w:szCs w:val="24"/>
          <w:highlight w:val="none"/>
          <w:lang w:eastAsia="zh-CN"/>
        </w:rPr>
        <w:t>证明</w:t>
      </w:r>
      <w:r>
        <w:rPr>
          <w:rFonts w:hint="eastAsia" w:ascii="仿宋" w:hAnsi="仿宋" w:eastAsia="仿宋" w:cs="仿宋"/>
          <w:color w:val="auto"/>
          <w:sz w:val="24"/>
          <w:szCs w:val="24"/>
          <w:highlight w:val="none"/>
        </w:rPr>
        <w:t>文件、商务技术文件）。标书信息开启后，首先由采购人或采购代理机构</w:t>
      </w:r>
      <w:r>
        <w:rPr>
          <w:rFonts w:hint="eastAsia" w:ascii="仿宋" w:hAnsi="仿宋" w:eastAsia="仿宋" w:cs="仿宋"/>
          <w:color w:val="auto"/>
          <w:sz w:val="24"/>
          <w:szCs w:val="24"/>
          <w:highlight w:val="none"/>
          <w:lang w:eastAsia="zh-CN"/>
        </w:rPr>
        <w:t>或评审小组</w:t>
      </w:r>
      <w:r>
        <w:rPr>
          <w:rFonts w:hint="eastAsia" w:ascii="仿宋" w:hAnsi="仿宋" w:eastAsia="仿宋" w:cs="仿宋"/>
          <w:color w:val="auto"/>
          <w:sz w:val="24"/>
          <w:szCs w:val="24"/>
          <w:highlight w:val="none"/>
        </w:rPr>
        <w:t>依法对投标供应商的资格</w:t>
      </w:r>
      <w:r>
        <w:rPr>
          <w:rFonts w:hint="eastAsia" w:ascii="仿宋" w:hAnsi="仿宋" w:eastAsia="仿宋" w:cs="仿宋"/>
          <w:color w:val="auto"/>
          <w:sz w:val="24"/>
          <w:szCs w:val="24"/>
          <w:highlight w:val="none"/>
          <w:lang w:eastAsia="zh-CN"/>
        </w:rPr>
        <w:t>证明</w:t>
      </w:r>
      <w:r>
        <w:rPr>
          <w:rFonts w:hint="eastAsia" w:ascii="仿宋" w:hAnsi="仿宋" w:eastAsia="仿宋" w:cs="仿宋"/>
          <w:color w:val="auto"/>
          <w:sz w:val="24"/>
          <w:szCs w:val="24"/>
          <w:highlight w:val="none"/>
        </w:rPr>
        <w:t>文件进行审查（具体见资格性检查）， 审查结束公布投标供应商的资格符合情况。资格审查未获通过的供应商，其商务技术文件及报价文件不再进入评审。</w:t>
      </w:r>
    </w:p>
    <w:p w14:paraId="1D35003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开启有效投标供应商的报价，公布开标一览表有关内容，</w:t>
      </w:r>
      <w:r>
        <w:rPr>
          <w:rFonts w:hint="eastAsia" w:ascii="仿宋" w:hAnsi="仿宋" w:eastAsia="仿宋" w:cs="仿宋"/>
          <w:color w:val="auto"/>
          <w:sz w:val="24"/>
          <w:szCs w:val="24"/>
          <w:highlight w:val="none"/>
          <w:lang w:bidi="zh-CN"/>
        </w:rPr>
        <w:t>并【开启签章时段】，供应商对开标记录进行在线签章确认（不予确认的应说明理由，否则视为无异议）</w:t>
      </w:r>
      <w:r>
        <w:rPr>
          <w:rFonts w:hint="eastAsia" w:ascii="仿宋" w:hAnsi="仿宋" w:eastAsia="仿宋" w:cs="仿宋"/>
          <w:color w:val="auto"/>
          <w:sz w:val="24"/>
          <w:szCs w:val="24"/>
          <w:highlight w:val="none"/>
        </w:rPr>
        <w:t>。开标结束后，由评标委员会对报价的合理性、准确性等进行审查核实。</w:t>
      </w:r>
    </w:p>
    <w:p w14:paraId="5E854735">
      <w:pPr>
        <w:snapToGrid w:val="0"/>
        <w:spacing w:line="360" w:lineRule="auto"/>
        <w:ind w:firstLine="490" w:firstLineChars="200"/>
        <w:rPr>
          <w:color w:val="auto"/>
          <w:sz w:val="24"/>
          <w:szCs w:val="24"/>
          <w:highlight w:val="none"/>
        </w:rPr>
      </w:pPr>
      <w:r>
        <w:rPr>
          <w:rFonts w:hint="eastAsia" w:ascii="仿宋" w:hAnsi="仿宋" w:eastAsia="仿宋" w:cs="仿宋"/>
          <w:color w:val="auto"/>
          <w:sz w:val="24"/>
          <w:szCs w:val="24"/>
          <w:highlight w:val="none"/>
          <w:lang w:eastAsia="zh-CN"/>
        </w:rPr>
        <w:t>（7）商务技术评审结束后，主持人公布商务技术评审无效投标供应商名单和商务技术评审有效投标供应商名单。商务技术评审无效的供应商，其报价不再进入评审。</w:t>
      </w:r>
    </w:p>
    <w:p w14:paraId="6381502D">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（8）</w:t>
      </w:r>
      <w:r>
        <w:rPr>
          <w:rFonts w:hint="eastAsia" w:ascii="仿宋" w:hAnsi="仿宋" w:eastAsia="仿宋" w:cs="仿宋"/>
          <w:color w:val="auto"/>
          <w:sz w:val="24"/>
          <w:szCs w:val="24"/>
          <w:highlight w:val="none"/>
        </w:rPr>
        <w:t>评审结束后，采购代理机构在系统上公布评审结果。</w:t>
      </w:r>
    </w:p>
    <w:p w14:paraId="5435B653">
      <w:pPr>
        <w:snapToGrid w:val="0"/>
        <w:spacing w:line="360" w:lineRule="auto"/>
        <w:ind w:left="48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特别情况说明：</w:t>
      </w:r>
    </w:p>
    <w:p w14:paraId="5BFFF8BE">
      <w:pPr>
        <w:snapToGrid w:val="0"/>
        <w:spacing w:line="360" w:lineRule="auto"/>
        <w:ind w:firstLine="432" w:firstLineChars="17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（1）本项目采用电子交易，如遇“</w:t>
      </w:r>
      <w:r>
        <w:rPr>
          <w:rFonts w:hint="eastAsia" w:ascii="仿宋" w:hAnsi="仿宋" w:eastAsia="仿宋" w:cs="仿宋"/>
          <w:b/>
          <w:color w:val="auto"/>
          <w:sz w:val="24"/>
          <w:szCs w:val="24"/>
          <w:highlight w:val="none"/>
          <w:lang w:eastAsia="zh-CN"/>
        </w:rPr>
        <w:t>新疆</w:t>
      </w:r>
      <w:r>
        <w:rPr>
          <w:rFonts w:hint="eastAsia" w:ascii="仿宋" w:hAnsi="仿宋" w:eastAsia="仿宋" w:cs="仿宋"/>
          <w:b/>
          <w:color w:val="auto"/>
          <w:sz w:val="24"/>
          <w:szCs w:val="24"/>
          <w:highlight w:val="none"/>
        </w:rPr>
        <w:t>政府采购云平台”电子化开标或评审程序调整的，按调整后程序执行。</w:t>
      </w:r>
    </w:p>
    <w:p w14:paraId="08402FB7">
      <w:pPr>
        <w:snapToGrid w:val="0"/>
        <w:spacing w:line="360" w:lineRule="auto"/>
        <w:ind w:firstLine="432" w:firstLineChars="17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（2）开标过程中需要相关当事人进行</w:t>
      </w:r>
      <w:r>
        <w:rPr>
          <w:rFonts w:hint="eastAsia" w:ascii="仿宋" w:hAnsi="仿宋" w:eastAsia="仿宋" w:cs="仿宋"/>
          <w:b/>
          <w:color w:val="auto"/>
          <w:sz w:val="24"/>
          <w:szCs w:val="24"/>
          <w:highlight w:val="none"/>
          <w:lang w:eastAsia="zh-CN"/>
        </w:rPr>
        <w:t>签章</w:t>
      </w:r>
      <w:r>
        <w:rPr>
          <w:rFonts w:hint="eastAsia" w:ascii="仿宋" w:hAnsi="仿宋" w:eastAsia="仿宋" w:cs="仿宋"/>
          <w:b/>
          <w:color w:val="auto"/>
          <w:sz w:val="24"/>
          <w:szCs w:val="24"/>
          <w:highlight w:val="none"/>
        </w:rPr>
        <w:t>或盖章确认的材料将通过“政府采购云平台”进行，若因“政府采购云平台”技术问题无法进行</w:t>
      </w:r>
      <w:r>
        <w:rPr>
          <w:rFonts w:hint="eastAsia" w:ascii="仿宋" w:hAnsi="仿宋" w:eastAsia="仿宋" w:cs="仿宋"/>
          <w:b/>
          <w:color w:val="auto"/>
          <w:sz w:val="24"/>
          <w:szCs w:val="24"/>
          <w:highlight w:val="none"/>
          <w:lang w:eastAsia="zh-CN"/>
        </w:rPr>
        <w:t>签章</w:t>
      </w:r>
      <w:r>
        <w:rPr>
          <w:rFonts w:hint="eastAsia" w:ascii="仿宋" w:hAnsi="仿宋" w:eastAsia="仿宋" w:cs="仿宋"/>
          <w:b/>
          <w:color w:val="auto"/>
          <w:sz w:val="24"/>
          <w:szCs w:val="24"/>
          <w:highlight w:val="none"/>
        </w:rPr>
        <w:t>或盖章确认的，采购组织机构将通过电子邮件等形式予以确认，</w:t>
      </w:r>
      <w:r>
        <w:rPr>
          <w:rFonts w:hint="eastAsia" w:ascii="仿宋" w:hAnsi="仿宋" w:eastAsia="仿宋" w:cs="仿宋"/>
          <w:b/>
          <w:color w:val="auto"/>
          <w:sz w:val="24"/>
          <w:szCs w:val="24"/>
          <w:highlight w:val="none"/>
          <w:u w:val="single"/>
        </w:rPr>
        <w:t>请供应商保证办理投标事宜人员电话畅通、网络在线，</w:t>
      </w:r>
      <w:r>
        <w:rPr>
          <w:rFonts w:hint="eastAsia" w:ascii="仿宋" w:hAnsi="仿宋" w:eastAsia="仿宋" w:cs="仿宋"/>
          <w:b/>
          <w:color w:val="auto"/>
          <w:sz w:val="24"/>
          <w:szCs w:val="24"/>
          <w:highlight w:val="none"/>
          <w:u w:val="single"/>
          <w:lang w:eastAsia="zh-CN"/>
        </w:rPr>
        <w:t>签章</w:t>
      </w:r>
      <w:r>
        <w:rPr>
          <w:rFonts w:hint="eastAsia" w:ascii="仿宋" w:hAnsi="仿宋" w:eastAsia="仿宋" w:cs="仿宋"/>
          <w:b/>
          <w:color w:val="auto"/>
          <w:sz w:val="24"/>
          <w:szCs w:val="24"/>
          <w:highlight w:val="none"/>
          <w:u w:val="single"/>
        </w:rPr>
        <w:t>或盖章确认的时间为20分钟。如未及时</w:t>
      </w:r>
      <w:r>
        <w:rPr>
          <w:rFonts w:hint="eastAsia" w:ascii="仿宋" w:hAnsi="仿宋" w:eastAsia="仿宋" w:cs="仿宋"/>
          <w:b/>
          <w:color w:val="auto"/>
          <w:sz w:val="24"/>
          <w:szCs w:val="24"/>
          <w:highlight w:val="none"/>
          <w:u w:val="single"/>
          <w:lang w:eastAsia="zh-CN"/>
        </w:rPr>
        <w:t>签章</w:t>
      </w:r>
      <w:r>
        <w:rPr>
          <w:rFonts w:hint="eastAsia" w:ascii="仿宋" w:hAnsi="仿宋" w:eastAsia="仿宋" w:cs="仿宋"/>
          <w:b/>
          <w:color w:val="auto"/>
          <w:sz w:val="24"/>
          <w:szCs w:val="24"/>
          <w:highlight w:val="none"/>
          <w:u w:val="single"/>
        </w:rPr>
        <w:t>或盖章确认的，视为无异议</w:t>
      </w:r>
      <w:r>
        <w:rPr>
          <w:rFonts w:hint="eastAsia" w:ascii="仿宋" w:hAnsi="仿宋" w:eastAsia="仿宋" w:cs="仿宋"/>
          <w:b/>
          <w:color w:val="auto"/>
          <w:sz w:val="24"/>
          <w:szCs w:val="24"/>
          <w:highlight w:val="none"/>
        </w:rPr>
        <w:t>。</w:t>
      </w:r>
    </w:p>
    <w:p w14:paraId="44A9E141">
      <w:pPr>
        <w:snapToGrid w:val="0"/>
        <w:spacing w:line="360" w:lineRule="auto"/>
        <w:ind w:firstLine="490"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3.</w:t>
      </w:r>
      <w:r>
        <w:rPr>
          <w:rFonts w:hint="eastAsia" w:ascii="仿宋" w:hAnsi="仿宋" w:eastAsia="仿宋" w:cs="仿宋"/>
          <w:b/>
          <w:color w:val="auto"/>
          <w:sz w:val="24"/>
          <w:szCs w:val="24"/>
          <w:highlight w:val="none"/>
        </w:rPr>
        <w:t>投标供应商资格审查：</w:t>
      </w:r>
    </w:p>
    <w:p w14:paraId="34CCA5A5">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Cs/>
          <w:color w:val="auto"/>
          <w:sz w:val="24"/>
          <w:szCs w:val="24"/>
          <w:highlight w:val="none"/>
        </w:rPr>
        <w:t>开标（标书信息开启）后，采购人或采购代理机构</w:t>
      </w:r>
      <w:r>
        <w:rPr>
          <w:rFonts w:hint="eastAsia" w:ascii="仿宋" w:hAnsi="仿宋" w:eastAsia="仿宋" w:cs="仿宋"/>
          <w:bCs/>
          <w:color w:val="auto"/>
          <w:sz w:val="24"/>
          <w:szCs w:val="24"/>
          <w:highlight w:val="none"/>
          <w:lang w:eastAsia="zh-CN"/>
        </w:rPr>
        <w:t>或</w:t>
      </w:r>
      <w:r>
        <w:rPr>
          <w:rFonts w:hint="eastAsia" w:ascii="仿宋" w:hAnsi="仿宋" w:eastAsia="仿宋" w:cs="仿宋"/>
          <w:color w:val="auto"/>
          <w:sz w:val="24"/>
          <w:szCs w:val="24"/>
          <w:highlight w:val="none"/>
          <w:lang w:eastAsia="zh-CN"/>
        </w:rPr>
        <w:t>评审小组</w:t>
      </w:r>
      <w:r>
        <w:rPr>
          <w:rFonts w:hint="eastAsia" w:ascii="仿宋" w:hAnsi="仿宋" w:eastAsia="仿宋" w:cs="仿宋"/>
          <w:bCs/>
          <w:color w:val="auto"/>
          <w:sz w:val="24"/>
          <w:szCs w:val="24"/>
          <w:highlight w:val="none"/>
        </w:rPr>
        <w:t>首先依法对投标供应商的资格文件进行审查，审查各投标供应商的资格符合情况。</w:t>
      </w:r>
      <w:r>
        <w:rPr>
          <w:rFonts w:hint="eastAsia" w:ascii="仿宋" w:hAnsi="仿宋" w:eastAsia="仿宋" w:cs="仿宋"/>
          <w:color w:val="auto"/>
          <w:sz w:val="24"/>
          <w:szCs w:val="24"/>
          <w:highlight w:val="none"/>
        </w:rPr>
        <w:t>采购人或采购代理机构</w:t>
      </w:r>
      <w:r>
        <w:rPr>
          <w:rFonts w:hint="eastAsia" w:ascii="仿宋" w:hAnsi="仿宋" w:eastAsia="仿宋" w:cs="仿宋"/>
          <w:bCs/>
          <w:color w:val="auto"/>
          <w:sz w:val="24"/>
          <w:szCs w:val="24"/>
          <w:highlight w:val="none"/>
          <w:lang w:eastAsia="zh-CN"/>
        </w:rPr>
        <w:t>或</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对投标供应商所提交的资格证明材料仅负审核的责任。如发现投标供应商所提交的资格证明材料不合法或与事实不符，采购人可取消其</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资格并追究投标供应商的法律责任。</w:t>
      </w:r>
    </w:p>
    <w:p w14:paraId="301F5C23">
      <w:pPr>
        <w:pStyle w:val="5"/>
        <w:keepNext w:val="0"/>
        <w:keepLines w:val="0"/>
        <w:pageBreakBefore w:val="0"/>
        <w:widowControl w:val="0"/>
        <w:kinsoku/>
        <w:wordWrap/>
        <w:overflowPunct/>
        <w:topLinePunct w:val="0"/>
        <w:bidi w:val="0"/>
        <w:snapToGrid w:val="0"/>
        <w:spacing w:line="324" w:lineRule="auto"/>
        <w:textAlignment w:val="auto"/>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（2）投标供应商提交的资格证明材料无法证明其符合</w:t>
      </w:r>
      <w:r>
        <w:rPr>
          <w:rFonts w:hint="eastAsia" w:ascii="仿宋" w:hAnsi="仿宋" w:eastAsia="仿宋" w:cs="仿宋"/>
          <w:bCs/>
          <w:color w:val="auto"/>
          <w:sz w:val="24"/>
          <w:szCs w:val="24"/>
          <w:highlight w:val="none"/>
          <w:lang w:eastAsia="zh-CN"/>
        </w:rPr>
        <w:t xml:space="preserve">谈判文件 </w:t>
      </w:r>
      <w:r>
        <w:rPr>
          <w:rFonts w:hint="eastAsia" w:ascii="仿宋" w:hAnsi="仿宋" w:eastAsia="仿宋" w:cs="仿宋"/>
          <w:bCs/>
          <w:color w:val="auto"/>
          <w:sz w:val="24"/>
          <w:szCs w:val="24"/>
          <w:highlight w:val="none"/>
        </w:rPr>
        <w:t>规定的“投标供应商资格要求”的，采购人或采购代理机构将对其作“资格审查不合格”处理（无效投标），并不再将其投标提交评标委员会进行后续评审。</w:t>
      </w:r>
    </w:p>
    <w:p w14:paraId="173261D3">
      <w:pPr>
        <w:pStyle w:val="5"/>
        <w:keepNext w:val="0"/>
        <w:keepLines w:val="0"/>
        <w:pageBreakBefore w:val="0"/>
        <w:widowControl w:val="0"/>
        <w:kinsoku/>
        <w:wordWrap/>
        <w:overflowPunct/>
        <w:topLinePunct w:val="0"/>
        <w:bidi w:val="0"/>
        <w:snapToGrid w:val="0"/>
        <w:spacing w:line="324" w:lineRule="auto"/>
        <w:textAlignment w:val="auto"/>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（3）供应商信用记录查询与使用：见《供应商须知前附表》。</w:t>
      </w:r>
    </w:p>
    <w:p w14:paraId="79E9A6FD">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b/>
          <w:color w:val="auto"/>
          <w:sz w:val="24"/>
          <w:szCs w:val="24"/>
          <w:highlight w:val="none"/>
        </w:rPr>
      </w:pPr>
      <w:bookmarkStart w:id="8" w:name="_Toc213839741"/>
      <w:r>
        <w:rPr>
          <w:rFonts w:hint="eastAsia" w:ascii="仿宋" w:hAnsi="仿宋" w:eastAsia="仿宋" w:cs="仿宋"/>
          <w:b/>
          <w:color w:val="auto"/>
          <w:sz w:val="24"/>
          <w:szCs w:val="24"/>
          <w:highlight w:val="none"/>
        </w:rPr>
        <w:t>（二十</w:t>
      </w:r>
      <w:r>
        <w:rPr>
          <w:rFonts w:hint="eastAsia" w:ascii="仿宋" w:hAnsi="仿宋" w:eastAsia="仿宋" w:cs="仿宋"/>
          <w:b/>
          <w:color w:val="auto"/>
          <w:sz w:val="24"/>
          <w:szCs w:val="24"/>
          <w:highlight w:val="none"/>
          <w:lang w:eastAsia="zh-CN"/>
        </w:rPr>
        <w:t>四</w:t>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eastAsia="zh-CN"/>
        </w:rPr>
        <w:t>谈判</w:t>
      </w:r>
      <w:r>
        <w:rPr>
          <w:rFonts w:hint="eastAsia" w:ascii="仿宋" w:hAnsi="仿宋" w:eastAsia="仿宋" w:cs="仿宋"/>
          <w:b/>
          <w:color w:val="auto"/>
          <w:sz w:val="24"/>
          <w:szCs w:val="24"/>
          <w:highlight w:val="none"/>
        </w:rPr>
        <w:t>报价方式</w:t>
      </w:r>
    </w:p>
    <w:p w14:paraId="149CA821">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1、供应商提交的响应性文件中的报价，该报价只允许有一个报价，任何有选择性的报价将不予接受。</w:t>
      </w:r>
    </w:p>
    <w:p w14:paraId="02ECD80B">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谈判小组</w:t>
      </w:r>
      <w:r>
        <w:rPr>
          <w:rFonts w:hint="eastAsia" w:ascii="仿宋" w:hAnsi="仿宋" w:eastAsia="仿宋" w:cs="仿宋"/>
          <w:color w:val="auto"/>
          <w:sz w:val="24"/>
          <w:szCs w:val="24"/>
          <w:highlight w:val="none"/>
        </w:rPr>
        <w:t>所有成员与供应商进行单独</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中，</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的任何一方不得透露与</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有关的其他供应商的技术资料、价格和其他信息。</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有实质性变动的，</w:t>
      </w:r>
      <w:r>
        <w:rPr>
          <w:rFonts w:hint="eastAsia" w:ascii="仿宋" w:hAnsi="仿宋" w:eastAsia="仿宋" w:cs="仿宋"/>
          <w:color w:val="auto"/>
          <w:sz w:val="24"/>
          <w:szCs w:val="24"/>
          <w:highlight w:val="none"/>
          <w:lang w:eastAsia="zh-CN"/>
        </w:rPr>
        <w:t>谈判小组</w:t>
      </w:r>
      <w:r>
        <w:rPr>
          <w:rFonts w:hint="eastAsia" w:ascii="仿宋" w:hAnsi="仿宋" w:eastAsia="仿宋" w:cs="仿宋"/>
          <w:color w:val="auto"/>
          <w:sz w:val="24"/>
          <w:szCs w:val="24"/>
          <w:highlight w:val="none"/>
        </w:rPr>
        <w:t>应以书面形式通知所有参加</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的供应商。</w:t>
      </w:r>
    </w:p>
    <w:p w14:paraId="068D421C">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结束后，供应商可根据</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情况，进行第二次报价</w:t>
      </w:r>
      <w:r>
        <w:rPr>
          <w:rFonts w:hint="eastAsia" w:ascii="仿宋" w:hAnsi="仿宋" w:eastAsia="仿宋" w:cs="仿宋"/>
          <w:color w:val="auto"/>
          <w:sz w:val="24"/>
          <w:szCs w:val="24"/>
          <w:highlight w:val="none"/>
          <w:lang w:eastAsia="zh-CN"/>
        </w:rPr>
        <w:t>，采购人也可以根据谈判情况开启多轮报价，</w:t>
      </w:r>
      <w:r>
        <w:rPr>
          <w:rFonts w:hint="eastAsia" w:ascii="仿宋" w:hAnsi="仿宋" w:eastAsia="仿宋" w:cs="仿宋"/>
          <w:color w:val="auto"/>
          <w:sz w:val="24"/>
          <w:szCs w:val="24"/>
          <w:highlight w:val="none"/>
        </w:rPr>
        <w:t>该报价为</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的最终报价。</w:t>
      </w:r>
    </w:p>
    <w:p w14:paraId="2069DF59">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4、第二次报价</w:t>
      </w:r>
      <w:r>
        <w:rPr>
          <w:rFonts w:hint="eastAsia" w:ascii="仿宋" w:hAnsi="仿宋" w:eastAsia="仿宋" w:cs="仿宋"/>
          <w:color w:val="auto"/>
          <w:sz w:val="24"/>
          <w:szCs w:val="24"/>
          <w:highlight w:val="none"/>
          <w:lang w:eastAsia="zh-CN"/>
        </w:rPr>
        <w:t>在政采云不见面开评标系统</w:t>
      </w:r>
      <w:r>
        <w:rPr>
          <w:rFonts w:hint="eastAsia" w:ascii="仿宋" w:hAnsi="仿宋" w:eastAsia="仿宋" w:cs="仿宋"/>
          <w:color w:val="auto"/>
          <w:sz w:val="24"/>
          <w:szCs w:val="24"/>
          <w:highlight w:val="none"/>
        </w:rPr>
        <w:t>填写提交。所有供应商的二次报价收集齐全后，二次报价不进行公开唱标</w:t>
      </w:r>
      <w:r>
        <w:rPr>
          <w:rFonts w:hint="eastAsia" w:ascii="仿宋" w:hAnsi="仿宋" w:eastAsia="仿宋" w:cs="仿宋"/>
          <w:color w:val="auto"/>
          <w:sz w:val="24"/>
          <w:szCs w:val="24"/>
          <w:highlight w:val="none"/>
          <w:lang w:eastAsia="zh-CN"/>
        </w:rPr>
        <w:t>，依次类推。</w:t>
      </w:r>
    </w:p>
    <w:p w14:paraId="4F945C80">
      <w:pPr>
        <w:keepNext w:val="0"/>
        <w:keepLines w:val="0"/>
        <w:pageBreakBefore w:val="0"/>
        <w:widowControl w:val="0"/>
        <w:kinsoku/>
        <w:wordWrap/>
        <w:overflowPunct/>
        <w:topLinePunct w:val="0"/>
        <w:bidi w:val="0"/>
        <w:snapToGrid w:val="0"/>
        <w:spacing w:line="324" w:lineRule="auto"/>
        <w:ind w:firstLine="359" w:firstLineChars="147"/>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rPr>
        <w:t>修正错误的原则如下：大写金额与小写金额不一致的，以大写金额为准；总价金额与按单价汇总金额不一致的，以单价金额计算结果为准；单价金额小数点有明显错位的，以总价为准，并修改单价；对不同文字文本响应性文件的解释发生异议的，以中文文本为准。按上述原则调整后的价格为评标价，对供应商具有约束力。如果供应商不接受修正后的价格，则其报价将被拒绝。</w:t>
      </w:r>
      <w:bookmarkEnd w:id="8"/>
    </w:p>
    <w:p w14:paraId="0D31F183">
      <w:pPr>
        <w:pStyle w:val="3"/>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七、评标</w:t>
      </w:r>
      <w:r>
        <w:rPr>
          <w:rFonts w:hint="eastAsia" w:ascii="仿宋" w:hAnsi="仿宋" w:eastAsia="仿宋" w:cs="仿宋"/>
          <w:color w:val="auto"/>
          <w:sz w:val="28"/>
          <w:szCs w:val="28"/>
          <w:highlight w:val="none"/>
          <w:lang w:eastAsia="zh-CN"/>
        </w:rPr>
        <w:t>程序</w:t>
      </w:r>
    </w:p>
    <w:p w14:paraId="3FE56D49">
      <w:pPr>
        <w:snapToGrid w:val="0"/>
        <w:spacing w:line="360" w:lineRule="auto"/>
        <w:ind w:firstLine="479" w:firstLineChars="196"/>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五</w:t>
      </w:r>
      <w:r>
        <w:rPr>
          <w:rFonts w:hint="eastAsia" w:ascii="仿宋" w:hAnsi="仿宋" w:eastAsia="仿宋" w:cs="仿宋"/>
          <w:b/>
          <w:bCs/>
          <w:color w:val="auto"/>
          <w:sz w:val="24"/>
          <w:szCs w:val="24"/>
          <w:highlight w:val="none"/>
        </w:rPr>
        <w:t>）评标原则</w:t>
      </w:r>
    </w:p>
    <w:p w14:paraId="7C929B85">
      <w:pPr>
        <w:adjustRightInd w:val="0"/>
        <w:snapToGrid w:val="0"/>
        <w:spacing w:line="360"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“公开、公平、公正、客观、择优”为评标的基本原则，</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小组将根据这一原则，公正、平等地对待各供应商。</w:t>
      </w:r>
    </w:p>
    <w:p w14:paraId="4DC7C6AF">
      <w:pPr>
        <w:adjustRightInd w:val="0"/>
        <w:snapToGrid w:val="0"/>
        <w:spacing w:line="360" w:lineRule="auto"/>
        <w:ind w:firstLine="359" w:firstLineChars="147"/>
        <w:rPr>
          <w:rFonts w:ascii="仿宋" w:hAnsi="仿宋" w:eastAsia="仿宋" w:cs="仿宋"/>
          <w:b/>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六</w:t>
      </w:r>
      <w:r>
        <w:rPr>
          <w:rFonts w:hint="eastAsia" w:ascii="仿宋" w:hAnsi="仿宋" w:eastAsia="仿宋" w:cs="仿宋"/>
          <w:b/>
          <w:bCs/>
          <w:color w:val="auto"/>
          <w:sz w:val="24"/>
          <w:szCs w:val="24"/>
          <w:highlight w:val="none"/>
        </w:rPr>
        <w:t>）</w:t>
      </w:r>
      <w:r>
        <w:rPr>
          <w:rFonts w:hint="eastAsia" w:ascii="仿宋" w:hAnsi="仿宋" w:eastAsia="仿宋" w:cs="仿宋"/>
          <w:b/>
          <w:color w:val="auto"/>
          <w:sz w:val="24"/>
          <w:szCs w:val="24"/>
          <w:highlight w:val="none"/>
          <w:lang w:eastAsia="zh-CN"/>
        </w:rPr>
        <w:t>谈判</w:t>
      </w:r>
      <w:r>
        <w:rPr>
          <w:rFonts w:hint="eastAsia" w:ascii="仿宋" w:hAnsi="仿宋" w:eastAsia="仿宋" w:cs="仿宋"/>
          <w:b/>
          <w:color w:val="auto"/>
          <w:sz w:val="24"/>
          <w:szCs w:val="24"/>
          <w:highlight w:val="none"/>
        </w:rPr>
        <w:t>小组</w:t>
      </w:r>
    </w:p>
    <w:p w14:paraId="53F8B479">
      <w:pPr>
        <w:snapToGrid w:val="0"/>
        <w:spacing w:line="360"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评标委员会成员由招标人的代表1名和随机抽取的有关方面的专家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名组成，成员共为</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人，评标委员会的成员在评标过程中必须严格遵守政府采购的有关规定。专家从</w:t>
      </w:r>
      <w:r>
        <w:rPr>
          <w:rFonts w:hint="eastAsia" w:ascii="仿宋" w:hAnsi="仿宋" w:eastAsia="仿宋" w:cs="仿宋"/>
          <w:color w:val="auto"/>
          <w:sz w:val="24"/>
          <w:szCs w:val="24"/>
          <w:highlight w:val="none"/>
          <w:lang w:eastAsia="zh-CN"/>
        </w:rPr>
        <w:t>政采云</w:t>
      </w:r>
      <w:r>
        <w:rPr>
          <w:rFonts w:hint="eastAsia" w:ascii="仿宋" w:hAnsi="仿宋" w:eastAsia="仿宋" w:cs="仿宋"/>
          <w:color w:val="auto"/>
          <w:sz w:val="24"/>
          <w:szCs w:val="24"/>
          <w:highlight w:val="none"/>
        </w:rPr>
        <w:t>专家库中随机抽取产生，负责对响应文件进行审查、质询、评审、推选</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w:t>
      </w:r>
    </w:p>
    <w:p w14:paraId="7EB3EFAB">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1、评标事务由</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小组负责，并独立履行下列职责：</w:t>
      </w:r>
    </w:p>
    <w:p w14:paraId="2554DF36">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（a）审查响应文件是否符合本文件要求，并做出评价；</w:t>
      </w:r>
    </w:p>
    <w:p w14:paraId="48B2B09E">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（b）要求供应商对响应文件有关事项做出澄清或答复；</w:t>
      </w:r>
    </w:p>
    <w:p w14:paraId="57B2C39D">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（c）推荐</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候选人名单，或者直接确定</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w:t>
      </w:r>
    </w:p>
    <w:p w14:paraId="54EF62A8">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（d）向招标采购单位或者有关部门报告非法干预评标工作的行为。</w:t>
      </w:r>
    </w:p>
    <w:p w14:paraId="0A3169EE">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小组成员的义务</w:t>
      </w:r>
    </w:p>
    <w:p w14:paraId="257A7EF3">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（a）遵纪守法，客观、公正、廉洁地履行职责；</w:t>
      </w:r>
    </w:p>
    <w:p w14:paraId="2BB02461">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（b）按照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规定的评标方法和标准进行评标，对评审意见承担个人责任；</w:t>
      </w:r>
    </w:p>
    <w:p w14:paraId="24880979">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（c）对评标过程和结果，以及供应商的商业秘密保密；</w:t>
      </w:r>
    </w:p>
    <w:p w14:paraId="24ADFB25">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（d）参与评标报告的起草；</w:t>
      </w:r>
    </w:p>
    <w:p w14:paraId="125D4A6A">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（e）配合财政部门的投诉处理工作；</w:t>
      </w:r>
    </w:p>
    <w:p w14:paraId="4FEE9C9B">
      <w:pPr>
        <w:keepNext w:val="0"/>
        <w:keepLines w:val="0"/>
        <w:pageBreakBefore w:val="0"/>
        <w:kinsoku/>
        <w:wordWrap/>
        <w:overflowPunct/>
        <w:topLinePunct w:val="0"/>
        <w:autoSpaceDE/>
        <w:autoSpaceDN/>
        <w:bidi w:val="0"/>
        <w:snapToGrid w:val="0"/>
        <w:spacing w:line="305" w:lineRule="auto"/>
        <w:ind w:firstLine="359" w:firstLineChars="14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（f）配合招标采购单位答复供应商提出的质疑。</w:t>
      </w:r>
    </w:p>
    <w:p w14:paraId="13195E8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sz w:val="24"/>
          <w:szCs w:val="24"/>
          <w:highlight w:val="none"/>
          <w:lang w:val="en-US" w:eastAsia="zh-CN" w:bidi="en-US"/>
        </w:rPr>
        <w:t>3.评标程序</w:t>
      </w:r>
    </w:p>
    <w:p w14:paraId="201C590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sz w:val="24"/>
          <w:szCs w:val="24"/>
          <w:highlight w:val="none"/>
          <w:lang w:val="en-US" w:eastAsia="zh-CN" w:bidi="en-US"/>
        </w:rPr>
        <w:t>本次评标首先由评标委员会对投标人的响应文件进行初审，对未能通过初审的响应文件作无效标处理；</w:t>
      </w:r>
    </w:p>
    <w:p w14:paraId="40D529C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b/>
          <w:color w:val="auto"/>
          <w:sz w:val="24"/>
          <w:szCs w:val="24"/>
          <w:highlight w:val="none"/>
          <w:lang w:val="en-US" w:eastAsia="zh-CN"/>
        </w:rPr>
      </w:pPr>
      <w:r>
        <w:rPr>
          <w:rFonts w:hint="eastAsia" w:ascii="仿宋" w:hAnsi="仿宋" w:eastAsia="仿宋" w:cs="仿宋"/>
          <w:color w:val="auto"/>
          <w:sz w:val="24"/>
          <w:szCs w:val="24"/>
          <w:highlight w:val="none"/>
          <w:lang w:val="en-US" w:eastAsia="zh-CN" w:bidi="en-US"/>
        </w:rPr>
        <w:t>4.对通过初审的投标人的响应文件进行详细的比较和评价。如需要，进行必要的澄清工作；</w:t>
      </w:r>
    </w:p>
    <w:p w14:paraId="2DB609B7">
      <w:pPr>
        <w:keepNext w:val="0"/>
        <w:keepLines w:val="0"/>
        <w:pageBreakBefore w:val="0"/>
        <w:widowControl w:val="0"/>
        <w:kinsoku/>
        <w:wordWrap/>
        <w:overflowPunct/>
        <w:topLinePunct w:val="0"/>
        <w:autoSpaceDE/>
        <w:autoSpaceDN/>
        <w:bidi w:val="0"/>
        <w:adjustRightInd/>
        <w:snapToGrid/>
        <w:spacing w:line="400" w:lineRule="exact"/>
        <w:ind w:firstLine="245" w:firstLineChars="100"/>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lang w:eastAsia="zh-CN"/>
        </w:rPr>
        <w:t>响应文件初审</w:t>
      </w:r>
    </w:p>
    <w:p w14:paraId="187EDF58">
      <w:pPr>
        <w:spacing w:line="400" w:lineRule="exact"/>
        <w:ind w:firstLine="359" w:firstLineChars="147"/>
        <w:rPr>
          <w:rFonts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6.资格性审查:</w:t>
      </w:r>
    </w:p>
    <w:p w14:paraId="378D398A">
      <w:pPr>
        <w:spacing w:line="400" w:lineRule="exact"/>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.1评审细则</w:t>
      </w:r>
    </w:p>
    <w:tbl>
      <w:tblPr>
        <w:tblStyle w:val="2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5281"/>
        <w:gridCol w:w="1304"/>
        <w:gridCol w:w="1273"/>
      </w:tblGrid>
      <w:tr w14:paraId="353B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73D13ED0">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5828" w:type="dxa"/>
            <w:gridSpan w:val="2"/>
            <w:vMerge w:val="restart"/>
            <w:vAlign w:val="center"/>
          </w:tcPr>
          <w:p w14:paraId="7332ED55">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评审内容</w:t>
            </w:r>
          </w:p>
        </w:tc>
        <w:tc>
          <w:tcPr>
            <w:tcW w:w="2577" w:type="dxa"/>
            <w:gridSpan w:val="2"/>
            <w:vAlign w:val="center"/>
          </w:tcPr>
          <w:p w14:paraId="2BB5AE85">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评审意见</w:t>
            </w:r>
          </w:p>
        </w:tc>
      </w:tr>
      <w:tr w14:paraId="63D7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81" w:type="dxa"/>
            <w:vMerge w:val="continue"/>
            <w:vAlign w:val="center"/>
          </w:tcPr>
          <w:p w14:paraId="6D1069E6">
            <w:pPr>
              <w:rPr>
                <w:rFonts w:ascii="仿宋" w:hAnsi="仿宋" w:eastAsia="仿宋" w:cs="仿宋"/>
                <w:color w:val="auto"/>
                <w:sz w:val="24"/>
                <w:szCs w:val="24"/>
                <w:highlight w:val="none"/>
              </w:rPr>
            </w:pPr>
          </w:p>
        </w:tc>
        <w:tc>
          <w:tcPr>
            <w:tcW w:w="5828" w:type="dxa"/>
            <w:gridSpan w:val="2"/>
            <w:vMerge w:val="continue"/>
          </w:tcPr>
          <w:p w14:paraId="36A8DCD5">
            <w:pPr>
              <w:rPr>
                <w:rFonts w:ascii="仿宋" w:hAnsi="仿宋" w:eastAsia="仿宋" w:cs="仿宋"/>
                <w:color w:val="auto"/>
                <w:sz w:val="24"/>
                <w:szCs w:val="24"/>
                <w:highlight w:val="none"/>
              </w:rPr>
            </w:pPr>
          </w:p>
        </w:tc>
        <w:tc>
          <w:tcPr>
            <w:tcW w:w="1304" w:type="dxa"/>
            <w:vAlign w:val="center"/>
          </w:tcPr>
          <w:p w14:paraId="090413AC">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w:t>
            </w:r>
          </w:p>
        </w:tc>
        <w:tc>
          <w:tcPr>
            <w:tcW w:w="1273" w:type="dxa"/>
            <w:vAlign w:val="center"/>
          </w:tcPr>
          <w:p w14:paraId="21E33C70">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否</w:t>
            </w:r>
          </w:p>
        </w:tc>
      </w:tr>
      <w:tr w14:paraId="322D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81" w:type="dxa"/>
            <w:vMerge w:val="continue"/>
            <w:vAlign w:val="center"/>
          </w:tcPr>
          <w:p w14:paraId="353A6377">
            <w:pPr>
              <w:jc w:val="center"/>
              <w:rPr>
                <w:rFonts w:ascii="仿宋" w:hAnsi="仿宋" w:eastAsia="仿宋" w:cs="仿宋"/>
                <w:color w:val="auto"/>
                <w:sz w:val="24"/>
                <w:szCs w:val="24"/>
                <w:highlight w:val="none"/>
                <w:lang w:eastAsia="zh-CN"/>
              </w:rPr>
            </w:pPr>
          </w:p>
        </w:tc>
        <w:tc>
          <w:tcPr>
            <w:tcW w:w="547" w:type="dxa"/>
            <w:vAlign w:val="center"/>
          </w:tcPr>
          <w:p w14:paraId="0A65AFA6">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w:t>
            </w:r>
          </w:p>
        </w:tc>
        <w:tc>
          <w:tcPr>
            <w:tcW w:w="5281" w:type="dxa"/>
            <w:vAlign w:val="center"/>
          </w:tcPr>
          <w:p w14:paraId="7B8B9742">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具备三证合一营业执照；</w:t>
            </w:r>
            <w:r>
              <w:rPr>
                <w:rFonts w:hint="eastAsia" w:ascii="仿宋" w:hAnsi="仿宋" w:eastAsia="仿宋" w:cs="仿宋"/>
                <w:color w:val="auto"/>
                <w:highlight w:val="none"/>
                <w:lang w:val="en-US" w:eastAsia="zh-CN"/>
              </w:rPr>
              <w:tab/>
            </w:r>
          </w:p>
        </w:tc>
        <w:tc>
          <w:tcPr>
            <w:tcW w:w="1304" w:type="dxa"/>
            <w:vAlign w:val="top"/>
          </w:tcPr>
          <w:p w14:paraId="069E7408">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113E6672">
            <w:pPr>
              <w:widowControl/>
              <w:shd w:val="clear" w:color="auto" w:fill="auto"/>
              <w:jc w:val="left"/>
              <w:textAlignment w:val="center"/>
              <w:rPr>
                <w:rFonts w:hint="eastAsia" w:ascii="仿宋" w:hAnsi="仿宋" w:eastAsia="仿宋" w:cs="仿宋"/>
                <w:color w:val="auto"/>
                <w:highlight w:val="none"/>
                <w:lang w:eastAsia="zh-CN"/>
              </w:rPr>
            </w:pPr>
          </w:p>
        </w:tc>
      </w:tr>
      <w:tr w14:paraId="1EF7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vAlign w:val="center"/>
          </w:tcPr>
          <w:p w14:paraId="4B171F5D">
            <w:pPr>
              <w:rPr>
                <w:rFonts w:ascii="仿宋" w:hAnsi="仿宋" w:eastAsia="仿宋" w:cs="仿宋"/>
                <w:color w:val="auto"/>
                <w:sz w:val="24"/>
                <w:szCs w:val="24"/>
                <w:highlight w:val="none"/>
                <w:lang w:eastAsia="zh-CN"/>
              </w:rPr>
            </w:pPr>
          </w:p>
        </w:tc>
        <w:tc>
          <w:tcPr>
            <w:tcW w:w="547" w:type="dxa"/>
            <w:vAlign w:val="center"/>
          </w:tcPr>
          <w:p w14:paraId="5CD292C5">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2</w:t>
            </w:r>
          </w:p>
        </w:tc>
        <w:tc>
          <w:tcPr>
            <w:tcW w:w="5281" w:type="dxa"/>
            <w:vAlign w:val="center"/>
          </w:tcPr>
          <w:p w14:paraId="1742A174">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法定代表人投标需提供法定代表人资格证明书，委托代理人投标需提供法定代表人授权委托书；</w:t>
            </w:r>
          </w:p>
        </w:tc>
        <w:tc>
          <w:tcPr>
            <w:tcW w:w="1304" w:type="dxa"/>
            <w:vAlign w:val="top"/>
          </w:tcPr>
          <w:p w14:paraId="6239302D">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4C5295C4">
            <w:pPr>
              <w:widowControl/>
              <w:shd w:val="clear" w:color="auto" w:fill="auto"/>
              <w:jc w:val="left"/>
              <w:textAlignment w:val="center"/>
              <w:rPr>
                <w:rFonts w:hint="eastAsia" w:ascii="仿宋" w:hAnsi="仿宋" w:eastAsia="仿宋" w:cs="仿宋"/>
                <w:color w:val="auto"/>
                <w:highlight w:val="none"/>
                <w:lang w:eastAsia="zh-CN"/>
              </w:rPr>
            </w:pPr>
          </w:p>
        </w:tc>
      </w:tr>
      <w:tr w14:paraId="6742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1" w:type="dxa"/>
            <w:vMerge w:val="continue"/>
            <w:vAlign w:val="center"/>
          </w:tcPr>
          <w:p w14:paraId="352E28BE">
            <w:pPr>
              <w:rPr>
                <w:rFonts w:ascii="仿宋" w:hAnsi="仿宋" w:eastAsia="仿宋" w:cs="仿宋"/>
                <w:color w:val="auto"/>
                <w:sz w:val="24"/>
                <w:szCs w:val="24"/>
                <w:highlight w:val="none"/>
                <w:lang w:eastAsia="zh-CN"/>
              </w:rPr>
            </w:pPr>
          </w:p>
        </w:tc>
        <w:tc>
          <w:tcPr>
            <w:tcW w:w="547" w:type="dxa"/>
            <w:vAlign w:val="center"/>
          </w:tcPr>
          <w:p w14:paraId="38CF4777">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3</w:t>
            </w:r>
          </w:p>
        </w:tc>
        <w:tc>
          <w:tcPr>
            <w:tcW w:w="5281" w:type="dxa"/>
            <w:vAlign w:val="center"/>
          </w:tcPr>
          <w:p w14:paraId="244F9498">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投标企业须提供投标人（被授权在职人员）近6个月内任意一个月有效的社保证明；</w:t>
            </w:r>
          </w:p>
        </w:tc>
        <w:tc>
          <w:tcPr>
            <w:tcW w:w="1304" w:type="dxa"/>
            <w:vAlign w:val="top"/>
          </w:tcPr>
          <w:p w14:paraId="7B3E22E4">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7D932829">
            <w:pPr>
              <w:widowControl/>
              <w:shd w:val="clear" w:color="auto" w:fill="auto"/>
              <w:jc w:val="left"/>
              <w:textAlignment w:val="center"/>
              <w:rPr>
                <w:rFonts w:hint="eastAsia" w:ascii="仿宋" w:hAnsi="仿宋" w:eastAsia="仿宋" w:cs="仿宋"/>
                <w:color w:val="auto"/>
                <w:highlight w:val="none"/>
                <w:lang w:eastAsia="zh-CN"/>
              </w:rPr>
            </w:pPr>
          </w:p>
        </w:tc>
      </w:tr>
      <w:tr w14:paraId="2180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vAlign w:val="center"/>
          </w:tcPr>
          <w:p w14:paraId="6967A282">
            <w:pPr>
              <w:rPr>
                <w:rFonts w:ascii="仿宋" w:hAnsi="仿宋" w:eastAsia="仿宋" w:cs="仿宋"/>
                <w:color w:val="auto"/>
                <w:sz w:val="24"/>
                <w:szCs w:val="24"/>
                <w:highlight w:val="none"/>
                <w:lang w:eastAsia="zh-CN"/>
              </w:rPr>
            </w:pPr>
          </w:p>
        </w:tc>
        <w:tc>
          <w:tcPr>
            <w:tcW w:w="547" w:type="dxa"/>
            <w:vAlign w:val="center"/>
          </w:tcPr>
          <w:p w14:paraId="48036D63">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4</w:t>
            </w:r>
          </w:p>
        </w:tc>
        <w:tc>
          <w:tcPr>
            <w:tcW w:w="5281" w:type="dxa"/>
            <w:vAlign w:val="center"/>
          </w:tcPr>
          <w:p w14:paraId="602F634C">
            <w:pPr>
              <w:widowControl/>
              <w:shd w:val="clear" w:color="auto" w:fill="auto"/>
              <w:jc w:val="left"/>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未被“信用中国”（www.creditchina.gov.cn）、中国政府采购网（www.ccgp.gov.cn）列入失信被执行人、重大税收违法案件当事人名单、政府采购严重违法失信行为记录名单；</w:t>
            </w:r>
          </w:p>
        </w:tc>
        <w:tc>
          <w:tcPr>
            <w:tcW w:w="1304" w:type="dxa"/>
            <w:vAlign w:val="top"/>
          </w:tcPr>
          <w:p w14:paraId="3D2EB8F4">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35D28B22">
            <w:pPr>
              <w:widowControl/>
              <w:shd w:val="clear" w:color="auto" w:fill="auto"/>
              <w:jc w:val="left"/>
              <w:textAlignment w:val="center"/>
              <w:rPr>
                <w:rFonts w:hint="eastAsia" w:ascii="仿宋" w:hAnsi="仿宋" w:eastAsia="仿宋" w:cs="仿宋"/>
                <w:color w:val="auto"/>
                <w:highlight w:val="none"/>
                <w:lang w:eastAsia="zh-CN"/>
              </w:rPr>
            </w:pPr>
          </w:p>
        </w:tc>
      </w:tr>
      <w:tr w14:paraId="11ED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vMerge w:val="continue"/>
            <w:vAlign w:val="center"/>
          </w:tcPr>
          <w:p w14:paraId="54920370">
            <w:pPr>
              <w:rPr>
                <w:rFonts w:ascii="仿宋" w:hAnsi="仿宋" w:eastAsia="仿宋" w:cs="仿宋"/>
                <w:color w:val="auto"/>
                <w:sz w:val="24"/>
                <w:szCs w:val="24"/>
                <w:highlight w:val="none"/>
                <w:lang w:eastAsia="zh-CN"/>
              </w:rPr>
            </w:pPr>
          </w:p>
        </w:tc>
        <w:tc>
          <w:tcPr>
            <w:tcW w:w="547" w:type="dxa"/>
            <w:vAlign w:val="center"/>
          </w:tcPr>
          <w:p w14:paraId="2C9908DB">
            <w:pPr>
              <w:widowControl/>
              <w:shd w:val="clear" w:color="auto" w:fill="auto"/>
              <w:jc w:val="left"/>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w:t>
            </w:r>
          </w:p>
        </w:tc>
        <w:tc>
          <w:tcPr>
            <w:tcW w:w="5281" w:type="dxa"/>
            <w:vAlign w:val="center"/>
          </w:tcPr>
          <w:p w14:paraId="2D53D2AA">
            <w:pPr>
              <w:widowControl/>
              <w:shd w:val="clear" w:color="auto" w:fill="auto"/>
              <w:jc w:val="left"/>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投标保证金缴纳凭证或保函等票据</w:t>
            </w:r>
            <w:r>
              <w:rPr>
                <w:rFonts w:hint="eastAsia" w:ascii="仿宋" w:hAnsi="仿宋" w:eastAsia="仿宋" w:cs="仿宋"/>
                <w:color w:val="auto"/>
                <w:highlight w:val="none"/>
                <w:lang w:val="en-US" w:eastAsia="zh-CN"/>
              </w:rPr>
              <w:t>。</w:t>
            </w:r>
          </w:p>
        </w:tc>
        <w:tc>
          <w:tcPr>
            <w:tcW w:w="1304" w:type="dxa"/>
            <w:vAlign w:val="top"/>
          </w:tcPr>
          <w:p w14:paraId="4F50DBFD">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30A5D88F">
            <w:pPr>
              <w:widowControl/>
              <w:shd w:val="clear" w:color="auto" w:fill="auto"/>
              <w:jc w:val="left"/>
              <w:textAlignment w:val="center"/>
              <w:rPr>
                <w:rFonts w:hint="eastAsia" w:ascii="仿宋" w:hAnsi="仿宋" w:eastAsia="仿宋" w:cs="仿宋"/>
                <w:color w:val="auto"/>
                <w:highlight w:val="none"/>
                <w:lang w:eastAsia="zh-CN"/>
              </w:rPr>
            </w:pPr>
          </w:p>
        </w:tc>
      </w:tr>
      <w:tr w14:paraId="58C1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54543D85">
            <w:pPr>
              <w:rPr>
                <w:rFonts w:ascii="仿宋" w:hAnsi="仿宋" w:eastAsia="仿宋" w:cs="仿宋"/>
                <w:color w:val="auto"/>
                <w:sz w:val="24"/>
                <w:szCs w:val="24"/>
                <w:highlight w:val="none"/>
                <w:lang w:eastAsia="zh-CN"/>
              </w:rPr>
            </w:pPr>
          </w:p>
        </w:tc>
        <w:tc>
          <w:tcPr>
            <w:tcW w:w="547" w:type="dxa"/>
            <w:vAlign w:val="center"/>
          </w:tcPr>
          <w:p w14:paraId="515947BD">
            <w:pPr>
              <w:widowControl/>
              <w:shd w:val="clear" w:color="auto" w:fill="auto"/>
              <w:jc w:val="left"/>
              <w:textAlignment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w:t>
            </w:r>
          </w:p>
        </w:tc>
        <w:tc>
          <w:tcPr>
            <w:tcW w:w="5281" w:type="dxa"/>
            <w:vAlign w:val="center"/>
          </w:tcPr>
          <w:p w14:paraId="022DDB0E">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供应商应为中小企业</w:t>
            </w:r>
          </w:p>
        </w:tc>
        <w:tc>
          <w:tcPr>
            <w:tcW w:w="2577" w:type="dxa"/>
            <w:gridSpan w:val="2"/>
            <w:vAlign w:val="top"/>
          </w:tcPr>
          <w:p w14:paraId="11193592">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请根据要求单独上传《中小企业声明函》。格式以采购文件要求为准。</w:t>
            </w:r>
          </w:p>
        </w:tc>
      </w:tr>
      <w:tr w14:paraId="4A80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5C6134A9">
            <w:pPr>
              <w:jc w:val="center"/>
              <w:rPr>
                <w:rFonts w:ascii="仿宋" w:hAnsi="仿宋" w:eastAsia="仿宋" w:cs="仿宋"/>
                <w:color w:val="auto"/>
                <w:sz w:val="24"/>
                <w:szCs w:val="24"/>
                <w:highlight w:val="none"/>
                <w:lang w:eastAsia="zh-CN"/>
              </w:rPr>
            </w:pPr>
          </w:p>
        </w:tc>
        <w:tc>
          <w:tcPr>
            <w:tcW w:w="8405" w:type="dxa"/>
            <w:gridSpan w:val="4"/>
          </w:tcPr>
          <w:p w14:paraId="623EBEB8">
            <w:pPr>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结论：是否通过评审（须填写通过或不通过）</w:t>
            </w:r>
          </w:p>
          <w:p w14:paraId="69919D58">
            <w:pPr>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注：如有一项不合格，作废标处理。</w:t>
            </w:r>
          </w:p>
        </w:tc>
      </w:tr>
    </w:tbl>
    <w:p w14:paraId="357CE8C7">
      <w:pPr>
        <w:spacing w:line="400" w:lineRule="exact"/>
        <w:ind w:firstLine="590" w:firstLineChars="241"/>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6.2如评标专家在检验电子标书过程中，如果由于投标人自身原因导致评标专家无法查看并检验电子标书中以上相关资料的，否决其投标。即使投标单位将原件携带至现场的，同样按无效投标处理。</w:t>
      </w:r>
    </w:p>
    <w:p w14:paraId="1ECB1464">
      <w:pPr>
        <w:spacing w:before="156" w:beforeLines="50" w:line="440" w:lineRule="exact"/>
        <w:ind w:firstLine="359" w:firstLineChars="14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7</w:t>
      </w:r>
      <w:r>
        <w:rPr>
          <w:rFonts w:hint="eastAsia" w:ascii="仿宋" w:hAnsi="仿宋" w:eastAsia="仿宋" w:cs="仿宋"/>
          <w:b/>
          <w:color w:val="auto"/>
          <w:sz w:val="24"/>
          <w:szCs w:val="24"/>
          <w:highlight w:val="none"/>
        </w:rPr>
        <w:t>.符合性审查</w:t>
      </w:r>
    </w:p>
    <w:p w14:paraId="606AF9C2">
      <w:pPr>
        <w:spacing w:line="440" w:lineRule="exact"/>
        <w:ind w:firstLine="367" w:firstLineChars="15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．1评审细则</w:t>
      </w:r>
    </w:p>
    <w:tbl>
      <w:tblPr>
        <w:tblStyle w:val="23"/>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2F6034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80" w:hRule="atLeast"/>
        </w:trPr>
        <w:tc>
          <w:tcPr>
            <w:tcW w:w="1094" w:type="dxa"/>
            <w:vMerge w:val="restart"/>
            <w:tcBorders>
              <w:top w:val="single" w:color="auto" w:sz="4" w:space="0"/>
              <w:left w:val="single" w:color="auto" w:sz="4" w:space="0"/>
            </w:tcBorders>
            <w:vAlign w:val="center"/>
          </w:tcPr>
          <w:p w14:paraId="407F0016">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7C3B3CE2">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031A940F">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3F6A0C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39D37CAB">
            <w:pPr>
              <w:spacing w:line="240" w:lineRule="auto"/>
              <w:rPr>
                <w:rFonts w:ascii="仿宋" w:hAnsi="仿宋" w:eastAsia="仿宋" w:cs="仿宋"/>
                <w:color w:val="auto"/>
                <w:highlight w:val="none"/>
              </w:rPr>
            </w:pPr>
          </w:p>
        </w:tc>
        <w:tc>
          <w:tcPr>
            <w:tcW w:w="6975" w:type="dxa"/>
            <w:gridSpan w:val="2"/>
            <w:vMerge w:val="continue"/>
            <w:tcBorders>
              <w:bottom w:val="single" w:color="auto" w:sz="4" w:space="0"/>
            </w:tcBorders>
          </w:tcPr>
          <w:p w14:paraId="3AE82AA9">
            <w:pPr>
              <w:spacing w:line="240" w:lineRule="auto"/>
              <w:rPr>
                <w:rFonts w:ascii="仿宋" w:hAnsi="仿宋" w:eastAsia="仿宋" w:cs="仿宋"/>
                <w:color w:val="auto"/>
                <w:highlight w:val="none"/>
              </w:rPr>
            </w:pPr>
          </w:p>
        </w:tc>
        <w:tc>
          <w:tcPr>
            <w:tcW w:w="749" w:type="dxa"/>
            <w:vAlign w:val="center"/>
          </w:tcPr>
          <w:p w14:paraId="25F5D84C">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40F54ABA">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42E1FA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5714CF3A">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3AAAC3E8">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3AA4D977">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6819E6C8">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37D12092">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5A2AA584">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w:t>
            </w:r>
            <w:r>
              <w:rPr>
                <w:rFonts w:hint="eastAsia" w:ascii="仿宋" w:hAnsi="仿宋" w:eastAsia="仿宋" w:cs="仿宋"/>
                <w:color w:val="auto"/>
                <w:highlight w:val="none"/>
                <w:lang w:val="en-US" w:eastAsia="zh-CN"/>
              </w:rPr>
              <w:t>低</w:t>
            </w:r>
            <w:r>
              <w:rPr>
                <w:rFonts w:hint="eastAsia" w:ascii="仿宋" w:hAnsi="仿宋" w:eastAsia="仿宋" w:cs="仿宋"/>
                <w:color w:val="auto"/>
                <w:highlight w:val="none"/>
                <w:lang w:eastAsia="zh-CN"/>
              </w:rPr>
              <w:t>于设定的采购预算</w:t>
            </w:r>
            <w:r>
              <w:rPr>
                <w:rFonts w:hint="eastAsia" w:ascii="仿宋" w:hAnsi="仿宋" w:eastAsia="仿宋" w:cs="仿宋"/>
                <w:color w:val="auto"/>
                <w:highlight w:val="none"/>
                <w:lang w:val="en-US" w:eastAsia="zh-CN"/>
              </w:rPr>
              <w:t>价</w:t>
            </w:r>
            <w:r>
              <w:rPr>
                <w:rFonts w:hint="eastAsia" w:ascii="仿宋" w:hAnsi="仿宋" w:eastAsia="仿宋" w:cs="仿宋"/>
                <w:color w:val="auto"/>
                <w:highlight w:val="none"/>
                <w:lang w:eastAsia="zh-CN"/>
              </w:rPr>
              <w:t>；</w:t>
            </w:r>
          </w:p>
        </w:tc>
        <w:tc>
          <w:tcPr>
            <w:tcW w:w="749" w:type="dxa"/>
            <w:tcBorders>
              <w:left w:val="single" w:color="auto" w:sz="4" w:space="0"/>
              <w:right w:val="single" w:color="auto" w:sz="4" w:space="0"/>
            </w:tcBorders>
          </w:tcPr>
          <w:p w14:paraId="19A54B7D">
            <w:pPr>
              <w:spacing w:line="240" w:lineRule="auto"/>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009CAC66">
            <w:pPr>
              <w:spacing w:line="240" w:lineRule="auto"/>
              <w:jc w:val="center"/>
              <w:rPr>
                <w:rFonts w:ascii="仿宋" w:hAnsi="仿宋" w:eastAsia="仿宋" w:cs="仿宋"/>
                <w:b/>
                <w:color w:val="auto"/>
                <w:szCs w:val="21"/>
                <w:highlight w:val="none"/>
                <w:lang w:eastAsia="zh-CN"/>
              </w:rPr>
            </w:pPr>
          </w:p>
        </w:tc>
      </w:tr>
      <w:tr w14:paraId="6D5D2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46A1AD28">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46C16D41">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661EFEDB">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i w:val="0"/>
                <w:iCs w:val="0"/>
                <w:caps w:val="0"/>
                <w:color w:val="000000"/>
                <w:spacing w:val="0"/>
                <w:sz w:val="22"/>
                <w:szCs w:val="22"/>
                <w:lang w:val="en-US" w:eastAsia="zh-CN"/>
              </w:rPr>
              <w:t>法定代表人投标需提供法定代表人资格证明书，委托代理人投标需提供法定代表人授权委托书</w:t>
            </w:r>
          </w:p>
        </w:tc>
        <w:tc>
          <w:tcPr>
            <w:tcW w:w="749" w:type="dxa"/>
            <w:tcBorders>
              <w:left w:val="single" w:color="auto" w:sz="4" w:space="0"/>
            </w:tcBorders>
          </w:tcPr>
          <w:p w14:paraId="77C966DE">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3B32B18E">
            <w:pPr>
              <w:spacing w:line="240" w:lineRule="auto"/>
              <w:rPr>
                <w:rFonts w:ascii="仿宋" w:hAnsi="仿宋" w:eastAsia="仿宋" w:cs="仿宋"/>
                <w:color w:val="auto"/>
                <w:szCs w:val="21"/>
                <w:highlight w:val="none"/>
                <w:lang w:eastAsia="zh-CN"/>
              </w:rPr>
            </w:pPr>
          </w:p>
        </w:tc>
      </w:tr>
      <w:tr w14:paraId="050AC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17524978">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right w:val="single" w:color="auto" w:sz="4" w:space="0"/>
            </w:tcBorders>
            <w:vAlign w:val="center"/>
          </w:tcPr>
          <w:p w14:paraId="66A86A33">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3</w:t>
            </w:r>
          </w:p>
        </w:tc>
        <w:tc>
          <w:tcPr>
            <w:tcW w:w="6378" w:type="dxa"/>
            <w:tcBorders>
              <w:top w:val="single" w:color="auto" w:sz="4" w:space="0"/>
              <w:left w:val="single" w:color="auto" w:sz="4" w:space="0"/>
              <w:right w:val="single" w:color="auto" w:sz="4" w:space="0"/>
            </w:tcBorders>
            <w:vAlign w:val="center"/>
          </w:tcPr>
          <w:p w14:paraId="2090A68D">
            <w:pPr>
              <w:widowControl/>
              <w:spacing w:line="240" w:lineRule="auto"/>
              <w:textAlignment w:val="center"/>
              <w:rPr>
                <w:rFonts w:ascii="仿宋" w:hAnsi="仿宋" w:eastAsia="仿宋" w:cs="仿宋"/>
                <w:color w:val="auto"/>
                <w:highlight w:val="none"/>
              </w:rPr>
            </w:pPr>
            <w:r>
              <w:rPr>
                <w:rFonts w:hint="eastAsia" w:ascii="仿宋" w:hAnsi="仿宋" w:eastAsia="仿宋" w:cs="仿宋"/>
                <w:color w:val="auto"/>
                <w:highlight w:val="none"/>
              </w:rPr>
              <w:t>只有一个方案投标。</w:t>
            </w:r>
          </w:p>
        </w:tc>
        <w:tc>
          <w:tcPr>
            <w:tcW w:w="749" w:type="dxa"/>
            <w:tcBorders>
              <w:left w:val="single" w:color="auto" w:sz="4" w:space="0"/>
            </w:tcBorders>
          </w:tcPr>
          <w:p w14:paraId="5D2F353A">
            <w:pPr>
              <w:spacing w:line="240" w:lineRule="auto"/>
              <w:rPr>
                <w:rFonts w:ascii="仿宋" w:hAnsi="仿宋" w:eastAsia="仿宋" w:cs="仿宋"/>
                <w:color w:val="auto"/>
                <w:szCs w:val="21"/>
                <w:highlight w:val="none"/>
              </w:rPr>
            </w:pPr>
          </w:p>
        </w:tc>
        <w:tc>
          <w:tcPr>
            <w:tcW w:w="617" w:type="dxa"/>
            <w:tcBorders>
              <w:right w:val="single" w:color="auto" w:sz="4" w:space="0"/>
            </w:tcBorders>
          </w:tcPr>
          <w:p w14:paraId="39CFC09D">
            <w:pPr>
              <w:spacing w:line="240" w:lineRule="auto"/>
              <w:rPr>
                <w:rFonts w:ascii="仿宋" w:hAnsi="仿宋" w:eastAsia="仿宋" w:cs="仿宋"/>
                <w:color w:val="auto"/>
                <w:szCs w:val="21"/>
                <w:highlight w:val="none"/>
              </w:rPr>
            </w:pPr>
          </w:p>
        </w:tc>
      </w:tr>
      <w:tr w14:paraId="7DD0B7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1094" w:type="dxa"/>
            <w:vMerge w:val="continue"/>
            <w:tcBorders>
              <w:left w:val="single" w:color="auto" w:sz="4" w:space="0"/>
              <w:right w:val="single" w:color="auto" w:sz="4" w:space="0"/>
            </w:tcBorders>
            <w:vAlign w:val="center"/>
          </w:tcPr>
          <w:p w14:paraId="49648329">
            <w:pPr>
              <w:spacing w:line="240" w:lineRule="auto"/>
              <w:rPr>
                <w:rFonts w:ascii="仿宋" w:hAnsi="仿宋" w:eastAsia="仿宋" w:cs="仿宋"/>
                <w:color w:val="auto"/>
                <w:highlight w:val="none"/>
              </w:rPr>
            </w:pPr>
          </w:p>
        </w:tc>
        <w:tc>
          <w:tcPr>
            <w:tcW w:w="597" w:type="dxa"/>
            <w:tcBorders>
              <w:left w:val="single" w:color="auto" w:sz="4" w:space="0"/>
            </w:tcBorders>
            <w:vAlign w:val="center"/>
          </w:tcPr>
          <w:p w14:paraId="167B397A">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lang w:eastAsia="zh-CN"/>
              </w:rPr>
              <w:t>4</w:t>
            </w:r>
          </w:p>
        </w:tc>
        <w:tc>
          <w:tcPr>
            <w:tcW w:w="6378" w:type="dxa"/>
            <w:tcBorders>
              <w:right w:val="single" w:color="auto" w:sz="4" w:space="0"/>
            </w:tcBorders>
            <w:vAlign w:val="center"/>
          </w:tcPr>
          <w:p w14:paraId="4EA616E2">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响应文件内容齐全、无遗漏。</w:t>
            </w:r>
          </w:p>
        </w:tc>
        <w:tc>
          <w:tcPr>
            <w:tcW w:w="749" w:type="dxa"/>
            <w:tcBorders>
              <w:left w:val="single" w:color="auto" w:sz="4" w:space="0"/>
            </w:tcBorders>
          </w:tcPr>
          <w:p w14:paraId="47FF4153">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1A5B68A3">
            <w:pPr>
              <w:spacing w:line="240" w:lineRule="auto"/>
              <w:rPr>
                <w:rFonts w:ascii="仿宋" w:hAnsi="仿宋" w:eastAsia="仿宋" w:cs="仿宋"/>
                <w:color w:val="auto"/>
                <w:szCs w:val="21"/>
                <w:highlight w:val="none"/>
                <w:lang w:eastAsia="zh-CN"/>
              </w:rPr>
            </w:pPr>
          </w:p>
        </w:tc>
      </w:tr>
      <w:tr w14:paraId="03BC7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443637D5">
            <w:pPr>
              <w:spacing w:line="240" w:lineRule="auto"/>
              <w:rPr>
                <w:rFonts w:ascii="仿宋" w:hAnsi="仿宋" w:eastAsia="仿宋" w:cs="仿宋"/>
                <w:color w:val="auto"/>
                <w:highlight w:val="none"/>
                <w:lang w:eastAsia="zh-CN"/>
              </w:rPr>
            </w:pPr>
          </w:p>
        </w:tc>
        <w:tc>
          <w:tcPr>
            <w:tcW w:w="597" w:type="dxa"/>
            <w:tcBorders>
              <w:left w:val="single" w:color="auto" w:sz="4" w:space="0"/>
              <w:bottom w:val="single" w:color="auto" w:sz="4" w:space="0"/>
            </w:tcBorders>
            <w:vAlign w:val="center"/>
          </w:tcPr>
          <w:p w14:paraId="3A13908C">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5</w:t>
            </w:r>
          </w:p>
        </w:tc>
        <w:tc>
          <w:tcPr>
            <w:tcW w:w="6378" w:type="dxa"/>
            <w:tcBorders>
              <w:bottom w:val="single" w:color="auto" w:sz="4" w:space="0"/>
              <w:right w:val="single" w:color="auto" w:sz="4" w:space="0"/>
            </w:tcBorders>
            <w:vAlign w:val="center"/>
          </w:tcPr>
          <w:p w14:paraId="4B39EB06">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对谈判文件规定的招标内容全部作出响应。</w:t>
            </w:r>
          </w:p>
        </w:tc>
        <w:tc>
          <w:tcPr>
            <w:tcW w:w="749" w:type="dxa"/>
            <w:tcBorders>
              <w:left w:val="single" w:color="auto" w:sz="4" w:space="0"/>
              <w:bottom w:val="single" w:color="auto" w:sz="4" w:space="0"/>
            </w:tcBorders>
          </w:tcPr>
          <w:p w14:paraId="4C614A2E">
            <w:pPr>
              <w:spacing w:line="240" w:lineRule="auto"/>
              <w:rPr>
                <w:rFonts w:ascii="仿宋" w:hAnsi="仿宋" w:eastAsia="仿宋" w:cs="仿宋"/>
                <w:color w:val="auto"/>
                <w:szCs w:val="21"/>
                <w:highlight w:val="none"/>
                <w:lang w:eastAsia="zh-CN"/>
              </w:rPr>
            </w:pPr>
          </w:p>
        </w:tc>
        <w:tc>
          <w:tcPr>
            <w:tcW w:w="617" w:type="dxa"/>
            <w:tcBorders>
              <w:bottom w:val="single" w:color="auto" w:sz="4" w:space="0"/>
              <w:right w:val="single" w:color="auto" w:sz="4" w:space="0"/>
            </w:tcBorders>
          </w:tcPr>
          <w:p w14:paraId="26A7610B">
            <w:pPr>
              <w:spacing w:line="240" w:lineRule="auto"/>
              <w:rPr>
                <w:rFonts w:ascii="仿宋" w:hAnsi="仿宋" w:eastAsia="仿宋" w:cs="仿宋"/>
                <w:color w:val="auto"/>
                <w:szCs w:val="21"/>
                <w:highlight w:val="none"/>
                <w:lang w:eastAsia="zh-CN"/>
              </w:rPr>
            </w:pPr>
          </w:p>
        </w:tc>
      </w:tr>
      <w:tr w14:paraId="594F6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5EF13FAB">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3FD4A383">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6</w:t>
            </w:r>
          </w:p>
        </w:tc>
        <w:tc>
          <w:tcPr>
            <w:tcW w:w="6378" w:type="dxa"/>
            <w:tcBorders>
              <w:top w:val="single" w:color="auto" w:sz="4" w:space="0"/>
              <w:left w:val="single" w:color="auto" w:sz="4" w:space="0"/>
              <w:bottom w:val="single" w:color="auto" w:sz="4" w:space="0"/>
              <w:right w:val="single" w:color="auto" w:sz="4" w:space="0"/>
            </w:tcBorders>
            <w:vAlign w:val="center"/>
          </w:tcPr>
          <w:p w14:paraId="2C3A6A04">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满足谈判文件提出的技术和质量要求。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2615462B">
            <w:pPr>
              <w:spacing w:line="240" w:lineRule="auto"/>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6EF9E7BF">
            <w:pPr>
              <w:spacing w:line="240" w:lineRule="auto"/>
              <w:rPr>
                <w:rFonts w:ascii="仿宋" w:hAnsi="仿宋" w:eastAsia="仿宋" w:cs="仿宋"/>
                <w:color w:val="auto"/>
                <w:szCs w:val="21"/>
                <w:highlight w:val="none"/>
                <w:lang w:eastAsia="zh-CN"/>
              </w:rPr>
            </w:pPr>
          </w:p>
        </w:tc>
      </w:tr>
      <w:tr w14:paraId="51653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0076DA64">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43710A61">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7</w:t>
            </w:r>
          </w:p>
        </w:tc>
        <w:tc>
          <w:tcPr>
            <w:tcW w:w="6378" w:type="dxa"/>
            <w:tcBorders>
              <w:top w:val="single" w:color="auto" w:sz="4" w:space="0"/>
              <w:right w:val="single" w:color="auto" w:sz="4" w:space="0"/>
            </w:tcBorders>
            <w:vAlign w:val="center"/>
          </w:tcPr>
          <w:p w14:paraId="528DEAF7">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完成期限满足谈判文件要求。</w:t>
            </w:r>
          </w:p>
        </w:tc>
        <w:tc>
          <w:tcPr>
            <w:tcW w:w="749" w:type="dxa"/>
            <w:tcBorders>
              <w:top w:val="single" w:color="auto" w:sz="4" w:space="0"/>
              <w:left w:val="single" w:color="auto" w:sz="4" w:space="0"/>
            </w:tcBorders>
          </w:tcPr>
          <w:p w14:paraId="41F2E5ED">
            <w:pPr>
              <w:spacing w:line="240" w:lineRule="auto"/>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6FA12350">
            <w:pPr>
              <w:spacing w:line="240" w:lineRule="auto"/>
              <w:rPr>
                <w:rFonts w:ascii="仿宋" w:hAnsi="仿宋" w:eastAsia="仿宋" w:cs="仿宋"/>
                <w:color w:val="auto"/>
                <w:szCs w:val="21"/>
                <w:highlight w:val="none"/>
                <w:lang w:eastAsia="zh-CN"/>
              </w:rPr>
            </w:pPr>
          </w:p>
        </w:tc>
      </w:tr>
      <w:tr w14:paraId="49437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11AEA74C">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1396B82B">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p>
        </w:tc>
        <w:tc>
          <w:tcPr>
            <w:tcW w:w="6378" w:type="dxa"/>
            <w:tcBorders>
              <w:right w:val="single" w:color="auto" w:sz="4" w:space="0"/>
            </w:tcBorders>
            <w:vAlign w:val="center"/>
          </w:tcPr>
          <w:p w14:paraId="7EF93EDB">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投标有效期满足谈判文件要求。</w:t>
            </w:r>
          </w:p>
        </w:tc>
        <w:tc>
          <w:tcPr>
            <w:tcW w:w="749" w:type="dxa"/>
            <w:tcBorders>
              <w:left w:val="single" w:color="auto" w:sz="4" w:space="0"/>
            </w:tcBorders>
          </w:tcPr>
          <w:p w14:paraId="0725BC00">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936C0DC">
            <w:pPr>
              <w:spacing w:line="240" w:lineRule="auto"/>
              <w:rPr>
                <w:rFonts w:ascii="仿宋" w:hAnsi="仿宋" w:eastAsia="仿宋" w:cs="仿宋"/>
                <w:color w:val="auto"/>
                <w:szCs w:val="21"/>
                <w:highlight w:val="none"/>
                <w:lang w:eastAsia="zh-CN"/>
              </w:rPr>
            </w:pPr>
          </w:p>
        </w:tc>
      </w:tr>
      <w:tr w14:paraId="30B8E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767A3CE0">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0710A80C">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9</w:t>
            </w:r>
          </w:p>
        </w:tc>
        <w:tc>
          <w:tcPr>
            <w:tcW w:w="6378" w:type="dxa"/>
            <w:tcBorders>
              <w:right w:val="single" w:color="auto" w:sz="4" w:space="0"/>
            </w:tcBorders>
            <w:vAlign w:val="center"/>
          </w:tcPr>
          <w:p w14:paraId="25FA26B2">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供应商详细地址、联系人、电话。</w:t>
            </w:r>
          </w:p>
        </w:tc>
        <w:tc>
          <w:tcPr>
            <w:tcW w:w="749" w:type="dxa"/>
            <w:tcBorders>
              <w:left w:val="single" w:color="auto" w:sz="4" w:space="0"/>
            </w:tcBorders>
          </w:tcPr>
          <w:p w14:paraId="7404CD09">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4D8CD042">
            <w:pPr>
              <w:spacing w:line="240" w:lineRule="auto"/>
              <w:rPr>
                <w:rFonts w:ascii="仿宋" w:hAnsi="仿宋" w:eastAsia="仿宋" w:cs="仿宋"/>
                <w:color w:val="auto"/>
                <w:szCs w:val="21"/>
                <w:highlight w:val="none"/>
                <w:lang w:eastAsia="zh-CN"/>
              </w:rPr>
            </w:pPr>
          </w:p>
        </w:tc>
      </w:tr>
      <w:tr w14:paraId="0B7176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28E23913">
            <w:pPr>
              <w:spacing w:line="240" w:lineRule="auto"/>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54A12AB8">
            <w:pPr>
              <w:spacing w:line="24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1CB793CC">
            <w:pPr>
              <w:spacing w:line="24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注：如有一项不合格，作废标处理。</w:t>
            </w:r>
          </w:p>
        </w:tc>
        <w:tc>
          <w:tcPr>
            <w:tcW w:w="1366" w:type="dxa"/>
            <w:gridSpan w:val="2"/>
            <w:tcBorders>
              <w:left w:val="single" w:color="auto" w:sz="4" w:space="0"/>
              <w:bottom w:val="single" w:color="auto" w:sz="4" w:space="0"/>
              <w:right w:val="single" w:color="auto" w:sz="4" w:space="0"/>
            </w:tcBorders>
          </w:tcPr>
          <w:p w14:paraId="3961CA68">
            <w:pPr>
              <w:spacing w:line="240" w:lineRule="auto"/>
              <w:rPr>
                <w:rFonts w:ascii="仿宋" w:hAnsi="仿宋" w:eastAsia="仿宋" w:cs="仿宋"/>
                <w:color w:val="auto"/>
                <w:szCs w:val="21"/>
                <w:highlight w:val="none"/>
                <w:lang w:eastAsia="zh-CN"/>
              </w:rPr>
            </w:pPr>
          </w:p>
        </w:tc>
      </w:tr>
    </w:tbl>
    <w:p w14:paraId="2F90F866">
      <w:pPr>
        <w:numPr>
          <w:ilvl w:val="0"/>
          <w:numId w:val="0"/>
        </w:numPr>
        <w:spacing w:line="400" w:lineRule="exact"/>
        <w:ind w:firstLine="490" w:firstLineChars="200"/>
        <w:rPr>
          <w:rFonts w:hint="eastAsia" w:ascii="仿宋" w:hAnsi="仿宋" w:eastAsia="仿宋" w:cs="仿宋"/>
          <w:color w:val="auto"/>
          <w:sz w:val="24"/>
          <w:szCs w:val="24"/>
          <w:highlight w:val="none"/>
          <w:lang w:val="en-US" w:eastAsia="zh-CN"/>
        </w:rPr>
      </w:pPr>
    </w:p>
    <w:p w14:paraId="311EF391">
      <w:pPr>
        <w:numPr>
          <w:ilvl w:val="0"/>
          <w:numId w:val="0"/>
        </w:num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评委会判定</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的响应性只根据</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本身的内容，而不寻求外部的证</w:t>
      </w:r>
    </w:p>
    <w:p w14:paraId="7B63F4C7">
      <w:pPr>
        <w:spacing w:line="40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据，但投标有不真实不正确的内容时除外。</w:t>
      </w:r>
    </w:p>
    <w:p w14:paraId="0AB9F8E4">
      <w:pPr>
        <w:spacing w:line="400" w:lineRule="exact"/>
        <w:ind w:left="490" w:left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如果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实质上没有响应</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的要求，评委会将予以拒绝，投标人不得通过修正或撤销不符合要求的偏离或保留，而使其投标成为实质上响应的投标。</w:t>
      </w:r>
    </w:p>
    <w:p w14:paraId="41BCEB03">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投标人可在现场20分钟内对评标委员会的评审结论提出异议，评标委员会根据</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及有关规定对投标人的异议进行复议</w:t>
      </w:r>
    </w:p>
    <w:p w14:paraId="623EEEDF">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只有通过初审的投标人才能进入下一步评标程序。</w:t>
      </w:r>
    </w:p>
    <w:p w14:paraId="70707B49">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b/>
          <w:color w:val="auto"/>
          <w:sz w:val="24"/>
          <w:szCs w:val="24"/>
          <w:highlight w:val="none"/>
        </w:rPr>
        <w:t>温馨提示：</w:t>
      </w:r>
      <w:r>
        <w:rPr>
          <w:rFonts w:hint="eastAsia" w:ascii="仿宋" w:hAnsi="仿宋" w:eastAsia="仿宋" w:cs="仿宋"/>
          <w:b/>
          <w:color w:val="auto"/>
          <w:sz w:val="24"/>
          <w:szCs w:val="24"/>
          <w:highlight w:val="none"/>
          <w:lang w:eastAsia="zh-CN"/>
        </w:rPr>
        <w:t>响应文件</w:t>
      </w:r>
      <w:r>
        <w:rPr>
          <w:rFonts w:hint="eastAsia" w:ascii="仿宋" w:hAnsi="仿宋" w:eastAsia="仿宋" w:cs="仿宋"/>
          <w:b/>
          <w:color w:val="auto"/>
          <w:sz w:val="24"/>
          <w:szCs w:val="24"/>
          <w:highlight w:val="none"/>
        </w:rPr>
        <w:t>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1DEB4486">
      <w:pPr>
        <w:spacing w:beforeLines="50" w:line="400" w:lineRule="exact"/>
        <w:jc w:val="center"/>
        <w:outlineLvl w:val="1"/>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（二）响应文件</w:t>
      </w:r>
      <w:r>
        <w:rPr>
          <w:rFonts w:hint="eastAsia" w:ascii="仿宋" w:hAnsi="仿宋" w:eastAsia="仿宋" w:cs="仿宋"/>
          <w:b/>
          <w:color w:val="auto"/>
          <w:sz w:val="24"/>
          <w:szCs w:val="24"/>
          <w:highlight w:val="none"/>
        </w:rPr>
        <w:t>的澄清和补正</w:t>
      </w:r>
    </w:p>
    <w:p w14:paraId="5F1E60D9">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5、澄清、说明或补正的形式</w:t>
      </w:r>
    </w:p>
    <w:p w14:paraId="35388B2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对于响应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769A496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7、投标供应商的澄清、说明或者补正应当通过“政府采购云平台”在线答复的方式提交，并加盖公章（电子印章），或者由法定代表人（负责人）或其授权的代表签章。投标供应商的澄清、说明或者补正不得超出响应文件的范围或者改变响应文件的实质性内容，不接受投标供应商主动对响应文件的澄清、说明或者补正。</w:t>
      </w:r>
    </w:p>
    <w:p w14:paraId="753E37AB">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8、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9FD9B5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9．错误修正的原则</w:t>
      </w:r>
    </w:p>
    <w:p w14:paraId="3DF39B3C">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电子交易平台客户端里开标一览表录入的投标报价或优惠率与扫描上传的报价文件信息不一致的，以扫描上传的报价文件信息为准进行修正。</w:t>
      </w:r>
    </w:p>
    <w:p w14:paraId="17B24C05">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响应文件报价出现前后不一致的，除谈判文件 另有规定外，按照下列规定修正：</w:t>
      </w:r>
    </w:p>
    <w:p w14:paraId="5680F45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10、投标函中表述的内容与报价表中不一致的，以报价表为准；报价表中的内容与报价明细表不一致的，以报价表为准；</w:t>
      </w:r>
    </w:p>
    <w:p w14:paraId="2D32E7F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11、响应文件中的大写金额和小写金额不一致的，以大写金额为准；</w:t>
      </w:r>
    </w:p>
    <w:p w14:paraId="5806AE87">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12、单价金额小数点或者百分比有明显错位的，以开标一览表的总价为准，并修改单价；</w:t>
      </w:r>
    </w:p>
    <w:p w14:paraId="49A0DD5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13、总价金额与按单价汇总金额不一致的，以单价金额计算结果为准；</w:t>
      </w:r>
    </w:p>
    <w:p w14:paraId="77CC36E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14、若用文字表示的数值与用数字表示的数值不一致，以文字表示的数值为准；</w:t>
      </w:r>
    </w:p>
    <w:p w14:paraId="67FAED0A">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15、如有多报（指数量超出谈判文件 需求）、重报（指同一货物重复报价），其投标总价在评标过程中不予调整，如其成交，其合同价按其投标单价予以调整；</w:t>
      </w:r>
    </w:p>
    <w:p w14:paraId="777FCADF">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16、对不同文字文本响应文件的解释发生异议的，以中文文本为准；</w:t>
      </w:r>
    </w:p>
    <w:p w14:paraId="6340162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255C2935">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17、供应商需要注意的其它事项：</w:t>
      </w:r>
    </w:p>
    <w:p w14:paraId="51BBE57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 供应商必须由法定代表人或其委托全权代理人参加竞争性谈判，法定代表人委托代理人参加竞争性谈判必须保证在开标期间，随时通过政府采购云平台接受谈判小组的询问，并予以解答问题。</w:t>
      </w:r>
    </w:p>
    <w:p w14:paraId="02B2700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2、供应商应遵守有关法律、法规，不得采取不正当的竞争手段，否则，其后果由供应商自负。</w:t>
      </w:r>
    </w:p>
    <w:p w14:paraId="37965126">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3、在谈判会直至宣布结果之前，供应商不得向谈判评审专家询问谈判情况，不得进行旨在影响成交结果的活动，否则，其竞争性谈判无效并追究相应责任。</w:t>
      </w:r>
    </w:p>
    <w:p w14:paraId="08A05CC7">
      <w:pPr>
        <w:spacing w:line="440" w:lineRule="exact"/>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4、本谈判文件的未尽事项，按现行的有关法律、法规及规章执行</w:t>
      </w:r>
    </w:p>
    <w:p w14:paraId="1C34B82B">
      <w:pPr>
        <w:pStyle w:val="30"/>
        <w:rPr>
          <w:color w:val="auto"/>
          <w:sz w:val="24"/>
          <w:szCs w:val="24"/>
          <w:highlight w:val="none"/>
        </w:rPr>
      </w:pPr>
    </w:p>
    <w:p w14:paraId="62CF5EA2">
      <w:pPr>
        <w:pStyle w:val="3"/>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八、成交及合同签订</w:t>
      </w:r>
    </w:p>
    <w:p w14:paraId="20750EC3">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二十七</w:t>
      </w:r>
      <w:r>
        <w:rPr>
          <w:rFonts w:hint="eastAsia" w:ascii="仿宋" w:hAnsi="仿宋" w:eastAsia="仿宋" w:cs="仿宋"/>
          <w:b/>
          <w:bCs/>
          <w:color w:val="auto"/>
          <w:sz w:val="24"/>
          <w:szCs w:val="24"/>
          <w:highlight w:val="none"/>
        </w:rPr>
        <w:t>）成交候选供应商推荐原则</w:t>
      </w:r>
    </w:p>
    <w:p w14:paraId="565F2C55">
      <w:pPr>
        <w:numPr>
          <w:ilvl w:val="0"/>
          <w:numId w:val="2"/>
        </w:num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谈判小组”将根据评标价由低到高排列次序（若评标价相同的，按最低最终报价由低到高顺序排列；若评标价相同，且最低最终报价也相同时，按技术指标优劣顺序排列；如果技术指标也相同，评标委员会应按照少数服从多数的原则进行投票表决，确定成交候选人。）并推荐成交候选供应商名单，可推荐前三名为成交候选供应商，排名第一者为成交供应商，排名第二、第三者为成交候选供应商；</w:t>
      </w:r>
    </w:p>
    <w:p w14:paraId="5740877B">
      <w:pPr>
        <w:numPr>
          <w:ilvl w:val="0"/>
          <w:numId w:val="0"/>
        </w:num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第一</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候选供应商确定为成交供应商，如第一成交候选供应商放弃</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、或因不可抗力提出不能履行合同，或竞争性谈判采购文件规定应当提交履约保证金而在规定的期限内未能提交的，采购人可确定排名第二的成交候选供应商为成交供应商</w:t>
      </w:r>
      <w:r>
        <w:rPr>
          <w:rFonts w:hint="eastAsia" w:ascii="仿宋" w:hAnsi="仿宋" w:eastAsia="仿宋" w:cs="仿宋"/>
          <w:color w:val="auto"/>
          <w:sz w:val="24"/>
          <w:szCs w:val="24"/>
          <w:highlight w:val="none"/>
          <w:lang w:val="en-US" w:eastAsia="zh-CN"/>
        </w:rPr>
        <w:t>或重新组织采购活动</w:t>
      </w:r>
      <w:r>
        <w:rPr>
          <w:rFonts w:hint="eastAsia" w:ascii="仿宋" w:hAnsi="仿宋" w:eastAsia="仿宋" w:cs="仿宋"/>
          <w:color w:val="auto"/>
          <w:sz w:val="24"/>
          <w:szCs w:val="24"/>
          <w:highlight w:val="none"/>
        </w:rPr>
        <w:t>。</w:t>
      </w:r>
    </w:p>
    <w:p w14:paraId="390EEB99">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第二</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候选供应商因前款规定的同样原因不能签订合同的，可确定第三成交候选供应商为成交候应商</w:t>
      </w:r>
      <w:r>
        <w:rPr>
          <w:rFonts w:hint="eastAsia" w:ascii="仿宋" w:hAnsi="仿宋" w:eastAsia="仿宋" w:cs="仿宋"/>
          <w:color w:val="auto"/>
          <w:sz w:val="24"/>
          <w:szCs w:val="24"/>
          <w:highlight w:val="none"/>
          <w:lang w:val="en-US" w:eastAsia="zh-CN"/>
        </w:rPr>
        <w:t>或重新组织采购活动</w:t>
      </w:r>
      <w:r>
        <w:rPr>
          <w:rFonts w:hint="eastAsia" w:ascii="仿宋" w:hAnsi="仿宋" w:eastAsia="仿宋" w:cs="仿宋"/>
          <w:color w:val="auto"/>
          <w:sz w:val="24"/>
          <w:szCs w:val="24"/>
          <w:highlight w:val="none"/>
        </w:rPr>
        <w:t>。</w:t>
      </w:r>
    </w:p>
    <w:p w14:paraId="172873A4">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成交候选供应商中所投标商品为同一品牌、性能配置相同时，则以最终报价最低者成交。</w:t>
      </w:r>
    </w:p>
    <w:p w14:paraId="7A5CE970">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谈判小组认为，某投标人的有效报价明显不合理或者低于成本，有可能影响商品质量和不能诚信履约的，应要求其在规定的期限内提供书面文件予以解释说明，并提交相关证明材料，否则，谈判小组可以取消该投标人的成交候选资格，按顺序由排在后面的成交候选供应商递补，以此类推。</w:t>
      </w:r>
    </w:p>
    <w:p w14:paraId="2584B779">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二十八</w:t>
      </w:r>
      <w:r>
        <w:rPr>
          <w:rFonts w:hint="eastAsia" w:ascii="仿宋" w:hAnsi="仿宋" w:eastAsia="仿宋" w:cs="仿宋"/>
          <w:b/>
          <w:bCs/>
          <w:color w:val="auto"/>
          <w:sz w:val="24"/>
          <w:szCs w:val="24"/>
          <w:highlight w:val="none"/>
        </w:rPr>
        <w:t>）资格条件</w:t>
      </w:r>
    </w:p>
    <w:p w14:paraId="7A0AB3E1">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采购人将在签订合同前对成交候选供应商是否能圆满地履行合同进行审查。审查包括成交候选供应商响应文件中提供的所有资格证明材料原件，成交候选供应商响应文件及补充承诺中涉及的其他相关资料原件，以及对本项目实施可能存在风险的其他因素。</w:t>
      </w:r>
    </w:p>
    <w:p w14:paraId="360387EE">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2、采购人若发现成交候选供应商在投标过程中提供虚假证明文件，故意隐瞒不良信誉和财务状况，以及存在可能对合同圆满履行造成风险的其他因素等，则按规定取消其成交资格，监管部门依法进行处理。</w:t>
      </w:r>
    </w:p>
    <w:p w14:paraId="2F530C17">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3、如果成交候选供应商被确认为不具备执行合同的能力，采购人将考虑按同样的程序审查下一个成交候选供应商。</w:t>
      </w:r>
    </w:p>
    <w:p w14:paraId="1FD317E3">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二十九</w:t>
      </w:r>
      <w:r>
        <w:rPr>
          <w:rFonts w:hint="eastAsia" w:ascii="仿宋" w:hAnsi="仿宋" w:eastAsia="仿宋" w:cs="仿宋"/>
          <w:b/>
          <w:bCs/>
          <w:color w:val="auto"/>
          <w:sz w:val="24"/>
          <w:szCs w:val="24"/>
          <w:highlight w:val="none"/>
        </w:rPr>
        <w:t>）成交通知书</w:t>
      </w:r>
    </w:p>
    <w:p w14:paraId="381C50DE">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1、定标后，经采购人同意，采购代理机构应当向</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发出成交通知书。</w:t>
      </w:r>
    </w:p>
    <w:p w14:paraId="5310CBBC">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应及时到采购代理机构领取成交通知书，成交通知书是签订合同的依据和组成部分。</w:t>
      </w:r>
    </w:p>
    <w:p w14:paraId="1B7A2A0D">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（三十）签订合同</w:t>
      </w:r>
    </w:p>
    <w:p w14:paraId="0D1F8635">
      <w:pPr>
        <w:keepNext w:val="0"/>
        <w:keepLines w:val="0"/>
        <w:widowControl/>
        <w:suppressLineNumbers w:val="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在自成交通知书发出之日起</w:t>
      </w:r>
      <w:r>
        <w:rPr>
          <w:rFonts w:hint="eastAsia" w:ascii="仿宋" w:hAnsi="仿宋" w:eastAsia="仿宋" w:cs="仿宋"/>
          <w:color w:val="000000"/>
          <w:kern w:val="2"/>
          <w:sz w:val="24"/>
          <w:szCs w:val="24"/>
          <w:highlight w:val="none"/>
          <w:lang w:val="en-US" w:eastAsia="zh-CN" w:bidi="ar"/>
        </w:rPr>
        <w:t>30日内</w:t>
      </w:r>
      <w:r>
        <w:rPr>
          <w:rFonts w:hint="eastAsia" w:ascii="仿宋" w:hAnsi="仿宋" w:eastAsia="仿宋" w:cs="仿宋"/>
          <w:color w:val="auto"/>
          <w:sz w:val="24"/>
          <w:szCs w:val="24"/>
          <w:highlight w:val="none"/>
        </w:rPr>
        <w:t>，依据《中华人民共和国民法典》和有关法规及</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、响应文件与采购人签订合同。</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供应商的响应文件及服务承诺文件以及评标过程中有关澄清文件均作为合同附件，合同经采购人审核盖章后实施。</w:t>
      </w:r>
    </w:p>
    <w:p w14:paraId="14D31EF5">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未能按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要求与采购单位签订采购合同，逾期将视为自动放弃</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标资格，采购人将顺延下一</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候选人为</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，依次类推或依法重新进行采购。</w:t>
      </w:r>
    </w:p>
    <w:p w14:paraId="7C8F498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采购人若发现</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w:t>
      </w:r>
      <w:bookmarkStart w:id="9" w:name="_bookmark10"/>
      <w:bookmarkEnd w:id="9"/>
      <w:r>
        <w:rPr>
          <w:rFonts w:hint="eastAsia" w:ascii="仿宋" w:hAnsi="仿宋" w:eastAsia="仿宋" w:cs="仿宋"/>
          <w:color w:val="auto"/>
          <w:sz w:val="24"/>
          <w:szCs w:val="24"/>
          <w:highlight w:val="none"/>
        </w:rPr>
        <w:t>选供应商在竞标过程中提供虚假证明文件，故意隐瞒不良信誉和财务状况，以及存在可能对合同圆满履行造成风险的其他因素等，则按规定取消其</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资格，监管部门依法进行处理。</w:t>
      </w:r>
    </w:p>
    <w:p w14:paraId="11A13401">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如果</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候选供应商被确认为不具备执行合同的能力，采购人将考虑按同样的程序审查下一个</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候选供应商或依法重新招标。</w:t>
      </w:r>
    </w:p>
    <w:p w14:paraId="66C7D5EA">
      <w:pPr>
        <w:snapToGrid w:val="0"/>
        <w:spacing w:line="360" w:lineRule="auto"/>
        <w:ind w:firstLine="490"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（三十</w:t>
      </w:r>
      <w:r>
        <w:rPr>
          <w:rFonts w:hint="eastAsia" w:ascii="仿宋" w:hAnsi="仿宋" w:eastAsia="仿宋" w:cs="仿宋"/>
          <w:b/>
          <w:bCs/>
          <w:color w:val="auto"/>
          <w:sz w:val="24"/>
          <w:szCs w:val="24"/>
          <w:highlight w:val="none"/>
          <w:lang w:eastAsia="zh-CN"/>
        </w:rPr>
        <w:t>一</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服务费计算方法</w:t>
      </w:r>
    </w:p>
    <w:p w14:paraId="4E021813">
      <w:pPr>
        <w:keepNext w:val="0"/>
        <w:keepLines w:val="0"/>
        <w:pageBreakBefore w:val="0"/>
        <w:widowControl w:val="0"/>
        <w:kinsoku/>
        <w:wordWrap/>
        <w:overflowPunct/>
        <w:topLinePunct w:val="0"/>
        <w:autoSpaceDE/>
        <w:autoSpaceDN/>
        <w:bidi w:val="0"/>
        <w:spacing w:line="336" w:lineRule="auto"/>
        <w:ind w:firstLine="490" w:firstLineChars="200"/>
        <w:textAlignment w:val="auto"/>
        <w:rPr>
          <w:rFonts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由</w:t>
      </w:r>
      <w:r>
        <w:rPr>
          <w:rFonts w:hint="eastAsia" w:ascii="仿宋" w:hAnsi="仿宋" w:eastAsia="仿宋" w:cs="仿宋"/>
          <w:b w:val="0"/>
          <w:bCs w:val="0"/>
          <w:color w:val="auto"/>
          <w:sz w:val="24"/>
          <w:szCs w:val="24"/>
          <w:highlight w:val="none"/>
          <w:lang w:eastAsia="zh-CN"/>
        </w:rPr>
        <w:t>成交</w:t>
      </w:r>
      <w:r>
        <w:rPr>
          <w:rFonts w:hint="eastAsia" w:ascii="仿宋" w:hAnsi="仿宋" w:eastAsia="仿宋" w:cs="仿宋"/>
          <w:b w:val="0"/>
          <w:bCs w:val="0"/>
          <w:color w:val="auto"/>
          <w:sz w:val="24"/>
          <w:szCs w:val="24"/>
          <w:highlight w:val="none"/>
        </w:rPr>
        <w:t>供应商向招标代理机构支付，详见前附表。</w:t>
      </w:r>
    </w:p>
    <w:p w14:paraId="3AC27A41">
      <w:pPr>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4"/>
          <w:szCs w:val="24"/>
          <w:highlight w:val="none"/>
        </w:rPr>
      </w:pPr>
    </w:p>
    <w:p w14:paraId="71EE1F58">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九</w:t>
      </w:r>
      <w:r>
        <w:rPr>
          <w:rFonts w:hint="eastAsia" w:ascii="仿宋" w:hAnsi="仿宋" w:eastAsia="仿宋" w:cs="仿宋"/>
          <w:color w:val="auto"/>
          <w:sz w:val="28"/>
          <w:szCs w:val="28"/>
          <w:highlight w:val="none"/>
        </w:rPr>
        <w:t>、法律责任</w:t>
      </w:r>
    </w:p>
    <w:p w14:paraId="71954917">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供应商有下列情形之一的，处以采购项目采购金额千分之五以上千分之十以下的罚款，列入不良行为记录名单，在一至三年内禁止参加</w:t>
      </w:r>
      <w:r>
        <w:rPr>
          <w:rFonts w:hint="eastAsia" w:ascii="仿宋" w:hAnsi="仿宋" w:eastAsia="仿宋" w:cs="仿宋"/>
          <w:color w:val="auto"/>
          <w:sz w:val="24"/>
          <w:szCs w:val="24"/>
          <w:highlight w:val="none"/>
          <w:lang w:eastAsia="zh-CN"/>
        </w:rPr>
        <w:t>政府</w:t>
      </w:r>
      <w:r>
        <w:rPr>
          <w:rFonts w:hint="eastAsia" w:ascii="仿宋" w:hAnsi="仿宋" w:eastAsia="仿宋" w:cs="仿宋"/>
          <w:color w:val="auto"/>
          <w:sz w:val="24"/>
          <w:szCs w:val="24"/>
          <w:highlight w:val="none"/>
        </w:rPr>
        <w:t>采购活动，并予以公告，有违法所得的，并处没收违法所得，情节严重的，由行政管理机关吊销营业执照；构成犯罪的，依法追究刑事责任：</w:t>
      </w:r>
    </w:p>
    <w:p w14:paraId="0505B303">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1、提供虚假材料谋取</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的；</w:t>
      </w:r>
    </w:p>
    <w:p w14:paraId="34A0C421">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2、采取不正当手段诋毁、排挤其他供应商的；</w:t>
      </w:r>
    </w:p>
    <w:p w14:paraId="2DC6659A">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3、与采购人、其他供应商或采购代理机构恶意串通的；</w:t>
      </w:r>
    </w:p>
    <w:p w14:paraId="7D7FBC6C">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4、向采购人、采购代理机构行贿或者提供其他不正当利益的；</w:t>
      </w:r>
    </w:p>
    <w:p w14:paraId="0141F4C9">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5、在招标过程中与招标采购单位进行协商谈判、不按照</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的响应文件订立合同，或者与采购人另行订立背离合同实质性内容的协议的；</w:t>
      </w:r>
    </w:p>
    <w:p w14:paraId="494451B9">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6、拒绝有关部门监督检查或者提供虚假情况的。供应商有前款情形之一的，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w:t>
      </w:r>
    </w:p>
    <w:p w14:paraId="4DC7BA96">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有下列情形之一的，情节严重的，由财政部门将其列入不良行为记录名单，在一至三年内禁止参加</w:t>
      </w:r>
      <w:r>
        <w:rPr>
          <w:rFonts w:hint="eastAsia" w:ascii="仿宋" w:hAnsi="仿宋" w:eastAsia="仿宋" w:cs="仿宋"/>
          <w:color w:val="auto"/>
          <w:sz w:val="24"/>
          <w:szCs w:val="24"/>
          <w:highlight w:val="none"/>
          <w:lang w:eastAsia="zh-CN"/>
        </w:rPr>
        <w:t>政府</w:t>
      </w:r>
      <w:r>
        <w:rPr>
          <w:rFonts w:hint="eastAsia" w:ascii="仿宋" w:hAnsi="仿宋" w:eastAsia="仿宋" w:cs="仿宋"/>
          <w:color w:val="auto"/>
          <w:sz w:val="24"/>
          <w:szCs w:val="24"/>
          <w:highlight w:val="none"/>
        </w:rPr>
        <w:t>采购活动，并予以通报：</w:t>
      </w:r>
    </w:p>
    <w:p w14:paraId="4166ADB1">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后无正当理由不与采购人签订合同，或者与采购人另行订立背离合同实质性内容的协议的；</w:t>
      </w:r>
    </w:p>
    <w:p w14:paraId="10C30250">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2、将</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项目转让给他人，或者在响应文件中未说明，且未经采购人同意，将</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项目分包给他人的；</w:t>
      </w:r>
    </w:p>
    <w:p w14:paraId="6F99B0DC">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3、拒绝履行合同义务的。</w:t>
      </w:r>
    </w:p>
    <w:p w14:paraId="6C4ABE53">
      <w:pPr>
        <w:snapToGrid w:val="0"/>
        <w:spacing w:line="360" w:lineRule="auto"/>
        <w:ind w:firstLine="490" w:firstLineChars="200"/>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有前款情形之一的，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w:t>
      </w:r>
    </w:p>
    <w:p w14:paraId="3C74A06D">
      <w:pPr>
        <w:snapToGrid w:val="0"/>
        <w:spacing w:line="360" w:lineRule="auto"/>
        <w:ind w:firstLine="490" w:firstLineChars="200"/>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按照以上条款规定，经同级或其上级财政部门认定</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无效的，可按</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候选顺序重新确定，或重新进行采购。</w:t>
      </w:r>
      <w:bookmarkStart w:id="10" w:name="_Toc497129227"/>
    </w:p>
    <w:p w14:paraId="073752D1">
      <w:pPr>
        <w:pStyle w:val="3"/>
        <w:keepNext w:val="0"/>
        <w:keepLines w:val="0"/>
        <w:pageBreakBefore w:val="0"/>
        <w:widowControl w:val="0"/>
        <w:kinsoku/>
        <w:wordWrap/>
        <w:overflowPunct/>
        <w:topLinePunct w:val="0"/>
        <w:autoSpaceDE/>
        <w:autoSpaceDN/>
        <w:bidi w:val="0"/>
        <w:spacing w:line="336"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十</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质疑与投诉</w:t>
      </w:r>
    </w:p>
    <w:p w14:paraId="56195AA2">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．质疑和投诉</w:t>
      </w:r>
    </w:p>
    <w:p w14:paraId="0F217572">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供应商认为采购文件、采购过程和成交、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0FFF5D85">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2056E781">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40C52F1E">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（三）对成交或者成交结果提出质疑的，为成交或者成交结果公告期限届满之日。</w:t>
      </w:r>
    </w:p>
    <w:p w14:paraId="32714004">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2225C27">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供应商为自然人的，应当由本人签章；供应商为法人或者其他组织的，应当由法定代表人、主要负责人，或者其授权代表签章或者盖章，并加盖公章。</w:t>
      </w:r>
    </w:p>
    <w:p w14:paraId="772ED309">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.3供应商质疑、投诉应当有明确的请求和必要的证明材料。供应商投诉的事项不得超出已质疑事项的范围。采购人及采购代理机构按《政府采购质疑和投诉办法》进行处理供应商质疑事项。</w:t>
      </w:r>
    </w:p>
    <w:p w14:paraId="4742EF57">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.4质疑供应商对采购人、采购代理机构的质疑答复不满意，或者采购人、采购代理机构未在规定期限内作出答复的，供应商可以在答复期满后15个工作日内向同级财政部门提起投诉。</w:t>
      </w:r>
    </w:p>
    <w:p w14:paraId="246E0D69">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.5供应商有下列情形之一的，采购代理机构上报至克州财政局政府采购办，将其列入不良行为记录名单：</w:t>
      </w:r>
    </w:p>
    <w:p w14:paraId="78627EEF">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1B2A01E8">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1665843B">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0B63F261">
      <w:pPr>
        <w:spacing w:line="360" w:lineRule="exact"/>
        <w:jc w:val="center"/>
        <w:rPr>
          <w:rFonts w:ascii="仿宋" w:hAnsi="仿宋" w:eastAsia="仿宋" w:cs="仿宋"/>
          <w:color w:val="auto"/>
          <w:sz w:val="30"/>
          <w:szCs w:val="30"/>
          <w:highlight w:val="none"/>
          <w:lang w:eastAsia="zh-CN"/>
        </w:rPr>
      </w:pPr>
    </w:p>
    <w:p w14:paraId="6A5714C0">
      <w:pPr>
        <w:pStyle w:val="30"/>
        <w:rPr>
          <w:rFonts w:ascii="仿宋" w:hAnsi="仿宋" w:eastAsia="仿宋" w:cs="仿宋"/>
          <w:color w:val="auto"/>
          <w:sz w:val="30"/>
          <w:szCs w:val="30"/>
          <w:highlight w:val="none"/>
          <w:lang w:eastAsia="zh-CN"/>
        </w:rPr>
      </w:pPr>
    </w:p>
    <w:p w14:paraId="4AF4F326">
      <w:pPr>
        <w:pStyle w:val="30"/>
        <w:rPr>
          <w:rFonts w:ascii="仿宋" w:hAnsi="仿宋" w:eastAsia="仿宋" w:cs="仿宋"/>
          <w:color w:val="auto"/>
          <w:sz w:val="30"/>
          <w:szCs w:val="30"/>
          <w:highlight w:val="none"/>
          <w:lang w:eastAsia="zh-CN"/>
        </w:rPr>
      </w:pPr>
    </w:p>
    <w:p w14:paraId="5423350D">
      <w:pPr>
        <w:pStyle w:val="30"/>
        <w:rPr>
          <w:rFonts w:ascii="仿宋" w:hAnsi="仿宋" w:eastAsia="仿宋" w:cs="仿宋"/>
          <w:color w:val="auto"/>
          <w:sz w:val="30"/>
          <w:szCs w:val="30"/>
          <w:highlight w:val="none"/>
          <w:lang w:eastAsia="zh-CN"/>
        </w:rPr>
      </w:pPr>
    </w:p>
    <w:p w14:paraId="053A7259">
      <w:pPr>
        <w:rPr>
          <w:rFonts w:hint="eastAsia" w:ascii="仿宋" w:hAnsi="仿宋" w:eastAsia="仿宋" w:cs="仿宋"/>
          <w:b/>
          <w:bCs/>
          <w:color w:val="auto"/>
          <w:highlight w:val="none"/>
          <w:lang w:eastAsia="zh-CN"/>
        </w:rPr>
      </w:pPr>
    </w:p>
    <w:p w14:paraId="2C025082">
      <w:pPr>
        <w:rPr>
          <w:rFonts w:hint="eastAsia" w:ascii="仿宋" w:hAnsi="仿宋" w:eastAsia="仿宋" w:cs="仿宋"/>
          <w:b/>
          <w:bCs/>
          <w:color w:val="auto"/>
          <w:highlight w:val="none"/>
          <w:lang w:eastAsia="zh-CN"/>
        </w:rPr>
      </w:pPr>
    </w:p>
    <w:p w14:paraId="053C034A">
      <w:pPr>
        <w:rPr>
          <w:rFonts w:hint="eastAsia" w:ascii="仿宋" w:hAnsi="仿宋" w:eastAsia="仿宋" w:cs="仿宋"/>
          <w:b/>
          <w:bCs/>
          <w:color w:val="auto"/>
          <w:highlight w:val="none"/>
          <w:lang w:eastAsia="zh-CN"/>
        </w:rPr>
      </w:pPr>
    </w:p>
    <w:p w14:paraId="0D0DDD90">
      <w:pPr>
        <w:rPr>
          <w:rFonts w:hint="eastAsia" w:ascii="仿宋" w:hAnsi="仿宋" w:eastAsia="仿宋" w:cs="仿宋"/>
          <w:b/>
          <w:bCs/>
          <w:color w:val="auto"/>
          <w:highlight w:val="none"/>
          <w:lang w:eastAsia="zh-CN"/>
        </w:rPr>
      </w:pPr>
    </w:p>
    <w:p w14:paraId="7258C59E">
      <w:pPr>
        <w:rPr>
          <w:rFonts w:hint="eastAsia" w:ascii="仿宋" w:hAnsi="仿宋" w:eastAsia="仿宋" w:cs="仿宋"/>
          <w:b/>
          <w:bCs/>
          <w:color w:val="auto"/>
          <w:highlight w:val="none"/>
          <w:lang w:eastAsia="zh-CN"/>
        </w:rPr>
      </w:pPr>
    </w:p>
    <w:p w14:paraId="6247A070">
      <w:pPr>
        <w:rPr>
          <w:rFonts w:hint="eastAsia" w:ascii="仿宋" w:hAnsi="仿宋" w:eastAsia="仿宋" w:cs="仿宋"/>
          <w:b/>
          <w:bCs/>
          <w:color w:val="auto"/>
          <w:highlight w:val="none"/>
          <w:lang w:eastAsia="zh-CN"/>
        </w:rPr>
      </w:pPr>
    </w:p>
    <w:p w14:paraId="412CE7D1">
      <w:pPr>
        <w:rPr>
          <w:rFonts w:hint="eastAsia" w:ascii="仿宋" w:hAnsi="仿宋" w:eastAsia="仿宋" w:cs="仿宋"/>
          <w:b/>
          <w:bCs/>
          <w:color w:val="auto"/>
          <w:highlight w:val="none"/>
          <w:lang w:eastAsia="zh-CN"/>
        </w:rPr>
      </w:pPr>
    </w:p>
    <w:p w14:paraId="6D3E44CD">
      <w:pPr>
        <w:rPr>
          <w:rFonts w:hint="eastAsia" w:ascii="仿宋" w:hAnsi="仿宋" w:eastAsia="仿宋" w:cs="仿宋"/>
          <w:b/>
          <w:bCs/>
          <w:color w:val="auto"/>
          <w:highlight w:val="none"/>
          <w:lang w:eastAsia="zh-CN"/>
        </w:rPr>
      </w:pPr>
    </w:p>
    <w:p w14:paraId="0C6CEEAA">
      <w:pPr>
        <w:rPr>
          <w:rFonts w:hint="eastAsia" w:ascii="仿宋" w:hAnsi="仿宋" w:eastAsia="仿宋" w:cs="仿宋"/>
          <w:b/>
          <w:bCs/>
          <w:color w:val="auto"/>
          <w:highlight w:val="none"/>
          <w:lang w:eastAsia="zh-CN"/>
        </w:rPr>
      </w:pPr>
    </w:p>
    <w:p w14:paraId="3D1D3C20">
      <w:pPr>
        <w:rPr>
          <w:rFonts w:hint="eastAsia" w:ascii="仿宋" w:hAnsi="仿宋" w:eastAsia="仿宋" w:cs="仿宋"/>
          <w:b/>
          <w:bCs/>
          <w:color w:val="auto"/>
          <w:highlight w:val="none"/>
          <w:lang w:eastAsia="zh-CN"/>
        </w:rPr>
      </w:pPr>
    </w:p>
    <w:p w14:paraId="140B59B9">
      <w:pPr>
        <w:pStyle w:val="18"/>
        <w:rPr>
          <w:rFonts w:hint="eastAsia" w:ascii="仿宋" w:hAnsi="仿宋" w:eastAsia="仿宋" w:cs="仿宋"/>
          <w:b/>
          <w:bCs/>
          <w:color w:val="auto"/>
          <w:highlight w:val="none"/>
          <w:lang w:eastAsia="zh-CN"/>
        </w:rPr>
      </w:pPr>
    </w:p>
    <w:p w14:paraId="19CD325A">
      <w:pPr>
        <w:rPr>
          <w:rFonts w:hint="eastAsia" w:ascii="仿宋" w:hAnsi="仿宋" w:eastAsia="仿宋" w:cs="仿宋"/>
          <w:b/>
          <w:bCs/>
          <w:color w:val="auto"/>
          <w:highlight w:val="none"/>
          <w:lang w:eastAsia="zh-CN"/>
        </w:rPr>
      </w:pPr>
    </w:p>
    <w:p w14:paraId="0A410306">
      <w:pPr>
        <w:pStyle w:val="18"/>
        <w:rPr>
          <w:rFonts w:hint="eastAsia" w:ascii="仿宋" w:hAnsi="仿宋" w:eastAsia="仿宋" w:cs="仿宋"/>
          <w:b/>
          <w:bCs/>
          <w:color w:val="auto"/>
          <w:highlight w:val="none"/>
          <w:lang w:eastAsia="zh-CN"/>
        </w:rPr>
      </w:pPr>
    </w:p>
    <w:p w14:paraId="6997DD68">
      <w:pPr>
        <w:rPr>
          <w:rFonts w:hint="eastAsia" w:ascii="仿宋" w:hAnsi="仿宋" w:eastAsia="仿宋" w:cs="仿宋"/>
          <w:b/>
          <w:bCs/>
          <w:color w:val="auto"/>
          <w:highlight w:val="none"/>
          <w:lang w:eastAsia="zh-CN"/>
        </w:rPr>
      </w:pPr>
    </w:p>
    <w:p w14:paraId="1C7B4831">
      <w:pPr>
        <w:pStyle w:val="18"/>
        <w:rPr>
          <w:rFonts w:hint="eastAsia" w:ascii="仿宋" w:hAnsi="仿宋" w:eastAsia="仿宋" w:cs="仿宋"/>
          <w:b/>
          <w:bCs/>
          <w:color w:val="auto"/>
          <w:highlight w:val="none"/>
          <w:lang w:eastAsia="zh-CN"/>
        </w:rPr>
      </w:pPr>
    </w:p>
    <w:p w14:paraId="0C3D4E0C">
      <w:pPr>
        <w:rPr>
          <w:rFonts w:hint="eastAsia" w:ascii="仿宋" w:hAnsi="仿宋" w:eastAsia="仿宋" w:cs="仿宋"/>
          <w:b/>
          <w:bCs/>
          <w:color w:val="auto"/>
          <w:highlight w:val="none"/>
          <w:lang w:eastAsia="zh-CN"/>
        </w:rPr>
      </w:pPr>
    </w:p>
    <w:p w14:paraId="0E0106D6">
      <w:pPr>
        <w:pStyle w:val="18"/>
        <w:rPr>
          <w:rFonts w:hint="eastAsia" w:ascii="仿宋" w:hAnsi="仿宋" w:eastAsia="仿宋" w:cs="仿宋"/>
          <w:b/>
          <w:bCs/>
          <w:color w:val="auto"/>
          <w:highlight w:val="none"/>
          <w:lang w:eastAsia="zh-CN"/>
        </w:rPr>
      </w:pPr>
    </w:p>
    <w:p w14:paraId="51754301">
      <w:pPr>
        <w:rPr>
          <w:rFonts w:hint="eastAsia" w:ascii="仿宋" w:hAnsi="仿宋" w:eastAsia="仿宋" w:cs="仿宋"/>
          <w:b/>
          <w:bCs/>
          <w:color w:val="auto"/>
          <w:highlight w:val="none"/>
          <w:lang w:eastAsia="zh-CN"/>
        </w:rPr>
      </w:pPr>
    </w:p>
    <w:p w14:paraId="50058F1B">
      <w:pPr>
        <w:pStyle w:val="18"/>
        <w:rPr>
          <w:rFonts w:hint="eastAsia" w:ascii="仿宋" w:hAnsi="仿宋" w:eastAsia="仿宋" w:cs="仿宋"/>
          <w:b/>
          <w:bCs/>
          <w:color w:val="auto"/>
          <w:highlight w:val="none"/>
          <w:lang w:eastAsia="zh-CN"/>
        </w:rPr>
      </w:pPr>
    </w:p>
    <w:p w14:paraId="5A8718BD">
      <w:pPr>
        <w:rPr>
          <w:rFonts w:hint="eastAsia" w:ascii="仿宋" w:hAnsi="仿宋" w:eastAsia="仿宋" w:cs="仿宋"/>
          <w:b/>
          <w:bCs/>
          <w:color w:val="auto"/>
          <w:highlight w:val="none"/>
          <w:lang w:eastAsia="zh-CN"/>
        </w:rPr>
      </w:pPr>
    </w:p>
    <w:p w14:paraId="44E530A6">
      <w:pPr>
        <w:pStyle w:val="18"/>
        <w:rPr>
          <w:rFonts w:hint="eastAsia" w:ascii="仿宋" w:hAnsi="仿宋" w:eastAsia="仿宋" w:cs="仿宋"/>
          <w:b/>
          <w:bCs/>
          <w:color w:val="auto"/>
          <w:highlight w:val="none"/>
          <w:lang w:eastAsia="zh-CN"/>
        </w:rPr>
      </w:pPr>
    </w:p>
    <w:p w14:paraId="19F1947D">
      <w:pPr>
        <w:rPr>
          <w:rFonts w:hint="eastAsia" w:ascii="仿宋" w:hAnsi="仿宋" w:eastAsia="仿宋" w:cs="仿宋"/>
          <w:b/>
          <w:bCs/>
          <w:color w:val="auto"/>
          <w:highlight w:val="none"/>
          <w:lang w:eastAsia="zh-CN"/>
        </w:rPr>
      </w:pPr>
    </w:p>
    <w:p w14:paraId="7FF10E5C">
      <w:pPr>
        <w:pStyle w:val="18"/>
        <w:rPr>
          <w:rFonts w:hint="eastAsia" w:ascii="仿宋" w:hAnsi="仿宋" w:eastAsia="仿宋" w:cs="仿宋"/>
          <w:b/>
          <w:bCs/>
          <w:color w:val="auto"/>
          <w:highlight w:val="none"/>
          <w:lang w:eastAsia="zh-CN"/>
        </w:rPr>
      </w:pPr>
    </w:p>
    <w:p w14:paraId="5E757FF9">
      <w:pPr>
        <w:rPr>
          <w:rFonts w:hint="eastAsia" w:ascii="仿宋" w:hAnsi="仿宋" w:eastAsia="仿宋" w:cs="仿宋"/>
          <w:b/>
          <w:bCs/>
          <w:color w:val="auto"/>
          <w:highlight w:val="none"/>
          <w:lang w:eastAsia="zh-CN"/>
        </w:rPr>
      </w:pPr>
    </w:p>
    <w:p w14:paraId="06223116">
      <w:pPr>
        <w:pStyle w:val="18"/>
        <w:rPr>
          <w:rFonts w:hint="eastAsia" w:ascii="仿宋" w:hAnsi="仿宋" w:eastAsia="仿宋" w:cs="仿宋"/>
          <w:b/>
          <w:bCs/>
          <w:color w:val="auto"/>
          <w:highlight w:val="none"/>
          <w:lang w:eastAsia="zh-CN"/>
        </w:rPr>
      </w:pPr>
    </w:p>
    <w:p w14:paraId="3ACF53D7">
      <w:pPr>
        <w:rPr>
          <w:rFonts w:hint="eastAsia" w:ascii="仿宋" w:hAnsi="仿宋" w:eastAsia="仿宋" w:cs="仿宋"/>
          <w:b/>
          <w:bCs/>
          <w:color w:val="auto"/>
          <w:highlight w:val="none"/>
          <w:lang w:eastAsia="zh-CN"/>
        </w:rPr>
      </w:pPr>
    </w:p>
    <w:p w14:paraId="7FC02053">
      <w:pPr>
        <w:pStyle w:val="18"/>
        <w:rPr>
          <w:rFonts w:hint="eastAsia" w:ascii="仿宋" w:hAnsi="仿宋" w:eastAsia="仿宋" w:cs="仿宋"/>
          <w:b/>
          <w:bCs/>
          <w:color w:val="auto"/>
          <w:highlight w:val="none"/>
          <w:lang w:eastAsia="zh-CN"/>
        </w:rPr>
      </w:pPr>
    </w:p>
    <w:p w14:paraId="766A1124">
      <w:pPr>
        <w:rPr>
          <w:rFonts w:hint="eastAsia" w:ascii="仿宋" w:hAnsi="仿宋" w:eastAsia="仿宋" w:cs="仿宋"/>
          <w:b/>
          <w:bCs/>
          <w:color w:val="auto"/>
          <w:highlight w:val="none"/>
          <w:lang w:eastAsia="zh-CN"/>
        </w:rPr>
      </w:pPr>
    </w:p>
    <w:p w14:paraId="35D0EDA6">
      <w:pPr>
        <w:rPr>
          <w:rFonts w:hint="eastAsia" w:ascii="仿宋" w:hAnsi="仿宋" w:eastAsia="仿宋" w:cs="仿宋"/>
          <w:b/>
          <w:bCs/>
          <w:color w:val="auto"/>
          <w:highlight w:val="none"/>
          <w:lang w:eastAsia="zh-CN"/>
        </w:rPr>
      </w:pPr>
    </w:p>
    <w:p w14:paraId="208AEAF0">
      <w:pPr>
        <w:rPr>
          <w:rFonts w:hint="eastAsia"/>
          <w:color w:val="auto"/>
          <w:highlight w:val="none"/>
          <w:lang w:eastAsia="zh-CN"/>
        </w:rPr>
      </w:pPr>
    </w:p>
    <w:p w14:paraId="7E8C7F11">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5336812C">
      <w:pPr>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32"/>
          <w:szCs w:val="32"/>
          <w:highlight w:val="none"/>
          <w:lang w:eastAsia="zh-CN"/>
        </w:rPr>
        <w:t>政府采购投诉书（范本）、质疑函范本</w:t>
      </w:r>
    </w:p>
    <w:p w14:paraId="744B05CE">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254A3311">
      <w:pPr>
        <w:spacing w:line="400" w:lineRule="exact"/>
        <w:rPr>
          <w:rFonts w:ascii="仿宋" w:hAnsi="仿宋" w:eastAsia="仿宋" w:cs="仿宋"/>
          <w:color w:val="auto"/>
          <w:highlight w:val="none"/>
          <w:lang w:eastAsia="zh-CN"/>
        </w:rPr>
      </w:pPr>
    </w:p>
    <w:p w14:paraId="2737A274">
      <w:pPr>
        <w:spacing w:line="400" w:lineRule="exact"/>
        <w:ind w:firstLine="490" w:firstLineChars="20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18F21FAD">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5CB7FDE3">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委托代理人姓名：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141F58C1">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住址：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联系电话：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4E43666B">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被投诉人：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p>
    <w:p w14:paraId="49F8CD86">
      <w:pPr>
        <w:spacing w:line="400" w:lineRule="exact"/>
        <w:ind w:firstLine="490" w:firstLineChars="200"/>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02045CE9">
      <w:pPr>
        <w:spacing w:line="400" w:lineRule="exact"/>
        <w:ind w:firstLine="490" w:firstLineChars="200"/>
        <w:rPr>
          <w:rFonts w:ascii="仿宋" w:hAnsi="仿宋" w:eastAsia="仿宋" w:cs="仿宋"/>
          <w:color w:val="auto"/>
          <w:highlight w:val="none"/>
          <w:lang w:eastAsia="zh-CN"/>
        </w:rPr>
      </w:pPr>
    </w:p>
    <w:p w14:paraId="2DA54FB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我公司参加了</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年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日被投诉人组织的</w:t>
      </w:r>
      <w:r>
        <w:rPr>
          <w:rFonts w:hint="eastAsia" w:ascii="仿宋" w:hAnsi="仿宋" w:eastAsia="仿宋" w:cs="仿宋"/>
          <w:color w:val="auto"/>
          <w:highlight w:val="none"/>
          <w:u w:val="single"/>
          <w:lang w:eastAsia="zh-CN"/>
        </w:rPr>
        <w:t>（采购人）（项目名称）（项目编号）</w:t>
      </w:r>
      <w:r>
        <w:rPr>
          <w:rFonts w:hint="eastAsia" w:ascii="仿宋" w:hAnsi="仿宋" w:eastAsia="仿宋" w:cs="仿宋"/>
          <w:color w:val="auto"/>
          <w:highlight w:val="none"/>
          <w:lang w:eastAsia="zh-CN"/>
        </w:rPr>
        <w:t>的采购活动，我公司认为该项目的</w:t>
      </w:r>
      <w:r>
        <w:rPr>
          <w:rFonts w:hint="eastAsia" w:ascii="仿宋" w:hAnsi="仿宋" w:eastAsia="仿宋" w:cs="仿宋"/>
          <w:color w:val="auto"/>
          <w:highlight w:val="none"/>
          <w:u w:val="single"/>
          <w:lang w:eastAsia="zh-CN"/>
        </w:rPr>
        <w:t>（采购文件/采购过程/中标（成交）结果）</w:t>
      </w:r>
      <w:r>
        <w:rPr>
          <w:rFonts w:hint="eastAsia" w:ascii="仿宋" w:hAnsi="仿宋" w:eastAsia="仿宋" w:cs="仿宋"/>
          <w:color w:val="auto"/>
          <w:highlight w:val="none"/>
          <w:lang w:eastAsia="zh-CN"/>
        </w:rPr>
        <w:t>损害了我公司权益，对此，我公司于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日向</w:t>
      </w:r>
      <w:r>
        <w:rPr>
          <w:rFonts w:hint="eastAsia" w:ascii="仿宋" w:hAnsi="仿宋" w:eastAsia="仿宋" w:cs="仿宋"/>
          <w:color w:val="auto"/>
          <w:highlight w:val="none"/>
          <w:u w:val="single"/>
          <w:lang w:eastAsia="zh-CN"/>
        </w:rPr>
        <w:t>（采购人或者政府采购代理机构）</w:t>
      </w:r>
      <w:r>
        <w:rPr>
          <w:rFonts w:hint="eastAsia" w:ascii="仿宋" w:hAnsi="仿宋" w:eastAsia="仿宋" w:cs="仿宋"/>
          <w:color w:val="auto"/>
          <w:highlight w:val="none"/>
          <w:lang w:eastAsia="zh-CN"/>
        </w:rPr>
        <w:t>提出了质疑，</w:t>
      </w:r>
      <w:r>
        <w:rPr>
          <w:rFonts w:hint="eastAsia" w:ascii="仿宋" w:hAnsi="仿宋" w:eastAsia="仿宋" w:cs="仿宋"/>
          <w:color w:val="auto"/>
          <w:highlight w:val="none"/>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highlight w:val="none"/>
          <w:lang w:eastAsia="zh-CN"/>
        </w:rPr>
        <w:t>，现向贵机关提起投诉：</w:t>
      </w:r>
    </w:p>
    <w:p w14:paraId="69CA96A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highlight w:val="none"/>
          <w:u w:val="single"/>
          <w:lang w:eastAsia="zh-CN"/>
        </w:rPr>
        <w:t>具体的投诉事项及事实依据；</w:t>
      </w:r>
    </w:p>
    <w:p w14:paraId="24D600F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质疑和质疑答复情况简要描述；</w:t>
      </w:r>
    </w:p>
    <w:p w14:paraId="5D466E5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u w:val="single"/>
          <w:lang w:eastAsia="zh-CN"/>
        </w:rPr>
        <w:t>投诉请求。</w:t>
      </w:r>
    </w:p>
    <w:p w14:paraId="4319576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附件：</w:t>
      </w:r>
    </w:p>
    <w:p w14:paraId="656331B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1.质疑书和质疑答复书；</w:t>
      </w:r>
    </w:p>
    <w:p w14:paraId="73A2B09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2.证据材料（需注明证据来源），证人的姓名、住址和联系方式等；</w:t>
      </w:r>
    </w:p>
    <w:p w14:paraId="58F9CBCD">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3.营业执照；</w:t>
      </w:r>
    </w:p>
    <w:p w14:paraId="334FDAA7">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4.法定代表人身份证明函</w:t>
      </w:r>
    </w:p>
    <w:p w14:paraId="300C8BFC">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5.法定代表人授权委托书（包含法定代表人和委托代理人的身份证复印件）；</w:t>
      </w:r>
    </w:p>
    <w:p w14:paraId="0341692A">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6.政府采购监管部门认为应当提供的其它材料。</w:t>
      </w:r>
    </w:p>
    <w:p w14:paraId="18413FB1">
      <w:pPr>
        <w:spacing w:line="400" w:lineRule="exact"/>
        <w:jc w:val="center"/>
        <w:rPr>
          <w:rFonts w:ascii="仿宋" w:hAnsi="仿宋" w:eastAsia="仿宋" w:cs="仿宋"/>
          <w:color w:val="auto"/>
          <w:highlight w:val="none"/>
          <w:lang w:eastAsia="zh-CN"/>
        </w:rPr>
      </w:pPr>
    </w:p>
    <w:p w14:paraId="2BAD69CF">
      <w:pPr>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投诉供应商：（盖章）</w:t>
      </w:r>
    </w:p>
    <w:p w14:paraId="3015B8D2">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法定代表人（或主要负责人）：（签章）</w:t>
      </w:r>
    </w:p>
    <w:p w14:paraId="7BFDB8BB">
      <w:pPr>
        <w:spacing w:line="400" w:lineRule="exact"/>
        <w:ind w:firstLine="3920" w:firstLineChars="16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7E500988">
      <w:pPr>
        <w:spacing w:line="400" w:lineRule="exact"/>
        <w:rPr>
          <w:rFonts w:ascii="仿宋" w:hAnsi="仿宋" w:eastAsia="仿宋" w:cs="仿宋"/>
          <w:color w:val="auto"/>
          <w:highlight w:val="none"/>
          <w:lang w:eastAsia="zh-CN"/>
        </w:rPr>
      </w:pPr>
    </w:p>
    <w:p w14:paraId="21A5EB5B">
      <w:pPr>
        <w:spacing w:line="400" w:lineRule="exact"/>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本投诉书正本叁份，副本</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份并附电子文档。</w:t>
      </w:r>
    </w:p>
    <w:p w14:paraId="63638C27">
      <w:pPr>
        <w:ind w:left="5783" w:hanging="5850" w:hangingChars="1800"/>
        <w:jc w:val="center"/>
        <w:outlineLvl w:val="0"/>
        <w:rPr>
          <w:rFonts w:hint="eastAsia" w:ascii="仿宋" w:hAnsi="仿宋" w:eastAsia="仿宋" w:cs="仿宋"/>
          <w:b/>
          <w:bCs/>
          <w:color w:val="auto"/>
          <w:sz w:val="32"/>
          <w:szCs w:val="32"/>
          <w:highlight w:val="none"/>
          <w:lang w:eastAsia="zh-CN"/>
        </w:rPr>
      </w:pPr>
      <w:bookmarkStart w:id="11" w:name="_Toc17515"/>
    </w:p>
    <w:p w14:paraId="0672DA56">
      <w:pPr>
        <w:ind w:left="5783" w:hanging="5850"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11"/>
    </w:p>
    <w:p w14:paraId="6AD04479">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00D42A6F">
      <w:pPr>
        <w:numPr>
          <w:ilvl w:val="0"/>
          <w:numId w:val="3"/>
        </w:numPr>
        <w:spacing w:line="400" w:lineRule="exact"/>
        <w:ind w:left="4664" w:leftChars="304" w:hanging="3920" w:hangingChars="1600"/>
        <w:outlineLvl w:val="0"/>
        <w:rPr>
          <w:rFonts w:ascii="仿宋" w:hAnsi="仿宋" w:eastAsia="仿宋" w:cs="仿宋"/>
          <w:b/>
          <w:bCs/>
          <w:color w:val="auto"/>
          <w:sz w:val="24"/>
          <w:szCs w:val="24"/>
          <w:highlight w:val="none"/>
        </w:rPr>
      </w:pPr>
      <w:bookmarkStart w:id="12" w:name="_Toc11499"/>
      <w:r>
        <w:rPr>
          <w:rFonts w:hint="eastAsia" w:ascii="仿宋" w:hAnsi="仿宋" w:eastAsia="仿宋" w:cs="仿宋"/>
          <w:b/>
          <w:bCs/>
          <w:color w:val="auto"/>
          <w:sz w:val="24"/>
          <w:szCs w:val="24"/>
          <w:highlight w:val="none"/>
        </w:rPr>
        <w:t>质疑前置及时间要求</w:t>
      </w:r>
      <w:bookmarkEnd w:id="12"/>
    </w:p>
    <w:p w14:paraId="7DF0BB11">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4F789B22">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第五十二条：供应商认为采购文件、采购过程和成交、成交结果使自己的权益受到损害的，可以在知道或者应知其权益受到损害之日起七个工作日内，以书面形式向采购人提出质疑。</w:t>
      </w:r>
    </w:p>
    <w:p w14:paraId="53923F71">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0A9880DD">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39740462">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782422A4">
      <w:pPr>
        <w:spacing w:line="400" w:lineRule="exact"/>
        <w:ind w:left="3780" w:hanging="3870"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13" w:name="_Toc13508"/>
      <w:r>
        <w:rPr>
          <w:rFonts w:hint="eastAsia" w:ascii="仿宋" w:hAnsi="仿宋" w:eastAsia="仿宋" w:cs="仿宋"/>
          <w:b/>
          <w:bCs/>
          <w:color w:val="auto"/>
          <w:sz w:val="21"/>
          <w:szCs w:val="21"/>
          <w:highlight w:val="none"/>
          <w:lang w:eastAsia="zh-CN"/>
        </w:rPr>
        <w:t>二、书面方式</w:t>
      </w:r>
      <w:bookmarkEnd w:id="13"/>
    </w:p>
    <w:p w14:paraId="6E9CBAA6">
      <w:pPr>
        <w:spacing w:line="400" w:lineRule="exact"/>
        <w:ind w:left="3780" w:hanging="3870" w:hangingChars="18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政府采购供应商投诉处理办法》第八条：投诉人投诉</w:t>
      </w:r>
    </w:p>
    <w:p w14:paraId="3706015B">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7A667F8E">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4EAD3635">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42C05180">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7E976951">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70C14809">
      <w:pPr>
        <w:numPr>
          <w:ilvl w:val="0"/>
          <w:numId w:val="4"/>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1A15E35E">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658F75D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2AC1EE5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0166C9A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1A5E0BE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提起投诉诉前已依法进行质疑；</w:t>
      </w:r>
    </w:p>
    <w:p w14:paraId="741694CC">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4AA18EE4">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38FFA13B">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3565A6F5">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3FD886C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6EFCA0AA">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DF7EF1F">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14" w:name="_Toc5978"/>
      <w:r>
        <w:rPr>
          <w:rFonts w:hint="eastAsia" w:ascii="仿宋" w:hAnsi="仿宋" w:eastAsia="仿宋" w:cs="仿宋"/>
          <w:b/>
          <w:bCs/>
          <w:color w:val="auto"/>
          <w:highlight w:val="none"/>
          <w:lang w:eastAsia="zh-CN"/>
        </w:rPr>
        <w:t>三、虚假、恶意投诉法律责任</w:t>
      </w:r>
      <w:bookmarkEnd w:id="14"/>
    </w:p>
    <w:p w14:paraId="51DEC11D">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53324B8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268F258A">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5175A07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18AF9EE4">
      <w:pPr>
        <w:spacing w:line="400" w:lineRule="exact"/>
        <w:rPr>
          <w:rFonts w:ascii="仿宋" w:hAnsi="仿宋" w:eastAsia="仿宋" w:cs="仿宋"/>
          <w:color w:val="auto"/>
          <w:sz w:val="21"/>
          <w:szCs w:val="21"/>
          <w:highlight w:val="none"/>
          <w:lang w:eastAsia="zh-CN"/>
        </w:rPr>
      </w:pPr>
    </w:p>
    <w:p w14:paraId="69349897">
      <w:pPr>
        <w:spacing w:line="400" w:lineRule="exact"/>
        <w:rPr>
          <w:rFonts w:ascii="仿宋" w:hAnsi="仿宋" w:eastAsia="仿宋" w:cs="仿宋"/>
          <w:color w:val="auto"/>
          <w:sz w:val="21"/>
          <w:szCs w:val="21"/>
          <w:highlight w:val="none"/>
          <w:lang w:eastAsia="zh-CN"/>
        </w:rPr>
      </w:pPr>
    </w:p>
    <w:p w14:paraId="23F21A28">
      <w:pPr>
        <w:ind w:firstLine="735" w:firstLineChars="300"/>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w:t>
      </w:r>
      <w:r>
        <w:rPr>
          <w:rFonts w:hint="eastAsia" w:ascii="仿宋" w:hAnsi="仿宋" w:eastAsia="仿宋" w:cs="仿宋"/>
          <w:color w:val="auto"/>
          <w:highlight w:val="none"/>
          <w:lang w:val="en-US" w:eastAsia="zh-CN"/>
        </w:rPr>
        <w:t>阿图什市财政局</w:t>
      </w:r>
    </w:p>
    <w:p w14:paraId="67C3788A">
      <w:pPr>
        <w:jc w:val="right"/>
        <w:rPr>
          <w:rFonts w:ascii="仿宋" w:hAnsi="仿宋" w:eastAsia="仿宋" w:cs="仿宋"/>
          <w:color w:val="auto"/>
          <w:sz w:val="32"/>
          <w:szCs w:val="32"/>
          <w:highlight w:val="none"/>
          <w:lang w:eastAsia="zh-CN"/>
        </w:rPr>
      </w:pPr>
    </w:p>
    <w:p w14:paraId="2520DBC8">
      <w:pPr>
        <w:spacing w:line="540" w:lineRule="exact"/>
        <w:jc w:val="center"/>
        <w:rPr>
          <w:rFonts w:ascii="仿宋" w:hAnsi="仿宋" w:eastAsia="仿宋" w:cs="仿宋"/>
          <w:b/>
          <w:bCs/>
          <w:color w:val="auto"/>
          <w:sz w:val="44"/>
          <w:szCs w:val="44"/>
          <w:highlight w:val="none"/>
          <w:lang w:eastAsia="zh-CN"/>
        </w:rPr>
      </w:pPr>
    </w:p>
    <w:p w14:paraId="3C86EBF7">
      <w:pPr>
        <w:spacing w:line="540" w:lineRule="exact"/>
        <w:jc w:val="center"/>
        <w:rPr>
          <w:rFonts w:ascii="仿宋" w:hAnsi="仿宋" w:eastAsia="仿宋" w:cs="仿宋"/>
          <w:b/>
          <w:bCs/>
          <w:color w:val="auto"/>
          <w:sz w:val="44"/>
          <w:szCs w:val="44"/>
          <w:highlight w:val="none"/>
          <w:lang w:eastAsia="zh-CN"/>
        </w:rPr>
      </w:pPr>
    </w:p>
    <w:p w14:paraId="41BDB4BC">
      <w:pPr>
        <w:spacing w:line="540" w:lineRule="exact"/>
        <w:jc w:val="center"/>
        <w:rPr>
          <w:rFonts w:ascii="仿宋" w:hAnsi="仿宋" w:eastAsia="仿宋" w:cs="仿宋"/>
          <w:b/>
          <w:bCs/>
          <w:color w:val="auto"/>
          <w:sz w:val="44"/>
          <w:szCs w:val="44"/>
          <w:highlight w:val="none"/>
          <w:lang w:eastAsia="zh-CN"/>
        </w:rPr>
      </w:pPr>
    </w:p>
    <w:p w14:paraId="0C01503B">
      <w:pPr>
        <w:spacing w:line="540" w:lineRule="exact"/>
        <w:jc w:val="center"/>
        <w:rPr>
          <w:rFonts w:ascii="仿宋" w:hAnsi="仿宋" w:eastAsia="仿宋" w:cs="仿宋"/>
          <w:b/>
          <w:bCs/>
          <w:color w:val="auto"/>
          <w:sz w:val="44"/>
          <w:szCs w:val="44"/>
          <w:highlight w:val="none"/>
          <w:lang w:eastAsia="zh-CN"/>
        </w:rPr>
      </w:pPr>
    </w:p>
    <w:p w14:paraId="2CFAB9BF">
      <w:pPr>
        <w:spacing w:line="540" w:lineRule="exact"/>
        <w:jc w:val="center"/>
        <w:rPr>
          <w:rFonts w:ascii="仿宋" w:hAnsi="仿宋" w:eastAsia="仿宋" w:cs="仿宋"/>
          <w:b/>
          <w:bCs/>
          <w:color w:val="auto"/>
          <w:sz w:val="44"/>
          <w:szCs w:val="44"/>
          <w:highlight w:val="none"/>
          <w:lang w:eastAsia="zh-CN"/>
        </w:rPr>
      </w:pPr>
    </w:p>
    <w:p w14:paraId="3CDCCFDC">
      <w:pPr>
        <w:spacing w:line="540" w:lineRule="exact"/>
        <w:jc w:val="center"/>
        <w:rPr>
          <w:rFonts w:ascii="仿宋" w:hAnsi="仿宋" w:eastAsia="仿宋" w:cs="仿宋"/>
          <w:b/>
          <w:bCs/>
          <w:color w:val="auto"/>
          <w:sz w:val="44"/>
          <w:szCs w:val="44"/>
          <w:highlight w:val="none"/>
          <w:lang w:eastAsia="zh-CN"/>
        </w:rPr>
      </w:pPr>
    </w:p>
    <w:p w14:paraId="442D0B3B">
      <w:pPr>
        <w:spacing w:line="540" w:lineRule="exact"/>
        <w:jc w:val="center"/>
        <w:rPr>
          <w:rFonts w:ascii="仿宋" w:hAnsi="仿宋" w:eastAsia="仿宋" w:cs="仿宋"/>
          <w:b/>
          <w:bCs/>
          <w:color w:val="auto"/>
          <w:sz w:val="44"/>
          <w:szCs w:val="44"/>
          <w:highlight w:val="none"/>
          <w:lang w:eastAsia="zh-CN"/>
        </w:rPr>
      </w:pPr>
    </w:p>
    <w:p w14:paraId="0402D936">
      <w:pPr>
        <w:spacing w:line="540" w:lineRule="exact"/>
        <w:jc w:val="center"/>
        <w:outlineLvl w:val="0"/>
        <w:rPr>
          <w:rFonts w:hint="eastAsia" w:ascii="仿宋" w:hAnsi="仿宋" w:eastAsia="仿宋" w:cs="仿宋"/>
          <w:b/>
          <w:bCs/>
          <w:color w:val="auto"/>
          <w:sz w:val="32"/>
          <w:szCs w:val="32"/>
          <w:highlight w:val="none"/>
          <w:lang w:eastAsia="zh-CN"/>
        </w:rPr>
      </w:pPr>
      <w:bookmarkStart w:id="15" w:name="_Toc1697"/>
    </w:p>
    <w:p w14:paraId="1A0ED585">
      <w:pPr>
        <w:spacing w:line="540" w:lineRule="exact"/>
        <w:jc w:val="center"/>
        <w:outlineLvl w:val="0"/>
        <w:rPr>
          <w:rFonts w:hint="eastAsia" w:ascii="仿宋" w:hAnsi="仿宋" w:eastAsia="仿宋" w:cs="仿宋"/>
          <w:b/>
          <w:bCs/>
          <w:color w:val="auto"/>
          <w:sz w:val="32"/>
          <w:szCs w:val="32"/>
          <w:highlight w:val="none"/>
          <w:lang w:eastAsia="zh-CN"/>
        </w:rPr>
      </w:pPr>
    </w:p>
    <w:p w14:paraId="303D05F7">
      <w:pPr>
        <w:pStyle w:val="18"/>
        <w:rPr>
          <w:rFonts w:hint="eastAsia" w:ascii="仿宋" w:hAnsi="仿宋" w:eastAsia="仿宋" w:cs="仿宋"/>
          <w:b/>
          <w:bCs/>
          <w:color w:val="auto"/>
          <w:sz w:val="32"/>
          <w:szCs w:val="32"/>
          <w:highlight w:val="none"/>
          <w:lang w:eastAsia="zh-CN"/>
        </w:rPr>
      </w:pPr>
    </w:p>
    <w:p w14:paraId="4018E29A">
      <w:pPr>
        <w:rPr>
          <w:rFonts w:hint="eastAsia" w:ascii="仿宋" w:hAnsi="仿宋" w:eastAsia="仿宋" w:cs="仿宋"/>
          <w:b/>
          <w:bCs/>
          <w:color w:val="auto"/>
          <w:sz w:val="32"/>
          <w:szCs w:val="32"/>
          <w:highlight w:val="none"/>
          <w:lang w:eastAsia="zh-CN"/>
        </w:rPr>
      </w:pPr>
    </w:p>
    <w:p w14:paraId="1569AD1E">
      <w:pPr>
        <w:pStyle w:val="18"/>
        <w:rPr>
          <w:rFonts w:hint="eastAsia" w:ascii="仿宋" w:hAnsi="仿宋" w:eastAsia="仿宋" w:cs="仿宋"/>
          <w:b/>
          <w:bCs/>
          <w:color w:val="auto"/>
          <w:sz w:val="32"/>
          <w:szCs w:val="32"/>
          <w:highlight w:val="none"/>
          <w:lang w:eastAsia="zh-CN"/>
        </w:rPr>
      </w:pPr>
    </w:p>
    <w:p w14:paraId="70F14485">
      <w:pPr>
        <w:rPr>
          <w:rFonts w:hint="eastAsia"/>
          <w:color w:val="auto"/>
          <w:highlight w:val="none"/>
          <w:lang w:eastAsia="zh-CN"/>
        </w:rPr>
      </w:pPr>
    </w:p>
    <w:p w14:paraId="3736108A">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bookmarkEnd w:id="15"/>
    </w:p>
    <w:p w14:paraId="04B23344">
      <w:pPr>
        <w:adjustRightInd w:val="0"/>
        <w:snapToGrid w:val="0"/>
        <w:spacing w:beforeLines="100" w:line="540" w:lineRule="exact"/>
        <w:ind w:firstLine="490" w:firstLineChars="200"/>
        <w:outlineLvl w:val="0"/>
        <w:rPr>
          <w:rFonts w:ascii="仿宋" w:hAnsi="仿宋" w:eastAsia="仿宋" w:cs="仿宋"/>
          <w:bCs/>
          <w:color w:val="auto"/>
          <w:highlight w:val="none"/>
          <w:lang w:eastAsia="zh-CN"/>
        </w:rPr>
      </w:pPr>
      <w:bookmarkStart w:id="16" w:name="_Toc9061"/>
      <w:r>
        <w:rPr>
          <w:rFonts w:hint="eastAsia" w:ascii="仿宋" w:hAnsi="仿宋" w:eastAsia="仿宋" w:cs="仿宋"/>
          <w:bCs/>
          <w:color w:val="auto"/>
          <w:highlight w:val="none"/>
          <w:lang w:eastAsia="zh-CN"/>
        </w:rPr>
        <w:t>一、质疑供应商基本信息</w:t>
      </w:r>
      <w:bookmarkEnd w:id="16"/>
    </w:p>
    <w:p w14:paraId="1834BB2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3CFE335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7B98F448">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21D5CD22">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314FDED3">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7983116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1236747A">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7" w:name="_Toc15938"/>
      <w:r>
        <w:rPr>
          <w:rFonts w:hint="eastAsia" w:ascii="仿宋" w:hAnsi="仿宋" w:eastAsia="仿宋" w:cs="仿宋"/>
          <w:bCs/>
          <w:color w:val="auto"/>
          <w:highlight w:val="none"/>
          <w:lang w:eastAsia="zh-CN"/>
        </w:rPr>
        <w:t>二、质疑项目基本情况</w:t>
      </w:r>
      <w:bookmarkEnd w:id="17"/>
    </w:p>
    <w:p w14:paraId="52EE928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069E781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37BE7B1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33C8BCF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7F953D30">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8" w:name="_Toc18271"/>
      <w:r>
        <w:rPr>
          <w:rFonts w:hint="eastAsia" w:ascii="仿宋" w:hAnsi="仿宋" w:eastAsia="仿宋" w:cs="仿宋"/>
          <w:bCs/>
          <w:color w:val="auto"/>
          <w:highlight w:val="none"/>
          <w:lang w:eastAsia="zh-CN"/>
        </w:rPr>
        <w:t>三、质疑事项具体内容</w:t>
      </w:r>
      <w:bookmarkEnd w:id="18"/>
    </w:p>
    <w:p w14:paraId="17BDBFF8">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636CF69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7C60EF80">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357C8324">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4220F677">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605F162B">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9" w:name="_Toc22365"/>
      <w:r>
        <w:rPr>
          <w:rFonts w:hint="eastAsia" w:ascii="仿宋" w:hAnsi="仿宋" w:eastAsia="仿宋" w:cs="仿宋"/>
          <w:bCs/>
          <w:color w:val="auto"/>
          <w:highlight w:val="none"/>
          <w:lang w:eastAsia="zh-CN"/>
        </w:rPr>
        <w:t>四、与质疑事项相关的质疑请求</w:t>
      </w:r>
      <w:bookmarkEnd w:id="19"/>
    </w:p>
    <w:p w14:paraId="7734596D">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2BC73AFB">
      <w:pPr>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44CC7D26">
      <w:pPr>
        <w:spacing w:line="540" w:lineRule="exact"/>
        <w:ind w:firstLine="490" w:firstLineChars="20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18C1CA54">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highlight w:val="none"/>
        </w:rPr>
      </w:pPr>
    </w:p>
    <w:p w14:paraId="7037376C">
      <w:pPr>
        <w:pageBreakBefore/>
        <w:spacing w:line="440" w:lineRule="exact"/>
        <w:jc w:val="center"/>
        <w:outlineLvl w:val="0"/>
        <w:rPr>
          <w:rFonts w:hint="eastAsia" w:ascii="仿宋" w:hAnsi="仿宋" w:eastAsia="仿宋" w:cs="仿宋"/>
          <w:b/>
          <w:bCs w:val="0"/>
          <w:color w:val="auto"/>
          <w:sz w:val="36"/>
          <w:szCs w:val="36"/>
          <w:highlight w:val="none"/>
          <w:lang w:eastAsia="zh-CN"/>
        </w:rPr>
      </w:pPr>
      <w:r>
        <w:rPr>
          <w:rFonts w:hint="eastAsia" w:ascii="仿宋" w:hAnsi="仿宋" w:eastAsia="仿宋" w:cs="仿宋"/>
          <w:b/>
          <w:color w:val="auto"/>
          <w:sz w:val="32"/>
          <w:szCs w:val="32"/>
          <w:highlight w:val="none"/>
          <w:lang w:eastAsia="zh-CN"/>
        </w:rPr>
        <w:t>第三部分</w:t>
      </w:r>
      <w:r>
        <w:rPr>
          <w:rFonts w:hint="eastAsia" w:ascii="仿宋" w:hAnsi="仿宋" w:eastAsia="仿宋" w:cs="仿宋"/>
          <w:b/>
          <w:bCs w:val="0"/>
          <w:color w:val="auto"/>
          <w:sz w:val="36"/>
          <w:szCs w:val="36"/>
          <w:highlight w:val="none"/>
          <w:lang w:eastAsia="zh-CN"/>
        </w:rPr>
        <w:t xml:space="preserve"> 技术规格、数量及质量要求</w:t>
      </w:r>
      <w:bookmarkStart w:id="20" w:name="_Toc267320052"/>
      <w:bookmarkStart w:id="21" w:name="_Toc340225294"/>
    </w:p>
    <w:bookmarkEnd w:id="10"/>
    <w:bookmarkEnd w:id="20"/>
    <w:bookmarkEnd w:id="21"/>
    <w:tbl>
      <w:tblPr>
        <w:tblStyle w:val="2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3"/>
        <w:gridCol w:w="1320"/>
        <w:gridCol w:w="6428"/>
        <w:gridCol w:w="818"/>
        <w:gridCol w:w="818"/>
      </w:tblGrid>
      <w:tr w14:paraId="7DC04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B445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7E8C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5EC2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设备技术参数</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FE2E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8E2B8">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单位</w:t>
            </w:r>
          </w:p>
        </w:tc>
      </w:tr>
      <w:tr w14:paraId="31709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9CE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C31E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八人餐桌</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330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1、</w:t>
            </w:r>
            <w:r>
              <w:rPr>
                <w:rFonts w:hint="eastAsia" w:ascii="宋体" w:hAnsi="宋体" w:eastAsia="宋体" w:cs="宋体"/>
                <w:i w:val="0"/>
                <w:iCs w:val="0"/>
                <w:color w:val="000000"/>
                <w:sz w:val="24"/>
                <w:szCs w:val="24"/>
                <w:highlight w:val="none"/>
                <w:u w:val="none"/>
              </w:rPr>
              <w:t>尺寸：桌面外形尺寸≥2000×600×760mm，座凳展开后支撑距离≥1400mm</w:t>
            </w:r>
          </w:p>
          <w:p w14:paraId="4521005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2、</w:t>
            </w:r>
            <w:r>
              <w:rPr>
                <w:rFonts w:hint="eastAsia" w:ascii="宋体" w:hAnsi="宋体" w:eastAsia="宋体" w:cs="宋体"/>
                <w:i w:val="0"/>
                <w:iCs w:val="0"/>
                <w:color w:val="000000"/>
                <w:sz w:val="24"/>
                <w:szCs w:val="24"/>
                <w:highlight w:val="none"/>
                <w:u w:val="none"/>
              </w:rPr>
              <w:t>桌腿：支撑构件采用国标方/矩形钢管，钢管壁厚≥1.2mm，整体结构满足额定承重要求，删掉强制 50×50 截面；</w:t>
            </w:r>
          </w:p>
          <w:p w14:paraId="7B11CC3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3、</w:t>
            </w:r>
            <w:r>
              <w:rPr>
                <w:rFonts w:hint="eastAsia" w:ascii="宋体" w:hAnsi="宋体" w:eastAsia="宋体" w:cs="宋体"/>
                <w:i w:val="0"/>
                <w:iCs w:val="0"/>
                <w:color w:val="000000"/>
                <w:sz w:val="24"/>
                <w:szCs w:val="24"/>
                <w:highlight w:val="none"/>
                <w:u w:val="none"/>
              </w:rPr>
              <w:t>桌面基材：高密度板，总厚度≥25mm，外包不锈钢面板厚度≥0.6mm；桌凳面板为不锈钢板面；</w:t>
            </w:r>
          </w:p>
          <w:p w14:paraId="11EE469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4、</w:t>
            </w:r>
            <w:r>
              <w:rPr>
                <w:rFonts w:hint="eastAsia" w:ascii="宋体" w:hAnsi="宋体" w:eastAsia="宋体" w:cs="宋体"/>
                <w:i w:val="0"/>
                <w:iCs w:val="0"/>
                <w:color w:val="000000"/>
                <w:sz w:val="24"/>
                <w:szCs w:val="24"/>
                <w:highlight w:val="none"/>
                <w:u w:val="none"/>
              </w:rPr>
              <w:t>桌凳下托框架：国标钢管，壁厚≥1.2mm，</w:t>
            </w:r>
          </w:p>
          <w:p w14:paraId="3944D7E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5、</w:t>
            </w:r>
            <w:r>
              <w:rPr>
                <w:rFonts w:hint="eastAsia" w:ascii="宋体" w:hAnsi="宋体" w:eastAsia="宋体" w:cs="宋体"/>
                <w:i w:val="0"/>
                <w:iCs w:val="0"/>
                <w:color w:val="000000"/>
                <w:sz w:val="24"/>
                <w:szCs w:val="24"/>
                <w:highlight w:val="none"/>
                <w:u w:val="none"/>
              </w:rPr>
              <w:t>凳面托架：冷轧钢板厚度≥3mm，符合国标；</w:t>
            </w:r>
          </w:p>
          <w:p w14:paraId="1537AD5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6、</w:t>
            </w:r>
            <w:r>
              <w:rPr>
                <w:rFonts w:hint="eastAsia" w:ascii="宋体" w:hAnsi="宋体" w:eastAsia="宋体" w:cs="宋体"/>
                <w:i w:val="0"/>
                <w:iCs w:val="0"/>
                <w:color w:val="000000"/>
                <w:sz w:val="24"/>
                <w:szCs w:val="24"/>
                <w:highlight w:val="none"/>
                <w:u w:val="none"/>
              </w:rPr>
              <w:t>折叠结构：两侧座位可折叠，折叠铰链、连接件采用防锈五金件，保证反复折叠稳定可靠</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DCE1A">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100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5FA45">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67E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5DBB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120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五头饮水机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04B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1、</w:t>
            </w:r>
            <w:r>
              <w:rPr>
                <w:color w:val="000000"/>
                <w:sz w:val="24"/>
                <w:szCs w:val="24"/>
                <w:highlight w:val="none"/>
              </w:rPr>
              <w:t>功率：≥4.5KW；</w:t>
            </w:r>
          </w:p>
          <w:p w14:paraId="7B25F7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2、</w:t>
            </w:r>
            <w:r>
              <w:rPr>
                <w:color w:val="000000"/>
                <w:sz w:val="24"/>
                <w:szCs w:val="24"/>
                <w:highlight w:val="none"/>
              </w:rPr>
              <w:t>电源：380V，50Hz；</w:t>
            </w:r>
          </w:p>
          <w:p w14:paraId="539075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3、</w:t>
            </w:r>
            <w:r>
              <w:rPr>
                <w:color w:val="000000"/>
                <w:sz w:val="24"/>
                <w:szCs w:val="24"/>
                <w:highlight w:val="none"/>
              </w:rPr>
              <w:t>出水方式：一开五温开水，开水出水配置童锁保护功能；</w:t>
            </w:r>
          </w:p>
          <w:p w14:paraId="2F72EE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4、</w:t>
            </w:r>
            <w:r>
              <w:rPr>
                <w:color w:val="000000"/>
                <w:sz w:val="24"/>
                <w:szCs w:val="24"/>
                <w:highlight w:val="none"/>
              </w:rPr>
              <w:t>热胆容量：≥35L；</w:t>
            </w:r>
          </w:p>
          <w:p w14:paraId="60F943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5、</w:t>
            </w:r>
            <w:r>
              <w:rPr>
                <w:color w:val="000000"/>
                <w:sz w:val="24"/>
                <w:szCs w:val="24"/>
                <w:highlight w:val="none"/>
              </w:rPr>
              <w:t>供水量：开水≥40L/H，温开水≥180L/H，满足 50 人以上连续用水需求；</w:t>
            </w:r>
          </w:p>
          <w:p w14:paraId="34E223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6、</w:t>
            </w:r>
            <w:r>
              <w:rPr>
                <w:color w:val="000000"/>
                <w:sz w:val="24"/>
                <w:szCs w:val="24"/>
                <w:highlight w:val="none"/>
              </w:rPr>
              <w:t>整机外形尺寸：长≤1250mm，宽≤470mm，高≤1350mm（满足现场安装空间要求，尺寸允许 ±2% 偏差）；</w:t>
            </w:r>
          </w:p>
          <w:p w14:paraId="39A9A5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7、</w:t>
            </w:r>
            <w:r>
              <w:rPr>
                <w:color w:val="000000"/>
                <w:sz w:val="24"/>
                <w:szCs w:val="24"/>
                <w:highlight w:val="none"/>
              </w:rPr>
              <w:t>适用水压：0.01MPa～0.6MPa，适配市政自来水水源；</w:t>
            </w:r>
          </w:p>
          <w:p w14:paraId="791761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8、</w:t>
            </w:r>
            <w:r>
              <w:rPr>
                <w:color w:val="000000"/>
                <w:sz w:val="24"/>
                <w:szCs w:val="24"/>
                <w:highlight w:val="none"/>
              </w:rPr>
              <w:t>龙头为食品级材质，触摸式出水；</w:t>
            </w:r>
          </w:p>
          <w:p w14:paraId="58AAE10D">
            <w:pPr>
              <w:keepNext w:val="0"/>
              <w:keepLines w:val="0"/>
              <w:widowControl/>
              <w:suppressLineNumbers w:val="0"/>
              <w:jc w:val="left"/>
              <w:textAlignment w:val="center"/>
              <w:rPr>
                <w:rFonts w:hint="eastAsia"/>
                <w:color w:val="000000"/>
                <w:sz w:val="24"/>
                <w:szCs w:val="24"/>
                <w:highlight w:val="none"/>
              </w:rPr>
            </w:pPr>
            <w:r>
              <w:rPr>
                <w:rFonts w:hint="eastAsia"/>
                <w:color w:val="000000"/>
                <w:sz w:val="24"/>
                <w:szCs w:val="24"/>
                <w:highlight w:val="none"/>
                <w:lang w:val="en-US" w:eastAsia="zh-CN"/>
              </w:rPr>
              <w:t>9、</w:t>
            </w:r>
            <w:r>
              <w:rPr>
                <w:rFonts w:hint="eastAsia"/>
                <w:color w:val="000000"/>
                <w:sz w:val="24"/>
                <w:szCs w:val="24"/>
                <w:highlight w:val="none"/>
              </w:rPr>
              <w:t>发热管采用食品 316L 不锈钢材质；提供与投标产品型号一致、具备 CMA 资质检验机构出具的有效检验报告予以证明；</w:t>
            </w:r>
          </w:p>
          <w:p w14:paraId="6C2319B7">
            <w:pPr>
              <w:keepNext w:val="0"/>
              <w:keepLines w:val="0"/>
              <w:widowControl/>
              <w:suppressLineNumbers w:val="0"/>
              <w:jc w:val="left"/>
              <w:textAlignment w:val="center"/>
              <w:rPr>
                <w:rFonts w:hint="eastAsia"/>
                <w:color w:val="000000"/>
                <w:sz w:val="24"/>
                <w:szCs w:val="24"/>
                <w:highlight w:val="none"/>
              </w:rPr>
            </w:pPr>
            <w:r>
              <w:rPr>
                <w:rFonts w:hint="eastAsia"/>
                <w:color w:val="000000"/>
                <w:sz w:val="24"/>
                <w:szCs w:val="24"/>
                <w:highlight w:val="none"/>
                <w:lang w:val="en-US" w:eastAsia="zh-CN"/>
              </w:rPr>
              <w:t>10、</w:t>
            </w:r>
            <w:r>
              <w:rPr>
                <w:rFonts w:hint="eastAsia"/>
                <w:color w:val="000000"/>
                <w:sz w:val="24"/>
                <w:szCs w:val="24"/>
                <w:highlight w:val="none"/>
              </w:rPr>
              <w:t>配置五级过滤系统：净水流量≥2.0L/min，额定净水量≥4000L；提供整机涉及饮用水卫生安全产品卫生许可批件；配套滤芯具备涉水卫生安全相关资质，滤芯可适配本机使用，供应商承诺质保期内可稳定供应符合要求的合格滤芯；提供 CMA 检测报告，报告样品型号须与投标产品型号保持一致；</w:t>
            </w:r>
          </w:p>
          <w:p w14:paraId="2503B471">
            <w:pPr>
              <w:keepNext w:val="0"/>
              <w:keepLines w:val="0"/>
              <w:widowControl/>
              <w:suppressLineNumbers w:val="0"/>
              <w:jc w:val="left"/>
              <w:textAlignment w:val="center"/>
              <w:rPr>
                <w:rFonts w:hint="eastAsia"/>
                <w:color w:val="000000"/>
                <w:sz w:val="24"/>
                <w:szCs w:val="24"/>
                <w:highlight w:val="none"/>
              </w:rPr>
            </w:pPr>
            <w:r>
              <w:rPr>
                <w:rFonts w:hint="eastAsia"/>
                <w:color w:val="000000"/>
                <w:sz w:val="24"/>
                <w:szCs w:val="24"/>
                <w:highlight w:val="none"/>
                <w:lang w:val="en-US" w:eastAsia="zh-CN"/>
              </w:rPr>
              <w:t>11、</w:t>
            </w:r>
            <w:r>
              <w:rPr>
                <w:rFonts w:hint="eastAsia"/>
                <w:color w:val="000000"/>
                <w:sz w:val="24"/>
                <w:szCs w:val="24"/>
                <w:highlight w:val="none"/>
              </w:rPr>
              <w:t>出水水质符合《生活饮用水水质处理器卫生安全与功能评价规范—反渗透处理装置》（2001）要求；</w:t>
            </w:r>
          </w:p>
          <w:p w14:paraId="666084A0">
            <w:pPr>
              <w:keepNext w:val="0"/>
              <w:keepLines w:val="0"/>
              <w:widowControl/>
              <w:suppressLineNumbers w:val="0"/>
              <w:jc w:val="left"/>
              <w:textAlignment w:val="center"/>
              <w:rPr>
                <w:rFonts w:ascii="宋体" w:hAnsi="宋体" w:eastAsia="宋体" w:cs="宋体"/>
                <w:sz w:val="24"/>
                <w:szCs w:val="24"/>
                <w:highlight w:val="none"/>
              </w:rPr>
            </w:pPr>
            <w:r>
              <w:rPr>
                <w:rFonts w:hint="eastAsia"/>
                <w:color w:val="000000"/>
                <w:sz w:val="24"/>
                <w:szCs w:val="24"/>
                <w:highlight w:val="none"/>
                <w:lang w:val="en-US" w:eastAsia="zh-CN"/>
              </w:rPr>
              <w:t>12、</w:t>
            </w:r>
            <w:r>
              <w:rPr>
                <w:rFonts w:ascii="宋体" w:hAnsi="宋体" w:eastAsia="宋体" w:cs="宋体"/>
                <w:sz w:val="24"/>
                <w:szCs w:val="24"/>
                <w:highlight w:val="none"/>
              </w:rPr>
              <w:t>涉水部件（波纹管、热交换器、水胆等）采用食品级材料，保障出水安全；可提供对应水胆、热交换器、波纹管 CMA 检测报告及涉水卫生批件；</w:t>
            </w:r>
          </w:p>
          <w:p w14:paraId="7D4F08CF">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13、</w:t>
            </w:r>
            <w:r>
              <w:rPr>
                <w:rFonts w:ascii="宋体" w:hAnsi="宋体" w:eastAsia="宋体" w:cs="宋体"/>
                <w:sz w:val="24"/>
                <w:szCs w:val="24"/>
                <w:highlight w:val="none"/>
              </w:rPr>
              <w:t>箱体采用不锈钢板，板材厚度≥0.6mm；</w:t>
            </w:r>
          </w:p>
          <w:p w14:paraId="470FF0FD">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14、</w:t>
            </w:r>
            <w:r>
              <w:rPr>
                <w:rFonts w:ascii="宋体" w:hAnsi="宋体" w:eastAsia="宋体" w:cs="宋体"/>
                <w:sz w:val="24"/>
                <w:szCs w:val="24"/>
                <w:highlight w:val="none"/>
              </w:rPr>
              <w:t>水槽采用 304 不锈钢材质，板材厚度≥1.0mm；</w:t>
            </w:r>
          </w:p>
          <w:p w14:paraId="3E0A1E4B">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15、</w:t>
            </w:r>
            <w:r>
              <w:rPr>
                <w:rFonts w:ascii="宋体" w:hAnsi="宋体" w:eastAsia="宋体" w:cs="宋体"/>
                <w:sz w:val="24"/>
                <w:szCs w:val="24"/>
                <w:highlight w:val="none"/>
              </w:rPr>
              <w:t>排水管材具备防烫伤、防变形性能；</w:t>
            </w:r>
          </w:p>
          <w:p w14:paraId="571D6388">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16、</w:t>
            </w:r>
            <w:r>
              <w:rPr>
                <w:rFonts w:ascii="宋体" w:hAnsi="宋体" w:eastAsia="宋体" w:cs="宋体"/>
                <w:sz w:val="24"/>
                <w:szCs w:val="24"/>
                <w:highlight w:val="none"/>
              </w:rPr>
              <w:t>配置智能显示屏，可实时显示加热状态、水位状态、即时水温、北京时间；支持设置自动开关机，可按每周工作日、每日时段设定设备启停；整机具备防干烧、漏电保护功能；</w:t>
            </w:r>
          </w:p>
          <w:p w14:paraId="1E451F1A">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17、</w:t>
            </w:r>
            <w:r>
              <w:rPr>
                <w:rFonts w:ascii="宋体" w:hAnsi="宋体" w:eastAsia="宋体" w:cs="宋体"/>
                <w:sz w:val="24"/>
                <w:szCs w:val="24"/>
                <w:highlight w:val="none"/>
              </w:rPr>
              <w:t>具备水不开不出水功能；温开水采用物理降温方式，不得采用冷热直接混合出水；提供投标产品对应型号节能认证证书；</w:t>
            </w:r>
          </w:p>
          <w:p w14:paraId="321E3835">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18、</w:t>
            </w:r>
            <w:r>
              <w:rPr>
                <w:rFonts w:ascii="宋体" w:hAnsi="宋体" w:eastAsia="宋体" w:cs="宋体"/>
                <w:sz w:val="24"/>
                <w:szCs w:val="24"/>
                <w:highlight w:val="none"/>
              </w:rPr>
              <w:t>电器控制线路采用≤12V 安全电压微电脑控制</w:t>
            </w:r>
          </w:p>
          <w:p w14:paraId="38D49DF3">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19、</w:t>
            </w:r>
            <w:r>
              <w:rPr>
                <w:rFonts w:ascii="宋体" w:hAnsi="宋体" w:eastAsia="宋体" w:cs="宋体"/>
                <w:sz w:val="24"/>
                <w:szCs w:val="24"/>
                <w:highlight w:val="none"/>
              </w:rPr>
              <w:t>整机具备六防设计：防漏电、防干烧、防火、防爆、防开盖、防蒸汽；本设备主要用于室内使用；</w:t>
            </w:r>
          </w:p>
          <w:p w14:paraId="3FA78B83">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20、</w:t>
            </w:r>
            <w:r>
              <w:rPr>
                <w:rFonts w:ascii="宋体" w:hAnsi="宋体" w:eastAsia="宋体" w:cs="宋体"/>
                <w:sz w:val="24"/>
                <w:szCs w:val="24"/>
                <w:highlight w:val="none"/>
              </w:rPr>
              <w:t>产品符合 GB 4806.9-2016《食品安全国家标准 食品接触用金属材料及制品》检测要求，提供对应食品接触产品安全相关认证 / 检测材料；</w:t>
            </w:r>
          </w:p>
          <w:p w14:paraId="216E41DD">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21、</w:t>
            </w:r>
            <w:r>
              <w:rPr>
                <w:rFonts w:ascii="宋体" w:hAnsi="宋体" w:eastAsia="宋体" w:cs="宋体"/>
                <w:sz w:val="24"/>
                <w:szCs w:val="24"/>
                <w:highlight w:val="none"/>
              </w:rPr>
              <w:t>采用高性能整体聚氨酯发泡保温结构，保温效果优异，热损失低，相比普通保温结构节电效果显著；可提供投标产品聚氨酯发泡保温层 CMA 检测报告及节能认证证书；</w:t>
            </w:r>
          </w:p>
          <w:p w14:paraId="3AC7A2FE">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22、</w:t>
            </w:r>
            <w:r>
              <w:rPr>
                <w:rFonts w:ascii="宋体" w:hAnsi="宋体" w:eastAsia="宋体" w:cs="宋体"/>
                <w:sz w:val="24"/>
                <w:szCs w:val="24"/>
                <w:highlight w:val="none"/>
              </w:rPr>
              <w:t>电磁阀、安全阀、水位探针、水龙头等主要涉水部件均符合 GB 4806.9-2016 要求；提供具备 CMA 资质检验机构出具的卫生安全性检验报告，报告样品型号须与投标产品及对应部件型号一致；</w:t>
            </w:r>
          </w:p>
          <w:p w14:paraId="06C123AC">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23、</w:t>
            </w:r>
            <w:r>
              <w:rPr>
                <w:rFonts w:ascii="宋体" w:hAnsi="宋体" w:eastAsia="宋体" w:cs="宋体"/>
                <w:sz w:val="24"/>
                <w:szCs w:val="24"/>
                <w:highlight w:val="none"/>
              </w:rPr>
              <w:t>产品安全性能符合现行有效《家用和类似用途电器的安全》系列国家标准要求，提供有效的国家强制性产品 CCC 认证证书；</w:t>
            </w:r>
          </w:p>
          <w:p w14:paraId="027D6795">
            <w:pPr>
              <w:keepNext w:val="0"/>
              <w:keepLines w:val="0"/>
              <w:widowControl/>
              <w:suppressLineNumbers w:val="0"/>
              <w:jc w:val="left"/>
              <w:textAlignment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24、</w:t>
            </w:r>
            <w:r>
              <w:rPr>
                <w:rFonts w:ascii="宋体" w:hAnsi="宋体" w:eastAsia="宋体" w:cs="宋体"/>
                <w:sz w:val="24"/>
                <w:szCs w:val="24"/>
                <w:highlight w:val="none"/>
              </w:rPr>
              <w:t>产品符合GB 34914-2021《反渗透净水机水效限定值及水效等级》规定，提供有效的国家节水产品认证证书。</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434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62B96">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DF7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D9C0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FFEE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双层工作台</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6159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尺寸：≥1800mm*800mm*800mm，采用优质201#磨砂不锈钢板材制作，板材厚度≥1.0MM，支撑管采用管径</w:t>
            </w:r>
            <w:r>
              <w:rPr>
                <w:rFonts w:ascii="宋体" w:hAnsi="宋体" w:eastAsia="宋体" w:cs="宋体"/>
                <w:sz w:val="24"/>
                <w:szCs w:val="24"/>
                <w:highlight w:val="none"/>
              </w:rPr>
              <w:t>≥</w:t>
            </w:r>
            <w:r>
              <w:rPr>
                <w:rFonts w:hint="eastAsia" w:ascii="宋体" w:hAnsi="宋体" w:eastAsia="宋体" w:cs="宋体"/>
                <w:i w:val="0"/>
                <w:iCs w:val="0"/>
                <w:color w:val="000000"/>
                <w:kern w:val="0"/>
                <w:sz w:val="24"/>
                <w:szCs w:val="24"/>
                <w:highlight w:val="none"/>
                <w:u w:val="none"/>
                <w:lang w:val="en-US" w:eastAsia="zh-CN" w:bidi="ar"/>
              </w:rPr>
              <w:t>40mm不锈钢管配可活动脚</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D6CB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8A576">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736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F07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F70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大单星盆台</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537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尺寸：≥1000mm*750mm*800/100mm，采用优质201#磨砂不锈钢板材制作，板材厚度≥1.0MM，支撑管采用管径≥38mm不锈钢管配可调节子弹脚</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EC0A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9D2A5">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2761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0B4E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C2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绞切肉机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1FE8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外形尺寸≥550mm×380mm×750mm；机身以及与肉类接触部件采用201不锈钢材质；输送带及压菜带采用食品接触级橡塑材料，具备切片、切丝、绞馅功能；生产能力：切肉片≥400Kg/h，切肉丝≥200Kg/h，绞肉≥100Kg/h。</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A5B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9411">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6E89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A2CF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DCD7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多功能切菜机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7BC0A">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成品形状：可加工片、丝、丁；机器外形尺寸≥1160 (L)×530 (W)×1000 (H) mm；叶菜切割规格 1-60mm 可调，根茎类切割规格 1-7mm 可调；球茎类切丁最小可达 6mm 方丁，球茎类切丝最小可达 3mm 方丝；生产能力：叶菜≥600KG/H，根茎≥300KG/H；电源：220V 单相；功率≥1.3KW。 </w:t>
            </w:r>
          </w:p>
          <w:p w14:paraId="1E07045F">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与食品接触板材及部件采用食品级材质，产品符合 GB 4806.1-2016、GB 4806.9-2023、GB 4806.11-2023 标准；可提供具备 CMA 资质检测机构出具的对应检测报告，证明食品接触部件满足上述强制国标要求。 </w:t>
            </w:r>
          </w:p>
          <w:p w14:paraId="44C74E80">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设备金属构件适配后厨潮湿环境，具备良好防锈、耐腐蚀性能；可提供 CMA 资质机构出具的中性盐雾检测报告。 </w:t>
            </w:r>
          </w:p>
          <w:p w14:paraId="6AE8B71F">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4、设备结构设计便于清洗，不易残留食材残渣、滋生霉变。</w:t>
            </w:r>
          </w:p>
          <w:p w14:paraId="728A1D4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备注：所有检测报告，报告样品型号须与投标产品型号保持一致，证书 / 报告在有效期内即可，不限制送检主体。本参数为最低性能要求，产品等于或优于参数即为满足。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5C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6D227">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578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0892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883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毛刷去皮机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1AB7">
            <w:pPr>
              <w:keepNext w:val="0"/>
              <w:keepLines w:val="0"/>
              <w:widowControl/>
              <w:numPr>
                <w:ilvl w:val="0"/>
                <w:numId w:val="7"/>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外形尺寸≥1180mm×660mm×1100mm；主体材质采用 201 不锈钢；采用数字控制，操作简单便捷。 </w:t>
            </w:r>
          </w:p>
          <w:p w14:paraId="124AB1F2">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配置安全防护装置，毛刷式结构，配套优质电机；毛刷采用食品级塑料材质。 </w:t>
            </w:r>
          </w:p>
          <w:p w14:paraId="559C83FD">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与食品接触板材及部件均采用食品级材质，符合国家标准 GB 4806.1-2016、GB 4806.9-2023、GB 4806.11-2023；可提供具备 CMA 资质检测机构出具的检测报告，报告样品型号与投标产品一致。 </w:t>
            </w:r>
          </w:p>
          <w:p w14:paraId="635599F7">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设备金属构件适配后厨潮湿环境，具备良好防锈、耐腐蚀性能；可提供 CMA 资质机构出具的中性盐雾检测报告。 </w:t>
            </w:r>
          </w:p>
          <w:p w14:paraId="098F8025">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5、设备结构便于清洗，不易残留食材残渣、滋生霉变。</w:t>
            </w:r>
          </w:p>
          <w:p w14:paraId="1380695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备注：本参数为最低性能要求，产品等于或优于参数即为满足；所有检测报告在有效期内、样品型号与投标产品一致即可，不限制送检主体。</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B646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8D5A5">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13E7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7"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3CCE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06C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五格保温售饭台</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5B3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外形尺寸≥1800mm×700mm×800mm；面板采用 201 不锈钢板，厚度≥1.0mm；水池采用 201 不锈钢板，厚度≥0.8mm；层板采用 201 不锈钢板，厚度≥0.9mm；配套 5 套 1/1×150mm 标准份数盆；配置 2 根≥1.5KW、220V 加热管，总功率≥3.0kW，配备自动恒温控制系统；支撑脚管采用 201 不锈钢管，壁厚≥1.0mm，配置可调节子弹脚；</w:t>
            </w:r>
          </w:p>
          <w:p w14:paraId="58FC37B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3EB8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9B27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650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31F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0FA8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杀菌灯</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447F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尺寸：≥700mm*111mm*500mm，石英管状玻璃外壳，具有杀菌的作用。</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365B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F3E2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654B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2"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2D6C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6FED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单门留样柜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DB15B">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尺寸：≥650mm*610mm*1850mm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1、整体采用不锈钢板制作，厚度≥0.6mm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2、温度范围：+2C/+8°C</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3、功率：220V/≥135W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4、有效容积≥380L</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5、钢化玻璃门，灯： LED</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w:t>
            </w:r>
            <w:r>
              <w:rPr>
                <w:rFonts w:ascii="宋体" w:hAnsi="宋体" w:eastAsia="宋体" w:cs="宋体"/>
                <w:sz w:val="24"/>
                <w:szCs w:val="24"/>
                <w:highlight w:val="none"/>
              </w:rPr>
              <w:t>配置2层可调节层架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7、加重脚轮带刹车</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CF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6DFE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0A41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AAD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9A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四门高身雪柜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1641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1200mm×700mm×1950mm；内胆采用不锈钢板制作；蒸发器换热效率高，制冷性能稳定；配备数字温度显示器，柜门配置门锁；采用聚氨酯高压发泡保温层，保温性能优良；换热管路具备良好耐腐蚀、高效换热性能；配备性能稳定压缩机；双温控制，冷藏 0℃~+10℃，冷冻≤-18℃；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E4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78F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9CF8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BEF9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E97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1米单头大炒炉</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F7A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1200mm×1300mm×1200mm；炉面板采用不锈钢板，厚度≥1.2mm，整体冲压成型；炉面板下方设置隔热层，内衬钢板具备足够强度，采用可靠连接工艺，保证炉面板稳固不变形；侧板、背板不锈钢板厚度≥1.0mm；炉架结构稳固，满足承重要求；炉面配置冷水装置及双摇摆水龙头；配置≥250W 低噪音鼓风机，风量可调；配备环保节能炉头，火力大小可调节；灶开关为全铜材质；水管、气管排布规整，满足使用安全要求；炉腿不锈钢管材壁厚≥1.5mm，配置全钢可调节子弹脚；焊接连接牢固可靠；配备自动电子打火装置与熄火保护安全装置</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7EA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FFDF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3AC0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2A5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7D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冷藏平台雪柜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6E7F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外形尺寸≥1800mm×700mm×800mm；柜体采用环保绝缘材料，配备品牌压缩机，单温单控，使用环保冷媒；配置数字温度显示器；采用聚氨酯高压发泡保温层；冷凝器配备可拆式滤网；蒸发器换热性能良好、耐腐蚀，满足整机制冷需求；控温范围：-20℃～+5℃；</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0FD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181E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3E6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820C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60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双门燃气蒸饭柜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9B6C">
            <w:pPr>
              <w:keepNext w:val="0"/>
              <w:keepLines w:val="0"/>
              <w:widowControl/>
              <w:numPr>
                <w:ilvl w:val="0"/>
                <w:numId w:val="8"/>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规格：24 盘；柜体外壳采用≥1.2mm 厚 201 磨砂不锈钢板，冲压成型；内胆采用≥1.2mm 厚 304 麻砂不锈钢板。</w:t>
            </w:r>
          </w:p>
          <w:p w14:paraId="23B609A6">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采用耐热聚氨酯整体发泡夹层设计，保温性能良好，散热损失小。 </w:t>
            </w:r>
          </w:p>
          <w:p w14:paraId="41E102BB">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配置安全泄压装置，常压运行，保障使用安全；蒸胆结构强度可靠，满足常压蒸饭安全使用要求。 </w:t>
            </w:r>
          </w:p>
          <w:p w14:paraId="4B9152E2">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水箱采用可拆卸式结构，便于维护清洗。 </w:t>
            </w:r>
          </w:p>
          <w:p w14:paraId="0F1370A3">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设备符合 GB 35848《商用燃气燃烧器具》国家标准，具备燃气安全保护装置；与食品接触板材及部件均采用食品级材质，符合 GB4806.1-2016、GB4806.9-2023、GB4806.11-2023；可提供 CMA 资质检测机构出具的检测报告，报告样品型号与投标产品一致。 </w:t>
            </w:r>
          </w:p>
          <w:p w14:paraId="2B96FF6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6、设备金属构件适配后厨潮湿环境，具备良好防锈、耐腐蚀性能；可提供 CMA 资质机构出具的中性盐雾检测报告。</w:t>
            </w:r>
          </w:p>
          <w:p w14:paraId="0296D3C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备注：本参数为最低性能要求，产品等于或优于参数即为满足；检测报告、证书在有效期内、样品型号与投标产品一致即可，不限制送检主体。</w:t>
            </w:r>
          </w:p>
          <w:p w14:paraId="254012E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48A1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E6A8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357A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7D47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F9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高速压面机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2FD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高速压面机：外形尺寸≥600mm×710mm×1180mm；设备外壳板材≥0.8mm 磨砂 201 不锈钢，整机机壳为不锈钢材质；配备 3 种规格不锈钢面刀；设置安全防护栏及紧急安全开关，保障操作人员安全；S 型连续辗压结构，提升面团延展性、面皮筋性，实现自动连续压面；电机性能稳定可靠，温升符合相关国标，可长时间连续工作。 与食品接触板材及部件均采用食品级材质，符合 GB 4806.1-2016、GB 4806.9-2023、GB 4806.11-2023 标准；可提供 CMA 资质检测机构出具的检测报告，报告样品型号与投标产品保持一致。 设备金属构件适配后厨潮湿环境，具备良好防锈耐腐蚀性能；可提供 CMA 资质机构出具的中性盐雾检测报告。 设备结构便于清洗，不易残留面垢、滋生霉变；电气安全符合现行国家标准，可提供 CCC 认证证书。</w:t>
            </w:r>
          </w:p>
          <w:p w14:paraId="5C2F75D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备注：本参数为最低性能要求，产品等于或优于参数即为满足；检测报告、证书在有效期内、样品型号与投标产品一致即可，不限制送检主体。</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60C5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E1B0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FA45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760E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4F54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50KG和面机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5280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50KG 和面机：外形尺寸≥580mm×980mm×1080mm；机身采用不锈钢材质，一机多用，可完成和面、搅拌鱼肉、肉末、菜馅作业；电机动力强劲、性能稳定可靠，温升符合相关国标，支持长时间连续作业；设备双向转动，和面效果好，面团柔软细腻富有弹性；配置精钢圆弧和面刀，具备翻、转、揉、搓、扯、拧复合揉面动作。 与食品接触板材及部件均采用食品级材质，符合 GB 4806.1-2016、GB 4806.9-2023、GB 4806.11-2023 标准；可提供 CMA 资质检测机构出具的检测报告，报告样品型号与投标产品保持一致。 设备金属构件适配后厨潮湿环境，具备良好防锈耐腐蚀性能；可提供 CMA 资质机构出具的中性盐雾检测报告。 设备结构便于清洗，不易残留食材、滋生霉变；电气安全符合现行国家标准，可提供 CCC 认证证书。</w:t>
            </w:r>
          </w:p>
          <w:p w14:paraId="57807DE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备注：本参数为最低性能要求，产品等于或优于参数即为满足；检测报告、证书在有效期内、样品型号与投标产品一致即可，不限制送检主体。</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87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A154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0DC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3F6B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179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双星盆台</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08F1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尺寸：≥1200mm*800mm*800/100mm，采用优质201#磨砂不锈钢板材制作，板材厚度≥1.0MM，支撑管采用管径38mm不锈钢管配可调节子弹脚</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2C1B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4FDE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5733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B866">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18</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1C28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圆脚四层平板层架</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3268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尺寸：≥1200mm*500mm*1550mm，采用201#磨砂不锈钢板材制作，板材厚度≥1.0MM，立柱≥1.0mm钢板定制，打孔可调节层板位置，全钢可调节子弹脚</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05CA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83B2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A24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D0882">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19</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E3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米面架</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8DD7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尺寸：≥1200mm*500mm*300mm，采用201#磨砂不锈钢板材制作，板材厚度≥1.0MM，立柱≥1.0mm钢板定制，打孔可调节层板位置</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D3B9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1D7E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0577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9"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C069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4D2F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双门消毒柜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6015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双门消毒柜：外形尺寸≥1300mm×700mm×1980mm；整机采用不锈钢材质；电源 220V，额定功率≥4.4KW；有效容积≥720L；采用高温消毒方式，内胆为不锈钢材质；配置双层不锈钢门；网架框采用不锈钢圆钢焊接；消毒温度可调节。 与食品接触板材及部件均采用食品级材质，符合 GB 4806.1-2016、GB 4806.9-2023、GB 4806.11-2023；可提供 CMA 资质检测机构出具的检测报告，报告样品型号与投标产品一致。 设备金属构件适配后厨潮湿环境，具备良好防锈耐腐蚀性能；可提供 CMA 资质机构出具的中性盐雾检测报告。 设备结构便于清洗；产品符合食具消毒柜现行国家安全标准，可提供 CCC 认证证书；高温消毒性能满足食堂餐具消毒使用要求。</w:t>
            </w:r>
          </w:p>
          <w:p w14:paraId="57583F3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备注：本参数为最低性能要求，产品等于或优于参数即为满足；检测报告、证书在有效期内、样品型号与投标产品一致即可，不限制送检主体。</w:t>
            </w:r>
          </w:p>
          <w:p w14:paraId="439A76B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384C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A71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071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B46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5D9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三星盆台</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5282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尺寸：≥1800mm*700mm*650mm，采用201#磨砂不锈钢板材制作，板材厚度≥1.0MM</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112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F73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5971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59E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5B3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粘捕式灭蚊灯</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99A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尺寸：≥400mm*170mm*310mm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1、灯外壳采用阻燃材料设计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2、电击诱捕灭蝇方式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3、功率：≥12w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4、覆盖面积：≥40m²</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85D3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E34D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5153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2"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59AD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C5D1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洗衣机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EDA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尺寸：≥58*59*96cm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电压：≥220V;</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洗涤容量：≥12kg;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变频，一级能效；全自动顶开门</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6374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E862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7AC3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4CD1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47AB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空调</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1DA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lang w:eastAsia="zh-CN"/>
              </w:rPr>
            </w:pPr>
            <w:r>
              <w:rPr>
                <w:rFonts w:hint="eastAsia" w:ascii="宋体" w:hAnsi="宋体" w:eastAsia="宋体" w:cs="宋体"/>
                <w:i w:val="0"/>
                <w:iCs w:val="0"/>
                <w:color w:val="000000"/>
                <w:kern w:val="0"/>
                <w:sz w:val="24"/>
                <w:szCs w:val="24"/>
                <w:highlight w:val="none"/>
                <w:u w:val="none"/>
                <w:lang w:val="en-US" w:eastAsia="zh-CN" w:bidi="ar"/>
              </w:rPr>
              <w:t>分体壁挂式1.5P冷暖，一级能效，</w:t>
            </w:r>
            <w:r>
              <w:rPr>
                <w:rFonts w:ascii="宋体" w:hAnsi="宋体" w:eastAsia="宋体" w:cs="宋体"/>
                <w:sz w:val="24"/>
                <w:szCs w:val="24"/>
                <w:highlight w:val="none"/>
              </w:rPr>
              <w:t>支持 APP 操控、按键控制、遥控器控制</w:t>
            </w:r>
            <w:r>
              <w:rPr>
                <w:rFonts w:hint="eastAsia" w:ascii="宋体" w:hAnsi="宋体" w:eastAsia="宋体" w:cs="宋体"/>
                <w:sz w:val="24"/>
                <w:szCs w:val="24"/>
                <w:highlight w:val="none"/>
                <w:lang w:eastAsia="zh-CN"/>
              </w:rPr>
              <w:t>。</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272B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D70A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0BF2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F9F4">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25</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C27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高低床</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A128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高低床：外形尺寸4500mm×900mm×1800mm；床头为圆弧形设计；床头立柱管材壁厚≥1.35mm，整体结构稳定、承重达标，不易变形；床屉主承托大杠管材壁厚≥1.3mm；床铺横向支撑不少于 5 根，支撑管材壁厚≥1.5mm；床边护栏管材壁厚≥1.2mm；爬梯立柱管材壁厚≥1.2mm，四层踏板设计，踏板尺寸≥500mm×225mm，踏板钢板厚度≥1.8mm；铺板≥14mm 厚 E1 级热压胶合多层板，环保指标符合国家标准；床体采用无螺丝插接式连接结构，拆装便捷，运输过程不易变形；双层鞋架采用方管焊接，鞋架外形尺寸≥800mm×450mm；床下柜外形尺寸≥500mm×550mm×440mm，柜体板材厚度≥0.7mm；所有钢构件经除锈、除油、磷化预处理，静电粉末喷涂，喷塑无死角，色泽均匀，涂层附着力强、耐冲击、防锈性能满足使用要求。 每套配置：床下柜 4 个、双层鞋架 2 套、铺板 4 块。 产品质量符合 GB/T3325《金属家具通用技术条件》、GB18580《室内装饰装修材料 人造板及其制品中甲醛释放限量》；投标人承诺供货前可提供带 CMA/CNAS 标识的产品检验报告。</w:t>
            </w:r>
          </w:p>
          <w:p w14:paraId="78F18A4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备注：本参数为最低性能要求，产品等于或优于参数即为满足；检测报告、证书在有效期内、样品型号与投标产品一致即可，不限制送检主体。</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144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1DC7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B260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0B4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26</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1B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四门衣柜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2EEB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四门钢制储物柜：材质采用符合国家标准的优质冷轧钢板；板材厚度≥0.7mm；外形规格≥80cm×40cm×175cm；柜内每扇门配置 1 层水平隔板，隔板高度 30cm；钢件表面进行除油、除锈、磷化类前处理，静电粉末喷塑，套色处理，涂层防腐、硬度、耐冲击性能满足使用要求；每扇柜门配置外挂锁，柜门设置通风口，柜体带卡槽；柜体颜色米白色。 投标人承诺，产品符合钢制家具相关国家规范，供货验收前可提供带 CMA/CNAS 标志的产品检验报告。</w:t>
            </w:r>
          </w:p>
          <w:p w14:paraId="267B930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备注：本参数为最低性能要求，产品等于或优于参数即为满足；检测报告、证书在有效期内、样品型号与投标产品一致即可，不限制送检主体。</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9E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924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9B16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B1EC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27</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F1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大不锈钢盆</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B25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尺寸：≥80公分，1.5mm厚全不锈钢304不锈钢制作， 一次成型，无焊接</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92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6037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D63A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A803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28</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83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中不锈钢盆</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EB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尺寸：≥60公分，1.5mm厚全不锈钢304不锈钢制作， 一次成型，无焊接</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C0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FC7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76DF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643B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29</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4B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小不锈钢盆</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098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尺寸：≥30公分，1.5mm厚全不锈钢304不锈钢制作， 一次成型，无焊接</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8C0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ED2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DB3B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333A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B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打炒勺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9AB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6两木柄不锈钢加厚</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3C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8D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767B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0EB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D1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长柄漏勺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E2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1.2米长不锈钢，直径：35公分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61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77F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ADAB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01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02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菜墩(大)</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067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PE塑料板材具有高强度，抗冲击，耐老化特点，直径≥45CM,厚≥10CM.</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90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8AF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23C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1361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33</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A4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菜板</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467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PE塑料板材具有高强度，抗冲击，耐老化特点，58*38*3CM</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74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1FC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6190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4EA6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34</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AC7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加深菜筐(大)</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C93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尺寸：≥640*450*350mm，底部带轮子方便推拉移动，盖子两边密封卡扣防尘防潮防虫：采用优质pp材料，安全无毒无异味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7F8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63E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96F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B15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35</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29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加深菜筐(中)</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2DE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尺寸：≥580mm*430mm*330mm，底部带轮子方便推拉移动，盖子两边密封卡扣防尘防潮防虫：采用优质pp材料，安全无毒无异味</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3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12C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2A96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9F5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36</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8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大锅铲</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F1AA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长1.2米，优质不锈钢≥3.0mm厚，≥20mm*120mm*5mm</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85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89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612C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D602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37</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D2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大灶沥</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87A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不锈钢，不生锈，做工精细，无接口，口径≥35公分。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4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D3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F8FD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82D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38</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D7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食品夹</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64D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不锈钢，不易松散，不易生锈，卫生耐用尺寸：≥25公分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F5B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56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8E90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9AC9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39</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09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磨刀石</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BD59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一面粗一面细，尺寸：≥200mm*50mm*50mm</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4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C262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0791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98A5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40</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AE7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勺子</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2E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不锈钢，一次成型，结实牢固，不易变形不锈钢加厚，质量≥72克</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07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776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A98E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6B8B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41</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28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筷子</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727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一包10双，合金筷。</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2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2986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48C1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7C9C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42</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F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不锈钢碗</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0E6F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尺寸：碗口直径≥12cm，304不锈钢制作，一次成型，无焊接</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1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DD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F691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2C6D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43</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42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八门更衣柜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6ED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尺寸：≥1800*900*420mm，≥1.0mm厚优质冷轧钢板、独立门带锁</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DA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165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5745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6875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44</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5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感应水龙头</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312B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感应水龙头：适用水压 0.1–0.6MPa；水管接口 G1/2（4分）；阀体为黄铜主体，结构稳固；供电方式为直流供电；外形尺寸 160mm×50mm×150mm（允许 ±5% 公差）；感应出水，使用灵敏；</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EB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CEE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7AC9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7F0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45</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B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不锈钢加厚收餐车</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76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三层，不锈钢+PP圆管弯角，2桶+3盆，带轮</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9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BFE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D9EF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D965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46</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BF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不锈钢双孔垃圾柜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2C69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不锈钢双孔垃圾柜：外形规格 1200mm×700mm×800mm，挡水边高度 150mm；采用 201 磨砂不锈钢板材制作，板材厚度≥1.0mm；倒料口四角采用圆弧角工艺；柜体设置不锈钢加强筋，提升柜体刚度；支撑立柱采用不锈钢管材，管材壁厚≥1.5mm，整体承重稳定、不易变形；配置实心不锈钢可调子弹脚；便于清洁、耐腐蚀；</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032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625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20D5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9"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5C4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47</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8F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洗地机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8F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清洁效率≥1750㎡/h；清洁宽度 510mm，吸水扒宽度 755mm，刷盘直径 510mm；刷盘电机功率≥550W，吸水电机功率≥450W；采用 24V 直流供电。</w:t>
            </w:r>
          </w:p>
          <w:p w14:paraId="3906884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水箱容量：清水箱≥40L，污水箱≥50L（可扩容至 70L）；机身外形尺寸≥1250mm×630mm×950mm；刷盘转速≥210rpm，吸水真空度≥140mbar。</w:t>
            </w:r>
          </w:p>
          <w:p w14:paraId="7F02FF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蓄电池规格 24V，容量≥103Ah，放电性能稳定，满足长时间连续保洁作业。</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A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1C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C7BB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44AC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48</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16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D13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轮式70L,带盖工程塑料</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FD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16C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2030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5723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49</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88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平板车</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EA3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板车：外形尺寸≥1000mm×500mm×900mm；额定承重≥200kg；台面采用 304 不锈钢板制作；整车配备 4 个脚轮，转运灵活；焊接平整，边角钝化无锐边毛刺；</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C91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A97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4624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6827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50</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9C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sz w:val="24"/>
                <w:szCs w:val="24"/>
                <w:u w:val="none"/>
                <w:lang w:val="en-US" w:eastAsia="zh-CN"/>
              </w:rPr>
              <w:t>6</w:t>
            </w:r>
            <w:r>
              <w:rPr>
                <w:rFonts w:hint="eastAsia" w:ascii="宋体" w:hAnsi="宋体" w:eastAsia="宋体" w:cs="宋体"/>
                <w:sz w:val="24"/>
                <w:szCs w:val="24"/>
                <w:lang w:val="en-US" w:eastAsia="zh-CN"/>
              </w:rPr>
              <w:t>4路16盘位网络硬盘录像机</w:t>
            </w:r>
          </w:p>
        </w:tc>
        <w:tc>
          <w:tcPr>
            <w:tcW w:w="3267" w:type="pct"/>
            <w:tcBorders>
              <w:top w:val="single" w:color="000000" w:sz="4" w:space="0"/>
              <w:left w:val="single" w:color="000000" w:sz="4" w:space="0"/>
              <w:right w:val="single" w:color="000000" w:sz="4" w:space="0"/>
            </w:tcBorders>
            <w:shd w:val="clear" w:color="auto" w:fill="auto"/>
            <w:vAlign w:val="center"/>
          </w:tcPr>
          <w:p w14:paraId="3342CA1F">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b/>
                <w:bCs/>
                <w:i w:val="0"/>
                <w:iCs w:val="0"/>
                <w:color w:val="000000"/>
                <w:sz w:val="24"/>
                <w:szCs w:val="24"/>
                <w:u w:val="none"/>
                <w:lang w:val="en-US" w:eastAsia="zh-CN"/>
              </w:rPr>
              <w:t>6</w:t>
            </w:r>
            <w:r>
              <w:rPr>
                <w:rFonts w:hint="eastAsia" w:ascii="宋体" w:hAnsi="宋体" w:eastAsia="宋体" w:cs="宋体"/>
                <w:sz w:val="24"/>
                <w:szCs w:val="24"/>
                <w:lang w:val="en-US" w:eastAsia="zh-CN"/>
              </w:rPr>
              <w:t>4路16盘位网络硬盘录像机：支持 H.265、H.264 编码，支持 4K 高清网络视频预览、存储与回放；配置≥2 路 HDMI 输出接口，≥1 个网络接口，≥16 个 SATA 硬盘接口；支持 IPC 集中管理，包含 IPC 参数配置、信息导入 / 导出、语音对讲、设备升级等功能；支持全新 UI 操作界面，支持一键开启录像功能；设备配备面板按键（触摸式）；可接入智能网络摄像机，支持越界侦测、进入区域侦测、离开区域侦测、区域入侵、徘徊检测、人员聚焦、快速移动检测、非法停车检测、物品遗留、物品拿取、人脸侦测、车牌侦测、音频输入异常、声强突变、虚焦、场景变更等多种智能侦测事件接入与报警联动；支持最大 64 路同步回放及多路同步倒放；</w:t>
            </w:r>
          </w:p>
          <w:p w14:paraId="5B66F9DC">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E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EC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846B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7"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4E6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B7D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10T监控专用硬盘</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84A0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控专用企业级硬盘：标称容量≥8TB；接口类型 SATA；转速≥7200rpm；缓存≥128MB；企业级监</w:t>
            </w:r>
            <w:r>
              <w:rPr>
                <w:rStyle w:val="49"/>
                <w:sz w:val="24"/>
                <w:szCs w:val="24"/>
                <w:lang w:val="en-US" w:eastAsia="zh-CN" w:bidi="ar"/>
              </w:rPr>
              <w:t>硬盘</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A2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51B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F9FB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712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2F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400万高清监控摄像头</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49E4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 万高清枪式网络摄像机：枪式，彩色、日夜转换；有效像素≥400 万；支持 ICR 红外滤片切换，数字宽动态，3D 数字降噪；支持 H.265 Main Profile、H.264 Baseline Profile/Main Profile 编码；镜头规格可选 4mm、6mm、8mm、12mm、16mm；4mm 镜头水平视场角≥80°；最低照度：彩色模式≤0.01Lux（AGC 开启），红外模式 0Lux；最大图像分辨率≥2560×1440；红外夜视；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62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8F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14A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29D1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8AA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监控数据线</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BA00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监控数据线（室外电源数据综合一体线）：室外型超五类国标综合线缆，4 芯网线 + 2 芯电源线复合一体；网线导体截面积≥0.5mm²，电源导体截面积≥1.0mm²；网线传输指标满足超五类国家标准；外护套为室外 PE 护套，防水、防晒、耐老化，适合户外监控布线。</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28C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3825</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7D8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r>
      <w:tr w14:paraId="2A40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C97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439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24口千兆交换机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8C6C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24口千兆交换机：</w:t>
            </w:r>
            <w:r>
              <w:rPr>
                <w:rStyle w:val="49"/>
                <w:sz w:val="24"/>
                <w:szCs w:val="24"/>
                <w:lang w:val="en-US" w:eastAsia="zh-CN" w:bidi="ar"/>
              </w:rPr>
              <w:t>提供24个10/1000/自适应RJ45端口 支持绿色以太网，降低功耗，节约能源LED动态指示灯，显示端口的连接状态和设备运行状态支持端口自动翻转，使用更方便支持MAC地址自学习</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9A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1AE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7F07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3D93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39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STD-T6M-W电源</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C430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STD-T6M-W电源：</w:t>
            </w:r>
            <w:r>
              <w:rPr>
                <w:rStyle w:val="49"/>
                <w:sz w:val="24"/>
                <w:szCs w:val="24"/>
                <w:lang w:val="en-US" w:eastAsia="zh-CN" w:bidi="ar"/>
              </w:rPr>
              <w:t>12V监控专用室外电源</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374C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09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6A5F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7633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A3C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12U钢质网络机柜</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442A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12U钢质网络机柜</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6BD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88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70B6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7C18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4B7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电视机</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55EA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55英寸超高清电视机：供电220V，50Hz</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77C0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4E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68D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0B11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A69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施工及辅材</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76CB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9"/>
                <w:sz w:val="24"/>
                <w:szCs w:val="24"/>
                <w:lang w:val="en-US" w:eastAsia="zh-CN" w:bidi="ar"/>
              </w:rPr>
              <w:t>施工中用到的小材料及安装费</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D784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D33A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r>
      <w:tr w14:paraId="45BF4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638C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59</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12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食堂一楼二楼文化布置（墙面、柱子）</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C25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局部彩色涂料、特种高清影印画布、10mm雪弗板UV覆水晶膜、8+3亚克力立体字、A3A4镜框可更换画面等</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3C7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12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8882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2CD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60</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91E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宿舍楼1-4楼走廊文化布置</w:t>
            </w:r>
          </w:p>
        </w:tc>
        <w:tc>
          <w:tcPr>
            <w:tcW w:w="3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AE0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局部彩色涂料、特种高清影印画布、10mm雪弗板UV覆水晶膜、8+3亚克力立体字、A3A4镜框可更换画面等</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00A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1C7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bl>
    <w:p w14:paraId="796251C9">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rPr>
      </w:pPr>
    </w:p>
    <w:p w14:paraId="64A080B5">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pacing w:val="-1"/>
          <w:sz w:val="28"/>
          <w:szCs w:val="28"/>
          <w:highlight w:val="none"/>
        </w:rPr>
        <w:t>一、项目概况</w:t>
      </w:r>
    </w:p>
    <w:p w14:paraId="6EE535D0">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项目名称：</w:t>
      </w:r>
      <w:r>
        <w:rPr>
          <w:rFonts w:hint="eastAsia" w:ascii="宋体" w:hAnsi="宋体" w:eastAsia="宋体" w:cs="宋体"/>
          <w:b w:val="0"/>
          <w:bCs/>
          <w:color w:val="auto"/>
          <w:sz w:val="24"/>
          <w:szCs w:val="24"/>
          <w:highlight w:val="none"/>
          <w:lang w:val="en-US" w:eastAsia="zh-CN"/>
        </w:rPr>
        <w:t>阿图什市松他克镇中心学校新建改扩建项目（设备采购）</w:t>
      </w:r>
    </w:p>
    <w:p w14:paraId="10E9D316">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项目地点：</w:t>
      </w:r>
      <w:r>
        <w:rPr>
          <w:rFonts w:hint="eastAsia" w:ascii="宋体" w:hAnsi="宋体" w:eastAsia="宋体" w:cs="宋体"/>
          <w:b w:val="0"/>
          <w:bCs/>
          <w:color w:val="auto"/>
          <w:sz w:val="24"/>
          <w:szCs w:val="24"/>
          <w:highlight w:val="none"/>
          <w:lang w:val="en-US" w:eastAsia="zh-CN"/>
        </w:rPr>
        <w:t>采购单位指定地点</w:t>
      </w:r>
    </w:p>
    <w:p w14:paraId="28C25D48">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项目内容：</w:t>
      </w:r>
      <w:r>
        <w:rPr>
          <w:rFonts w:hint="eastAsia" w:ascii="宋体" w:hAnsi="宋体" w:eastAsia="宋体" w:cs="宋体"/>
          <w:b w:val="0"/>
          <w:bCs/>
          <w:color w:val="auto"/>
          <w:sz w:val="24"/>
          <w:szCs w:val="24"/>
          <w:highlight w:val="none"/>
          <w:lang w:val="en-US" w:eastAsia="zh-CN"/>
        </w:rPr>
        <w:t>食堂设备、监控设备、生活设备、等其他设备（数量及参数详见附表）</w:t>
      </w:r>
    </w:p>
    <w:p w14:paraId="56B1E0F7">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供货期：</w:t>
      </w:r>
      <w:r>
        <w:rPr>
          <w:rFonts w:hint="eastAsia" w:ascii="新宋体" w:hAnsi="新宋体" w:eastAsia="新宋体" w:cs="新宋体"/>
          <w:i w:val="0"/>
          <w:caps w:val="0"/>
          <w:color w:val="auto"/>
          <w:spacing w:val="0"/>
          <w:kern w:val="0"/>
          <w:sz w:val="21"/>
          <w:szCs w:val="21"/>
          <w:highlight w:val="none"/>
          <w:lang w:val="en-US" w:eastAsia="zh-CN"/>
        </w:rPr>
        <w:t>20天</w:t>
      </w:r>
    </w:p>
    <w:p w14:paraId="7368CC23">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质保期：</w:t>
      </w:r>
      <w:r>
        <w:rPr>
          <w:rFonts w:hint="eastAsia" w:ascii="宋体" w:hAnsi="宋体" w:eastAsia="宋体" w:cs="宋体"/>
          <w:b w:val="0"/>
          <w:bCs/>
          <w:color w:val="auto"/>
          <w:sz w:val="24"/>
          <w:szCs w:val="24"/>
          <w:highlight w:val="none"/>
          <w:lang w:val="en-US" w:eastAsia="zh-CN"/>
        </w:rPr>
        <w:t>一年，一年内对甲方实验室空调进行免费维保，出现问题8小时内响应并赶到现场进行维修。</w:t>
      </w:r>
    </w:p>
    <w:p w14:paraId="18D8BF56">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质量标准：</w:t>
      </w:r>
      <w:r>
        <w:rPr>
          <w:rFonts w:hint="eastAsia" w:ascii="宋体" w:hAnsi="宋体" w:eastAsia="宋体" w:cs="宋体"/>
          <w:bCs/>
          <w:color w:val="auto"/>
          <w:sz w:val="24"/>
          <w:szCs w:val="24"/>
          <w:highlight w:val="none"/>
          <w:lang w:val="en-US" w:eastAsia="zh-CN"/>
        </w:rPr>
        <w:t>合格。</w:t>
      </w:r>
    </w:p>
    <w:p w14:paraId="405E42F5">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仿宋" w:hAnsi="仿宋" w:eastAsia="仿宋" w:cs="仿宋"/>
          <w:b/>
          <w:color w:val="auto"/>
          <w:sz w:val="32"/>
          <w:szCs w:val="32"/>
          <w:highlight w:val="none"/>
          <w:lang w:val="en-US" w:eastAsia="zh-CN"/>
        </w:rPr>
      </w:pPr>
      <w:r>
        <w:rPr>
          <w:rFonts w:hint="eastAsia" w:ascii="宋体" w:hAnsi="宋体" w:eastAsia="宋体" w:cs="宋体"/>
          <w:b/>
          <w:bCs w:val="0"/>
          <w:color w:val="auto"/>
          <w:sz w:val="24"/>
          <w:szCs w:val="24"/>
          <w:highlight w:val="none"/>
          <w:lang w:val="en-US" w:eastAsia="zh-CN"/>
        </w:rPr>
        <w:t>付款方式：合同签订后，供应方向采购方提供中标价2%的履约保证金，采购方向供应方支付合同价50％预付款，验收合格后，采购方向供应方支付合同货款的50%。</w:t>
      </w:r>
    </w:p>
    <w:p w14:paraId="31BBACF1">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二、</w:t>
      </w:r>
      <w:bookmarkStart w:id="22" w:name="_Toc340225290"/>
      <w:bookmarkStart w:id="23" w:name="_Toc267320049"/>
      <w:r>
        <w:rPr>
          <w:rFonts w:hint="eastAsia" w:ascii="宋体" w:hAnsi="宋体" w:eastAsia="宋体" w:cs="宋体"/>
          <w:b/>
          <w:bCs/>
          <w:color w:val="auto"/>
          <w:spacing w:val="-1"/>
          <w:sz w:val="28"/>
          <w:szCs w:val="28"/>
          <w:highlight w:val="none"/>
          <w:lang w:val="en-US" w:eastAsia="zh-CN"/>
        </w:rPr>
        <w:t>项目报价、质保、售后服务等要求</w:t>
      </w:r>
    </w:p>
    <w:bookmarkEnd w:id="22"/>
    <w:bookmarkEnd w:id="23"/>
    <w:p w14:paraId="11AD1075">
      <w:pPr>
        <w:spacing w:line="360" w:lineRule="auto"/>
        <w:rPr>
          <w:rFonts w:hint="eastAsia" w:ascii="宋体" w:hAnsi="宋体" w:cs="宋体"/>
          <w:b/>
          <w:color w:val="auto"/>
          <w:szCs w:val="21"/>
          <w:highlight w:val="none"/>
        </w:rPr>
      </w:pPr>
      <w:bookmarkStart w:id="24" w:name="_Toc340225291"/>
      <w:bookmarkStart w:id="25" w:name="_Toc267320050"/>
      <w:r>
        <w:rPr>
          <w:rFonts w:hint="eastAsia" w:ascii="宋体" w:hAnsi="宋体" w:cs="宋体"/>
          <w:b/>
          <w:color w:val="auto"/>
          <w:szCs w:val="21"/>
          <w:highlight w:val="none"/>
        </w:rPr>
        <w:t>（</w:t>
      </w:r>
      <w:r>
        <w:rPr>
          <w:rFonts w:hint="eastAsia" w:ascii="宋体" w:hAnsi="宋体" w:eastAsia="宋体" w:cs="宋体"/>
          <w:b/>
          <w:color w:val="auto"/>
          <w:szCs w:val="21"/>
          <w:highlight w:val="none"/>
          <w:lang w:val="en-US" w:eastAsia="zh-CN"/>
        </w:rPr>
        <w:t>一</w:t>
      </w:r>
      <w:r>
        <w:rPr>
          <w:rFonts w:hint="eastAsia" w:ascii="宋体" w:hAnsi="宋体" w:cs="宋体"/>
          <w:b/>
          <w:color w:val="auto"/>
          <w:szCs w:val="21"/>
          <w:highlight w:val="none"/>
        </w:rPr>
        <w:t>）报价要求</w:t>
      </w:r>
      <w:bookmarkEnd w:id="24"/>
    </w:p>
    <w:p w14:paraId="5EC3837D">
      <w:pPr>
        <w:keepNext w:val="0"/>
        <w:keepLines w:val="0"/>
        <w:pageBreakBefore w:val="0"/>
        <w:widowControl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bCs w:val="0"/>
          <w:color w:val="auto"/>
          <w:sz w:val="28"/>
          <w:szCs w:val="28"/>
          <w:highlight w:val="none"/>
          <w:lang w:val="en-US" w:eastAsia="zh-CN"/>
        </w:rPr>
      </w:pPr>
      <w:r>
        <w:rPr>
          <w:rFonts w:hint="eastAsia" w:ascii="宋体" w:hAnsi="宋体" w:eastAsia="宋体" w:cs="宋体"/>
          <w:bCs/>
          <w:color w:val="auto"/>
          <w:kern w:val="2"/>
          <w:sz w:val="21"/>
          <w:szCs w:val="21"/>
          <w:highlight w:val="none"/>
          <w:lang w:val="en-US" w:eastAsia="zh-CN" w:bidi="ar-SA"/>
        </w:rPr>
        <w:t>本次报价为人民币报价，</w:t>
      </w:r>
      <w:bookmarkEnd w:id="25"/>
      <w:r>
        <w:rPr>
          <w:rFonts w:hint="eastAsia" w:ascii="宋体" w:hAnsi="宋体" w:eastAsia="宋体" w:cs="宋体"/>
          <w:bCs/>
          <w:color w:val="auto"/>
          <w:kern w:val="2"/>
          <w:sz w:val="21"/>
          <w:szCs w:val="21"/>
          <w:highlight w:val="none"/>
          <w:lang w:val="en-US" w:eastAsia="zh-CN" w:bidi="ar-SA"/>
        </w:rPr>
        <w:t>投标报价应包括：</w:t>
      </w:r>
      <w:r>
        <w:rPr>
          <w:rFonts w:hint="eastAsia" w:ascii="宋体" w:hAnsi="宋体" w:cs="宋体"/>
          <w:bCs/>
          <w:color w:val="auto"/>
          <w:kern w:val="2"/>
          <w:sz w:val="21"/>
          <w:szCs w:val="21"/>
          <w:highlight w:val="none"/>
          <w:lang w:val="en-US" w:eastAsia="zh-CN" w:bidi="ar-SA"/>
        </w:rPr>
        <w:t>服务</w:t>
      </w:r>
      <w:r>
        <w:rPr>
          <w:rFonts w:hint="eastAsia" w:ascii="宋体" w:hAnsi="宋体" w:eastAsia="宋体" w:cs="宋体"/>
          <w:bCs/>
          <w:color w:val="auto"/>
          <w:kern w:val="2"/>
          <w:sz w:val="21"/>
          <w:szCs w:val="21"/>
          <w:highlight w:val="none"/>
          <w:lang w:val="en-US" w:eastAsia="zh-CN" w:bidi="ar-SA"/>
        </w:rPr>
        <w:t>本身价格、包装费、运输费用、二次搬运费、损耗、安装费、技术指导、税金费用、伴随服务过程中备件费、专用工具费、伴随产品资料费、技术服务费、技术考察费、自检费及验收合格前和质保期内发生的一切费用、应当提供的伴随服务/售后服务费用以及及招标文件要求的供应商需要支付的所有费用。因成交供应商自身原因造成漏报、少报皆由其自行承担责任，采购人不再补偿。</w:t>
      </w:r>
    </w:p>
    <w:p w14:paraId="290806A6">
      <w:pPr>
        <w:keepNext w:val="0"/>
        <w:keepLines w:val="0"/>
        <w:pageBreakBefore w:val="0"/>
        <w:widowControl/>
        <w:kinsoku/>
        <w:wordWrap/>
        <w:overflowPunct/>
        <w:topLinePunct w:val="0"/>
        <w:autoSpaceDE/>
        <w:autoSpaceDN/>
        <w:bidi w:val="0"/>
        <w:adjustRightInd/>
        <w:snapToGrid/>
        <w:spacing w:line="460" w:lineRule="exact"/>
        <w:textAlignment w:val="auto"/>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rPr>
        <w:t>（</w:t>
      </w:r>
      <w:r>
        <w:rPr>
          <w:rFonts w:hint="eastAsia" w:ascii="宋体" w:hAnsi="宋体" w:eastAsia="宋体" w:cs="宋体"/>
          <w:b/>
          <w:bCs/>
          <w:color w:val="auto"/>
          <w:kern w:val="0"/>
          <w:szCs w:val="21"/>
          <w:highlight w:val="none"/>
          <w:lang w:val="en-US" w:eastAsia="zh-CN"/>
        </w:rPr>
        <w:t>二</w:t>
      </w:r>
      <w:r>
        <w:rPr>
          <w:rFonts w:hint="eastAsia" w:ascii="宋体" w:hAnsi="宋体" w:cs="宋体"/>
          <w:b/>
          <w:bCs/>
          <w:color w:val="auto"/>
          <w:kern w:val="0"/>
          <w:szCs w:val="21"/>
          <w:highlight w:val="none"/>
        </w:rPr>
        <w:t>）产品质量保证期</w:t>
      </w:r>
    </w:p>
    <w:p w14:paraId="25EA2A6C">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1、质保期限：一年，一年内对甲方实验室空调进行免费维保，出现问题8小时内响应并赶到现场进行维修。</w:t>
      </w:r>
    </w:p>
    <w:p w14:paraId="49F3BA2C">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2、供应方交付的货物的技术标准不低于国家标准。</w:t>
      </w:r>
    </w:p>
    <w:p w14:paraId="75E500C6">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3、供应方在交付货物的同时应提供国家规定的检验合格证明等文件。</w:t>
      </w:r>
    </w:p>
    <w:p w14:paraId="06C23A2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4、投标人应保证用品是全新、未使用过的合格正品,并完全符合国家规定的质量、规格和性能要求。</w:t>
      </w:r>
    </w:p>
    <w:p w14:paraId="0C54C76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三</w:t>
      </w:r>
      <w:r>
        <w:rPr>
          <w:rFonts w:hint="eastAsia" w:ascii="宋体" w:hAnsi="宋体" w:eastAsia="Times New Roman" w:cs="宋体"/>
          <w:b/>
          <w:color w:val="auto"/>
          <w:szCs w:val="21"/>
          <w:highlight w:val="none"/>
          <w:lang w:val="en-US" w:eastAsia="zh-CN"/>
        </w:rPr>
        <w:t>）售后服务内容</w:t>
      </w:r>
    </w:p>
    <w:p w14:paraId="39904282">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1.1产品质量：在合同期内，甲方正常使用乙方所供产品而出现质量问题时，乙方负责。产品使用：甲方在使用乙方所供产品中出现问题需乙方解决时，乙方应无偿解决（退换货），维护解决不了的，乙方无条件更换。</w:t>
      </w:r>
    </w:p>
    <w:p w14:paraId="280E9F6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1.2自验收合格之日起提供1年的免费保修服务。在保修期内，发生非人为故障，乙方上门（包配件）保修。在保修期内，同一产品一个月内连续2次出现同一故障并无法解决的，乙方无偿更换同一档次或更高档次的产品。</w:t>
      </w:r>
    </w:p>
    <w:p w14:paraId="1A2D502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1.3将实施定期走访用户，每月安排售后服务人员对产品进行技术维护及标定工作。并不定期进行电话回访和技术人员回访。根据系统特点及经验提出建议与业主协商，对部份关健设备进行定期上门维护保养。</w:t>
      </w:r>
    </w:p>
    <w:p w14:paraId="7649599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2、在质保期内或保修期后， 如系统及产品发生故障后，服务响应时间为8小时，系统一般故障在8小时内排除，在规定时间内不能解决问题的产品，乙方提供相同档次的产品给甲方代用，由此产生的费用均由乙方承担。如果需要更换配件的，要求更换的配件跟被更换的类型相一致或者是同类同档次的替代品。</w:t>
      </w:r>
    </w:p>
    <w:p w14:paraId="473EC19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四</w:t>
      </w:r>
      <w:r>
        <w:rPr>
          <w:rFonts w:hint="eastAsia" w:ascii="宋体" w:hAnsi="宋体" w:eastAsia="Times New Roman" w:cs="宋体"/>
          <w:b/>
          <w:color w:val="auto"/>
          <w:szCs w:val="21"/>
          <w:highlight w:val="none"/>
          <w:lang w:val="en-US" w:eastAsia="zh-CN"/>
        </w:rPr>
        <w:t>）验收</w:t>
      </w:r>
    </w:p>
    <w:p w14:paraId="66C3C07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1、货物到达现场后，供应商应在使用单位人员在场情况下当面共同清点、检查，作出检查记录，双方签字确认。</w:t>
      </w:r>
    </w:p>
    <w:p w14:paraId="4B38734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2、货物验收时，供应商向采购人提供生产厂家出具的验收报告、合格证、厂家资格证件等相关文件。</w:t>
      </w:r>
    </w:p>
    <w:p w14:paraId="5E39CBD0">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3、供应商提供的货物未达到招标文件规定要求，且对采购人造成损失的，由供应商承担一切责任，并赔偿所造成的损失。解决并承担一切费用。</w:t>
      </w:r>
    </w:p>
    <w:p w14:paraId="1A2FF07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4、甲方有权邀请与本项目采购内容中相关专业专家进行验收，并对设备测试。</w:t>
      </w:r>
    </w:p>
    <w:p w14:paraId="72AAAB0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五</w:t>
      </w:r>
      <w:r>
        <w:rPr>
          <w:rFonts w:hint="eastAsia" w:ascii="宋体" w:hAnsi="宋体" w:eastAsia="Times New Roman" w:cs="宋体"/>
          <w:b/>
          <w:color w:val="auto"/>
          <w:szCs w:val="21"/>
          <w:highlight w:val="none"/>
          <w:lang w:val="en-US" w:eastAsia="zh-CN"/>
        </w:rPr>
        <w:t>）知识产权</w:t>
      </w:r>
    </w:p>
    <w:p w14:paraId="0759BCA7">
      <w:pPr>
        <w:keepNext w:val="0"/>
        <w:keepLines w:val="0"/>
        <w:pageBreakBefore w:val="0"/>
        <w:kinsoku/>
        <w:wordWrap/>
        <w:overflowPunct/>
        <w:topLinePunct w:val="0"/>
        <w:autoSpaceDE/>
        <w:autoSpaceDN/>
        <w:bidi w:val="0"/>
        <w:adjustRightInd/>
        <w:snapToGrid/>
        <w:spacing w:line="460" w:lineRule="exac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宋体" w:hAnsi="宋体" w:cs="宋体"/>
          <w:bCs/>
          <w:color w:val="auto"/>
          <w:szCs w:val="21"/>
          <w:highlight w:val="none"/>
        </w:rPr>
        <w:t xml:space="preserve">    </w:t>
      </w:r>
      <w:r>
        <w:rPr>
          <w:rFonts w:hint="eastAsia" w:ascii="新宋体" w:hAnsi="新宋体" w:eastAsia="新宋体" w:cs="新宋体"/>
          <w:i w:val="0"/>
          <w:caps w:val="0"/>
          <w:color w:val="auto"/>
          <w:spacing w:val="0"/>
          <w:kern w:val="0"/>
          <w:sz w:val="21"/>
          <w:szCs w:val="21"/>
          <w:highlight w:val="none"/>
          <w:lang w:val="en-US" w:eastAsia="zh-CN"/>
        </w:rPr>
        <w:t>采购人在中华人民共和国境内使用投标人提供的货物及服务时免受第三方提出的侵犯其专利权或其它知识产权的起诉。如果第三方提出侵权指控，成交人应承担由此而引起的一切法律责任和费用。</w:t>
      </w:r>
    </w:p>
    <w:p w14:paraId="02CF6A30">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六</w:t>
      </w:r>
      <w:r>
        <w:rPr>
          <w:rFonts w:hint="eastAsia" w:ascii="宋体" w:hAnsi="宋体" w:cs="宋体"/>
          <w:b/>
          <w:color w:val="auto"/>
          <w:szCs w:val="21"/>
          <w:highlight w:val="none"/>
        </w:rPr>
        <w:t>）其他</w:t>
      </w:r>
    </w:p>
    <w:p w14:paraId="27E3DAD3">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1、投标人必须在投标文件中对以上条款和服务承诺明确列出，承诺内容必须达到本篇及招标文件其他条款的要求。</w:t>
      </w:r>
    </w:p>
    <w:p w14:paraId="466F9D4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2、成交人与采购人签订《协议》后，须与用户方签订《货物采购供应合同》（包括供货范围、需求数量、单价等），明确具体供货数量、供货时间、送达地点等内容。</w:t>
      </w:r>
    </w:p>
    <w:p w14:paraId="32485015">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3、其他未尽事宜由供需双方在采购合同中详细约定。</w:t>
      </w:r>
    </w:p>
    <w:p w14:paraId="057E3DD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4、若供应商不能按招标文件规定的交货期正常交货，采购方有权终止采购合同，并将相关情况上报给采购计划主管部门，取消其成交资格。</w:t>
      </w:r>
    </w:p>
    <w:p w14:paraId="7673881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5、其他未尽事宜由供需双方在采购合同中详细约定。</w:t>
      </w:r>
    </w:p>
    <w:p w14:paraId="18489D51">
      <w:pPr>
        <w:spacing w:line="480" w:lineRule="exact"/>
        <w:jc w:val="center"/>
        <w:outlineLvl w:val="1"/>
        <w:rPr>
          <w:rFonts w:hint="eastAsia" w:ascii="仿宋" w:hAnsi="仿宋" w:eastAsia="仿宋" w:cs="仿宋"/>
          <w:b/>
          <w:color w:val="auto"/>
          <w:sz w:val="32"/>
          <w:szCs w:val="32"/>
          <w:highlight w:val="none"/>
          <w:lang w:val="en-US" w:eastAsia="zh-CN"/>
        </w:rPr>
      </w:pPr>
    </w:p>
    <w:p w14:paraId="58E74E4B">
      <w:pPr>
        <w:spacing w:line="480" w:lineRule="exact"/>
        <w:jc w:val="center"/>
        <w:outlineLvl w:val="1"/>
        <w:rPr>
          <w:rFonts w:hint="eastAsia" w:ascii="仿宋" w:hAnsi="仿宋" w:eastAsia="仿宋" w:cs="仿宋"/>
          <w:b/>
          <w:color w:val="auto"/>
          <w:sz w:val="32"/>
          <w:szCs w:val="32"/>
          <w:highlight w:val="none"/>
          <w:lang w:val="en-US" w:eastAsia="zh-CN"/>
        </w:rPr>
      </w:pPr>
    </w:p>
    <w:p w14:paraId="4D2C93D1">
      <w:pPr>
        <w:spacing w:line="480" w:lineRule="exact"/>
        <w:jc w:val="center"/>
        <w:outlineLvl w:val="1"/>
        <w:rPr>
          <w:rFonts w:hint="eastAsia" w:ascii="仿宋" w:hAnsi="仿宋" w:eastAsia="仿宋" w:cs="仿宋"/>
          <w:b/>
          <w:color w:val="auto"/>
          <w:sz w:val="32"/>
          <w:szCs w:val="32"/>
          <w:highlight w:val="none"/>
          <w:lang w:val="en-US" w:eastAsia="zh-CN"/>
        </w:rPr>
      </w:pPr>
    </w:p>
    <w:p w14:paraId="0168B08B">
      <w:pPr>
        <w:spacing w:line="480" w:lineRule="exact"/>
        <w:jc w:val="center"/>
        <w:outlineLvl w:val="1"/>
        <w:rPr>
          <w:rFonts w:hint="eastAsia" w:ascii="仿宋" w:hAnsi="仿宋" w:eastAsia="仿宋" w:cs="仿宋"/>
          <w:b/>
          <w:color w:val="auto"/>
          <w:sz w:val="32"/>
          <w:szCs w:val="32"/>
          <w:highlight w:val="none"/>
          <w:lang w:val="en-US" w:eastAsia="zh-CN"/>
        </w:rPr>
      </w:pPr>
    </w:p>
    <w:p w14:paraId="5D3A594E">
      <w:pPr>
        <w:spacing w:line="480" w:lineRule="exact"/>
        <w:jc w:val="center"/>
        <w:outlineLvl w:val="1"/>
        <w:rPr>
          <w:rFonts w:hint="eastAsia" w:ascii="仿宋" w:hAnsi="仿宋" w:eastAsia="仿宋" w:cs="仿宋"/>
          <w:b/>
          <w:color w:val="auto"/>
          <w:sz w:val="32"/>
          <w:szCs w:val="32"/>
          <w:highlight w:val="none"/>
          <w:lang w:val="en-US" w:eastAsia="zh-CN"/>
        </w:rPr>
      </w:pPr>
    </w:p>
    <w:p w14:paraId="157580C0">
      <w:pP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br w:type="page"/>
      </w:r>
    </w:p>
    <w:p w14:paraId="49C5EEF9">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2"/>
          <w:szCs w:val="32"/>
          <w:highlight w:val="none"/>
          <w:lang w:val="en-US" w:eastAsia="zh-CN"/>
        </w:rPr>
        <w:t xml:space="preserve">第四部分  </w:t>
      </w:r>
      <w:r>
        <w:rPr>
          <w:rFonts w:hint="eastAsia" w:ascii="仿宋" w:hAnsi="仿宋" w:eastAsia="仿宋" w:cs="仿宋"/>
          <w:b/>
          <w:color w:val="auto"/>
          <w:sz w:val="30"/>
          <w:szCs w:val="30"/>
          <w:highlight w:val="none"/>
          <w:lang w:eastAsia="zh-CN"/>
        </w:rPr>
        <w:t>合同条款及格式</w:t>
      </w:r>
      <w:bookmarkStart w:id="26" w:name="_Toc20669"/>
    </w:p>
    <w:p w14:paraId="17DB3B40">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26"/>
    </w:p>
    <w:p w14:paraId="4B75C2B9">
      <w:pPr>
        <w:keepNext w:val="0"/>
        <w:keepLines w:val="0"/>
        <w:pageBreakBefore w:val="0"/>
        <w:widowControl/>
        <w:numPr>
          <w:ilvl w:val="0"/>
          <w:numId w:val="9"/>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r>
        <w:rPr>
          <w:rFonts w:hint="eastAsia" w:ascii="仿宋" w:hAnsi="仿宋" w:eastAsia="仿宋" w:cs="仿宋"/>
          <w:b/>
          <w:color w:val="auto"/>
          <w:sz w:val="30"/>
          <w:szCs w:val="30"/>
          <w:highlight w:val="none"/>
          <w:lang w:eastAsia="zh-CN"/>
        </w:rPr>
        <w:t xml:space="preserve"> </w:t>
      </w:r>
      <w:bookmarkStart w:id="27" w:name="_Toc469495741"/>
      <w:r>
        <w:rPr>
          <w:rFonts w:hint="eastAsia" w:ascii="仿宋" w:hAnsi="仿宋" w:eastAsia="仿宋" w:cs="仿宋"/>
          <w:b/>
          <w:color w:val="auto"/>
          <w:sz w:val="30"/>
          <w:szCs w:val="30"/>
          <w:highlight w:val="none"/>
        </w:rPr>
        <w:t>合同协议书</w:t>
      </w:r>
      <w:bookmarkEnd w:id="27"/>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r>
        <w:rPr>
          <w:rFonts w:hint="eastAsia" w:ascii="仿宋" w:hAnsi="仿宋" w:eastAsia="仿宋" w:cs="仿宋"/>
          <w:b/>
          <w:color w:val="auto"/>
          <w:highlight w:val="none"/>
        </w:rPr>
        <w:t xml:space="preserve"> </w:t>
      </w:r>
      <w:r>
        <w:rPr>
          <w:rFonts w:hint="eastAsia" w:ascii="宋体"/>
          <w:b/>
          <w:color w:val="auto"/>
          <w:highlight w:val="none"/>
        </w:rPr>
        <w:t xml:space="preserve"> </w:t>
      </w:r>
    </w:p>
    <w:p w14:paraId="6BBDD761">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5230F228">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bookmarkStart w:id="28" w:name="_Toc246996253"/>
      <w:bookmarkStart w:id="29" w:name="_Toc144974578"/>
      <w:bookmarkStart w:id="30" w:name="_Toc469495742"/>
      <w:bookmarkStart w:id="31" w:name="_Toc152042388"/>
      <w:bookmarkStart w:id="32" w:name="_Toc152045610"/>
      <w:bookmarkStart w:id="33" w:name="_Toc296602498"/>
      <w:bookmarkStart w:id="34" w:name="_Toc179632628"/>
      <w:bookmarkStart w:id="35" w:name="_Toc246996996"/>
      <w:bookmarkStart w:id="36" w:name="_Toc247085768"/>
      <w:r>
        <w:rPr>
          <w:rFonts w:hint="eastAsia" w:ascii="仿宋" w:hAnsi="仿宋" w:eastAsia="仿宋" w:cs="仿宋"/>
          <w:color w:val="auto"/>
          <w:highlight w:val="none"/>
        </w:rPr>
        <w:t>买    方：                                   卖    方：</w:t>
      </w:r>
    </w:p>
    <w:p w14:paraId="04EF30D0">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0EB35A1D">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3369B66A">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为成交人。按照《</w:t>
      </w:r>
      <w:r>
        <w:rPr>
          <w:rFonts w:hint="eastAsia" w:ascii="仿宋" w:hAnsi="仿宋" w:eastAsia="仿宋" w:cs="仿宋"/>
          <w:color w:val="auto"/>
          <w:sz w:val="24"/>
          <w:szCs w:val="24"/>
          <w:highlight w:val="none"/>
          <w:lang w:val="en-US" w:eastAsia="zh-CN"/>
        </w:rPr>
        <w:t>中华人民共和国经济民法典</w:t>
      </w:r>
      <w:r>
        <w:rPr>
          <w:rFonts w:hint="eastAsia" w:ascii="仿宋" w:hAnsi="仿宋" w:eastAsia="仿宋" w:cs="仿宋"/>
          <w:color w:val="auto"/>
          <w:highlight w:val="none"/>
          <w:lang w:eastAsia="zh-CN"/>
        </w:rPr>
        <w:t>》的规定，买卖双方同意按照下述的条款和条件，签署本合同。</w:t>
      </w:r>
    </w:p>
    <w:p w14:paraId="126EF7F2">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272F4388">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3A61FE50">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（1）采购文件（2）响应文件（3）成交通知书</w:t>
      </w:r>
    </w:p>
    <w:p w14:paraId="4AB0F88E">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62FE3650">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468704EF">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1D360425">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34D708AD">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u w:val="single"/>
          <w:lang w:val="en-US" w:eastAsia="zh-CN"/>
        </w:rPr>
        <w:t xml:space="preserve">                    </w:t>
      </w:r>
      <w:r>
        <w:rPr>
          <w:rFonts w:hint="eastAsia" w:ascii="仿宋" w:hAnsi="仿宋" w:eastAsia="仿宋" w:cs="仿宋"/>
          <w:b w:val="0"/>
          <w:bCs w:val="0"/>
          <w:color w:val="auto"/>
          <w:highlight w:val="none"/>
          <w:lang w:eastAsia="zh-CN"/>
        </w:rPr>
        <w:t>。</w:t>
      </w:r>
    </w:p>
    <w:p w14:paraId="00F18D49">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0C87B22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601D6EC6">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5B531B0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516701B0">
      <w:pPr>
        <w:pStyle w:val="10"/>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0477FCC6">
      <w:pPr>
        <w:pStyle w:val="10"/>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3DBBD5C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29A1101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5376F0A8">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6154991E">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5CC42EE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2495750D">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5F7E6957">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33835418">
      <w:pPr>
        <w:pStyle w:val="10"/>
        <w:spacing w:after="0" w:line="360" w:lineRule="exact"/>
        <w:ind w:left="0" w:leftChars="0" w:firstLine="490" w:firstLineChars="200"/>
        <w:rPr>
          <w:rFonts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帐    号：                          帐    号：</w:t>
      </w:r>
    </w:p>
    <w:p w14:paraId="6F88319A">
      <w:pPr>
        <w:pStyle w:val="10"/>
        <w:spacing w:after="0" w:line="420" w:lineRule="exact"/>
        <w:ind w:left="0" w:leftChars="0" w:firstLine="610" w:firstLineChars="200"/>
        <w:jc w:val="center"/>
        <w:rPr>
          <w:rFonts w:hint="eastAsia" w:ascii="仿宋" w:hAnsi="仿宋" w:eastAsia="仿宋" w:cs="仿宋"/>
          <w:b/>
          <w:color w:val="auto"/>
          <w:sz w:val="30"/>
          <w:szCs w:val="30"/>
          <w:highlight w:val="none"/>
          <w:lang w:eastAsia="zh-CN"/>
        </w:rPr>
      </w:pPr>
    </w:p>
    <w:p w14:paraId="50658765">
      <w:pPr>
        <w:pStyle w:val="10"/>
        <w:spacing w:after="0" w:line="420" w:lineRule="exact"/>
        <w:ind w:left="0" w:leftChars="0" w:firstLine="610" w:firstLineChars="20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28"/>
      <w:bookmarkEnd w:id="29"/>
      <w:bookmarkEnd w:id="30"/>
      <w:bookmarkEnd w:id="31"/>
      <w:bookmarkEnd w:id="32"/>
      <w:bookmarkEnd w:id="33"/>
      <w:bookmarkEnd w:id="34"/>
      <w:bookmarkEnd w:id="35"/>
      <w:bookmarkEnd w:id="36"/>
    </w:p>
    <w:p w14:paraId="03105AC7">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526A7CD9">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063C31A4">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22D21620">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369A4E75">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5683A4E5">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6F5FB1A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58FAEBB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73A03A5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&lt;4&gt;成交通知书、响应文件和采购文件；</w:t>
      </w:r>
    </w:p>
    <w:p w14:paraId="5DDD1E6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15F184C6">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0DA0AA4B">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25971856">
      <w:pPr>
        <w:pStyle w:val="5"/>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4CA67C01">
      <w:pPr>
        <w:pStyle w:val="5"/>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5733B40E">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5CBC6C55">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7FB8B087">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1CDD4327">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578C4D5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6CB93F1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5E9B5BF5">
      <w:pPr>
        <w:pStyle w:val="5"/>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(3)除合同主要条款规定外，合同条款成交的物的质量保证期均自标的物通过最终验收之日起计算，且质量保证期按不低于国家标准和卖方承诺的高于国家标准的质保期（卖方有特殊要求的除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760ACFF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57E355F4">
      <w:pPr>
        <w:pStyle w:val="5"/>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9F2159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0B979FA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28EC31B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5E8D3D2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0FC2CFD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44F8E60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37C21B9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405AC5E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3FCE9D7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65EFB6CD">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58DB314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3BCD704E">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(3)卖方应当按照约定或者交易习惯向招标人交付提取标的物单证以外的有关单证和资料。</w:t>
      </w:r>
    </w:p>
    <w:p w14:paraId="09E944C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78DB8EB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3262011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22F7163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5DCE523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021F412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77B2CBE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3C50993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405531A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195146EF">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6B53D60D">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3D73130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5AD4966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2EE1F91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3755456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0EB69C1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0338742F">
      <w:pPr>
        <w:pStyle w:val="5"/>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630425E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5EDD8DC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215845CF">
      <w:pPr>
        <w:pStyle w:val="5"/>
        <w:spacing w:line="440" w:lineRule="exact"/>
        <w:ind w:firstLine="490"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521BB2E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08F5765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05D8D9DB">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33C121D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11EAAF0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10C806A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255CAD7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55201E5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181ED923">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17D6F15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05192EB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553931D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0B69A50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1E67B12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103E298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4DCB2EB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631AD93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27729D2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165841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4F8476C9">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21C9952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1E6763B6">
      <w:pPr>
        <w:pStyle w:val="5"/>
        <w:overflowPunct w:val="0"/>
        <w:spacing w:line="440" w:lineRule="exact"/>
        <w:ind w:firstLine="612"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272D0A7C">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13F9CEFC">
      <w:pPr>
        <w:pStyle w:val="5"/>
        <w:overflowPunct w:val="0"/>
        <w:spacing w:line="440" w:lineRule="exact"/>
        <w:ind w:right="-1019"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5BE151F9">
      <w:pPr>
        <w:pStyle w:val="5"/>
        <w:overflowPunct w:val="0"/>
        <w:spacing w:line="440" w:lineRule="exact"/>
        <w:ind w:right="-1019"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1C5B0692">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021B09C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5F7BE37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44E7D47F">
      <w:pPr>
        <w:pStyle w:val="5"/>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09593B06">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782C5546">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758E292F">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6B361F4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35A3974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385140F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654284F0">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0BAAB7B8">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本合同在双方签字盖章并在招标人收到成交人提交的履约保证金后，经招标采购管理部门备案后生效。</w:t>
      </w:r>
    </w:p>
    <w:p w14:paraId="289436E1">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0974EA5B">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0FA71E6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12A9F25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(1)向甲方所在地人民法院提起诉讼；</w:t>
      </w:r>
    </w:p>
    <w:p w14:paraId="126FDA80">
      <w:pPr>
        <w:pStyle w:val="5"/>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1D10506C">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610C039D">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6909304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1128ECC1">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53642C54">
      <w:pPr>
        <w:spacing w:line="440" w:lineRule="exact"/>
        <w:ind w:firstLine="612" w:firstLineChars="250"/>
        <w:rPr>
          <w:rFonts w:ascii="宋体" w:cs="宋体"/>
          <w:color w:val="auto"/>
          <w:szCs w:val="21"/>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本合同未尽事宜应按《中华人民共和国政府采购法》、《中华人民共和国民法典》、《中华人民共和国产品质量法》之规定解释。</w:t>
      </w:r>
    </w:p>
    <w:p w14:paraId="650B0096">
      <w:pPr>
        <w:shd w:val="clear" w:color="auto" w:fill="auto"/>
        <w:spacing w:line="360" w:lineRule="auto"/>
        <w:jc w:val="left"/>
        <w:rPr>
          <w:rFonts w:hint="eastAsia" w:ascii="仿宋" w:hAnsi="仿宋" w:eastAsia="仿宋" w:cs="仿宋"/>
          <w:b w:val="0"/>
          <w:bCs w:val="0"/>
          <w:color w:val="auto"/>
          <w:sz w:val="24"/>
          <w:szCs w:val="24"/>
          <w:highlight w:val="none"/>
        </w:rPr>
      </w:pPr>
    </w:p>
    <w:p w14:paraId="195424A6">
      <w:pPr>
        <w:shd w:val="clear" w:color="auto" w:fill="auto"/>
        <w:spacing w:line="360" w:lineRule="auto"/>
        <w:jc w:val="left"/>
        <w:rPr>
          <w:rFonts w:hint="eastAsia" w:ascii="仿宋" w:hAnsi="仿宋" w:eastAsia="仿宋" w:cs="仿宋"/>
          <w:b w:val="0"/>
          <w:bCs w:val="0"/>
          <w:color w:val="auto"/>
          <w:sz w:val="24"/>
          <w:szCs w:val="24"/>
          <w:highlight w:val="none"/>
        </w:rPr>
      </w:pPr>
    </w:p>
    <w:p w14:paraId="26F71C03">
      <w:pPr>
        <w:shd w:val="clear" w:color="auto" w:fill="auto"/>
        <w:spacing w:line="360" w:lineRule="auto"/>
        <w:jc w:val="left"/>
        <w:rPr>
          <w:rFonts w:hint="eastAsia" w:ascii="仿宋" w:hAnsi="仿宋" w:eastAsia="仿宋" w:cs="仿宋"/>
          <w:b w:val="0"/>
          <w:bCs w:val="0"/>
          <w:color w:val="auto"/>
          <w:sz w:val="24"/>
          <w:szCs w:val="24"/>
          <w:highlight w:val="none"/>
        </w:rPr>
      </w:pPr>
    </w:p>
    <w:p w14:paraId="372ABD9F">
      <w:pPr>
        <w:shd w:val="clear" w:color="auto" w:fill="auto"/>
        <w:spacing w:line="360" w:lineRule="auto"/>
        <w:jc w:val="both"/>
        <w:rPr>
          <w:rFonts w:hint="eastAsia" w:ascii="仿宋" w:hAnsi="仿宋" w:eastAsia="仿宋" w:cs="仿宋"/>
          <w:b/>
          <w:bCs/>
          <w:color w:val="auto"/>
          <w:sz w:val="36"/>
          <w:szCs w:val="36"/>
          <w:highlight w:val="none"/>
        </w:rPr>
      </w:pPr>
    </w:p>
    <w:p w14:paraId="14A9C1B6">
      <w:pPr>
        <w:shd w:val="clear" w:color="auto" w:fill="auto"/>
        <w:spacing w:line="360" w:lineRule="auto"/>
        <w:jc w:val="center"/>
        <w:rPr>
          <w:rFonts w:hint="eastAsia" w:ascii="仿宋" w:hAnsi="仿宋" w:eastAsia="仿宋" w:cs="仿宋"/>
          <w:b/>
          <w:bCs/>
          <w:color w:val="auto"/>
          <w:sz w:val="36"/>
          <w:szCs w:val="36"/>
          <w:highlight w:val="none"/>
        </w:rPr>
      </w:pPr>
    </w:p>
    <w:p w14:paraId="225A93FD">
      <w:pPr>
        <w:shd w:val="clear" w:color="auto" w:fill="auto"/>
        <w:spacing w:line="360" w:lineRule="auto"/>
        <w:jc w:val="center"/>
        <w:rPr>
          <w:rFonts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第</w:t>
      </w:r>
      <w:r>
        <w:rPr>
          <w:rFonts w:hint="eastAsia" w:ascii="仿宋" w:hAnsi="仿宋" w:eastAsia="仿宋" w:cs="仿宋"/>
          <w:b/>
          <w:bCs/>
          <w:color w:val="auto"/>
          <w:sz w:val="36"/>
          <w:szCs w:val="36"/>
          <w:highlight w:val="none"/>
          <w:lang w:eastAsia="zh-CN"/>
        </w:rPr>
        <w:t>五</w:t>
      </w:r>
      <w:r>
        <w:rPr>
          <w:rFonts w:hint="eastAsia" w:ascii="仿宋" w:hAnsi="仿宋" w:eastAsia="仿宋" w:cs="仿宋"/>
          <w:b/>
          <w:bCs/>
          <w:color w:val="auto"/>
          <w:sz w:val="36"/>
          <w:szCs w:val="36"/>
          <w:highlight w:val="none"/>
        </w:rPr>
        <w:t>部分</w:t>
      </w:r>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lang w:eastAsia="zh-CN"/>
        </w:rPr>
        <w:t>响应文件</w:t>
      </w:r>
      <w:r>
        <w:rPr>
          <w:rFonts w:hint="eastAsia" w:ascii="仿宋" w:hAnsi="仿宋" w:eastAsia="仿宋" w:cs="仿宋"/>
          <w:b/>
          <w:bCs/>
          <w:color w:val="auto"/>
          <w:sz w:val="36"/>
          <w:szCs w:val="36"/>
          <w:highlight w:val="none"/>
        </w:rPr>
        <w:t>格式</w:t>
      </w:r>
    </w:p>
    <w:p w14:paraId="6C4E334D">
      <w:pPr>
        <w:adjustRightInd w:val="0"/>
        <w:snapToGrid w:val="0"/>
        <w:spacing w:line="360" w:lineRule="auto"/>
        <w:ind w:left="602" w:right="70" w:hanging="602"/>
        <w:jc w:val="right"/>
        <w:rPr>
          <w:rFonts w:ascii="仿宋" w:hAnsi="仿宋" w:eastAsia="仿宋" w:cs="仿宋"/>
          <w:b/>
          <w:bCs/>
          <w:color w:val="auto"/>
          <w:sz w:val="28"/>
          <w:szCs w:val="28"/>
          <w:highlight w:val="none"/>
          <w:bdr w:val="single" w:color="auto" w:sz="4" w:space="0"/>
        </w:rPr>
      </w:pPr>
      <w:bookmarkStart w:id="37" w:name="bookmark196"/>
    </w:p>
    <w:p w14:paraId="0514A2DD">
      <w:pPr>
        <w:adjustRightInd w:val="0"/>
        <w:snapToGrid w:val="0"/>
        <w:spacing w:line="360" w:lineRule="auto"/>
        <w:jc w:val="center"/>
        <w:rPr>
          <w:rFonts w:ascii="仿宋" w:hAnsi="仿宋" w:eastAsia="仿宋" w:cs="仿宋"/>
          <w:b/>
          <w:caps/>
          <w:color w:val="auto"/>
          <w:highlight w:val="none"/>
        </w:rPr>
      </w:pPr>
    </w:p>
    <w:p w14:paraId="4A4D5F91">
      <w:pPr>
        <w:adjustRightInd w:val="0"/>
        <w:snapToGrid w:val="0"/>
        <w:spacing w:line="360" w:lineRule="auto"/>
        <w:jc w:val="center"/>
        <w:rPr>
          <w:rFonts w:ascii="仿宋" w:hAnsi="仿宋" w:eastAsia="仿宋" w:cs="仿宋"/>
          <w:bCs/>
          <w:color w:val="auto"/>
          <w:sz w:val="32"/>
          <w:szCs w:val="32"/>
          <w:highlight w:val="none"/>
        </w:rPr>
      </w:pPr>
      <w:r>
        <w:rPr>
          <w:rFonts w:hint="eastAsia" w:ascii="仿宋" w:hAnsi="仿宋" w:eastAsia="仿宋" w:cs="仿宋"/>
          <w:b/>
          <w:caps/>
          <w:color w:val="auto"/>
          <w:sz w:val="32"/>
          <w:szCs w:val="32"/>
          <w:highlight w:val="none"/>
        </w:rPr>
        <w:t>（项目名称）</w:t>
      </w:r>
    </w:p>
    <w:p w14:paraId="2AC2C5DA">
      <w:pPr>
        <w:adjustRightInd w:val="0"/>
        <w:snapToGrid w:val="0"/>
        <w:spacing w:line="360" w:lineRule="auto"/>
        <w:jc w:val="both"/>
        <w:rPr>
          <w:rFonts w:ascii="仿宋" w:hAnsi="仿宋" w:eastAsia="仿宋" w:cs="仿宋"/>
          <w:bCs/>
          <w:color w:val="auto"/>
          <w:sz w:val="32"/>
          <w:szCs w:val="32"/>
          <w:highlight w:val="none"/>
        </w:rPr>
      </w:pPr>
    </w:p>
    <w:p w14:paraId="46443E6B">
      <w:pPr>
        <w:adjustRightInd w:val="0"/>
        <w:snapToGrid w:val="0"/>
        <w:spacing w:line="360" w:lineRule="auto"/>
        <w:jc w:val="center"/>
        <w:rPr>
          <w:rFonts w:ascii="仿宋" w:hAnsi="仿宋" w:eastAsia="仿宋" w:cs="仿宋"/>
          <w:bCs/>
          <w:color w:val="auto"/>
          <w:sz w:val="32"/>
          <w:szCs w:val="32"/>
          <w:highlight w:val="none"/>
        </w:rPr>
      </w:pPr>
    </w:p>
    <w:p w14:paraId="274082A5">
      <w:pPr>
        <w:adjustRightInd w:val="0"/>
        <w:snapToGrid w:val="0"/>
        <w:spacing w:line="360" w:lineRule="auto"/>
        <w:jc w:val="center"/>
        <w:rPr>
          <w:rFonts w:ascii="仿宋" w:hAnsi="仿宋" w:eastAsia="仿宋" w:cs="仿宋"/>
          <w:bCs/>
          <w:color w:val="auto"/>
          <w:sz w:val="32"/>
          <w:szCs w:val="32"/>
          <w:highlight w:val="none"/>
        </w:rPr>
      </w:pPr>
      <w:r>
        <w:rPr>
          <w:rFonts w:hint="eastAsia" w:ascii="仿宋" w:hAnsi="仿宋" w:eastAsia="仿宋" w:cs="仿宋"/>
          <w:b/>
          <w:bCs/>
          <w:color w:val="auto"/>
          <w:sz w:val="44"/>
          <w:szCs w:val="44"/>
          <w:highlight w:val="none"/>
        </w:rPr>
        <w:t>响应文件</w:t>
      </w:r>
    </w:p>
    <w:p w14:paraId="59D3E8A6">
      <w:pPr>
        <w:adjustRightInd w:val="0"/>
        <w:snapToGrid w:val="0"/>
        <w:spacing w:line="360" w:lineRule="auto"/>
        <w:jc w:val="center"/>
        <w:rPr>
          <w:rFonts w:ascii="仿宋" w:hAnsi="仿宋" w:eastAsia="仿宋" w:cs="仿宋"/>
          <w:bCs/>
          <w:color w:val="auto"/>
          <w:sz w:val="32"/>
          <w:szCs w:val="32"/>
          <w:highlight w:val="none"/>
        </w:rPr>
      </w:pPr>
    </w:p>
    <w:p w14:paraId="1F551A13">
      <w:pPr>
        <w:adjustRightInd w:val="0"/>
        <w:snapToGrid w:val="0"/>
        <w:spacing w:line="360" w:lineRule="auto"/>
        <w:jc w:val="both"/>
        <w:rPr>
          <w:rFonts w:ascii="仿宋" w:hAnsi="仿宋" w:eastAsia="仿宋" w:cs="仿宋"/>
          <w:bCs/>
          <w:color w:val="auto"/>
          <w:sz w:val="32"/>
          <w:szCs w:val="32"/>
          <w:highlight w:val="none"/>
        </w:rPr>
      </w:pPr>
    </w:p>
    <w:p w14:paraId="7575001F">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0"/>
          <w:kern w:val="0"/>
          <w:sz w:val="28"/>
          <w:szCs w:val="28"/>
          <w:highlight w:val="none"/>
          <w:fitText w:val="2810" w:id="202655923"/>
        </w:rPr>
        <w:t>供应商名称（公章）：</w:t>
      </w:r>
    </w:p>
    <w:p w14:paraId="1009E455">
      <w:pPr>
        <w:adjustRightInd w:val="0"/>
        <w:snapToGrid w:val="0"/>
        <w:spacing w:line="360" w:lineRule="auto"/>
        <w:ind w:right="-156" w:rightChars="-64"/>
        <w:rPr>
          <w:rFonts w:ascii="仿宋" w:hAnsi="仿宋" w:eastAsia="仿宋" w:cs="仿宋"/>
          <w:b/>
          <w:caps/>
          <w:color w:val="auto"/>
          <w:sz w:val="28"/>
          <w:szCs w:val="28"/>
          <w:highlight w:val="none"/>
        </w:rPr>
      </w:pPr>
    </w:p>
    <w:p w14:paraId="552482D8">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0"/>
          <w:w w:val="59"/>
          <w:kern w:val="0"/>
          <w:sz w:val="28"/>
          <w:szCs w:val="28"/>
          <w:highlight w:val="none"/>
          <w:fitText w:val="2810" w:id="1"/>
        </w:rPr>
        <w:t>法定代表人</w:t>
      </w:r>
      <w:r>
        <w:rPr>
          <w:rFonts w:hint="eastAsia" w:ascii="仿宋" w:hAnsi="仿宋" w:eastAsia="仿宋" w:cs="仿宋"/>
          <w:b/>
          <w:caps/>
          <w:color w:val="auto"/>
          <w:spacing w:val="0"/>
          <w:w w:val="59"/>
          <w:kern w:val="0"/>
          <w:sz w:val="28"/>
          <w:szCs w:val="28"/>
          <w:highlight w:val="none"/>
          <w:fitText w:val="2810" w:id="1"/>
          <w:lang w:val="en-US" w:eastAsia="zh-CN"/>
        </w:rPr>
        <w:t>或委托人</w:t>
      </w:r>
      <w:r>
        <w:rPr>
          <w:rFonts w:hint="eastAsia" w:ascii="仿宋" w:hAnsi="仿宋" w:eastAsia="仿宋" w:cs="仿宋"/>
          <w:b/>
          <w:caps/>
          <w:color w:val="auto"/>
          <w:spacing w:val="0"/>
          <w:w w:val="59"/>
          <w:kern w:val="0"/>
          <w:sz w:val="28"/>
          <w:szCs w:val="28"/>
          <w:highlight w:val="none"/>
          <w:fitText w:val="2810" w:id="1"/>
        </w:rPr>
        <w:t>（</w:t>
      </w:r>
      <w:r>
        <w:rPr>
          <w:rFonts w:hint="eastAsia" w:ascii="仿宋" w:hAnsi="仿宋" w:eastAsia="仿宋" w:cs="仿宋"/>
          <w:b/>
          <w:caps/>
          <w:color w:val="auto"/>
          <w:spacing w:val="0"/>
          <w:w w:val="59"/>
          <w:kern w:val="0"/>
          <w:sz w:val="28"/>
          <w:szCs w:val="28"/>
          <w:highlight w:val="none"/>
          <w:fitText w:val="2810" w:id="1"/>
          <w:lang w:eastAsia="zh-CN"/>
        </w:rPr>
        <w:t>签章</w:t>
      </w:r>
      <w:r>
        <w:rPr>
          <w:rFonts w:hint="eastAsia" w:ascii="仿宋" w:hAnsi="仿宋" w:eastAsia="仿宋" w:cs="仿宋"/>
          <w:b/>
          <w:caps/>
          <w:color w:val="auto"/>
          <w:spacing w:val="0"/>
          <w:w w:val="59"/>
          <w:kern w:val="0"/>
          <w:sz w:val="28"/>
          <w:szCs w:val="28"/>
          <w:highlight w:val="none"/>
          <w:fitText w:val="2810" w:id="1"/>
        </w:rPr>
        <w:t>或盖章）</w:t>
      </w:r>
      <w:r>
        <w:rPr>
          <w:rFonts w:hint="eastAsia" w:ascii="仿宋" w:hAnsi="仿宋" w:eastAsia="仿宋" w:cs="仿宋"/>
          <w:b/>
          <w:caps/>
          <w:color w:val="auto"/>
          <w:spacing w:val="-6"/>
          <w:w w:val="59"/>
          <w:kern w:val="0"/>
          <w:sz w:val="28"/>
          <w:szCs w:val="28"/>
          <w:highlight w:val="none"/>
          <w:fitText w:val="2810" w:id="1"/>
        </w:rPr>
        <w:t>：</w:t>
      </w:r>
    </w:p>
    <w:p w14:paraId="2DCF7F84">
      <w:pPr>
        <w:adjustRightInd w:val="0"/>
        <w:snapToGrid w:val="0"/>
        <w:spacing w:line="360" w:lineRule="auto"/>
        <w:ind w:right="-156" w:rightChars="-64"/>
        <w:rPr>
          <w:rFonts w:ascii="仿宋" w:hAnsi="仿宋" w:eastAsia="仿宋" w:cs="仿宋"/>
          <w:b/>
          <w:caps/>
          <w:color w:val="auto"/>
          <w:sz w:val="28"/>
          <w:szCs w:val="28"/>
          <w:highlight w:val="none"/>
        </w:rPr>
      </w:pPr>
    </w:p>
    <w:p w14:paraId="63AB4EE6">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113"/>
          <w:kern w:val="0"/>
          <w:sz w:val="28"/>
          <w:szCs w:val="28"/>
          <w:highlight w:val="none"/>
          <w:fitText w:val="2810" w:id="2"/>
        </w:rPr>
        <w:t>供应商地址</w:t>
      </w:r>
      <w:r>
        <w:rPr>
          <w:rFonts w:hint="eastAsia" w:ascii="仿宋" w:hAnsi="仿宋" w:eastAsia="仿宋" w:cs="仿宋"/>
          <w:b/>
          <w:caps/>
          <w:color w:val="auto"/>
          <w:spacing w:val="0"/>
          <w:kern w:val="0"/>
          <w:sz w:val="28"/>
          <w:szCs w:val="28"/>
          <w:highlight w:val="none"/>
          <w:fitText w:val="2810" w:id="2"/>
        </w:rPr>
        <w:t>：</w:t>
      </w:r>
    </w:p>
    <w:p w14:paraId="6A5CA7A6">
      <w:pPr>
        <w:adjustRightInd w:val="0"/>
        <w:snapToGrid w:val="0"/>
        <w:spacing w:line="360" w:lineRule="auto"/>
        <w:ind w:right="-156" w:rightChars="-64"/>
        <w:rPr>
          <w:rFonts w:ascii="仿宋" w:hAnsi="仿宋" w:eastAsia="仿宋" w:cs="仿宋"/>
          <w:b/>
          <w:caps/>
          <w:color w:val="auto"/>
          <w:sz w:val="28"/>
          <w:szCs w:val="28"/>
          <w:highlight w:val="none"/>
        </w:rPr>
      </w:pPr>
    </w:p>
    <w:p w14:paraId="23DA6F4E">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281"/>
          <w:kern w:val="0"/>
          <w:sz w:val="28"/>
          <w:szCs w:val="28"/>
          <w:highlight w:val="none"/>
          <w:fitText w:val="2810" w:id="3"/>
        </w:rPr>
        <w:t>联系人</w:t>
      </w:r>
      <w:r>
        <w:rPr>
          <w:rFonts w:hint="eastAsia" w:ascii="仿宋" w:hAnsi="仿宋" w:eastAsia="仿宋" w:cs="仿宋"/>
          <w:b/>
          <w:caps/>
          <w:color w:val="auto"/>
          <w:spacing w:val="2"/>
          <w:kern w:val="0"/>
          <w:sz w:val="28"/>
          <w:szCs w:val="28"/>
          <w:highlight w:val="none"/>
          <w:fitText w:val="2810" w:id="3"/>
        </w:rPr>
        <w:t>：</w:t>
      </w:r>
    </w:p>
    <w:p w14:paraId="08428998">
      <w:pPr>
        <w:adjustRightInd w:val="0"/>
        <w:snapToGrid w:val="0"/>
        <w:spacing w:line="360" w:lineRule="auto"/>
        <w:ind w:right="-156" w:rightChars="-64"/>
        <w:rPr>
          <w:rFonts w:ascii="仿宋" w:hAnsi="仿宋" w:eastAsia="仿宋" w:cs="仿宋"/>
          <w:b/>
          <w:caps/>
          <w:color w:val="auto"/>
          <w:sz w:val="28"/>
          <w:szCs w:val="28"/>
          <w:highlight w:val="none"/>
        </w:rPr>
      </w:pPr>
    </w:p>
    <w:p w14:paraId="0DD294CA">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176"/>
          <w:kern w:val="0"/>
          <w:sz w:val="28"/>
          <w:szCs w:val="28"/>
          <w:highlight w:val="none"/>
          <w:fitText w:val="2810" w:id="4"/>
        </w:rPr>
        <w:t>联系电话</w:t>
      </w:r>
      <w:r>
        <w:rPr>
          <w:rFonts w:hint="eastAsia" w:ascii="仿宋" w:hAnsi="仿宋" w:eastAsia="仿宋" w:cs="仿宋"/>
          <w:b/>
          <w:caps/>
          <w:color w:val="auto"/>
          <w:spacing w:val="1"/>
          <w:kern w:val="0"/>
          <w:sz w:val="28"/>
          <w:szCs w:val="28"/>
          <w:highlight w:val="none"/>
          <w:fitText w:val="2810" w:id="4"/>
        </w:rPr>
        <w:t>：</w:t>
      </w:r>
    </w:p>
    <w:p w14:paraId="526B8C70">
      <w:pPr>
        <w:adjustRightInd w:val="0"/>
        <w:snapToGrid w:val="0"/>
        <w:spacing w:line="360" w:lineRule="auto"/>
        <w:jc w:val="center"/>
        <w:rPr>
          <w:rFonts w:ascii="仿宋" w:hAnsi="仿宋" w:eastAsia="仿宋" w:cs="仿宋"/>
          <w:b/>
          <w:caps/>
          <w:color w:val="auto"/>
          <w:sz w:val="28"/>
          <w:szCs w:val="28"/>
          <w:highlight w:val="none"/>
        </w:rPr>
      </w:pPr>
    </w:p>
    <w:p w14:paraId="50232119">
      <w:pPr>
        <w:adjustRightInd w:val="0"/>
        <w:snapToGrid w:val="0"/>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_年__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_月__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_日</w:t>
      </w:r>
    </w:p>
    <w:p w14:paraId="728E0EB8">
      <w:pPr>
        <w:pStyle w:val="35"/>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highlight w:val="none"/>
        </w:rPr>
      </w:pPr>
    </w:p>
    <w:p w14:paraId="487CD392">
      <w:pPr>
        <w:pStyle w:val="35"/>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资格证明文件</w:t>
      </w:r>
    </w:p>
    <w:bookmarkEnd w:id="37"/>
    <w:p w14:paraId="72BFC672">
      <w:pPr>
        <w:numPr>
          <w:ilvl w:val="0"/>
          <w:numId w:val="0"/>
        </w:num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具备三证合一营业执照；</w:t>
      </w:r>
    </w:p>
    <w:p w14:paraId="17D04FB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2、法定代表人资格证明书；</w:t>
      </w:r>
    </w:p>
    <w:p w14:paraId="6FCABA9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3、法定代表人授权书；</w:t>
      </w:r>
    </w:p>
    <w:p w14:paraId="7F882E3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4、</w:t>
      </w:r>
      <w:r>
        <w:rPr>
          <w:rFonts w:hint="eastAsia" w:ascii="仿宋" w:hAnsi="仿宋" w:eastAsia="仿宋" w:cs="仿宋"/>
          <w:b w:val="0"/>
          <w:bCs/>
          <w:color w:val="auto"/>
          <w:sz w:val="24"/>
          <w:szCs w:val="24"/>
          <w:highlight w:val="none"/>
          <w:lang w:val="en-US" w:eastAsia="zh-CN"/>
        </w:rPr>
        <w:t>投标保证金缴纳凭证或保函等票据</w:t>
      </w:r>
      <w:r>
        <w:rPr>
          <w:rFonts w:hint="eastAsia" w:ascii="仿宋" w:hAnsi="仿宋" w:eastAsia="仿宋" w:cs="仿宋"/>
          <w:b w:val="0"/>
          <w:bCs/>
          <w:color w:val="auto"/>
          <w:sz w:val="24"/>
          <w:szCs w:val="24"/>
          <w:highlight w:val="none"/>
          <w:lang w:eastAsia="zh-CN"/>
        </w:rPr>
        <w:t>；</w:t>
      </w:r>
    </w:p>
    <w:p w14:paraId="715CB638">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5、投标企业须提供投标人（被授权在职人员）近6个月内任意一个月有效的社保证明；</w:t>
      </w:r>
    </w:p>
    <w:p w14:paraId="27686D43">
      <w:pPr>
        <w:snapToGrid w:val="0"/>
        <w:spacing w:line="360" w:lineRule="auto"/>
        <w:ind w:firstLine="490" w:firstLineChars="20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6</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未被“信用中国”（www.creditchina.gov.cn）、中国政府采购网（www.ccgp.gov.cn）列入失信被执行人、重大税收违法案件当事人名单、政府采购严重违法失信行为记录名单；</w:t>
      </w:r>
    </w:p>
    <w:p w14:paraId="66D3A487">
      <w:pPr>
        <w:snapToGrid w:val="0"/>
        <w:spacing w:line="360" w:lineRule="auto"/>
        <w:ind w:firstLine="490" w:firstLineChars="200"/>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7、中小企业声明函</w:t>
      </w:r>
    </w:p>
    <w:p w14:paraId="31183E51">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highlight w:val="none"/>
          <w:lang w:eastAsia="zh-CN"/>
        </w:rPr>
      </w:pPr>
      <w:r>
        <w:rPr>
          <w:rFonts w:hint="eastAsia" w:ascii="仿宋" w:hAnsi="仿宋" w:eastAsia="仿宋" w:cs="仿宋"/>
          <w:b w:val="0"/>
          <w:bCs/>
          <w:color w:val="auto"/>
          <w:sz w:val="24"/>
          <w:szCs w:val="24"/>
          <w:highlight w:val="none"/>
          <w:lang w:val="en-US" w:eastAsia="zh-CN"/>
        </w:rPr>
        <w:t>8、</w:t>
      </w:r>
      <w:r>
        <w:rPr>
          <w:rFonts w:hint="eastAsia" w:ascii="仿宋" w:hAnsi="仿宋" w:eastAsia="仿宋" w:cs="仿宋"/>
          <w:b w:val="0"/>
          <w:bCs/>
          <w:color w:val="auto"/>
          <w:sz w:val="24"/>
          <w:szCs w:val="24"/>
          <w:highlight w:val="none"/>
          <w:lang w:eastAsia="zh-CN"/>
        </w:rPr>
        <w:t>投标人须知资料表要求的其他资格证明文件。</w:t>
      </w:r>
      <w:r>
        <w:rPr>
          <w:rFonts w:hint="eastAsia" w:ascii="仿宋" w:hAnsi="仿宋" w:eastAsia="仿宋" w:cs="仿宋"/>
          <w:b/>
          <w:color w:val="auto"/>
          <w:highlight w:val="none"/>
          <w:lang w:eastAsia="zh-CN"/>
        </w:rPr>
        <w:t xml:space="preserve"> </w:t>
      </w:r>
    </w:p>
    <w:p w14:paraId="4D2BA2FE">
      <w:pPr>
        <w:pStyle w:val="7"/>
        <w:keepNext w:val="0"/>
        <w:keepLines w:val="0"/>
        <w:pageBreakBefore w:val="0"/>
        <w:widowControl w:val="0"/>
        <w:numPr>
          <w:ilvl w:val="0"/>
          <w:numId w:val="0"/>
        </w:numPr>
        <w:tabs>
          <w:tab w:val="clear" w:pos="780"/>
        </w:tabs>
        <w:kinsoku w:val="0"/>
        <w:wordWrap/>
        <w:overflowPunct w:val="0"/>
        <w:topLinePunct w:val="0"/>
        <w:autoSpaceDE/>
        <w:autoSpaceDN/>
        <w:bidi w:val="0"/>
        <w:adjustRightInd/>
        <w:spacing w:before="130" w:line="480" w:lineRule="auto"/>
        <w:ind w:left="480" w:right="7"/>
        <w:jc w:val="both"/>
        <w:textAlignment w:val="auto"/>
        <w:rPr>
          <w:rFonts w:hint="eastAsia" w:ascii="仿宋" w:hAnsi="仿宋" w:eastAsia="仿宋" w:cs="仿宋"/>
          <w:b/>
          <w:bCs/>
          <w:color w:val="auto"/>
          <w:sz w:val="36"/>
          <w:szCs w:val="36"/>
          <w:highlight w:val="none"/>
        </w:rPr>
      </w:pPr>
    </w:p>
    <w:p w14:paraId="061DC40A">
      <w:pPr>
        <w:pStyle w:val="8"/>
        <w:numPr>
          <w:ilvl w:val="0"/>
          <w:numId w:val="0"/>
        </w:numPr>
        <w:tabs>
          <w:tab w:val="clear" w:pos="780"/>
        </w:tabs>
        <w:ind w:leftChars="100"/>
        <w:rPr>
          <w:rFonts w:hint="eastAsia"/>
          <w:color w:val="auto"/>
          <w:highlight w:val="none"/>
        </w:rPr>
      </w:pPr>
    </w:p>
    <w:p w14:paraId="442A8F8C">
      <w:pPr>
        <w:rPr>
          <w:rFonts w:hint="eastAsia"/>
          <w:color w:val="auto"/>
          <w:highlight w:val="none"/>
        </w:rPr>
      </w:pPr>
    </w:p>
    <w:p w14:paraId="4DE63E3A">
      <w:pPr>
        <w:pStyle w:val="17"/>
        <w:rPr>
          <w:rFonts w:hint="eastAsia"/>
          <w:color w:val="auto"/>
          <w:highlight w:val="none"/>
        </w:rPr>
      </w:pPr>
    </w:p>
    <w:p w14:paraId="17D57126">
      <w:pPr>
        <w:rPr>
          <w:rFonts w:hint="eastAsia" w:ascii="仿宋" w:hAnsi="仿宋" w:eastAsia="仿宋" w:cs="仿宋"/>
          <w:b/>
          <w:bCs/>
          <w:color w:val="auto"/>
          <w:sz w:val="36"/>
          <w:szCs w:val="36"/>
          <w:highlight w:val="none"/>
        </w:rPr>
      </w:pPr>
    </w:p>
    <w:p w14:paraId="3F60D281">
      <w:pPr>
        <w:pStyle w:val="17"/>
        <w:rPr>
          <w:rFonts w:hint="eastAsia"/>
          <w:color w:val="auto"/>
          <w:highlight w:val="none"/>
        </w:rPr>
      </w:pPr>
    </w:p>
    <w:p w14:paraId="5674F64F">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highlight w:val="none"/>
        </w:rPr>
      </w:pPr>
    </w:p>
    <w:p w14:paraId="12D32E44">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highlight w:val="none"/>
        </w:rPr>
      </w:pPr>
    </w:p>
    <w:p w14:paraId="41D4DBD6">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44C2DADB">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169C7C7F">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44C3C8A1">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026790F3">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180787E5">
      <w:pPr>
        <w:pStyle w:val="13"/>
        <w:rPr>
          <w:rFonts w:hint="eastAsia"/>
          <w:color w:val="auto"/>
          <w:highlight w:val="none"/>
          <w:lang w:val="en-US" w:eastAsia="zh-CN"/>
        </w:rPr>
      </w:pPr>
    </w:p>
    <w:p w14:paraId="5366DD7F">
      <w:pPr>
        <w:rPr>
          <w:rFonts w:hint="eastAsia"/>
          <w:color w:val="auto"/>
          <w:highlight w:val="none"/>
          <w:lang w:val="en-US" w:eastAsia="zh-CN"/>
        </w:rPr>
      </w:pPr>
    </w:p>
    <w:p w14:paraId="262BA8D0">
      <w:pPr>
        <w:rPr>
          <w:rFonts w:hint="eastAsia"/>
          <w:color w:val="auto"/>
          <w:highlight w:val="none"/>
          <w:lang w:val="en-US" w:eastAsia="zh-CN"/>
        </w:rPr>
      </w:pPr>
    </w:p>
    <w:p w14:paraId="3C54FA98">
      <w:pPr>
        <w:rPr>
          <w:rFonts w:hint="eastAsia"/>
          <w:color w:val="auto"/>
          <w:highlight w:val="none"/>
          <w:lang w:val="en-US" w:eastAsia="zh-CN"/>
        </w:rPr>
      </w:pPr>
    </w:p>
    <w:p w14:paraId="51935F10">
      <w:pPr>
        <w:rPr>
          <w:rFonts w:hint="eastAsia"/>
          <w:color w:val="auto"/>
          <w:highlight w:val="none"/>
          <w:lang w:val="en-US" w:eastAsia="zh-CN"/>
        </w:rPr>
      </w:pPr>
    </w:p>
    <w:p w14:paraId="1B0034ED">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highlight w:val="none"/>
          <w:lang w:val="en-US" w:eastAsia="zh-CN"/>
        </w:rPr>
      </w:pPr>
    </w:p>
    <w:p w14:paraId="6B80550C">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1、 具备三证合一营业执照；</w:t>
      </w:r>
    </w:p>
    <w:p w14:paraId="06BB48E5">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jc w:val="center"/>
        <w:rPr>
          <w:rFonts w:hint="eastAsia" w:ascii="仿宋" w:hAnsi="仿宋" w:eastAsia="仿宋" w:cs="仿宋"/>
          <w:b/>
          <w:color w:val="auto"/>
          <w:sz w:val="24"/>
          <w:highlight w:val="none"/>
        </w:rPr>
      </w:pPr>
    </w:p>
    <w:p w14:paraId="3611BEE2">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2639DC26">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108C139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说明：提供有效的营业执照等证明文件复印件，复印件上应加盖本单位章。</w:t>
      </w:r>
    </w:p>
    <w:p w14:paraId="56D10A6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D4738E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415F61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0FA3D4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57AB390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2B58DC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328E184">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1A27164E">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E00D3A4">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5ECF94B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611302A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AF54DA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9E6099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2BCE36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F696D0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5A253B9">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392362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5EE4ECB">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01B83C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11DF265E">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C9D37A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F83E980">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E2E9D5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highlight w:val="none"/>
          <w:lang w:val="en-US" w:eastAsia="zh-CN"/>
        </w:rPr>
      </w:pPr>
    </w:p>
    <w:p w14:paraId="6C551FDA">
      <w:pPr>
        <w:pStyle w:val="13"/>
        <w:rPr>
          <w:rFonts w:hint="eastAsia"/>
          <w:color w:val="auto"/>
          <w:highlight w:val="none"/>
          <w:lang w:val="en-US" w:eastAsia="zh-CN"/>
        </w:rPr>
      </w:pPr>
    </w:p>
    <w:p w14:paraId="07ADA98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val="en-US" w:eastAsia="zh-CN"/>
        </w:rPr>
        <w:t>2、</w:t>
      </w:r>
      <w:r>
        <w:rPr>
          <w:rFonts w:hint="eastAsia" w:ascii="仿宋" w:hAnsi="仿宋" w:eastAsia="仿宋" w:cs="仿宋"/>
          <w:b/>
          <w:bCs/>
          <w:color w:val="auto"/>
          <w:sz w:val="36"/>
          <w:szCs w:val="36"/>
          <w:highlight w:val="none"/>
        </w:rPr>
        <w:t>法定代表人身份证明</w:t>
      </w:r>
    </w:p>
    <w:p w14:paraId="79BBCE89">
      <w:pPr>
        <w:pStyle w:val="4"/>
        <w:rPr>
          <w:rFonts w:hint="eastAsia"/>
          <w:color w:val="auto"/>
          <w:highlight w:val="none"/>
        </w:rPr>
      </w:pPr>
    </w:p>
    <w:p w14:paraId="0E0D589C">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投标单位名称：</w:t>
      </w:r>
      <w:r>
        <w:rPr>
          <w:rFonts w:hint="eastAsia" w:ascii="仿宋" w:hAnsi="仿宋" w:eastAsia="仿宋" w:cs="仿宋"/>
          <w:color w:val="auto"/>
          <w:kern w:val="0"/>
          <w:sz w:val="24"/>
          <w:highlight w:val="none"/>
          <w:u w:val="single"/>
        </w:rPr>
        <w:t xml:space="preserve">                       </w:t>
      </w:r>
    </w:p>
    <w:p w14:paraId="3B74BDE2">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单位性质：</w:t>
      </w:r>
      <w:r>
        <w:rPr>
          <w:rFonts w:hint="eastAsia" w:ascii="仿宋" w:hAnsi="仿宋" w:eastAsia="仿宋" w:cs="仿宋"/>
          <w:color w:val="auto"/>
          <w:kern w:val="0"/>
          <w:sz w:val="24"/>
          <w:highlight w:val="none"/>
          <w:u w:val="single"/>
        </w:rPr>
        <w:t xml:space="preserve">                           </w:t>
      </w:r>
    </w:p>
    <w:p w14:paraId="3FAAB9C6">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地址：</w:t>
      </w:r>
      <w:r>
        <w:rPr>
          <w:rFonts w:hint="eastAsia" w:ascii="仿宋" w:hAnsi="仿宋" w:eastAsia="仿宋" w:cs="仿宋"/>
          <w:color w:val="auto"/>
          <w:kern w:val="0"/>
          <w:sz w:val="24"/>
          <w:highlight w:val="none"/>
          <w:u w:val="single"/>
        </w:rPr>
        <w:t xml:space="preserve">                               </w:t>
      </w:r>
    </w:p>
    <w:p w14:paraId="2BB92AA8">
      <w:pPr>
        <w:spacing w:line="420" w:lineRule="exact"/>
        <w:ind w:firstLine="49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成立时间：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日</w:t>
      </w:r>
    </w:p>
    <w:p w14:paraId="1814F684">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经营期限：</w:t>
      </w:r>
      <w:r>
        <w:rPr>
          <w:rFonts w:hint="eastAsia" w:ascii="仿宋" w:hAnsi="仿宋" w:eastAsia="仿宋" w:cs="仿宋"/>
          <w:color w:val="auto"/>
          <w:kern w:val="0"/>
          <w:sz w:val="24"/>
          <w:highlight w:val="none"/>
          <w:u w:val="single"/>
        </w:rPr>
        <w:t xml:space="preserve">             </w:t>
      </w:r>
    </w:p>
    <w:p w14:paraId="774D3887">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姓名：</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性别：</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年龄：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职务：</w:t>
      </w:r>
      <w:r>
        <w:rPr>
          <w:rFonts w:hint="eastAsia" w:ascii="仿宋" w:hAnsi="仿宋" w:eastAsia="仿宋" w:cs="仿宋"/>
          <w:color w:val="auto"/>
          <w:kern w:val="0"/>
          <w:sz w:val="24"/>
          <w:highlight w:val="none"/>
          <w:u w:val="single"/>
        </w:rPr>
        <w:t xml:space="preserve">           </w:t>
      </w:r>
    </w:p>
    <w:p w14:paraId="4ED33B33">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身份证号码：</w:t>
      </w:r>
      <w:r>
        <w:rPr>
          <w:rFonts w:hint="eastAsia" w:ascii="仿宋" w:hAnsi="仿宋" w:eastAsia="仿宋" w:cs="仿宋"/>
          <w:color w:val="auto"/>
          <w:kern w:val="0"/>
          <w:sz w:val="24"/>
          <w:highlight w:val="none"/>
          <w:u w:val="single"/>
        </w:rPr>
        <w:t xml:space="preserve">                                  </w:t>
      </w:r>
    </w:p>
    <w:p w14:paraId="32E6FD0D">
      <w:pPr>
        <w:spacing w:line="420" w:lineRule="exact"/>
        <w:ind w:firstLine="49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系</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（投标单位名称）的法定代表人。</w:t>
      </w:r>
    </w:p>
    <w:p w14:paraId="4A9E3E29">
      <w:pPr>
        <w:spacing w:line="420" w:lineRule="exact"/>
        <w:ind w:firstLine="980" w:firstLineChars="4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特此证明。</w:t>
      </w:r>
    </w:p>
    <w:p w14:paraId="7F9A46EC">
      <w:pPr>
        <w:pStyle w:val="7"/>
        <w:numPr>
          <w:ilvl w:val="0"/>
          <w:numId w:val="0"/>
        </w:numPr>
        <w:kinsoku w:val="0"/>
        <w:overflowPunct w:val="0"/>
        <w:ind w:leftChars="0" w:right="0" w:rightChars="0"/>
        <w:rPr>
          <w:rFonts w:hint="eastAsia" w:ascii="仿宋" w:hAnsi="仿宋" w:eastAsia="仿宋" w:cs="仿宋"/>
          <w:color w:val="auto"/>
          <w:sz w:val="20"/>
          <w:szCs w:val="20"/>
          <w:highlight w:val="none"/>
        </w:rPr>
      </w:pPr>
    </w:p>
    <w:p w14:paraId="7CA98FF6">
      <w:pPr>
        <w:pStyle w:val="7"/>
        <w:numPr>
          <w:ilvl w:val="0"/>
          <w:numId w:val="0"/>
        </w:numPr>
        <w:kinsoku w:val="0"/>
        <w:overflowPunct w:val="0"/>
        <w:spacing w:before="7"/>
        <w:ind w:leftChars="0" w:right="0" w:rightChars="0"/>
        <w:rPr>
          <w:rFonts w:hint="eastAsia" w:ascii="仿宋" w:hAnsi="仿宋" w:eastAsia="仿宋" w:cs="仿宋"/>
          <w:color w:val="auto"/>
          <w:sz w:val="25"/>
          <w:szCs w:val="25"/>
          <w:highlight w:val="none"/>
        </w:rPr>
      </w:pPr>
    </w:p>
    <w:p w14:paraId="498F9C3B">
      <w:pPr>
        <w:pStyle w:val="7"/>
        <w:numPr>
          <w:ilvl w:val="0"/>
          <w:numId w:val="0"/>
        </w:numPr>
        <w:kinsoku w:val="0"/>
        <w:overflowPunct w:val="0"/>
        <w:spacing w:line="200" w:lineRule="atLeast"/>
        <w:ind w:right="0" w:rightChars="0"/>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mc:AlternateContent>
          <mc:Choice Requires="wpg">
            <w:drawing>
              <wp:inline distT="0" distB="0" distL="0" distR="0">
                <wp:extent cx="5196205" cy="1461770"/>
                <wp:effectExtent l="0" t="3175" r="24130" b="1905"/>
                <wp:docPr id="1027" name="组合 34"/>
                <wp:cNvGraphicFramePr/>
                <a:graphic xmlns:a="http://schemas.openxmlformats.org/drawingml/2006/main">
                  <a:graphicData uri="http://schemas.microsoft.com/office/word/2010/wordprocessingGroup">
                    <wpg:wgp>
                      <wpg:cNvGrpSpPr/>
                      <wpg:grpSpPr>
                        <a:xfrm rot="0">
                          <a:off x="0" y="0"/>
                          <a:ext cx="5196205" cy="1461770"/>
                          <a:chOff x="4" y="4"/>
                          <a:chExt cx="8183" cy="2302"/>
                        </a:xfrm>
                      </wpg:grpSpPr>
                      <wps:wsp>
                        <wps:cNvPr id="1" name="任意多边形 1"/>
                        <wps:cNvSpPr/>
                        <wps:spPr>
                          <a:xfrm>
                            <a:off x="4" y="9"/>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2" name="任意多边形 2"/>
                        <wps:cNvSpPr/>
                        <wps:spPr>
                          <a:xfrm>
                            <a:off x="24" y="28"/>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3" name="任意多边形 3"/>
                        <wps:cNvSpPr/>
                        <wps:spPr>
                          <a:xfrm>
                            <a:off x="24" y="2267"/>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4" name="任意多边形 4"/>
                        <wps:cNvSpPr/>
                        <wps:spPr>
                          <a:xfrm>
                            <a:off x="4" y="2286"/>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5" name="任意多边形 5"/>
                        <wps:cNvSpPr/>
                        <wps:spPr>
                          <a:xfrm>
                            <a:off x="9" y="4"/>
                            <a:ext cx="20" cy="2287"/>
                          </a:xfrm>
                          <a:custGeom>
                            <a:avLst/>
                            <a:gdLst/>
                            <a:ahLst/>
                            <a:cxnLst/>
                            <a:rect l="l" t="t" r="r" b="b"/>
                            <a:pathLst>
                              <a:path w="20" h="2287">
                                <a:moveTo>
                                  <a:pt x="0" y="0"/>
                                </a:moveTo>
                                <a:lnTo>
                                  <a:pt x="0" y="2286"/>
                                </a:lnTo>
                              </a:path>
                            </a:pathLst>
                          </a:custGeom>
                          <a:solidFill>
                            <a:srgbClr val="CCE8CF"/>
                          </a:solidFill>
                          <a:ln>
                            <a:noFill/>
                          </a:ln>
                        </wps:spPr>
                        <wps:bodyPr/>
                      </wps:wsp>
                      <wps:wsp>
                        <wps:cNvPr id="6" name="任意多边形 6"/>
                        <wps:cNvSpPr/>
                        <wps:spPr>
                          <a:xfrm>
                            <a:off x="28" y="24"/>
                            <a:ext cx="20" cy="2249"/>
                          </a:xfrm>
                          <a:custGeom>
                            <a:avLst/>
                            <a:gdLst/>
                            <a:ahLst/>
                            <a:cxnLst/>
                            <a:rect l="l" t="t" r="r" b="b"/>
                            <a:pathLst>
                              <a:path w="20" h="2249">
                                <a:moveTo>
                                  <a:pt x="0" y="0"/>
                                </a:moveTo>
                                <a:lnTo>
                                  <a:pt x="0" y="2248"/>
                                </a:lnTo>
                              </a:path>
                            </a:pathLst>
                          </a:custGeom>
                          <a:solidFill>
                            <a:srgbClr val="CCE8CF"/>
                          </a:solidFill>
                          <a:ln>
                            <a:noFill/>
                          </a:ln>
                        </wps:spPr>
                        <wps:bodyPr/>
                      </wps:wsp>
                      <wps:wsp>
                        <wps:cNvPr id="7" name="任意多边形 7"/>
                        <wps:cNvSpPr/>
                        <wps:spPr>
                          <a:xfrm>
                            <a:off x="4034"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8" name="任意多边形 8"/>
                        <wps:cNvSpPr/>
                        <wps:spPr>
                          <a:xfrm>
                            <a:off x="4053"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9" name="任意多边形 9"/>
                        <wps:cNvSpPr/>
                        <wps:spPr>
                          <a:xfrm>
                            <a:off x="8059" y="33"/>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10" name="任意多边形 10"/>
                        <wps:cNvSpPr/>
                        <wps:spPr>
                          <a:xfrm>
                            <a:off x="8078" y="14"/>
                            <a:ext cx="20" cy="2278"/>
                          </a:xfrm>
                          <a:custGeom>
                            <a:avLst/>
                            <a:gdLst/>
                            <a:ahLst/>
                            <a:cxnLst/>
                            <a:rect l="l" t="t" r="r" b="b"/>
                            <a:pathLst>
                              <a:path w="20" h="2278">
                                <a:moveTo>
                                  <a:pt x="0" y="0"/>
                                </a:moveTo>
                                <a:lnTo>
                                  <a:pt x="0" y="2277"/>
                                </a:lnTo>
                              </a:path>
                            </a:pathLst>
                          </a:custGeom>
                          <a:solidFill>
                            <a:srgbClr val="CCE8CF"/>
                          </a:solidFill>
                          <a:ln>
                            <a:noFill/>
                          </a:ln>
                        </wps:spPr>
                        <wps:bodyPr/>
                      </wps:wsp>
                      <wps:wsp>
                        <wps:cNvPr id="11" name="矩形 11"/>
                        <wps:cNvSpPr/>
                        <wps:spPr>
                          <a:xfrm>
                            <a:off x="838" y="19"/>
                            <a:ext cx="7349" cy="2258"/>
                          </a:xfrm>
                          <a:prstGeom prst="rect">
                            <a:avLst/>
                          </a:prstGeom>
                          <a:ln w="25400" cap="flat" cmpd="sng">
                            <a:solidFill>
                              <a:srgbClr val="000000"/>
                            </a:solidFill>
                            <a:prstDash val="solid"/>
                            <a:round/>
                          </a:ln>
                        </wps:spPr>
                        <wps:txbx>
                          <w:txbxContent>
                            <w:p w14:paraId="5058A239">
                              <w:pPr>
                                <w:pStyle w:val="7"/>
                                <w:numPr>
                                  <w:ilvl w:val="0"/>
                                  <w:numId w:val="0"/>
                                </w:numPr>
                                <w:kinsoku w:val="0"/>
                                <w:overflowPunct w:val="0"/>
                                <w:spacing w:before="13"/>
                                <w:ind w:leftChars="0" w:right="0" w:rightChars="0"/>
                                <w:rPr>
                                  <w:rFonts w:hint="eastAsia"/>
                                  <w:sz w:val="28"/>
                                  <w:szCs w:val="28"/>
                                </w:rPr>
                              </w:pPr>
                            </w:p>
                            <w:p w14:paraId="5FA60C4B">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wpg:wgp>
                  </a:graphicData>
                </a:graphic>
              </wp:inline>
            </w:drawing>
          </mc:Choice>
          <mc:Fallback>
            <w:pict>
              <v:group id="组合 34" o:spid="_x0000_s1026" o:spt="203" style="height:115.1pt;width:409.15pt;" coordorigin="4,4" coordsize="8183,2302" o:gfxdata="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">
                <o:lock v:ext="edit" aspectratio="f"/>
                <v:shape id="_x0000_s1026" o:spid="_x0000_s1026" o:spt="100" style="position:absolute;left:4;top:9;height:20;width:8079;" fillcolor="#CCE8CF" filled="t" stroked="f" coordsize="8079,20" o:gfxdata="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iN6atwAAANoAAAAP&#10;AAAAAAAAAAEAIAAAACIAAABkcnMvZG93bnJldi54bWxQSwECFAAUAAAACACHTuJAMy8FnjsAAAA5&#10;AAAAEAAAAAAAAAABACAAAAAGAQAAZHJzL3NoYXBleG1sLnhtbFBLBQYAAAAABgAGAFsBAACwAwAA&#10;AAA=&#10;" path="m0,0l8078,0e">
                  <v:fill on="t" focussize="0,0"/>
                  <v:stroke on="f"/>
                  <v:imagedata o:title=""/>
                  <o:lock v:ext="edit" aspectratio="f"/>
                </v:shape>
                <v:shape id="_x0000_s1026" o:spid="_x0000_s1026" o:spt="100" style="position:absolute;left:24;top:28;height:20;width:8041;" fillcolor="#CCE8CF" filled="t" stroked="f" coordsize="8041,20" o:gfxdata="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f6we8AAAA&#10;2gAAAA8AAAAAAAAAAQAgAAAAIgAAAGRycy9kb3ducmV2LnhtbFBLAQIUABQAAAAIAIdO4kAzLwWe&#10;OwAAADkAAAAQAAAAAAAAAAEAIAAAAAsBAABkcnMvc2hhcGV4bWwueG1sUEsFBgAAAAAGAAYAWwEA&#10;ALUDAAAAAA==&#10;" path="m0,0l8040,0e">
                  <v:fill on="t" focussize="0,0"/>
                  <v:stroke on="f"/>
                  <v:imagedata o:title=""/>
                  <o:lock v:ext="edit" aspectratio="f"/>
                </v:shape>
                <v:shape id="_x0000_s1026" o:spid="_x0000_s1026" o:spt="100" style="position:absolute;left:24;top:2267;height:20;width:8041;" fillcolor="#CCE8CF" filled="t" stroked="f" coordsize="8041,20" o:gfxdata="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lNOnLsAAADa&#10;AAAADwAAAAAAAAABACAAAAAiAAAAZHJzL2Rvd25yZXYueG1sUEsBAhQAFAAAAAgAh07iQDMvBZ47&#10;AAAAOQAAABAAAAAAAAAAAQAgAAAACgEAAGRycy9zaGFwZXhtbC54bWxQSwUGAAAAAAYABgBbAQAA&#10;tAMAAAAA&#10;" path="m0,0l8040,0e">
                  <v:fill on="t" focussize="0,0"/>
                  <v:stroke on="f"/>
                  <v:imagedata o:title=""/>
                  <o:lock v:ext="edit" aspectratio="f"/>
                </v:shape>
                <v:shape id="_x0000_s1026" o:spid="_x0000_s1026" o:spt="100" style="position:absolute;left:4;top:2286;height:20;width:8079;" fillcolor="#CCE8CF" filled="t" stroked="f" coordsize="8079,20" o:gfxdata="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99ArsAAADa&#10;AAAADwAAAAAAAAABACAAAAAiAAAAZHJzL2Rvd25yZXYueG1sUEsBAhQAFAAAAAgAh07iQDMvBZ47&#10;AAAAOQAAABAAAAAAAAAAAQAgAAAACgEAAGRycy9zaGFwZXhtbC54bWxQSwUGAAAAAAYABgBbAQAA&#10;tAMAAAAA&#10;" path="m0,0l8078,0e">
                  <v:fill on="t" focussize="0,0"/>
                  <v:stroke on="f"/>
                  <v:imagedata o:title=""/>
                  <o:lock v:ext="edit" aspectratio="f"/>
                </v:shape>
                <v:shape id="_x0000_s1026" o:spid="_x0000_s1026" o:spt="100" style="position:absolute;left:9;top:4;height:2287;width:20;" fillcolor="#CCE8CF" filled="t" stroked="f" coordsize="20,2287" o:gfxdata="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KrrsAAADa&#10;AAAADwAAAAAAAAABACAAAAAiAAAAZHJzL2Rvd25yZXYueG1sUEsBAhQAFAAAAAgAh07iQDMvBZ47&#10;AAAAOQAAABAAAAAAAAAAAQAgAAAACgEAAGRycy9zaGFwZXhtbC54bWxQSwUGAAAAAAYABgBbAQAA&#10;tAMAAAAA&#10;" path="m0,0l0,2286e">
                  <v:fill on="t" focussize="0,0"/>
                  <v:stroke on="f"/>
                  <v:imagedata o:title=""/>
                  <o:lock v:ext="edit" aspectratio="f"/>
                </v:shape>
                <v:shape id="_x0000_s1026" o:spid="_x0000_s1026" o:spt="100" style="position:absolute;left:28;top:24;height:2249;width:20;" fillcolor="#CCE8CF" filled="t" stroked="f" coordsize="20,2249" o:gfxdata="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Plj28AAAA&#10;2gAAAA8AAAAAAAAAAQAgAAAAIgAAAGRycy9kb3ducmV2LnhtbFBLAQIUABQAAAAIAIdO4kAzLwWe&#10;OwAAADkAAAAQAAAAAAAAAAEAIAAAAAsBAABkcnMvc2hhcGV4bWwueG1sUEsFBgAAAAAGAAYAWwEA&#10;ALUDAAAAAA==&#10;" path="m0,0l0,2248e">
                  <v:fill on="t" focussize="0,0"/>
                  <v:stroke on="f"/>
                  <v:imagedata o:title=""/>
                  <o:lock v:ext="edit" aspectratio="f"/>
                </v:shape>
                <v:shape id="_x0000_s1026" o:spid="_x0000_s1026" o:spt="100" style="position:absolute;left:4034;top:24;height:2239;width:20;" fillcolor="#CCE8CF" filled="t" stroked="f" coordsize="20,2239" o:gfxdata="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Lic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4053;top:24;height:2239;width:20;" fillcolor="#CCE8CF" filled="t" stroked="f" coordsize="20,2239" o:gfxdata="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08s7rgAAADaAAAA&#10;DwAAAAAAAAABACAAAAAiAAAAZHJzL2Rvd25yZXYueG1sUEsBAhQAFAAAAAgAh07iQDMvBZ47AAAA&#10;OQAAABAAAAAAAAAAAQAgAAAABwEAAGRycy9zaGFwZXhtbC54bWxQSwUGAAAAAAYABgBbAQAAsQMA&#10;AAAA&#10;" path="m0,0l0,2238e">
                  <v:fill on="t" focussize="0,0"/>
                  <v:stroke on="f"/>
                  <v:imagedata o:title=""/>
                  <o:lock v:ext="edit" aspectratio="f"/>
                </v:shape>
                <v:shape id="_x0000_s1026" o:spid="_x0000_s1026" o:spt="100" style="position:absolute;left:8059;top:33;height:2239;width:20;" fillcolor="#CCE8CF" filled="t" stroked="f" coordsize="20,2239" o:gfxdata="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A4l1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8078;top:14;height:2278;width:20;" fillcolor="#CCE8CF" filled="t" stroked="f" coordsize="20,2278" o:gfxdata="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EqoW/&#10;AAAA2wAAAA8AAAAAAAAAAQAgAAAAIgAAAGRycy9kb3ducmV2LnhtbFBLAQIUABQAAAAIAIdO4kAz&#10;LwWeOwAAADkAAAAQAAAAAAAAAAEAIAAAAA4BAABkcnMvc2hhcGV4bWwueG1sUEsFBgAAAAAGAAYA&#10;WwEAALgDAAAAAA==&#10;" path="m0,0l0,2277e">
                  <v:fill on="t" focussize="0,0"/>
                  <v:stroke on="f"/>
                  <v:imagedata o:title=""/>
                  <o:lock v:ext="edit" aspectratio="f"/>
                </v:shape>
                <v:rect id="_x0000_s1026" o:spid="_x0000_s1026" o:spt="1" style="position:absolute;left:838;top:19;height:2258;width:7349;" filled="f" stroked="t" coordsize="21600,21600" o:gfxdata="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f1rgAAADbAAAA&#10;DwAAAAAAAAABACAAAAAiAAAAZHJzL2Rvd25yZXYueG1sUEsBAhQAFAAAAAgAh07iQDMvBZ47AAAA&#10;OQAAABAAAAAAAAAAAQAgAAAABwEAAGRycy9zaGFwZXhtbC54bWxQSwUGAAAAAAYABgBbAQAAsQMA&#10;AAAA&#10;">
                  <v:fill on="f" focussize="0,0"/>
                  <v:stroke weight="2pt" color="#000000" joinstyle="round"/>
                  <v:imagedata o:title=""/>
                  <o:lock v:ext="edit" aspectratio="f"/>
                  <v:textbox inset="0mm,0mm,0mm,0mm">
                    <w:txbxContent>
                      <w:p w14:paraId="5058A239">
                        <w:pPr>
                          <w:pStyle w:val="7"/>
                          <w:numPr>
                            <w:ilvl w:val="0"/>
                            <w:numId w:val="0"/>
                          </w:numPr>
                          <w:kinsoku w:val="0"/>
                          <w:overflowPunct w:val="0"/>
                          <w:spacing w:before="13"/>
                          <w:ind w:leftChars="0" w:right="0" w:rightChars="0"/>
                          <w:rPr>
                            <w:rFonts w:hint="eastAsia"/>
                            <w:sz w:val="28"/>
                            <w:szCs w:val="28"/>
                          </w:rPr>
                        </w:pPr>
                      </w:p>
                      <w:p w14:paraId="5FA60C4B">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10:wrap type="none"/>
                <w10:anchorlock/>
              </v:group>
            </w:pict>
          </mc:Fallback>
        </mc:AlternateContent>
      </w:r>
    </w:p>
    <w:p w14:paraId="4DAD48A5">
      <w:pPr>
        <w:wordWrap w:val="0"/>
        <w:spacing w:line="420" w:lineRule="exact"/>
        <w:ind w:firstLine="490" w:firstLineChars="200"/>
        <w:jc w:val="right"/>
        <w:rPr>
          <w:rFonts w:hint="eastAsia" w:ascii="仿宋" w:hAnsi="仿宋" w:eastAsia="仿宋" w:cs="仿宋"/>
          <w:color w:val="auto"/>
          <w:kern w:val="0"/>
          <w:sz w:val="24"/>
          <w:highlight w:val="none"/>
        </w:rPr>
      </w:pPr>
    </w:p>
    <w:p w14:paraId="22D07BEF">
      <w:pPr>
        <w:spacing w:line="420" w:lineRule="exact"/>
        <w:ind w:firstLine="490" w:firstLineChars="200"/>
        <w:jc w:val="right"/>
        <w:rPr>
          <w:rFonts w:hint="eastAsia" w:ascii="仿宋" w:hAnsi="仿宋" w:eastAsia="仿宋" w:cs="仿宋"/>
          <w:color w:val="auto"/>
          <w:kern w:val="0"/>
          <w:sz w:val="24"/>
          <w:highlight w:val="none"/>
        </w:rPr>
      </w:pPr>
    </w:p>
    <w:p w14:paraId="7DD3BC16">
      <w:pPr>
        <w:pStyle w:val="17"/>
        <w:rPr>
          <w:rFonts w:hint="eastAsia" w:ascii="仿宋" w:hAnsi="仿宋" w:eastAsia="仿宋" w:cs="仿宋"/>
          <w:color w:val="auto"/>
          <w:kern w:val="0"/>
          <w:sz w:val="24"/>
          <w:highlight w:val="none"/>
        </w:rPr>
      </w:pPr>
    </w:p>
    <w:p w14:paraId="0899658C">
      <w:pPr>
        <w:pStyle w:val="17"/>
        <w:rPr>
          <w:rFonts w:hint="eastAsia" w:ascii="仿宋" w:hAnsi="仿宋" w:eastAsia="仿宋" w:cs="仿宋"/>
          <w:color w:val="auto"/>
          <w:kern w:val="0"/>
          <w:sz w:val="24"/>
          <w:highlight w:val="none"/>
        </w:rPr>
      </w:pPr>
    </w:p>
    <w:p w14:paraId="54EB6FAD">
      <w:pPr>
        <w:spacing w:line="420" w:lineRule="exact"/>
        <w:ind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投标人：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（公章）</w:t>
      </w:r>
    </w:p>
    <w:p w14:paraId="3C3C5160">
      <w:pPr>
        <w:spacing w:line="420" w:lineRule="exact"/>
        <w:ind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投标人法定代表人（</w:t>
      </w:r>
      <w:r>
        <w:rPr>
          <w:rFonts w:hint="eastAsia" w:ascii="仿宋" w:hAnsi="仿宋" w:eastAsia="仿宋" w:cs="仿宋"/>
          <w:color w:val="auto"/>
          <w:kern w:val="0"/>
          <w:sz w:val="24"/>
          <w:highlight w:val="none"/>
          <w:lang w:eastAsia="zh-CN"/>
        </w:rPr>
        <w:t>签字或盖章</w:t>
      </w:r>
      <w:r>
        <w:rPr>
          <w:rFonts w:hint="eastAsia" w:ascii="仿宋" w:hAnsi="仿宋" w:eastAsia="仿宋" w:cs="仿宋"/>
          <w:color w:val="auto"/>
          <w:kern w:val="0"/>
          <w:sz w:val="24"/>
          <w:highlight w:val="none"/>
        </w:rPr>
        <w:t>）：</w:t>
      </w:r>
    </w:p>
    <w:p w14:paraId="4938D2F1">
      <w:pPr>
        <w:wordWrap w:val="0"/>
        <w:spacing w:line="420" w:lineRule="exact"/>
        <w:ind w:right="480"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日 </w:t>
      </w:r>
    </w:p>
    <w:p w14:paraId="34635AF0">
      <w:pPr>
        <w:pStyle w:val="7"/>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szCs w:val="21"/>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36"/>
          <w:szCs w:val="36"/>
          <w:highlight w:val="none"/>
          <w:lang w:val="en-US" w:eastAsia="zh-CN"/>
        </w:rPr>
        <w:t>3</w:t>
      </w:r>
      <w:r>
        <w:rPr>
          <w:rFonts w:hint="eastAsia" w:ascii="仿宋" w:hAnsi="仿宋" w:eastAsia="仿宋" w:cs="仿宋"/>
          <w:b/>
          <w:bCs/>
          <w:color w:val="auto"/>
          <w:sz w:val="36"/>
          <w:szCs w:val="36"/>
          <w:highlight w:val="none"/>
        </w:rPr>
        <w:t>、授权委托书</w:t>
      </w:r>
    </w:p>
    <w:p w14:paraId="6BF1F1B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致：采购人名称 </w:t>
      </w:r>
    </w:p>
    <w:p w14:paraId="2DE0794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本授权书声明：注册于（投标人地址）的（投标人名称）法定代表人（负责人）姓名、职务或职称）代表本公司授权（姓名）为本单位的合法代理人，参与贵方组织的（项目名称及项目编号） 的投标、谈判、签约等具体工作，并签署全部有关文件、协议及合同。</w:t>
      </w:r>
    </w:p>
    <w:p w14:paraId="4A29B64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我单位对被授权人的上述经济活动负全部责任。在撤销授权的书面通知前，本授权书一直有效。被授权人在授权书有效期内签署的所有文件不因授权的撤消而失效。</w:t>
      </w:r>
    </w:p>
    <w:p w14:paraId="452B181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544195</wp:posOffset>
                </wp:positionH>
                <wp:positionV relativeFrom="paragraph">
                  <wp:posOffset>90805</wp:posOffset>
                </wp:positionV>
                <wp:extent cx="4652010" cy="1448435"/>
                <wp:effectExtent l="12700" t="12700" r="21590" b="24765"/>
                <wp:wrapNone/>
                <wp:docPr id="39" name="矩形 39"/>
                <wp:cNvGraphicFramePr/>
                <a:graphic xmlns:a="http://schemas.openxmlformats.org/drawingml/2006/main">
                  <a:graphicData uri="http://schemas.microsoft.com/office/word/2010/wordprocessingShape">
                    <wps:wsp>
                      <wps:cNvSpPr/>
                      <wps:spPr>
                        <a:xfrm>
                          <a:off x="0" y="0"/>
                          <a:ext cx="4652010" cy="1448435"/>
                        </a:xfrm>
                        <a:prstGeom prst="rect">
                          <a:avLst/>
                        </a:prstGeom>
                        <a:ln w="25400" cap="flat" cmpd="sng">
                          <a:solidFill>
                            <a:srgbClr val="000000"/>
                          </a:solidFill>
                          <a:prstDash val="solid"/>
                          <a:round/>
                        </a:ln>
                      </wps:spPr>
                      <wps:txbx>
                        <w:txbxContent>
                          <w:p w14:paraId="44295034">
                            <w:pPr>
                              <w:pStyle w:val="7"/>
                              <w:numPr>
                                <w:ilvl w:val="0"/>
                                <w:numId w:val="0"/>
                              </w:numPr>
                              <w:kinsoku w:val="0"/>
                              <w:overflowPunct w:val="0"/>
                              <w:spacing w:before="13"/>
                              <w:ind w:leftChars="0" w:right="0" w:rightChars="0"/>
                              <w:rPr>
                                <w:rFonts w:hint="eastAsia"/>
                                <w:sz w:val="28"/>
                                <w:szCs w:val="28"/>
                              </w:rPr>
                            </w:pPr>
                          </w:p>
                          <w:p w14:paraId="2F220E07">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2.85pt;margin-top:7.15pt;height:114.05pt;width:366.3pt;z-index:251663360;mso-width-relative:page;mso-height-relative:page;" filled="f" stroked="t" coordsize="21600,21600" o:gfxdata="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QDKNR1gAA&#10;AAkBAAAPAAAAAAAAAAEAIAAAACIAAABkcnMvZG93bnJldi54bWxQSwECFAAUAAAACACHTuJAJ1cs&#10;yucBAADJAwAADgAAAAAAAAABACAAAAAlAQAAZHJzL2Uyb0RvYy54bWxQSwUGAAAAAAYABgBZAQAA&#10;fgUAAAAA&#10;">
                <v:fill on="f" focussize="0,0"/>
                <v:stroke weight="2pt" color="#000000" joinstyle="round"/>
                <v:imagedata o:title=""/>
                <o:lock v:ext="edit" aspectratio="f"/>
                <v:textbox inset="0mm,0mm,0mm,0mm">
                  <w:txbxContent>
                    <w:p w14:paraId="44295034">
                      <w:pPr>
                        <w:pStyle w:val="7"/>
                        <w:numPr>
                          <w:ilvl w:val="0"/>
                          <w:numId w:val="0"/>
                        </w:numPr>
                        <w:kinsoku w:val="0"/>
                        <w:overflowPunct w:val="0"/>
                        <w:spacing w:before="13"/>
                        <w:ind w:leftChars="0" w:right="0" w:rightChars="0"/>
                        <w:rPr>
                          <w:rFonts w:hint="eastAsia"/>
                          <w:sz w:val="28"/>
                          <w:szCs w:val="28"/>
                        </w:rPr>
                      </w:pPr>
                    </w:p>
                    <w:p w14:paraId="2F220E07">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4D07F431">
      <w:pPr>
        <w:pStyle w:val="7"/>
        <w:kinsoku w:val="0"/>
        <w:overflowPunct w:val="0"/>
        <w:adjustRightInd w:val="0"/>
        <w:snapToGrid w:val="0"/>
        <w:spacing w:before="12"/>
        <w:rPr>
          <w:rFonts w:hint="eastAsia" w:ascii="仿宋" w:hAnsi="仿宋" w:eastAsia="仿宋" w:cs="仿宋"/>
          <w:color w:val="auto"/>
          <w:sz w:val="4"/>
          <w:szCs w:val="4"/>
          <w:highlight w:val="none"/>
        </w:rPr>
      </w:pPr>
    </w:p>
    <w:p w14:paraId="007E685C">
      <w:pPr>
        <w:pStyle w:val="7"/>
        <w:numPr>
          <w:ilvl w:val="0"/>
          <w:numId w:val="0"/>
        </w:numPr>
        <w:kinsoku w:val="0"/>
        <w:overflowPunct w:val="0"/>
        <w:adjustRightInd w:val="0"/>
        <w:snapToGrid w:val="0"/>
        <w:spacing w:line="200" w:lineRule="atLeast"/>
        <w:ind w:right="1947" w:rightChars="795"/>
        <w:jc w:val="center"/>
        <w:rPr>
          <w:rFonts w:hint="eastAsia" w:ascii="仿宋" w:hAnsi="仿宋" w:eastAsia="仿宋" w:cs="仿宋"/>
          <w:color w:val="auto"/>
          <w:sz w:val="18"/>
          <w:szCs w:val="20"/>
          <w:highlight w:val="none"/>
        </w:rPr>
      </w:pPr>
    </w:p>
    <w:p w14:paraId="59A8F53E">
      <w:pPr>
        <w:pStyle w:val="7"/>
        <w:numPr>
          <w:ilvl w:val="0"/>
          <w:numId w:val="0"/>
        </w:numPr>
        <w:kinsoku w:val="0"/>
        <w:overflowPunct w:val="0"/>
        <w:adjustRightInd w:val="0"/>
        <w:snapToGrid w:val="0"/>
        <w:spacing w:line="200" w:lineRule="atLeast"/>
        <w:ind w:right="0" w:rightChars="0"/>
        <w:rPr>
          <w:rFonts w:hint="eastAsia" w:ascii="仿宋" w:hAnsi="仿宋" w:eastAsia="仿宋" w:cs="仿宋"/>
          <w:color w:val="auto"/>
          <w:sz w:val="18"/>
          <w:szCs w:val="20"/>
          <w:highlight w:val="none"/>
        </w:rPr>
      </w:pPr>
    </w:p>
    <w:p w14:paraId="549CC510">
      <w:pPr>
        <w:rPr>
          <w:rFonts w:hint="eastAsia" w:ascii="仿宋" w:hAnsi="仿宋" w:eastAsia="仿宋" w:cs="仿宋"/>
          <w:color w:val="auto"/>
          <w:sz w:val="18"/>
          <w:szCs w:val="20"/>
          <w:highlight w:val="none"/>
        </w:rPr>
      </w:pPr>
    </w:p>
    <w:p w14:paraId="6D58F432">
      <w:pPr>
        <w:rPr>
          <w:rFonts w:hint="eastAsia" w:ascii="仿宋" w:hAnsi="仿宋" w:eastAsia="仿宋" w:cs="仿宋"/>
          <w:color w:val="auto"/>
          <w:sz w:val="18"/>
          <w:szCs w:val="20"/>
          <w:highlight w:val="none"/>
        </w:rPr>
      </w:pPr>
    </w:p>
    <w:p w14:paraId="75BB2E63">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77015A89">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521970</wp:posOffset>
                </wp:positionH>
                <wp:positionV relativeFrom="paragraph">
                  <wp:posOffset>286385</wp:posOffset>
                </wp:positionV>
                <wp:extent cx="4666615" cy="1433830"/>
                <wp:effectExtent l="12700" t="12700" r="26035" b="20320"/>
                <wp:wrapNone/>
                <wp:docPr id="41" name="矩形 41"/>
                <wp:cNvGraphicFramePr/>
                <a:graphic xmlns:a="http://schemas.openxmlformats.org/drawingml/2006/main">
                  <a:graphicData uri="http://schemas.microsoft.com/office/word/2010/wordprocessingShape">
                    <wps:wsp>
                      <wps:cNvSpPr/>
                      <wps:spPr>
                        <a:xfrm>
                          <a:off x="0" y="0"/>
                          <a:ext cx="4666615" cy="1433830"/>
                        </a:xfrm>
                        <a:prstGeom prst="rect">
                          <a:avLst/>
                        </a:prstGeom>
                        <a:ln w="25400" cap="flat" cmpd="sng">
                          <a:solidFill>
                            <a:srgbClr val="000000"/>
                          </a:solidFill>
                          <a:prstDash val="solid"/>
                          <a:round/>
                        </a:ln>
                      </wps:spPr>
                      <wps:txbx>
                        <w:txbxContent>
                          <w:p w14:paraId="65173148">
                            <w:pPr>
                              <w:pStyle w:val="7"/>
                              <w:numPr>
                                <w:ilvl w:val="0"/>
                                <w:numId w:val="0"/>
                              </w:numPr>
                              <w:kinsoku w:val="0"/>
                              <w:overflowPunct w:val="0"/>
                              <w:spacing w:before="13"/>
                              <w:ind w:leftChars="0" w:right="0" w:rightChars="0"/>
                              <w:rPr>
                                <w:rFonts w:hint="eastAsia"/>
                                <w:sz w:val="28"/>
                                <w:szCs w:val="28"/>
                              </w:rPr>
                            </w:pPr>
                          </w:p>
                          <w:p w14:paraId="4BC42214">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1.1pt;margin-top:22.55pt;height:112.9pt;width:367.45pt;z-index:251664384;mso-width-relative:page;mso-height-relative:page;" filled="f" stroked="t" coordsize="21600,21600" o:gfxdata="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PvHJTVAAAA&#10;CQEAAA8AAAAAAAAAAQAgAAAAIgAAAGRycy9kb3ducmV2LnhtbFBLAQIUABQAAAAIAIdO4kDAgdIE&#10;5wEAAMkDAAAOAAAAAAAAAAEAIAAAACQBAABkcnMvZTJvRG9jLnhtbFBLBQYAAAAABgAGAFkBAAB9&#10;BQAAAAA=&#10;">
                <v:fill on="f" focussize="0,0"/>
                <v:stroke weight="2pt" color="#000000" joinstyle="round"/>
                <v:imagedata o:title=""/>
                <o:lock v:ext="edit" aspectratio="f"/>
                <v:textbox inset="0mm,0mm,0mm,0mm">
                  <w:txbxContent>
                    <w:p w14:paraId="65173148">
                      <w:pPr>
                        <w:pStyle w:val="7"/>
                        <w:numPr>
                          <w:ilvl w:val="0"/>
                          <w:numId w:val="0"/>
                        </w:numPr>
                        <w:kinsoku w:val="0"/>
                        <w:overflowPunct w:val="0"/>
                        <w:spacing w:before="13"/>
                        <w:ind w:leftChars="0" w:right="0" w:rightChars="0"/>
                        <w:rPr>
                          <w:rFonts w:hint="eastAsia"/>
                          <w:sz w:val="28"/>
                          <w:szCs w:val="28"/>
                        </w:rPr>
                      </w:pPr>
                    </w:p>
                    <w:p w14:paraId="4BC42214">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05073CC5">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39F2254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441B84B0">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0548A48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2888DF1F">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1313B6C0">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6F864B14">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751345F9">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被授权代表（</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投标人法定代表人（</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sz w:val="24"/>
          <w:highlight w:val="none"/>
        </w:rPr>
        <w:t>）：</w:t>
      </w:r>
    </w:p>
    <w:p w14:paraId="7C24AA57">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职</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务：</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务：</w:t>
      </w:r>
    </w:p>
    <w:p w14:paraId="76B0B6C8">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电</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话：</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电</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话：</w:t>
      </w:r>
    </w:p>
    <w:p w14:paraId="2FCD9028">
      <w:pPr>
        <w:pStyle w:val="7"/>
        <w:numPr>
          <w:ilvl w:val="0"/>
          <w:numId w:val="0"/>
        </w:numPr>
        <w:tabs>
          <w:tab w:val="clear" w:pos="780"/>
        </w:tabs>
        <w:kinsoku w:val="0"/>
        <w:overflowPunct w:val="0"/>
        <w:adjustRightInd w:val="0"/>
        <w:snapToGrid w:val="0"/>
        <w:spacing w:line="360" w:lineRule="auto"/>
        <w:ind w:left="709" w:leftChars="0" w:right="238"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rPr>
        <w:t>（盖章）</w:t>
      </w:r>
    </w:p>
    <w:p w14:paraId="4C2E962B">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4"/>
          <w:highlight w:val="none"/>
        </w:rPr>
      </w:pPr>
    </w:p>
    <w:p w14:paraId="724EBE32">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0"/>
          <w:highlight w:val="none"/>
        </w:rPr>
      </w:pPr>
      <w:r>
        <w:rPr>
          <w:rFonts w:hint="eastAsia" w:ascii="仿宋" w:hAnsi="仿宋" w:eastAsia="仿宋" w:cs="仿宋"/>
          <w:color w:val="auto"/>
          <w:sz w:val="24"/>
          <w:highlight w:val="none"/>
        </w:rPr>
        <w:t xml:space="preserve"> 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日 </w:t>
      </w:r>
      <w:r>
        <w:rPr>
          <w:rFonts w:hint="eastAsia" w:ascii="仿宋" w:hAnsi="仿宋" w:eastAsia="仿宋" w:cs="仿宋"/>
          <w:color w:val="auto"/>
          <w:sz w:val="20"/>
          <w:highlight w:val="none"/>
        </w:rPr>
        <w:t xml:space="preserve">               </w:t>
      </w:r>
    </w:p>
    <w:p w14:paraId="3790AA15">
      <w:pPr>
        <w:pStyle w:val="7"/>
        <w:numPr>
          <w:ilvl w:val="0"/>
          <w:numId w:val="0"/>
        </w:numPr>
        <w:tabs>
          <w:tab w:val="clear" w:pos="780"/>
        </w:tabs>
        <w:kinsoku w:val="0"/>
        <w:overflowPunct w:val="0"/>
        <w:spacing w:before="34" w:line="357" w:lineRule="auto"/>
        <w:ind w:left="480" w:right="126"/>
        <w:jc w:val="center"/>
        <w:rPr>
          <w:rFonts w:hint="eastAsia" w:ascii="仿宋" w:hAnsi="仿宋" w:eastAsia="仿宋" w:cs="仿宋"/>
          <w:b/>
          <w:bCs/>
          <w:color w:val="auto"/>
          <w:sz w:val="36"/>
          <w:szCs w:val="36"/>
          <w:highlight w:val="none"/>
        </w:rPr>
      </w:pPr>
    </w:p>
    <w:p w14:paraId="59286E5C">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highlight w:val="none"/>
          <w:shd w:val="clear" w:color="auto" w:fill="auto"/>
          <w:lang w:val="en-US" w:eastAsia="zh-CN" w:bidi="en-US"/>
        </w:rPr>
      </w:pPr>
    </w:p>
    <w:p w14:paraId="0D23F676">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highlight w:val="none"/>
          <w:shd w:val="clear" w:color="auto" w:fill="auto"/>
          <w:lang w:val="en-US" w:eastAsia="en-US" w:bidi="en-US"/>
        </w:rPr>
      </w:pPr>
      <w:r>
        <w:rPr>
          <w:rFonts w:hint="eastAsia" w:ascii="仿宋" w:hAnsi="仿宋" w:eastAsia="仿宋" w:cs="仿宋"/>
          <w:b/>
          <w:bCs/>
          <w:color w:val="auto"/>
          <w:spacing w:val="0"/>
          <w:w w:val="100"/>
          <w:position w:val="0"/>
          <w:sz w:val="36"/>
          <w:szCs w:val="36"/>
          <w:highlight w:val="none"/>
          <w:shd w:val="clear" w:color="auto" w:fill="auto"/>
          <w:lang w:val="en-US" w:eastAsia="zh-CN" w:bidi="en-US"/>
        </w:rPr>
        <w:t>4、投标保证金缴纳凭证或保函等票据</w:t>
      </w:r>
    </w:p>
    <w:p w14:paraId="02112B32">
      <w:pPr>
        <w:shd w:val="clear" w:color="auto" w:fill="auto"/>
        <w:ind w:firstLine="490" w:firstLineChars="200"/>
        <w:rPr>
          <w:rFonts w:hint="eastAsia" w:ascii="仿宋" w:hAnsi="仿宋" w:eastAsia="仿宋" w:cs="仿宋"/>
          <w:color w:val="auto"/>
          <w:sz w:val="24"/>
          <w:highlight w:val="none"/>
        </w:rPr>
      </w:pPr>
    </w:p>
    <w:p w14:paraId="7FBC5050">
      <w:pPr>
        <w:pStyle w:val="5"/>
        <w:shd w:val="clear" w:color="auto" w:fill="auto"/>
        <w:rPr>
          <w:rFonts w:hint="eastAsia" w:ascii="仿宋" w:hAnsi="仿宋" w:eastAsia="仿宋" w:cs="仿宋"/>
          <w:color w:val="auto"/>
          <w:highlight w:val="none"/>
        </w:rPr>
      </w:pPr>
    </w:p>
    <w:p w14:paraId="0870F36D">
      <w:pPr>
        <w:pStyle w:val="5"/>
        <w:shd w:val="clear" w:color="auto" w:fill="auto"/>
        <w:rPr>
          <w:rFonts w:hint="eastAsia" w:ascii="仿宋" w:hAnsi="仿宋" w:eastAsia="仿宋" w:cs="仿宋"/>
          <w:color w:val="auto"/>
          <w:highlight w:val="none"/>
        </w:rPr>
      </w:pPr>
    </w:p>
    <w:p w14:paraId="1781F427">
      <w:pPr>
        <w:shd w:val="clear" w:color="auto" w:fill="auto"/>
        <w:spacing w:line="240" w:lineRule="atLeast"/>
        <w:ind w:left="1169" w:leftChars="257" w:hanging="540"/>
        <w:jc w:val="center"/>
        <w:rPr>
          <w:rFonts w:hint="eastAsia" w:ascii="仿宋" w:hAnsi="仿宋" w:eastAsia="仿宋" w:cs="仿宋"/>
          <w:color w:val="auto"/>
          <w:sz w:val="24"/>
          <w:highlight w:val="none"/>
        </w:rPr>
      </w:pPr>
    </w:p>
    <w:p w14:paraId="266C4746">
      <w:pPr>
        <w:shd w:val="clear" w:color="auto" w:fill="auto"/>
        <w:rPr>
          <w:rFonts w:hint="eastAsia" w:ascii="仿宋" w:hAnsi="仿宋" w:eastAsia="仿宋" w:cs="仿宋"/>
          <w:color w:val="auto"/>
          <w:sz w:val="28"/>
          <w:szCs w:val="28"/>
          <w:highlight w:val="none"/>
        </w:rPr>
      </w:pPr>
    </w:p>
    <w:tbl>
      <w:tblPr>
        <w:tblStyle w:val="23"/>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52CA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11E620E6">
            <w:pPr>
              <w:shd w:val="clear" w:color="auto" w:fill="auto"/>
              <w:rPr>
                <w:rFonts w:hint="eastAsia" w:ascii="仿宋" w:hAnsi="仿宋" w:eastAsia="仿宋" w:cs="仿宋"/>
                <w:b/>
                <w:bCs/>
                <w:color w:val="auto"/>
                <w:sz w:val="30"/>
                <w:szCs w:val="30"/>
                <w:highlight w:val="none"/>
              </w:rPr>
            </w:pPr>
          </w:p>
          <w:p w14:paraId="64731446">
            <w:pPr>
              <w:shd w:val="clear" w:color="auto" w:fill="auto"/>
              <w:jc w:val="center"/>
              <w:rPr>
                <w:rFonts w:hint="eastAsia" w:ascii="仿宋" w:hAnsi="仿宋" w:eastAsia="仿宋" w:cs="仿宋"/>
                <w:b/>
                <w:bCs/>
                <w:color w:val="auto"/>
                <w:sz w:val="30"/>
                <w:szCs w:val="30"/>
                <w:highlight w:val="none"/>
                <w:lang w:eastAsia="zh-CN"/>
              </w:rPr>
            </w:pPr>
          </w:p>
          <w:p w14:paraId="2C799505">
            <w:pPr>
              <w:shd w:val="clear" w:color="auto" w:fill="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val="en-US" w:eastAsia="zh-CN"/>
              </w:rPr>
              <w:t>投标保证金缴纳凭证</w:t>
            </w:r>
          </w:p>
        </w:tc>
      </w:tr>
    </w:tbl>
    <w:p w14:paraId="1240AD54">
      <w:pPr>
        <w:pStyle w:val="5"/>
        <w:shd w:val="clear" w:color="auto" w:fill="auto"/>
        <w:rPr>
          <w:rFonts w:hint="eastAsia" w:ascii="仿宋" w:hAnsi="仿宋" w:eastAsia="仿宋" w:cs="仿宋"/>
          <w:color w:val="auto"/>
          <w:highlight w:val="none"/>
        </w:rPr>
      </w:pPr>
    </w:p>
    <w:p w14:paraId="1EFEA144">
      <w:pPr>
        <w:pStyle w:val="5"/>
        <w:shd w:val="clear" w:color="auto" w:fill="auto"/>
        <w:rPr>
          <w:rFonts w:hint="eastAsia" w:ascii="仿宋" w:hAnsi="仿宋" w:eastAsia="仿宋" w:cs="仿宋"/>
          <w:color w:val="auto"/>
          <w:highlight w:val="none"/>
        </w:rPr>
      </w:pPr>
    </w:p>
    <w:p w14:paraId="4BF9BA6F">
      <w:pPr>
        <w:pStyle w:val="5"/>
        <w:shd w:val="clear" w:color="auto" w:fill="auto"/>
        <w:rPr>
          <w:rFonts w:hint="eastAsia" w:ascii="仿宋" w:hAnsi="仿宋" w:eastAsia="仿宋" w:cs="仿宋"/>
          <w:color w:val="auto"/>
          <w:highlight w:val="none"/>
        </w:rPr>
      </w:pPr>
    </w:p>
    <w:p w14:paraId="264D9A42">
      <w:pPr>
        <w:pStyle w:val="5"/>
        <w:shd w:val="clear" w:color="auto" w:fill="auto"/>
        <w:rPr>
          <w:rFonts w:hint="eastAsia" w:ascii="仿宋" w:hAnsi="仿宋" w:eastAsia="仿宋" w:cs="仿宋"/>
          <w:color w:val="auto"/>
          <w:highlight w:val="none"/>
        </w:rPr>
      </w:pPr>
    </w:p>
    <w:p w14:paraId="7D79DEC9">
      <w:pPr>
        <w:pStyle w:val="5"/>
        <w:shd w:val="clear" w:color="auto" w:fill="auto"/>
        <w:rPr>
          <w:rFonts w:hint="eastAsia" w:ascii="仿宋" w:hAnsi="仿宋" w:eastAsia="仿宋" w:cs="仿宋"/>
          <w:color w:val="auto"/>
          <w:highlight w:val="none"/>
        </w:rPr>
      </w:pPr>
    </w:p>
    <w:p w14:paraId="07DC02E8">
      <w:pPr>
        <w:pStyle w:val="5"/>
        <w:shd w:val="clear" w:color="auto" w:fill="auto"/>
        <w:rPr>
          <w:rFonts w:hint="eastAsia" w:ascii="仿宋" w:hAnsi="仿宋" w:eastAsia="仿宋" w:cs="仿宋"/>
          <w:color w:val="auto"/>
          <w:highlight w:val="none"/>
        </w:rPr>
      </w:pPr>
    </w:p>
    <w:p w14:paraId="28EAE437">
      <w:pPr>
        <w:rPr>
          <w:rFonts w:hint="eastAsia" w:ascii="仿宋" w:hAnsi="仿宋" w:eastAsia="仿宋" w:cs="仿宋"/>
          <w:color w:val="auto"/>
          <w:highlight w:val="none"/>
        </w:rPr>
      </w:pPr>
    </w:p>
    <w:p w14:paraId="50E6E435">
      <w:pPr>
        <w:pStyle w:val="4"/>
        <w:rPr>
          <w:rFonts w:hint="eastAsia" w:ascii="仿宋" w:hAnsi="仿宋" w:eastAsia="仿宋" w:cs="仿宋"/>
          <w:color w:val="auto"/>
          <w:highlight w:val="none"/>
        </w:rPr>
      </w:pPr>
    </w:p>
    <w:p w14:paraId="4F3D2B79">
      <w:pPr>
        <w:rPr>
          <w:rFonts w:hint="eastAsia" w:ascii="仿宋" w:hAnsi="仿宋" w:eastAsia="仿宋" w:cs="仿宋"/>
          <w:color w:val="auto"/>
          <w:highlight w:val="none"/>
        </w:rPr>
      </w:pPr>
    </w:p>
    <w:p w14:paraId="79FF3FD5">
      <w:pPr>
        <w:rPr>
          <w:rFonts w:hint="eastAsia" w:ascii="仿宋" w:hAnsi="仿宋" w:eastAsia="仿宋" w:cs="仿宋"/>
          <w:color w:val="auto"/>
          <w:highlight w:val="none"/>
        </w:rPr>
      </w:pPr>
    </w:p>
    <w:p w14:paraId="07CDEA51">
      <w:pPr>
        <w:rPr>
          <w:rFonts w:hint="eastAsia" w:ascii="仿宋" w:hAnsi="仿宋" w:eastAsia="仿宋" w:cs="仿宋"/>
          <w:color w:val="auto"/>
          <w:highlight w:val="none"/>
        </w:rPr>
      </w:pPr>
    </w:p>
    <w:p w14:paraId="3369D742">
      <w:pPr>
        <w:shd w:val="clear" w:color="auto" w:fill="auto"/>
        <w:jc w:val="center"/>
        <w:rPr>
          <w:rFonts w:hint="eastAsia" w:ascii="仿宋" w:hAnsi="仿宋" w:eastAsia="仿宋" w:cs="仿宋"/>
          <w:color w:val="auto"/>
          <w:sz w:val="28"/>
          <w:szCs w:val="28"/>
          <w:highlight w:val="none"/>
        </w:rPr>
      </w:pPr>
    </w:p>
    <w:p w14:paraId="39031B86">
      <w:pPr>
        <w:shd w:val="clear" w:color="auto" w:fill="auto"/>
        <w:jc w:val="center"/>
        <w:rPr>
          <w:rFonts w:hint="eastAsia" w:ascii="仿宋" w:hAnsi="仿宋" w:eastAsia="仿宋" w:cs="仿宋"/>
          <w:color w:val="auto"/>
          <w:sz w:val="28"/>
          <w:szCs w:val="28"/>
          <w:highlight w:val="none"/>
        </w:rPr>
      </w:pPr>
    </w:p>
    <w:p w14:paraId="57D3320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1181C3A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2CB01D1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5C1C36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46EA2D1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36FF122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0286B44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04789339">
      <w:pPr>
        <w:ind w:left="4777" w:leftChars="200" w:hanging="4287" w:hangingChars="1750"/>
        <w:rPr>
          <w:rFonts w:hint="eastAsia" w:ascii="宋体" w:hAnsi="宋体" w:eastAsia="宋体" w:cs="宋体"/>
          <w:color w:val="auto"/>
          <w:highlight w:val="none"/>
        </w:rPr>
      </w:pPr>
    </w:p>
    <w:p w14:paraId="30711E74">
      <w:pPr>
        <w:shd w:val="clear" w:color="auto" w:fill="auto"/>
        <w:jc w:val="center"/>
        <w:rPr>
          <w:rFonts w:hint="eastAsia" w:ascii="仿宋" w:hAnsi="仿宋" w:eastAsia="仿宋" w:cs="仿宋"/>
          <w:b/>
          <w:bCs/>
          <w:color w:val="auto"/>
          <w:sz w:val="28"/>
          <w:szCs w:val="28"/>
          <w:highlight w:val="none"/>
        </w:rPr>
      </w:pPr>
      <w:bookmarkStart w:id="38" w:name="bookmark233"/>
      <w:bookmarkStart w:id="39" w:name="bookmark226"/>
      <w:bookmarkStart w:id="40" w:name="bookmark234"/>
      <w:bookmarkStart w:id="41" w:name="bookmark225"/>
      <w:bookmarkStart w:id="42" w:name="bookmark228"/>
      <w:bookmarkStart w:id="43" w:name="bookmark236"/>
      <w:bookmarkStart w:id="44" w:name="bookmark235"/>
    </w:p>
    <w:p w14:paraId="6A813A46">
      <w:pPr>
        <w:shd w:val="clear" w:color="auto" w:fill="auto"/>
        <w:jc w:val="center"/>
        <w:rPr>
          <w:rFonts w:hint="eastAsia" w:ascii="仿宋" w:hAnsi="仿宋" w:eastAsia="仿宋" w:cs="仿宋"/>
          <w:b/>
          <w:bCs/>
          <w:color w:val="auto"/>
          <w:sz w:val="28"/>
          <w:szCs w:val="28"/>
          <w:highlight w:val="none"/>
        </w:rPr>
      </w:pPr>
    </w:p>
    <w:p w14:paraId="23F83ED0">
      <w:pPr>
        <w:shd w:val="clear" w:color="auto" w:fill="auto"/>
        <w:jc w:val="center"/>
        <w:rPr>
          <w:rFonts w:hint="eastAsia" w:ascii="仿宋" w:hAnsi="仿宋" w:eastAsia="仿宋" w:cs="仿宋"/>
          <w:b/>
          <w:bCs/>
          <w:color w:val="auto"/>
          <w:sz w:val="28"/>
          <w:szCs w:val="28"/>
          <w:highlight w:val="none"/>
        </w:rPr>
      </w:pPr>
    </w:p>
    <w:p w14:paraId="04CE1C30">
      <w:pPr>
        <w:shd w:val="clear" w:color="auto" w:fill="auto"/>
        <w:jc w:val="center"/>
        <w:rPr>
          <w:rFonts w:hint="eastAsia" w:ascii="仿宋" w:hAnsi="仿宋" w:eastAsia="仿宋" w:cs="仿宋"/>
          <w:b/>
          <w:bCs/>
          <w:color w:val="auto"/>
          <w:sz w:val="28"/>
          <w:szCs w:val="28"/>
          <w:highlight w:val="none"/>
        </w:rPr>
      </w:pPr>
    </w:p>
    <w:p w14:paraId="753671E3">
      <w:pPr>
        <w:shd w:val="clear" w:color="auto" w:fill="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政府采购投标担保函 （项目用）</w:t>
      </w:r>
    </w:p>
    <w:p w14:paraId="3CDE31A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编号：</w:t>
      </w:r>
    </w:p>
    <w:p w14:paraId="178A0B3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default"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（采购人或采购代理机构）：  </w:t>
      </w:r>
    </w:p>
    <w:p w14:paraId="4238C6B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鉴于               （以下简称“投标人”）拟参加编号为                 的                                       </w:t>
      </w:r>
    </w:p>
    <w:p w14:paraId="7715E70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项目（以下简称“本项目”）投标，根据本项目谈判文件，供应商参加投标时应向你方交纳投标保证金，且可以投标担保函的形式交纳投标保证金。应供应商的申请，我方以保证的方式向你方提供如下投标保证金担保：</w:t>
      </w:r>
    </w:p>
    <w:p w14:paraId="3FCB47A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一、保证责任的情形及保证金额</w:t>
      </w:r>
    </w:p>
    <w:p w14:paraId="130537E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（一）在投标人出现下列情形之一时，我方承担保证责任：</w:t>
      </w:r>
    </w:p>
    <w:p w14:paraId="23D3C9E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1．成交后投标人无正当理由不与采购人或者采购代理机构签订《政府采购合同》；</w:t>
      </w:r>
    </w:p>
    <w:p w14:paraId="3233A34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2．谈判文件规定的投标人应当缴纳保证金的其他情形。</w:t>
      </w:r>
    </w:p>
    <w:p w14:paraId="504E2B7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（二）我方承担保证责任的最高金额为人民币      元（大写            ），即本项目的投标保证金金额。</w:t>
      </w:r>
    </w:p>
    <w:p w14:paraId="24B7556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二、保证的方式及保证期间</w:t>
      </w:r>
    </w:p>
    <w:p w14:paraId="2906861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我方保证的方式为：连带责任保证。</w:t>
      </w:r>
    </w:p>
    <w:p w14:paraId="6CD5A13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我方的保证期间为：自本保函生效之日起    个月止。</w:t>
      </w:r>
    </w:p>
    <w:p w14:paraId="7730A39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三、承担保证责任的程序</w:t>
      </w:r>
    </w:p>
    <w:p w14:paraId="41A36A3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6753522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2．我方在收到索赔通知及相关证明材料后，在　　　个工作日内进行审查，符合应承担保证责任情形的，我方应按照你方的要求代投标人向你方支付投标保证金。</w:t>
      </w:r>
    </w:p>
    <w:p w14:paraId="0A1E4CF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四、保证责任的终止</w:t>
      </w:r>
    </w:p>
    <w:p w14:paraId="571364F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1．保证期间届满你方未向我方书面主张保证责任的，自保证期间届满次日起，我方保证责任自动终止。</w:t>
      </w:r>
    </w:p>
    <w:p w14:paraId="67C2895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2．我方按照本保函向你贵方履行了保证责任后，自我方向你贵方支付款项（支付款项从我方账户划出）之日起，保证责任终止。</w:t>
      </w:r>
    </w:p>
    <w:p w14:paraId="7F0F642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3．按照法律法规的规定或出现我方保证责任终止的其它情形的，我方在本保函项下的保证责任亦终止。</w:t>
      </w:r>
    </w:p>
    <w:p w14:paraId="7ED3FCC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五、免责条款</w:t>
      </w:r>
    </w:p>
    <w:p w14:paraId="4A10254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1．依照法律规定或你方与投标人的另行约定，全部或者部分免除投标人投标保证金义务时，我方亦免除相应的保证责任。</w:t>
      </w:r>
    </w:p>
    <w:p w14:paraId="14C6667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2．因你方原因致使投标人发生本保函第一条第（一）款约定情形的，我方不承担保证责任。</w:t>
      </w:r>
    </w:p>
    <w:p w14:paraId="5999530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3．因不可抗力造成投标人发生本保函第一条约定情形的，我方不承担保证责任。</w:t>
      </w:r>
    </w:p>
    <w:p w14:paraId="1D15E39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4．你方或其他有权机关对谈判文件进行任何澄清或修改，加重我方保证责任的，我方对加重部分不承担保证责任，但该澄清或修改经我方事先书面同意的除外。</w:t>
      </w:r>
    </w:p>
    <w:p w14:paraId="3549D68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六、争议的解决</w:t>
      </w:r>
    </w:p>
    <w:p w14:paraId="4D6A5E5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因本保函发生的纠纷，由你我双方协商解决，协商不成的，通过诉讼程序解决，诉讼管辖地法院为          法院。</w:t>
      </w:r>
    </w:p>
    <w:p w14:paraId="02B8543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七、保函的生效</w:t>
      </w:r>
    </w:p>
    <w:p w14:paraId="307426D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本保函自我方加盖公章之日起生效。</w:t>
      </w:r>
    </w:p>
    <w:p w14:paraId="1ED38E8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p>
    <w:p w14:paraId="14C424B8">
      <w:pPr>
        <w:keepNext w:val="0"/>
        <w:keepLines w:val="0"/>
        <w:pageBreakBefore w:val="0"/>
        <w:widowControl w:val="0"/>
        <w:shd w:val="clear" w:color="auto" w:fill="auto"/>
        <w:tabs>
          <w:tab w:val="left" w:pos="5580"/>
          <w:tab w:val="left" w:pos="7010"/>
          <w:tab w:val="right" w:pos="9116"/>
        </w:tabs>
        <w:kinsoku/>
        <w:wordWrap/>
        <w:overflowPunct/>
        <w:topLinePunct w:val="0"/>
        <w:autoSpaceDE/>
        <w:autoSpaceDN/>
        <w:bidi w:val="0"/>
        <w:adjustRightInd/>
        <w:snapToGrid/>
        <w:spacing w:line="500" w:lineRule="atLeast"/>
        <w:jc w:val="lef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ab/>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保证人：（公章）</w:t>
      </w:r>
    </w:p>
    <w:p w14:paraId="1130670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w:t>
      </w:r>
    </w:p>
    <w:p w14:paraId="7965EC6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jc w:val="center"/>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sectPr>
          <w:footerReference r:id="rId4" w:type="default"/>
          <w:pgSz w:w="11905" w:h="16838"/>
          <w:pgMar w:top="1417" w:right="1134" w:bottom="1134" w:left="1134" w:header="850" w:footer="992" w:gutter="0"/>
          <w:pgNumType w:fmt="decimal" w:start="1"/>
          <w:cols w:space="0" w:num="1"/>
          <w:rtlGutter w:val="0"/>
          <w:docGrid w:type="linesAndChars" w:linePitch="332" w:charSpace="1057"/>
        </w:sect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年     月     日  </w:t>
      </w:r>
    </w:p>
    <w:p w14:paraId="4FA6CF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5、投标企业须提供投标人（被授权在职人员）近6个月内任意一个月有效的社保证明；</w:t>
      </w:r>
    </w:p>
    <w:p w14:paraId="5CB7A88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highlight w:val="none"/>
          <w:lang w:val="en-US" w:eastAsia="zh-CN"/>
        </w:rPr>
      </w:pPr>
    </w:p>
    <w:p w14:paraId="42F00CA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说明：复印件上应加盖本单位章</w:t>
      </w:r>
    </w:p>
    <w:p w14:paraId="6A1C453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3155C94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5730AC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27145D1">
      <w:pPr>
        <w:rPr>
          <w:rFonts w:hint="eastAsia"/>
          <w:color w:val="auto"/>
          <w:highlight w:val="none"/>
          <w:lang w:val="en-US" w:eastAsia="zh-CN"/>
        </w:rPr>
      </w:pPr>
    </w:p>
    <w:p w14:paraId="55FB663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21CEE95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6、未被“信用中国”（www.creditchina.gov.cn）、中国政府采购网（www.ccgp.gov.cn）列入失信被执行人、重大税收违法案件当事人名单、政府采购严重违法失信行为记录名单；</w:t>
      </w:r>
    </w:p>
    <w:p w14:paraId="0D6ED70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E7FCF9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890EC7B">
      <w:pPr>
        <w:rPr>
          <w:rFonts w:hint="eastAsia" w:ascii="仿宋" w:hAnsi="仿宋" w:eastAsia="仿宋" w:cs="仿宋"/>
          <w:b/>
          <w:bCs/>
          <w:color w:val="auto"/>
          <w:sz w:val="32"/>
          <w:szCs w:val="32"/>
          <w:highlight w:val="none"/>
          <w:lang w:val="en-US" w:eastAsia="zh-CN"/>
        </w:rPr>
      </w:pPr>
    </w:p>
    <w:p w14:paraId="26579FCC">
      <w:pPr>
        <w:pStyle w:val="18"/>
        <w:rPr>
          <w:rFonts w:hint="eastAsia"/>
          <w:color w:val="auto"/>
          <w:highlight w:val="none"/>
          <w:lang w:val="en-US" w:eastAsia="zh-CN"/>
        </w:rPr>
      </w:pPr>
    </w:p>
    <w:p w14:paraId="074C239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0A8584E3">
      <w:pPr>
        <w:pStyle w:val="18"/>
        <w:numPr>
          <w:ilvl w:val="0"/>
          <w:numId w:val="0"/>
        </w:numPr>
        <w:ind w:leftChars="0"/>
        <w:rPr>
          <w:rFonts w:hint="eastAsia"/>
          <w:color w:val="auto"/>
          <w:highlight w:val="none"/>
          <w:lang w:val="en-US" w:eastAsia="zh-CN"/>
        </w:rPr>
      </w:pPr>
    </w:p>
    <w:p w14:paraId="3E643CE4">
      <w:pPr>
        <w:rPr>
          <w:rFonts w:hint="eastAsia"/>
          <w:color w:val="auto"/>
          <w:highlight w:val="none"/>
          <w:lang w:val="en-US" w:eastAsia="zh-CN"/>
        </w:rPr>
      </w:pPr>
    </w:p>
    <w:p w14:paraId="1BCCA4E2">
      <w:pPr>
        <w:pStyle w:val="18"/>
        <w:rPr>
          <w:rFonts w:hint="eastAsia"/>
          <w:color w:val="auto"/>
          <w:highlight w:val="none"/>
          <w:lang w:val="en-US" w:eastAsia="zh-CN"/>
        </w:rPr>
      </w:pPr>
    </w:p>
    <w:p w14:paraId="1143AAE4">
      <w:pPr>
        <w:snapToGrid w:val="0"/>
        <w:spacing w:line="360" w:lineRule="auto"/>
        <w:rPr>
          <w:rFonts w:hint="eastAsia" w:ascii="仿宋" w:hAnsi="仿宋" w:eastAsia="仿宋" w:cs="仿宋"/>
          <w:b/>
          <w:color w:val="auto"/>
          <w:highlight w:val="none"/>
          <w:lang w:val="en-US" w:eastAsia="zh-CN"/>
        </w:rPr>
      </w:pPr>
    </w:p>
    <w:p w14:paraId="2304179C">
      <w:pPr>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br w:type="page"/>
      </w:r>
    </w:p>
    <w:p w14:paraId="45A89E91">
      <w:pPr>
        <w:shd w:val="clear" w:color="auto" w:fill="auto"/>
        <w:spacing w:line="360" w:lineRule="auto"/>
        <w:jc w:val="center"/>
        <w:rPr>
          <w:rFonts w:hint="eastAsia" w:ascii="仿宋" w:hAnsi="仿宋" w:eastAsia="仿宋" w:cs="仿宋"/>
          <w:b/>
          <w:bCs w:val="0"/>
          <w:color w:val="auto"/>
          <w:kern w:val="0"/>
          <w:sz w:val="28"/>
          <w:szCs w:val="28"/>
          <w:highlight w:val="none"/>
        </w:rPr>
      </w:pPr>
      <w:r>
        <w:rPr>
          <w:rFonts w:hint="eastAsia" w:ascii="仿宋" w:hAnsi="仿宋" w:eastAsia="仿宋" w:cs="仿宋"/>
          <w:b/>
          <w:bCs/>
          <w:color w:val="auto"/>
          <w:sz w:val="28"/>
          <w:szCs w:val="28"/>
          <w:highlight w:val="none"/>
          <w:lang w:val="en-US" w:eastAsia="zh-CN"/>
        </w:rPr>
        <w:t>7、中小企业声明函</w:t>
      </w:r>
    </w:p>
    <w:p w14:paraId="222A31F8">
      <w:pPr>
        <w:spacing w:line="360" w:lineRule="auto"/>
        <w:jc w:val="center"/>
        <w:rPr>
          <w:rFonts w:hint="eastAsia" w:ascii="仿宋" w:hAnsi="仿宋" w:eastAsia="仿宋" w:cs="仿宋"/>
          <w:b/>
          <w:color w:val="auto"/>
          <w:sz w:val="36"/>
          <w:szCs w:val="36"/>
          <w:highlight w:val="none"/>
          <w:lang w:eastAsia="zh-CN"/>
        </w:rPr>
      </w:pPr>
    </w:p>
    <w:p w14:paraId="010FDC55">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eastAsia="zh-CN"/>
        </w:rPr>
        <w:t>中小企业声明函(货物)</w:t>
      </w:r>
    </w:p>
    <w:p w14:paraId="556DBF01">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7D5A6A4">
      <w:pPr>
        <w:numPr>
          <w:ilvl w:val="0"/>
          <w:numId w:val="10"/>
        </w:num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E1102BD">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3D4BE0A6">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6387A08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24B652C3">
      <w:pPr>
        <w:spacing w:line="360" w:lineRule="auto"/>
        <w:ind w:firstLine="486" w:firstLineChars="200"/>
        <w:rPr>
          <w:rFonts w:ascii="仿宋" w:hAnsi="仿宋" w:eastAsia="仿宋" w:cs="仿宋"/>
          <w:color w:val="auto"/>
          <w:highlight w:val="none"/>
          <w:lang w:eastAsia="zh-CN"/>
        </w:rPr>
      </w:pPr>
    </w:p>
    <w:p w14:paraId="3C5E17B4">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2F1B6D55">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40941A1D">
      <w:pPr>
        <w:spacing w:line="360" w:lineRule="auto"/>
        <w:ind w:firstLine="486" w:firstLineChars="200"/>
        <w:rPr>
          <w:rFonts w:ascii="仿宋" w:hAnsi="仿宋" w:eastAsia="仿宋" w:cs="仿宋"/>
          <w:color w:val="auto"/>
          <w:highlight w:val="none"/>
          <w:lang w:eastAsia="zh-CN"/>
        </w:rPr>
      </w:pPr>
    </w:p>
    <w:p w14:paraId="721686E2">
      <w:pPr>
        <w:spacing w:line="360" w:lineRule="auto"/>
        <w:ind w:firstLine="4617"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464EA572">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AFA3DBA">
      <w:pPr>
        <w:snapToGrid w:val="0"/>
        <w:spacing w:line="360" w:lineRule="auto"/>
        <w:rPr>
          <w:rFonts w:hint="eastAsia" w:ascii="仿宋" w:hAnsi="仿宋" w:eastAsia="仿宋" w:cs="仿宋"/>
          <w:b/>
          <w:color w:val="auto"/>
          <w:highlight w:val="none"/>
          <w:lang w:val="en-US" w:eastAsia="zh-CN"/>
        </w:rPr>
      </w:pPr>
    </w:p>
    <w:p w14:paraId="77714D8A">
      <w:pPr>
        <w:snapToGrid w:val="0"/>
        <w:spacing w:line="360" w:lineRule="auto"/>
        <w:rPr>
          <w:rFonts w:hint="eastAsia" w:ascii="仿宋" w:hAnsi="仿宋" w:eastAsia="仿宋" w:cs="仿宋"/>
          <w:b/>
          <w:color w:val="auto"/>
          <w:highlight w:val="none"/>
          <w:lang w:val="en-US" w:eastAsia="zh-CN"/>
        </w:rPr>
      </w:pPr>
    </w:p>
    <w:p w14:paraId="38DDB502">
      <w:pPr>
        <w:snapToGrid w:val="0"/>
        <w:spacing w:line="360" w:lineRule="auto"/>
        <w:jc w:val="center"/>
        <w:rPr>
          <w:rFonts w:hint="eastAsia" w:ascii="仿宋" w:hAnsi="仿宋" w:eastAsia="仿宋" w:cs="仿宋"/>
          <w:b/>
          <w:color w:val="auto"/>
          <w:sz w:val="28"/>
          <w:szCs w:val="28"/>
          <w:highlight w:val="none"/>
          <w:lang w:val="en-US" w:eastAsia="zh-CN"/>
        </w:rPr>
      </w:pPr>
    </w:p>
    <w:p w14:paraId="37994489">
      <w:pPr>
        <w:pStyle w:val="4"/>
        <w:rPr>
          <w:rFonts w:hint="default"/>
          <w:color w:val="auto"/>
          <w:highlight w:val="none"/>
          <w:lang w:val="en-US" w:eastAsia="zh-CN"/>
        </w:rPr>
      </w:pPr>
      <w:r>
        <w:rPr>
          <w:rFonts w:hint="eastAsia"/>
          <w:color w:val="auto"/>
          <w:highlight w:val="none"/>
          <w:lang w:val="en-US" w:eastAsia="zh-CN"/>
        </w:rPr>
        <w:t>8、投标人须知资料表要求的其他资格证明文件。</w:t>
      </w:r>
    </w:p>
    <w:p w14:paraId="1C249BF0">
      <w:pPr>
        <w:rPr>
          <w:rFonts w:hint="eastAsia"/>
          <w:color w:val="auto"/>
          <w:highlight w:val="none"/>
          <w:lang w:val="en-US" w:eastAsia="zh-CN"/>
        </w:rPr>
      </w:pPr>
    </w:p>
    <w:p w14:paraId="1E41364E">
      <w:pPr>
        <w:rPr>
          <w:rFonts w:hint="eastAsia"/>
          <w:color w:val="auto"/>
          <w:highlight w:val="none"/>
          <w:lang w:val="en-US" w:eastAsia="zh-CN"/>
        </w:rPr>
      </w:pPr>
    </w:p>
    <w:p w14:paraId="48BFEA04">
      <w:pPr>
        <w:rPr>
          <w:rFonts w:hint="eastAsia"/>
          <w:color w:val="auto"/>
          <w:highlight w:val="none"/>
          <w:lang w:val="en-US" w:eastAsia="zh-CN"/>
        </w:rPr>
      </w:pPr>
    </w:p>
    <w:p w14:paraId="0F0DA9ED">
      <w:pPr>
        <w:rPr>
          <w:rFonts w:hint="eastAsia"/>
          <w:color w:val="auto"/>
          <w:highlight w:val="none"/>
          <w:lang w:val="en-US" w:eastAsia="zh-CN"/>
        </w:rPr>
      </w:pPr>
      <w:r>
        <w:rPr>
          <w:rFonts w:hint="eastAsia"/>
          <w:color w:val="auto"/>
          <w:highlight w:val="none"/>
          <w:lang w:val="en-US" w:eastAsia="zh-CN"/>
        </w:rPr>
        <w:br w:type="page"/>
      </w:r>
    </w:p>
    <w:p w14:paraId="460B386D">
      <w:pPr>
        <w:rPr>
          <w:rFonts w:hint="eastAsia"/>
          <w:color w:val="auto"/>
          <w:highlight w:val="none"/>
          <w:lang w:val="en-US" w:eastAsia="zh-CN"/>
        </w:rPr>
      </w:pPr>
    </w:p>
    <w:p w14:paraId="64E973AF">
      <w:pPr>
        <w:rPr>
          <w:rFonts w:hint="eastAsia"/>
          <w:color w:val="auto"/>
          <w:highlight w:val="none"/>
          <w:lang w:val="en-US" w:eastAsia="zh-CN"/>
        </w:rPr>
      </w:pPr>
    </w:p>
    <w:p w14:paraId="003A5593">
      <w:pPr>
        <w:snapToGrid w:val="0"/>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商务及技术文件</w:t>
      </w:r>
    </w:p>
    <w:p w14:paraId="401DEBF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1、投标函</w:t>
      </w:r>
    </w:p>
    <w:p w14:paraId="623E29F0">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2、开标一览表</w:t>
      </w:r>
    </w:p>
    <w:p w14:paraId="177E962A">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3、货物说明一览表</w:t>
      </w:r>
    </w:p>
    <w:p w14:paraId="6757586E">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4、投标分项报价明细表</w:t>
      </w:r>
    </w:p>
    <w:p w14:paraId="404CB24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5、技术规格偏离表</w:t>
      </w:r>
    </w:p>
    <w:p w14:paraId="1B4DBDB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6、商务条款偏离表</w:t>
      </w:r>
    </w:p>
    <w:p w14:paraId="43B5CD77">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7、投标人基本情况表</w:t>
      </w:r>
    </w:p>
    <w:p w14:paraId="102BA0B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8、</w:t>
      </w:r>
      <w:r>
        <w:rPr>
          <w:rFonts w:hint="eastAsia" w:ascii="仿宋" w:hAnsi="仿宋" w:eastAsia="仿宋" w:cs="仿宋"/>
          <w:b/>
          <w:color w:val="auto"/>
          <w:sz w:val="24"/>
          <w:szCs w:val="24"/>
          <w:highlight w:val="none"/>
          <w:lang w:val="en-US" w:eastAsia="zh-CN" w:bidi="en-US"/>
        </w:rPr>
        <w:t>投标人认为有必要提供的其他证明材料</w:t>
      </w:r>
    </w:p>
    <w:p w14:paraId="71EF7876">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9、附件</w:t>
      </w:r>
    </w:p>
    <w:p w14:paraId="472C266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中小企业声明函(货物)</w:t>
      </w:r>
    </w:p>
    <w:p w14:paraId="7D8AF75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残疾人福利性单位声明函</w:t>
      </w:r>
    </w:p>
    <w:p w14:paraId="671E1A3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关于符合本国产品标准的声明函</w:t>
      </w:r>
    </w:p>
    <w:p w14:paraId="1A87139A">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highlight w:val="none"/>
          <w:lang w:val="en-US" w:eastAsia="zh-CN" w:bidi="en-US"/>
        </w:rPr>
      </w:pPr>
    </w:p>
    <w:p w14:paraId="7DA3576D">
      <w:pPr>
        <w:pStyle w:val="30"/>
        <w:rPr>
          <w:color w:val="auto"/>
          <w:highlight w:val="none"/>
        </w:rPr>
      </w:pPr>
    </w:p>
    <w:p w14:paraId="3FE4E454">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10AE3DC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296BEE7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558ADBDE">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18573E5A">
      <w:pPr>
        <w:pStyle w:val="7"/>
        <w:numPr>
          <w:ilvl w:val="0"/>
          <w:numId w:val="0"/>
        </w:numPr>
        <w:kinsoku w:val="0"/>
        <w:overflowPunct w:val="0"/>
        <w:spacing w:before="130" w:line="355" w:lineRule="auto"/>
        <w:ind w:right="7" w:rightChars="0"/>
        <w:jc w:val="both"/>
        <w:rPr>
          <w:rFonts w:hint="eastAsia" w:ascii="仿宋" w:hAnsi="仿宋" w:eastAsia="仿宋" w:cs="仿宋"/>
          <w:b/>
          <w:bCs/>
          <w:color w:val="auto"/>
          <w:sz w:val="36"/>
          <w:szCs w:val="36"/>
          <w:highlight w:val="none"/>
          <w:lang w:val="en-US" w:eastAsia="zh-CN"/>
        </w:rPr>
      </w:pPr>
    </w:p>
    <w:p w14:paraId="28A2710F">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val="en-US" w:eastAsia="zh-CN"/>
        </w:rPr>
        <w:t>1</w:t>
      </w:r>
      <w:r>
        <w:rPr>
          <w:rFonts w:hint="eastAsia" w:ascii="仿宋" w:hAnsi="仿宋" w:eastAsia="仿宋" w:cs="仿宋"/>
          <w:b/>
          <w:bCs/>
          <w:color w:val="auto"/>
          <w:sz w:val="36"/>
          <w:szCs w:val="36"/>
          <w:highlight w:val="none"/>
        </w:rPr>
        <w:t>、投标函</w:t>
      </w:r>
    </w:p>
    <w:p w14:paraId="1821A4BB">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致：</w:t>
      </w:r>
      <w:r>
        <w:rPr>
          <w:rFonts w:hint="eastAsia" w:ascii="仿宋" w:hAnsi="仿宋" w:eastAsia="仿宋" w:cs="仿宋"/>
          <w:color w:val="auto"/>
          <w:kern w:val="0"/>
          <w:sz w:val="24"/>
          <w:highlight w:val="none"/>
          <w:u w:val="single"/>
        </w:rPr>
        <w:t xml:space="preserve">                     </w:t>
      </w:r>
    </w:p>
    <w:p w14:paraId="11C75605">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为响应你方组织的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项目的招标[项目编号为：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]，我方愿参与投标。</w:t>
      </w:r>
    </w:p>
    <w:p w14:paraId="368F866A">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我方确认收到贵方提供的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none"/>
          <w:lang w:eastAsia="zh-CN"/>
        </w:rPr>
        <w:t>谈判文件</w:t>
      </w:r>
      <w:r>
        <w:rPr>
          <w:rFonts w:hint="eastAsia" w:ascii="仿宋" w:hAnsi="仿宋" w:eastAsia="仿宋" w:cs="仿宋"/>
          <w:color w:val="auto"/>
          <w:kern w:val="0"/>
          <w:sz w:val="24"/>
          <w:highlight w:val="none"/>
        </w:rPr>
        <w:t>的全部内容。</w:t>
      </w:r>
    </w:p>
    <w:p w14:paraId="113A99F6">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我方在参与投标前已详细研究了</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的所有内容，包括澄清、修改文件（如果有）和所有已提供的参考资料以及有关附件，我方完全明白并认为此</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没有倾向性，也不存在排斥潜在报价投标人的内容，我方同意</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的相关条款，放弃对</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提出误解和质疑的一切权力。</w:t>
      </w:r>
    </w:p>
    <w:p w14:paraId="3E35AB0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(投标人名称)      </w:t>
      </w:r>
      <w:r>
        <w:rPr>
          <w:rFonts w:hint="eastAsia" w:ascii="仿宋" w:hAnsi="仿宋" w:eastAsia="仿宋" w:cs="仿宋"/>
          <w:color w:val="auto"/>
          <w:kern w:val="0"/>
          <w:sz w:val="24"/>
          <w:highlight w:val="none"/>
        </w:rPr>
        <w:t>作为投标人正式授权</w:t>
      </w:r>
      <w:r>
        <w:rPr>
          <w:rFonts w:hint="eastAsia" w:ascii="仿宋" w:hAnsi="仿宋" w:eastAsia="仿宋" w:cs="仿宋"/>
          <w:color w:val="auto"/>
          <w:kern w:val="0"/>
          <w:sz w:val="24"/>
          <w:highlight w:val="none"/>
          <w:u w:val="single"/>
        </w:rPr>
        <w:t xml:space="preserve">  (授权代表全名, 职务)  </w:t>
      </w:r>
      <w:r>
        <w:rPr>
          <w:rFonts w:hint="eastAsia" w:ascii="仿宋" w:hAnsi="仿宋" w:eastAsia="仿宋" w:cs="仿宋"/>
          <w:color w:val="auto"/>
          <w:kern w:val="0"/>
          <w:sz w:val="24"/>
          <w:highlight w:val="none"/>
        </w:rPr>
        <w:t>代表我方全权处理有关本报价的一切事宜。</w:t>
      </w:r>
    </w:p>
    <w:p w14:paraId="44BAFFA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我方已完全明白</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的所有条款要求，并申明如下：</w:t>
      </w:r>
    </w:p>
    <w:p w14:paraId="135CC8D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（一）按</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提供的全部货物与相关服务的投标总价详见《报价一览表》。</w:t>
      </w:r>
    </w:p>
    <w:p w14:paraId="10AE8DE0">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（二）本</w:t>
      </w:r>
      <w:r>
        <w:rPr>
          <w:rFonts w:hint="eastAsia" w:ascii="仿宋" w:hAnsi="仿宋" w:eastAsia="仿宋" w:cs="仿宋"/>
          <w:color w:val="auto"/>
          <w:kern w:val="0"/>
          <w:sz w:val="24"/>
          <w:highlight w:val="none"/>
          <w:lang w:eastAsia="zh-CN"/>
        </w:rPr>
        <w:t>响应文件</w:t>
      </w:r>
      <w:r>
        <w:rPr>
          <w:rFonts w:hint="eastAsia" w:ascii="仿宋" w:hAnsi="仿宋" w:eastAsia="仿宋" w:cs="仿宋"/>
          <w:color w:val="auto"/>
          <w:kern w:val="0"/>
          <w:sz w:val="24"/>
          <w:highlight w:val="none"/>
        </w:rPr>
        <w:t>的有效期为投标截止时间起</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rPr>
        <w:t>天。如</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，有效期将延至合同终止日为止。在此提交的资格证明文件均至投标截止日有效，如有在投标有效期内失效的，我方承诺在</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后补齐一切手续，保证所有资格证明文件能在签订采购合同时直至采购合同终止日有效。</w:t>
      </w:r>
    </w:p>
    <w:p w14:paraId="154319EC">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（三）我方同意按照贵方可能提出的要求而提供与投标有关的任何其它数据、信息或资料。</w:t>
      </w:r>
    </w:p>
    <w:p w14:paraId="6DF8B57B">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四</w:t>
      </w:r>
      <w:r>
        <w:rPr>
          <w:rFonts w:hint="eastAsia" w:ascii="仿宋" w:hAnsi="仿宋" w:eastAsia="仿宋" w:cs="仿宋"/>
          <w:color w:val="auto"/>
          <w:kern w:val="0"/>
          <w:sz w:val="24"/>
          <w:highlight w:val="none"/>
        </w:rPr>
        <w:t>）我方如果</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，将保证履行</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及其澄清、修改文件（如果有）中的全部责任和义务，按质、按量、按期完成《招标内容》及《合同书》中的全部任务。</w:t>
      </w:r>
    </w:p>
    <w:p w14:paraId="0C5E2484">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五</w:t>
      </w:r>
      <w:r>
        <w:rPr>
          <w:rFonts w:hint="eastAsia" w:ascii="仿宋" w:hAnsi="仿宋" w:eastAsia="仿宋" w:cs="仿宋"/>
          <w:color w:val="auto"/>
          <w:kern w:val="0"/>
          <w:sz w:val="24"/>
          <w:highlight w:val="none"/>
        </w:rPr>
        <w:t>）如我方被授予合同，我方承诺支付就本次招标应支付或将支付的</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服务费（详见按</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要求格式填写的《</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服务费支付承诺书》）。</w:t>
      </w:r>
    </w:p>
    <w:p w14:paraId="0934A84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六</w:t>
      </w:r>
      <w:r>
        <w:rPr>
          <w:rFonts w:hint="eastAsia" w:ascii="仿宋" w:hAnsi="仿宋" w:eastAsia="仿宋" w:cs="仿宋"/>
          <w:color w:val="auto"/>
          <w:kern w:val="0"/>
          <w:sz w:val="24"/>
          <w:highlight w:val="none"/>
        </w:rPr>
        <w:t>）我方作为在法律、财务和运作上独立于采购人、招标代理机构的投标人，在此保证所提交的所有文件和全部说明是真实的和正确的。</w:t>
      </w:r>
    </w:p>
    <w:p w14:paraId="1F057AAC">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七</w:t>
      </w:r>
      <w:r>
        <w:rPr>
          <w:rFonts w:hint="eastAsia" w:ascii="仿宋" w:hAnsi="仿宋" w:eastAsia="仿宋" w:cs="仿宋"/>
          <w:color w:val="auto"/>
          <w:kern w:val="0"/>
          <w:sz w:val="24"/>
          <w:highlight w:val="none"/>
        </w:rPr>
        <w:t>）我方投标报价已包含应向知识产权所有权人支付的所有相关税费，并保证采购人在中国使用我方提供的货物时，如有第三方提出侵犯其知识产权主张的，责任由我方承担。</w:t>
      </w:r>
    </w:p>
    <w:p w14:paraId="2B90340F">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八</w:t>
      </w:r>
      <w:r>
        <w:rPr>
          <w:rFonts w:hint="eastAsia" w:ascii="仿宋" w:hAnsi="仿宋" w:eastAsia="仿宋" w:cs="仿宋"/>
          <w:color w:val="auto"/>
          <w:kern w:val="0"/>
          <w:sz w:val="24"/>
          <w:highlight w:val="none"/>
        </w:rPr>
        <w:t>）我方与其他投标人不存在单位负责人为同一人或者存在直接控股、管理关系。</w:t>
      </w:r>
    </w:p>
    <w:p w14:paraId="3C99987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九</w:t>
      </w:r>
      <w:r>
        <w:rPr>
          <w:rFonts w:hint="eastAsia" w:ascii="仿宋" w:hAnsi="仿宋" w:eastAsia="仿宋" w:cs="仿宋"/>
          <w:color w:val="auto"/>
          <w:kern w:val="0"/>
          <w:sz w:val="24"/>
          <w:highlight w:val="none"/>
        </w:rPr>
        <w:t>）我方承诺未为本项目提供整体设计、规范编制或者项目管理、监理、检测等服务。</w:t>
      </w:r>
    </w:p>
    <w:p w14:paraId="1A333B15">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（十）我方具备《政府采购法》第二十二条规定的条件，承诺如下：</w:t>
      </w:r>
    </w:p>
    <w:p w14:paraId="1756B5D5">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（1）我方已依法缴纳了各项税费及社会保险费用，如有需要，可随时向采购人提供近三个月内的相关缴费证明，以便核查。</w:t>
      </w:r>
    </w:p>
    <w:p w14:paraId="5201CDD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（2）我方已依法建立健全的财务会计制度，如有需要，可随时向采购人提供相关的证明材料，以便核查。</w:t>
      </w:r>
    </w:p>
    <w:p w14:paraId="4874F1E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（3）我方参加本项目政府采购活动前3年内在经营活动中没有重大违法记录。</w:t>
      </w:r>
    </w:p>
    <w:p w14:paraId="05E8FD7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（4）我方具备履行合同所必需的设备和专业技术能力。</w:t>
      </w:r>
    </w:p>
    <w:p w14:paraId="27EAF15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（5）我方符合法律、行政法规规定的其他条件。</w:t>
      </w:r>
    </w:p>
    <w:p w14:paraId="33C503B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以上内容如有虚假或与事实不符的，评审委员会可将我方做无效投标处理，我方愿意承担相应的法律责任。</w:t>
      </w:r>
    </w:p>
    <w:p w14:paraId="1E633F4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（十三）我方对在本函及</w:t>
      </w:r>
      <w:r>
        <w:rPr>
          <w:rFonts w:hint="eastAsia" w:ascii="仿宋" w:hAnsi="仿宋" w:eastAsia="仿宋" w:cs="仿宋"/>
          <w:color w:val="auto"/>
          <w:kern w:val="0"/>
          <w:sz w:val="24"/>
          <w:highlight w:val="none"/>
          <w:lang w:eastAsia="zh-CN"/>
        </w:rPr>
        <w:t>响应文件</w:t>
      </w:r>
      <w:r>
        <w:rPr>
          <w:rFonts w:hint="eastAsia" w:ascii="仿宋" w:hAnsi="仿宋" w:eastAsia="仿宋" w:cs="仿宋"/>
          <w:color w:val="auto"/>
          <w:kern w:val="0"/>
          <w:sz w:val="24"/>
          <w:highlight w:val="none"/>
        </w:rPr>
        <w:t>中所作的所有承诺承担法律责任。</w:t>
      </w:r>
    </w:p>
    <w:p w14:paraId="74BAD27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（十四）所有与本招标有关的函件请发往下列地址：</w:t>
      </w:r>
    </w:p>
    <w:p w14:paraId="3C0C9EF4">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    址：</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.邮政编码：</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6204D9A4">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电    话：</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11AE6040">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传    真：</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2D3353DC">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代表姓名：</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.职    务：</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7AA26CF5">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投标人：</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（公章） </w:t>
      </w:r>
    </w:p>
    <w:p w14:paraId="336BED7F">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法定代表人或委托人：</w:t>
      </w:r>
      <w:r>
        <w:rPr>
          <w:rFonts w:hint="eastAsia" w:ascii="仿宋" w:hAnsi="仿宋" w:eastAsia="仿宋" w:cs="仿宋"/>
          <w:color w:val="auto"/>
          <w:kern w:val="0"/>
          <w:sz w:val="24"/>
          <w:highlight w:val="non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签字或盖章</w:t>
      </w:r>
      <w:r>
        <w:rPr>
          <w:rFonts w:hint="eastAsia" w:ascii="仿宋" w:hAnsi="仿宋" w:eastAsia="仿宋" w:cs="仿宋"/>
          <w:color w:val="auto"/>
          <w:kern w:val="0"/>
          <w:sz w:val="24"/>
          <w:highlight w:val="none"/>
        </w:rPr>
        <w:t xml:space="preserve">）  </w:t>
      </w:r>
    </w:p>
    <w:p w14:paraId="6428BCEE">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日</w:t>
      </w:r>
    </w:p>
    <w:p w14:paraId="70154096">
      <w:pPr>
        <w:pStyle w:val="30"/>
        <w:rPr>
          <w:rFonts w:hint="eastAsia" w:ascii="仿宋" w:hAnsi="仿宋" w:eastAsia="仿宋" w:cs="仿宋"/>
          <w:color w:val="auto"/>
          <w:sz w:val="24"/>
          <w:highlight w:val="none"/>
        </w:rPr>
      </w:pPr>
      <w:r>
        <w:rPr>
          <w:rFonts w:hint="eastAsia" w:ascii="仿宋" w:hAnsi="仿宋" w:eastAsia="仿宋" w:cs="仿宋"/>
          <w:color w:val="auto"/>
          <w:highlight w:val="none"/>
        </w:rPr>
        <w:br w:type="page"/>
      </w:r>
    </w:p>
    <w:p w14:paraId="5D575355">
      <w:pPr>
        <w:pStyle w:val="5"/>
        <w:shd w:val="clear" w:color="auto" w:fill="auto"/>
        <w:tabs>
          <w:tab w:val="left" w:pos="5580"/>
        </w:tabs>
        <w:spacing w:line="240" w:lineRule="atLeast"/>
        <w:ind w:firstLine="3364" w:firstLineChars="927"/>
        <w:jc w:val="both"/>
        <w:rPr>
          <w:rFonts w:hint="eastAsia" w:ascii="仿宋" w:hAnsi="仿宋" w:eastAsia="仿宋" w:cs="仿宋"/>
          <w:color w:val="auto"/>
          <w:highlight w:val="none"/>
        </w:rPr>
      </w:pPr>
      <w:r>
        <w:rPr>
          <w:rFonts w:hint="eastAsia" w:ascii="仿宋" w:hAnsi="仿宋" w:eastAsia="仿宋" w:cs="仿宋"/>
          <w:b/>
          <w:bCs w:val="0"/>
          <w:color w:val="auto"/>
          <w:sz w:val="36"/>
          <w:szCs w:val="24"/>
          <w:highlight w:val="none"/>
          <w:lang w:val="en-US" w:eastAsia="zh-CN"/>
        </w:rPr>
        <w:t>2</w:t>
      </w:r>
      <w:r>
        <w:rPr>
          <w:rFonts w:hint="eastAsia" w:ascii="仿宋" w:hAnsi="仿宋" w:eastAsia="仿宋" w:cs="仿宋"/>
          <w:b/>
          <w:bCs w:val="0"/>
          <w:color w:val="auto"/>
          <w:sz w:val="36"/>
          <w:szCs w:val="24"/>
          <w:highlight w:val="none"/>
          <w:lang w:eastAsia="zh-CN"/>
        </w:rPr>
        <w:t>、</w:t>
      </w:r>
      <w:r>
        <w:rPr>
          <w:rFonts w:hint="eastAsia" w:ascii="仿宋" w:hAnsi="仿宋" w:eastAsia="仿宋" w:cs="仿宋"/>
          <w:b/>
          <w:bCs w:val="0"/>
          <w:color w:val="auto"/>
          <w:sz w:val="36"/>
          <w:szCs w:val="24"/>
          <w:highlight w:val="none"/>
        </w:rPr>
        <w:t>开标一览表</w:t>
      </w:r>
      <w:r>
        <w:rPr>
          <w:rFonts w:hint="eastAsia" w:ascii="仿宋" w:hAnsi="仿宋" w:eastAsia="仿宋" w:cs="仿宋"/>
          <w:b w:val="0"/>
          <w:bCs/>
          <w:color w:val="auto"/>
          <w:sz w:val="36"/>
          <w:szCs w:val="24"/>
          <w:highlight w:val="none"/>
        </w:rPr>
        <w:cr/>
      </w:r>
    </w:p>
    <w:p w14:paraId="7A0BFA32">
      <w:pPr>
        <w:shd w:val="clear" w:color="auto" w:fill="auto"/>
        <w:adjustRightInd w:val="0"/>
        <w:snapToGrid w:val="0"/>
        <w:spacing w:line="5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招标项目名称： </w:t>
      </w:r>
      <w:r>
        <w:rPr>
          <w:rFonts w:hint="eastAsia" w:ascii="仿宋" w:hAnsi="仿宋" w:eastAsia="仿宋" w:cs="仿宋"/>
          <w:color w:val="auto"/>
          <w:szCs w:val="21"/>
          <w:highlight w:val="none"/>
          <w:u w:val="single"/>
        </w:rPr>
        <w:t xml:space="preserve">                         </w:t>
      </w:r>
    </w:p>
    <w:p w14:paraId="1623AFFA">
      <w:pPr>
        <w:shd w:val="clear" w:color="auto" w:fill="auto"/>
        <w:adjustRightInd w:val="0"/>
        <w:snapToGrid w:val="0"/>
        <w:spacing w:line="500" w:lineRule="exact"/>
        <w:rPr>
          <w:rFonts w:hint="eastAsia" w:ascii="仿宋" w:hAnsi="仿宋" w:eastAsia="仿宋" w:cs="仿宋"/>
          <w:i/>
          <w:iCs/>
          <w:color w:val="auto"/>
          <w:szCs w:val="21"/>
          <w:highlight w:val="none"/>
        </w:rPr>
      </w:pPr>
      <w:r>
        <w:rPr>
          <w:rFonts w:hint="eastAsia" w:ascii="仿宋" w:hAnsi="仿宋" w:eastAsia="仿宋" w:cs="仿宋"/>
          <w:color w:val="auto"/>
          <w:szCs w:val="21"/>
          <w:highlight w:val="none"/>
        </w:rPr>
        <w:t>招标项目编号：</w:t>
      </w:r>
      <w:r>
        <w:rPr>
          <w:rFonts w:hint="eastAsia" w:ascii="仿宋" w:hAnsi="仿宋" w:eastAsia="仿宋" w:cs="仿宋"/>
          <w:i/>
          <w:iCs/>
          <w:color w:val="auto"/>
          <w:szCs w:val="21"/>
          <w:highlight w:val="none"/>
        </w:rPr>
        <w:t xml:space="preserve"> </w:t>
      </w:r>
      <w:r>
        <w:rPr>
          <w:rFonts w:hint="eastAsia" w:ascii="仿宋" w:hAnsi="仿宋" w:eastAsia="仿宋" w:cs="仿宋"/>
          <w:color w:val="auto"/>
          <w:szCs w:val="21"/>
          <w:highlight w:val="none"/>
          <w:u w:val="single"/>
        </w:rPr>
        <w:t xml:space="preserve">                         </w:t>
      </w:r>
    </w:p>
    <w:p w14:paraId="7115A361">
      <w:pPr>
        <w:shd w:val="clear" w:color="auto" w:fill="auto"/>
        <w:spacing w:line="5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单位：元（人民币）</w:t>
      </w:r>
    </w:p>
    <w:tbl>
      <w:tblPr>
        <w:tblStyle w:val="23"/>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0235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6006C88B">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投标项目名称</w:t>
            </w:r>
          </w:p>
        </w:tc>
        <w:tc>
          <w:tcPr>
            <w:tcW w:w="6185" w:type="dxa"/>
            <w:vAlign w:val="center"/>
          </w:tcPr>
          <w:p w14:paraId="3A669ED6">
            <w:pPr>
              <w:shd w:val="clear" w:color="auto" w:fill="auto"/>
              <w:rPr>
                <w:rFonts w:hint="eastAsia" w:ascii="仿宋" w:hAnsi="仿宋" w:eastAsia="仿宋" w:cs="仿宋"/>
                <w:color w:val="auto"/>
                <w:szCs w:val="21"/>
                <w:highlight w:val="none"/>
              </w:rPr>
            </w:pPr>
          </w:p>
        </w:tc>
      </w:tr>
      <w:tr w14:paraId="2FEA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32A96273">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质保期</w:t>
            </w:r>
          </w:p>
        </w:tc>
        <w:tc>
          <w:tcPr>
            <w:tcW w:w="6185" w:type="dxa"/>
            <w:vAlign w:val="center"/>
          </w:tcPr>
          <w:p w14:paraId="3FE25195">
            <w:pPr>
              <w:shd w:val="clear" w:color="auto" w:fill="auto"/>
              <w:jc w:val="center"/>
              <w:rPr>
                <w:rFonts w:hint="eastAsia" w:ascii="仿宋" w:hAnsi="仿宋" w:eastAsia="仿宋" w:cs="仿宋"/>
                <w:color w:val="auto"/>
                <w:szCs w:val="21"/>
                <w:highlight w:val="none"/>
              </w:rPr>
            </w:pPr>
          </w:p>
        </w:tc>
      </w:tr>
      <w:tr w14:paraId="5435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41F574F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vAlign w:val="center"/>
          </w:tcPr>
          <w:p w14:paraId="285F4AB6">
            <w:pPr>
              <w:shd w:val="clear" w:color="auto" w:fill="auto"/>
              <w:jc w:val="center"/>
              <w:rPr>
                <w:rFonts w:hint="eastAsia" w:ascii="仿宋" w:hAnsi="仿宋" w:eastAsia="仿宋" w:cs="仿宋"/>
                <w:color w:val="auto"/>
                <w:szCs w:val="21"/>
                <w:highlight w:val="none"/>
                <w:lang w:val="en-US" w:eastAsia="zh-CN"/>
              </w:rPr>
            </w:pPr>
          </w:p>
        </w:tc>
      </w:tr>
      <w:tr w14:paraId="417A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5CA614E2">
            <w:pPr>
              <w:shd w:val="clear" w:color="auto" w:fill="auto"/>
              <w:jc w:val="center"/>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供货期</w:t>
            </w:r>
          </w:p>
        </w:tc>
        <w:tc>
          <w:tcPr>
            <w:tcW w:w="6185" w:type="dxa"/>
            <w:vAlign w:val="center"/>
          </w:tcPr>
          <w:p w14:paraId="7C79A9AC">
            <w:pPr>
              <w:shd w:val="clear" w:color="auto" w:fill="auto"/>
              <w:jc w:val="center"/>
              <w:rPr>
                <w:rFonts w:hint="eastAsia" w:ascii="仿宋" w:hAnsi="仿宋" w:eastAsia="仿宋" w:cs="仿宋"/>
                <w:color w:val="auto"/>
                <w:szCs w:val="21"/>
                <w:highlight w:val="none"/>
                <w:lang w:val="en-US" w:eastAsia="zh-CN"/>
              </w:rPr>
            </w:pPr>
          </w:p>
        </w:tc>
      </w:tr>
      <w:tr w14:paraId="7E70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3F6CA8FE">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投标</w:t>
            </w:r>
            <w:r>
              <w:rPr>
                <w:rFonts w:hint="eastAsia" w:ascii="仿宋" w:hAnsi="仿宋" w:eastAsia="仿宋" w:cs="仿宋"/>
                <w:color w:val="auto"/>
                <w:szCs w:val="21"/>
                <w:highlight w:val="none"/>
                <w:lang w:eastAsia="zh-CN"/>
              </w:rPr>
              <w:t>价格</w:t>
            </w:r>
          </w:p>
          <w:p w14:paraId="7974C54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vAlign w:val="center"/>
          </w:tcPr>
          <w:p w14:paraId="0B0A9110">
            <w:pPr>
              <w:widowControl/>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vAlign w:val="center"/>
          </w:tcPr>
          <w:p w14:paraId="5F7A0DD6">
            <w:pPr>
              <w:shd w:val="clear" w:color="auto" w:fill="auto"/>
              <w:ind w:firstLine="1944" w:firstLineChars="800"/>
              <w:jc w:val="both"/>
              <w:rPr>
                <w:rFonts w:hint="default" w:ascii="仿宋" w:hAnsi="仿宋" w:eastAsia="仿宋" w:cs="仿宋"/>
                <w:color w:val="auto"/>
                <w:szCs w:val="21"/>
                <w:highlight w:val="none"/>
                <w:lang w:val="en-US" w:eastAsia="zh-CN"/>
              </w:rPr>
            </w:pPr>
          </w:p>
        </w:tc>
      </w:tr>
      <w:tr w14:paraId="07FB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594ED6EF">
            <w:pPr>
              <w:shd w:val="clear" w:color="auto" w:fill="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vAlign w:val="center"/>
          </w:tcPr>
          <w:p w14:paraId="2FF12CF2">
            <w:pPr>
              <w:widowControl/>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vAlign w:val="center"/>
          </w:tcPr>
          <w:p w14:paraId="7A54F82C">
            <w:pPr>
              <w:shd w:val="clear" w:color="auto" w:fill="auto"/>
              <w:ind w:firstLine="1944" w:firstLineChars="800"/>
              <w:jc w:val="both"/>
              <w:rPr>
                <w:rFonts w:hint="eastAsia" w:ascii="仿宋" w:hAnsi="仿宋" w:eastAsia="仿宋" w:cs="仿宋"/>
                <w:color w:val="auto"/>
                <w:szCs w:val="21"/>
                <w:highlight w:val="none"/>
              </w:rPr>
            </w:pPr>
          </w:p>
        </w:tc>
      </w:tr>
    </w:tbl>
    <w:p w14:paraId="5184F1C8">
      <w:pPr>
        <w:shd w:val="clear" w:color="auto" w:fill="auto"/>
        <w:spacing w:line="500" w:lineRule="exact"/>
        <w:ind w:firstLine="475"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32A6B949">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1.开标时，本表中的内容与</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26E969F0">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.投标总价为招标范围所列全部招标项目的报价总和，并应与投标报价明细表及分项价格表保持一致。</w:t>
      </w:r>
    </w:p>
    <w:p w14:paraId="5D299807">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.投标报价不得填报选择性报价。</w:t>
      </w:r>
    </w:p>
    <w:p w14:paraId="309217AE">
      <w:pPr>
        <w:pStyle w:val="18"/>
        <w:rPr>
          <w:rFonts w:hint="eastAsia" w:ascii="仿宋" w:hAnsi="仿宋" w:eastAsia="仿宋" w:cs="仿宋"/>
          <w:color w:val="auto"/>
          <w:szCs w:val="21"/>
          <w:highlight w:val="none"/>
        </w:rPr>
      </w:pPr>
    </w:p>
    <w:p w14:paraId="4DE1FE80">
      <w:pPr>
        <w:rPr>
          <w:rFonts w:hint="eastAsia"/>
          <w:color w:val="auto"/>
          <w:highlight w:val="none"/>
        </w:rPr>
      </w:pPr>
    </w:p>
    <w:p w14:paraId="2FC6358A">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6915C671">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lang w:val="en-US" w:eastAsia="zh-CN"/>
        </w:rPr>
        <w:t>或</w:t>
      </w: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0AA964EF">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1AE65F41">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045DAE3E">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03653EDE">
      <w:pPr>
        <w:pStyle w:val="33"/>
        <w:keepNext/>
        <w:keepLines/>
        <w:spacing w:before="0" w:after="220"/>
        <w:rPr>
          <w:rFonts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4B73D96D">
      <w:pPr>
        <w:pStyle w:val="11"/>
        <w:spacing w:line="240" w:lineRule="atLeast"/>
        <w:ind w:left="1164" w:leftChars="257" w:hanging="540"/>
        <w:rPr>
          <w:rFonts w:ascii="仿宋" w:hAnsi="仿宋" w:eastAsia="仿宋" w:cs="仿宋"/>
          <w:color w:val="auto"/>
          <w:highlight w:val="none"/>
          <w:lang w:eastAsia="zh-CN"/>
        </w:rPr>
      </w:pPr>
    </w:p>
    <w:p w14:paraId="21534A63">
      <w:pPr>
        <w:pStyle w:val="11"/>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09EA00B9">
      <w:pPr>
        <w:pStyle w:val="11"/>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w:t>
      </w:r>
    </w:p>
    <w:tbl>
      <w:tblPr>
        <w:tblStyle w:val="23"/>
        <w:tblW w:w="7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040"/>
        <w:gridCol w:w="1040"/>
        <w:gridCol w:w="1101"/>
      </w:tblGrid>
      <w:tr w14:paraId="200F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6722D5CD">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4FF27F5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1BADE1E0">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18A049F1">
            <w:pPr>
              <w:jc w:val="center"/>
              <w:rPr>
                <w:rFonts w:hint="default" w:ascii="仿宋" w:hAnsi="仿宋" w:eastAsia="仿宋" w:cs="仿宋"/>
                <w:color w:val="auto"/>
                <w:kern w:val="2"/>
                <w:szCs w:val="20"/>
                <w:highlight w:val="none"/>
                <w:u w:color="000000"/>
                <w:lang w:val="en-US" w:eastAsia="zh-CN" w:bidi="ar-SA"/>
              </w:rPr>
            </w:pPr>
            <w:r>
              <w:rPr>
                <w:rFonts w:hint="eastAsia" w:ascii="仿宋" w:hAnsi="仿宋" w:eastAsia="仿宋" w:cs="仿宋"/>
                <w:color w:val="auto"/>
                <w:kern w:val="2"/>
                <w:szCs w:val="20"/>
                <w:highlight w:val="none"/>
                <w:u w:color="000000"/>
                <w:lang w:val="en-US" w:eastAsia="zh-CN" w:bidi="ar-SA"/>
              </w:rPr>
              <w:t>品牌</w:t>
            </w:r>
          </w:p>
        </w:tc>
        <w:tc>
          <w:tcPr>
            <w:tcW w:w="1040" w:type="dxa"/>
            <w:vAlign w:val="center"/>
          </w:tcPr>
          <w:p w14:paraId="2F66F222">
            <w:pPr>
              <w:jc w:val="center"/>
              <w:rPr>
                <w:rFonts w:hint="default" w:ascii="仿宋" w:hAnsi="仿宋" w:eastAsia="仿宋" w:cs="仿宋"/>
                <w:color w:val="auto"/>
                <w:kern w:val="2"/>
                <w:szCs w:val="20"/>
                <w:highlight w:val="none"/>
                <w:u w:color="000000"/>
                <w:lang w:val="en-US" w:eastAsia="zh-CN" w:bidi="ar-SA"/>
              </w:rPr>
            </w:pPr>
            <w:r>
              <w:rPr>
                <w:rFonts w:hint="eastAsia" w:ascii="仿宋" w:hAnsi="仿宋" w:eastAsia="仿宋" w:cs="仿宋"/>
                <w:color w:val="auto"/>
                <w:kern w:val="2"/>
                <w:szCs w:val="20"/>
                <w:highlight w:val="none"/>
                <w:u w:color="000000"/>
                <w:lang w:val="en-US" w:eastAsia="zh-CN" w:bidi="ar-SA"/>
              </w:rPr>
              <w:t>型号</w:t>
            </w:r>
          </w:p>
        </w:tc>
        <w:tc>
          <w:tcPr>
            <w:tcW w:w="1040" w:type="dxa"/>
            <w:vAlign w:val="center"/>
          </w:tcPr>
          <w:p w14:paraId="0A6FE03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101" w:type="dxa"/>
            <w:vAlign w:val="center"/>
          </w:tcPr>
          <w:p w14:paraId="47EA4FAF">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0CF4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69A66E51">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0C2B1679">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7BDB247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2ED3B3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148AE9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50BB4E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84C2C3C">
            <w:pPr>
              <w:pStyle w:val="11"/>
              <w:spacing w:line="240" w:lineRule="atLeast"/>
              <w:ind w:left="1164" w:leftChars="257" w:hanging="540"/>
              <w:rPr>
                <w:rFonts w:ascii="仿宋" w:hAnsi="仿宋" w:eastAsia="仿宋" w:cs="仿宋"/>
                <w:color w:val="auto"/>
                <w:highlight w:val="none"/>
                <w:lang w:eastAsia="zh-CN"/>
              </w:rPr>
            </w:pPr>
          </w:p>
        </w:tc>
      </w:tr>
      <w:tr w14:paraId="39DD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0AAED21D">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10315469">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0E56038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ACDDC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256103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40A5FE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E85A3A0">
            <w:pPr>
              <w:pStyle w:val="11"/>
              <w:spacing w:line="240" w:lineRule="atLeast"/>
              <w:ind w:left="1164" w:leftChars="257" w:hanging="540"/>
              <w:rPr>
                <w:rFonts w:ascii="仿宋" w:hAnsi="仿宋" w:eastAsia="仿宋" w:cs="仿宋"/>
                <w:color w:val="auto"/>
                <w:highlight w:val="none"/>
                <w:lang w:eastAsia="zh-CN"/>
              </w:rPr>
            </w:pPr>
          </w:p>
        </w:tc>
      </w:tr>
      <w:tr w14:paraId="4DEA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5F3B413A">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672FAC16">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1DCA04D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F35CB0E">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79F5E201">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7964407">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52D720F7">
            <w:pPr>
              <w:pStyle w:val="11"/>
              <w:spacing w:line="240" w:lineRule="atLeast"/>
              <w:ind w:left="1164" w:leftChars="257" w:hanging="540"/>
              <w:rPr>
                <w:rFonts w:ascii="仿宋" w:hAnsi="仿宋" w:eastAsia="仿宋" w:cs="仿宋"/>
                <w:color w:val="auto"/>
                <w:highlight w:val="none"/>
                <w:lang w:eastAsia="zh-CN"/>
              </w:rPr>
            </w:pPr>
          </w:p>
        </w:tc>
      </w:tr>
      <w:tr w14:paraId="169A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50A71119">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488FC7A4">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32E78FF5">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C3723A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44FE7E3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D3EF9A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819D587">
            <w:pPr>
              <w:pStyle w:val="11"/>
              <w:spacing w:line="240" w:lineRule="atLeast"/>
              <w:ind w:left="1164" w:leftChars="257" w:hanging="540"/>
              <w:rPr>
                <w:rFonts w:ascii="仿宋" w:hAnsi="仿宋" w:eastAsia="仿宋" w:cs="仿宋"/>
                <w:color w:val="auto"/>
                <w:highlight w:val="none"/>
                <w:lang w:eastAsia="zh-CN"/>
              </w:rPr>
            </w:pPr>
          </w:p>
        </w:tc>
      </w:tr>
      <w:tr w14:paraId="2F81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6F01DE6E">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1F4739A">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268A0D52">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777424E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31A7449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36D2C12">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C65652D">
            <w:pPr>
              <w:pStyle w:val="11"/>
              <w:spacing w:line="240" w:lineRule="atLeast"/>
              <w:ind w:left="1164" w:leftChars="257" w:hanging="540"/>
              <w:rPr>
                <w:rFonts w:ascii="仿宋" w:hAnsi="仿宋" w:eastAsia="仿宋" w:cs="仿宋"/>
                <w:color w:val="auto"/>
                <w:highlight w:val="none"/>
                <w:lang w:eastAsia="zh-CN"/>
              </w:rPr>
            </w:pPr>
          </w:p>
        </w:tc>
      </w:tr>
      <w:tr w14:paraId="0658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2C0A71E9">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42F1CCE5">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59054823">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FD916A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41DD0454">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5FD0454">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7821720">
            <w:pPr>
              <w:pStyle w:val="11"/>
              <w:spacing w:line="240" w:lineRule="atLeast"/>
              <w:ind w:left="1164" w:leftChars="257" w:hanging="540"/>
              <w:rPr>
                <w:rFonts w:ascii="仿宋" w:hAnsi="仿宋" w:eastAsia="仿宋" w:cs="仿宋"/>
                <w:color w:val="auto"/>
                <w:highlight w:val="none"/>
                <w:lang w:eastAsia="zh-CN"/>
              </w:rPr>
            </w:pPr>
          </w:p>
        </w:tc>
      </w:tr>
      <w:tr w14:paraId="684E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39FFF79A">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D78C991">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746282F3">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FB58EC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C52C2E">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E4E3554">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EF987AD">
            <w:pPr>
              <w:pStyle w:val="11"/>
              <w:spacing w:line="240" w:lineRule="atLeast"/>
              <w:ind w:left="1164" w:leftChars="257" w:hanging="540"/>
              <w:rPr>
                <w:rFonts w:ascii="仿宋" w:hAnsi="仿宋" w:eastAsia="仿宋" w:cs="仿宋"/>
                <w:color w:val="auto"/>
                <w:highlight w:val="none"/>
                <w:lang w:eastAsia="zh-CN"/>
              </w:rPr>
            </w:pPr>
          </w:p>
        </w:tc>
      </w:tr>
      <w:tr w14:paraId="75C0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6B189E88">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B7F39DD">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0378F99D">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C0DD881">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858FBD">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BE131C0">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50B543E">
            <w:pPr>
              <w:pStyle w:val="11"/>
              <w:spacing w:line="240" w:lineRule="atLeast"/>
              <w:ind w:left="1164" w:leftChars="257" w:hanging="540"/>
              <w:rPr>
                <w:rFonts w:ascii="仿宋" w:hAnsi="仿宋" w:eastAsia="仿宋" w:cs="仿宋"/>
                <w:color w:val="auto"/>
                <w:highlight w:val="none"/>
                <w:lang w:eastAsia="zh-CN"/>
              </w:rPr>
            </w:pPr>
          </w:p>
        </w:tc>
      </w:tr>
    </w:tbl>
    <w:p w14:paraId="6891F72F">
      <w:pPr>
        <w:pStyle w:val="11"/>
        <w:spacing w:line="240" w:lineRule="atLeast"/>
        <w:ind w:left="1164" w:leftChars="257" w:hanging="540"/>
        <w:rPr>
          <w:rFonts w:ascii="仿宋" w:hAnsi="仿宋" w:eastAsia="仿宋" w:cs="仿宋"/>
          <w:color w:val="auto"/>
          <w:highlight w:val="none"/>
        </w:rPr>
      </w:pPr>
    </w:p>
    <w:p w14:paraId="2690E877">
      <w:pPr>
        <w:pStyle w:val="11"/>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法定代表人或其委托代理人签字:</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hAnsi="宋体" w:eastAsia="宋体" w:cs="宋体"/>
          <w:color w:val="auto"/>
          <w:highlight w:val="none"/>
          <w:u w:val="single"/>
          <w:lang w:eastAsia="zh-CN"/>
        </w:rPr>
        <w:t xml:space="preserve">         </w:t>
      </w:r>
    </w:p>
    <w:p w14:paraId="2309AC13">
      <w:pPr>
        <w:pStyle w:val="11"/>
        <w:tabs>
          <w:tab w:val="left" w:pos="5370"/>
        </w:tabs>
        <w:spacing w:line="240" w:lineRule="atLeast"/>
        <w:ind w:left="1164" w:leftChars="257" w:hanging="540"/>
        <w:rPr>
          <w:rFonts w:ascii="仿宋" w:hAnsi="仿宋" w:eastAsia="仿宋" w:cs="仿宋"/>
          <w:color w:val="auto"/>
          <w:highlight w:val="none"/>
          <w:lang w:eastAsia="zh-CN"/>
        </w:rPr>
      </w:pPr>
    </w:p>
    <w:p w14:paraId="4183A3D4">
      <w:pPr>
        <w:pStyle w:val="11"/>
        <w:tabs>
          <w:tab w:val="left" w:pos="5370"/>
        </w:tabs>
        <w:spacing w:line="240" w:lineRule="atLeast"/>
        <w:ind w:left="1164" w:leftChars="257" w:hanging="54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供应商(盖单位章):</w:t>
      </w:r>
      <w:r>
        <w:rPr>
          <w:rFonts w:hint="eastAsia" w:ascii="仿宋" w:hAnsi="仿宋" w:eastAsia="仿宋" w:cs="仿宋"/>
          <w:color w:val="auto"/>
          <w:highlight w:val="none"/>
          <w:u w:val="single"/>
          <w:lang w:eastAsia="zh-CN"/>
        </w:rPr>
        <w:tab/>
      </w:r>
    </w:p>
    <w:p w14:paraId="142B9FFD">
      <w:pPr>
        <w:pStyle w:val="11"/>
        <w:spacing w:line="240" w:lineRule="atLeast"/>
        <w:ind w:left="1164" w:leftChars="257" w:hanging="540"/>
        <w:rPr>
          <w:rFonts w:ascii="仿宋" w:hAnsi="仿宋" w:eastAsia="仿宋" w:cs="仿宋"/>
          <w:color w:val="auto"/>
          <w:highlight w:val="none"/>
          <w:lang w:eastAsia="zh-CN"/>
        </w:rPr>
      </w:pPr>
    </w:p>
    <w:p w14:paraId="24ECC974">
      <w:pPr>
        <w:pStyle w:val="11"/>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注: 各项货物详细技术性能应另页描述</w:t>
      </w:r>
      <w:r>
        <w:rPr>
          <w:rFonts w:hint="eastAsia" w:hAnsi="宋体" w:eastAsia="宋体" w:cs="宋体"/>
          <w:color w:val="auto"/>
          <w:highlight w:val="none"/>
          <w:lang w:eastAsia="zh-CN"/>
        </w:rPr>
        <w:t>。</w:t>
      </w:r>
    </w:p>
    <w:p w14:paraId="7015132E">
      <w:pPr>
        <w:pStyle w:val="11"/>
        <w:spacing w:line="240" w:lineRule="atLeast"/>
        <w:ind w:left="1164" w:leftChars="257" w:hanging="540"/>
        <w:jc w:val="center"/>
        <w:rPr>
          <w:rFonts w:hAnsi="宋体" w:eastAsia="宋体" w:cs="宋体"/>
          <w:color w:val="auto"/>
          <w:highlight w:val="none"/>
          <w:lang w:eastAsia="zh-CN"/>
        </w:rPr>
      </w:pPr>
    </w:p>
    <w:p w14:paraId="064D59CD">
      <w:pPr>
        <w:pStyle w:val="11"/>
        <w:spacing w:line="240" w:lineRule="atLeast"/>
        <w:ind w:left="1164" w:leftChars="257" w:hanging="540"/>
        <w:jc w:val="center"/>
        <w:rPr>
          <w:rFonts w:hAnsi="宋体" w:eastAsia="宋体" w:cs="宋体"/>
          <w:color w:val="auto"/>
          <w:highlight w:val="none"/>
          <w:lang w:eastAsia="zh-CN"/>
        </w:rPr>
        <w:sectPr>
          <w:footerReference r:id="rId5" w:type="default"/>
          <w:pgSz w:w="11905" w:h="16838"/>
          <w:pgMar w:top="1440" w:right="1797" w:bottom="1440" w:left="1797" w:header="850" w:footer="992" w:gutter="0"/>
          <w:pgNumType w:fmt="decimal"/>
          <w:cols w:space="720" w:num="1"/>
          <w:docGrid w:type="linesAndChars" w:linePitch="325" w:charSpace="635"/>
        </w:sectPr>
      </w:pPr>
    </w:p>
    <w:p w14:paraId="3B64CFFB">
      <w:pPr>
        <w:pStyle w:val="33"/>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、投标分项报价明细表</w:t>
      </w:r>
    </w:p>
    <w:p w14:paraId="7D1B8E78">
      <w:pPr>
        <w:pStyle w:val="33"/>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518DAB14">
      <w:pPr>
        <w:pStyle w:val="33"/>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w:t>
      </w:r>
    </w:p>
    <w:p w14:paraId="67E1F13A">
      <w:pPr>
        <w:pStyle w:val="11"/>
        <w:spacing w:line="240" w:lineRule="atLeast"/>
        <w:ind w:left="1157"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23"/>
        <w:tblW w:w="798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8"/>
        <w:gridCol w:w="1185"/>
        <w:gridCol w:w="1438"/>
        <w:gridCol w:w="716"/>
        <w:gridCol w:w="716"/>
        <w:gridCol w:w="709"/>
        <w:gridCol w:w="886"/>
        <w:gridCol w:w="820"/>
        <w:gridCol w:w="820"/>
      </w:tblGrid>
      <w:tr w14:paraId="1F794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EFB1441">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185" w:type="dxa"/>
            <w:tcBorders>
              <w:top w:val="single" w:color="auto" w:sz="4" w:space="0"/>
              <w:left w:val="single" w:color="auto" w:sz="4" w:space="0"/>
              <w:bottom w:val="single" w:color="auto" w:sz="4" w:space="0"/>
              <w:right w:val="single" w:color="auto" w:sz="4" w:space="0"/>
            </w:tcBorders>
            <w:vAlign w:val="center"/>
          </w:tcPr>
          <w:p w14:paraId="3D16E736">
            <w:pPr>
              <w:spacing w:line="500" w:lineRule="exact"/>
              <w:jc w:val="center"/>
              <w:rPr>
                <w:rFonts w:ascii="仿宋" w:hAnsi="仿宋" w:eastAsia="仿宋" w:cs="仿宋"/>
                <w:color w:val="auto"/>
                <w:szCs w:val="21"/>
                <w:highlight w:val="none"/>
              </w:rPr>
            </w:pPr>
            <w:r>
              <w:rPr>
                <w:rFonts w:hint="eastAsia" w:ascii="仿宋" w:hAnsi="仿宋" w:eastAsia="仿宋" w:cs="仿宋"/>
                <w:color w:val="auto"/>
                <w:kern w:val="2"/>
                <w:szCs w:val="20"/>
                <w:highlight w:val="none"/>
                <w:u w:color="000000"/>
                <w:lang w:eastAsia="zh-CN" w:bidi="ar-SA"/>
              </w:rPr>
              <w:t>货物</w:t>
            </w:r>
            <w:r>
              <w:rPr>
                <w:rFonts w:hint="eastAsia" w:ascii="仿宋" w:hAnsi="仿宋" w:eastAsia="仿宋" w:cs="仿宋"/>
                <w:color w:val="auto"/>
                <w:szCs w:val="21"/>
                <w:highlight w:val="none"/>
              </w:rPr>
              <w:t>名称</w:t>
            </w:r>
          </w:p>
        </w:tc>
        <w:tc>
          <w:tcPr>
            <w:tcW w:w="1438" w:type="dxa"/>
            <w:tcBorders>
              <w:top w:val="single" w:color="auto" w:sz="4" w:space="0"/>
              <w:left w:val="single" w:color="auto" w:sz="4" w:space="0"/>
              <w:bottom w:val="single" w:color="auto" w:sz="4" w:space="0"/>
              <w:right w:val="single" w:color="auto" w:sz="4" w:space="0"/>
            </w:tcBorders>
            <w:vAlign w:val="center"/>
          </w:tcPr>
          <w:p w14:paraId="6E3154AC">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规格</w:t>
            </w:r>
          </w:p>
        </w:tc>
        <w:tc>
          <w:tcPr>
            <w:tcW w:w="716" w:type="dxa"/>
            <w:tcBorders>
              <w:top w:val="single" w:color="auto" w:sz="4" w:space="0"/>
              <w:left w:val="single" w:color="auto" w:sz="4" w:space="0"/>
              <w:bottom w:val="single" w:color="auto" w:sz="4" w:space="0"/>
              <w:right w:val="single" w:color="auto" w:sz="4" w:space="0"/>
            </w:tcBorders>
            <w:vAlign w:val="center"/>
          </w:tcPr>
          <w:p w14:paraId="40905D23">
            <w:pPr>
              <w:spacing w:line="5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品牌</w:t>
            </w:r>
          </w:p>
        </w:tc>
        <w:tc>
          <w:tcPr>
            <w:tcW w:w="716" w:type="dxa"/>
            <w:tcBorders>
              <w:top w:val="single" w:color="auto" w:sz="4" w:space="0"/>
              <w:left w:val="single" w:color="auto" w:sz="4" w:space="0"/>
              <w:bottom w:val="single" w:color="auto" w:sz="4" w:space="0"/>
              <w:right w:val="single" w:color="auto" w:sz="4" w:space="0"/>
            </w:tcBorders>
            <w:vAlign w:val="center"/>
          </w:tcPr>
          <w:p w14:paraId="03FC52D2">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A369DEC">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单位</w:t>
            </w:r>
          </w:p>
        </w:tc>
        <w:tc>
          <w:tcPr>
            <w:tcW w:w="886" w:type="dxa"/>
            <w:tcBorders>
              <w:top w:val="single" w:color="auto" w:sz="4" w:space="0"/>
              <w:left w:val="single" w:color="auto" w:sz="4" w:space="0"/>
              <w:bottom w:val="single" w:color="auto" w:sz="4" w:space="0"/>
              <w:right w:val="single" w:color="auto" w:sz="4" w:space="0"/>
            </w:tcBorders>
            <w:vAlign w:val="center"/>
          </w:tcPr>
          <w:p w14:paraId="0211567D">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单价（元）</w:t>
            </w:r>
          </w:p>
        </w:tc>
        <w:tc>
          <w:tcPr>
            <w:tcW w:w="820" w:type="dxa"/>
            <w:tcBorders>
              <w:top w:val="single" w:color="auto" w:sz="4" w:space="0"/>
              <w:left w:val="single" w:color="auto" w:sz="4" w:space="0"/>
              <w:bottom w:val="single" w:color="auto" w:sz="4" w:space="0"/>
              <w:right w:val="single" w:color="auto" w:sz="4" w:space="0"/>
            </w:tcBorders>
            <w:vAlign w:val="center"/>
          </w:tcPr>
          <w:p w14:paraId="1CA9FF6B">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总价（元）</w:t>
            </w:r>
          </w:p>
        </w:tc>
        <w:tc>
          <w:tcPr>
            <w:tcW w:w="820" w:type="dxa"/>
            <w:tcBorders>
              <w:top w:val="single" w:color="auto" w:sz="4" w:space="0"/>
              <w:left w:val="single" w:color="auto" w:sz="4" w:space="0"/>
              <w:bottom w:val="single" w:color="auto" w:sz="4" w:space="0"/>
              <w:right w:val="single" w:color="auto" w:sz="4" w:space="0"/>
            </w:tcBorders>
            <w:vAlign w:val="center"/>
          </w:tcPr>
          <w:p w14:paraId="6C046C3D">
            <w:pPr>
              <w:spacing w:line="50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614C35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67FD361">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471E75DB">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28041F54">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53CA0FE4">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E5049F5">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2C7695D">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8DDB14B">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0E7451D9">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C14A183">
            <w:pPr>
              <w:spacing w:line="500" w:lineRule="exact"/>
              <w:jc w:val="center"/>
              <w:rPr>
                <w:rFonts w:ascii="仿宋" w:hAnsi="仿宋" w:eastAsia="仿宋" w:cs="仿宋"/>
                <w:color w:val="auto"/>
                <w:szCs w:val="21"/>
                <w:highlight w:val="none"/>
              </w:rPr>
            </w:pPr>
          </w:p>
        </w:tc>
      </w:tr>
      <w:tr w14:paraId="0FB0C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64DCBC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5B8926B7">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0E1A88E">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348BD7CD">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8A2BB58">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B39BF29">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49FDDF8">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7058F425">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2B77A68">
            <w:pPr>
              <w:spacing w:line="500" w:lineRule="exact"/>
              <w:jc w:val="center"/>
              <w:rPr>
                <w:rFonts w:ascii="仿宋" w:hAnsi="仿宋" w:eastAsia="仿宋" w:cs="仿宋"/>
                <w:color w:val="auto"/>
                <w:szCs w:val="21"/>
                <w:highlight w:val="none"/>
              </w:rPr>
            </w:pPr>
          </w:p>
        </w:tc>
      </w:tr>
      <w:tr w14:paraId="1BECB4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8DD2B41">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7F975332">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BEA5B51">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250D89B1">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219C1843">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311A544">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A341AB5">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1FAA3780">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ECCFB46">
            <w:pPr>
              <w:spacing w:line="500" w:lineRule="exact"/>
              <w:jc w:val="center"/>
              <w:rPr>
                <w:rFonts w:ascii="仿宋" w:hAnsi="仿宋" w:eastAsia="仿宋" w:cs="仿宋"/>
                <w:color w:val="auto"/>
                <w:szCs w:val="21"/>
                <w:highlight w:val="none"/>
              </w:rPr>
            </w:pPr>
          </w:p>
        </w:tc>
      </w:tr>
      <w:tr w14:paraId="4A90E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A9B35E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25C11478">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406C9B8D">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4066A30">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09EBE0DE">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730456E">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23091EBD">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26EAD2AB">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3ACAC8B4">
            <w:pPr>
              <w:spacing w:line="500" w:lineRule="exact"/>
              <w:jc w:val="center"/>
              <w:rPr>
                <w:rFonts w:ascii="仿宋" w:hAnsi="仿宋" w:eastAsia="仿宋" w:cs="仿宋"/>
                <w:color w:val="auto"/>
                <w:szCs w:val="21"/>
                <w:highlight w:val="none"/>
              </w:rPr>
            </w:pPr>
          </w:p>
        </w:tc>
      </w:tr>
      <w:tr w14:paraId="58B4B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207709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6B8FE593">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DDC953B">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45B9F39B">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32C586AE">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2F65C5D">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546CCF2A">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634D159F">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2239AF77">
            <w:pPr>
              <w:spacing w:line="500" w:lineRule="exact"/>
              <w:jc w:val="center"/>
              <w:rPr>
                <w:rFonts w:ascii="仿宋" w:hAnsi="仿宋" w:eastAsia="仿宋" w:cs="仿宋"/>
                <w:color w:val="auto"/>
                <w:szCs w:val="21"/>
                <w:highlight w:val="none"/>
              </w:rPr>
            </w:pPr>
          </w:p>
        </w:tc>
      </w:tr>
    </w:tbl>
    <w:p w14:paraId="55770A6C">
      <w:pPr>
        <w:pStyle w:val="37"/>
        <w:spacing w:line="317"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所有价格均用人民币表示，单位为元。</w:t>
      </w:r>
    </w:p>
    <w:p w14:paraId="4417DA04">
      <w:pPr>
        <w:pStyle w:val="37"/>
        <w:tabs>
          <w:tab w:val="left" w:pos="378"/>
        </w:tabs>
        <w:spacing w:line="317" w:lineRule="exact"/>
        <w:ind w:firstLine="720"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2.投标单价</w:t>
      </w:r>
      <w:r>
        <w:rPr>
          <w:rFonts w:hint="eastAsia" w:ascii="仿宋" w:hAnsi="仿宋" w:eastAsia="仿宋" w:cs="仿宋"/>
          <w:color w:val="auto"/>
          <w:sz w:val="24"/>
          <w:szCs w:val="24"/>
          <w:highlight w:val="none"/>
        </w:rPr>
        <w:t>报价必须与《</w:t>
      </w:r>
      <w:r>
        <w:rPr>
          <w:rFonts w:hint="eastAsia" w:ascii="仿宋" w:hAnsi="仿宋" w:eastAsia="仿宋" w:cs="仿宋"/>
          <w:color w:val="auto"/>
          <w:sz w:val="24"/>
          <w:szCs w:val="24"/>
          <w:highlight w:val="none"/>
          <w:lang w:eastAsia="zh-CN"/>
        </w:rPr>
        <w:t>开标一览表</w:t>
      </w:r>
      <w:r>
        <w:rPr>
          <w:rFonts w:hint="eastAsia" w:ascii="仿宋" w:hAnsi="仿宋" w:eastAsia="仿宋" w:cs="仿宋"/>
          <w:color w:val="auto"/>
          <w:sz w:val="24"/>
          <w:szCs w:val="24"/>
          <w:highlight w:val="none"/>
        </w:rPr>
        <w:t>》报价一致。</w:t>
      </w:r>
    </w:p>
    <w:p w14:paraId="66A67CB7">
      <w:pPr>
        <w:pStyle w:val="37"/>
        <w:tabs>
          <w:tab w:val="left" w:pos="493"/>
        </w:tabs>
        <w:spacing w:line="317" w:lineRule="exact"/>
        <w:ind w:left="240" w:leftChars="100"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供应商必须按此表格式中的对应栏目内容填写，若需增加栏目，请在栏目</w:t>
      </w:r>
      <w:r>
        <w:rPr>
          <w:rFonts w:hint="eastAsia" w:ascii="仿宋" w:hAnsi="仿宋" w:eastAsia="仿宋" w:cs="仿宋"/>
          <w:color w:val="auto"/>
          <w:sz w:val="24"/>
          <w:szCs w:val="24"/>
          <w:highlight w:val="none"/>
          <w:lang w:val="zh-CN" w:eastAsia="zh-CN" w:bidi="zh-CN"/>
        </w:rPr>
        <w:t>“备注</w:t>
      </w:r>
      <w:r>
        <w:rPr>
          <w:rFonts w:hint="eastAsia" w:ascii="仿宋" w:hAnsi="仿宋" w:eastAsia="仿宋" w:cs="仿宋"/>
          <w:color w:val="auto"/>
          <w:sz w:val="24"/>
          <w:szCs w:val="24"/>
          <w:highlight w:val="none"/>
        </w:rPr>
        <w:t>”中填写，并作详细说明。</w:t>
      </w:r>
    </w:p>
    <w:p w14:paraId="3589E6F0">
      <w:pPr>
        <w:pStyle w:val="37"/>
        <w:tabs>
          <w:tab w:val="left" w:pos="493"/>
        </w:tabs>
        <w:spacing w:line="317" w:lineRule="exact"/>
        <w:ind w:left="176"/>
        <w:rPr>
          <w:rFonts w:ascii="仿宋" w:hAnsi="仿宋" w:eastAsia="仿宋" w:cs="仿宋"/>
          <w:color w:val="auto"/>
          <w:sz w:val="20"/>
          <w:szCs w:val="20"/>
          <w:highlight w:val="none"/>
        </w:rPr>
      </w:pPr>
    </w:p>
    <w:p w14:paraId="4373ECEE">
      <w:pPr>
        <w:pStyle w:val="37"/>
        <w:tabs>
          <w:tab w:val="left" w:pos="493"/>
        </w:tabs>
        <w:spacing w:line="317" w:lineRule="exact"/>
        <w:ind w:left="176"/>
        <w:rPr>
          <w:rFonts w:ascii="仿宋" w:hAnsi="仿宋" w:eastAsia="仿宋" w:cs="仿宋"/>
          <w:color w:val="auto"/>
          <w:sz w:val="20"/>
          <w:szCs w:val="20"/>
          <w:highlight w:val="none"/>
        </w:rPr>
      </w:pPr>
    </w:p>
    <w:p w14:paraId="37E85DB1">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 xml:space="preserve"> </w:t>
      </w:r>
    </w:p>
    <w:p w14:paraId="237FF39D">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（签章）</w:t>
      </w:r>
    </w:p>
    <w:p w14:paraId="2B1F8059">
      <w:pPr>
        <w:pStyle w:val="7"/>
        <w:numPr>
          <w:ilvl w:val="0"/>
          <w:numId w:val="0"/>
        </w:numPr>
        <w:tabs>
          <w:tab w:val="left" w:pos="5551"/>
          <w:tab w:val="left" w:pos="6511"/>
          <w:tab w:val="left" w:pos="7111"/>
          <w:tab w:val="left" w:pos="7711"/>
          <w:tab w:val="clear" w:pos="780"/>
        </w:tabs>
        <w:kinsoku w:val="0"/>
        <w:overflowPunct w:val="0"/>
        <w:spacing w:before="46"/>
        <w:ind w:left="392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日期：</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日</w:t>
      </w:r>
    </w:p>
    <w:p w14:paraId="05A6F8A3">
      <w:pPr>
        <w:pStyle w:val="7"/>
        <w:numPr>
          <w:ilvl w:val="0"/>
          <w:numId w:val="0"/>
        </w:numPr>
        <w:kinsoku w:val="0"/>
        <w:overflowPunct w:val="0"/>
        <w:spacing w:before="34" w:line="357" w:lineRule="auto"/>
        <w:ind w:left="480" w:right="126"/>
        <w:jc w:val="center"/>
        <w:rPr>
          <w:rFonts w:ascii="仿宋" w:hAnsi="仿宋" w:eastAsia="仿宋" w:cs="仿宋"/>
          <w:b/>
          <w:bCs/>
          <w:color w:val="auto"/>
          <w:sz w:val="36"/>
          <w:szCs w:val="36"/>
          <w:highlight w:val="none"/>
          <w:lang w:eastAsia="zh-CN"/>
        </w:rPr>
      </w:pPr>
    </w:p>
    <w:p w14:paraId="1B4097FC">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787926E7">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3AD49AA8">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7578087F">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3FC5F7C4">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p>
    <w:p w14:paraId="320ED20F">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p>
    <w:p w14:paraId="4E207F2C">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36"/>
          <w:szCs w:val="36"/>
          <w:highlight w:val="none"/>
          <w:lang w:val="en-US" w:eastAsia="zh-CN"/>
        </w:rPr>
        <w:t>5、技术条款偏离表</w:t>
      </w:r>
    </w:p>
    <w:tbl>
      <w:tblPr>
        <w:tblStyle w:val="23"/>
        <w:tblW w:w="7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5"/>
        <w:gridCol w:w="1357"/>
        <w:gridCol w:w="1326"/>
        <w:gridCol w:w="1326"/>
        <w:gridCol w:w="1327"/>
        <w:gridCol w:w="1327"/>
      </w:tblGrid>
      <w:tr w14:paraId="0C593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vAlign w:val="center"/>
          </w:tcPr>
          <w:p w14:paraId="7A98A25F">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序号</w:t>
            </w:r>
          </w:p>
        </w:tc>
        <w:tc>
          <w:tcPr>
            <w:tcW w:w="1357" w:type="dxa"/>
            <w:vAlign w:val="center"/>
          </w:tcPr>
          <w:p w14:paraId="10BE4984">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货物名称</w:t>
            </w:r>
          </w:p>
        </w:tc>
        <w:tc>
          <w:tcPr>
            <w:tcW w:w="1326" w:type="dxa"/>
            <w:vAlign w:val="center"/>
          </w:tcPr>
          <w:p w14:paraId="080F58F9">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谈判文件</w:t>
            </w:r>
            <w:r>
              <w:rPr>
                <w:rFonts w:hint="eastAsia" w:ascii="仿宋" w:hAnsi="仿宋" w:eastAsia="仿宋" w:cs="仿宋"/>
                <w:bCs/>
                <w:color w:val="auto"/>
                <w:sz w:val="24"/>
                <w:szCs w:val="24"/>
                <w:highlight w:val="none"/>
              </w:rPr>
              <w:t>要求规格</w:t>
            </w:r>
          </w:p>
        </w:tc>
        <w:tc>
          <w:tcPr>
            <w:tcW w:w="1326" w:type="dxa"/>
            <w:vAlign w:val="center"/>
          </w:tcPr>
          <w:p w14:paraId="72C34866">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投标规格</w:t>
            </w:r>
          </w:p>
        </w:tc>
        <w:tc>
          <w:tcPr>
            <w:tcW w:w="1327" w:type="dxa"/>
            <w:vAlign w:val="center"/>
          </w:tcPr>
          <w:p w14:paraId="73BB4E2C">
            <w:pPr>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偏离</w:t>
            </w:r>
          </w:p>
        </w:tc>
        <w:tc>
          <w:tcPr>
            <w:tcW w:w="1327" w:type="dxa"/>
            <w:vAlign w:val="center"/>
          </w:tcPr>
          <w:p w14:paraId="608EFAA0">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说明</w:t>
            </w:r>
          </w:p>
        </w:tc>
      </w:tr>
      <w:tr w14:paraId="6868D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44D9505">
            <w:pPr>
              <w:jc w:val="center"/>
              <w:rPr>
                <w:rFonts w:hint="eastAsia" w:ascii="仿宋" w:hAnsi="仿宋" w:eastAsia="仿宋" w:cs="仿宋"/>
                <w:b/>
                <w:bCs/>
                <w:color w:val="auto"/>
                <w:sz w:val="24"/>
                <w:szCs w:val="24"/>
                <w:highlight w:val="none"/>
              </w:rPr>
            </w:pPr>
          </w:p>
        </w:tc>
        <w:tc>
          <w:tcPr>
            <w:tcW w:w="1357" w:type="dxa"/>
          </w:tcPr>
          <w:p w14:paraId="01531839">
            <w:pPr>
              <w:jc w:val="center"/>
              <w:rPr>
                <w:rFonts w:hint="eastAsia" w:ascii="仿宋" w:hAnsi="仿宋" w:eastAsia="仿宋" w:cs="仿宋"/>
                <w:b/>
                <w:bCs/>
                <w:color w:val="auto"/>
                <w:sz w:val="24"/>
                <w:szCs w:val="24"/>
                <w:highlight w:val="none"/>
              </w:rPr>
            </w:pPr>
          </w:p>
        </w:tc>
        <w:tc>
          <w:tcPr>
            <w:tcW w:w="1326" w:type="dxa"/>
          </w:tcPr>
          <w:p w14:paraId="7CE75912">
            <w:pPr>
              <w:jc w:val="center"/>
              <w:rPr>
                <w:rFonts w:hint="eastAsia" w:ascii="仿宋" w:hAnsi="仿宋" w:eastAsia="仿宋" w:cs="仿宋"/>
                <w:b/>
                <w:bCs/>
                <w:color w:val="auto"/>
                <w:sz w:val="24"/>
                <w:szCs w:val="24"/>
                <w:highlight w:val="none"/>
              </w:rPr>
            </w:pPr>
          </w:p>
        </w:tc>
        <w:tc>
          <w:tcPr>
            <w:tcW w:w="1326" w:type="dxa"/>
          </w:tcPr>
          <w:p w14:paraId="461E53FF">
            <w:pPr>
              <w:jc w:val="center"/>
              <w:rPr>
                <w:rFonts w:hint="eastAsia" w:ascii="仿宋" w:hAnsi="仿宋" w:eastAsia="仿宋" w:cs="仿宋"/>
                <w:b/>
                <w:bCs/>
                <w:color w:val="auto"/>
                <w:sz w:val="24"/>
                <w:szCs w:val="24"/>
                <w:highlight w:val="none"/>
              </w:rPr>
            </w:pPr>
          </w:p>
        </w:tc>
        <w:tc>
          <w:tcPr>
            <w:tcW w:w="1327" w:type="dxa"/>
          </w:tcPr>
          <w:p w14:paraId="627F71BB">
            <w:pPr>
              <w:jc w:val="center"/>
              <w:rPr>
                <w:rFonts w:hint="default" w:ascii="仿宋" w:hAnsi="仿宋" w:eastAsia="仿宋" w:cs="仿宋"/>
                <w:b/>
                <w:bCs/>
                <w:color w:val="auto"/>
                <w:sz w:val="24"/>
                <w:szCs w:val="24"/>
                <w:highlight w:val="none"/>
                <w:lang w:val="en-US"/>
              </w:rPr>
            </w:pPr>
            <w:r>
              <w:rPr>
                <w:rFonts w:hint="default" w:ascii="仿宋" w:hAnsi="仿宋" w:eastAsia="仿宋" w:cs="仿宋"/>
                <w:bCs/>
                <w:color w:val="auto"/>
                <w:sz w:val="24"/>
                <w:szCs w:val="24"/>
                <w:highlight w:val="none"/>
                <w:lang w:val="en-US" w:eastAsia="zh-CN"/>
              </w:rPr>
              <w:t>如有正偏离需提供证明材料，证明材料附后(并注明页码)</w:t>
            </w:r>
          </w:p>
        </w:tc>
        <w:tc>
          <w:tcPr>
            <w:tcW w:w="1327" w:type="dxa"/>
          </w:tcPr>
          <w:p w14:paraId="636FE516">
            <w:pPr>
              <w:jc w:val="center"/>
              <w:rPr>
                <w:rFonts w:hint="eastAsia" w:ascii="仿宋" w:hAnsi="仿宋" w:eastAsia="仿宋" w:cs="仿宋"/>
                <w:b/>
                <w:bCs/>
                <w:color w:val="auto"/>
                <w:sz w:val="24"/>
                <w:szCs w:val="24"/>
                <w:highlight w:val="none"/>
              </w:rPr>
            </w:pPr>
          </w:p>
        </w:tc>
      </w:tr>
      <w:tr w14:paraId="47FC3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E2C7FB6">
            <w:pPr>
              <w:jc w:val="center"/>
              <w:rPr>
                <w:rFonts w:hint="eastAsia" w:ascii="仿宋" w:hAnsi="仿宋" w:eastAsia="仿宋" w:cs="仿宋"/>
                <w:b/>
                <w:bCs/>
                <w:color w:val="auto"/>
                <w:sz w:val="24"/>
                <w:szCs w:val="24"/>
                <w:highlight w:val="none"/>
              </w:rPr>
            </w:pPr>
          </w:p>
        </w:tc>
        <w:tc>
          <w:tcPr>
            <w:tcW w:w="1357" w:type="dxa"/>
          </w:tcPr>
          <w:p w14:paraId="478B709A">
            <w:pPr>
              <w:jc w:val="center"/>
              <w:rPr>
                <w:rFonts w:hint="eastAsia" w:ascii="仿宋" w:hAnsi="仿宋" w:eastAsia="仿宋" w:cs="仿宋"/>
                <w:b/>
                <w:bCs/>
                <w:color w:val="auto"/>
                <w:sz w:val="24"/>
                <w:szCs w:val="24"/>
                <w:highlight w:val="none"/>
              </w:rPr>
            </w:pPr>
          </w:p>
        </w:tc>
        <w:tc>
          <w:tcPr>
            <w:tcW w:w="1326" w:type="dxa"/>
          </w:tcPr>
          <w:p w14:paraId="1046AD17">
            <w:pPr>
              <w:jc w:val="center"/>
              <w:rPr>
                <w:rFonts w:hint="eastAsia" w:ascii="仿宋" w:hAnsi="仿宋" w:eastAsia="仿宋" w:cs="仿宋"/>
                <w:b/>
                <w:bCs/>
                <w:color w:val="auto"/>
                <w:sz w:val="24"/>
                <w:szCs w:val="24"/>
                <w:highlight w:val="none"/>
              </w:rPr>
            </w:pPr>
          </w:p>
        </w:tc>
        <w:tc>
          <w:tcPr>
            <w:tcW w:w="1326" w:type="dxa"/>
          </w:tcPr>
          <w:p w14:paraId="3C8B6315">
            <w:pPr>
              <w:jc w:val="center"/>
              <w:rPr>
                <w:rFonts w:hint="eastAsia" w:ascii="仿宋" w:hAnsi="仿宋" w:eastAsia="仿宋" w:cs="仿宋"/>
                <w:b/>
                <w:bCs/>
                <w:color w:val="auto"/>
                <w:sz w:val="24"/>
                <w:szCs w:val="24"/>
                <w:highlight w:val="none"/>
              </w:rPr>
            </w:pPr>
          </w:p>
        </w:tc>
        <w:tc>
          <w:tcPr>
            <w:tcW w:w="1327" w:type="dxa"/>
          </w:tcPr>
          <w:p w14:paraId="718CB096">
            <w:pPr>
              <w:jc w:val="center"/>
              <w:rPr>
                <w:rFonts w:hint="eastAsia" w:ascii="仿宋" w:hAnsi="仿宋" w:eastAsia="仿宋" w:cs="仿宋"/>
                <w:b/>
                <w:bCs/>
                <w:color w:val="auto"/>
                <w:sz w:val="24"/>
                <w:szCs w:val="24"/>
                <w:highlight w:val="none"/>
              </w:rPr>
            </w:pPr>
          </w:p>
        </w:tc>
        <w:tc>
          <w:tcPr>
            <w:tcW w:w="1327" w:type="dxa"/>
          </w:tcPr>
          <w:p w14:paraId="7DCC0D32">
            <w:pPr>
              <w:jc w:val="center"/>
              <w:rPr>
                <w:rFonts w:hint="eastAsia" w:ascii="仿宋" w:hAnsi="仿宋" w:eastAsia="仿宋" w:cs="仿宋"/>
                <w:b/>
                <w:bCs/>
                <w:color w:val="auto"/>
                <w:sz w:val="24"/>
                <w:szCs w:val="24"/>
                <w:highlight w:val="none"/>
              </w:rPr>
            </w:pPr>
          </w:p>
        </w:tc>
      </w:tr>
      <w:tr w14:paraId="08D62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2A9A6B82">
            <w:pPr>
              <w:jc w:val="center"/>
              <w:rPr>
                <w:rFonts w:hint="eastAsia" w:ascii="仿宋" w:hAnsi="仿宋" w:eastAsia="仿宋" w:cs="仿宋"/>
                <w:b/>
                <w:bCs/>
                <w:color w:val="auto"/>
                <w:sz w:val="24"/>
                <w:szCs w:val="24"/>
                <w:highlight w:val="none"/>
              </w:rPr>
            </w:pPr>
          </w:p>
        </w:tc>
        <w:tc>
          <w:tcPr>
            <w:tcW w:w="1357" w:type="dxa"/>
          </w:tcPr>
          <w:p w14:paraId="23A6E9F5">
            <w:pPr>
              <w:jc w:val="center"/>
              <w:rPr>
                <w:rFonts w:hint="eastAsia" w:ascii="仿宋" w:hAnsi="仿宋" w:eastAsia="仿宋" w:cs="仿宋"/>
                <w:b/>
                <w:bCs/>
                <w:color w:val="auto"/>
                <w:sz w:val="24"/>
                <w:szCs w:val="24"/>
                <w:highlight w:val="none"/>
              </w:rPr>
            </w:pPr>
          </w:p>
        </w:tc>
        <w:tc>
          <w:tcPr>
            <w:tcW w:w="1326" w:type="dxa"/>
          </w:tcPr>
          <w:p w14:paraId="3F2B116B">
            <w:pPr>
              <w:jc w:val="center"/>
              <w:rPr>
                <w:rFonts w:hint="eastAsia" w:ascii="仿宋" w:hAnsi="仿宋" w:eastAsia="仿宋" w:cs="仿宋"/>
                <w:b/>
                <w:bCs/>
                <w:color w:val="auto"/>
                <w:sz w:val="24"/>
                <w:szCs w:val="24"/>
                <w:highlight w:val="none"/>
              </w:rPr>
            </w:pPr>
          </w:p>
        </w:tc>
        <w:tc>
          <w:tcPr>
            <w:tcW w:w="1326" w:type="dxa"/>
          </w:tcPr>
          <w:p w14:paraId="7D1AA5E6">
            <w:pPr>
              <w:jc w:val="center"/>
              <w:rPr>
                <w:rFonts w:hint="eastAsia" w:ascii="仿宋" w:hAnsi="仿宋" w:eastAsia="仿宋" w:cs="仿宋"/>
                <w:b/>
                <w:bCs/>
                <w:color w:val="auto"/>
                <w:sz w:val="24"/>
                <w:szCs w:val="24"/>
                <w:highlight w:val="none"/>
              </w:rPr>
            </w:pPr>
          </w:p>
        </w:tc>
        <w:tc>
          <w:tcPr>
            <w:tcW w:w="1327" w:type="dxa"/>
          </w:tcPr>
          <w:p w14:paraId="78B14454">
            <w:pPr>
              <w:jc w:val="center"/>
              <w:rPr>
                <w:rFonts w:hint="eastAsia" w:ascii="仿宋" w:hAnsi="仿宋" w:eastAsia="仿宋" w:cs="仿宋"/>
                <w:b/>
                <w:bCs/>
                <w:color w:val="auto"/>
                <w:sz w:val="24"/>
                <w:szCs w:val="24"/>
                <w:highlight w:val="none"/>
              </w:rPr>
            </w:pPr>
          </w:p>
        </w:tc>
        <w:tc>
          <w:tcPr>
            <w:tcW w:w="1327" w:type="dxa"/>
          </w:tcPr>
          <w:p w14:paraId="661EEFCD">
            <w:pPr>
              <w:jc w:val="center"/>
              <w:rPr>
                <w:rFonts w:hint="eastAsia" w:ascii="仿宋" w:hAnsi="仿宋" w:eastAsia="仿宋" w:cs="仿宋"/>
                <w:b/>
                <w:bCs/>
                <w:color w:val="auto"/>
                <w:sz w:val="24"/>
                <w:szCs w:val="24"/>
                <w:highlight w:val="none"/>
              </w:rPr>
            </w:pPr>
          </w:p>
        </w:tc>
      </w:tr>
      <w:tr w14:paraId="36F1F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2B1133D1">
            <w:pPr>
              <w:jc w:val="center"/>
              <w:rPr>
                <w:rFonts w:hint="eastAsia" w:ascii="仿宋" w:hAnsi="仿宋" w:eastAsia="仿宋" w:cs="仿宋"/>
                <w:b/>
                <w:bCs/>
                <w:color w:val="auto"/>
                <w:sz w:val="24"/>
                <w:szCs w:val="24"/>
                <w:highlight w:val="none"/>
              </w:rPr>
            </w:pPr>
          </w:p>
        </w:tc>
        <w:tc>
          <w:tcPr>
            <w:tcW w:w="1357" w:type="dxa"/>
          </w:tcPr>
          <w:p w14:paraId="79314E6E">
            <w:pPr>
              <w:jc w:val="center"/>
              <w:rPr>
                <w:rFonts w:hint="eastAsia" w:ascii="仿宋" w:hAnsi="仿宋" w:eastAsia="仿宋" w:cs="仿宋"/>
                <w:b/>
                <w:bCs/>
                <w:color w:val="auto"/>
                <w:sz w:val="24"/>
                <w:szCs w:val="24"/>
                <w:highlight w:val="none"/>
              </w:rPr>
            </w:pPr>
          </w:p>
        </w:tc>
        <w:tc>
          <w:tcPr>
            <w:tcW w:w="1326" w:type="dxa"/>
          </w:tcPr>
          <w:p w14:paraId="3658CF31">
            <w:pPr>
              <w:jc w:val="center"/>
              <w:rPr>
                <w:rFonts w:hint="eastAsia" w:ascii="仿宋" w:hAnsi="仿宋" w:eastAsia="仿宋" w:cs="仿宋"/>
                <w:b/>
                <w:bCs/>
                <w:color w:val="auto"/>
                <w:sz w:val="24"/>
                <w:szCs w:val="24"/>
                <w:highlight w:val="none"/>
              </w:rPr>
            </w:pPr>
          </w:p>
        </w:tc>
        <w:tc>
          <w:tcPr>
            <w:tcW w:w="1326" w:type="dxa"/>
          </w:tcPr>
          <w:p w14:paraId="6869EB2E">
            <w:pPr>
              <w:jc w:val="center"/>
              <w:rPr>
                <w:rFonts w:hint="eastAsia" w:ascii="仿宋" w:hAnsi="仿宋" w:eastAsia="仿宋" w:cs="仿宋"/>
                <w:b/>
                <w:bCs/>
                <w:color w:val="auto"/>
                <w:sz w:val="24"/>
                <w:szCs w:val="24"/>
                <w:highlight w:val="none"/>
              </w:rPr>
            </w:pPr>
          </w:p>
        </w:tc>
        <w:tc>
          <w:tcPr>
            <w:tcW w:w="1327" w:type="dxa"/>
          </w:tcPr>
          <w:p w14:paraId="05B10BA2">
            <w:pPr>
              <w:jc w:val="center"/>
              <w:rPr>
                <w:rFonts w:hint="eastAsia" w:ascii="仿宋" w:hAnsi="仿宋" w:eastAsia="仿宋" w:cs="仿宋"/>
                <w:b/>
                <w:bCs/>
                <w:color w:val="auto"/>
                <w:sz w:val="24"/>
                <w:szCs w:val="24"/>
                <w:highlight w:val="none"/>
              </w:rPr>
            </w:pPr>
          </w:p>
        </w:tc>
        <w:tc>
          <w:tcPr>
            <w:tcW w:w="1327" w:type="dxa"/>
          </w:tcPr>
          <w:p w14:paraId="6677458E">
            <w:pPr>
              <w:jc w:val="center"/>
              <w:rPr>
                <w:rFonts w:hint="eastAsia" w:ascii="仿宋" w:hAnsi="仿宋" w:eastAsia="仿宋" w:cs="仿宋"/>
                <w:b/>
                <w:bCs/>
                <w:color w:val="auto"/>
                <w:sz w:val="24"/>
                <w:szCs w:val="24"/>
                <w:highlight w:val="none"/>
              </w:rPr>
            </w:pPr>
          </w:p>
        </w:tc>
      </w:tr>
      <w:tr w14:paraId="0A023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05F39C9D">
            <w:pPr>
              <w:jc w:val="center"/>
              <w:rPr>
                <w:rFonts w:hint="eastAsia" w:ascii="仿宋" w:hAnsi="仿宋" w:eastAsia="仿宋" w:cs="仿宋"/>
                <w:b/>
                <w:bCs/>
                <w:color w:val="auto"/>
                <w:sz w:val="24"/>
                <w:szCs w:val="24"/>
                <w:highlight w:val="none"/>
              </w:rPr>
            </w:pPr>
          </w:p>
        </w:tc>
        <w:tc>
          <w:tcPr>
            <w:tcW w:w="1357" w:type="dxa"/>
          </w:tcPr>
          <w:p w14:paraId="09C508CE">
            <w:pPr>
              <w:jc w:val="center"/>
              <w:rPr>
                <w:rFonts w:hint="eastAsia" w:ascii="仿宋" w:hAnsi="仿宋" w:eastAsia="仿宋" w:cs="仿宋"/>
                <w:b/>
                <w:bCs/>
                <w:color w:val="auto"/>
                <w:sz w:val="24"/>
                <w:szCs w:val="24"/>
                <w:highlight w:val="none"/>
              </w:rPr>
            </w:pPr>
          </w:p>
        </w:tc>
        <w:tc>
          <w:tcPr>
            <w:tcW w:w="1326" w:type="dxa"/>
          </w:tcPr>
          <w:p w14:paraId="658F05B7">
            <w:pPr>
              <w:jc w:val="center"/>
              <w:rPr>
                <w:rFonts w:hint="eastAsia" w:ascii="仿宋" w:hAnsi="仿宋" w:eastAsia="仿宋" w:cs="仿宋"/>
                <w:b/>
                <w:bCs/>
                <w:color w:val="auto"/>
                <w:sz w:val="24"/>
                <w:szCs w:val="24"/>
                <w:highlight w:val="none"/>
              </w:rPr>
            </w:pPr>
          </w:p>
        </w:tc>
        <w:tc>
          <w:tcPr>
            <w:tcW w:w="1326" w:type="dxa"/>
          </w:tcPr>
          <w:p w14:paraId="3ABD9E18">
            <w:pPr>
              <w:jc w:val="center"/>
              <w:rPr>
                <w:rFonts w:hint="eastAsia" w:ascii="仿宋" w:hAnsi="仿宋" w:eastAsia="仿宋" w:cs="仿宋"/>
                <w:b/>
                <w:bCs/>
                <w:color w:val="auto"/>
                <w:sz w:val="24"/>
                <w:szCs w:val="24"/>
                <w:highlight w:val="none"/>
              </w:rPr>
            </w:pPr>
          </w:p>
        </w:tc>
        <w:tc>
          <w:tcPr>
            <w:tcW w:w="1327" w:type="dxa"/>
          </w:tcPr>
          <w:p w14:paraId="5FE930BC">
            <w:pPr>
              <w:jc w:val="center"/>
              <w:rPr>
                <w:rFonts w:hint="eastAsia" w:ascii="仿宋" w:hAnsi="仿宋" w:eastAsia="仿宋" w:cs="仿宋"/>
                <w:b/>
                <w:bCs/>
                <w:color w:val="auto"/>
                <w:sz w:val="24"/>
                <w:szCs w:val="24"/>
                <w:highlight w:val="none"/>
              </w:rPr>
            </w:pPr>
          </w:p>
        </w:tc>
        <w:tc>
          <w:tcPr>
            <w:tcW w:w="1327" w:type="dxa"/>
          </w:tcPr>
          <w:p w14:paraId="4F92659A">
            <w:pPr>
              <w:jc w:val="center"/>
              <w:rPr>
                <w:rFonts w:hint="eastAsia" w:ascii="仿宋" w:hAnsi="仿宋" w:eastAsia="仿宋" w:cs="仿宋"/>
                <w:b/>
                <w:bCs/>
                <w:color w:val="auto"/>
                <w:sz w:val="24"/>
                <w:szCs w:val="24"/>
                <w:highlight w:val="none"/>
              </w:rPr>
            </w:pPr>
          </w:p>
        </w:tc>
      </w:tr>
    </w:tbl>
    <w:p w14:paraId="127DE1FE">
      <w:pPr>
        <w:spacing w:line="360" w:lineRule="auto"/>
        <w:ind w:firstLine="475" w:firstLineChars="198"/>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备注：投标人应根据其提供的货物，对照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第</w:t>
      </w:r>
      <w:r>
        <w:rPr>
          <w:rFonts w:hint="eastAsia" w:ascii="仿宋" w:hAnsi="仿宋" w:eastAsia="仿宋" w:cs="仿宋"/>
          <w:color w:val="auto"/>
          <w:sz w:val="24"/>
          <w:szCs w:val="24"/>
          <w:highlight w:val="none"/>
          <w:lang w:eastAsia="zh-CN"/>
        </w:rPr>
        <w:t>三</w:t>
      </w:r>
      <w:r>
        <w:rPr>
          <w:rFonts w:hint="eastAsia" w:ascii="仿宋" w:hAnsi="仿宋" w:eastAsia="仿宋" w:cs="仿宋"/>
          <w:color w:val="auto"/>
          <w:sz w:val="24"/>
          <w:szCs w:val="24"/>
          <w:highlight w:val="none"/>
        </w:rPr>
        <w:t>章“技术标准和要求”中的要求，有差异的，则在此表中列明实际响应的内容提要并加以说明，以便查对。本表包括所有的技术响应及差异。无差异说明表示完全响应</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未列明项视为完全响应，正偏离需附检测报告。</w:t>
      </w:r>
    </w:p>
    <w:p w14:paraId="116FFC69">
      <w:pPr>
        <w:pStyle w:val="11"/>
        <w:tabs>
          <w:tab w:val="left" w:pos="5580"/>
        </w:tabs>
        <w:spacing w:line="360" w:lineRule="auto"/>
        <w:ind w:firstLine="3120" w:firstLineChars="1300"/>
        <w:rPr>
          <w:rFonts w:hint="eastAsia" w:ascii="仿宋" w:hAnsi="仿宋" w:eastAsia="仿宋" w:cs="仿宋"/>
          <w:color w:val="auto"/>
          <w:sz w:val="24"/>
          <w:highlight w:val="none"/>
        </w:rPr>
      </w:pPr>
    </w:p>
    <w:p w14:paraId="745AE4B2">
      <w:pPr>
        <w:pStyle w:val="11"/>
        <w:tabs>
          <w:tab w:val="left" w:pos="5580"/>
        </w:tabs>
        <w:spacing w:line="360" w:lineRule="auto"/>
        <w:ind w:firstLine="3120" w:firstLineChars="13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投标人（盖章）：</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487CB432">
      <w:pPr>
        <w:pStyle w:val="11"/>
        <w:tabs>
          <w:tab w:val="left" w:pos="5580"/>
        </w:tabs>
        <w:spacing w:line="360" w:lineRule="auto"/>
        <w:ind w:firstLine="3120" w:firstLineChars="1300"/>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sz w:val="24"/>
          <w:highlight w:val="none"/>
          <w:lang w:eastAsia="zh-CN"/>
        </w:rPr>
        <w:t>法定代表人或</w:t>
      </w:r>
      <w:r>
        <w:rPr>
          <w:rFonts w:hint="eastAsia" w:ascii="仿宋" w:hAnsi="仿宋" w:eastAsia="仿宋" w:cs="仿宋"/>
          <w:color w:val="auto"/>
          <w:kern w:val="0"/>
          <w:sz w:val="24"/>
          <w:szCs w:val="24"/>
          <w:highlight w:val="none"/>
        </w:rPr>
        <w:t>委托代理人</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u w:val="single"/>
          <w:lang w:val="en-US" w:eastAsia="zh-CN"/>
        </w:rPr>
        <w:t xml:space="preserve">                   </w:t>
      </w:r>
    </w:p>
    <w:p w14:paraId="312F8780">
      <w:pPr>
        <w:keepNext w:val="0"/>
        <w:keepLines w:val="0"/>
        <w:pageBreakBefore w:val="0"/>
        <w:widowControl w:val="0"/>
        <w:kinsoku/>
        <w:wordWrap/>
        <w:overflowPunct/>
        <w:topLinePunct w:val="0"/>
        <w:autoSpaceDE/>
        <w:autoSpaceDN/>
        <w:bidi w:val="0"/>
        <w:adjustRightInd/>
        <w:snapToGrid/>
        <w:spacing w:line="360" w:lineRule="auto"/>
        <w:ind w:firstLine="3120" w:firstLineChars="1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18AFB3ED">
      <w:pPr>
        <w:pStyle w:val="4"/>
        <w:rPr>
          <w:rFonts w:hint="eastAsia" w:ascii="仿宋" w:hAnsi="仿宋" w:eastAsia="仿宋" w:cs="仿宋"/>
          <w:b/>
          <w:bCs/>
          <w:color w:val="auto"/>
          <w:sz w:val="36"/>
          <w:szCs w:val="36"/>
          <w:highlight w:val="none"/>
        </w:rPr>
      </w:pPr>
    </w:p>
    <w:p w14:paraId="3DD42BAD">
      <w:pPr>
        <w:rPr>
          <w:rFonts w:hint="eastAsia" w:ascii="仿宋" w:hAnsi="仿宋" w:eastAsia="仿宋" w:cs="仿宋"/>
          <w:color w:val="auto"/>
          <w:highlight w:val="none"/>
        </w:rPr>
      </w:pPr>
    </w:p>
    <w:p w14:paraId="2BA6ADAC">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29B3E18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2D6FD06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17D59A07">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5DBBE428">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30183149">
      <w:pPr>
        <w:pStyle w:val="34"/>
        <w:keepNext w:val="0"/>
        <w:keepLines w:val="0"/>
        <w:widowControl w:val="0"/>
        <w:shd w:val="clear" w:color="auto" w:fill="auto"/>
        <w:bidi w:val="0"/>
        <w:spacing w:before="0" w:after="0" w:line="240" w:lineRule="auto"/>
        <w:ind w:left="0" w:leftChars="0" w:right="0" w:firstLine="0" w:firstLineChars="0"/>
        <w:jc w:val="both"/>
        <w:rPr>
          <w:rFonts w:hint="eastAsia" w:ascii="仿宋" w:hAnsi="仿宋" w:eastAsia="仿宋" w:cs="仿宋"/>
          <w:color w:val="auto"/>
          <w:spacing w:val="0"/>
          <w:w w:val="100"/>
          <w:position w:val="0"/>
          <w:sz w:val="36"/>
          <w:szCs w:val="36"/>
          <w:highlight w:val="none"/>
          <w:lang w:eastAsia="zh-CN"/>
        </w:rPr>
      </w:pPr>
    </w:p>
    <w:p w14:paraId="217AED7E">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p>
    <w:p w14:paraId="0CB787BF">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eastAsia="zh-CN"/>
        </w:rPr>
      </w:pPr>
      <w:r>
        <w:rPr>
          <w:rFonts w:hint="eastAsia" w:ascii="仿宋" w:hAnsi="仿宋" w:eastAsia="仿宋" w:cs="仿宋"/>
          <w:b/>
          <w:bCs/>
          <w:color w:val="auto"/>
          <w:spacing w:val="0"/>
          <w:w w:val="100"/>
          <w:position w:val="0"/>
          <w:sz w:val="36"/>
          <w:szCs w:val="36"/>
          <w:highlight w:val="none"/>
          <w:lang w:val="en-US" w:eastAsia="zh-CN"/>
        </w:rPr>
        <w:t>6</w:t>
      </w:r>
      <w:r>
        <w:rPr>
          <w:rFonts w:hint="eastAsia" w:ascii="仿宋" w:hAnsi="仿宋" w:eastAsia="仿宋" w:cs="仿宋"/>
          <w:b/>
          <w:bCs/>
          <w:color w:val="auto"/>
          <w:spacing w:val="0"/>
          <w:w w:val="100"/>
          <w:position w:val="0"/>
          <w:sz w:val="36"/>
          <w:szCs w:val="36"/>
          <w:highlight w:val="none"/>
        </w:rPr>
        <w:t>、</w:t>
      </w:r>
      <w:r>
        <w:rPr>
          <w:rFonts w:hint="eastAsia" w:ascii="仿宋" w:hAnsi="仿宋" w:eastAsia="仿宋" w:cs="仿宋"/>
          <w:b/>
          <w:bCs/>
          <w:color w:val="auto"/>
          <w:spacing w:val="0"/>
          <w:w w:val="100"/>
          <w:position w:val="0"/>
          <w:sz w:val="36"/>
          <w:szCs w:val="36"/>
          <w:highlight w:val="none"/>
          <w:lang w:eastAsia="zh-CN"/>
        </w:rPr>
        <w:t>商务条款偏离表</w:t>
      </w:r>
    </w:p>
    <w:tbl>
      <w:tblPr>
        <w:tblStyle w:val="23"/>
        <w:tblW w:w="10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866"/>
        <w:gridCol w:w="2090"/>
        <w:gridCol w:w="2628"/>
        <w:gridCol w:w="2628"/>
      </w:tblGrid>
      <w:tr w14:paraId="5681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B0364A1">
            <w:pP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序号</w:t>
            </w:r>
          </w:p>
        </w:tc>
        <w:tc>
          <w:tcPr>
            <w:tcW w:w="1866" w:type="dxa"/>
          </w:tcPr>
          <w:p w14:paraId="0DD8A3FB">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谈判文件的商务条款</w:t>
            </w:r>
          </w:p>
        </w:tc>
        <w:tc>
          <w:tcPr>
            <w:tcW w:w="2090" w:type="dxa"/>
          </w:tcPr>
          <w:p w14:paraId="61E82DDC">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响应文件的商务条款</w:t>
            </w:r>
          </w:p>
        </w:tc>
        <w:tc>
          <w:tcPr>
            <w:tcW w:w="2628" w:type="dxa"/>
            <w:vAlign w:val="center"/>
          </w:tcPr>
          <w:p w14:paraId="55623850">
            <w:pPr>
              <w:jc w:val="center"/>
              <w:rPr>
                <w:rFonts w:hint="eastAsia" w:ascii="仿宋" w:hAnsi="仿宋" w:eastAsia="仿宋" w:cs="仿宋"/>
                <w:color w:val="auto"/>
                <w:sz w:val="24"/>
                <w:highlight w:val="none"/>
                <w:lang w:val="en-US" w:eastAsia="zh-CN"/>
              </w:rPr>
            </w:pPr>
            <w:r>
              <w:rPr>
                <w:rFonts w:hint="eastAsia" w:ascii="仿宋" w:hAnsi="仿宋" w:eastAsia="仿宋" w:cs="仿宋"/>
                <w:bCs/>
                <w:color w:val="auto"/>
                <w:sz w:val="24"/>
                <w:szCs w:val="24"/>
                <w:highlight w:val="none"/>
              </w:rPr>
              <w:t>偏离</w:t>
            </w:r>
          </w:p>
        </w:tc>
        <w:tc>
          <w:tcPr>
            <w:tcW w:w="2628" w:type="dxa"/>
          </w:tcPr>
          <w:p w14:paraId="12FABB7F">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说明</w:t>
            </w:r>
          </w:p>
        </w:tc>
      </w:tr>
      <w:tr w14:paraId="5CF1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13C2C3C7">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w:t>
            </w:r>
          </w:p>
        </w:tc>
        <w:tc>
          <w:tcPr>
            <w:tcW w:w="1866" w:type="dxa"/>
            <w:vAlign w:val="center"/>
          </w:tcPr>
          <w:p w14:paraId="5D40C667">
            <w:pPr>
              <w:rPr>
                <w:rFonts w:hint="eastAsia" w:ascii="仿宋" w:hAnsi="仿宋" w:eastAsia="仿宋" w:cs="仿宋"/>
                <w:color w:val="auto"/>
                <w:spacing w:val="-1"/>
                <w:kern w:val="0"/>
                <w:sz w:val="24"/>
                <w:highlight w:val="none"/>
              </w:rPr>
            </w:pPr>
          </w:p>
        </w:tc>
        <w:tc>
          <w:tcPr>
            <w:tcW w:w="2090" w:type="dxa"/>
            <w:vAlign w:val="center"/>
          </w:tcPr>
          <w:p w14:paraId="5E6A36B8">
            <w:pPr>
              <w:rPr>
                <w:rFonts w:hint="eastAsia" w:ascii="仿宋" w:hAnsi="仿宋" w:eastAsia="仿宋" w:cs="仿宋"/>
                <w:color w:val="auto"/>
                <w:spacing w:val="-1"/>
                <w:kern w:val="0"/>
                <w:sz w:val="24"/>
                <w:highlight w:val="none"/>
              </w:rPr>
            </w:pPr>
          </w:p>
        </w:tc>
        <w:tc>
          <w:tcPr>
            <w:tcW w:w="2628" w:type="dxa"/>
            <w:vAlign w:val="top"/>
          </w:tcPr>
          <w:p w14:paraId="5B206A3F">
            <w:pPr>
              <w:jc w:val="center"/>
              <w:rPr>
                <w:rFonts w:hint="eastAsia" w:ascii="仿宋" w:hAnsi="仿宋" w:eastAsia="仿宋" w:cs="仿宋"/>
                <w:color w:val="auto"/>
                <w:spacing w:val="-1"/>
                <w:kern w:val="0"/>
                <w:sz w:val="24"/>
                <w:highlight w:val="none"/>
              </w:rPr>
            </w:pPr>
            <w:r>
              <w:rPr>
                <w:rFonts w:hint="eastAsia" w:ascii="仿宋" w:hAnsi="仿宋" w:eastAsia="仿宋" w:cs="仿宋"/>
                <w:bCs/>
                <w:color w:val="auto"/>
                <w:sz w:val="24"/>
                <w:szCs w:val="24"/>
                <w:highlight w:val="none"/>
                <w:lang w:val="en-US" w:eastAsia="zh-CN"/>
              </w:rPr>
              <w:t>如有正偏离需提供证明材料，证明材料附后(并注明页码)</w:t>
            </w:r>
          </w:p>
        </w:tc>
        <w:tc>
          <w:tcPr>
            <w:tcW w:w="2628" w:type="dxa"/>
            <w:vAlign w:val="center"/>
          </w:tcPr>
          <w:p w14:paraId="5A4A6321">
            <w:pPr>
              <w:rPr>
                <w:rFonts w:hint="eastAsia" w:ascii="仿宋" w:hAnsi="仿宋" w:eastAsia="仿宋" w:cs="仿宋"/>
                <w:color w:val="auto"/>
                <w:spacing w:val="-1"/>
                <w:kern w:val="0"/>
                <w:sz w:val="24"/>
                <w:highlight w:val="none"/>
              </w:rPr>
            </w:pPr>
          </w:p>
        </w:tc>
      </w:tr>
      <w:tr w14:paraId="3FE4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87B64E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2</w:t>
            </w:r>
          </w:p>
        </w:tc>
        <w:tc>
          <w:tcPr>
            <w:tcW w:w="1866" w:type="dxa"/>
            <w:vAlign w:val="center"/>
          </w:tcPr>
          <w:p w14:paraId="2F446327">
            <w:pPr>
              <w:rPr>
                <w:rFonts w:hint="eastAsia" w:ascii="仿宋" w:hAnsi="仿宋" w:eastAsia="仿宋" w:cs="仿宋"/>
                <w:color w:val="auto"/>
                <w:spacing w:val="-1"/>
                <w:kern w:val="0"/>
                <w:sz w:val="24"/>
                <w:highlight w:val="none"/>
              </w:rPr>
            </w:pPr>
          </w:p>
        </w:tc>
        <w:tc>
          <w:tcPr>
            <w:tcW w:w="2090" w:type="dxa"/>
            <w:vAlign w:val="center"/>
          </w:tcPr>
          <w:p w14:paraId="75E2472D">
            <w:pPr>
              <w:rPr>
                <w:rFonts w:hint="eastAsia" w:ascii="仿宋" w:hAnsi="仿宋" w:eastAsia="仿宋" w:cs="仿宋"/>
                <w:color w:val="auto"/>
                <w:spacing w:val="-1"/>
                <w:kern w:val="0"/>
                <w:sz w:val="24"/>
                <w:highlight w:val="none"/>
              </w:rPr>
            </w:pPr>
          </w:p>
        </w:tc>
        <w:tc>
          <w:tcPr>
            <w:tcW w:w="2628" w:type="dxa"/>
            <w:vAlign w:val="center"/>
          </w:tcPr>
          <w:p w14:paraId="5A6507D7">
            <w:pPr>
              <w:rPr>
                <w:rFonts w:hint="eastAsia" w:ascii="仿宋" w:hAnsi="仿宋" w:eastAsia="仿宋" w:cs="仿宋"/>
                <w:color w:val="auto"/>
                <w:spacing w:val="-1"/>
                <w:kern w:val="0"/>
                <w:sz w:val="24"/>
                <w:highlight w:val="none"/>
              </w:rPr>
            </w:pPr>
          </w:p>
        </w:tc>
        <w:tc>
          <w:tcPr>
            <w:tcW w:w="2628" w:type="dxa"/>
            <w:vAlign w:val="center"/>
          </w:tcPr>
          <w:p w14:paraId="665899B9">
            <w:pPr>
              <w:rPr>
                <w:rFonts w:hint="eastAsia" w:ascii="仿宋" w:hAnsi="仿宋" w:eastAsia="仿宋" w:cs="仿宋"/>
                <w:color w:val="auto"/>
                <w:spacing w:val="-1"/>
                <w:kern w:val="0"/>
                <w:sz w:val="24"/>
                <w:highlight w:val="none"/>
              </w:rPr>
            </w:pPr>
          </w:p>
        </w:tc>
      </w:tr>
      <w:tr w14:paraId="2B5B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7293057">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3</w:t>
            </w:r>
          </w:p>
        </w:tc>
        <w:tc>
          <w:tcPr>
            <w:tcW w:w="1866" w:type="dxa"/>
            <w:vAlign w:val="center"/>
          </w:tcPr>
          <w:p w14:paraId="32AAD80A">
            <w:pPr>
              <w:rPr>
                <w:rFonts w:hint="eastAsia" w:ascii="仿宋" w:hAnsi="仿宋" w:eastAsia="仿宋" w:cs="仿宋"/>
                <w:color w:val="auto"/>
                <w:spacing w:val="-1"/>
                <w:kern w:val="0"/>
                <w:sz w:val="24"/>
                <w:highlight w:val="none"/>
              </w:rPr>
            </w:pPr>
          </w:p>
        </w:tc>
        <w:tc>
          <w:tcPr>
            <w:tcW w:w="2090" w:type="dxa"/>
            <w:vAlign w:val="center"/>
          </w:tcPr>
          <w:p w14:paraId="6663E25B">
            <w:pPr>
              <w:rPr>
                <w:rFonts w:hint="eastAsia" w:ascii="仿宋" w:hAnsi="仿宋" w:eastAsia="仿宋" w:cs="仿宋"/>
                <w:color w:val="auto"/>
                <w:spacing w:val="-1"/>
                <w:kern w:val="0"/>
                <w:sz w:val="24"/>
                <w:highlight w:val="none"/>
              </w:rPr>
            </w:pPr>
          </w:p>
        </w:tc>
        <w:tc>
          <w:tcPr>
            <w:tcW w:w="2628" w:type="dxa"/>
            <w:vAlign w:val="center"/>
          </w:tcPr>
          <w:p w14:paraId="08142599">
            <w:pPr>
              <w:rPr>
                <w:rFonts w:hint="eastAsia" w:ascii="仿宋" w:hAnsi="仿宋" w:eastAsia="仿宋" w:cs="仿宋"/>
                <w:color w:val="auto"/>
                <w:spacing w:val="-1"/>
                <w:kern w:val="0"/>
                <w:sz w:val="24"/>
                <w:highlight w:val="none"/>
              </w:rPr>
            </w:pPr>
          </w:p>
        </w:tc>
        <w:tc>
          <w:tcPr>
            <w:tcW w:w="2628" w:type="dxa"/>
            <w:vAlign w:val="center"/>
          </w:tcPr>
          <w:p w14:paraId="39182E89">
            <w:pPr>
              <w:rPr>
                <w:rFonts w:hint="eastAsia" w:ascii="仿宋" w:hAnsi="仿宋" w:eastAsia="仿宋" w:cs="仿宋"/>
                <w:color w:val="auto"/>
                <w:spacing w:val="-1"/>
                <w:kern w:val="0"/>
                <w:sz w:val="24"/>
                <w:highlight w:val="none"/>
              </w:rPr>
            </w:pPr>
          </w:p>
        </w:tc>
      </w:tr>
      <w:tr w14:paraId="4FF7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2643A0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4</w:t>
            </w:r>
          </w:p>
        </w:tc>
        <w:tc>
          <w:tcPr>
            <w:tcW w:w="1866" w:type="dxa"/>
            <w:vAlign w:val="center"/>
          </w:tcPr>
          <w:p w14:paraId="537DA87A">
            <w:pPr>
              <w:rPr>
                <w:rFonts w:hint="eastAsia" w:ascii="仿宋" w:hAnsi="仿宋" w:eastAsia="仿宋" w:cs="仿宋"/>
                <w:color w:val="auto"/>
                <w:spacing w:val="-1"/>
                <w:kern w:val="0"/>
                <w:sz w:val="24"/>
                <w:highlight w:val="none"/>
              </w:rPr>
            </w:pPr>
          </w:p>
        </w:tc>
        <w:tc>
          <w:tcPr>
            <w:tcW w:w="2090" w:type="dxa"/>
            <w:vAlign w:val="center"/>
          </w:tcPr>
          <w:p w14:paraId="4DDB295D">
            <w:pPr>
              <w:rPr>
                <w:rFonts w:hint="eastAsia" w:ascii="仿宋" w:hAnsi="仿宋" w:eastAsia="仿宋" w:cs="仿宋"/>
                <w:color w:val="auto"/>
                <w:spacing w:val="-1"/>
                <w:kern w:val="0"/>
                <w:sz w:val="24"/>
                <w:highlight w:val="none"/>
              </w:rPr>
            </w:pPr>
          </w:p>
        </w:tc>
        <w:tc>
          <w:tcPr>
            <w:tcW w:w="2628" w:type="dxa"/>
            <w:vAlign w:val="center"/>
          </w:tcPr>
          <w:p w14:paraId="581947CC">
            <w:pPr>
              <w:rPr>
                <w:rFonts w:hint="eastAsia" w:ascii="仿宋" w:hAnsi="仿宋" w:eastAsia="仿宋" w:cs="仿宋"/>
                <w:color w:val="auto"/>
                <w:spacing w:val="-1"/>
                <w:kern w:val="0"/>
                <w:sz w:val="24"/>
                <w:highlight w:val="none"/>
              </w:rPr>
            </w:pPr>
          </w:p>
        </w:tc>
        <w:tc>
          <w:tcPr>
            <w:tcW w:w="2628" w:type="dxa"/>
            <w:vAlign w:val="center"/>
          </w:tcPr>
          <w:p w14:paraId="7BEF6EE1">
            <w:pPr>
              <w:rPr>
                <w:rFonts w:hint="eastAsia" w:ascii="仿宋" w:hAnsi="仿宋" w:eastAsia="仿宋" w:cs="仿宋"/>
                <w:color w:val="auto"/>
                <w:spacing w:val="-1"/>
                <w:kern w:val="0"/>
                <w:sz w:val="24"/>
                <w:highlight w:val="none"/>
              </w:rPr>
            </w:pPr>
          </w:p>
        </w:tc>
      </w:tr>
      <w:tr w14:paraId="0A58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87DB27F">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5</w:t>
            </w:r>
          </w:p>
        </w:tc>
        <w:tc>
          <w:tcPr>
            <w:tcW w:w="1866" w:type="dxa"/>
            <w:vAlign w:val="center"/>
          </w:tcPr>
          <w:p w14:paraId="7B0C9AB7">
            <w:pPr>
              <w:rPr>
                <w:rFonts w:hint="eastAsia" w:ascii="仿宋" w:hAnsi="仿宋" w:eastAsia="仿宋" w:cs="仿宋"/>
                <w:color w:val="auto"/>
                <w:spacing w:val="-1"/>
                <w:kern w:val="0"/>
                <w:sz w:val="24"/>
                <w:highlight w:val="none"/>
              </w:rPr>
            </w:pPr>
          </w:p>
        </w:tc>
        <w:tc>
          <w:tcPr>
            <w:tcW w:w="2090" w:type="dxa"/>
            <w:vAlign w:val="center"/>
          </w:tcPr>
          <w:p w14:paraId="1629DF26">
            <w:pPr>
              <w:rPr>
                <w:rFonts w:hint="eastAsia" w:ascii="仿宋" w:hAnsi="仿宋" w:eastAsia="仿宋" w:cs="仿宋"/>
                <w:color w:val="auto"/>
                <w:spacing w:val="-1"/>
                <w:kern w:val="0"/>
                <w:sz w:val="24"/>
                <w:highlight w:val="none"/>
              </w:rPr>
            </w:pPr>
          </w:p>
        </w:tc>
        <w:tc>
          <w:tcPr>
            <w:tcW w:w="2628" w:type="dxa"/>
            <w:vAlign w:val="center"/>
          </w:tcPr>
          <w:p w14:paraId="6B0C3437">
            <w:pPr>
              <w:rPr>
                <w:rFonts w:hint="eastAsia" w:ascii="仿宋" w:hAnsi="仿宋" w:eastAsia="仿宋" w:cs="仿宋"/>
                <w:color w:val="auto"/>
                <w:spacing w:val="-1"/>
                <w:kern w:val="0"/>
                <w:sz w:val="24"/>
                <w:highlight w:val="none"/>
              </w:rPr>
            </w:pPr>
          </w:p>
        </w:tc>
        <w:tc>
          <w:tcPr>
            <w:tcW w:w="2628" w:type="dxa"/>
            <w:vAlign w:val="center"/>
          </w:tcPr>
          <w:p w14:paraId="79DC4CE3">
            <w:pPr>
              <w:rPr>
                <w:rFonts w:hint="eastAsia" w:ascii="仿宋" w:hAnsi="仿宋" w:eastAsia="仿宋" w:cs="仿宋"/>
                <w:color w:val="auto"/>
                <w:spacing w:val="-1"/>
                <w:kern w:val="0"/>
                <w:sz w:val="24"/>
                <w:highlight w:val="none"/>
              </w:rPr>
            </w:pPr>
          </w:p>
        </w:tc>
      </w:tr>
      <w:tr w14:paraId="4B97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141EF62">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6</w:t>
            </w:r>
          </w:p>
        </w:tc>
        <w:tc>
          <w:tcPr>
            <w:tcW w:w="1866" w:type="dxa"/>
            <w:vAlign w:val="center"/>
          </w:tcPr>
          <w:p w14:paraId="4003BBF0">
            <w:pPr>
              <w:rPr>
                <w:rFonts w:hint="eastAsia" w:ascii="仿宋" w:hAnsi="仿宋" w:eastAsia="仿宋" w:cs="仿宋"/>
                <w:color w:val="auto"/>
                <w:spacing w:val="-1"/>
                <w:kern w:val="0"/>
                <w:sz w:val="24"/>
                <w:highlight w:val="none"/>
              </w:rPr>
            </w:pPr>
          </w:p>
        </w:tc>
        <w:tc>
          <w:tcPr>
            <w:tcW w:w="2090" w:type="dxa"/>
            <w:vAlign w:val="center"/>
          </w:tcPr>
          <w:p w14:paraId="0F480A3F">
            <w:pPr>
              <w:rPr>
                <w:rFonts w:hint="eastAsia" w:ascii="仿宋" w:hAnsi="仿宋" w:eastAsia="仿宋" w:cs="仿宋"/>
                <w:color w:val="auto"/>
                <w:spacing w:val="-1"/>
                <w:kern w:val="0"/>
                <w:sz w:val="24"/>
                <w:highlight w:val="none"/>
              </w:rPr>
            </w:pPr>
          </w:p>
        </w:tc>
        <w:tc>
          <w:tcPr>
            <w:tcW w:w="2628" w:type="dxa"/>
            <w:vAlign w:val="center"/>
          </w:tcPr>
          <w:p w14:paraId="76EB55F4">
            <w:pPr>
              <w:rPr>
                <w:rFonts w:hint="eastAsia" w:ascii="仿宋" w:hAnsi="仿宋" w:eastAsia="仿宋" w:cs="仿宋"/>
                <w:color w:val="auto"/>
                <w:spacing w:val="-1"/>
                <w:kern w:val="0"/>
                <w:sz w:val="24"/>
                <w:highlight w:val="none"/>
              </w:rPr>
            </w:pPr>
          </w:p>
        </w:tc>
        <w:tc>
          <w:tcPr>
            <w:tcW w:w="2628" w:type="dxa"/>
            <w:vAlign w:val="center"/>
          </w:tcPr>
          <w:p w14:paraId="0CBCA2D2">
            <w:pPr>
              <w:rPr>
                <w:rFonts w:hint="eastAsia" w:ascii="仿宋" w:hAnsi="仿宋" w:eastAsia="仿宋" w:cs="仿宋"/>
                <w:color w:val="auto"/>
                <w:spacing w:val="-1"/>
                <w:kern w:val="0"/>
                <w:sz w:val="24"/>
                <w:highlight w:val="none"/>
              </w:rPr>
            </w:pPr>
          </w:p>
        </w:tc>
      </w:tr>
      <w:tr w14:paraId="6FD8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C3A9E3F">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7</w:t>
            </w:r>
          </w:p>
        </w:tc>
        <w:tc>
          <w:tcPr>
            <w:tcW w:w="1866" w:type="dxa"/>
            <w:vAlign w:val="center"/>
          </w:tcPr>
          <w:p w14:paraId="490B498C">
            <w:pPr>
              <w:rPr>
                <w:rFonts w:hint="eastAsia" w:ascii="仿宋" w:hAnsi="仿宋" w:eastAsia="仿宋" w:cs="仿宋"/>
                <w:color w:val="auto"/>
                <w:spacing w:val="-1"/>
                <w:kern w:val="0"/>
                <w:sz w:val="24"/>
                <w:highlight w:val="none"/>
              </w:rPr>
            </w:pPr>
          </w:p>
        </w:tc>
        <w:tc>
          <w:tcPr>
            <w:tcW w:w="2090" w:type="dxa"/>
            <w:vAlign w:val="center"/>
          </w:tcPr>
          <w:p w14:paraId="0D017E51">
            <w:pPr>
              <w:rPr>
                <w:rFonts w:hint="eastAsia" w:ascii="仿宋" w:hAnsi="仿宋" w:eastAsia="仿宋" w:cs="仿宋"/>
                <w:color w:val="auto"/>
                <w:spacing w:val="-1"/>
                <w:kern w:val="0"/>
                <w:sz w:val="24"/>
                <w:highlight w:val="none"/>
              </w:rPr>
            </w:pPr>
          </w:p>
        </w:tc>
        <w:tc>
          <w:tcPr>
            <w:tcW w:w="2628" w:type="dxa"/>
            <w:vAlign w:val="center"/>
          </w:tcPr>
          <w:p w14:paraId="6F109DE2">
            <w:pPr>
              <w:rPr>
                <w:rFonts w:hint="eastAsia" w:ascii="仿宋" w:hAnsi="仿宋" w:eastAsia="仿宋" w:cs="仿宋"/>
                <w:color w:val="auto"/>
                <w:spacing w:val="-1"/>
                <w:kern w:val="0"/>
                <w:sz w:val="24"/>
                <w:highlight w:val="none"/>
              </w:rPr>
            </w:pPr>
          </w:p>
        </w:tc>
        <w:tc>
          <w:tcPr>
            <w:tcW w:w="2628" w:type="dxa"/>
            <w:vAlign w:val="center"/>
          </w:tcPr>
          <w:p w14:paraId="2F1CAAFA">
            <w:pPr>
              <w:rPr>
                <w:rFonts w:hint="eastAsia" w:ascii="仿宋" w:hAnsi="仿宋" w:eastAsia="仿宋" w:cs="仿宋"/>
                <w:color w:val="auto"/>
                <w:spacing w:val="-1"/>
                <w:kern w:val="0"/>
                <w:sz w:val="24"/>
                <w:highlight w:val="none"/>
              </w:rPr>
            </w:pPr>
          </w:p>
        </w:tc>
      </w:tr>
      <w:tr w14:paraId="69F1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B691A74">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8</w:t>
            </w:r>
          </w:p>
        </w:tc>
        <w:tc>
          <w:tcPr>
            <w:tcW w:w="1866" w:type="dxa"/>
            <w:vAlign w:val="center"/>
          </w:tcPr>
          <w:p w14:paraId="047BCDE8">
            <w:pPr>
              <w:rPr>
                <w:rFonts w:hint="eastAsia" w:ascii="仿宋" w:hAnsi="仿宋" w:eastAsia="仿宋" w:cs="仿宋"/>
                <w:color w:val="auto"/>
                <w:spacing w:val="-1"/>
                <w:kern w:val="0"/>
                <w:sz w:val="24"/>
                <w:highlight w:val="none"/>
              </w:rPr>
            </w:pPr>
          </w:p>
        </w:tc>
        <w:tc>
          <w:tcPr>
            <w:tcW w:w="2090" w:type="dxa"/>
            <w:vAlign w:val="center"/>
          </w:tcPr>
          <w:p w14:paraId="3FB2D320">
            <w:pPr>
              <w:rPr>
                <w:rFonts w:hint="eastAsia" w:ascii="仿宋" w:hAnsi="仿宋" w:eastAsia="仿宋" w:cs="仿宋"/>
                <w:color w:val="auto"/>
                <w:spacing w:val="-1"/>
                <w:kern w:val="0"/>
                <w:sz w:val="24"/>
                <w:highlight w:val="none"/>
              </w:rPr>
            </w:pPr>
          </w:p>
        </w:tc>
        <w:tc>
          <w:tcPr>
            <w:tcW w:w="2628" w:type="dxa"/>
            <w:vAlign w:val="center"/>
          </w:tcPr>
          <w:p w14:paraId="2F74885E">
            <w:pPr>
              <w:rPr>
                <w:rFonts w:hint="eastAsia" w:ascii="仿宋" w:hAnsi="仿宋" w:eastAsia="仿宋" w:cs="仿宋"/>
                <w:color w:val="auto"/>
                <w:spacing w:val="-1"/>
                <w:kern w:val="0"/>
                <w:sz w:val="24"/>
                <w:highlight w:val="none"/>
              </w:rPr>
            </w:pPr>
          </w:p>
        </w:tc>
        <w:tc>
          <w:tcPr>
            <w:tcW w:w="2628" w:type="dxa"/>
            <w:vAlign w:val="center"/>
          </w:tcPr>
          <w:p w14:paraId="48370546">
            <w:pPr>
              <w:rPr>
                <w:rFonts w:hint="eastAsia" w:ascii="仿宋" w:hAnsi="仿宋" w:eastAsia="仿宋" w:cs="仿宋"/>
                <w:color w:val="auto"/>
                <w:spacing w:val="-1"/>
                <w:kern w:val="0"/>
                <w:sz w:val="24"/>
                <w:highlight w:val="none"/>
              </w:rPr>
            </w:pPr>
          </w:p>
        </w:tc>
      </w:tr>
      <w:tr w14:paraId="049B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5D77255">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9</w:t>
            </w:r>
          </w:p>
        </w:tc>
        <w:tc>
          <w:tcPr>
            <w:tcW w:w="1866" w:type="dxa"/>
            <w:vAlign w:val="center"/>
          </w:tcPr>
          <w:p w14:paraId="4E7CB27B">
            <w:pPr>
              <w:rPr>
                <w:rFonts w:hint="eastAsia" w:ascii="仿宋" w:hAnsi="仿宋" w:eastAsia="仿宋" w:cs="仿宋"/>
                <w:color w:val="auto"/>
                <w:spacing w:val="-1"/>
                <w:kern w:val="0"/>
                <w:sz w:val="24"/>
                <w:highlight w:val="none"/>
              </w:rPr>
            </w:pPr>
          </w:p>
        </w:tc>
        <w:tc>
          <w:tcPr>
            <w:tcW w:w="2090" w:type="dxa"/>
            <w:vAlign w:val="center"/>
          </w:tcPr>
          <w:p w14:paraId="1D0684EE">
            <w:pPr>
              <w:rPr>
                <w:rFonts w:hint="eastAsia" w:ascii="仿宋" w:hAnsi="仿宋" w:eastAsia="仿宋" w:cs="仿宋"/>
                <w:color w:val="auto"/>
                <w:spacing w:val="-1"/>
                <w:kern w:val="0"/>
                <w:sz w:val="24"/>
                <w:highlight w:val="none"/>
              </w:rPr>
            </w:pPr>
          </w:p>
        </w:tc>
        <w:tc>
          <w:tcPr>
            <w:tcW w:w="2628" w:type="dxa"/>
            <w:vAlign w:val="center"/>
          </w:tcPr>
          <w:p w14:paraId="1D1C18B2">
            <w:pPr>
              <w:rPr>
                <w:rFonts w:hint="eastAsia" w:ascii="仿宋" w:hAnsi="仿宋" w:eastAsia="仿宋" w:cs="仿宋"/>
                <w:color w:val="auto"/>
                <w:spacing w:val="-1"/>
                <w:kern w:val="0"/>
                <w:sz w:val="24"/>
                <w:highlight w:val="none"/>
              </w:rPr>
            </w:pPr>
          </w:p>
        </w:tc>
        <w:tc>
          <w:tcPr>
            <w:tcW w:w="2628" w:type="dxa"/>
            <w:vAlign w:val="center"/>
          </w:tcPr>
          <w:p w14:paraId="523D59F9">
            <w:pPr>
              <w:rPr>
                <w:rFonts w:hint="eastAsia" w:ascii="仿宋" w:hAnsi="仿宋" w:eastAsia="仿宋" w:cs="仿宋"/>
                <w:color w:val="auto"/>
                <w:spacing w:val="-1"/>
                <w:kern w:val="0"/>
                <w:sz w:val="24"/>
                <w:highlight w:val="none"/>
              </w:rPr>
            </w:pPr>
          </w:p>
        </w:tc>
      </w:tr>
      <w:tr w14:paraId="1004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C990220">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10</w:t>
            </w:r>
          </w:p>
        </w:tc>
        <w:tc>
          <w:tcPr>
            <w:tcW w:w="1866" w:type="dxa"/>
            <w:vAlign w:val="center"/>
          </w:tcPr>
          <w:p w14:paraId="1604563B">
            <w:pPr>
              <w:rPr>
                <w:rFonts w:hint="eastAsia" w:ascii="仿宋" w:hAnsi="仿宋" w:eastAsia="仿宋" w:cs="仿宋"/>
                <w:color w:val="auto"/>
                <w:spacing w:val="-1"/>
                <w:kern w:val="0"/>
                <w:sz w:val="24"/>
                <w:highlight w:val="none"/>
              </w:rPr>
            </w:pPr>
          </w:p>
        </w:tc>
        <w:tc>
          <w:tcPr>
            <w:tcW w:w="2090" w:type="dxa"/>
            <w:vAlign w:val="center"/>
          </w:tcPr>
          <w:p w14:paraId="1AB241BF">
            <w:pPr>
              <w:rPr>
                <w:rFonts w:hint="eastAsia" w:ascii="仿宋" w:hAnsi="仿宋" w:eastAsia="仿宋" w:cs="仿宋"/>
                <w:color w:val="auto"/>
                <w:spacing w:val="-1"/>
                <w:kern w:val="0"/>
                <w:sz w:val="24"/>
                <w:highlight w:val="none"/>
              </w:rPr>
            </w:pPr>
          </w:p>
        </w:tc>
        <w:tc>
          <w:tcPr>
            <w:tcW w:w="2628" w:type="dxa"/>
            <w:vAlign w:val="center"/>
          </w:tcPr>
          <w:p w14:paraId="05137517">
            <w:pPr>
              <w:rPr>
                <w:rFonts w:hint="eastAsia" w:ascii="仿宋" w:hAnsi="仿宋" w:eastAsia="仿宋" w:cs="仿宋"/>
                <w:color w:val="auto"/>
                <w:spacing w:val="-1"/>
                <w:kern w:val="0"/>
                <w:sz w:val="24"/>
                <w:highlight w:val="none"/>
              </w:rPr>
            </w:pPr>
          </w:p>
        </w:tc>
        <w:tc>
          <w:tcPr>
            <w:tcW w:w="2628" w:type="dxa"/>
            <w:vAlign w:val="center"/>
          </w:tcPr>
          <w:p w14:paraId="4EBCC077">
            <w:pPr>
              <w:rPr>
                <w:rFonts w:hint="eastAsia" w:ascii="仿宋" w:hAnsi="仿宋" w:eastAsia="仿宋" w:cs="仿宋"/>
                <w:color w:val="auto"/>
                <w:spacing w:val="-1"/>
                <w:kern w:val="0"/>
                <w:sz w:val="24"/>
                <w:highlight w:val="none"/>
              </w:rPr>
            </w:pPr>
          </w:p>
        </w:tc>
      </w:tr>
      <w:tr w14:paraId="38A6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BB291E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11</w:t>
            </w:r>
          </w:p>
        </w:tc>
        <w:tc>
          <w:tcPr>
            <w:tcW w:w="1866" w:type="dxa"/>
            <w:vAlign w:val="center"/>
          </w:tcPr>
          <w:p w14:paraId="4B41A5EB">
            <w:pPr>
              <w:rPr>
                <w:rFonts w:hint="eastAsia" w:ascii="仿宋" w:hAnsi="仿宋" w:eastAsia="仿宋" w:cs="仿宋"/>
                <w:color w:val="auto"/>
                <w:spacing w:val="-1"/>
                <w:kern w:val="0"/>
                <w:sz w:val="24"/>
                <w:highlight w:val="none"/>
              </w:rPr>
            </w:pPr>
          </w:p>
        </w:tc>
        <w:tc>
          <w:tcPr>
            <w:tcW w:w="2090" w:type="dxa"/>
            <w:vAlign w:val="center"/>
          </w:tcPr>
          <w:p w14:paraId="02B8F72F">
            <w:pPr>
              <w:rPr>
                <w:rFonts w:hint="eastAsia" w:ascii="仿宋" w:hAnsi="仿宋" w:eastAsia="仿宋" w:cs="仿宋"/>
                <w:color w:val="auto"/>
                <w:spacing w:val="-1"/>
                <w:kern w:val="0"/>
                <w:sz w:val="24"/>
                <w:highlight w:val="none"/>
              </w:rPr>
            </w:pPr>
          </w:p>
        </w:tc>
        <w:tc>
          <w:tcPr>
            <w:tcW w:w="2628" w:type="dxa"/>
            <w:vAlign w:val="center"/>
          </w:tcPr>
          <w:p w14:paraId="7C3576E6">
            <w:pPr>
              <w:rPr>
                <w:rFonts w:hint="eastAsia" w:ascii="仿宋" w:hAnsi="仿宋" w:eastAsia="仿宋" w:cs="仿宋"/>
                <w:color w:val="auto"/>
                <w:spacing w:val="-1"/>
                <w:kern w:val="0"/>
                <w:sz w:val="24"/>
                <w:highlight w:val="none"/>
              </w:rPr>
            </w:pPr>
          </w:p>
        </w:tc>
        <w:tc>
          <w:tcPr>
            <w:tcW w:w="2628" w:type="dxa"/>
            <w:vAlign w:val="center"/>
          </w:tcPr>
          <w:p w14:paraId="07F30F9D">
            <w:pPr>
              <w:rPr>
                <w:rFonts w:hint="eastAsia" w:ascii="仿宋" w:hAnsi="仿宋" w:eastAsia="仿宋" w:cs="仿宋"/>
                <w:color w:val="auto"/>
                <w:spacing w:val="-1"/>
                <w:kern w:val="0"/>
                <w:sz w:val="24"/>
                <w:highlight w:val="none"/>
              </w:rPr>
            </w:pPr>
          </w:p>
        </w:tc>
      </w:tr>
      <w:tr w14:paraId="6098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97F2E96">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12</w:t>
            </w:r>
          </w:p>
        </w:tc>
        <w:tc>
          <w:tcPr>
            <w:tcW w:w="1866" w:type="dxa"/>
            <w:vAlign w:val="center"/>
          </w:tcPr>
          <w:p w14:paraId="15EE8F15">
            <w:pPr>
              <w:rPr>
                <w:rFonts w:hint="eastAsia" w:ascii="仿宋" w:hAnsi="仿宋" w:eastAsia="仿宋" w:cs="仿宋"/>
                <w:color w:val="auto"/>
                <w:spacing w:val="-1"/>
                <w:kern w:val="0"/>
                <w:sz w:val="24"/>
                <w:highlight w:val="none"/>
              </w:rPr>
            </w:pPr>
          </w:p>
        </w:tc>
        <w:tc>
          <w:tcPr>
            <w:tcW w:w="2090" w:type="dxa"/>
            <w:vAlign w:val="center"/>
          </w:tcPr>
          <w:p w14:paraId="5B931289">
            <w:pPr>
              <w:rPr>
                <w:rFonts w:hint="eastAsia" w:ascii="仿宋" w:hAnsi="仿宋" w:eastAsia="仿宋" w:cs="仿宋"/>
                <w:color w:val="auto"/>
                <w:spacing w:val="-1"/>
                <w:kern w:val="0"/>
                <w:sz w:val="24"/>
                <w:highlight w:val="none"/>
              </w:rPr>
            </w:pPr>
          </w:p>
        </w:tc>
        <w:tc>
          <w:tcPr>
            <w:tcW w:w="2628" w:type="dxa"/>
            <w:vAlign w:val="center"/>
          </w:tcPr>
          <w:p w14:paraId="588B4A88">
            <w:pPr>
              <w:rPr>
                <w:rFonts w:hint="eastAsia" w:ascii="仿宋" w:hAnsi="仿宋" w:eastAsia="仿宋" w:cs="仿宋"/>
                <w:color w:val="auto"/>
                <w:spacing w:val="-1"/>
                <w:kern w:val="0"/>
                <w:sz w:val="24"/>
                <w:highlight w:val="none"/>
              </w:rPr>
            </w:pPr>
          </w:p>
        </w:tc>
        <w:tc>
          <w:tcPr>
            <w:tcW w:w="2628" w:type="dxa"/>
            <w:vAlign w:val="center"/>
          </w:tcPr>
          <w:p w14:paraId="51894B88">
            <w:pPr>
              <w:rPr>
                <w:rFonts w:hint="eastAsia" w:ascii="仿宋" w:hAnsi="仿宋" w:eastAsia="仿宋" w:cs="仿宋"/>
                <w:color w:val="auto"/>
                <w:spacing w:val="-1"/>
                <w:kern w:val="0"/>
                <w:sz w:val="24"/>
                <w:highlight w:val="none"/>
              </w:rPr>
            </w:pPr>
          </w:p>
        </w:tc>
      </w:tr>
      <w:tr w14:paraId="490D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C87F2EB">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13</w:t>
            </w:r>
          </w:p>
        </w:tc>
        <w:tc>
          <w:tcPr>
            <w:tcW w:w="1866" w:type="dxa"/>
            <w:vAlign w:val="center"/>
          </w:tcPr>
          <w:p w14:paraId="4DD0F6F8">
            <w:pPr>
              <w:rPr>
                <w:rFonts w:hint="eastAsia" w:ascii="仿宋" w:hAnsi="仿宋" w:eastAsia="仿宋" w:cs="仿宋"/>
                <w:color w:val="auto"/>
                <w:spacing w:val="-1"/>
                <w:kern w:val="0"/>
                <w:sz w:val="24"/>
                <w:highlight w:val="none"/>
              </w:rPr>
            </w:pPr>
          </w:p>
        </w:tc>
        <w:tc>
          <w:tcPr>
            <w:tcW w:w="2090" w:type="dxa"/>
            <w:vAlign w:val="center"/>
          </w:tcPr>
          <w:p w14:paraId="2F29A8F9">
            <w:pPr>
              <w:rPr>
                <w:rFonts w:hint="eastAsia" w:ascii="仿宋" w:hAnsi="仿宋" w:eastAsia="仿宋" w:cs="仿宋"/>
                <w:color w:val="auto"/>
                <w:spacing w:val="-1"/>
                <w:kern w:val="0"/>
                <w:sz w:val="24"/>
                <w:highlight w:val="none"/>
              </w:rPr>
            </w:pPr>
          </w:p>
        </w:tc>
        <w:tc>
          <w:tcPr>
            <w:tcW w:w="2628" w:type="dxa"/>
            <w:vAlign w:val="center"/>
          </w:tcPr>
          <w:p w14:paraId="057AAD3D">
            <w:pPr>
              <w:rPr>
                <w:rFonts w:hint="eastAsia" w:ascii="仿宋" w:hAnsi="仿宋" w:eastAsia="仿宋" w:cs="仿宋"/>
                <w:color w:val="auto"/>
                <w:spacing w:val="-1"/>
                <w:kern w:val="0"/>
                <w:sz w:val="24"/>
                <w:highlight w:val="none"/>
              </w:rPr>
            </w:pPr>
          </w:p>
        </w:tc>
        <w:tc>
          <w:tcPr>
            <w:tcW w:w="2628" w:type="dxa"/>
            <w:vAlign w:val="center"/>
          </w:tcPr>
          <w:p w14:paraId="5F724CAD">
            <w:pPr>
              <w:rPr>
                <w:rFonts w:hint="eastAsia" w:ascii="仿宋" w:hAnsi="仿宋" w:eastAsia="仿宋" w:cs="仿宋"/>
                <w:color w:val="auto"/>
                <w:spacing w:val="-1"/>
                <w:kern w:val="0"/>
                <w:sz w:val="24"/>
                <w:highlight w:val="none"/>
              </w:rPr>
            </w:pPr>
          </w:p>
        </w:tc>
      </w:tr>
      <w:tr w14:paraId="3DC5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34CD938">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14</w:t>
            </w:r>
          </w:p>
        </w:tc>
        <w:tc>
          <w:tcPr>
            <w:tcW w:w="1866" w:type="dxa"/>
            <w:vAlign w:val="center"/>
          </w:tcPr>
          <w:p w14:paraId="0B2409A6">
            <w:pPr>
              <w:rPr>
                <w:rFonts w:hint="eastAsia" w:ascii="仿宋" w:hAnsi="仿宋" w:eastAsia="仿宋" w:cs="仿宋"/>
                <w:color w:val="auto"/>
                <w:spacing w:val="-1"/>
                <w:kern w:val="0"/>
                <w:sz w:val="24"/>
                <w:highlight w:val="none"/>
              </w:rPr>
            </w:pPr>
          </w:p>
        </w:tc>
        <w:tc>
          <w:tcPr>
            <w:tcW w:w="2090" w:type="dxa"/>
            <w:vAlign w:val="center"/>
          </w:tcPr>
          <w:p w14:paraId="425524C0">
            <w:pPr>
              <w:rPr>
                <w:rFonts w:hint="eastAsia" w:ascii="仿宋" w:hAnsi="仿宋" w:eastAsia="仿宋" w:cs="仿宋"/>
                <w:color w:val="auto"/>
                <w:spacing w:val="-1"/>
                <w:kern w:val="0"/>
                <w:sz w:val="24"/>
                <w:highlight w:val="none"/>
              </w:rPr>
            </w:pPr>
          </w:p>
        </w:tc>
        <w:tc>
          <w:tcPr>
            <w:tcW w:w="2628" w:type="dxa"/>
            <w:vAlign w:val="center"/>
          </w:tcPr>
          <w:p w14:paraId="1406567D">
            <w:pPr>
              <w:rPr>
                <w:rFonts w:hint="eastAsia" w:ascii="仿宋" w:hAnsi="仿宋" w:eastAsia="仿宋" w:cs="仿宋"/>
                <w:color w:val="auto"/>
                <w:spacing w:val="-1"/>
                <w:kern w:val="0"/>
                <w:sz w:val="24"/>
                <w:highlight w:val="none"/>
              </w:rPr>
            </w:pPr>
          </w:p>
        </w:tc>
        <w:tc>
          <w:tcPr>
            <w:tcW w:w="2628" w:type="dxa"/>
            <w:vAlign w:val="center"/>
          </w:tcPr>
          <w:p w14:paraId="6D2D233F">
            <w:pPr>
              <w:rPr>
                <w:rFonts w:hint="eastAsia" w:ascii="仿宋" w:hAnsi="仿宋" w:eastAsia="仿宋" w:cs="仿宋"/>
                <w:color w:val="auto"/>
                <w:spacing w:val="-1"/>
                <w:kern w:val="0"/>
                <w:sz w:val="24"/>
                <w:highlight w:val="none"/>
              </w:rPr>
            </w:pPr>
          </w:p>
        </w:tc>
      </w:tr>
      <w:tr w14:paraId="6A14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FC0A72B">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15</w:t>
            </w:r>
          </w:p>
        </w:tc>
        <w:tc>
          <w:tcPr>
            <w:tcW w:w="1866" w:type="dxa"/>
            <w:vAlign w:val="center"/>
          </w:tcPr>
          <w:p w14:paraId="2284EADA">
            <w:pPr>
              <w:rPr>
                <w:rFonts w:hint="eastAsia" w:ascii="仿宋" w:hAnsi="仿宋" w:eastAsia="仿宋" w:cs="仿宋"/>
                <w:color w:val="auto"/>
                <w:spacing w:val="-1"/>
                <w:kern w:val="0"/>
                <w:sz w:val="24"/>
                <w:highlight w:val="none"/>
              </w:rPr>
            </w:pPr>
          </w:p>
        </w:tc>
        <w:tc>
          <w:tcPr>
            <w:tcW w:w="2090" w:type="dxa"/>
            <w:vAlign w:val="center"/>
          </w:tcPr>
          <w:p w14:paraId="15BB7F7A">
            <w:pPr>
              <w:rPr>
                <w:rFonts w:hint="eastAsia" w:ascii="仿宋" w:hAnsi="仿宋" w:eastAsia="仿宋" w:cs="仿宋"/>
                <w:color w:val="auto"/>
                <w:spacing w:val="-1"/>
                <w:kern w:val="0"/>
                <w:sz w:val="24"/>
                <w:highlight w:val="none"/>
              </w:rPr>
            </w:pPr>
          </w:p>
        </w:tc>
        <w:tc>
          <w:tcPr>
            <w:tcW w:w="2628" w:type="dxa"/>
            <w:vAlign w:val="center"/>
          </w:tcPr>
          <w:p w14:paraId="6441B8E7">
            <w:pPr>
              <w:rPr>
                <w:rFonts w:hint="eastAsia" w:ascii="仿宋" w:hAnsi="仿宋" w:eastAsia="仿宋" w:cs="仿宋"/>
                <w:color w:val="auto"/>
                <w:spacing w:val="-1"/>
                <w:kern w:val="0"/>
                <w:sz w:val="24"/>
                <w:highlight w:val="none"/>
              </w:rPr>
            </w:pPr>
          </w:p>
        </w:tc>
        <w:tc>
          <w:tcPr>
            <w:tcW w:w="2628" w:type="dxa"/>
            <w:vAlign w:val="center"/>
          </w:tcPr>
          <w:p w14:paraId="78DB667A">
            <w:pPr>
              <w:rPr>
                <w:rFonts w:hint="eastAsia" w:ascii="仿宋" w:hAnsi="仿宋" w:eastAsia="仿宋" w:cs="仿宋"/>
                <w:color w:val="auto"/>
                <w:spacing w:val="-1"/>
                <w:kern w:val="0"/>
                <w:sz w:val="24"/>
                <w:highlight w:val="none"/>
              </w:rPr>
            </w:pPr>
          </w:p>
        </w:tc>
      </w:tr>
    </w:tbl>
    <w:p w14:paraId="0B87E81F">
      <w:pPr>
        <w:rPr>
          <w:rFonts w:hint="eastAsia" w:ascii="仿宋" w:hAnsi="仿宋" w:eastAsia="仿宋" w:cs="仿宋"/>
          <w:color w:val="auto"/>
          <w:spacing w:val="-1"/>
          <w:kern w:val="0"/>
          <w:sz w:val="24"/>
          <w:highlight w:val="none"/>
        </w:rPr>
      </w:pPr>
    </w:p>
    <w:p w14:paraId="590B084C">
      <w:pPr>
        <w:ind w:firstLine="476" w:firstLineChars="200"/>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注：凡</w:t>
      </w:r>
      <w:r>
        <w:rPr>
          <w:rFonts w:hint="eastAsia" w:ascii="仿宋" w:hAnsi="仿宋" w:eastAsia="仿宋" w:cs="仿宋"/>
          <w:color w:val="auto"/>
          <w:spacing w:val="-1"/>
          <w:kern w:val="0"/>
          <w:sz w:val="24"/>
          <w:highlight w:val="none"/>
          <w:lang w:eastAsia="zh-CN"/>
        </w:rPr>
        <w:t>响应</w:t>
      </w:r>
      <w:r>
        <w:rPr>
          <w:rFonts w:hint="eastAsia" w:ascii="仿宋" w:hAnsi="仿宋" w:eastAsia="仿宋" w:cs="仿宋"/>
          <w:color w:val="auto"/>
          <w:spacing w:val="-1"/>
          <w:kern w:val="0"/>
          <w:sz w:val="24"/>
          <w:highlight w:val="none"/>
        </w:rPr>
        <w:t>文件中商务条款（包括供货期、付款</w:t>
      </w:r>
      <w:r>
        <w:rPr>
          <w:rFonts w:hint="eastAsia" w:ascii="仿宋" w:hAnsi="仿宋" w:eastAsia="仿宋" w:cs="仿宋"/>
          <w:color w:val="auto"/>
          <w:spacing w:val="-1"/>
          <w:kern w:val="0"/>
          <w:sz w:val="24"/>
          <w:highlight w:val="none"/>
          <w:lang w:eastAsia="zh-CN"/>
        </w:rPr>
        <w:t>方式</w:t>
      </w:r>
      <w:r>
        <w:rPr>
          <w:rFonts w:hint="eastAsia" w:ascii="仿宋" w:hAnsi="仿宋" w:eastAsia="仿宋" w:cs="仿宋"/>
          <w:color w:val="auto"/>
          <w:spacing w:val="-1"/>
          <w:kern w:val="0"/>
          <w:sz w:val="24"/>
          <w:highlight w:val="none"/>
        </w:rPr>
        <w:t>、</w:t>
      </w:r>
      <w:r>
        <w:rPr>
          <w:rFonts w:hint="eastAsia" w:ascii="仿宋" w:hAnsi="仿宋" w:eastAsia="仿宋" w:cs="仿宋"/>
          <w:color w:val="auto"/>
          <w:spacing w:val="-1"/>
          <w:kern w:val="0"/>
          <w:sz w:val="24"/>
          <w:highlight w:val="none"/>
          <w:lang w:eastAsia="zh-CN"/>
        </w:rPr>
        <w:t>投标保证金、</w:t>
      </w:r>
      <w:r>
        <w:rPr>
          <w:rFonts w:hint="eastAsia" w:ascii="仿宋" w:hAnsi="仿宋" w:eastAsia="仿宋" w:cs="仿宋"/>
          <w:color w:val="auto"/>
          <w:spacing w:val="-1"/>
          <w:kern w:val="0"/>
          <w:sz w:val="24"/>
          <w:highlight w:val="none"/>
        </w:rPr>
        <w:t>合同条款以及其它所有商务内容）与</w:t>
      </w:r>
      <w:r>
        <w:rPr>
          <w:rFonts w:hint="eastAsia" w:ascii="仿宋" w:hAnsi="仿宋" w:eastAsia="仿宋" w:cs="仿宋"/>
          <w:color w:val="auto"/>
          <w:spacing w:val="-1"/>
          <w:kern w:val="0"/>
          <w:sz w:val="24"/>
          <w:highlight w:val="none"/>
          <w:lang w:eastAsia="zh-CN"/>
        </w:rPr>
        <w:t>谈判文件</w:t>
      </w:r>
      <w:r>
        <w:rPr>
          <w:rFonts w:hint="eastAsia" w:ascii="仿宋" w:hAnsi="仿宋" w:eastAsia="仿宋" w:cs="仿宋"/>
          <w:color w:val="auto"/>
          <w:spacing w:val="-1"/>
          <w:kern w:val="0"/>
          <w:sz w:val="24"/>
          <w:highlight w:val="none"/>
        </w:rPr>
        <w:t>存在正偏差的，均应在此表中列出（不允许存在负偏离），未在此表中列出的视同完全满足谈判文件要求。</w:t>
      </w:r>
    </w:p>
    <w:p w14:paraId="3DB6EDB6">
      <w:pPr>
        <w:rPr>
          <w:rFonts w:hint="eastAsia" w:ascii="仿宋" w:hAnsi="仿宋" w:eastAsia="仿宋" w:cs="仿宋"/>
          <w:color w:val="auto"/>
          <w:spacing w:val="-1"/>
          <w:kern w:val="0"/>
          <w:sz w:val="24"/>
          <w:highlight w:val="none"/>
        </w:rPr>
      </w:pPr>
    </w:p>
    <w:p w14:paraId="6522C91E">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highlight w:val="none"/>
        </w:rPr>
      </w:pPr>
    </w:p>
    <w:p w14:paraId="5B028457">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highlight w:val="none"/>
        </w:rPr>
      </w:pPr>
    </w:p>
    <w:p w14:paraId="34A6A217">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highlight w:val="none"/>
        </w:rPr>
      </w:pPr>
    </w:p>
    <w:p w14:paraId="3C6E97ED">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w w:val="95"/>
          <w:sz w:val="24"/>
          <w:szCs w:val="24"/>
          <w:highlight w:val="none"/>
        </w:rPr>
        <w:t>（盖章）</w:t>
      </w:r>
      <w:r>
        <w:rPr>
          <w:rFonts w:hint="eastAsia" w:ascii="仿宋" w:hAnsi="仿宋" w:eastAsia="仿宋" w:cs="仿宋"/>
          <w:color w:val="auto"/>
          <w:sz w:val="24"/>
          <w:szCs w:val="24"/>
          <w:highlight w:val="none"/>
        </w:rPr>
        <w:t xml:space="preserve"> </w:t>
      </w:r>
    </w:p>
    <w:p w14:paraId="09DA0F6C">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w w:val="95"/>
          <w:sz w:val="24"/>
          <w:szCs w:val="24"/>
          <w:highlight w:val="none"/>
        </w:rPr>
      </w:pPr>
      <w:r>
        <w:rPr>
          <w:rFonts w:hint="eastAsia" w:ascii="仿宋" w:hAnsi="仿宋" w:eastAsia="仿宋" w:cs="仿宋"/>
          <w:color w:val="auto"/>
          <w:sz w:val="24"/>
          <w:szCs w:val="24"/>
          <w:highlight w:val="none"/>
        </w:rPr>
        <w:t>法定代表人或被授权人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w w:val="95"/>
          <w:sz w:val="24"/>
          <w:szCs w:val="24"/>
          <w:highlight w:val="none"/>
        </w:rPr>
        <w:t>（</w:t>
      </w:r>
      <w:r>
        <w:rPr>
          <w:rFonts w:hint="eastAsia" w:ascii="仿宋" w:hAnsi="仿宋" w:eastAsia="仿宋" w:cs="仿宋"/>
          <w:color w:val="auto"/>
          <w:w w:val="95"/>
          <w:sz w:val="24"/>
          <w:szCs w:val="24"/>
          <w:highlight w:val="none"/>
          <w:lang w:eastAsia="zh-CN"/>
        </w:rPr>
        <w:t>签字或盖章</w:t>
      </w:r>
      <w:r>
        <w:rPr>
          <w:rFonts w:hint="eastAsia" w:ascii="仿宋" w:hAnsi="仿宋" w:eastAsia="仿宋" w:cs="仿宋"/>
          <w:color w:val="auto"/>
          <w:w w:val="95"/>
          <w:sz w:val="24"/>
          <w:szCs w:val="24"/>
          <w:highlight w:val="none"/>
        </w:rPr>
        <w:t>）</w:t>
      </w:r>
    </w:p>
    <w:p w14:paraId="00DC22F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z w:val="24"/>
          <w:szCs w:val="24"/>
          <w:highlight w:val="none"/>
        </w:rPr>
      </w:pPr>
    </w:p>
    <w:p w14:paraId="77F70424">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日</w:t>
      </w:r>
    </w:p>
    <w:p w14:paraId="71EDB0A4">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rPr>
      </w:pPr>
    </w:p>
    <w:p w14:paraId="177F614C">
      <w:pPr>
        <w:pStyle w:val="35"/>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highlight w:val="none"/>
        </w:rPr>
      </w:pPr>
    </w:p>
    <w:p w14:paraId="1E028F23">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p>
    <w:p w14:paraId="4BABD251">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36"/>
          <w:szCs w:val="36"/>
          <w:highlight w:val="none"/>
          <w:lang w:val="en-US" w:eastAsia="zh-CN"/>
        </w:rPr>
        <w:t>7、投标人基本情况表</w:t>
      </w:r>
    </w:p>
    <w:p w14:paraId="09408A75">
      <w:pPr>
        <w:pStyle w:val="7"/>
        <w:numPr>
          <w:ilvl w:val="0"/>
          <w:numId w:val="0"/>
        </w:numPr>
        <w:kinsoku w:val="0"/>
        <w:overflowPunct w:val="0"/>
        <w:spacing w:before="5"/>
        <w:ind w:leftChars="0" w:right="0" w:rightChars="0"/>
        <w:rPr>
          <w:rFonts w:hint="eastAsia" w:ascii="仿宋" w:hAnsi="仿宋" w:eastAsia="仿宋" w:cs="仿宋"/>
          <w:b/>
          <w:bCs/>
          <w:color w:val="auto"/>
          <w:sz w:val="6"/>
          <w:szCs w:val="6"/>
          <w:highlight w:val="none"/>
        </w:rPr>
      </w:pPr>
    </w:p>
    <w:tbl>
      <w:tblPr>
        <w:tblStyle w:val="23"/>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3E38185D">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24B5C1AF">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325E1274">
            <w:pPr>
              <w:rPr>
                <w:rFonts w:hint="eastAsia" w:ascii="仿宋" w:hAnsi="仿宋" w:eastAsia="仿宋" w:cs="仿宋"/>
                <w:color w:val="auto"/>
                <w:highlight w:val="none"/>
              </w:rPr>
            </w:pPr>
          </w:p>
        </w:tc>
      </w:tr>
      <w:tr w14:paraId="2A77B5E2">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71952299">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180814CE">
            <w:pPr>
              <w:rPr>
                <w:rFonts w:hint="eastAsia" w:ascii="仿宋" w:hAnsi="仿宋" w:eastAsia="仿宋" w:cs="仿宋"/>
                <w:color w:val="auto"/>
                <w:highlight w:val="none"/>
              </w:rPr>
            </w:pPr>
          </w:p>
        </w:tc>
      </w:tr>
      <w:tr w14:paraId="023C77C0">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31DA84E">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7E8098A4">
            <w:pPr>
              <w:rPr>
                <w:rFonts w:hint="eastAsia" w:ascii="仿宋" w:hAnsi="仿宋" w:eastAsia="仿宋" w:cs="仿宋"/>
                <w:color w:val="auto"/>
                <w:highlight w:val="none"/>
              </w:rPr>
            </w:pPr>
          </w:p>
        </w:tc>
      </w:tr>
      <w:tr w14:paraId="601A6559">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FD8DB5A">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1CBB6ED6">
            <w:pPr>
              <w:rPr>
                <w:rFonts w:hint="eastAsia" w:ascii="仿宋" w:hAnsi="仿宋" w:eastAsia="仿宋" w:cs="仿宋"/>
                <w:color w:val="auto"/>
                <w:highlight w:val="none"/>
              </w:rPr>
            </w:pPr>
          </w:p>
        </w:tc>
        <w:tc>
          <w:tcPr>
            <w:tcW w:w="2294" w:type="dxa"/>
            <w:gridSpan w:val="4"/>
            <w:tcBorders>
              <w:top w:val="single" w:color="000000" w:sz="4" w:space="0"/>
              <w:left w:val="single" w:color="000000" w:sz="4" w:space="0"/>
              <w:bottom w:val="single" w:color="000000" w:sz="4" w:space="0"/>
              <w:right w:val="single" w:color="000000" w:sz="4" w:space="0"/>
            </w:tcBorders>
          </w:tcPr>
          <w:p w14:paraId="0EFCBD5C">
            <w:pPr>
              <w:pStyle w:val="38"/>
              <w:kinsoku w:val="0"/>
              <w:overflowPunct w:val="0"/>
              <w:spacing w:before="145"/>
              <w:ind w:left="181"/>
              <w:rPr>
                <w:rFonts w:hint="eastAsia" w:ascii="仿宋" w:hAnsi="仿宋" w:eastAsia="仿宋" w:cs="仿宋"/>
                <w:color w:val="auto"/>
                <w:highlight w:val="none"/>
              </w:rPr>
            </w:pPr>
            <w:r>
              <w:rPr>
                <w:rFonts w:hint="eastAsia" w:ascii="仿宋" w:hAnsi="仿宋" w:eastAsia="仿宋" w:cs="仿宋"/>
                <w:color w:val="auto"/>
                <w:highlight w:val="none"/>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1FB850ED">
            <w:pPr>
              <w:rPr>
                <w:rFonts w:hint="eastAsia" w:ascii="仿宋" w:hAnsi="仿宋" w:eastAsia="仿宋" w:cs="仿宋"/>
                <w:color w:val="auto"/>
                <w:highlight w:val="none"/>
              </w:rPr>
            </w:pPr>
          </w:p>
        </w:tc>
      </w:tr>
      <w:tr w14:paraId="24FEA6F8">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CCEB929">
            <w:pPr>
              <w:pStyle w:val="38"/>
              <w:kinsoku w:val="0"/>
              <w:overflowPunct w:val="0"/>
              <w:spacing w:before="146"/>
              <w:ind w:left="137"/>
              <w:rPr>
                <w:rFonts w:hint="eastAsia" w:ascii="仿宋" w:hAnsi="仿宋" w:eastAsia="仿宋" w:cs="仿宋"/>
                <w:color w:val="auto"/>
                <w:highlight w:val="none"/>
              </w:rPr>
            </w:pPr>
            <w:r>
              <w:rPr>
                <w:rFonts w:hint="eastAsia" w:ascii="仿宋" w:hAnsi="仿宋" w:eastAsia="仿宋" w:cs="仿宋"/>
                <w:color w:val="auto"/>
                <w:highlight w:val="none"/>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5826C4DA">
            <w:pPr>
              <w:rPr>
                <w:rFonts w:hint="eastAsia" w:ascii="仿宋" w:hAnsi="仿宋" w:eastAsia="仿宋" w:cs="仿宋"/>
                <w:color w:val="auto"/>
                <w:highlight w:val="none"/>
              </w:rPr>
            </w:pPr>
          </w:p>
        </w:tc>
      </w:tr>
      <w:tr w14:paraId="237BD272">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D229B75">
            <w:pPr>
              <w:pStyle w:val="38"/>
              <w:kinsoku w:val="0"/>
              <w:overflowPunct w:val="0"/>
              <w:spacing w:before="141" w:line="312" w:lineRule="exact"/>
              <w:ind w:left="257" w:right="133" w:hanging="120"/>
              <w:rPr>
                <w:rFonts w:hint="eastAsia" w:ascii="仿宋" w:hAnsi="仿宋" w:eastAsia="仿宋" w:cs="仿宋"/>
                <w:color w:val="auto"/>
                <w:highlight w:val="none"/>
              </w:rPr>
            </w:pPr>
            <w:r>
              <w:rPr>
                <w:rFonts w:hint="eastAsia" w:ascii="仿宋" w:hAnsi="仿宋" w:eastAsia="仿宋" w:cs="仿宋"/>
                <w:color w:val="auto"/>
                <w:highlight w:val="none"/>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74EF9FF7">
            <w:pPr>
              <w:rPr>
                <w:rFonts w:hint="eastAsia" w:ascii="仿宋" w:hAnsi="仿宋" w:eastAsia="仿宋" w:cs="仿宋"/>
                <w:color w:val="auto"/>
                <w:highlight w:val="none"/>
              </w:rPr>
            </w:pPr>
          </w:p>
        </w:tc>
        <w:tc>
          <w:tcPr>
            <w:tcW w:w="1342" w:type="dxa"/>
            <w:gridSpan w:val="2"/>
            <w:tcBorders>
              <w:top w:val="single" w:color="000000" w:sz="4" w:space="0"/>
              <w:left w:val="single" w:color="000000" w:sz="4" w:space="0"/>
              <w:bottom w:val="single" w:color="000000" w:sz="4" w:space="0"/>
              <w:right w:val="single" w:color="000000" w:sz="4" w:space="0"/>
            </w:tcBorders>
          </w:tcPr>
          <w:p w14:paraId="62291B2F">
            <w:pPr>
              <w:pStyle w:val="38"/>
              <w:kinsoku w:val="0"/>
              <w:overflowPunct w:val="0"/>
              <w:spacing w:before="4"/>
              <w:rPr>
                <w:rFonts w:hint="eastAsia" w:ascii="仿宋" w:hAnsi="仿宋" w:eastAsia="仿宋" w:cs="仿宋"/>
                <w:b/>
                <w:bCs/>
                <w:color w:val="auto"/>
                <w:sz w:val="20"/>
                <w:szCs w:val="20"/>
                <w:highlight w:val="none"/>
              </w:rPr>
            </w:pPr>
          </w:p>
          <w:p w14:paraId="464F448C">
            <w:pPr>
              <w:pStyle w:val="38"/>
              <w:kinsoku w:val="0"/>
              <w:overflowPunct w:val="0"/>
              <w:ind w:left="366"/>
              <w:rPr>
                <w:rFonts w:hint="eastAsia" w:ascii="仿宋" w:hAnsi="仿宋" w:eastAsia="仿宋" w:cs="仿宋"/>
                <w:color w:val="auto"/>
                <w:highlight w:val="none"/>
              </w:rPr>
            </w:pPr>
            <w:r>
              <w:rPr>
                <w:rFonts w:hint="eastAsia" w:ascii="仿宋" w:hAnsi="仿宋" w:eastAsia="仿宋" w:cs="仿宋"/>
                <w:color w:val="auto"/>
                <w:highlight w:val="none"/>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64F0C096">
            <w:pPr>
              <w:rPr>
                <w:rFonts w:hint="eastAsia" w:ascii="仿宋" w:hAnsi="仿宋" w:eastAsia="仿宋" w:cs="仿宋"/>
                <w:color w:val="auto"/>
                <w:highlight w:val="none"/>
              </w:rPr>
            </w:pPr>
          </w:p>
        </w:tc>
        <w:tc>
          <w:tcPr>
            <w:tcW w:w="1377" w:type="dxa"/>
            <w:gridSpan w:val="3"/>
            <w:tcBorders>
              <w:top w:val="single" w:color="000000" w:sz="4" w:space="0"/>
              <w:left w:val="single" w:color="000000" w:sz="4" w:space="0"/>
              <w:bottom w:val="single" w:color="000000" w:sz="4" w:space="0"/>
              <w:right w:val="single" w:color="000000" w:sz="4" w:space="0"/>
            </w:tcBorders>
          </w:tcPr>
          <w:p w14:paraId="74297208">
            <w:pPr>
              <w:pStyle w:val="38"/>
              <w:kinsoku w:val="0"/>
              <w:overflowPunct w:val="0"/>
              <w:spacing w:before="4"/>
              <w:rPr>
                <w:rFonts w:hint="eastAsia" w:ascii="仿宋" w:hAnsi="仿宋" w:eastAsia="仿宋" w:cs="仿宋"/>
                <w:b/>
                <w:bCs/>
                <w:color w:val="auto"/>
                <w:sz w:val="20"/>
                <w:szCs w:val="20"/>
                <w:highlight w:val="none"/>
              </w:rPr>
            </w:pPr>
          </w:p>
          <w:p w14:paraId="14D34B0A">
            <w:pPr>
              <w:pStyle w:val="38"/>
              <w:kinsoku w:val="0"/>
              <w:overflowPunct w:val="0"/>
              <w:ind w:left="383"/>
              <w:rPr>
                <w:rFonts w:hint="eastAsia" w:ascii="仿宋" w:hAnsi="仿宋" w:eastAsia="仿宋" w:cs="仿宋"/>
                <w:color w:val="auto"/>
                <w:highlight w:val="none"/>
              </w:rPr>
            </w:pPr>
            <w:r>
              <w:rPr>
                <w:rFonts w:hint="eastAsia" w:ascii="仿宋" w:hAnsi="仿宋" w:eastAsia="仿宋" w:cs="仿宋"/>
                <w:color w:val="auto"/>
                <w:highlight w:val="none"/>
              </w:rPr>
              <w:t>传 真</w:t>
            </w:r>
          </w:p>
        </w:tc>
        <w:tc>
          <w:tcPr>
            <w:tcW w:w="1965" w:type="dxa"/>
            <w:tcBorders>
              <w:top w:val="single" w:color="000000" w:sz="4" w:space="0"/>
              <w:left w:val="single" w:color="000000" w:sz="4" w:space="0"/>
              <w:bottom w:val="single" w:color="000000" w:sz="4" w:space="0"/>
              <w:right w:val="single" w:color="000000" w:sz="4" w:space="0"/>
            </w:tcBorders>
          </w:tcPr>
          <w:p w14:paraId="2B64240C">
            <w:pPr>
              <w:rPr>
                <w:rFonts w:hint="eastAsia" w:ascii="仿宋" w:hAnsi="仿宋" w:eastAsia="仿宋" w:cs="仿宋"/>
                <w:color w:val="auto"/>
                <w:highlight w:val="none"/>
              </w:rPr>
            </w:pPr>
          </w:p>
        </w:tc>
      </w:tr>
      <w:tr w14:paraId="58F0D122">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118E5CF3">
            <w:pPr>
              <w:pStyle w:val="38"/>
              <w:kinsoku w:val="0"/>
              <w:overflowPunct w:val="0"/>
              <w:rPr>
                <w:rFonts w:hint="eastAsia" w:ascii="仿宋" w:hAnsi="仿宋" w:eastAsia="仿宋" w:cs="仿宋"/>
                <w:b/>
                <w:bCs/>
                <w:color w:val="auto"/>
                <w:highlight w:val="none"/>
              </w:rPr>
            </w:pPr>
          </w:p>
          <w:p w14:paraId="4F61EBCC">
            <w:pPr>
              <w:pStyle w:val="38"/>
              <w:kinsoku w:val="0"/>
              <w:overflowPunct w:val="0"/>
              <w:rPr>
                <w:rFonts w:hint="eastAsia" w:ascii="仿宋" w:hAnsi="仿宋" w:eastAsia="仿宋" w:cs="仿宋"/>
                <w:b/>
                <w:bCs/>
                <w:color w:val="auto"/>
                <w:highlight w:val="none"/>
              </w:rPr>
            </w:pPr>
          </w:p>
          <w:p w14:paraId="07EA56E7">
            <w:pPr>
              <w:pStyle w:val="38"/>
              <w:kinsoku w:val="0"/>
              <w:overflowPunct w:val="0"/>
              <w:rPr>
                <w:rFonts w:hint="eastAsia" w:ascii="仿宋" w:hAnsi="仿宋" w:eastAsia="仿宋" w:cs="仿宋"/>
                <w:b/>
                <w:bCs/>
                <w:color w:val="auto"/>
                <w:highlight w:val="none"/>
              </w:rPr>
            </w:pPr>
          </w:p>
          <w:p w14:paraId="041F68CE">
            <w:pPr>
              <w:pStyle w:val="38"/>
              <w:kinsoku w:val="0"/>
              <w:overflowPunct w:val="0"/>
              <w:spacing w:line="475" w:lineRule="auto"/>
              <w:ind w:left="497" w:right="493"/>
              <w:jc w:val="both"/>
              <w:rPr>
                <w:rFonts w:hint="eastAsia" w:ascii="仿宋" w:hAnsi="仿宋" w:eastAsia="仿宋" w:cs="仿宋"/>
                <w:color w:val="auto"/>
                <w:highlight w:val="none"/>
              </w:rPr>
            </w:pPr>
            <w:r>
              <w:rPr>
                <w:rFonts w:hint="eastAsia" w:ascii="仿宋" w:hAnsi="仿宋" w:eastAsia="仿宋" w:cs="仿宋"/>
                <w:color w:val="auto"/>
                <w:highlight w:val="none"/>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3C8157D2">
            <w:pPr>
              <w:pStyle w:val="38"/>
              <w:kinsoku w:val="0"/>
              <w:overflowPunct w:val="0"/>
              <w:spacing w:before="144"/>
              <w:ind w:left="236"/>
              <w:rPr>
                <w:rFonts w:hint="eastAsia" w:ascii="仿宋" w:hAnsi="仿宋" w:eastAsia="仿宋" w:cs="仿宋"/>
                <w:color w:val="auto"/>
                <w:highlight w:val="none"/>
              </w:rPr>
            </w:pPr>
            <w:r>
              <w:rPr>
                <w:rFonts w:hint="eastAsia" w:ascii="仿宋" w:hAnsi="仿宋" w:eastAsia="仿宋" w:cs="仿宋"/>
                <w:color w:val="auto"/>
                <w:highlight w:val="none"/>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54134B75">
            <w:pPr>
              <w:rPr>
                <w:rFonts w:hint="eastAsia" w:ascii="仿宋" w:hAnsi="仿宋" w:eastAsia="仿宋" w:cs="仿宋"/>
                <w:color w:val="auto"/>
                <w:highlight w:val="none"/>
              </w:rPr>
            </w:pPr>
          </w:p>
        </w:tc>
        <w:tc>
          <w:tcPr>
            <w:tcW w:w="2168" w:type="dxa"/>
            <w:gridSpan w:val="4"/>
            <w:tcBorders>
              <w:top w:val="single" w:color="000000" w:sz="4" w:space="0"/>
              <w:left w:val="single" w:color="000000" w:sz="4" w:space="0"/>
              <w:bottom w:val="single" w:color="000000" w:sz="4" w:space="0"/>
              <w:right w:val="single" w:color="000000" w:sz="4" w:space="0"/>
            </w:tcBorders>
          </w:tcPr>
          <w:p w14:paraId="6D92C058">
            <w:pPr>
              <w:pStyle w:val="38"/>
              <w:kinsoku w:val="0"/>
              <w:overflowPunct w:val="0"/>
              <w:spacing w:before="144"/>
              <w:ind w:left="118"/>
              <w:rPr>
                <w:rFonts w:hint="eastAsia" w:ascii="仿宋" w:hAnsi="仿宋" w:eastAsia="仿宋" w:cs="仿宋"/>
                <w:color w:val="auto"/>
                <w:highlight w:val="none"/>
              </w:rPr>
            </w:pPr>
            <w:r>
              <w:rPr>
                <w:rFonts w:hint="eastAsia" w:ascii="仿宋" w:hAnsi="仿宋" w:eastAsia="仿宋" w:cs="仿宋"/>
                <w:color w:val="auto"/>
                <w:highlight w:val="none"/>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586B3FEA">
            <w:pPr>
              <w:rPr>
                <w:rFonts w:hint="eastAsia" w:ascii="仿宋" w:hAnsi="仿宋" w:eastAsia="仿宋" w:cs="仿宋"/>
                <w:color w:val="auto"/>
                <w:highlight w:val="none"/>
              </w:rPr>
            </w:pPr>
          </w:p>
        </w:tc>
      </w:tr>
      <w:tr w14:paraId="623BB899">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8259A3D">
            <w:pPr>
              <w:rPr>
                <w:rFonts w:hint="eastAsia" w:ascii="仿宋" w:hAnsi="仿宋" w:eastAsia="仿宋" w:cs="仿宋"/>
                <w:color w:val="auto"/>
                <w:highlight w:val="none"/>
              </w:rPr>
            </w:pPr>
          </w:p>
        </w:tc>
        <w:tc>
          <w:tcPr>
            <w:tcW w:w="7472" w:type="dxa"/>
            <w:gridSpan w:val="9"/>
            <w:tcBorders>
              <w:top w:val="single" w:color="000000" w:sz="4" w:space="0"/>
              <w:left w:val="single" w:color="000000" w:sz="4" w:space="0"/>
              <w:bottom w:val="single" w:color="000000" w:sz="4" w:space="0"/>
              <w:right w:val="single" w:color="000000" w:sz="4" w:space="0"/>
            </w:tcBorders>
          </w:tcPr>
          <w:p w14:paraId="4364F535">
            <w:pPr>
              <w:pStyle w:val="38"/>
              <w:kinsoku w:val="0"/>
              <w:overflowPunct w:val="0"/>
              <w:spacing w:before="145"/>
              <w:jc w:val="center"/>
              <w:rPr>
                <w:rFonts w:hint="eastAsia" w:ascii="仿宋" w:hAnsi="仿宋" w:eastAsia="仿宋" w:cs="仿宋"/>
                <w:color w:val="auto"/>
                <w:highlight w:val="none"/>
              </w:rPr>
            </w:pPr>
            <w:r>
              <w:rPr>
                <w:rFonts w:hint="eastAsia" w:ascii="仿宋" w:hAnsi="仿宋" w:eastAsia="仿宋" w:cs="仿宋"/>
                <w:color w:val="auto"/>
                <w:highlight w:val="none"/>
              </w:rPr>
              <w:t>单位行政和技术负责人</w:t>
            </w:r>
          </w:p>
        </w:tc>
      </w:tr>
      <w:tr w14:paraId="1D0FB37C">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390B72F5">
            <w:pPr>
              <w:pStyle w:val="38"/>
              <w:kinsoku w:val="0"/>
              <w:overflowPunct w:val="0"/>
              <w:spacing w:before="145"/>
              <w:jc w:val="cente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428D138B">
            <w:pPr>
              <w:pStyle w:val="38"/>
              <w:kinsoku w:val="0"/>
              <w:overflowPunct w:val="0"/>
              <w:spacing w:before="145"/>
              <w:ind w:left="416"/>
              <w:rPr>
                <w:rFonts w:hint="eastAsia" w:ascii="仿宋" w:hAnsi="仿宋" w:eastAsia="仿宋" w:cs="仿宋"/>
                <w:color w:val="auto"/>
                <w:highlight w:val="none"/>
              </w:rPr>
            </w:pPr>
            <w:r>
              <w:rPr>
                <w:rFonts w:hint="eastAsia" w:ascii="仿宋" w:hAnsi="仿宋" w:eastAsia="仿宋" w:cs="仿宋"/>
                <w:color w:val="auto"/>
                <w:highlight w:val="none"/>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290E58C6">
            <w:pPr>
              <w:pStyle w:val="38"/>
              <w:kinsoku w:val="0"/>
              <w:overflowPunct w:val="0"/>
              <w:spacing w:before="145"/>
              <w:ind w:left="452"/>
              <w:rPr>
                <w:rFonts w:hint="eastAsia" w:ascii="仿宋" w:hAnsi="仿宋" w:eastAsia="仿宋" w:cs="仿宋"/>
                <w:color w:val="auto"/>
                <w:highlight w:val="none"/>
              </w:rPr>
            </w:pPr>
            <w:r>
              <w:rPr>
                <w:rFonts w:hint="eastAsia" w:ascii="仿宋" w:hAnsi="仿宋" w:eastAsia="仿宋" w:cs="仿宋"/>
                <w:color w:val="auto"/>
                <w:highlight w:val="none"/>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683FCB67">
            <w:pPr>
              <w:pStyle w:val="38"/>
              <w:kinsoku w:val="0"/>
              <w:overflowPunct w:val="0"/>
              <w:spacing w:before="145"/>
              <w:ind w:left="450"/>
              <w:rPr>
                <w:rFonts w:hint="eastAsia" w:ascii="仿宋" w:hAnsi="仿宋" w:eastAsia="仿宋" w:cs="仿宋"/>
                <w:color w:val="auto"/>
                <w:highlight w:val="none"/>
              </w:rPr>
            </w:pPr>
            <w:r>
              <w:rPr>
                <w:rFonts w:hint="eastAsia" w:ascii="仿宋" w:hAnsi="仿宋" w:eastAsia="仿宋" w:cs="仿宋"/>
                <w:color w:val="auto"/>
                <w:highlight w:val="none"/>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2F5397C1">
            <w:pPr>
              <w:pStyle w:val="38"/>
              <w:tabs>
                <w:tab w:val="left" w:pos="479"/>
              </w:tabs>
              <w:kinsoku w:val="0"/>
              <w:overflowPunct w:val="0"/>
              <w:spacing w:before="145"/>
              <w:ind w:right="1"/>
              <w:jc w:val="center"/>
              <w:rPr>
                <w:rFonts w:hint="eastAsia" w:ascii="仿宋" w:hAnsi="仿宋" w:eastAsia="仿宋" w:cs="仿宋"/>
                <w:color w:val="auto"/>
                <w:highlight w:val="none"/>
              </w:rPr>
            </w:pPr>
            <w:r>
              <w:rPr>
                <w:rFonts w:hint="eastAsia" w:ascii="仿宋" w:hAnsi="仿宋" w:eastAsia="仿宋" w:cs="仿宋"/>
                <w:color w:val="auto"/>
                <w:highlight w:val="none"/>
              </w:rPr>
              <w:t>专</w:t>
            </w:r>
            <w:r>
              <w:rPr>
                <w:rFonts w:hint="eastAsia" w:ascii="仿宋" w:hAnsi="仿宋" w:eastAsia="仿宋" w:cs="仿宋"/>
                <w:color w:val="auto"/>
                <w:highlight w:val="none"/>
              </w:rPr>
              <w:tab/>
            </w:r>
            <w:r>
              <w:rPr>
                <w:rFonts w:hint="eastAsia" w:ascii="仿宋" w:hAnsi="仿宋" w:eastAsia="仿宋" w:cs="仿宋"/>
                <w:color w:val="auto"/>
                <w:highlight w:val="none"/>
              </w:rPr>
              <w:t>业</w:t>
            </w:r>
          </w:p>
        </w:tc>
      </w:tr>
      <w:tr w14:paraId="28793B03">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86DBE3B">
            <w:pPr>
              <w:pStyle w:val="38"/>
              <w:tabs>
                <w:tab w:val="left" w:pos="479"/>
              </w:tabs>
              <w:kinsoku w:val="0"/>
              <w:overflowPunct w:val="0"/>
              <w:spacing w:before="145"/>
              <w:ind w:right="1"/>
              <w:jc w:val="cente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6E191B7B">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56E7FC2B">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40CD1CC9">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29F57564">
            <w:pPr>
              <w:rPr>
                <w:rFonts w:hint="eastAsia" w:ascii="仿宋" w:hAnsi="仿宋" w:eastAsia="仿宋" w:cs="仿宋"/>
                <w:color w:val="auto"/>
                <w:highlight w:val="none"/>
              </w:rPr>
            </w:pPr>
          </w:p>
        </w:tc>
      </w:tr>
      <w:tr w14:paraId="21C4610D">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34AFEA8">
            <w:pP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610EF21C">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7AFDD87C">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0D16BC0C">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11F50AE9">
            <w:pPr>
              <w:rPr>
                <w:rFonts w:hint="eastAsia" w:ascii="仿宋" w:hAnsi="仿宋" w:eastAsia="仿宋" w:cs="仿宋"/>
                <w:color w:val="auto"/>
                <w:highlight w:val="none"/>
              </w:rPr>
            </w:pPr>
          </w:p>
        </w:tc>
      </w:tr>
      <w:tr w14:paraId="79369781">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8345582">
            <w:pP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25817D71">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5ECC9975">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6F743C53">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7DDDA87B">
            <w:pPr>
              <w:rPr>
                <w:rFonts w:hint="eastAsia" w:ascii="仿宋" w:hAnsi="仿宋" w:eastAsia="仿宋" w:cs="仿宋"/>
                <w:color w:val="auto"/>
                <w:highlight w:val="none"/>
              </w:rPr>
            </w:pPr>
          </w:p>
        </w:tc>
      </w:tr>
      <w:tr w14:paraId="79229180">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9DA14E3">
            <w:pPr>
              <w:pStyle w:val="38"/>
              <w:kinsoku w:val="0"/>
              <w:overflowPunct w:val="0"/>
              <w:spacing w:before="1"/>
              <w:rPr>
                <w:rFonts w:hint="eastAsia" w:ascii="仿宋" w:hAnsi="仿宋" w:eastAsia="仿宋" w:cs="仿宋"/>
                <w:b/>
                <w:bCs/>
                <w:color w:val="auto"/>
                <w:sz w:val="23"/>
                <w:szCs w:val="23"/>
                <w:highlight w:val="none"/>
              </w:rPr>
            </w:pPr>
          </w:p>
          <w:p w14:paraId="4762A75F">
            <w:pPr>
              <w:pStyle w:val="38"/>
              <w:kinsoku w:val="0"/>
              <w:overflowPunct w:val="0"/>
              <w:spacing w:line="237" w:lineRule="auto"/>
              <w:ind w:left="497" w:right="493"/>
              <w:jc w:val="both"/>
              <w:rPr>
                <w:rFonts w:hint="eastAsia" w:ascii="仿宋" w:hAnsi="仿宋" w:eastAsia="仿宋" w:cs="仿宋"/>
                <w:color w:val="auto"/>
                <w:highlight w:val="none"/>
              </w:rPr>
            </w:pPr>
            <w:r>
              <w:rPr>
                <w:rFonts w:hint="eastAsia" w:ascii="仿宋" w:hAnsi="仿宋" w:eastAsia="仿宋" w:cs="仿宋"/>
                <w:color w:val="auto"/>
                <w:highlight w:val="none"/>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1F23631A">
            <w:pPr>
              <w:rPr>
                <w:rFonts w:hint="eastAsia" w:ascii="仿宋" w:hAnsi="仿宋" w:eastAsia="仿宋" w:cs="仿宋"/>
                <w:color w:val="auto"/>
                <w:highlight w:val="none"/>
              </w:rPr>
            </w:pPr>
          </w:p>
        </w:tc>
      </w:tr>
    </w:tbl>
    <w:p w14:paraId="6C7A2607">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66890C9">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56F7757A">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C974FA0">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4DE8BF66">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29E3766B">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33543254">
      <w:pPr>
        <w:spacing w:line="360" w:lineRule="auto"/>
        <w:jc w:val="both"/>
        <w:rPr>
          <w:rFonts w:hint="eastAsia" w:ascii="仿宋" w:hAnsi="仿宋" w:eastAsia="仿宋" w:cs="仿宋"/>
          <w:b/>
          <w:bCs w:val="0"/>
          <w:color w:val="auto"/>
          <w:kern w:val="0"/>
          <w:sz w:val="36"/>
          <w:szCs w:val="36"/>
          <w:highlight w:val="none"/>
          <w:lang w:val="en-US" w:eastAsia="zh-CN"/>
        </w:rPr>
      </w:pPr>
    </w:p>
    <w:p w14:paraId="5C84AE47">
      <w:pPr>
        <w:spacing w:line="360" w:lineRule="auto"/>
        <w:jc w:val="center"/>
        <w:rPr>
          <w:rFonts w:hint="eastAsia" w:ascii="仿宋" w:hAnsi="仿宋" w:eastAsia="仿宋" w:cs="仿宋"/>
          <w:b/>
          <w:bCs w:val="0"/>
          <w:color w:val="auto"/>
          <w:kern w:val="0"/>
          <w:sz w:val="36"/>
          <w:szCs w:val="36"/>
          <w:highlight w:val="none"/>
          <w:lang w:val="en-US" w:eastAsia="zh-CN"/>
        </w:rPr>
      </w:pPr>
      <w:r>
        <w:rPr>
          <w:rFonts w:hint="eastAsia" w:ascii="仿宋" w:hAnsi="仿宋" w:eastAsia="仿宋" w:cs="仿宋"/>
          <w:b/>
          <w:bCs w:val="0"/>
          <w:color w:val="auto"/>
          <w:kern w:val="0"/>
          <w:sz w:val="36"/>
          <w:szCs w:val="36"/>
          <w:highlight w:val="none"/>
          <w:lang w:val="en-US" w:eastAsia="zh-CN"/>
        </w:rPr>
        <w:t>8</w:t>
      </w:r>
      <w:r>
        <w:rPr>
          <w:rFonts w:hint="eastAsia" w:ascii="仿宋" w:hAnsi="仿宋" w:eastAsia="仿宋" w:cs="仿宋"/>
          <w:b/>
          <w:bCs w:val="0"/>
          <w:color w:val="auto"/>
          <w:kern w:val="0"/>
          <w:sz w:val="36"/>
          <w:szCs w:val="36"/>
          <w:highlight w:val="none"/>
        </w:rPr>
        <w:t>、</w:t>
      </w:r>
      <w:r>
        <w:rPr>
          <w:rFonts w:hint="eastAsia" w:ascii="仿宋" w:hAnsi="仿宋" w:eastAsia="仿宋" w:cs="仿宋"/>
          <w:b/>
          <w:bCs w:val="0"/>
          <w:color w:val="auto"/>
          <w:kern w:val="0"/>
          <w:sz w:val="36"/>
          <w:szCs w:val="36"/>
          <w:highlight w:val="none"/>
          <w:lang w:val="en-US" w:eastAsia="zh-CN"/>
        </w:rPr>
        <w:t>投标人认为有必要提供的其他证明材料</w:t>
      </w:r>
    </w:p>
    <w:p w14:paraId="278A7CF2">
      <w:pPr>
        <w:spacing w:line="360" w:lineRule="auto"/>
        <w:jc w:val="center"/>
        <w:rPr>
          <w:rFonts w:hint="eastAsia" w:ascii="仿宋" w:hAnsi="仿宋" w:eastAsia="仿宋" w:cs="仿宋"/>
          <w:b/>
          <w:color w:val="auto"/>
          <w:sz w:val="36"/>
          <w:szCs w:val="36"/>
          <w:highlight w:val="none"/>
          <w:lang w:eastAsia="zh-CN"/>
        </w:rPr>
      </w:pPr>
    </w:p>
    <w:p w14:paraId="3F2F8826">
      <w:pPr>
        <w:spacing w:line="360" w:lineRule="auto"/>
        <w:jc w:val="center"/>
        <w:rPr>
          <w:rFonts w:hint="eastAsia" w:ascii="仿宋" w:hAnsi="仿宋" w:eastAsia="仿宋" w:cs="仿宋"/>
          <w:b/>
          <w:color w:val="auto"/>
          <w:sz w:val="36"/>
          <w:szCs w:val="36"/>
          <w:highlight w:val="none"/>
          <w:lang w:eastAsia="zh-CN"/>
        </w:rPr>
      </w:pPr>
    </w:p>
    <w:p w14:paraId="1744359C">
      <w:pPr>
        <w:spacing w:line="360" w:lineRule="auto"/>
        <w:jc w:val="center"/>
        <w:rPr>
          <w:rFonts w:hint="eastAsia" w:ascii="仿宋" w:hAnsi="仿宋" w:eastAsia="仿宋" w:cs="仿宋"/>
          <w:b/>
          <w:color w:val="auto"/>
          <w:sz w:val="36"/>
          <w:szCs w:val="36"/>
          <w:highlight w:val="none"/>
          <w:lang w:eastAsia="zh-CN"/>
        </w:rPr>
      </w:pPr>
    </w:p>
    <w:p w14:paraId="1B3F786F">
      <w:pPr>
        <w:spacing w:line="360" w:lineRule="auto"/>
        <w:jc w:val="center"/>
        <w:rPr>
          <w:rFonts w:hint="eastAsia" w:ascii="仿宋" w:hAnsi="仿宋" w:eastAsia="仿宋" w:cs="仿宋"/>
          <w:b/>
          <w:color w:val="auto"/>
          <w:sz w:val="36"/>
          <w:szCs w:val="36"/>
          <w:highlight w:val="none"/>
          <w:lang w:eastAsia="zh-CN"/>
        </w:rPr>
      </w:pPr>
    </w:p>
    <w:p w14:paraId="4524042F">
      <w:pPr>
        <w:spacing w:line="360" w:lineRule="auto"/>
        <w:jc w:val="center"/>
        <w:rPr>
          <w:rFonts w:hint="eastAsia" w:ascii="仿宋" w:hAnsi="仿宋" w:eastAsia="仿宋" w:cs="仿宋"/>
          <w:b/>
          <w:color w:val="auto"/>
          <w:sz w:val="36"/>
          <w:szCs w:val="36"/>
          <w:highlight w:val="none"/>
          <w:lang w:eastAsia="zh-CN"/>
        </w:rPr>
      </w:pPr>
    </w:p>
    <w:p w14:paraId="100B3053">
      <w:pPr>
        <w:spacing w:line="360" w:lineRule="auto"/>
        <w:jc w:val="center"/>
        <w:rPr>
          <w:rFonts w:hint="eastAsia" w:ascii="仿宋" w:hAnsi="仿宋" w:eastAsia="仿宋" w:cs="仿宋"/>
          <w:b/>
          <w:color w:val="auto"/>
          <w:sz w:val="36"/>
          <w:szCs w:val="36"/>
          <w:highlight w:val="none"/>
          <w:lang w:eastAsia="zh-CN"/>
        </w:rPr>
      </w:pPr>
    </w:p>
    <w:p w14:paraId="5F5102CD">
      <w:pPr>
        <w:spacing w:line="360" w:lineRule="auto"/>
        <w:jc w:val="center"/>
        <w:rPr>
          <w:rFonts w:hint="eastAsia" w:ascii="仿宋" w:hAnsi="仿宋" w:eastAsia="仿宋" w:cs="仿宋"/>
          <w:b/>
          <w:color w:val="auto"/>
          <w:sz w:val="36"/>
          <w:szCs w:val="36"/>
          <w:highlight w:val="none"/>
          <w:lang w:eastAsia="zh-CN"/>
        </w:rPr>
      </w:pPr>
    </w:p>
    <w:p w14:paraId="3ABE84AF">
      <w:pPr>
        <w:spacing w:line="360" w:lineRule="auto"/>
        <w:jc w:val="center"/>
        <w:rPr>
          <w:rFonts w:hint="eastAsia" w:ascii="仿宋" w:hAnsi="仿宋" w:eastAsia="仿宋" w:cs="仿宋"/>
          <w:b/>
          <w:color w:val="auto"/>
          <w:sz w:val="36"/>
          <w:szCs w:val="36"/>
          <w:highlight w:val="none"/>
          <w:lang w:eastAsia="zh-CN"/>
        </w:rPr>
      </w:pPr>
    </w:p>
    <w:p w14:paraId="58C55E93">
      <w:pPr>
        <w:spacing w:line="360" w:lineRule="auto"/>
        <w:jc w:val="center"/>
        <w:rPr>
          <w:rFonts w:hint="eastAsia" w:ascii="仿宋" w:hAnsi="仿宋" w:eastAsia="仿宋" w:cs="仿宋"/>
          <w:b/>
          <w:color w:val="auto"/>
          <w:sz w:val="36"/>
          <w:szCs w:val="36"/>
          <w:highlight w:val="none"/>
          <w:lang w:eastAsia="zh-CN"/>
        </w:rPr>
      </w:pPr>
    </w:p>
    <w:p w14:paraId="76C0A5AF">
      <w:pPr>
        <w:spacing w:line="360" w:lineRule="auto"/>
        <w:jc w:val="center"/>
        <w:rPr>
          <w:rFonts w:hint="eastAsia" w:ascii="仿宋" w:hAnsi="仿宋" w:eastAsia="仿宋" w:cs="仿宋"/>
          <w:b/>
          <w:color w:val="auto"/>
          <w:sz w:val="36"/>
          <w:szCs w:val="36"/>
          <w:highlight w:val="none"/>
          <w:lang w:eastAsia="zh-CN"/>
        </w:rPr>
      </w:pPr>
    </w:p>
    <w:p w14:paraId="08E1715D">
      <w:pPr>
        <w:spacing w:line="360" w:lineRule="auto"/>
        <w:jc w:val="center"/>
        <w:rPr>
          <w:rFonts w:hint="eastAsia" w:ascii="仿宋" w:hAnsi="仿宋" w:eastAsia="仿宋" w:cs="仿宋"/>
          <w:b/>
          <w:color w:val="auto"/>
          <w:sz w:val="36"/>
          <w:szCs w:val="36"/>
          <w:highlight w:val="none"/>
          <w:lang w:eastAsia="zh-CN"/>
        </w:rPr>
      </w:pPr>
    </w:p>
    <w:p w14:paraId="6B68001B">
      <w:pPr>
        <w:spacing w:line="360" w:lineRule="auto"/>
        <w:jc w:val="center"/>
        <w:rPr>
          <w:rFonts w:hint="eastAsia" w:ascii="仿宋" w:hAnsi="仿宋" w:eastAsia="仿宋" w:cs="仿宋"/>
          <w:b/>
          <w:color w:val="auto"/>
          <w:sz w:val="36"/>
          <w:szCs w:val="36"/>
          <w:highlight w:val="none"/>
          <w:lang w:eastAsia="zh-CN"/>
        </w:rPr>
      </w:pPr>
    </w:p>
    <w:p w14:paraId="14195597">
      <w:pPr>
        <w:spacing w:line="360" w:lineRule="auto"/>
        <w:jc w:val="center"/>
        <w:rPr>
          <w:rFonts w:hint="eastAsia" w:ascii="仿宋" w:hAnsi="仿宋" w:eastAsia="仿宋" w:cs="仿宋"/>
          <w:b/>
          <w:color w:val="auto"/>
          <w:sz w:val="36"/>
          <w:szCs w:val="36"/>
          <w:highlight w:val="none"/>
          <w:lang w:eastAsia="zh-CN"/>
        </w:rPr>
      </w:pPr>
    </w:p>
    <w:p w14:paraId="6966CDEF">
      <w:pPr>
        <w:spacing w:line="360" w:lineRule="auto"/>
        <w:jc w:val="center"/>
        <w:rPr>
          <w:rFonts w:hint="eastAsia" w:ascii="仿宋" w:hAnsi="仿宋" w:eastAsia="仿宋" w:cs="仿宋"/>
          <w:b/>
          <w:color w:val="auto"/>
          <w:sz w:val="36"/>
          <w:szCs w:val="36"/>
          <w:highlight w:val="none"/>
          <w:lang w:eastAsia="zh-CN"/>
        </w:rPr>
      </w:pPr>
    </w:p>
    <w:p w14:paraId="63414405">
      <w:pPr>
        <w:spacing w:line="360" w:lineRule="auto"/>
        <w:jc w:val="center"/>
        <w:rPr>
          <w:rFonts w:hint="eastAsia" w:ascii="仿宋" w:hAnsi="仿宋" w:eastAsia="仿宋" w:cs="仿宋"/>
          <w:b/>
          <w:color w:val="auto"/>
          <w:sz w:val="36"/>
          <w:szCs w:val="36"/>
          <w:highlight w:val="none"/>
          <w:lang w:eastAsia="zh-CN"/>
        </w:rPr>
      </w:pPr>
    </w:p>
    <w:p w14:paraId="4F25302B">
      <w:pPr>
        <w:spacing w:line="360" w:lineRule="auto"/>
        <w:jc w:val="center"/>
        <w:rPr>
          <w:rFonts w:hint="eastAsia" w:ascii="仿宋" w:hAnsi="仿宋" w:eastAsia="仿宋" w:cs="仿宋"/>
          <w:b/>
          <w:color w:val="auto"/>
          <w:sz w:val="36"/>
          <w:szCs w:val="36"/>
          <w:highlight w:val="none"/>
          <w:lang w:eastAsia="zh-CN"/>
        </w:rPr>
      </w:pPr>
    </w:p>
    <w:p w14:paraId="56CBF2C2">
      <w:pPr>
        <w:spacing w:line="360" w:lineRule="auto"/>
        <w:jc w:val="center"/>
        <w:rPr>
          <w:rFonts w:hint="eastAsia" w:ascii="仿宋" w:hAnsi="仿宋" w:eastAsia="仿宋" w:cs="仿宋"/>
          <w:b/>
          <w:color w:val="auto"/>
          <w:sz w:val="36"/>
          <w:szCs w:val="36"/>
          <w:highlight w:val="none"/>
          <w:lang w:eastAsia="zh-CN"/>
        </w:rPr>
      </w:pPr>
    </w:p>
    <w:p w14:paraId="47D7FEF2">
      <w:pPr>
        <w:spacing w:line="360" w:lineRule="auto"/>
        <w:jc w:val="center"/>
        <w:rPr>
          <w:rFonts w:hint="eastAsia" w:ascii="仿宋" w:hAnsi="仿宋" w:eastAsia="仿宋" w:cs="仿宋"/>
          <w:b/>
          <w:color w:val="auto"/>
          <w:sz w:val="36"/>
          <w:szCs w:val="36"/>
          <w:highlight w:val="none"/>
          <w:lang w:eastAsia="zh-CN"/>
        </w:rPr>
      </w:pPr>
    </w:p>
    <w:p w14:paraId="017D1F8C">
      <w:pPr>
        <w:spacing w:line="360" w:lineRule="auto"/>
        <w:jc w:val="center"/>
        <w:rPr>
          <w:rFonts w:hint="eastAsia" w:ascii="仿宋" w:hAnsi="仿宋" w:eastAsia="仿宋" w:cs="仿宋"/>
          <w:b/>
          <w:color w:val="auto"/>
          <w:sz w:val="36"/>
          <w:szCs w:val="36"/>
          <w:highlight w:val="none"/>
          <w:lang w:eastAsia="zh-CN"/>
        </w:rPr>
      </w:pPr>
    </w:p>
    <w:p w14:paraId="27E6D600">
      <w:pPr>
        <w:spacing w:line="360" w:lineRule="auto"/>
        <w:jc w:val="center"/>
        <w:rPr>
          <w:rFonts w:hint="eastAsia" w:ascii="仿宋" w:hAnsi="仿宋" w:eastAsia="仿宋" w:cs="仿宋"/>
          <w:b/>
          <w:color w:val="auto"/>
          <w:sz w:val="36"/>
          <w:szCs w:val="36"/>
          <w:highlight w:val="none"/>
          <w:lang w:eastAsia="zh-CN"/>
        </w:rPr>
      </w:pPr>
    </w:p>
    <w:p w14:paraId="1B073BDD">
      <w:pPr>
        <w:spacing w:line="360" w:lineRule="auto"/>
        <w:jc w:val="center"/>
        <w:rPr>
          <w:rFonts w:hint="default" w:ascii="仿宋" w:hAnsi="仿宋" w:eastAsia="仿宋" w:cs="仿宋"/>
          <w:b/>
          <w:color w:val="auto"/>
          <w:sz w:val="36"/>
          <w:szCs w:val="36"/>
          <w:highlight w:val="none"/>
          <w:lang w:val="en-US" w:eastAsia="zh-CN"/>
        </w:rPr>
      </w:pPr>
      <w:r>
        <w:rPr>
          <w:rFonts w:hint="eastAsia" w:ascii="仿宋" w:hAnsi="仿宋" w:eastAsia="仿宋" w:cs="仿宋"/>
          <w:b/>
          <w:color w:val="auto"/>
          <w:sz w:val="36"/>
          <w:szCs w:val="36"/>
          <w:highlight w:val="none"/>
          <w:lang w:val="en-US" w:eastAsia="zh-CN"/>
        </w:rPr>
        <w:t>9、附件</w:t>
      </w:r>
    </w:p>
    <w:p w14:paraId="4A7FF93E">
      <w:pPr>
        <w:spacing w:line="360" w:lineRule="auto"/>
        <w:jc w:val="center"/>
        <w:rPr>
          <w:rFonts w:hint="eastAsia" w:ascii="仿宋" w:hAnsi="仿宋" w:eastAsia="仿宋" w:cs="仿宋"/>
          <w:b/>
          <w:color w:val="auto"/>
          <w:sz w:val="36"/>
          <w:szCs w:val="36"/>
          <w:highlight w:val="none"/>
          <w:lang w:eastAsia="zh-CN"/>
        </w:rPr>
      </w:pPr>
    </w:p>
    <w:p w14:paraId="41F1872E">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eastAsia="zh-CN"/>
        </w:rPr>
        <w:t>中小企业声明函(货物)</w:t>
      </w:r>
    </w:p>
    <w:p w14:paraId="7C5DD4E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77417752">
      <w:pPr>
        <w:numPr>
          <w:ilvl w:val="0"/>
          <w:numId w:val="10"/>
        </w:num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0BD0E7A6">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34FA934A">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210E5189">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16AC264C">
      <w:pPr>
        <w:spacing w:line="360" w:lineRule="auto"/>
        <w:ind w:firstLine="480" w:firstLineChars="200"/>
        <w:rPr>
          <w:rFonts w:ascii="仿宋" w:hAnsi="仿宋" w:eastAsia="仿宋" w:cs="仿宋"/>
          <w:color w:val="auto"/>
          <w:highlight w:val="none"/>
          <w:lang w:eastAsia="zh-CN"/>
        </w:rPr>
      </w:pPr>
    </w:p>
    <w:p w14:paraId="4160B9BB">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27772B05">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379CAFAD">
      <w:pPr>
        <w:spacing w:line="360" w:lineRule="auto"/>
        <w:ind w:firstLine="480" w:firstLineChars="200"/>
        <w:rPr>
          <w:rFonts w:ascii="仿宋" w:hAnsi="仿宋" w:eastAsia="仿宋" w:cs="仿宋"/>
          <w:color w:val="auto"/>
          <w:highlight w:val="none"/>
          <w:lang w:eastAsia="zh-CN"/>
        </w:rPr>
      </w:pPr>
    </w:p>
    <w:p w14:paraId="63607C36">
      <w:pPr>
        <w:spacing w:line="360" w:lineRule="auto"/>
        <w:ind w:firstLine="4560"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01AB96D4">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400CDD3">
      <w:pPr>
        <w:spacing w:line="360" w:lineRule="auto"/>
        <w:ind w:firstLine="480" w:firstLineChars="200"/>
        <w:rPr>
          <w:rFonts w:ascii="仿宋" w:hAnsi="仿宋" w:eastAsia="仿宋" w:cs="仿宋"/>
          <w:color w:val="auto"/>
          <w:highlight w:val="none"/>
          <w:lang w:eastAsia="zh-CN"/>
        </w:rPr>
      </w:pPr>
    </w:p>
    <w:p w14:paraId="5EAA845A">
      <w:pPr>
        <w:pStyle w:val="17"/>
        <w:rPr>
          <w:rFonts w:hint="eastAsia" w:ascii="仿宋" w:hAnsi="仿宋" w:eastAsia="仿宋" w:cs="仿宋"/>
          <w:color w:val="auto"/>
          <w:highlight w:val="none"/>
        </w:rPr>
      </w:pPr>
    </w:p>
    <w:p w14:paraId="094FE1AE">
      <w:pPr>
        <w:pStyle w:val="17"/>
        <w:rPr>
          <w:rFonts w:hint="eastAsia" w:ascii="仿宋" w:hAnsi="仿宋" w:eastAsia="仿宋" w:cs="仿宋"/>
          <w:color w:val="auto"/>
          <w:highlight w:val="none"/>
        </w:rPr>
      </w:pPr>
    </w:p>
    <w:p w14:paraId="362BBDEE">
      <w:pPr>
        <w:pStyle w:val="17"/>
        <w:rPr>
          <w:rFonts w:hint="eastAsia" w:ascii="仿宋" w:hAnsi="仿宋" w:eastAsia="仿宋" w:cs="仿宋"/>
          <w:color w:val="auto"/>
          <w:highlight w:val="none"/>
        </w:rPr>
      </w:pPr>
    </w:p>
    <w:p w14:paraId="7FFE708A">
      <w:pPr>
        <w:pStyle w:val="7"/>
        <w:numPr>
          <w:ilvl w:val="0"/>
          <w:numId w:val="0"/>
        </w:numPr>
        <w:ind w:left="360" w:leftChars="0"/>
        <w:rPr>
          <w:rFonts w:hint="eastAsia"/>
          <w:color w:val="auto"/>
          <w:highlight w:val="none"/>
        </w:rPr>
      </w:pPr>
    </w:p>
    <w:p w14:paraId="691BD47B">
      <w:pPr>
        <w:pStyle w:val="17"/>
        <w:rPr>
          <w:rFonts w:hint="eastAsia" w:ascii="仿宋" w:hAnsi="仿宋" w:eastAsia="仿宋" w:cs="仿宋"/>
          <w:color w:val="auto"/>
          <w:highlight w:val="none"/>
        </w:rPr>
      </w:pPr>
    </w:p>
    <w:p w14:paraId="14AC308F">
      <w:pPr>
        <w:pStyle w:val="17"/>
        <w:rPr>
          <w:rFonts w:hint="eastAsia" w:ascii="仿宋" w:hAnsi="仿宋" w:eastAsia="仿宋" w:cs="仿宋"/>
          <w:color w:val="auto"/>
          <w:highlight w:val="none"/>
        </w:rPr>
      </w:pPr>
    </w:p>
    <w:p w14:paraId="574A575A">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highlight w:val="none"/>
          <w:lang w:val="en-US" w:eastAsia="zh-CN"/>
        </w:rPr>
      </w:pPr>
    </w:p>
    <w:p w14:paraId="1F7D4D0F">
      <w:pPr>
        <w:tabs>
          <w:tab w:val="left" w:pos="3600"/>
        </w:tabs>
        <w:adjustRightInd w:val="0"/>
        <w:snapToGrid w:val="0"/>
        <w:spacing w:line="440" w:lineRule="exact"/>
        <w:jc w:val="both"/>
        <w:rPr>
          <w:rFonts w:hint="eastAsia" w:ascii="仿宋" w:hAnsi="仿宋" w:eastAsia="仿宋" w:cs="仿宋"/>
          <w:color w:val="auto"/>
          <w:spacing w:val="0"/>
          <w:w w:val="100"/>
          <w:position w:val="0"/>
          <w:sz w:val="36"/>
          <w:szCs w:val="36"/>
          <w:highlight w:val="none"/>
          <w:lang w:val="en-US" w:eastAsia="zh-CN"/>
        </w:rPr>
      </w:pPr>
    </w:p>
    <w:p w14:paraId="5B001DEE">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highlight w:val="none"/>
          <w:lang w:val="en-US" w:eastAsia="zh-CN"/>
        </w:rPr>
      </w:pPr>
    </w:p>
    <w:p w14:paraId="32FC84A5">
      <w:pPr>
        <w:tabs>
          <w:tab w:val="left" w:pos="3600"/>
        </w:tabs>
        <w:adjustRightInd w:val="0"/>
        <w:snapToGrid w:val="0"/>
        <w:spacing w:line="440" w:lineRule="exact"/>
        <w:jc w:val="center"/>
        <w:rPr>
          <w:rFonts w:hint="eastAsia" w:ascii="仿宋" w:hAnsi="仿宋" w:eastAsia="仿宋" w:cs="仿宋"/>
          <w:b/>
          <w:bCs/>
          <w:color w:val="auto"/>
          <w:spacing w:val="6"/>
          <w:kern w:val="0"/>
          <w:sz w:val="36"/>
          <w:szCs w:val="36"/>
          <w:highlight w:val="none"/>
        </w:rPr>
      </w:pPr>
      <w:r>
        <w:rPr>
          <w:rFonts w:hint="eastAsia" w:ascii="仿宋" w:hAnsi="仿宋" w:eastAsia="仿宋" w:cs="仿宋"/>
          <w:b/>
          <w:bCs/>
          <w:color w:val="auto"/>
          <w:spacing w:val="6"/>
          <w:kern w:val="0"/>
          <w:sz w:val="36"/>
          <w:szCs w:val="36"/>
          <w:highlight w:val="none"/>
        </w:rPr>
        <w:t>残疾人福利性单位声明函</w:t>
      </w:r>
    </w:p>
    <w:p w14:paraId="63C4D05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p>
    <w:p w14:paraId="0F0CAA8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CCD7815">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本单位对上述声明的真实性负责。如有虚假，将依法承担相应责任。</w:t>
      </w:r>
    </w:p>
    <w:p w14:paraId="0D49692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 xml:space="preserve">                                     </w:t>
      </w:r>
    </w:p>
    <w:p w14:paraId="48413D00">
      <w:pPr>
        <w:widowControl/>
        <w:adjustRightInd w:val="0"/>
        <w:snapToGrid w:val="0"/>
        <w:spacing w:line="440" w:lineRule="exact"/>
        <w:ind w:firstLine="5544" w:firstLineChars="2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单位名称（盖章）：</w:t>
      </w:r>
    </w:p>
    <w:p w14:paraId="243171F1">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 xml:space="preserve">                                      日  期：</w:t>
      </w:r>
    </w:p>
    <w:p w14:paraId="355BC422">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59F690D6">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233A21CF">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7F3922E4">
      <w:pPr>
        <w:rPr>
          <w:rFonts w:hint="eastAsia" w:ascii="仿宋" w:hAnsi="仿宋" w:eastAsia="仿宋" w:cs="仿宋"/>
          <w:b/>
          <w:bCs/>
          <w:color w:val="auto"/>
          <w:sz w:val="24"/>
          <w:highlight w:val="none"/>
          <w:lang w:val="en-US" w:eastAsia="zh-CN"/>
        </w:rPr>
      </w:pPr>
    </w:p>
    <w:p w14:paraId="6B79EC05">
      <w:pPr>
        <w:pStyle w:val="30"/>
        <w:rPr>
          <w:rFonts w:hint="eastAsia" w:ascii="仿宋" w:hAnsi="仿宋" w:eastAsia="仿宋" w:cs="仿宋"/>
          <w:b/>
          <w:bCs/>
          <w:color w:val="auto"/>
          <w:sz w:val="24"/>
          <w:highlight w:val="none"/>
          <w:lang w:val="en-US" w:eastAsia="zh-CN"/>
        </w:rPr>
      </w:pPr>
    </w:p>
    <w:p w14:paraId="6D6064C9">
      <w:pPr>
        <w:pStyle w:val="33"/>
        <w:keepNext/>
        <w:keepLines/>
        <w:spacing w:before="0" w:after="660"/>
        <w:ind w:firstLine="420"/>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备注：不是残疾人福利性单位，无需提供声明函</w:t>
      </w:r>
    </w:p>
    <w:p w14:paraId="0434C7D5">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73E1BE27">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76E0CF7C">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5B36B41A">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214FF196">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5A161BC8">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6F4A6F78">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6DC7A196">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0E525019">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6E43907D">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30F92D74">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544D199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19E1A604">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4D3BEF11">
      <w:pPr>
        <w:pStyle w:val="22"/>
        <w:ind w:left="0" w:leftChars="0" w:firstLine="0" w:firstLineChars="0"/>
        <w:rPr>
          <w:rFonts w:hint="eastAsia"/>
          <w:color w:val="auto"/>
          <w:highlight w:val="none"/>
          <w:lang w:val="en-US" w:eastAsia="zh-CN"/>
        </w:rPr>
      </w:pPr>
    </w:p>
    <w:p w14:paraId="34C2928A">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关于符合本国产品标准的声明函</w:t>
      </w:r>
    </w:p>
    <w:p w14:paraId="4270973D">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6E7FF6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0CCDB81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22206D89">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7B7BC56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7D4F80E3">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77ED37D3">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25DC825">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1157A28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w:t>
      </w:r>
    </w:p>
    <w:p w14:paraId="5F8AF4B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w:t>
      </w:r>
    </w:p>
    <w:p w14:paraId="19139EA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05A4A8C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02DE7E1A">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2E3E9C3F">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07BBCF0E">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7AB82687">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53565CA7">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1EA49A49">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bookmarkEnd w:id="38"/>
    <w:bookmarkEnd w:id="39"/>
    <w:bookmarkEnd w:id="40"/>
    <w:bookmarkEnd w:id="41"/>
    <w:bookmarkEnd w:id="42"/>
    <w:bookmarkEnd w:id="43"/>
    <w:bookmarkEnd w:id="44"/>
    <w:p w14:paraId="023C46D9">
      <w:pPr>
        <w:pStyle w:val="22"/>
        <w:rPr>
          <w:rFonts w:hint="eastAsia"/>
          <w:color w:val="auto"/>
          <w:highlight w:val="none"/>
          <w:lang w:val="en-US" w:eastAsia="zh-CN"/>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9E531">
    <w:pPr>
      <w:pStyle w:val="14"/>
      <w:ind w:right="360"/>
      <w:jc w:val="both"/>
    </w:pPr>
    <w:r>
      <w:rPr>
        <w:rFonts w:hint="eastAsia"/>
        <w:sz w:val="13"/>
        <w:szCs w:val="13"/>
      </w:rPr>
      <w:t xml:space="preserve"> </w:t>
    </w:r>
    <w:r>
      <w:rPr>
        <w:rFonts w:hint="eastAsia"/>
      </w:rPr>
      <w:t xml:space="preserve">  </w:t>
    </w:r>
  </w:p>
  <w:p w14:paraId="55679F1B">
    <w:pPr>
      <w:pStyle w:val="14"/>
      <w:tabs>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87F50">
    <w:pPr>
      <w:pStyle w:val="14"/>
      <w:ind w:right="360"/>
      <w:jc w:val="both"/>
    </w:pPr>
    <w:r>
      <w:rPr>
        <w:sz w:val="1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9AF5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979AF59">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13"/>
        <w:szCs w:val="13"/>
      </w:rPr>
      <w:t xml:space="preserve"> </w:t>
    </w:r>
    <w:r>
      <w:rPr>
        <w:rFonts w:hint="eastAsia"/>
      </w:rPr>
      <w:t xml:space="preserve">  </w:t>
    </w:r>
  </w:p>
  <w:p w14:paraId="7316E85C">
    <w:pPr>
      <w:pStyle w:val="14"/>
      <w:tabs>
        <w:tab w:val="clear" w:pos="4153"/>
        <w:tab w:val="clear" w:pos="8306"/>
      </w:tabs>
      <w:ind w:right="360"/>
      <w:rPr>
        <w:rFonts w:hint="default"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8B558">
    <w:pPr>
      <w:pStyle w:val="14"/>
      <w:ind w:right="360"/>
      <w:jc w:val="both"/>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C536D">
                          <w:pPr>
                            <w:pStyle w:val="14"/>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4FC536D">
                    <w:pPr>
                      <w:pStyle w:val="14"/>
                    </w:pPr>
                    <w:r>
                      <w:fldChar w:fldCharType="begin"/>
                    </w:r>
                    <w:r>
                      <w:instrText xml:space="preserve"> PAGE  \* MERGEFORMAT </w:instrText>
                    </w:r>
                    <w:r>
                      <w:fldChar w:fldCharType="separate"/>
                    </w:r>
                    <w:r>
                      <w:t>61</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25F496D3">
    <w:pPr>
      <w:pStyle w:val="14"/>
      <w:autoSpaceDE w:val="0"/>
      <w:autoSpaceDN w:val="0"/>
      <w:adjustRightInd w:val="0"/>
      <w:ind w:left="7200" w:hanging="7200" w:hangingChars="4000"/>
      <w:jc w:val="both"/>
    </w:pPr>
  </w:p>
  <w:p w14:paraId="3B62D5BD">
    <w:pPr>
      <w:pStyle w:val="1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90DD0">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82DEE">
                          <w:pPr>
                            <w:pStyle w:val="14"/>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882DEE">
                    <w:pPr>
                      <w:pStyle w:val="14"/>
                    </w:pPr>
                    <w:r>
                      <w:fldChar w:fldCharType="begin"/>
                    </w:r>
                    <w:r>
                      <w:instrText xml:space="preserve"> PAGE  \* MERGEFORMAT </w:instrText>
                    </w:r>
                    <w:r>
                      <w:fldChar w:fldCharType="separate"/>
                    </w:r>
                    <w:r>
                      <w:t>67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1317E8"/>
    <w:multiLevelType w:val="singleLevel"/>
    <w:tmpl w:val="C91317E8"/>
    <w:lvl w:ilvl="0" w:tentative="0">
      <w:start w:val="1"/>
      <w:numFmt w:val="decimal"/>
      <w:suff w:val="nothing"/>
      <w:lvlText w:val="%1、"/>
      <w:lvlJc w:val="left"/>
    </w:lvl>
  </w:abstractNum>
  <w:abstractNum w:abstractNumId="1">
    <w:nsid w:val="CF0DAD01"/>
    <w:multiLevelType w:val="singleLevel"/>
    <w:tmpl w:val="CF0DAD01"/>
    <w:lvl w:ilvl="0" w:tentative="0">
      <w:start w:val="1"/>
      <w:numFmt w:val="decimal"/>
      <w:suff w:val="space"/>
      <w:lvlText w:val="%1."/>
      <w:lvlJc w:val="left"/>
    </w:lvl>
  </w:abstractNum>
  <w:abstractNum w:abstractNumId="2">
    <w:nsid w:val="D00A1284"/>
    <w:multiLevelType w:val="singleLevel"/>
    <w:tmpl w:val="D00A1284"/>
    <w:lvl w:ilvl="0" w:tentative="0">
      <w:start w:val="1"/>
      <w:numFmt w:val="decimal"/>
      <w:suff w:val="nothing"/>
      <w:lvlText w:val="%1、"/>
      <w:lvlJc w:val="left"/>
    </w:lvl>
  </w:abstractNum>
  <w:abstractNum w:abstractNumId="3">
    <w:nsid w:val="F3F04F40"/>
    <w:multiLevelType w:val="singleLevel"/>
    <w:tmpl w:val="F3F04F40"/>
    <w:lvl w:ilvl="0" w:tentative="0">
      <w:start w:val="1"/>
      <w:numFmt w:val="decimal"/>
      <w:suff w:val="nothing"/>
      <w:lvlText w:val="%1、"/>
      <w:lvlJc w:val="left"/>
    </w:lvl>
  </w:abstractNum>
  <w:abstractNum w:abstractNumId="4">
    <w:nsid w:val="00000002"/>
    <w:multiLevelType w:val="multilevel"/>
    <w:tmpl w:val="00000002"/>
    <w:lvl w:ilvl="0" w:tentative="0">
      <w:start w:val="1"/>
      <w:numFmt w:val="decimal"/>
      <w:pStyle w:val="7"/>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5">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7">
    <w:nsid w:val="55CD4C99"/>
    <w:multiLevelType w:val="singleLevel"/>
    <w:tmpl w:val="55CD4C99"/>
    <w:lvl w:ilvl="0" w:tentative="0">
      <w:start w:val="1"/>
      <w:numFmt w:val="chineseCounting"/>
      <w:suff w:val="nothing"/>
      <w:lvlText w:val="%1、"/>
      <w:lvlJc w:val="left"/>
    </w:lvl>
  </w:abstractNum>
  <w:abstractNum w:abstractNumId="8">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9">
    <w:nsid w:val="78DB85BA"/>
    <w:multiLevelType w:val="singleLevel"/>
    <w:tmpl w:val="78DB85BA"/>
    <w:lvl w:ilvl="0" w:tentative="0">
      <w:start w:val="1"/>
      <w:numFmt w:val="decimal"/>
      <w:suff w:val="nothing"/>
      <w:lvlText w:val="%1、"/>
      <w:lvlJc w:val="left"/>
    </w:lvl>
  </w:abstractNum>
  <w:num w:numId="1">
    <w:abstractNumId w:val="4"/>
  </w:num>
  <w:num w:numId="2">
    <w:abstractNumId w:val="9"/>
  </w:num>
  <w:num w:numId="3">
    <w:abstractNumId w:val="7"/>
  </w:num>
  <w:num w:numId="4">
    <w:abstractNumId w:val="6"/>
  </w:num>
  <w:num w:numId="5">
    <w:abstractNumId w:val="8"/>
  </w:num>
  <w:num w:numId="6">
    <w:abstractNumId w:val="2"/>
  </w:num>
  <w:num w:numId="7">
    <w:abstractNumId w:val="0"/>
  </w:num>
  <w:num w:numId="8">
    <w:abstractNumId w:val="3"/>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NzExZTU4MWZmNGJjZjc1OWY5MTkyODA3NzI4ZWUifQ=="/>
  </w:docVars>
  <w:rsids>
    <w:rsidRoot w:val="00000000"/>
    <w:rsid w:val="002419AD"/>
    <w:rsid w:val="00D40EB3"/>
    <w:rsid w:val="01177D91"/>
    <w:rsid w:val="01CA3E5B"/>
    <w:rsid w:val="01CA670C"/>
    <w:rsid w:val="01E11105"/>
    <w:rsid w:val="029E31A0"/>
    <w:rsid w:val="02A76009"/>
    <w:rsid w:val="031F3DF1"/>
    <w:rsid w:val="037B2175"/>
    <w:rsid w:val="03AF01E2"/>
    <w:rsid w:val="03C965AB"/>
    <w:rsid w:val="04161698"/>
    <w:rsid w:val="044840D2"/>
    <w:rsid w:val="04912ACD"/>
    <w:rsid w:val="04A723C3"/>
    <w:rsid w:val="04D330E5"/>
    <w:rsid w:val="04EF0EBA"/>
    <w:rsid w:val="04F27F91"/>
    <w:rsid w:val="056106F1"/>
    <w:rsid w:val="05AC4062"/>
    <w:rsid w:val="05FB49D3"/>
    <w:rsid w:val="060C2D53"/>
    <w:rsid w:val="064032D2"/>
    <w:rsid w:val="06527415"/>
    <w:rsid w:val="068B1EC9"/>
    <w:rsid w:val="06E15B1B"/>
    <w:rsid w:val="0744651C"/>
    <w:rsid w:val="07707311"/>
    <w:rsid w:val="0797489E"/>
    <w:rsid w:val="07AE44D2"/>
    <w:rsid w:val="07E91557"/>
    <w:rsid w:val="07F9630D"/>
    <w:rsid w:val="080A0B4A"/>
    <w:rsid w:val="080A722E"/>
    <w:rsid w:val="082223BA"/>
    <w:rsid w:val="08BA6A96"/>
    <w:rsid w:val="08D00067"/>
    <w:rsid w:val="09512ED0"/>
    <w:rsid w:val="09804A38"/>
    <w:rsid w:val="09897861"/>
    <w:rsid w:val="09AC0935"/>
    <w:rsid w:val="09AC2863"/>
    <w:rsid w:val="0A0846B1"/>
    <w:rsid w:val="0A326B00"/>
    <w:rsid w:val="0A774CD6"/>
    <w:rsid w:val="0AD100C7"/>
    <w:rsid w:val="0AE778EA"/>
    <w:rsid w:val="0B17629A"/>
    <w:rsid w:val="0B316DB7"/>
    <w:rsid w:val="0B3F623F"/>
    <w:rsid w:val="0C665935"/>
    <w:rsid w:val="0C711B61"/>
    <w:rsid w:val="0C7358DA"/>
    <w:rsid w:val="0C7A57C2"/>
    <w:rsid w:val="0CAF4A89"/>
    <w:rsid w:val="0CC9374C"/>
    <w:rsid w:val="0CF112EE"/>
    <w:rsid w:val="0CF923C9"/>
    <w:rsid w:val="0D0B5B12"/>
    <w:rsid w:val="0D4D6394"/>
    <w:rsid w:val="0D954907"/>
    <w:rsid w:val="0DD4147C"/>
    <w:rsid w:val="0E9B3F9E"/>
    <w:rsid w:val="0F0A7BF9"/>
    <w:rsid w:val="0F2049D9"/>
    <w:rsid w:val="0F6A360D"/>
    <w:rsid w:val="0F781459"/>
    <w:rsid w:val="0FCD185E"/>
    <w:rsid w:val="0FD15502"/>
    <w:rsid w:val="0FE94879"/>
    <w:rsid w:val="11222081"/>
    <w:rsid w:val="11605284"/>
    <w:rsid w:val="128679E9"/>
    <w:rsid w:val="131E4EDF"/>
    <w:rsid w:val="13344DBE"/>
    <w:rsid w:val="13663179"/>
    <w:rsid w:val="13D27439"/>
    <w:rsid w:val="143F2238"/>
    <w:rsid w:val="148914C4"/>
    <w:rsid w:val="14F111B2"/>
    <w:rsid w:val="15296DA0"/>
    <w:rsid w:val="16661C9F"/>
    <w:rsid w:val="16D21DE8"/>
    <w:rsid w:val="17523426"/>
    <w:rsid w:val="180314D0"/>
    <w:rsid w:val="18341AE3"/>
    <w:rsid w:val="183D5277"/>
    <w:rsid w:val="184B55C8"/>
    <w:rsid w:val="187D363C"/>
    <w:rsid w:val="1891512D"/>
    <w:rsid w:val="18E331A1"/>
    <w:rsid w:val="192026BA"/>
    <w:rsid w:val="1984223E"/>
    <w:rsid w:val="19B74BE3"/>
    <w:rsid w:val="19CE171F"/>
    <w:rsid w:val="19FE7E90"/>
    <w:rsid w:val="1A2C70C8"/>
    <w:rsid w:val="1A3A5AFF"/>
    <w:rsid w:val="1A6F007A"/>
    <w:rsid w:val="1AAE1C88"/>
    <w:rsid w:val="1AFB4833"/>
    <w:rsid w:val="1B457B59"/>
    <w:rsid w:val="1BC5023D"/>
    <w:rsid w:val="1C5D7A0C"/>
    <w:rsid w:val="1C7D3CBE"/>
    <w:rsid w:val="1CBD494F"/>
    <w:rsid w:val="1D2828BF"/>
    <w:rsid w:val="1D945258"/>
    <w:rsid w:val="1D9E43A6"/>
    <w:rsid w:val="1DAF24EA"/>
    <w:rsid w:val="1E165F1B"/>
    <w:rsid w:val="1E185388"/>
    <w:rsid w:val="1EF81C6E"/>
    <w:rsid w:val="1EFA7AF3"/>
    <w:rsid w:val="1F046865"/>
    <w:rsid w:val="1F3366D2"/>
    <w:rsid w:val="1F4C0EF6"/>
    <w:rsid w:val="1F953AC5"/>
    <w:rsid w:val="1FC529DB"/>
    <w:rsid w:val="20452C91"/>
    <w:rsid w:val="21242DBE"/>
    <w:rsid w:val="213F4B2E"/>
    <w:rsid w:val="21487F61"/>
    <w:rsid w:val="21D3134C"/>
    <w:rsid w:val="21ED35E0"/>
    <w:rsid w:val="21F605EF"/>
    <w:rsid w:val="2220631A"/>
    <w:rsid w:val="22857CBD"/>
    <w:rsid w:val="22CB6EB3"/>
    <w:rsid w:val="22D67E6E"/>
    <w:rsid w:val="233139A1"/>
    <w:rsid w:val="23794DB2"/>
    <w:rsid w:val="237B263B"/>
    <w:rsid w:val="23C91E2B"/>
    <w:rsid w:val="23E04E9D"/>
    <w:rsid w:val="23FA0466"/>
    <w:rsid w:val="241E1450"/>
    <w:rsid w:val="248069F2"/>
    <w:rsid w:val="24BE74B6"/>
    <w:rsid w:val="252945C0"/>
    <w:rsid w:val="268F3882"/>
    <w:rsid w:val="26A51461"/>
    <w:rsid w:val="27D84E00"/>
    <w:rsid w:val="27E66976"/>
    <w:rsid w:val="281C407C"/>
    <w:rsid w:val="281D2D4A"/>
    <w:rsid w:val="28645A9F"/>
    <w:rsid w:val="289B1FDE"/>
    <w:rsid w:val="28F81E13"/>
    <w:rsid w:val="29311D6D"/>
    <w:rsid w:val="294F692F"/>
    <w:rsid w:val="29BF147D"/>
    <w:rsid w:val="29FB0865"/>
    <w:rsid w:val="2A2D53A4"/>
    <w:rsid w:val="2B0146C3"/>
    <w:rsid w:val="2B6B53EC"/>
    <w:rsid w:val="2B713F38"/>
    <w:rsid w:val="2B9042A4"/>
    <w:rsid w:val="2B980A61"/>
    <w:rsid w:val="2BF660B0"/>
    <w:rsid w:val="2BFF450D"/>
    <w:rsid w:val="2C0B0713"/>
    <w:rsid w:val="2CEB20AE"/>
    <w:rsid w:val="2D74672B"/>
    <w:rsid w:val="2DAF2092"/>
    <w:rsid w:val="2DEE438F"/>
    <w:rsid w:val="2E843394"/>
    <w:rsid w:val="2E880B80"/>
    <w:rsid w:val="2EEB0D05"/>
    <w:rsid w:val="2FB86A4B"/>
    <w:rsid w:val="2FBE65BC"/>
    <w:rsid w:val="2FC91F61"/>
    <w:rsid w:val="300D68E0"/>
    <w:rsid w:val="303D5733"/>
    <w:rsid w:val="30505489"/>
    <w:rsid w:val="30653CC1"/>
    <w:rsid w:val="30791D02"/>
    <w:rsid w:val="307E5AB0"/>
    <w:rsid w:val="31286B60"/>
    <w:rsid w:val="31351FE3"/>
    <w:rsid w:val="315B7E7B"/>
    <w:rsid w:val="31BD2FCF"/>
    <w:rsid w:val="31C32C4E"/>
    <w:rsid w:val="32827E81"/>
    <w:rsid w:val="329950BE"/>
    <w:rsid w:val="32E66C2F"/>
    <w:rsid w:val="33122963"/>
    <w:rsid w:val="333713EB"/>
    <w:rsid w:val="33741738"/>
    <w:rsid w:val="338F44F8"/>
    <w:rsid w:val="3392223A"/>
    <w:rsid w:val="33A749A4"/>
    <w:rsid w:val="33F61609"/>
    <w:rsid w:val="342C646D"/>
    <w:rsid w:val="3564289E"/>
    <w:rsid w:val="357339A5"/>
    <w:rsid w:val="35BD0A9B"/>
    <w:rsid w:val="36687282"/>
    <w:rsid w:val="37702EFF"/>
    <w:rsid w:val="389D60C5"/>
    <w:rsid w:val="390F052A"/>
    <w:rsid w:val="39606B90"/>
    <w:rsid w:val="39A26C04"/>
    <w:rsid w:val="3A0A0D7C"/>
    <w:rsid w:val="3A443B62"/>
    <w:rsid w:val="3AC85F81"/>
    <w:rsid w:val="3B0F042A"/>
    <w:rsid w:val="3B1F0857"/>
    <w:rsid w:val="3B3977BC"/>
    <w:rsid w:val="3BA810F2"/>
    <w:rsid w:val="3BE611A9"/>
    <w:rsid w:val="3BEF74D1"/>
    <w:rsid w:val="3C1063F2"/>
    <w:rsid w:val="3C9B3F0D"/>
    <w:rsid w:val="3CFE25C7"/>
    <w:rsid w:val="3D2008B6"/>
    <w:rsid w:val="3DD22D57"/>
    <w:rsid w:val="3DF61538"/>
    <w:rsid w:val="3E2D0EBA"/>
    <w:rsid w:val="3E422C21"/>
    <w:rsid w:val="3E7D4E84"/>
    <w:rsid w:val="3E895FE7"/>
    <w:rsid w:val="3ECC33F5"/>
    <w:rsid w:val="3F2D72BA"/>
    <w:rsid w:val="3F5A3E02"/>
    <w:rsid w:val="3F72123F"/>
    <w:rsid w:val="3F827606"/>
    <w:rsid w:val="3FD059AC"/>
    <w:rsid w:val="3FDD483D"/>
    <w:rsid w:val="404937CC"/>
    <w:rsid w:val="409F16F7"/>
    <w:rsid w:val="40B167EF"/>
    <w:rsid w:val="40D448F7"/>
    <w:rsid w:val="411F4CE1"/>
    <w:rsid w:val="418326DD"/>
    <w:rsid w:val="41DC205F"/>
    <w:rsid w:val="41E66F38"/>
    <w:rsid w:val="42610D54"/>
    <w:rsid w:val="426C517F"/>
    <w:rsid w:val="42CD6DEA"/>
    <w:rsid w:val="42EC15FD"/>
    <w:rsid w:val="431F7A6A"/>
    <w:rsid w:val="43A85162"/>
    <w:rsid w:val="43FC45D9"/>
    <w:rsid w:val="44672CA2"/>
    <w:rsid w:val="44747111"/>
    <w:rsid w:val="44EF1F91"/>
    <w:rsid w:val="45407508"/>
    <w:rsid w:val="45915C44"/>
    <w:rsid w:val="460D0585"/>
    <w:rsid w:val="46250CEB"/>
    <w:rsid w:val="462C4319"/>
    <w:rsid w:val="469F284C"/>
    <w:rsid w:val="46A379E2"/>
    <w:rsid w:val="46E86E16"/>
    <w:rsid w:val="4710374A"/>
    <w:rsid w:val="47520C21"/>
    <w:rsid w:val="476F5AB7"/>
    <w:rsid w:val="47C50B6E"/>
    <w:rsid w:val="47EE6C37"/>
    <w:rsid w:val="48DD6D65"/>
    <w:rsid w:val="48ED02D3"/>
    <w:rsid w:val="49284D01"/>
    <w:rsid w:val="4960095D"/>
    <w:rsid w:val="49695393"/>
    <w:rsid w:val="49E8275C"/>
    <w:rsid w:val="4A183041"/>
    <w:rsid w:val="4A325785"/>
    <w:rsid w:val="4AA95520"/>
    <w:rsid w:val="4BA81FB5"/>
    <w:rsid w:val="4C023DEB"/>
    <w:rsid w:val="4C443FEE"/>
    <w:rsid w:val="4C4A6E65"/>
    <w:rsid w:val="4CF90ACE"/>
    <w:rsid w:val="4D676A72"/>
    <w:rsid w:val="4D752558"/>
    <w:rsid w:val="4EA36C51"/>
    <w:rsid w:val="4EC56BC8"/>
    <w:rsid w:val="4F51352D"/>
    <w:rsid w:val="4F647EBE"/>
    <w:rsid w:val="4FAF382B"/>
    <w:rsid w:val="4FDE3E71"/>
    <w:rsid w:val="4FDF1F0B"/>
    <w:rsid w:val="501201FE"/>
    <w:rsid w:val="50C92EEB"/>
    <w:rsid w:val="5124051D"/>
    <w:rsid w:val="51470009"/>
    <w:rsid w:val="51AF4F86"/>
    <w:rsid w:val="51E61378"/>
    <w:rsid w:val="51FB272C"/>
    <w:rsid w:val="5200372D"/>
    <w:rsid w:val="528A4C80"/>
    <w:rsid w:val="52AD19DB"/>
    <w:rsid w:val="52BA3ED8"/>
    <w:rsid w:val="53057EDB"/>
    <w:rsid w:val="533F04A9"/>
    <w:rsid w:val="535E549C"/>
    <w:rsid w:val="53670B95"/>
    <w:rsid w:val="5418797C"/>
    <w:rsid w:val="54271FE7"/>
    <w:rsid w:val="546C5887"/>
    <w:rsid w:val="5470465A"/>
    <w:rsid w:val="54B90CF5"/>
    <w:rsid w:val="54CB3595"/>
    <w:rsid w:val="550245FF"/>
    <w:rsid w:val="55865260"/>
    <w:rsid w:val="5593651A"/>
    <w:rsid w:val="55AB0460"/>
    <w:rsid w:val="55B347D2"/>
    <w:rsid w:val="5616537B"/>
    <w:rsid w:val="56341DFA"/>
    <w:rsid w:val="5663290D"/>
    <w:rsid w:val="56AD6EAA"/>
    <w:rsid w:val="56E1672E"/>
    <w:rsid w:val="570441D3"/>
    <w:rsid w:val="580E6C36"/>
    <w:rsid w:val="581333C5"/>
    <w:rsid w:val="58312464"/>
    <w:rsid w:val="58736811"/>
    <w:rsid w:val="58F85895"/>
    <w:rsid w:val="59164AA0"/>
    <w:rsid w:val="5980650D"/>
    <w:rsid w:val="599F0E1F"/>
    <w:rsid w:val="5A8B7D9A"/>
    <w:rsid w:val="5AC153D5"/>
    <w:rsid w:val="5B5F3901"/>
    <w:rsid w:val="5BF94059"/>
    <w:rsid w:val="5C0C796C"/>
    <w:rsid w:val="5C780CE4"/>
    <w:rsid w:val="5CD462E6"/>
    <w:rsid w:val="5CE0036A"/>
    <w:rsid w:val="5D145459"/>
    <w:rsid w:val="5D3A4C25"/>
    <w:rsid w:val="5DBB165A"/>
    <w:rsid w:val="5DC54075"/>
    <w:rsid w:val="5DE0720E"/>
    <w:rsid w:val="5E0B1BB0"/>
    <w:rsid w:val="5E467C1D"/>
    <w:rsid w:val="5EB870AD"/>
    <w:rsid w:val="5ECB55B6"/>
    <w:rsid w:val="5ED37344"/>
    <w:rsid w:val="5EE81A35"/>
    <w:rsid w:val="5F6412E9"/>
    <w:rsid w:val="5F9D09F0"/>
    <w:rsid w:val="5FC304F1"/>
    <w:rsid w:val="6065020A"/>
    <w:rsid w:val="60F50CAC"/>
    <w:rsid w:val="617375B1"/>
    <w:rsid w:val="61B7506F"/>
    <w:rsid w:val="627770C5"/>
    <w:rsid w:val="62797F9D"/>
    <w:rsid w:val="627D19E2"/>
    <w:rsid w:val="632F0508"/>
    <w:rsid w:val="6372077B"/>
    <w:rsid w:val="63A36368"/>
    <w:rsid w:val="63BF5EF6"/>
    <w:rsid w:val="63CC550E"/>
    <w:rsid w:val="63E61CD7"/>
    <w:rsid w:val="63E62A2C"/>
    <w:rsid w:val="642777BB"/>
    <w:rsid w:val="6448097C"/>
    <w:rsid w:val="65221B38"/>
    <w:rsid w:val="65A03EDF"/>
    <w:rsid w:val="65D5650D"/>
    <w:rsid w:val="65D57D7A"/>
    <w:rsid w:val="65F906AC"/>
    <w:rsid w:val="662B2963"/>
    <w:rsid w:val="662B7800"/>
    <w:rsid w:val="667677C4"/>
    <w:rsid w:val="669F1A3F"/>
    <w:rsid w:val="66C01DCB"/>
    <w:rsid w:val="66C578C8"/>
    <w:rsid w:val="67197E7A"/>
    <w:rsid w:val="6738057B"/>
    <w:rsid w:val="67791813"/>
    <w:rsid w:val="67C642D0"/>
    <w:rsid w:val="67D77961"/>
    <w:rsid w:val="686E04C4"/>
    <w:rsid w:val="6898557E"/>
    <w:rsid w:val="68D03D0D"/>
    <w:rsid w:val="6A674B7F"/>
    <w:rsid w:val="6B14065E"/>
    <w:rsid w:val="6B260BC5"/>
    <w:rsid w:val="6B5010ED"/>
    <w:rsid w:val="6B517D09"/>
    <w:rsid w:val="6BA312EE"/>
    <w:rsid w:val="6BAD0860"/>
    <w:rsid w:val="6BB41182"/>
    <w:rsid w:val="6C21385B"/>
    <w:rsid w:val="6C5D623A"/>
    <w:rsid w:val="6C786B34"/>
    <w:rsid w:val="6C9860AF"/>
    <w:rsid w:val="6D2532C1"/>
    <w:rsid w:val="6D390A55"/>
    <w:rsid w:val="6D7101EF"/>
    <w:rsid w:val="6DA463F1"/>
    <w:rsid w:val="6DBB142A"/>
    <w:rsid w:val="6DC90575"/>
    <w:rsid w:val="6E2B0D75"/>
    <w:rsid w:val="6E77698D"/>
    <w:rsid w:val="6E9C6986"/>
    <w:rsid w:val="7024730F"/>
    <w:rsid w:val="702C6118"/>
    <w:rsid w:val="70492241"/>
    <w:rsid w:val="709E041A"/>
    <w:rsid w:val="70D50190"/>
    <w:rsid w:val="70D56237"/>
    <w:rsid w:val="70E64A50"/>
    <w:rsid w:val="71312C91"/>
    <w:rsid w:val="71640AAD"/>
    <w:rsid w:val="719C1CF7"/>
    <w:rsid w:val="71C34D91"/>
    <w:rsid w:val="71DE3BF6"/>
    <w:rsid w:val="723932A5"/>
    <w:rsid w:val="72420954"/>
    <w:rsid w:val="72532D9D"/>
    <w:rsid w:val="7280258D"/>
    <w:rsid w:val="72EE408F"/>
    <w:rsid w:val="72F661DA"/>
    <w:rsid w:val="73012015"/>
    <w:rsid w:val="733F057D"/>
    <w:rsid w:val="73D55FAF"/>
    <w:rsid w:val="74115595"/>
    <w:rsid w:val="74DD7046"/>
    <w:rsid w:val="7530098F"/>
    <w:rsid w:val="755C374C"/>
    <w:rsid w:val="75A621F2"/>
    <w:rsid w:val="75D532E5"/>
    <w:rsid w:val="75F63DAF"/>
    <w:rsid w:val="760E532F"/>
    <w:rsid w:val="76C9109B"/>
    <w:rsid w:val="76F63E01"/>
    <w:rsid w:val="774E361F"/>
    <w:rsid w:val="776112D4"/>
    <w:rsid w:val="785E4C0A"/>
    <w:rsid w:val="78D2019F"/>
    <w:rsid w:val="7939286F"/>
    <w:rsid w:val="793D67A8"/>
    <w:rsid w:val="798A66B0"/>
    <w:rsid w:val="79E461EC"/>
    <w:rsid w:val="7A0643B5"/>
    <w:rsid w:val="7A141194"/>
    <w:rsid w:val="7A275E35"/>
    <w:rsid w:val="7A2D3456"/>
    <w:rsid w:val="7A5A3B08"/>
    <w:rsid w:val="7AF1599C"/>
    <w:rsid w:val="7B7E5375"/>
    <w:rsid w:val="7BE90D15"/>
    <w:rsid w:val="7BFE2876"/>
    <w:rsid w:val="7C001F2C"/>
    <w:rsid w:val="7C4411C4"/>
    <w:rsid w:val="7C4A0065"/>
    <w:rsid w:val="7C743857"/>
    <w:rsid w:val="7CEF1130"/>
    <w:rsid w:val="7D0A7D18"/>
    <w:rsid w:val="7D284642"/>
    <w:rsid w:val="7D587A27"/>
    <w:rsid w:val="7D960C66"/>
    <w:rsid w:val="7D9817C8"/>
    <w:rsid w:val="7DB30522"/>
    <w:rsid w:val="7DED1B13"/>
    <w:rsid w:val="7E264832"/>
    <w:rsid w:val="7E3B77B7"/>
    <w:rsid w:val="7E5B6E67"/>
    <w:rsid w:val="7E6E724A"/>
    <w:rsid w:val="7E704A33"/>
    <w:rsid w:val="7E967AAD"/>
    <w:rsid w:val="7EA01209"/>
    <w:rsid w:val="7F111831"/>
    <w:rsid w:val="7F9E0BEB"/>
    <w:rsid w:val="7FD3231E"/>
    <w:rsid w:val="7FEC4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25">
    <w:name w:val="Default Paragraph Font"/>
    <w:qFormat/>
    <w:uiPriority w:val="1"/>
  </w:style>
  <w:style w:type="table" w:default="1" w:styleId="23">
    <w:name w:val="Normal Table"/>
    <w:qFormat/>
    <w:uiPriority w:val="99"/>
    <w:tblPr>
      <w:tblCellMar>
        <w:top w:w="0" w:type="dxa"/>
        <w:left w:w="108" w:type="dxa"/>
        <w:bottom w:w="0" w:type="dxa"/>
        <w:right w:w="108" w:type="dxa"/>
      </w:tblCellMar>
    </w:tblPr>
  </w:style>
  <w:style w:type="paragraph" w:styleId="5">
    <w:name w:val="Normal Indent"/>
    <w:basedOn w:val="1"/>
    <w:next w:val="1"/>
    <w:qFormat/>
    <w:uiPriority w:val="0"/>
    <w:pPr>
      <w:autoSpaceDE w:val="0"/>
      <w:autoSpaceDN w:val="0"/>
      <w:adjustRightInd w:val="0"/>
      <w:ind w:firstLine="420"/>
    </w:pPr>
    <w:rPr>
      <w:rFonts w:ascii="宋体"/>
      <w:szCs w:val="20"/>
    </w:rPr>
  </w:style>
  <w:style w:type="paragraph" w:styleId="6">
    <w:name w:val="toa heading"/>
    <w:basedOn w:val="1"/>
    <w:next w:val="1"/>
    <w:qFormat/>
    <w:uiPriority w:val="0"/>
    <w:pPr>
      <w:spacing w:before="120"/>
    </w:pPr>
    <w:rPr>
      <w:rFonts w:ascii="Cambria" w:hAnsi="Cambria"/>
      <w:szCs w:val="20"/>
    </w:rPr>
  </w:style>
  <w:style w:type="paragraph" w:styleId="7">
    <w:name w:val="Body Text"/>
    <w:basedOn w:val="1"/>
    <w:next w:val="8"/>
    <w:qFormat/>
    <w:uiPriority w:val="99"/>
    <w:pPr>
      <w:numPr>
        <w:ilvl w:val="0"/>
        <w:numId w:val="1"/>
      </w:numPr>
    </w:pPr>
    <w:rPr>
      <w:rFonts w:ascii="黑体" w:eastAsia="黑体"/>
      <w:sz w:val="22"/>
    </w:rPr>
  </w:style>
  <w:style w:type="paragraph" w:styleId="8">
    <w:name w:val="Body Text First Indent"/>
    <w:basedOn w:val="7"/>
    <w:next w:val="9"/>
    <w:qFormat/>
    <w:uiPriority w:val="99"/>
    <w:pPr>
      <w:tabs>
        <w:tab w:val="left" w:pos="567"/>
      </w:tabs>
      <w:ind w:firstLine="420" w:firstLineChars="100"/>
    </w:pPr>
  </w:style>
  <w:style w:type="paragraph" w:styleId="9">
    <w:name w:val="toc 6"/>
    <w:basedOn w:val="1"/>
    <w:next w:val="1"/>
    <w:qFormat/>
    <w:uiPriority w:val="0"/>
    <w:pPr>
      <w:ind w:left="2100" w:leftChars="1000"/>
    </w:pPr>
  </w:style>
  <w:style w:type="paragraph" w:styleId="10">
    <w:name w:val="Body Text Indent"/>
    <w:basedOn w:val="1"/>
    <w:qFormat/>
    <w:uiPriority w:val="0"/>
    <w:pPr>
      <w:spacing w:after="120"/>
      <w:ind w:left="200" w:leftChars="200"/>
    </w:pPr>
  </w:style>
  <w:style w:type="paragraph" w:styleId="11">
    <w:name w:val="Plain Text"/>
    <w:basedOn w:val="1"/>
    <w:next w:val="12"/>
    <w:qFormat/>
    <w:uiPriority w:val="0"/>
    <w:rPr>
      <w:rFonts w:ascii="宋体"/>
      <w:color w:val="000000"/>
      <w:szCs w:val="20"/>
      <w:u w:val="none" w:color="000000"/>
    </w:rPr>
  </w:style>
  <w:style w:type="paragraph" w:styleId="12">
    <w:name w:val="index 7"/>
    <w:basedOn w:val="1"/>
    <w:next w:val="1"/>
    <w:qFormat/>
    <w:uiPriority w:val="0"/>
    <w:pPr>
      <w:autoSpaceDE/>
      <w:autoSpaceDN/>
      <w:adjustRightInd/>
      <w:ind w:left="1200" w:leftChars="1200"/>
    </w:pPr>
    <w:rPr>
      <w:color w:val="auto"/>
      <w:kern w:val="2"/>
      <w:szCs w:val="24"/>
    </w:rPr>
  </w:style>
  <w:style w:type="paragraph" w:styleId="13">
    <w:name w:val="Date"/>
    <w:basedOn w:val="1"/>
    <w:next w:val="1"/>
    <w:qFormat/>
    <w:uiPriority w:val="0"/>
    <w:rPr>
      <w:rFonts w:ascii="Arial" w:hAnsi="Arial" w:eastAsia="仿宋_GB2312"/>
      <w:color w:val="000000"/>
      <w:sz w:val="32"/>
      <w:szCs w:val="20"/>
      <w:u w:val="none" w:color="000000"/>
    </w:rPr>
  </w:style>
  <w:style w:type="paragraph" w:styleId="14">
    <w:name w:val="footer"/>
    <w:basedOn w:val="1"/>
    <w:qFormat/>
    <w:uiPriority w:val="0"/>
    <w:pPr>
      <w:tabs>
        <w:tab w:val="center" w:pos="4153"/>
        <w:tab w:val="right" w:pos="8306"/>
      </w:tabs>
      <w:snapToGrid w:val="0"/>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6">
    <w:name w:val="toc 1"/>
    <w:basedOn w:val="1"/>
    <w:next w:val="1"/>
    <w:qFormat/>
    <w:uiPriority w:val="39"/>
  </w:style>
  <w:style w:type="paragraph" w:styleId="17">
    <w:name w:val="footnote text"/>
    <w:basedOn w:val="1"/>
    <w:next w:val="7"/>
    <w:qFormat/>
    <w:uiPriority w:val="99"/>
    <w:pPr>
      <w:snapToGrid w:val="0"/>
    </w:pPr>
    <w:rPr>
      <w:sz w:val="18"/>
      <w:szCs w:val="18"/>
    </w:rPr>
  </w:style>
  <w:style w:type="paragraph" w:styleId="18">
    <w:name w:val="table of figures"/>
    <w:basedOn w:val="1"/>
    <w:next w:val="1"/>
    <w:unhideWhenUsed/>
    <w:qFormat/>
    <w:uiPriority w:val="99"/>
    <w:pPr>
      <w:ind w:left="200" w:leftChars="200" w:hanging="200" w:hangingChars="200"/>
    </w:pPr>
    <w:rPr>
      <w:rFonts w:ascii="Times New Roman" w:hAnsi="Times New Roman" w:eastAsia="宋体" w:cs="Times New Roman"/>
    </w:rPr>
  </w:style>
  <w:style w:type="paragraph" w:styleId="19">
    <w:name w:val="Body Text 2"/>
    <w:basedOn w:val="1"/>
    <w:qFormat/>
    <w:uiPriority w:val="0"/>
    <w:pPr>
      <w:tabs>
        <w:tab w:val="left" w:pos="0"/>
      </w:tabs>
      <w:spacing w:line="400" w:lineRule="atLeast"/>
    </w:pPr>
    <w:rPr>
      <w:rFonts w:ascii="Arial" w:hAnsi="Arial"/>
    </w:r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qFormat/>
    <w:uiPriority w:val="99"/>
    <w:pPr>
      <w:widowControl/>
    </w:pPr>
    <w:rPr>
      <w:rFonts w:ascii="宋体" w:hAnsi="宋体" w:eastAsia="宋体" w:cs="宋体"/>
    </w:rPr>
  </w:style>
  <w:style w:type="paragraph" w:styleId="22">
    <w:name w:val="Body Text First Indent 2"/>
    <w:basedOn w:val="10"/>
    <w:qFormat/>
    <w:uiPriority w:val="0"/>
    <w:pPr>
      <w:ind w:firstLine="420" w:firstLineChars="2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rPr>
  </w:style>
  <w:style w:type="character" w:styleId="27">
    <w:name w:val="footnote reference"/>
    <w:basedOn w:val="25"/>
    <w:qFormat/>
    <w:uiPriority w:val="99"/>
    <w:rPr>
      <w:vertAlign w:val="superscript"/>
    </w:rPr>
  </w:style>
  <w:style w:type="character" w:styleId="28">
    <w:name w:val="HTML Sample"/>
    <w:basedOn w:val="25"/>
    <w:qFormat/>
    <w:uiPriority w:val="0"/>
    <w:rPr>
      <w:rFonts w:ascii="Courier New" w:hAnsi="Courier New"/>
    </w:rPr>
  </w:style>
  <w:style w:type="paragraph" w:customStyle="1" w:styleId="29">
    <w:name w:val="样式 样式 左侧:  2 字符 + 左侧:  0.85 厘米 首行缩进:  2 字符1"/>
    <w:basedOn w:val="1"/>
    <w:qFormat/>
    <w:uiPriority w:val="0"/>
    <w:pPr>
      <w:ind w:left="482" w:firstLine="200" w:firstLineChars="200"/>
    </w:pPr>
    <w:rPr>
      <w:rFonts w:cs="宋体"/>
      <w:szCs w:val="20"/>
    </w:rPr>
  </w:style>
  <w:style w:type="paragraph" w:customStyle="1" w:styleId="30">
    <w:name w:val="正文格式"/>
    <w:basedOn w:val="1"/>
    <w:qFormat/>
    <w:uiPriority w:val="99"/>
    <w:pPr>
      <w:widowControl/>
      <w:adjustRightInd w:val="0"/>
      <w:snapToGrid w:val="0"/>
      <w:spacing w:line="400" w:lineRule="atLeast"/>
      <w:ind w:firstLine="482"/>
      <w:textAlignment w:val="baseline"/>
    </w:p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2">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33">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34">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35">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6">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7">
    <w:name w:val="Table caption|1"/>
    <w:basedOn w:val="1"/>
    <w:qFormat/>
    <w:uiPriority w:val="0"/>
    <w:rPr>
      <w:rFonts w:ascii="宋体" w:hAnsi="宋体" w:eastAsia="宋体" w:cs="宋体"/>
      <w:sz w:val="22"/>
      <w:szCs w:val="22"/>
      <w:lang w:val="zh-TW" w:eastAsia="zh-TW" w:bidi="zh-TW"/>
    </w:rPr>
  </w:style>
  <w:style w:type="paragraph" w:customStyle="1" w:styleId="38">
    <w:name w:val="Table Paragraph"/>
    <w:basedOn w:val="1"/>
    <w:qFormat/>
    <w:uiPriority w:val="1"/>
    <w:pPr>
      <w:autoSpaceDE w:val="0"/>
      <w:autoSpaceDN w:val="0"/>
      <w:adjustRightInd w:val="0"/>
    </w:pPr>
    <w:rPr>
      <w:rFonts w:eastAsia="宋体"/>
    </w:rPr>
  </w:style>
  <w:style w:type="paragraph" w:customStyle="1" w:styleId="39">
    <w:name w:val="BodyText"/>
    <w:basedOn w:val="1"/>
    <w:next w:val="1"/>
    <w:qFormat/>
    <w:uiPriority w:val="0"/>
    <w:pPr>
      <w:tabs>
        <w:tab w:val="left" w:pos="780"/>
      </w:tabs>
    </w:pPr>
    <w:rPr>
      <w:rFonts w:ascii="黑体" w:eastAsia="黑体"/>
      <w:sz w:val="22"/>
    </w:rPr>
  </w:style>
  <w:style w:type="character" w:customStyle="1" w:styleId="40">
    <w:name w:val="font01"/>
    <w:basedOn w:val="25"/>
    <w:qFormat/>
    <w:uiPriority w:val="0"/>
    <w:rPr>
      <w:rFonts w:hint="eastAsia" w:ascii="宋体" w:hAnsi="宋体" w:eastAsia="宋体" w:cs="宋体"/>
      <w:color w:val="000000"/>
      <w:sz w:val="22"/>
      <w:szCs w:val="22"/>
      <w:u w:val="none"/>
    </w:rPr>
  </w:style>
  <w:style w:type="character" w:customStyle="1" w:styleId="41">
    <w:name w:val="font11"/>
    <w:basedOn w:val="25"/>
    <w:qFormat/>
    <w:uiPriority w:val="0"/>
    <w:rPr>
      <w:rFonts w:ascii="Arial" w:hAnsi="Arial" w:cs="Arial"/>
      <w:color w:val="000000"/>
      <w:sz w:val="22"/>
      <w:szCs w:val="22"/>
      <w:u w:val="none"/>
    </w:rPr>
  </w:style>
  <w:style w:type="character" w:customStyle="1" w:styleId="42">
    <w:name w:val="font31"/>
    <w:basedOn w:val="25"/>
    <w:qFormat/>
    <w:uiPriority w:val="0"/>
    <w:rPr>
      <w:rFonts w:hint="eastAsia" w:ascii="宋体" w:hAnsi="宋体" w:eastAsia="宋体" w:cs="宋体"/>
      <w:color w:val="000000"/>
      <w:sz w:val="22"/>
      <w:szCs w:val="22"/>
      <w:u w:val="none"/>
    </w:rPr>
  </w:style>
  <w:style w:type="character" w:customStyle="1" w:styleId="43">
    <w:name w:val="font61"/>
    <w:basedOn w:val="25"/>
    <w:qFormat/>
    <w:uiPriority w:val="0"/>
    <w:rPr>
      <w:rFonts w:ascii="宋体" w:hAnsi="宋体" w:eastAsia="宋体" w:cs="宋体"/>
      <w:color w:val="000000"/>
      <w:sz w:val="22"/>
      <w:szCs w:val="22"/>
      <w:u w:val="none"/>
    </w:rPr>
  </w:style>
  <w:style w:type="paragraph" w:customStyle="1" w:styleId="44">
    <w:name w:val="BodyText1I2"/>
    <w:basedOn w:val="45"/>
    <w:qFormat/>
    <w:uiPriority w:val="0"/>
    <w:pPr>
      <w:spacing w:after="0" w:afterLines="0" w:line="500" w:lineRule="exact"/>
      <w:ind w:left="0" w:leftChars="0" w:firstLine="420" w:firstLineChars="200"/>
      <w:jc w:val="both"/>
    </w:pPr>
    <w:rPr>
      <w:kern w:val="2"/>
      <w:sz w:val="21"/>
      <w:szCs w:val="24"/>
      <w:lang w:bidi="ar-SA"/>
    </w:rPr>
  </w:style>
  <w:style w:type="paragraph" w:customStyle="1" w:styleId="45">
    <w:name w:val="BodyTextIndent"/>
    <w:basedOn w:val="1"/>
    <w:qFormat/>
    <w:uiPriority w:val="0"/>
    <w:pPr>
      <w:widowControl/>
      <w:spacing w:after="120" w:afterLines="0" w:line="240" w:lineRule="auto"/>
      <w:ind w:left="420" w:leftChars="200"/>
      <w:jc w:val="both"/>
    </w:pPr>
    <w:rPr>
      <w:rFonts w:ascii="宋体" w:hAnsi="宋体" w:eastAsia="宋体" w:cs="宋体"/>
      <w:kern w:val="2"/>
      <w:sz w:val="21"/>
      <w:szCs w:val="22"/>
      <w:lang w:eastAsia="en-US" w:bidi="ar-SA"/>
    </w:rPr>
  </w:style>
  <w:style w:type="paragraph" w:customStyle="1" w:styleId="46">
    <w:name w:val="No Spacing"/>
    <w:basedOn w:val="1"/>
    <w:qFormat/>
    <w:uiPriority w:val="1"/>
    <w:pPr>
      <w:jc w:val="center"/>
    </w:pPr>
    <w:rPr>
      <w:rFonts w:eastAsia="黑体"/>
      <w:sz w:val="30"/>
    </w:rPr>
  </w:style>
  <w:style w:type="paragraph" w:customStyle="1" w:styleId="47">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48">
    <w:name w:val="Table Normal"/>
    <w:semiHidden/>
    <w:unhideWhenUsed/>
    <w:qFormat/>
    <w:uiPriority w:val="0"/>
    <w:tblPr>
      <w:tblCellMar>
        <w:top w:w="0" w:type="dxa"/>
        <w:left w:w="0" w:type="dxa"/>
        <w:bottom w:w="0" w:type="dxa"/>
        <w:right w:w="0" w:type="dxa"/>
      </w:tblCellMar>
    </w:tblPr>
  </w:style>
  <w:style w:type="character" w:customStyle="1" w:styleId="49">
    <w:name w:val="font51"/>
    <w:basedOn w:val="25"/>
    <w:qFormat/>
    <w:uiPriority w:val="0"/>
    <w:rPr>
      <w:rFonts w:hint="eastAsia" w:ascii="宋体" w:hAnsi="宋体" w:eastAsia="宋体" w:cs="宋体"/>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78</Pages>
  <Words>182</Words>
  <Characters>219</Characters>
  <Paragraphs>2228</Paragraphs>
  <TotalTime>2</TotalTime>
  <ScaleCrop>false</ScaleCrop>
  <LinksUpToDate>false</LinksUpToDate>
  <CharactersWithSpaces>259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张鑫</cp:lastModifiedBy>
  <cp:lastPrinted>2025-06-12T02:46:00Z</cp:lastPrinted>
  <dcterms:modified xsi:type="dcterms:W3CDTF">2026-10-11T15:12:36Z</dcterms:modified>
  <dc:title>克州职工基本医疗保险基金转为定期存款项目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BF0BD76062D244AFA978D48BE1AD55D4</vt:lpwstr>
  </property>
  <property fmtid="{D5CDD505-2E9C-101B-9397-08002B2CF9AE}" pid="4" name="KSOTemplateDocerSaveRecord">
    <vt:lpwstr>eyJoZGlkIjoiZjJjZDBiYzdhZTdiYThlNDE5M2U4YjQyZjllMTcyMjciLCJ1c2VySWQiOiI0NTM5Mzc3OTAifQ==</vt:lpwstr>
  </property>
</Properties>
</file>