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A2AA35">
      <w:pPr>
        <w:pStyle w:val="32"/>
        <w:tabs>
          <w:tab w:val="center" w:pos="4833"/>
          <w:tab w:val="left" w:pos="7579"/>
        </w:tabs>
        <w:rPr>
          <w:rFonts w:hint="default" w:ascii="仿宋" w:hAnsi="仿宋" w:eastAsia="仿宋" w:cs="仿宋"/>
          <w:b/>
          <w:color w:val="auto"/>
          <w:sz w:val="48"/>
          <w:szCs w:val="48"/>
          <w:lang w:val="en-US" w:eastAsia="zh-CN"/>
        </w:rPr>
      </w:pPr>
      <w:r>
        <w:rPr>
          <w:rFonts w:hint="eastAsia" w:ascii="仿宋" w:hAnsi="仿宋" w:eastAsia="仿宋" w:cs="仿宋"/>
          <w:b/>
          <w:color w:val="auto"/>
          <w:sz w:val="48"/>
          <w:szCs w:val="48"/>
          <w:lang w:eastAsia="zh-CN"/>
        </w:rPr>
        <w:t>阿合奇县医疗卫生提升项目一阿合奇县医共体医疗废物原地处置建设项目</w:t>
      </w:r>
    </w:p>
    <w:p w14:paraId="29AF7389">
      <w:pPr>
        <w:pStyle w:val="32"/>
        <w:rPr>
          <w:rFonts w:ascii="仿宋" w:hAnsi="仿宋" w:eastAsia="仿宋" w:cs="仿宋"/>
          <w:color w:val="auto"/>
          <w:sz w:val="32"/>
          <w:szCs w:val="32"/>
        </w:rPr>
      </w:pPr>
      <w:r>
        <w:rPr>
          <w:rFonts w:hint="eastAsia" w:ascii="仿宋" w:hAnsi="仿宋" w:eastAsia="仿宋" w:cs="仿宋"/>
          <w:b/>
          <w:bCs/>
          <w:color w:val="auto"/>
          <w:sz w:val="32"/>
          <w:szCs w:val="32"/>
          <w:lang w:val="en-US" w:eastAsia="zh-CN"/>
        </w:rPr>
        <w:t>项目编号：AHQXZB-2026034</w:t>
      </w:r>
    </w:p>
    <w:p w14:paraId="4F190105">
      <w:pPr>
        <w:pStyle w:val="32"/>
        <w:tabs>
          <w:tab w:val="center" w:pos="4833"/>
          <w:tab w:val="left" w:pos="7579"/>
        </w:tabs>
        <w:rPr>
          <w:rFonts w:ascii="仿宋" w:hAnsi="仿宋" w:eastAsia="仿宋" w:cs="仿宋"/>
          <w:b/>
          <w:color w:val="auto"/>
          <w:sz w:val="96"/>
          <w:szCs w:val="96"/>
        </w:rPr>
      </w:pPr>
      <w:r>
        <w:rPr>
          <w:rFonts w:hint="eastAsia" w:ascii="仿宋" w:hAnsi="仿宋" w:eastAsia="仿宋" w:cs="仿宋"/>
          <w:b/>
          <w:color w:val="auto"/>
          <w:sz w:val="96"/>
          <w:szCs w:val="96"/>
          <w:lang w:val="en-US" w:eastAsia="zh-CN"/>
        </w:rPr>
        <w:t xml:space="preserve">    </w:t>
      </w:r>
      <w:r>
        <w:rPr>
          <w:rFonts w:hint="eastAsia" w:ascii="仿宋" w:hAnsi="仿宋" w:eastAsia="仿宋" w:cs="仿宋"/>
          <w:b/>
          <w:color w:val="auto"/>
          <w:sz w:val="96"/>
          <w:szCs w:val="96"/>
        </w:rPr>
        <w:t>招</w:t>
      </w:r>
      <w:r>
        <w:rPr>
          <w:rFonts w:hint="eastAsia" w:ascii="仿宋" w:hAnsi="仿宋" w:eastAsia="仿宋" w:cs="仿宋"/>
          <w:b/>
          <w:color w:val="auto"/>
          <w:sz w:val="96"/>
          <w:szCs w:val="96"/>
        </w:rPr>
        <w:tab/>
      </w:r>
    </w:p>
    <w:p w14:paraId="3AEB71C9">
      <w:pPr>
        <w:pStyle w:val="32"/>
        <w:jc w:val="center"/>
        <w:rPr>
          <w:rFonts w:ascii="仿宋" w:hAnsi="仿宋" w:eastAsia="仿宋" w:cs="仿宋"/>
          <w:b/>
          <w:bCs/>
          <w:color w:val="auto"/>
          <w:sz w:val="96"/>
          <w:szCs w:val="96"/>
        </w:rPr>
      </w:pPr>
      <w:r>
        <w:rPr>
          <w:rFonts w:hint="eastAsia" w:ascii="仿宋" w:hAnsi="仿宋" w:eastAsia="仿宋" w:cs="仿宋"/>
          <w:b/>
          <w:color w:val="auto"/>
          <w:sz w:val="96"/>
          <w:szCs w:val="96"/>
        </w:rPr>
        <w:t>标</w:t>
      </w:r>
    </w:p>
    <w:p w14:paraId="7AC109F9">
      <w:pPr>
        <w:pStyle w:val="32"/>
        <w:jc w:val="center"/>
        <w:rPr>
          <w:rFonts w:ascii="仿宋" w:hAnsi="仿宋" w:eastAsia="仿宋" w:cs="仿宋"/>
          <w:b/>
          <w:bCs/>
          <w:color w:val="auto"/>
          <w:sz w:val="96"/>
          <w:szCs w:val="96"/>
        </w:rPr>
      </w:pPr>
      <w:r>
        <w:rPr>
          <w:rFonts w:hint="eastAsia" w:ascii="仿宋" w:hAnsi="仿宋" w:eastAsia="仿宋" w:cs="仿宋"/>
          <w:b/>
          <w:bCs/>
          <w:color w:val="auto"/>
          <w:sz w:val="96"/>
          <w:szCs w:val="96"/>
        </w:rPr>
        <w:t>文</w:t>
      </w:r>
    </w:p>
    <w:p w14:paraId="23827863">
      <w:pPr>
        <w:pStyle w:val="32"/>
        <w:jc w:val="center"/>
        <w:rPr>
          <w:rFonts w:hint="eastAsia" w:ascii="仿宋" w:hAnsi="仿宋" w:eastAsia="仿宋" w:cs="仿宋"/>
          <w:b/>
          <w:bCs/>
          <w:color w:val="auto"/>
          <w:sz w:val="96"/>
          <w:szCs w:val="96"/>
          <w:lang w:eastAsia="zh-CN"/>
        </w:rPr>
      </w:pPr>
      <w:r>
        <w:rPr>
          <w:rFonts w:hint="eastAsia" w:ascii="仿宋" w:hAnsi="仿宋" w:eastAsia="仿宋" w:cs="仿宋"/>
          <w:b/>
          <w:bCs/>
          <w:color w:val="auto"/>
          <w:sz w:val="96"/>
          <w:szCs w:val="96"/>
        </w:rPr>
        <w:t>件</w:t>
      </w:r>
    </w:p>
    <w:p w14:paraId="26035C39">
      <w:pPr>
        <w:spacing w:line="700" w:lineRule="exact"/>
        <w:ind w:firstLine="640" w:firstLineChars="200"/>
        <w:rPr>
          <w:rFonts w:hint="eastAsia" w:ascii="仿宋" w:hAnsi="仿宋" w:eastAsia="仿宋" w:cs="仿宋"/>
          <w:b w:val="0"/>
          <w:bCs w:val="0"/>
          <w:color w:val="auto"/>
          <w:sz w:val="32"/>
          <w:szCs w:val="32"/>
          <w:lang w:eastAsia="zh-CN"/>
        </w:rPr>
      </w:pPr>
    </w:p>
    <w:p w14:paraId="55A70C13">
      <w:pPr>
        <w:spacing w:line="700" w:lineRule="exact"/>
        <w:ind w:firstLine="640" w:firstLineChars="200"/>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eastAsia="zh-CN"/>
        </w:rPr>
        <w:t>采购单位：</w:t>
      </w:r>
      <w:r>
        <w:rPr>
          <w:rFonts w:hint="eastAsia" w:ascii="仿宋" w:hAnsi="仿宋" w:eastAsia="仿宋" w:cs="仿宋"/>
          <w:b w:val="0"/>
          <w:bCs w:val="0"/>
          <w:color w:val="auto"/>
          <w:sz w:val="32"/>
          <w:szCs w:val="32"/>
          <w:lang w:val="en-US" w:eastAsia="zh-CN"/>
        </w:rPr>
        <w:t>新疆阿合奇县人民医院</w:t>
      </w:r>
    </w:p>
    <w:p w14:paraId="38E93275">
      <w:pPr>
        <w:spacing w:line="700" w:lineRule="exact"/>
        <w:ind w:firstLine="640" w:firstLineChars="200"/>
        <w:rPr>
          <w:rFonts w:hint="default"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联 系 人: 赵女士</w:t>
      </w:r>
    </w:p>
    <w:p w14:paraId="2025290B">
      <w:pPr>
        <w:spacing w:line="700" w:lineRule="exact"/>
        <w:ind w:firstLine="640" w:firstLineChars="200"/>
        <w:rPr>
          <w:rFonts w:hint="default"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eastAsia="zh-CN"/>
        </w:rPr>
        <w:t>联系电话：</w:t>
      </w:r>
      <w:r>
        <w:rPr>
          <w:rFonts w:hint="eastAsia" w:ascii="仿宋" w:hAnsi="仿宋" w:eastAsia="仿宋" w:cs="仿宋"/>
          <w:b w:val="0"/>
          <w:bCs w:val="0"/>
          <w:color w:val="000000"/>
          <w:sz w:val="32"/>
          <w:szCs w:val="32"/>
          <w:lang w:val="en-US" w:eastAsia="zh-CN"/>
        </w:rPr>
        <w:t>18399702488</w:t>
      </w:r>
    </w:p>
    <w:p w14:paraId="1859085E">
      <w:pPr>
        <w:spacing w:line="700" w:lineRule="exact"/>
        <w:ind w:firstLine="640" w:firstLineChars="200"/>
        <w:rPr>
          <w:rFonts w:hint="eastAsia" w:ascii="仿宋" w:hAnsi="仿宋" w:eastAsia="仿宋" w:cs="仿宋"/>
          <w:b w:val="0"/>
          <w:bCs w:val="0"/>
          <w:color w:val="auto"/>
          <w:sz w:val="32"/>
          <w:szCs w:val="32"/>
          <w:lang w:eastAsia="zh-CN"/>
        </w:rPr>
      </w:pPr>
      <w:r>
        <w:rPr>
          <w:rFonts w:hint="eastAsia" w:ascii="仿宋" w:hAnsi="仿宋" w:eastAsia="仿宋" w:cs="仿宋"/>
          <w:b w:val="0"/>
          <w:bCs w:val="0"/>
          <w:color w:val="auto"/>
          <w:sz w:val="32"/>
          <w:szCs w:val="32"/>
          <w:lang w:eastAsia="zh-CN"/>
        </w:rPr>
        <w:t>代理机构：</w:t>
      </w:r>
      <w:r>
        <w:rPr>
          <w:rFonts w:hint="eastAsia" w:ascii="仿宋" w:hAnsi="仿宋" w:eastAsia="仿宋" w:cs="仿宋"/>
          <w:b w:val="0"/>
          <w:bCs w:val="0"/>
          <w:color w:val="auto"/>
          <w:sz w:val="32"/>
          <w:szCs w:val="32"/>
          <w:lang w:val="en-US" w:eastAsia="zh-CN"/>
        </w:rPr>
        <w:t>新疆新越项目咨询有限责任公司</w:t>
      </w:r>
    </w:p>
    <w:p w14:paraId="72CB13E1">
      <w:pPr>
        <w:spacing w:line="700" w:lineRule="exact"/>
        <w:ind w:firstLine="640" w:firstLineChars="200"/>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eastAsia="zh-CN"/>
        </w:rPr>
        <w:t>联 系 人：</w:t>
      </w:r>
      <w:r>
        <w:rPr>
          <w:rFonts w:hint="eastAsia" w:ascii="仿宋" w:hAnsi="仿宋" w:eastAsia="仿宋" w:cs="仿宋"/>
          <w:b w:val="0"/>
          <w:bCs w:val="0"/>
          <w:color w:val="auto"/>
          <w:sz w:val="32"/>
          <w:szCs w:val="32"/>
          <w:lang w:val="en-US" w:eastAsia="zh-CN"/>
        </w:rPr>
        <w:t xml:space="preserve">程先生   </w:t>
      </w:r>
    </w:p>
    <w:p w14:paraId="19F9E42F">
      <w:pPr>
        <w:spacing w:line="700" w:lineRule="exact"/>
        <w:ind w:firstLine="640" w:firstLineChars="200"/>
        <w:rPr>
          <w:rFonts w:hint="eastAsia" w:ascii="仿宋" w:hAnsi="仿宋" w:eastAsia="仿宋" w:cs="仿宋"/>
          <w:b/>
          <w:color w:val="auto"/>
          <w:sz w:val="36"/>
          <w:szCs w:val="36"/>
          <w:highlight w:val="none"/>
          <w:lang w:eastAsia="zh-CN"/>
        </w:rPr>
      </w:pPr>
      <w:r>
        <w:rPr>
          <w:rFonts w:hint="eastAsia" w:ascii="仿宋" w:hAnsi="仿宋" w:eastAsia="仿宋" w:cs="仿宋"/>
          <w:b w:val="0"/>
          <w:bCs w:val="0"/>
          <w:color w:val="auto"/>
          <w:sz w:val="32"/>
          <w:szCs w:val="32"/>
          <w:lang w:eastAsia="zh-CN"/>
        </w:rPr>
        <w:t xml:space="preserve">联系电话: </w:t>
      </w:r>
      <w:r>
        <w:rPr>
          <w:rFonts w:hint="eastAsia" w:ascii="仿宋" w:hAnsi="仿宋" w:eastAsia="仿宋" w:cs="仿宋"/>
          <w:b w:val="0"/>
          <w:bCs w:val="0"/>
          <w:color w:val="auto"/>
          <w:sz w:val="32"/>
          <w:szCs w:val="32"/>
          <w:lang w:val="en-US" w:eastAsia="zh-CN"/>
        </w:rPr>
        <w:t>18199719889</w:t>
      </w:r>
    </w:p>
    <w:p w14:paraId="53E67C09">
      <w:pPr>
        <w:jc w:val="center"/>
        <w:rPr>
          <w:rFonts w:hint="eastAsia" w:ascii="仿宋" w:hAnsi="仿宋" w:eastAsia="仿宋" w:cs="仿宋"/>
          <w:b/>
          <w:color w:val="auto"/>
          <w:sz w:val="36"/>
          <w:szCs w:val="36"/>
          <w:highlight w:val="none"/>
          <w:lang w:eastAsia="zh-CN"/>
        </w:rPr>
      </w:pPr>
    </w:p>
    <w:p w14:paraId="4363192B">
      <w:pPr>
        <w:jc w:val="center"/>
        <w:rPr>
          <w:rFonts w:hint="eastAsia" w:ascii="仿宋" w:hAnsi="仿宋" w:eastAsia="仿宋" w:cs="仿宋"/>
          <w:b/>
          <w:color w:val="auto"/>
          <w:sz w:val="36"/>
          <w:szCs w:val="36"/>
          <w:highlight w:val="none"/>
          <w:lang w:eastAsia="zh-CN"/>
        </w:rPr>
      </w:pPr>
    </w:p>
    <w:p w14:paraId="6C52D6D2">
      <w:pPr>
        <w:jc w:val="center"/>
        <w:rPr>
          <w:rFonts w:ascii="仿宋" w:hAnsi="仿宋" w:eastAsia="仿宋" w:cs="仿宋"/>
          <w:b/>
          <w:color w:val="auto"/>
          <w:sz w:val="36"/>
          <w:szCs w:val="36"/>
          <w:highlight w:val="none"/>
          <w:lang w:eastAsia="zh-CN"/>
        </w:rPr>
      </w:pPr>
      <w:r>
        <w:rPr>
          <w:rFonts w:hint="eastAsia" w:ascii="仿宋" w:hAnsi="仿宋" w:eastAsia="仿宋" w:cs="仿宋"/>
          <w:b/>
          <w:color w:val="auto"/>
          <w:sz w:val="36"/>
          <w:szCs w:val="36"/>
          <w:highlight w:val="none"/>
          <w:lang w:eastAsia="zh-CN"/>
        </w:rPr>
        <w:t>招投标监督管理机构备案登记栏</w:t>
      </w:r>
    </w:p>
    <w:tbl>
      <w:tblPr>
        <w:tblStyle w:val="26"/>
        <w:tblW w:w="90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4"/>
      </w:tblGrid>
      <w:tr w14:paraId="04A85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4" w:hRule="atLeast"/>
          <w:jc w:val="center"/>
        </w:trPr>
        <w:tc>
          <w:tcPr>
            <w:tcW w:w="9084" w:type="dxa"/>
          </w:tcPr>
          <w:p w14:paraId="78F2EF97">
            <w:pPr>
              <w:spacing w:line="500" w:lineRule="exact"/>
              <w:jc w:val="both"/>
              <w:rPr>
                <w:rFonts w:ascii="仿宋" w:hAnsi="仿宋" w:eastAsia="仿宋" w:cs="仿宋"/>
                <w:color w:val="auto"/>
                <w:highlight w:val="none"/>
                <w:lang w:eastAsia="zh-CN"/>
              </w:rPr>
            </w:pPr>
          </w:p>
          <w:p w14:paraId="1DF4309D">
            <w:pPr>
              <w:spacing w:line="500" w:lineRule="exact"/>
              <w:jc w:val="both"/>
              <w:rPr>
                <w:rFonts w:ascii="仿宋" w:hAnsi="仿宋" w:eastAsia="仿宋" w:cs="仿宋"/>
                <w:color w:val="auto"/>
                <w:sz w:val="32"/>
                <w:szCs w:val="32"/>
                <w:highlight w:val="none"/>
                <w:lang w:eastAsia="zh-CN"/>
              </w:rPr>
            </w:pPr>
          </w:p>
          <w:p w14:paraId="40099EB9">
            <w:pPr>
              <w:spacing w:line="500" w:lineRule="exact"/>
              <w:jc w:val="both"/>
              <w:rPr>
                <w:rFonts w:ascii="仿宋" w:hAnsi="仿宋" w:eastAsia="仿宋" w:cs="仿宋"/>
                <w:color w:val="auto"/>
                <w:sz w:val="32"/>
                <w:szCs w:val="32"/>
                <w:highlight w:val="none"/>
                <w:lang w:eastAsia="zh-CN"/>
              </w:rPr>
            </w:pPr>
          </w:p>
          <w:p w14:paraId="1F4AFF73">
            <w:pPr>
              <w:spacing w:line="500" w:lineRule="exact"/>
              <w:jc w:val="both"/>
              <w:rPr>
                <w:rFonts w:ascii="仿宋" w:hAnsi="仿宋" w:eastAsia="仿宋" w:cs="仿宋"/>
                <w:color w:val="auto"/>
                <w:w w:val="95"/>
                <w:sz w:val="32"/>
                <w:szCs w:val="32"/>
                <w:highlight w:val="none"/>
                <w:lang w:eastAsia="zh-CN"/>
              </w:rPr>
            </w:pPr>
            <w:r>
              <w:rPr>
                <w:rFonts w:hint="eastAsia" w:ascii="仿宋" w:hAnsi="仿宋" w:eastAsia="仿宋" w:cs="仿宋"/>
                <w:color w:val="auto"/>
                <w:sz w:val="32"/>
                <w:szCs w:val="32"/>
                <w:highlight w:val="none"/>
                <w:lang w:eastAsia="zh-CN"/>
              </w:rPr>
              <w:t>采购单位：</w:t>
            </w:r>
            <w:r>
              <w:rPr>
                <w:rFonts w:hint="eastAsia" w:ascii="仿宋" w:hAnsi="仿宋" w:eastAsia="仿宋" w:cs="仿宋"/>
                <w:color w:val="auto"/>
                <w:sz w:val="32"/>
                <w:szCs w:val="32"/>
                <w:highlight w:val="none"/>
                <w:lang w:val="en-US" w:eastAsia="zh-CN"/>
              </w:rPr>
              <w:t xml:space="preserve">新疆阿合奇县人民医院 </w:t>
            </w:r>
            <w:r>
              <w:rPr>
                <w:rFonts w:hint="eastAsia" w:ascii="仿宋" w:hAnsi="仿宋" w:eastAsia="仿宋" w:cs="仿宋"/>
                <w:color w:val="auto"/>
                <w:w w:val="95"/>
                <w:sz w:val="32"/>
                <w:szCs w:val="32"/>
                <w:highlight w:val="none"/>
                <w:lang w:eastAsia="zh-CN"/>
              </w:rPr>
              <w:t>（盖章）</w:t>
            </w:r>
          </w:p>
          <w:p w14:paraId="425534D3">
            <w:pPr>
              <w:spacing w:line="500" w:lineRule="exact"/>
              <w:jc w:val="both"/>
              <w:rPr>
                <w:rFonts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 xml:space="preserve">           </w:t>
            </w:r>
          </w:p>
          <w:p w14:paraId="5E519A73">
            <w:pPr>
              <w:spacing w:line="500" w:lineRule="exact"/>
              <w:jc w:val="both"/>
              <w:rPr>
                <w:rFonts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 xml:space="preserve">                                 </w:t>
            </w:r>
          </w:p>
          <w:p w14:paraId="6B8D99DA">
            <w:pPr>
              <w:spacing w:line="500" w:lineRule="exact"/>
              <w:jc w:val="both"/>
              <w:rPr>
                <w:rFonts w:ascii="仿宋" w:hAnsi="仿宋" w:eastAsia="仿宋" w:cs="仿宋"/>
                <w:color w:val="auto"/>
                <w:sz w:val="32"/>
                <w:szCs w:val="32"/>
                <w:highlight w:val="none"/>
                <w:lang w:eastAsia="zh-CN"/>
              </w:rPr>
            </w:pPr>
          </w:p>
          <w:p w14:paraId="3B47D85E">
            <w:pPr>
              <w:spacing w:line="500" w:lineRule="exact"/>
              <w:ind w:left="3520" w:hanging="3520" w:hangingChars="1100"/>
              <w:jc w:val="both"/>
              <w:rPr>
                <w:rFonts w:ascii="仿宋" w:hAnsi="仿宋" w:eastAsia="仿宋" w:cs="仿宋"/>
                <w:color w:val="auto"/>
                <w:sz w:val="32"/>
                <w:szCs w:val="32"/>
                <w:highlight w:val="none"/>
                <w:lang w:eastAsia="zh-CN"/>
              </w:rPr>
            </w:pPr>
          </w:p>
          <w:p w14:paraId="60B25C6B">
            <w:pPr>
              <w:pStyle w:val="37"/>
              <w:ind w:left="0" w:leftChars="0" w:firstLine="0" w:firstLineChars="0"/>
              <w:jc w:val="both"/>
              <w:rPr>
                <w:rFonts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采购项目名称：阿合奇县医疗卫生提升项目一阿合奇县医共体医疗废物原地处置建设项目</w:t>
            </w:r>
          </w:p>
          <w:p w14:paraId="65398472">
            <w:pPr>
              <w:pStyle w:val="37"/>
              <w:jc w:val="both"/>
              <w:rPr>
                <w:rFonts w:ascii="仿宋" w:hAnsi="仿宋" w:eastAsia="仿宋" w:cs="仿宋"/>
                <w:color w:val="auto"/>
                <w:sz w:val="32"/>
                <w:szCs w:val="32"/>
                <w:highlight w:val="none"/>
                <w:lang w:eastAsia="zh-CN"/>
              </w:rPr>
            </w:pPr>
          </w:p>
          <w:p w14:paraId="188C9144">
            <w:pPr>
              <w:pStyle w:val="37"/>
              <w:jc w:val="both"/>
              <w:rPr>
                <w:rFonts w:ascii="仿宋" w:hAnsi="仿宋" w:eastAsia="仿宋" w:cs="仿宋"/>
                <w:color w:val="auto"/>
                <w:sz w:val="32"/>
                <w:szCs w:val="32"/>
                <w:highlight w:val="none"/>
                <w:lang w:eastAsia="zh-CN"/>
              </w:rPr>
            </w:pPr>
          </w:p>
          <w:p w14:paraId="15C2BFCC">
            <w:pPr>
              <w:pStyle w:val="37"/>
              <w:jc w:val="both"/>
              <w:rPr>
                <w:rFonts w:ascii="仿宋" w:hAnsi="仿宋" w:eastAsia="仿宋" w:cs="仿宋"/>
                <w:color w:val="auto"/>
                <w:sz w:val="32"/>
                <w:szCs w:val="32"/>
                <w:highlight w:val="none"/>
                <w:lang w:eastAsia="zh-CN"/>
              </w:rPr>
            </w:pPr>
          </w:p>
          <w:p w14:paraId="2ADFE8A5">
            <w:pPr>
              <w:pStyle w:val="37"/>
              <w:jc w:val="both"/>
              <w:rPr>
                <w:rFonts w:ascii="仿宋" w:hAnsi="仿宋" w:eastAsia="仿宋" w:cs="仿宋"/>
                <w:color w:val="auto"/>
                <w:sz w:val="32"/>
                <w:szCs w:val="32"/>
                <w:highlight w:val="none"/>
                <w:lang w:eastAsia="zh-CN"/>
              </w:rPr>
            </w:pPr>
          </w:p>
          <w:p w14:paraId="710D57DF">
            <w:pPr>
              <w:pStyle w:val="37"/>
              <w:jc w:val="both"/>
              <w:rPr>
                <w:rFonts w:ascii="仿宋" w:hAnsi="仿宋" w:eastAsia="仿宋" w:cs="仿宋"/>
                <w:color w:val="auto"/>
                <w:sz w:val="32"/>
                <w:szCs w:val="32"/>
                <w:highlight w:val="none"/>
                <w:lang w:eastAsia="zh-CN"/>
              </w:rPr>
            </w:pPr>
          </w:p>
          <w:p w14:paraId="46741529">
            <w:pPr>
              <w:pStyle w:val="37"/>
              <w:jc w:val="both"/>
              <w:rPr>
                <w:rFonts w:ascii="仿宋" w:hAnsi="仿宋" w:eastAsia="仿宋" w:cs="仿宋"/>
                <w:color w:val="auto"/>
                <w:sz w:val="32"/>
                <w:szCs w:val="32"/>
                <w:highlight w:val="none"/>
                <w:lang w:eastAsia="zh-CN"/>
              </w:rPr>
            </w:pPr>
          </w:p>
          <w:p w14:paraId="25E74454">
            <w:pPr>
              <w:spacing w:line="500" w:lineRule="exact"/>
              <w:jc w:val="both"/>
              <w:rPr>
                <w:rFonts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代理机构：</w:t>
            </w:r>
            <w:r>
              <w:rPr>
                <w:rFonts w:hint="eastAsia" w:ascii="仿宋" w:hAnsi="仿宋" w:eastAsia="仿宋" w:cs="仿宋"/>
                <w:color w:val="auto"/>
                <w:sz w:val="32"/>
                <w:szCs w:val="32"/>
                <w:highlight w:val="none"/>
                <w:lang w:val="en-US" w:eastAsia="zh-CN"/>
              </w:rPr>
              <w:t>新疆新越项目咨询有限责任公司</w:t>
            </w:r>
            <w:r>
              <w:rPr>
                <w:rFonts w:hint="eastAsia" w:ascii="仿宋" w:hAnsi="仿宋" w:eastAsia="仿宋" w:cs="仿宋"/>
                <w:color w:val="auto"/>
                <w:sz w:val="32"/>
                <w:szCs w:val="32"/>
                <w:highlight w:val="none"/>
                <w:lang w:eastAsia="zh-CN"/>
              </w:rPr>
              <w:t>（盖章）</w:t>
            </w:r>
          </w:p>
          <w:p w14:paraId="1A546C08">
            <w:pPr>
              <w:pStyle w:val="4"/>
              <w:jc w:val="both"/>
              <w:outlineLvl w:val="2"/>
              <w:rPr>
                <w:rFonts w:hint="eastAsia" w:ascii="仿宋" w:hAnsi="仿宋" w:eastAsia="仿宋" w:cs="仿宋"/>
                <w:color w:val="auto"/>
                <w:highlight w:val="none"/>
              </w:rPr>
            </w:pPr>
          </w:p>
          <w:p w14:paraId="55A8E6C1">
            <w:pPr>
              <w:pStyle w:val="4"/>
              <w:jc w:val="center"/>
              <w:outlineLvl w:val="2"/>
              <w:rPr>
                <w:rFonts w:hint="eastAsia" w:ascii="仿宋" w:hAnsi="仿宋" w:eastAsia="仿宋" w:cs="仿宋"/>
                <w:color w:val="auto"/>
                <w:highlight w:val="none"/>
              </w:rPr>
            </w:pPr>
          </w:p>
          <w:p w14:paraId="7C5D0A64">
            <w:pPr>
              <w:pStyle w:val="4"/>
              <w:jc w:val="center"/>
              <w:outlineLvl w:val="2"/>
              <w:rPr>
                <w:rFonts w:ascii="仿宋" w:hAnsi="仿宋" w:eastAsia="仿宋" w:cs="仿宋"/>
                <w:color w:val="auto"/>
                <w:highlight w:val="none"/>
              </w:rPr>
            </w:pPr>
            <w:r>
              <w:rPr>
                <w:rFonts w:hint="eastAsia" w:ascii="仿宋" w:hAnsi="仿宋" w:eastAsia="仿宋" w:cs="仿宋"/>
                <w:color w:val="auto"/>
                <w:highlight w:val="none"/>
              </w:rPr>
              <w:t>日  期：20</w:t>
            </w:r>
            <w:r>
              <w:rPr>
                <w:rFonts w:hint="eastAsia" w:ascii="仿宋" w:hAnsi="仿宋" w:eastAsia="仿宋" w:cs="仿宋"/>
                <w:color w:val="auto"/>
                <w:highlight w:val="none"/>
                <w:lang w:eastAsia="zh-CN"/>
              </w:rPr>
              <w:t>2</w:t>
            </w:r>
            <w:r>
              <w:rPr>
                <w:rFonts w:hint="eastAsia" w:ascii="仿宋" w:hAnsi="仿宋" w:eastAsia="仿宋" w:cs="仿宋"/>
                <w:color w:val="auto"/>
                <w:highlight w:val="none"/>
                <w:lang w:val="en-US" w:eastAsia="zh-CN"/>
              </w:rPr>
              <w:t>6</w:t>
            </w:r>
            <w:r>
              <w:rPr>
                <w:rFonts w:hint="eastAsia" w:ascii="仿宋" w:hAnsi="仿宋" w:eastAsia="仿宋" w:cs="仿宋"/>
                <w:color w:val="auto"/>
                <w:highlight w:val="none"/>
              </w:rPr>
              <w:t>年</w:t>
            </w:r>
            <w:r>
              <w:rPr>
                <w:rFonts w:hint="eastAsia" w:ascii="仿宋" w:hAnsi="仿宋" w:eastAsia="仿宋" w:cs="仿宋"/>
                <w:color w:val="auto"/>
                <w:highlight w:val="none"/>
                <w:lang w:val="en-US" w:eastAsia="zh-CN"/>
              </w:rPr>
              <w:t>10</w:t>
            </w:r>
            <w:r>
              <w:rPr>
                <w:rFonts w:hint="eastAsia" w:ascii="仿宋" w:hAnsi="仿宋" w:eastAsia="仿宋" w:cs="仿宋"/>
                <w:color w:val="auto"/>
                <w:highlight w:val="none"/>
              </w:rPr>
              <w:t>月</w:t>
            </w:r>
          </w:p>
          <w:p w14:paraId="1A75572C">
            <w:pPr>
              <w:pStyle w:val="4"/>
              <w:jc w:val="both"/>
              <w:outlineLvl w:val="2"/>
              <w:rPr>
                <w:rFonts w:ascii="仿宋" w:hAnsi="仿宋" w:eastAsia="仿宋" w:cs="仿宋"/>
                <w:color w:val="auto"/>
                <w:highlight w:val="none"/>
              </w:rPr>
            </w:pPr>
          </w:p>
        </w:tc>
      </w:tr>
    </w:tbl>
    <w:p w14:paraId="683B218A">
      <w:pPr>
        <w:spacing w:line="240" w:lineRule="exact"/>
        <w:rPr>
          <w:rFonts w:ascii="仿宋" w:hAnsi="仿宋" w:eastAsia="仿宋" w:cs="仿宋"/>
          <w:color w:val="auto"/>
          <w:sz w:val="44"/>
          <w:szCs w:val="44"/>
          <w:highlight w:val="none"/>
          <w:lang w:eastAsia="zh-CN"/>
        </w:rPr>
        <w:sectPr>
          <w:headerReference r:id="rId3" w:type="default"/>
          <w:footerReference r:id="rId4" w:type="default"/>
          <w:pgSz w:w="11906" w:h="16838"/>
          <w:pgMar w:top="1440" w:right="1519" w:bottom="1440" w:left="1519" w:header="851" w:footer="992" w:gutter="0"/>
          <w:pgNumType w:start="1"/>
          <w:cols w:space="720" w:num="1"/>
          <w:docGrid w:type="linesAndChars" w:linePitch="312" w:charSpace="0"/>
        </w:sectPr>
      </w:pPr>
    </w:p>
    <w:p w14:paraId="3BE6C0EF">
      <w:pPr>
        <w:pStyle w:val="31"/>
        <w:spacing w:before="0" w:line="360" w:lineRule="auto"/>
        <w:jc w:val="both"/>
        <w:rPr>
          <w:rFonts w:ascii="仿宋" w:hAnsi="仿宋" w:eastAsia="仿宋" w:cs="仿宋"/>
          <w:color w:val="auto"/>
          <w:sz w:val="44"/>
          <w:szCs w:val="44"/>
          <w:lang w:val="zh-CN"/>
        </w:rPr>
      </w:pPr>
    </w:p>
    <w:p w14:paraId="5DA6683B">
      <w:pPr>
        <w:pStyle w:val="31"/>
        <w:spacing w:before="0" w:line="360" w:lineRule="auto"/>
        <w:jc w:val="center"/>
        <w:rPr>
          <w:rFonts w:ascii="仿宋" w:hAnsi="仿宋" w:eastAsia="仿宋" w:cs="仿宋"/>
          <w:color w:val="auto"/>
          <w:sz w:val="30"/>
          <w:szCs w:val="30"/>
        </w:rPr>
      </w:pPr>
      <w:r>
        <w:rPr>
          <w:rFonts w:hint="eastAsia" w:ascii="仿宋" w:hAnsi="仿宋" w:eastAsia="仿宋" w:cs="仿宋"/>
          <w:color w:val="auto"/>
          <w:sz w:val="44"/>
          <w:szCs w:val="44"/>
          <w:lang w:val="zh-CN"/>
        </w:rPr>
        <w:t>目    录</w:t>
      </w:r>
    </w:p>
    <w:p w14:paraId="5994B8F8">
      <w:pPr>
        <w:widowControl/>
        <w:rPr>
          <w:rFonts w:ascii="仿宋" w:hAnsi="仿宋" w:eastAsia="仿宋" w:cs="仿宋"/>
          <w:color w:val="auto"/>
          <w:sz w:val="30"/>
          <w:szCs w:val="30"/>
        </w:rPr>
      </w:pPr>
    </w:p>
    <w:p w14:paraId="6C8E7D0E">
      <w:pPr>
        <w:numPr>
          <w:ilvl w:val="0"/>
          <w:numId w:val="3"/>
        </w:numPr>
        <w:spacing w:line="600" w:lineRule="auto"/>
        <w:jc w:val="both"/>
        <w:rPr>
          <w:rFonts w:hint="eastAsia" w:ascii="仿宋" w:hAnsi="仿宋" w:eastAsia="仿宋" w:cs="仿宋"/>
          <w:b/>
          <w:color w:val="auto"/>
          <w:sz w:val="30"/>
          <w:szCs w:val="30"/>
          <w:highlight w:val="none"/>
          <w:lang w:eastAsia="zh-CN"/>
        </w:rPr>
      </w:pPr>
      <w:r>
        <w:rPr>
          <w:rFonts w:hint="eastAsia" w:ascii="仿宋" w:hAnsi="仿宋" w:eastAsia="仿宋" w:cs="仿宋"/>
          <w:b/>
          <w:color w:val="auto"/>
          <w:sz w:val="30"/>
          <w:szCs w:val="30"/>
          <w:highlight w:val="none"/>
          <w:lang w:eastAsia="zh-CN"/>
        </w:rPr>
        <w:t xml:space="preserve">     招标公告…………………………………………1</w:t>
      </w:r>
    </w:p>
    <w:p w14:paraId="0B1858A1">
      <w:pPr>
        <w:numPr>
          <w:ilvl w:val="0"/>
          <w:numId w:val="3"/>
        </w:numPr>
        <w:spacing w:line="600" w:lineRule="auto"/>
        <w:jc w:val="both"/>
        <w:rPr>
          <w:rFonts w:hint="eastAsia" w:ascii="仿宋" w:hAnsi="仿宋" w:eastAsia="仿宋" w:cs="仿宋"/>
          <w:b/>
          <w:color w:val="auto"/>
          <w:sz w:val="30"/>
          <w:szCs w:val="30"/>
          <w:highlight w:val="none"/>
          <w:lang w:eastAsia="zh-CN"/>
        </w:rPr>
      </w:pPr>
      <w:r>
        <w:rPr>
          <w:rFonts w:hint="eastAsia" w:ascii="仿宋" w:hAnsi="仿宋" w:eastAsia="仿宋" w:cs="仿宋"/>
          <w:b/>
          <w:color w:val="auto"/>
          <w:sz w:val="30"/>
          <w:szCs w:val="30"/>
          <w:highlight w:val="none"/>
          <w:lang w:eastAsia="zh-CN"/>
        </w:rPr>
        <w:t xml:space="preserve">     供应商须知………………………………………</w:t>
      </w:r>
      <w:r>
        <w:rPr>
          <w:rFonts w:hint="eastAsia" w:ascii="仿宋" w:hAnsi="仿宋" w:eastAsia="仿宋" w:cs="仿宋"/>
          <w:b/>
          <w:color w:val="auto"/>
          <w:sz w:val="30"/>
          <w:szCs w:val="30"/>
          <w:highlight w:val="none"/>
          <w:lang w:val="en-US" w:eastAsia="zh-CN"/>
        </w:rPr>
        <w:t>4</w:t>
      </w:r>
    </w:p>
    <w:p w14:paraId="6D664FDA">
      <w:pPr>
        <w:numPr>
          <w:ilvl w:val="0"/>
          <w:numId w:val="3"/>
        </w:numPr>
        <w:spacing w:line="600" w:lineRule="auto"/>
        <w:jc w:val="both"/>
        <w:rPr>
          <w:rFonts w:hint="default" w:ascii="仿宋" w:hAnsi="仿宋" w:eastAsia="仿宋" w:cs="仿宋"/>
          <w:b/>
          <w:color w:val="auto"/>
          <w:sz w:val="30"/>
          <w:szCs w:val="30"/>
          <w:highlight w:val="none"/>
          <w:lang w:val="en-US" w:eastAsia="zh-CN"/>
        </w:rPr>
      </w:pPr>
      <w:r>
        <w:rPr>
          <w:rFonts w:hint="eastAsia" w:ascii="仿宋" w:hAnsi="仿宋" w:eastAsia="仿宋" w:cs="仿宋"/>
          <w:b/>
          <w:color w:val="auto"/>
          <w:sz w:val="30"/>
          <w:szCs w:val="30"/>
          <w:highlight w:val="none"/>
          <w:lang w:eastAsia="zh-CN"/>
        </w:rPr>
        <w:t xml:space="preserve">     评标办法…………………………………………</w:t>
      </w:r>
      <w:r>
        <w:rPr>
          <w:rFonts w:hint="eastAsia" w:ascii="仿宋" w:hAnsi="仿宋" w:eastAsia="仿宋" w:cs="仿宋"/>
          <w:b/>
          <w:color w:val="auto"/>
          <w:sz w:val="30"/>
          <w:szCs w:val="30"/>
          <w:highlight w:val="none"/>
          <w:lang w:val="en-US" w:eastAsia="zh-CN"/>
        </w:rPr>
        <w:t>39</w:t>
      </w:r>
    </w:p>
    <w:p w14:paraId="58F10E1F">
      <w:pPr>
        <w:numPr>
          <w:ilvl w:val="0"/>
          <w:numId w:val="3"/>
        </w:numPr>
        <w:spacing w:line="600" w:lineRule="auto"/>
        <w:jc w:val="both"/>
        <w:rPr>
          <w:rFonts w:hint="default" w:ascii="仿宋" w:hAnsi="仿宋" w:eastAsia="仿宋" w:cs="仿宋"/>
          <w:b/>
          <w:color w:val="auto"/>
          <w:sz w:val="30"/>
          <w:szCs w:val="30"/>
          <w:highlight w:val="none"/>
          <w:lang w:val="en-US" w:eastAsia="zh-CN"/>
        </w:rPr>
      </w:pPr>
      <w:r>
        <w:rPr>
          <w:rFonts w:hint="eastAsia" w:ascii="仿宋" w:hAnsi="仿宋" w:eastAsia="仿宋" w:cs="仿宋"/>
          <w:b/>
          <w:color w:val="auto"/>
          <w:sz w:val="30"/>
          <w:szCs w:val="30"/>
          <w:highlight w:val="none"/>
          <w:lang w:eastAsia="zh-CN"/>
        </w:rPr>
        <w:t xml:space="preserve">     技术规格、数量及质量要求……………………</w:t>
      </w:r>
      <w:r>
        <w:rPr>
          <w:rFonts w:hint="eastAsia" w:ascii="仿宋" w:hAnsi="仿宋" w:eastAsia="仿宋" w:cs="仿宋"/>
          <w:b/>
          <w:color w:val="auto"/>
          <w:sz w:val="30"/>
          <w:szCs w:val="30"/>
          <w:highlight w:val="none"/>
          <w:lang w:val="en-US" w:eastAsia="zh-CN"/>
        </w:rPr>
        <w:t>47</w:t>
      </w:r>
    </w:p>
    <w:p w14:paraId="1CCA3600">
      <w:pPr>
        <w:numPr>
          <w:ilvl w:val="0"/>
          <w:numId w:val="3"/>
        </w:numPr>
        <w:spacing w:line="600" w:lineRule="auto"/>
        <w:jc w:val="both"/>
        <w:rPr>
          <w:rFonts w:hint="default" w:ascii="仿宋" w:hAnsi="仿宋" w:eastAsia="仿宋" w:cs="仿宋"/>
          <w:b/>
          <w:color w:val="auto"/>
          <w:sz w:val="30"/>
          <w:szCs w:val="30"/>
          <w:highlight w:val="none"/>
          <w:lang w:val="en-US" w:eastAsia="zh-CN"/>
        </w:rPr>
      </w:pPr>
      <w:r>
        <w:rPr>
          <w:rFonts w:hint="eastAsia" w:ascii="仿宋" w:hAnsi="仿宋" w:eastAsia="仿宋" w:cs="仿宋"/>
          <w:b/>
          <w:color w:val="auto"/>
          <w:sz w:val="30"/>
          <w:szCs w:val="30"/>
          <w:highlight w:val="none"/>
          <w:lang w:val="en-US" w:eastAsia="zh-CN"/>
        </w:rPr>
        <w:t xml:space="preserve">   </w:t>
      </w:r>
      <w:r>
        <w:rPr>
          <w:rFonts w:hint="eastAsia" w:ascii="仿宋" w:hAnsi="仿宋" w:eastAsia="仿宋" w:cs="仿宋"/>
          <w:b/>
          <w:color w:val="auto"/>
          <w:sz w:val="30"/>
          <w:szCs w:val="30"/>
          <w:highlight w:val="none"/>
          <w:lang w:eastAsia="zh-CN"/>
        </w:rPr>
        <w:t xml:space="preserve">  合同条款及格式…………………………………</w:t>
      </w:r>
      <w:r>
        <w:rPr>
          <w:rFonts w:hint="eastAsia" w:ascii="仿宋" w:hAnsi="仿宋" w:eastAsia="仿宋" w:cs="仿宋"/>
          <w:b/>
          <w:color w:val="auto"/>
          <w:sz w:val="30"/>
          <w:szCs w:val="30"/>
          <w:highlight w:val="none"/>
          <w:lang w:val="en-US" w:eastAsia="zh-CN"/>
        </w:rPr>
        <w:t>57</w:t>
      </w:r>
    </w:p>
    <w:p w14:paraId="6B4E2F14">
      <w:pPr>
        <w:numPr>
          <w:ilvl w:val="0"/>
          <w:numId w:val="3"/>
        </w:numPr>
        <w:spacing w:line="600" w:lineRule="auto"/>
        <w:jc w:val="both"/>
        <w:rPr>
          <w:rFonts w:hint="default" w:ascii="仿宋" w:hAnsi="仿宋" w:eastAsia="仿宋" w:cs="仿宋"/>
          <w:b/>
          <w:color w:val="auto"/>
          <w:sz w:val="30"/>
          <w:szCs w:val="30"/>
          <w:highlight w:val="none"/>
          <w:lang w:val="en-US" w:eastAsia="zh-CN"/>
        </w:rPr>
      </w:pPr>
      <w:r>
        <w:rPr>
          <w:rFonts w:hint="eastAsia" w:ascii="仿宋" w:hAnsi="仿宋" w:eastAsia="仿宋" w:cs="仿宋"/>
          <w:b/>
          <w:color w:val="auto"/>
          <w:sz w:val="30"/>
          <w:szCs w:val="30"/>
          <w:highlight w:val="none"/>
          <w:lang w:eastAsia="zh-CN"/>
        </w:rPr>
        <w:t xml:space="preserve">     投标文件格式……………………………………</w:t>
      </w:r>
      <w:r>
        <w:rPr>
          <w:rFonts w:hint="eastAsia" w:ascii="仿宋" w:hAnsi="仿宋" w:eastAsia="仿宋" w:cs="仿宋"/>
          <w:b/>
          <w:color w:val="auto"/>
          <w:sz w:val="30"/>
          <w:szCs w:val="30"/>
          <w:highlight w:val="none"/>
          <w:lang w:val="en-US" w:eastAsia="zh-CN"/>
        </w:rPr>
        <w:t>64</w:t>
      </w:r>
    </w:p>
    <w:p w14:paraId="74868B34">
      <w:pPr>
        <w:pStyle w:val="8"/>
        <w:numPr>
          <w:ilvl w:val="0"/>
          <w:numId w:val="0"/>
        </w:numPr>
        <w:spacing w:line="480" w:lineRule="auto"/>
        <w:rPr>
          <w:rFonts w:ascii="仿宋" w:hAnsi="仿宋" w:eastAsia="仿宋" w:cs="仿宋"/>
          <w:color w:val="auto"/>
          <w:highlight w:val="none"/>
          <w:lang w:eastAsia="zh-CN"/>
        </w:rPr>
      </w:pPr>
    </w:p>
    <w:p w14:paraId="7FF12C81">
      <w:pPr>
        <w:spacing w:line="600" w:lineRule="auto"/>
        <w:jc w:val="both"/>
        <w:rPr>
          <w:rFonts w:hint="default" w:ascii="仿宋" w:hAnsi="仿宋" w:eastAsia="仿宋" w:cs="仿宋"/>
          <w:color w:val="auto"/>
          <w:highlight w:val="none"/>
          <w:lang w:val="en-US" w:eastAsia="zh-CN"/>
        </w:rPr>
      </w:pPr>
    </w:p>
    <w:p w14:paraId="4721856A">
      <w:pPr>
        <w:pStyle w:val="8"/>
        <w:numPr>
          <w:ilvl w:val="0"/>
          <w:numId w:val="0"/>
        </w:numPr>
        <w:spacing w:line="480" w:lineRule="auto"/>
        <w:rPr>
          <w:rFonts w:ascii="仿宋" w:hAnsi="仿宋" w:eastAsia="仿宋" w:cs="仿宋"/>
          <w:color w:val="auto"/>
          <w:highlight w:val="none"/>
          <w:lang w:eastAsia="zh-CN"/>
        </w:rPr>
      </w:pPr>
    </w:p>
    <w:p w14:paraId="775B5479">
      <w:pPr>
        <w:spacing w:line="480" w:lineRule="auto"/>
        <w:rPr>
          <w:rFonts w:ascii="仿宋" w:hAnsi="仿宋" w:eastAsia="仿宋" w:cs="仿宋"/>
          <w:color w:val="auto"/>
          <w:highlight w:val="none"/>
          <w:lang w:eastAsia="zh-CN"/>
        </w:rPr>
      </w:pPr>
    </w:p>
    <w:p w14:paraId="43BBFD32">
      <w:pPr>
        <w:pStyle w:val="4"/>
        <w:rPr>
          <w:rFonts w:ascii="仿宋" w:hAnsi="仿宋" w:eastAsia="仿宋" w:cs="仿宋"/>
          <w:color w:val="auto"/>
          <w:highlight w:val="none"/>
          <w:lang w:eastAsia="zh-CN"/>
        </w:rPr>
      </w:pPr>
    </w:p>
    <w:p w14:paraId="689926F6">
      <w:pPr>
        <w:rPr>
          <w:rFonts w:ascii="仿宋" w:hAnsi="仿宋" w:eastAsia="仿宋" w:cs="仿宋"/>
          <w:color w:val="auto"/>
          <w:highlight w:val="none"/>
          <w:lang w:eastAsia="zh-CN"/>
        </w:rPr>
      </w:pPr>
    </w:p>
    <w:p w14:paraId="019DA030">
      <w:pPr>
        <w:pStyle w:val="4"/>
        <w:rPr>
          <w:rFonts w:ascii="仿宋" w:hAnsi="仿宋" w:eastAsia="仿宋" w:cs="仿宋"/>
          <w:color w:val="auto"/>
          <w:highlight w:val="none"/>
          <w:lang w:eastAsia="zh-CN"/>
        </w:rPr>
      </w:pPr>
    </w:p>
    <w:p w14:paraId="592CB352">
      <w:pPr>
        <w:rPr>
          <w:rFonts w:ascii="仿宋" w:hAnsi="仿宋" w:eastAsia="仿宋" w:cs="仿宋"/>
          <w:color w:val="auto"/>
          <w:highlight w:val="none"/>
          <w:lang w:eastAsia="zh-CN"/>
        </w:rPr>
      </w:pPr>
    </w:p>
    <w:p w14:paraId="193B5969">
      <w:pPr>
        <w:pStyle w:val="4"/>
        <w:rPr>
          <w:rFonts w:ascii="仿宋" w:hAnsi="仿宋" w:eastAsia="仿宋" w:cs="仿宋"/>
          <w:color w:val="auto"/>
          <w:highlight w:val="none"/>
          <w:lang w:eastAsia="zh-CN"/>
        </w:rPr>
      </w:pPr>
    </w:p>
    <w:p w14:paraId="6158658D">
      <w:pPr>
        <w:rPr>
          <w:rFonts w:ascii="仿宋" w:hAnsi="仿宋" w:eastAsia="仿宋" w:cs="仿宋"/>
          <w:color w:val="auto"/>
          <w:highlight w:val="none"/>
          <w:lang w:eastAsia="zh-CN"/>
        </w:rPr>
      </w:pPr>
    </w:p>
    <w:p w14:paraId="38862863">
      <w:pPr>
        <w:pStyle w:val="39"/>
        <w:keepNext/>
        <w:keepLines/>
        <w:spacing w:before="120" w:after="300"/>
        <w:jc w:val="both"/>
        <w:rPr>
          <w:rFonts w:ascii="仿宋" w:hAnsi="仿宋" w:eastAsia="仿宋" w:cs="仿宋"/>
          <w:b/>
          <w:bCs/>
          <w:color w:val="auto"/>
          <w:highlight w:val="none"/>
        </w:rPr>
        <w:sectPr>
          <w:footerReference r:id="rId5" w:type="default"/>
          <w:pgSz w:w="11906" w:h="16838"/>
          <w:pgMar w:top="1440" w:right="1080" w:bottom="1440" w:left="1080" w:header="851" w:footer="992" w:gutter="0"/>
          <w:pgNumType w:start="1"/>
          <w:cols w:space="720" w:num="1"/>
          <w:docGrid w:type="linesAndChars" w:linePitch="312" w:charSpace="0"/>
        </w:sectPr>
      </w:pPr>
    </w:p>
    <w:p w14:paraId="1CA294D7">
      <w:pPr>
        <w:pStyle w:val="39"/>
        <w:keepNext/>
        <w:keepLines/>
        <w:pageBreakBefore w:val="0"/>
        <w:kinsoku/>
        <w:wordWrap/>
        <w:overflowPunct/>
        <w:topLinePunct w:val="0"/>
        <w:autoSpaceDE/>
        <w:autoSpaceDN/>
        <w:bidi w:val="0"/>
        <w:adjustRightInd/>
        <w:snapToGrid/>
        <w:spacing w:before="120" w:after="300" w:line="400" w:lineRule="exact"/>
        <w:textAlignment w:val="auto"/>
        <w:rPr>
          <w:rFonts w:ascii="仿宋" w:hAnsi="仿宋" w:eastAsia="仿宋" w:cs="仿宋"/>
          <w:b/>
          <w:bCs/>
          <w:color w:val="auto"/>
          <w:highlight w:val="none"/>
          <w:lang w:eastAsia="zh-CN"/>
        </w:rPr>
      </w:pPr>
      <w:r>
        <w:rPr>
          <w:rFonts w:hint="eastAsia" w:ascii="仿宋" w:hAnsi="仿宋" w:eastAsia="仿宋" w:cs="仿宋"/>
          <w:b/>
          <w:bCs/>
          <w:color w:val="auto"/>
          <w:highlight w:val="none"/>
        </w:rPr>
        <w:t>第一部分</w:t>
      </w:r>
      <w:r>
        <w:rPr>
          <w:rFonts w:hint="eastAsia" w:ascii="仿宋" w:hAnsi="仿宋" w:eastAsia="仿宋" w:cs="仿宋"/>
          <w:b/>
          <w:bCs/>
          <w:color w:val="auto"/>
          <w:highlight w:val="none"/>
          <w:lang w:val="en-US" w:eastAsia="zh-CN"/>
        </w:rPr>
        <w:t xml:space="preserve"> </w:t>
      </w:r>
      <w:r>
        <w:rPr>
          <w:rFonts w:hint="eastAsia" w:ascii="仿宋" w:hAnsi="仿宋" w:eastAsia="仿宋" w:cs="仿宋"/>
          <w:b/>
          <w:bCs/>
          <w:color w:val="auto"/>
          <w:highlight w:val="none"/>
          <w:lang w:eastAsia="zh-CN"/>
        </w:rPr>
        <w:t>招标公告</w:t>
      </w:r>
    </w:p>
    <w:p w14:paraId="057C8963">
      <w:pPr>
        <w:pStyle w:val="2"/>
        <w:keepNext w:val="0"/>
        <w:keepLines w:val="0"/>
        <w:widowControl/>
        <w:spacing w:line="360" w:lineRule="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阿合奇县医疗卫生提升项目一阿合奇县医共体医疗废物原地</w:t>
      </w:r>
    </w:p>
    <w:p w14:paraId="4151CCD6">
      <w:pPr>
        <w:pStyle w:val="2"/>
        <w:keepNext w:val="0"/>
        <w:keepLines w:val="0"/>
        <w:widowControl/>
        <w:spacing w:line="360" w:lineRule="auto"/>
        <w:rPr>
          <w:rFonts w:ascii="仿宋" w:hAnsi="仿宋" w:eastAsia="仿宋" w:cs="仿宋"/>
          <w:color w:val="auto"/>
          <w:kern w:val="0"/>
          <w:sz w:val="24"/>
          <w:szCs w:val="24"/>
          <w:lang w:eastAsia="zh-CN"/>
        </w:rPr>
      </w:pPr>
      <w:r>
        <w:rPr>
          <w:rFonts w:hint="eastAsia" w:ascii="仿宋" w:hAnsi="仿宋" w:eastAsia="仿宋" w:cs="仿宋"/>
          <w:color w:val="auto"/>
          <w:sz w:val="32"/>
          <w:szCs w:val="32"/>
          <w:lang w:eastAsia="zh-CN"/>
        </w:rPr>
        <w:t>处置建设项目</w:t>
      </w:r>
      <w:r>
        <w:rPr>
          <w:rFonts w:hint="eastAsia" w:ascii="仿宋" w:hAnsi="仿宋" w:eastAsia="仿宋" w:cs="仿宋"/>
          <w:color w:val="auto"/>
          <w:kern w:val="0"/>
          <w:sz w:val="32"/>
          <w:szCs w:val="32"/>
          <w:lang w:eastAsia="zh-CN"/>
        </w:rPr>
        <w:t>公开招标公告</w:t>
      </w:r>
    </w:p>
    <w:tbl>
      <w:tblPr>
        <w:tblStyle w:val="26"/>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7"/>
      </w:tblGrid>
      <w:tr w14:paraId="45AC9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9287" w:type="dxa"/>
          </w:tcPr>
          <w:p w14:paraId="39366B07">
            <w:pPr>
              <w:pStyle w:val="20"/>
              <w:keepNext w:val="0"/>
              <w:keepLines w:val="0"/>
              <w:pageBreakBefore w:val="0"/>
              <w:kinsoku/>
              <w:wordWrap/>
              <w:overflowPunct/>
              <w:topLinePunct w:val="0"/>
              <w:autoSpaceDE/>
              <w:autoSpaceDN/>
              <w:bidi w:val="0"/>
              <w:spacing w:before="75" w:after="75" w:line="400" w:lineRule="exact"/>
              <w:ind w:firstLine="486" w:firstLineChars="200"/>
              <w:jc w:val="both"/>
              <w:rPr>
                <w:rFonts w:ascii="仿宋" w:hAnsi="仿宋" w:eastAsia="仿宋" w:cs="仿宋"/>
                <w:color w:val="auto"/>
                <w:lang w:eastAsia="zh-CN"/>
              </w:rPr>
            </w:pPr>
            <w:r>
              <w:rPr>
                <w:rFonts w:hint="eastAsia" w:ascii="仿宋" w:hAnsi="仿宋" w:eastAsia="仿宋" w:cs="仿宋"/>
                <w:color w:val="auto"/>
                <w:lang w:eastAsia="zh-CN"/>
              </w:rPr>
              <w:t>项目概况</w:t>
            </w:r>
          </w:p>
          <w:p w14:paraId="2806C9CA">
            <w:pPr>
              <w:pStyle w:val="20"/>
              <w:keepNext w:val="0"/>
              <w:keepLines w:val="0"/>
              <w:pageBreakBefore w:val="0"/>
              <w:kinsoku/>
              <w:wordWrap/>
              <w:overflowPunct/>
              <w:topLinePunct w:val="0"/>
              <w:autoSpaceDE/>
              <w:autoSpaceDN/>
              <w:bidi w:val="0"/>
              <w:spacing w:before="75" w:after="75" w:line="400" w:lineRule="exact"/>
              <w:ind w:firstLine="486" w:firstLineChars="200"/>
              <w:jc w:val="both"/>
              <w:rPr>
                <w:rFonts w:ascii="仿宋" w:hAnsi="仿宋" w:eastAsia="仿宋" w:cs="仿宋"/>
                <w:color w:val="auto"/>
                <w:lang w:eastAsia="zh-CN"/>
              </w:rPr>
            </w:pPr>
            <w:r>
              <w:rPr>
                <w:rFonts w:hint="eastAsia" w:ascii="仿宋" w:hAnsi="仿宋" w:eastAsia="仿宋" w:cs="仿宋"/>
                <w:color w:val="auto"/>
                <w:lang w:eastAsia="zh-CN"/>
              </w:rPr>
              <w:t>阿合奇县医疗卫生提升项目一阿合奇县医共体医疗废物原地处置建设项目的潜在投标人应在政采云平台线上获取招标文件，并于202</w:t>
            </w:r>
            <w:r>
              <w:rPr>
                <w:rFonts w:hint="eastAsia" w:ascii="仿宋" w:hAnsi="仿宋" w:eastAsia="仿宋" w:cs="仿宋"/>
                <w:color w:val="auto"/>
                <w:lang w:val="en-US" w:eastAsia="zh-CN"/>
              </w:rPr>
              <w:t>6</w:t>
            </w:r>
            <w:r>
              <w:rPr>
                <w:rFonts w:hint="eastAsia" w:ascii="仿宋" w:hAnsi="仿宋" w:eastAsia="仿宋" w:cs="仿宋"/>
                <w:color w:val="auto"/>
                <w:lang w:eastAsia="zh-CN"/>
              </w:rPr>
              <w:t>年</w:t>
            </w:r>
            <w:r>
              <w:rPr>
                <w:rFonts w:hint="eastAsia" w:ascii="仿宋" w:hAnsi="仿宋" w:eastAsia="仿宋" w:cs="仿宋"/>
                <w:color w:val="auto"/>
                <w:lang w:val="en-US" w:eastAsia="zh-CN"/>
              </w:rPr>
              <w:t>11</w:t>
            </w:r>
            <w:r>
              <w:rPr>
                <w:rFonts w:hint="eastAsia" w:ascii="仿宋" w:hAnsi="仿宋" w:eastAsia="仿宋" w:cs="仿宋"/>
                <w:color w:val="auto"/>
                <w:lang w:eastAsia="zh-CN"/>
              </w:rPr>
              <w:t>月</w:t>
            </w:r>
            <w:r>
              <w:rPr>
                <w:rFonts w:hint="eastAsia" w:ascii="仿宋" w:hAnsi="仿宋" w:eastAsia="仿宋" w:cs="仿宋"/>
                <w:color w:val="auto"/>
                <w:lang w:val="en-US" w:eastAsia="zh-CN"/>
              </w:rPr>
              <w:t>5</w:t>
            </w:r>
            <w:r>
              <w:rPr>
                <w:rFonts w:hint="eastAsia" w:ascii="仿宋" w:hAnsi="仿宋" w:eastAsia="仿宋" w:cs="仿宋"/>
                <w:color w:val="auto"/>
                <w:lang w:eastAsia="zh-CN"/>
              </w:rPr>
              <w:t>日10:30（北京时间）前递交投标文件。</w:t>
            </w:r>
          </w:p>
        </w:tc>
      </w:tr>
    </w:tbl>
    <w:p w14:paraId="7C77C5EE">
      <w:pPr>
        <w:pStyle w:val="20"/>
        <w:keepNext w:val="0"/>
        <w:keepLines w:val="0"/>
        <w:pageBreakBefore w:val="0"/>
        <w:kinsoku/>
        <w:wordWrap/>
        <w:overflowPunct/>
        <w:topLinePunct w:val="0"/>
        <w:autoSpaceDE/>
        <w:autoSpaceDN/>
        <w:bidi w:val="0"/>
        <w:spacing w:before="75" w:after="75" w:line="400" w:lineRule="exact"/>
        <w:ind w:firstLine="486" w:firstLineChars="200"/>
        <w:jc w:val="both"/>
        <w:rPr>
          <w:rFonts w:ascii="仿宋" w:hAnsi="仿宋" w:eastAsia="仿宋" w:cs="仿宋"/>
          <w:color w:val="auto"/>
          <w:lang w:eastAsia="zh-CN"/>
        </w:rPr>
      </w:pPr>
      <w:r>
        <w:rPr>
          <w:rFonts w:hint="eastAsia" w:ascii="仿宋" w:hAnsi="仿宋" w:eastAsia="仿宋" w:cs="仿宋"/>
          <w:color w:val="auto"/>
          <w:lang w:eastAsia="zh-CN"/>
        </w:rPr>
        <w:t>一、项目基本情况</w:t>
      </w:r>
    </w:p>
    <w:p w14:paraId="6F712F79">
      <w:pPr>
        <w:pStyle w:val="20"/>
        <w:keepNext w:val="0"/>
        <w:keepLines w:val="0"/>
        <w:pageBreakBefore w:val="0"/>
        <w:kinsoku/>
        <w:wordWrap/>
        <w:overflowPunct/>
        <w:topLinePunct w:val="0"/>
        <w:autoSpaceDE/>
        <w:autoSpaceDN/>
        <w:bidi w:val="0"/>
        <w:spacing w:before="75" w:after="75" w:line="400" w:lineRule="exact"/>
        <w:ind w:firstLine="486" w:firstLineChars="200"/>
        <w:jc w:val="both"/>
        <w:rPr>
          <w:rFonts w:hint="eastAsia" w:ascii="仿宋" w:hAnsi="仿宋" w:eastAsia="仿宋" w:cs="仿宋"/>
          <w:color w:val="auto"/>
          <w:lang w:val="en-US" w:eastAsia="zh-CN"/>
        </w:rPr>
      </w:pPr>
      <w:r>
        <w:rPr>
          <w:rFonts w:hint="eastAsia" w:ascii="仿宋" w:hAnsi="仿宋" w:eastAsia="仿宋" w:cs="仿宋"/>
          <w:color w:val="auto"/>
          <w:lang w:eastAsia="zh-CN"/>
        </w:rPr>
        <w:t>项目编号：</w:t>
      </w:r>
      <w:r>
        <w:rPr>
          <w:rFonts w:hint="eastAsia" w:ascii="仿宋" w:hAnsi="仿宋" w:eastAsia="仿宋" w:cs="仿宋"/>
          <w:color w:val="auto"/>
          <w:lang w:val="en-US" w:eastAsia="zh-CN"/>
        </w:rPr>
        <w:t>AHQXZB-2026034</w:t>
      </w:r>
    </w:p>
    <w:p w14:paraId="148B311F">
      <w:pPr>
        <w:pStyle w:val="20"/>
        <w:keepNext w:val="0"/>
        <w:keepLines w:val="0"/>
        <w:pageBreakBefore w:val="0"/>
        <w:kinsoku/>
        <w:wordWrap/>
        <w:overflowPunct/>
        <w:topLinePunct w:val="0"/>
        <w:autoSpaceDE/>
        <w:autoSpaceDN/>
        <w:bidi w:val="0"/>
        <w:spacing w:before="75" w:after="75" w:line="400" w:lineRule="exact"/>
        <w:ind w:firstLine="486" w:firstLineChars="200"/>
        <w:jc w:val="both"/>
        <w:rPr>
          <w:rFonts w:hint="eastAsia" w:ascii="仿宋" w:hAnsi="仿宋" w:eastAsia="仿宋" w:cs="仿宋"/>
          <w:color w:val="auto"/>
          <w:lang w:val="en-US" w:eastAsia="zh-CN"/>
        </w:rPr>
      </w:pPr>
      <w:r>
        <w:rPr>
          <w:rFonts w:hint="eastAsia" w:ascii="仿宋" w:hAnsi="仿宋" w:eastAsia="仿宋" w:cs="仿宋"/>
          <w:color w:val="auto"/>
          <w:lang w:eastAsia="zh-CN"/>
        </w:rPr>
        <w:t>项目名称：阿合奇县医疗卫生提升项目一阿合奇县医共体医疗废物原地处置建设项目</w:t>
      </w:r>
    </w:p>
    <w:p w14:paraId="44E2C9E4">
      <w:pPr>
        <w:pStyle w:val="20"/>
        <w:keepNext w:val="0"/>
        <w:keepLines w:val="0"/>
        <w:pageBreakBefore w:val="0"/>
        <w:kinsoku/>
        <w:wordWrap/>
        <w:overflowPunct/>
        <w:topLinePunct w:val="0"/>
        <w:autoSpaceDE/>
        <w:autoSpaceDN/>
        <w:bidi w:val="0"/>
        <w:spacing w:before="75" w:after="75" w:line="400" w:lineRule="exact"/>
        <w:ind w:firstLine="486" w:firstLineChars="200"/>
        <w:jc w:val="both"/>
        <w:rPr>
          <w:rFonts w:ascii="仿宋" w:hAnsi="仿宋" w:eastAsia="仿宋" w:cs="仿宋"/>
          <w:color w:val="auto"/>
          <w:lang w:eastAsia="zh-CN"/>
        </w:rPr>
      </w:pPr>
      <w:r>
        <w:rPr>
          <w:rFonts w:hint="eastAsia" w:ascii="仿宋" w:hAnsi="仿宋" w:eastAsia="仿宋" w:cs="仿宋"/>
          <w:color w:val="auto"/>
          <w:lang w:eastAsia="zh-CN"/>
        </w:rPr>
        <w:t>采购方式：公开招标</w:t>
      </w:r>
    </w:p>
    <w:p w14:paraId="1BCDF05A">
      <w:pPr>
        <w:pStyle w:val="20"/>
        <w:keepNext w:val="0"/>
        <w:keepLines w:val="0"/>
        <w:pageBreakBefore w:val="0"/>
        <w:kinsoku/>
        <w:wordWrap/>
        <w:overflowPunct/>
        <w:topLinePunct w:val="0"/>
        <w:autoSpaceDE/>
        <w:autoSpaceDN/>
        <w:bidi w:val="0"/>
        <w:spacing w:before="75" w:after="75" w:line="400" w:lineRule="exact"/>
        <w:ind w:firstLine="486" w:firstLineChars="200"/>
        <w:jc w:val="both"/>
        <w:rPr>
          <w:rFonts w:hint="default" w:ascii="仿宋" w:hAnsi="仿宋" w:eastAsia="仿宋" w:cs="仿宋"/>
          <w:color w:val="auto"/>
          <w:lang w:val="en-US" w:eastAsia="zh-CN"/>
        </w:rPr>
      </w:pPr>
      <w:r>
        <w:rPr>
          <w:rFonts w:hint="eastAsia" w:ascii="仿宋" w:hAnsi="仿宋" w:eastAsia="仿宋" w:cs="仿宋"/>
          <w:color w:val="auto"/>
          <w:lang w:eastAsia="zh-CN"/>
        </w:rPr>
        <w:t>预算金额（元）：</w:t>
      </w:r>
      <w:r>
        <w:rPr>
          <w:rFonts w:hint="eastAsia" w:ascii="仿宋" w:hAnsi="仿宋" w:eastAsia="仿宋" w:cs="仿宋"/>
          <w:color w:val="auto"/>
          <w:lang w:val="en-US" w:eastAsia="zh-CN"/>
        </w:rPr>
        <w:t>4000000.00.00</w:t>
      </w:r>
    </w:p>
    <w:p w14:paraId="4284F3B5">
      <w:pPr>
        <w:pStyle w:val="20"/>
        <w:keepNext w:val="0"/>
        <w:keepLines w:val="0"/>
        <w:pageBreakBefore w:val="0"/>
        <w:kinsoku/>
        <w:wordWrap/>
        <w:overflowPunct/>
        <w:topLinePunct w:val="0"/>
        <w:autoSpaceDE/>
        <w:autoSpaceDN/>
        <w:bidi w:val="0"/>
        <w:spacing w:before="75" w:after="75" w:line="400" w:lineRule="exact"/>
        <w:ind w:firstLine="486" w:firstLineChars="200"/>
        <w:jc w:val="both"/>
        <w:rPr>
          <w:rFonts w:hint="default" w:ascii="仿宋" w:hAnsi="仿宋" w:eastAsia="仿宋" w:cs="仿宋"/>
          <w:color w:val="auto"/>
          <w:lang w:val="en-US" w:eastAsia="zh-CN"/>
        </w:rPr>
      </w:pPr>
      <w:r>
        <w:rPr>
          <w:rFonts w:hint="eastAsia" w:ascii="仿宋" w:hAnsi="仿宋" w:eastAsia="仿宋" w:cs="仿宋"/>
          <w:color w:val="auto"/>
          <w:lang w:eastAsia="zh-CN"/>
        </w:rPr>
        <w:t>最高限价（元）：</w:t>
      </w:r>
      <w:r>
        <w:rPr>
          <w:rFonts w:hint="eastAsia" w:ascii="仿宋" w:hAnsi="仿宋" w:eastAsia="仿宋" w:cs="仿宋"/>
          <w:color w:val="auto"/>
          <w:lang w:val="en-US" w:eastAsia="zh-CN"/>
        </w:rPr>
        <w:t>4000000.00.00</w:t>
      </w:r>
    </w:p>
    <w:p w14:paraId="14712ECA">
      <w:pPr>
        <w:pStyle w:val="20"/>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left="1718" w:leftChars="207" w:right="0" w:hanging="1215" w:hangingChars="500"/>
        <w:jc w:val="left"/>
        <w:textAlignment w:val="auto"/>
        <w:rPr>
          <w:rFonts w:hint="eastAsia" w:ascii="仿宋" w:hAnsi="仿宋" w:eastAsia="仿宋" w:cs="仿宋"/>
          <w:i w:val="0"/>
          <w:iCs w:val="0"/>
          <w:caps w:val="0"/>
          <w:color w:val="auto"/>
          <w:spacing w:val="0"/>
          <w:sz w:val="24"/>
          <w:szCs w:val="24"/>
        </w:rPr>
      </w:pPr>
      <w:r>
        <w:rPr>
          <w:rFonts w:hint="eastAsia" w:ascii="仿宋" w:hAnsi="仿宋" w:eastAsia="仿宋" w:cs="仿宋"/>
          <w:color w:val="auto"/>
          <w:lang w:eastAsia="zh-CN"/>
        </w:rPr>
        <w:t>采购需求：</w:t>
      </w:r>
      <w:r>
        <w:rPr>
          <w:rFonts w:hint="eastAsia" w:ascii="仿宋" w:hAnsi="仿宋" w:eastAsia="仿宋" w:cs="仿宋"/>
          <w:color w:val="auto"/>
          <w:lang w:val="en-US" w:eastAsia="zh-CN"/>
        </w:rPr>
        <w:t>对阿合奇县医共体医疗机构进行医疗废物原地处置设备采购，完善医疗设备设施处置流程，满足48小时原地处置要求。</w:t>
      </w:r>
      <w:r>
        <w:rPr>
          <w:rFonts w:hint="eastAsia" w:ascii="仿宋" w:hAnsi="仿宋" w:eastAsia="仿宋" w:cs="仿宋"/>
          <w:color w:val="auto"/>
          <w:lang w:eastAsia="zh-CN"/>
        </w:rPr>
        <w:t>（</w:t>
      </w:r>
      <w:r>
        <w:rPr>
          <w:rFonts w:hint="eastAsia" w:ascii="仿宋" w:hAnsi="仿宋" w:eastAsia="仿宋" w:cs="仿宋"/>
          <w:b w:val="0"/>
          <w:bCs w:val="0"/>
          <w:i w:val="0"/>
          <w:iCs w:val="0"/>
          <w:caps w:val="0"/>
          <w:color w:val="auto"/>
          <w:spacing w:val="0"/>
          <w:sz w:val="24"/>
          <w:szCs w:val="24"/>
          <w:highlight w:val="none"/>
          <w:lang w:val="en-US" w:eastAsia="zh-CN"/>
        </w:rPr>
        <w:t>具体详细参数详见招标文件</w:t>
      </w:r>
      <w:r>
        <w:rPr>
          <w:rFonts w:hint="eastAsia" w:ascii="仿宋" w:hAnsi="仿宋" w:eastAsia="仿宋" w:cs="仿宋"/>
          <w:color w:val="auto"/>
          <w:lang w:eastAsia="zh-CN"/>
        </w:rPr>
        <w:t>）</w:t>
      </w:r>
    </w:p>
    <w:p w14:paraId="5550286B">
      <w:pPr>
        <w:pStyle w:val="20"/>
        <w:keepNext w:val="0"/>
        <w:keepLines w:val="0"/>
        <w:pageBreakBefore w:val="0"/>
        <w:kinsoku/>
        <w:wordWrap/>
        <w:overflowPunct/>
        <w:topLinePunct w:val="0"/>
        <w:autoSpaceDE/>
        <w:autoSpaceDN/>
        <w:bidi w:val="0"/>
        <w:spacing w:before="75" w:after="75" w:line="400" w:lineRule="exact"/>
        <w:ind w:firstLine="486" w:firstLineChars="200"/>
        <w:jc w:val="both"/>
        <w:rPr>
          <w:rFonts w:hint="eastAsia" w:ascii="仿宋" w:hAnsi="仿宋" w:eastAsia="仿宋" w:cs="仿宋"/>
          <w:color w:val="auto"/>
          <w:lang w:eastAsia="zh-CN"/>
        </w:rPr>
      </w:pPr>
      <w:r>
        <w:rPr>
          <w:rFonts w:hint="eastAsia" w:ascii="仿宋" w:hAnsi="仿宋" w:eastAsia="仿宋" w:cs="仿宋"/>
          <w:color w:val="auto"/>
          <w:lang w:eastAsia="zh-CN"/>
        </w:rPr>
        <w:t>标项名称:阿合奇县医疗卫生提升项目一阿合奇县医共体医疗废物原地处置建设项目</w:t>
      </w:r>
    </w:p>
    <w:p w14:paraId="5E2EBE6D">
      <w:pPr>
        <w:pStyle w:val="20"/>
        <w:keepNext w:val="0"/>
        <w:keepLines w:val="0"/>
        <w:pageBreakBefore w:val="0"/>
        <w:kinsoku/>
        <w:wordWrap/>
        <w:overflowPunct/>
        <w:topLinePunct w:val="0"/>
        <w:autoSpaceDE/>
        <w:autoSpaceDN/>
        <w:bidi w:val="0"/>
        <w:spacing w:before="75" w:after="75" w:line="40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数量:1</w:t>
      </w:r>
    </w:p>
    <w:p w14:paraId="0B4E5CDA">
      <w:pPr>
        <w:pStyle w:val="20"/>
        <w:keepNext w:val="0"/>
        <w:keepLines w:val="0"/>
        <w:pageBreakBefore w:val="0"/>
        <w:kinsoku/>
        <w:wordWrap/>
        <w:overflowPunct/>
        <w:topLinePunct w:val="0"/>
        <w:autoSpaceDE/>
        <w:autoSpaceDN/>
        <w:bidi w:val="0"/>
        <w:spacing w:before="75" w:after="75" w:line="400" w:lineRule="exact"/>
        <w:ind w:firstLine="486" w:firstLineChars="200"/>
        <w:jc w:val="both"/>
        <w:rPr>
          <w:rFonts w:hint="default" w:ascii="仿宋" w:hAnsi="仿宋" w:eastAsia="仿宋" w:cs="仿宋"/>
          <w:color w:val="auto"/>
          <w:lang w:val="en-US" w:eastAsia="zh-CN"/>
        </w:rPr>
      </w:pPr>
      <w:r>
        <w:rPr>
          <w:rFonts w:hint="eastAsia" w:ascii="仿宋" w:hAnsi="仿宋" w:eastAsia="仿宋" w:cs="仿宋"/>
          <w:color w:val="auto"/>
          <w:lang w:eastAsia="zh-CN"/>
        </w:rPr>
        <w:t>预算金额（元）:</w:t>
      </w:r>
      <w:r>
        <w:rPr>
          <w:rFonts w:hint="eastAsia" w:ascii="仿宋" w:hAnsi="仿宋" w:eastAsia="仿宋" w:cs="仿宋"/>
          <w:color w:val="auto"/>
          <w:lang w:val="en-US" w:eastAsia="zh-CN"/>
        </w:rPr>
        <w:t>4000000.00.00</w:t>
      </w:r>
    </w:p>
    <w:p w14:paraId="638251F2">
      <w:pPr>
        <w:pStyle w:val="20"/>
        <w:keepNext w:val="0"/>
        <w:keepLines w:val="0"/>
        <w:pageBreakBefore w:val="0"/>
        <w:kinsoku/>
        <w:wordWrap/>
        <w:overflowPunct/>
        <w:topLinePunct w:val="0"/>
        <w:autoSpaceDE/>
        <w:autoSpaceDN/>
        <w:bidi w:val="0"/>
        <w:spacing w:before="75" w:after="75" w:line="400" w:lineRule="exact"/>
        <w:ind w:firstLine="486" w:firstLineChars="200"/>
        <w:rPr>
          <w:rFonts w:hint="eastAsia" w:ascii="仿宋" w:hAnsi="仿宋" w:eastAsia="仿宋" w:cs="仿宋"/>
          <w:color w:val="auto"/>
          <w:lang w:eastAsia="zh-CN"/>
        </w:rPr>
      </w:pPr>
      <w:r>
        <w:rPr>
          <w:rFonts w:hint="eastAsia" w:ascii="仿宋" w:hAnsi="仿宋" w:eastAsia="仿宋" w:cs="仿宋"/>
          <w:color w:val="auto"/>
          <w:lang w:eastAsia="zh-CN"/>
        </w:rPr>
        <w:t>单位：</w:t>
      </w:r>
      <w:r>
        <w:rPr>
          <w:rFonts w:hint="eastAsia" w:ascii="仿宋" w:hAnsi="仿宋" w:eastAsia="仿宋" w:cs="仿宋"/>
          <w:color w:val="auto"/>
          <w:lang w:val="en-US" w:eastAsia="zh-CN"/>
        </w:rPr>
        <w:t>批</w:t>
      </w:r>
    </w:p>
    <w:p w14:paraId="171A7433">
      <w:pPr>
        <w:pStyle w:val="20"/>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left="2204" w:leftChars="207" w:right="0" w:hanging="1701" w:hangingChars="700"/>
        <w:jc w:val="left"/>
        <w:textAlignment w:val="auto"/>
        <w:rPr>
          <w:rFonts w:hint="default" w:ascii="仿宋" w:hAnsi="仿宋" w:eastAsia="仿宋" w:cs="仿宋"/>
          <w:color w:val="auto"/>
          <w:sz w:val="24"/>
          <w:szCs w:val="24"/>
          <w:lang w:val="en-US" w:eastAsia="zh-CN" w:bidi="en-US"/>
        </w:rPr>
      </w:pPr>
      <w:r>
        <w:rPr>
          <w:rFonts w:hint="eastAsia" w:ascii="仿宋" w:hAnsi="仿宋" w:eastAsia="仿宋" w:cs="仿宋"/>
          <w:color w:val="auto"/>
          <w:lang w:eastAsia="zh-CN"/>
        </w:rPr>
        <w:t>简要规格描述：</w:t>
      </w:r>
      <w:r>
        <w:rPr>
          <w:rFonts w:hint="eastAsia" w:ascii="仿宋" w:hAnsi="仿宋" w:eastAsia="仿宋" w:cs="仿宋"/>
          <w:color w:val="auto"/>
          <w:lang w:val="en-US" w:eastAsia="zh-CN"/>
        </w:rPr>
        <w:t>对阿合奇县医共体医疗机构进行医疗废物原地处置设备采购，完善医疗设备设施处置流程，满足48小时原地处置要求。</w:t>
      </w:r>
      <w:r>
        <w:rPr>
          <w:rFonts w:hint="eastAsia" w:ascii="仿宋" w:hAnsi="仿宋" w:eastAsia="仿宋" w:cs="仿宋"/>
          <w:color w:val="auto"/>
          <w:lang w:eastAsia="zh-CN"/>
        </w:rPr>
        <w:t>（</w:t>
      </w:r>
      <w:r>
        <w:rPr>
          <w:rFonts w:hint="eastAsia" w:ascii="仿宋" w:hAnsi="仿宋" w:eastAsia="仿宋" w:cs="仿宋"/>
          <w:b w:val="0"/>
          <w:bCs w:val="0"/>
          <w:i w:val="0"/>
          <w:iCs w:val="0"/>
          <w:caps w:val="0"/>
          <w:color w:val="auto"/>
          <w:spacing w:val="0"/>
          <w:sz w:val="24"/>
          <w:szCs w:val="24"/>
          <w:highlight w:val="none"/>
          <w:lang w:val="en-US" w:eastAsia="zh-CN"/>
        </w:rPr>
        <w:t>具体详细参数详见招标文件</w:t>
      </w:r>
      <w:r>
        <w:rPr>
          <w:rFonts w:hint="eastAsia" w:ascii="仿宋" w:hAnsi="仿宋" w:eastAsia="仿宋" w:cs="仿宋"/>
          <w:color w:val="auto"/>
          <w:lang w:eastAsia="zh-CN"/>
        </w:rPr>
        <w:t>）</w:t>
      </w:r>
    </w:p>
    <w:p w14:paraId="5D482D3F">
      <w:pPr>
        <w:pStyle w:val="20"/>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left="2204" w:leftChars="207" w:right="0" w:hanging="1701" w:hangingChars="700"/>
        <w:jc w:val="left"/>
        <w:textAlignment w:val="auto"/>
        <w:rPr>
          <w:rFonts w:hint="eastAsia" w:ascii="仿宋" w:hAnsi="仿宋" w:eastAsia="仿宋" w:cs="仿宋"/>
          <w:color w:val="auto"/>
          <w:sz w:val="24"/>
          <w:szCs w:val="24"/>
          <w:lang w:val="en-US" w:eastAsia="zh-CN" w:bidi="en-US"/>
        </w:rPr>
      </w:pPr>
      <w:r>
        <w:rPr>
          <w:rFonts w:hint="eastAsia" w:ascii="仿宋" w:hAnsi="仿宋" w:eastAsia="仿宋" w:cs="仿宋"/>
          <w:color w:val="auto"/>
          <w:sz w:val="24"/>
          <w:szCs w:val="24"/>
          <w:lang w:val="en-US" w:eastAsia="zh-CN" w:bidi="en-US"/>
        </w:rPr>
        <w:t>合同供货期限：75日历日（最终以双方签订的合同约定为准）。</w:t>
      </w:r>
    </w:p>
    <w:p w14:paraId="1A4B0E13">
      <w:pPr>
        <w:pStyle w:val="20"/>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left="2204" w:leftChars="207" w:right="0" w:hanging="1701" w:hangingChars="700"/>
        <w:jc w:val="left"/>
        <w:textAlignment w:val="auto"/>
        <w:rPr>
          <w:rFonts w:hint="eastAsia" w:ascii="仿宋" w:hAnsi="仿宋" w:eastAsia="仿宋" w:cs="仿宋"/>
          <w:b w:val="0"/>
          <w:bCs w:val="0"/>
          <w:color w:val="auto"/>
          <w:lang w:eastAsia="zh-CN"/>
        </w:rPr>
      </w:pPr>
      <w:r>
        <w:rPr>
          <w:rFonts w:hint="eastAsia" w:ascii="仿宋" w:hAnsi="仿宋" w:eastAsia="仿宋" w:cs="仿宋"/>
          <w:b w:val="0"/>
          <w:bCs w:val="0"/>
          <w:color w:val="auto"/>
          <w:lang w:eastAsia="zh-CN"/>
        </w:rPr>
        <w:t>本项目</w:t>
      </w:r>
      <w:r>
        <w:rPr>
          <w:rFonts w:hint="eastAsia" w:ascii="仿宋" w:hAnsi="仿宋" w:eastAsia="仿宋" w:cs="仿宋"/>
          <w:b/>
          <w:bCs/>
          <w:color w:val="auto"/>
          <w:lang w:val="en-US" w:eastAsia="zh-CN"/>
        </w:rPr>
        <w:t>不</w:t>
      </w:r>
      <w:r>
        <w:rPr>
          <w:rFonts w:hint="eastAsia" w:ascii="仿宋" w:hAnsi="仿宋" w:eastAsia="仿宋" w:cs="仿宋"/>
          <w:b/>
          <w:bCs/>
          <w:color w:val="auto"/>
          <w:lang w:eastAsia="zh-CN"/>
        </w:rPr>
        <w:t>接受</w:t>
      </w:r>
      <w:r>
        <w:rPr>
          <w:rFonts w:hint="eastAsia" w:ascii="仿宋" w:hAnsi="仿宋" w:eastAsia="仿宋" w:cs="仿宋"/>
          <w:b w:val="0"/>
          <w:bCs w:val="0"/>
          <w:color w:val="auto"/>
          <w:lang w:eastAsia="zh-CN"/>
        </w:rPr>
        <w:t>联合体投标。</w:t>
      </w:r>
    </w:p>
    <w:p w14:paraId="33745F2F">
      <w:pPr>
        <w:pStyle w:val="20"/>
        <w:keepNext w:val="0"/>
        <w:keepLines w:val="0"/>
        <w:pageBreakBefore w:val="0"/>
        <w:kinsoku/>
        <w:wordWrap/>
        <w:overflowPunct/>
        <w:topLinePunct w:val="0"/>
        <w:autoSpaceDE/>
        <w:autoSpaceDN/>
        <w:bidi w:val="0"/>
        <w:spacing w:before="75" w:after="75" w:line="400" w:lineRule="exact"/>
        <w:rPr>
          <w:rFonts w:ascii="仿宋" w:hAnsi="仿宋" w:eastAsia="仿宋" w:cs="仿宋"/>
          <w:b/>
          <w:bCs/>
          <w:color w:val="auto"/>
          <w:lang w:eastAsia="zh-CN"/>
        </w:rPr>
      </w:pPr>
      <w:r>
        <w:rPr>
          <w:rFonts w:hint="eastAsia" w:ascii="仿宋" w:hAnsi="仿宋" w:eastAsia="仿宋" w:cs="仿宋"/>
          <w:b/>
          <w:bCs/>
          <w:color w:val="auto"/>
          <w:lang w:eastAsia="zh-CN"/>
        </w:rPr>
        <w:t>二、申请人的资格要求：</w:t>
      </w:r>
    </w:p>
    <w:p w14:paraId="1CB67009">
      <w:pPr>
        <w:pStyle w:val="20"/>
        <w:keepNext w:val="0"/>
        <w:keepLines w:val="0"/>
        <w:pageBreakBefore w:val="0"/>
        <w:kinsoku/>
        <w:wordWrap/>
        <w:overflowPunct/>
        <w:topLinePunct w:val="0"/>
        <w:autoSpaceDE/>
        <w:autoSpaceDN/>
        <w:bidi w:val="0"/>
        <w:spacing w:before="75" w:after="75" w:line="40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1.满足《中华人民共和国政府采购法》第二十二条规定；</w:t>
      </w:r>
    </w:p>
    <w:p w14:paraId="0AE1F88D">
      <w:pPr>
        <w:pStyle w:val="20"/>
        <w:keepNext w:val="0"/>
        <w:keepLines w:val="0"/>
        <w:pageBreakBefore w:val="0"/>
        <w:kinsoku/>
        <w:wordWrap/>
        <w:overflowPunct/>
        <w:topLinePunct w:val="0"/>
        <w:autoSpaceDE/>
        <w:autoSpaceDN/>
        <w:bidi w:val="0"/>
        <w:spacing w:before="75" w:after="75" w:line="40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2.落实政府采购政策需满足的资格要求：本项目为专门面向中小企业。</w:t>
      </w:r>
    </w:p>
    <w:p w14:paraId="2392CBC6">
      <w:pPr>
        <w:keepNext w:val="0"/>
        <w:keepLines w:val="0"/>
        <w:pageBreakBefore w:val="0"/>
        <w:kinsoku/>
        <w:wordWrap/>
        <w:overflowPunct/>
        <w:topLinePunct w:val="0"/>
        <w:autoSpaceDE/>
        <w:autoSpaceDN/>
        <w:bidi w:val="0"/>
        <w:spacing w:line="40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3.本项目的特定资格要求：</w:t>
      </w:r>
    </w:p>
    <w:p w14:paraId="2492DFD6">
      <w:pPr>
        <w:keepNext w:val="0"/>
        <w:keepLines w:val="0"/>
        <w:pageBreakBefore w:val="0"/>
        <w:widowControl w:val="0"/>
        <w:kinsoku/>
        <w:wordWrap/>
        <w:overflowPunct/>
        <w:topLinePunct w:val="0"/>
        <w:autoSpaceDE/>
        <w:autoSpaceDN/>
        <w:bidi w:val="0"/>
        <w:adjustRightInd/>
        <w:snapToGrid/>
        <w:spacing w:line="400" w:lineRule="exact"/>
        <w:ind w:firstLine="243" w:firstLineChars="100"/>
        <w:textAlignment w:val="auto"/>
        <w:rPr>
          <w:rFonts w:hint="eastAsia" w:ascii="仿宋" w:hAnsi="仿宋" w:eastAsia="仿宋" w:cs="仿宋"/>
          <w:b w:val="0"/>
          <w:bCs/>
          <w:color w:val="auto"/>
          <w:kern w:val="0"/>
          <w:sz w:val="24"/>
          <w:szCs w:val="24"/>
          <w:highlight w:val="none"/>
          <w:lang w:val="en-US" w:eastAsia="zh-CN" w:bidi="en-US"/>
        </w:rPr>
      </w:pPr>
      <w:r>
        <w:rPr>
          <w:rFonts w:hint="eastAsia" w:ascii="仿宋" w:hAnsi="仿宋" w:eastAsia="仿宋" w:cs="仿宋"/>
          <w:b w:val="0"/>
          <w:bCs/>
          <w:color w:val="auto"/>
          <w:kern w:val="0"/>
          <w:sz w:val="24"/>
          <w:szCs w:val="24"/>
          <w:highlight w:val="none"/>
          <w:lang w:val="en-US" w:eastAsia="zh-CN" w:bidi="en-US"/>
        </w:rPr>
        <w:t>（1）具备三证合一营业执照副本；</w:t>
      </w:r>
      <w:r>
        <w:rPr>
          <w:rFonts w:hint="eastAsia" w:ascii="仿宋" w:hAnsi="仿宋" w:eastAsia="仿宋" w:cs="仿宋"/>
          <w:b w:val="0"/>
          <w:bCs/>
          <w:color w:val="auto"/>
          <w:kern w:val="0"/>
          <w:sz w:val="24"/>
          <w:szCs w:val="24"/>
          <w:highlight w:val="none"/>
          <w:lang w:val="en-US" w:eastAsia="zh-CN" w:bidi="en-US"/>
        </w:rPr>
        <w:tab/>
      </w:r>
    </w:p>
    <w:p w14:paraId="3B1BFEB3">
      <w:pPr>
        <w:keepNext w:val="0"/>
        <w:keepLines w:val="0"/>
        <w:pageBreakBefore w:val="0"/>
        <w:widowControl w:val="0"/>
        <w:kinsoku/>
        <w:wordWrap/>
        <w:overflowPunct/>
        <w:topLinePunct w:val="0"/>
        <w:autoSpaceDE/>
        <w:autoSpaceDN/>
        <w:bidi w:val="0"/>
        <w:adjustRightInd/>
        <w:snapToGrid/>
        <w:spacing w:line="400" w:lineRule="exact"/>
        <w:ind w:firstLine="243" w:firstLineChars="100"/>
        <w:textAlignment w:val="auto"/>
        <w:rPr>
          <w:rFonts w:hint="eastAsia" w:ascii="仿宋" w:hAnsi="仿宋" w:eastAsia="仿宋" w:cs="仿宋"/>
          <w:b w:val="0"/>
          <w:bCs/>
          <w:color w:val="auto"/>
          <w:kern w:val="0"/>
          <w:sz w:val="24"/>
          <w:szCs w:val="24"/>
          <w:highlight w:val="none"/>
          <w:lang w:val="en-US" w:eastAsia="zh-CN" w:bidi="en-US"/>
        </w:rPr>
      </w:pPr>
      <w:r>
        <w:rPr>
          <w:rFonts w:hint="eastAsia" w:ascii="仿宋" w:hAnsi="仿宋" w:eastAsia="仿宋" w:cs="仿宋"/>
          <w:b w:val="0"/>
          <w:bCs/>
          <w:color w:val="auto"/>
          <w:kern w:val="0"/>
          <w:sz w:val="24"/>
          <w:szCs w:val="24"/>
          <w:highlight w:val="none"/>
          <w:lang w:val="en-US" w:eastAsia="zh-CN" w:bidi="en-US"/>
        </w:rPr>
        <w:t>（2）法定代表人投标需提供法定代表人资格证明书，委托代理人投标需提供法定代表人授权委托书；</w:t>
      </w:r>
    </w:p>
    <w:p w14:paraId="26B427F3">
      <w:pPr>
        <w:keepNext w:val="0"/>
        <w:keepLines w:val="0"/>
        <w:pageBreakBefore w:val="0"/>
        <w:widowControl w:val="0"/>
        <w:kinsoku/>
        <w:wordWrap/>
        <w:overflowPunct/>
        <w:topLinePunct w:val="0"/>
        <w:autoSpaceDE/>
        <w:autoSpaceDN/>
        <w:bidi w:val="0"/>
        <w:adjustRightInd/>
        <w:snapToGrid/>
        <w:spacing w:line="400" w:lineRule="exact"/>
        <w:ind w:firstLine="243" w:firstLineChars="100"/>
        <w:textAlignment w:val="auto"/>
        <w:rPr>
          <w:rFonts w:hint="eastAsia" w:ascii="仿宋" w:hAnsi="仿宋" w:eastAsia="仿宋" w:cs="仿宋"/>
          <w:b w:val="0"/>
          <w:bCs/>
          <w:color w:val="auto"/>
          <w:kern w:val="0"/>
          <w:sz w:val="24"/>
          <w:szCs w:val="24"/>
          <w:highlight w:val="none"/>
          <w:lang w:val="en-US" w:eastAsia="zh-CN" w:bidi="en-US"/>
        </w:rPr>
      </w:pPr>
      <w:r>
        <w:rPr>
          <w:rFonts w:hint="eastAsia" w:ascii="仿宋" w:hAnsi="仿宋" w:eastAsia="仿宋" w:cs="仿宋"/>
          <w:b w:val="0"/>
          <w:bCs/>
          <w:color w:val="auto"/>
          <w:kern w:val="0"/>
          <w:sz w:val="24"/>
          <w:szCs w:val="24"/>
          <w:highlight w:val="none"/>
          <w:lang w:val="en-US" w:eastAsia="zh-CN" w:bidi="en-US"/>
        </w:rPr>
        <w:t>（3）投标企业须提供投标人（被授权在职人员）近6个月内任意一个月有效的社保证明；</w:t>
      </w:r>
    </w:p>
    <w:p w14:paraId="6D28ED8A">
      <w:pPr>
        <w:keepNext w:val="0"/>
        <w:keepLines w:val="0"/>
        <w:pageBreakBefore w:val="0"/>
        <w:widowControl w:val="0"/>
        <w:kinsoku/>
        <w:wordWrap/>
        <w:overflowPunct/>
        <w:topLinePunct w:val="0"/>
        <w:autoSpaceDE/>
        <w:autoSpaceDN/>
        <w:bidi w:val="0"/>
        <w:adjustRightInd/>
        <w:snapToGrid/>
        <w:spacing w:line="400" w:lineRule="exact"/>
        <w:ind w:firstLine="243" w:firstLineChars="100"/>
        <w:textAlignment w:val="auto"/>
        <w:rPr>
          <w:rFonts w:hint="eastAsia" w:ascii="仿宋" w:hAnsi="仿宋" w:eastAsia="仿宋" w:cs="仿宋"/>
          <w:b w:val="0"/>
          <w:bCs/>
          <w:color w:val="auto"/>
          <w:kern w:val="0"/>
          <w:sz w:val="24"/>
          <w:szCs w:val="24"/>
          <w:highlight w:val="none"/>
          <w:lang w:val="en-US" w:eastAsia="zh-CN" w:bidi="en-US"/>
        </w:rPr>
      </w:pPr>
      <w:r>
        <w:rPr>
          <w:rFonts w:hint="eastAsia" w:ascii="仿宋" w:hAnsi="仿宋" w:eastAsia="仿宋" w:cs="仿宋"/>
          <w:b w:val="0"/>
          <w:bCs/>
          <w:color w:val="auto"/>
          <w:kern w:val="0"/>
          <w:sz w:val="24"/>
          <w:szCs w:val="24"/>
          <w:highlight w:val="none"/>
          <w:lang w:val="en-US" w:eastAsia="zh-CN" w:bidi="en-US"/>
        </w:rPr>
        <w:t>（4）参加政府采购活动前三年内，在经营活动中没有重大违法记录；未被“信用中国”（www.creditchina.gov.cn）、中国政府采购网（www.ccgp.gov.cn）列入失信被执行人、税收违法黑名单、政府采购严重违法失信行为记录名单；</w:t>
      </w:r>
    </w:p>
    <w:p w14:paraId="0ED603CD">
      <w:pPr>
        <w:pStyle w:val="20"/>
        <w:keepNext w:val="0"/>
        <w:keepLines w:val="0"/>
        <w:pageBreakBefore w:val="0"/>
        <w:kinsoku/>
        <w:wordWrap/>
        <w:overflowPunct/>
        <w:topLinePunct w:val="0"/>
        <w:autoSpaceDE/>
        <w:autoSpaceDN/>
        <w:bidi w:val="0"/>
        <w:spacing w:before="75" w:after="75" w:line="400" w:lineRule="exact"/>
        <w:rPr>
          <w:rFonts w:ascii="仿宋" w:hAnsi="仿宋" w:eastAsia="仿宋" w:cs="仿宋"/>
          <w:b/>
          <w:bCs/>
          <w:color w:val="auto"/>
          <w:lang w:eastAsia="zh-CN"/>
        </w:rPr>
      </w:pPr>
      <w:r>
        <w:rPr>
          <w:rFonts w:hint="eastAsia" w:ascii="仿宋" w:hAnsi="仿宋" w:eastAsia="仿宋" w:cs="仿宋"/>
          <w:b/>
          <w:bCs/>
          <w:color w:val="auto"/>
          <w:lang w:eastAsia="zh-CN"/>
        </w:rPr>
        <w:t>三、获取招标文件</w:t>
      </w:r>
    </w:p>
    <w:p w14:paraId="28CB83D6">
      <w:pPr>
        <w:keepNext w:val="0"/>
        <w:keepLines w:val="0"/>
        <w:pageBreakBefore w:val="0"/>
        <w:kinsoku/>
        <w:wordWrap/>
        <w:overflowPunct/>
        <w:topLinePunct w:val="0"/>
        <w:autoSpaceDE/>
        <w:autoSpaceDN/>
        <w:bidi w:val="0"/>
        <w:spacing w:line="40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时间：2026年</w:t>
      </w:r>
      <w:r>
        <w:rPr>
          <w:rFonts w:hint="eastAsia" w:ascii="仿宋" w:hAnsi="仿宋" w:eastAsia="仿宋" w:cs="仿宋"/>
          <w:color w:val="auto"/>
          <w:lang w:val="en-US" w:eastAsia="zh-CN"/>
        </w:rPr>
        <w:t>10</w:t>
      </w:r>
      <w:r>
        <w:rPr>
          <w:rFonts w:hint="eastAsia" w:ascii="仿宋" w:hAnsi="仿宋" w:eastAsia="仿宋" w:cs="仿宋"/>
          <w:color w:val="auto"/>
          <w:lang w:eastAsia="zh-CN"/>
        </w:rPr>
        <w:t>月16日至2026年</w:t>
      </w:r>
      <w:r>
        <w:rPr>
          <w:rFonts w:hint="eastAsia" w:ascii="仿宋" w:hAnsi="仿宋" w:eastAsia="仿宋" w:cs="仿宋"/>
          <w:color w:val="auto"/>
          <w:lang w:val="en-US" w:eastAsia="zh-CN"/>
        </w:rPr>
        <w:t>10</w:t>
      </w:r>
      <w:r>
        <w:rPr>
          <w:rFonts w:hint="eastAsia" w:ascii="仿宋" w:hAnsi="仿宋" w:eastAsia="仿宋" w:cs="仿宋"/>
          <w:color w:val="auto"/>
          <w:lang w:eastAsia="zh-CN"/>
        </w:rPr>
        <w:t>月</w:t>
      </w:r>
      <w:r>
        <w:rPr>
          <w:rFonts w:hint="eastAsia" w:ascii="仿宋" w:hAnsi="仿宋" w:eastAsia="仿宋" w:cs="仿宋"/>
          <w:color w:val="auto"/>
          <w:lang w:val="en-US" w:eastAsia="zh-CN"/>
        </w:rPr>
        <w:t>26</w:t>
      </w:r>
      <w:r>
        <w:rPr>
          <w:rFonts w:hint="eastAsia" w:ascii="仿宋" w:hAnsi="仿宋" w:eastAsia="仿宋" w:cs="仿宋"/>
          <w:color w:val="auto"/>
          <w:lang w:eastAsia="zh-CN"/>
        </w:rPr>
        <w:t>日，每天上午10:00至14:00，下午16:00至19：30（北京时间，节假日除外）</w:t>
      </w:r>
    </w:p>
    <w:p w14:paraId="6A4E636B">
      <w:pPr>
        <w:keepNext w:val="0"/>
        <w:keepLines w:val="0"/>
        <w:pageBreakBefore w:val="0"/>
        <w:kinsoku/>
        <w:wordWrap/>
        <w:overflowPunct/>
        <w:topLinePunct w:val="0"/>
        <w:autoSpaceDE/>
        <w:autoSpaceDN/>
        <w:bidi w:val="0"/>
        <w:spacing w:line="40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地点：政采云平台线上</w:t>
      </w:r>
    </w:p>
    <w:p w14:paraId="445EAC96">
      <w:pPr>
        <w:keepNext w:val="0"/>
        <w:keepLines w:val="0"/>
        <w:pageBreakBefore w:val="0"/>
        <w:kinsoku/>
        <w:wordWrap/>
        <w:overflowPunct/>
        <w:topLinePunct w:val="0"/>
        <w:autoSpaceDE/>
        <w:autoSpaceDN/>
        <w:bidi w:val="0"/>
        <w:spacing w:line="40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方式：供应商登录政采云平台https://www.zcygov.cn/在线申请获取采购文件（进入“项目采购”应用，在获取采购文件菜单中选择项目，申请获取采购文件）</w:t>
      </w:r>
    </w:p>
    <w:p w14:paraId="48DF79F2">
      <w:pPr>
        <w:keepNext w:val="0"/>
        <w:keepLines w:val="0"/>
        <w:pageBreakBefore w:val="0"/>
        <w:kinsoku/>
        <w:wordWrap/>
        <w:overflowPunct/>
        <w:topLinePunct w:val="0"/>
        <w:autoSpaceDE/>
        <w:autoSpaceDN/>
        <w:bidi w:val="0"/>
        <w:spacing w:line="40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售价（元）：0</w:t>
      </w:r>
    </w:p>
    <w:p w14:paraId="7549FE4C">
      <w:pPr>
        <w:keepNext w:val="0"/>
        <w:keepLines w:val="0"/>
        <w:pageBreakBefore w:val="0"/>
        <w:kinsoku/>
        <w:wordWrap/>
        <w:overflowPunct/>
        <w:topLinePunct w:val="0"/>
        <w:autoSpaceDE/>
        <w:autoSpaceDN/>
        <w:bidi w:val="0"/>
        <w:spacing w:line="400" w:lineRule="exact"/>
        <w:rPr>
          <w:rFonts w:ascii="仿宋" w:hAnsi="仿宋" w:eastAsia="仿宋" w:cs="仿宋"/>
          <w:color w:val="auto"/>
          <w:lang w:eastAsia="zh-CN"/>
        </w:rPr>
      </w:pPr>
      <w:r>
        <w:rPr>
          <w:rFonts w:hint="eastAsia" w:ascii="仿宋" w:hAnsi="仿宋" w:eastAsia="仿宋" w:cs="仿宋"/>
          <w:b/>
          <w:bCs/>
          <w:color w:val="auto"/>
          <w:lang w:eastAsia="zh-CN"/>
        </w:rPr>
        <w:t>四、提交投标文件截止时间、开标时间和地点</w:t>
      </w:r>
    </w:p>
    <w:p w14:paraId="3F9A9205">
      <w:pPr>
        <w:keepNext w:val="0"/>
        <w:keepLines w:val="0"/>
        <w:pageBreakBefore w:val="0"/>
        <w:kinsoku/>
        <w:wordWrap/>
        <w:overflowPunct/>
        <w:topLinePunct w:val="0"/>
        <w:autoSpaceDE/>
        <w:autoSpaceDN/>
        <w:bidi w:val="0"/>
        <w:spacing w:line="400" w:lineRule="exact"/>
        <w:ind w:firstLine="486" w:firstLineChars="200"/>
        <w:rPr>
          <w:rFonts w:ascii="仿宋" w:hAnsi="仿宋" w:eastAsia="仿宋" w:cs="仿宋"/>
          <w:color w:val="auto"/>
          <w:kern w:val="2"/>
          <w:lang w:eastAsia="zh-CN" w:bidi="ar-SA"/>
        </w:rPr>
      </w:pPr>
      <w:r>
        <w:rPr>
          <w:rFonts w:hint="eastAsia" w:ascii="仿宋" w:hAnsi="仿宋" w:eastAsia="仿宋" w:cs="仿宋"/>
          <w:color w:val="auto"/>
          <w:kern w:val="2"/>
          <w:lang w:eastAsia="zh-CN" w:bidi="ar-SA"/>
        </w:rPr>
        <w:t>截止</w:t>
      </w:r>
      <w:r>
        <w:rPr>
          <w:rFonts w:hint="eastAsia" w:ascii="仿宋" w:hAnsi="仿宋" w:eastAsia="仿宋" w:cs="仿宋"/>
          <w:color w:val="auto"/>
          <w:lang w:eastAsia="zh-CN"/>
        </w:rPr>
        <w:t>时间：202</w:t>
      </w:r>
      <w:r>
        <w:rPr>
          <w:rFonts w:hint="eastAsia" w:ascii="仿宋" w:hAnsi="仿宋" w:eastAsia="仿宋" w:cs="仿宋"/>
          <w:color w:val="auto"/>
          <w:lang w:val="en-US" w:eastAsia="zh-CN"/>
        </w:rPr>
        <w:t>6</w:t>
      </w:r>
      <w:r>
        <w:rPr>
          <w:rFonts w:hint="eastAsia" w:ascii="仿宋" w:hAnsi="仿宋" w:eastAsia="仿宋" w:cs="仿宋"/>
          <w:color w:val="auto"/>
          <w:lang w:eastAsia="zh-CN"/>
        </w:rPr>
        <w:t>年</w:t>
      </w:r>
      <w:r>
        <w:rPr>
          <w:rFonts w:hint="eastAsia" w:ascii="仿宋" w:hAnsi="仿宋" w:eastAsia="仿宋" w:cs="仿宋"/>
          <w:color w:val="auto"/>
          <w:lang w:val="en-US" w:eastAsia="zh-CN"/>
        </w:rPr>
        <w:t>11</w:t>
      </w:r>
      <w:r>
        <w:rPr>
          <w:rFonts w:hint="eastAsia" w:ascii="仿宋" w:hAnsi="仿宋" w:eastAsia="仿宋" w:cs="仿宋"/>
          <w:color w:val="auto"/>
          <w:lang w:eastAsia="zh-CN"/>
        </w:rPr>
        <w:t>月</w:t>
      </w:r>
      <w:r>
        <w:rPr>
          <w:rFonts w:hint="eastAsia" w:ascii="仿宋" w:hAnsi="仿宋" w:eastAsia="仿宋" w:cs="仿宋"/>
          <w:color w:val="auto"/>
          <w:lang w:val="en-US" w:eastAsia="zh-CN"/>
        </w:rPr>
        <w:t>5</w:t>
      </w:r>
      <w:r>
        <w:rPr>
          <w:rFonts w:hint="eastAsia" w:ascii="仿宋" w:hAnsi="仿宋" w:eastAsia="仿宋" w:cs="仿宋"/>
          <w:color w:val="auto"/>
          <w:lang w:eastAsia="zh-CN"/>
        </w:rPr>
        <w:t>日10：30（北京时间</w:t>
      </w:r>
      <w:r>
        <w:rPr>
          <w:rFonts w:hint="eastAsia" w:ascii="仿宋" w:hAnsi="仿宋" w:eastAsia="仿宋" w:cs="仿宋"/>
          <w:color w:val="auto"/>
          <w:kern w:val="2"/>
          <w:lang w:eastAsia="zh-CN" w:bidi="ar-SA"/>
        </w:rPr>
        <w:t>）</w:t>
      </w:r>
    </w:p>
    <w:p w14:paraId="4A683C92">
      <w:pPr>
        <w:keepNext w:val="0"/>
        <w:keepLines w:val="0"/>
        <w:pageBreakBefore w:val="0"/>
        <w:kinsoku/>
        <w:wordWrap/>
        <w:overflowPunct/>
        <w:topLinePunct w:val="0"/>
        <w:autoSpaceDE/>
        <w:autoSpaceDN/>
        <w:bidi w:val="0"/>
        <w:spacing w:line="400" w:lineRule="exact"/>
        <w:ind w:firstLine="486" w:firstLineChars="200"/>
        <w:rPr>
          <w:rFonts w:ascii="仿宋" w:hAnsi="仿宋" w:eastAsia="仿宋" w:cs="仿宋"/>
          <w:color w:val="auto"/>
          <w:kern w:val="2"/>
          <w:lang w:eastAsia="zh-CN" w:bidi="ar-SA"/>
        </w:rPr>
      </w:pPr>
      <w:r>
        <w:rPr>
          <w:rFonts w:hint="eastAsia" w:ascii="仿宋" w:hAnsi="仿宋" w:eastAsia="仿宋" w:cs="仿宋"/>
          <w:color w:val="auto"/>
          <w:kern w:val="2"/>
          <w:lang w:eastAsia="zh-CN" w:bidi="ar-SA"/>
        </w:rPr>
        <w:t>投标地点：政府采购云平台（www.zcygov.cn）供应商应于递交投标文件截止时间之前将电子投标文件上传到“政采云”平台。</w:t>
      </w:r>
    </w:p>
    <w:p w14:paraId="350D6510">
      <w:pPr>
        <w:keepNext w:val="0"/>
        <w:keepLines w:val="0"/>
        <w:pageBreakBefore w:val="0"/>
        <w:kinsoku/>
        <w:wordWrap/>
        <w:overflowPunct/>
        <w:topLinePunct w:val="0"/>
        <w:autoSpaceDE/>
        <w:autoSpaceDN/>
        <w:bidi w:val="0"/>
        <w:spacing w:line="400" w:lineRule="exact"/>
        <w:ind w:firstLine="486" w:firstLineChars="200"/>
        <w:rPr>
          <w:rFonts w:ascii="仿宋" w:hAnsi="仿宋" w:eastAsia="仿宋" w:cs="仿宋"/>
          <w:color w:val="auto"/>
          <w:kern w:val="2"/>
          <w:lang w:eastAsia="zh-CN" w:bidi="ar-SA"/>
        </w:rPr>
      </w:pPr>
      <w:r>
        <w:rPr>
          <w:rFonts w:hint="eastAsia" w:ascii="仿宋" w:hAnsi="仿宋" w:eastAsia="仿宋" w:cs="仿宋"/>
          <w:color w:val="auto"/>
          <w:kern w:val="2"/>
          <w:lang w:eastAsia="zh-CN" w:bidi="ar-SA"/>
        </w:rPr>
        <w:t>开标</w:t>
      </w:r>
      <w:r>
        <w:rPr>
          <w:rFonts w:hint="eastAsia" w:ascii="仿宋" w:hAnsi="仿宋" w:eastAsia="仿宋" w:cs="仿宋"/>
          <w:color w:val="auto"/>
          <w:lang w:eastAsia="zh-CN"/>
        </w:rPr>
        <w:t>时间：202</w:t>
      </w:r>
      <w:r>
        <w:rPr>
          <w:rFonts w:hint="eastAsia" w:ascii="仿宋" w:hAnsi="仿宋" w:eastAsia="仿宋" w:cs="仿宋"/>
          <w:color w:val="auto"/>
          <w:lang w:val="en-US" w:eastAsia="zh-CN"/>
        </w:rPr>
        <w:t>6</w:t>
      </w:r>
      <w:r>
        <w:rPr>
          <w:rFonts w:hint="eastAsia" w:ascii="仿宋" w:hAnsi="仿宋" w:eastAsia="仿宋" w:cs="仿宋"/>
          <w:color w:val="auto"/>
          <w:lang w:eastAsia="zh-CN"/>
        </w:rPr>
        <w:t>年</w:t>
      </w:r>
      <w:r>
        <w:rPr>
          <w:rFonts w:hint="eastAsia" w:ascii="仿宋" w:hAnsi="仿宋" w:eastAsia="仿宋" w:cs="仿宋"/>
          <w:color w:val="auto"/>
          <w:lang w:val="en-US" w:eastAsia="zh-CN"/>
        </w:rPr>
        <w:t>11</w:t>
      </w:r>
      <w:r>
        <w:rPr>
          <w:rFonts w:hint="eastAsia" w:ascii="仿宋" w:hAnsi="仿宋" w:eastAsia="仿宋" w:cs="仿宋"/>
          <w:color w:val="auto"/>
          <w:lang w:eastAsia="zh-CN"/>
        </w:rPr>
        <w:t>月</w:t>
      </w:r>
      <w:r>
        <w:rPr>
          <w:rFonts w:hint="eastAsia" w:ascii="仿宋" w:hAnsi="仿宋" w:eastAsia="仿宋" w:cs="仿宋"/>
          <w:color w:val="auto"/>
          <w:lang w:val="en-US" w:eastAsia="zh-CN"/>
        </w:rPr>
        <w:t>5</w:t>
      </w:r>
      <w:r>
        <w:rPr>
          <w:rFonts w:hint="eastAsia" w:ascii="仿宋" w:hAnsi="仿宋" w:eastAsia="仿宋" w:cs="仿宋"/>
          <w:color w:val="auto"/>
          <w:lang w:eastAsia="zh-CN"/>
        </w:rPr>
        <w:t>日10：30（北京时间</w:t>
      </w:r>
      <w:r>
        <w:rPr>
          <w:rFonts w:hint="eastAsia" w:ascii="仿宋" w:hAnsi="仿宋" w:eastAsia="仿宋" w:cs="仿宋"/>
          <w:color w:val="auto"/>
          <w:kern w:val="2"/>
          <w:lang w:eastAsia="zh-CN" w:bidi="ar-SA"/>
        </w:rPr>
        <w:t>）</w:t>
      </w:r>
    </w:p>
    <w:p w14:paraId="7A47DB61">
      <w:pPr>
        <w:keepNext w:val="0"/>
        <w:keepLines w:val="0"/>
        <w:pageBreakBefore w:val="0"/>
        <w:kinsoku/>
        <w:wordWrap/>
        <w:overflowPunct/>
        <w:topLinePunct w:val="0"/>
        <w:autoSpaceDE/>
        <w:autoSpaceDN/>
        <w:bidi w:val="0"/>
        <w:spacing w:line="400" w:lineRule="exact"/>
        <w:ind w:firstLine="486" w:firstLineChars="200"/>
        <w:rPr>
          <w:rFonts w:ascii="仿宋" w:hAnsi="仿宋" w:eastAsia="仿宋" w:cs="仿宋"/>
          <w:color w:val="auto"/>
          <w:kern w:val="2"/>
          <w:lang w:eastAsia="zh-CN" w:bidi="ar-SA"/>
        </w:rPr>
      </w:pPr>
      <w:r>
        <w:rPr>
          <w:rFonts w:hint="eastAsia" w:ascii="仿宋" w:hAnsi="仿宋" w:eastAsia="仿宋" w:cs="仿宋"/>
          <w:color w:val="auto"/>
          <w:kern w:val="2"/>
          <w:lang w:eastAsia="zh-CN" w:bidi="ar-SA"/>
        </w:rPr>
        <w:t>开标地点：投标人登录政采云平台https://www.zcygov.cn/，进入“项目采购-开标评标-右边选择对应项目点击“进入项目”进入开标大厅。</w:t>
      </w:r>
    </w:p>
    <w:p w14:paraId="46E4830E">
      <w:pPr>
        <w:keepNext w:val="0"/>
        <w:keepLines w:val="0"/>
        <w:pageBreakBefore w:val="0"/>
        <w:kinsoku/>
        <w:wordWrap/>
        <w:overflowPunct/>
        <w:topLinePunct w:val="0"/>
        <w:autoSpaceDE/>
        <w:autoSpaceDN/>
        <w:bidi w:val="0"/>
        <w:spacing w:line="400" w:lineRule="exact"/>
        <w:rPr>
          <w:rFonts w:ascii="仿宋" w:hAnsi="仿宋" w:eastAsia="仿宋" w:cs="仿宋"/>
          <w:b/>
          <w:bCs/>
          <w:color w:val="auto"/>
          <w:kern w:val="2"/>
          <w:lang w:eastAsia="zh-CN" w:bidi="ar-SA"/>
        </w:rPr>
      </w:pPr>
      <w:r>
        <w:rPr>
          <w:rFonts w:hint="eastAsia" w:ascii="仿宋" w:hAnsi="仿宋" w:eastAsia="仿宋" w:cs="仿宋"/>
          <w:b/>
          <w:bCs/>
          <w:color w:val="auto"/>
          <w:kern w:val="2"/>
          <w:lang w:eastAsia="zh-CN" w:bidi="ar-SA"/>
        </w:rPr>
        <w:t>五、公告期限</w:t>
      </w:r>
    </w:p>
    <w:p w14:paraId="3F3AFA40">
      <w:pPr>
        <w:keepNext w:val="0"/>
        <w:keepLines w:val="0"/>
        <w:pageBreakBefore w:val="0"/>
        <w:kinsoku/>
        <w:wordWrap/>
        <w:overflowPunct/>
        <w:topLinePunct w:val="0"/>
        <w:autoSpaceDE/>
        <w:autoSpaceDN/>
        <w:bidi w:val="0"/>
        <w:spacing w:line="400" w:lineRule="exact"/>
        <w:ind w:firstLine="486" w:firstLineChars="200"/>
        <w:rPr>
          <w:rFonts w:ascii="仿宋" w:hAnsi="仿宋" w:eastAsia="仿宋" w:cs="仿宋"/>
          <w:color w:val="auto"/>
          <w:kern w:val="2"/>
          <w:lang w:eastAsia="zh-CN" w:bidi="ar-SA"/>
        </w:rPr>
      </w:pPr>
      <w:r>
        <w:rPr>
          <w:rFonts w:hint="eastAsia" w:ascii="仿宋" w:hAnsi="仿宋" w:eastAsia="仿宋" w:cs="仿宋"/>
          <w:color w:val="auto"/>
          <w:kern w:val="2"/>
          <w:lang w:eastAsia="zh-CN" w:bidi="ar-SA"/>
        </w:rPr>
        <w:t>自本公告发布之日起</w:t>
      </w:r>
      <w:r>
        <w:rPr>
          <w:rFonts w:hint="eastAsia" w:ascii="仿宋" w:hAnsi="仿宋" w:eastAsia="仿宋" w:cs="仿宋"/>
          <w:color w:val="auto"/>
          <w:kern w:val="2"/>
          <w:lang w:val="en-US" w:eastAsia="zh-CN" w:bidi="ar-SA"/>
        </w:rPr>
        <w:t>5</w:t>
      </w:r>
      <w:r>
        <w:rPr>
          <w:rFonts w:hint="eastAsia" w:ascii="仿宋" w:hAnsi="仿宋" w:eastAsia="仿宋" w:cs="仿宋"/>
          <w:color w:val="auto"/>
          <w:kern w:val="2"/>
          <w:lang w:eastAsia="zh-CN" w:bidi="ar-SA"/>
        </w:rPr>
        <w:t>个工作日</w:t>
      </w:r>
    </w:p>
    <w:p w14:paraId="0581E446">
      <w:pPr>
        <w:keepNext w:val="0"/>
        <w:keepLines w:val="0"/>
        <w:pageBreakBefore w:val="0"/>
        <w:numPr>
          <w:ilvl w:val="0"/>
          <w:numId w:val="4"/>
        </w:numPr>
        <w:kinsoku/>
        <w:wordWrap/>
        <w:overflowPunct/>
        <w:topLinePunct w:val="0"/>
        <w:autoSpaceDE/>
        <w:autoSpaceDN/>
        <w:bidi w:val="0"/>
        <w:spacing w:line="400" w:lineRule="exact"/>
        <w:rPr>
          <w:rFonts w:ascii="仿宋" w:hAnsi="仿宋" w:eastAsia="仿宋" w:cs="仿宋"/>
          <w:b/>
          <w:bCs/>
          <w:color w:val="auto"/>
          <w:kern w:val="2"/>
          <w:lang w:eastAsia="zh-CN" w:bidi="ar-SA"/>
        </w:rPr>
      </w:pPr>
      <w:r>
        <w:rPr>
          <w:rFonts w:hint="eastAsia" w:ascii="仿宋" w:hAnsi="仿宋" w:eastAsia="仿宋" w:cs="仿宋"/>
          <w:b/>
          <w:bCs/>
          <w:color w:val="auto"/>
          <w:kern w:val="2"/>
          <w:lang w:eastAsia="zh-CN" w:bidi="ar-SA"/>
        </w:rPr>
        <w:t>其他补充事宜</w:t>
      </w:r>
    </w:p>
    <w:p w14:paraId="1249092F">
      <w:pPr>
        <w:keepNext w:val="0"/>
        <w:keepLines w:val="0"/>
        <w:pageBreakBefore w:val="0"/>
        <w:numPr>
          <w:ilvl w:val="0"/>
          <w:numId w:val="0"/>
        </w:numPr>
        <w:kinsoku/>
        <w:wordWrap/>
        <w:overflowPunct/>
        <w:topLinePunct w:val="0"/>
        <w:autoSpaceDE/>
        <w:autoSpaceDN/>
        <w:bidi w:val="0"/>
        <w:adjustRightInd/>
        <w:snapToGrid/>
        <w:spacing w:line="400" w:lineRule="exact"/>
        <w:ind w:firstLine="486" w:firstLineChars="200"/>
        <w:textAlignment w:val="auto"/>
        <w:rPr>
          <w:rFonts w:hint="eastAsia" w:ascii="仿宋" w:hAnsi="仿宋" w:eastAsia="仿宋" w:cs="仿宋"/>
          <w:color w:val="auto"/>
          <w:kern w:val="2"/>
          <w:sz w:val="24"/>
          <w:szCs w:val="24"/>
          <w:lang w:eastAsia="zh-CN" w:bidi="ar-SA"/>
        </w:rPr>
      </w:pPr>
      <w:r>
        <w:rPr>
          <w:rFonts w:hint="eastAsia" w:ascii="仿宋" w:hAnsi="仿宋" w:eastAsia="仿宋" w:cs="仿宋"/>
          <w:color w:val="auto"/>
          <w:kern w:val="2"/>
          <w:sz w:val="24"/>
          <w:szCs w:val="24"/>
          <w:lang w:eastAsia="zh-CN" w:bidi="ar-SA"/>
        </w:rPr>
        <w:t>特别提示：</w:t>
      </w:r>
    </w:p>
    <w:p w14:paraId="2E8658C7">
      <w:pPr>
        <w:keepNext w:val="0"/>
        <w:keepLines w:val="0"/>
        <w:pageBreakBefore w:val="0"/>
        <w:kinsoku/>
        <w:wordWrap/>
        <w:overflowPunct/>
        <w:topLinePunct w:val="0"/>
        <w:autoSpaceDE/>
        <w:autoSpaceDN/>
        <w:bidi w:val="0"/>
        <w:adjustRightInd/>
        <w:snapToGrid/>
        <w:spacing w:line="400" w:lineRule="exact"/>
        <w:ind w:firstLine="486" w:firstLineChars="200"/>
        <w:textAlignment w:val="auto"/>
        <w:rPr>
          <w:rFonts w:hint="eastAsia" w:ascii="仿宋" w:hAnsi="仿宋" w:eastAsia="仿宋" w:cs="仿宋"/>
          <w:color w:val="auto"/>
          <w:kern w:val="2"/>
          <w:sz w:val="24"/>
          <w:szCs w:val="24"/>
          <w:lang w:eastAsia="zh-CN" w:bidi="ar-SA"/>
        </w:rPr>
      </w:pPr>
      <w:r>
        <w:rPr>
          <w:rFonts w:hint="eastAsia" w:ascii="仿宋" w:hAnsi="仿宋" w:eastAsia="仿宋" w:cs="仿宋"/>
          <w:color w:val="auto"/>
          <w:kern w:val="2"/>
          <w:sz w:val="24"/>
          <w:szCs w:val="24"/>
          <w:lang w:eastAsia="zh-CN" w:bidi="ar-SA"/>
        </w:rPr>
        <w:t>1、采购限额标准以上，200万元以下的货物和服务采购项目、400万元以下的工程采购项目，适宜由中小企业提供的，采购人应当专门面向中小企业采购。</w:t>
      </w:r>
    </w:p>
    <w:p w14:paraId="2AA0128C">
      <w:pPr>
        <w:keepNext w:val="0"/>
        <w:keepLines w:val="0"/>
        <w:pageBreakBefore w:val="0"/>
        <w:kinsoku/>
        <w:wordWrap/>
        <w:overflowPunct/>
        <w:topLinePunct w:val="0"/>
        <w:autoSpaceDE/>
        <w:autoSpaceDN/>
        <w:bidi w:val="0"/>
        <w:adjustRightInd/>
        <w:snapToGrid/>
        <w:spacing w:line="400" w:lineRule="exact"/>
        <w:ind w:firstLine="486" w:firstLineChars="200"/>
        <w:textAlignment w:val="auto"/>
        <w:rPr>
          <w:rFonts w:hint="eastAsia" w:ascii="仿宋" w:hAnsi="仿宋" w:eastAsia="仿宋" w:cs="仿宋"/>
          <w:color w:val="auto"/>
          <w:kern w:val="2"/>
          <w:sz w:val="24"/>
          <w:szCs w:val="24"/>
          <w:lang w:eastAsia="zh-CN" w:bidi="ar-SA"/>
        </w:rPr>
      </w:pPr>
      <w:r>
        <w:rPr>
          <w:rFonts w:hint="eastAsia" w:ascii="仿宋" w:hAnsi="仿宋" w:eastAsia="仿宋" w:cs="仿宋"/>
          <w:color w:val="auto"/>
          <w:kern w:val="2"/>
          <w:sz w:val="24"/>
          <w:szCs w:val="24"/>
          <w:lang w:eastAsia="zh-CN" w:bidi="ar-SA"/>
        </w:rPr>
        <w:t>2、超过200万元的货物和服务采购项目，预留该部分采购项目预算总额的30%以上专门面向中小企业采购，其中预留给小微企业的比例不低于60%。</w:t>
      </w:r>
    </w:p>
    <w:p w14:paraId="0EDADAFF">
      <w:pPr>
        <w:keepNext w:val="0"/>
        <w:keepLines w:val="0"/>
        <w:pageBreakBefore w:val="0"/>
        <w:kinsoku/>
        <w:wordWrap/>
        <w:overflowPunct/>
        <w:topLinePunct w:val="0"/>
        <w:autoSpaceDE/>
        <w:autoSpaceDN/>
        <w:bidi w:val="0"/>
        <w:adjustRightInd/>
        <w:snapToGrid/>
        <w:spacing w:line="400" w:lineRule="exact"/>
        <w:ind w:firstLine="486" w:firstLineChars="200"/>
        <w:textAlignment w:val="auto"/>
        <w:rPr>
          <w:rFonts w:hint="eastAsia" w:ascii="仿宋" w:hAnsi="仿宋" w:eastAsia="仿宋" w:cs="仿宋"/>
          <w:color w:val="auto"/>
          <w:kern w:val="2"/>
          <w:sz w:val="24"/>
          <w:szCs w:val="24"/>
          <w:lang w:eastAsia="zh-CN" w:bidi="ar-SA"/>
        </w:rPr>
      </w:pPr>
      <w:r>
        <w:rPr>
          <w:rFonts w:hint="eastAsia" w:ascii="仿宋" w:hAnsi="仿宋" w:eastAsia="仿宋" w:cs="仿宋"/>
          <w:color w:val="auto"/>
          <w:kern w:val="2"/>
          <w:sz w:val="24"/>
          <w:szCs w:val="24"/>
          <w:lang w:eastAsia="zh-CN" w:bidi="ar-SA"/>
        </w:rPr>
        <w:t>3、超过400万元的工程采购项目中适宜由中小企业提供的，预留该部分采购项目预算总额的40%以上专门面向中小企业采购，其中预留给小微企业的比例不低于60%。</w:t>
      </w:r>
    </w:p>
    <w:p w14:paraId="4925F73C">
      <w:pPr>
        <w:keepNext w:val="0"/>
        <w:keepLines w:val="0"/>
        <w:pageBreakBefore w:val="0"/>
        <w:kinsoku/>
        <w:wordWrap/>
        <w:overflowPunct/>
        <w:topLinePunct w:val="0"/>
        <w:autoSpaceDE/>
        <w:autoSpaceDN/>
        <w:bidi w:val="0"/>
        <w:adjustRightInd/>
        <w:snapToGrid/>
        <w:spacing w:line="400" w:lineRule="exact"/>
        <w:ind w:firstLine="486" w:firstLineChars="200"/>
        <w:textAlignment w:val="auto"/>
        <w:rPr>
          <w:rFonts w:hint="eastAsia" w:ascii="仿宋" w:hAnsi="仿宋" w:eastAsia="仿宋" w:cs="仿宋"/>
          <w:color w:val="auto"/>
          <w:kern w:val="2"/>
          <w:sz w:val="24"/>
          <w:szCs w:val="24"/>
          <w:lang w:eastAsia="zh-CN" w:bidi="ar-SA"/>
        </w:rPr>
      </w:pPr>
      <w:r>
        <w:rPr>
          <w:rFonts w:hint="eastAsia" w:ascii="仿宋" w:hAnsi="仿宋" w:eastAsia="仿宋" w:cs="仿宋"/>
          <w:color w:val="auto"/>
          <w:kern w:val="2"/>
          <w:sz w:val="24"/>
          <w:szCs w:val="24"/>
          <w:lang w:eastAsia="zh-CN" w:bidi="ar-SA"/>
        </w:rPr>
        <w:t>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7832E042">
      <w:pPr>
        <w:keepNext w:val="0"/>
        <w:keepLines w:val="0"/>
        <w:pageBreakBefore w:val="0"/>
        <w:kinsoku/>
        <w:wordWrap/>
        <w:overflowPunct/>
        <w:topLinePunct w:val="0"/>
        <w:autoSpaceDE/>
        <w:autoSpaceDN/>
        <w:bidi w:val="0"/>
        <w:adjustRightInd/>
        <w:snapToGrid/>
        <w:spacing w:line="400" w:lineRule="exact"/>
        <w:ind w:firstLine="486" w:firstLineChars="200"/>
        <w:textAlignment w:val="auto"/>
        <w:rPr>
          <w:rFonts w:hint="eastAsia" w:ascii="仿宋" w:hAnsi="仿宋" w:eastAsia="仿宋" w:cs="仿宋"/>
          <w:b/>
          <w:bCs/>
          <w:i w:val="0"/>
          <w:iCs w:val="0"/>
          <w:caps w:val="0"/>
          <w:color w:val="auto"/>
          <w:spacing w:val="0"/>
          <w:sz w:val="24"/>
          <w:szCs w:val="24"/>
        </w:rPr>
      </w:pPr>
      <w:r>
        <w:rPr>
          <w:rFonts w:hint="eastAsia" w:ascii="仿宋" w:hAnsi="仿宋" w:eastAsia="仿宋" w:cs="仿宋"/>
          <w:color w:val="auto"/>
          <w:kern w:val="2"/>
          <w:sz w:val="24"/>
          <w:szCs w:val="24"/>
          <w:lang w:eastAsia="zh-CN" w:bidi="ar-SA"/>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7CDBE945">
      <w:pPr>
        <w:pStyle w:val="20"/>
        <w:keepNext w:val="0"/>
        <w:keepLines w:val="0"/>
        <w:pageBreakBefore w:val="0"/>
        <w:widowControl/>
        <w:kinsoku/>
        <w:wordWrap/>
        <w:overflowPunct/>
        <w:topLinePunct w:val="0"/>
        <w:autoSpaceDE/>
        <w:autoSpaceDN/>
        <w:bidi w:val="0"/>
        <w:adjustRightInd/>
        <w:snapToGrid/>
        <w:spacing w:before="75" w:after="75" w:line="400" w:lineRule="exact"/>
        <w:textAlignment w:val="auto"/>
        <w:rPr>
          <w:rFonts w:ascii="仿宋" w:hAnsi="仿宋" w:eastAsia="仿宋" w:cs="仿宋"/>
          <w:b/>
          <w:bCs/>
          <w:color w:val="auto"/>
          <w:lang w:eastAsia="zh-CN"/>
        </w:rPr>
      </w:pPr>
      <w:r>
        <w:rPr>
          <w:rFonts w:hint="eastAsia" w:ascii="仿宋" w:hAnsi="仿宋" w:eastAsia="仿宋" w:cs="仿宋"/>
          <w:b/>
          <w:bCs/>
          <w:color w:val="auto"/>
          <w:lang w:eastAsia="zh-CN"/>
        </w:rPr>
        <w:t>七、对本次采购提出询问，请按以下方式联系</w:t>
      </w:r>
    </w:p>
    <w:p w14:paraId="514D5EB2">
      <w:pPr>
        <w:pStyle w:val="20"/>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right="0" w:firstLine="486" w:firstLineChars="200"/>
        <w:jc w:val="left"/>
        <w:textAlignment w:val="auto"/>
        <w:rPr>
          <w:rFonts w:hint="eastAsia" w:ascii="仿宋" w:hAnsi="仿宋" w:eastAsia="仿宋" w:cs="仿宋"/>
          <w:i w:val="0"/>
          <w:iCs w:val="0"/>
          <w:caps w:val="0"/>
          <w:color w:val="auto"/>
          <w:spacing w:val="0"/>
          <w:sz w:val="24"/>
          <w:szCs w:val="24"/>
        </w:rPr>
      </w:pPr>
      <w:r>
        <w:rPr>
          <w:rFonts w:hint="eastAsia" w:ascii="仿宋" w:hAnsi="仿宋" w:eastAsia="仿宋" w:cs="仿宋"/>
          <w:i w:val="0"/>
          <w:iCs w:val="0"/>
          <w:caps w:val="0"/>
          <w:color w:val="auto"/>
          <w:spacing w:val="0"/>
          <w:sz w:val="24"/>
          <w:szCs w:val="24"/>
        </w:rPr>
        <w:t>1.采购人信息</w:t>
      </w:r>
    </w:p>
    <w:p w14:paraId="105697FA">
      <w:pPr>
        <w:pStyle w:val="20"/>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right="0" w:firstLine="486" w:firstLineChars="200"/>
        <w:jc w:val="left"/>
        <w:textAlignment w:val="auto"/>
        <w:rPr>
          <w:rFonts w:hint="eastAsia" w:ascii="仿宋" w:hAnsi="仿宋" w:eastAsia="仿宋" w:cs="仿宋"/>
          <w:i w:val="0"/>
          <w:iCs w:val="0"/>
          <w:caps w:val="0"/>
          <w:color w:val="auto"/>
          <w:spacing w:val="0"/>
          <w:sz w:val="24"/>
          <w:szCs w:val="24"/>
          <w:lang w:eastAsia="zh-CN"/>
        </w:rPr>
      </w:pPr>
      <w:r>
        <w:rPr>
          <w:rFonts w:hint="eastAsia" w:ascii="仿宋" w:hAnsi="仿宋" w:eastAsia="仿宋" w:cs="仿宋"/>
          <w:i w:val="0"/>
          <w:iCs w:val="0"/>
          <w:caps w:val="0"/>
          <w:color w:val="auto"/>
          <w:spacing w:val="0"/>
          <w:sz w:val="24"/>
          <w:szCs w:val="24"/>
        </w:rPr>
        <w:t>名 称：</w:t>
      </w:r>
      <w:r>
        <w:rPr>
          <w:rFonts w:hint="eastAsia" w:ascii="仿宋" w:hAnsi="仿宋" w:eastAsia="仿宋" w:cs="仿宋"/>
          <w:i w:val="0"/>
          <w:iCs w:val="0"/>
          <w:caps w:val="0"/>
          <w:color w:val="auto"/>
          <w:spacing w:val="0"/>
          <w:sz w:val="24"/>
          <w:szCs w:val="24"/>
          <w:lang w:val="en-US" w:eastAsia="zh-CN"/>
        </w:rPr>
        <w:t>新疆阿合奇县人民医院</w:t>
      </w:r>
    </w:p>
    <w:p w14:paraId="42BFA95E">
      <w:pPr>
        <w:pStyle w:val="20"/>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right="0" w:firstLine="486" w:firstLineChars="200"/>
        <w:jc w:val="left"/>
        <w:textAlignment w:val="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rPr>
        <w:t>地 址：阿合奇县团结路6号院</w:t>
      </w:r>
    </w:p>
    <w:p w14:paraId="7B925DD9">
      <w:pPr>
        <w:pStyle w:val="20"/>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right="0" w:firstLine="486" w:firstLineChars="200"/>
        <w:jc w:val="left"/>
        <w:textAlignment w:val="auto"/>
        <w:rPr>
          <w:rFonts w:hint="default" w:ascii="仿宋" w:hAnsi="仿宋" w:eastAsia="仿宋" w:cs="仿宋"/>
          <w:i w:val="0"/>
          <w:iCs w:val="0"/>
          <w:caps w:val="0"/>
          <w:color w:val="auto"/>
          <w:spacing w:val="0"/>
          <w:sz w:val="24"/>
          <w:szCs w:val="24"/>
          <w:lang w:val="en-US" w:eastAsia="zh-CN"/>
        </w:rPr>
      </w:pPr>
      <w:r>
        <w:rPr>
          <w:rFonts w:hint="eastAsia" w:ascii="仿宋" w:hAnsi="仿宋" w:eastAsia="仿宋" w:cs="仿宋"/>
          <w:i w:val="0"/>
          <w:iCs w:val="0"/>
          <w:caps w:val="0"/>
          <w:color w:val="auto"/>
          <w:spacing w:val="0"/>
          <w:sz w:val="24"/>
          <w:szCs w:val="24"/>
        </w:rPr>
        <w:t>联系方式：</w:t>
      </w:r>
      <w:r>
        <w:rPr>
          <w:rFonts w:hint="eastAsia" w:ascii="仿宋" w:hAnsi="仿宋" w:eastAsia="仿宋" w:cs="仿宋"/>
          <w:i w:val="0"/>
          <w:iCs w:val="0"/>
          <w:caps w:val="0"/>
          <w:color w:val="auto"/>
          <w:spacing w:val="0"/>
          <w:sz w:val="24"/>
          <w:szCs w:val="24"/>
          <w:lang w:val="en-US" w:eastAsia="zh-CN"/>
        </w:rPr>
        <w:t>18399702488</w:t>
      </w:r>
    </w:p>
    <w:p w14:paraId="5642239D">
      <w:pPr>
        <w:pStyle w:val="20"/>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right="0" w:firstLine="486" w:firstLineChars="200"/>
        <w:jc w:val="left"/>
        <w:textAlignment w:val="auto"/>
        <w:rPr>
          <w:rFonts w:hint="eastAsia" w:ascii="仿宋" w:hAnsi="仿宋" w:eastAsia="仿宋" w:cs="仿宋"/>
          <w:i w:val="0"/>
          <w:iCs w:val="0"/>
          <w:caps w:val="0"/>
          <w:color w:val="auto"/>
          <w:spacing w:val="0"/>
          <w:sz w:val="24"/>
          <w:szCs w:val="24"/>
          <w:lang w:val="en-US" w:eastAsia="zh-CN"/>
        </w:rPr>
      </w:pPr>
      <w:r>
        <w:rPr>
          <w:rFonts w:hint="eastAsia" w:ascii="仿宋" w:hAnsi="仿宋" w:eastAsia="仿宋" w:cs="仿宋"/>
          <w:i w:val="0"/>
          <w:iCs w:val="0"/>
          <w:caps w:val="0"/>
          <w:color w:val="auto"/>
          <w:spacing w:val="0"/>
          <w:sz w:val="24"/>
          <w:szCs w:val="24"/>
          <w:lang w:val="en-US" w:eastAsia="zh-CN"/>
        </w:rPr>
        <w:t>2.采购代理机构信息</w:t>
      </w:r>
    </w:p>
    <w:p w14:paraId="04A81C6A">
      <w:pPr>
        <w:pStyle w:val="20"/>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right="0" w:firstLine="486" w:firstLineChars="200"/>
        <w:jc w:val="left"/>
        <w:textAlignment w:val="auto"/>
        <w:rPr>
          <w:rFonts w:hint="eastAsia" w:ascii="仿宋" w:hAnsi="仿宋" w:eastAsia="仿宋" w:cs="仿宋"/>
          <w:i w:val="0"/>
          <w:iCs w:val="0"/>
          <w:caps w:val="0"/>
          <w:color w:val="auto"/>
          <w:spacing w:val="0"/>
          <w:sz w:val="24"/>
          <w:szCs w:val="24"/>
          <w:lang w:val="en-US" w:eastAsia="zh-CN"/>
        </w:rPr>
      </w:pPr>
      <w:r>
        <w:rPr>
          <w:rFonts w:hint="eastAsia" w:ascii="仿宋" w:hAnsi="仿宋" w:eastAsia="仿宋" w:cs="仿宋"/>
          <w:i w:val="0"/>
          <w:iCs w:val="0"/>
          <w:caps w:val="0"/>
          <w:color w:val="auto"/>
          <w:spacing w:val="0"/>
          <w:sz w:val="24"/>
          <w:szCs w:val="24"/>
          <w:lang w:val="en-US" w:eastAsia="zh-CN"/>
        </w:rPr>
        <w:t>名 称：新疆新越项目咨询有限责任公司　　　　　　　　   　</w:t>
      </w:r>
    </w:p>
    <w:p w14:paraId="5B1D58E9">
      <w:pPr>
        <w:pStyle w:val="20"/>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right="0" w:firstLine="486" w:firstLineChars="200"/>
        <w:jc w:val="left"/>
        <w:textAlignment w:val="auto"/>
        <w:rPr>
          <w:rFonts w:hint="eastAsia" w:ascii="仿宋" w:hAnsi="仿宋" w:eastAsia="仿宋" w:cs="仿宋"/>
          <w:i w:val="0"/>
          <w:iCs w:val="0"/>
          <w:caps w:val="0"/>
          <w:color w:val="auto"/>
          <w:spacing w:val="0"/>
          <w:sz w:val="24"/>
          <w:szCs w:val="24"/>
          <w:lang w:val="en-US" w:eastAsia="zh-CN"/>
        </w:rPr>
      </w:pPr>
      <w:r>
        <w:rPr>
          <w:rFonts w:hint="eastAsia" w:ascii="仿宋" w:hAnsi="仿宋" w:eastAsia="仿宋" w:cs="仿宋"/>
          <w:i w:val="0"/>
          <w:iCs w:val="0"/>
          <w:caps w:val="0"/>
          <w:color w:val="auto"/>
          <w:spacing w:val="0"/>
          <w:sz w:val="24"/>
          <w:szCs w:val="24"/>
          <w:lang w:val="en-US" w:eastAsia="zh-CN"/>
        </w:rPr>
        <w:t>地 址：阿合奇县交通运输局4楼　  　</w:t>
      </w:r>
    </w:p>
    <w:p w14:paraId="0A6E5607">
      <w:pPr>
        <w:pStyle w:val="20"/>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right="0" w:firstLine="486" w:firstLineChars="200"/>
        <w:jc w:val="left"/>
        <w:textAlignment w:val="auto"/>
        <w:rPr>
          <w:rFonts w:hint="default" w:ascii="仿宋" w:hAnsi="仿宋" w:eastAsia="仿宋" w:cs="仿宋"/>
          <w:i w:val="0"/>
          <w:iCs w:val="0"/>
          <w:caps w:val="0"/>
          <w:color w:val="auto"/>
          <w:spacing w:val="0"/>
          <w:sz w:val="24"/>
          <w:szCs w:val="24"/>
          <w:lang w:val="en-US" w:eastAsia="zh-CN"/>
        </w:rPr>
      </w:pPr>
      <w:r>
        <w:rPr>
          <w:rFonts w:hint="eastAsia" w:ascii="仿宋" w:hAnsi="仿宋" w:eastAsia="仿宋" w:cs="仿宋"/>
          <w:i w:val="0"/>
          <w:iCs w:val="0"/>
          <w:caps w:val="0"/>
          <w:color w:val="auto"/>
          <w:spacing w:val="0"/>
          <w:sz w:val="24"/>
          <w:szCs w:val="24"/>
          <w:lang w:val="en-US" w:eastAsia="zh-CN"/>
        </w:rPr>
        <w:t>项目联系人：程先生</w:t>
      </w:r>
    </w:p>
    <w:p w14:paraId="6444BC7A">
      <w:pPr>
        <w:pStyle w:val="20"/>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right="0" w:firstLine="486" w:firstLineChars="200"/>
        <w:jc w:val="left"/>
        <w:textAlignment w:val="auto"/>
        <w:rPr>
          <w:rFonts w:hint="default" w:ascii="仿宋" w:hAnsi="仿宋" w:eastAsia="仿宋" w:cs="仿宋"/>
          <w:i w:val="0"/>
          <w:iCs w:val="0"/>
          <w:caps w:val="0"/>
          <w:color w:val="auto"/>
          <w:spacing w:val="0"/>
          <w:sz w:val="24"/>
          <w:szCs w:val="24"/>
          <w:lang w:val="en-US" w:eastAsia="zh-CN"/>
        </w:rPr>
      </w:pPr>
      <w:r>
        <w:rPr>
          <w:rFonts w:hint="eastAsia" w:ascii="仿宋" w:hAnsi="仿宋" w:eastAsia="仿宋" w:cs="仿宋"/>
          <w:i w:val="0"/>
          <w:iCs w:val="0"/>
          <w:caps w:val="0"/>
          <w:color w:val="auto"/>
          <w:spacing w:val="0"/>
          <w:sz w:val="24"/>
          <w:szCs w:val="24"/>
        </w:rPr>
        <w:t>联系方式</w:t>
      </w:r>
      <w:r>
        <w:rPr>
          <w:rFonts w:hint="eastAsia" w:ascii="仿宋" w:hAnsi="仿宋" w:eastAsia="仿宋" w:cs="仿宋"/>
          <w:i w:val="0"/>
          <w:iCs w:val="0"/>
          <w:caps w:val="0"/>
          <w:color w:val="auto"/>
          <w:spacing w:val="0"/>
          <w:sz w:val="24"/>
          <w:szCs w:val="24"/>
          <w:lang w:val="en-US" w:eastAsia="zh-CN"/>
        </w:rPr>
        <w:t>：18199719889</w:t>
      </w:r>
    </w:p>
    <w:p w14:paraId="204B4235">
      <w:pPr>
        <w:numPr>
          <w:ilvl w:val="0"/>
          <w:numId w:val="0"/>
        </w:numPr>
        <w:spacing w:line="360" w:lineRule="auto"/>
        <w:jc w:val="center"/>
        <w:rPr>
          <w:rFonts w:hint="eastAsia" w:ascii="仿宋" w:hAnsi="仿宋" w:eastAsia="仿宋" w:cs="仿宋"/>
          <w:b/>
          <w:bCs/>
          <w:color w:val="auto"/>
          <w:sz w:val="36"/>
          <w:szCs w:val="36"/>
          <w:highlight w:val="none"/>
          <w:lang w:eastAsia="zh-CN"/>
        </w:rPr>
      </w:pPr>
    </w:p>
    <w:p w14:paraId="3AE018F6">
      <w:pPr>
        <w:numPr>
          <w:ilvl w:val="0"/>
          <w:numId w:val="0"/>
        </w:numPr>
        <w:tabs>
          <w:tab w:val="left" w:pos="3376"/>
        </w:tabs>
        <w:spacing w:line="360" w:lineRule="auto"/>
        <w:jc w:val="both"/>
        <w:rPr>
          <w:rFonts w:hint="eastAsia" w:ascii="仿宋" w:hAnsi="仿宋" w:eastAsia="仿宋" w:cs="仿宋"/>
          <w:b/>
          <w:bCs/>
          <w:color w:val="auto"/>
          <w:sz w:val="36"/>
          <w:szCs w:val="36"/>
          <w:highlight w:val="none"/>
          <w:lang w:eastAsia="zh-CN"/>
        </w:rPr>
      </w:pPr>
    </w:p>
    <w:p w14:paraId="18458001">
      <w:pPr>
        <w:numPr>
          <w:ilvl w:val="0"/>
          <w:numId w:val="0"/>
        </w:numPr>
        <w:tabs>
          <w:tab w:val="left" w:pos="3376"/>
        </w:tabs>
        <w:spacing w:line="360" w:lineRule="auto"/>
        <w:jc w:val="both"/>
        <w:rPr>
          <w:rFonts w:hint="eastAsia" w:ascii="仿宋" w:hAnsi="仿宋" w:eastAsia="仿宋" w:cs="仿宋"/>
          <w:b/>
          <w:bCs/>
          <w:color w:val="auto"/>
          <w:sz w:val="36"/>
          <w:szCs w:val="36"/>
          <w:highlight w:val="none"/>
          <w:lang w:eastAsia="zh-CN"/>
        </w:rPr>
      </w:pPr>
    </w:p>
    <w:p w14:paraId="58CDB143">
      <w:pPr>
        <w:numPr>
          <w:ilvl w:val="0"/>
          <w:numId w:val="0"/>
        </w:numPr>
        <w:tabs>
          <w:tab w:val="left" w:pos="3376"/>
        </w:tabs>
        <w:spacing w:line="360" w:lineRule="auto"/>
        <w:jc w:val="both"/>
        <w:rPr>
          <w:rFonts w:hint="eastAsia" w:ascii="仿宋" w:hAnsi="仿宋" w:eastAsia="仿宋" w:cs="仿宋"/>
          <w:b/>
          <w:bCs/>
          <w:color w:val="auto"/>
          <w:sz w:val="36"/>
          <w:szCs w:val="36"/>
          <w:highlight w:val="none"/>
          <w:lang w:eastAsia="zh-CN"/>
        </w:rPr>
      </w:pPr>
    </w:p>
    <w:p w14:paraId="6BAAB352">
      <w:pPr>
        <w:numPr>
          <w:ilvl w:val="0"/>
          <w:numId w:val="0"/>
        </w:numPr>
        <w:tabs>
          <w:tab w:val="left" w:pos="3376"/>
        </w:tabs>
        <w:spacing w:line="360" w:lineRule="auto"/>
        <w:jc w:val="both"/>
        <w:rPr>
          <w:rFonts w:hint="eastAsia" w:ascii="仿宋" w:hAnsi="仿宋" w:eastAsia="仿宋" w:cs="仿宋"/>
          <w:b/>
          <w:bCs/>
          <w:color w:val="auto"/>
          <w:sz w:val="36"/>
          <w:szCs w:val="36"/>
          <w:highlight w:val="none"/>
          <w:lang w:eastAsia="zh-CN"/>
        </w:rPr>
      </w:pPr>
    </w:p>
    <w:p w14:paraId="6DF1B8A0">
      <w:pPr>
        <w:numPr>
          <w:ilvl w:val="0"/>
          <w:numId w:val="0"/>
        </w:numPr>
        <w:tabs>
          <w:tab w:val="left" w:pos="3376"/>
        </w:tabs>
        <w:spacing w:line="360" w:lineRule="auto"/>
        <w:jc w:val="both"/>
        <w:rPr>
          <w:rFonts w:hint="eastAsia" w:ascii="仿宋" w:hAnsi="仿宋" w:eastAsia="仿宋" w:cs="仿宋"/>
          <w:b/>
          <w:bCs/>
          <w:color w:val="auto"/>
          <w:sz w:val="36"/>
          <w:szCs w:val="36"/>
          <w:highlight w:val="none"/>
          <w:lang w:eastAsia="zh-CN"/>
        </w:rPr>
      </w:pPr>
    </w:p>
    <w:p w14:paraId="37BBAD8C">
      <w:pPr>
        <w:numPr>
          <w:ilvl w:val="0"/>
          <w:numId w:val="0"/>
        </w:numPr>
        <w:tabs>
          <w:tab w:val="left" w:pos="3376"/>
        </w:tabs>
        <w:spacing w:line="360" w:lineRule="auto"/>
        <w:jc w:val="both"/>
        <w:rPr>
          <w:rFonts w:hint="eastAsia" w:ascii="仿宋" w:hAnsi="仿宋" w:eastAsia="仿宋" w:cs="仿宋"/>
          <w:b/>
          <w:bCs/>
          <w:color w:val="auto"/>
          <w:sz w:val="36"/>
          <w:szCs w:val="36"/>
          <w:highlight w:val="none"/>
          <w:lang w:eastAsia="zh-CN"/>
        </w:rPr>
      </w:pPr>
    </w:p>
    <w:p w14:paraId="06AD0F94">
      <w:pPr>
        <w:numPr>
          <w:ilvl w:val="0"/>
          <w:numId w:val="0"/>
        </w:numPr>
        <w:spacing w:line="360" w:lineRule="auto"/>
        <w:jc w:val="center"/>
        <w:rPr>
          <w:rFonts w:ascii="仿宋" w:hAnsi="仿宋" w:eastAsia="仿宋" w:cs="仿宋"/>
          <w:color w:val="auto"/>
          <w:sz w:val="28"/>
          <w:szCs w:val="28"/>
          <w:highlight w:val="none"/>
        </w:rPr>
      </w:pPr>
      <w:r>
        <w:rPr>
          <w:rFonts w:hint="eastAsia" w:ascii="仿宋" w:hAnsi="仿宋" w:eastAsia="仿宋" w:cs="仿宋"/>
          <w:b/>
          <w:bCs/>
          <w:color w:val="auto"/>
          <w:sz w:val="36"/>
          <w:szCs w:val="36"/>
          <w:highlight w:val="none"/>
          <w:lang w:eastAsia="zh-CN"/>
        </w:rPr>
        <w:t>第二部分</w:t>
      </w:r>
      <w:r>
        <w:rPr>
          <w:rFonts w:hint="eastAsia" w:ascii="仿宋" w:hAnsi="仿宋" w:eastAsia="仿宋" w:cs="仿宋"/>
          <w:b/>
          <w:bCs/>
          <w:color w:val="auto"/>
          <w:sz w:val="36"/>
          <w:szCs w:val="36"/>
          <w:highlight w:val="none"/>
          <w:lang w:val="en-US" w:eastAsia="zh-CN"/>
        </w:rPr>
        <w:t xml:space="preserve"> </w:t>
      </w:r>
      <w:r>
        <w:rPr>
          <w:rFonts w:hint="eastAsia" w:ascii="仿宋" w:hAnsi="仿宋" w:eastAsia="仿宋" w:cs="仿宋"/>
          <w:b/>
          <w:bCs/>
          <w:color w:val="auto"/>
          <w:sz w:val="36"/>
          <w:szCs w:val="36"/>
          <w:highlight w:val="none"/>
        </w:rPr>
        <w:t>供应商须知</w:t>
      </w:r>
    </w:p>
    <w:p w14:paraId="2ECB95D5">
      <w:pPr>
        <w:numPr>
          <w:ilvl w:val="0"/>
          <w:numId w:val="0"/>
        </w:numPr>
        <w:spacing w:line="360" w:lineRule="auto"/>
        <w:jc w:val="center"/>
        <w:rPr>
          <w:rFonts w:ascii="仿宋" w:hAnsi="仿宋" w:eastAsia="仿宋" w:cs="仿宋"/>
          <w:color w:val="auto"/>
          <w:sz w:val="28"/>
          <w:szCs w:val="28"/>
          <w:highlight w:val="none"/>
        </w:rPr>
      </w:pPr>
      <w:r>
        <w:rPr>
          <w:rFonts w:hint="eastAsia" w:ascii="仿宋" w:hAnsi="仿宋" w:eastAsia="仿宋" w:cs="仿宋"/>
          <w:b/>
          <w:bCs/>
          <w:color w:val="auto"/>
          <w:sz w:val="28"/>
          <w:szCs w:val="28"/>
          <w:highlight w:val="none"/>
          <w:lang w:eastAsia="zh-CN"/>
        </w:rPr>
        <w:t>供应商</w:t>
      </w:r>
      <w:r>
        <w:rPr>
          <w:rFonts w:hint="eastAsia" w:ascii="仿宋" w:hAnsi="仿宋" w:eastAsia="仿宋" w:cs="仿宋"/>
          <w:b/>
          <w:bCs/>
          <w:color w:val="auto"/>
          <w:sz w:val="28"/>
          <w:szCs w:val="28"/>
          <w:highlight w:val="none"/>
        </w:rPr>
        <w:t>须知前附表</w:t>
      </w:r>
    </w:p>
    <w:tbl>
      <w:tblPr>
        <w:tblStyle w:val="25"/>
        <w:tblW w:w="9171" w:type="dxa"/>
        <w:jc w:val="center"/>
        <w:tblLayout w:type="fixed"/>
        <w:tblCellMar>
          <w:top w:w="0" w:type="dxa"/>
          <w:left w:w="108" w:type="dxa"/>
          <w:bottom w:w="0" w:type="dxa"/>
          <w:right w:w="108" w:type="dxa"/>
        </w:tblCellMar>
      </w:tblPr>
      <w:tblGrid>
        <w:gridCol w:w="558"/>
        <w:gridCol w:w="1407"/>
        <w:gridCol w:w="7206"/>
      </w:tblGrid>
      <w:tr w14:paraId="5A2D3B2A">
        <w:tblPrEx>
          <w:tblCellMar>
            <w:top w:w="0" w:type="dxa"/>
            <w:left w:w="108" w:type="dxa"/>
            <w:bottom w:w="0" w:type="dxa"/>
            <w:right w:w="108" w:type="dxa"/>
          </w:tblCellMar>
        </w:tblPrEx>
        <w:trPr>
          <w:trHeight w:val="563"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0229B023">
            <w:pPr>
              <w:widowControl/>
              <w:spacing w:line="334" w:lineRule="exact"/>
              <w:jc w:val="center"/>
              <w:rPr>
                <w:rFonts w:ascii="仿宋" w:hAnsi="仿宋" w:eastAsia="仿宋" w:cs="仿宋"/>
                <w:b/>
                <w:color w:val="auto"/>
                <w:highlight w:val="none"/>
              </w:rPr>
            </w:pPr>
            <w:r>
              <w:rPr>
                <w:rFonts w:hint="eastAsia" w:ascii="仿宋" w:hAnsi="仿宋" w:eastAsia="仿宋" w:cs="仿宋"/>
                <w:b/>
                <w:color w:val="auto"/>
                <w:highlight w:val="none"/>
              </w:rPr>
              <w:t>序 号</w:t>
            </w:r>
          </w:p>
        </w:tc>
        <w:tc>
          <w:tcPr>
            <w:tcW w:w="1407" w:type="dxa"/>
            <w:tcBorders>
              <w:top w:val="single" w:color="auto" w:sz="4" w:space="0"/>
              <w:left w:val="single" w:color="auto" w:sz="4" w:space="0"/>
              <w:bottom w:val="single" w:color="auto" w:sz="4" w:space="0"/>
              <w:right w:val="single" w:color="auto" w:sz="4" w:space="0"/>
            </w:tcBorders>
            <w:vAlign w:val="center"/>
          </w:tcPr>
          <w:p w14:paraId="7738BE1F">
            <w:pPr>
              <w:widowControl/>
              <w:spacing w:line="334" w:lineRule="exact"/>
              <w:jc w:val="center"/>
              <w:rPr>
                <w:rFonts w:ascii="仿宋" w:hAnsi="仿宋" w:eastAsia="仿宋" w:cs="仿宋"/>
                <w:b/>
                <w:color w:val="auto"/>
                <w:highlight w:val="none"/>
              </w:rPr>
            </w:pPr>
            <w:r>
              <w:rPr>
                <w:rFonts w:hint="eastAsia" w:ascii="仿宋" w:hAnsi="仿宋" w:eastAsia="仿宋" w:cs="仿宋"/>
                <w:b/>
                <w:color w:val="auto"/>
                <w:highlight w:val="none"/>
              </w:rPr>
              <w:t>名  称</w:t>
            </w:r>
          </w:p>
        </w:tc>
        <w:tc>
          <w:tcPr>
            <w:tcW w:w="7206" w:type="dxa"/>
            <w:tcBorders>
              <w:top w:val="single" w:color="auto" w:sz="4" w:space="0"/>
              <w:left w:val="single" w:color="auto" w:sz="4" w:space="0"/>
              <w:bottom w:val="single" w:color="auto" w:sz="4" w:space="0"/>
              <w:right w:val="single" w:color="auto" w:sz="4" w:space="0"/>
            </w:tcBorders>
            <w:vAlign w:val="center"/>
          </w:tcPr>
          <w:p w14:paraId="6DF91ECF">
            <w:pPr>
              <w:widowControl/>
              <w:spacing w:line="334" w:lineRule="exact"/>
              <w:jc w:val="center"/>
              <w:rPr>
                <w:rFonts w:ascii="仿宋" w:hAnsi="仿宋" w:eastAsia="仿宋" w:cs="仿宋"/>
                <w:b/>
                <w:color w:val="auto"/>
                <w:highlight w:val="none"/>
              </w:rPr>
            </w:pPr>
            <w:r>
              <w:rPr>
                <w:rFonts w:hint="eastAsia" w:ascii="仿宋" w:hAnsi="仿宋" w:eastAsia="仿宋" w:cs="仿宋"/>
                <w:b/>
                <w:color w:val="auto"/>
                <w:highlight w:val="none"/>
              </w:rPr>
              <w:t>编  列  内  容</w:t>
            </w:r>
          </w:p>
        </w:tc>
      </w:tr>
      <w:tr w14:paraId="7F7477FE">
        <w:tblPrEx>
          <w:tblCellMar>
            <w:top w:w="0" w:type="dxa"/>
            <w:left w:w="108" w:type="dxa"/>
            <w:bottom w:w="0" w:type="dxa"/>
            <w:right w:w="108" w:type="dxa"/>
          </w:tblCellMar>
        </w:tblPrEx>
        <w:trPr>
          <w:trHeight w:val="2098"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7C2FEC82">
            <w:pPr>
              <w:spacing w:line="360" w:lineRule="auto"/>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1</w:t>
            </w:r>
          </w:p>
        </w:tc>
        <w:tc>
          <w:tcPr>
            <w:tcW w:w="1407" w:type="dxa"/>
            <w:tcBorders>
              <w:top w:val="single" w:color="auto" w:sz="4" w:space="0"/>
              <w:left w:val="single" w:color="auto" w:sz="4" w:space="0"/>
              <w:bottom w:val="single" w:color="auto" w:sz="4" w:space="0"/>
              <w:right w:val="single" w:color="auto" w:sz="4" w:space="0"/>
            </w:tcBorders>
            <w:vAlign w:val="center"/>
          </w:tcPr>
          <w:p w14:paraId="35204195">
            <w:pPr>
              <w:pStyle w:val="37"/>
              <w:ind w:firstLine="0"/>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项目名称：</w:t>
            </w:r>
          </w:p>
          <w:p w14:paraId="6168CFBF">
            <w:pPr>
              <w:pStyle w:val="37"/>
              <w:ind w:firstLine="0"/>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项目编号：</w:t>
            </w:r>
          </w:p>
          <w:p w14:paraId="781E58EE">
            <w:pPr>
              <w:pStyle w:val="37"/>
              <w:ind w:firstLine="0"/>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采购内容：</w:t>
            </w:r>
          </w:p>
          <w:p w14:paraId="22A961A1">
            <w:pPr>
              <w:pStyle w:val="37"/>
              <w:ind w:firstLine="0"/>
              <w:jc w:val="center"/>
              <w:rPr>
                <w:rFonts w:ascii="仿宋" w:hAnsi="仿宋" w:eastAsia="仿宋" w:cs="仿宋"/>
                <w:color w:val="auto"/>
                <w:highlight w:val="none"/>
                <w:lang w:eastAsia="zh-CN"/>
              </w:rPr>
            </w:pPr>
            <w:r>
              <w:rPr>
                <w:rFonts w:hint="eastAsia" w:ascii="仿宋" w:hAnsi="仿宋" w:eastAsia="仿宋" w:cs="仿宋"/>
                <w:color w:val="auto"/>
                <w:highlight w:val="none"/>
                <w:lang w:val="en-US" w:eastAsia="zh-CN"/>
              </w:rPr>
              <w:t xml:space="preserve">工    </w:t>
            </w:r>
            <w:r>
              <w:rPr>
                <w:rFonts w:hint="eastAsia" w:ascii="仿宋" w:hAnsi="仿宋" w:eastAsia="仿宋" w:cs="仿宋"/>
                <w:color w:val="auto"/>
                <w:highlight w:val="none"/>
                <w:lang w:eastAsia="zh-CN"/>
              </w:rPr>
              <w:t>期：</w:t>
            </w:r>
          </w:p>
        </w:tc>
        <w:tc>
          <w:tcPr>
            <w:tcW w:w="7206" w:type="dxa"/>
            <w:tcBorders>
              <w:top w:val="single" w:color="auto" w:sz="4" w:space="0"/>
              <w:left w:val="single" w:color="auto" w:sz="4" w:space="0"/>
              <w:bottom w:val="single" w:color="auto" w:sz="4" w:space="0"/>
              <w:right w:val="single" w:color="auto" w:sz="4" w:space="0"/>
            </w:tcBorders>
            <w:vAlign w:val="center"/>
          </w:tcPr>
          <w:p w14:paraId="69A77D05">
            <w:pPr>
              <w:pStyle w:val="20"/>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0"/>
              <w:jc w:val="left"/>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eastAsia="zh-CN"/>
              </w:rPr>
              <w:t>项目名称：</w:t>
            </w:r>
            <w:r>
              <w:rPr>
                <w:rFonts w:hint="eastAsia" w:ascii="仿宋" w:hAnsi="仿宋" w:eastAsia="仿宋" w:cs="仿宋"/>
                <w:color w:val="auto"/>
                <w:lang w:eastAsia="zh-CN"/>
              </w:rPr>
              <w:t>阿合奇县医疗卫生提升项目一阿合奇县医共体医疗废物原地处置建设项目</w:t>
            </w:r>
          </w:p>
          <w:p w14:paraId="5DD65D70">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eastAsia="zh-CN"/>
              </w:rPr>
              <w:t>项目编号：</w:t>
            </w:r>
            <w:r>
              <w:rPr>
                <w:rFonts w:hint="eastAsia" w:ascii="仿宋" w:hAnsi="仿宋" w:eastAsia="仿宋" w:cs="仿宋"/>
                <w:b w:val="0"/>
                <w:bCs w:val="0"/>
                <w:i w:val="0"/>
                <w:iCs w:val="0"/>
                <w:caps w:val="0"/>
                <w:color w:val="auto"/>
                <w:spacing w:val="0"/>
                <w:sz w:val="24"/>
                <w:szCs w:val="24"/>
                <w:highlight w:val="none"/>
                <w:lang w:eastAsia="zh-CN"/>
              </w:rPr>
              <w:t>AHQXZB-2026034</w:t>
            </w:r>
          </w:p>
          <w:p w14:paraId="1C78B006">
            <w:pPr>
              <w:pStyle w:val="20"/>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1215" w:right="0" w:hanging="1215" w:hangingChars="500"/>
              <w:jc w:val="left"/>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采购内容：</w:t>
            </w:r>
            <w:r>
              <w:rPr>
                <w:rFonts w:hint="eastAsia" w:ascii="仿宋" w:hAnsi="仿宋" w:eastAsia="仿宋" w:cs="仿宋"/>
                <w:color w:val="auto"/>
                <w:lang w:val="en-US" w:eastAsia="zh-CN"/>
              </w:rPr>
              <w:t>对阿合奇县医共体医疗机构进行医疗废物原地处置设备采购，完善医疗设备设施处置流程，满足48小时原地处置要求。（具体详细参数详见招标文件）</w:t>
            </w:r>
          </w:p>
        </w:tc>
      </w:tr>
      <w:tr w14:paraId="3865A701">
        <w:tblPrEx>
          <w:tblCellMar>
            <w:top w:w="0" w:type="dxa"/>
            <w:left w:w="108" w:type="dxa"/>
            <w:bottom w:w="0" w:type="dxa"/>
            <w:right w:w="108" w:type="dxa"/>
          </w:tblCellMar>
        </w:tblPrEx>
        <w:trPr>
          <w:trHeight w:val="857"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5EDE4E94">
            <w:pPr>
              <w:spacing w:line="360" w:lineRule="auto"/>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2</w:t>
            </w:r>
          </w:p>
        </w:tc>
        <w:tc>
          <w:tcPr>
            <w:tcW w:w="1407" w:type="dxa"/>
            <w:tcBorders>
              <w:top w:val="single" w:color="auto" w:sz="4" w:space="0"/>
              <w:left w:val="single" w:color="auto" w:sz="4" w:space="0"/>
              <w:bottom w:val="single" w:color="auto" w:sz="4" w:space="0"/>
              <w:right w:val="single" w:color="auto" w:sz="4" w:space="0"/>
            </w:tcBorders>
            <w:vAlign w:val="center"/>
          </w:tcPr>
          <w:p w14:paraId="5A297960">
            <w:pPr>
              <w:spacing w:line="360" w:lineRule="auto"/>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采购人信息</w:t>
            </w:r>
          </w:p>
        </w:tc>
        <w:tc>
          <w:tcPr>
            <w:tcW w:w="7206" w:type="dxa"/>
            <w:tcBorders>
              <w:top w:val="single" w:color="auto" w:sz="4" w:space="0"/>
              <w:left w:val="single" w:color="auto" w:sz="4" w:space="0"/>
              <w:bottom w:val="single" w:color="auto" w:sz="4" w:space="0"/>
              <w:right w:val="single" w:color="auto" w:sz="4" w:space="0"/>
            </w:tcBorders>
            <w:vAlign w:val="center"/>
          </w:tcPr>
          <w:p w14:paraId="069D7698">
            <w:pPr>
              <w:spacing w:line="360" w:lineRule="auto"/>
              <w:rPr>
                <w:rFonts w:hint="eastAsia" w:ascii="仿宋" w:hAnsi="仿宋" w:eastAsia="仿宋" w:cs="仿宋"/>
                <w:i w:val="0"/>
                <w:iCs w:val="0"/>
                <w:caps w:val="0"/>
                <w:color w:val="auto"/>
                <w:spacing w:val="0"/>
                <w:sz w:val="24"/>
                <w:szCs w:val="24"/>
                <w:highlight w:val="none"/>
                <w:lang w:eastAsia="zh-CN"/>
              </w:rPr>
            </w:pPr>
            <w:r>
              <w:rPr>
                <w:rFonts w:hint="eastAsia" w:ascii="仿宋" w:hAnsi="仿宋" w:eastAsia="仿宋" w:cs="仿宋"/>
                <w:color w:val="auto"/>
                <w:highlight w:val="none"/>
                <w:lang w:eastAsia="zh-CN"/>
              </w:rPr>
              <w:t>名  称：</w:t>
            </w:r>
            <w:r>
              <w:rPr>
                <w:rFonts w:hint="eastAsia" w:ascii="仿宋" w:hAnsi="仿宋" w:eastAsia="仿宋" w:cs="仿宋"/>
                <w:i w:val="0"/>
                <w:iCs w:val="0"/>
                <w:caps w:val="0"/>
                <w:color w:val="auto"/>
                <w:spacing w:val="0"/>
                <w:sz w:val="24"/>
                <w:szCs w:val="24"/>
                <w:lang w:val="en-US" w:eastAsia="zh-CN"/>
              </w:rPr>
              <w:t>新疆阿合奇县人民医院</w:t>
            </w:r>
          </w:p>
          <w:p w14:paraId="6DE43397">
            <w:pPr>
              <w:spacing w:line="360" w:lineRule="auto"/>
              <w:rPr>
                <w:rFonts w:hint="default" w:ascii="仿宋" w:hAnsi="仿宋" w:eastAsia="仿宋" w:cs="仿宋"/>
                <w:color w:val="auto"/>
                <w:highlight w:val="none"/>
                <w:lang w:val="en-US" w:eastAsia="zh-CN"/>
              </w:rPr>
            </w:pPr>
            <w:r>
              <w:rPr>
                <w:rFonts w:hint="eastAsia" w:ascii="仿宋" w:hAnsi="仿宋" w:eastAsia="仿宋" w:cs="仿宋"/>
                <w:color w:val="auto"/>
                <w:highlight w:val="none"/>
                <w:lang w:eastAsia="zh-CN"/>
              </w:rPr>
              <w:t>联系人：</w:t>
            </w:r>
            <w:r>
              <w:rPr>
                <w:rFonts w:hint="eastAsia" w:ascii="仿宋" w:hAnsi="仿宋" w:eastAsia="仿宋" w:cs="仿宋"/>
                <w:color w:val="auto"/>
                <w:highlight w:val="none"/>
                <w:lang w:val="en-US" w:eastAsia="zh-CN"/>
              </w:rPr>
              <w:t xml:space="preserve">赵女士   </w:t>
            </w:r>
            <w:r>
              <w:rPr>
                <w:rFonts w:hint="eastAsia" w:ascii="仿宋" w:hAnsi="仿宋" w:eastAsia="仿宋" w:cs="仿宋"/>
                <w:color w:val="auto"/>
                <w:highlight w:val="none"/>
                <w:lang w:eastAsia="zh-CN"/>
              </w:rPr>
              <w:t xml:space="preserve">    电  话：</w:t>
            </w:r>
            <w:r>
              <w:rPr>
                <w:rFonts w:hint="eastAsia" w:ascii="仿宋" w:hAnsi="仿宋" w:eastAsia="仿宋" w:cs="仿宋"/>
                <w:i w:val="0"/>
                <w:iCs w:val="0"/>
                <w:caps w:val="0"/>
                <w:color w:val="auto"/>
                <w:spacing w:val="0"/>
                <w:sz w:val="24"/>
                <w:szCs w:val="24"/>
                <w:lang w:val="en-US" w:eastAsia="zh-CN"/>
              </w:rPr>
              <w:t>18399702488</w:t>
            </w:r>
          </w:p>
        </w:tc>
      </w:tr>
      <w:tr w14:paraId="1D1E9921">
        <w:tblPrEx>
          <w:tblCellMar>
            <w:top w:w="0" w:type="dxa"/>
            <w:left w:w="108" w:type="dxa"/>
            <w:bottom w:w="0" w:type="dxa"/>
            <w:right w:w="108" w:type="dxa"/>
          </w:tblCellMar>
        </w:tblPrEx>
        <w:trPr>
          <w:trHeight w:val="1285"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26F731F9">
            <w:pPr>
              <w:spacing w:line="360" w:lineRule="auto"/>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3</w:t>
            </w:r>
          </w:p>
        </w:tc>
        <w:tc>
          <w:tcPr>
            <w:tcW w:w="1407" w:type="dxa"/>
            <w:tcBorders>
              <w:top w:val="single" w:color="auto" w:sz="4" w:space="0"/>
              <w:left w:val="single" w:color="auto" w:sz="4" w:space="0"/>
              <w:bottom w:val="single" w:color="auto" w:sz="4" w:space="0"/>
              <w:right w:val="single" w:color="auto" w:sz="4" w:space="0"/>
            </w:tcBorders>
            <w:vAlign w:val="center"/>
          </w:tcPr>
          <w:p w14:paraId="6745FB78">
            <w:pPr>
              <w:spacing w:line="360" w:lineRule="auto"/>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采购代理机构</w:t>
            </w:r>
          </w:p>
        </w:tc>
        <w:tc>
          <w:tcPr>
            <w:tcW w:w="7206" w:type="dxa"/>
            <w:tcBorders>
              <w:top w:val="single" w:color="auto" w:sz="4" w:space="0"/>
              <w:left w:val="single" w:color="auto" w:sz="4" w:space="0"/>
              <w:bottom w:val="single" w:color="auto" w:sz="4" w:space="0"/>
              <w:right w:val="single" w:color="auto" w:sz="4" w:space="0"/>
            </w:tcBorders>
            <w:vAlign w:val="center"/>
          </w:tcPr>
          <w:p w14:paraId="61DA462F">
            <w:pPr>
              <w:pStyle w:val="20"/>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jc w:val="left"/>
              <w:textAlignment w:val="auto"/>
              <w:rPr>
                <w:rFonts w:hint="default" w:ascii="仿宋" w:hAnsi="仿宋" w:eastAsia="仿宋" w:cs="仿宋"/>
                <w:color w:val="auto"/>
                <w:highlight w:val="none"/>
                <w:lang w:val="en-US" w:eastAsia="zh-CN"/>
              </w:rPr>
            </w:pPr>
            <w:r>
              <w:rPr>
                <w:rFonts w:hint="default" w:ascii="仿宋" w:hAnsi="仿宋" w:eastAsia="仿宋" w:cs="仿宋"/>
                <w:color w:val="auto"/>
                <w:highlight w:val="none"/>
                <w:lang w:val="en-US" w:eastAsia="zh-CN"/>
              </w:rPr>
              <w:t>名 称：</w:t>
            </w:r>
            <w:r>
              <w:rPr>
                <w:rFonts w:hint="eastAsia" w:ascii="仿宋" w:hAnsi="仿宋" w:eastAsia="仿宋" w:cs="仿宋"/>
                <w:color w:val="auto"/>
                <w:highlight w:val="none"/>
                <w:lang w:val="en-US" w:eastAsia="zh-CN"/>
              </w:rPr>
              <w:t>新疆</w:t>
            </w:r>
            <w:r>
              <w:rPr>
                <w:rFonts w:hint="default" w:ascii="仿宋" w:hAnsi="仿宋" w:eastAsia="仿宋" w:cs="仿宋"/>
                <w:color w:val="auto"/>
                <w:highlight w:val="none"/>
                <w:lang w:val="en-US" w:eastAsia="zh-CN"/>
              </w:rPr>
              <w:t>新越项目咨询有限责任公司　　　　　　　　   　</w:t>
            </w:r>
          </w:p>
          <w:p w14:paraId="733E7887">
            <w:pPr>
              <w:pStyle w:val="20"/>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jc w:val="left"/>
              <w:textAlignment w:val="auto"/>
              <w:rPr>
                <w:rFonts w:hint="default" w:ascii="仿宋" w:hAnsi="仿宋" w:eastAsia="仿宋" w:cs="仿宋"/>
                <w:color w:val="auto"/>
                <w:highlight w:val="none"/>
                <w:lang w:val="en-US" w:eastAsia="zh-CN"/>
              </w:rPr>
            </w:pPr>
            <w:r>
              <w:rPr>
                <w:rFonts w:hint="default" w:ascii="仿宋" w:hAnsi="仿宋" w:eastAsia="仿宋" w:cs="仿宋"/>
                <w:color w:val="auto"/>
                <w:highlight w:val="none"/>
                <w:lang w:val="en-US" w:eastAsia="zh-CN"/>
              </w:rPr>
              <w:t>地 址：阿合奇县</w:t>
            </w:r>
            <w:r>
              <w:rPr>
                <w:rFonts w:hint="eastAsia" w:ascii="仿宋" w:hAnsi="仿宋" w:eastAsia="仿宋" w:cs="仿宋"/>
                <w:color w:val="auto"/>
                <w:highlight w:val="none"/>
                <w:lang w:val="en-US" w:eastAsia="zh-CN"/>
              </w:rPr>
              <w:t>交通运输局4楼</w:t>
            </w:r>
          </w:p>
          <w:p w14:paraId="7991B207">
            <w:pPr>
              <w:pStyle w:val="20"/>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jc w:val="left"/>
              <w:textAlignment w:val="auto"/>
              <w:rPr>
                <w:rFonts w:hint="default" w:ascii="仿宋" w:hAnsi="仿宋" w:eastAsia="仿宋" w:cs="仿宋"/>
                <w:color w:val="auto"/>
                <w:highlight w:val="none"/>
                <w:lang w:val="en-US" w:eastAsia="zh-CN"/>
              </w:rPr>
            </w:pPr>
            <w:r>
              <w:rPr>
                <w:rFonts w:hint="default" w:ascii="仿宋" w:hAnsi="仿宋" w:eastAsia="仿宋" w:cs="仿宋"/>
                <w:color w:val="auto"/>
                <w:highlight w:val="none"/>
                <w:lang w:val="en-US" w:eastAsia="zh-CN"/>
              </w:rPr>
              <w:t>联系人：</w:t>
            </w:r>
            <w:r>
              <w:rPr>
                <w:rFonts w:hint="eastAsia" w:ascii="仿宋" w:hAnsi="仿宋" w:eastAsia="仿宋" w:cs="仿宋"/>
                <w:color w:val="auto"/>
                <w:highlight w:val="none"/>
                <w:lang w:val="en-US" w:eastAsia="zh-CN"/>
              </w:rPr>
              <w:t xml:space="preserve">程先生       </w:t>
            </w:r>
            <w:r>
              <w:rPr>
                <w:rFonts w:hint="default" w:ascii="仿宋" w:hAnsi="仿宋" w:eastAsia="仿宋" w:cs="仿宋"/>
                <w:color w:val="auto"/>
                <w:highlight w:val="none"/>
                <w:lang w:val="en-US" w:eastAsia="zh-CN"/>
              </w:rPr>
              <w:t>电  话：</w:t>
            </w:r>
            <w:r>
              <w:rPr>
                <w:rFonts w:hint="eastAsia" w:ascii="仿宋" w:hAnsi="仿宋" w:eastAsia="仿宋" w:cs="仿宋"/>
                <w:color w:val="auto"/>
                <w:highlight w:val="none"/>
                <w:lang w:val="en-US" w:eastAsia="zh-CN"/>
              </w:rPr>
              <w:t>18199719889</w:t>
            </w:r>
          </w:p>
        </w:tc>
      </w:tr>
      <w:tr w14:paraId="5A9B9331">
        <w:tblPrEx>
          <w:tblCellMar>
            <w:top w:w="0" w:type="dxa"/>
            <w:left w:w="108" w:type="dxa"/>
            <w:bottom w:w="0" w:type="dxa"/>
            <w:right w:w="108" w:type="dxa"/>
          </w:tblCellMar>
        </w:tblPrEx>
        <w:trPr>
          <w:trHeight w:val="468"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6AC73787">
            <w:pPr>
              <w:spacing w:line="360" w:lineRule="auto"/>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4</w:t>
            </w:r>
          </w:p>
        </w:tc>
        <w:tc>
          <w:tcPr>
            <w:tcW w:w="1407" w:type="dxa"/>
            <w:tcBorders>
              <w:top w:val="single" w:color="auto" w:sz="4" w:space="0"/>
              <w:left w:val="single" w:color="auto" w:sz="4" w:space="0"/>
              <w:bottom w:val="single" w:color="auto" w:sz="4" w:space="0"/>
              <w:right w:val="single" w:color="auto" w:sz="4" w:space="0"/>
            </w:tcBorders>
            <w:vAlign w:val="center"/>
          </w:tcPr>
          <w:p w14:paraId="20A7B3EB">
            <w:pPr>
              <w:spacing w:line="360" w:lineRule="auto"/>
              <w:jc w:val="center"/>
              <w:rPr>
                <w:rFonts w:hint="default" w:ascii="仿宋" w:hAnsi="仿宋" w:eastAsia="仿宋" w:cs="仿宋"/>
                <w:color w:val="auto"/>
                <w:sz w:val="24"/>
                <w:szCs w:val="24"/>
                <w:highlight w:val="none"/>
                <w:lang w:val="en-US" w:eastAsia="zh-CN" w:bidi="en-US"/>
              </w:rPr>
            </w:pPr>
            <w:r>
              <w:rPr>
                <w:rFonts w:hint="eastAsia" w:ascii="仿宋" w:hAnsi="仿宋" w:eastAsia="仿宋" w:cs="仿宋"/>
                <w:color w:val="auto"/>
                <w:sz w:val="24"/>
                <w:szCs w:val="24"/>
                <w:highlight w:val="none"/>
                <w:lang w:val="en-US" w:eastAsia="zh-CN" w:bidi="en-US"/>
              </w:rPr>
              <w:t>合同供货期限</w:t>
            </w:r>
          </w:p>
        </w:tc>
        <w:tc>
          <w:tcPr>
            <w:tcW w:w="7206" w:type="dxa"/>
            <w:tcBorders>
              <w:top w:val="single" w:color="auto" w:sz="4" w:space="0"/>
              <w:left w:val="single" w:color="auto" w:sz="4" w:space="0"/>
              <w:bottom w:val="single" w:color="auto" w:sz="4" w:space="0"/>
              <w:right w:val="single" w:color="auto" w:sz="4" w:space="0"/>
            </w:tcBorders>
            <w:vAlign w:val="center"/>
          </w:tcPr>
          <w:p w14:paraId="05A80692">
            <w:pPr>
              <w:numPr>
                <w:ilvl w:val="0"/>
                <w:numId w:val="0"/>
              </w:numPr>
              <w:spacing w:line="360" w:lineRule="auto"/>
              <w:rPr>
                <w:rFonts w:hint="default" w:ascii="仿宋" w:hAnsi="仿宋" w:eastAsia="仿宋" w:cs="仿宋"/>
                <w:color w:val="auto"/>
                <w:sz w:val="24"/>
                <w:szCs w:val="24"/>
                <w:highlight w:val="none"/>
                <w:lang w:val="en-US" w:eastAsia="zh-CN" w:bidi="en-US"/>
              </w:rPr>
            </w:pPr>
            <w:r>
              <w:rPr>
                <w:rFonts w:hint="eastAsia" w:ascii="仿宋" w:hAnsi="仿宋" w:eastAsia="仿宋" w:cs="仿宋"/>
                <w:i w:val="0"/>
                <w:iCs w:val="0"/>
                <w:caps w:val="0"/>
                <w:color w:val="auto"/>
                <w:spacing w:val="0"/>
                <w:sz w:val="24"/>
                <w:szCs w:val="24"/>
                <w:lang w:val="en-US" w:eastAsia="zh-CN"/>
              </w:rPr>
              <w:t>75日历日（最终以双方签订的合同约定为准）。</w:t>
            </w:r>
          </w:p>
        </w:tc>
      </w:tr>
      <w:tr w14:paraId="7ECC6394">
        <w:tblPrEx>
          <w:tblCellMar>
            <w:top w:w="0" w:type="dxa"/>
            <w:left w:w="108" w:type="dxa"/>
            <w:bottom w:w="0" w:type="dxa"/>
            <w:right w:w="108" w:type="dxa"/>
          </w:tblCellMar>
        </w:tblPrEx>
        <w:trPr>
          <w:trHeight w:val="450"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52A356A7">
            <w:pPr>
              <w:spacing w:line="360" w:lineRule="auto"/>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5</w:t>
            </w:r>
          </w:p>
        </w:tc>
        <w:tc>
          <w:tcPr>
            <w:tcW w:w="1407" w:type="dxa"/>
            <w:tcBorders>
              <w:top w:val="single" w:color="auto" w:sz="4" w:space="0"/>
              <w:left w:val="single" w:color="auto" w:sz="4" w:space="0"/>
              <w:bottom w:val="single" w:color="auto" w:sz="4" w:space="0"/>
              <w:right w:val="single" w:color="auto" w:sz="4" w:space="0"/>
            </w:tcBorders>
            <w:vAlign w:val="center"/>
          </w:tcPr>
          <w:p w14:paraId="20BB3EC8">
            <w:pPr>
              <w:spacing w:line="360" w:lineRule="auto"/>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资格要求</w:t>
            </w:r>
          </w:p>
        </w:tc>
        <w:tc>
          <w:tcPr>
            <w:tcW w:w="7206" w:type="dxa"/>
            <w:tcBorders>
              <w:top w:val="single" w:color="auto" w:sz="4" w:space="0"/>
              <w:left w:val="single" w:color="auto" w:sz="4" w:space="0"/>
              <w:bottom w:val="single" w:color="auto" w:sz="4" w:space="0"/>
              <w:right w:val="single" w:color="auto" w:sz="4" w:space="0"/>
            </w:tcBorders>
            <w:vAlign w:val="center"/>
          </w:tcPr>
          <w:p w14:paraId="404EA328">
            <w:pPr>
              <w:pStyle w:val="20"/>
              <w:keepNext w:val="0"/>
              <w:keepLines w:val="0"/>
              <w:pageBreakBefore w:val="0"/>
              <w:kinsoku/>
              <w:wordWrap/>
              <w:overflowPunct/>
              <w:topLinePunct w:val="0"/>
              <w:autoSpaceDE/>
              <w:autoSpaceDN/>
              <w:bidi w:val="0"/>
              <w:spacing w:before="75" w:after="75" w:line="360" w:lineRule="auto"/>
              <w:rPr>
                <w:rFonts w:ascii="仿宋" w:hAnsi="仿宋" w:eastAsia="仿宋" w:cs="仿宋"/>
                <w:color w:val="auto"/>
                <w:lang w:eastAsia="zh-CN"/>
              </w:rPr>
            </w:pPr>
            <w:r>
              <w:rPr>
                <w:rFonts w:hint="eastAsia" w:ascii="仿宋" w:hAnsi="仿宋" w:eastAsia="仿宋" w:cs="仿宋"/>
                <w:color w:val="auto"/>
                <w:lang w:eastAsia="zh-CN"/>
              </w:rPr>
              <w:t>1.满足《中华人民共和国政府采购法》第二十二条规定；</w:t>
            </w:r>
          </w:p>
          <w:p w14:paraId="27447DC8">
            <w:pPr>
              <w:pStyle w:val="20"/>
              <w:keepNext w:val="0"/>
              <w:keepLines w:val="0"/>
              <w:pageBreakBefore w:val="0"/>
              <w:kinsoku/>
              <w:wordWrap/>
              <w:overflowPunct/>
              <w:topLinePunct w:val="0"/>
              <w:autoSpaceDE/>
              <w:autoSpaceDN/>
              <w:bidi w:val="0"/>
              <w:spacing w:before="75" w:after="75" w:line="360" w:lineRule="auto"/>
              <w:rPr>
                <w:rFonts w:ascii="仿宋" w:hAnsi="仿宋" w:eastAsia="仿宋" w:cs="仿宋"/>
                <w:color w:val="auto"/>
                <w:lang w:eastAsia="zh-CN"/>
              </w:rPr>
            </w:pPr>
            <w:r>
              <w:rPr>
                <w:rFonts w:hint="eastAsia" w:ascii="仿宋" w:hAnsi="仿宋" w:eastAsia="仿宋" w:cs="仿宋"/>
                <w:color w:val="auto"/>
                <w:lang w:eastAsia="zh-CN"/>
              </w:rPr>
              <w:t>2.落实政府采购政策需满足的资格要求：本项目为专门面向中小企业。  </w:t>
            </w:r>
          </w:p>
          <w:p w14:paraId="0A2194ED">
            <w:pPr>
              <w:keepNext w:val="0"/>
              <w:keepLines w:val="0"/>
              <w:pageBreakBefore w:val="0"/>
              <w:kinsoku/>
              <w:wordWrap/>
              <w:overflowPunct/>
              <w:topLinePunct w:val="0"/>
              <w:autoSpaceDE/>
              <w:autoSpaceDN/>
              <w:bidi w:val="0"/>
              <w:spacing w:line="360" w:lineRule="auto"/>
              <w:rPr>
                <w:rFonts w:ascii="仿宋" w:hAnsi="仿宋" w:eastAsia="仿宋" w:cs="仿宋"/>
                <w:color w:val="auto"/>
                <w:lang w:eastAsia="zh-CN"/>
              </w:rPr>
            </w:pPr>
            <w:r>
              <w:rPr>
                <w:rFonts w:hint="eastAsia" w:ascii="仿宋" w:hAnsi="仿宋" w:eastAsia="仿宋" w:cs="仿宋"/>
                <w:color w:val="auto"/>
                <w:lang w:eastAsia="zh-CN"/>
              </w:rPr>
              <w:t>3.本项目的特定资格要求：</w:t>
            </w:r>
          </w:p>
          <w:p w14:paraId="43739DFE">
            <w:pPr>
              <w:keepNext w:val="0"/>
              <w:keepLines w:val="0"/>
              <w:pageBreakBefore w:val="0"/>
              <w:widowControl w:val="0"/>
              <w:kinsoku/>
              <w:wordWrap/>
              <w:overflowPunct/>
              <w:topLinePunct w:val="0"/>
              <w:autoSpaceDE/>
              <w:autoSpaceDN/>
              <w:bidi w:val="0"/>
              <w:adjustRightInd/>
              <w:snapToGrid/>
              <w:spacing w:line="460" w:lineRule="exact"/>
              <w:ind w:firstLine="243" w:firstLineChars="100"/>
              <w:textAlignment w:val="auto"/>
              <w:rPr>
                <w:rFonts w:hint="eastAsia" w:ascii="仿宋" w:hAnsi="仿宋" w:eastAsia="仿宋" w:cs="仿宋"/>
                <w:b w:val="0"/>
                <w:bCs/>
                <w:color w:val="auto"/>
                <w:kern w:val="0"/>
                <w:sz w:val="24"/>
                <w:szCs w:val="24"/>
                <w:highlight w:val="none"/>
                <w:lang w:val="en-US" w:eastAsia="zh-CN" w:bidi="en-US"/>
              </w:rPr>
            </w:pPr>
            <w:r>
              <w:rPr>
                <w:rFonts w:hint="eastAsia" w:ascii="仿宋" w:hAnsi="仿宋" w:eastAsia="仿宋" w:cs="仿宋"/>
                <w:b w:val="0"/>
                <w:bCs/>
                <w:color w:val="auto"/>
                <w:kern w:val="0"/>
                <w:sz w:val="24"/>
                <w:szCs w:val="24"/>
                <w:highlight w:val="none"/>
                <w:lang w:val="en-US" w:eastAsia="zh-CN" w:bidi="en-US"/>
              </w:rPr>
              <w:t>（1）具备三证合一营业执照副本；</w:t>
            </w:r>
            <w:r>
              <w:rPr>
                <w:rFonts w:hint="eastAsia" w:ascii="仿宋" w:hAnsi="仿宋" w:eastAsia="仿宋" w:cs="仿宋"/>
                <w:b w:val="0"/>
                <w:bCs/>
                <w:color w:val="auto"/>
                <w:kern w:val="0"/>
                <w:sz w:val="24"/>
                <w:szCs w:val="24"/>
                <w:highlight w:val="none"/>
                <w:lang w:val="en-US" w:eastAsia="zh-CN" w:bidi="en-US"/>
              </w:rPr>
              <w:tab/>
            </w:r>
          </w:p>
          <w:p w14:paraId="6273197F">
            <w:pPr>
              <w:keepNext w:val="0"/>
              <w:keepLines w:val="0"/>
              <w:pageBreakBefore w:val="0"/>
              <w:widowControl w:val="0"/>
              <w:kinsoku/>
              <w:wordWrap/>
              <w:overflowPunct/>
              <w:topLinePunct w:val="0"/>
              <w:autoSpaceDE/>
              <w:autoSpaceDN/>
              <w:bidi w:val="0"/>
              <w:adjustRightInd/>
              <w:snapToGrid/>
              <w:spacing w:line="460" w:lineRule="exact"/>
              <w:ind w:firstLine="243" w:firstLineChars="100"/>
              <w:textAlignment w:val="auto"/>
              <w:rPr>
                <w:rFonts w:hint="eastAsia" w:ascii="仿宋" w:hAnsi="仿宋" w:eastAsia="仿宋" w:cs="仿宋"/>
                <w:b w:val="0"/>
                <w:bCs/>
                <w:color w:val="auto"/>
                <w:kern w:val="0"/>
                <w:sz w:val="24"/>
                <w:szCs w:val="24"/>
                <w:highlight w:val="none"/>
                <w:lang w:val="en-US" w:eastAsia="zh-CN" w:bidi="en-US"/>
              </w:rPr>
            </w:pPr>
            <w:r>
              <w:rPr>
                <w:rFonts w:hint="eastAsia" w:ascii="仿宋" w:hAnsi="仿宋" w:eastAsia="仿宋" w:cs="仿宋"/>
                <w:b w:val="0"/>
                <w:bCs/>
                <w:color w:val="auto"/>
                <w:kern w:val="0"/>
                <w:sz w:val="24"/>
                <w:szCs w:val="24"/>
                <w:highlight w:val="none"/>
                <w:lang w:val="en-US" w:eastAsia="zh-CN" w:bidi="en-US"/>
              </w:rPr>
              <w:t>（2）法定代表人投标需提供法定代表人资格证明书，委托代理人投标需提供法定代表人授权委托书；</w:t>
            </w:r>
          </w:p>
          <w:p w14:paraId="3E300082">
            <w:pPr>
              <w:keepNext w:val="0"/>
              <w:keepLines w:val="0"/>
              <w:pageBreakBefore w:val="0"/>
              <w:widowControl w:val="0"/>
              <w:kinsoku/>
              <w:wordWrap/>
              <w:overflowPunct/>
              <w:topLinePunct w:val="0"/>
              <w:autoSpaceDE/>
              <w:autoSpaceDN/>
              <w:bidi w:val="0"/>
              <w:adjustRightInd/>
              <w:snapToGrid/>
              <w:spacing w:line="460" w:lineRule="exact"/>
              <w:ind w:firstLine="243" w:firstLineChars="100"/>
              <w:textAlignment w:val="auto"/>
              <w:rPr>
                <w:rFonts w:hint="eastAsia" w:ascii="仿宋" w:hAnsi="仿宋" w:eastAsia="仿宋" w:cs="仿宋"/>
                <w:b w:val="0"/>
                <w:bCs/>
                <w:color w:val="auto"/>
                <w:kern w:val="0"/>
                <w:sz w:val="24"/>
                <w:szCs w:val="24"/>
                <w:highlight w:val="none"/>
                <w:lang w:val="en-US" w:eastAsia="zh-CN" w:bidi="en-US"/>
              </w:rPr>
            </w:pPr>
            <w:r>
              <w:rPr>
                <w:rFonts w:hint="eastAsia" w:ascii="仿宋" w:hAnsi="仿宋" w:eastAsia="仿宋" w:cs="仿宋"/>
                <w:b w:val="0"/>
                <w:bCs/>
                <w:color w:val="auto"/>
                <w:kern w:val="0"/>
                <w:sz w:val="24"/>
                <w:szCs w:val="24"/>
                <w:highlight w:val="none"/>
                <w:lang w:val="en-US" w:eastAsia="zh-CN" w:bidi="en-US"/>
              </w:rPr>
              <w:t>（3）投标企业须提供投标人（被授权在职人员）近6个月内任意一个月有效的社保证明；</w:t>
            </w:r>
          </w:p>
          <w:p w14:paraId="50CBF054">
            <w:pPr>
              <w:keepNext w:val="0"/>
              <w:keepLines w:val="0"/>
              <w:pageBreakBefore w:val="0"/>
              <w:widowControl w:val="0"/>
              <w:kinsoku/>
              <w:wordWrap/>
              <w:overflowPunct/>
              <w:topLinePunct w:val="0"/>
              <w:autoSpaceDE/>
              <w:autoSpaceDN/>
              <w:bidi w:val="0"/>
              <w:adjustRightInd/>
              <w:snapToGrid/>
              <w:spacing w:line="460" w:lineRule="exact"/>
              <w:ind w:firstLine="243" w:firstLineChars="100"/>
              <w:textAlignment w:val="auto"/>
              <w:rPr>
                <w:rFonts w:hint="eastAsia" w:ascii="仿宋" w:hAnsi="仿宋" w:eastAsia="仿宋" w:cs="仿宋"/>
                <w:b w:val="0"/>
                <w:bCs/>
                <w:color w:val="auto"/>
                <w:kern w:val="0"/>
                <w:sz w:val="24"/>
                <w:szCs w:val="24"/>
                <w:highlight w:val="none"/>
                <w:lang w:val="en-US" w:eastAsia="zh-CN" w:bidi="en-US"/>
              </w:rPr>
            </w:pPr>
            <w:r>
              <w:rPr>
                <w:rFonts w:hint="eastAsia" w:ascii="仿宋" w:hAnsi="仿宋" w:eastAsia="仿宋" w:cs="仿宋"/>
                <w:b w:val="0"/>
                <w:bCs/>
                <w:color w:val="auto"/>
                <w:kern w:val="0"/>
                <w:sz w:val="24"/>
                <w:szCs w:val="24"/>
                <w:highlight w:val="none"/>
                <w:lang w:val="en-US" w:eastAsia="zh-CN" w:bidi="en-US"/>
              </w:rPr>
              <w:t>（4）参加政府采购活动前三年内，在经营活动中没有重大违法记录；未被“信用中国”（www.creditchina.gov.cn）、中国政府采购网（www.ccgp.gov.cn）列入失信被执行人、税收违法黑名单、政府采购严重违法失信行为记录名单；</w:t>
            </w:r>
          </w:p>
          <w:p w14:paraId="0C394A7A">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4.本项目</w:t>
            </w:r>
            <w:r>
              <w:rPr>
                <w:rFonts w:hint="eastAsia" w:ascii="仿宋" w:hAnsi="仿宋" w:eastAsia="仿宋" w:cs="仿宋"/>
                <w:color w:val="auto"/>
                <w:highlight w:val="none"/>
                <w:lang w:val="en-US" w:eastAsia="zh-CN"/>
              </w:rPr>
              <w:t>不</w:t>
            </w:r>
            <w:r>
              <w:rPr>
                <w:rFonts w:hint="eastAsia" w:ascii="仿宋" w:hAnsi="仿宋" w:eastAsia="仿宋" w:cs="仿宋"/>
                <w:color w:val="auto"/>
                <w:highlight w:val="none"/>
                <w:lang w:eastAsia="zh-CN"/>
              </w:rPr>
              <w:t>接受联合体投标；</w:t>
            </w:r>
          </w:p>
        </w:tc>
      </w:tr>
      <w:tr w14:paraId="6050CED4">
        <w:tblPrEx>
          <w:tblCellMar>
            <w:top w:w="0" w:type="dxa"/>
            <w:left w:w="108" w:type="dxa"/>
            <w:bottom w:w="0" w:type="dxa"/>
            <w:right w:w="108" w:type="dxa"/>
          </w:tblCellMar>
        </w:tblPrEx>
        <w:trPr>
          <w:trHeight w:val="450"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0F2860E0">
            <w:pPr>
              <w:spacing w:line="360" w:lineRule="auto"/>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6</w:t>
            </w:r>
          </w:p>
        </w:tc>
        <w:tc>
          <w:tcPr>
            <w:tcW w:w="1407" w:type="dxa"/>
            <w:tcBorders>
              <w:top w:val="single" w:color="auto" w:sz="4" w:space="0"/>
              <w:left w:val="single" w:color="auto" w:sz="4" w:space="0"/>
              <w:bottom w:val="single" w:color="auto" w:sz="4" w:space="0"/>
              <w:right w:val="single" w:color="auto" w:sz="4" w:space="0"/>
            </w:tcBorders>
            <w:vAlign w:val="center"/>
          </w:tcPr>
          <w:p w14:paraId="37220EC4">
            <w:pPr>
              <w:spacing w:line="360" w:lineRule="auto"/>
              <w:jc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采购范围</w:t>
            </w:r>
          </w:p>
        </w:tc>
        <w:tc>
          <w:tcPr>
            <w:tcW w:w="7206" w:type="dxa"/>
            <w:tcBorders>
              <w:top w:val="single" w:color="auto" w:sz="4" w:space="0"/>
              <w:left w:val="single" w:color="auto" w:sz="4" w:space="0"/>
              <w:bottom w:val="single" w:color="auto" w:sz="4" w:space="0"/>
              <w:right w:val="single" w:color="auto" w:sz="4" w:space="0"/>
            </w:tcBorders>
            <w:vAlign w:val="center"/>
          </w:tcPr>
          <w:p w14:paraId="0760DAB1">
            <w:pPr>
              <w:spacing w:line="360" w:lineRule="auto"/>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采购人不采购进口产品。</w:t>
            </w:r>
          </w:p>
        </w:tc>
      </w:tr>
      <w:tr w14:paraId="78A90E3F">
        <w:tblPrEx>
          <w:tblCellMar>
            <w:top w:w="0" w:type="dxa"/>
            <w:left w:w="108" w:type="dxa"/>
            <w:bottom w:w="0" w:type="dxa"/>
            <w:right w:w="108" w:type="dxa"/>
          </w:tblCellMar>
        </w:tblPrEx>
        <w:trPr>
          <w:trHeight w:val="90"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60590A8E">
            <w:pPr>
              <w:spacing w:line="360" w:lineRule="auto"/>
              <w:jc w:val="center"/>
              <w:rPr>
                <w:rFonts w:ascii="仿宋" w:hAnsi="仿宋" w:eastAsia="仿宋" w:cs="仿宋"/>
                <w:color w:val="auto"/>
                <w:highlight w:val="none"/>
                <w:lang w:eastAsia="zh-CN"/>
              </w:rPr>
            </w:pPr>
            <w:r>
              <w:rPr>
                <w:rFonts w:hint="eastAsia" w:ascii="仿宋" w:hAnsi="仿宋" w:eastAsia="仿宋" w:cs="仿宋"/>
                <w:color w:val="auto"/>
                <w:highlight w:val="none"/>
                <w:lang w:val="en-US" w:eastAsia="zh-CN"/>
              </w:rPr>
              <w:t>7</w:t>
            </w:r>
          </w:p>
        </w:tc>
        <w:tc>
          <w:tcPr>
            <w:tcW w:w="1407" w:type="dxa"/>
            <w:tcBorders>
              <w:top w:val="single" w:color="auto" w:sz="4" w:space="0"/>
              <w:left w:val="single" w:color="auto" w:sz="4" w:space="0"/>
              <w:bottom w:val="single" w:color="auto" w:sz="4" w:space="0"/>
              <w:right w:val="single" w:color="auto" w:sz="4" w:space="0"/>
            </w:tcBorders>
            <w:vAlign w:val="center"/>
          </w:tcPr>
          <w:p w14:paraId="00622E0A">
            <w:pPr>
              <w:spacing w:line="360" w:lineRule="auto"/>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资金来源</w:t>
            </w:r>
          </w:p>
        </w:tc>
        <w:tc>
          <w:tcPr>
            <w:tcW w:w="7206" w:type="dxa"/>
            <w:tcBorders>
              <w:top w:val="single" w:color="auto" w:sz="4" w:space="0"/>
              <w:left w:val="single" w:color="auto" w:sz="4" w:space="0"/>
              <w:bottom w:val="single" w:color="auto" w:sz="4" w:space="0"/>
              <w:right w:val="single" w:color="auto" w:sz="4" w:space="0"/>
            </w:tcBorders>
            <w:vAlign w:val="center"/>
          </w:tcPr>
          <w:p w14:paraId="7073CAED">
            <w:pPr>
              <w:spacing w:line="360" w:lineRule="auto"/>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无锡援疆资金</w:t>
            </w:r>
          </w:p>
        </w:tc>
      </w:tr>
      <w:tr w14:paraId="4668D500">
        <w:tblPrEx>
          <w:tblCellMar>
            <w:top w:w="0" w:type="dxa"/>
            <w:left w:w="108" w:type="dxa"/>
            <w:bottom w:w="0" w:type="dxa"/>
            <w:right w:w="108" w:type="dxa"/>
          </w:tblCellMar>
        </w:tblPrEx>
        <w:trPr>
          <w:trHeight w:val="527"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1912E78D">
            <w:pPr>
              <w:spacing w:line="360" w:lineRule="auto"/>
              <w:jc w:val="center"/>
              <w:rPr>
                <w:rFonts w:ascii="仿宋" w:hAnsi="仿宋" w:eastAsia="仿宋" w:cs="仿宋"/>
                <w:color w:val="auto"/>
                <w:highlight w:val="none"/>
                <w:lang w:eastAsia="zh-CN"/>
              </w:rPr>
            </w:pPr>
            <w:r>
              <w:rPr>
                <w:rFonts w:hint="eastAsia" w:ascii="仿宋" w:hAnsi="仿宋" w:eastAsia="仿宋" w:cs="仿宋"/>
                <w:color w:val="auto"/>
                <w:highlight w:val="none"/>
                <w:lang w:val="en-US" w:eastAsia="zh-CN"/>
              </w:rPr>
              <w:t>8</w:t>
            </w:r>
          </w:p>
        </w:tc>
        <w:tc>
          <w:tcPr>
            <w:tcW w:w="1407" w:type="dxa"/>
            <w:tcBorders>
              <w:top w:val="single" w:color="auto" w:sz="4" w:space="0"/>
              <w:left w:val="single" w:color="auto" w:sz="4" w:space="0"/>
              <w:bottom w:val="single" w:color="auto" w:sz="4" w:space="0"/>
              <w:right w:val="single" w:color="auto" w:sz="4" w:space="0"/>
            </w:tcBorders>
            <w:vAlign w:val="center"/>
          </w:tcPr>
          <w:p w14:paraId="005E7725">
            <w:pPr>
              <w:spacing w:line="360" w:lineRule="auto"/>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招标方式</w:t>
            </w:r>
          </w:p>
        </w:tc>
        <w:tc>
          <w:tcPr>
            <w:tcW w:w="7206" w:type="dxa"/>
            <w:tcBorders>
              <w:top w:val="single" w:color="auto" w:sz="4" w:space="0"/>
              <w:left w:val="single" w:color="auto" w:sz="4" w:space="0"/>
              <w:bottom w:val="single" w:color="auto" w:sz="4" w:space="0"/>
              <w:right w:val="single" w:color="auto" w:sz="4" w:space="0"/>
            </w:tcBorders>
            <w:vAlign w:val="center"/>
          </w:tcPr>
          <w:p w14:paraId="0D773A72">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公开招标(本项目采用网上电子招投标)  </w:t>
            </w:r>
          </w:p>
        </w:tc>
      </w:tr>
      <w:tr w14:paraId="1B8A761D">
        <w:tblPrEx>
          <w:tblCellMar>
            <w:top w:w="0" w:type="dxa"/>
            <w:left w:w="108" w:type="dxa"/>
            <w:bottom w:w="0" w:type="dxa"/>
            <w:right w:w="108" w:type="dxa"/>
          </w:tblCellMar>
        </w:tblPrEx>
        <w:trPr>
          <w:trHeight w:val="4847"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654FA7D3">
            <w:pPr>
              <w:spacing w:line="360" w:lineRule="auto"/>
              <w:jc w:val="center"/>
              <w:rPr>
                <w:rFonts w:ascii="仿宋" w:hAnsi="仿宋" w:eastAsia="仿宋" w:cs="仿宋"/>
                <w:color w:val="auto"/>
                <w:highlight w:val="none"/>
                <w:lang w:eastAsia="zh-CN"/>
              </w:rPr>
            </w:pPr>
            <w:r>
              <w:rPr>
                <w:rFonts w:hint="eastAsia" w:ascii="仿宋" w:hAnsi="仿宋" w:eastAsia="仿宋" w:cs="仿宋"/>
                <w:color w:val="auto"/>
                <w:highlight w:val="none"/>
                <w:lang w:val="en-US" w:eastAsia="zh-CN"/>
              </w:rPr>
              <w:t>9</w:t>
            </w:r>
          </w:p>
        </w:tc>
        <w:tc>
          <w:tcPr>
            <w:tcW w:w="1407" w:type="dxa"/>
            <w:tcBorders>
              <w:top w:val="single" w:color="auto" w:sz="4" w:space="0"/>
              <w:left w:val="single" w:color="auto" w:sz="4" w:space="0"/>
              <w:bottom w:val="single" w:color="auto" w:sz="4" w:space="0"/>
              <w:right w:val="single" w:color="auto" w:sz="4" w:space="0"/>
            </w:tcBorders>
            <w:vAlign w:val="center"/>
          </w:tcPr>
          <w:p w14:paraId="09BE5561">
            <w:pPr>
              <w:spacing w:line="360" w:lineRule="auto"/>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供应商信用查询</w:t>
            </w:r>
          </w:p>
        </w:tc>
        <w:tc>
          <w:tcPr>
            <w:tcW w:w="7206" w:type="dxa"/>
            <w:tcBorders>
              <w:top w:val="single" w:color="auto" w:sz="4" w:space="0"/>
              <w:left w:val="single" w:color="auto" w:sz="4" w:space="0"/>
              <w:bottom w:val="single" w:color="auto" w:sz="4" w:space="0"/>
              <w:right w:val="single" w:color="auto" w:sz="4" w:space="0"/>
            </w:tcBorders>
            <w:vAlign w:val="center"/>
          </w:tcPr>
          <w:p w14:paraId="5B23F38D">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1、查询渠道：信用中国（网址：http://www.creditchina.gov.cn）、中国政府采购网(网址：http://www.ccgp.gov.cn）。</w:t>
            </w:r>
          </w:p>
          <w:p w14:paraId="1B4935EF">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2、截止时</w:t>
            </w:r>
            <w:r>
              <w:rPr>
                <w:rFonts w:hint="eastAsia" w:ascii="仿宋" w:hAnsi="仿宋" w:eastAsia="仿宋" w:cs="仿宋"/>
                <w:color w:val="auto"/>
                <w:highlight w:val="none"/>
                <w:lang w:val="en-US" w:eastAsia="zh-CN"/>
              </w:rPr>
              <w:t>间</w:t>
            </w:r>
            <w:r>
              <w:rPr>
                <w:rFonts w:hint="eastAsia" w:ascii="仿宋" w:hAnsi="仿宋" w:eastAsia="仿宋" w:cs="仿宋"/>
                <w:color w:val="auto"/>
                <w:highlight w:val="none"/>
                <w:lang w:eastAsia="zh-CN"/>
              </w:rPr>
              <w:t>：开标后评标前。</w:t>
            </w:r>
          </w:p>
          <w:p w14:paraId="75DB85E6">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3、信用信息查询记录和证据留存的具体方式：由采购组织机构在规定查询时间内打印信用信息查询记录并归入项目档案。</w:t>
            </w:r>
          </w:p>
          <w:p w14:paraId="6DCBFD29">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4、使用规则：对列入失信被执行人、重大税收违法案件当事人名单、政府采购严重违法失信行为记录名单及其他不符合《中华人民共和国政府采购法》第二十二条规定条件的供应商，将被拒绝其参与政府采购活动。联合体成员任意一方存在不良信用记录的，视同联合体存在不良信用记录。</w:t>
            </w:r>
          </w:p>
        </w:tc>
      </w:tr>
      <w:tr w14:paraId="167C2875">
        <w:tblPrEx>
          <w:tblCellMar>
            <w:top w:w="0" w:type="dxa"/>
            <w:left w:w="108" w:type="dxa"/>
            <w:bottom w:w="0" w:type="dxa"/>
            <w:right w:w="108" w:type="dxa"/>
          </w:tblCellMar>
        </w:tblPrEx>
        <w:trPr>
          <w:trHeight w:val="1048"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1608CD03">
            <w:pPr>
              <w:spacing w:line="360" w:lineRule="auto"/>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10</w:t>
            </w:r>
          </w:p>
        </w:tc>
        <w:tc>
          <w:tcPr>
            <w:tcW w:w="1407" w:type="dxa"/>
            <w:tcBorders>
              <w:top w:val="single" w:color="auto" w:sz="4" w:space="0"/>
              <w:left w:val="single" w:color="auto" w:sz="4" w:space="0"/>
              <w:bottom w:val="single" w:color="auto" w:sz="4" w:space="0"/>
              <w:right w:val="single" w:color="auto" w:sz="4" w:space="0"/>
            </w:tcBorders>
            <w:vAlign w:val="center"/>
          </w:tcPr>
          <w:p w14:paraId="10D3EC38">
            <w:pPr>
              <w:spacing w:line="360" w:lineRule="auto"/>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是否接受联合体投标</w:t>
            </w:r>
          </w:p>
        </w:tc>
        <w:tc>
          <w:tcPr>
            <w:tcW w:w="7206" w:type="dxa"/>
            <w:tcBorders>
              <w:top w:val="single" w:color="auto" w:sz="4" w:space="0"/>
              <w:left w:val="single" w:color="auto" w:sz="4" w:space="0"/>
              <w:bottom w:val="single" w:color="auto" w:sz="4" w:space="0"/>
              <w:right w:val="single" w:color="auto" w:sz="4" w:space="0"/>
            </w:tcBorders>
            <w:vAlign w:val="center"/>
          </w:tcPr>
          <w:p w14:paraId="1ADC5E4C">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☑不接受</w:t>
            </w:r>
          </w:p>
          <w:p w14:paraId="0201A214">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w:t>
            </w:r>
            <w:r>
              <w:rPr>
                <w:rFonts w:hint="eastAsia" w:ascii="仿宋" w:hAnsi="仿宋" w:eastAsia="仿宋" w:cs="仿宋"/>
                <w:b w:val="0"/>
                <w:bCs w:val="0"/>
                <w:color w:val="auto"/>
                <w:sz w:val="24"/>
                <w:szCs w:val="24"/>
                <w:highlight w:val="none"/>
                <w:lang w:eastAsia="zh-CN"/>
              </w:rPr>
              <w:t>接  受：</w:t>
            </w:r>
            <w:r>
              <w:rPr>
                <w:rFonts w:hint="eastAsia" w:ascii="仿宋" w:hAnsi="仿宋" w:eastAsia="仿宋" w:cs="仿宋"/>
                <w:b w:val="0"/>
                <w:bCs w:val="0"/>
                <w:color w:val="auto"/>
                <w:sz w:val="24"/>
                <w:szCs w:val="24"/>
                <w:highlight w:val="none"/>
              </w:rPr>
              <w:t>本项目接受联合体投标，如为联合体投标，联合体所有成员数量不得超过2家，联合体投标的须在投标文件中提供《联合体协议书》和《投标联合体授权主体方协议书》，联合体的任何一方均不得再与其他投标单位联合参加同一合同项下的政府采购项目。联合体各单位资格要求需符合投标人资格要求。</w:t>
            </w:r>
          </w:p>
        </w:tc>
      </w:tr>
      <w:tr w14:paraId="69F4CDD6">
        <w:tblPrEx>
          <w:tblCellMar>
            <w:top w:w="0" w:type="dxa"/>
            <w:left w:w="108" w:type="dxa"/>
            <w:bottom w:w="0" w:type="dxa"/>
            <w:right w:w="108" w:type="dxa"/>
          </w:tblCellMar>
        </w:tblPrEx>
        <w:trPr>
          <w:trHeight w:val="881"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4E9FDF58">
            <w:pPr>
              <w:spacing w:line="360" w:lineRule="auto"/>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11</w:t>
            </w:r>
          </w:p>
        </w:tc>
        <w:tc>
          <w:tcPr>
            <w:tcW w:w="1407" w:type="dxa"/>
            <w:tcBorders>
              <w:top w:val="single" w:color="auto" w:sz="4" w:space="0"/>
              <w:left w:val="single" w:color="auto" w:sz="4" w:space="0"/>
              <w:bottom w:val="single" w:color="auto" w:sz="4" w:space="0"/>
              <w:right w:val="single" w:color="auto" w:sz="4" w:space="0"/>
            </w:tcBorders>
            <w:vAlign w:val="center"/>
          </w:tcPr>
          <w:p w14:paraId="6A71DA4B">
            <w:pPr>
              <w:spacing w:line="360" w:lineRule="auto"/>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投标截止时间（开标时间）</w:t>
            </w:r>
          </w:p>
        </w:tc>
        <w:tc>
          <w:tcPr>
            <w:tcW w:w="7206" w:type="dxa"/>
            <w:tcBorders>
              <w:top w:val="single" w:color="auto" w:sz="4" w:space="0"/>
              <w:left w:val="single" w:color="auto" w:sz="4" w:space="0"/>
              <w:bottom w:val="single" w:color="auto" w:sz="4" w:space="0"/>
              <w:right w:val="single" w:color="auto" w:sz="4" w:space="0"/>
            </w:tcBorders>
            <w:vAlign w:val="center"/>
          </w:tcPr>
          <w:p w14:paraId="7DFD8762">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截止时间：</w:t>
            </w:r>
            <w:r>
              <w:rPr>
                <w:rFonts w:hint="eastAsia" w:ascii="仿宋" w:hAnsi="仿宋" w:eastAsia="仿宋" w:cs="仿宋"/>
                <w:color w:val="auto"/>
                <w:highlight w:val="none"/>
                <w:u w:val="single"/>
                <w:lang w:eastAsia="zh-CN"/>
              </w:rPr>
              <w:t>202</w:t>
            </w:r>
            <w:r>
              <w:rPr>
                <w:rFonts w:hint="eastAsia" w:ascii="仿宋" w:hAnsi="仿宋" w:eastAsia="仿宋" w:cs="仿宋"/>
                <w:color w:val="auto"/>
                <w:highlight w:val="none"/>
                <w:u w:val="single"/>
                <w:lang w:val="en-US" w:eastAsia="zh-CN"/>
              </w:rPr>
              <w:t>6</w:t>
            </w:r>
            <w:r>
              <w:rPr>
                <w:rFonts w:hint="eastAsia" w:ascii="仿宋" w:hAnsi="仿宋" w:eastAsia="仿宋" w:cs="仿宋"/>
                <w:color w:val="auto"/>
                <w:highlight w:val="none"/>
                <w:u w:val="single"/>
                <w:lang w:eastAsia="zh-CN"/>
              </w:rPr>
              <w:t>年</w:t>
            </w:r>
            <w:r>
              <w:rPr>
                <w:rFonts w:hint="eastAsia" w:ascii="仿宋" w:hAnsi="仿宋" w:eastAsia="仿宋" w:cs="仿宋"/>
                <w:color w:val="auto"/>
                <w:highlight w:val="none"/>
                <w:u w:val="single"/>
                <w:lang w:val="en-US" w:eastAsia="zh-CN"/>
              </w:rPr>
              <w:t>11</w:t>
            </w:r>
            <w:r>
              <w:rPr>
                <w:rFonts w:hint="eastAsia" w:ascii="仿宋" w:hAnsi="仿宋" w:eastAsia="仿宋" w:cs="仿宋"/>
                <w:color w:val="auto"/>
                <w:highlight w:val="none"/>
                <w:u w:val="single"/>
                <w:lang w:eastAsia="zh-CN"/>
              </w:rPr>
              <w:t>月</w:t>
            </w:r>
            <w:r>
              <w:rPr>
                <w:rFonts w:hint="eastAsia" w:ascii="仿宋" w:hAnsi="仿宋" w:eastAsia="仿宋" w:cs="仿宋"/>
                <w:color w:val="auto"/>
                <w:highlight w:val="none"/>
                <w:u w:val="single"/>
                <w:lang w:val="en-US" w:eastAsia="zh-CN"/>
              </w:rPr>
              <w:t>5</w:t>
            </w:r>
            <w:r>
              <w:rPr>
                <w:rFonts w:hint="eastAsia" w:ascii="仿宋" w:hAnsi="仿宋" w:eastAsia="仿宋" w:cs="仿宋"/>
                <w:color w:val="auto"/>
                <w:highlight w:val="none"/>
                <w:u w:val="single"/>
                <w:lang w:eastAsia="zh-CN"/>
              </w:rPr>
              <w:t>日上午</w:t>
            </w:r>
            <w:r>
              <w:rPr>
                <w:rFonts w:hint="eastAsia" w:ascii="仿宋" w:hAnsi="仿宋" w:eastAsia="仿宋" w:cs="仿宋"/>
                <w:color w:val="auto"/>
                <w:highlight w:val="none"/>
                <w:u w:val="single"/>
                <w:lang w:val="en-US" w:eastAsia="zh-CN"/>
              </w:rPr>
              <w:t>10</w:t>
            </w:r>
            <w:r>
              <w:rPr>
                <w:rFonts w:hint="eastAsia" w:ascii="仿宋" w:hAnsi="仿宋" w:eastAsia="仿宋" w:cs="仿宋"/>
                <w:color w:val="auto"/>
                <w:highlight w:val="none"/>
                <w:u w:val="single"/>
                <w:lang w:eastAsia="zh-CN"/>
              </w:rPr>
              <w:t>时</w:t>
            </w:r>
            <w:r>
              <w:rPr>
                <w:rFonts w:hint="eastAsia" w:ascii="仿宋" w:hAnsi="仿宋" w:eastAsia="仿宋" w:cs="仿宋"/>
                <w:color w:val="auto"/>
                <w:highlight w:val="none"/>
                <w:u w:val="single"/>
                <w:lang w:val="en-US" w:eastAsia="zh-CN"/>
              </w:rPr>
              <w:t>30</w:t>
            </w:r>
            <w:r>
              <w:rPr>
                <w:rFonts w:hint="eastAsia" w:ascii="仿宋" w:hAnsi="仿宋" w:eastAsia="仿宋" w:cs="仿宋"/>
                <w:color w:val="auto"/>
                <w:highlight w:val="none"/>
                <w:u w:val="single"/>
                <w:lang w:eastAsia="zh-CN"/>
              </w:rPr>
              <w:t>分</w:t>
            </w:r>
            <w:r>
              <w:rPr>
                <w:rFonts w:hint="eastAsia" w:ascii="仿宋" w:hAnsi="仿宋" w:eastAsia="仿宋" w:cs="仿宋"/>
                <w:color w:val="auto"/>
                <w:highlight w:val="none"/>
                <w:lang w:eastAsia="zh-CN"/>
              </w:rPr>
              <w:t>（北京时间）</w:t>
            </w:r>
          </w:p>
        </w:tc>
      </w:tr>
      <w:tr w14:paraId="58273908">
        <w:tblPrEx>
          <w:tblCellMar>
            <w:top w:w="0" w:type="dxa"/>
            <w:left w:w="108" w:type="dxa"/>
            <w:bottom w:w="0" w:type="dxa"/>
            <w:right w:w="108" w:type="dxa"/>
          </w:tblCellMar>
        </w:tblPrEx>
        <w:trPr>
          <w:trHeight w:val="478"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474B2D29">
            <w:pPr>
              <w:spacing w:line="360" w:lineRule="auto"/>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12</w:t>
            </w:r>
          </w:p>
        </w:tc>
        <w:tc>
          <w:tcPr>
            <w:tcW w:w="1407" w:type="dxa"/>
            <w:tcBorders>
              <w:top w:val="single" w:color="auto" w:sz="4" w:space="0"/>
              <w:left w:val="single" w:color="auto" w:sz="4" w:space="0"/>
              <w:bottom w:val="single" w:color="auto" w:sz="4" w:space="0"/>
              <w:right w:val="single" w:color="auto" w:sz="4" w:space="0"/>
            </w:tcBorders>
            <w:vAlign w:val="center"/>
          </w:tcPr>
          <w:p w14:paraId="6CFA49DC">
            <w:pPr>
              <w:spacing w:line="360" w:lineRule="auto"/>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投标有效期</w:t>
            </w:r>
          </w:p>
        </w:tc>
        <w:tc>
          <w:tcPr>
            <w:tcW w:w="7206" w:type="dxa"/>
            <w:tcBorders>
              <w:top w:val="single" w:color="auto" w:sz="4" w:space="0"/>
              <w:left w:val="single" w:color="auto" w:sz="4" w:space="0"/>
              <w:bottom w:val="single" w:color="auto" w:sz="4" w:space="0"/>
              <w:right w:val="single" w:color="auto" w:sz="4" w:space="0"/>
            </w:tcBorders>
            <w:vAlign w:val="center"/>
          </w:tcPr>
          <w:p w14:paraId="2752C5B1">
            <w:pPr>
              <w:spacing w:line="360" w:lineRule="auto"/>
              <w:rPr>
                <w:rFonts w:ascii="仿宋" w:hAnsi="仿宋" w:eastAsia="仿宋" w:cs="仿宋"/>
                <w:color w:val="auto"/>
                <w:highlight w:val="none"/>
                <w:lang w:eastAsia="zh-CN"/>
              </w:rPr>
            </w:pPr>
            <w:r>
              <w:rPr>
                <w:rFonts w:hint="eastAsia" w:ascii="仿宋" w:hAnsi="仿宋" w:eastAsia="仿宋" w:cs="仿宋"/>
                <w:b w:val="0"/>
                <w:bCs w:val="0"/>
                <w:color w:val="auto"/>
                <w:sz w:val="24"/>
                <w:szCs w:val="24"/>
                <w:highlight w:val="none"/>
                <w:lang w:val="en-US" w:eastAsia="zh-CN"/>
              </w:rPr>
              <w:t>投标有效期为</w:t>
            </w:r>
            <w:r>
              <w:rPr>
                <w:rFonts w:hint="eastAsia" w:ascii="仿宋" w:hAnsi="仿宋" w:eastAsia="仿宋" w:cs="仿宋"/>
                <w:b w:val="0"/>
                <w:bCs w:val="0"/>
                <w:color w:val="auto"/>
                <w:sz w:val="24"/>
                <w:szCs w:val="24"/>
                <w:highlight w:val="none"/>
                <w:u w:val="single"/>
                <w:lang w:val="en-US" w:eastAsia="zh-CN"/>
              </w:rPr>
              <w:t xml:space="preserve"> 60 </w:t>
            </w:r>
            <w:r>
              <w:rPr>
                <w:rFonts w:hint="eastAsia" w:ascii="仿宋" w:hAnsi="仿宋" w:eastAsia="仿宋" w:cs="仿宋"/>
                <w:b w:val="0"/>
                <w:bCs w:val="0"/>
                <w:color w:val="auto"/>
                <w:sz w:val="24"/>
                <w:szCs w:val="24"/>
                <w:highlight w:val="none"/>
                <w:lang w:val="en-US" w:eastAsia="zh-CN"/>
              </w:rPr>
              <w:t>日历天（从投标截止之日算起）。在此期限内，凡符合本采购文件要求的投标文件均保持有效。</w:t>
            </w:r>
          </w:p>
        </w:tc>
      </w:tr>
      <w:tr w14:paraId="019C92EA">
        <w:tblPrEx>
          <w:tblCellMar>
            <w:top w:w="0" w:type="dxa"/>
            <w:left w:w="108" w:type="dxa"/>
            <w:bottom w:w="0" w:type="dxa"/>
            <w:right w:w="108" w:type="dxa"/>
          </w:tblCellMar>
        </w:tblPrEx>
        <w:trPr>
          <w:trHeight w:val="638"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33DE8D81">
            <w:pPr>
              <w:spacing w:line="360" w:lineRule="auto"/>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13</w:t>
            </w:r>
          </w:p>
        </w:tc>
        <w:tc>
          <w:tcPr>
            <w:tcW w:w="1407" w:type="dxa"/>
            <w:tcBorders>
              <w:top w:val="single" w:color="auto" w:sz="4" w:space="0"/>
              <w:left w:val="single" w:color="auto" w:sz="4" w:space="0"/>
              <w:bottom w:val="single" w:color="auto" w:sz="4" w:space="0"/>
              <w:right w:val="single" w:color="auto" w:sz="4" w:space="0"/>
            </w:tcBorders>
            <w:vAlign w:val="center"/>
          </w:tcPr>
          <w:p w14:paraId="2A1E1B8B">
            <w:pPr>
              <w:spacing w:line="360" w:lineRule="auto"/>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投标保证金</w:t>
            </w:r>
          </w:p>
        </w:tc>
        <w:tc>
          <w:tcPr>
            <w:tcW w:w="7206" w:type="dxa"/>
            <w:tcBorders>
              <w:top w:val="single" w:color="auto" w:sz="4" w:space="0"/>
              <w:left w:val="single" w:color="auto" w:sz="4" w:space="0"/>
              <w:bottom w:val="single" w:color="auto" w:sz="4" w:space="0"/>
              <w:right w:val="single" w:color="auto" w:sz="4" w:space="0"/>
            </w:tcBorders>
            <w:shd w:val="clear" w:color="auto" w:fill="auto"/>
            <w:vAlign w:val="center"/>
          </w:tcPr>
          <w:p w14:paraId="00D8E579">
            <w:pPr>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投标保证金交纳方式：投标保证金应当以支票、汇票、本票、网上银行支付或者金融机构、担保机构出具的保函等非现金形式交纳。</w:t>
            </w:r>
          </w:p>
          <w:p w14:paraId="2D6FC52B">
            <w:pPr>
              <w:spacing w:line="400" w:lineRule="exact"/>
              <w:rPr>
                <w:rFonts w:ascii="仿宋" w:hAnsi="仿宋" w:eastAsia="仿宋" w:cs="仿宋"/>
                <w:color w:val="auto"/>
                <w:sz w:val="24"/>
                <w:szCs w:val="24"/>
                <w:lang w:val="en-US" w:eastAsia="zh-CN" w:bidi="en-US"/>
              </w:rPr>
            </w:pPr>
            <w:r>
              <w:rPr>
                <w:rFonts w:hint="eastAsia" w:ascii="仿宋" w:hAnsi="仿宋" w:eastAsia="仿宋" w:cs="仿宋"/>
                <w:b w:val="0"/>
                <w:bCs w:val="0"/>
                <w:color w:val="auto"/>
                <w:sz w:val="24"/>
                <w:szCs w:val="24"/>
                <w:highlight w:val="none"/>
              </w:rPr>
              <w:t>投标保证金的金额：</w:t>
            </w:r>
            <w:r>
              <w:rPr>
                <w:rFonts w:hint="eastAsia" w:ascii="仿宋" w:hAnsi="仿宋" w:eastAsia="仿宋" w:cs="仿宋"/>
                <w:b w:val="0"/>
                <w:bCs w:val="0"/>
                <w:color w:val="auto"/>
                <w:sz w:val="24"/>
                <w:szCs w:val="24"/>
                <w:highlight w:val="none"/>
                <w:u w:val="single"/>
                <w:lang w:val="en-US" w:eastAsia="zh-CN"/>
              </w:rPr>
              <w:t>80000</w:t>
            </w:r>
            <w:r>
              <w:rPr>
                <w:rFonts w:hint="eastAsia" w:ascii="仿宋" w:hAnsi="仿宋" w:eastAsia="仿宋" w:cs="仿宋"/>
                <w:b w:val="0"/>
                <w:bCs w:val="0"/>
                <w:color w:val="auto"/>
                <w:sz w:val="24"/>
                <w:szCs w:val="24"/>
                <w:highlight w:val="none"/>
              </w:rPr>
              <w:t>元（</w:t>
            </w:r>
            <w:r>
              <w:rPr>
                <w:rFonts w:hint="eastAsia" w:ascii="仿宋" w:hAnsi="仿宋" w:eastAsia="仿宋" w:cs="仿宋"/>
                <w:b w:val="0"/>
                <w:bCs w:val="0"/>
                <w:color w:val="auto"/>
                <w:sz w:val="24"/>
                <w:szCs w:val="24"/>
                <w:highlight w:val="none"/>
                <w:lang w:val="en-US" w:eastAsia="zh-CN"/>
              </w:rPr>
              <w:t>捌万元整</w:t>
            </w:r>
            <w:r>
              <w:rPr>
                <w:rFonts w:hint="eastAsia" w:ascii="仿宋" w:hAnsi="仿宋" w:eastAsia="仿宋" w:cs="仿宋"/>
                <w:b w:val="0"/>
                <w:bCs w:val="0"/>
                <w:color w:val="auto"/>
                <w:sz w:val="24"/>
                <w:szCs w:val="24"/>
                <w:highlight w:val="none"/>
              </w:rPr>
              <w:t>）</w:t>
            </w:r>
          </w:p>
        </w:tc>
      </w:tr>
      <w:tr w14:paraId="5C6A7D90">
        <w:tblPrEx>
          <w:tblCellMar>
            <w:top w:w="0" w:type="dxa"/>
            <w:left w:w="108" w:type="dxa"/>
            <w:bottom w:w="0" w:type="dxa"/>
            <w:right w:w="108" w:type="dxa"/>
          </w:tblCellMar>
        </w:tblPrEx>
        <w:trPr>
          <w:trHeight w:val="1406"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569969EF">
            <w:pPr>
              <w:spacing w:line="360" w:lineRule="auto"/>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14</w:t>
            </w:r>
          </w:p>
        </w:tc>
        <w:tc>
          <w:tcPr>
            <w:tcW w:w="1407" w:type="dxa"/>
            <w:tcBorders>
              <w:top w:val="single" w:color="auto" w:sz="4" w:space="0"/>
              <w:left w:val="single" w:color="auto" w:sz="4" w:space="0"/>
              <w:bottom w:val="single" w:color="auto" w:sz="4" w:space="0"/>
              <w:right w:val="single" w:color="auto" w:sz="4" w:space="0"/>
            </w:tcBorders>
            <w:vAlign w:val="center"/>
          </w:tcPr>
          <w:p w14:paraId="592D328B">
            <w:pPr>
              <w:spacing w:line="360" w:lineRule="auto"/>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是否允许递交备选  投标方案</w:t>
            </w:r>
          </w:p>
        </w:tc>
        <w:tc>
          <w:tcPr>
            <w:tcW w:w="7206" w:type="dxa"/>
            <w:tcBorders>
              <w:top w:val="single" w:color="auto" w:sz="4" w:space="0"/>
              <w:left w:val="single" w:color="auto" w:sz="4" w:space="0"/>
              <w:bottom w:val="single" w:color="auto" w:sz="4" w:space="0"/>
              <w:right w:val="single" w:color="auto" w:sz="4" w:space="0"/>
            </w:tcBorders>
            <w:shd w:val="clear" w:color="auto" w:fill="auto"/>
            <w:vAlign w:val="center"/>
          </w:tcPr>
          <w:p w14:paraId="13797D3E">
            <w:pPr>
              <w:spacing w:line="400" w:lineRule="exact"/>
              <w:rPr>
                <w:rFonts w:hint="eastAsia" w:ascii="仿宋" w:hAnsi="仿宋" w:eastAsia="仿宋" w:cs="仿宋"/>
                <w:color w:val="auto"/>
                <w:lang w:val="en-US" w:eastAsia="zh-CN"/>
              </w:rPr>
            </w:pPr>
            <w:r>
              <w:rPr>
                <w:rFonts w:hint="eastAsia" w:ascii="仿宋" w:hAnsi="仿宋" w:eastAsia="仿宋" w:cs="仿宋"/>
                <w:color w:val="auto"/>
                <w:lang w:val="en-US" w:eastAsia="zh-CN"/>
              </w:rPr>
              <w:t>1、投标保证金以电汇、网银等转账形式提交的，应在投标截止时间</w:t>
            </w:r>
            <w:r>
              <w:rPr>
                <w:rFonts w:hint="eastAsia" w:ascii="仿宋" w:hAnsi="仿宋" w:eastAsia="仿宋" w:cs="仿宋"/>
                <w:color w:val="auto"/>
                <w:lang w:eastAsia="zh-CN"/>
              </w:rPr>
              <w:t>202</w:t>
            </w:r>
            <w:r>
              <w:rPr>
                <w:rFonts w:hint="eastAsia" w:ascii="仿宋" w:hAnsi="仿宋" w:eastAsia="仿宋" w:cs="仿宋"/>
                <w:color w:val="auto"/>
                <w:lang w:val="en-US" w:eastAsia="zh-CN"/>
              </w:rPr>
              <w:t>6</w:t>
            </w:r>
            <w:r>
              <w:rPr>
                <w:rFonts w:hint="eastAsia" w:ascii="仿宋" w:hAnsi="仿宋" w:eastAsia="仿宋" w:cs="仿宋"/>
                <w:color w:val="auto"/>
                <w:lang w:eastAsia="zh-CN"/>
              </w:rPr>
              <w:t>年</w:t>
            </w:r>
            <w:r>
              <w:rPr>
                <w:rFonts w:hint="eastAsia" w:ascii="仿宋" w:hAnsi="仿宋" w:eastAsia="仿宋" w:cs="仿宋"/>
                <w:color w:val="auto"/>
                <w:lang w:val="en-US" w:eastAsia="zh-CN"/>
              </w:rPr>
              <w:t>11</w:t>
            </w:r>
            <w:r>
              <w:rPr>
                <w:rFonts w:hint="eastAsia" w:ascii="仿宋" w:hAnsi="仿宋" w:eastAsia="仿宋" w:cs="仿宋"/>
                <w:color w:val="auto"/>
                <w:lang w:eastAsia="zh-CN"/>
              </w:rPr>
              <w:t>月</w:t>
            </w:r>
            <w:r>
              <w:rPr>
                <w:rFonts w:hint="eastAsia" w:ascii="仿宋" w:hAnsi="仿宋" w:eastAsia="仿宋" w:cs="仿宋"/>
                <w:color w:val="auto"/>
                <w:lang w:val="en-US" w:eastAsia="zh-CN"/>
              </w:rPr>
              <w:t>5</w:t>
            </w:r>
            <w:r>
              <w:rPr>
                <w:rFonts w:hint="eastAsia" w:ascii="仿宋" w:hAnsi="仿宋" w:eastAsia="仿宋" w:cs="仿宋"/>
                <w:color w:val="auto"/>
                <w:lang w:eastAsia="zh-CN"/>
              </w:rPr>
              <w:t>日</w:t>
            </w:r>
            <w:r>
              <w:rPr>
                <w:rFonts w:hint="eastAsia" w:ascii="仿宋" w:hAnsi="仿宋" w:eastAsia="仿宋" w:cs="仿宋"/>
                <w:color w:val="auto"/>
                <w:lang w:val="en-US" w:eastAsia="zh-CN"/>
              </w:rPr>
              <w:t>10:30(北京时间)前以总公司的基本账户一次性汇入指定账户(以到账时间为准)，不接受现金及任何个人汇款。汇款凭证作为该项目投标保证金的缴纳依据。2、投标保证金以保函等票据形式提交的，金融机构、担保机构出具的票据原件须扫描上传，标书内附有此票据。3、有效投标保证金成功交纳后，截止开标时间，供应商无正当理由不参加该项目投标且不递交弃标函，投标保证金不予退还。</w:t>
            </w:r>
          </w:p>
          <w:p w14:paraId="285D4D7C">
            <w:pPr>
              <w:spacing w:line="400" w:lineRule="exact"/>
              <w:rPr>
                <w:rFonts w:hint="eastAsia" w:ascii="仿宋" w:hAnsi="仿宋" w:eastAsia="仿宋" w:cs="仿宋"/>
                <w:color w:val="auto"/>
                <w:lang w:val="en-US" w:eastAsia="zh-CN"/>
              </w:rPr>
            </w:pPr>
            <w:r>
              <w:rPr>
                <w:rFonts w:hint="eastAsia" w:ascii="仿宋" w:hAnsi="仿宋" w:eastAsia="仿宋" w:cs="仿宋"/>
                <w:color w:val="auto"/>
                <w:lang w:val="en-US" w:eastAsia="zh-CN"/>
              </w:rPr>
              <w:t>户名:阿合奇县公共资源交易中心</w:t>
            </w:r>
          </w:p>
          <w:p w14:paraId="01383325">
            <w:pPr>
              <w:spacing w:line="400" w:lineRule="exact"/>
              <w:rPr>
                <w:rFonts w:hint="eastAsia" w:ascii="仿宋" w:hAnsi="仿宋" w:eastAsia="仿宋" w:cs="仿宋"/>
                <w:color w:val="auto"/>
                <w:lang w:val="en-US" w:eastAsia="zh-CN"/>
              </w:rPr>
            </w:pPr>
            <w:r>
              <w:rPr>
                <w:rFonts w:hint="eastAsia" w:ascii="仿宋" w:hAnsi="仿宋" w:eastAsia="仿宋" w:cs="仿宋"/>
                <w:color w:val="auto"/>
                <w:lang w:val="en-US" w:eastAsia="zh-CN"/>
              </w:rPr>
              <w:t>账号:30473101040008918</w:t>
            </w:r>
          </w:p>
          <w:p w14:paraId="18745A87">
            <w:pPr>
              <w:spacing w:line="400" w:lineRule="exact"/>
              <w:rPr>
                <w:rFonts w:hint="eastAsia" w:ascii="仿宋" w:hAnsi="仿宋" w:eastAsia="仿宋" w:cs="仿宋"/>
                <w:color w:val="auto"/>
                <w:lang w:val="en-US" w:eastAsia="zh-CN"/>
              </w:rPr>
            </w:pPr>
            <w:r>
              <w:rPr>
                <w:rFonts w:hint="eastAsia" w:ascii="仿宋" w:hAnsi="仿宋" w:eastAsia="仿宋" w:cs="仿宋"/>
                <w:color w:val="auto"/>
                <w:lang w:val="en-US" w:eastAsia="zh-CN"/>
              </w:rPr>
              <w:t>行名:中国农业银行股份有限公司阿合奇县支行</w:t>
            </w:r>
          </w:p>
          <w:p w14:paraId="7FF4ECBC">
            <w:pPr>
              <w:spacing w:line="400" w:lineRule="exact"/>
              <w:rPr>
                <w:rFonts w:hint="eastAsia" w:ascii="仿宋" w:hAnsi="仿宋" w:eastAsia="仿宋" w:cs="仿宋"/>
                <w:color w:val="auto"/>
                <w:lang w:val="en-US" w:eastAsia="zh-CN"/>
              </w:rPr>
            </w:pPr>
            <w:r>
              <w:rPr>
                <w:rFonts w:hint="eastAsia" w:ascii="仿宋" w:hAnsi="仿宋" w:eastAsia="仿宋" w:cs="仿宋"/>
                <w:color w:val="auto"/>
                <w:lang w:val="en-US" w:eastAsia="zh-CN"/>
              </w:rPr>
              <w:t>联系人:李女士</w:t>
            </w:r>
          </w:p>
          <w:p w14:paraId="60F41F50">
            <w:pPr>
              <w:spacing w:line="400" w:lineRule="exact"/>
              <w:rPr>
                <w:rFonts w:hint="eastAsia" w:ascii="仿宋" w:hAnsi="仿宋" w:eastAsia="仿宋" w:cs="仿宋"/>
                <w:color w:val="auto"/>
                <w:lang w:val="en-US" w:eastAsia="zh-CN"/>
              </w:rPr>
            </w:pPr>
            <w:r>
              <w:rPr>
                <w:rFonts w:hint="eastAsia" w:ascii="仿宋" w:hAnsi="仿宋" w:eastAsia="仿宋" w:cs="仿宋"/>
                <w:color w:val="auto"/>
                <w:lang w:val="en-US" w:eastAsia="zh-CN"/>
              </w:rPr>
              <w:t>电话:0908-5622028、15699351666</w:t>
            </w:r>
          </w:p>
          <w:p w14:paraId="69C8AD3B">
            <w:pPr>
              <w:spacing w:line="400" w:lineRule="exact"/>
              <w:rPr>
                <w:rFonts w:hint="default" w:ascii="仿宋" w:hAnsi="仿宋" w:eastAsia="仿宋" w:cs="仿宋"/>
                <w:color w:val="auto"/>
                <w:lang w:val="en-US" w:eastAsia="zh-CN"/>
              </w:rPr>
            </w:pPr>
            <w:r>
              <w:rPr>
                <w:rFonts w:hint="eastAsia" w:ascii="仿宋" w:hAnsi="仿宋" w:eastAsia="仿宋" w:cs="仿宋"/>
                <w:color w:val="auto"/>
                <w:lang w:val="en-US" w:eastAsia="zh-CN"/>
              </w:rPr>
              <w:t>（注：请于工作日10:00—14:00、16:00—19:30致电咨询联系，法定节假日及上述时段以外不予受理，敬请知悉。）</w:t>
            </w:r>
          </w:p>
          <w:p w14:paraId="6B17A4D7">
            <w:pPr>
              <w:spacing w:line="400" w:lineRule="exact"/>
              <w:rPr>
                <w:rFonts w:hint="eastAsia" w:ascii="仿宋" w:hAnsi="仿宋" w:eastAsia="仿宋" w:cs="仿宋"/>
                <w:color w:val="auto"/>
                <w:lang w:val="en-US" w:eastAsia="zh-CN"/>
              </w:rPr>
            </w:pPr>
            <w:r>
              <w:rPr>
                <w:rFonts w:hint="eastAsia" w:ascii="仿宋" w:hAnsi="仿宋" w:eastAsia="仿宋" w:cs="仿宋"/>
                <w:color w:val="auto"/>
                <w:lang w:val="en-US" w:eastAsia="zh-CN"/>
              </w:rPr>
              <w:t>(备注 :必须写清楚 xx 公司 xx 项目保证金)</w:t>
            </w:r>
          </w:p>
          <w:p w14:paraId="305D9E38">
            <w:pPr>
              <w:spacing w:line="400" w:lineRule="exact"/>
              <w:rPr>
                <w:rFonts w:hint="eastAsia" w:ascii="仿宋" w:hAnsi="仿宋" w:eastAsia="仿宋" w:cs="仿宋"/>
                <w:color w:val="auto"/>
                <w:lang w:val="en-US" w:eastAsia="zh-CN"/>
              </w:rPr>
            </w:pPr>
            <w:r>
              <w:rPr>
                <w:rFonts w:hint="eastAsia" w:ascii="仿宋" w:hAnsi="仿宋" w:eastAsia="仿宋" w:cs="仿宋"/>
                <w:color w:val="auto"/>
                <w:lang w:val="en-US" w:eastAsia="zh-CN"/>
              </w:rPr>
              <w:t>注 :复印件“必须加盖投标人公章 ”</w:t>
            </w:r>
          </w:p>
          <w:p w14:paraId="0BB978D0">
            <w:pPr>
              <w:spacing w:line="400" w:lineRule="exact"/>
              <w:rPr>
                <w:rFonts w:hint="eastAsia" w:ascii="仿宋" w:hAnsi="仿宋" w:eastAsia="仿宋" w:cs="仿宋"/>
                <w:color w:val="auto"/>
                <w:lang w:val="en-US" w:eastAsia="zh-CN"/>
              </w:rPr>
            </w:pPr>
            <w:r>
              <w:rPr>
                <w:rFonts w:hint="eastAsia" w:ascii="仿宋" w:hAnsi="仿宋" w:eastAsia="仿宋" w:cs="仿宋"/>
                <w:color w:val="auto"/>
                <w:lang w:val="en-US" w:eastAsia="zh-CN"/>
              </w:rPr>
              <w:t>二、申请退还投标保证金资料(招投标结束中标结果公示后):</w:t>
            </w:r>
          </w:p>
          <w:p w14:paraId="6246AC62">
            <w:pPr>
              <w:spacing w:line="400" w:lineRule="exact"/>
              <w:rPr>
                <w:rFonts w:hint="eastAsia" w:ascii="仿宋" w:hAnsi="仿宋" w:eastAsia="仿宋" w:cs="仿宋"/>
                <w:color w:val="auto"/>
                <w:lang w:val="en-US" w:eastAsia="zh-CN"/>
              </w:rPr>
            </w:pPr>
            <w:r>
              <w:rPr>
                <w:rFonts w:hint="eastAsia" w:ascii="仿宋" w:hAnsi="仿宋" w:eastAsia="仿宋" w:cs="仿宋"/>
                <w:color w:val="auto"/>
                <w:lang w:val="en-US" w:eastAsia="zh-CN"/>
              </w:rPr>
              <w:t>1、投标人 :待开标完成后，5个工作日以内公共资源交易中心财务人员将收取的项目投标保证金按投标人基本户退回。</w:t>
            </w:r>
          </w:p>
          <w:p w14:paraId="4ACAF622">
            <w:pPr>
              <w:spacing w:line="400" w:lineRule="exact"/>
              <w:rPr>
                <w:rFonts w:hint="eastAsia" w:ascii="仿宋" w:hAnsi="仿宋" w:eastAsia="仿宋" w:cs="仿宋"/>
                <w:color w:val="auto"/>
                <w:lang w:val="en-US" w:eastAsia="zh-CN"/>
              </w:rPr>
            </w:pPr>
            <w:r>
              <w:rPr>
                <w:rFonts w:hint="eastAsia" w:ascii="仿宋" w:hAnsi="仿宋" w:eastAsia="仿宋" w:cs="仿宋"/>
                <w:color w:val="auto"/>
                <w:lang w:val="en-US" w:eastAsia="zh-CN"/>
              </w:rPr>
              <w:t>2、中标人 :需提供已签订合同复印件一份(并携带合同原件，由中心工作人员核对后退还)。</w:t>
            </w:r>
          </w:p>
          <w:p w14:paraId="43AF707F">
            <w:pPr>
              <w:spacing w:line="400" w:lineRule="exact"/>
              <w:rPr>
                <w:rFonts w:hint="eastAsia" w:ascii="仿宋" w:hAnsi="仿宋" w:eastAsia="仿宋" w:cs="仿宋"/>
                <w:color w:val="auto"/>
                <w:lang w:val="en-US" w:eastAsia="zh-CN"/>
              </w:rPr>
            </w:pPr>
            <w:r>
              <w:rPr>
                <w:rFonts w:hint="eastAsia" w:ascii="仿宋" w:hAnsi="仿宋" w:eastAsia="仿宋" w:cs="仿宋"/>
                <w:color w:val="auto"/>
                <w:lang w:val="en-US" w:eastAsia="zh-CN"/>
              </w:rPr>
              <w:t>三、其他特殊情况处理 :</w:t>
            </w:r>
          </w:p>
          <w:p w14:paraId="5FC1C903">
            <w:pPr>
              <w:spacing w:line="400" w:lineRule="exact"/>
              <w:rPr>
                <w:rFonts w:ascii="仿宋" w:hAnsi="仿宋" w:eastAsia="仿宋" w:cs="仿宋"/>
                <w:color w:val="auto"/>
                <w:sz w:val="24"/>
                <w:szCs w:val="24"/>
                <w:lang w:val="en-US" w:eastAsia="zh-CN" w:bidi="en-US"/>
              </w:rPr>
            </w:pPr>
            <w:r>
              <w:rPr>
                <w:rFonts w:hint="eastAsia" w:ascii="仿宋" w:hAnsi="仿宋" w:eastAsia="仿宋" w:cs="仿宋"/>
                <w:color w:val="auto"/>
                <w:lang w:val="en-US" w:eastAsia="zh-CN"/>
              </w:rPr>
              <w:t xml:space="preserve">按照招标文件要求规定 :投标人无正当理由不参加该项目投标且在规定开标时间前不递交弃标函，投标保证金不予退还。     </w:t>
            </w:r>
          </w:p>
        </w:tc>
      </w:tr>
      <w:tr w14:paraId="341E2772">
        <w:tblPrEx>
          <w:tblCellMar>
            <w:top w:w="0" w:type="dxa"/>
            <w:left w:w="108" w:type="dxa"/>
            <w:bottom w:w="0" w:type="dxa"/>
            <w:right w:w="108" w:type="dxa"/>
          </w:tblCellMar>
        </w:tblPrEx>
        <w:trPr>
          <w:trHeight w:val="670"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0B4F1E0F">
            <w:pPr>
              <w:spacing w:line="360" w:lineRule="auto"/>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15</w:t>
            </w:r>
          </w:p>
        </w:tc>
        <w:tc>
          <w:tcPr>
            <w:tcW w:w="1407" w:type="dxa"/>
            <w:tcBorders>
              <w:top w:val="single" w:color="auto" w:sz="4" w:space="0"/>
              <w:left w:val="single" w:color="auto" w:sz="4" w:space="0"/>
              <w:bottom w:val="single" w:color="auto" w:sz="4" w:space="0"/>
              <w:right w:val="single" w:color="auto" w:sz="4" w:space="0"/>
            </w:tcBorders>
            <w:vAlign w:val="center"/>
          </w:tcPr>
          <w:p w14:paraId="75503398">
            <w:pPr>
              <w:spacing w:line="360" w:lineRule="auto"/>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招标文件领取</w:t>
            </w:r>
          </w:p>
        </w:tc>
        <w:tc>
          <w:tcPr>
            <w:tcW w:w="7206" w:type="dxa"/>
            <w:tcBorders>
              <w:top w:val="single" w:color="auto" w:sz="4" w:space="0"/>
              <w:left w:val="single" w:color="auto" w:sz="4" w:space="0"/>
              <w:bottom w:val="single" w:color="auto" w:sz="4" w:space="0"/>
              <w:right w:val="single" w:color="auto" w:sz="4" w:space="0"/>
            </w:tcBorders>
            <w:vAlign w:val="center"/>
          </w:tcPr>
          <w:p w14:paraId="72DBA325">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u w:val="none"/>
                <w:lang w:eastAsia="zh-CN"/>
              </w:rPr>
              <w:t>时间：</w:t>
            </w:r>
            <w:r>
              <w:rPr>
                <w:rFonts w:hint="eastAsia" w:ascii="仿宋" w:hAnsi="仿宋" w:eastAsia="仿宋" w:cs="仿宋"/>
                <w:color w:val="auto"/>
                <w:u w:val="single"/>
                <w:lang w:eastAsia="zh-CN"/>
              </w:rPr>
              <w:t>2026年</w:t>
            </w:r>
            <w:r>
              <w:rPr>
                <w:rFonts w:hint="eastAsia" w:ascii="仿宋" w:hAnsi="仿宋" w:eastAsia="仿宋" w:cs="仿宋"/>
                <w:color w:val="auto"/>
                <w:u w:val="single"/>
                <w:lang w:val="en-US" w:eastAsia="zh-CN"/>
              </w:rPr>
              <w:t>10</w:t>
            </w:r>
            <w:r>
              <w:rPr>
                <w:rFonts w:hint="eastAsia" w:ascii="仿宋" w:hAnsi="仿宋" w:eastAsia="仿宋" w:cs="仿宋"/>
                <w:color w:val="auto"/>
                <w:u w:val="single"/>
                <w:lang w:eastAsia="zh-CN"/>
              </w:rPr>
              <w:t>月16日至2026年</w:t>
            </w:r>
            <w:r>
              <w:rPr>
                <w:rFonts w:hint="eastAsia" w:ascii="仿宋" w:hAnsi="仿宋" w:eastAsia="仿宋" w:cs="仿宋"/>
                <w:color w:val="auto"/>
                <w:u w:val="single"/>
                <w:lang w:val="en-US" w:eastAsia="zh-CN"/>
              </w:rPr>
              <w:t>10</w:t>
            </w:r>
            <w:r>
              <w:rPr>
                <w:rFonts w:hint="eastAsia" w:ascii="仿宋" w:hAnsi="仿宋" w:eastAsia="仿宋" w:cs="仿宋"/>
                <w:color w:val="auto"/>
                <w:u w:val="single"/>
                <w:lang w:eastAsia="zh-CN"/>
              </w:rPr>
              <w:t>月</w:t>
            </w:r>
            <w:r>
              <w:rPr>
                <w:rFonts w:hint="eastAsia" w:ascii="仿宋" w:hAnsi="仿宋" w:eastAsia="仿宋" w:cs="仿宋"/>
                <w:color w:val="auto"/>
                <w:u w:val="single"/>
                <w:lang w:val="en-US" w:eastAsia="zh-CN"/>
              </w:rPr>
              <w:t>26</w:t>
            </w:r>
            <w:r>
              <w:rPr>
                <w:rFonts w:hint="eastAsia" w:ascii="仿宋" w:hAnsi="仿宋" w:eastAsia="仿宋" w:cs="仿宋"/>
                <w:color w:val="auto"/>
                <w:u w:val="single"/>
                <w:lang w:eastAsia="zh-CN"/>
              </w:rPr>
              <w:t>日</w:t>
            </w:r>
            <w:r>
              <w:rPr>
                <w:rFonts w:hint="eastAsia" w:ascii="仿宋" w:hAnsi="仿宋" w:eastAsia="仿宋" w:cs="仿宋"/>
                <w:color w:val="auto"/>
                <w:highlight w:val="none"/>
                <w:lang w:eastAsia="zh-CN"/>
              </w:rPr>
              <w:t>，每天上午10:00至1</w:t>
            </w:r>
            <w:r>
              <w:rPr>
                <w:rFonts w:hint="eastAsia" w:ascii="仿宋" w:hAnsi="仿宋" w:eastAsia="仿宋" w:cs="仿宋"/>
                <w:color w:val="auto"/>
                <w:highlight w:val="none"/>
                <w:lang w:val="en-US" w:eastAsia="zh-CN"/>
              </w:rPr>
              <w:t>4</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0</w:t>
            </w:r>
            <w:r>
              <w:rPr>
                <w:rFonts w:hint="eastAsia" w:ascii="仿宋" w:hAnsi="仿宋" w:eastAsia="仿宋" w:cs="仿宋"/>
                <w:color w:val="auto"/>
                <w:highlight w:val="none"/>
                <w:lang w:eastAsia="zh-CN"/>
              </w:rPr>
              <w:t>0，下午16:</w:t>
            </w:r>
            <w:r>
              <w:rPr>
                <w:rFonts w:hint="eastAsia" w:ascii="仿宋" w:hAnsi="仿宋" w:eastAsia="仿宋" w:cs="仿宋"/>
                <w:color w:val="auto"/>
                <w:highlight w:val="none"/>
                <w:lang w:val="en-US" w:eastAsia="zh-CN"/>
              </w:rPr>
              <w:t>0</w:t>
            </w:r>
            <w:r>
              <w:rPr>
                <w:rFonts w:hint="eastAsia" w:ascii="仿宋" w:hAnsi="仿宋" w:eastAsia="仿宋" w:cs="仿宋"/>
                <w:color w:val="auto"/>
                <w:highlight w:val="none"/>
                <w:lang w:eastAsia="zh-CN"/>
              </w:rPr>
              <w:t>0至</w:t>
            </w:r>
            <w:r>
              <w:rPr>
                <w:rFonts w:hint="eastAsia" w:ascii="仿宋" w:hAnsi="仿宋" w:eastAsia="仿宋" w:cs="仿宋"/>
                <w:color w:val="auto"/>
                <w:highlight w:val="none"/>
                <w:lang w:val="en-US" w:eastAsia="zh-CN"/>
              </w:rPr>
              <w:t>19：30</w:t>
            </w:r>
            <w:r>
              <w:rPr>
                <w:rFonts w:hint="eastAsia" w:ascii="仿宋" w:hAnsi="仿宋" w:eastAsia="仿宋" w:cs="仿宋"/>
                <w:color w:val="auto"/>
                <w:highlight w:val="none"/>
                <w:lang w:eastAsia="zh-CN"/>
              </w:rPr>
              <w:t>（北京时间，节假日除外）</w:t>
            </w:r>
          </w:p>
          <w:p w14:paraId="792D6866">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highlight w:val="none"/>
                <w:lang w:eastAsia="zh-CN"/>
              </w:rPr>
              <w:t>地点：</w:t>
            </w:r>
            <w:r>
              <w:rPr>
                <w:rFonts w:hint="eastAsia" w:ascii="仿宋" w:hAnsi="仿宋" w:eastAsia="仿宋" w:cs="仿宋"/>
                <w:color w:val="auto"/>
                <w:sz w:val="24"/>
                <w:szCs w:val="24"/>
                <w:highlight w:val="none"/>
                <w:lang w:eastAsia="zh-CN"/>
              </w:rPr>
              <w:t>政采云平台线上</w:t>
            </w:r>
          </w:p>
          <w:p w14:paraId="1B5F3979">
            <w:pPr>
              <w:spacing w:line="360" w:lineRule="auto"/>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方式：供应商登录政采云平台https://www.zcygov.cn/在线申请获取采购文件（进入“项目采购”应用，在获取采购文件菜单中选择项目，申请获取采购文件）</w:t>
            </w:r>
          </w:p>
          <w:p w14:paraId="48C2E7C4">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供应商获取招标文件前应注册成为政府采购云平台正式供应商。</w:t>
            </w:r>
          </w:p>
        </w:tc>
      </w:tr>
      <w:tr w14:paraId="43318863">
        <w:tblPrEx>
          <w:tblCellMar>
            <w:top w:w="0" w:type="dxa"/>
            <w:left w:w="108" w:type="dxa"/>
            <w:bottom w:w="0" w:type="dxa"/>
            <w:right w:w="108" w:type="dxa"/>
          </w:tblCellMar>
        </w:tblPrEx>
        <w:trPr>
          <w:trHeight w:val="846"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065D3559">
            <w:pPr>
              <w:spacing w:line="360" w:lineRule="auto"/>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16</w:t>
            </w:r>
          </w:p>
        </w:tc>
        <w:tc>
          <w:tcPr>
            <w:tcW w:w="1407" w:type="dxa"/>
            <w:tcBorders>
              <w:top w:val="single" w:color="auto" w:sz="4" w:space="0"/>
              <w:left w:val="single" w:color="auto" w:sz="4" w:space="0"/>
              <w:bottom w:val="single" w:color="auto" w:sz="4" w:space="0"/>
              <w:right w:val="single" w:color="auto" w:sz="4" w:space="0"/>
            </w:tcBorders>
            <w:vAlign w:val="center"/>
          </w:tcPr>
          <w:p w14:paraId="0539B544">
            <w:pPr>
              <w:spacing w:line="360" w:lineRule="auto"/>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投标文件形式</w:t>
            </w:r>
          </w:p>
        </w:tc>
        <w:tc>
          <w:tcPr>
            <w:tcW w:w="7206" w:type="dxa"/>
            <w:tcBorders>
              <w:top w:val="single" w:color="auto" w:sz="4" w:space="0"/>
              <w:left w:val="single" w:color="auto" w:sz="4" w:space="0"/>
              <w:bottom w:val="single" w:color="auto" w:sz="4" w:space="0"/>
              <w:right w:val="single" w:color="auto" w:sz="4" w:space="0"/>
            </w:tcBorders>
            <w:vAlign w:val="center"/>
          </w:tcPr>
          <w:p w14:paraId="2EFDAF01">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电子投标文件包括“电子加密投标文件”和“备份投标文件”，在投标文件编制完成后同时生成。</w:t>
            </w:r>
          </w:p>
          <w:p w14:paraId="3F87D56E">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1、“电子加密投标文件”是指通过“政采云电子交易客户端”完成投标文件编制后生成并加密的数据电文形式的投标文件。</w:t>
            </w:r>
          </w:p>
          <w:p w14:paraId="21EB1F81">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2、“备份投标文件”是指与“电子加密投标文件”同时生成的数据电文形式的电子文件（备份标书，用于供应商标书解密异常时应急使用），其他方式编制的备份投标文件视为无效备份投标文件。</w:t>
            </w:r>
          </w:p>
        </w:tc>
      </w:tr>
      <w:tr w14:paraId="48E7CE48">
        <w:tblPrEx>
          <w:tblCellMar>
            <w:top w:w="0" w:type="dxa"/>
            <w:left w:w="108" w:type="dxa"/>
            <w:bottom w:w="0" w:type="dxa"/>
            <w:right w:w="108" w:type="dxa"/>
          </w:tblCellMar>
        </w:tblPrEx>
        <w:trPr>
          <w:trHeight w:val="731"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4BD7E1AD">
            <w:pPr>
              <w:spacing w:line="360" w:lineRule="auto"/>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17</w:t>
            </w:r>
          </w:p>
        </w:tc>
        <w:tc>
          <w:tcPr>
            <w:tcW w:w="1407" w:type="dxa"/>
            <w:tcBorders>
              <w:top w:val="single" w:color="auto" w:sz="4" w:space="0"/>
              <w:left w:val="single" w:color="auto" w:sz="4" w:space="0"/>
              <w:bottom w:val="single" w:color="auto" w:sz="4" w:space="0"/>
              <w:right w:val="single" w:color="auto" w:sz="4" w:space="0"/>
            </w:tcBorders>
            <w:vAlign w:val="center"/>
          </w:tcPr>
          <w:p w14:paraId="037D7EF0">
            <w:pPr>
              <w:spacing w:line="360" w:lineRule="auto"/>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投标文件要求</w:t>
            </w:r>
          </w:p>
        </w:tc>
        <w:tc>
          <w:tcPr>
            <w:tcW w:w="7206" w:type="dxa"/>
            <w:tcBorders>
              <w:top w:val="single" w:color="auto" w:sz="4" w:space="0"/>
              <w:left w:val="single" w:color="auto" w:sz="4" w:space="0"/>
              <w:bottom w:val="single" w:color="auto" w:sz="4" w:space="0"/>
              <w:right w:val="single" w:color="auto" w:sz="4" w:space="0"/>
            </w:tcBorders>
            <w:vAlign w:val="center"/>
          </w:tcPr>
          <w:p w14:paraId="386D4059">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1、一份电子加密标书（“.jmbs”格式），一份备份标书文件（“.bfbs”格式）。</w:t>
            </w:r>
          </w:p>
          <w:p w14:paraId="02852FE1">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2、每份电子投标文件应包括资格证明文件和商务及技术文件两部分。</w:t>
            </w:r>
          </w:p>
        </w:tc>
      </w:tr>
      <w:tr w14:paraId="1FA0DCEA">
        <w:tblPrEx>
          <w:tblCellMar>
            <w:top w:w="0" w:type="dxa"/>
            <w:left w:w="108" w:type="dxa"/>
            <w:bottom w:w="0" w:type="dxa"/>
            <w:right w:w="108" w:type="dxa"/>
          </w:tblCellMar>
        </w:tblPrEx>
        <w:trPr>
          <w:trHeight w:val="464" w:hRule="atLeast"/>
          <w:jc w:val="center"/>
        </w:trPr>
        <w:tc>
          <w:tcPr>
            <w:tcW w:w="558" w:type="dxa"/>
            <w:vMerge w:val="restart"/>
            <w:tcBorders>
              <w:top w:val="single" w:color="auto" w:sz="4" w:space="0"/>
              <w:left w:val="single" w:color="auto" w:sz="4" w:space="0"/>
              <w:right w:val="single" w:color="auto" w:sz="4" w:space="0"/>
            </w:tcBorders>
            <w:vAlign w:val="center"/>
          </w:tcPr>
          <w:p w14:paraId="12653480">
            <w:pPr>
              <w:spacing w:line="360" w:lineRule="auto"/>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18</w:t>
            </w:r>
          </w:p>
        </w:tc>
        <w:tc>
          <w:tcPr>
            <w:tcW w:w="1407" w:type="dxa"/>
            <w:vMerge w:val="restart"/>
            <w:tcBorders>
              <w:top w:val="single" w:color="auto" w:sz="4" w:space="0"/>
              <w:left w:val="single" w:color="auto" w:sz="4" w:space="0"/>
              <w:right w:val="single" w:color="auto" w:sz="4" w:space="0"/>
            </w:tcBorders>
            <w:vAlign w:val="center"/>
          </w:tcPr>
          <w:p w14:paraId="1EB902A3">
            <w:pPr>
              <w:spacing w:line="360" w:lineRule="auto"/>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投标文件的上传和递交</w:t>
            </w:r>
          </w:p>
        </w:tc>
        <w:tc>
          <w:tcPr>
            <w:tcW w:w="7206" w:type="dxa"/>
            <w:tcBorders>
              <w:top w:val="single" w:color="auto" w:sz="4" w:space="0"/>
              <w:left w:val="single" w:color="auto" w:sz="4" w:space="0"/>
              <w:bottom w:val="single" w:color="auto" w:sz="4" w:space="0"/>
              <w:right w:val="single" w:color="auto" w:sz="4" w:space="0"/>
            </w:tcBorders>
            <w:vAlign w:val="center"/>
          </w:tcPr>
          <w:p w14:paraId="1DD01342">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1.电子加密投标文件：投标文件制作完成并生成加密标书，在投标截止时间前，供应商需将加密的投标文件上传至政采云平台，在开标时间开始后，待采购组织机构发出解密通知后30分钟内解密投标文件。</w:t>
            </w:r>
          </w:p>
          <w:p w14:paraId="08826172">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a.供应商未能在投标截止时间前成功上传电子加密投标文件的投标无效。</w:t>
            </w:r>
          </w:p>
          <w:p w14:paraId="47C83F86">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b.供应商成功上传电子加密投标文件后，可自行打印投标文件接收回执。</w:t>
            </w:r>
          </w:p>
        </w:tc>
      </w:tr>
      <w:tr w14:paraId="2195EEF1">
        <w:tblPrEx>
          <w:tblCellMar>
            <w:top w:w="0" w:type="dxa"/>
            <w:left w:w="108" w:type="dxa"/>
            <w:bottom w:w="0" w:type="dxa"/>
            <w:right w:w="108" w:type="dxa"/>
          </w:tblCellMar>
        </w:tblPrEx>
        <w:trPr>
          <w:trHeight w:val="731" w:hRule="atLeast"/>
          <w:jc w:val="center"/>
        </w:trPr>
        <w:tc>
          <w:tcPr>
            <w:tcW w:w="558" w:type="dxa"/>
            <w:vMerge w:val="continue"/>
            <w:tcBorders>
              <w:left w:val="single" w:color="auto" w:sz="4" w:space="0"/>
              <w:bottom w:val="single" w:color="auto" w:sz="4" w:space="0"/>
              <w:right w:val="single" w:color="auto" w:sz="4" w:space="0"/>
            </w:tcBorders>
            <w:vAlign w:val="center"/>
          </w:tcPr>
          <w:p w14:paraId="48AAE005">
            <w:pPr>
              <w:spacing w:line="360" w:lineRule="auto"/>
              <w:jc w:val="center"/>
              <w:rPr>
                <w:rFonts w:ascii="仿宋" w:hAnsi="仿宋" w:eastAsia="仿宋" w:cs="仿宋"/>
                <w:color w:val="auto"/>
                <w:highlight w:val="none"/>
                <w:lang w:eastAsia="zh-CN"/>
              </w:rPr>
            </w:pPr>
          </w:p>
        </w:tc>
        <w:tc>
          <w:tcPr>
            <w:tcW w:w="1407" w:type="dxa"/>
            <w:vMerge w:val="continue"/>
            <w:tcBorders>
              <w:left w:val="single" w:color="auto" w:sz="4" w:space="0"/>
              <w:bottom w:val="single" w:color="auto" w:sz="4" w:space="0"/>
              <w:right w:val="single" w:color="auto" w:sz="4" w:space="0"/>
            </w:tcBorders>
            <w:vAlign w:val="center"/>
          </w:tcPr>
          <w:p w14:paraId="5D484B8C">
            <w:pPr>
              <w:spacing w:line="360" w:lineRule="auto"/>
              <w:rPr>
                <w:rFonts w:ascii="仿宋" w:hAnsi="仿宋" w:eastAsia="仿宋" w:cs="仿宋"/>
                <w:color w:val="auto"/>
                <w:highlight w:val="none"/>
                <w:lang w:eastAsia="zh-CN"/>
              </w:rPr>
            </w:pPr>
          </w:p>
        </w:tc>
        <w:tc>
          <w:tcPr>
            <w:tcW w:w="7206" w:type="dxa"/>
            <w:tcBorders>
              <w:top w:val="single" w:color="auto" w:sz="4" w:space="0"/>
              <w:left w:val="single" w:color="auto" w:sz="4" w:space="0"/>
              <w:bottom w:val="single" w:color="auto" w:sz="4" w:space="0"/>
              <w:right w:val="single" w:color="auto" w:sz="4" w:space="0"/>
            </w:tcBorders>
            <w:vAlign w:val="center"/>
          </w:tcPr>
          <w:p w14:paraId="1B38D898">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2.备份投标文件：供应商在投标截止时间前将加密的投标文件上传至政府采购云平台，还可以在投标截止时间前以电子邮件方式提供备份投标文件1份（接收人邮箱：</w:t>
            </w:r>
            <w:r>
              <w:rPr>
                <w:rFonts w:hint="eastAsia" w:ascii="仿宋" w:hAnsi="仿宋" w:eastAsia="仿宋" w:cs="仿宋"/>
                <w:color w:val="auto"/>
                <w:highlight w:val="none"/>
                <w:lang w:val="en-US" w:eastAsia="zh-CN"/>
              </w:rPr>
              <w:t>3209334806@qq.com</w:t>
            </w:r>
            <w:r>
              <w:rPr>
                <w:rFonts w:hint="eastAsia" w:ascii="仿宋" w:hAnsi="仿宋" w:eastAsia="仿宋" w:cs="仿宋"/>
                <w:color w:val="auto"/>
                <w:highlight w:val="none"/>
                <w:lang w:eastAsia="zh-CN"/>
              </w:rPr>
              <w:t>，接收人：</w:t>
            </w:r>
            <w:r>
              <w:rPr>
                <w:rFonts w:hint="eastAsia" w:ascii="仿宋" w:hAnsi="仿宋" w:eastAsia="仿宋" w:cs="仿宋"/>
                <w:color w:val="auto"/>
                <w:highlight w:val="none"/>
                <w:lang w:val="en-US" w:eastAsia="zh-CN"/>
              </w:rPr>
              <w:t>程先生</w:t>
            </w:r>
            <w:r>
              <w:rPr>
                <w:rFonts w:hint="eastAsia" w:ascii="仿宋" w:hAnsi="仿宋" w:eastAsia="仿宋" w:cs="仿宋"/>
                <w:color w:val="auto"/>
                <w:highlight w:val="none"/>
                <w:lang w:eastAsia="zh-CN"/>
              </w:rPr>
              <w:t>，电话：</w:t>
            </w:r>
            <w:r>
              <w:rPr>
                <w:rFonts w:hint="eastAsia" w:ascii="仿宋" w:hAnsi="仿宋" w:eastAsia="仿宋" w:cs="仿宋"/>
                <w:color w:val="auto"/>
                <w:highlight w:val="none"/>
                <w:lang w:val="en-US" w:eastAsia="zh-CN"/>
              </w:rPr>
              <w:t>18199719889</w:t>
            </w:r>
            <w:r>
              <w:rPr>
                <w:rFonts w:hint="eastAsia" w:ascii="仿宋" w:hAnsi="仿宋" w:eastAsia="仿宋" w:cs="仿宋"/>
                <w:color w:val="auto"/>
                <w:highlight w:val="none"/>
                <w:lang w:eastAsia="zh-CN"/>
              </w:rPr>
              <w:t>），“备份投标文件”由供应商自愿提供，招标文件不作强制性要求；如不提供或未按要求提供的，当电子投标文件无法解密时，将导致无备份投标文件而失去投标资格。</w:t>
            </w:r>
          </w:p>
          <w:p w14:paraId="30A7FA16">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a.备份投标文件提供要求：供应商可以将备份投标文件打包压缩并加密，压缩包命名为“XX单位备份投标文件”，加密密码由供应商自行保管；送达时间以采购代理机构实际接收时间为准。“备份投标文件”逾期或未按要求提供的视为未提供，建议供应商提前1日办理邮件提供事宜。</w:t>
            </w:r>
          </w:p>
          <w:p w14:paraId="7027A4F4">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b.通过“政府采购云平台”成功上传递交的“电子加密投标文件”已按时解密的，“备份投标文件”自动失效。投标截止时间前，投标供应商仅提供了“备份投标文件”而未将“电子加密投标文件”成功上传至“政府采购云平台”的，投标无效。</w:t>
            </w:r>
          </w:p>
        </w:tc>
      </w:tr>
      <w:tr w14:paraId="73B5AE2C">
        <w:tblPrEx>
          <w:tblCellMar>
            <w:top w:w="0" w:type="dxa"/>
            <w:left w:w="108" w:type="dxa"/>
            <w:bottom w:w="0" w:type="dxa"/>
            <w:right w:w="108" w:type="dxa"/>
          </w:tblCellMar>
        </w:tblPrEx>
        <w:trPr>
          <w:trHeight w:val="823"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5A6F1E22">
            <w:pPr>
              <w:spacing w:line="360" w:lineRule="auto"/>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19</w:t>
            </w:r>
          </w:p>
        </w:tc>
        <w:tc>
          <w:tcPr>
            <w:tcW w:w="1407" w:type="dxa"/>
            <w:tcBorders>
              <w:top w:val="single" w:color="auto" w:sz="4" w:space="0"/>
              <w:left w:val="single" w:color="auto" w:sz="4" w:space="0"/>
              <w:bottom w:val="single" w:color="auto" w:sz="4" w:space="0"/>
              <w:right w:val="single" w:color="auto" w:sz="4" w:space="0"/>
            </w:tcBorders>
            <w:vAlign w:val="center"/>
          </w:tcPr>
          <w:p w14:paraId="576C6109">
            <w:pPr>
              <w:spacing w:line="360" w:lineRule="auto"/>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评标委员会的组建</w:t>
            </w:r>
          </w:p>
        </w:tc>
        <w:tc>
          <w:tcPr>
            <w:tcW w:w="7206" w:type="dxa"/>
            <w:tcBorders>
              <w:top w:val="single" w:color="auto" w:sz="4" w:space="0"/>
              <w:left w:val="single" w:color="auto" w:sz="4" w:space="0"/>
              <w:bottom w:val="single" w:color="auto" w:sz="4" w:space="0"/>
              <w:right w:val="single" w:color="auto" w:sz="4" w:space="0"/>
            </w:tcBorders>
            <w:vAlign w:val="center"/>
          </w:tcPr>
          <w:p w14:paraId="317FD7BA">
            <w:pPr>
              <w:spacing w:line="360" w:lineRule="auto"/>
              <w:rPr>
                <w:rFonts w:ascii="仿宋" w:hAnsi="仿宋" w:eastAsia="仿宋" w:cs="仿宋"/>
                <w:color w:val="auto"/>
                <w:highlight w:val="none"/>
                <w:lang w:val="zh-CN" w:eastAsia="zh-CN"/>
              </w:rPr>
            </w:pPr>
            <w:r>
              <w:rPr>
                <w:rFonts w:hint="eastAsia" w:ascii="仿宋" w:hAnsi="仿宋" w:eastAsia="仿宋" w:cs="仿宋"/>
                <w:color w:val="auto"/>
                <w:highlight w:val="none"/>
                <w:lang w:val="zh-CN" w:eastAsia="zh-CN"/>
              </w:rPr>
              <w:t>评标委员会由招标人依法组建；采购人代表1人，评审专家</w:t>
            </w:r>
            <w:r>
              <w:rPr>
                <w:rFonts w:hint="eastAsia" w:ascii="仿宋" w:hAnsi="仿宋" w:eastAsia="仿宋" w:cs="仿宋"/>
                <w:color w:val="auto"/>
                <w:highlight w:val="none"/>
                <w:lang w:val="en-US" w:eastAsia="zh-CN"/>
              </w:rPr>
              <w:t>4</w:t>
            </w:r>
            <w:r>
              <w:rPr>
                <w:rFonts w:hint="eastAsia" w:ascii="仿宋" w:hAnsi="仿宋" w:eastAsia="仿宋" w:cs="仿宋"/>
                <w:color w:val="auto"/>
                <w:highlight w:val="none"/>
                <w:lang w:val="zh-CN" w:eastAsia="zh-CN"/>
              </w:rPr>
              <w:t>人，共</w:t>
            </w:r>
            <w:r>
              <w:rPr>
                <w:rFonts w:hint="eastAsia" w:ascii="仿宋" w:hAnsi="仿宋" w:eastAsia="仿宋" w:cs="仿宋"/>
                <w:color w:val="auto"/>
                <w:highlight w:val="none"/>
                <w:lang w:val="en-US" w:eastAsia="zh-CN"/>
              </w:rPr>
              <w:t>5</w:t>
            </w:r>
            <w:r>
              <w:rPr>
                <w:rFonts w:hint="eastAsia" w:ascii="仿宋" w:hAnsi="仿宋" w:eastAsia="仿宋" w:cs="仿宋"/>
                <w:color w:val="auto"/>
                <w:highlight w:val="none"/>
                <w:lang w:val="zh-CN" w:eastAsia="zh-CN"/>
              </w:rPr>
              <w:t>人。</w:t>
            </w:r>
          </w:p>
          <w:p w14:paraId="5F11DF85">
            <w:pPr>
              <w:spacing w:line="360" w:lineRule="auto"/>
              <w:rPr>
                <w:rFonts w:ascii="仿宋" w:hAnsi="仿宋" w:eastAsia="仿宋" w:cs="仿宋"/>
                <w:color w:val="auto"/>
                <w:highlight w:val="none"/>
                <w:lang w:val="zh-CN" w:eastAsia="zh-CN"/>
              </w:rPr>
            </w:pPr>
            <w:r>
              <w:rPr>
                <w:rFonts w:hint="eastAsia" w:ascii="仿宋" w:hAnsi="仿宋" w:eastAsia="仿宋" w:cs="仿宋"/>
                <w:color w:val="auto"/>
                <w:highlight w:val="none"/>
                <w:lang w:val="zh-CN" w:eastAsia="zh-CN"/>
              </w:rPr>
              <w:t>评标专家确定方式：评标委员会由招标人在开标前从政采云专家库中随机抽取</w:t>
            </w:r>
          </w:p>
        </w:tc>
      </w:tr>
      <w:tr w14:paraId="1FEDDC9C">
        <w:tblPrEx>
          <w:tblCellMar>
            <w:top w:w="0" w:type="dxa"/>
            <w:left w:w="108" w:type="dxa"/>
            <w:bottom w:w="0" w:type="dxa"/>
            <w:right w:w="108" w:type="dxa"/>
          </w:tblCellMar>
        </w:tblPrEx>
        <w:trPr>
          <w:trHeight w:val="1304"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7DEA96A7">
            <w:pPr>
              <w:spacing w:line="360" w:lineRule="auto"/>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20</w:t>
            </w:r>
          </w:p>
        </w:tc>
        <w:tc>
          <w:tcPr>
            <w:tcW w:w="1407" w:type="dxa"/>
            <w:tcBorders>
              <w:top w:val="single" w:color="auto" w:sz="4" w:space="0"/>
              <w:left w:val="single" w:color="auto" w:sz="4" w:space="0"/>
              <w:bottom w:val="single" w:color="auto" w:sz="4" w:space="0"/>
              <w:right w:val="single" w:color="auto" w:sz="4" w:space="0"/>
            </w:tcBorders>
            <w:vAlign w:val="center"/>
          </w:tcPr>
          <w:p w14:paraId="57CF5B97">
            <w:pPr>
              <w:spacing w:line="360" w:lineRule="auto"/>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是否授权评标委员会确定中标候选人</w:t>
            </w:r>
          </w:p>
        </w:tc>
        <w:tc>
          <w:tcPr>
            <w:tcW w:w="7206" w:type="dxa"/>
            <w:tcBorders>
              <w:top w:val="single" w:color="auto" w:sz="4" w:space="0"/>
              <w:left w:val="single" w:color="auto" w:sz="4" w:space="0"/>
              <w:bottom w:val="single" w:color="auto" w:sz="4" w:space="0"/>
              <w:right w:val="single" w:color="auto" w:sz="4" w:space="0"/>
            </w:tcBorders>
            <w:vAlign w:val="center"/>
          </w:tcPr>
          <w:p w14:paraId="28CB96C3">
            <w:pPr>
              <w:spacing w:line="360" w:lineRule="auto"/>
              <w:rPr>
                <w:rFonts w:ascii="仿宋" w:hAnsi="仿宋" w:eastAsia="仿宋" w:cs="仿宋"/>
                <w:color w:val="auto"/>
                <w:highlight w:val="none"/>
                <w:lang w:val="zh-CN" w:eastAsia="zh-CN"/>
              </w:rPr>
            </w:pPr>
            <w:r>
              <w:rPr>
                <w:rFonts w:hint="eastAsia" w:ascii="仿宋" w:hAnsi="仿宋" w:eastAsia="仿宋" w:cs="仿宋"/>
                <w:color w:val="auto"/>
                <w:highlight w:val="none"/>
                <w:lang w:eastAsia="zh-CN"/>
              </w:rPr>
              <w:t>是</w:t>
            </w:r>
          </w:p>
        </w:tc>
      </w:tr>
      <w:tr w14:paraId="32AC421D">
        <w:tblPrEx>
          <w:tblCellMar>
            <w:top w:w="0" w:type="dxa"/>
            <w:left w:w="108" w:type="dxa"/>
            <w:bottom w:w="0" w:type="dxa"/>
            <w:right w:w="108" w:type="dxa"/>
          </w:tblCellMar>
        </w:tblPrEx>
        <w:trPr>
          <w:trHeight w:val="866"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592345DE">
            <w:pPr>
              <w:spacing w:line="360" w:lineRule="auto"/>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21</w:t>
            </w:r>
          </w:p>
        </w:tc>
        <w:tc>
          <w:tcPr>
            <w:tcW w:w="1407" w:type="dxa"/>
            <w:tcBorders>
              <w:top w:val="single" w:color="auto" w:sz="4" w:space="0"/>
              <w:left w:val="single" w:color="auto" w:sz="4" w:space="0"/>
              <w:bottom w:val="single" w:color="auto" w:sz="4" w:space="0"/>
              <w:right w:val="single" w:color="auto" w:sz="4" w:space="0"/>
            </w:tcBorders>
            <w:vAlign w:val="center"/>
          </w:tcPr>
          <w:p w14:paraId="1ADFAF7B">
            <w:pPr>
              <w:spacing w:line="360" w:lineRule="auto"/>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递交投标文件地点</w:t>
            </w:r>
          </w:p>
        </w:tc>
        <w:tc>
          <w:tcPr>
            <w:tcW w:w="7206" w:type="dxa"/>
            <w:tcBorders>
              <w:top w:val="single" w:color="auto" w:sz="4" w:space="0"/>
              <w:left w:val="single" w:color="auto" w:sz="4" w:space="0"/>
              <w:bottom w:val="single" w:color="auto" w:sz="4" w:space="0"/>
              <w:right w:val="single" w:color="auto" w:sz="4" w:space="0"/>
            </w:tcBorders>
            <w:vAlign w:val="center"/>
          </w:tcPr>
          <w:p w14:paraId="1700BF2A">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投标截止时间：</w:t>
            </w:r>
            <w:r>
              <w:rPr>
                <w:rFonts w:hint="eastAsia" w:ascii="仿宋" w:hAnsi="仿宋" w:eastAsia="仿宋" w:cs="仿宋"/>
                <w:color w:val="auto"/>
                <w:u w:val="single"/>
                <w:lang w:eastAsia="zh-CN"/>
              </w:rPr>
              <w:t>202</w:t>
            </w:r>
            <w:r>
              <w:rPr>
                <w:rFonts w:hint="eastAsia" w:ascii="仿宋" w:hAnsi="仿宋" w:eastAsia="仿宋" w:cs="仿宋"/>
                <w:color w:val="auto"/>
                <w:u w:val="single"/>
                <w:lang w:val="en-US" w:eastAsia="zh-CN"/>
              </w:rPr>
              <w:t>6</w:t>
            </w:r>
            <w:r>
              <w:rPr>
                <w:rFonts w:hint="eastAsia" w:ascii="仿宋" w:hAnsi="仿宋" w:eastAsia="仿宋" w:cs="仿宋"/>
                <w:color w:val="auto"/>
                <w:u w:val="single"/>
                <w:lang w:eastAsia="zh-CN"/>
              </w:rPr>
              <w:t>年</w:t>
            </w:r>
            <w:r>
              <w:rPr>
                <w:rFonts w:hint="eastAsia" w:ascii="仿宋" w:hAnsi="仿宋" w:eastAsia="仿宋" w:cs="仿宋"/>
                <w:color w:val="auto"/>
                <w:u w:val="single"/>
                <w:lang w:val="en-US" w:eastAsia="zh-CN"/>
              </w:rPr>
              <w:t>11</w:t>
            </w:r>
            <w:r>
              <w:rPr>
                <w:rFonts w:hint="eastAsia" w:ascii="仿宋" w:hAnsi="仿宋" w:eastAsia="仿宋" w:cs="仿宋"/>
                <w:color w:val="auto"/>
                <w:u w:val="single"/>
                <w:lang w:eastAsia="zh-CN"/>
              </w:rPr>
              <w:t>月</w:t>
            </w:r>
            <w:r>
              <w:rPr>
                <w:rFonts w:hint="eastAsia" w:ascii="仿宋" w:hAnsi="仿宋" w:eastAsia="仿宋" w:cs="仿宋"/>
                <w:color w:val="auto"/>
                <w:u w:val="single"/>
                <w:lang w:val="en-US" w:eastAsia="zh-CN"/>
              </w:rPr>
              <w:t>5</w:t>
            </w:r>
            <w:r>
              <w:rPr>
                <w:rFonts w:hint="eastAsia" w:ascii="仿宋" w:hAnsi="仿宋" w:eastAsia="仿宋" w:cs="仿宋"/>
                <w:color w:val="auto"/>
                <w:u w:val="single"/>
                <w:lang w:eastAsia="zh-CN"/>
              </w:rPr>
              <w:t>日</w:t>
            </w:r>
            <w:r>
              <w:rPr>
                <w:rFonts w:hint="eastAsia" w:ascii="仿宋" w:hAnsi="仿宋" w:eastAsia="仿宋" w:cs="仿宋"/>
                <w:color w:val="auto"/>
                <w:highlight w:val="none"/>
                <w:lang w:eastAsia="zh-CN"/>
              </w:rPr>
              <w:t>上午</w:t>
            </w:r>
            <w:r>
              <w:rPr>
                <w:rFonts w:hint="eastAsia" w:ascii="仿宋" w:hAnsi="仿宋" w:eastAsia="仿宋" w:cs="仿宋"/>
                <w:color w:val="auto"/>
                <w:highlight w:val="none"/>
                <w:lang w:val="en-US" w:eastAsia="zh-CN"/>
              </w:rPr>
              <w:t>10</w:t>
            </w:r>
            <w:r>
              <w:rPr>
                <w:rFonts w:hint="eastAsia" w:ascii="仿宋" w:hAnsi="仿宋" w:eastAsia="仿宋" w:cs="仿宋"/>
                <w:color w:val="auto"/>
                <w:highlight w:val="none"/>
                <w:lang w:eastAsia="zh-CN"/>
              </w:rPr>
              <w:t>时</w:t>
            </w:r>
            <w:r>
              <w:rPr>
                <w:rFonts w:hint="eastAsia" w:ascii="仿宋" w:hAnsi="仿宋" w:eastAsia="仿宋" w:cs="仿宋"/>
                <w:color w:val="auto"/>
                <w:highlight w:val="none"/>
                <w:lang w:val="en-US" w:eastAsia="zh-CN"/>
              </w:rPr>
              <w:t>30</w:t>
            </w:r>
            <w:r>
              <w:rPr>
                <w:rFonts w:hint="eastAsia" w:ascii="仿宋" w:hAnsi="仿宋" w:eastAsia="仿宋" w:cs="仿宋"/>
                <w:color w:val="auto"/>
                <w:highlight w:val="none"/>
                <w:lang w:eastAsia="zh-CN"/>
              </w:rPr>
              <w:t>分（北京时间）</w:t>
            </w:r>
          </w:p>
          <w:p w14:paraId="1817DD13">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投标地点：新疆政府采购云平台（www.zcygov.cn）</w:t>
            </w:r>
          </w:p>
        </w:tc>
      </w:tr>
      <w:tr w14:paraId="1069409E">
        <w:tblPrEx>
          <w:tblCellMar>
            <w:top w:w="0" w:type="dxa"/>
            <w:left w:w="108" w:type="dxa"/>
            <w:bottom w:w="0" w:type="dxa"/>
            <w:right w:w="108" w:type="dxa"/>
          </w:tblCellMar>
        </w:tblPrEx>
        <w:trPr>
          <w:trHeight w:val="866" w:hRule="atLeast"/>
          <w:jc w:val="center"/>
        </w:trPr>
        <w:tc>
          <w:tcPr>
            <w:tcW w:w="558" w:type="dxa"/>
            <w:tcBorders>
              <w:top w:val="single" w:color="auto" w:sz="4" w:space="0"/>
              <w:left w:val="single" w:color="auto" w:sz="4" w:space="0"/>
              <w:right w:val="single" w:color="auto" w:sz="4" w:space="0"/>
            </w:tcBorders>
            <w:vAlign w:val="center"/>
          </w:tcPr>
          <w:p w14:paraId="17563D64">
            <w:pPr>
              <w:spacing w:line="360" w:lineRule="auto"/>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22</w:t>
            </w:r>
          </w:p>
        </w:tc>
        <w:tc>
          <w:tcPr>
            <w:tcW w:w="1407" w:type="dxa"/>
            <w:tcBorders>
              <w:top w:val="single" w:color="auto" w:sz="4" w:space="0"/>
              <w:left w:val="single" w:color="auto" w:sz="4" w:space="0"/>
              <w:right w:val="single" w:color="auto" w:sz="4" w:space="0"/>
            </w:tcBorders>
            <w:vAlign w:val="center"/>
          </w:tcPr>
          <w:p w14:paraId="6004F398">
            <w:pPr>
              <w:spacing w:line="360" w:lineRule="auto"/>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开标时间和地点</w:t>
            </w:r>
          </w:p>
        </w:tc>
        <w:tc>
          <w:tcPr>
            <w:tcW w:w="7206" w:type="dxa"/>
            <w:tcBorders>
              <w:top w:val="single" w:color="auto" w:sz="4" w:space="0"/>
              <w:left w:val="single" w:color="auto" w:sz="4" w:space="0"/>
              <w:right w:val="single" w:color="auto" w:sz="4" w:space="0"/>
            </w:tcBorders>
            <w:vAlign w:val="center"/>
          </w:tcPr>
          <w:p w14:paraId="02B4E25C">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开标时间：</w:t>
            </w:r>
            <w:r>
              <w:rPr>
                <w:rFonts w:hint="eastAsia" w:ascii="仿宋" w:hAnsi="仿宋" w:eastAsia="仿宋" w:cs="仿宋"/>
                <w:color w:val="auto"/>
                <w:u w:val="single"/>
                <w:lang w:eastAsia="zh-CN"/>
              </w:rPr>
              <w:t>202</w:t>
            </w:r>
            <w:r>
              <w:rPr>
                <w:rFonts w:hint="eastAsia" w:ascii="仿宋" w:hAnsi="仿宋" w:eastAsia="仿宋" w:cs="仿宋"/>
                <w:color w:val="auto"/>
                <w:u w:val="single"/>
                <w:lang w:val="en-US" w:eastAsia="zh-CN"/>
              </w:rPr>
              <w:t>6</w:t>
            </w:r>
            <w:r>
              <w:rPr>
                <w:rFonts w:hint="eastAsia" w:ascii="仿宋" w:hAnsi="仿宋" w:eastAsia="仿宋" w:cs="仿宋"/>
                <w:color w:val="auto"/>
                <w:u w:val="single"/>
                <w:lang w:eastAsia="zh-CN"/>
              </w:rPr>
              <w:t>年</w:t>
            </w:r>
            <w:r>
              <w:rPr>
                <w:rFonts w:hint="eastAsia" w:ascii="仿宋" w:hAnsi="仿宋" w:eastAsia="仿宋" w:cs="仿宋"/>
                <w:color w:val="auto"/>
                <w:u w:val="single"/>
                <w:lang w:val="en-US" w:eastAsia="zh-CN"/>
              </w:rPr>
              <w:t>11</w:t>
            </w:r>
            <w:r>
              <w:rPr>
                <w:rFonts w:hint="eastAsia" w:ascii="仿宋" w:hAnsi="仿宋" w:eastAsia="仿宋" w:cs="仿宋"/>
                <w:color w:val="auto"/>
                <w:u w:val="single"/>
                <w:lang w:eastAsia="zh-CN"/>
              </w:rPr>
              <w:t>月</w:t>
            </w:r>
            <w:r>
              <w:rPr>
                <w:rFonts w:hint="eastAsia" w:ascii="仿宋" w:hAnsi="仿宋" w:eastAsia="仿宋" w:cs="仿宋"/>
                <w:color w:val="auto"/>
                <w:u w:val="single"/>
                <w:lang w:val="en-US" w:eastAsia="zh-CN"/>
              </w:rPr>
              <w:t>5</w:t>
            </w:r>
            <w:r>
              <w:rPr>
                <w:rFonts w:hint="eastAsia" w:ascii="仿宋" w:hAnsi="仿宋" w:eastAsia="仿宋" w:cs="仿宋"/>
                <w:color w:val="auto"/>
                <w:u w:val="single"/>
                <w:lang w:eastAsia="zh-CN"/>
              </w:rPr>
              <w:t>日</w:t>
            </w:r>
            <w:r>
              <w:rPr>
                <w:rFonts w:hint="eastAsia" w:ascii="仿宋" w:hAnsi="仿宋" w:eastAsia="仿宋" w:cs="仿宋"/>
                <w:color w:val="auto"/>
                <w:highlight w:val="none"/>
                <w:lang w:eastAsia="zh-CN"/>
              </w:rPr>
              <w:t>上午</w:t>
            </w:r>
            <w:r>
              <w:rPr>
                <w:rFonts w:hint="eastAsia" w:ascii="仿宋" w:hAnsi="仿宋" w:eastAsia="仿宋" w:cs="仿宋"/>
                <w:color w:val="auto"/>
                <w:highlight w:val="none"/>
                <w:lang w:val="en-US" w:eastAsia="zh-CN"/>
              </w:rPr>
              <w:t>10</w:t>
            </w:r>
            <w:r>
              <w:rPr>
                <w:rFonts w:hint="eastAsia" w:ascii="仿宋" w:hAnsi="仿宋" w:eastAsia="仿宋" w:cs="仿宋"/>
                <w:color w:val="auto"/>
                <w:highlight w:val="none"/>
                <w:lang w:eastAsia="zh-CN"/>
              </w:rPr>
              <w:t>时</w:t>
            </w:r>
            <w:r>
              <w:rPr>
                <w:rFonts w:hint="eastAsia" w:ascii="仿宋" w:hAnsi="仿宋" w:eastAsia="仿宋" w:cs="仿宋"/>
                <w:color w:val="auto"/>
                <w:highlight w:val="none"/>
                <w:lang w:val="en-US" w:eastAsia="zh-CN"/>
              </w:rPr>
              <w:t>30</w:t>
            </w:r>
            <w:r>
              <w:rPr>
                <w:rFonts w:hint="eastAsia" w:ascii="仿宋" w:hAnsi="仿宋" w:eastAsia="仿宋" w:cs="仿宋"/>
                <w:color w:val="auto"/>
                <w:highlight w:val="none"/>
                <w:lang w:eastAsia="zh-CN"/>
              </w:rPr>
              <w:t>分（北京时间）</w:t>
            </w:r>
          </w:p>
          <w:p w14:paraId="16C8B80F">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开标地点：新疆政府采购云平台（www.zcygov.cn）         </w:t>
            </w:r>
          </w:p>
        </w:tc>
      </w:tr>
      <w:tr w14:paraId="73A9E6FE">
        <w:tblPrEx>
          <w:tblCellMar>
            <w:top w:w="0" w:type="dxa"/>
            <w:left w:w="108" w:type="dxa"/>
            <w:bottom w:w="0" w:type="dxa"/>
            <w:right w:w="108" w:type="dxa"/>
          </w:tblCellMar>
        </w:tblPrEx>
        <w:trPr>
          <w:trHeight w:val="710" w:hRule="atLeast"/>
          <w:jc w:val="center"/>
        </w:trPr>
        <w:tc>
          <w:tcPr>
            <w:tcW w:w="558" w:type="dxa"/>
            <w:vMerge w:val="restart"/>
            <w:tcBorders>
              <w:top w:val="single" w:color="auto" w:sz="4" w:space="0"/>
              <w:left w:val="single" w:color="auto" w:sz="4" w:space="0"/>
              <w:right w:val="single" w:color="auto" w:sz="4" w:space="0"/>
            </w:tcBorders>
            <w:vAlign w:val="center"/>
          </w:tcPr>
          <w:p w14:paraId="6B7FF15B">
            <w:pPr>
              <w:spacing w:line="360" w:lineRule="auto"/>
              <w:jc w:val="center"/>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23</w:t>
            </w:r>
          </w:p>
        </w:tc>
        <w:tc>
          <w:tcPr>
            <w:tcW w:w="1407" w:type="dxa"/>
            <w:vMerge w:val="restar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5EDDB5F3">
            <w:pPr>
              <w:spacing w:line="360" w:lineRule="auto"/>
              <w:jc w:val="center"/>
              <w:rPr>
                <w:rFonts w:ascii="仿宋" w:hAnsi="仿宋" w:eastAsia="仿宋" w:cs="仿宋"/>
                <w:b w:val="0"/>
                <w:color w:val="auto"/>
                <w:sz w:val="21"/>
                <w:szCs w:val="21"/>
                <w:highlight w:val="none"/>
                <w:lang w:eastAsia="zh-CN"/>
              </w:rPr>
            </w:pPr>
            <w:r>
              <w:rPr>
                <w:rFonts w:hint="eastAsia" w:ascii="仿宋" w:hAnsi="仿宋" w:eastAsia="仿宋" w:cs="仿宋"/>
                <w:b w:val="0"/>
                <w:color w:val="auto"/>
                <w:highlight w:val="none"/>
                <w:lang w:eastAsia="zh-CN"/>
              </w:rPr>
              <w:t>重要说明</w:t>
            </w:r>
          </w:p>
        </w:tc>
        <w:tc>
          <w:tcPr>
            <w:tcW w:w="72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CF8BDA">
            <w:pPr>
              <w:spacing w:line="360" w:lineRule="auto"/>
              <w:rPr>
                <w:rFonts w:ascii="仿宋" w:hAnsi="仿宋" w:eastAsia="仿宋" w:cs="仿宋"/>
                <w:b w:val="0"/>
                <w:color w:val="auto"/>
                <w:highlight w:val="none"/>
                <w:lang w:eastAsia="zh-CN"/>
              </w:rPr>
            </w:pPr>
            <w:r>
              <w:rPr>
                <w:rFonts w:hint="eastAsia" w:ascii="仿宋" w:hAnsi="仿宋" w:eastAsia="仿宋" w:cs="仿宋"/>
                <w:b w:val="0"/>
                <w:color w:val="auto"/>
                <w:highlight w:val="none"/>
                <w:lang w:eastAsia="zh-CN"/>
              </w:rPr>
              <w:t>1.本项目采用全流程不见面电子开评标，投标供应商需要使用CA加密设备，供应商可通过新疆数字证书认证中心官网（https://www.xjca.com.cn/）或下载“新疆政务通”APP自行进行申领。</w:t>
            </w:r>
          </w:p>
          <w:p w14:paraId="36426333">
            <w:pPr>
              <w:spacing w:line="360" w:lineRule="auto"/>
              <w:rPr>
                <w:rFonts w:ascii="仿宋" w:hAnsi="仿宋" w:eastAsia="仿宋" w:cs="仿宋"/>
                <w:b w:val="0"/>
                <w:color w:val="auto"/>
                <w:highlight w:val="none"/>
                <w:lang w:eastAsia="zh-CN"/>
              </w:rPr>
            </w:pPr>
            <w:r>
              <w:rPr>
                <w:rFonts w:hint="eastAsia" w:ascii="仿宋" w:hAnsi="仿宋" w:eastAsia="仿宋" w:cs="仿宋"/>
                <w:b w:val="0"/>
                <w:color w:val="auto"/>
                <w:highlight w:val="none"/>
                <w:lang w:eastAsia="zh-CN"/>
              </w:rPr>
              <w:t>2.本项目实行网上投标，采用加密电子投标文件(供应商须使用CA加密设备通过政采云电子投标客户端制作投标文件)。若供应商参与投标，自行承担投标一切费用。</w:t>
            </w:r>
          </w:p>
          <w:p w14:paraId="22A3A7DC">
            <w:pPr>
              <w:spacing w:line="360" w:lineRule="auto"/>
              <w:rPr>
                <w:rFonts w:ascii="仿宋" w:hAnsi="仿宋" w:eastAsia="仿宋" w:cs="仿宋"/>
                <w:b w:val="0"/>
                <w:color w:val="auto"/>
                <w:highlight w:val="none"/>
                <w:lang w:eastAsia="zh-CN"/>
              </w:rPr>
            </w:pPr>
            <w:r>
              <w:rPr>
                <w:rFonts w:hint="eastAsia" w:ascii="仿宋" w:hAnsi="仿宋" w:eastAsia="仿宋" w:cs="仿宋"/>
                <w:b w:val="0"/>
                <w:color w:val="auto"/>
                <w:highlight w:val="none"/>
                <w:lang w:eastAsia="zh-CN"/>
              </w:rPr>
              <w:t>3.各供应商在开标前应确保成为新疆维吾尔自治区政府采购网正式注册入库供应商，(已在政采云平台其他省份入驻的供应商无须重复注册），并完成CA数字证书申领。因未注册入库、未办理CA数字证书等原因造成无法投标或投标失败等后果由供应商自行承担。</w:t>
            </w:r>
          </w:p>
          <w:p w14:paraId="7A3B2876">
            <w:pPr>
              <w:spacing w:line="360" w:lineRule="auto"/>
              <w:rPr>
                <w:rFonts w:ascii="仿宋" w:hAnsi="仿宋" w:eastAsia="仿宋" w:cs="仿宋"/>
                <w:b w:val="0"/>
                <w:color w:val="auto"/>
                <w:highlight w:val="none"/>
                <w:lang w:eastAsia="zh-CN"/>
              </w:rPr>
            </w:pPr>
            <w:r>
              <w:rPr>
                <w:rFonts w:hint="eastAsia" w:ascii="仿宋" w:hAnsi="仿宋" w:eastAsia="仿宋" w:cs="仿宋"/>
                <w:b w:val="0"/>
                <w:color w:val="auto"/>
                <w:highlight w:val="none"/>
                <w:lang w:eastAsia="zh-CN"/>
              </w:rPr>
              <w:t>4.供应商将政采云电子交易客户端下载、安装完成后，可通过账号密码或CA登录客户端进行投标文件制作。在使用政采云投标客户端时，建议使用WIN7+64位及以上操作系统。客户端请至新疆政府采购网（http://www.ccgp-xinjiang.gov.cn/）下载专区查看，如有问题可拨打政采云客户服务热线95763进行咨询。</w:t>
            </w:r>
          </w:p>
          <w:p w14:paraId="5AE3EA03">
            <w:pPr>
              <w:spacing w:line="360" w:lineRule="auto"/>
              <w:rPr>
                <w:rFonts w:ascii="仿宋" w:hAnsi="仿宋" w:eastAsia="仿宋" w:cs="仿宋"/>
                <w:b w:val="0"/>
                <w:color w:val="auto"/>
                <w:highlight w:val="none"/>
                <w:lang w:eastAsia="zh-CN"/>
              </w:rPr>
            </w:pPr>
            <w:r>
              <w:rPr>
                <w:rFonts w:hint="eastAsia" w:ascii="仿宋" w:hAnsi="仿宋" w:eastAsia="仿宋" w:cs="仿宋"/>
                <w:b w:val="0"/>
                <w:color w:val="auto"/>
                <w:highlight w:val="none"/>
                <w:lang w:eastAsia="zh-CN"/>
              </w:rPr>
              <w:t>5.供应商在开标时须使用制作加密电子投标文件所使用的CA锁及电脑，电脑须提前配置好浏览器（建议使用谷歌浏览器），以便开标时解锁。</w:t>
            </w:r>
          </w:p>
          <w:p w14:paraId="3F3415B8">
            <w:pPr>
              <w:spacing w:line="360" w:lineRule="auto"/>
              <w:rPr>
                <w:rFonts w:hint="eastAsia" w:ascii="仿宋" w:hAnsi="仿宋" w:eastAsia="仿宋" w:cs="仿宋"/>
                <w:b w:val="0"/>
                <w:color w:val="auto"/>
                <w:highlight w:val="none"/>
                <w:lang w:eastAsia="zh-CN"/>
              </w:rPr>
            </w:pPr>
            <w:r>
              <w:rPr>
                <w:rFonts w:hint="eastAsia" w:ascii="仿宋" w:hAnsi="仿宋" w:eastAsia="仿宋" w:cs="仿宋"/>
                <w:b w:val="0"/>
                <w:color w:val="auto"/>
                <w:highlight w:val="none"/>
                <w:lang w:eastAsia="zh-CN"/>
              </w:rPr>
              <w:t>6.供应商对不见面开评标系统的技术操作咨询，可通过https://edu.zcygov.cn/luban/xinjiang-e-biding自助查询，也可在政采云帮助中心常见问题解答和操作流程讲解视频中自助查询，网址为：</w:t>
            </w:r>
            <w:r>
              <w:rPr>
                <w:rFonts w:hint="eastAsia" w:ascii="仿宋" w:hAnsi="仿宋" w:eastAsia="仿宋" w:cs="仿宋"/>
                <w:b w:val="0"/>
                <w:color w:val="auto"/>
                <w:highlight w:val="none"/>
                <w:lang w:eastAsia="zh-CN"/>
              </w:rPr>
              <w:fldChar w:fldCharType="begin"/>
            </w:r>
            <w:r>
              <w:rPr>
                <w:rFonts w:hint="eastAsia" w:ascii="仿宋" w:hAnsi="仿宋" w:eastAsia="仿宋" w:cs="仿宋"/>
                <w:b w:val="0"/>
                <w:color w:val="auto"/>
                <w:highlight w:val="none"/>
                <w:lang w:eastAsia="zh-CN"/>
              </w:rPr>
              <w:instrText xml:space="preserve"> HYPERLINK "https://service.zcygov.cn/#/help，\“项目采购\”—\“操作流程-电子招投标\”—\“政府采购项目电子交易管理操作指南-供应商\”版面获取操作指南。" </w:instrText>
            </w:r>
            <w:r>
              <w:rPr>
                <w:rFonts w:hint="eastAsia" w:ascii="仿宋" w:hAnsi="仿宋" w:eastAsia="仿宋" w:cs="仿宋"/>
                <w:b w:val="0"/>
                <w:color w:val="auto"/>
                <w:highlight w:val="none"/>
                <w:lang w:eastAsia="zh-CN"/>
              </w:rPr>
              <w:fldChar w:fldCharType="separate"/>
            </w:r>
            <w:r>
              <w:rPr>
                <w:rFonts w:hint="eastAsia" w:ascii="仿宋" w:hAnsi="仿宋" w:eastAsia="仿宋" w:cs="仿宋"/>
                <w:b w:val="0"/>
                <w:color w:val="auto"/>
                <w:highlight w:val="none"/>
                <w:lang w:eastAsia="zh-CN"/>
              </w:rPr>
              <w:t>https://service.zcygov.cn/#/help，“项目采购”—“操作流程-电子招投标”—“政府采购项目电子交易管理操作指南-供应商”版面获取操作指南。</w:t>
            </w:r>
            <w:r>
              <w:rPr>
                <w:rFonts w:hint="eastAsia" w:ascii="仿宋" w:hAnsi="仿宋" w:eastAsia="仿宋" w:cs="仿宋"/>
                <w:b w:val="0"/>
                <w:color w:val="auto"/>
                <w:highlight w:val="none"/>
                <w:lang w:eastAsia="zh-CN"/>
              </w:rPr>
              <w:fldChar w:fldCharType="end"/>
            </w:r>
          </w:p>
          <w:p w14:paraId="74744038">
            <w:pPr>
              <w:spacing w:line="360" w:lineRule="auto"/>
              <w:rPr>
                <w:rFonts w:hint="eastAsia" w:ascii="仿宋" w:hAnsi="仿宋" w:eastAsia="仿宋" w:cs="仿宋"/>
                <w:b w:val="0"/>
                <w:color w:val="auto"/>
                <w:highlight w:val="none"/>
                <w:lang w:eastAsia="zh-CN"/>
              </w:rPr>
            </w:pPr>
            <w:r>
              <w:rPr>
                <w:rFonts w:hint="eastAsia" w:ascii="仿宋" w:hAnsi="仿宋" w:eastAsia="仿宋" w:cs="仿宋"/>
                <w:b w:val="0"/>
                <w:color w:val="auto"/>
                <w:highlight w:val="none"/>
                <w:lang w:eastAsia="zh-CN"/>
              </w:rPr>
              <w:t>7.为了保证开评标顺利进行，政采云线上开标功能完全实现，供应商开标所使用的电脑设备须具有视频及语音功能。</w:t>
            </w:r>
          </w:p>
        </w:tc>
      </w:tr>
      <w:tr w14:paraId="77F1126B">
        <w:tblPrEx>
          <w:tblCellMar>
            <w:top w:w="0" w:type="dxa"/>
            <w:left w:w="108" w:type="dxa"/>
            <w:bottom w:w="0" w:type="dxa"/>
            <w:right w:w="108" w:type="dxa"/>
          </w:tblCellMar>
        </w:tblPrEx>
        <w:trPr>
          <w:trHeight w:val="710" w:hRule="atLeast"/>
          <w:jc w:val="center"/>
        </w:trPr>
        <w:tc>
          <w:tcPr>
            <w:tcW w:w="558" w:type="dxa"/>
            <w:vMerge w:val="continue"/>
            <w:tcBorders>
              <w:left w:val="single" w:color="auto" w:sz="4" w:space="0"/>
              <w:bottom w:val="single" w:color="auto" w:sz="4" w:space="0"/>
              <w:right w:val="single" w:color="auto" w:sz="4" w:space="0"/>
            </w:tcBorders>
            <w:vAlign w:val="center"/>
          </w:tcPr>
          <w:p w14:paraId="33BC33A1">
            <w:pPr>
              <w:spacing w:line="360" w:lineRule="auto"/>
              <w:rPr>
                <w:rFonts w:ascii="仿宋" w:hAnsi="仿宋" w:eastAsia="仿宋" w:cs="仿宋"/>
                <w:color w:val="auto"/>
                <w:sz w:val="21"/>
                <w:szCs w:val="21"/>
                <w:highlight w:val="none"/>
                <w:lang w:eastAsia="zh-CN"/>
              </w:rPr>
            </w:pPr>
          </w:p>
        </w:tc>
        <w:tc>
          <w:tcPr>
            <w:tcW w:w="1407" w:type="dxa"/>
            <w:vMerge w:val="continue"/>
            <w:tcBorders>
              <w:left w:val="single" w:color="auto" w:sz="4" w:space="0"/>
              <w:bottom w:val="single" w:color="auto" w:sz="4" w:space="0"/>
              <w:right w:val="single" w:color="auto" w:sz="4" w:space="0"/>
            </w:tcBorders>
            <w:vAlign w:val="center"/>
          </w:tcPr>
          <w:p w14:paraId="5E7E4E57">
            <w:pPr>
              <w:spacing w:line="360" w:lineRule="auto"/>
              <w:rPr>
                <w:rFonts w:ascii="仿宋" w:hAnsi="仿宋" w:eastAsia="仿宋" w:cs="仿宋"/>
                <w:color w:val="auto"/>
                <w:sz w:val="21"/>
                <w:szCs w:val="21"/>
                <w:highlight w:val="none"/>
                <w:lang w:eastAsia="zh-CN"/>
              </w:rPr>
            </w:pPr>
          </w:p>
        </w:tc>
        <w:tc>
          <w:tcPr>
            <w:tcW w:w="7206" w:type="dxa"/>
            <w:tcBorders>
              <w:top w:val="single" w:color="auto" w:sz="4" w:space="0"/>
              <w:left w:val="single" w:color="auto" w:sz="4" w:space="0"/>
              <w:bottom w:val="single" w:color="auto" w:sz="4" w:space="0"/>
              <w:right w:val="single" w:color="auto" w:sz="4" w:space="0"/>
            </w:tcBorders>
            <w:vAlign w:val="center"/>
          </w:tcPr>
          <w:p w14:paraId="5A72D592">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1、电子招投标情况说明：</w:t>
            </w:r>
          </w:p>
          <w:p w14:paraId="48F0DF79">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（1）电子招投标：本项目以数据电文形式，依托“政府采购云平台（www.zcygov.cn）”进行招投标活动。</w:t>
            </w:r>
          </w:p>
          <w:p w14:paraId="56336890">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2）投标准备：注册账号--点击“商家入驻”，进行政府采购供应商资料填写；申领CA数字证书---申领流程详见“新疆政府采购网-下载专区-电子交易客户端-CA驱动和申领流程”；安装“政采云电子交易客户端”----前往“新疆政府采购网-下载专区-电子交易客户端”进行下载并安装。</w:t>
            </w:r>
          </w:p>
          <w:p w14:paraId="0F4B86F5">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（3）招标文件 的获取：使用账号登录或者短信验证码或者使用CA登录政采云平台；进入“项目采购”应用，在获取招标文件 菜单中选择项目，获取招标文件 。</w:t>
            </w:r>
          </w:p>
          <w:p w14:paraId="34B93F2D">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（4）投标文件的制作：在“政采云电子交易客户端”中完成“填写基本信息”、“导入投标文件”、“标书关联”、“标书检查”、“电子签名”、“生成电子标书”等操作。</w:t>
            </w:r>
          </w:p>
          <w:p w14:paraId="49943284">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（5）投标文件的传输递交：供应商在投标截止时间前将加密的投标文件上传至政府采购云平台，还可以在投标截止时间前以电子邮件方式提供备份投标文件1份（接收人邮箱：</w:t>
            </w:r>
            <w:r>
              <w:rPr>
                <w:rFonts w:hint="eastAsia" w:ascii="仿宋" w:hAnsi="仿宋" w:eastAsia="仿宋" w:cs="仿宋"/>
                <w:color w:val="auto"/>
                <w:highlight w:val="none"/>
                <w:lang w:val="en-US" w:eastAsia="zh-CN"/>
              </w:rPr>
              <w:t>3209334806@qq.com</w:t>
            </w:r>
            <w:r>
              <w:rPr>
                <w:rFonts w:hint="eastAsia" w:ascii="仿宋" w:hAnsi="仿宋" w:eastAsia="仿宋" w:cs="仿宋"/>
                <w:color w:val="auto"/>
                <w:highlight w:val="none"/>
                <w:lang w:eastAsia="zh-CN"/>
              </w:rPr>
              <w:t>，接收人：</w:t>
            </w:r>
            <w:r>
              <w:rPr>
                <w:rFonts w:hint="eastAsia" w:ascii="仿宋" w:hAnsi="仿宋" w:eastAsia="仿宋" w:cs="仿宋"/>
                <w:color w:val="auto"/>
                <w:highlight w:val="none"/>
                <w:lang w:val="en-US" w:eastAsia="zh-CN"/>
              </w:rPr>
              <w:t>程先生</w:t>
            </w:r>
            <w:r>
              <w:rPr>
                <w:rFonts w:hint="eastAsia" w:ascii="仿宋" w:hAnsi="仿宋" w:eastAsia="仿宋" w:cs="仿宋"/>
                <w:color w:val="auto"/>
                <w:highlight w:val="none"/>
                <w:lang w:eastAsia="zh-CN"/>
              </w:rPr>
              <w:t>，电话：</w:t>
            </w:r>
            <w:r>
              <w:rPr>
                <w:rFonts w:hint="eastAsia" w:ascii="仿宋" w:hAnsi="仿宋" w:eastAsia="仿宋" w:cs="仿宋"/>
                <w:color w:val="auto"/>
                <w:highlight w:val="none"/>
                <w:lang w:val="en-US" w:eastAsia="zh-CN"/>
              </w:rPr>
              <w:t>18199719889</w:t>
            </w:r>
            <w:r>
              <w:rPr>
                <w:rFonts w:hint="eastAsia" w:ascii="仿宋" w:hAnsi="仿宋" w:eastAsia="仿宋" w:cs="仿宋"/>
                <w:color w:val="auto"/>
                <w:highlight w:val="none"/>
                <w:lang w:eastAsia="zh-CN"/>
              </w:rPr>
              <w:t>），备份投标文件可以打包压缩并加密，压缩包命名为“XX单位备份投标文件”，加密密码由供应商自行保管（“备份投标文件”由供应商自愿提供，招标文件 不作强制性要求；如不提供或未按要求提供的，当电子投标文件无法解密时，将导致无备份投标文件而失去投标资格）。</w:t>
            </w:r>
          </w:p>
          <w:p w14:paraId="3EE713A0">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（6）投标文件的解密：供应商按照平台提示和招标文件 的规定在半小时内完成在线解密。通过“政府采购云平台”上传递交的投标文件无法按时解密，投标供应商提供了备份投标文件的，以备份投标文件为依据，否则视为投标文件撤回。通过“政府采购云平台”上传递交的投标文件已按时解密的，备份投标文件自动失效。供应商仅提供备份投标文件，没有在电子交易平台传输递交投标文件的，投标无效。</w:t>
            </w:r>
          </w:p>
          <w:p w14:paraId="3D67D2E8">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（7）具体操作指南：详见政采云平台“服务中心-帮助文档-项目采购-操作流程-电子招投标-政府采购项目电子交易管理操作指南-供应商”。</w:t>
            </w:r>
          </w:p>
          <w:p w14:paraId="7C77ECA6">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（8）供应商在进行上述操作时，如遇技术问题可登录政采云（https://</w:t>
            </w:r>
            <w:r>
              <w:rPr>
                <w:color w:val="auto"/>
                <w:highlight w:val="none"/>
              </w:rPr>
              <w:fldChar w:fldCharType="begin"/>
            </w:r>
            <w:r>
              <w:rPr>
                <w:color w:val="auto"/>
                <w:highlight w:val="none"/>
              </w:rPr>
              <w:instrText xml:space="preserve"> HYPERLINK "http://www.zcygov.cn/" \h </w:instrText>
            </w:r>
            <w:r>
              <w:rPr>
                <w:color w:val="auto"/>
                <w:highlight w:val="none"/>
              </w:rPr>
              <w:fldChar w:fldCharType="separate"/>
            </w:r>
            <w:r>
              <w:rPr>
                <w:rFonts w:hint="eastAsia" w:ascii="仿宋" w:hAnsi="仿宋" w:eastAsia="仿宋" w:cs="仿宋"/>
                <w:color w:val="auto"/>
                <w:highlight w:val="none"/>
                <w:lang w:eastAsia="zh-CN"/>
              </w:rPr>
              <w:t>www.zcygov.cn/</w:t>
            </w:r>
            <w:r>
              <w:rPr>
                <w:rFonts w:hint="eastAsia" w:ascii="仿宋" w:hAnsi="仿宋" w:eastAsia="仿宋" w:cs="仿宋"/>
                <w:color w:val="auto"/>
                <w:highlight w:val="none"/>
                <w:lang w:eastAsia="zh-CN"/>
              </w:rPr>
              <w:fldChar w:fldCharType="end"/>
            </w:r>
            <w:r>
              <w:rPr>
                <w:rFonts w:hint="eastAsia" w:ascii="仿宋" w:hAnsi="仿宋" w:eastAsia="仿宋" w:cs="仿宋"/>
                <w:color w:val="auto"/>
                <w:highlight w:val="none"/>
                <w:lang w:eastAsia="zh-CN"/>
              </w:rPr>
              <w:t>），点击右侧咨询小采，获取采小蜜智能服务管家帮助，或拨打政采云服务热线 95763 获取热线服务帮助。</w:t>
            </w:r>
          </w:p>
          <w:p w14:paraId="4CF21924">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温馨提醒：供应商应提前上传，以便在上传时遇到技术问题，有充足的时间请教平台的技术人员。</w:t>
            </w:r>
          </w:p>
          <w:p w14:paraId="4E00715C">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2、供应商认为招标文件使自己的权益受到损害的，可以自收到招标文件之日（招标文件公告期限届满之前收到招标文件的，以完成获取招标文件申请后下载招标文件 的时间为准）或者招标文件 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新疆政府采购网下载专区下载。未按规定获取招标文件或逾期提出的不予受理、答复。</w:t>
            </w:r>
          </w:p>
        </w:tc>
      </w:tr>
      <w:tr w14:paraId="7AFDCB8D">
        <w:tblPrEx>
          <w:tblCellMar>
            <w:top w:w="0" w:type="dxa"/>
            <w:left w:w="108" w:type="dxa"/>
            <w:bottom w:w="0" w:type="dxa"/>
            <w:right w:w="108" w:type="dxa"/>
          </w:tblCellMar>
        </w:tblPrEx>
        <w:trPr>
          <w:trHeight w:val="915"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3EC22FDC">
            <w:pPr>
              <w:spacing w:line="360" w:lineRule="auto"/>
              <w:jc w:val="center"/>
              <w:rPr>
                <w:rFonts w:hint="default" w:ascii="仿宋" w:hAnsi="仿宋" w:eastAsia="仿宋" w:cs="仿宋"/>
                <w:color w:val="auto"/>
                <w:sz w:val="21"/>
                <w:szCs w:val="21"/>
                <w:highlight w:val="none"/>
                <w:lang w:val="en-US" w:eastAsia="zh-CN"/>
              </w:rPr>
            </w:pPr>
            <w:r>
              <w:rPr>
                <w:rFonts w:hint="eastAsia" w:ascii="仿宋" w:hAnsi="仿宋" w:eastAsia="仿宋" w:cs="仿宋"/>
                <w:color w:val="auto"/>
                <w:highlight w:val="none"/>
                <w:lang w:val="en-US" w:eastAsia="zh-CN"/>
              </w:rPr>
              <w:t>24</w:t>
            </w:r>
          </w:p>
        </w:tc>
        <w:tc>
          <w:tcPr>
            <w:tcW w:w="1407" w:type="dxa"/>
            <w:tcBorders>
              <w:top w:val="single" w:color="auto" w:sz="4" w:space="0"/>
              <w:left w:val="single" w:color="auto" w:sz="4" w:space="0"/>
              <w:bottom w:val="single" w:color="auto" w:sz="4" w:space="0"/>
              <w:right w:val="single" w:color="auto" w:sz="4" w:space="0"/>
            </w:tcBorders>
            <w:vAlign w:val="center"/>
          </w:tcPr>
          <w:p w14:paraId="0798D49D">
            <w:pPr>
              <w:spacing w:line="360" w:lineRule="auto"/>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中标候选人公示媒介</w:t>
            </w:r>
          </w:p>
        </w:tc>
        <w:tc>
          <w:tcPr>
            <w:tcW w:w="7206" w:type="dxa"/>
            <w:tcBorders>
              <w:top w:val="single" w:color="auto" w:sz="4" w:space="0"/>
              <w:left w:val="single" w:color="auto" w:sz="4" w:space="0"/>
              <w:bottom w:val="single" w:color="auto" w:sz="4" w:space="0"/>
              <w:right w:val="single" w:color="auto" w:sz="4" w:space="0"/>
            </w:tcBorders>
            <w:vAlign w:val="center"/>
          </w:tcPr>
          <w:p w14:paraId="4BDF7D5A">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克州公共资源交易中心网、新疆政府采购网，公示期为一个工作日。</w:t>
            </w:r>
          </w:p>
        </w:tc>
      </w:tr>
      <w:tr w14:paraId="7DFC971A">
        <w:tblPrEx>
          <w:tblCellMar>
            <w:top w:w="0" w:type="dxa"/>
            <w:left w:w="108" w:type="dxa"/>
            <w:bottom w:w="0" w:type="dxa"/>
            <w:right w:w="108" w:type="dxa"/>
          </w:tblCellMar>
        </w:tblPrEx>
        <w:trPr>
          <w:trHeight w:val="410" w:hRule="atLeast"/>
          <w:jc w:val="center"/>
        </w:trPr>
        <w:tc>
          <w:tcPr>
            <w:tcW w:w="558" w:type="dxa"/>
            <w:vMerge w:val="restart"/>
            <w:tcBorders>
              <w:top w:val="single" w:color="auto" w:sz="4" w:space="0"/>
              <w:left w:val="single" w:color="auto" w:sz="4" w:space="0"/>
              <w:right w:val="single" w:color="auto" w:sz="4" w:space="0"/>
            </w:tcBorders>
            <w:vAlign w:val="center"/>
          </w:tcPr>
          <w:p w14:paraId="0A74E8D2">
            <w:pPr>
              <w:spacing w:line="360" w:lineRule="auto"/>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25</w:t>
            </w:r>
          </w:p>
        </w:tc>
        <w:tc>
          <w:tcPr>
            <w:tcW w:w="8613" w:type="dxa"/>
            <w:gridSpan w:val="2"/>
            <w:tcBorders>
              <w:top w:val="single" w:color="auto" w:sz="4" w:space="0"/>
              <w:left w:val="single" w:color="auto" w:sz="4" w:space="0"/>
              <w:bottom w:val="single" w:color="auto" w:sz="4" w:space="0"/>
              <w:right w:val="single" w:color="auto" w:sz="4" w:space="0"/>
            </w:tcBorders>
            <w:vAlign w:val="center"/>
          </w:tcPr>
          <w:p w14:paraId="3D742DDA">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招标代理服务费</w:t>
            </w:r>
          </w:p>
        </w:tc>
      </w:tr>
      <w:tr w14:paraId="0553294F">
        <w:tblPrEx>
          <w:tblCellMar>
            <w:top w:w="0" w:type="dxa"/>
            <w:left w:w="108" w:type="dxa"/>
            <w:bottom w:w="0" w:type="dxa"/>
            <w:right w:w="108" w:type="dxa"/>
          </w:tblCellMar>
        </w:tblPrEx>
        <w:trPr>
          <w:trHeight w:val="655" w:hRule="atLeast"/>
          <w:jc w:val="center"/>
        </w:trPr>
        <w:tc>
          <w:tcPr>
            <w:tcW w:w="558" w:type="dxa"/>
            <w:vMerge w:val="continue"/>
            <w:tcBorders>
              <w:left w:val="single" w:color="auto" w:sz="4" w:space="0"/>
              <w:bottom w:val="single" w:color="auto" w:sz="4" w:space="0"/>
              <w:right w:val="single" w:color="auto" w:sz="4" w:space="0"/>
            </w:tcBorders>
            <w:vAlign w:val="center"/>
          </w:tcPr>
          <w:p w14:paraId="3C8479C0">
            <w:pPr>
              <w:spacing w:line="360" w:lineRule="auto"/>
              <w:rPr>
                <w:rFonts w:ascii="仿宋" w:hAnsi="仿宋" w:eastAsia="仿宋" w:cs="仿宋"/>
                <w:color w:val="auto"/>
                <w:sz w:val="21"/>
                <w:szCs w:val="21"/>
                <w:highlight w:val="none"/>
                <w:lang w:eastAsia="zh-CN"/>
              </w:rPr>
            </w:pPr>
          </w:p>
        </w:tc>
        <w:tc>
          <w:tcPr>
            <w:tcW w:w="8613" w:type="dxa"/>
            <w:gridSpan w:val="2"/>
            <w:tcBorders>
              <w:top w:val="single" w:color="auto" w:sz="4" w:space="0"/>
              <w:left w:val="single" w:color="auto" w:sz="4" w:space="0"/>
              <w:bottom w:val="single" w:color="auto" w:sz="4" w:space="0"/>
              <w:right w:val="single" w:color="auto" w:sz="4" w:space="0"/>
            </w:tcBorders>
            <w:vAlign w:val="center"/>
          </w:tcPr>
          <w:p w14:paraId="624D67CD">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lang w:eastAsia="zh-CN"/>
              </w:rPr>
            </w:pPr>
            <w:bookmarkStart w:id="0" w:name="OLE_LINK7"/>
            <w:r>
              <w:rPr>
                <w:rFonts w:hint="eastAsia" w:ascii="仿宋" w:hAnsi="仿宋" w:eastAsia="仿宋" w:cs="仿宋"/>
                <w:color w:val="auto"/>
                <w:lang w:eastAsia="zh-CN"/>
              </w:rPr>
              <w:t>中标单位在领取本项目中标通知书时，</w:t>
            </w:r>
            <w:bookmarkStart w:id="1" w:name="OLE_LINK8"/>
            <w:r>
              <w:rPr>
                <w:rFonts w:hint="eastAsia" w:ascii="仿宋" w:hAnsi="仿宋" w:eastAsia="仿宋" w:cs="仿宋"/>
                <w:color w:val="auto"/>
                <w:lang w:val="en-US" w:eastAsia="zh-CN"/>
              </w:rPr>
              <w:t>根据</w:t>
            </w:r>
            <w:r>
              <w:rPr>
                <w:rFonts w:hint="eastAsia" w:ascii="仿宋" w:hAnsi="仿宋" w:eastAsia="仿宋" w:cs="仿宋"/>
                <w:color w:val="auto"/>
                <w:lang w:eastAsia="zh-CN"/>
              </w:rPr>
              <w:t>《</w:t>
            </w:r>
            <w:r>
              <w:rPr>
                <w:rFonts w:hint="eastAsia" w:ascii="仿宋" w:hAnsi="仿宋" w:eastAsia="仿宋" w:cs="仿宋"/>
                <w:color w:val="auto"/>
                <w:lang w:val="en-US" w:eastAsia="zh-CN"/>
              </w:rPr>
              <w:t>中华人民共和国招标投标法》《中华人民共和国招标投标法实施条例》《国家发展改革委关于进一步放开建设项目专业服务价格的通知》</w:t>
            </w:r>
            <w:r>
              <w:rPr>
                <w:rFonts w:hint="eastAsia" w:ascii="仿宋" w:hAnsi="仿宋" w:eastAsia="仿宋" w:cs="仿宋"/>
                <w:color w:val="auto"/>
                <w:lang w:eastAsia="zh-CN"/>
              </w:rPr>
              <w:t>（</w:t>
            </w:r>
            <w:r>
              <w:rPr>
                <w:rFonts w:hint="eastAsia" w:ascii="仿宋" w:hAnsi="仿宋" w:eastAsia="仿宋" w:cs="仿宋"/>
                <w:color w:val="auto"/>
                <w:lang w:val="en-US" w:eastAsia="zh-CN"/>
              </w:rPr>
              <w:t>发改</w:t>
            </w:r>
            <w:r>
              <w:rPr>
                <w:rFonts w:hint="eastAsia" w:ascii="仿宋" w:hAnsi="仿宋" w:eastAsia="仿宋" w:cs="仿宋"/>
                <w:color w:val="auto"/>
                <w:lang w:eastAsia="zh-CN"/>
              </w:rPr>
              <w:t>价格[20</w:t>
            </w:r>
            <w:r>
              <w:rPr>
                <w:rFonts w:hint="eastAsia" w:ascii="仿宋" w:hAnsi="仿宋" w:eastAsia="仿宋" w:cs="仿宋"/>
                <w:color w:val="auto"/>
                <w:lang w:val="en-US" w:eastAsia="zh-CN"/>
              </w:rPr>
              <w:t>15</w:t>
            </w:r>
            <w:r>
              <w:rPr>
                <w:rFonts w:hint="eastAsia" w:ascii="仿宋" w:hAnsi="仿宋" w:eastAsia="仿宋" w:cs="仿宋"/>
                <w:color w:val="auto"/>
                <w:lang w:eastAsia="zh-CN"/>
              </w:rPr>
              <w:t>]</w:t>
            </w:r>
            <w:r>
              <w:rPr>
                <w:rFonts w:hint="eastAsia" w:ascii="仿宋" w:hAnsi="仿宋" w:eastAsia="仿宋" w:cs="仿宋"/>
                <w:color w:val="auto"/>
                <w:lang w:val="en-US" w:eastAsia="zh-CN"/>
              </w:rPr>
              <w:t>299</w:t>
            </w:r>
            <w:r>
              <w:rPr>
                <w:rFonts w:hint="eastAsia" w:ascii="仿宋" w:hAnsi="仿宋" w:eastAsia="仿宋" w:cs="仿宋"/>
                <w:color w:val="auto"/>
                <w:lang w:eastAsia="zh-CN"/>
              </w:rPr>
              <w:t>号）</w:t>
            </w:r>
            <w:r>
              <w:rPr>
                <w:rFonts w:hint="eastAsia" w:ascii="仿宋" w:hAnsi="仿宋" w:eastAsia="仿宋" w:cs="仿宋"/>
                <w:color w:val="auto"/>
                <w:lang w:val="en-US" w:eastAsia="zh-CN"/>
              </w:rPr>
              <w:t>文件</w:t>
            </w:r>
            <w:bookmarkEnd w:id="0"/>
            <w:bookmarkEnd w:id="1"/>
            <w:r>
              <w:rPr>
                <w:rFonts w:hint="eastAsia" w:ascii="仿宋" w:hAnsi="仿宋" w:eastAsia="仿宋" w:cs="仿宋"/>
                <w:b w:val="0"/>
                <w:bCs w:val="0"/>
                <w:color w:val="auto"/>
                <w:sz w:val="24"/>
                <w:szCs w:val="24"/>
                <w:highlight w:val="none"/>
                <w:lang w:val="en-US" w:eastAsia="zh-CN"/>
              </w:rPr>
              <w:t>等规定，经招标人与招标代理机构协商，由中标单位向招标代理机构支付本项目代理费。</w:t>
            </w:r>
            <w:r>
              <w:rPr>
                <w:rFonts w:hint="eastAsia" w:ascii="仿宋" w:hAnsi="仿宋" w:eastAsia="仿宋" w:cs="仿宋"/>
                <w:color w:val="auto"/>
                <w:lang w:eastAsia="zh-CN"/>
              </w:rPr>
              <w:t>收费标准如下：</w:t>
            </w:r>
          </w:p>
          <w:p w14:paraId="5AEB689E">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lang w:eastAsia="zh-CN"/>
              </w:rPr>
            </w:pPr>
            <w:r>
              <w:rPr>
                <w:rFonts w:hint="eastAsia" w:ascii="仿宋" w:hAnsi="仿宋" w:eastAsia="仿宋" w:cs="仿宋"/>
                <w:color w:val="auto"/>
                <w:lang w:eastAsia="zh-CN"/>
              </w:rPr>
              <w:t>招标代理服务收费标准</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3"/>
              <w:gridCol w:w="1546"/>
              <w:gridCol w:w="1907"/>
              <w:gridCol w:w="1292"/>
            </w:tblGrid>
            <w:tr w14:paraId="35E04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1953" w:type="dxa"/>
                  <w:noWrap w:val="0"/>
                  <w:vAlign w:val="top"/>
                </w:tcPr>
                <w:p w14:paraId="53A7AB92">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lang w:eastAsia="zh-CN"/>
                    </w:rPr>
                  </w:pPr>
                  <w:r>
                    <w:rPr>
                      <w:rFonts w:hint="eastAsia" w:ascii="仿宋" w:hAnsi="仿宋" w:eastAsia="仿宋" w:cs="仿宋"/>
                      <w:color w:val="auto"/>
                      <w:lang w:eastAsia="zh-CN"/>
                    </w:rPr>
                    <w:t>中标金额（万元）</w:t>
                  </w:r>
                </w:p>
              </w:tc>
              <w:tc>
                <w:tcPr>
                  <w:tcW w:w="1546" w:type="dxa"/>
                  <w:noWrap w:val="0"/>
                  <w:vAlign w:val="top"/>
                </w:tcPr>
                <w:p w14:paraId="61AE6383">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lang w:eastAsia="zh-CN"/>
                    </w:rPr>
                  </w:pPr>
                  <w:r>
                    <w:rPr>
                      <w:rFonts w:hint="eastAsia" w:ascii="仿宋" w:hAnsi="仿宋" w:eastAsia="仿宋" w:cs="仿宋"/>
                      <w:color w:val="auto"/>
                      <w:lang w:eastAsia="zh-CN"/>
                    </w:rPr>
                    <w:t>货物招标</w:t>
                  </w:r>
                </w:p>
              </w:tc>
              <w:tc>
                <w:tcPr>
                  <w:tcW w:w="1907" w:type="dxa"/>
                  <w:noWrap w:val="0"/>
                  <w:vAlign w:val="top"/>
                </w:tcPr>
                <w:p w14:paraId="6690FCD0">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lang w:eastAsia="zh-CN"/>
                    </w:rPr>
                  </w:pPr>
                  <w:r>
                    <w:rPr>
                      <w:rFonts w:hint="eastAsia" w:ascii="仿宋" w:hAnsi="仿宋" w:eastAsia="仿宋" w:cs="仿宋"/>
                      <w:color w:val="auto"/>
                      <w:lang w:eastAsia="zh-CN"/>
                    </w:rPr>
                    <w:t>服务招标</w:t>
                  </w:r>
                </w:p>
              </w:tc>
              <w:tc>
                <w:tcPr>
                  <w:tcW w:w="1292" w:type="dxa"/>
                  <w:noWrap w:val="0"/>
                  <w:vAlign w:val="top"/>
                </w:tcPr>
                <w:p w14:paraId="796C2E74">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lang w:eastAsia="zh-CN"/>
                    </w:rPr>
                  </w:pPr>
                  <w:r>
                    <w:rPr>
                      <w:rFonts w:hint="eastAsia" w:ascii="仿宋" w:hAnsi="仿宋" w:eastAsia="仿宋" w:cs="仿宋"/>
                      <w:color w:val="auto"/>
                      <w:lang w:eastAsia="zh-CN"/>
                    </w:rPr>
                    <w:t>备注</w:t>
                  </w:r>
                </w:p>
              </w:tc>
            </w:tr>
            <w:tr w14:paraId="2776B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1953" w:type="dxa"/>
                  <w:noWrap w:val="0"/>
                  <w:vAlign w:val="center"/>
                </w:tcPr>
                <w:p w14:paraId="5E0CD70E">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lang w:eastAsia="zh-CN"/>
                    </w:rPr>
                  </w:pPr>
                  <w:r>
                    <w:rPr>
                      <w:rFonts w:hint="eastAsia" w:ascii="仿宋" w:hAnsi="仿宋" w:eastAsia="仿宋" w:cs="仿宋"/>
                      <w:color w:val="auto"/>
                      <w:lang w:eastAsia="zh-CN"/>
                    </w:rPr>
                    <w:t>100以下</w:t>
                  </w:r>
                </w:p>
              </w:tc>
              <w:tc>
                <w:tcPr>
                  <w:tcW w:w="1546" w:type="dxa"/>
                  <w:noWrap w:val="0"/>
                  <w:vAlign w:val="center"/>
                </w:tcPr>
                <w:p w14:paraId="4545C421">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lang w:eastAsia="zh-CN"/>
                    </w:rPr>
                  </w:pPr>
                  <w:r>
                    <w:rPr>
                      <w:rFonts w:hint="eastAsia" w:ascii="仿宋" w:hAnsi="仿宋" w:eastAsia="仿宋" w:cs="仿宋"/>
                      <w:color w:val="auto"/>
                      <w:lang w:eastAsia="zh-CN"/>
                    </w:rPr>
                    <w:t>1.5</w:t>
                  </w:r>
                  <w:r>
                    <w:rPr>
                      <w:rFonts w:hint="eastAsia" w:ascii="仿宋" w:hAnsi="仿宋" w:eastAsia="仿宋" w:cs="仿宋"/>
                      <w:color w:val="auto"/>
                      <w:lang w:val="en-US" w:eastAsia="zh-CN"/>
                    </w:rPr>
                    <w:t>8</w:t>
                  </w:r>
                  <w:r>
                    <w:rPr>
                      <w:rFonts w:hint="eastAsia" w:ascii="仿宋" w:hAnsi="仿宋" w:eastAsia="仿宋" w:cs="仿宋"/>
                      <w:color w:val="auto"/>
                      <w:lang w:eastAsia="zh-CN"/>
                    </w:rPr>
                    <w:t>%</w:t>
                  </w:r>
                </w:p>
              </w:tc>
              <w:tc>
                <w:tcPr>
                  <w:tcW w:w="1907" w:type="dxa"/>
                  <w:noWrap w:val="0"/>
                  <w:vAlign w:val="center"/>
                </w:tcPr>
                <w:p w14:paraId="215866FE">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lang w:eastAsia="zh-CN"/>
                    </w:rPr>
                  </w:pPr>
                  <w:r>
                    <w:rPr>
                      <w:rFonts w:hint="eastAsia" w:ascii="仿宋" w:hAnsi="仿宋" w:eastAsia="仿宋" w:cs="仿宋"/>
                      <w:color w:val="auto"/>
                      <w:lang w:eastAsia="zh-CN"/>
                    </w:rPr>
                    <w:t>1.5</w:t>
                  </w:r>
                  <w:r>
                    <w:rPr>
                      <w:rFonts w:hint="eastAsia" w:ascii="仿宋" w:hAnsi="仿宋" w:eastAsia="仿宋" w:cs="仿宋"/>
                      <w:color w:val="auto"/>
                      <w:lang w:val="en-US" w:eastAsia="zh-CN"/>
                    </w:rPr>
                    <w:t>8</w:t>
                  </w:r>
                  <w:r>
                    <w:rPr>
                      <w:rFonts w:hint="eastAsia" w:ascii="仿宋" w:hAnsi="仿宋" w:eastAsia="仿宋" w:cs="仿宋"/>
                      <w:color w:val="auto"/>
                      <w:lang w:eastAsia="zh-CN"/>
                    </w:rPr>
                    <w:t>%</w:t>
                  </w:r>
                </w:p>
              </w:tc>
              <w:tc>
                <w:tcPr>
                  <w:tcW w:w="1292" w:type="dxa"/>
                  <w:noWrap w:val="0"/>
                  <w:vAlign w:val="top"/>
                </w:tcPr>
                <w:p w14:paraId="5324E951">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lang w:eastAsia="zh-CN"/>
                    </w:rPr>
                  </w:pPr>
                </w:p>
              </w:tc>
            </w:tr>
            <w:tr w14:paraId="46AAB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1953" w:type="dxa"/>
                  <w:noWrap w:val="0"/>
                  <w:vAlign w:val="center"/>
                </w:tcPr>
                <w:p w14:paraId="09554D36">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lang w:eastAsia="zh-CN"/>
                    </w:rPr>
                  </w:pPr>
                  <w:r>
                    <w:rPr>
                      <w:rFonts w:hint="eastAsia" w:ascii="仿宋" w:hAnsi="仿宋" w:eastAsia="仿宋" w:cs="仿宋"/>
                      <w:color w:val="auto"/>
                      <w:lang w:eastAsia="zh-CN"/>
                    </w:rPr>
                    <w:t>100-500</w:t>
                  </w:r>
                </w:p>
              </w:tc>
              <w:tc>
                <w:tcPr>
                  <w:tcW w:w="1546" w:type="dxa"/>
                  <w:noWrap w:val="0"/>
                  <w:vAlign w:val="center"/>
                </w:tcPr>
                <w:p w14:paraId="55FD1A76">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lang w:eastAsia="zh-CN"/>
                    </w:rPr>
                  </w:pPr>
                  <w:r>
                    <w:rPr>
                      <w:rFonts w:hint="eastAsia" w:ascii="仿宋" w:hAnsi="仿宋" w:eastAsia="仿宋" w:cs="仿宋"/>
                      <w:color w:val="auto"/>
                      <w:lang w:eastAsia="zh-CN"/>
                    </w:rPr>
                    <w:t>1.1</w:t>
                  </w:r>
                  <w:r>
                    <w:rPr>
                      <w:rFonts w:hint="eastAsia" w:ascii="仿宋" w:hAnsi="仿宋" w:eastAsia="仿宋" w:cs="仿宋"/>
                      <w:color w:val="auto"/>
                      <w:lang w:val="en-US" w:eastAsia="zh-CN"/>
                    </w:rPr>
                    <w:t>6</w:t>
                  </w:r>
                  <w:r>
                    <w:rPr>
                      <w:rFonts w:hint="eastAsia" w:ascii="仿宋" w:hAnsi="仿宋" w:eastAsia="仿宋" w:cs="仿宋"/>
                      <w:color w:val="auto"/>
                      <w:lang w:eastAsia="zh-CN"/>
                    </w:rPr>
                    <w:t>%</w:t>
                  </w:r>
                </w:p>
              </w:tc>
              <w:tc>
                <w:tcPr>
                  <w:tcW w:w="1907" w:type="dxa"/>
                  <w:noWrap w:val="0"/>
                  <w:vAlign w:val="center"/>
                </w:tcPr>
                <w:p w14:paraId="38B150D9">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lang w:eastAsia="zh-CN"/>
                    </w:rPr>
                  </w:pPr>
                  <w:r>
                    <w:rPr>
                      <w:rFonts w:hint="eastAsia" w:ascii="仿宋" w:hAnsi="仿宋" w:eastAsia="仿宋" w:cs="仿宋"/>
                      <w:color w:val="auto"/>
                      <w:lang w:val="en-US" w:eastAsia="zh-CN"/>
                    </w:rPr>
                    <w:t>0.84</w:t>
                  </w:r>
                  <w:r>
                    <w:rPr>
                      <w:rFonts w:hint="eastAsia" w:ascii="仿宋" w:hAnsi="仿宋" w:eastAsia="仿宋" w:cs="仿宋"/>
                      <w:color w:val="auto"/>
                      <w:lang w:eastAsia="zh-CN"/>
                    </w:rPr>
                    <w:t>%</w:t>
                  </w:r>
                </w:p>
              </w:tc>
              <w:tc>
                <w:tcPr>
                  <w:tcW w:w="1292" w:type="dxa"/>
                  <w:noWrap w:val="0"/>
                  <w:vAlign w:val="top"/>
                </w:tcPr>
                <w:p w14:paraId="334BF86D">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lang w:eastAsia="zh-CN"/>
                    </w:rPr>
                  </w:pPr>
                </w:p>
              </w:tc>
            </w:tr>
            <w:tr w14:paraId="060BF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1953" w:type="dxa"/>
                  <w:noWrap w:val="0"/>
                  <w:vAlign w:val="center"/>
                </w:tcPr>
                <w:p w14:paraId="1BCBD90D">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lang w:eastAsia="zh-CN"/>
                    </w:rPr>
                  </w:pPr>
                  <w:r>
                    <w:rPr>
                      <w:rFonts w:hint="eastAsia" w:ascii="仿宋" w:hAnsi="仿宋" w:eastAsia="仿宋" w:cs="仿宋"/>
                      <w:color w:val="auto"/>
                      <w:lang w:eastAsia="zh-CN"/>
                    </w:rPr>
                    <w:t>500-1000</w:t>
                  </w:r>
                </w:p>
              </w:tc>
              <w:tc>
                <w:tcPr>
                  <w:tcW w:w="1546" w:type="dxa"/>
                  <w:noWrap w:val="0"/>
                  <w:vAlign w:val="center"/>
                </w:tcPr>
                <w:p w14:paraId="2BCEC7A0">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lang w:eastAsia="zh-CN"/>
                    </w:rPr>
                  </w:pPr>
                  <w:r>
                    <w:rPr>
                      <w:rFonts w:hint="eastAsia" w:ascii="仿宋" w:hAnsi="仿宋" w:eastAsia="仿宋" w:cs="仿宋"/>
                      <w:color w:val="auto"/>
                      <w:lang w:eastAsia="zh-CN"/>
                    </w:rPr>
                    <w:t>0.</w:t>
                  </w:r>
                  <w:r>
                    <w:rPr>
                      <w:rFonts w:hint="eastAsia" w:ascii="仿宋" w:hAnsi="仿宋" w:eastAsia="仿宋" w:cs="仿宋"/>
                      <w:color w:val="auto"/>
                      <w:lang w:val="en-US" w:eastAsia="zh-CN"/>
                    </w:rPr>
                    <w:t>93</w:t>
                  </w:r>
                  <w:r>
                    <w:rPr>
                      <w:rFonts w:hint="eastAsia" w:ascii="仿宋" w:hAnsi="仿宋" w:eastAsia="仿宋" w:cs="仿宋"/>
                      <w:color w:val="auto"/>
                      <w:lang w:eastAsia="zh-CN"/>
                    </w:rPr>
                    <w:t>%</w:t>
                  </w:r>
                </w:p>
              </w:tc>
              <w:tc>
                <w:tcPr>
                  <w:tcW w:w="1907" w:type="dxa"/>
                  <w:noWrap w:val="0"/>
                  <w:vAlign w:val="center"/>
                </w:tcPr>
                <w:p w14:paraId="065C0678">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lang w:eastAsia="zh-CN"/>
                    </w:rPr>
                  </w:pPr>
                  <w:r>
                    <w:rPr>
                      <w:rFonts w:hint="eastAsia" w:ascii="仿宋" w:hAnsi="仿宋" w:eastAsia="仿宋" w:cs="仿宋"/>
                      <w:color w:val="auto"/>
                      <w:lang w:eastAsia="zh-CN"/>
                    </w:rPr>
                    <w:t>0.</w:t>
                  </w:r>
                  <w:r>
                    <w:rPr>
                      <w:rFonts w:hint="eastAsia" w:ascii="仿宋" w:hAnsi="仿宋" w:eastAsia="仿宋" w:cs="仿宋"/>
                      <w:color w:val="auto"/>
                      <w:lang w:val="en-US" w:eastAsia="zh-CN"/>
                    </w:rPr>
                    <w:t>62</w:t>
                  </w:r>
                  <w:r>
                    <w:rPr>
                      <w:rFonts w:hint="eastAsia" w:ascii="仿宋" w:hAnsi="仿宋" w:eastAsia="仿宋" w:cs="仿宋"/>
                      <w:color w:val="auto"/>
                      <w:lang w:eastAsia="zh-CN"/>
                    </w:rPr>
                    <w:t>%</w:t>
                  </w:r>
                </w:p>
              </w:tc>
              <w:tc>
                <w:tcPr>
                  <w:tcW w:w="1292" w:type="dxa"/>
                  <w:noWrap w:val="0"/>
                  <w:vAlign w:val="top"/>
                </w:tcPr>
                <w:p w14:paraId="0B865FEC">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lang w:eastAsia="zh-CN"/>
                    </w:rPr>
                  </w:pPr>
                </w:p>
              </w:tc>
            </w:tr>
            <w:tr w14:paraId="2AE94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1953" w:type="dxa"/>
                  <w:noWrap w:val="0"/>
                  <w:vAlign w:val="center"/>
                </w:tcPr>
                <w:p w14:paraId="356B8780">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lang w:eastAsia="zh-CN"/>
                    </w:rPr>
                  </w:pPr>
                  <w:r>
                    <w:rPr>
                      <w:rFonts w:hint="eastAsia" w:ascii="仿宋" w:hAnsi="仿宋" w:eastAsia="仿宋" w:cs="仿宋"/>
                      <w:color w:val="auto"/>
                      <w:lang w:eastAsia="zh-CN"/>
                    </w:rPr>
                    <w:t>1000-5000</w:t>
                  </w:r>
                </w:p>
              </w:tc>
              <w:tc>
                <w:tcPr>
                  <w:tcW w:w="1546" w:type="dxa"/>
                  <w:noWrap w:val="0"/>
                  <w:vAlign w:val="center"/>
                </w:tcPr>
                <w:p w14:paraId="4EBF9807">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lang w:eastAsia="zh-CN"/>
                    </w:rPr>
                  </w:pPr>
                  <w:r>
                    <w:rPr>
                      <w:rFonts w:hint="eastAsia" w:ascii="仿宋" w:hAnsi="仿宋" w:eastAsia="仿宋" w:cs="仿宋"/>
                      <w:color w:val="auto"/>
                      <w:lang w:eastAsia="zh-CN"/>
                    </w:rPr>
                    <w:t>0.</w:t>
                  </w:r>
                  <w:r>
                    <w:rPr>
                      <w:rFonts w:hint="eastAsia" w:ascii="仿宋" w:hAnsi="仿宋" w:eastAsia="仿宋" w:cs="仿宋"/>
                      <w:color w:val="auto"/>
                      <w:lang w:val="en-US" w:eastAsia="zh-CN"/>
                    </w:rPr>
                    <w:t>61</w:t>
                  </w:r>
                  <w:r>
                    <w:rPr>
                      <w:rFonts w:hint="eastAsia" w:ascii="仿宋" w:hAnsi="仿宋" w:eastAsia="仿宋" w:cs="仿宋"/>
                      <w:color w:val="auto"/>
                      <w:lang w:eastAsia="zh-CN"/>
                    </w:rPr>
                    <w:t>%</w:t>
                  </w:r>
                </w:p>
              </w:tc>
              <w:tc>
                <w:tcPr>
                  <w:tcW w:w="1907" w:type="dxa"/>
                  <w:noWrap w:val="0"/>
                  <w:vAlign w:val="center"/>
                </w:tcPr>
                <w:p w14:paraId="4677FC8A">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lang w:eastAsia="zh-CN"/>
                    </w:rPr>
                  </w:pPr>
                  <w:r>
                    <w:rPr>
                      <w:rFonts w:hint="eastAsia" w:ascii="仿宋" w:hAnsi="仿宋" w:eastAsia="仿宋" w:cs="仿宋"/>
                      <w:color w:val="auto"/>
                      <w:lang w:eastAsia="zh-CN"/>
                    </w:rPr>
                    <w:t>0.</w:t>
                  </w:r>
                  <w:r>
                    <w:rPr>
                      <w:rFonts w:hint="eastAsia" w:ascii="仿宋" w:hAnsi="仿宋" w:eastAsia="仿宋" w:cs="仿宋"/>
                      <w:color w:val="auto"/>
                      <w:lang w:val="en-US" w:eastAsia="zh-CN"/>
                    </w:rPr>
                    <w:t>35</w:t>
                  </w:r>
                  <w:r>
                    <w:rPr>
                      <w:rFonts w:hint="eastAsia" w:ascii="仿宋" w:hAnsi="仿宋" w:eastAsia="仿宋" w:cs="仿宋"/>
                      <w:color w:val="auto"/>
                      <w:lang w:eastAsia="zh-CN"/>
                    </w:rPr>
                    <w:t>%</w:t>
                  </w:r>
                </w:p>
              </w:tc>
              <w:tc>
                <w:tcPr>
                  <w:tcW w:w="1292" w:type="dxa"/>
                  <w:noWrap w:val="0"/>
                  <w:vAlign w:val="top"/>
                </w:tcPr>
                <w:p w14:paraId="536960E4">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lang w:eastAsia="zh-CN"/>
                    </w:rPr>
                  </w:pPr>
                </w:p>
              </w:tc>
            </w:tr>
          </w:tbl>
          <w:p w14:paraId="3818A7C9">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lang w:eastAsia="zh-CN"/>
              </w:rPr>
            </w:pPr>
            <w:r>
              <w:rPr>
                <w:rFonts w:hint="eastAsia" w:ascii="仿宋" w:hAnsi="仿宋" w:eastAsia="仿宋" w:cs="仿宋"/>
                <w:color w:val="auto"/>
                <w:lang w:eastAsia="zh-CN"/>
              </w:rPr>
              <w:t>招标代理服务收费按差额定率累进法计算。例如：某项目招标代理业务中标金额为2000万元，计算招标代理服务收费额如下：</w:t>
            </w:r>
          </w:p>
          <w:p w14:paraId="37797DD4">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lang w:eastAsia="zh-CN"/>
              </w:rPr>
            </w:pPr>
            <w:r>
              <w:rPr>
                <w:rFonts w:hint="eastAsia" w:ascii="仿宋" w:hAnsi="仿宋" w:eastAsia="仿宋" w:cs="仿宋"/>
                <w:color w:val="auto"/>
                <w:lang w:eastAsia="zh-CN"/>
              </w:rPr>
              <w:t xml:space="preserve"> 100万元×1.</w:t>
            </w:r>
            <w:r>
              <w:rPr>
                <w:rFonts w:hint="eastAsia" w:ascii="仿宋" w:hAnsi="仿宋" w:eastAsia="仿宋" w:cs="仿宋"/>
                <w:color w:val="auto"/>
                <w:lang w:val="en-US" w:eastAsia="zh-CN"/>
              </w:rPr>
              <w:t>58</w:t>
            </w:r>
            <w:r>
              <w:rPr>
                <w:rFonts w:hint="eastAsia" w:ascii="仿宋" w:hAnsi="仿宋" w:eastAsia="仿宋" w:cs="仿宋"/>
                <w:color w:val="auto"/>
                <w:lang w:eastAsia="zh-CN"/>
              </w:rPr>
              <w:t>%=1.5</w:t>
            </w:r>
            <w:r>
              <w:rPr>
                <w:rFonts w:hint="eastAsia" w:ascii="仿宋" w:hAnsi="仿宋" w:eastAsia="仿宋" w:cs="仿宋"/>
                <w:color w:val="auto"/>
                <w:lang w:val="en-US" w:eastAsia="zh-CN"/>
              </w:rPr>
              <w:t>8</w:t>
            </w:r>
            <w:r>
              <w:rPr>
                <w:rFonts w:hint="eastAsia" w:ascii="仿宋" w:hAnsi="仿宋" w:eastAsia="仿宋" w:cs="仿宋"/>
                <w:color w:val="auto"/>
                <w:lang w:eastAsia="zh-CN"/>
              </w:rPr>
              <w:t>（万元）；</w:t>
            </w:r>
          </w:p>
          <w:p w14:paraId="4FB545CC">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lang w:eastAsia="zh-CN"/>
              </w:rPr>
            </w:pPr>
            <w:r>
              <w:rPr>
                <w:rFonts w:hint="eastAsia" w:ascii="仿宋" w:hAnsi="仿宋" w:eastAsia="仿宋" w:cs="仿宋"/>
                <w:color w:val="auto"/>
                <w:lang w:eastAsia="zh-CN"/>
              </w:rPr>
              <w:t>（</w:t>
            </w:r>
            <w:r>
              <w:rPr>
                <w:rFonts w:hint="eastAsia" w:ascii="仿宋" w:hAnsi="仿宋" w:eastAsia="仿宋" w:cs="仿宋"/>
                <w:color w:val="auto"/>
                <w:lang w:val="en-US" w:eastAsia="zh-CN"/>
              </w:rPr>
              <w:t>1</w:t>
            </w:r>
            <w:r>
              <w:rPr>
                <w:rFonts w:hint="eastAsia" w:ascii="仿宋" w:hAnsi="仿宋" w:eastAsia="仿宋" w:cs="仿宋"/>
                <w:color w:val="auto"/>
                <w:lang w:eastAsia="zh-CN"/>
              </w:rPr>
              <w:t>00-</w:t>
            </w:r>
            <w:r>
              <w:rPr>
                <w:rFonts w:hint="eastAsia" w:ascii="仿宋" w:hAnsi="仿宋" w:eastAsia="仿宋" w:cs="仿宋"/>
                <w:color w:val="auto"/>
                <w:lang w:val="en-US" w:eastAsia="zh-CN"/>
              </w:rPr>
              <w:t>5</w:t>
            </w:r>
            <w:r>
              <w:rPr>
                <w:rFonts w:hint="eastAsia" w:ascii="仿宋" w:hAnsi="仿宋" w:eastAsia="仿宋" w:cs="仿宋"/>
                <w:color w:val="auto"/>
                <w:lang w:eastAsia="zh-CN"/>
              </w:rPr>
              <w:t>00）万元×1.1</w:t>
            </w:r>
            <w:r>
              <w:rPr>
                <w:rFonts w:hint="eastAsia" w:ascii="仿宋" w:hAnsi="仿宋" w:eastAsia="仿宋" w:cs="仿宋"/>
                <w:color w:val="auto"/>
                <w:lang w:val="en-US" w:eastAsia="zh-CN"/>
              </w:rPr>
              <w:t>6</w:t>
            </w:r>
            <w:r>
              <w:rPr>
                <w:rFonts w:hint="eastAsia" w:ascii="仿宋" w:hAnsi="仿宋" w:eastAsia="仿宋" w:cs="仿宋"/>
                <w:color w:val="auto"/>
                <w:lang w:eastAsia="zh-CN"/>
              </w:rPr>
              <w:t>%=</w:t>
            </w:r>
            <w:r>
              <w:rPr>
                <w:rFonts w:hint="eastAsia" w:ascii="仿宋" w:hAnsi="仿宋" w:eastAsia="仿宋" w:cs="仿宋"/>
                <w:color w:val="auto"/>
                <w:lang w:val="en-US" w:eastAsia="zh-CN"/>
              </w:rPr>
              <w:t>4.64</w:t>
            </w:r>
            <w:r>
              <w:rPr>
                <w:rFonts w:hint="eastAsia" w:ascii="仿宋" w:hAnsi="仿宋" w:eastAsia="仿宋" w:cs="仿宋"/>
                <w:color w:val="auto"/>
                <w:lang w:eastAsia="zh-CN"/>
              </w:rPr>
              <w:t>（万元）</w:t>
            </w:r>
          </w:p>
          <w:p w14:paraId="0BB56EEE">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lang w:eastAsia="zh-CN"/>
              </w:rPr>
            </w:pPr>
            <w:r>
              <w:rPr>
                <w:rFonts w:hint="eastAsia" w:ascii="仿宋" w:hAnsi="仿宋" w:eastAsia="仿宋" w:cs="仿宋"/>
                <w:color w:val="auto"/>
                <w:lang w:eastAsia="zh-CN"/>
              </w:rPr>
              <w:t>（</w:t>
            </w:r>
            <w:r>
              <w:rPr>
                <w:rFonts w:hint="eastAsia" w:ascii="仿宋" w:hAnsi="仿宋" w:eastAsia="仿宋" w:cs="仿宋"/>
                <w:color w:val="auto"/>
                <w:lang w:val="en-US" w:eastAsia="zh-CN"/>
              </w:rPr>
              <w:t>5</w:t>
            </w:r>
            <w:r>
              <w:rPr>
                <w:rFonts w:hint="eastAsia" w:ascii="仿宋" w:hAnsi="仿宋" w:eastAsia="仿宋" w:cs="仿宋"/>
                <w:color w:val="auto"/>
                <w:lang w:eastAsia="zh-CN"/>
              </w:rPr>
              <w:t>00-</w:t>
            </w:r>
            <w:r>
              <w:rPr>
                <w:rFonts w:hint="eastAsia" w:ascii="仿宋" w:hAnsi="仿宋" w:eastAsia="仿宋" w:cs="仿宋"/>
                <w:color w:val="auto"/>
                <w:lang w:val="en-US" w:eastAsia="zh-CN"/>
              </w:rPr>
              <w:t>1</w:t>
            </w:r>
            <w:r>
              <w:rPr>
                <w:rFonts w:hint="eastAsia" w:ascii="仿宋" w:hAnsi="仿宋" w:eastAsia="仿宋" w:cs="仿宋"/>
                <w:color w:val="auto"/>
                <w:lang w:eastAsia="zh-CN"/>
              </w:rPr>
              <w:t>0</w:t>
            </w:r>
            <w:r>
              <w:rPr>
                <w:rFonts w:hint="eastAsia" w:ascii="仿宋" w:hAnsi="仿宋" w:eastAsia="仿宋" w:cs="仿宋"/>
                <w:color w:val="auto"/>
                <w:lang w:val="en-US" w:eastAsia="zh-CN"/>
              </w:rPr>
              <w:t>0</w:t>
            </w:r>
            <w:r>
              <w:rPr>
                <w:rFonts w:hint="eastAsia" w:ascii="仿宋" w:hAnsi="仿宋" w:eastAsia="仿宋" w:cs="仿宋"/>
                <w:color w:val="auto"/>
                <w:lang w:eastAsia="zh-CN"/>
              </w:rPr>
              <w:t>0）万元×0.</w:t>
            </w:r>
            <w:r>
              <w:rPr>
                <w:rFonts w:hint="eastAsia" w:ascii="仿宋" w:hAnsi="仿宋" w:eastAsia="仿宋" w:cs="仿宋"/>
                <w:color w:val="auto"/>
                <w:lang w:val="en-US" w:eastAsia="zh-CN"/>
              </w:rPr>
              <w:t>93</w:t>
            </w:r>
            <w:r>
              <w:rPr>
                <w:rFonts w:hint="eastAsia" w:ascii="仿宋" w:hAnsi="仿宋" w:eastAsia="仿宋" w:cs="仿宋"/>
                <w:color w:val="auto"/>
                <w:lang w:eastAsia="zh-CN"/>
              </w:rPr>
              <w:t>%=</w:t>
            </w:r>
            <w:r>
              <w:rPr>
                <w:rFonts w:hint="eastAsia" w:ascii="仿宋" w:hAnsi="仿宋" w:eastAsia="仿宋" w:cs="仿宋"/>
                <w:color w:val="auto"/>
                <w:lang w:val="en-US" w:eastAsia="zh-CN"/>
              </w:rPr>
              <w:t>4.65</w:t>
            </w:r>
            <w:r>
              <w:rPr>
                <w:rFonts w:hint="eastAsia" w:ascii="仿宋" w:hAnsi="仿宋" w:eastAsia="仿宋" w:cs="仿宋"/>
                <w:color w:val="auto"/>
                <w:lang w:eastAsia="zh-CN"/>
              </w:rPr>
              <w:t>（万元）</w:t>
            </w:r>
          </w:p>
          <w:p w14:paraId="73F9B899">
            <w:pPr>
              <w:spacing w:line="360" w:lineRule="auto"/>
              <w:rPr>
                <w:rFonts w:ascii="仿宋" w:hAnsi="仿宋" w:eastAsia="仿宋" w:cs="仿宋"/>
                <w:color w:val="auto"/>
                <w:sz w:val="21"/>
                <w:szCs w:val="21"/>
                <w:highlight w:val="none"/>
                <w:lang w:eastAsia="zh-CN"/>
              </w:rPr>
            </w:pPr>
            <w:r>
              <w:rPr>
                <w:rFonts w:hint="eastAsia" w:ascii="仿宋" w:hAnsi="仿宋" w:eastAsia="仿宋" w:cs="仿宋"/>
                <w:color w:val="auto"/>
                <w:lang w:eastAsia="zh-CN"/>
              </w:rPr>
              <w:t>（</w:t>
            </w:r>
            <w:r>
              <w:rPr>
                <w:rFonts w:hint="eastAsia" w:ascii="仿宋" w:hAnsi="仿宋" w:eastAsia="仿宋" w:cs="仿宋"/>
                <w:color w:val="auto"/>
                <w:lang w:val="en-US" w:eastAsia="zh-CN"/>
              </w:rPr>
              <w:t>1</w:t>
            </w:r>
            <w:r>
              <w:rPr>
                <w:rFonts w:hint="eastAsia" w:ascii="仿宋" w:hAnsi="仿宋" w:eastAsia="仿宋" w:cs="仿宋"/>
                <w:color w:val="auto"/>
                <w:lang w:eastAsia="zh-CN"/>
              </w:rPr>
              <w:t>000-</w:t>
            </w:r>
            <w:r>
              <w:rPr>
                <w:rFonts w:hint="eastAsia" w:ascii="仿宋" w:hAnsi="仿宋" w:eastAsia="仿宋" w:cs="仿宋"/>
                <w:color w:val="auto"/>
                <w:lang w:val="en-US" w:eastAsia="zh-CN"/>
              </w:rPr>
              <w:t>5</w:t>
            </w:r>
            <w:r>
              <w:rPr>
                <w:rFonts w:hint="eastAsia" w:ascii="仿宋" w:hAnsi="仿宋" w:eastAsia="仿宋" w:cs="仿宋"/>
                <w:color w:val="auto"/>
                <w:lang w:eastAsia="zh-CN"/>
              </w:rPr>
              <w:t>000）万元×0.</w:t>
            </w:r>
            <w:r>
              <w:rPr>
                <w:rFonts w:hint="eastAsia" w:ascii="仿宋" w:hAnsi="仿宋" w:eastAsia="仿宋" w:cs="仿宋"/>
                <w:color w:val="auto"/>
                <w:lang w:val="en-US" w:eastAsia="zh-CN"/>
              </w:rPr>
              <w:t>61</w:t>
            </w:r>
            <w:r>
              <w:rPr>
                <w:rFonts w:hint="eastAsia" w:ascii="仿宋" w:hAnsi="仿宋" w:eastAsia="仿宋" w:cs="仿宋"/>
                <w:color w:val="auto"/>
                <w:lang w:eastAsia="zh-CN"/>
              </w:rPr>
              <w:t>%=</w:t>
            </w:r>
            <w:r>
              <w:rPr>
                <w:rFonts w:hint="eastAsia" w:ascii="仿宋" w:hAnsi="仿宋" w:eastAsia="仿宋" w:cs="仿宋"/>
                <w:color w:val="auto"/>
                <w:lang w:val="en-US" w:eastAsia="zh-CN"/>
              </w:rPr>
              <w:t>24.4</w:t>
            </w:r>
            <w:r>
              <w:rPr>
                <w:rFonts w:hint="eastAsia" w:ascii="仿宋" w:hAnsi="仿宋" w:eastAsia="仿宋" w:cs="仿宋"/>
                <w:color w:val="auto"/>
                <w:lang w:eastAsia="zh-CN"/>
              </w:rPr>
              <w:t>（万元）</w:t>
            </w:r>
          </w:p>
        </w:tc>
      </w:tr>
      <w:tr w14:paraId="6333F7F4">
        <w:tblPrEx>
          <w:tblCellMar>
            <w:top w:w="0" w:type="dxa"/>
            <w:left w:w="108" w:type="dxa"/>
            <w:bottom w:w="0" w:type="dxa"/>
            <w:right w:w="108" w:type="dxa"/>
          </w:tblCellMar>
        </w:tblPrEx>
        <w:trPr>
          <w:trHeight w:val="84"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4120E635">
            <w:pPr>
              <w:spacing w:line="360" w:lineRule="auto"/>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26</w:t>
            </w:r>
          </w:p>
        </w:tc>
        <w:tc>
          <w:tcPr>
            <w:tcW w:w="8613" w:type="dxa"/>
            <w:gridSpan w:val="2"/>
            <w:tcBorders>
              <w:top w:val="single" w:color="auto" w:sz="4" w:space="0"/>
              <w:left w:val="single" w:color="auto" w:sz="4" w:space="0"/>
              <w:bottom w:val="single" w:color="auto" w:sz="4" w:space="0"/>
              <w:right w:val="single" w:color="auto" w:sz="4" w:space="0"/>
            </w:tcBorders>
            <w:vAlign w:val="center"/>
          </w:tcPr>
          <w:p w14:paraId="66B26DAE">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评标办法：本项目采用综合评分法</w:t>
            </w:r>
          </w:p>
        </w:tc>
      </w:tr>
      <w:tr w14:paraId="7BCA7EFE">
        <w:tblPrEx>
          <w:tblCellMar>
            <w:top w:w="0" w:type="dxa"/>
            <w:left w:w="108" w:type="dxa"/>
            <w:bottom w:w="0" w:type="dxa"/>
            <w:right w:w="108" w:type="dxa"/>
          </w:tblCellMar>
        </w:tblPrEx>
        <w:trPr>
          <w:trHeight w:val="84"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4D1D6370">
            <w:pPr>
              <w:spacing w:line="360" w:lineRule="auto"/>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27</w:t>
            </w:r>
          </w:p>
        </w:tc>
        <w:tc>
          <w:tcPr>
            <w:tcW w:w="8613" w:type="dxa"/>
            <w:gridSpan w:val="2"/>
            <w:tcBorders>
              <w:top w:val="single" w:color="auto" w:sz="4" w:space="0"/>
              <w:left w:val="single" w:color="auto" w:sz="4" w:space="0"/>
              <w:bottom w:val="single" w:color="auto" w:sz="4" w:space="0"/>
              <w:right w:val="single" w:color="auto" w:sz="4" w:space="0"/>
            </w:tcBorders>
            <w:vAlign w:val="center"/>
          </w:tcPr>
          <w:p w14:paraId="19C2156E">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不管投标结果如何，供应商均应承担自己投标所需一切费用。</w:t>
            </w:r>
          </w:p>
        </w:tc>
      </w:tr>
      <w:tr w14:paraId="0E8C6BDD">
        <w:tblPrEx>
          <w:tblCellMar>
            <w:top w:w="0" w:type="dxa"/>
            <w:left w:w="108" w:type="dxa"/>
            <w:bottom w:w="0" w:type="dxa"/>
            <w:right w:w="108" w:type="dxa"/>
          </w:tblCellMar>
        </w:tblPrEx>
        <w:trPr>
          <w:trHeight w:val="84"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02FD8054">
            <w:pPr>
              <w:spacing w:line="360" w:lineRule="auto"/>
              <w:jc w:val="both"/>
              <w:rPr>
                <w:rFonts w:hint="default" w:ascii="仿宋" w:hAnsi="仿宋" w:eastAsia="仿宋" w:cs="仿宋"/>
                <w:color w:val="auto"/>
                <w:sz w:val="21"/>
                <w:szCs w:val="21"/>
                <w:highlight w:val="none"/>
                <w:lang w:val="en-US" w:eastAsia="zh-CN"/>
              </w:rPr>
            </w:pPr>
            <w:r>
              <w:rPr>
                <w:rFonts w:hint="eastAsia" w:ascii="仿宋" w:hAnsi="仿宋" w:eastAsia="仿宋" w:cs="仿宋"/>
                <w:color w:val="auto"/>
                <w:highlight w:val="none"/>
                <w:lang w:val="en-US" w:eastAsia="zh-CN"/>
              </w:rPr>
              <w:t>28</w:t>
            </w:r>
          </w:p>
        </w:tc>
        <w:tc>
          <w:tcPr>
            <w:tcW w:w="8613" w:type="dxa"/>
            <w:gridSpan w:val="2"/>
            <w:tcBorders>
              <w:top w:val="single" w:color="auto" w:sz="4" w:space="0"/>
              <w:left w:val="single" w:color="auto" w:sz="4" w:space="0"/>
              <w:bottom w:val="single" w:color="auto" w:sz="4" w:space="0"/>
              <w:right w:val="single" w:color="auto" w:sz="4" w:space="0"/>
            </w:tcBorders>
            <w:vAlign w:val="center"/>
          </w:tcPr>
          <w:p w14:paraId="77C319E4">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本次招标预算价：</w:t>
            </w:r>
            <w:r>
              <w:rPr>
                <w:rFonts w:hint="eastAsia" w:ascii="仿宋" w:hAnsi="仿宋" w:eastAsia="仿宋" w:cs="仿宋"/>
                <w:color w:val="auto"/>
                <w:highlight w:val="none"/>
                <w:lang w:val="en-US" w:eastAsia="zh-CN"/>
              </w:rPr>
              <w:t>4000000.00</w:t>
            </w:r>
            <w:r>
              <w:rPr>
                <w:rFonts w:hint="eastAsia" w:ascii="仿宋" w:hAnsi="仿宋" w:eastAsia="仿宋" w:cs="仿宋"/>
                <w:color w:val="auto"/>
                <w:highlight w:val="none"/>
                <w:lang w:eastAsia="zh-CN"/>
              </w:rPr>
              <w:t>元，投标总报价超过招标预算价的按废标处理。</w:t>
            </w:r>
          </w:p>
        </w:tc>
      </w:tr>
      <w:tr w14:paraId="283F1BFC">
        <w:tblPrEx>
          <w:tblCellMar>
            <w:top w:w="0" w:type="dxa"/>
            <w:left w:w="108" w:type="dxa"/>
            <w:bottom w:w="0" w:type="dxa"/>
            <w:right w:w="108" w:type="dxa"/>
          </w:tblCellMar>
        </w:tblPrEx>
        <w:trPr>
          <w:trHeight w:val="84" w:hRule="atLeast"/>
          <w:jc w:val="center"/>
        </w:trPr>
        <w:tc>
          <w:tcPr>
            <w:tcW w:w="558" w:type="dxa"/>
            <w:vMerge w:val="restart"/>
            <w:tcBorders>
              <w:top w:val="single" w:color="auto" w:sz="4" w:space="0"/>
              <w:left w:val="single" w:color="auto" w:sz="4" w:space="0"/>
              <w:bottom w:val="single" w:color="auto" w:sz="4" w:space="0"/>
              <w:right w:val="single" w:color="auto" w:sz="4" w:space="0"/>
            </w:tcBorders>
            <w:vAlign w:val="center"/>
          </w:tcPr>
          <w:p w14:paraId="5B61F544">
            <w:pPr>
              <w:spacing w:line="360" w:lineRule="auto"/>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29</w:t>
            </w:r>
          </w:p>
        </w:tc>
        <w:tc>
          <w:tcPr>
            <w:tcW w:w="1407" w:type="dxa"/>
            <w:vMerge w:val="restart"/>
            <w:tcBorders>
              <w:top w:val="single" w:color="auto" w:sz="4" w:space="0"/>
              <w:left w:val="single" w:color="auto" w:sz="4" w:space="0"/>
              <w:bottom w:val="single" w:color="auto" w:sz="4" w:space="0"/>
              <w:right w:val="single" w:color="auto" w:sz="4" w:space="0"/>
            </w:tcBorders>
            <w:vAlign w:val="center"/>
          </w:tcPr>
          <w:p w14:paraId="435A83F1">
            <w:pPr>
              <w:spacing w:line="360" w:lineRule="auto"/>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中小微企业政策文件</w:t>
            </w:r>
          </w:p>
        </w:tc>
        <w:tc>
          <w:tcPr>
            <w:tcW w:w="7206" w:type="dxa"/>
            <w:tcBorders>
              <w:top w:val="single" w:color="auto" w:sz="4" w:space="0"/>
              <w:left w:val="single" w:color="auto" w:sz="4" w:space="0"/>
              <w:bottom w:val="single" w:color="auto" w:sz="4" w:space="0"/>
              <w:right w:val="single" w:color="auto" w:sz="4" w:space="0"/>
            </w:tcBorders>
            <w:vAlign w:val="center"/>
          </w:tcPr>
          <w:p w14:paraId="5C6E90B2">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（1）根据财政部、工业和信息化部关于印发《政府采购促进中小企业发展管理办法》的通知（财库[2020]46号）和（财库[2022]19号）</w:t>
            </w:r>
            <w:r>
              <w:rPr>
                <w:rFonts w:hint="eastAsia" w:ascii="仿宋" w:hAnsi="仿宋" w:eastAsia="仿宋" w:cs="仿宋"/>
                <w:b w:val="0"/>
                <w:bCs w:val="0"/>
                <w:color w:val="auto"/>
                <w:highlight w:val="none"/>
                <w:lang w:eastAsia="zh-CN"/>
              </w:rPr>
              <w:t>，供应商</w:t>
            </w:r>
            <w:r>
              <w:rPr>
                <w:rFonts w:hint="eastAsia" w:ascii="仿宋" w:hAnsi="仿宋" w:eastAsia="仿宋" w:cs="仿宋"/>
                <w:b w:val="0"/>
                <w:bCs w:val="0"/>
                <w:color w:val="auto"/>
                <w:highlight w:val="none"/>
                <w:lang w:val="en-US" w:eastAsia="zh-CN"/>
              </w:rPr>
              <w:t>制造的货物</w:t>
            </w:r>
            <w:r>
              <w:rPr>
                <w:rFonts w:hint="eastAsia" w:ascii="仿宋" w:hAnsi="仿宋" w:eastAsia="仿宋" w:cs="仿宋"/>
                <w:b w:val="0"/>
                <w:bCs w:val="0"/>
                <w:color w:val="auto"/>
                <w:highlight w:val="none"/>
                <w:lang w:eastAsia="zh-CN"/>
              </w:rPr>
              <w:t>属于《工业和信息化部、国家统计局、国家发展和改革委员会、财政部关于印发中小企业划型标准规定的通知》（工信部联企业[2011]300号）中规定的小型、微型企业标准的，按招标文件格式提供《中小企业声明函》。</w:t>
            </w:r>
          </w:p>
        </w:tc>
      </w:tr>
      <w:tr w14:paraId="1948F6BD">
        <w:tblPrEx>
          <w:tblCellMar>
            <w:top w:w="0" w:type="dxa"/>
            <w:left w:w="108" w:type="dxa"/>
            <w:bottom w:w="0" w:type="dxa"/>
            <w:right w:w="108" w:type="dxa"/>
          </w:tblCellMar>
        </w:tblPrEx>
        <w:trPr>
          <w:trHeight w:val="84" w:hRule="atLeast"/>
          <w:jc w:val="center"/>
        </w:trPr>
        <w:tc>
          <w:tcPr>
            <w:tcW w:w="558" w:type="dxa"/>
            <w:vMerge w:val="continue"/>
            <w:tcBorders>
              <w:top w:val="single" w:color="auto" w:sz="4" w:space="0"/>
              <w:left w:val="single" w:color="auto" w:sz="4" w:space="0"/>
              <w:bottom w:val="single" w:color="auto" w:sz="4" w:space="0"/>
              <w:right w:val="single" w:color="auto" w:sz="4" w:space="0"/>
            </w:tcBorders>
            <w:vAlign w:val="center"/>
          </w:tcPr>
          <w:p w14:paraId="2E57F127">
            <w:pPr>
              <w:spacing w:line="360" w:lineRule="auto"/>
              <w:rPr>
                <w:rFonts w:ascii="仿宋" w:hAnsi="仿宋" w:eastAsia="仿宋" w:cs="仿宋"/>
                <w:color w:val="auto"/>
                <w:highlight w:val="none"/>
                <w:lang w:eastAsia="zh-CN"/>
              </w:rPr>
            </w:pPr>
          </w:p>
        </w:tc>
        <w:tc>
          <w:tcPr>
            <w:tcW w:w="1407" w:type="dxa"/>
            <w:vMerge w:val="continue"/>
            <w:tcBorders>
              <w:top w:val="single" w:color="auto" w:sz="4" w:space="0"/>
              <w:left w:val="single" w:color="auto" w:sz="4" w:space="0"/>
              <w:bottom w:val="single" w:color="auto" w:sz="4" w:space="0"/>
              <w:right w:val="single" w:color="auto" w:sz="4" w:space="0"/>
            </w:tcBorders>
            <w:vAlign w:val="center"/>
          </w:tcPr>
          <w:p w14:paraId="356FD742">
            <w:pPr>
              <w:spacing w:line="360" w:lineRule="auto"/>
              <w:rPr>
                <w:rFonts w:ascii="仿宋" w:hAnsi="仿宋" w:eastAsia="仿宋" w:cs="仿宋"/>
                <w:color w:val="auto"/>
                <w:highlight w:val="none"/>
                <w:lang w:eastAsia="zh-CN"/>
              </w:rPr>
            </w:pPr>
          </w:p>
        </w:tc>
        <w:tc>
          <w:tcPr>
            <w:tcW w:w="7206" w:type="dxa"/>
            <w:tcBorders>
              <w:top w:val="single" w:color="auto" w:sz="4" w:space="0"/>
              <w:left w:val="single" w:color="auto" w:sz="4" w:space="0"/>
              <w:bottom w:val="single" w:color="auto" w:sz="4" w:space="0"/>
              <w:right w:val="single" w:color="auto" w:sz="4" w:space="0"/>
            </w:tcBorders>
            <w:vAlign w:val="center"/>
          </w:tcPr>
          <w:p w14:paraId="52766239">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（2）根据财政部、</w:t>
            </w:r>
            <w:r>
              <w:rPr>
                <w:rFonts w:hint="eastAsia" w:ascii="仿宋" w:hAnsi="仿宋" w:eastAsia="仿宋" w:cs="仿宋"/>
                <w:color w:val="auto"/>
                <w:highlight w:val="none"/>
                <w:lang w:val="en-US" w:eastAsia="zh-CN"/>
              </w:rPr>
              <w:t>司法</w:t>
            </w:r>
            <w:r>
              <w:rPr>
                <w:rFonts w:hint="eastAsia" w:ascii="仿宋" w:hAnsi="仿宋" w:eastAsia="仿宋" w:cs="仿宋"/>
                <w:color w:val="auto"/>
                <w:highlight w:val="none"/>
                <w:lang w:eastAsia="zh-CN"/>
              </w:rPr>
              <w:t>部《关于政府采购支持监狱企业发展有关问题》的通知财库[2014]68号，监狱企业参加本项目投标时，应当提供由省级以上监狱管理局、戒毒管理局（新疆生产建设兵团）出具的属于</w:t>
            </w:r>
            <w:r>
              <w:rPr>
                <w:rFonts w:hint="eastAsia" w:ascii="仿宋" w:hAnsi="仿宋" w:eastAsia="仿宋" w:cs="仿宋"/>
                <w:b w:val="0"/>
                <w:bCs w:val="0"/>
                <w:color w:val="auto"/>
                <w:highlight w:val="none"/>
                <w:lang w:eastAsia="zh-CN"/>
              </w:rPr>
              <w:t>监狱企业的证明文件。</w:t>
            </w:r>
            <w:r>
              <w:rPr>
                <w:rFonts w:hint="eastAsia" w:ascii="仿宋" w:hAnsi="仿宋" w:eastAsia="仿宋" w:cs="仿宋"/>
                <w:color w:val="auto"/>
                <w:highlight w:val="none"/>
                <w:lang w:eastAsia="zh-CN"/>
              </w:rPr>
              <w:t>监狱企业视同小型、微型企业。</w:t>
            </w:r>
          </w:p>
        </w:tc>
      </w:tr>
      <w:tr w14:paraId="7182995F">
        <w:tblPrEx>
          <w:tblCellMar>
            <w:top w:w="0" w:type="dxa"/>
            <w:left w:w="108" w:type="dxa"/>
            <w:bottom w:w="0" w:type="dxa"/>
            <w:right w:w="108" w:type="dxa"/>
          </w:tblCellMar>
        </w:tblPrEx>
        <w:trPr>
          <w:trHeight w:val="84" w:hRule="atLeast"/>
          <w:jc w:val="center"/>
        </w:trPr>
        <w:tc>
          <w:tcPr>
            <w:tcW w:w="558" w:type="dxa"/>
            <w:vMerge w:val="continue"/>
            <w:tcBorders>
              <w:top w:val="single" w:color="auto" w:sz="4" w:space="0"/>
              <w:left w:val="single" w:color="auto" w:sz="4" w:space="0"/>
              <w:bottom w:val="single" w:color="auto" w:sz="4" w:space="0"/>
              <w:right w:val="single" w:color="auto" w:sz="4" w:space="0"/>
            </w:tcBorders>
            <w:vAlign w:val="center"/>
          </w:tcPr>
          <w:p w14:paraId="5F5BF1CB">
            <w:pPr>
              <w:spacing w:line="360" w:lineRule="auto"/>
              <w:rPr>
                <w:rFonts w:ascii="仿宋" w:hAnsi="仿宋" w:eastAsia="仿宋" w:cs="仿宋"/>
                <w:color w:val="auto"/>
                <w:highlight w:val="none"/>
                <w:lang w:eastAsia="zh-CN"/>
              </w:rPr>
            </w:pPr>
          </w:p>
        </w:tc>
        <w:tc>
          <w:tcPr>
            <w:tcW w:w="1407" w:type="dxa"/>
            <w:vMerge w:val="continue"/>
            <w:tcBorders>
              <w:top w:val="single" w:color="auto" w:sz="4" w:space="0"/>
              <w:left w:val="single" w:color="auto" w:sz="4" w:space="0"/>
              <w:bottom w:val="single" w:color="auto" w:sz="4" w:space="0"/>
              <w:right w:val="single" w:color="auto" w:sz="4" w:space="0"/>
            </w:tcBorders>
            <w:vAlign w:val="center"/>
          </w:tcPr>
          <w:p w14:paraId="09BCF9F1">
            <w:pPr>
              <w:spacing w:line="360" w:lineRule="auto"/>
              <w:rPr>
                <w:rFonts w:ascii="仿宋" w:hAnsi="仿宋" w:eastAsia="仿宋" w:cs="仿宋"/>
                <w:color w:val="auto"/>
                <w:highlight w:val="none"/>
                <w:lang w:eastAsia="zh-CN"/>
              </w:rPr>
            </w:pPr>
          </w:p>
        </w:tc>
        <w:tc>
          <w:tcPr>
            <w:tcW w:w="7206" w:type="dxa"/>
            <w:tcBorders>
              <w:top w:val="single" w:color="auto" w:sz="4" w:space="0"/>
              <w:left w:val="single" w:color="auto" w:sz="4" w:space="0"/>
              <w:bottom w:val="single" w:color="auto" w:sz="4" w:space="0"/>
              <w:right w:val="single" w:color="auto" w:sz="4" w:space="0"/>
            </w:tcBorders>
            <w:vAlign w:val="center"/>
          </w:tcPr>
          <w:p w14:paraId="60AD0032">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3）根据财政部、民政部、中国残疾人联合会《关于促进残疾人就业政府采购政策的通知》（财库[2017]141号），在政府采购活动中，残疾人福利性单位视同小型、微型企业。供应商属于残疾人福利性单位的，按照招标文件格式提供残疾人福利性单位声明函。</w:t>
            </w:r>
          </w:p>
        </w:tc>
      </w:tr>
      <w:tr w14:paraId="44A86A02">
        <w:tblPrEx>
          <w:tblCellMar>
            <w:top w:w="0" w:type="dxa"/>
            <w:left w:w="108" w:type="dxa"/>
            <w:bottom w:w="0" w:type="dxa"/>
            <w:right w:w="108" w:type="dxa"/>
          </w:tblCellMar>
        </w:tblPrEx>
        <w:trPr>
          <w:trHeight w:val="262" w:hRule="atLeast"/>
          <w:jc w:val="center"/>
        </w:trPr>
        <w:tc>
          <w:tcPr>
            <w:tcW w:w="558" w:type="dxa"/>
            <w:vMerge w:val="restart"/>
            <w:tcBorders>
              <w:top w:val="single" w:color="000000" w:sz="4" w:space="0"/>
              <w:left w:val="single" w:color="000000" w:sz="4" w:space="0"/>
              <w:right w:val="single" w:color="000000" w:sz="4" w:space="0"/>
              <w:tl2br w:val="nil"/>
            </w:tcBorders>
            <w:shd w:val="clear" w:color="auto" w:fill="FFFFFF"/>
            <w:vAlign w:val="center"/>
          </w:tcPr>
          <w:p w14:paraId="7521B7A0">
            <w:pPr>
              <w:spacing w:line="360" w:lineRule="auto"/>
              <w:rPr>
                <w:rFonts w:hint="default" w:ascii="仿宋" w:hAnsi="仿宋" w:eastAsia="仿宋" w:cs="仿宋"/>
                <w:b w:val="0"/>
                <w:color w:val="auto"/>
                <w:highlight w:val="none"/>
                <w:lang w:val="en-US" w:eastAsia="zh-CN"/>
              </w:rPr>
            </w:pPr>
            <w:r>
              <w:rPr>
                <w:rFonts w:hint="eastAsia" w:ascii="仿宋" w:hAnsi="仿宋" w:eastAsia="仿宋" w:cs="仿宋"/>
                <w:b w:val="0"/>
                <w:color w:val="auto"/>
                <w:highlight w:val="none"/>
                <w:lang w:val="en-US" w:eastAsia="zh-CN"/>
              </w:rPr>
              <w:t>30</w:t>
            </w:r>
          </w:p>
        </w:tc>
        <w:tc>
          <w:tcPr>
            <w:tcW w:w="1407" w:type="dxa"/>
            <w:vMerge w:val="restart"/>
            <w:tcBorders>
              <w:top w:val="single" w:color="000000" w:sz="4" w:space="0"/>
              <w:left w:val="single" w:color="000000" w:sz="4" w:space="0"/>
              <w:right w:val="single" w:color="000000" w:sz="4" w:space="0"/>
            </w:tcBorders>
            <w:shd w:val="clear" w:color="auto" w:fill="FFFFFF"/>
            <w:vAlign w:val="center"/>
          </w:tcPr>
          <w:p w14:paraId="3FDA2A69">
            <w:pPr>
              <w:spacing w:line="360" w:lineRule="auto"/>
              <w:jc w:val="center"/>
              <w:rPr>
                <w:rFonts w:ascii="仿宋" w:hAnsi="仿宋" w:eastAsia="仿宋" w:cs="仿宋"/>
                <w:b w:val="0"/>
                <w:color w:val="auto"/>
                <w:highlight w:val="none"/>
                <w:lang w:eastAsia="zh-CN"/>
              </w:rPr>
            </w:pPr>
            <w:r>
              <w:rPr>
                <w:rFonts w:hint="eastAsia" w:ascii="仿宋" w:hAnsi="仿宋" w:eastAsia="仿宋" w:cs="仿宋"/>
                <w:color w:val="auto"/>
                <w:highlight w:val="none"/>
                <w:lang w:eastAsia="zh-CN"/>
              </w:rPr>
              <w:t>中小微企业政策文件说明</w:t>
            </w:r>
          </w:p>
        </w:tc>
        <w:tc>
          <w:tcPr>
            <w:tcW w:w="7206" w:type="dxa"/>
            <w:tcBorders>
              <w:top w:val="single" w:color="auto" w:sz="4" w:space="0"/>
              <w:left w:val="single" w:color="auto" w:sz="4" w:space="0"/>
              <w:bottom w:val="single" w:color="auto" w:sz="4" w:space="0"/>
              <w:right w:val="single" w:color="auto" w:sz="4" w:space="0"/>
            </w:tcBorders>
            <w:vAlign w:val="center"/>
          </w:tcPr>
          <w:p w14:paraId="3888F1B6">
            <w:pPr>
              <w:spacing w:line="360" w:lineRule="auto"/>
              <w:rPr>
                <w:rFonts w:hint="eastAsia" w:ascii="仿宋" w:hAnsi="仿宋" w:eastAsia="仿宋" w:cs="仿宋"/>
                <w:b w:val="0"/>
                <w:bCs w:val="0"/>
                <w:i w:val="0"/>
                <w:iCs w:val="0"/>
                <w:caps w:val="0"/>
                <w:color w:val="auto"/>
                <w:spacing w:val="0"/>
                <w:sz w:val="24"/>
                <w:szCs w:val="24"/>
                <w:lang w:eastAsia="zh-CN"/>
              </w:rPr>
            </w:pPr>
            <w:r>
              <w:rPr>
                <w:rFonts w:hint="eastAsia" w:ascii="仿宋" w:hAnsi="仿宋" w:eastAsia="仿宋" w:cs="仿宋"/>
                <w:color w:val="auto"/>
                <w:lang w:eastAsia="zh-CN"/>
              </w:rPr>
              <w:t>（</w:t>
            </w:r>
            <w:r>
              <w:rPr>
                <w:rFonts w:hint="eastAsia" w:ascii="仿宋" w:hAnsi="仿宋" w:eastAsia="仿宋" w:cs="仿宋"/>
                <w:color w:val="auto"/>
                <w:lang w:val="en-US" w:eastAsia="zh-CN"/>
              </w:rPr>
              <w:t>1</w:t>
            </w:r>
            <w:r>
              <w:rPr>
                <w:rFonts w:hint="eastAsia" w:ascii="仿宋" w:hAnsi="仿宋" w:eastAsia="仿宋" w:cs="仿宋"/>
                <w:color w:val="auto"/>
                <w:lang w:eastAsia="zh-CN"/>
              </w:rPr>
              <w:t>）</w:t>
            </w:r>
            <w:r>
              <w:rPr>
                <w:rFonts w:hint="eastAsia" w:ascii="仿宋" w:hAnsi="仿宋" w:eastAsia="仿宋" w:cs="仿宋"/>
                <w:color w:val="auto"/>
              </w:rPr>
              <w:t>本项目为专门面向中小企业（含中型、小型、微型企业）采购项目</w:t>
            </w:r>
            <w:r>
              <w:rPr>
                <w:rFonts w:hint="eastAsia" w:ascii="仿宋" w:hAnsi="仿宋" w:eastAsia="仿宋" w:cs="仿宋"/>
                <w:color w:val="auto"/>
                <w:lang w:eastAsia="zh-CN"/>
              </w:rPr>
              <w:t>，</w:t>
            </w:r>
            <w:r>
              <w:rPr>
                <w:rFonts w:hint="eastAsia" w:ascii="仿宋" w:hAnsi="仿宋" w:eastAsia="仿宋" w:cs="仿宋"/>
                <w:b/>
                <w:bCs/>
                <w:color w:val="auto"/>
                <w:lang w:eastAsia="zh-CN"/>
              </w:rPr>
              <w:t>不再执行价格评审优惠扶持政策</w:t>
            </w:r>
            <w:r>
              <w:rPr>
                <w:rFonts w:hint="eastAsia" w:ascii="仿宋" w:hAnsi="仿宋" w:eastAsia="仿宋" w:cs="仿宋"/>
                <w:b/>
                <w:bCs/>
                <w:color w:val="auto"/>
                <w:lang w:val="en-US" w:eastAsia="zh-CN"/>
              </w:rPr>
              <w:t>。</w:t>
            </w:r>
          </w:p>
        </w:tc>
      </w:tr>
      <w:tr w14:paraId="23818712">
        <w:tblPrEx>
          <w:tblCellMar>
            <w:top w:w="0" w:type="dxa"/>
            <w:left w:w="108" w:type="dxa"/>
            <w:bottom w:w="0" w:type="dxa"/>
            <w:right w:w="108" w:type="dxa"/>
          </w:tblCellMar>
        </w:tblPrEx>
        <w:trPr>
          <w:trHeight w:val="90" w:hRule="atLeast"/>
          <w:jc w:val="center"/>
        </w:trPr>
        <w:tc>
          <w:tcPr>
            <w:tcW w:w="558" w:type="dxa"/>
            <w:vMerge w:val="continue"/>
            <w:tcBorders>
              <w:left w:val="single" w:color="000000" w:sz="4" w:space="0"/>
              <w:right w:val="single" w:color="000000" w:sz="4" w:space="0"/>
            </w:tcBorders>
            <w:vAlign w:val="center"/>
          </w:tcPr>
          <w:p w14:paraId="59E163BE">
            <w:pPr>
              <w:spacing w:line="360" w:lineRule="auto"/>
              <w:jc w:val="center"/>
              <w:rPr>
                <w:rFonts w:ascii="仿宋" w:hAnsi="仿宋" w:eastAsia="仿宋" w:cs="仿宋"/>
                <w:color w:val="auto"/>
                <w:sz w:val="21"/>
                <w:szCs w:val="21"/>
                <w:highlight w:val="none"/>
                <w:lang w:eastAsia="zh-CN"/>
              </w:rPr>
            </w:pPr>
          </w:p>
        </w:tc>
        <w:tc>
          <w:tcPr>
            <w:tcW w:w="1407" w:type="dxa"/>
            <w:vMerge w:val="continue"/>
            <w:tcBorders>
              <w:left w:val="single" w:color="000000" w:sz="4" w:space="0"/>
              <w:right w:val="single" w:color="000000" w:sz="4" w:space="0"/>
            </w:tcBorders>
            <w:vAlign w:val="center"/>
          </w:tcPr>
          <w:p w14:paraId="577C962C">
            <w:pPr>
              <w:spacing w:line="360" w:lineRule="auto"/>
              <w:rPr>
                <w:rFonts w:ascii="仿宋" w:hAnsi="仿宋" w:eastAsia="仿宋" w:cs="仿宋"/>
                <w:color w:val="auto"/>
                <w:sz w:val="21"/>
                <w:szCs w:val="21"/>
                <w:highlight w:val="none"/>
                <w:lang w:eastAsia="zh-CN"/>
              </w:rPr>
            </w:pPr>
          </w:p>
        </w:tc>
        <w:tc>
          <w:tcPr>
            <w:tcW w:w="7206" w:type="dxa"/>
            <w:tcBorders>
              <w:top w:val="single" w:color="auto" w:sz="4" w:space="0"/>
              <w:left w:val="single" w:color="auto" w:sz="4" w:space="0"/>
              <w:bottom w:val="single" w:color="auto" w:sz="4" w:space="0"/>
              <w:right w:val="single" w:color="auto" w:sz="4" w:space="0"/>
            </w:tcBorders>
            <w:vAlign w:val="center"/>
          </w:tcPr>
          <w:p w14:paraId="5CCD6E2D">
            <w:pPr>
              <w:numPr>
                <w:ilvl w:val="0"/>
                <w:numId w:val="0"/>
              </w:numPr>
              <w:spacing w:line="360" w:lineRule="auto"/>
              <w:ind w:left="0" w:leftChars="0" w:firstLine="0" w:firstLineChars="0"/>
              <w:rPr>
                <w:rFonts w:hint="eastAsia"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w:t>
            </w:r>
            <w:r>
              <w:rPr>
                <w:rFonts w:hint="eastAsia" w:ascii="仿宋" w:hAnsi="仿宋" w:eastAsia="仿宋" w:cs="仿宋"/>
                <w:b/>
                <w:bCs/>
                <w:color w:val="auto"/>
                <w:highlight w:val="none"/>
                <w:lang w:val="en-US" w:eastAsia="zh-CN"/>
              </w:rPr>
              <w:t>2</w:t>
            </w:r>
            <w:r>
              <w:rPr>
                <w:rFonts w:hint="eastAsia" w:ascii="仿宋" w:hAnsi="仿宋" w:eastAsia="仿宋" w:cs="仿宋"/>
                <w:b/>
                <w:bCs/>
                <w:color w:val="auto"/>
                <w:highlight w:val="none"/>
                <w:lang w:eastAsia="zh-CN"/>
              </w:rPr>
              <w:t>）本项目货物所属行业：</w:t>
            </w:r>
            <w:r>
              <w:rPr>
                <w:rFonts w:hint="eastAsia" w:ascii="仿宋" w:hAnsi="仿宋" w:eastAsia="仿宋" w:cs="仿宋"/>
                <w:b/>
                <w:bCs/>
                <w:color w:val="auto"/>
                <w:highlight w:val="none"/>
                <w:u w:val="single"/>
                <w:lang w:eastAsia="zh-CN"/>
              </w:rPr>
              <w:t>工业</w:t>
            </w:r>
          </w:p>
        </w:tc>
      </w:tr>
      <w:tr w14:paraId="21938F42">
        <w:tblPrEx>
          <w:tblCellMar>
            <w:top w:w="0" w:type="dxa"/>
            <w:left w:w="108" w:type="dxa"/>
            <w:bottom w:w="0" w:type="dxa"/>
            <w:right w:w="108" w:type="dxa"/>
          </w:tblCellMar>
        </w:tblPrEx>
        <w:trPr>
          <w:trHeight w:val="459" w:hRule="atLeast"/>
          <w:jc w:val="center"/>
        </w:trPr>
        <w:tc>
          <w:tcPr>
            <w:tcW w:w="558" w:type="dxa"/>
            <w:vMerge w:val="continue"/>
            <w:tcBorders>
              <w:left w:val="single" w:color="000000" w:sz="4" w:space="0"/>
              <w:right w:val="single" w:color="000000" w:sz="4" w:space="0"/>
            </w:tcBorders>
            <w:vAlign w:val="center"/>
          </w:tcPr>
          <w:p w14:paraId="5003B1AB">
            <w:pPr>
              <w:spacing w:line="360" w:lineRule="auto"/>
              <w:jc w:val="center"/>
              <w:rPr>
                <w:rFonts w:ascii="仿宋" w:hAnsi="仿宋" w:eastAsia="仿宋" w:cs="仿宋"/>
                <w:color w:val="auto"/>
                <w:sz w:val="21"/>
                <w:szCs w:val="21"/>
                <w:highlight w:val="none"/>
                <w:lang w:eastAsia="zh-CN"/>
              </w:rPr>
            </w:pPr>
          </w:p>
        </w:tc>
        <w:tc>
          <w:tcPr>
            <w:tcW w:w="1407" w:type="dxa"/>
            <w:vMerge w:val="continue"/>
            <w:tcBorders>
              <w:left w:val="single" w:color="000000" w:sz="4" w:space="0"/>
              <w:right w:val="single" w:color="000000" w:sz="4" w:space="0"/>
            </w:tcBorders>
            <w:vAlign w:val="center"/>
          </w:tcPr>
          <w:p w14:paraId="4BEBC70A">
            <w:pPr>
              <w:spacing w:line="360" w:lineRule="auto"/>
              <w:rPr>
                <w:rFonts w:ascii="仿宋" w:hAnsi="仿宋" w:eastAsia="仿宋" w:cs="仿宋"/>
                <w:color w:val="auto"/>
                <w:sz w:val="21"/>
                <w:szCs w:val="21"/>
                <w:highlight w:val="none"/>
                <w:lang w:eastAsia="zh-CN"/>
              </w:rPr>
            </w:pPr>
          </w:p>
        </w:tc>
        <w:tc>
          <w:tcPr>
            <w:tcW w:w="7206" w:type="dxa"/>
            <w:tcBorders>
              <w:top w:val="single" w:color="auto" w:sz="4" w:space="0"/>
              <w:left w:val="single" w:color="auto" w:sz="4" w:space="0"/>
              <w:bottom w:val="single" w:color="auto" w:sz="4" w:space="0"/>
              <w:right w:val="single" w:color="auto" w:sz="4" w:space="0"/>
            </w:tcBorders>
            <w:vAlign w:val="center"/>
          </w:tcPr>
          <w:p w14:paraId="08BA348A">
            <w:pPr>
              <w:spacing w:line="360" w:lineRule="auto"/>
              <w:rPr>
                <w:rFonts w:hint="default" w:ascii="仿宋" w:hAnsi="仿宋" w:eastAsia="仿宋" w:cs="仿宋"/>
                <w:b/>
                <w:bCs/>
                <w:color w:val="auto"/>
                <w:highlight w:val="none"/>
                <w:lang w:val="en-US" w:eastAsia="zh-CN"/>
              </w:rPr>
            </w:pPr>
            <w:r>
              <w:rPr>
                <w:rFonts w:hint="eastAsia" w:ascii="仿宋" w:hAnsi="仿宋" w:eastAsia="仿宋" w:cs="仿宋"/>
                <w:b/>
                <w:color w:val="auto"/>
                <w:sz w:val="24"/>
                <w:szCs w:val="24"/>
                <w:highlight w:val="none"/>
                <w:lang w:eastAsia="zh-CN"/>
              </w:rPr>
              <w:t>着重提醒：</w:t>
            </w:r>
            <w:r>
              <w:rPr>
                <w:rFonts w:hint="eastAsia" w:ascii="仿宋" w:hAnsi="仿宋" w:eastAsia="仿宋" w:cs="仿宋"/>
                <w:b/>
                <w:bCs/>
                <w:color w:val="auto"/>
                <w:lang w:eastAsia="zh-CN"/>
              </w:rPr>
              <w:t>投标供应商在提供《中小企业声明函》时，必须将招标文件采购标的物全部列入《中小企业声明函》，否则专门面向中小企业的项目做废标处理。</w:t>
            </w:r>
          </w:p>
        </w:tc>
      </w:tr>
      <w:tr w14:paraId="79FEA7B0">
        <w:tblPrEx>
          <w:tblCellMar>
            <w:top w:w="0" w:type="dxa"/>
            <w:left w:w="108" w:type="dxa"/>
            <w:bottom w:w="0" w:type="dxa"/>
            <w:right w:w="108" w:type="dxa"/>
          </w:tblCellMar>
        </w:tblPrEx>
        <w:trPr>
          <w:trHeight w:val="1727" w:hRule="atLeast"/>
          <w:jc w:val="center"/>
        </w:trPr>
        <w:tc>
          <w:tcPr>
            <w:tcW w:w="558" w:type="dxa"/>
            <w:tcBorders>
              <w:top w:val="single" w:color="auto" w:sz="4" w:space="0"/>
              <w:left w:val="single" w:color="auto" w:sz="4" w:space="0"/>
              <w:bottom w:val="single" w:color="auto" w:sz="4" w:space="0"/>
              <w:right w:val="single" w:color="auto" w:sz="4" w:space="0"/>
            </w:tcBorders>
            <w:shd w:val="clear" w:color="auto" w:fill="auto"/>
            <w:vAlign w:val="center"/>
          </w:tcPr>
          <w:p w14:paraId="07642C44">
            <w:pPr>
              <w:spacing w:line="360" w:lineRule="auto"/>
              <w:rPr>
                <w:rFonts w:hint="eastAsia" w:ascii="仿宋" w:hAnsi="仿宋" w:eastAsia="仿宋" w:cs="仿宋"/>
                <w:color w:val="auto"/>
                <w:sz w:val="24"/>
                <w:szCs w:val="24"/>
                <w:highlight w:val="none"/>
                <w:lang w:val="en-US" w:eastAsia="zh-CN" w:bidi="en-US"/>
              </w:rPr>
            </w:pPr>
            <w:r>
              <w:rPr>
                <w:rFonts w:hint="eastAsia" w:ascii="仿宋" w:hAnsi="仿宋" w:eastAsia="仿宋" w:cs="仿宋"/>
                <w:color w:val="auto"/>
                <w:highlight w:val="none"/>
                <w:lang w:val="en-US" w:eastAsia="zh-CN"/>
              </w:rPr>
              <w:t>31</w:t>
            </w:r>
          </w:p>
        </w:tc>
        <w:tc>
          <w:tcPr>
            <w:tcW w:w="1407" w:type="dxa"/>
            <w:tcBorders>
              <w:top w:val="single" w:color="auto" w:sz="4" w:space="0"/>
              <w:left w:val="single" w:color="auto" w:sz="4" w:space="0"/>
              <w:bottom w:val="single" w:color="auto" w:sz="4" w:space="0"/>
              <w:right w:val="single" w:color="auto" w:sz="4" w:space="0"/>
            </w:tcBorders>
            <w:shd w:val="clear" w:color="auto" w:fill="auto"/>
            <w:vAlign w:val="center"/>
          </w:tcPr>
          <w:p w14:paraId="43D9F941">
            <w:pPr>
              <w:spacing w:line="360" w:lineRule="auto"/>
              <w:jc w:val="center"/>
              <w:rPr>
                <w:rFonts w:ascii="仿宋" w:hAnsi="仿宋" w:eastAsia="仿宋" w:cs="仿宋"/>
                <w:color w:val="auto"/>
                <w:sz w:val="24"/>
                <w:szCs w:val="24"/>
                <w:highlight w:val="none"/>
                <w:lang w:val="en-US" w:eastAsia="zh-CN" w:bidi="en-US"/>
              </w:rPr>
            </w:pPr>
            <w:r>
              <w:rPr>
                <w:rFonts w:hint="eastAsia" w:ascii="仿宋" w:hAnsi="仿宋" w:eastAsia="仿宋" w:cs="仿宋"/>
                <w:color w:val="auto"/>
                <w:highlight w:val="none"/>
                <w:lang w:val="en-US" w:eastAsia="zh-CN"/>
              </w:rPr>
              <w:t>政府采购中实施本国产品标准及相关政</w:t>
            </w:r>
          </w:p>
        </w:tc>
        <w:tc>
          <w:tcPr>
            <w:tcW w:w="7206" w:type="dxa"/>
            <w:tcBorders>
              <w:top w:val="single" w:color="auto" w:sz="4" w:space="0"/>
              <w:left w:val="single" w:color="auto" w:sz="4" w:space="0"/>
              <w:bottom w:val="single" w:color="auto" w:sz="4" w:space="0"/>
              <w:right w:val="single" w:color="auto" w:sz="4" w:space="0"/>
            </w:tcBorders>
            <w:shd w:val="clear" w:color="auto" w:fill="auto"/>
            <w:vAlign w:val="center"/>
          </w:tcPr>
          <w:p w14:paraId="7A82640E">
            <w:pPr>
              <w:pStyle w:val="8"/>
              <w:numPr>
                <w:ilvl w:val="0"/>
                <w:numId w:val="0"/>
              </w:numPr>
              <w:tabs>
                <w:tab w:val="left" w:pos="780"/>
              </w:tabs>
              <w:spacing w:line="360" w:lineRule="auto"/>
              <w:rPr>
                <w:rFonts w:hint="eastAsia" w:ascii="仿宋" w:hAnsi="仿宋" w:eastAsia="仿宋" w:cs="仿宋"/>
                <w:color w:val="auto"/>
                <w:sz w:val="24"/>
                <w:szCs w:val="24"/>
                <w:highlight w:val="none"/>
                <w:lang w:val="en-US" w:eastAsia="zh-CN" w:bidi="en-US"/>
              </w:rPr>
            </w:pPr>
            <w:r>
              <w:rPr>
                <w:rFonts w:hint="eastAsia" w:ascii="仿宋" w:hAnsi="仿宋" w:eastAsia="仿宋" w:cs="仿宋"/>
                <w:color w:val="auto"/>
                <w:sz w:val="24"/>
                <w:szCs w:val="24"/>
                <w:highlight w:val="none"/>
                <w:lang w:val="en-US" w:eastAsia="zh-CN" w:bidi="en-US"/>
              </w:rPr>
              <w:t>1）根据国务院办公厅国办发〔2025〕34号《国务院办公厅关于在政府采购中实施本国产品标准及相关政策的通知》相关要求，按招标文件格式提供《关于符合本国产品标准的声明函》；2）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F003D3F">
            <w:pPr>
              <w:spacing w:line="360" w:lineRule="auto"/>
              <w:rPr>
                <w:rFonts w:hint="eastAsia" w:ascii="仿宋" w:hAnsi="仿宋" w:eastAsia="仿宋" w:cs="仿宋"/>
                <w:color w:val="auto"/>
                <w:sz w:val="24"/>
                <w:szCs w:val="24"/>
                <w:highlight w:val="none"/>
                <w:lang w:val="zh-CN" w:eastAsia="zh-CN" w:bidi="en-US"/>
              </w:rPr>
            </w:pPr>
            <w:r>
              <w:rPr>
                <w:rFonts w:hint="eastAsia" w:ascii="仿宋" w:hAnsi="仿宋" w:eastAsia="仿宋" w:cs="仿宋"/>
                <w:b/>
                <w:bCs/>
                <w:color w:val="auto"/>
                <w:sz w:val="24"/>
                <w:szCs w:val="24"/>
                <w:highlight w:val="none"/>
                <w:lang w:val="en-US" w:eastAsia="zh-CN" w:bidi="en-US"/>
              </w:rPr>
              <w:t>着重提醒：投标供应商必须将招标文件采购标的物全部列入《关于符合本国产品标准的声明函》，否则不享受对本国产品的政府采购支持政策。</w:t>
            </w:r>
          </w:p>
        </w:tc>
      </w:tr>
      <w:tr w14:paraId="5F767D14">
        <w:tblPrEx>
          <w:tblCellMar>
            <w:top w:w="0" w:type="dxa"/>
            <w:left w:w="108" w:type="dxa"/>
            <w:bottom w:w="0" w:type="dxa"/>
            <w:right w:w="108" w:type="dxa"/>
          </w:tblCellMar>
        </w:tblPrEx>
        <w:trPr>
          <w:trHeight w:val="1727" w:hRule="atLeast"/>
          <w:jc w:val="center"/>
        </w:trPr>
        <w:tc>
          <w:tcPr>
            <w:tcW w:w="558" w:type="dxa"/>
            <w:tcBorders>
              <w:top w:val="single" w:color="auto" w:sz="4" w:space="0"/>
              <w:left w:val="single" w:color="auto" w:sz="4" w:space="0"/>
              <w:bottom w:val="single" w:color="auto" w:sz="4" w:space="0"/>
              <w:right w:val="single" w:color="auto" w:sz="4" w:space="0"/>
            </w:tcBorders>
            <w:shd w:val="clear" w:color="auto" w:fill="auto"/>
            <w:vAlign w:val="center"/>
          </w:tcPr>
          <w:p w14:paraId="2A1FA6AB">
            <w:pPr>
              <w:spacing w:line="360" w:lineRule="auto"/>
              <w:rPr>
                <w:rFonts w:hint="eastAsia" w:ascii="仿宋" w:hAnsi="仿宋" w:eastAsia="仿宋" w:cs="仿宋"/>
                <w:color w:val="auto"/>
                <w:sz w:val="24"/>
                <w:szCs w:val="24"/>
                <w:highlight w:val="none"/>
                <w:lang w:val="en-US" w:eastAsia="zh-CN" w:bidi="en-US"/>
              </w:rPr>
            </w:pPr>
            <w:r>
              <w:rPr>
                <w:rFonts w:hint="eastAsia" w:ascii="仿宋" w:hAnsi="仿宋" w:eastAsia="仿宋" w:cs="仿宋"/>
                <w:color w:val="auto"/>
                <w:highlight w:val="none"/>
                <w:lang w:val="en-US" w:eastAsia="zh-CN"/>
              </w:rPr>
              <w:t>32</w:t>
            </w:r>
          </w:p>
        </w:tc>
        <w:tc>
          <w:tcPr>
            <w:tcW w:w="1407" w:type="dxa"/>
            <w:tcBorders>
              <w:top w:val="single" w:color="auto" w:sz="4" w:space="0"/>
              <w:left w:val="single" w:color="auto" w:sz="4" w:space="0"/>
              <w:bottom w:val="single" w:color="auto" w:sz="4" w:space="0"/>
              <w:right w:val="single" w:color="auto" w:sz="4" w:space="0"/>
            </w:tcBorders>
            <w:shd w:val="clear" w:color="auto" w:fill="auto"/>
            <w:vAlign w:val="center"/>
          </w:tcPr>
          <w:p w14:paraId="25023661">
            <w:pPr>
              <w:spacing w:line="360" w:lineRule="auto"/>
              <w:jc w:val="center"/>
              <w:rPr>
                <w:rFonts w:ascii="仿宋" w:hAnsi="仿宋" w:eastAsia="仿宋" w:cs="仿宋"/>
                <w:color w:val="auto"/>
                <w:sz w:val="24"/>
                <w:szCs w:val="24"/>
                <w:highlight w:val="none"/>
                <w:lang w:val="en-US" w:eastAsia="zh-CN" w:bidi="en-US"/>
              </w:rPr>
            </w:pPr>
            <w:r>
              <w:rPr>
                <w:rFonts w:hint="eastAsia" w:ascii="仿宋" w:hAnsi="仿宋" w:eastAsia="仿宋" w:cs="仿宋"/>
                <w:b w:val="0"/>
                <w:bCs w:val="0"/>
                <w:color w:val="auto"/>
                <w:highlight w:val="none"/>
                <w:lang w:eastAsia="zh-CN"/>
              </w:rPr>
              <w:t>异常低价</w:t>
            </w:r>
          </w:p>
        </w:tc>
        <w:tc>
          <w:tcPr>
            <w:tcW w:w="7206" w:type="dxa"/>
            <w:tcBorders>
              <w:top w:val="single" w:color="auto" w:sz="4" w:space="0"/>
              <w:left w:val="single" w:color="auto" w:sz="4" w:space="0"/>
              <w:bottom w:val="single" w:color="auto" w:sz="4" w:space="0"/>
              <w:right w:val="single" w:color="auto" w:sz="4" w:space="0"/>
            </w:tcBorders>
            <w:shd w:val="clear" w:color="auto" w:fill="auto"/>
            <w:vAlign w:val="center"/>
          </w:tcPr>
          <w:p w14:paraId="293867AE">
            <w:pPr>
              <w:spacing w:line="360" w:lineRule="auto"/>
              <w:rPr>
                <w:rFonts w:hint="eastAsia" w:ascii="仿宋" w:hAnsi="仿宋" w:eastAsia="仿宋" w:cs="仿宋"/>
                <w:b w:val="0"/>
                <w:bCs w:val="0"/>
                <w:color w:val="auto"/>
                <w:highlight w:val="none"/>
                <w:lang w:eastAsia="zh-CN"/>
              </w:rPr>
            </w:pPr>
            <w:r>
              <w:rPr>
                <w:rFonts w:hint="eastAsia" w:ascii="仿宋" w:hAnsi="仿宋" w:eastAsia="仿宋" w:cs="仿宋"/>
                <w:b w:val="0"/>
                <w:bCs w:val="0"/>
                <w:color w:val="auto"/>
                <w:highlight w:val="none"/>
                <w:lang w:eastAsia="zh-CN"/>
              </w:rPr>
              <w:t>（</w:t>
            </w:r>
            <w:r>
              <w:rPr>
                <w:rFonts w:hint="eastAsia" w:ascii="仿宋" w:hAnsi="仿宋" w:eastAsia="仿宋" w:cs="仿宋"/>
                <w:b w:val="0"/>
                <w:bCs w:val="0"/>
                <w:color w:val="auto"/>
                <w:highlight w:val="none"/>
                <w:lang w:val="en-US" w:eastAsia="zh-CN"/>
              </w:rPr>
              <w:t>1</w:t>
            </w:r>
            <w:r>
              <w:rPr>
                <w:rFonts w:hint="eastAsia" w:ascii="仿宋" w:hAnsi="仿宋" w:eastAsia="仿宋" w:cs="仿宋"/>
                <w:b w:val="0"/>
                <w:bCs w:val="0"/>
                <w:color w:val="auto"/>
                <w:highlight w:val="none"/>
                <w:lang w:eastAsia="zh-CN"/>
              </w:rPr>
              <w:t>）异常低价认定标准</w:t>
            </w:r>
          </w:p>
          <w:p w14:paraId="7796F460">
            <w:pPr>
              <w:spacing w:line="360" w:lineRule="auto"/>
              <w:rPr>
                <w:rFonts w:hint="eastAsia" w:ascii="仿宋" w:hAnsi="仿宋" w:eastAsia="仿宋" w:cs="仿宋"/>
                <w:b w:val="0"/>
                <w:bCs w:val="0"/>
                <w:color w:val="auto"/>
                <w:highlight w:val="none"/>
                <w:lang w:eastAsia="zh-CN"/>
              </w:rPr>
            </w:pPr>
            <w:r>
              <w:rPr>
                <w:rFonts w:hint="eastAsia" w:ascii="仿宋" w:hAnsi="仿宋" w:eastAsia="仿宋" w:cs="仿宋"/>
                <w:b w:val="0"/>
                <w:bCs w:val="0"/>
                <w:color w:val="auto"/>
                <w:highlight w:val="none"/>
                <w:lang w:eastAsia="zh-CN"/>
              </w:rPr>
              <w:t>在评标过程中，评标委员会发现投标人的报价存在下列情形之一的，认定为异常低价，启动异常低价评审：</w:t>
            </w:r>
          </w:p>
          <w:p w14:paraId="7D14FF6F">
            <w:pPr>
              <w:spacing w:line="360" w:lineRule="auto"/>
              <w:rPr>
                <w:rFonts w:hint="eastAsia" w:ascii="仿宋" w:hAnsi="仿宋" w:eastAsia="仿宋" w:cs="仿宋"/>
                <w:b w:val="0"/>
                <w:bCs w:val="0"/>
                <w:color w:val="auto"/>
                <w:highlight w:val="none"/>
                <w:lang w:eastAsia="zh-CN"/>
              </w:rPr>
            </w:pPr>
            <w:r>
              <w:rPr>
                <w:rFonts w:hint="eastAsia" w:ascii="仿宋" w:hAnsi="仿宋" w:eastAsia="仿宋" w:cs="仿宋"/>
                <w:b w:val="0"/>
                <w:bCs w:val="0"/>
                <w:color w:val="auto"/>
                <w:highlight w:val="none"/>
                <w:lang w:val="en-US" w:eastAsia="zh-CN"/>
              </w:rPr>
              <w:t>①</w:t>
            </w:r>
            <w:r>
              <w:rPr>
                <w:rFonts w:hint="eastAsia" w:ascii="仿宋" w:hAnsi="仿宋" w:eastAsia="仿宋" w:cs="仿宋"/>
                <w:b w:val="0"/>
                <w:bCs w:val="0"/>
                <w:color w:val="auto"/>
                <w:highlight w:val="none"/>
                <w:lang w:eastAsia="zh-CN"/>
              </w:rPr>
              <w:t>投标报价低于通过符合性审查的所有有效投标人报价算术平均值的 50%；</w:t>
            </w:r>
          </w:p>
          <w:p w14:paraId="0F8439B6">
            <w:pPr>
              <w:spacing w:line="360" w:lineRule="auto"/>
              <w:rPr>
                <w:rFonts w:hint="eastAsia" w:ascii="仿宋" w:hAnsi="仿宋" w:eastAsia="仿宋" w:cs="仿宋"/>
                <w:b w:val="0"/>
                <w:bCs w:val="0"/>
                <w:color w:val="auto"/>
                <w:highlight w:val="none"/>
                <w:lang w:eastAsia="zh-CN"/>
              </w:rPr>
            </w:pPr>
            <w:r>
              <w:rPr>
                <w:rFonts w:hint="eastAsia" w:ascii="仿宋" w:hAnsi="仿宋" w:eastAsia="仿宋" w:cs="仿宋"/>
                <w:b w:val="0"/>
                <w:bCs w:val="0"/>
                <w:color w:val="auto"/>
                <w:highlight w:val="none"/>
                <w:lang w:val="en-US" w:eastAsia="zh-CN"/>
              </w:rPr>
              <w:t>②</w:t>
            </w:r>
            <w:r>
              <w:rPr>
                <w:rFonts w:hint="eastAsia" w:ascii="仿宋" w:hAnsi="仿宋" w:eastAsia="仿宋" w:cs="仿宋"/>
                <w:b w:val="0"/>
                <w:bCs w:val="0"/>
                <w:color w:val="auto"/>
                <w:highlight w:val="none"/>
                <w:lang w:eastAsia="zh-CN"/>
              </w:rPr>
              <w:t> 投标报价低于通过符合性审查的次低有效投标报价的 50%；</w:t>
            </w:r>
          </w:p>
          <w:p w14:paraId="39996373">
            <w:pPr>
              <w:spacing w:line="360" w:lineRule="auto"/>
              <w:rPr>
                <w:rFonts w:hint="eastAsia" w:ascii="仿宋" w:hAnsi="仿宋" w:eastAsia="仿宋" w:cs="仿宋"/>
                <w:b w:val="0"/>
                <w:bCs w:val="0"/>
                <w:color w:val="auto"/>
                <w:highlight w:val="none"/>
                <w:lang w:eastAsia="zh-CN"/>
              </w:rPr>
            </w:pPr>
            <w:r>
              <w:rPr>
                <w:rFonts w:hint="eastAsia" w:ascii="仿宋" w:hAnsi="仿宋" w:eastAsia="仿宋" w:cs="仿宋"/>
                <w:b w:val="0"/>
                <w:bCs w:val="0"/>
                <w:color w:val="auto"/>
                <w:highlight w:val="none"/>
                <w:lang w:val="en-US" w:eastAsia="zh-CN"/>
              </w:rPr>
              <w:t>③</w:t>
            </w:r>
            <w:r>
              <w:rPr>
                <w:rFonts w:hint="eastAsia" w:ascii="仿宋" w:hAnsi="仿宋" w:eastAsia="仿宋" w:cs="仿宋"/>
                <w:b w:val="0"/>
                <w:bCs w:val="0"/>
                <w:color w:val="auto"/>
                <w:highlight w:val="none"/>
                <w:lang w:eastAsia="zh-CN"/>
              </w:rPr>
              <w:t> 投标报价低于本项目招标控制价（最高限价）的 45%；</w:t>
            </w:r>
          </w:p>
          <w:p w14:paraId="4E9234D8">
            <w:pPr>
              <w:spacing w:line="360" w:lineRule="auto"/>
              <w:rPr>
                <w:rFonts w:hint="eastAsia" w:ascii="仿宋" w:hAnsi="仿宋" w:eastAsia="仿宋" w:cs="仿宋"/>
                <w:b w:val="0"/>
                <w:bCs w:val="0"/>
                <w:color w:val="auto"/>
                <w:highlight w:val="none"/>
                <w:lang w:eastAsia="zh-CN"/>
              </w:rPr>
            </w:pPr>
            <w:r>
              <w:rPr>
                <w:rFonts w:hint="eastAsia" w:ascii="仿宋" w:hAnsi="仿宋" w:eastAsia="仿宋" w:cs="仿宋"/>
                <w:b w:val="0"/>
                <w:bCs w:val="0"/>
                <w:color w:val="auto"/>
                <w:highlight w:val="none"/>
                <w:lang w:val="en-US" w:eastAsia="zh-CN"/>
              </w:rPr>
              <w:t>④</w:t>
            </w:r>
            <w:r>
              <w:rPr>
                <w:rFonts w:hint="eastAsia" w:ascii="仿宋" w:hAnsi="仿宋" w:eastAsia="仿宋" w:cs="仿宋"/>
                <w:b w:val="0"/>
                <w:bCs w:val="0"/>
                <w:color w:val="auto"/>
                <w:highlight w:val="none"/>
                <w:lang w:eastAsia="zh-CN"/>
              </w:rPr>
              <w:t> 评标委员会根据项目实际情况，认为其报价明显低于其他有效报价，可能影响服务质量、工期或不能诚信履约的。</w:t>
            </w:r>
          </w:p>
          <w:p w14:paraId="781A0A5C">
            <w:pPr>
              <w:numPr>
                <w:ilvl w:val="0"/>
                <w:numId w:val="5"/>
              </w:numPr>
              <w:spacing w:line="360" w:lineRule="auto"/>
              <w:rPr>
                <w:rFonts w:hint="eastAsia" w:ascii="仿宋" w:hAnsi="仿宋" w:eastAsia="仿宋" w:cs="仿宋"/>
                <w:b w:val="0"/>
                <w:bCs w:val="0"/>
                <w:color w:val="auto"/>
                <w:highlight w:val="none"/>
                <w:lang w:eastAsia="zh-CN"/>
              </w:rPr>
            </w:pPr>
            <w:r>
              <w:rPr>
                <w:rFonts w:hint="eastAsia" w:ascii="仿宋" w:hAnsi="仿宋" w:eastAsia="仿宋" w:cs="仿宋"/>
                <w:b w:val="0"/>
                <w:bCs w:val="0"/>
                <w:color w:val="auto"/>
                <w:highlight w:val="none"/>
                <w:lang w:eastAsia="zh-CN"/>
              </w:rPr>
              <w:t>异常低价处理程序</w:t>
            </w:r>
          </w:p>
          <w:p w14:paraId="7926B244">
            <w:pPr>
              <w:numPr>
                <w:ilvl w:val="0"/>
                <w:numId w:val="0"/>
              </w:numPr>
              <w:spacing w:line="360" w:lineRule="auto"/>
              <w:rPr>
                <w:rFonts w:hint="eastAsia" w:ascii="仿宋" w:hAnsi="仿宋" w:eastAsia="仿宋" w:cs="仿宋"/>
                <w:b w:val="0"/>
                <w:bCs w:val="0"/>
                <w:color w:val="auto"/>
                <w:highlight w:val="none"/>
                <w:lang w:eastAsia="zh-CN"/>
              </w:rPr>
            </w:pPr>
            <w:r>
              <w:rPr>
                <w:rFonts w:hint="eastAsia" w:ascii="仿宋" w:hAnsi="仿宋" w:eastAsia="仿宋" w:cs="仿宋"/>
                <w:b w:val="0"/>
                <w:bCs w:val="0"/>
                <w:color w:val="auto"/>
                <w:highlight w:val="none"/>
                <w:lang w:val="en-US" w:eastAsia="zh-CN"/>
              </w:rPr>
              <w:t>①</w:t>
            </w:r>
            <w:r>
              <w:rPr>
                <w:rFonts w:hint="eastAsia" w:ascii="仿宋" w:hAnsi="仿宋" w:eastAsia="仿宋" w:cs="仿宋"/>
                <w:b w:val="0"/>
                <w:bCs w:val="0"/>
                <w:color w:val="auto"/>
                <w:highlight w:val="none"/>
                <w:lang w:eastAsia="zh-CN"/>
              </w:rPr>
              <w:t>评标委员会应当书面要求被认定为异常低价的投标人在规定时间内，就其报价合理性作出书面说明，并提供相关证明材料，包括但不限于：成本分析报告、采购渠道证明、同类项目业绩、企业产能及履约保障措施等。</w:t>
            </w:r>
          </w:p>
          <w:p w14:paraId="2364ED19">
            <w:pPr>
              <w:spacing w:line="360" w:lineRule="auto"/>
              <w:rPr>
                <w:rFonts w:hint="eastAsia" w:ascii="仿宋" w:hAnsi="仿宋" w:eastAsia="仿宋" w:cs="仿宋"/>
                <w:b w:val="0"/>
                <w:bCs w:val="0"/>
                <w:color w:val="auto"/>
                <w:highlight w:val="none"/>
                <w:lang w:eastAsia="zh-CN"/>
              </w:rPr>
            </w:pPr>
            <w:r>
              <w:rPr>
                <w:rFonts w:hint="eastAsia" w:ascii="仿宋" w:hAnsi="仿宋" w:eastAsia="仿宋" w:cs="仿宋"/>
                <w:b w:val="0"/>
                <w:bCs w:val="0"/>
                <w:color w:val="auto"/>
                <w:highlight w:val="none"/>
                <w:lang w:val="en-US" w:eastAsia="zh-CN"/>
              </w:rPr>
              <w:t>②</w:t>
            </w:r>
            <w:r>
              <w:rPr>
                <w:rFonts w:hint="eastAsia" w:ascii="仿宋" w:hAnsi="仿宋" w:eastAsia="仿宋" w:cs="仿宋"/>
                <w:b w:val="0"/>
                <w:bCs w:val="0"/>
                <w:color w:val="auto"/>
                <w:highlight w:val="none"/>
                <w:lang w:eastAsia="zh-CN"/>
              </w:rPr>
              <w:t> 投标人未在规定时间内提交说明及证明材料，或提交的材料不能证明其报价合理性的，评标委员会应当认定其投标无效。</w:t>
            </w:r>
          </w:p>
          <w:p w14:paraId="39B41068">
            <w:pPr>
              <w:spacing w:line="360" w:lineRule="auto"/>
              <w:rPr>
                <w:rFonts w:hint="eastAsia" w:ascii="仿宋" w:hAnsi="仿宋" w:eastAsia="仿宋" w:cs="仿宋"/>
                <w:color w:val="auto"/>
                <w:sz w:val="24"/>
                <w:szCs w:val="24"/>
                <w:highlight w:val="none"/>
                <w:lang w:val="zh-CN" w:eastAsia="zh-CN" w:bidi="en-US"/>
              </w:rPr>
            </w:pPr>
            <w:r>
              <w:rPr>
                <w:rFonts w:hint="eastAsia" w:ascii="仿宋" w:hAnsi="仿宋" w:eastAsia="仿宋" w:cs="仿宋"/>
                <w:b w:val="0"/>
                <w:bCs w:val="0"/>
                <w:color w:val="auto"/>
                <w:highlight w:val="none"/>
                <w:lang w:val="en-US" w:eastAsia="zh-CN"/>
              </w:rPr>
              <w:t>③</w:t>
            </w:r>
            <w:r>
              <w:rPr>
                <w:rFonts w:hint="eastAsia" w:ascii="仿宋" w:hAnsi="仿宋" w:eastAsia="仿宋" w:cs="仿宋"/>
                <w:b w:val="0"/>
                <w:bCs w:val="0"/>
                <w:color w:val="auto"/>
                <w:highlight w:val="none"/>
                <w:lang w:eastAsia="zh-CN"/>
              </w:rPr>
              <w:t>投标人提供的说明及证明材料经评标委员会评审，能够证明报价合理、具备履约能力的，其投标继续参与评审。</w:t>
            </w:r>
          </w:p>
        </w:tc>
      </w:tr>
      <w:tr w14:paraId="31AE147F">
        <w:tblPrEx>
          <w:tblCellMar>
            <w:top w:w="0" w:type="dxa"/>
            <w:left w:w="108" w:type="dxa"/>
            <w:bottom w:w="0" w:type="dxa"/>
            <w:right w:w="108" w:type="dxa"/>
          </w:tblCellMar>
        </w:tblPrEx>
        <w:trPr>
          <w:trHeight w:val="1654"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6E39817F">
            <w:pPr>
              <w:spacing w:line="360" w:lineRule="auto"/>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33</w:t>
            </w:r>
          </w:p>
        </w:tc>
        <w:tc>
          <w:tcPr>
            <w:tcW w:w="1407" w:type="dxa"/>
            <w:tcBorders>
              <w:top w:val="single" w:color="auto" w:sz="4" w:space="0"/>
              <w:left w:val="single" w:color="auto" w:sz="4" w:space="0"/>
              <w:bottom w:val="single" w:color="auto" w:sz="4" w:space="0"/>
              <w:right w:val="single" w:color="auto" w:sz="4" w:space="0"/>
            </w:tcBorders>
            <w:vAlign w:val="center"/>
          </w:tcPr>
          <w:p w14:paraId="7903FBA9">
            <w:pPr>
              <w:spacing w:line="360" w:lineRule="auto"/>
              <w:jc w:val="center"/>
              <w:rPr>
                <w:rFonts w:ascii="仿宋" w:hAnsi="仿宋" w:eastAsia="仿宋" w:cs="仿宋"/>
                <w:color w:val="auto"/>
                <w:highlight w:val="none"/>
                <w:lang w:val="zh-CN" w:eastAsia="zh-CN"/>
              </w:rPr>
            </w:pPr>
          </w:p>
          <w:p w14:paraId="36C9B3E5">
            <w:pPr>
              <w:spacing w:line="360" w:lineRule="auto"/>
              <w:jc w:val="center"/>
              <w:rPr>
                <w:rFonts w:ascii="仿宋" w:hAnsi="仿宋" w:eastAsia="仿宋" w:cs="仿宋"/>
                <w:color w:val="auto"/>
                <w:highlight w:val="none"/>
                <w:lang w:val="zh-CN" w:eastAsia="zh-CN"/>
              </w:rPr>
            </w:pPr>
            <w:r>
              <w:rPr>
                <w:rFonts w:hint="eastAsia" w:ascii="仿宋" w:hAnsi="仿宋" w:eastAsia="仿宋" w:cs="仿宋"/>
                <w:color w:val="auto"/>
                <w:highlight w:val="none"/>
                <w:lang w:val="zh-CN" w:eastAsia="zh-CN"/>
              </w:rPr>
              <w:t>履约保证金</w:t>
            </w:r>
          </w:p>
          <w:p w14:paraId="220974DE">
            <w:pPr>
              <w:spacing w:line="360" w:lineRule="auto"/>
              <w:jc w:val="center"/>
              <w:rPr>
                <w:rFonts w:ascii="仿宋" w:hAnsi="仿宋" w:eastAsia="仿宋" w:cs="仿宋"/>
                <w:color w:val="auto"/>
                <w:highlight w:val="none"/>
                <w:lang w:eastAsia="zh-CN"/>
              </w:rPr>
            </w:pPr>
          </w:p>
        </w:tc>
        <w:tc>
          <w:tcPr>
            <w:tcW w:w="7206" w:type="dxa"/>
            <w:tcBorders>
              <w:top w:val="single" w:color="auto" w:sz="4" w:space="0"/>
              <w:left w:val="single" w:color="auto" w:sz="4" w:space="0"/>
              <w:bottom w:val="single" w:color="auto" w:sz="4" w:space="0"/>
              <w:right w:val="single" w:color="auto" w:sz="4" w:space="0"/>
            </w:tcBorders>
            <w:vAlign w:val="center"/>
          </w:tcPr>
          <w:p w14:paraId="4A820BDE">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val="zh-CN" w:eastAsia="zh-CN"/>
              </w:rPr>
              <w:t>中标人</w:t>
            </w:r>
            <w:r>
              <w:rPr>
                <w:rFonts w:hint="eastAsia" w:ascii="仿宋" w:hAnsi="仿宋" w:eastAsia="仿宋" w:cs="仿宋"/>
                <w:color w:val="auto"/>
                <w:highlight w:val="none"/>
                <w:lang w:eastAsia="zh-CN"/>
              </w:rPr>
              <w:t>应在领取《中标通知书》后的十个日历日内，办理履约保证金，</w:t>
            </w:r>
            <w:r>
              <w:rPr>
                <w:rFonts w:hint="eastAsia" w:ascii="仿宋" w:hAnsi="仿宋" w:eastAsia="仿宋" w:cs="仿宋"/>
                <w:color w:val="auto"/>
                <w:highlight w:val="none"/>
                <w:u w:val="single"/>
                <w:lang w:val="zh-CN" w:eastAsia="zh-CN"/>
              </w:rPr>
              <w:t>金额</w:t>
            </w:r>
            <w:r>
              <w:rPr>
                <w:rFonts w:hint="eastAsia" w:ascii="仿宋" w:hAnsi="仿宋" w:eastAsia="仿宋" w:cs="仿宋"/>
                <w:color w:val="auto"/>
                <w:highlight w:val="none"/>
                <w:u w:val="single"/>
                <w:lang w:val="en-US" w:eastAsia="zh-CN"/>
              </w:rPr>
              <w:t>不超过</w:t>
            </w:r>
            <w:r>
              <w:rPr>
                <w:rFonts w:hint="eastAsia" w:ascii="仿宋" w:hAnsi="仿宋" w:eastAsia="仿宋" w:cs="仿宋"/>
                <w:color w:val="auto"/>
                <w:highlight w:val="none"/>
                <w:u w:val="single"/>
                <w:lang w:val="zh-CN" w:eastAsia="zh-CN"/>
              </w:rPr>
              <w:t>合同总价的</w:t>
            </w:r>
            <w:r>
              <w:rPr>
                <w:rFonts w:hint="eastAsia" w:ascii="仿宋" w:hAnsi="仿宋" w:eastAsia="仿宋" w:cs="仿宋"/>
                <w:color w:val="auto"/>
                <w:highlight w:val="none"/>
                <w:u w:val="single"/>
                <w:lang w:val="en-US" w:eastAsia="zh-CN"/>
              </w:rPr>
              <w:t>10</w:t>
            </w:r>
            <w:r>
              <w:rPr>
                <w:rFonts w:hint="eastAsia" w:ascii="仿宋" w:hAnsi="仿宋" w:eastAsia="仿宋" w:cs="仿宋"/>
                <w:color w:val="auto"/>
                <w:highlight w:val="none"/>
                <w:u w:val="single"/>
                <w:lang w:val="zh-CN" w:eastAsia="zh-CN"/>
              </w:rPr>
              <w:t>%</w:t>
            </w:r>
            <w:r>
              <w:rPr>
                <w:rFonts w:hint="eastAsia" w:ascii="仿宋" w:hAnsi="仿宋" w:eastAsia="仿宋" w:cs="仿宋"/>
                <w:color w:val="auto"/>
                <w:highlight w:val="none"/>
                <w:lang w:val="zh-CN" w:eastAsia="zh-CN"/>
              </w:rPr>
              <w:t>，（</w:t>
            </w:r>
            <w:r>
              <w:rPr>
                <w:rFonts w:hint="eastAsia" w:ascii="仿宋" w:hAnsi="仿宋" w:eastAsia="仿宋" w:cs="仿宋"/>
                <w:color w:val="auto"/>
                <w:highlight w:val="none"/>
                <w:lang w:val="en-US" w:eastAsia="zh-CN"/>
              </w:rPr>
              <w:t>电子保函或转账</w:t>
            </w:r>
            <w:r>
              <w:rPr>
                <w:rFonts w:hint="eastAsia" w:ascii="仿宋" w:hAnsi="仿宋" w:eastAsia="仿宋" w:cs="仿宋"/>
                <w:color w:val="auto"/>
                <w:highlight w:val="none"/>
                <w:lang w:val="zh-CN" w:eastAsia="zh-CN"/>
              </w:rPr>
              <w:t>）</w:t>
            </w:r>
            <w:r>
              <w:rPr>
                <w:rFonts w:hint="eastAsia" w:ascii="仿宋" w:hAnsi="仿宋" w:eastAsia="仿宋" w:cs="仿宋"/>
                <w:color w:val="auto"/>
                <w:highlight w:val="none"/>
                <w:lang w:eastAsia="zh-CN"/>
              </w:rPr>
              <w:t>否则招标人可取消</w:t>
            </w:r>
            <w:r>
              <w:rPr>
                <w:rFonts w:hint="eastAsia" w:ascii="仿宋" w:hAnsi="仿宋" w:eastAsia="仿宋" w:cs="仿宋"/>
                <w:color w:val="auto"/>
                <w:highlight w:val="none"/>
                <w:lang w:val="zh-CN" w:eastAsia="zh-CN"/>
              </w:rPr>
              <w:t>成交人</w:t>
            </w:r>
            <w:r>
              <w:rPr>
                <w:rFonts w:hint="eastAsia" w:ascii="仿宋" w:hAnsi="仿宋" w:eastAsia="仿宋" w:cs="仿宋"/>
                <w:color w:val="auto"/>
                <w:highlight w:val="none"/>
                <w:lang w:eastAsia="zh-CN"/>
              </w:rPr>
              <w:t>的</w:t>
            </w:r>
            <w:r>
              <w:rPr>
                <w:rFonts w:hint="eastAsia" w:ascii="仿宋" w:hAnsi="仿宋" w:eastAsia="仿宋" w:cs="仿宋"/>
                <w:color w:val="auto"/>
                <w:highlight w:val="none"/>
                <w:lang w:val="zh-CN" w:eastAsia="zh-CN"/>
              </w:rPr>
              <w:t>成交</w:t>
            </w:r>
            <w:r>
              <w:rPr>
                <w:rFonts w:hint="eastAsia" w:ascii="仿宋" w:hAnsi="仿宋" w:eastAsia="仿宋" w:cs="仿宋"/>
                <w:color w:val="auto"/>
                <w:highlight w:val="none"/>
                <w:lang w:eastAsia="zh-CN"/>
              </w:rPr>
              <w:t>资格，并没收其投标保证金。</w:t>
            </w:r>
          </w:p>
        </w:tc>
      </w:tr>
      <w:tr w14:paraId="624F792D">
        <w:tblPrEx>
          <w:tblCellMar>
            <w:top w:w="0" w:type="dxa"/>
            <w:left w:w="108" w:type="dxa"/>
            <w:bottom w:w="0" w:type="dxa"/>
            <w:right w:w="108" w:type="dxa"/>
          </w:tblCellMar>
        </w:tblPrEx>
        <w:trPr>
          <w:trHeight w:val="90"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6E8774EC">
            <w:pPr>
              <w:spacing w:line="360" w:lineRule="auto"/>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34</w:t>
            </w:r>
          </w:p>
        </w:tc>
        <w:tc>
          <w:tcPr>
            <w:tcW w:w="1407" w:type="dxa"/>
            <w:tcBorders>
              <w:top w:val="single" w:color="auto" w:sz="4" w:space="0"/>
              <w:left w:val="single" w:color="auto" w:sz="4" w:space="0"/>
              <w:bottom w:val="single" w:color="auto" w:sz="4" w:space="0"/>
              <w:right w:val="single" w:color="auto" w:sz="4" w:space="0"/>
            </w:tcBorders>
            <w:vAlign w:val="center"/>
          </w:tcPr>
          <w:p w14:paraId="51F26389">
            <w:pPr>
              <w:spacing w:line="360" w:lineRule="auto"/>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踏勘现场</w:t>
            </w:r>
          </w:p>
        </w:tc>
        <w:tc>
          <w:tcPr>
            <w:tcW w:w="7206" w:type="dxa"/>
            <w:tcBorders>
              <w:top w:val="single" w:color="auto" w:sz="4" w:space="0"/>
              <w:left w:val="single" w:color="auto" w:sz="4" w:space="0"/>
              <w:bottom w:val="single" w:color="auto" w:sz="4" w:space="0"/>
              <w:right w:val="single" w:color="auto" w:sz="4" w:space="0"/>
            </w:tcBorders>
            <w:vAlign w:val="center"/>
          </w:tcPr>
          <w:p w14:paraId="4F4CA5C9">
            <w:pPr>
              <w:spacing w:line="360" w:lineRule="auto"/>
              <w:rPr>
                <w:rFonts w:hint="eastAsia" w:ascii="仿宋" w:hAnsi="仿宋" w:eastAsia="仿宋" w:cs="仿宋"/>
                <w:color w:val="auto"/>
                <w:highlight w:val="none"/>
                <w:lang w:val="zh-CN" w:eastAsia="zh-CN"/>
              </w:rPr>
            </w:pPr>
            <w:r>
              <w:rPr>
                <w:rFonts w:hint="eastAsia" w:ascii="仿宋" w:hAnsi="仿宋" w:eastAsia="仿宋" w:cs="仿宋"/>
                <w:color w:val="auto"/>
                <w:highlight w:val="none"/>
                <w:lang w:eastAsia="zh-CN"/>
              </w:rPr>
              <w:t>不组织,投标人自行组织踏勘现场。</w:t>
            </w:r>
          </w:p>
        </w:tc>
      </w:tr>
      <w:tr w14:paraId="1F0B0C7D">
        <w:tblPrEx>
          <w:tblCellMar>
            <w:top w:w="0" w:type="dxa"/>
            <w:left w:w="108" w:type="dxa"/>
            <w:bottom w:w="0" w:type="dxa"/>
            <w:right w:w="108" w:type="dxa"/>
          </w:tblCellMar>
        </w:tblPrEx>
        <w:trPr>
          <w:trHeight w:val="84" w:hRule="atLeast"/>
          <w:jc w:val="center"/>
        </w:trPr>
        <w:tc>
          <w:tcPr>
            <w:tcW w:w="1965" w:type="dxa"/>
            <w:gridSpan w:val="2"/>
            <w:tcBorders>
              <w:top w:val="single" w:color="auto" w:sz="4" w:space="0"/>
              <w:left w:val="single" w:color="auto" w:sz="4" w:space="0"/>
              <w:bottom w:val="single" w:color="auto" w:sz="4" w:space="0"/>
              <w:right w:val="single" w:color="auto" w:sz="4" w:space="0"/>
            </w:tcBorders>
            <w:vAlign w:val="center"/>
          </w:tcPr>
          <w:p w14:paraId="118D4FFB">
            <w:pPr>
              <w:spacing w:line="360" w:lineRule="auto"/>
              <w:ind w:firstLine="729" w:firstLineChars="3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备注</w:t>
            </w:r>
          </w:p>
        </w:tc>
        <w:tc>
          <w:tcPr>
            <w:tcW w:w="7206" w:type="dxa"/>
            <w:tcBorders>
              <w:top w:val="single" w:color="auto" w:sz="4" w:space="0"/>
              <w:left w:val="single" w:color="auto" w:sz="4" w:space="0"/>
              <w:bottom w:val="single" w:color="auto" w:sz="4" w:space="0"/>
              <w:right w:val="single" w:color="auto" w:sz="4" w:space="0"/>
            </w:tcBorders>
            <w:vAlign w:val="center"/>
          </w:tcPr>
          <w:p w14:paraId="5147BF0C">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1、着重提醒各供应商注意，并认真查看招标文件中的每一个条款及要求，因误读招标文件而造成的后果，招标人概不负责。</w:t>
            </w:r>
          </w:p>
          <w:p w14:paraId="0C758FD0">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2、供应商使用相同IP地址的，一经发现，相关部门将进一步核实，查实后按串通投标处理。</w:t>
            </w:r>
          </w:p>
          <w:p w14:paraId="3E099E02">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3、为保证本项目质量，良好的售后服务，最低报价不作为中标的唯一依据。</w:t>
            </w:r>
          </w:p>
          <w:p w14:paraId="717AEFB5">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4、采购人若发现</w:t>
            </w:r>
            <w:r>
              <w:rPr>
                <w:rFonts w:hint="eastAsia" w:ascii="仿宋" w:hAnsi="仿宋" w:eastAsia="仿宋" w:cs="仿宋"/>
                <w:color w:val="auto"/>
                <w:highlight w:val="none"/>
                <w:lang w:val="en-US" w:eastAsia="zh-CN"/>
              </w:rPr>
              <w:t>中标</w:t>
            </w:r>
            <w:r>
              <w:rPr>
                <w:rFonts w:hint="eastAsia" w:ascii="仿宋" w:hAnsi="仿宋" w:eastAsia="仿宋" w:cs="仿宋"/>
                <w:color w:val="auto"/>
                <w:highlight w:val="none"/>
                <w:lang w:eastAsia="zh-CN"/>
              </w:rPr>
              <w:t>候选供应商在投标过程中提供虚假证明文件，故意隐瞒公司不良信誉和财务状况，以及其他可能对合同圆满履行造成风险的因素等，则按规定取消其成交资格，监管部门依法进行处理。</w:t>
            </w:r>
          </w:p>
          <w:p w14:paraId="21FF2E41">
            <w:pPr>
              <w:spacing w:line="360" w:lineRule="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5、如为信息系统采购项目，供应商不得为该整体项目或其中分项目前期工作提供过设计、编制、管理等服务的法人及附属单位。</w:t>
            </w:r>
          </w:p>
          <w:p w14:paraId="64C55E17">
            <w:pPr>
              <w:spacing w:line="360" w:lineRule="auto"/>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6、单位负责人为同一人或者存在直接控股、管理关系的不同供应商，不得参加同一合同项下的政府采购活动。除单一来源采购项目外，为采购项目提供整理设计、规范编制或者项目管理、监理、检测等服务的供应商，不得再参加该采购项目的其他采购活动。</w:t>
            </w:r>
          </w:p>
          <w:p w14:paraId="01FE119C">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val="en-US" w:eastAsia="zh-CN"/>
              </w:rPr>
              <w:t>7</w:t>
            </w:r>
            <w:r>
              <w:rPr>
                <w:rFonts w:hint="eastAsia" w:ascii="仿宋" w:hAnsi="仿宋" w:eastAsia="仿宋" w:cs="仿宋"/>
                <w:color w:val="auto"/>
                <w:highlight w:val="none"/>
                <w:lang w:eastAsia="zh-CN"/>
              </w:rPr>
              <w:t>、其它：</w:t>
            </w:r>
          </w:p>
          <w:p w14:paraId="77B76D34">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（1）投标企业严格遵守国家的法律法规及招标纪律，无违法违纪及商业贿赂行为。</w:t>
            </w:r>
          </w:p>
          <w:p w14:paraId="1C665733">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（2）不管投标结果如何，供应商均应自行承担投标所需一切费用。</w:t>
            </w:r>
          </w:p>
          <w:p w14:paraId="0DFAB1D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（3）供应商应以书面形式保证中标后由本公司组织实施，不得以任何理由将项目转包给其他机构。</w:t>
            </w:r>
          </w:p>
          <w:p w14:paraId="1730C12A">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 w:hAnsi="仿宋" w:eastAsia="仿宋" w:cs="仿宋"/>
                <w:color w:val="auto"/>
                <w:highlight w:val="none"/>
                <w:lang w:eastAsia="zh-CN"/>
              </w:rPr>
            </w:pPr>
            <w:r>
              <w:rPr>
                <w:rFonts w:hint="eastAsia" w:ascii="仿宋" w:hAnsi="仿宋" w:eastAsia="仿宋" w:cs="仿宋"/>
                <w:b w:val="0"/>
                <w:bCs w:val="0"/>
                <w:color w:val="auto"/>
                <w:highlight w:val="none"/>
                <w:lang w:eastAsia="zh-CN"/>
              </w:rPr>
              <w:t>（</w:t>
            </w:r>
            <w:r>
              <w:rPr>
                <w:rFonts w:hint="eastAsia" w:ascii="仿宋" w:hAnsi="仿宋" w:eastAsia="仿宋" w:cs="仿宋"/>
                <w:b w:val="0"/>
                <w:bCs w:val="0"/>
                <w:color w:val="auto"/>
                <w:highlight w:val="none"/>
                <w:lang w:val="en-US" w:eastAsia="zh-CN"/>
              </w:rPr>
              <w:t>4</w:t>
            </w:r>
            <w:r>
              <w:rPr>
                <w:rFonts w:hint="eastAsia" w:ascii="仿宋" w:hAnsi="仿宋" w:eastAsia="仿宋" w:cs="仿宋"/>
                <w:b w:val="0"/>
                <w:bCs w:val="0"/>
                <w:color w:val="auto"/>
                <w:highlight w:val="none"/>
                <w:lang w:eastAsia="zh-CN"/>
              </w:rPr>
              <w:t>）招标文件中如出现前后不一致情况，均以前附表内容为准。</w:t>
            </w:r>
          </w:p>
        </w:tc>
      </w:tr>
    </w:tbl>
    <w:p w14:paraId="2BA29515">
      <w:pPr>
        <w:pageBreakBefore/>
        <w:spacing w:beforeLines="100" w:afterLines="100" w:line="340" w:lineRule="exact"/>
        <w:jc w:val="center"/>
        <w:outlineLvl w:val="1"/>
        <w:rPr>
          <w:rFonts w:ascii="仿宋" w:hAnsi="仿宋" w:eastAsia="仿宋" w:cs="仿宋"/>
          <w:b/>
          <w:color w:val="auto"/>
          <w:sz w:val="28"/>
          <w:szCs w:val="32"/>
          <w:highlight w:val="none"/>
          <w:lang w:eastAsia="zh-CN"/>
        </w:rPr>
      </w:pPr>
      <w:r>
        <w:rPr>
          <w:rFonts w:hint="eastAsia" w:ascii="仿宋" w:hAnsi="仿宋" w:eastAsia="仿宋" w:cs="仿宋"/>
          <w:b/>
          <w:color w:val="auto"/>
          <w:sz w:val="28"/>
          <w:szCs w:val="28"/>
          <w:highlight w:val="none"/>
          <w:lang w:eastAsia="zh-CN"/>
        </w:rPr>
        <w:t>二、供应商须知</w:t>
      </w:r>
    </w:p>
    <w:p w14:paraId="0E2FB47D">
      <w:pPr>
        <w:spacing w:line="340" w:lineRule="exact"/>
        <w:jc w:val="center"/>
        <w:outlineLvl w:val="2"/>
        <w:rPr>
          <w:rFonts w:ascii="仿宋" w:hAnsi="仿宋" w:eastAsia="仿宋" w:cs="仿宋"/>
          <w:color w:val="auto"/>
          <w:sz w:val="28"/>
          <w:szCs w:val="28"/>
          <w:highlight w:val="none"/>
          <w:lang w:eastAsia="zh-CN"/>
        </w:rPr>
      </w:pPr>
      <w:bookmarkStart w:id="2" w:name="_Toc469495724"/>
      <w:r>
        <w:rPr>
          <w:rFonts w:hint="eastAsia" w:ascii="仿宋" w:hAnsi="仿宋" w:eastAsia="仿宋" w:cs="仿宋"/>
          <w:b/>
          <w:color w:val="auto"/>
          <w:sz w:val="28"/>
          <w:szCs w:val="28"/>
          <w:highlight w:val="none"/>
          <w:lang w:eastAsia="zh-CN"/>
        </w:rPr>
        <w:t>（一）</w:t>
      </w:r>
      <w:r>
        <w:rPr>
          <w:rFonts w:hint="eastAsia" w:ascii="仿宋" w:hAnsi="仿宋" w:eastAsia="仿宋" w:cs="仿宋"/>
          <w:b/>
          <w:color w:val="auto"/>
          <w:sz w:val="28"/>
          <w:szCs w:val="32"/>
          <w:highlight w:val="none"/>
          <w:lang w:eastAsia="zh-CN"/>
        </w:rPr>
        <w:t>总  则</w:t>
      </w:r>
      <w:bookmarkEnd w:id="2"/>
    </w:p>
    <w:p w14:paraId="33B08F6A">
      <w:pPr>
        <w:snapToGrid w:val="0"/>
        <w:spacing w:line="340" w:lineRule="exact"/>
        <w:ind w:firstLine="486" w:firstLineChars="200"/>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1.项目概况</w:t>
      </w:r>
    </w:p>
    <w:p w14:paraId="35360F4A">
      <w:pPr>
        <w:snapToGrid w:val="0"/>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1.1本次招标采购项目名称：见供应商须知前附表。</w:t>
      </w:r>
    </w:p>
    <w:p w14:paraId="3A56E825">
      <w:pPr>
        <w:snapToGrid w:val="0"/>
        <w:spacing w:line="440" w:lineRule="exact"/>
        <w:ind w:firstLine="2430" w:firstLineChars="1000"/>
        <w:rPr>
          <w:rFonts w:ascii="仿宋" w:hAnsi="仿宋" w:eastAsia="仿宋" w:cs="仿宋"/>
          <w:color w:val="auto"/>
          <w:szCs w:val="21"/>
          <w:highlight w:val="none"/>
          <w:u w:val="single"/>
          <w:lang w:eastAsia="zh-CN"/>
        </w:rPr>
      </w:pPr>
      <w:r>
        <w:rPr>
          <w:rFonts w:hint="eastAsia" w:ascii="仿宋" w:hAnsi="仿宋" w:eastAsia="仿宋" w:cs="仿宋"/>
          <w:color w:val="auto"/>
          <w:szCs w:val="21"/>
          <w:highlight w:val="none"/>
          <w:lang w:eastAsia="zh-CN"/>
        </w:rPr>
        <w:t>项目编号：见供应商须知前附表。</w:t>
      </w:r>
    </w:p>
    <w:p w14:paraId="6F85F425">
      <w:pPr>
        <w:snapToGrid w:val="0"/>
        <w:spacing w:line="440" w:lineRule="exact"/>
        <w:ind w:firstLine="486" w:firstLineChars="200"/>
        <w:rPr>
          <w:rFonts w:ascii="仿宋" w:hAnsi="仿宋" w:eastAsia="仿宋" w:cs="仿宋"/>
          <w:color w:val="auto"/>
          <w:szCs w:val="21"/>
          <w:highlight w:val="none"/>
          <w:u w:val="single"/>
          <w:lang w:eastAsia="zh-CN"/>
        </w:rPr>
      </w:pPr>
      <w:r>
        <w:rPr>
          <w:rFonts w:hint="eastAsia" w:ascii="仿宋" w:hAnsi="仿宋" w:eastAsia="仿宋" w:cs="仿宋"/>
          <w:color w:val="auto"/>
          <w:szCs w:val="21"/>
          <w:highlight w:val="none"/>
          <w:lang w:eastAsia="zh-CN"/>
        </w:rPr>
        <w:t xml:space="preserve">                 招标人：见供应商须知前附表。</w:t>
      </w:r>
    </w:p>
    <w:p w14:paraId="3E33B7AE">
      <w:pPr>
        <w:snapToGrid w:val="0"/>
        <w:spacing w:line="440" w:lineRule="exact"/>
        <w:ind w:firstLine="486" w:firstLineChars="200"/>
        <w:rPr>
          <w:rFonts w:ascii="仿宋" w:hAnsi="仿宋" w:eastAsia="仿宋" w:cs="仿宋"/>
          <w:color w:val="auto"/>
          <w:szCs w:val="21"/>
          <w:highlight w:val="none"/>
          <w:u w:val="single"/>
          <w:lang w:eastAsia="zh-CN"/>
        </w:rPr>
      </w:pPr>
      <w:r>
        <w:rPr>
          <w:rFonts w:hint="eastAsia" w:ascii="仿宋" w:hAnsi="仿宋" w:eastAsia="仿宋" w:cs="仿宋"/>
          <w:color w:val="auto"/>
          <w:szCs w:val="21"/>
          <w:highlight w:val="none"/>
          <w:lang w:eastAsia="zh-CN"/>
        </w:rPr>
        <w:t xml:space="preserve">                 </w:t>
      </w:r>
      <w:r>
        <w:rPr>
          <w:rFonts w:hint="eastAsia" w:ascii="仿宋" w:hAnsi="仿宋" w:eastAsia="仿宋" w:cs="仿宋"/>
          <w:color w:val="auto"/>
          <w:szCs w:val="21"/>
          <w:highlight w:val="none"/>
          <w:lang w:val="en-US" w:eastAsia="zh-CN"/>
        </w:rPr>
        <w:t>供货</w:t>
      </w:r>
      <w:r>
        <w:rPr>
          <w:rFonts w:hint="eastAsia" w:ascii="仿宋" w:hAnsi="仿宋" w:eastAsia="仿宋" w:cs="仿宋"/>
          <w:color w:val="auto"/>
          <w:szCs w:val="21"/>
          <w:highlight w:val="none"/>
          <w:lang w:eastAsia="zh-CN"/>
        </w:rPr>
        <w:t>期：见供应商须知前附表。</w:t>
      </w:r>
    </w:p>
    <w:p w14:paraId="37622250">
      <w:pPr>
        <w:snapToGrid w:val="0"/>
        <w:spacing w:line="440" w:lineRule="exact"/>
        <w:ind w:firstLine="486" w:firstLineChars="200"/>
        <w:rPr>
          <w:rFonts w:ascii="仿宋" w:hAnsi="仿宋" w:eastAsia="仿宋" w:cs="仿宋"/>
          <w:color w:val="auto"/>
          <w:szCs w:val="21"/>
          <w:highlight w:val="none"/>
          <w:u w:val="single"/>
          <w:lang w:eastAsia="zh-CN"/>
        </w:rPr>
      </w:pPr>
      <w:r>
        <w:rPr>
          <w:rFonts w:hint="eastAsia" w:ascii="仿宋" w:hAnsi="仿宋" w:eastAsia="仿宋" w:cs="仿宋"/>
          <w:color w:val="auto"/>
          <w:szCs w:val="21"/>
          <w:highlight w:val="none"/>
          <w:lang w:eastAsia="zh-CN"/>
        </w:rPr>
        <w:t xml:space="preserve">               </w:t>
      </w:r>
      <w:r>
        <w:rPr>
          <w:rFonts w:hint="eastAsia" w:ascii="仿宋" w:hAnsi="仿宋" w:eastAsia="仿宋" w:cs="仿宋"/>
          <w:color w:val="auto"/>
          <w:szCs w:val="21"/>
          <w:highlight w:val="none"/>
          <w:lang w:val="en-US" w:eastAsia="zh-CN"/>
        </w:rPr>
        <w:t>供货地点</w:t>
      </w:r>
      <w:r>
        <w:rPr>
          <w:rFonts w:hint="eastAsia" w:ascii="仿宋" w:hAnsi="仿宋" w:eastAsia="仿宋" w:cs="仿宋"/>
          <w:color w:val="auto"/>
          <w:szCs w:val="21"/>
          <w:highlight w:val="none"/>
          <w:lang w:eastAsia="zh-CN"/>
        </w:rPr>
        <w:t>：见供应商须知前附表。</w:t>
      </w:r>
    </w:p>
    <w:p w14:paraId="4BCB9B91">
      <w:pPr>
        <w:snapToGrid w:val="0"/>
        <w:spacing w:line="440" w:lineRule="exact"/>
        <w:ind w:firstLine="486" w:firstLineChars="200"/>
        <w:rPr>
          <w:rFonts w:ascii="仿宋" w:hAnsi="仿宋" w:eastAsia="仿宋" w:cs="仿宋"/>
          <w:color w:val="auto"/>
          <w:szCs w:val="21"/>
          <w:highlight w:val="none"/>
          <w:u w:val="single"/>
          <w:lang w:eastAsia="zh-CN"/>
        </w:rPr>
      </w:pPr>
      <w:r>
        <w:rPr>
          <w:rFonts w:hint="eastAsia" w:ascii="仿宋" w:hAnsi="仿宋" w:eastAsia="仿宋" w:cs="仿宋"/>
          <w:color w:val="auto"/>
          <w:szCs w:val="21"/>
          <w:highlight w:val="none"/>
          <w:lang w:eastAsia="zh-CN"/>
        </w:rPr>
        <w:t>1.2招标人及联系人: 见供应商须知前附表。</w:t>
      </w:r>
    </w:p>
    <w:p w14:paraId="3881C434">
      <w:pPr>
        <w:snapToGrid w:val="0"/>
        <w:spacing w:line="440" w:lineRule="exact"/>
        <w:ind w:firstLine="607" w:firstLineChars="250"/>
        <w:rPr>
          <w:rFonts w:ascii="仿宋" w:hAnsi="仿宋" w:eastAsia="仿宋" w:cs="仿宋"/>
          <w:color w:val="auto"/>
          <w:szCs w:val="21"/>
          <w:highlight w:val="none"/>
          <w:u w:val="single"/>
          <w:lang w:eastAsia="zh-CN"/>
        </w:rPr>
      </w:pPr>
      <w:r>
        <w:rPr>
          <w:rFonts w:hint="eastAsia" w:ascii="仿宋" w:hAnsi="仿宋" w:eastAsia="仿宋" w:cs="仿宋"/>
          <w:color w:val="auto"/>
          <w:szCs w:val="21"/>
          <w:highlight w:val="none"/>
          <w:lang w:eastAsia="zh-CN"/>
        </w:rPr>
        <w:t xml:space="preserve"> 代理机构及联系人: 见供应商须知前附表。</w:t>
      </w:r>
    </w:p>
    <w:p w14:paraId="1053A741">
      <w:pPr>
        <w:snapToGrid w:val="0"/>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1.3资金来源：见供应商须知前附表。</w:t>
      </w:r>
    </w:p>
    <w:p w14:paraId="53A0AEBF">
      <w:pPr>
        <w:snapToGrid w:val="0"/>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1.4本项目预算：见供应商须知前附表。</w:t>
      </w:r>
    </w:p>
    <w:p w14:paraId="2ACF5DE9">
      <w:pPr>
        <w:snapToGrid w:val="0"/>
        <w:spacing w:line="440" w:lineRule="exact"/>
        <w:ind w:firstLine="486" w:firstLineChars="200"/>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2.招标范围：</w:t>
      </w:r>
    </w:p>
    <w:p w14:paraId="7722C104">
      <w:pPr>
        <w:snapToGrid w:val="0"/>
        <w:spacing w:line="440" w:lineRule="exact"/>
        <w:ind w:firstLine="486" w:firstLineChars="200"/>
        <w:rPr>
          <w:rFonts w:ascii="仿宋" w:hAnsi="仿宋" w:eastAsia="仿宋" w:cs="仿宋"/>
          <w:color w:val="auto"/>
          <w:szCs w:val="21"/>
          <w:highlight w:val="none"/>
          <w:u w:val="single"/>
          <w:lang w:eastAsia="zh-CN"/>
        </w:rPr>
      </w:pPr>
      <w:r>
        <w:rPr>
          <w:rFonts w:hint="eastAsia" w:ascii="仿宋" w:hAnsi="仿宋" w:eastAsia="仿宋" w:cs="仿宋"/>
          <w:color w:val="auto"/>
          <w:szCs w:val="21"/>
          <w:highlight w:val="none"/>
          <w:lang w:eastAsia="zh-CN"/>
        </w:rPr>
        <w:t>2.1 采购内容：见供应商须知前附表。</w:t>
      </w:r>
    </w:p>
    <w:p w14:paraId="578E1313">
      <w:pPr>
        <w:snapToGrid w:val="0"/>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2.2 技术要求：详见采购文件第四章采购内容及</w:t>
      </w:r>
      <w:r>
        <w:rPr>
          <w:rFonts w:hint="eastAsia" w:ascii="仿宋" w:hAnsi="仿宋" w:eastAsia="仿宋" w:cs="仿宋"/>
          <w:color w:val="auto"/>
          <w:szCs w:val="21"/>
          <w:highlight w:val="none"/>
          <w:lang w:val="en-US" w:eastAsia="zh-CN"/>
        </w:rPr>
        <w:t>参数</w:t>
      </w:r>
      <w:r>
        <w:rPr>
          <w:rFonts w:hint="eastAsia" w:ascii="仿宋" w:hAnsi="仿宋" w:eastAsia="仿宋" w:cs="仿宋"/>
          <w:color w:val="auto"/>
          <w:szCs w:val="21"/>
          <w:highlight w:val="none"/>
          <w:lang w:eastAsia="zh-CN"/>
        </w:rPr>
        <w:t>要求。</w:t>
      </w:r>
    </w:p>
    <w:p w14:paraId="3A647466">
      <w:pPr>
        <w:snapToGrid w:val="0"/>
        <w:spacing w:line="440" w:lineRule="exact"/>
        <w:ind w:firstLine="486" w:firstLineChars="200"/>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3.标包划分：</w:t>
      </w:r>
    </w:p>
    <w:p w14:paraId="5DBE4DB4">
      <w:pPr>
        <w:snapToGrid w:val="0"/>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3.1本项目划分：</w:t>
      </w:r>
      <w:r>
        <w:rPr>
          <w:rFonts w:hint="eastAsia" w:ascii="仿宋" w:hAnsi="仿宋" w:eastAsia="仿宋" w:cs="仿宋"/>
          <w:color w:val="auto"/>
          <w:szCs w:val="21"/>
          <w:highlight w:val="none"/>
          <w:u w:val="single"/>
          <w:lang w:eastAsia="zh-CN"/>
        </w:rPr>
        <w:t xml:space="preserve">  </w:t>
      </w:r>
      <w:r>
        <w:rPr>
          <w:rFonts w:hint="eastAsia" w:ascii="仿宋" w:hAnsi="仿宋" w:eastAsia="仿宋" w:cs="仿宋"/>
          <w:color w:val="auto"/>
          <w:szCs w:val="21"/>
          <w:highlight w:val="none"/>
          <w:u w:val="single"/>
          <w:lang w:val="en-US" w:eastAsia="zh-CN"/>
        </w:rPr>
        <w:t>1</w:t>
      </w:r>
      <w:r>
        <w:rPr>
          <w:rFonts w:hint="eastAsia" w:ascii="仿宋" w:hAnsi="仿宋" w:eastAsia="仿宋" w:cs="仿宋"/>
          <w:color w:val="auto"/>
          <w:szCs w:val="21"/>
          <w:highlight w:val="none"/>
          <w:u w:val="single"/>
          <w:lang w:eastAsia="zh-CN"/>
        </w:rPr>
        <w:t xml:space="preserve">  </w:t>
      </w:r>
      <w:r>
        <w:rPr>
          <w:rFonts w:hint="eastAsia" w:ascii="仿宋" w:hAnsi="仿宋" w:eastAsia="仿宋" w:cs="仿宋"/>
          <w:color w:val="auto"/>
          <w:szCs w:val="21"/>
          <w:highlight w:val="none"/>
          <w:lang w:eastAsia="zh-CN"/>
        </w:rPr>
        <w:t>个包。</w:t>
      </w:r>
    </w:p>
    <w:p w14:paraId="7CEA2907">
      <w:pPr>
        <w:snapToGrid w:val="0"/>
        <w:spacing w:line="440" w:lineRule="exact"/>
        <w:ind w:firstLine="486" w:firstLineChars="200"/>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4.招标方式：</w:t>
      </w:r>
    </w:p>
    <w:p w14:paraId="5E270137">
      <w:pPr>
        <w:snapToGrid w:val="0"/>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4.1本项目招标方式：公开招标。</w:t>
      </w:r>
    </w:p>
    <w:p w14:paraId="7E49A09E">
      <w:pPr>
        <w:snapToGrid w:val="0"/>
        <w:spacing w:line="440" w:lineRule="exact"/>
        <w:ind w:firstLine="486" w:firstLineChars="200"/>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5.计价方式：</w:t>
      </w:r>
    </w:p>
    <w:p w14:paraId="43EECD6C">
      <w:pPr>
        <w:snapToGrid w:val="0"/>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5.1本次招标项目合同采用</w:t>
      </w:r>
      <w:r>
        <w:rPr>
          <w:rFonts w:hint="eastAsia" w:ascii="仿宋" w:hAnsi="仿宋" w:eastAsia="仿宋" w:cs="仿宋"/>
          <w:color w:val="auto"/>
          <w:szCs w:val="21"/>
          <w:highlight w:val="none"/>
          <w:u w:val="single"/>
          <w:lang w:eastAsia="zh-CN"/>
        </w:rPr>
        <w:t xml:space="preserve">   固定总价 。</w:t>
      </w:r>
    </w:p>
    <w:p w14:paraId="38549402">
      <w:pPr>
        <w:snapToGrid w:val="0"/>
        <w:spacing w:line="440" w:lineRule="exact"/>
        <w:ind w:firstLine="486" w:firstLineChars="200"/>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6.评标办法：</w:t>
      </w:r>
    </w:p>
    <w:p w14:paraId="4D6BC809">
      <w:pPr>
        <w:snapToGrid w:val="0"/>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6.1本次招标评标采用</w:t>
      </w:r>
      <w:r>
        <w:rPr>
          <w:rFonts w:hint="eastAsia" w:ascii="仿宋" w:hAnsi="仿宋" w:eastAsia="仿宋" w:cs="仿宋"/>
          <w:color w:val="auto"/>
          <w:szCs w:val="21"/>
          <w:highlight w:val="none"/>
          <w:u w:val="single"/>
          <w:lang w:eastAsia="zh-CN"/>
        </w:rPr>
        <w:t xml:space="preserve">  综合评分法 </w:t>
      </w:r>
      <w:r>
        <w:rPr>
          <w:rFonts w:hint="eastAsia" w:ascii="仿宋" w:hAnsi="仿宋" w:eastAsia="仿宋" w:cs="仿宋"/>
          <w:color w:val="auto"/>
          <w:szCs w:val="21"/>
          <w:highlight w:val="none"/>
          <w:lang w:eastAsia="zh-CN"/>
        </w:rPr>
        <w:t>（详见第三章评标办法）</w:t>
      </w:r>
    </w:p>
    <w:p w14:paraId="718987FC">
      <w:pPr>
        <w:snapToGrid w:val="0"/>
        <w:spacing w:line="440" w:lineRule="exact"/>
        <w:ind w:firstLine="486" w:firstLineChars="200"/>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7.供应商资格：</w:t>
      </w:r>
    </w:p>
    <w:p w14:paraId="7D5460D8">
      <w:pPr>
        <w:snapToGrid w:val="0"/>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7.1参与采购活动的供应商必须是满足《中华人民共和国政府采购法》规定条件的法人、其他组织或者自然人：</w:t>
      </w:r>
    </w:p>
    <w:p w14:paraId="67164909">
      <w:pPr>
        <w:snapToGrid w:val="0"/>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7.2由于政府采购项目的差异性，供应商在参与具体政府采购项目活动时，应仔细阅读该项目的资质要求,具体见供应商须知前附表。</w:t>
      </w:r>
    </w:p>
    <w:p w14:paraId="51336E79">
      <w:pPr>
        <w:snapToGrid w:val="0"/>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7.3根据电子化政府采购的特点，各供应商在开标前应确保成为新疆维吾尔自治区政府采购网正式注册入库供应商，</w:t>
      </w:r>
      <w:r>
        <w:rPr>
          <w:rFonts w:hint="eastAsia" w:ascii="仿宋" w:hAnsi="仿宋" w:eastAsia="仿宋" w:cs="仿宋"/>
          <w:color w:val="auto"/>
          <w:kern w:val="2"/>
          <w:highlight w:val="none"/>
          <w:lang w:eastAsia="zh-CN" w:bidi="ar-SA"/>
        </w:rPr>
        <w:t>(已在政采云平台其他省份入驻的供应商无须重复注册），</w:t>
      </w:r>
      <w:r>
        <w:rPr>
          <w:rFonts w:hint="eastAsia" w:ascii="仿宋" w:hAnsi="仿宋" w:eastAsia="仿宋" w:cs="仿宋"/>
          <w:color w:val="auto"/>
          <w:szCs w:val="21"/>
          <w:highlight w:val="none"/>
          <w:lang w:eastAsia="zh-CN"/>
        </w:rPr>
        <w:t>并完成CA数字证书申领。因未注册入库、未办理CA数字证书等原因造成无法投标或投标失败等后果由供应商自行承担。</w:t>
      </w:r>
    </w:p>
    <w:p w14:paraId="68428201">
      <w:pPr>
        <w:snapToGrid w:val="0"/>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7.4供应商必须确保自己在信息库中注册的信息真实、准确，并保证投标文件中的有关信息与库中的信息相一致。否则，供应商因此蒙受损失，招标人概不负责。</w:t>
      </w:r>
    </w:p>
    <w:p w14:paraId="136417EC">
      <w:pPr>
        <w:spacing w:line="440" w:lineRule="exact"/>
        <w:ind w:firstLine="486" w:firstLineChars="200"/>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8. 投标费用</w:t>
      </w:r>
    </w:p>
    <w:p w14:paraId="779E7397">
      <w:pPr>
        <w:snapToGrid w:val="0"/>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8.1供应商准备和参加投标活动发生的费用自理。</w:t>
      </w:r>
    </w:p>
    <w:p w14:paraId="26776131">
      <w:pPr>
        <w:spacing w:line="440" w:lineRule="exact"/>
        <w:ind w:firstLine="486" w:firstLineChars="200"/>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9.</w:t>
      </w:r>
      <w:bookmarkStart w:id="3" w:name="_Toc247592876"/>
      <w:bookmarkStart w:id="4" w:name="_Toc296602429"/>
      <w:bookmarkStart w:id="5" w:name="_Toc144974507"/>
      <w:bookmarkStart w:id="6" w:name="_Toc152042315"/>
      <w:bookmarkStart w:id="7" w:name="_Toc247527563"/>
      <w:bookmarkStart w:id="8" w:name="_Toc152045539"/>
      <w:bookmarkStart w:id="9" w:name="_Toc247513962"/>
      <w:r>
        <w:rPr>
          <w:rFonts w:hint="eastAsia" w:ascii="仿宋" w:hAnsi="仿宋" w:eastAsia="仿宋" w:cs="仿宋"/>
          <w:b/>
          <w:color w:val="auto"/>
          <w:szCs w:val="21"/>
          <w:highlight w:val="none"/>
          <w:lang w:eastAsia="zh-CN"/>
        </w:rPr>
        <w:t xml:space="preserve"> 踏勘现场</w:t>
      </w:r>
      <w:bookmarkEnd w:id="3"/>
      <w:bookmarkEnd w:id="4"/>
      <w:bookmarkEnd w:id="5"/>
      <w:bookmarkEnd w:id="6"/>
      <w:bookmarkEnd w:id="7"/>
      <w:bookmarkEnd w:id="8"/>
      <w:bookmarkEnd w:id="9"/>
    </w:p>
    <w:p w14:paraId="41B4D1F9">
      <w:pPr>
        <w:spacing w:line="440" w:lineRule="exact"/>
        <w:ind w:firstLine="473" w:firstLineChars="195"/>
        <w:rPr>
          <w:rFonts w:ascii="仿宋" w:hAnsi="仿宋" w:eastAsia="仿宋" w:cs="仿宋"/>
          <w:b w:val="0"/>
          <w:bCs w:val="0"/>
          <w:color w:val="auto"/>
          <w:szCs w:val="21"/>
          <w:highlight w:val="none"/>
          <w:lang w:eastAsia="zh-CN"/>
        </w:rPr>
      </w:pPr>
      <w:r>
        <w:rPr>
          <w:rFonts w:hint="eastAsia" w:ascii="仿宋" w:hAnsi="仿宋" w:eastAsia="仿宋" w:cs="仿宋"/>
          <w:color w:val="auto"/>
          <w:szCs w:val="21"/>
          <w:highlight w:val="none"/>
          <w:lang w:eastAsia="zh-CN"/>
        </w:rPr>
        <w:t>9.1 供应商须知前附表规定组织踏勘现场的，招标人按供应商须知前附表规定的时间、地点组织供应商踏勘项目现场。如需踏勘现场，</w:t>
      </w:r>
      <w:r>
        <w:rPr>
          <w:rFonts w:hint="eastAsia" w:ascii="仿宋" w:hAnsi="仿宋" w:eastAsia="仿宋" w:cs="仿宋"/>
          <w:color w:val="auto"/>
          <w:highlight w:val="none"/>
          <w:lang w:eastAsia="zh-CN"/>
        </w:rPr>
        <w:t>供应商自行踏勘现场的，可咨询本项目采购人或采购代理机构联系人。</w:t>
      </w:r>
      <w:r>
        <w:rPr>
          <w:rFonts w:hint="eastAsia" w:ascii="仿宋" w:hAnsi="仿宋" w:eastAsia="仿宋" w:cs="仿宋"/>
          <w:b w:val="0"/>
          <w:bCs w:val="0"/>
          <w:color w:val="auto"/>
          <w:highlight w:val="none"/>
          <w:lang w:eastAsia="zh-CN"/>
        </w:rPr>
        <w:t>供应商自行踏勘现场的，可咨询本项目采购人或采购代理机构联系人。</w:t>
      </w:r>
      <w:r>
        <w:rPr>
          <w:rFonts w:hint="eastAsia" w:ascii="仿宋" w:hAnsi="仿宋" w:eastAsia="仿宋" w:cs="仿宋"/>
          <w:b w:val="0"/>
          <w:bCs w:val="0"/>
          <w:color w:val="auto"/>
          <w:szCs w:val="21"/>
          <w:highlight w:val="none"/>
          <w:lang w:eastAsia="zh-CN"/>
        </w:rPr>
        <w:t xml:space="preserve"> </w:t>
      </w:r>
    </w:p>
    <w:p w14:paraId="7C3F7763">
      <w:pPr>
        <w:spacing w:line="440" w:lineRule="exact"/>
        <w:ind w:firstLine="473" w:firstLineChars="195"/>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9.2 供应商踏勘现场发生的费用自理。</w:t>
      </w:r>
    </w:p>
    <w:p w14:paraId="4F576AAD">
      <w:pPr>
        <w:spacing w:line="440" w:lineRule="exact"/>
        <w:ind w:firstLine="473" w:firstLineChars="195"/>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9.3 除招标人的原因外，供应商自行负责在踏勘现场中所发生的人员伤亡和财产损失。</w:t>
      </w:r>
    </w:p>
    <w:p w14:paraId="7F579CA9">
      <w:pPr>
        <w:spacing w:line="440" w:lineRule="exact"/>
        <w:ind w:firstLine="473" w:firstLineChars="195"/>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9.4 招标人在踏勘现场中介绍的场地和相关的周边环境情况，供应商在编制投标文件时参考，招标人不对供应商据此作出的判断和决策负责。</w:t>
      </w:r>
      <w:bookmarkStart w:id="10" w:name="_Toc296602430"/>
      <w:bookmarkStart w:id="11" w:name="_Toc152045540"/>
      <w:bookmarkStart w:id="12" w:name="_Toc247527564"/>
      <w:bookmarkStart w:id="13" w:name="_Toc144974508"/>
      <w:bookmarkStart w:id="14" w:name="_Toc247592877"/>
      <w:bookmarkStart w:id="15" w:name="_Toc152042316"/>
      <w:bookmarkStart w:id="16" w:name="_Toc247513963"/>
    </w:p>
    <w:p w14:paraId="2CB94713">
      <w:pPr>
        <w:spacing w:line="440" w:lineRule="exact"/>
        <w:ind w:firstLine="486" w:firstLineChars="200"/>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10. 投标预备会</w:t>
      </w:r>
      <w:bookmarkEnd w:id="10"/>
      <w:bookmarkEnd w:id="11"/>
      <w:bookmarkEnd w:id="12"/>
      <w:bookmarkEnd w:id="13"/>
      <w:bookmarkEnd w:id="14"/>
      <w:bookmarkEnd w:id="15"/>
      <w:bookmarkEnd w:id="16"/>
    </w:p>
    <w:p w14:paraId="4E9E7168">
      <w:pPr>
        <w:spacing w:line="440" w:lineRule="exact"/>
        <w:ind w:firstLine="473" w:firstLineChars="195"/>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10.1供应商须知前附表规定召开投标预备会的，招标人按供应商须知前附表规定的时间和地点召开投标预备会，澄清供应商提出的问题。</w:t>
      </w:r>
    </w:p>
    <w:p w14:paraId="38207339">
      <w:pPr>
        <w:spacing w:line="440" w:lineRule="exact"/>
        <w:ind w:firstLine="473" w:firstLineChars="195"/>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10.2供应商应在供应商须知前附表规定的时间前，将提出的问题送达招标人，以便招标人澄清。</w:t>
      </w:r>
    </w:p>
    <w:p w14:paraId="7DFD4692">
      <w:pPr>
        <w:spacing w:line="440" w:lineRule="exact"/>
        <w:ind w:firstLine="473" w:firstLineChars="195"/>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10.3招标人在供应商须知前附表规定的时间，将对供应商所提的问题进行澄清。该澄清内容为采购文件的组成部分。</w:t>
      </w:r>
    </w:p>
    <w:p w14:paraId="61CD3415">
      <w:pPr>
        <w:spacing w:line="440" w:lineRule="exact"/>
        <w:ind w:firstLine="486" w:firstLineChars="200"/>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11. 联合投标</w:t>
      </w:r>
    </w:p>
    <w:p w14:paraId="1D71E720">
      <w:pPr>
        <w:spacing w:line="440" w:lineRule="exact"/>
        <w:ind w:firstLine="473" w:firstLineChars="195"/>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11.1 两个以上供应商可以组成一个投标联合体，以一个供应商的身份投标。以联合体形式参加投标的，联合体各方均应当符合《政府采购法》第二十二条规定的条件。招标人根据采购项目的特殊要求规定供应商特定条件的，联合体各方中至少应当有一方符合招标人规定的特定条件。</w:t>
      </w:r>
    </w:p>
    <w:p w14:paraId="68FFDBB2">
      <w:pPr>
        <w:spacing w:line="400" w:lineRule="exact"/>
        <w:ind w:firstLine="473" w:firstLineChars="195"/>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11.2联合体各方之间应当签订共同投标协议，明确约定联合体各方承担的工作和相应的责任，并将共同投标协议连同投标文件一并提交招标人。联合体各方签订共同投标协议后，不得再以自己名义单独在同一项目中投标，也不得组成新的联合体参加同一项目投标。</w:t>
      </w:r>
    </w:p>
    <w:p w14:paraId="0D796F2D">
      <w:pPr>
        <w:spacing w:line="400" w:lineRule="exact"/>
        <w:ind w:firstLine="475" w:firstLineChars="196"/>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11.3 联合体应当确定其中一个单位为投标的全权代表，负责参加投标的一切事务，并承担投标及履约中应承担的全部责任与义务。</w:t>
      </w:r>
    </w:p>
    <w:p w14:paraId="402BBE03">
      <w:pPr>
        <w:pStyle w:val="9"/>
        <w:spacing w:after="0" w:line="400" w:lineRule="exact"/>
        <w:ind w:left="0" w:leftChars="0" w:firstLine="490" w:firstLineChars="202"/>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11.4 联合体各方应当共同与招标人签订采购合同，就采购合同约定的事项对招标人承担连带责任。</w:t>
      </w:r>
    </w:p>
    <w:p w14:paraId="083C47F2">
      <w:pPr>
        <w:spacing w:line="440" w:lineRule="exact"/>
        <w:ind w:firstLine="475" w:firstLineChars="196"/>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12.招标代理费:</w:t>
      </w:r>
      <w:r>
        <w:rPr>
          <w:rFonts w:hint="eastAsia" w:ascii="仿宋" w:hAnsi="仿宋" w:eastAsia="仿宋" w:cs="仿宋"/>
          <w:color w:val="auto"/>
          <w:szCs w:val="21"/>
          <w:highlight w:val="none"/>
          <w:lang w:eastAsia="zh-CN"/>
        </w:rPr>
        <w:t xml:space="preserve"> 见供应商须知前附表。</w:t>
      </w:r>
    </w:p>
    <w:p w14:paraId="0C20AD8E">
      <w:pPr>
        <w:spacing w:line="440" w:lineRule="exact"/>
        <w:ind w:firstLine="486" w:firstLineChars="200"/>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13.供应商应注意的事项</w:t>
      </w:r>
    </w:p>
    <w:p w14:paraId="4A903123">
      <w:pPr>
        <w:spacing w:line="440" w:lineRule="exact"/>
        <w:ind w:firstLine="486" w:firstLineChars="200"/>
        <w:rPr>
          <w:rFonts w:ascii="仿宋" w:hAnsi="仿宋" w:eastAsia="仿宋" w:cs="仿宋"/>
          <w:bCs/>
          <w:color w:val="auto"/>
          <w:szCs w:val="21"/>
          <w:highlight w:val="none"/>
          <w:lang w:eastAsia="zh-CN"/>
        </w:rPr>
      </w:pPr>
      <w:r>
        <w:rPr>
          <w:rFonts w:hint="eastAsia" w:ascii="仿宋" w:hAnsi="仿宋" w:eastAsia="仿宋" w:cs="仿宋"/>
          <w:color w:val="auto"/>
          <w:szCs w:val="21"/>
          <w:highlight w:val="none"/>
          <w:lang w:eastAsia="zh-CN"/>
        </w:rPr>
        <w:t>13.1供应商一旦按规定缴纳了投标保证金并参加投标，即被认为接受了本采购文件中的所有条件和规定。供应商必须严格按采购文件的要求编制投标文件，投标文件宜编制页码和目录，以便评委审核。否则，由此产生的一切后果由供应商承担。</w:t>
      </w:r>
    </w:p>
    <w:p w14:paraId="51780FEC">
      <w:pPr>
        <w:spacing w:line="440" w:lineRule="exact"/>
        <w:ind w:firstLine="486" w:firstLineChars="200"/>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13.2 供应商对采购内容中规定的技术参数、规格等要求必须完全响应或优于采购文件中的要求。</w:t>
      </w:r>
    </w:p>
    <w:p w14:paraId="0AD8C3C7">
      <w:pPr>
        <w:spacing w:line="440" w:lineRule="exact"/>
        <w:ind w:firstLine="475" w:firstLineChars="196"/>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13.3所有供应商的投标保证金都应在采购文件规定的投标保证金缴纳截止日期前缴纳。</w:t>
      </w:r>
    </w:p>
    <w:p w14:paraId="2B65C520">
      <w:pPr>
        <w:spacing w:line="440" w:lineRule="exact"/>
        <w:ind w:firstLine="475" w:firstLineChars="196"/>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13.4单位负责人为同一人或者存在直接控股、管理关系的不同供应商，不得参加同一合同项下的政府采购活动。</w:t>
      </w:r>
      <w:r>
        <w:rPr>
          <w:rFonts w:hint="eastAsia" w:ascii="仿宋" w:hAnsi="仿宋" w:eastAsia="仿宋" w:cs="仿宋"/>
          <w:color w:val="auto"/>
          <w:szCs w:val="21"/>
          <w:highlight w:val="none"/>
          <w:lang w:eastAsia="zh-CN"/>
        </w:rPr>
        <w:t>为采购项目提供整体设计、规范编制或者项目管理、监理、检测等服务的供应商，不得再参加该采购项目的其他采购活动。</w:t>
      </w:r>
    </w:p>
    <w:p w14:paraId="5254A680">
      <w:pPr>
        <w:snapToGrid w:val="0"/>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bCs/>
          <w:color w:val="auto"/>
          <w:szCs w:val="21"/>
          <w:highlight w:val="none"/>
          <w:lang w:eastAsia="zh-CN"/>
        </w:rPr>
        <w:t>13.5本项目只接受</w:t>
      </w:r>
      <w:r>
        <w:rPr>
          <w:rFonts w:hint="eastAsia" w:ascii="仿宋" w:hAnsi="仿宋" w:eastAsia="仿宋" w:cs="仿宋"/>
          <w:color w:val="auto"/>
          <w:szCs w:val="21"/>
          <w:highlight w:val="none"/>
          <w:lang w:eastAsia="zh-CN"/>
        </w:rPr>
        <w:t>成为新疆维吾尔自治区政府采购网正式注册入库并完成CA数字证书申领供应商参与投标。因未注册入库、未办理CA数字证书等原因造成无法投标或投标失败等后果由供应商自行承担。</w:t>
      </w:r>
    </w:p>
    <w:p w14:paraId="41519958">
      <w:pPr>
        <w:wordWrap w:val="0"/>
        <w:spacing w:line="440" w:lineRule="exact"/>
        <w:ind w:firstLine="486" w:firstLineChars="200"/>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13.6  供应商被视为充分熟悉本招标项目所在地的与履行合同有关的各种情况，包括但不限于：</w:t>
      </w:r>
    </w:p>
    <w:p w14:paraId="59E16707">
      <w:pPr>
        <w:spacing w:line="400" w:lineRule="exact"/>
        <w:ind w:firstLine="364" w:firstLineChars="150"/>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（1）国家对本次投标货物</w:t>
      </w:r>
      <w:r>
        <w:rPr>
          <w:rFonts w:hint="eastAsia" w:ascii="仿宋" w:hAnsi="仿宋" w:eastAsia="仿宋" w:cs="仿宋"/>
          <w:bCs/>
          <w:color w:val="auto"/>
          <w:szCs w:val="21"/>
          <w:highlight w:val="none"/>
          <w:lang w:val="en-US" w:eastAsia="zh-CN"/>
        </w:rPr>
        <w:t>/</w:t>
      </w:r>
      <w:r>
        <w:rPr>
          <w:rFonts w:hint="eastAsia" w:ascii="仿宋" w:hAnsi="仿宋" w:eastAsia="仿宋" w:cs="仿宋"/>
          <w:bCs/>
          <w:color w:val="auto"/>
          <w:szCs w:val="21"/>
          <w:highlight w:val="none"/>
          <w:lang w:eastAsia="zh-CN"/>
        </w:rPr>
        <w:t>服务的生产、安装调试、验收、维修等有关法律、法规及行业管理标准；</w:t>
      </w:r>
    </w:p>
    <w:p w14:paraId="33FBE0F4">
      <w:pPr>
        <w:spacing w:line="400" w:lineRule="exact"/>
        <w:ind w:firstLine="364" w:firstLineChars="150"/>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（2）本地区有关管理部门的相关规定；</w:t>
      </w:r>
    </w:p>
    <w:p w14:paraId="5EBA9CA8">
      <w:pPr>
        <w:spacing w:line="400" w:lineRule="exact"/>
        <w:ind w:firstLine="364" w:firstLineChars="150"/>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（3）招标人的相关场地情况、基础建设、电力供应情况及相关设计标准。</w:t>
      </w:r>
    </w:p>
    <w:p w14:paraId="3190C960">
      <w:pPr>
        <w:spacing w:line="400" w:lineRule="exact"/>
        <w:ind w:firstLine="364" w:firstLineChars="150"/>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本采购文件不再对上述情况进行描述。</w:t>
      </w:r>
      <w:bookmarkStart w:id="17" w:name="_Toc469495725"/>
    </w:p>
    <w:p w14:paraId="6A7B2828">
      <w:pPr>
        <w:spacing w:line="400" w:lineRule="exact"/>
        <w:ind w:firstLine="424" w:firstLineChars="150"/>
        <w:jc w:val="center"/>
        <w:rPr>
          <w:rFonts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（二）</w:t>
      </w:r>
      <w:bookmarkEnd w:id="17"/>
      <w:r>
        <w:rPr>
          <w:rFonts w:hint="eastAsia" w:ascii="仿宋" w:hAnsi="仿宋" w:eastAsia="仿宋" w:cs="仿宋"/>
          <w:b/>
          <w:color w:val="auto"/>
          <w:sz w:val="28"/>
          <w:szCs w:val="28"/>
          <w:highlight w:val="none"/>
          <w:lang w:eastAsia="zh-CN"/>
        </w:rPr>
        <w:t>招标文件</w:t>
      </w:r>
    </w:p>
    <w:p w14:paraId="1CAA7BB6">
      <w:pPr>
        <w:spacing w:line="440" w:lineRule="exact"/>
        <w:ind w:firstLine="486" w:firstLineChars="200"/>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15. 采购文件的编制依据</w:t>
      </w:r>
    </w:p>
    <w:p w14:paraId="0B8680C1">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根据《中华人民共和国政府采购法》、《政府采购货物和服务招标投标管理办法》和《中华人民共和国</w:t>
      </w:r>
      <w:r>
        <w:rPr>
          <w:rFonts w:hint="eastAsia" w:ascii="仿宋" w:hAnsi="仿宋" w:eastAsia="仿宋" w:cs="仿宋"/>
          <w:color w:val="auto"/>
          <w:szCs w:val="21"/>
          <w:highlight w:val="none"/>
          <w:lang w:val="en-US" w:eastAsia="zh-CN"/>
        </w:rPr>
        <w:t>民典</w:t>
      </w:r>
      <w:r>
        <w:rPr>
          <w:rFonts w:hint="eastAsia" w:ascii="仿宋" w:hAnsi="仿宋" w:eastAsia="仿宋" w:cs="仿宋"/>
          <w:color w:val="auto"/>
          <w:szCs w:val="21"/>
          <w:highlight w:val="none"/>
          <w:lang w:eastAsia="zh-CN"/>
        </w:rPr>
        <w:t>法》</w:t>
      </w:r>
      <w:r>
        <w:rPr>
          <w:rFonts w:hint="eastAsia" w:ascii="仿宋" w:hAnsi="仿宋" w:eastAsia="仿宋" w:cs="仿宋"/>
          <w:color w:val="auto"/>
          <w:spacing w:val="-2"/>
          <w:szCs w:val="21"/>
          <w:highlight w:val="none"/>
          <w:lang w:eastAsia="zh-CN"/>
        </w:rPr>
        <w:t>等相关法律法规和规章及部、省、市级规范性文件的规定，编制本采购文件。</w:t>
      </w:r>
    </w:p>
    <w:p w14:paraId="1D412985">
      <w:pPr>
        <w:spacing w:line="440" w:lineRule="exact"/>
        <w:ind w:firstLine="486" w:firstLineChars="200"/>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16. 采购文件的组成</w:t>
      </w:r>
    </w:p>
    <w:p w14:paraId="5FD6589A">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16.1 采购文件包括内容：</w:t>
      </w:r>
    </w:p>
    <w:p w14:paraId="2154EDF7">
      <w:pPr>
        <w:spacing w:line="440" w:lineRule="exact"/>
        <w:ind w:firstLine="1701" w:firstLineChars="7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第一章  招标公告</w:t>
      </w:r>
    </w:p>
    <w:p w14:paraId="4C76C2A5">
      <w:pPr>
        <w:spacing w:line="440" w:lineRule="exact"/>
        <w:ind w:firstLine="1701" w:firstLineChars="7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第二章  投标须知</w:t>
      </w:r>
    </w:p>
    <w:p w14:paraId="43502A8C">
      <w:pPr>
        <w:spacing w:line="440" w:lineRule="exact"/>
        <w:ind w:firstLine="1701" w:firstLineChars="7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第三章  评标办法</w:t>
      </w:r>
    </w:p>
    <w:p w14:paraId="280F4E67">
      <w:pPr>
        <w:spacing w:line="440" w:lineRule="exact"/>
        <w:ind w:firstLine="1701" w:firstLineChars="700"/>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eastAsia="zh-CN"/>
        </w:rPr>
        <w:t>第四章  采购内容及</w:t>
      </w:r>
      <w:r>
        <w:rPr>
          <w:rFonts w:hint="eastAsia" w:ascii="仿宋" w:hAnsi="仿宋" w:eastAsia="仿宋" w:cs="仿宋"/>
          <w:color w:val="auto"/>
          <w:szCs w:val="21"/>
          <w:highlight w:val="none"/>
          <w:lang w:val="en-US" w:eastAsia="zh-CN"/>
        </w:rPr>
        <w:t>参数</w:t>
      </w:r>
      <w:r>
        <w:rPr>
          <w:rFonts w:hint="eastAsia" w:ascii="仿宋" w:hAnsi="仿宋" w:eastAsia="仿宋" w:cs="仿宋"/>
          <w:color w:val="auto"/>
          <w:szCs w:val="21"/>
          <w:highlight w:val="none"/>
          <w:lang w:eastAsia="zh-CN"/>
        </w:rPr>
        <w:t>要求</w:t>
      </w:r>
    </w:p>
    <w:p w14:paraId="3195E0B3">
      <w:pPr>
        <w:spacing w:line="440" w:lineRule="exact"/>
        <w:ind w:firstLine="1701" w:firstLineChars="7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第五章  合同条款及格式</w:t>
      </w:r>
    </w:p>
    <w:p w14:paraId="54FE1411">
      <w:pPr>
        <w:spacing w:line="440" w:lineRule="exact"/>
        <w:ind w:firstLine="1701" w:firstLineChars="7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第六章  投标文件格式文本</w:t>
      </w:r>
    </w:p>
    <w:p w14:paraId="4D7C7E81">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   16.2 除16.1内容外，招标答疑亦为采购文件的组成部分，对招标人和供应商起约束作用。</w:t>
      </w:r>
    </w:p>
    <w:p w14:paraId="65BD4268">
      <w:pPr>
        <w:pStyle w:val="10"/>
        <w:wordWrap w:val="0"/>
        <w:spacing w:line="40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   16.3供应商应仔细阅读和检查采购文件的全部内容。如发现缺页或附件不全，应及时向招标人提出，以便补齐。如有疑问，供应商应以书面形式一次性向采购人和采购代理机构提出同一环节的质疑。</w:t>
      </w:r>
    </w:p>
    <w:p w14:paraId="230CEDA7">
      <w:pPr>
        <w:wordWrap w:val="0"/>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   16.4供应商认为采购文件使自己的权益受到损害的，可以自收到采购文件之日（采购文件公告期限届满之前收到采购文件的，以完成获取采购文件申请后下载采购文件的时间为准）或者采购文件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新疆政府采购网下载专区下载。采购文件的澄清将在政采云平台“更正公告”栏目予以公告，但不指明澄清问题的来源。如果澄清内容影响投标文件编制的，将相应延长投标截止时间。</w:t>
      </w:r>
    </w:p>
    <w:p w14:paraId="099EB650">
      <w:pPr>
        <w:spacing w:line="440" w:lineRule="exact"/>
        <w:rPr>
          <w:rFonts w:ascii="仿宋" w:hAnsi="仿宋" w:eastAsia="仿宋" w:cs="仿宋"/>
          <w:b/>
          <w:bCs/>
          <w:color w:val="auto"/>
          <w:szCs w:val="21"/>
          <w:highlight w:val="none"/>
          <w:lang w:eastAsia="zh-CN"/>
        </w:rPr>
      </w:pPr>
      <w:r>
        <w:rPr>
          <w:rFonts w:hint="eastAsia" w:ascii="仿宋" w:hAnsi="仿宋" w:eastAsia="仿宋" w:cs="仿宋"/>
          <w:b/>
          <w:bCs/>
          <w:color w:val="auto"/>
          <w:szCs w:val="21"/>
          <w:highlight w:val="none"/>
          <w:lang w:eastAsia="zh-CN"/>
        </w:rPr>
        <w:t>17. 采购文件的修改、补充、解释</w:t>
      </w:r>
    </w:p>
    <w:p w14:paraId="074584B8">
      <w:pPr>
        <w:wordWrap w:val="0"/>
        <w:spacing w:line="400" w:lineRule="exact"/>
        <w:ind w:firstLine="364" w:firstLineChars="15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17.1采购文件发出后，招标人在规定的投标截止时间前可对采购文件进行必要的修改和补充，并以更正公告形式在政采云平台 “更正公告”栏目予以公告，请各位供应商注意查看有关澄清内容，如不及时查看造成后果由供应商自负。采购文件的修改、补充等内容作为采购文件的组成部分，具有约束作用。</w:t>
      </w:r>
    </w:p>
    <w:p w14:paraId="71CD56FE">
      <w:pPr>
        <w:wordWrap w:val="0"/>
        <w:spacing w:line="400" w:lineRule="exact"/>
        <w:ind w:firstLine="364" w:firstLineChars="15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17.2 采购代理机构可视采购具体情况对已发出的采购文件进行必要的澄清、修改或者补充。澄清、修改或者补充的内容可能影响投标文件编制的，应当在投标截止时间至少15日前，在原公告发布媒体上发布澄清公告，澄清或者修改的内容为采购文件的组成部分；不足15日的，应当顺延提交投标文件的截止时间。 </w:t>
      </w:r>
    </w:p>
    <w:p w14:paraId="0E50AA60">
      <w:pPr>
        <w:wordWrap w:val="0"/>
        <w:spacing w:line="400" w:lineRule="exact"/>
        <w:ind w:firstLine="364" w:firstLineChars="150"/>
        <w:rPr>
          <w:rFonts w:ascii="仿宋" w:hAnsi="仿宋" w:eastAsia="仿宋" w:cs="仿宋"/>
          <w:color w:val="auto"/>
          <w:szCs w:val="21"/>
          <w:highlight w:val="none"/>
          <w:lang w:eastAsia="zh-CN"/>
        </w:rPr>
      </w:pPr>
      <w:r>
        <w:rPr>
          <w:rFonts w:hint="eastAsia" w:ascii="仿宋" w:hAnsi="仿宋" w:eastAsia="仿宋" w:cs="仿宋"/>
          <w:bCs/>
          <w:color w:val="auto"/>
          <w:szCs w:val="21"/>
          <w:highlight w:val="none"/>
          <w:lang w:eastAsia="zh-CN"/>
        </w:rPr>
        <w:t xml:space="preserve">17.3 </w:t>
      </w:r>
      <w:r>
        <w:rPr>
          <w:rFonts w:hint="eastAsia" w:ascii="仿宋" w:hAnsi="仿宋" w:eastAsia="仿宋" w:cs="仿宋"/>
          <w:color w:val="auto"/>
          <w:szCs w:val="21"/>
          <w:highlight w:val="none"/>
          <w:lang w:eastAsia="zh-CN"/>
        </w:rPr>
        <w:t>供应商在规定的时间内未对采购文件提出疑问、质疑或要求澄清的，将视其为无异议。</w:t>
      </w:r>
    </w:p>
    <w:p w14:paraId="34B8A040">
      <w:pPr>
        <w:spacing w:line="400" w:lineRule="exact"/>
        <w:ind w:firstLine="243" w:firstLineChars="100"/>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17.4 采购文件的解释</w:t>
      </w:r>
    </w:p>
    <w:p w14:paraId="192F9B4F">
      <w:pPr>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本采购文件由招标人（或其委托的招标代理机构）负责解释。</w:t>
      </w:r>
    </w:p>
    <w:p w14:paraId="3D011532">
      <w:pPr>
        <w:spacing w:line="400" w:lineRule="exact"/>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 xml:space="preserve"> 18. 采购文件的发出</w:t>
      </w:r>
    </w:p>
    <w:p w14:paraId="45F1BA0B">
      <w:pPr>
        <w:spacing w:line="400" w:lineRule="exact"/>
        <w:ind w:firstLine="364" w:firstLineChars="15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18.1 采购文件、采购文件的澄清、修改、补充及招标答疑等均应报相关部门备案后，方可发出。</w:t>
      </w:r>
    </w:p>
    <w:p w14:paraId="6F7C6271">
      <w:pPr>
        <w:spacing w:line="440" w:lineRule="exact"/>
        <w:ind w:firstLine="243" w:firstLineChars="100"/>
        <w:rPr>
          <w:rFonts w:ascii="仿宋" w:hAnsi="仿宋" w:eastAsia="仿宋" w:cs="仿宋"/>
          <w:color w:val="auto"/>
          <w:szCs w:val="21"/>
          <w:highlight w:val="none"/>
          <w:lang w:eastAsia="zh-CN"/>
        </w:rPr>
      </w:pPr>
      <w:bookmarkStart w:id="18" w:name="_Toc469495726"/>
      <w:r>
        <w:rPr>
          <w:rFonts w:hint="eastAsia" w:ascii="仿宋" w:hAnsi="仿宋" w:eastAsia="仿宋" w:cs="仿宋"/>
          <w:b/>
          <w:color w:val="auto"/>
          <w:szCs w:val="21"/>
          <w:highlight w:val="none"/>
          <w:lang w:eastAsia="zh-CN"/>
        </w:rPr>
        <w:t xml:space="preserve">19. </w:t>
      </w:r>
      <w:r>
        <w:rPr>
          <w:rFonts w:hint="eastAsia" w:ascii="仿宋" w:hAnsi="仿宋" w:eastAsia="仿宋" w:cs="仿宋"/>
          <w:color w:val="auto"/>
          <w:szCs w:val="21"/>
          <w:highlight w:val="none"/>
          <w:lang w:eastAsia="zh-CN"/>
        </w:rPr>
        <w:t>凡需要设置样品情形时，必须明确是否需要随样品提交检测报告，并明确检测机构的要求、检测内容、中标样品封存等事项。（评标委员会无法判断样品是否合格且样品需要提供给第三方权威检测机构检测的,在供应商提供招标人认可的第三方权威检测机构检测报告后，评标委员会推荐的中标候选人方可生效，采购人或代理机构发布中标（成交）结果公告。</w:t>
      </w:r>
    </w:p>
    <w:p w14:paraId="7CDD90BF">
      <w:pPr>
        <w:spacing w:line="440" w:lineRule="exact"/>
        <w:ind w:firstLine="42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采购文件中应明确样品送检方式、检测费用支付方法、供应商在规定时间内无法提供第三方权威检测机构检测报告的处理方式。（采购人根据项目需求按上述要求自行描述）</w:t>
      </w:r>
    </w:p>
    <w:p w14:paraId="2A33B395">
      <w:pPr>
        <w:spacing w:beforeLines="100" w:afterLines="100" w:line="440" w:lineRule="exact"/>
        <w:jc w:val="center"/>
        <w:outlineLvl w:val="2"/>
        <w:rPr>
          <w:rFonts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（三）投标文件的编制</w:t>
      </w:r>
      <w:bookmarkEnd w:id="18"/>
    </w:p>
    <w:p w14:paraId="0DC93C66">
      <w:pPr>
        <w:spacing w:line="440" w:lineRule="exact"/>
        <w:ind w:firstLine="352" w:firstLineChars="145"/>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20. 投标的语言及度量衡单位</w:t>
      </w:r>
    </w:p>
    <w:p w14:paraId="32C94D50">
      <w:pPr>
        <w:spacing w:line="440" w:lineRule="exact"/>
        <w:ind w:firstLine="328" w:firstLineChars="135"/>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20.1供应商提交的投标文件、技术文件和资料，以及供应商与招标人就有关投标的所有来往函电均应使用中文。投标文件中若有英文或其他语言文字的资料，应提供相应的中文翻译资料。对不同文本投标文件的解释发生异议的，以中文文本为准。</w:t>
      </w:r>
    </w:p>
    <w:p w14:paraId="2FA118B9">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20.2除采购文件中另有规定外，投标书所使用的度量衡均须采用法定计量单位。</w:t>
      </w:r>
    </w:p>
    <w:p w14:paraId="114CFCBA">
      <w:pPr>
        <w:spacing w:line="400" w:lineRule="exact"/>
        <w:ind w:firstLine="237" w:firstLineChars="98"/>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21. 投标文件的组成</w:t>
      </w:r>
    </w:p>
    <w:p w14:paraId="4CBAFDEA">
      <w:pPr>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资格证明文件和商务及技术文件两部分。</w:t>
      </w:r>
    </w:p>
    <w:p w14:paraId="154E5388">
      <w:pPr>
        <w:spacing w:line="440" w:lineRule="exact"/>
        <w:ind w:firstLine="356" w:firstLineChars="147"/>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21.1资格证明文件（包括但不限于）</w:t>
      </w:r>
    </w:p>
    <w:p w14:paraId="2AEF28A0">
      <w:pPr>
        <w:spacing w:line="440" w:lineRule="exact"/>
        <w:ind w:firstLine="356" w:firstLineChars="147"/>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资格证明文件是证明投标人有资格参加投标和中标后有能力履行合同的文件，这些文件应能满足招标的要求，否则作无效投标处理。</w:t>
      </w:r>
    </w:p>
    <w:p w14:paraId="08E92A25">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firstLine="486" w:firstLineChars="200"/>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eastAsia="zh-CN"/>
        </w:rPr>
        <w:t>1、营业执照等证明文件</w:t>
      </w:r>
      <w:r>
        <w:rPr>
          <w:rFonts w:hint="eastAsia" w:ascii="仿宋" w:hAnsi="仿宋" w:eastAsia="仿宋" w:cs="仿宋"/>
          <w:color w:val="auto"/>
          <w:szCs w:val="21"/>
          <w:highlight w:val="none"/>
          <w:lang w:val="en-US" w:eastAsia="zh-CN"/>
        </w:rPr>
        <w:t>（注：</w:t>
      </w: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1、具有独立承担民事责任的能力：提供有效的营业执照等。2、具有良好的商业信誉和健全的财务会计制度：提供经外部审计的近3年（2022年、2023年、2024年）内任意一年的财务报告（成立不满一年的企业需提供（公司成立起至投标截止时间上一月）财务报表）和财务会计制度；3、</w:t>
      </w:r>
      <w:r>
        <w:rPr>
          <w:rFonts w:hint="eastAsia" w:ascii="仿宋" w:hAnsi="仿宋" w:eastAsia="仿宋" w:cs="仿宋"/>
          <w:color w:val="auto"/>
          <w:spacing w:val="0"/>
          <w:w w:val="90"/>
          <w:kern w:val="0"/>
          <w:position w:val="0"/>
          <w:sz w:val="24"/>
          <w:szCs w:val="24"/>
          <w:highlight w:val="none"/>
          <w:shd w:val="clear" w:color="auto" w:fill="auto"/>
          <w:lang w:val="en-US" w:eastAsia="zh-CN" w:bidi="en-US"/>
        </w:rPr>
        <w:t xml:space="preserve">具有履行合同所必需的设备和专业技术能力：（提供承诺函加盖公章，格式自拟）； </w:t>
      </w: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4、有依法缴纳税收和社会保障资金的良好纪录：提供近半年内任意三个月缴纳税收证明及社保缴纳证明；（新成立公司提供成立之日起至今的缴税记录及社保缴纳证明，若供应商的纳税记录为零申报的，需提供相应证明材料）。</w:t>
      </w:r>
    </w:p>
    <w:p w14:paraId="2B34C9E6">
      <w:pPr>
        <w:spacing w:line="440" w:lineRule="exact"/>
        <w:ind w:firstLine="356" w:firstLineChars="147"/>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2、法定代表人资格证明书；</w:t>
      </w:r>
    </w:p>
    <w:p w14:paraId="29CDF655">
      <w:pPr>
        <w:spacing w:line="440" w:lineRule="exact"/>
        <w:ind w:firstLine="356" w:firstLineChars="147"/>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3、法定代表人授权书；</w:t>
      </w:r>
    </w:p>
    <w:p w14:paraId="73225DA4">
      <w:pPr>
        <w:spacing w:line="440" w:lineRule="exact"/>
        <w:ind w:firstLine="356" w:firstLineChars="147"/>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4、投标保证金缴纳凭证或投标担保函；</w:t>
      </w:r>
    </w:p>
    <w:p w14:paraId="335DF35D">
      <w:pPr>
        <w:spacing w:line="440" w:lineRule="exact"/>
        <w:ind w:firstLine="356" w:firstLineChars="147"/>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5、投标企业须提供投标人（被授权在职人员）近6个月内任意一个月有效的社保证明；</w:t>
      </w:r>
    </w:p>
    <w:p w14:paraId="3A3B4762">
      <w:pPr>
        <w:spacing w:line="440" w:lineRule="exact"/>
        <w:ind w:firstLine="356" w:firstLineChars="147"/>
        <w:rPr>
          <w:rFonts w:hint="eastAsia" w:ascii="仿宋" w:hAnsi="仿宋" w:eastAsia="仿宋" w:cs="仿宋"/>
          <w:b w:val="0"/>
          <w:color w:val="auto"/>
          <w:sz w:val="24"/>
          <w:szCs w:val="21"/>
          <w:highlight w:val="none"/>
          <w:lang w:val="en-US" w:eastAsia="zh-CN" w:bidi="en-US"/>
        </w:rPr>
      </w:pPr>
      <w:r>
        <w:rPr>
          <w:rFonts w:hint="eastAsia" w:ascii="仿宋" w:hAnsi="仿宋" w:eastAsia="仿宋" w:cs="仿宋"/>
          <w:b w:val="0"/>
          <w:color w:val="auto"/>
          <w:sz w:val="24"/>
          <w:szCs w:val="21"/>
          <w:highlight w:val="none"/>
          <w:lang w:val="en-US" w:eastAsia="zh-CN" w:bidi="en-US"/>
        </w:rPr>
        <w:t>6、参加政府采购活动前3年内在经营活动中没有重大违法记录的书面声明；参加政府采购活动前三年内，在经营活动中没有重大违法记录；未被“信用中国”（www.creditchina.gov.cn）、中国政府采购网（www.ccgp.gov.cn）列入失信被执行人、税收违法黑名单、政府采购严重违法失信行为记录名单。</w:t>
      </w:r>
    </w:p>
    <w:p w14:paraId="02930AD5">
      <w:pPr>
        <w:spacing w:line="440" w:lineRule="exact"/>
        <w:ind w:firstLine="356" w:firstLineChars="147"/>
        <w:rPr>
          <w:rFonts w:hint="default" w:ascii="仿宋" w:hAnsi="仿宋" w:eastAsia="仿宋" w:cs="仿宋"/>
          <w:b w:val="0"/>
          <w:color w:val="auto"/>
          <w:sz w:val="24"/>
          <w:szCs w:val="21"/>
          <w:highlight w:val="none"/>
          <w:lang w:val="en-US" w:eastAsia="zh-CN" w:bidi="en-US"/>
        </w:rPr>
      </w:pPr>
      <w:r>
        <w:rPr>
          <w:rFonts w:hint="eastAsia" w:ascii="仿宋" w:hAnsi="仿宋" w:eastAsia="仿宋" w:cs="仿宋"/>
          <w:b w:val="0"/>
          <w:color w:val="auto"/>
          <w:sz w:val="24"/>
          <w:szCs w:val="21"/>
          <w:highlight w:val="none"/>
          <w:lang w:val="en-US" w:eastAsia="zh-CN" w:bidi="en-US"/>
        </w:rPr>
        <w:t>7、投标人须知资料表要求的其他资格证明文件。</w:t>
      </w:r>
    </w:p>
    <w:p w14:paraId="1BEFE121">
      <w:pPr>
        <w:spacing w:line="440" w:lineRule="exact"/>
        <w:ind w:firstLine="356" w:firstLineChars="147"/>
        <w:rPr>
          <w:rFonts w:ascii="仿宋" w:hAnsi="仿宋" w:eastAsia="仿宋" w:cs="仿宋"/>
          <w:color w:val="auto"/>
          <w:szCs w:val="21"/>
          <w:highlight w:val="none"/>
          <w:lang w:eastAsia="zh-CN"/>
        </w:rPr>
      </w:pPr>
      <w:r>
        <w:rPr>
          <w:rFonts w:hint="eastAsia" w:ascii="仿宋" w:hAnsi="仿宋" w:eastAsia="仿宋" w:cs="仿宋"/>
          <w:b/>
          <w:color w:val="auto"/>
          <w:szCs w:val="21"/>
          <w:highlight w:val="none"/>
          <w:lang w:eastAsia="zh-CN"/>
        </w:rPr>
        <w:t>21.2 商务及技术文件（包括但不限于）</w:t>
      </w:r>
    </w:p>
    <w:p w14:paraId="5B48E001">
      <w:pPr>
        <w:pStyle w:val="10"/>
        <w:spacing w:line="400" w:lineRule="exact"/>
        <w:ind w:left="359" w:leftChars="148" w:firstLine="228"/>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1、投标函</w:t>
      </w:r>
    </w:p>
    <w:p w14:paraId="066EBEB5">
      <w:pPr>
        <w:pStyle w:val="10"/>
        <w:spacing w:line="400" w:lineRule="exact"/>
        <w:ind w:left="359" w:leftChars="148" w:firstLine="228"/>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2、开标一览表</w:t>
      </w:r>
    </w:p>
    <w:p w14:paraId="24C6A503">
      <w:pPr>
        <w:pStyle w:val="10"/>
        <w:spacing w:line="400" w:lineRule="exact"/>
        <w:ind w:left="359" w:leftChars="148" w:firstLine="228"/>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3、货物说明一览表</w:t>
      </w:r>
    </w:p>
    <w:p w14:paraId="0F8C97CB">
      <w:pPr>
        <w:pStyle w:val="10"/>
        <w:spacing w:line="400" w:lineRule="exact"/>
        <w:ind w:left="359" w:leftChars="148" w:firstLine="228"/>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4、投标分项报价明细表</w:t>
      </w:r>
    </w:p>
    <w:p w14:paraId="7B259ECB">
      <w:pPr>
        <w:pStyle w:val="10"/>
        <w:spacing w:line="400" w:lineRule="exact"/>
        <w:ind w:left="359" w:leftChars="148" w:firstLine="228"/>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5</w:t>
      </w:r>
      <w:r>
        <w:rPr>
          <w:rFonts w:hint="eastAsia" w:ascii="仿宋" w:hAnsi="仿宋" w:eastAsia="仿宋" w:cs="仿宋"/>
          <w:color w:val="auto"/>
          <w:highlight w:val="none"/>
          <w:lang w:eastAsia="zh-CN"/>
        </w:rPr>
        <w:t>、技术</w:t>
      </w:r>
      <w:r>
        <w:rPr>
          <w:rFonts w:hint="eastAsia" w:ascii="仿宋" w:hAnsi="仿宋" w:eastAsia="仿宋" w:cs="仿宋"/>
          <w:color w:val="auto"/>
          <w:highlight w:val="none"/>
          <w:lang w:val="en-US" w:eastAsia="zh-CN"/>
        </w:rPr>
        <w:t>条款</w:t>
      </w:r>
      <w:r>
        <w:rPr>
          <w:rFonts w:hint="eastAsia" w:ascii="仿宋" w:hAnsi="仿宋" w:eastAsia="仿宋" w:cs="仿宋"/>
          <w:color w:val="auto"/>
          <w:highlight w:val="none"/>
          <w:lang w:eastAsia="zh-CN"/>
        </w:rPr>
        <w:t>偏离表</w:t>
      </w:r>
    </w:p>
    <w:p w14:paraId="626AB3A6">
      <w:pPr>
        <w:pStyle w:val="10"/>
        <w:spacing w:line="400" w:lineRule="exact"/>
        <w:ind w:left="359" w:leftChars="148" w:firstLine="228"/>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6</w:t>
      </w:r>
      <w:r>
        <w:rPr>
          <w:rFonts w:hint="eastAsia" w:ascii="仿宋" w:hAnsi="仿宋" w:eastAsia="仿宋" w:cs="仿宋"/>
          <w:color w:val="auto"/>
          <w:highlight w:val="none"/>
          <w:lang w:eastAsia="zh-CN"/>
        </w:rPr>
        <w:t>、商务条款偏离表</w:t>
      </w:r>
    </w:p>
    <w:p w14:paraId="3CB9349B">
      <w:pPr>
        <w:pStyle w:val="10"/>
        <w:spacing w:line="400" w:lineRule="exact"/>
        <w:ind w:left="359" w:leftChars="148" w:firstLine="228"/>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7</w:t>
      </w:r>
      <w:r>
        <w:rPr>
          <w:rFonts w:hint="eastAsia" w:ascii="仿宋" w:hAnsi="仿宋" w:eastAsia="仿宋" w:cs="仿宋"/>
          <w:color w:val="auto"/>
          <w:highlight w:val="none"/>
          <w:lang w:eastAsia="zh-CN"/>
        </w:rPr>
        <w:t>、中小企业声明函(</w:t>
      </w:r>
      <w:r>
        <w:rPr>
          <w:rFonts w:hint="eastAsia" w:ascii="仿宋" w:hAnsi="仿宋" w:eastAsia="仿宋" w:cs="仿宋"/>
          <w:color w:val="auto"/>
          <w:highlight w:val="none"/>
          <w:lang w:val="en-US" w:eastAsia="zh-CN"/>
        </w:rPr>
        <w:t>货物</w:t>
      </w:r>
      <w:r>
        <w:rPr>
          <w:rFonts w:hint="eastAsia" w:ascii="仿宋" w:hAnsi="仿宋" w:eastAsia="仿宋" w:cs="仿宋"/>
          <w:color w:val="auto"/>
          <w:highlight w:val="none"/>
          <w:lang w:eastAsia="zh-CN"/>
        </w:rPr>
        <w:t>)</w:t>
      </w:r>
    </w:p>
    <w:p w14:paraId="4F980280">
      <w:pPr>
        <w:pStyle w:val="10"/>
        <w:spacing w:line="400" w:lineRule="exact"/>
        <w:ind w:left="359" w:leftChars="148" w:firstLine="228"/>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8、</w:t>
      </w:r>
      <w:r>
        <w:rPr>
          <w:rFonts w:hint="eastAsia" w:ascii="仿宋" w:hAnsi="仿宋" w:eastAsia="仿宋" w:cs="仿宋"/>
          <w:color w:val="auto"/>
          <w:highlight w:val="none"/>
          <w:lang w:eastAsia="zh-CN"/>
        </w:rPr>
        <w:t>残疾人福利性单位声明函》</w:t>
      </w:r>
    </w:p>
    <w:p w14:paraId="21CAB92A">
      <w:pPr>
        <w:pStyle w:val="10"/>
        <w:spacing w:line="400" w:lineRule="exact"/>
        <w:ind w:left="359" w:leftChars="148" w:firstLine="228"/>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9、关于符合本国产品标准的声明函</w:t>
      </w:r>
    </w:p>
    <w:p w14:paraId="248084E0">
      <w:pPr>
        <w:pStyle w:val="10"/>
        <w:spacing w:line="400" w:lineRule="exact"/>
        <w:ind w:left="359" w:leftChars="148" w:firstLine="228"/>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10</w:t>
      </w:r>
      <w:r>
        <w:rPr>
          <w:rFonts w:hint="eastAsia" w:ascii="仿宋" w:hAnsi="仿宋" w:eastAsia="仿宋" w:cs="仿宋"/>
          <w:color w:val="auto"/>
          <w:highlight w:val="none"/>
          <w:lang w:eastAsia="zh-CN"/>
        </w:rPr>
        <w:t>、评分标准和细则中技术部分证明材料（格式自拟）</w:t>
      </w:r>
    </w:p>
    <w:p w14:paraId="480E5286">
      <w:pPr>
        <w:pStyle w:val="10"/>
        <w:spacing w:line="400" w:lineRule="exact"/>
        <w:ind w:left="359" w:leftChars="148" w:firstLine="228"/>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11</w:t>
      </w:r>
      <w:r>
        <w:rPr>
          <w:rFonts w:hint="eastAsia" w:ascii="仿宋" w:hAnsi="仿宋" w:eastAsia="仿宋" w:cs="仿宋"/>
          <w:color w:val="auto"/>
          <w:highlight w:val="none"/>
          <w:lang w:eastAsia="zh-CN"/>
        </w:rPr>
        <w:t>、评分标准和细则中</w:t>
      </w:r>
      <w:r>
        <w:rPr>
          <w:rFonts w:hint="eastAsia" w:ascii="仿宋" w:hAnsi="仿宋" w:eastAsia="仿宋" w:cs="仿宋"/>
          <w:color w:val="auto"/>
          <w:highlight w:val="none"/>
          <w:lang w:val="en-US" w:eastAsia="zh-CN"/>
        </w:rPr>
        <w:t>商务</w:t>
      </w:r>
      <w:r>
        <w:rPr>
          <w:rFonts w:hint="eastAsia" w:ascii="仿宋" w:hAnsi="仿宋" w:eastAsia="仿宋" w:cs="仿宋"/>
          <w:color w:val="auto"/>
          <w:highlight w:val="none"/>
          <w:lang w:eastAsia="zh-CN"/>
        </w:rPr>
        <w:t>部分证明材料（格式自拟）</w:t>
      </w:r>
    </w:p>
    <w:p w14:paraId="06C969AE">
      <w:pPr>
        <w:pStyle w:val="10"/>
        <w:spacing w:line="400" w:lineRule="exact"/>
        <w:ind w:left="359" w:leftChars="148" w:firstLine="228"/>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12</w:t>
      </w:r>
      <w:r>
        <w:rPr>
          <w:rFonts w:hint="eastAsia" w:ascii="仿宋" w:hAnsi="仿宋" w:eastAsia="仿宋" w:cs="仿宋"/>
          <w:color w:val="auto"/>
          <w:highlight w:val="none"/>
          <w:lang w:eastAsia="zh-CN"/>
        </w:rPr>
        <w:t>、供应商认为有必要提供的其他证明材料（格式自拟）</w:t>
      </w:r>
    </w:p>
    <w:p w14:paraId="418AA9DF">
      <w:pPr>
        <w:spacing w:line="400" w:lineRule="exact"/>
        <w:ind w:firstLine="482" w:firstLineChars="199"/>
        <w:rPr>
          <w:rFonts w:ascii="仿宋" w:hAnsi="仿宋" w:eastAsia="仿宋" w:cs="仿宋"/>
          <w:color w:val="auto"/>
          <w:szCs w:val="21"/>
          <w:highlight w:val="none"/>
          <w:lang w:eastAsia="zh-CN"/>
        </w:rPr>
      </w:pPr>
      <w:r>
        <w:rPr>
          <w:rFonts w:hint="eastAsia" w:ascii="仿宋" w:hAnsi="仿宋" w:eastAsia="仿宋" w:cs="仿宋"/>
          <w:b/>
          <w:color w:val="auto"/>
          <w:szCs w:val="21"/>
          <w:highlight w:val="none"/>
          <w:u w:val="single"/>
          <w:lang w:eastAsia="zh-CN"/>
        </w:rPr>
        <w:t>注：以上材料须逐页加盖单位公章。</w:t>
      </w:r>
    </w:p>
    <w:p w14:paraId="2BB463D3">
      <w:pPr>
        <w:spacing w:line="400" w:lineRule="exact"/>
        <w:ind w:firstLine="482" w:firstLineChars="199"/>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21.3投标文件的要求</w:t>
      </w:r>
    </w:p>
    <w:p w14:paraId="5054970E">
      <w:pPr>
        <w:spacing w:line="400" w:lineRule="exact"/>
        <w:ind w:firstLine="482" w:firstLineChars="199"/>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供应商应仔细阅读采购文件的所有内容，按照采购文件的要求详细编制投标文件，所提交的全部资料必须真实有效，并且要保证字迹清晰易于辨认。投标文件应对采购文件实质性内容作出响应，否则按无效标处理。</w:t>
      </w:r>
    </w:p>
    <w:p w14:paraId="796D38CC">
      <w:pPr>
        <w:spacing w:line="400" w:lineRule="exact"/>
        <w:ind w:firstLine="482" w:firstLineChars="199"/>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（2）投标文件格式应按本采购文件第六章格式要求编制，不得对采购文件格式进行增删更改，否则按无效标处理。</w:t>
      </w:r>
    </w:p>
    <w:p w14:paraId="6B309612">
      <w:pPr>
        <w:spacing w:line="400" w:lineRule="exact"/>
        <w:ind w:firstLine="482" w:firstLineChars="199"/>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（3）对采购文件格式可更改的例外情况：采购文件第六部分附件格式要求中明确规定表格中行数不够用时可按相同格式增加行数，其他一切内容和格式不得更改。 </w:t>
      </w:r>
    </w:p>
    <w:p w14:paraId="21FF9C41">
      <w:pPr>
        <w:spacing w:line="400" w:lineRule="exact"/>
        <w:ind w:firstLine="482" w:firstLineChars="199"/>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（4）投标文件为电子投标文件，电子投标文件按“政采云供应商项目采购-电子招投标操作指南”及本采购文件要求制作、加密传输。</w:t>
      </w:r>
    </w:p>
    <w:p w14:paraId="2BB3AC60">
      <w:pPr>
        <w:spacing w:line="400" w:lineRule="exact"/>
        <w:ind w:firstLine="482" w:firstLineChars="199"/>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（5）投标文件未在投标截止时间前完成传输的，视为投标文件撤回；投标文件未按时解密也未提供备份投标文件的，亦视为投标文件撤回。</w:t>
      </w:r>
    </w:p>
    <w:p w14:paraId="33697983">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b/>
          <w:color w:val="auto"/>
          <w:szCs w:val="21"/>
          <w:highlight w:val="none"/>
          <w:lang w:eastAsia="zh-CN"/>
        </w:rPr>
        <w:t>22</w:t>
      </w:r>
      <w:r>
        <w:rPr>
          <w:rFonts w:hint="eastAsia" w:ascii="仿宋" w:hAnsi="仿宋" w:eastAsia="仿宋" w:cs="仿宋"/>
          <w:color w:val="auto"/>
          <w:szCs w:val="21"/>
          <w:highlight w:val="none"/>
          <w:lang w:eastAsia="zh-CN"/>
        </w:rPr>
        <w:t>.</w:t>
      </w:r>
      <w:r>
        <w:rPr>
          <w:rFonts w:hint="eastAsia" w:ascii="仿宋" w:hAnsi="仿宋" w:eastAsia="仿宋" w:cs="仿宋"/>
          <w:b/>
          <w:color w:val="auto"/>
          <w:szCs w:val="21"/>
          <w:highlight w:val="none"/>
          <w:lang w:eastAsia="zh-CN"/>
        </w:rPr>
        <w:t>投标报价</w:t>
      </w:r>
    </w:p>
    <w:p w14:paraId="6E29B349">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22.1投标报价文件中的单价和总价全部采用人民币表示。</w:t>
      </w:r>
    </w:p>
    <w:p w14:paraId="6568B7A6">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22.2投标报价表上应清楚地标明供应商拟提供货物</w:t>
      </w:r>
      <w:r>
        <w:rPr>
          <w:rFonts w:hint="eastAsia" w:ascii="仿宋" w:hAnsi="仿宋" w:eastAsia="仿宋" w:cs="仿宋"/>
          <w:color w:val="auto"/>
          <w:szCs w:val="21"/>
          <w:highlight w:val="none"/>
          <w:lang w:val="en-US" w:eastAsia="zh-CN"/>
        </w:rPr>
        <w:t>/服务</w:t>
      </w:r>
      <w:r>
        <w:rPr>
          <w:rFonts w:hint="eastAsia" w:ascii="仿宋" w:hAnsi="仿宋" w:eastAsia="仿宋" w:cs="仿宋"/>
          <w:color w:val="auto"/>
          <w:szCs w:val="21"/>
          <w:highlight w:val="none"/>
          <w:lang w:eastAsia="zh-CN"/>
        </w:rPr>
        <w:t>的名称、型号、生产厂家、数量、单价和总价。</w:t>
      </w:r>
    </w:p>
    <w:p w14:paraId="4BBD15DC">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22.3供应商只允许有一个方案、一个报价。</w:t>
      </w:r>
    </w:p>
    <w:p w14:paraId="76EE2C04">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22.4供应商应按“采购内容及技术参数要求”所列货物</w:t>
      </w:r>
      <w:r>
        <w:rPr>
          <w:rFonts w:hint="eastAsia" w:ascii="仿宋" w:hAnsi="仿宋" w:eastAsia="仿宋" w:cs="仿宋"/>
          <w:color w:val="auto"/>
          <w:szCs w:val="21"/>
          <w:highlight w:val="none"/>
          <w:lang w:val="en-US" w:eastAsia="zh-CN"/>
        </w:rPr>
        <w:t>/服务</w:t>
      </w:r>
      <w:r>
        <w:rPr>
          <w:rFonts w:hint="eastAsia" w:ascii="仿宋" w:hAnsi="仿宋" w:eastAsia="仿宋" w:cs="仿宋"/>
          <w:color w:val="auto"/>
          <w:szCs w:val="21"/>
          <w:highlight w:val="none"/>
          <w:lang w:eastAsia="zh-CN"/>
        </w:rPr>
        <w:t>逐项进行单价报价，并最终按货物</w:t>
      </w:r>
      <w:r>
        <w:rPr>
          <w:rFonts w:hint="eastAsia" w:ascii="仿宋" w:hAnsi="仿宋" w:eastAsia="仿宋" w:cs="仿宋"/>
          <w:color w:val="auto"/>
          <w:szCs w:val="21"/>
          <w:highlight w:val="none"/>
          <w:lang w:val="en-US" w:eastAsia="zh-CN"/>
        </w:rPr>
        <w:t>/服务</w:t>
      </w:r>
      <w:r>
        <w:rPr>
          <w:rFonts w:hint="eastAsia" w:ascii="仿宋" w:hAnsi="仿宋" w:eastAsia="仿宋" w:cs="仿宋"/>
          <w:color w:val="auto"/>
          <w:szCs w:val="21"/>
          <w:highlight w:val="none"/>
          <w:lang w:eastAsia="zh-CN"/>
        </w:rPr>
        <w:t>总量乘以货物</w:t>
      </w:r>
      <w:r>
        <w:rPr>
          <w:rFonts w:hint="eastAsia" w:ascii="仿宋" w:hAnsi="仿宋" w:eastAsia="仿宋" w:cs="仿宋"/>
          <w:color w:val="auto"/>
          <w:szCs w:val="21"/>
          <w:highlight w:val="none"/>
          <w:lang w:val="en-US" w:eastAsia="zh-CN"/>
        </w:rPr>
        <w:t>/服务</w:t>
      </w:r>
      <w:r>
        <w:rPr>
          <w:rFonts w:hint="eastAsia" w:ascii="仿宋" w:hAnsi="仿宋" w:eastAsia="仿宋" w:cs="仿宋"/>
          <w:color w:val="auto"/>
          <w:szCs w:val="21"/>
          <w:highlight w:val="none"/>
          <w:lang w:eastAsia="zh-CN"/>
        </w:rPr>
        <w:t>单价报总价，不得采用总价下浮的方式进行报价。综合单价包括：设备费、安装</w:t>
      </w:r>
      <w:r>
        <w:rPr>
          <w:rFonts w:hint="eastAsia" w:ascii="仿宋" w:hAnsi="仿宋" w:eastAsia="仿宋" w:cs="仿宋"/>
          <w:color w:val="auto"/>
          <w:szCs w:val="21"/>
          <w:highlight w:val="none"/>
          <w:lang w:val="en-US" w:eastAsia="zh-CN"/>
        </w:rPr>
        <w:t>调试运行</w:t>
      </w:r>
      <w:r>
        <w:rPr>
          <w:rFonts w:hint="eastAsia" w:ascii="仿宋" w:hAnsi="仿宋" w:eastAsia="仿宋" w:cs="仿宋"/>
          <w:color w:val="auto"/>
          <w:szCs w:val="21"/>
          <w:highlight w:val="none"/>
          <w:lang w:eastAsia="zh-CN"/>
        </w:rPr>
        <w:t>费、</w:t>
      </w:r>
      <w:r>
        <w:rPr>
          <w:rFonts w:hint="eastAsia" w:ascii="仿宋" w:hAnsi="仿宋" w:eastAsia="仿宋" w:cs="仿宋"/>
          <w:color w:val="auto"/>
          <w:szCs w:val="21"/>
          <w:highlight w:val="none"/>
          <w:lang w:val="en-US" w:eastAsia="zh-CN"/>
        </w:rPr>
        <w:t>环评验收费用、</w:t>
      </w:r>
      <w:r>
        <w:rPr>
          <w:rFonts w:hint="eastAsia" w:ascii="仿宋" w:hAnsi="仿宋" w:eastAsia="仿宋" w:cs="仿宋"/>
          <w:color w:val="auto"/>
          <w:szCs w:val="21"/>
          <w:highlight w:val="none"/>
          <w:lang w:eastAsia="zh-CN"/>
        </w:rPr>
        <w:t>材料费、辅材费、运输费、管理费、利润、风险费用、代理费、调试、验收、培训及后期服务及国家对中标单位征收的各种税费等所有一切费用，综合单价今后将不作任何调整。</w:t>
      </w:r>
    </w:p>
    <w:p w14:paraId="2FB1EA2A">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22.5投标报价的价格是货物</w:t>
      </w:r>
      <w:r>
        <w:rPr>
          <w:rFonts w:hint="eastAsia" w:ascii="仿宋" w:hAnsi="仿宋" w:eastAsia="仿宋" w:cs="仿宋"/>
          <w:color w:val="auto"/>
          <w:szCs w:val="21"/>
          <w:highlight w:val="none"/>
          <w:lang w:val="en-US" w:eastAsia="zh-CN"/>
        </w:rPr>
        <w:t>/服务</w:t>
      </w:r>
      <w:r>
        <w:rPr>
          <w:rFonts w:hint="eastAsia" w:ascii="仿宋" w:hAnsi="仿宋" w:eastAsia="仿宋" w:cs="仿宋"/>
          <w:color w:val="auto"/>
          <w:szCs w:val="21"/>
          <w:highlight w:val="none"/>
          <w:lang w:eastAsia="zh-CN"/>
        </w:rPr>
        <w:t>交货地验收价格，其总价即为履行合同的固定总价。</w:t>
      </w:r>
    </w:p>
    <w:p w14:paraId="43915D96">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22.6技术要求中规定的安装、调试和培训费用应包括在投标价格中。投标文件报价为含税价，招标人不再为此次招标支付任何费用。</w:t>
      </w:r>
    </w:p>
    <w:p w14:paraId="39F5BFC1">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22.7投标报价应由法定代表人或被授权人签署。</w:t>
      </w:r>
    </w:p>
    <w:p w14:paraId="65053630">
      <w:pPr>
        <w:spacing w:line="440" w:lineRule="exact"/>
        <w:ind w:firstLine="486" w:firstLineChars="200"/>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22.8</w:t>
      </w:r>
      <w:r>
        <w:rPr>
          <w:rFonts w:hint="eastAsia" w:ascii="仿宋" w:hAnsi="仿宋" w:eastAsia="仿宋" w:cs="仿宋"/>
          <w:b/>
          <w:color w:val="auto"/>
          <w:szCs w:val="21"/>
          <w:highlight w:val="none"/>
          <w:lang w:eastAsia="zh-CN"/>
        </w:rPr>
        <w:t>供应商投标总报价，不得高于本次招标设置的最高限价，</w:t>
      </w:r>
      <w:r>
        <w:rPr>
          <w:rFonts w:hint="eastAsia" w:ascii="仿宋" w:hAnsi="仿宋" w:eastAsia="仿宋" w:cs="仿宋"/>
          <w:b/>
          <w:bCs/>
          <w:color w:val="auto"/>
          <w:szCs w:val="21"/>
          <w:highlight w:val="none"/>
          <w:lang w:eastAsia="zh-CN"/>
        </w:rPr>
        <w:t>否则将作为无效投标处理。</w:t>
      </w:r>
    </w:p>
    <w:p w14:paraId="57460FA4">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22.9如投标文件中未列明全面实现投标货物</w:t>
      </w:r>
      <w:r>
        <w:rPr>
          <w:rFonts w:hint="eastAsia" w:ascii="仿宋" w:hAnsi="仿宋" w:eastAsia="仿宋" w:cs="仿宋"/>
          <w:color w:val="auto"/>
          <w:szCs w:val="21"/>
          <w:highlight w:val="none"/>
          <w:lang w:val="en-US" w:eastAsia="zh-CN"/>
        </w:rPr>
        <w:t>/服务</w:t>
      </w:r>
      <w:r>
        <w:rPr>
          <w:rFonts w:hint="eastAsia" w:ascii="仿宋" w:hAnsi="仿宋" w:eastAsia="仿宋" w:cs="仿宋"/>
          <w:color w:val="auto"/>
          <w:szCs w:val="21"/>
          <w:highlight w:val="none"/>
          <w:lang w:eastAsia="zh-CN"/>
        </w:rPr>
        <w:t>功能而必须配置的配套或辅助设施及相应技术措施的费用，这些费用将被视为已包含在总投标价中。</w:t>
      </w:r>
    </w:p>
    <w:p w14:paraId="2C70C415">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22.10总投标价中不得包含采购文件要求以外的内容，否则，在评标时不予核减，但在授予合同时，招标人有权将这部分价格从其中标价格中扣除。</w:t>
      </w:r>
    </w:p>
    <w:p w14:paraId="58B3BCCE">
      <w:pPr>
        <w:spacing w:line="440" w:lineRule="exact"/>
        <w:ind w:firstLine="465" w:firstLineChars="192"/>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22.11总投标价中不得缺漏采购文件所要求的内容，否则，评标时将有效投标中该项内容的最高价计入其评标总价，但在授予合同时，缺漏项目的报价视作已含在其他项目的报价中，这些项目将作为免费赠送而包含在合同内。    </w:t>
      </w:r>
    </w:p>
    <w:p w14:paraId="76160D9B">
      <w:pPr>
        <w:spacing w:line="440" w:lineRule="exact"/>
        <w:ind w:firstLine="465" w:firstLineChars="192"/>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22.12供应商不得对从第三方采购货物</w:t>
      </w:r>
      <w:r>
        <w:rPr>
          <w:rFonts w:hint="eastAsia" w:ascii="仿宋" w:hAnsi="仿宋" w:eastAsia="仿宋" w:cs="仿宋"/>
          <w:color w:val="auto"/>
          <w:szCs w:val="21"/>
          <w:highlight w:val="none"/>
          <w:lang w:val="en-US" w:eastAsia="zh-CN"/>
        </w:rPr>
        <w:t>/服务</w:t>
      </w:r>
      <w:r>
        <w:rPr>
          <w:rFonts w:hint="eastAsia" w:ascii="仿宋" w:hAnsi="仿宋" w:eastAsia="仿宋" w:cs="仿宋"/>
          <w:color w:val="auto"/>
          <w:szCs w:val="21"/>
          <w:highlight w:val="none"/>
          <w:lang w:eastAsia="zh-CN"/>
        </w:rPr>
        <w:t>的随机备品、备件另行收费，否则在计算评标价时这部分费用将不予扣除，在授予合同时将从中标价格中扣除该部分费用。</w:t>
      </w:r>
    </w:p>
    <w:p w14:paraId="4ADB0B88">
      <w:pPr>
        <w:spacing w:line="440" w:lineRule="exact"/>
        <w:ind w:firstLine="465" w:firstLineChars="192"/>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22.13供应商应根据货物</w:t>
      </w:r>
      <w:r>
        <w:rPr>
          <w:rFonts w:hint="eastAsia" w:ascii="仿宋" w:hAnsi="仿宋" w:eastAsia="仿宋" w:cs="仿宋"/>
          <w:color w:val="auto"/>
          <w:szCs w:val="21"/>
          <w:highlight w:val="none"/>
          <w:lang w:val="en-US" w:eastAsia="zh-CN"/>
        </w:rPr>
        <w:t>/服务</w:t>
      </w:r>
      <w:r>
        <w:rPr>
          <w:rFonts w:hint="eastAsia" w:ascii="仿宋" w:hAnsi="仿宋" w:eastAsia="仿宋" w:cs="仿宋"/>
          <w:color w:val="auto"/>
          <w:szCs w:val="21"/>
          <w:highlight w:val="none"/>
          <w:lang w:eastAsia="zh-CN"/>
        </w:rPr>
        <w:t>的技术状况列出随机备品备件的清单和数量，并将该备品备件价格计入总投标价，若所提供的产品无需备件，则应在投标文件中说明；无论供应商在报价中列明随机备品备件的数量及价格多少，在质保期内招标人均无需为维护维修保养所需的专用工具和备品备件另行支付费用。</w:t>
      </w:r>
    </w:p>
    <w:p w14:paraId="662FDF25">
      <w:pPr>
        <w:spacing w:line="440" w:lineRule="exact"/>
        <w:ind w:firstLine="486" w:firstLineChars="200"/>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23. 投标有效期</w:t>
      </w:r>
    </w:p>
    <w:p w14:paraId="14230B62">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23.1 除供应商须知前附表另有规定外，投标有效期为60天。</w:t>
      </w:r>
    </w:p>
    <w:p w14:paraId="4B2EA4F7">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23.2在投标有效期内，供应商撤销或修改其投标文件的，应承担采购文件和法律规定的责任。</w:t>
      </w:r>
    </w:p>
    <w:p w14:paraId="0417074F">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23.3出现特殊情况需要延长投标有效期的，招标人以书面形式通知所有供应商延长投标有效期。供应商同意延长的，应相应延长其投标保证金的有效期，但不得要求或被允许修改或撤销其投标文件；供应商拒绝延长的，其投标失效，但供应商有权收回其投标保证金。</w:t>
      </w:r>
    </w:p>
    <w:p w14:paraId="33ED7EC8">
      <w:pPr>
        <w:spacing w:line="440" w:lineRule="exact"/>
        <w:ind w:firstLine="465" w:firstLineChars="192"/>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24. 投标保证金</w:t>
      </w:r>
    </w:p>
    <w:p w14:paraId="735F7FB9">
      <w:pPr>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24.1供应商须知前附表规定递交投标保证金的，供应商在递交投标文件的同时，应按供应商须知前附表规定的金额、担保形式和第六部分“投标文件格式”规定的投标保证金格式递交投标保证金，并作为其投标文件的组成部分。供应商不按要求提交投标保证金的，评标委员会将否决其投标。</w:t>
      </w:r>
    </w:p>
    <w:p w14:paraId="34A7CD71">
      <w:pPr>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24.2自中标通知书发出之日起5个工作日内退还未中标供应商的投标保证金，自政府采购合同签订之日起5个工作日内退还中标人的投标保证金。</w:t>
      </w:r>
    </w:p>
    <w:p w14:paraId="7212DC65">
      <w:pPr>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24.3有下列情形之一的，投标保证金将不予退还： </w:t>
      </w:r>
    </w:p>
    <w:p w14:paraId="19F72103">
      <w:pPr>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（1）供应商在规定的投标有效期内撤回或修改其投标文件；</w:t>
      </w:r>
    </w:p>
    <w:p w14:paraId="7C6CA6B7">
      <w:pPr>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（2）中标通知书发出后三十天内，中标人无正当理由拒签合同协议书或未按采购文件规定提交履约担保。</w:t>
      </w:r>
    </w:p>
    <w:p w14:paraId="48E5B126">
      <w:pPr>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（3）提供虚假材料谋取中标的；</w:t>
      </w:r>
    </w:p>
    <w:p w14:paraId="2BC304ED">
      <w:pPr>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（4）经查实属于陪标、串通投标的等。</w:t>
      </w:r>
    </w:p>
    <w:p w14:paraId="4820B165">
      <w:pPr>
        <w:spacing w:line="400" w:lineRule="exact"/>
        <w:ind w:firstLine="486" w:firstLineChars="200"/>
        <w:rPr>
          <w:rFonts w:ascii="仿宋" w:hAnsi="仿宋" w:eastAsia="仿宋" w:cs="仿宋"/>
          <w:color w:val="auto"/>
          <w:szCs w:val="21"/>
          <w:highlight w:val="none"/>
          <w:lang w:eastAsia="zh-CN"/>
        </w:rPr>
      </w:pPr>
      <w:bookmarkStart w:id="19" w:name="_Toc469495727"/>
      <w:r>
        <w:rPr>
          <w:rFonts w:hint="eastAsia" w:ascii="仿宋" w:hAnsi="仿宋" w:eastAsia="仿宋" w:cs="仿宋"/>
          <w:color w:val="auto"/>
          <w:szCs w:val="21"/>
          <w:highlight w:val="none"/>
          <w:lang w:eastAsia="zh-CN"/>
        </w:rPr>
        <w:t>24.4投标保证金按供应商须知前附表第</w:t>
      </w:r>
      <w:r>
        <w:rPr>
          <w:rFonts w:hint="eastAsia" w:ascii="仿宋" w:hAnsi="仿宋" w:eastAsia="仿宋" w:cs="仿宋"/>
          <w:color w:val="auto"/>
          <w:szCs w:val="21"/>
          <w:highlight w:val="none"/>
          <w:lang w:val="en-US" w:eastAsia="zh-CN"/>
        </w:rPr>
        <w:t>13</w:t>
      </w:r>
      <w:r>
        <w:rPr>
          <w:rFonts w:hint="eastAsia" w:ascii="仿宋" w:hAnsi="仿宋" w:eastAsia="仿宋" w:cs="仿宋"/>
          <w:color w:val="auto"/>
          <w:szCs w:val="21"/>
          <w:highlight w:val="none"/>
          <w:lang w:eastAsia="zh-CN"/>
        </w:rPr>
        <w:t>条规定执行。</w:t>
      </w:r>
    </w:p>
    <w:p w14:paraId="62BD04A4">
      <w:pPr>
        <w:pStyle w:val="2"/>
        <w:rPr>
          <w:rFonts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（四）</w:t>
      </w:r>
      <w:bookmarkEnd w:id="19"/>
      <w:r>
        <w:rPr>
          <w:rFonts w:hint="eastAsia" w:ascii="仿宋" w:hAnsi="仿宋" w:eastAsia="仿宋" w:cs="仿宋"/>
          <w:color w:val="auto"/>
          <w:sz w:val="28"/>
          <w:szCs w:val="28"/>
          <w:highlight w:val="none"/>
          <w:lang w:eastAsia="zh-CN"/>
        </w:rPr>
        <w:t>投标文件的制作、上传及递交要求</w:t>
      </w:r>
    </w:p>
    <w:p w14:paraId="0955EB99">
      <w:pPr>
        <w:snapToGrid w:val="0"/>
        <w:spacing w:line="360" w:lineRule="auto"/>
        <w:ind w:firstLine="486" w:firstLineChars="200"/>
        <w:rPr>
          <w:rFonts w:ascii="仿宋" w:hAnsi="仿宋" w:eastAsia="仿宋" w:cs="仿宋"/>
          <w:b/>
          <w:color w:val="auto"/>
          <w:highlight w:val="none"/>
          <w:lang w:eastAsia="zh-CN"/>
        </w:rPr>
      </w:pPr>
      <w:r>
        <w:rPr>
          <w:rFonts w:hint="eastAsia" w:ascii="仿宋" w:hAnsi="仿宋" w:eastAsia="仿宋" w:cs="仿宋"/>
          <w:b/>
          <w:bCs/>
          <w:color w:val="auto"/>
          <w:highlight w:val="none"/>
          <w:lang w:eastAsia="zh-CN"/>
        </w:rPr>
        <w:t>25.投标文件的制作要求</w:t>
      </w:r>
    </w:p>
    <w:p w14:paraId="50EDD68D">
      <w:pPr>
        <w:pStyle w:val="6"/>
        <w:snapToGrid w:val="0"/>
        <w:spacing w:line="360" w:lineRule="auto"/>
        <w:rPr>
          <w:rFonts w:ascii="仿宋" w:hAnsi="仿宋" w:eastAsia="仿宋" w:cs="仿宋"/>
          <w:color w:val="auto"/>
          <w:szCs w:val="24"/>
          <w:highlight w:val="none"/>
          <w:lang w:eastAsia="zh-CN"/>
        </w:rPr>
      </w:pPr>
      <w:r>
        <w:rPr>
          <w:rFonts w:hint="eastAsia" w:ascii="仿宋" w:hAnsi="仿宋" w:eastAsia="仿宋" w:cs="仿宋"/>
          <w:bCs/>
          <w:color w:val="auto"/>
          <w:szCs w:val="24"/>
          <w:highlight w:val="none"/>
          <w:lang w:eastAsia="zh-CN"/>
        </w:rPr>
        <w:t>（1）供应商应按照投标文件组成内容及项目招标需求和新疆政府采购云平台要求制作投标文件，不按采购文件和新疆政府采购云平台要求制作投标文件的将视情况处理（拒收等），由此产生的责任由供应商自行承担。</w:t>
      </w:r>
    </w:p>
    <w:p w14:paraId="3D9C27AD">
      <w:pPr>
        <w:pStyle w:val="6"/>
        <w:snapToGrid w:val="0"/>
        <w:spacing w:line="360" w:lineRule="auto"/>
        <w:ind w:firstLine="486" w:firstLineChars="200"/>
        <w:rPr>
          <w:rFonts w:ascii="仿宋" w:hAnsi="仿宋" w:eastAsia="仿宋" w:cs="仿宋"/>
          <w:color w:val="auto"/>
          <w:szCs w:val="24"/>
          <w:highlight w:val="none"/>
          <w:lang w:eastAsia="zh-CN"/>
        </w:rPr>
      </w:pPr>
      <w:r>
        <w:rPr>
          <w:rFonts w:hint="eastAsia" w:ascii="仿宋" w:hAnsi="仿宋" w:eastAsia="仿宋" w:cs="仿宋"/>
          <w:bCs/>
          <w:color w:val="auto"/>
          <w:szCs w:val="24"/>
          <w:highlight w:val="none"/>
          <w:lang w:eastAsia="zh-CN"/>
        </w:rPr>
        <w:t>电子投标文件部分：供应商应根据“政采云供应商项目采购-电子招投标操作指南”及本采购文件规定的格式和顺序编制电子投标文件并进行关联定位。本文件《第六章 投标文件格式》中有提供格式的，供应商应按照格式进行编制（格式中要求提供相关证明材料的还需后附相关证明材料），并按格式要求在指定位置根据要求进行签章，否则视为未提供；本文件《第六部分投标文件格式》未提供格式的，请供应商自行拟定格式，并加盖单位公章，否则视为未提供。</w:t>
      </w:r>
    </w:p>
    <w:p w14:paraId="0CDE6E58">
      <w:pPr>
        <w:pStyle w:val="6"/>
        <w:snapToGrid w:val="0"/>
        <w:spacing w:line="360" w:lineRule="auto"/>
        <w:ind w:firstLine="486" w:firstLineChars="200"/>
        <w:rPr>
          <w:rFonts w:ascii="仿宋" w:hAnsi="仿宋" w:eastAsia="仿宋" w:cs="仿宋"/>
          <w:bCs/>
          <w:color w:val="auto"/>
          <w:szCs w:val="24"/>
          <w:highlight w:val="none"/>
          <w:lang w:eastAsia="zh-CN"/>
        </w:rPr>
      </w:pPr>
      <w:r>
        <w:rPr>
          <w:rFonts w:hint="eastAsia" w:ascii="仿宋" w:hAnsi="仿宋" w:eastAsia="仿宋" w:cs="仿宋"/>
          <w:bCs/>
          <w:color w:val="auto"/>
          <w:szCs w:val="24"/>
          <w:highlight w:val="none"/>
          <w:lang w:eastAsia="zh-CN"/>
        </w:rPr>
        <w:t>备份电子投标文件：通过“政采云”平台电子投标工具制作投标文件所产生的备份文件。</w:t>
      </w:r>
    </w:p>
    <w:p w14:paraId="259204E7">
      <w:pPr>
        <w:pStyle w:val="6"/>
        <w:snapToGrid w:val="0"/>
        <w:spacing w:line="360" w:lineRule="auto"/>
        <w:rPr>
          <w:rFonts w:ascii="仿宋" w:hAnsi="仿宋" w:eastAsia="仿宋" w:cs="仿宋"/>
          <w:bCs/>
          <w:color w:val="auto"/>
          <w:szCs w:val="24"/>
          <w:highlight w:val="none"/>
          <w:lang w:eastAsia="zh-CN"/>
        </w:rPr>
      </w:pPr>
      <w:r>
        <w:rPr>
          <w:rFonts w:hint="eastAsia" w:ascii="仿宋" w:hAnsi="仿宋" w:eastAsia="仿宋" w:cs="仿宋"/>
          <w:bCs/>
          <w:color w:val="auto"/>
          <w:szCs w:val="24"/>
          <w:highlight w:val="none"/>
          <w:lang w:eastAsia="zh-CN"/>
        </w:rPr>
        <w:t>（2）供应商应对所提供的全部资料的真实性、有效性承担法律责任，电子投标文件中所</w:t>
      </w:r>
      <w:r>
        <w:rPr>
          <w:rFonts w:hint="eastAsia" w:ascii="仿宋" w:hAnsi="仿宋" w:eastAsia="仿宋" w:cs="仿宋"/>
          <w:bCs/>
          <w:color w:val="auto"/>
          <w:szCs w:val="24"/>
          <w:highlight w:val="none"/>
          <w:lang w:val="en-US" w:eastAsia="zh-CN"/>
        </w:rPr>
        <w:t>需</w:t>
      </w:r>
      <w:r>
        <w:rPr>
          <w:rFonts w:hint="eastAsia" w:ascii="仿宋" w:hAnsi="仿宋" w:eastAsia="仿宋" w:cs="仿宋"/>
          <w:bCs/>
          <w:color w:val="auto"/>
          <w:szCs w:val="24"/>
          <w:highlight w:val="none"/>
          <w:lang w:eastAsia="zh-CN"/>
        </w:rPr>
        <w:t>加盖公章部分均采用CA签章。</w:t>
      </w:r>
    </w:p>
    <w:p w14:paraId="30426F35">
      <w:pPr>
        <w:pStyle w:val="6"/>
        <w:snapToGrid w:val="0"/>
        <w:spacing w:line="360" w:lineRule="auto"/>
        <w:rPr>
          <w:rFonts w:ascii="仿宋" w:hAnsi="仿宋" w:eastAsia="仿宋" w:cs="仿宋"/>
          <w:bCs/>
          <w:color w:val="auto"/>
          <w:szCs w:val="24"/>
          <w:highlight w:val="none"/>
          <w:lang w:eastAsia="zh-CN"/>
        </w:rPr>
      </w:pPr>
      <w:r>
        <w:rPr>
          <w:rFonts w:hint="eastAsia" w:ascii="仿宋" w:hAnsi="仿宋" w:eastAsia="仿宋" w:cs="仿宋"/>
          <w:bCs/>
          <w:color w:val="auto"/>
          <w:szCs w:val="24"/>
          <w:highlight w:val="none"/>
          <w:lang w:eastAsia="zh-CN"/>
        </w:rPr>
        <w:t>（3）投标文件以及供应商与采购组织机构就有关投标事宜的所有来往函电，均应以中文汉语书写。除签章、盖章、专用名称等特殊情形外，以中文汉语以外的文字表述的投标文件视同未提供。</w:t>
      </w:r>
    </w:p>
    <w:p w14:paraId="6D748492">
      <w:pPr>
        <w:pStyle w:val="6"/>
        <w:snapToGrid w:val="0"/>
        <w:spacing w:line="360" w:lineRule="auto"/>
        <w:rPr>
          <w:rFonts w:ascii="仿宋" w:hAnsi="仿宋" w:eastAsia="仿宋" w:cs="仿宋"/>
          <w:bCs/>
          <w:color w:val="auto"/>
          <w:szCs w:val="24"/>
          <w:highlight w:val="none"/>
          <w:lang w:eastAsia="zh-CN"/>
        </w:rPr>
      </w:pPr>
      <w:r>
        <w:rPr>
          <w:rFonts w:hint="eastAsia" w:ascii="仿宋" w:hAnsi="仿宋" w:eastAsia="仿宋" w:cs="仿宋"/>
          <w:bCs/>
          <w:color w:val="auto"/>
          <w:szCs w:val="24"/>
          <w:highlight w:val="none"/>
          <w:lang w:eastAsia="zh-CN"/>
        </w:rPr>
        <w:t>（4）投标计量单位，采购文件已有明确规定的，使用采购文件规定的计量单位；采购文件没有规定的，应采用中华人民共和国法定计量单位（货币单位：人民币元）。</w:t>
      </w:r>
    </w:p>
    <w:p w14:paraId="3A6274EE">
      <w:pPr>
        <w:pStyle w:val="6"/>
        <w:snapToGrid w:val="0"/>
        <w:spacing w:line="360" w:lineRule="auto"/>
        <w:rPr>
          <w:rFonts w:ascii="仿宋" w:hAnsi="仿宋" w:eastAsia="仿宋" w:cs="仿宋"/>
          <w:bCs/>
          <w:color w:val="auto"/>
          <w:szCs w:val="24"/>
          <w:highlight w:val="none"/>
          <w:lang w:eastAsia="zh-CN"/>
        </w:rPr>
      </w:pPr>
      <w:r>
        <w:rPr>
          <w:rFonts w:hint="eastAsia" w:ascii="仿宋" w:hAnsi="仿宋" w:eastAsia="仿宋" w:cs="仿宋"/>
          <w:bCs/>
          <w:color w:val="auto"/>
          <w:szCs w:val="24"/>
          <w:highlight w:val="none"/>
          <w:lang w:eastAsia="zh-CN"/>
        </w:rPr>
        <w:t>（5）若供应商不按采购文件的要求提供资格审查材料，其风险由供应商自行承担。</w:t>
      </w:r>
    </w:p>
    <w:p w14:paraId="077A2D2B">
      <w:pPr>
        <w:pStyle w:val="6"/>
        <w:snapToGrid w:val="0"/>
        <w:spacing w:line="360" w:lineRule="auto"/>
        <w:rPr>
          <w:rFonts w:ascii="仿宋" w:hAnsi="仿宋" w:eastAsia="仿宋" w:cs="仿宋"/>
          <w:bCs/>
          <w:color w:val="auto"/>
          <w:szCs w:val="24"/>
          <w:highlight w:val="none"/>
          <w:lang w:eastAsia="zh-CN"/>
        </w:rPr>
      </w:pPr>
      <w:r>
        <w:rPr>
          <w:rFonts w:hint="eastAsia" w:ascii="仿宋" w:hAnsi="仿宋" w:eastAsia="仿宋" w:cs="仿宋"/>
          <w:bCs/>
          <w:color w:val="auto"/>
          <w:szCs w:val="24"/>
          <w:highlight w:val="none"/>
          <w:lang w:eastAsia="zh-CN"/>
        </w:rPr>
        <w:t>（6）与本次投标无关的内容请不要制作在内，确保投标文件有针对性、简洁明了。</w:t>
      </w:r>
    </w:p>
    <w:p w14:paraId="3219B167">
      <w:pPr>
        <w:snapToGrid w:val="0"/>
        <w:spacing w:line="360" w:lineRule="auto"/>
        <w:ind w:firstLine="486" w:firstLineChars="200"/>
        <w:rPr>
          <w:rFonts w:ascii="仿宋" w:hAnsi="仿宋" w:eastAsia="仿宋" w:cs="仿宋"/>
          <w:b/>
          <w:color w:val="auto"/>
          <w:highlight w:val="none"/>
          <w:lang w:eastAsia="zh-CN"/>
        </w:rPr>
      </w:pPr>
      <w:r>
        <w:rPr>
          <w:rFonts w:hint="eastAsia" w:ascii="仿宋" w:hAnsi="仿宋" w:eastAsia="仿宋" w:cs="仿宋"/>
          <w:b/>
          <w:bCs/>
          <w:color w:val="auto"/>
          <w:highlight w:val="none"/>
          <w:lang w:eastAsia="zh-CN"/>
        </w:rPr>
        <w:t>26.投标文件的上传</w:t>
      </w:r>
    </w:p>
    <w:p w14:paraId="02350835">
      <w:pPr>
        <w:pStyle w:val="6"/>
        <w:snapToGrid w:val="0"/>
        <w:spacing w:line="360" w:lineRule="auto"/>
        <w:rPr>
          <w:rFonts w:ascii="仿宋" w:hAnsi="仿宋" w:eastAsia="仿宋" w:cs="仿宋"/>
          <w:b/>
          <w:bCs/>
          <w:color w:val="auto"/>
          <w:szCs w:val="24"/>
          <w:highlight w:val="none"/>
          <w:lang w:eastAsia="zh-CN"/>
        </w:rPr>
      </w:pPr>
      <w:r>
        <w:rPr>
          <w:rFonts w:hint="eastAsia" w:ascii="仿宋" w:hAnsi="仿宋" w:eastAsia="仿宋" w:cs="仿宋"/>
          <w:b/>
          <w:bCs/>
          <w:color w:val="auto"/>
          <w:szCs w:val="24"/>
          <w:highlight w:val="none"/>
          <w:lang w:eastAsia="zh-CN"/>
        </w:rPr>
        <w:t>（1）</w:t>
      </w:r>
      <w:r>
        <w:rPr>
          <w:rFonts w:hint="eastAsia" w:ascii="仿宋" w:hAnsi="仿宋" w:eastAsia="仿宋" w:cs="仿宋"/>
          <w:b/>
          <w:bCs/>
          <w:color w:val="auto"/>
          <w:szCs w:val="24"/>
          <w:highlight w:val="none"/>
          <w:lang w:eastAsia="zh-CN" w:bidi="zh-CN"/>
        </w:rPr>
        <w:t>电子加密投标文件（“.jmbs”格式）</w:t>
      </w:r>
      <w:r>
        <w:rPr>
          <w:rFonts w:hint="eastAsia" w:ascii="仿宋" w:hAnsi="仿宋" w:eastAsia="仿宋" w:cs="仿宋"/>
          <w:b/>
          <w:bCs/>
          <w:color w:val="auto"/>
          <w:szCs w:val="24"/>
          <w:highlight w:val="none"/>
          <w:lang w:eastAsia="zh-CN"/>
        </w:rPr>
        <w:t>：</w:t>
      </w:r>
    </w:p>
    <w:p w14:paraId="7153151A">
      <w:pPr>
        <w:pStyle w:val="6"/>
        <w:snapToGrid w:val="0"/>
        <w:spacing w:line="360" w:lineRule="auto"/>
        <w:ind w:firstLine="607" w:firstLineChars="250"/>
        <w:rPr>
          <w:rFonts w:ascii="仿宋" w:hAnsi="仿宋" w:eastAsia="仿宋" w:cs="仿宋"/>
          <w:bCs/>
          <w:color w:val="auto"/>
          <w:szCs w:val="24"/>
          <w:highlight w:val="none"/>
          <w:lang w:eastAsia="zh-CN" w:bidi="zh-CN"/>
        </w:rPr>
      </w:pPr>
      <w:r>
        <w:rPr>
          <w:rFonts w:hint="eastAsia" w:ascii="仿宋" w:hAnsi="仿宋" w:eastAsia="仿宋" w:cs="仿宋"/>
          <w:bCs/>
          <w:color w:val="auto"/>
          <w:szCs w:val="24"/>
          <w:highlight w:val="none"/>
          <w:lang w:eastAsia="zh-CN" w:bidi="zh-CN"/>
        </w:rPr>
        <w:t>a.</w:t>
      </w:r>
      <w:r>
        <w:rPr>
          <w:rFonts w:hint="eastAsia" w:ascii="仿宋" w:hAnsi="仿宋" w:eastAsia="仿宋" w:cs="仿宋"/>
          <w:bCs/>
          <w:color w:val="auto"/>
          <w:szCs w:val="24"/>
          <w:highlight w:val="none"/>
          <w:lang w:eastAsia="zh-CN"/>
        </w:rPr>
        <w:t xml:space="preserve"> </w:t>
      </w:r>
      <w:r>
        <w:rPr>
          <w:rFonts w:hint="eastAsia" w:ascii="仿宋" w:hAnsi="仿宋" w:eastAsia="仿宋" w:cs="仿宋"/>
          <w:bCs/>
          <w:color w:val="auto"/>
          <w:szCs w:val="24"/>
          <w:highlight w:val="none"/>
          <w:lang w:eastAsia="zh-CN" w:bidi="zh-CN"/>
        </w:rPr>
        <w:t>供应商应在投标截止时间前将电子加密投标文件成功上传递交至新疆政府采购云平台，否则投标无效；</w:t>
      </w:r>
    </w:p>
    <w:p w14:paraId="73DE7B4E">
      <w:pPr>
        <w:pStyle w:val="6"/>
        <w:snapToGrid w:val="0"/>
        <w:spacing w:line="360" w:lineRule="auto"/>
        <w:ind w:firstLine="607" w:firstLineChars="250"/>
        <w:rPr>
          <w:rFonts w:ascii="仿宋" w:hAnsi="仿宋" w:eastAsia="仿宋" w:cs="仿宋"/>
          <w:bCs/>
          <w:color w:val="auto"/>
          <w:szCs w:val="24"/>
          <w:highlight w:val="none"/>
          <w:lang w:eastAsia="zh-CN"/>
        </w:rPr>
      </w:pPr>
      <w:r>
        <w:rPr>
          <w:rFonts w:hint="eastAsia" w:ascii="仿宋" w:hAnsi="仿宋" w:eastAsia="仿宋" w:cs="仿宋"/>
          <w:bCs/>
          <w:color w:val="auto"/>
          <w:szCs w:val="24"/>
          <w:highlight w:val="none"/>
          <w:lang w:eastAsia="zh-CN" w:bidi="zh-CN"/>
        </w:rPr>
        <w:t>b.供应商成功上传电子加密投标文件后，可自行打印投标文件接收回执。</w:t>
      </w:r>
    </w:p>
    <w:p w14:paraId="726D9B0E">
      <w:pPr>
        <w:pStyle w:val="6"/>
        <w:snapToGrid w:val="0"/>
        <w:spacing w:line="360" w:lineRule="auto"/>
        <w:rPr>
          <w:rFonts w:ascii="仿宋" w:hAnsi="仿宋" w:eastAsia="仿宋" w:cs="仿宋"/>
          <w:b/>
          <w:bCs/>
          <w:color w:val="auto"/>
          <w:szCs w:val="24"/>
          <w:highlight w:val="none"/>
          <w:lang w:eastAsia="zh-CN" w:bidi="zh-CN"/>
        </w:rPr>
      </w:pPr>
      <w:r>
        <w:rPr>
          <w:rFonts w:hint="eastAsia" w:ascii="仿宋" w:hAnsi="仿宋" w:eastAsia="仿宋" w:cs="仿宋"/>
          <w:b/>
          <w:bCs/>
          <w:color w:val="auto"/>
          <w:szCs w:val="24"/>
          <w:highlight w:val="none"/>
          <w:lang w:eastAsia="zh-CN"/>
        </w:rPr>
        <w:t>（2）</w:t>
      </w:r>
      <w:r>
        <w:rPr>
          <w:rFonts w:hint="eastAsia" w:ascii="仿宋" w:hAnsi="仿宋" w:eastAsia="仿宋" w:cs="仿宋"/>
          <w:b/>
          <w:bCs/>
          <w:color w:val="auto"/>
          <w:szCs w:val="24"/>
          <w:highlight w:val="none"/>
          <w:lang w:eastAsia="zh-CN" w:bidi="zh-CN"/>
        </w:rPr>
        <w:t>备份投标文件（“.bfbs”格式）：</w:t>
      </w:r>
    </w:p>
    <w:p w14:paraId="52D92C43">
      <w:pPr>
        <w:pStyle w:val="6"/>
        <w:snapToGrid w:val="0"/>
        <w:spacing w:line="360" w:lineRule="auto"/>
        <w:ind w:firstLine="607" w:firstLineChars="250"/>
        <w:rPr>
          <w:rStyle w:val="29"/>
          <w:rFonts w:hint="eastAsia" w:ascii="仿宋" w:hAnsi="仿宋" w:eastAsia="仿宋" w:cs="仿宋"/>
          <w:color w:val="auto"/>
          <w:szCs w:val="24"/>
          <w:highlight w:val="none"/>
          <w:lang w:val="en-US" w:eastAsia="zh-CN" w:bidi="zh-CN"/>
        </w:rPr>
      </w:pPr>
      <w:r>
        <w:rPr>
          <w:rFonts w:hint="eastAsia" w:ascii="仿宋" w:hAnsi="仿宋" w:eastAsia="仿宋" w:cs="仿宋"/>
          <w:bCs/>
          <w:color w:val="auto"/>
          <w:szCs w:val="24"/>
          <w:highlight w:val="none"/>
          <w:lang w:eastAsia="zh-CN" w:bidi="zh-CN"/>
        </w:rPr>
        <w:t>a.供应商可以将备份投标文件打包压缩并加密，压缩包命名为“XX单位备份投标文件”，加密密码由供应商自行保管；送达时间以采购代理机构实际接收时间为准。</w:t>
      </w:r>
      <w:r>
        <w:rPr>
          <w:rFonts w:hint="eastAsia" w:ascii="仿宋" w:hAnsi="仿宋" w:eastAsia="仿宋" w:cs="仿宋"/>
          <w:color w:val="auto"/>
          <w:szCs w:val="24"/>
          <w:highlight w:val="none"/>
          <w:lang w:eastAsia="zh-CN" w:bidi="zh-CN"/>
        </w:rPr>
        <w:t>“备份投标文件”以投标截止时间前指定接收邮箱最终收到的文件为准，逾期或未按要求提供的视为未提供，建议供应商提前1日办理邮件提供事宜（接收人邮箱：</w:t>
      </w:r>
      <w:r>
        <w:rPr>
          <w:color w:val="auto"/>
          <w:highlight w:val="none"/>
        </w:rPr>
        <w:fldChar w:fldCharType="begin"/>
      </w:r>
      <w:r>
        <w:rPr>
          <w:color w:val="auto"/>
          <w:highlight w:val="none"/>
        </w:rPr>
        <w:instrText xml:space="preserve"> HYPERLINK "mailto:1207446769@qq.com，接收人：陈加轲，电话：15157655122" </w:instrText>
      </w:r>
      <w:r>
        <w:rPr>
          <w:color w:val="auto"/>
          <w:highlight w:val="none"/>
        </w:rPr>
        <w:fldChar w:fldCharType="separate"/>
      </w:r>
      <w:r>
        <w:rPr>
          <w:rFonts w:hint="eastAsia" w:ascii="仿宋" w:hAnsi="仿宋" w:eastAsia="仿宋" w:cs="仿宋"/>
          <w:color w:val="auto"/>
          <w:szCs w:val="24"/>
          <w:highlight w:val="none"/>
          <w:u w:val="single"/>
          <w:lang w:val="en-US" w:eastAsia="zh-CN" w:bidi="zh-CN"/>
        </w:rPr>
        <w:t>3209334806@qq.com</w:t>
      </w:r>
      <w:r>
        <w:rPr>
          <w:rFonts w:hint="eastAsia" w:ascii="仿宋" w:hAnsi="仿宋" w:eastAsia="仿宋" w:cs="仿宋"/>
          <w:color w:val="auto"/>
          <w:szCs w:val="24"/>
          <w:highlight w:val="none"/>
          <w:u w:val="single"/>
          <w:lang w:eastAsia="zh-CN" w:bidi="zh-CN"/>
        </w:rPr>
        <w:t>，</w:t>
      </w:r>
      <w:r>
        <w:rPr>
          <w:rStyle w:val="29"/>
          <w:rFonts w:hint="eastAsia" w:ascii="仿宋" w:hAnsi="仿宋" w:eastAsia="仿宋" w:cs="仿宋"/>
          <w:color w:val="auto"/>
          <w:szCs w:val="24"/>
          <w:highlight w:val="none"/>
          <w:lang w:eastAsia="zh-CN" w:bidi="zh-CN"/>
        </w:rPr>
        <w:t>接收人：</w:t>
      </w:r>
      <w:r>
        <w:rPr>
          <w:rStyle w:val="29"/>
          <w:rFonts w:hint="eastAsia" w:ascii="仿宋" w:hAnsi="仿宋" w:eastAsia="仿宋" w:cs="仿宋"/>
          <w:color w:val="auto"/>
          <w:szCs w:val="24"/>
          <w:highlight w:val="none"/>
          <w:lang w:val="en-US" w:eastAsia="zh-CN" w:bidi="zh-CN"/>
        </w:rPr>
        <w:t>程先生</w:t>
      </w:r>
      <w:r>
        <w:rPr>
          <w:rStyle w:val="29"/>
          <w:rFonts w:hint="eastAsia" w:ascii="仿宋" w:hAnsi="仿宋" w:eastAsia="仿宋" w:cs="仿宋"/>
          <w:color w:val="auto"/>
          <w:szCs w:val="24"/>
          <w:highlight w:val="none"/>
          <w:lang w:eastAsia="zh-CN" w:bidi="zh-CN"/>
        </w:rPr>
        <w:t>，电话：</w:t>
      </w:r>
      <w:r>
        <w:rPr>
          <w:rStyle w:val="29"/>
          <w:rFonts w:hint="eastAsia" w:ascii="仿宋" w:hAnsi="仿宋" w:eastAsia="仿宋" w:cs="仿宋"/>
          <w:color w:val="auto"/>
          <w:szCs w:val="24"/>
          <w:highlight w:val="none"/>
          <w:lang w:val="en-US" w:eastAsia="zh-CN" w:bidi="zh-CN"/>
        </w:rPr>
        <w:t>18199719889）。</w:t>
      </w:r>
    </w:p>
    <w:p w14:paraId="0297FB07">
      <w:pPr>
        <w:pStyle w:val="6"/>
        <w:snapToGrid w:val="0"/>
        <w:spacing w:line="360" w:lineRule="auto"/>
        <w:ind w:left="0" w:leftChars="0" w:firstLine="0" w:firstLineChars="0"/>
        <w:rPr>
          <w:rFonts w:ascii="仿宋" w:hAnsi="仿宋" w:eastAsia="仿宋" w:cs="仿宋"/>
          <w:bCs/>
          <w:color w:val="auto"/>
          <w:szCs w:val="24"/>
          <w:highlight w:val="none"/>
          <w:lang w:eastAsia="zh-CN" w:bidi="zh-CN"/>
        </w:rPr>
      </w:pPr>
      <w:r>
        <w:rPr>
          <w:rFonts w:hint="eastAsia" w:ascii="仿宋" w:hAnsi="仿宋" w:eastAsia="仿宋" w:cs="仿宋"/>
          <w:color w:val="auto"/>
          <w:szCs w:val="24"/>
          <w:highlight w:val="none"/>
          <w:u w:val="single"/>
          <w:lang w:eastAsia="zh-CN" w:bidi="zh-CN"/>
        </w:rPr>
        <w:fldChar w:fldCharType="end"/>
      </w:r>
      <w:r>
        <w:rPr>
          <w:rFonts w:hint="eastAsia" w:ascii="仿宋" w:hAnsi="仿宋" w:eastAsia="仿宋" w:cs="仿宋"/>
          <w:bCs/>
          <w:color w:val="auto"/>
          <w:szCs w:val="24"/>
          <w:highlight w:val="none"/>
          <w:lang w:eastAsia="zh-CN" w:bidi="zh-CN"/>
        </w:rPr>
        <w:t>b.通过“新疆政府采购云平台”成功上传递交的“电子加密投标文件”已按时解密的，“备份投标文件”自动失效。投标截止时间前，投标供应商仅递交了“备份投标文件”而未将“电子加密投标文件”成功上传至“政府采购云平台”的，投标无效。</w:t>
      </w:r>
    </w:p>
    <w:p w14:paraId="12CC1A83">
      <w:pPr>
        <w:snapToGrid w:val="0"/>
        <w:spacing w:line="360" w:lineRule="auto"/>
        <w:ind w:firstLine="486" w:firstLineChars="200"/>
        <w:rPr>
          <w:rFonts w:ascii="仿宋" w:hAnsi="仿宋" w:eastAsia="仿宋" w:cs="仿宋"/>
          <w:b/>
          <w:color w:val="auto"/>
          <w:highlight w:val="none"/>
          <w:lang w:eastAsia="zh-CN"/>
        </w:rPr>
      </w:pPr>
      <w:r>
        <w:rPr>
          <w:rFonts w:hint="eastAsia" w:ascii="仿宋" w:hAnsi="仿宋" w:eastAsia="仿宋" w:cs="仿宋"/>
          <w:b/>
          <w:bCs/>
          <w:color w:val="auto"/>
          <w:highlight w:val="none"/>
          <w:lang w:eastAsia="zh-CN"/>
        </w:rPr>
        <w:t>27.</w:t>
      </w:r>
      <w:r>
        <w:rPr>
          <w:rFonts w:hint="eastAsia" w:ascii="仿宋" w:hAnsi="仿宋" w:eastAsia="仿宋" w:cs="仿宋"/>
          <w:b/>
          <w:color w:val="auto"/>
          <w:highlight w:val="none"/>
          <w:lang w:eastAsia="zh-CN"/>
        </w:rPr>
        <w:t>投标文件的递交要求</w:t>
      </w:r>
    </w:p>
    <w:p w14:paraId="08F4DA5A">
      <w:pPr>
        <w:snapToGrid w:val="0"/>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（1）供应商须按照采购文件和政采云平台的要求编制并加密投标文件。在投标文件递交截止时间以前完成投标文件的传输递交，截止时间后递交的投标文件，将被拒收。</w:t>
      </w:r>
    </w:p>
    <w:p w14:paraId="70FF3E04">
      <w:pPr>
        <w:tabs>
          <w:tab w:val="left" w:pos="1418"/>
        </w:tabs>
        <w:autoSpaceDE w:val="0"/>
        <w:autoSpaceDN w:val="0"/>
        <w:adjustRightInd w:val="0"/>
        <w:snapToGrid w:val="0"/>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（2）备份电子投标文件必须在投标截止时间前送达指定的投标地点。备份电子投标文件在截止时间后提交，采购组织机构将拒绝接收。</w:t>
      </w:r>
    </w:p>
    <w:p w14:paraId="7EC7E6B4">
      <w:pPr>
        <w:tabs>
          <w:tab w:val="left" w:pos="1418"/>
        </w:tabs>
        <w:autoSpaceDE w:val="0"/>
        <w:autoSpaceDN w:val="0"/>
        <w:adjustRightInd w:val="0"/>
        <w:snapToGrid w:val="0"/>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（3）如有特殊情况，采购组织机构延长截止时间和开标时间，采购组织机构和供应商的权利和义务将受到新的截止时间和开标时间的约束。</w:t>
      </w:r>
    </w:p>
    <w:p w14:paraId="6C38B4F5">
      <w:pPr>
        <w:snapToGrid w:val="0"/>
        <w:spacing w:line="360" w:lineRule="auto"/>
        <w:ind w:firstLine="486" w:firstLineChars="200"/>
        <w:rPr>
          <w:rFonts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28．投标文件的补充、修改与撤回</w:t>
      </w:r>
    </w:p>
    <w:p w14:paraId="352E0FD1">
      <w:pPr>
        <w:tabs>
          <w:tab w:val="left" w:pos="960"/>
          <w:tab w:val="left" w:pos="1418"/>
        </w:tabs>
        <w:autoSpaceDE w:val="0"/>
        <w:autoSpaceDN w:val="0"/>
        <w:adjustRightInd w:val="0"/>
        <w:snapToGrid w:val="0"/>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供应商应当在投标截止时间前完成电子交易文件的传输递交，投标截止时间前可以补充、修改或者撤回电子交易文件。补充或者修改电子交易文件的，应当先行撤回原文件，补充、修改后重新传输递交。投标截止时间前未完成传输的，视为投标文件撤回。投标截止时间后传输递交的投标文件，“政府采购云平台”将予以拒收。投标截止时间后，供应商不得修改（补充）或撤回其投标文件。</w:t>
      </w:r>
      <w:bookmarkStart w:id="20" w:name="_Toc469495728"/>
    </w:p>
    <w:p w14:paraId="04462D56">
      <w:pPr>
        <w:tabs>
          <w:tab w:val="left" w:pos="960"/>
          <w:tab w:val="left" w:pos="1418"/>
        </w:tabs>
        <w:autoSpaceDE w:val="0"/>
        <w:autoSpaceDN w:val="0"/>
        <w:adjustRightInd w:val="0"/>
        <w:snapToGrid w:val="0"/>
        <w:spacing w:line="360" w:lineRule="auto"/>
        <w:ind w:firstLine="566" w:firstLineChars="200"/>
        <w:jc w:val="center"/>
        <w:rPr>
          <w:rFonts w:ascii="仿宋" w:hAnsi="仿宋" w:eastAsia="仿宋" w:cs="仿宋"/>
          <w:b/>
          <w:bCs/>
          <w:color w:val="auto"/>
          <w:sz w:val="28"/>
          <w:szCs w:val="28"/>
          <w:highlight w:val="none"/>
          <w:lang w:eastAsia="zh-CN"/>
        </w:rPr>
      </w:pPr>
      <w:r>
        <w:rPr>
          <w:rFonts w:hint="eastAsia" w:ascii="仿宋" w:hAnsi="仿宋" w:eastAsia="仿宋" w:cs="仿宋"/>
          <w:b/>
          <w:bCs/>
          <w:color w:val="auto"/>
          <w:sz w:val="28"/>
          <w:szCs w:val="28"/>
          <w:highlight w:val="none"/>
          <w:lang w:eastAsia="zh-CN"/>
        </w:rPr>
        <w:t>（五）开标、评标和定标</w:t>
      </w:r>
      <w:bookmarkEnd w:id="20"/>
    </w:p>
    <w:p w14:paraId="75C73A37">
      <w:pPr>
        <w:snapToGrid w:val="0"/>
        <w:spacing w:line="360" w:lineRule="auto"/>
        <w:ind w:firstLine="486" w:firstLineChars="200"/>
        <w:rPr>
          <w:rFonts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29. 开标</w:t>
      </w:r>
    </w:p>
    <w:p w14:paraId="0429C22B">
      <w:pPr>
        <w:snapToGrid w:val="0"/>
        <w:spacing w:line="360" w:lineRule="auto"/>
        <w:ind w:firstLine="486" w:firstLineChars="200"/>
        <w:rPr>
          <w:rFonts w:ascii="仿宋" w:hAnsi="仿宋" w:eastAsia="仿宋" w:cs="仿宋"/>
          <w:b/>
          <w:bCs/>
          <w:color w:val="auto"/>
          <w:highlight w:val="none"/>
          <w:lang w:eastAsia="zh-CN"/>
        </w:rPr>
      </w:pPr>
      <w:bookmarkStart w:id="21" w:name="_Toc73975822"/>
      <w:r>
        <w:rPr>
          <w:rFonts w:hint="eastAsia" w:ascii="仿宋" w:hAnsi="仿宋" w:eastAsia="仿宋" w:cs="仿宋"/>
          <w:b/>
          <w:bCs/>
          <w:color w:val="auto"/>
          <w:highlight w:val="none"/>
          <w:lang w:eastAsia="zh-CN"/>
        </w:rPr>
        <w:t>29.1开标邀请</w:t>
      </w:r>
      <w:bookmarkEnd w:id="21"/>
    </w:p>
    <w:p w14:paraId="11431E70">
      <w:pPr>
        <w:pStyle w:val="10"/>
        <w:snapToGrid w:val="0"/>
        <w:spacing w:line="360" w:lineRule="auto"/>
        <w:ind w:firstLine="486" w:firstLineChars="200"/>
        <w:rPr>
          <w:rFonts w:ascii="仿宋" w:hAnsi="仿宋" w:eastAsia="仿宋" w:cs="仿宋"/>
          <w:bCs/>
          <w:color w:val="auto"/>
          <w:szCs w:val="24"/>
          <w:highlight w:val="none"/>
          <w:lang w:eastAsia="zh-CN"/>
        </w:rPr>
      </w:pPr>
      <w:r>
        <w:rPr>
          <w:rFonts w:hint="eastAsia" w:ascii="仿宋" w:hAnsi="仿宋" w:eastAsia="仿宋" w:cs="仿宋"/>
          <w:bCs/>
          <w:color w:val="auto"/>
          <w:szCs w:val="24"/>
          <w:highlight w:val="none"/>
          <w:lang w:eastAsia="zh-CN"/>
        </w:rPr>
        <w:t>（1）开标准备：本项目开标的准备工作由采购组织机构负责落实，开标过程由采购组织机构负责记录；</w:t>
      </w:r>
    </w:p>
    <w:p w14:paraId="3B45FBB5">
      <w:pPr>
        <w:pStyle w:val="10"/>
        <w:snapToGrid w:val="0"/>
        <w:spacing w:line="360" w:lineRule="auto"/>
        <w:ind w:firstLine="486" w:firstLineChars="200"/>
        <w:rPr>
          <w:rFonts w:ascii="仿宋" w:hAnsi="仿宋" w:eastAsia="仿宋" w:cs="仿宋"/>
          <w:bCs/>
          <w:color w:val="auto"/>
          <w:szCs w:val="24"/>
          <w:highlight w:val="none"/>
          <w:lang w:eastAsia="zh-CN"/>
        </w:rPr>
      </w:pPr>
      <w:r>
        <w:rPr>
          <w:rFonts w:hint="eastAsia" w:ascii="仿宋" w:hAnsi="仿宋" w:eastAsia="仿宋" w:cs="仿宋"/>
          <w:bCs/>
          <w:color w:val="auto"/>
          <w:szCs w:val="24"/>
          <w:highlight w:val="none"/>
          <w:lang w:eastAsia="zh-CN"/>
        </w:rPr>
        <w:t>（2）开标主持:本项目开标由采购人或者采购代理机构主持；</w:t>
      </w:r>
    </w:p>
    <w:p w14:paraId="0CB72F8D">
      <w:pPr>
        <w:pStyle w:val="10"/>
        <w:snapToGrid w:val="0"/>
        <w:spacing w:line="360" w:lineRule="auto"/>
        <w:ind w:firstLine="486" w:firstLineChars="200"/>
        <w:rPr>
          <w:rFonts w:ascii="仿宋" w:hAnsi="仿宋" w:eastAsia="仿宋" w:cs="仿宋"/>
          <w:color w:val="auto"/>
          <w:szCs w:val="24"/>
          <w:highlight w:val="none"/>
        </w:rPr>
      </w:pPr>
      <w:r>
        <w:rPr>
          <w:rFonts w:hint="eastAsia" w:ascii="仿宋" w:hAnsi="仿宋" w:eastAsia="仿宋" w:cs="仿宋"/>
          <w:color w:val="auto"/>
          <w:szCs w:val="24"/>
          <w:highlight w:val="none"/>
          <w:lang w:eastAsia="zh-CN"/>
        </w:rPr>
        <w:t>（3）</w:t>
      </w:r>
      <w:r>
        <w:rPr>
          <w:rFonts w:hint="eastAsia" w:ascii="仿宋" w:hAnsi="仿宋" w:eastAsia="仿宋" w:cs="仿宋"/>
          <w:color w:val="auto"/>
          <w:szCs w:val="24"/>
          <w:highlight w:val="none"/>
        </w:rPr>
        <w:t>开标邀请：本项目采用电子交易，采购组织机构将按照采购文件规定的时间通过“</w:t>
      </w:r>
      <w:r>
        <w:rPr>
          <w:rFonts w:hint="eastAsia" w:ascii="仿宋" w:hAnsi="仿宋" w:eastAsia="仿宋" w:cs="仿宋"/>
          <w:color w:val="auto"/>
          <w:szCs w:val="24"/>
          <w:highlight w:val="none"/>
          <w:lang w:eastAsia="zh-CN"/>
        </w:rPr>
        <w:t>新疆</w:t>
      </w:r>
      <w:r>
        <w:rPr>
          <w:rFonts w:hint="eastAsia" w:ascii="仿宋" w:hAnsi="仿宋" w:eastAsia="仿宋" w:cs="仿宋"/>
          <w:color w:val="auto"/>
          <w:szCs w:val="24"/>
          <w:highlight w:val="none"/>
        </w:rPr>
        <w:t>政府采购云平台，网址：</w:t>
      </w:r>
      <w:r>
        <w:rPr>
          <w:color w:val="auto"/>
          <w:highlight w:val="none"/>
        </w:rPr>
        <w:fldChar w:fldCharType="begin"/>
      </w:r>
      <w:r>
        <w:rPr>
          <w:color w:val="auto"/>
          <w:highlight w:val="none"/>
        </w:rPr>
        <w:instrText xml:space="preserve"> HYPERLINK "http://www.zcygov.cn" </w:instrText>
      </w:r>
      <w:r>
        <w:rPr>
          <w:color w:val="auto"/>
          <w:highlight w:val="none"/>
        </w:rPr>
        <w:fldChar w:fldCharType="separate"/>
      </w:r>
      <w:r>
        <w:rPr>
          <w:rStyle w:val="29"/>
          <w:rFonts w:hint="eastAsia" w:ascii="仿宋" w:hAnsi="仿宋" w:eastAsia="仿宋" w:cs="仿宋"/>
          <w:color w:val="auto"/>
          <w:szCs w:val="24"/>
          <w:highlight w:val="none"/>
          <w:u w:val="none"/>
        </w:rPr>
        <w:t>www.zcygov.cn</w:t>
      </w:r>
      <w:r>
        <w:rPr>
          <w:rStyle w:val="29"/>
          <w:rFonts w:hint="eastAsia" w:ascii="仿宋" w:hAnsi="仿宋" w:eastAsia="仿宋" w:cs="仿宋"/>
          <w:color w:val="auto"/>
          <w:szCs w:val="24"/>
          <w:highlight w:val="none"/>
          <w:u w:val="none"/>
        </w:rPr>
        <w:fldChar w:fldCharType="end"/>
      </w:r>
      <w:r>
        <w:rPr>
          <w:rFonts w:hint="eastAsia" w:ascii="仿宋" w:hAnsi="仿宋" w:eastAsia="仿宋" w:cs="仿宋"/>
          <w:color w:val="auto"/>
          <w:szCs w:val="24"/>
          <w:highlight w:val="none"/>
        </w:rPr>
        <w:t>”组织开标、开启投标响应文件，所有供应商均应当准时在线参加。</w:t>
      </w:r>
    </w:p>
    <w:p w14:paraId="67061AD6">
      <w:pPr>
        <w:pStyle w:val="10"/>
        <w:snapToGrid w:val="0"/>
        <w:spacing w:line="360" w:lineRule="auto"/>
        <w:ind w:firstLine="486" w:firstLineChars="200"/>
        <w:rPr>
          <w:rFonts w:ascii="仿宋" w:hAnsi="仿宋" w:eastAsia="仿宋" w:cs="仿宋"/>
          <w:color w:val="auto"/>
          <w:szCs w:val="24"/>
          <w:highlight w:val="none"/>
          <w:lang w:eastAsia="zh-CN"/>
        </w:rPr>
      </w:pPr>
      <w:r>
        <w:rPr>
          <w:rFonts w:hint="eastAsia" w:ascii="仿宋" w:hAnsi="仿宋" w:eastAsia="仿宋" w:cs="仿宋"/>
          <w:color w:val="auto"/>
          <w:szCs w:val="24"/>
          <w:highlight w:val="none"/>
          <w:lang w:eastAsia="zh-CN"/>
        </w:rPr>
        <w:t>（4）供应商对开标过程和开标记录有疑义，以及认为采购人、采购代理机构相关工作人员有需要回避的情形的，应当场提出询问或回避申请。供应商未参加开标的视同认可开标结果，事后不得对采购相关人员、开标过程和开标结果提出异议，同时投标供应商因未在线参加开标而导致投标文件无法按时解密等一切后果由供应商自行承担。</w:t>
      </w:r>
    </w:p>
    <w:p w14:paraId="3A22A34D">
      <w:pPr>
        <w:snapToGrid w:val="0"/>
        <w:spacing w:line="360" w:lineRule="auto"/>
        <w:ind w:firstLine="486" w:firstLineChars="200"/>
        <w:outlineLvl w:val="2"/>
        <w:rPr>
          <w:rFonts w:ascii="仿宋" w:hAnsi="仿宋" w:eastAsia="仿宋" w:cs="仿宋"/>
          <w:b/>
          <w:color w:val="auto"/>
          <w:highlight w:val="none"/>
          <w:lang w:eastAsia="zh-CN"/>
        </w:rPr>
      </w:pPr>
      <w:bookmarkStart w:id="22" w:name="_Toc73975823"/>
      <w:r>
        <w:rPr>
          <w:rFonts w:hint="eastAsia" w:ascii="仿宋" w:hAnsi="仿宋" w:eastAsia="仿宋" w:cs="仿宋"/>
          <w:b/>
          <w:color w:val="auto"/>
          <w:highlight w:val="none"/>
          <w:lang w:eastAsia="zh-CN"/>
        </w:rPr>
        <w:t>29.2</w:t>
      </w:r>
      <w:r>
        <w:rPr>
          <w:rFonts w:hint="eastAsia" w:ascii="仿宋" w:hAnsi="仿宋" w:eastAsia="仿宋" w:cs="仿宋"/>
          <w:b/>
          <w:bCs/>
          <w:color w:val="auto"/>
          <w:highlight w:val="none"/>
          <w:lang w:eastAsia="zh-CN"/>
        </w:rPr>
        <w:t>开标程序（先资格、商务技术后报价）</w:t>
      </w:r>
      <w:bookmarkEnd w:id="22"/>
    </w:p>
    <w:p w14:paraId="4C96E865">
      <w:pPr>
        <w:snapToGrid w:val="0"/>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（1）开标时间到后，主持人宣布开标会议开始。</w:t>
      </w:r>
    </w:p>
    <w:p w14:paraId="47C0745A">
      <w:pPr>
        <w:snapToGrid w:val="0"/>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（2）投标文件解密（</w:t>
      </w:r>
      <w:r>
        <w:rPr>
          <w:rFonts w:hint="eastAsia" w:ascii="仿宋" w:hAnsi="仿宋" w:eastAsia="仿宋" w:cs="仿宋"/>
          <w:b/>
          <w:color w:val="auto"/>
          <w:highlight w:val="none"/>
          <w:lang w:eastAsia="zh-CN"/>
        </w:rPr>
        <w:t>解密规定见《供应商须知前附表》</w:t>
      </w:r>
      <w:r>
        <w:rPr>
          <w:rFonts w:hint="eastAsia" w:ascii="仿宋" w:hAnsi="仿宋" w:eastAsia="仿宋" w:cs="仿宋"/>
          <w:color w:val="auto"/>
          <w:highlight w:val="none"/>
          <w:lang w:eastAsia="zh-CN"/>
        </w:rPr>
        <w:t>）。</w:t>
      </w:r>
    </w:p>
    <w:p w14:paraId="7EC56C5B">
      <w:pPr>
        <w:snapToGrid w:val="0"/>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（3）投标文件解密异常情况处理（</w:t>
      </w:r>
      <w:r>
        <w:rPr>
          <w:rFonts w:hint="eastAsia" w:ascii="仿宋" w:hAnsi="仿宋" w:eastAsia="仿宋" w:cs="仿宋"/>
          <w:b/>
          <w:color w:val="auto"/>
          <w:highlight w:val="none"/>
          <w:lang w:eastAsia="zh-CN"/>
        </w:rPr>
        <w:t>处理办法见《供应商须知前附表》</w:t>
      </w:r>
      <w:r>
        <w:rPr>
          <w:rFonts w:hint="eastAsia" w:ascii="仿宋" w:hAnsi="仿宋" w:eastAsia="仿宋" w:cs="仿宋"/>
          <w:color w:val="auto"/>
          <w:highlight w:val="none"/>
          <w:lang w:eastAsia="zh-CN"/>
        </w:rPr>
        <w:t>）。</w:t>
      </w:r>
    </w:p>
    <w:p w14:paraId="3BFCA714">
      <w:pPr>
        <w:snapToGrid w:val="0"/>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（4）公布投标文件解密情况（投标文件成功解密的供应商名单等信息），组织签署</w:t>
      </w:r>
      <w:r>
        <w:rPr>
          <w:rFonts w:hint="eastAsia" w:ascii="仿宋" w:hAnsi="仿宋" w:eastAsia="仿宋" w:cs="仿宋"/>
          <w:b/>
          <w:bCs/>
          <w:color w:val="auto"/>
          <w:highlight w:val="none"/>
          <w:lang w:eastAsia="zh-CN"/>
        </w:rPr>
        <w:t>《政府采购活动现场确认声明书》，供应商应在20分钟内通过邮件形式将经签署的《政府采购活动现场确认声明书》发送至采购代理机构指定邮箱</w:t>
      </w:r>
      <w:r>
        <w:rPr>
          <w:rFonts w:hint="eastAsia" w:ascii="仿宋" w:hAnsi="仿宋" w:eastAsia="仿宋" w:cs="仿宋"/>
          <w:b/>
          <w:bCs/>
          <w:color w:val="auto"/>
          <w:highlight w:val="none"/>
          <w:lang w:val="en-US" w:eastAsia="zh-CN"/>
        </w:rPr>
        <w:t>3209334806@qq.com</w:t>
      </w:r>
      <w:r>
        <w:rPr>
          <w:rFonts w:hint="eastAsia" w:ascii="仿宋" w:hAnsi="仿宋" w:eastAsia="仿宋" w:cs="仿宋"/>
          <w:b/>
          <w:bCs/>
          <w:color w:val="auto"/>
          <w:highlight w:val="none"/>
          <w:lang w:eastAsia="zh-CN"/>
        </w:rPr>
        <w:t xml:space="preserve"> ，逾期发送或未发送的视为无异议</w:t>
      </w:r>
      <w:r>
        <w:rPr>
          <w:rFonts w:hint="eastAsia" w:ascii="仿宋" w:hAnsi="仿宋" w:eastAsia="仿宋" w:cs="仿宋"/>
          <w:color w:val="auto"/>
          <w:highlight w:val="none"/>
          <w:lang w:eastAsia="zh-CN"/>
        </w:rPr>
        <w:t>。</w:t>
      </w:r>
    </w:p>
    <w:p w14:paraId="3596F90D">
      <w:pPr>
        <w:snapToGrid w:val="0"/>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（5）开启标书信息（资格证明文件、商务技术文件）。标书信息开启后，首先由采购人或采购代理机构或评审小组依法对投标供应商的资格证明文件进行审查（具体见本章“29.3 投标供应商资格审查”）， 审查结束公布投标供应商的资格符合情况。资格审查未获通过的供应商，其商务技术文件及报价文件不再进入评审。</w:t>
      </w:r>
    </w:p>
    <w:p w14:paraId="34332F96">
      <w:pPr>
        <w:snapToGrid w:val="0"/>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（6）商务技术评审结束后，主持人公布商务技术评审无效投标供应商名单和商务技术评审有效投标供应商名单及其商务技术得分情况。商务技术评审无效的供应商，其报价不再进入评审。</w:t>
      </w:r>
    </w:p>
    <w:p w14:paraId="06607396">
      <w:pPr>
        <w:snapToGrid w:val="0"/>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（7）开启有效投标供应商的报价，公布开标一览表有关内容，</w:t>
      </w:r>
      <w:r>
        <w:rPr>
          <w:rFonts w:hint="eastAsia" w:ascii="仿宋" w:hAnsi="仿宋" w:eastAsia="仿宋" w:cs="仿宋"/>
          <w:color w:val="auto"/>
          <w:highlight w:val="none"/>
          <w:lang w:eastAsia="zh-CN" w:bidi="zh-CN"/>
        </w:rPr>
        <w:t>并【开启签章时段】，供应商对开标记录进行在线签章确认（不予确认的应说明理由，否则视为无异议）</w:t>
      </w:r>
      <w:r>
        <w:rPr>
          <w:rFonts w:hint="eastAsia" w:ascii="仿宋" w:hAnsi="仿宋" w:eastAsia="仿宋" w:cs="仿宋"/>
          <w:color w:val="auto"/>
          <w:highlight w:val="none"/>
          <w:lang w:eastAsia="zh-CN"/>
        </w:rPr>
        <w:t>。开标结束后，由评标委员会对报价的合理性、准确性等进行审查核实。</w:t>
      </w:r>
    </w:p>
    <w:p w14:paraId="5BAA1A34">
      <w:pPr>
        <w:snapToGrid w:val="0"/>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（8）评审结束后，采购代理机构在系统上公布评审结果。</w:t>
      </w:r>
    </w:p>
    <w:p w14:paraId="0C866919">
      <w:pPr>
        <w:snapToGrid w:val="0"/>
        <w:spacing w:line="360" w:lineRule="auto"/>
        <w:ind w:left="480"/>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特别情况说明：</w:t>
      </w:r>
    </w:p>
    <w:p w14:paraId="4F30A43C">
      <w:pPr>
        <w:snapToGrid w:val="0"/>
        <w:spacing w:line="360" w:lineRule="auto"/>
        <w:ind w:firstLine="429" w:firstLineChars="177"/>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（1）本项目采用电子交易，如遇“新疆政府采购云平台”电子化开标或评审程序调整的，按调整后程序执行。</w:t>
      </w:r>
    </w:p>
    <w:p w14:paraId="7C5ECBED">
      <w:pPr>
        <w:snapToGrid w:val="0"/>
        <w:spacing w:line="360" w:lineRule="auto"/>
        <w:ind w:firstLine="429" w:firstLineChars="177"/>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（2）开标过程中需要相关当事人进行签章或盖章确认的材料将通过“政府采购云平台”进行，若因“政府采购云平台”技术问题无法进行签章或盖章确认的，采购组织机构将通过电子邮件等形式予以确认，</w:t>
      </w:r>
      <w:r>
        <w:rPr>
          <w:rFonts w:hint="eastAsia" w:ascii="仿宋" w:hAnsi="仿宋" w:eastAsia="仿宋" w:cs="仿宋"/>
          <w:b/>
          <w:color w:val="auto"/>
          <w:highlight w:val="none"/>
          <w:u w:val="single"/>
          <w:lang w:eastAsia="zh-CN"/>
        </w:rPr>
        <w:t>请供应商保证办理投标事宜人员电话畅通、网络在线，签章或盖章确认的时间为20分钟。如未及时签章或盖章确认的，视为无异议</w:t>
      </w:r>
      <w:r>
        <w:rPr>
          <w:rFonts w:hint="eastAsia" w:ascii="仿宋" w:hAnsi="仿宋" w:eastAsia="仿宋" w:cs="仿宋"/>
          <w:b/>
          <w:color w:val="auto"/>
          <w:highlight w:val="none"/>
          <w:lang w:eastAsia="zh-CN"/>
        </w:rPr>
        <w:t>。</w:t>
      </w:r>
    </w:p>
    <w:p w14:paraId="5BEA5E10">
      <w:pPr>
        <w:snapToGrid w:val="0"/>
        <w:spacing w:line="360" w:lineRule="auto"/>
        <w:ind w:firstLine="486" w:firstLineChars="200"/>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29.3 投标供应商资格审查：</w:t>
      </w:r>
    </w:p>
    <w:p w14:paraId="1CD41063">
      <w:pPr>
        <w:snapToGrid w:val="0"/>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w:t>
      </w:r>
      <w:r>
        <w:rPr>
          <w:rFonts w:hint="eastAsia" w:ascii="仿宋" w:hAnsi="仿宋" w:eastAsia="仿宋" w:cs="仿宋"/>
          <w:bCs/>
          <w:color w:val="auto"/>
          <w:highlight w:val="none"/>
          <w:lang w:eastAsia="zh-CN"/>
        </w:rPr>
        <w:t>开标（标书信息开启）后，采购人或采购代理机构或</w:t>
      </w:r>
      <w:r>
        <w:rPr>
          <w:rFonts w:hint="eastAsia" w:ascii="仿宋" w:hAnsi="仿宋" w:eastAsia="仿宋" w:cs="仿宋"/>
          <w:color w:val="auto"/>
          <w:highlight w:val="none"/>
          <w:lang w:eastAsia="zh-CN"/>
        </w:rPr>
        <w:t>评审小组</w:t>
      </w:r>
      <w:r>
        <w:rPr>
          <w:rFonts w:hint="eastAsia" w:ascii="仿宋" w:hAnsi="仿宋" w:eastAsia="仿宋" w:cs="仿宋"/>
          <w:bCs/>
          <w:color w:val="auto"/>
          <w:highlight w:val="none"/>
          <w:lang w:eastAsia="zh-CN"/>
        </w:rPr>
        <w:t>首先依法对投标供应商的资格文件进行审查，审查各投标供应商的资格符合情况。</w:t>
      </w:r>
      <w:r>
        <w:rPr>
          <w:rFonts w:hint="eastAsia" w:ascii="仿宋" w:hAnsi="仿宋" w:eastAsia="仿宋" w:cs="仿宋"/>
          <w:color w:val="auto"/>
          <w:highlight w:val="none"/>
          <w:lang w:eastAsia="zh-CN"/>
        </w:rPr>
        <w:t>采购人或采购代理机构</w:t>
      </w:r>
      <w:r>
        <w:rPr>
          <w:rFonts w:hint="eastAsia" w:ascii="仿宋" w:hAnsi="仿宋" w:eastAsia="仿宋" w:cs="仿宋"/>
          <w:bCs/>
          <w:color w:val="auto"/>
          <w:highlight w:val="none"/>
          <w:lang w:eastAsia="zh-CN"/>
        </w:rPr>
        <w:t>或</w:t>
      </w:r>
      <w:r>
        <w:rPr>
          <w:rFonts w:hint="eastAsia" w:ascii="仿宋" w:hAnsi="仿宋" w:eastAsia="仿宋" w:cs="仿宋"/>
          <w:color w:val="auto"/>
          <w:highlight w:val="none"/>
          <w:lang w:eastAsia="zh-CN"/>
        </w:rPr>
        <w:t>评审小组对投标供应商所提交的资格证明材料仅负审核的责任。如发现投标供应商所提交的资格证明材料不合法或与事实不符，采购人可取消其中标资格并追究投标供应商的法律责任。</w:t>
      </w:r>
    </w:p>
    <w:p w14:paraId="4F52A729">
      <w:pPr>
        <w:pStyle w:val="6"/>
        <w:snapToGrid w:val="0"/>
        <w:spacing w:line="360" w:lineRule="auto"/>
        <w:rPr>
          <w:rFonts w:ascii="仿宋" w:hAnsi="仿宋" w:eastAsia="仿宋" w:cs="仿宋"/>
          <w:bCs/>
          <w:color w:val="auto"/>
          <w:szCs w:val="24"/>
          <w:highlight w:val="none"/>
          <w:lang w:eastAsia="zh-CN"/>
        </w:rPr>
      </w:pPr>
      <w:r>
        <w:rPr>
          <w:rFonts w:hint="eastAsia" w:ascii="仿宋" w:hAnsi="仿宋" w:eastAsia="仿宋" w:cs="仿宋"/>
          <w:bCs/>
          <w:color w:val="auto"/>
          <w:szCs w:val="24"/>
          <w:highlight w:val="none"/>
          <w:lang w:eastAsia="zh-CN"/>
        </w:rPr>
        <w:t>（2）投标供应商提交的资格证明材料无法证明其符合采购文件规定的“投标供应商资格要求”的，采购人或采购代理机构将对其作“资格审查不合格”处理（无效投标），并不再将其投标提交评标委员会进行后续评审。</w:t>
      </w:r>
    </w:p>
    <w:p w14:paraId="6368DD9F">
      <w:pPr>
        <w:pStyle w:val="6"/>
        <w:snapToGrid w:val="0"/>
        <w:spacing w:line="360" w:lineRule="auto"/>
        <w:rPr>
          <w:rFonts w:ascii="仿宋" w:hAnsi="仿宋" w:eastAsia="仿宋" w:cs="仿宋"/>
          <w:bCs/>
          <w:color w:val="auto"/>
          <w:szCs w:val="24"/>
          <w:highlight w:val="none"/>
          <w:lang w:eastAsia="zh-CN"/>
        </w:rPr>
      </w:pPr>
      <w:r>
        <w:rPr>
          <w:rFonts w:hint="eastAsia" w:ascii="仿宋" w:hAnsi="仿宋" w:eastAsia="仿宋" w:cs="仿宋"/>
          <w:bCs/>
          <w:color w:val="auto"/>
          <w:szCs w:val="24"/>
          <w:highlight w:val="none"/>
          <w:lang w:eastAsia="zh-CN"/>
        </w:rPr>
        <w:t>（3）供应商信用记录查询与使用：见《供应商须知前附表》。</w:t>
      </w:r>
    </w:p>
    <w:p w14:paraId="73F3EDC0">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30.评审工作的组织</w:t>
      </w:r>
    </w:p>
    <w:p w14:paraId="651F2373">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采购人或采购代理机构负责组织本项目的评审工作，并依据《政府采购货物和服务招标投标管理办法（财政部第87号令）》第四十五条的相关规定履行职责。</w:t>
      </w:r>
    </w:p>
    <w:p w14:paraId="18A37084">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31. 评标委员会的组建</w:t>
      </w:r>
    </w:p>
    <w:p w14:paraId="2F745AFA">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31.1评标委员会由采购人或采购代理机构依法组建，成员由采购人代表1人和评审专家</w:t>
      </w: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lang w:eastAsia="zh-CN"/>
        </w:rPr>
        <w:t>人，成员人数为</w:t>
      </w: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lang w:eastAsia="zh-CN"/>
        </w:rPr>
        <w:t>人，其中评审专家不少于成员总数的三分之二。</w:t>
      </w:r>
    </w:p>
    <w:p w14:paraId="6DC17DDC">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31.2评审专家从新疆政府采购云平台专家库中通过随机方式抽取产生。评标委员会成员名单在采购结果公告前保密。</w:t>
      </w:r>
    </w:p>
    <w:p w14:paraId="7921CB2A">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32.评标委员会的职责</w:t>
      </w:r>
    </w:p>
    <w:p w14:paraId="1D1DBA66">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32.1审查、评价投标文件是否符合采购文件的商务、技术等实质性要求。</w:t>
      </w:r>
    </w:p>
    <w:p w14:paraId="6C674752">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32.2要求供应商对投标文件有关事项作出澄清或者说明。</w:t>
      </w:r>
    </w:p>
    <w:p w14:paraId="667F41C5">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32.3对投标文件进行比较和评价。</w:t>
      </w:r>
    </w:p>
    <w:p w14:paraId="23AE0712">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32.4确定中标候选人名单，以及根据采购人委托直接确定中标人。</w:t>
      </w:r>
    </w:p>
    <w:p w14:paraId="289A6A04">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32.5向采购人、采购代理机构或者有关部门报告评审中发现的违法行为。</w:t>
      </w:r>
    </w:p>
    <w:p w14:paraId="78F302DE">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33. 评标原则</w:t>
      </w:r>
    </w:p>
    <w:p w14:paraId="4C7A7E7B">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33.1评标委员会将遵循公平、公正、科学的原则，对供应商提交的投标文件进行综合评审，评标委员会按照采购文件规定的评标细则进行评分。</w:t>
      </w:r>
    </w:p>
    <w:p w14:paraId="770D61CF">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33.2客观公正对待所有供应商，对所有投标评价均采用相同的程序和标准。 </w:t>
      </w:r>
    </w:p>
    <w:p w14:paraId="58240BFE">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33.3评标委员会成员对需要共同认定的事项存在争议的，按照少数服从多数的原则作出结论。持不同意见的评标委员会成员应当在评审报告上签署不同意见及理由，否则视为同意评审报告。</w:t>
      </w:r>
    </w:p>
    <w:p w14:paraId="21FE6C65">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33.4 财政部令第87号《政府采购货物和服务招标投标管理办法》第三十一条规定：使用综合评分法的采购项目，提供相同品牌产品且通过资格审查、符合性审查的不同供应商参加同一合同项下投标的，按一家供应商计算，评审后得分最高的同品牌供应商获得中标人推荐资格；评审得分相同的，由采购人或者采购人委托评标委员会按照采购文件规定的方式确定一个供应商获得中标人推荐资格，采购文件未规定的采取随机抽取方式确定，其他同品牌供应商不作为中标候选人。</w:t>
      </w:r>
    </w:p>
    <w:p w14:paraId="57C67289">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非单一产品采购项目，采购人应当根据采购项目技术构成、产品价格比重等合理确定核心产品，并在采购文件中载明。多家供应商提供的核心产品品牌相同的，按前款规定处理。      </w:t>
      </w:r>
    </w:p>
    <w:p w14:paraId="1C8FE56C">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34. 评委纪律</w:t>
      </w:r>
    </w:p>
    <w:p w14:paraId="11BA068F">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评标委员会成员必须严格遵守保密规定，不得泄露评审的有关情况，任何单位和个人不得干扰、影响评标的正常进行，评标委员会成员不得私下与投标供应商接触，不得出现政府采购活动现场组织管理办法中规定的其他禁止行为。</w:t>
      </w:r>
    </w:p>
    <w:p w14:paraId="0A8E5036">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35.评标程序</w:t>
      </w:r>
    </w:p>
    <w:p w14:paraId="0CE8474A">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35.1 在评审专家中推选评标委员会组长，采购人代表不得担任评标委员会组长。</w:t>
      </w:r>
    </w:p>
    <w:p w14:paraId="197952CD">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35.2 评标委员会组长召集成员认真阅读采购文件以及相关补充、质疑、答复文件、项目书面说明等材料，熟悉采购项目的基本概况，采购项目的质量要求、数量、主要技术标准或服务需求，采购合同主要条款，投标文件无效情形，评审方法、评审依据、评审标准等。</w:t>
      </w:r>
    </w:p>
    <w:p w14:paraId="26B2E64A">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35.3 评审人员对符合资格的供应商的投标文件的有效性、符合性、完整性和响应程度进行审查，确定是否对采购文件作出实质性响应。</w:t>
      </w:r>
    </w:p>
    <w:p w14:paraId="19A7ED7E">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35.4 评审人员按采购文件规定的评审方法和评审标准，依法独立对供应商投标文件进行评估、比较，并给予评价或打分，不受任何单位和个人的干预。</w:t>
      </w:r>
    </w:p>
    <w:p w14:paraId="174559C3">
      <w:pPr>
        <w:widowControl/>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b/>
          <w:bCs/>
          <w:color w:val="auto"/>
          <w:szCs w:val="21"/>
          <w:highlight w:val="none"/>
          <w:lang w:eastAsia="zh-CN"/>
        </w:rPr>
        <w:t>综合评分法</w:t>
      </w:r>
      <w:r>
        <w:rPr>
          <w:rFonts w:hint="eastAsia" w:ascii="仿宋" w:hAnsi="仿宋" w:eastAsia="仿宋" w:cs="仿宋"/>
          <w:b/>
          <w:bCs/>
          <w:color w:val="auto"/>
          <w:szCs w:val="21"/>
          <w:highlight w:val="none"/>
          <w:lang w:val="en-US" w:eastAsia="zh-CN"/>
        </w:rPr>
        <w:t>货物</w:t>
      </w:r>
      <w:r>
        <w:rPr>
          <w:rFonts w:hint="eastAsia" w:ascii="仿宋" w:hAnsi="仿宋" w:eastAsia="仿宋" w:cs="仿宋"/>
          <w:b/>
          <w:bCs/>
          <w:color w:val="auto"/>
          <w:szCs w:val="21"/>
          <w:highlight w:val="none"/>
          <w:lang w:eastAsia="zh-CN"/>
        </w:rPr>
        <w:t>项目的价格分值占总分值的比重(即权值)为</w:t>
      </w:r>
      <w:r>
        <w:rPr>
          <w:rFonts w:hint="eastAsia" w:ascii="仿宋" w:hAnsi="仿宋" w:eastAsia="仿宋" w:cs="仿宋"/>
          <w:b/>
          <w:bCs/>
          <w:color w:val="auto"/>
          <w:szCs w:val="21"/>
          <w:highlight w:val="none"/>
          <w:lang w:val="en-US" w:eastAsia="zh-CN"/>
        </w:rPr>
        <w:t>30</w:t>
      </w:r>
      <w:r>
        <w:rPr>
          <w:rFonts w:hint="eastAsia" w:ascii="仿宋" w:hAnsi="仿宋" w:eastAsia="仿宋" w:cs="仿宋"/>
          <w:b/>
          <w:bCs/>
          <w:color w:val="auto"/>
          <w:szCs w:val="21"/>
          <w:highlight w:val="none"/>
          <w:lang w:eastAsia="zh-CN"/>
        </w:rPr>
        <w:t>％</w:t>
      </w:r>
      <w:r>
        <w:rPr>
          <w:rFonts w:hint="eastAsia" w:ascii="仿宋" w:hAnsi="仿宋" w:eastAsia="仿宋" w:cs="仿宋"/>
          <w:color w:val="auto"/>
          <w:szCs w:val="21"/>
          <w:highlight w:val="none"/>
          <w:lang w:eastAsia="zh-CN"/>
        </w:rPr>
        <w:t>，采购项目中含不同采购对象的，以占项目资金比例最高的采购对象确定其项目属性。其价格不列为评分因素，有特殊情况需要在上述规定范围外设定价格分权重的。</w:t>
      </w:r>
    </w:p>
    <w:p w14:paraId="7B191820">
      <w:pPr>
        <w:widowControl/>
        <w:spacing w:line="440" w:lineRule="exact"/>
        <w:ind w:firstLine="48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综合评分法中的价格分统一采用低价优先法计算，即满足招标文件要求且最后报价最低的供应商的价格为招标基准价，其价格分为满分。其他供应商的价格分统一按照下列公式计算：</w:t>
      </w:r>
    </w:p>
    <w:p w14:paraId="5FFCE4C4">
      <w:pPr>
        <w:widowControl/>
        <w:spacing w:line="440" w:lineRule="exact"/>
        <w:ind w:firstLine="48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投标报价得分=（基准价/投标报价）×价格权值×100</w:t>
      </w:r>
    </w:p>
    <w:p w14:paraId="08FBB900">
      <w:pPr>
        <w:widowControl/>
        <w:spacing w:line="440" w:lineRule="exact"/>
        <w:ind w:firstLine="48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项目评审过程中，不得去掉最后报价中的最高报价和最低报价。</w:t>
      </w:r>
    </w:p>
    <w:p w14:paraId="37DF8A81">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35.5 评审人员对各供应商投标文件非实质性内容有疑议或异议，或者审查发现明显的文字或计算错误等，及时向评标委员会组长提出。经评标委员会商议认为需要供应商作出必要澄清、说明或者补正的，应当以在线询标形式要求供应商作出必要的澄清、说明或者补正。澄清、说明或者补正的内容应作为政府采购项目档案归档留存。</w:t>
      </w:r>
    </w:p>
    <w:p w14:paraId="500C8725">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35.6 评审人员需对采购方工作人员唱票或统计的评审结果进行确认，现场监督员应对评审结果签署监督意见。如发现分值汇总计算错误、分项评分超出评分标准范围、客观评分不一致以及存在评分畸高、畸低（其总评分偏离平均分</w:t>
      </w:r>
      <w:r>
        <w:rPr>
          <w:rFonts w:hint="eastAsia" w:ascii="仿宋" w:hAnsi="仿宋" w:eastAsia="仿宋" w:cs="仿宋"/>
          <w:color w:val="auto"/>
          <w:szCs w:val="21"/>
          <w:highlight w:val="none"/>
          <w:lang w:val="en-US" w:eastAsia="zh-CN"/>
        </w:rPr>
        <w:t>35</w:t>
      </w:r>
      <w:r>
        <w:rPr>
          <w:rFonts w:hint="eastAsia" w:ascii="仿宋" w:hAnsi="仿宋" w:eastAsia="仿宋" w:cs="仿宋"/>
          <w:color w:val="auto"/>
          <w:szCs w:val="21"/>
          <w:highlight w:val="none"/>
          <w:lang w:eastAsia="zh-CN"/>
        </w:rPr>
        <w:t>%以上的）情形的，应由相关人员当场改正或作出书面说明；拒不改正又不作书面说明的，由现场监督员如实记载后存入项目档案资料。</w:t>
      </w:r>
    </w:p>
    <w:p w14:paraId="419FF66E">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35.7 评标委员会根据评审汇总情况和采购文件规定确定中标候选供应商排序名单。</w:t>
      </w:r>
    </w:p>
    <w:p w14:paraId="1B60B987">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35.8 起草评审报告，所有评审人员须在评审报告上签章确认，对自己的评审意见承担法律责任。 </w:t>
      </w:r>
    </w:p>
    <w:p w14:paraId="1099A794">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35.9 采购组织机构对评标委员会评审专家进行评价。</w:t>
      </w:r>
    </w:p>
    <w:p w14:paraId="6259B17F">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35.10 修改评审结果</w:t>
      </w:r>
    </w:p>
    <w:p w14:paraId="273E0866">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评标结果汇总完成后，除下列情形外，任何人不得修改评标结果：</w:t>
      </w:r>
    </w:p>
    <w:p w14:paraId="686455D4">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（1）分值汇总计算错误的；</w:t>
      </w:r>
    </w:p>
    <w:p w14:paraId="16A5216D">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（2）分项评分超出评分标准范围的；</w:t>
      </w:r>
    </w:p>
    <w:p w14:paraId="68E96CFD">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（3）评标委员会成员对客观评审因素评分不一致的；</w:t>
      </w:r>
    </w:p>
    <w:p w14:paraId="0623BCD4">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（4）经评标委员会认定评分畸高、畸低的。</w:t>
      </w:r>
    </w:p>
    <w:p w14:paraId="322782E9">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5AD43E5C">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36．澄清、说明或补正的形式</w:t>
      </w:r>
    </w:p>
    <w:p w14:paraId="1C5F8DD7">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36.1对于投标文件中含义不明确、同类问题表述不一致或者有明显文字和计算错误的内容，评标委员会将通过“政府采购云平台”在线询标的方式要求投标供应商在规定的时间内作出必要的澄清、说明或者补正，</w:t>
      </w:r>
      <w:r>
        <w:rPr>
          <w:rFonts w:hint="eastAsia" w:ascii="仿宋" w:hAnsi="仿宋" w:eastAsia="仿宋" w:cs="仿宋"/>
          <w:b/>
          <w:bCs/>
          <w:color w:val="auto"/>
          <w:szCs w:val="21"/>
          <w:highlight w:val="none"/>
          <w:lang w:eastAsia="zh-CN"/>
        </w:rPr>
        <w:t>投标供应商澄清、说明或补正时间为20分钟</w:t>
      </w:r>
      <w:r>
        <w:rPr>
          <w:rFonts w:hint="eastAsia" w:ascii="仿宋" w:hAnsi="仿宋" w:eastAsia="仿宋" w:cs="仿宋"/>
          <w:color w:val="auto"/>
          <w:szCs w:val="21"/>
          <w:highlight w:val="none"/>
          <w:lang w:eastAsia="zh-CN"/>
        </w:rPr>
        <w:t>。</w:t>
      </w:r>
    </w:p>
    <w:p w14:paraId="5540A2E5">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36.2投标供应商的澄清、说明或者补正应当通过“政府采购云平台”在线答复的方式提交，并加盖公章（电子印章），或者由法定代表人（负责人）或其授权的代表签章。投标供应商的澄清、说明或者补正不得超出投标文件的范围或者改变投标文件的实质性内容，不接受投标供应商主动对投标文件的澄清、说明或者补正。</w:t>
      </w:r>
    </w:p>
    <w:p w14:paraId="63F08D93">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36.3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7EEDAD2A">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37．错误修正的原则</w:t>
      </w:r>
    </w:p>
    <w:p w14:paraId="048E5CE9">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电子交易平台客户端里开标一览表录入的投标报价或优惠率与扫描上传的报价文件信息不一致的，以扫描上传的报价文件信息为准进行修正。</w:t>
      </w:r>
    </w:p>
    <w:p w14:paraId="76F49B7A">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投标文件报价出现前后不一致的，除采购文件另有规定外，按照下列规定修正：</w:t>
      </w:r>
    </w:p>
    <w:p w14:paraId="0E421968">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37.1 投标函中表述的内容与报价表中不一致的，以报价表为准；报价表中的内容与报价明细表不一致的，以报价表为准；</w:t>
      </w:r>
    </w:p>
    <w:p w14:paraId="78C5D45D">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37.2 投标文件中的大写金额和小写金额不一致的，以大写金额为准；</w:t>
      </w:r>
    </w:p>
    <w:p w14:paraId="4DBC86F3">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37.3 单价金额小数点或者百分比有明显错位的，以开标一览表的总价为准，并修改单价；</w:t>
      </w:r>
    </w:p>
    <w:p w14:paraId="5AFB517F">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37.4 总价金额与按单价汇总金额不一致的，以单价金额计算结果为准；</w:t>
      </w:r>
    </w:p>
    <w:p w14:paraId="702422C2">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37.5 若用文字表示的数值与用数字表示的数值不一致，以文字表示的数值为准；</w:t>
      </w:r>
    </w:p>
    <w:p w14:paraId="1CCE952B">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37.6 如有多报（指数量超出采购文件需求）、重报（指同一货物重复报价），其投标总价在评标过程中不予调整，如其中标，其合同价按其投标单价予以调整；</w:t>
      </w:r>
    </w:p>
    <w:p w14:paraId="4E9C5144">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37.7 对不同文字文本投标文件的解释发生异议的，以中文文本为准；</w:t>
      </w:r>
    </w:p>
    <w:p w14:paraId="252601BD">
      <w:pPr>
        <w:spacing w:line="440" w:lineRule="exact"/>
        <w:ind w:firstLine="243" w:firstLineChars="100"/>
        <w:rPr>
          <w:rFonts w:ascii="仿宋" w:hAnsi="仿宋" w:eastAsia="仿宋" w:cs="仿宋"/>
          <w:b/>
          <w:bCs/>
          <w:color w:val="auto"/>
          <w:szCs w:val="21"/>
          <w:highlight w:val="none"/>
          <w:lang w:eastAsia="zh-CN"/>
        </w:rPr>
      </w:pPr>
      <w:r>
        <w:rPr>
          <w:rFonts w:hint="eastAsia" w:ascii="仿宋" w:hAnsi="仿宋" w:eastAsia="仿宋" w:cs="仿宋"/>
          <w:color w:val="auto"/>
          <w:szCs w:val="21"/>
          <w:highlight w:val="none"/>
          <w:lang w:eastAsia="zh-CN"/>
        </w:rPr>
        <w:t>同时出现两种以上不一致的，按照前款规定的顺序修正。按上述修正错误的原则及方法调整或修正投标文件的投标报价，供应商确认后，以调整或修正后的投标报价为准。如供应商拒绝调整或修正的，其投标文件按无效标处理。</w:t>
      </w:r>
      <w:r>
        <w:rPr>
          <w:rFonts w:hint="eastAsia" w:ascii="仿宋" w:hAnsi="仿宋" w:eastAsia="仿宋" w:cs="仿宋"/>
          <w:b/>
          <w:bCs/>
          <w:color w:val="auto"/>
          <w:szCs w:val="21"/>
          <w:highlight w:val="none"/>
          <w:lang w:eastAsia="zh-CN"/>
        </w:rPr>
        <w:t>修正应当采用电子询标的形式，并加盖公章（电子印章）。</w:t>
      </w:r>
    </w:p>
    <w:p w14:paraId="6331EF7E">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38．无效投标文件</w:t>
      </w:r>
    </w:p>
    <w:p w14:paraId="2C826A77">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有下列情形之一的，投标文件按无效标处理：</w:t>
      </w:r>
    </w:p>
    <w:p w14:paraId="01CCB560">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38.1 报名的供应商与参加投标的供应商发生实质性变更的且未提供有效证明的；</w:t>
      </w:r>
    </w:p>
    <w:p w14:paraId="4A4C6C09">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38.2 供应商提交两份或两份以上内容不同的投标文件，未声明哪一份有效的；</w:t>
      </w:r>
    </w:p>
    <w:p w14:paraId="1549B018">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38.3 投标文件非供应商法定代表人签署的，未提供或提供无效的法定代表人授权书；</w:t>
      </w:r>
    </w:p>
    <w:p w14:paraId="13231C19">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38.4 未按招标文件规定装订；</w:t>
      </w:r>
    </w:p>
    <w:p w14:paraId="3C8C0009">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38.5 投标文件内容未按招标文件规定签章或盖章的；</w:t>
      </w:r>
    </w:p>
    <w:p w14:paraId="3925FB41">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38.6 投标文件组成漏项或未按规定的格式编制或投标文件正、副本份数不足或内容不全或内容字迹模糊辨认不清的等而导致评标活动无法正常进行；</w:t>
      </w:r>
    </w:p>
    <w:p w14:paraId="6C33C228">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38.7 供应商未按招标文件变更通知更改投标文件的；</w:t>
      </w:r>
    </w:p>
    <w:p w14:paraId="721DB789">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38.8 《开标一览表》和《投标分项报价表》内容不完整且不接受修正意见或字迹不能辨认的或未提供；</w:t>
      </w:r>
    </w:p>
    <w:p w14:paraId="51C0B254">
      <w:pPr>
        <w:spacing w:line="440" w:lineRule="exact"/>
        <w:ind w:firstLine="243" w:firstLineChars="1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38.9 标项投标报价超过招标文件规定的预算金额或最高限价；</w:t>
      </w:r>
    </w:p>
    <w:p w14:paraId="4F493EB8">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38.10 因供应商原因编制错误造成经评标委员会修正后的报价达到或超过投标报价的0.5%；</w:t>
      </w:r>
    </w:p>
    <w:p w14:paraId="67E07899">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38.11 供应商的报价明显低于其他通过符合性审查供应商的报价，有可能影响产品质量或者不能诚信履约的，且在规定时间内不能合理说明原因并提供证明材料的；</w:t>
      </w:r>
    </w:p>
    <w:p w14:paraId="5D1DB5BE">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38.12 未实质性响应招标文件中条款要求的投标文件；</w:t>
      </w:r>
    </w:p>
    <w:p w14:paraId="19985A1D">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38.13 不符合招标范围、技术规格、技术标准的要求无法满足采购人使用要求；</w:t>
      </w:r>
    </w:p>
    <w:p w14:paraId="10FD77D9">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38.14 投标文件附有采购人不能接受的条款；</w:t>
      </w:r>
    </w:p>
    <w:p w14:paraId="17612A06">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38.15 投标文件中提供了赠品或者与本项目采购无关的其他商品、服务；</w:t>
      </w:r>
    </w:p>
    <w:p w14:paraId="16C8D6BD">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38.16 投标文件中承诺的投标有效期少于招标文件中载明的投标有效期；</w:t>
      </w:r>
    </w:p>
    <w:p w14:paraId="31244EDB">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38.17供应商串通投标，妨碍其他供应商的竞争行为，损害采购人或者其他供应商的合法权益；</w:t>
      </w:r>
    </w:p>
    <w:p w14:paraId="5E6510D5">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38.18违反国家及政府部门相关法律、法规、文件规定或经评标委员会认定的其他属于重大偏离；</w:t>
      </w:r>
    </w:p>
    <w:p w14:paraId="0258DF34">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39．废标</w:t>
      </w:r>
    </w:p>
    <w:p w14:paraId="38178FA7">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39.1 符合招标文件规定废标情形的；</w:t>
      </w:r>
    </w:p>
    <w:p w14:paraId="705C9D83">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39.2 出现影响采购公正的违法、违规行为的；</w:t>
      </w:r>
    </w:p>
    <w:p w14:paraId="364CBAB0">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39.3 供应商的报价均超过了采购预算（或最高限价），采购人不能支付的;</w:t>
      </w:r>
    </w:p>
    <w:p w14:paraId="3B2F9105">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39.4 因重大变故，采购任务取消的。</w:t>
      </w:r>
    </w:p>
    <w:p w14:paraId="172AF06E">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40．突发情况处理</w:t>
      </w:r>
    </w:p>
    <w:p w14:paraId="095D32D4">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40.1 采购过程中出现以下情形，导致电子交易平台无法正常运行，或者无法保证电子交易的公平、公正和安全时，采购组织机构可中止电子交易活动：</w:t>
      </w:r>
    </w:p>
    <w:p w14:paraId="45A28058">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（1）电子交易平台发生故障而无法登录访问的； </w:t>
      </w:r>
    </w:p>
    <w:p w14:paraId="7637E368">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（2）电子交易平台应用或数据库出现错误，不能进行正常操作的；</w:t>
      </w:r>
    </w:p>
    <w:p w14:paraId="7CB2AB29">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（3）电子交易平台发现严重安全漏洞，有潜在泄密危险的；</w:t>
      </w:r>
    </w:p>
    <w:p w14:paraId="3EB5418E">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（4）病毒发作导致不能进行正常操作的； </w:t>
      </w:r>
    </w:p>
    <w:p w14:paraId="2B3366BB">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（5）其他无法保证电子交易的公平、公正和安全的情况。</w:t>
      </w:r>
    </w:p>
    <w:p w14:paraId="3A29F7DF">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出现前款规定情形，不影响采购公平、公正性的，采购组织机构可以待上述情形消除后继续组织电子交易活动，也可以决定某些环节以纸质形式进行；影响或可能影响采购公平、公正性的，应当重新采购。</w:t>
      </w:r>
    </w:p>
    <w:p w14:paraId="05843C62">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40.2 采购代理机构或评审小组因不可抗力（不可抗力包括但不限于自然灾害、断电、传播疫病等）原因造成电子交易活动无法正常运行的，将采取以下措施：</w:t>
      </w:r>
    </w:p>
    <w:p w14:paraId="52E831D1">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（1）短时间内能消除不可抗力因素的，采购代理机构或评审小组在消除不可抗力因素后继续组织电子交易活动； </w:t>
      </w:r>
    </w:p>
    <w:p w14:paraId="00B4B1CD">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（2）长时间内无法消除不可抗力因素的，采购代理机构或评审小组将中止电子交易活动。中止电子交易活动的，采购人应当重新组织政府采购活动。</w:t>
      </w:r>
    </w:p>
    <w:p w14:paraId="151A4184">
      <w:pPr>
        <w:snapToGrid w:val="0"/>
        <w:spacing w:line="360" w:lineRule="exact"/>
        <w:ind w:firstLine="421"/>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41. 定标</w:t>
      </w:r>
    </w:p>
    <w:p w14:paraId="35BD2650">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    </w:t>
      </w:r>
      <w:bookmarkStart w:id="23" w:name="_Toc469495729"/>
      <w:r>
        <w:rPr>
          <w:rFonts w:hint="eastAsia" w:ascii="仿宋" w:hAnsi="仿宋" w:eastAsia="仿宋" w:cs="仿宋"/>
          <w:color w:val="auto"/>
          <w:szCs w:val="21"/>
          <w:highlight w:val="none"/>
          <w:lang w:eastAsia="zh-CN"/>
        </w:rPr>
        <w:t>41.1采购结果确认（确定中标供应商）</w:t>
      </w:r>
    </w:p>
    <w:p w14:paraId="1D911E76">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采购结果确认（确定中标供应商）：本项目由采购人根据评标委员会提交的《评审报告》，通过“政府采购云平台”依法确认采购结果、确定中标供应商。具体流程如下：</w:t>
      </w:r>
    </w:p>
    <w:p w14:paraId="476F1BB5">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（1）采购代理机构将在评审结束后2个工作日内将评审报告送采购人。</w:t>
      </w:r>
    </w:p>
    <w:p w14:paraId="2A5A425E">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（2）采购人将在收到评审报告之日起5个工作日内，在评审报告推荐的中标候选供应商名单中按顺序确定中标供应商，并将确认意见以书面形式回复采购代理机构。 </w:t>
      </w:r>
    </w:p>
    <w:p w14:paraId="567A9B44">
      <w:pPr>
        <w:spacing w:line="440" w:lineRule="exact"/>
        <w:ind w:firstLine="243" w:firstLineChars="100"/>
        <w:rPr>
          <w:rFonts w:ascii="仿宋" w:hAnsi="仿宋" w:eastAsia="仿宋" w:cs="仿宋"/>
          <w:b/>
          <w:bCs/>
          <w:color w:val="auto"/>
          <w:szCs w:val="21"/>
          <w:highlight w:val="none"/>
          <w:lang w:eastAsia="zh-CN"/>
        </w:rPr>
      </w:pPr>
      <w:r>
        <w:rPr>
          <w:rFonts w:hint="eastAsia" w:ascii="仿宋" w:hAnsi="仿宋" w:eastAsia="仿宋" w:cs="仿宋"/>
          <w:color w:val="auto"/>
          <w:szCs w:val="21"/>
          <w:highlight w:val="none"/>
          <w:lang w:eastAsia="zh-CN"/>
        </w:rPr>
        <w:t>41.2采购结果经采购人确认后2个工作日内，采购代理机构将在</w:t>
      </w:r>
      <w:r>
        <w:rPr>
          <w:rFonts w:hint="eastAsia" w:ascii="仿宋" w:hAnsi="仿宋" w:eastAsia="仿宋" w:cs="仿宋"/>
          <w:b/>
          <w:bCs/>
          <w:color w:val="auto"/>
          <w:szCs w:val="21"/>
          <w:highlight w:val="none"/>
          <w:lang w:eastAsia="zh-CN"/>
        </w:rPr>
        <w:t>克州公共资源交易中心网、新疆政府采购网（www.zjzfcg.gov.cn）上公告采购结果，中标公告期限为1个工作日。</w:t>
      </w:r>
    </w:p>
    <w:p w14:paraId="156C3F4A">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42. 中标通知书</w:t>
      </w:r>
    </w:p>
    <w:p w14:paraId="2A1E34C8">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42.1在中标通知书发出前，招标人将中标</w:t>
      </w:r>
      <w:r>
        <w:rPr>
          <w:rFonts w:hint="eastAsia" w:ascii="仿宋" w:hAnsi="仿宋" w:eastAsia="仿宋" w:cs="仿宋"/>
          <w:color w:val="auto"/>
          <w:szCs w:val="21"/>
          <w:highlight w:val="none"/>
          <w:lang w:val="en-US" w:eastAsia="zh-CN"/>
        </w:rPr>
        <w:t>候</w:t>
      </w:r>
      <w:r>
        <w:rPr>
          <w:rFonts w:hint="eastAsia" w:ascii="仿宋" w:hAnsi="仿宋" w:eastAsia="仿宋" w:cs="仿宋"/>
          <w:color w:val="auto"/>
          <w:szCs w:val="21"/>
          <w:highlight w:val="none"/>
          <w:lang w:eastAsia="zh-CN"/>
        </w:rPr>
        <w:t>选人的情况在克州公共资源交易中心网、新疆政府采购网予以公示，</w:t>
      </w:r>
      <w:r>
        <w:rPr>
          <w:rFonts w:hint="eastAsia" w:ascii="仿宋" w:hAnsi="仿宋" w:eastAsia="仿宋" w:cs="仿宋"/>
          <w:b/>
          <w:bCs/>
          <w:color w:val="auto"/>
          <w:szCs w:val="21"/>
          <w:highlight w:val="none"/>
          <w:lang w:eastAsia="zh-CN"/>
        </w:rPr>
        <w:t>公示期为一个工作日。待公示期结束后，</w:t>
      </w:r>
      <w:r>
        <w:rPr>
          <w:rFonts w:hint="eastAsia" w:ascii="仿宋" w:hAnsi="仿宋" w:eastAsia="仿宋" w:cs="仿宋"/>
          <w:color w:val="auto"/>
          <w:szCs w:val="21"/>
          <w:highlight w:val="none"/>
          <w:lang w:eastAsia="zh-CN"/>
        </w:rPr>
        <w:t>采购组织机构向中标人发出中标通知书。</w:t>
      </w:r>
    </w:p>
    <w:p w14:paraId="141551C3">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42.2中标通知书作为签订合同的重要依据，对采购人和中标供应商均具有法律效力。采购人改变中标结果或者中标供应商放弃中标项目的都应承担法律责任。中标供应商不得向他人转让中标项目，也不得将中标项目肢解后分别向他人转让。</w:t>
      </w:r>
    </w:p>
    <w:p w14:paraId="722AB0FC">
      <w:pPr>
        <w:spacing w:beforeLines="50" w:line="440" w:lineRule="exact"/>
        <w:jc w:val="center"/>
        <w:outlineLvl w:val="2"/>
        <w:rPr>
          <w:rFonts w:ascii="仿宋" w:hAnsi="仿宋" w:eastAsia="仿宋" w:cs="仿宋"/>
          <w:b/>
          <w:bCs/>
          <w:color w:val="auto"/>
          <w:highlight w:val="none"/>
          <w:lang w:eastAsia="zh-CN"/>
        </w:rPr>
      </w:pPr>
      <w:r>
        <w:rPr>
          <w:rFonts w:hint="eastAsia" w:ascii="仿宋" w:hAnsi="仿宋" w:eastAsia="仿宋" w:cs="仿宋"/>
          <w:b/>
          <w:bCs/>
          <w:color w:val="auto"/>
          <w:sz w:val="28"/>
          <w:szCs w:val="28"/>
          <w:highlight w:val="none"/>
          <w:lang w:eastAsia="zh-CN"/>
        </w:rPr>
        <w:t>（六）合同的授予</w:t>
      </w:r>
      <w:bookmarkEnd w:id="23"/>
    </w:p>
    <w:p w14:paraId="72648DE0">
      <w:pPr>
        <w:spacing w:line="440" w:lineRule="exact"/>
        <w:ind w:firstLine="243" w:firstLineChars="100"/>
        <w:rPr>
          <w:rFonts w:ascii="仿宋" w:hAnsi="仿宋" w:eastAsia="仿宋" w:cs="仿宋"/>
          <w:color w:val="auto"/>
          <w:szCs w:val="21"/>
          <w:highlight w:val="none"/>
          <w:lang w:eastAsia="zh-CN"/>
        </w:rPr>
      </w:pPr>
      <w:bookmarkStart w:id="24" w:name="_Toc73975842"/>
      <w:bookmarkStart w:id="25" w:name="_Toc469495730"/>
      <w:r>
        <w:rPr>
          <w:rFonts w:hint="eastAsia" w:ascii="仿宋" w:hAnsi="仿宋" w:eastAsia="仿宋" w:cs="仿宋"/>
          <w:color w:val="auto"/>
          <w:szCs w:val="21"/>
          <w:highlight w:val="none"/>
          <w:lang w:eastAsia="zh-CN"/>
        </w:rPr>
        <w:t>43．履约保证金</w:t>
      </w:r>
      <w:bookmarkEnd w:id="24"/>
    </w:p>
    <w:p w14:paraId="5441BA1E">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43.1 </w:t>
      </w:r>
      <w:r>
        <w:rPr>
          <w:rFonts w:hint="eastAsia" w:ascii="仿宋" w:hAnsi="仿宋" w:eastAsia="仿宋" w:cs="仿宋"/>
          <w:color w:val="auto"/>
          <w:highlight w:val="none"/>
          <w:lang w:val="zh-CN" w:eastAsia="zh-CN"/>
        </w:rPr>
        <w:t>中标人</w:t>
      </w:r>
      <w:r>
        <w:rPr>
          <w:rFonts w:hint="eastAsia" w:ascii="仿宋" w:hAnsi="仿宋" w:eastAsia="仿宋" w:cs="仿宋"/>
          <w:color w:val="auto"/>
          <w:highlight w:val="none"/>
          <w:lang w:eastAsia="zh-CN"/>
        </w:rPr>
        <w:t>应在领取《中标通知书》后的十个日历日内，办理履约保证金，</w:t>
      </w:r>
      <w:r>
        <w:rPr>
          <w:rFonts w:hint="eastAsia" w:ascii="仿宋" w:hAnsi="仿宋" w:eastAsia="仿宋" w:cs="仿宋"/>
          <w:color w:val="auto"/>
          <w:highlight w:val="none"/>
          <w:u w:val="single"/>
          <w:lang w:val="zh-CN" w:eastAsia="zh-CN"/>
        </w:rPr>
        <w:t>金额</w:t>
      </w:r>
      <w:r>
        <w:rPr>
          <w:rFonts w:hint="eastAsia" w:ascii="仿宋" w:hAnsi="仿宋" w:eastAsia="仿宋" w:cs="仿宋"/>
          <w:color w:val="auto"/>
          <w:highlight w:val="none"/>
          <w:u w:val="single"/>
          <w:lang w:val="en-US" w:eastAsia="zh-CN"/>
        </w:rPr>
        <w:t>不超过</w:t>
      </w:r>
      <w:r>
        <w:rPr>
          <w:rFonts w:hint="eastAsia" w:ascii="仿宋" w:hAnsi="仿宋" w:eastAsia="仿宋" w:cs="仿宋"/>
          <w:color w:val="auto"/>
          <w:highlight w:val="none"/>
          <w:u w:val="single"/>
          <w:lang w:val="zh-CN" w:eastAsia="zh-CN"/>
        </w:rPr>
        <w:t>合同总价的</w:t>
      </w:r>
      <w:r>
        <w:rPr>
          <w:rFonts w:hint="eastAsia" w:ascii="仿宋" w:hAnsi="仿宋" w:eastAsia="仿宋" w:cs="仿宋"/>
          <w:color w:val="auto"/>
          <w:highlight w:val="none"/>
          <w:u w:val="single"/>
          <w:lang w:val="en-US" w:eastAsia="zh-CN"/>
        </w:rPr>
        <w:t>10</w:t>
      </w:r>
      <w:r>
        <w:rPr>
          <w:rFonts w:hint="eastAsia" w:ascii="仿宋" w:hAnsi="仿宋" w:eastAsia="仿宋" w:cs="仿宋"/>
          <w:color w:val="auto"/>
          <w:highlight w:val="none"/>
          <w:u w:val="single"/>
          <w:lang w:val="zh-CN" w:eastAsia="zh-CN"/>
        </w:rPr>
        <w:t>%</w:t>
      </w:r>
      <w:r>
        <w:rPr>
          <w:rFonts w:hint="eastAsia" w:ascii="仿宋" w:hAnsi="仿宋" w:eastAsia="仿宋" w:cs="仿宋"/>
          <w:color w:val="auto"/>
          <w:szCs w:val="21"/>
          <w:highlight w:val="none"/>
          <w:lang w:eastAsia="zh-CN"/>
        </w:rPr>
        <w:t>（鼓励以银行、保险公司出具的履约保函形式提交；若以电汇、银行转账方式提交的，必须转到采购人的指定账户）。</w:t>
      </w:r>
    </w:p>
    <w:p w14:paraId="7CB8DB21">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43.2 签订合同后，如中标供应商不按合同约定履约的，履约保证金不予退还，履约保证金不足以赔偿损失的，按实际损失赔偿。</w:t>
      </w:r>
    </w:p>
    <w:p w14:paraId="542589C2">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43.3 如果中标供应商在建设期内没有涉及采购人的应付而未付金额或违约行为，采购人在项目验收合格后或提前终止合同后全额无息退还履约保证金。</w:t>
      </w:r>
    </w:p>
    <w:p w14:paraId="3A3A5CDC">
      <w:pPr>
        <w:spacing w:line="440" w:lineRule="exact"/>
        <w:ind w:firstLine="243" w:firstLineChars="100"/>
        <w:rPr>
          <w:rFonts w:ascii="仿宋" w:hAnsi="仿宋" w:eastAsia="仿宋" w:cs="仿宋"/>
          <w:color w:val="auto"/>
          <w:szCs w:val="21"/>
          <w:highlight w:val="none"/>
          <w:lang w:eastAsia="zh-CN"/>
        </w:rPr>
      </w:pPr>
      <w:bookmarkStart w:id="26" w:name="_Toc73975843"/>
      <w:r>
        <w:rPr>
          <w:rFonts w:hint="eastAsia" w:ascii="仿宋" w:hAnsi="仿宋" w:eastAsia="仿宋" w:cs="仿宋"/>
          <w:color w:val="auto"/>
          <w:szCs w:val="21"/>
          <w:highlight w:val="none"/>
          <w:lang w:eastAsia="zh-CN"/>
        </w:rPr>
        <w:t>44．签订合同及公告</w:t>
      </w:r>
      <w:bookmarkEnd w:id="26"/>
    </w:p>
    <w:p w14:paraId="567ACF9E">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44.1采购人在中标通知书发出之日起30日内与中标供应商签订合同。</w:t>
      </w:r>
    </w:p>
    <w:p w14:paraId="05C95957">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44.2中标供应商拖延、拒签合同的,取消中标资格。</w:t>
      </w:r>
    </w:p>
    <w:p w14:paraId="071BCD11">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44.3 采购文件、中标供应商的投标文件及评标过程中有关澄清文件等均作为签订合同的依据。所签订的合同不得对采购文件和中标供应商的投标文件的内容作实质性修改。</w:t>
      </w:r>
    </w:p>
    <w:p w14:paraId="2642230A">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44.4采购人应当自政府采购合同签订之日起2个工作日内，在省级以上财政部门指定的政府采购信息发布媒体及相关网站上公告。</w:t>
      </w:r>
    </w:p>
    <w:p w14:paraId="4B4F5E3C">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44.5采购人应当自政府采购合同签订之日起7个工作日内，将政府采购合同副本报同级人民政府财政部门备案以及采购代理机构存档。</w:t>
      </w:r>
    </w:p>
    <w:p w14:paraId="73A06D08">
      <w:pPr>
        <w:adjustRightInd w:val="0"/>
        <w:snapToGrid w:val="0"/>
        <w:spacing w:line="440" w:lineRule="exact"/>
        <w:jc w:val="center"/>
        <w:outlineLvl w:val="2"/>
        <w:rPr>
          <w:rFonts w:ascii="仿宋" w:hAnsi="仿宋" w:eastAsia="仿宋" w:cs="仿宋"/>
          <w:b/>
          <w:bCs/>
          <w:color w:val="auto"/>
          <w:sz w:val="28"/>
          <w:szCs w:val="28"/>
          <w:highlight w:val="none"/>
          <w:lang w:eastAsia="zh-CN"/>
        </w:rPr>
      </w:pPr>
      <w:r>
        <w:rPr>
          <w:rFonts w:hint="eastAsia" w:ascii="仿宋" w:hAnsi="仿宋" w:eastAsia="仿宋" w:cs="仿宋"/>
          <w:b/>
          <w:bCs/>
          <w:color w:val="auto"/>
          <w:sz w:val="28"/>
          <w:szCs w:val="28"/>
          <w:highlight w:val="none"/>
          <w:lang w:eastAsia="zh-CN"/>
        </w:rPr>
        <w:t>（七）纪律和监督</w:t>
      </w:r>
      <w:bookmarkEnd w:id="25"/>
    </w:p>
    <w:p w14:paraId="194A903E">
      <w:pPr>
        <w:spacing w:line="440" w:lineRule="exact"/>
        <w:ind w:firstLine="356" w:firstLineChars="147"/>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 xml:space="preserve">45. 对招标人的纪律要求 </w:t>
      </w:r>
    </w:p>
    <w:p w14:paraId="55399ED9">
      <w:pPr>
        <w:adjustRightInd w:val="0"/>
        <w:snapToGrid w:val="0"/>
        <w:spacing w:line="440" w:lineRule="exact"/>
        <w:ind w:firstLine="364" w:firstLineChars="150"/>
        <w:rPr>
          <w:rFonts w:ascii="仿宋" w:hAnsi="仿宋" w:eastAsia="仿宋" w:cs="仿宋"/>
          <w:color w:val="auto"/>
          <w:kern w:val="10"/>
          <w:szCs w:val="21"/>
          <w:highlight w:val="none"/>
          <w:lang w:eastAsia="zh-CN"/>
        </w:rPr>
      </w:pPr>
      <w:r>
        <w:rPr>
          <w:rFonts w:hint="eastAsia" w:ascii="仿宋" w:hAnsi="仿宋" w:eastAsia="仿宋" w:cs="仿宋"/>
          <w:color w:val="auto"/>
          <w:kern w:val="10"/>
          <w:szCs w:val="21"/>
          <w:highlight w:val="none"/>
          <w:lang w:eastAsia="zh-CN"/>
        </w:rPr>
        <w:t xml:space="preserve">45.1招标人不得泄漏招标投标活动中应当保密的情况和资料，不得与供应商串通损害国家利益，社会公共利益或者他人合法权益。 </w:t>
      </w:r>
    </w:p>
    <w:p w14:paraId="3CC9434B">
      <w:pPr>
        <w:spacing w:line="440" w:lineRule="exact"/>
        <w:ind w:firstLine="356" w:firstLineChars="147"/>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 xml:space="preserve">46. 对供应商的纪律要求 </w:t>
      </w:r>
    </w:p>
    <w:p w14:paraId="1BC53C36">
      <w:pPr>
        <w:adjustRightInd w:val="0"/>
        <w:snapToGrid w:val="0"/>
        <w:spacing w:line="440" w:lineRule="exact"/>
        <w:ind w:firstLine="364" w:firstLineChars="150"/>
        <w:rPr>
          <w:rFonts w:ascii="仿宋" w:hAnsi="仿宋" w:eastAsia="仿宋" w:cs="仿宋"/>
          <w:color w:val="auto"/>
          <w:kern w:val="10"/>
          <w:szCs w:val="21"/>
          <w:highlight w:val="none"/>
          <w:lang w:eastAsia="zh-CN"/>
        </w:rPr>
      </w:pPr>
      <w:r>
        <w:rPr>
          <w:rFonts w:hint="eastAsia" w:ascii="仿宋" w:hAnsi="仿宋" w:eastAsia="仿宋" w:cs="仿宋"/>
          <w:color w:val="auto"/>
          <w:kern w:val="10"/>
          <w:szCs w:val="21"/>
          <w:highlight w:val="none"/>
          <w:lang w:eastAsia="zh-CN"/>
        </w:rPr>
        <w:t>46.1供应商不得相互串通投标或者与招标人串通投标，不得向招标人或者评标委员会成员行贿谋取中标，不得以他人名义投标或者以其他方式弄虚作假骗取中标；供应商不得以任何方式干扰、影响评标工作。</w:t>
      </w:r>
    </w:p>
    <w:p w14:paraId="22E5A457">
      <w:pPr>
        <w:spacing w:line="440" w:lineRule="exact"/>
        <w:ind w:firstLine="356" w:firstLineChars="147"/>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 xml:space="preserve">47. 对评标委员会成员的纪律要求 </w:t>
      </w:r>
    </w:p>
    <w:p w14:paraId="02A41747">
      <w:pPr>
        <w:adjustRightInd w:val="0"/>
        <w:snapToGrid w:val="0"/>
        <w:spacing w:line="440" w:lineRule="exact"/>
        <w:ind w:firstLine="364" w:firstLineChars="150"/>
        <w:rPr>
          <w:rFonts w:ascii="仿宋" w:hAnsi="仿宋" w:eastAsia="仿宋" w:cs="仿宋"/>
          <w:color w:val="auto"/>
          <w:kern w:val="10"/>
          <w:szCs w:val="21"/>
          <w:highlight w:val="none"/>
          <w:lang w:eastAsia="zh-CN"/>
        </w:rPr>
      </w:pPr>
      <w:r>
        <w:rPr>
          <w:rFonts w:hint="eastAsia" w:ascii="仿宋" w:hAnsi="仿宋" w:eastAsia="仿宋" w:cs="仿宋"/>
          <w:color w:val="auto"/>
          <w:kern w:val="10"/>
          <w:szCs w:val="21"/>
          <w:highlight w:val="none"/>
          <w:lang w:eastAsia="zh-CN"/>
        </w:rPr>
        <w:t>47.1评标委员会成员不得收受他人的财物或者其他好处，不得向他人透漏对投标文件的评审和比较、中标候选人的推荐情况以及评标有关的其他情况。</w:t>
      </w:r>
    </w:p>
    <w:p w14:paraId="65C33652">
      <w:pPr>
        <w:adjustRightInd w:val="0"/>
        <w:snapToGrid w:val="0"/>
        <w:spacing w:line="440" w:lineRule="exact"/>
        <w:ind w:firstLine="364" w:firstLineChars="150"/>
        <w:rPr>
          <w:rFonts w:ascii="仿宋" w:hAnsi="仿宋" w:eastAsia="仿宋" w:cs="仿宋"/>
          <w:color w:val="auto"/>
          <w:kern w:val="10"/>
          <w:szCs w:val="21"/>
          <w:highlight w:val="none"/>
          <w:lang w:eastAsia="zh-CN"/>
        </w:rPr>
      </w:pPr>
      <w:r>
        <w:rPr>
          <w:rFonts w:hint="eastAsia" w:ascii="仿宋" w:hAnsi="仿宋" w:eastAsia="仿宋" w:cs="仿宋"/>
          <w:color w:val="auto"/>
          <w:kern w:val="10"/>
          <w:szCs w:val="21"/>
          <w:highlight w:val="none"/>
          <w:lang w:eastAsia="zh-CN"/>
        </w:rPr>
        <w:t xml:space="preserve">47.2在评标活动中，评标委员会成员不得擅离职守，影响评标程序正常进行，不得使用第三章“评标办法”没有规定的评审因素和标准进行评标。 </w:t>
      </w:r>
    </w:p>
    <w:p w14:paraId="4206424E">
      <w:pPr>
        <w:spacing w:line="440" w:lineRule="exact"/>
        <w:ind w:firstLine="356" w:firstLineChars="147"/>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 xml:space="preserve">48. 对与评标活动有关的工作人员的纪律要求 </w:t>
      </w:r>
    </w:p>
    <w:p w14:paraId="5A946C7D">
      <w:pPr>
        <w:adjustRightInd w:val="0"/>
        <w:snapToGrid w:val="0"/>
        <w:spacing w:line="440" w:lineRule="exact"/>
        <w:ind w:firstLine="364" w:firstLineChars="150"/>
        <w:rPr>
          <w:rFonts w:ascii="仿宋" w:hAnsi="仿宋" w:eastAsia="仿宋" w:cs="仿宋"/>
          <w:color w:val="auto"/>
          <w:kern w:val="10"/>
          <w:szCs w:val="21"/>
          <w:highlight w:val="none"/>
          <w:lang w:eastAsia="zh-CN"/>
        </w:rPr>
      </w:pPr>
      <w:r>
        <w:rPr>
          <w:rFonts w:hint="eastAsia" w:ascii="仿宋" w:hAnsi="仿宋" w:eastAsia="仿宋" w:cs="仿宋"/>
          <w:color w:val="auto"/>
          <w:kern w:val="10"/>
          <w:szCs w:val="21"/>
          <w:highlight w:val="none"/>
          <w:lang w:eastAsia="zh-CN"/>
        </w:rPr>
        <w:t>48.1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1CC3EF3F">
      <w:pPr>
        <w:spacing w:beforeLines="50" w:afterLines="50" w:line="320" w:lineRule="exact"/>
        <w:jc w:val="center"/>
        <w:rPr>
          <w:rFonts w:ascii="仿宋" w:hAnsi="仿宋" w:eastAsia="仿宋" w:cs="仿宋"/>
          <w:b/>
          <w:bCs/>
          <w:color w:val="auto"/>
          <w:sz w:val="28"/>
          <w:szCs w:val="28"/>
          <w:highlight w:val="none"/>
          <w:lang w:eastAsia="zh-CN"/>
        </w:rPr>
      </w:pPr>
      <w:r>
        <w:rPr>
          <w:rFonts w:hint="eastAsia" w:ascii="仿宋" w:hAnsi="仿宋" w:eastAsia="仿宋" w:cs="仿宋"/>
          <w:b/>
          <w:bCs/>
          <w:color w:val="auto"/>
          <w:sz w:val="28"/>
          <w:szCs w:val="28"/>
          <w:highlight w:val="none"/>
          <w:lang w:eastAsia="zh-CN"/>
        </w:rPr>
        <w:t>（八）质疑与投诉</w:t>
      </w:r>
    </w:p>
    <w:p w14:paraId="61D37251">
      <w:pPr>
        <w:spacing w:line="36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49．质疑和投诉</w:t>
      </w:r>
    </w:p>
    <w:p w14:paraId="664886C8">
      <w:pPr>
        <w:spacing w:line="36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49.1.供应商认为采购文件、采购过程和中标、成交结果使自己的权益受到损害的，可以在知道或者应知其权益受到损害之日起七个工作日内，以书面形式向采购人提出质疑。供应商应当在法定质疑期内一次性提出针对同一采购程序环节的质疑。供应商应知其权益受到损害之日，是指：</w:t>
      </w:r>
    </w:p>
    <w:p w14:paraId="3D1108B5">
      <w:pPr>
        <w:spacing w:line="36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（一）对可以质疑的采购文件提出质疑的，为收到采购文件之日或者采购文件公告期限届满之日；</w:t>
      </w:r>
    </w:p>
    <w:p w14:paraId="1EAD12F8">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（二）对采购过程提出质疑的，为各采购程序环节结束之日；</w:t>
      </w:r>
    </w:p>
    <w:p w14:paraId="43E6D20A">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（三）对中标或者成交结果提出质疑的，为中标或者成交结果公告期限届满之日。</w:t>
      </w:r>
    </w:p>
    <w:p w14:paraId="009842D8">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49.2供应商提出质疑应当提交质疑函和必要的证明材料。质疑函应当包括下列内容：供应商的姓名或者名称、地址、邮编、联系人及联系电话；质疑项目的名称、编号；具体、明确的质疑事项和与质疑事项相关的请求；事实依据；必要的法律依据；提出质疑的日期。（具体格式详见附件）</w:t>
      </w:r>
    </w:p>
    <w:p w14:paraId="0306BD73">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供应商为自然人的，应当由本人签章；供应商为法人或者其他组织的，应当由法定代表人、主要负责人，或者其授权代表签章或者盖章，并加盖公章。</w:t>
      </w:r>
    </w:p>
    <w:p w14:paraId="60C6B250">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49.3供应商质疑、投诉应当有明确的请求和必要的证明材料。供应商投诉的事项不得超出已质疑事项的范围。采购人及采购代理机构按《政府采购质疑和投诉办法》进行处理供应商质疑事项。</w:t>
      </w:r>
    </w:p>
    <w:p w14:paraId="3974F514">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49.4质疑供应商对采购人、采购代理机构的质疑答复不满意，或者采购人、采购代理机构未在规定期限内作出答复的，供应商可以在答复期满后15个工作日内向同级财政部门提起投诉。</w:t>
      </w:r>
    </w:p>
    <w:p w14:paraId="0D95B23E">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49.5供应商有下列情形之一的，采购代理机构将报告</w:t>
      </w:r>
      <w:r>
        <w:rPr>
          <w:rFonts w:hint="eastAsia" w:ascii="仿宋" w:hAnsi="仿宋" w:eastAsia="仿宋" w:cs="仿宋"/>
          <w:color w:val="auto"/>
          <w:szCs w:val="21"/>
          <w:highlight w:val="none"/>
          <w:lang w:val="en-US" w:eastAsia="zh-CN"/>
        </w:rPr>
        <w:t>阿合奇县</w:t>
      </w:r>
      <w:r>
        <w:rPr>
          <w:rFonts w:hint="eastAsia" w:ascii="仿宋" w:hAnsi="仿宋" w:eastAsia="仿宋" w:cs="仿宋"/>
          <w:color w:val="auto"/>
          <w:szCs w:val="21"/>
          <w:highlight w:val="none"/>
          <w:lang w:eastAsia="zh-CN"/>
        </w:rPr>
        <w:t>财政局，将其列入不良行为记录名单：</w:t>
      </w:r>
    </w:p>
    <w:p w14:paraId="17351DE3">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（一）一年内三次以上质疑均查无实据的；</w:t>
      </w:r>
    </w:p>
    <w:p w14:paraId="2E0C3092">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（二）捏造事实或者提供虚假质疑材料的。</w:t>
      </w:r>
    </w:p>
    <w:p w14:paraId="7A6559DB">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（三）以非法手段取得证明材料。证据来源的合法性存在明显疑问，质疑人无法证明其取得方式合法的，视为以非法手段取得证明材料。</w:t>
      </w:r>
    </w:p>
    <w:p w14:paraId="12F0945E">
      <w:pPr>
        <w:spacing w:line="360" w:lineRule="exact"/>
        <w:jc w:val="center"/>
        <w:rPr>
          <w:rFonts w:ascii="仿宋" w:hAnsi="仿宋" w:eastAsia="仿宋" w:cs="仿宋"/>
          <w:color w:val="auto"/>
          <w:sz w:val="30"/>
          <w:szCs w:val="30"/>
          <w:highlight w:val="none"/>
          <w:lang w:eastAsia="zh-CN"/>
        </w:rPr>
      </w:pPr>
    </w:p>
    <w:p w14:paraId="666AFBAF">
      <w:pPr>
        <w:pStyle w:val="37"/>
        <w:rPr>
          <w:rFonts w:ascii="仿宋" w:hAnsi="仿宋" w:eastAsia="仿宋" w:cs="仿宋"/>
          <w:color w:val="auto"/>
          <w:sz w:val="30"/>
          <w:szCs w:val="30"/>
          <w:highlight w:val="none"/>
          <w:lang w:eastAsia="zh-CN"/>
        </w:rPr>
      </w:pPr>
    </w:p>
    <w:p w14:paraId="305D52C5">
      <w:pPr>
        <w:pStyle w:val="37"/>
        <w:rPr>
          <w:rFonts w:ascii="仿宋" w:hAnsi="仿宋" w:eastAsia="仿宋" w:cs="仿宋"/>
          <w:color w:val="auto"/>
          <w:sz w:val="30"/>
          <w:szCs w:val="30"/>
          <w:highlight w:val="none"/>
          <w:lang w:eastAsia="zh-CN"/>
        </w:rPr>
      </w:pPr>
    </w:p>
    <w:p w14:paraId="29718A5F">
      <w:pPr>
        <w:pStyle w:val="37"/>
        <w:rPr>
          <w:rFonts w:ascii="仿宋" w:hAnsi="仿宋" w:eastAsia="仿宋" w:cs="仿宋"/>
          <w:color w:val="auto"/>
          <w:sz w:val="30"/>
          <w:szCs w:val="30"/>
          <w:highlight w:val="none"/>
          <w:lang w:eastAsia="zh-CN"/>
        </w:rPr>
      </w:pPr>
    </w:p>
    <w:p w14:paraId="290C30C3">
      <w:pPr>
        <w:pStyle w:val="37"/>
        <w:rPr>
          <w:rFonts w:ascii="仿宋" w:hAnsi="仿宋" w:eastAsia="仿宋" w:cs="仿宋"/>
          <w:color w:val="auto"/>
          <w:sz w:val="30"/>
          <w:szCs w:val="30"/>
          <w:highlight w:val="none"/>
          <w:lang w:eastAsia="zh-CN"/>
        </w:rPr>
      </w:pPr>
    </w:p>
    <w:p w14:paraId="473A6956">
      <w:pPr>
        <w:pStyle w:val="37"/>
        <w:rPr>
          <w:rFonts w:ascii="仿宋" w:hAnsi="仿宋" w:eastAsia="仿宋" w:cs="仿宋"/>
          <w:color w:val="auto"/>
          <w:sz w:val="30"/>
          <w:szCs w:val="30"/>
          <w:highlight w:val="none"/>
          <w:lang w:eastAsia="zh-CN"/>
        </w:rPr>
      </w:pPr>
    </w:p>
    <w:p w14:paraId="0DEB2C85">
      <w:pPr>
        <w:pStyle w:val="37"/>
        <w:rPr>
          <w:rFonts w:ascii="仿宋" w:hAnsi="仿宋" w:eastAsia="仿宋" w:cs="仿宋"/>
          <w:color w:val="auto"/>
          <w:sz w:val="30"/>
          <w:szCs w:val="30"/>
          <w:highlight w:val="none"/>
          <w:lang w:eastAsia="zh-CN"/>
        </w:rPr>
      </w:pPr>
    </w:p>
    <w:p w14:paraId="570A4D14">
      <w:pPr>
        <w:rPr>
          <w:rFonts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附件：</w:t>
      </w:r>
    </w:p>
    <w:p w14:paraId="5727B587">
      <w:pPr>
        <w:jc w:val="center"/>
        <w:rPr>
          <w:rFonts w:ascii="仿宋" w:hAnsi="仿宋" w:eastAsia="仿宋" w:cs="仿宋"/>
          <w:b/>
          <w:bCs/>
          <w:color w:val="auto"/>
          <w:sz w:val="28"/>
          <w:szCs w:val="28"/>
          <w:highlight w:val="none"/>
          <w:lang w:eastAsia="zh-CN"/>
        </w:rPr>
      </w:pPr>
      <w:r>
        <w:rPr>
          <w:rFonts w:hint="eastAsia" w:ascii="仿宋" w:hAnsi="仿宋" w:eastAsia="仿宋" w:cs="仿宋"/>
          <w:b/>
          <w:bCs/>
          <w:color w:val="auto"/>
          <w:sz w:val="32"/>
          <w:szCs w:val="32"/>
          <w:highlight w:val="none"/>
          <w:lang w:eastAsia="zh-CN"/>
        </w:rPr>
        <w:t>政府采购投诉书（范本）、质疑函范本</w:t>
      </w:r>
    </w:p>
    <w:p w14:paraId="124AF316">
      <w:pPr>
        <w:spacing w:line="400" w:lineRule="exact"/>
        <w:jc w:val="center"/>
        <w:rPr>
          <w:rFonts w:ascii="仿宋" w:hAnsi="仿宋" w:eastAsia="仿宋" w:cs="仿宋"/>
          <w:color w:val="auto"/>
          <w:highlight w:val="none"/>
          <w:u w:val="single"/>
          <w:lang w:eastAsia="zh-CN"/>
        </w:rPr>
      </w:pPr>
      <w:r>
        <w:rPr>
          <w:rFonts w:hint="eastAsia" w:ascii="仿宋" w:hAnsi="仿宋" w:eastAsia="仿宋" w:cs="仿宋"/>
          <w:b/>
          <w:bCs/>
          <w:color w:val="auto"/>
          <w:sz w:val="28"/>
          <w:szCs w:val="28"/>
          <w:highlight w:val="none"/>
          <w:lang w:eastAsia="zh-CN"/>
        </w:rPr>
        <w:t>政府采购投诉书（范本）</w:t>
      </w:r>
    </w:p>
    <w:p w14:paraId="0FDC810D">
      <w:pPr>
        <w:spacing w:line="400" w:lineRule="exact"/>
        <w:rPr>
          <w:rFonts w:ascii="仿宋" w:hAnsi="仿宋" w:eastAsia="仿宋" w:cs="仿宋"/>
          <w:color w:val="auto"/>
          <w:highlight w:val="none"/>
          <w:lang w:eastAsia="zh-CN"/>
        </w:rPr>
      </w:pPr>
    </w:p>
    <w:p w14:paraId="67DCB439">
      <w:pPr>
        <w:spacing w:line="40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法定代表人：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w:t>
      </w:r>
    </w:p>
    <w:p w14:paraId="65E4A94C">
      <w:pPr>
        <w:spacing w:line="40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地址：</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电话：</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w:t>
      </w:r>
    </w:p>
    <w:p w14:paraId="4B609CB0">
      <w:pPr>
        <w:spacing w:line="40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委托代理人姓名：</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职务：</w:t>
      </w:r>
      <w:r>
        <w:rPr>
          <w:rFonts w:hint="eastAsia" w:ascii="仿宋" w:hAnsi="仿宋" w:eastAsia="仿宋" w:cs="仿宋"/>
          <w:color w:val="auto"/>
          <w:highlight w:val="none"/>
          <w:u w:val="single"/>
          <w:lang w:eastAsia="zh-CN"/>
        </w:rPr>
        <w:t xml:space="preserve">               </w:t>
      </w:r>
    </w:p>
    <w:p w14:paraId="7A25606F">
      <w:pPr>
        <w:spacing w:line="40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住址：</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联系电话：</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w:t>
      </w:r>
    </w:p>
    <w:p w14:paraId="29EF629E">
      <w:pPr>
        <w:spacing w:line="40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被投诉人：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法定代表人：</w:t>
      </w:r>
      <w:r>
        <w:rPr>
          <w:rFonts w:hint="eastAsia" w:ascii="仿宋" w:hAnsi="仿宋" w:eastAsia="仿宋" w:cs="仿宋"/>
          <w:color w:val="auto"/>
          <w:highlight w:val="none"/>
          <w:u w:val="single"/>
          <w:lang w:eastAsia="zh-CN"/>
        </w:rPr>
        <w:t xml:space="preserve">         </w:t>
      </w:r>
    </w:p>
    <w:p w14:paraId="0F22A8C0">
      <w:pPr>
        <w:spacing w:line="40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地址：</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电话：</w:t>
      </w:r>
      <w:r>
        <w:rPr>
          <w:rFonts w:hint="eastAsia" w:ascii="仿宋" w:hAnsi="仿宋" w:eastAsia="仿宋" w:cs="仿宋"/>
          <w:color w:val="auto"/>
          <w:highlight w:val="none"/>
          <w:u w:val="single"/>
          <w:lang w:eastAsia="zh-CN"/>
        </w:rPr>
        <w:t xml:space="preserve">               </w:t>
      </w:r>
    </w:p>
    <w:p w14:paraId="55815C5B">
      <w:pPr>
        <w:spacing w:line="40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我公司参加了</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年 </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月</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日被投诉人组织的</w:t>
      </w:r>
      <w:r>
        <w:rPr>
          <w:rFonts w:hint="eastAsia" w:ascii="仿宋" w:hAnsi="仿宋" w:eastAsia="仿宋" w:cs="仿宋"/>
          <w:color w:val="auto"/>
          <w:highlight w:val="none"/>
          <w:u w:val="single"/>
          <w:lang w:eastAsia="zh-CN"/>
        </w:rPr>
        <w:t>（采购人）（项目名称）（项目编号）</w:t>
      </w:r>
      <w:r>
        <w:rPr>
          <w:rFonts w:hint="eastAsia" w:ascii="仿宋" w:hAnsi="仿宋" w:eastAsia="仿宋" w:cs="仿宋"/>
          <w:color w:val="auto"/>
          <w:highlight w:val="none"/>
          <w:lang w:eastAsia="zh-CN"/>
        </w:rPr>
        <w:t>的采购活动，我公司认为该项目的</w:t>
      </w:r>
      <w:r>
        <w:rPr>
          <w:rFonts w:hint="eastAsia" w:ascii="仿宋" w:hAnsi="仿宋" w:eastAsia="仿宋" w:cs="仿宋"/>
          <w:color w:val="auto"/>
          <w:highlight w:val="none"/>
          <w:u w:val="single"/>
          <w:lang w:eastAsia="zh-CN"/>
        </w:rPr>
        <w:t>（采购文件/采购过程/中标（中标）结果）</w:t>
      </w:r>
      <w:r>
        <w:rPr>
          <w:rFonts w:hint="eastAsia" w:ascii="仿宋" w:hAnsi="仿宋" w:eastAsia="仿宋" w:cs="仿宋"/>
          <w:color w:val="auto"/>
          <w:highlight w:val="none"/>
          <w:lang w:eastAsia="zh-CN"/>
        </w:rPr>
        <w:t>损害了我公司权益，对此，我公司于</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年</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月</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日向</w:t>
      </w:r>
      <w:r>
        <w:rPr>
          <w:rFonts w:hint="eastAsia" w:ascii="仿宋" w:hAnsi="仿宋" w:eastAsia="仿宋" w:cs="仿宋"/>
          <w:color w:val="auto"/>
          <w:highlight w:val="none"/>
          <w:u w:val="single"/>
          <w:lang w:eastAsia="zh-CN"/>
        </w:rPr>
        <w:t>（采购人或者政府采购代理机构）</w:t>
      </w:r>
      <w:r>
        <w:rPr>
          <w:rFonts w:hint="eastAsia" w:ascii="仿宋" w:hAnsi="仿宋" w:eastAsia="仿宋" w:cs="仿宋"/>
          <w:color w:val="auto"/>
          <w:highlight w:val="none"/>
          <w:lang w:eastAsia="zh-CN"/>
        </w:rPr>
        <w:t>提出了质疑，</w:t>
      </w:r>
      <w:r>
        <w:rPr>
          <w:rFonts w:hint="eastAsia" w:ascii="仿宋" w:hAnsi="仿宋" w:eastAsia="仿宋" w:cs="仿宋"/>
          <w:color w:val="auto"/>
          <w:highlight w:val="none"/>
          <w:u w:val="single"/>
          <w:lang w:eastAsia="zh-CN"/>
        </w:rPr>
        <w:t>（其于    年  月  日作出书面答复，因对其作出的答复不满意）/（被质疑人未在法定期内予以答复，按照政府采购有关规定）</w:t>
      </w:r>
      <w:r>
        <w:rPr>
          <w:rFonts w:hint="eastAsia" w:ascii="仿宋" w:hAnsi="仿宋" w:eastAsia="仿宋" w:cs="仿宋"/>
          <w:color w:val="auto"/>
          <w:highlight w:val="none"/>
          <w:lang w:eastAsia="zh-CN"/>
        </w:rPr>
        <w:t>，现向贵机关提起投诉：</w:t>
      </w:r>
    </w:p>
    <w:p w14:paraId="4859C9D3">
      <w:pPr>
        <w:spacing w:line="40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w:t>
      </w:r>
      <w:r>
        <w:rPr>
          <w:rFonts w:hint="eastAsia" w:ascii="仿宋" w:hAnsi="仿宋" w:eastAsia="仿宋" w:cs="仿宋"/>
          <w:color w:val="auto"/>
          <w:highlight w:val="none"/>
          <w:u w:val="single"/>
          <w:lang w:eastAsia="zh-CN"/>
        </w:rPr>
        <w:t>具体的投诉事项及事实依据；</w:t>
      </w:r>
    </w:p>
    <w:p w14:paraId="58892F18">
      <w:pPr>
        <w:spacing w:line="40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w:t>
      </w:r>
      <w:r>
        <w:rPr>
          <w:rFonts w:hint="eastAsia" w:ascii="仿宋" w:hAnsi="仿宋" w:eastAsia="仿宋" w:cs="仿宋"/>
          <w:color w:val="auto"/>
          <w:highlight w:val="none"/>
          <w:u w:val="single"/>
          <w:lang w:eastAsia="zh-CN"/>
        </w:rPr>
        <w:t>质疑和质疑答复情况简要描述；</w:t>
      </w:r>
    </w:p>
    <w:p w14:paraId="6031FF03">
      <w:pPr>
        <w:spacing w:line="40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3.</w:t>
      </w:r>
      <w:r>
        <w:rPr>
          <w:rFonts w:hint="eastAsia" w:ascii="仿宋" w:hAnsi="仿宋" w:eastAsia="仿宋" w:cs="仿宋"/>
          <w:color w:val="auto"/>
          <w:highlight w:val="none"/>
          <w:u w:val="single"/>
          <w:lang w:eastAsia="zh-CN"/>
        </w:rPr>
        <w:t>投诉请求。</w:t>
      </w:r>
    </w:p>
    <w:p w14:paraId="1C98D66A">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附件：</w:t>
      </w:r>
    </w:p>
    <w:p w14:paraId="0DC2E975">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1.质疑书和质疑答复书；</w:t>
      </w:r>
    </w:p>
    <w:p w14:paraId="28FF3416">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2.证据材料（需注明证据来源），证人的姓名、住址和联系方式等；</w:t>
      </w:r>
    </w:p>
    <w:p w14:paraId="2BD03DA1">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3.营业执照；</w:t>
      </w:r>
    </w:p>
    <w:p w14:paraId="73E5692F">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4.法定代表人身份证明函</w:t>
      </w:r>
    </w:p>
    <w:p w14:paraId="61A5EB89">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5.法定代表人授权委托书（包含法定代表人和委托代理人的身份证复印件）；</w:t>
      </w:r>
    </w:p>
    <w:p w14:paraId="3AD47AD7">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6.政府采购监管部门认为应当提供的其它材料。</w:t>
      </w:r>
    </w:p>
    <w:p w14:paraId="6B66FF38">
      <w:pPr>
        <w:spacing w:line="400" w:lineRule="exact"/>
        <w:jc w:val="center"/>
        <w:rPr>
          <w:rFonts w:ascii="仿宋" w:hAnsi="仿宋" w:eastAsia="仿宋" w:cs="仿宋"/>
          <w:color w:val="auto"/>
          <w:highlight w:val="none"/>
          <w:lang w:eastAsia="zh-CN"/>
        </w:rPr>
      </w:pPr>
    </w:p>
    <w:p w14:paraId="781F8F3C">
      <w:pPr>
        <w:spacing w:line="400" w:lineRule="exact"/>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投诉供应商：（盖章）</w:t>
      </w:r>
    </w:p>
    <w:p w14:paraId="537720BE">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法定代表人（或主要负责人）：（签章）</w:t>
      </w:r>
    </w:p>
    <w:p w14:paraId="76C7E557">
      <w:pPr>
        <w:spacing w:line="400" w:lineRule="exact"/>
        <w:ind w:firstLine="3888" w:firstLineChars="1600"/>
        <w:rPr>
          <w:rFonts w:ascii="仿宋" w:hAnsi="仿宋" w:eastAsia="仿宋" w:cs="仿宋"/>
          <w:color w:val="auto"/>
          <w:highlight w:val="none"/>
          <w:lang w:eastAsia="zh-CN"/>
        </w:rPr>
      </w:pP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年</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月</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日</w:t>
      </w:r>
    </w:p>
    <w:p w14:paraId="555154E5">
      <w:pPr>
        <w:spacing w:line="400" w:lineRule="exact"/>
        <w:rPr>
          <w:rFonts w:ascii="仿宋" w:hAnsi="仿宋" w:eastAsia="仿宋" w:cs="仿宋"/>
          <w:color w:val="auto"/>
          <w:highlight w:val="none"/>
          <w:lang w:eastAsia="zh-CN"/>
        </w:rPr>
      </w:pPr>
    </w:p>
    <w:p w14:paraId="206F6186">
      <w:pPr>
        <w:spacing w:line="400" w:lineRule="exact"/>
        <w:jc w:val="right"/>
        <w:rPr>
          <w:rFonts w:hint="eastAsia" w:ascii="仿宋" w:hAnsi="仿宋" w:eastAsia="仿宋" w:cs="仿宋"/>
          <w:b/>
          <w:bCs/>
          <w:color w:val="auto"/>
          <w:sz w:val="32"/>
          <w:szCs w:val="32"/>
          <w:highlight w:val="none"/>
          <w:lang w:eastAsia="zh-CN"/>
        </w:rPr>
      </w:pPr>
      <w:r>
        <w:rPr>
          <w:rFonts w:hint="eastAsia" w:ascii="仿宋" w:hAnsi="仿宋" w:eastAsia="仿宋" w:cs="仿宋"/>
          <w:color w:val="auto"/>
          <w:highlight w:val="none"/>
          <w:lang w:eastAsia="zh-CN"/>
        </w:rPr>
        <w:t>本投诉书正本叁份，副本</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份并附电子文档。</w:t>
      </w:r>
      <w:bookmarkStart w:id="27" w:name="_Toc17515"/>
    </w:p>
    <w:p w14:paraId="7232EC35">
      <w:pPr>
        <w:ind w:left="5783" w:hanging="5814" w:hangingChars="1800"/>
        <w:jc w:val="center"/>
        <w:outlineLvl w:val="0"/>
        <w:rPr>
          <w:rFonts w:hint="eastAsia" w:ascii="仿宋" w:hAnsi="仿宋" w:eastAsia="仿宋" w:cs="仿宋"/>
          <w:b/>
          <w:bCs/>
          <w:color w:val="auto"/>
          <w:sz w:val="32"/>
          <w:szCs w:val="32"/>
          <w:highlight w:val="none"/>
          <w:lang w:eastAsia="zh-CN"/>
        </w:rPr>
      </w:pPr>
    </w:p>
    <w:p w14:paraId="3030CD89">
      <w:pPr>
        <w:ind w:left="5783" w:hanging="5814" w:hangingChars="1800"/>
        <w:jc w:val="center"/>
        <w:outlineLvl w:val="0"/>
        <w:rPr>
          <w:rFonts w:ascii="仿宋" w:hAnsi="仿宋" w:eastAsia="仿宋" w:cs="仿宋"/>
          <w:color w:val="auto"/>
          <w:sz w:val="32"/>
          <w:szCs w:val="32"/>
          <w:highlight w:val="none"/>
          <w:lang w:eastAsia="zh-CN"/>
        </w:rPr>
      </w:pPr>
      <w:r>
        <w:rPr>
          <w:rFonts w:hint="eastAsia" w:ascii="仿宋" w:hAnsi="仿宋" w:eastAsia="仿宋" w:cs="仿宋"/>
          <w:b/>
          <w:bCs/>
          <w:color w:val="auto"/>
          <w:sz w:val="32"/>
          <w:szCs w:val="32"/>
          <w:highlight w:val="none"/>
          <w:lang w:eastAsia="zh-CN"/>
        </w:rPr>
        <w:t>投诉相关说明</w:t>
      </w:r>
      <w:bookmarkEnd w:id="27"/>
    </w:p>
    <w:p w14:paraId="0B070019">
      <w:pPr>
        <w:widowControl/>
        <w:spacing w:line="400" w:lineRule="exact"/>
        <w:ind w:firstLine="420"/>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投诉人应当满足《政府采购法》、《政府采购法实施条例》和《政府采购供应商投诉处理办法》的相关规定。</w:t>
      </w:r>
    </w:p>
    <w:p w14:paraId="0A87EA34">
      <w:pPr>
        <w:numPr>
          <w:ilvl w:val="0"/>
          <w:numId w:val="6"/>
        </w:numPr>
        <w:spacing w:line="400" w:lineRule="exact"/>
        <w:ind w:left="4626" w:leftChars="304" w:hanging="3888" w:hangingChars="1600"/>
        <w:outlineLvl w:val="0"/>
        <w:rPr>
          <w:rFonts w:ascii="仿宋" w:hAnsi="仿宋" w:eastAsia="仿宋" w:cs="仿宋"/>
          <w:b/>
          <w:bCs/>
          <w:color w:val="auto"/>
          <w:sz w:val="24"/>
          <w:szCs w:val="24"/>
          <w:highlight w:val="none"/>
        </w:rPr>
      </w:pPr>
      <w:bookmarkStart w:id="28" w:name="_Toc11499"/>
      <w:r>
        <w:rPr>
          <w:rFonts w:hint="eastAsia" w:ascii="仿宋" w:hAnsi="仿宋" w:eastAsia="仿宋" w:cs="仿宋"/>
          <w:b/>
          <w:bCs/>
          <w:color w:val="auto"/>
          <w:sz w:val="24"/>
          <w:szCs w:val="24"/>
          <w:highlight w:val="none"/>
        </w:rPr>
        <w:t>质疑前置及时间要求</w:t>
      </w:r>
      <w:bookmarkEnd w:id="28"/>
    </w:p>
    <w:p w14:paraId="1FA568B5">
      <w:pPr>
        <w:widowControl/>
        <w:spacing w:line="400" w:lineRule="exact"/>
        <w:ind w:firstLine="420"/>
        <w:rPr>
          <w:rFonts w:ascii="仿宋" w:hAnsi="仿宋" w:eastAsia="仿宋" w:cs="仿宋"/>
          <w:color w:val="auto"/>
          <w:highlight w:val="none"/>
          <w:shd w:val="clear" w:color="auto" w:fill="FFFFFF"/>
          <w:lang w:eastAsia="zh-CN"/>
        </w:rPr>
      </w:pPr>
      <w:r>
        <w:rPr>
          <w:rFonts w:hint="eastAsia" w:ascii="仿宋" w:hAnsi="仿宋" w:eastAsia="仿宋" w:cs="仿宋"/>
          <w:color w:val="auto"/>
          <w:highlight w:val="none"/>
          <w:lang w:eastAsia="zh-CN"/>
        </w:rPr>
        <w:t>《中华人民共和国政府采购法》</w:t>
      </w:r>
      <w:r>
        <w:rPr>
          <w:rFonts w:hint="eastAsia" w:ascii="仿宋" w:hAnsi="仿宋" w:eastAsia="仿宋" w:cs="仿宋"/>
          <w:color w:val="auto"/>
          <w:highlight w:val="none"/>
          <w:shd w:val="clear" w:color="auto" w:fill="FFFFFF"/>
          <w:lang w:eastAsia="zh-CN"/>
        </w:rPr>
        <w:t>第五十一条：供应商对政府采购活动事项有疑问的，可以向采购人提出询问，采购人应当及时作出答复，但答复的内容不得涉及商业秘密。</w:t>
      </w:r>
    </w:p>
    <w:p w14:paraId="649C62A5">
      <w:pPr>
        <w:widowControl/>
        <w:spacing w:line="400" w:lineRule="exact"/>
        <w:ind w:firstLine="420"/>
        <w:rPr>
          <w:rFonts w:ascii="仿宋" w:hAnsi="仿宋" w:eastAsia="仿宋" w:cs="仿宋"/>
          <w:color w:val="auto"/>
          <w:highlight w:val="none"/>
          <w:lang w:eastAsia="zh-CN"/>
        </w:rPr>
      </w:pPr>
      <w:r>
        <w:rPr>
          <w:rFonts w:hint="eastAsia" w:ascii="仿宋" w:hAnsi="仿宋" w:eastAsia="仿宋" w:cs="仿宋"/>
          <w:color w:val="auto"/>
          <w:highlight w:val="none"/>
          <w:shd w:val="clear" w:color="auto" w:fill="FFFFFF"/>
          <w:lang w:eastAsia="zh-CN"/>
        </w:rPr>
        <w:t xml:space="preserve"> 第五十二条：供应商认为采购文件、采购过程和中标、中标结果使自己的权益受到损害的，可以在知道或者应知其权益受到损害之日起七个工作日内，以书面形式向采购人提出质疑。</w:t>
      </w:r>
    </w:p>
    <w:p w14:paraId="15E8EB2B">
      <w:pPr>
        <w:widowControl/>
        <w:spacing w:line="400" w:lineRule="exact"/>
        <w:ind w:firstLine="420"/>
        <w:rPr>
          <w:rFonts w:ascii="仿宋" w:hAnsi="仿宋" w:eastAsia="仿宋" w:cs="仿宋"/>
          <w:color w:val="auto"/>
          <w:highlight w:val="none"/>
          <w:shd w:val="clear" w:color="auto" w:fill="FFFFFF"/>
          <w:lang w:eastAsia="zh-CN"/>
        </w:rPr>
      </w:pPr>
      <w:r>
        <w:rPr>
          <w:rFonts w:hint="eastAsia" w:ascii="仿宋" w:hAnsi="仿宋" w:eastAsia="仿宋" w:cs="仿宋"/>
          <w:color w:val="auto"/>
          <w:highlight w:val="none"/>
          <w:shd w:val="clear" w:color="auto" w:fill="FFFFFF"/>
          <w:lang w:eastAsia="zh-CN"/>
        </w:rPr>
        <w:t xml:space="preserve"> 第五十三条：采购人应当在收到供应商的书面质疑后七个工作日内作出答复，并以书面形式通知质疑供应商和其他有关供应商，但答复的内容不得涉及商业秘密。</w:t>
      </w:r>
    </w:p>
    <w:p w14:paraId="0C0CF0F3">
      <w:pPr>
        <w:widowControl/>
        <w:spacing w:line="400" w:lineRule="exact"/>
        <w:ind w:firstLine="420"/>
        <w:rPr>
          <w:rFonts w:ascii="仿宋" w:hAnsi="仿宋" w:eastAsia="仿宋" w:cs="仿宋"/>
          <w:color w:val="auto"/>
          <w:highlight w:val="none"/>
          <w:shd w:val="clear" w:color="auto" w:fill="FFFFFF"/>
          <w:lang w:eastAsia="zh-CN"/>
        </w:rPr>
      </w:pPr>
      <w:r>
        <w:rPr>
          <w:rFonts w:hint="eastAsia" w:ascii="仿宋" w:hAnsi="仿宋" w:eastAsia="仿宋" w:cs="仿宋"/>
          <w:color w:val="auto"/>
          <w:highlight w:val="none"/>
          <w:shd w:val="clear" w:color="auto" w:fill="FFFFFF"/>
          <w:lang w:eastAsia="zh-CN"/>
        </w:rPr>
        <w:t xml:space="preserve"> 第五十五条:质疑供应商对采购人、采购代理机构的答复不满意或者采购人、采购代理机构未在规定的时间内作出答复的，可以在答复期满后十五个工作日内向同级政府采购监督管理部门投诉。</w:t>
      </w:r>
    </w:p>
    <w:p w14:paraId="7BBD59F1">
      <w:pPr>
        <w:widowControl/>
        <w:spacing w:line="400" w:lineRule="exact"/>
        <w:ind w:firstLine="420"/>
        <w:rPr>
          <w:rFonts w:ascii="仿宋" w:hAnsi="仿宋" w:eastAsia="仿宋" w:cs="仿宋"/>
          <w:color w:val="auto"/>
          <w:highlight w:val="none"/>
          <w:lang w:eastAsia="zh-CN"/>
        </w:rPr>
      </w:pPr>
      <w:r>
        <w:rPr>
          <w:rFonts w:hint="eastAsia" w:ascii="仿宋" w:hAnsi="仿宋" w:eastAsia="仿宋" w:cs="仿宋"/>
          <w:color w:val="auto"/>
          <w:highlight w:val="none"/>
          <w:shd w:val="clear" w:color="auto" w:fill="FFFFFF"/>
          <w:lang w:eastAsia="zh-CN"/>
        </w:rPr>
        <w:t xml:space="preserve">  《政府采购实施条例》第五十五条：供应商质疑、投诉应当有明确的请求和必要的证明材料。供应商投诉的事项不得超出质疑事项的范围。</w:t>
      </w:r>
    </w:p>
    <w:p w14:paraId="1ECE169C">
      <w:pPr>
        <w:spacing w:line="400" w:lineRule="exact"/>
        <w:ind w:left="3780" w:hanging="3834" w:hangingChars="1800"/>
        <w:outlineLvl w:val="0"/>
        <w:rPr>
          <w:rFonts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 xml:space="preserve"> </w:t>
      </w:r>
      <w:r>
        <w:rPr>
          <w:rFonts w:hint="eastAsia" w:ascii="仿宋" w:hAnsi="仿宋" w:eastAsia="仿宋" w:cs="仿宋"/>
          <w:b/>
          <w:bCs/>
          <w:color w:val="auto"/>
          <w:sz w:val="21"/>
          <w:szCs w:val="21"/>
          <w:highlight w:val="none"/>
          <w:lang w:eastAsia="zh-CN"/>
        </w:rPr>
        <w:t xml:space="preserve">   </w:t>
      </w:r>
      <w:bookmarkStart w:id="29" w:name="_Toc13508"/>
      <w:r>
        <w:rPr>
          <w:rFonts w:hint="eastAsia" w:ascii="仿宋" w:hAnsi="仿宋" w:eastAsia="仿宋" w:cs="仿宋"/>
          <w:b/>
          <w:bCs/>
          <w:color w:val="auto"/>
          <w:sz w:val="21"/>
          <w:szCs w:val="21"/>
          <w:highlight w:val="none"/>
          <w:lang w:eastAsia="zh-CN"/>
        </w:rPr>
        <w:t>二、书面方式</w:t>
      </w:r>
      <w:bookmarkEnd w:id="29"/>
    </w:p>
    <w:p w14:paraId="4504E696">
      <w:pPr>
        <w:spacing w:line="400" w:lineRule="exact"/>
        <w:ind w:left="3780" w:hanging="3834" w:hangingChars="1800"/>
        <w:rPr>
          <w:rFonts w:ascii="仿宋" w:hAnsi="仿宋" w:eastAsia="仿宋" w:cs="仿宋"/>
          <w:color w:val="auto"/>
          <w:highlight w:val="none"/>
          <w:lang w:eastAsia="zh-CN"/>
        </w:rPr>
      </w:pPr>
      <w:r>
        <w:rPr>
          <w:rFonts w:hint="eastAsia" w:ascii="仿宋" w:hAnsi="仿宋" w:eastAsia="仿宋" w:cs="仿宋"/>
          <w:color w:val="auto"/>
          <w:sz w:val="21"/>
          <w:szCs w:val="21"/>
          <w:highlight w:val="none"/>
          <w:lang w:eastAsia="zh-CN"/>
        </w:rPr>
        <w:t xml:space="preserve">    《</w:t>
      </w:r>
      <w:r>
        <w:rPr>
          <w:rFonts w:hint="eastAsia" w:ascii="仿宋" w:hAnsi="仿宋" w:eastAsia="仿宋" w:cs="仿宋"/>
          <w:color w:val="auto"/>
          <w:highlight w:val="none"/>
          <w:lang w:eastAsia="zh-CN"/>
        </w:rPr>
        <w:t>政府采购供应商投诉处理办法》第八条：投诉人投诉</w:t>
      </w:r>
    </w:p>
    <w:p w14:paraId="781630DF">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时，应当提交投诉书，并按照被投诉人以及与投诉事项有关的供应商数量提供投诉书的副本。</w:t>
      </w:r>
    </w:p>
    <w:p w14:paraId="3AA3E8D2">
      <w:pPr>
        <w:spacing w:line="400" w:lineRule="exact"/>
        <w:ind w:left="4320" w:hanging="4374" w:hangingChars="18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投诉书应当包括下列主要内容：</w:t>
      </w:r>
    </w:p>
    <w:p w14:paraId="6D7C472A">
      <w:pPr>
        <w:numPr>
          <w:ilvl w:val="0"/>
          <w:numId w:val="7"/>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投诉人和被投诉人的名称、地址、电话等；</w:t>
      </w:r>
    </w:p>
    <w:p w14:paraId="7BECD384">
      <w:pPr>
        <w:numPr>
          <w:ilvl w:val="0"/>
          <w:numId w:val="7"/>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具体的投诉事项及事实依据；</w:t>
      </w:r>
    </w:p>
    <w:p w14:paraId="3989AD5A">
      <w:pPr>
        <w:numPr>
          <w:ilvl w:val="0"/>
          <w:numId w:val="7"/>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质疑和质疑答复情况及相关证明材料；</w:t>
      </w:r>
    </w:p>
    <w:p w14:paraId="11BF0E87">
      <w:pPr>
        <w:numPr>
          <w:ilvl w:val="0"/>
          <w:numId w:val="7"/>
        </w:numPr>
        <w:spacing w:line="400" w:lineRule="exact"/>
        <w:rPr>
          <w:rFonts w:ascii="仿宋" w:hAnsi="仿宋" w:eastAsia="仿宋" w:cs="仿宋"/>
          <w:color w:val="auto"/>
          <w:highlight w:val="none"/>
        </w:rPr>
      </w:pPr>
      <w:r>
        <w:rPr>
          <w:rFonts w:hint="eastAsia" w:ascii="仿宋" w:hAnsi="仿宋" w:eastAsia="仿宋" w:cs="仿宋"/>
          <w:color w:val="auto"/>
          <w:highlight w:val="none"/>
        </w:rPr>
        <w:t>提起投诉的日期。</w:t>
      </w:r>
    </w:p>
    <w:p w14:paraId="3BF9F66E">
      <w:pPr>
        <w:spacing w:line="400" w:lineRule="exact"/>
        <w:ind w:firstLine="645"/>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投诉书应当署名。投诉人为自然人，应当由本人签章；投诉人为法人或者其他组织的，应当由法定代表人或者主要负责人签章并加盖公章。</w:t>
      </w:r>
    </w:p>
    <w:p w14:paraId="7FD30C8F">
      <w:pPr>
        <w:spacing w:line="400" w:lineRule="exact"/>
        <w:ind w:firstLine="645"/>
        <w:rPr>
          <w:rFonts w:ascii="仿宋" w:hAnsi="仿宋" w:eastAsia="仿宋" w:cs="仿宋"/>
          <w:color w:val="auto"/>
          <w:highlight w:val="none"/>
          <w:lang w:eastAsia="zh-CN"/>
        </w:rPr>
      </w:pPr>
      <w:r>
        <w:rPr>
          <w:rFonts w:hint="eastAsia" w:ascii="仿宋" w:hAnsi="仿宋" w:eastAsia="仿宋" w:cs="仿宋"/>
          <w:color w:val="auto"/>
          <w:highlight w:val="none"/>
          <w:lang w:eastAsia="zh-CN"/>
        </w:rPr>
        <w:t>《政府采购供应商投诉处理办法》第九条：投诉人可以委托代理人办理投诉事务。代理人办理投书事务时，除提交投诉书外，还应当向同级财政部门提交投诉人的授权委托书，授权委托书应当载明委托代理的具体权限和事项。</w:t>
      </w:r>
    </w:p>
    <w:p w14:paraId="3CA5DB75">
      <w:pPr>
        <w:spacing w:line="400" w:lineRule="exact"/>
        <w:ind w:firstLine="645"/>
        <w:rPr>
          <w:rFonts w:ascii="仿宋" w:hAnsi="仿宋" w:eastAsia="仿宋" w:cs="仿宋"/>
          <w:color w:val="auto"/>
          <w:highlight w:val="none"/>
          <w:lang w:eastAsia="zh-CN"/>
        </w:rPr>
      </w:pPr>
      <w:r>
        <w:rPr>
          <w:rFonts w:hint="eastAsia" w:ascii="仿宋" w:hAnsi="仿宋" w:eastAsia="仿宋" w:cs="仿宋"/>
          <w:color w:val="auto"/>
          <w:highlight w:val="none"/>
          <w:lang w:eastAsia="zh-CN"/>
        </w:rPr>
        <w:t>《政府采购供应商投诉处理办法》第十条：投诉人提起投诉应当符合下列条件：</w:t>
      </w:r>
    </w:p>
    <w:p w14:paraId="0A344FC5">
      <w:pPr>
        <w:numPr>
          <w:ilvl w:val="0"/>
          <w:numId w:val="8"/>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投诉人是参与所投诉政府采购活动的供应商；</w:t>
      </w:r>
    </w:p>
    <w:p w14:paraId="29A1DFF8">
      <w:pPr>
        <w:numPr>
          <w:ilvl w:val="0"/>
          <w:numId w:val="8"/>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提起投诉前已依法进行质疑；</w:t>
      </w:r>
    </w:p>
    <w:p w14:paraId="2006828A">
      <w:pPr>
        <w:numPr>
          <w:ilvl w:val="0"/>
          <w:numId w:val="8"/>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投诉书内容符合本办法的规定；</w:t>
      </w:r>
    </w:p>
    <w:p w14:paraId="144949AA">
      <w:pPr>
        <w:numPr>
          <w:ilvl w:val="0"/>
          <w:numId w:val="8"/>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在投诉有效期内提起投诉；</w:t>
      </w:r>
    </w:p>
    <w:p w14:paraId="0E53CB03">
      <w:pPr>
        <w:numPr>
          <w:ilvl w:val="0"/>
          <w:numId w:val="8"/>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属于本级财政部门管辖；</w:t>
      </w:r>
    </w:p>
    <w:p w14:paraId="033782C4">
      <w:pPr>
        <w:numPr>
          <w:ilvl w:val="0"/>
          <w:numId w:val="8"/>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同一投诉事项未经财政部门投诉处理；</w:t>
      </w:r>
    </w:p>
    <w:p w14:paraId="79675132">
      <w:pPr>
        <w:numPr>
          <w:ilvl w:val="0"/>
          <w:numId w:val="8"/>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国务院财政部门规定的其他条件。</w:t>
      </w:r>
    </w:p>
    <w:p w14:paraId="42CBA665">
      <w:pPr>
        <w:spacing w:line="400" w:lineRule="exact"/>
        <w:ind w:left="4320" w:hanging="4374" w:hangingChars="18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p>
    <w:p w14:paraId="48D4A531">
      <w:pPr>
        <w:outlineLvl w:val="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r>
        <w:rPr>
          <w:rFonts w:hint="eastAsia" w:ascii="仿宋" w:hAnsi="仿宋" w:eastAsia="仿宋" w:cs="仿宋"/>
          <w:b/>
          <w:bCs/>
          <w:color w:val="auto"/>
          <w:highlight w:val="none"/>
          <w:lang w:eastAsia="zh-CN"/>
        </w:rPr>
        <w:t xml:space="preserve">   </w:t>
      </w:r>
      <w:bookmarkStart w:id="30" w:name="_Toc5978"/>
      <w:r>
        <w:rPr>
          <w:rFonts w:hint="eastAsia" w:ascii="仿宋" w:hAnsi="仿宋" w:eastAsia="仿宋" w:cs="仿宋"/>
          <w:b/>
          <w:bCs/>
          <w:color w:val="auto"/>
          <w:highlight w:val="none"/>
          <w:lang w:eastAsia="zh-CN"/>
        </w:rPr>
        <w:t>三、虚假、恶意投诉法律责任</w:t>
      </w:r>
      <w:bookmarkEnd w:id="30"/>
    </w:p>
    <w:p w14:paraId="1523B803">
      <w:pPr>
        <w:spacing w:line="400" w:lineRule="exac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现行有效依据：财政部94号令第三十七条（现行恶意投诉条款）</w:t>
      </w:r>
    </w:p>
    <w:p w14:paraId="66D9FCFA">
      <w:pPr>
        <w:spacing w:line="400" w:lineRule="exact"/>
        <w:ind w:firstLine="486" w:firstLineChars="200"/>
        <w:rPr>
          <w:rFonts w:ascii="仿宋" w:hAnsi="仿宋" w:eastAsia="仿宋" w:cs="仿宋"/>
          <w:color w:val="auto"/>
          <w:sz w:val="21"/>
          <w:szCs w:val="21"/>
          <w:highlight w:val="none"/>
          <w:lang w:eastAsia="zh-CN"/>
        </w:rPr>
      </w:pPr>
      <w:r>
        <w:rPr>
          <w:rFonts w:hint="eastAsia" w:ascii="仿宋" w:hAnsi="仿宋" w:eastAsia="仿宋" w:cs="仿宋"/>
          <w:color w:val="auto"/>
          <w:highlight w:val="none"/>
          <w:lang w:eastAsia="zh-CN"/>
        </w:rPr>
        <w:t>投诉人捏造事实、提供虚假材料或者以非法手段取得证明材料进行投诉的，财政部门应当驳回其投诉，并列入不良行为记录名单。</w:t>
      </w:r>
    </w:p>
    <w:p w14:paraId="79B4E873">
      <w:pPr>
        <w:jc w:val="both"/>
        <w:rPr>
          <w:rFonts w:hint="eastAsia" w:ascii="仿宋" w:hAnsi="仿宋" w:eastAsia="仿宋" w:cs="仿宋"/>
          <w:color w:val="auto"/>
          <w:highlight w:val="none"/>
          <w:lang w:eastAsia="zh-CN"/>
        </w:rPr>
      </w:pPr>
    </w:p>
    <w:p w14:paraId="3793D482">
      <w:pPr>
        <w:jc w:val="both"/>
        <w:rPr>
          <w:rFonts w:ascii="仿宋" w:hAnsi="仿宋" w:eastAsia="仿宋" w:cs="仿宋"/>
          <w:color w:val="auto"/>
          <w:highlight w:val="none"/>
          <w:lang w:eastAsia="zh-CN"/>
        </w:rPr>
      </w:pPr>
      <w:r>
        <w:rPr>
          <w:rFonts w:hint="eastAsia" w:ascii="仿宋" w:hAnsi="仿宋" w:eastAsia="仿宋" w:cs="仿宋"/>
          <w:color w:val="auto"/>
          <w:highlight w:val="none"/>
          <w:lang w:eastAsia="zh-CN"/>
        </w:rPr>
        <w:t>递交投诉书地址：</w:t>
      </w:r>
      <w:r>
        <w:rPr>
          <w:rFonts w:hint="eastAsia" w:ascii="仿宋" w:hAnsi="仿宋" w:eastAsia="仿宋" w:cs="仿宋"/>
          <w:color w:val="auto"/>
          <w:highlight w:val="none"/>
          <w:lang w:val="en-US" w:eastAsia="zh-CN"/>
        </w:rPr>
        <w:t>阿合奇县</w:t>
      </w:r>
      <w:r>
        <w:rPr>
          <w:rFonts w:hint="eastAsia" w:ascii="仿宋" w:hAnsi="仿宋" w:eastAsia="仿宋" w:cs="仿宋"/>
          <w:color w:val="auto"/>
          <w:highlight w:val="none"/>
          <w:lang w:eastAsia="zh-CN"/>
        </w:rPr>
        <w:t>政府采购办监管办公室</w:t>
      </w:r>
    </w:p>
    <w:p w14:paraId="1EBD2E58">
      <w:pPr>
        <w:jc w:val="right"/>
        <w:rPr>
          <w:rFonts w:ascii="仿宋" w:hAnsi="仿宋" w:eastAsia="仿宋" w:cs="仿宋"/>
          <w:color w:val="auto"/>
          <w:sz w:val="32"/>
          <w:szCs w:val="32"/>
          <w:highlight w:val="none"/>
          <w:lang w:eastAsia="zh-CN"/>
        </w:rPr>
      </w:pPr>
    </w:p>
    <w:p w14:paraId="5390ECAC">
      <w:pPr>
        <w:spacing w:line="540" w:lineRule="exact"/>
        <w:jc w:val="center"/>
        <w:rPr>
          <w:rFonts w:ascii="仿宋" w:hAnsi="仿宋" w:eastAsia="仿宋" w:cs="仿宋"/>
          <w:b/>
          <w:bCs/>
          <w:color w:val="auto"/>
          <w:sz w:val="44"/>
          <w:szCs w:val="44"/>
          <w:highlight w:val="none"/>
          <w:lang w:eastAsia="zh-CN"/>
        </w:rPr>
      </w:pPr>
    </w:p>
    <w:p w14:paraId="3D81D8AE">
      <w:pPr>
        <w:spacing w:line="540" w:lineRule="exact"/>
        <w:jc w:val="center"/>
        <w:rPr>
          <w:rFonts w:ascii="仿宋" w:hAnsi="仿宋" w:eastAsia="仿宋" w:cs="仿宋"/>
          <w:b/>
          <w:bCs/>
          <w:color w:val="auto"/>
          <w:sz w:val="44"/>
          <w:szCs w:val="44"/>
          <w:highlight w:val="none"/>
          <w:lang w:eastAsia="zh-CN"/>
        </w:rPr>
      </w:pPr>
    </w:p>
    <w:p w14:paraId="6A3CB5FE">
      <w:pPr>
        <w:spacing w:line="540" w:lineRule="exact"/>
        <w:jc w:val="center"/>
        <w:rPr>
          <w:rFonts w:ascii="仿宋" w:hAnsi="仿宋" w:eastAsia="仿宋" w:cs="仿宋"/>
          <w:b/>
          <w:bCs/>
          <w:color w:val="auto"/>
          <w:sz w:val="44"/>
          <w:szCs w:val="44"/>
          <w:highlight w:val="none"/>
          <w:lang w:eastAsia="zh-CN"/>
        </w:rPr>
      </w:pPr>
    </w:p>
    <w:p w14:paraId="1AA6F204">
      <w:pPr>
        <w:spacing w:line="540" w:lineRule="exact"/>
        <w:jc w:val="center"/>
        <w:rPr>
          <w:rFonts w:ascii="仿宋" w:hAnsi="仿宋" w:eastAsia="仿宋" w:cs="仿宋"/>
          <w:b/>
          <w:bCs/>
          <w:color w:val="auto"/>
          <w:sz w:val="44"/>
          <w:szCs w:val="44"/>
          <w:highlight w:val="none"/>
          <w:lang w:eastAsia="zh-CN"/>
        </w:rPr>
      </w:pPr>
    </w:p>
    <w:p w14:paraId="30593F5E">
      <w:pPr>
        <w:spacing w:line="540" w:lineRule="exact"/>
        <w:jc w:val="center"/>
        <w:rPr>
          <w:rFonts w:ascii="仿宋" w:hAnsi="仿宋" w:eastAsia="仿宋" w:cs="仿宋"/>
          <w:b/>
          <w:bCs/>
          <w:color w:val="auto"/>
          <w:sz w:val="44"/>
          <w:szCs w:val="44"/>
          <w:highlight w:val="none"/>
          <w:lang w:eastAsia="zh-CN"/>
        </w:rPr>
      </w:pPr>
    </w:p>
    <w:p w14:paraId="78EF9D0E">
      <w:pPr>
        <w:spacing w:line="540" w:lineRule="exact"/>
        <w:jc w:val="center"/>
        <w:rPr>
          <w:rFonts w:ascii="仿宋" w:hAnsi="仿宋" w:eastAsia="仿宋" w:cs="仿宋"/>
          <w:b/>
          <w:bCs/>
          <w:color w:val="auto"/>
          <w:sz w:val="44"/>
          <w:szCs w:val="44"/>
          <w:highlight w:val="none"/>
          <w:lang w:eastAsia="zh-CN"/>
        </w:rPr>
      </w:pPr>
    </w:p>
    <w:p w14:paraId="142039CA">
      <w:pPr>
        <w:spacing w:line="540" w:lineRule="exact"/>
        <w:jc w:val="center"/>
        <w:rPr>
          <w:rFonts w:ascii="仿宋" w:hAnsi="仿宋" w:eastAsia="仿宋" w:cs="仿宋"/>
          <w:b/>
          <w:bCs/>
          <w:color w:val="auto"/>
          <w:sz w:val="44"/>
          <w:szCs w:val="44"/>
          <w:highlight w:val="none"/>
          <w:lang w:eastAsia="zh-CN"/>
        </w:rPr>
      </w:pPr>
    </w:p>
    <w:p w14:paraId="6EA3A32C">
      <w:pPr>
        <w:spacing w:line="540" w:lineRule="exact"/>
        <w:jc w:val="center"/>
        <w:rPr>
          <w:rFonts w:ascii="仿宋" w:hAnsi="仿宋" w:eastAsia="仿宋" w:cs="仿宋"/>
          <w:b/>
          <w:bCs/>
          <w:color w:val="auto"/>
          <w:sz w:val="44"/>
          <w:szCs w:val="44"/>
          <w:highlight w:val="none"/>
          <w:lang w:eastAsia="zh-CN"/>
        </w:rPr>
      </w:pPr>
    </w:p>
    <w:p w14:paraId="35A046AF">
      <w:pPr>
        <w:spacing w:line="540" w:lineRule="exact"/>
        <w:jc w:val="center"/>
        <w:rPr>
          <w:rFonts w:ascii="仿宋" w:hAnsi="仿宋" w:eastAsia="仿宋" w:cs="仿宋"/>
          <w:b/>
          <w:bCs/>
          <w:color w:val="auto"/>
          <w:sz w:val="44"/>
          <w:szCs w:val="44"/>
          <w:highlight w:val="none"/>
          <w:lang w:eastAsia="zh-CN"/>
        </w:rPr>
      </w:pPr>
    </w:p>
    <w:p w14:paraId="11A53E55">
      <w:pPr>
        <w:spacing w:line="540" w:lineRule="exact"/>
        <w:jc w:val="center"/>
        <w:rPr>
          <w:rFonts w:ascii="仿宋" w:hAnsi="仿宋" w:eastAsia="仿宋" w:cs="仿宋"/>
          <w:b/>
          <w:bCs/>
          <w:color w:val="auto"/>
          <w:sz w:val="44"/>
          <w:szCs w:val="44"/>
          <w:highlight w:val="none"/>
          <w:lang w:eastAsia="zh-CN"/>
        </w:rPr>
      </w:pPr>
    </w:p>
    <w:p w14:paraId="5CDE4018">
      <w:pPr>
        <w:spacing w:line="540" w:lineRule="exact"/>
        <w:jc w:val="center"/>
        <w:rPr>
          <w:rFonts w:ascii="仿宋" w:hAnsi="仿宋" w:eastAsia="仿宋" w:cs="仿宋"/>
          <w:b/>
          <w:bCs/>
          <w:color w:val="auto"/>
          <w:sz w:val="44"/>
          <w:szCs w:val="44"/>
          <w:highlight w:val="none"/>
          <w:lang w:eastAsia="zh-CN"/>
        </w:rPr>
      </w:pPr>
    </w:p>
    <w:p w14:paraId="378A1EBE">
      <w:pPr>
        <w:spacing w:line="540" w:lineRule="exact"/>
        <w:jc w:val="center"/>
        <w:rPr>
          <w:rFonts w:ascii="仿宋" w:hAnsi="仿宋" w:eastAsia="仿宋" w:cs="仿宋"/>
          <w:b/>
          <w:bCs/>
          <w:color w:val="auto"/>
          <w:sz w:val="44"/>
          <w:szCs w:val="44"/>
          <w:highlight w:val="none"/>
          <w:lang w:eastAsia="zh-CN"/>
        </w:rPr>
      </w:pPr>
    </w:p>
    <w:p w14:paraId="16878389">
      <w:pPr>
        <w:spacing w:line="540" w:lineRule="exact"/>
        <w:jc w:val="center"/>
        <w:rPr>
          <w:rFonts w:ascii="仿宋" w:hAnsi="仿宋" w:eastAsia="仿宋" w:cs="仿宋"/>
          <w:b/>
          <w:bCs/>
          <w:color w:val="auto"/>
          <w:sz w:val="44"/>
          <w:szCs w:val="44"/>
          <w:highlight w:val="none"/>
          <w:lang w:eastAsia="zh-CN"/>
        </w:rPr>
      </w:pPr>
    </w:p>
    <w:p w14:paraId="537545B0">
      <w:pPr>
        <w:spacing w:line="540" w:lineRule="exact"/>
        <w:jc w:val="center"/>
        <w:rPr>
          <w:rFonts w:ascii="仿宋" w:hAnsi="仿宋" w:eastAsia="仿宋" w:cs="仿宋"/>
          <w:b/>
          <w:bCs/>
          <w:color w:val="auto"/>
          <w:sz w:val="44"/>
          <w:szCs w:val="44"/>
          <w:highlight w:val="none"/>
          <w:lang w:eastAsia="zh-CN"/>
        </w:rPr>
      </w:pPr>
    </w:p>
    <w:p w14:paraId="6A39B974">
      <w:pPr>
        <w:spacing w:line="540" w:lineRule="exact"/>
        <w:jc w:val="center"/>
        <w:outlineLvl w:val="0"/>
        <w:rPr>
          <w:rFonts w:hint="eastAsia" w:ascii="仿宋" w:hAnsi="仿宋" w:eastAsia="仿宋" w:cs="仿宋"/>
          <w:b/>
          <w:bCs/>
          <w:color w:val="auto"/>
          <w:sz w:val="32"/>
          <w:szCs w:val="32"/>
          <w:highlight w:val="none"/>
          <w:lang w:eastAsia="zh-CN"/>
        </w:rPr>
      </w:pPr>
      <w:bookmarkStart w:id="31" w:name="_Toc1697"/>
    </w:p>
    <w:p w14:paraId="7A5B54D1">
      <w:pPr>
        <w:spacing w:line="540" w:lineRule="exact"/>
        <w:jc w:val="center"/>
        <w:outlineLvl w:val="0"/>
        <w:rPr>
          <w:rFonts w:hint="eastAsia" w:ascii="仿宋" w:hAnsi="仿宋" w:eastAsia="仿宋" w:cs="仿宋"/>
          <w:b/>
          <w:bCs/>
          <w:color w:val="auto"/>
          <w:sz w:val="32"/>
          <w:szCs w:val="32"/>
          <w:highlight w:val="none"/>
          <w:lang w:eastAsia="zh-CN"/>
        </w:rPr>
      </w:pPr>
    </w:p>
    <w:p w14:paraId="089D151D">
      <w:pPr>
        <w:spacing w:line="540" w:lineRule="exact"/>
        <w:jc w:val="center"/>
        <w:outlineLvl w:val="0"/>
        <w:rPr>
          <w:rFonts w:ascii="仿宋" w:hAnsi="仿宋" w:eastAsia="仿宋" w:cs="仿宋"/>
          <w:b/>
          <w:bCs/>
          <w:color w:val="auto"/>
          <w:sz w:val="32"/>
          <w:szCs w:val="32"/>
          <w:highlight w:val="none"/>
          <w:lang w:eastAsia="zh-CN"/>
        </w:rPr>
      </w:pPr>
      <w:r>
        <w:rPr>
          <w:rFonts w:hint="eastAsia" w:ascii="仿宋" w:hAnsi="仿宋" w:eastAsia="仿宋" w:cs="仿宋"/>
          <w:b/>
          <w:bCs/>
          <w:color w:val="auto"/>
          <w:sz w:val="32"/>
          <w:szCs w:val="32"/>
          <w:highlight w:val="none"/>
          <w:lang w:eastAsia="zh-CN"/>
        </w:rPr>
        <w:t>质疑函范本</w:t>
      </w:r>
      <w:bookmarkEnd w:id="31"/>
    </w:p>
    <w:p w14:paraId="4B8F3E3A">
      <w:pPr>
        <w:adjustRightInd w:val="0"/>
        <w:snapToGrid w:val="0"/>
        <w:spacing w:beforeLines="100" w:line="540" w:lineRule="exact"/>
        <w:ind w:firstLine="486" w:firstLineChars="200"/>
        <w:outlineLvl w:val="0"/>
        <w:rPr>
          <w:rFonts w:ascii="仿宋" w:hAnsi="仿宋" w:eastAsia="仿宋" w:cs="仿宋"/>
          <w:bCs/>
          <w:color w:val="auto"/>
          <w:highlight w:val="none"/>
          <w:lang w:eastAsia="zh-CN"/>
        </w:rPr>
      </w:pPr>
      <w:bookmarkStart w:id="32" w:name="_Toc9061"/>
      <w:r>
        <w:rPr>
          <w:rFonts w:hint="eastAsia" w:ascii="仿宋" w:hAnsi="仿宋" w:eastAsia="仿宋" w:cs="仿宋"/>
          <w:bCs/>
          <w:color w:val="auto"/>
          <w:highlight w:val="none"/>
          <w:lang w:eastAsia="zh-CN"/>
        </w:rPr>
        <w:t>一、质疑供应商基本信息</w:t>
      </w:r>
      <w:bookmarkEnd w:id="32"/>
    </w:p>
    <w:p w14:paraId="39342F26">
      <w:pPr>
        <w:adjustRightInd w:val="0"/>
        <w:snapToGrid w:val="0"/>
        <w:spacing w:line="540" w:lineRule="exact"/>
        <w:ind w:firstLine="486"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质疑供应商：</w:t>
      </w:r>
      <w:r>
        <w:rPr>
          <w:rFonts w:hint="eastAsia" w:ascii="仿宋" w:hAnsi="仿宋" w:eastAsia="仿宋" w:cs="仿宋"/>
          <w:color w:val="auto"/>
          <w:highlight w:val="none"/>
          <w:u w:val="dotted"/>
          <w:lang w:eastAsia="zh-CN"/>
        </w:rPr>
        <w:t xml:space="preserve">                         </w:t>
      </w:r>
    </w:p>
    <w:p w14:paraId="2C5341F9">
      <w:pPr>
        <w:adjustRightInd w:val="0"/>
        <w:snapToGrid w:val="0"/>
        <w:spacing w:line="5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地址：</w:t>
      </w:r>
      <w:r>
        <w:rPr>
          <w:rFonts w:hint="eastAsia" w:ascii="仿宋" w:hAnsi="仿宋" w:eastAsia="仿宋" w:cs="仿宋"/>
          <w:color w:val="auto"/>
          <w:highlight w:val="none"/>
          <w:u w:val="dotted"/>
          <w:lang w:eastAsia="zh-CN"/>
        </w:rPr>
        <w:t xml:space="preserve">                          </w:t>
      </w:r>
      <w:r>
        <w:rPr>
          <w:rFonts w:hint="eastAsia" w:ascii="仿宋" w:hAnsi="仿宋" w:eastAsia="仿宋" w:cs="仿宋"/>
          <w:color w:val="auto"/>
          <w:highlight w:val="none"/>
          <w:lang w:eastAsia="zh-CN"/>
        </w:rPr>
        <w:t>邮编：</w:t>
      </w:r>
      <w:r>
        <w:rPr>
          <w:rFonts w:hint="eastAsia" w:ascii="仿宋" w:hAnsi="仿宋" w:eastAsia="仿宋" w:cs="仿宋"/>
          <w:color w:val="auto"/>
          <w:highlight w:val="none"/>
          <w:u w:val="dotted"/>
          <w:lang w:eastAsia="zh-CN"/>
        </w:rPr>
        <w:t xml:space="preserve">            </w:t>
      </w:r>
    </w:p>
    <w:p w14:paraId="41AB437E">
      <w:pPr>
        <w:adjustRightInd w:val="0"/>
        <w:snapToGrid w:val="0"/>
        <w:spacing w:line="5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联系人：</w:t>
      </w:r>
      <w:r>
        <w:rPr>
          <w:rFonts w:hint="eastAsia" w:ascii="仿宋" w:hAnsi="仿宋" w:eastAsia="仿宋" w:cs="仿宋"/>
          <w:color w:val="auto"/>
          <w:highlight w:val="none"/>
          <w:u w:val="dotted"/>
          <w:lang w:eastAsia="zh-CN"/>
        </w:rPr>
        <w:t xml:space="preserve">                      </w:t>
      </w:r>
      <w:r>
        <w:rPr>
          <w:rFonts w:hint="eastAsia" w:ascii="仿宋" w:hAnsi="仿宋" w:eastAsia="仿宋" w:cs="仿宋"/>
          <w:color w:val="auto"/>
          <w:highlight w:val="none"/>
          <w:lang w:eastAsia="zh-CN"/>
        </w:rPr>
        <w:t>联系电话：</w:t>
      </w:r>
      <w:r>
        <w:rPr>
          <w:rFonts w:hint="eastAsia" w:ascii="仿宋" w:hAnsi="仿宋" w:eastAsia="仿宋" w:cs="仿宋"/>
          <w:color w:val="auto"/>
          <w:highlight w:val="none"/>
          <w:u w:val="dotted"/>
          <w:lang w:eastAsia="zh-CN"/>
        </w:rPr>
        <w:t xml:space="preserve">            </w:t>
      </w:r>
    </w:p>
    <w:p w14:paraId="2641EEAA">
      <w:pPr>
        <w:adjustRightInd w:val="0"/>
        <w:snapToGrid w:val="0"/>
        <w:spacing w:line="540" w:lineRule="exact"/>
        <w:ind w:firstLine="486"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授权代表：</w:t>
      </w:r>
      <w:r>
        <w:rPr>
          <w:rFonts w:hint="eastAsia" w:ascii="仿宋" w:hAnsi="仿宋" w:eastAsia="仿宋" w:cs="仿宋"/>
          <w:color w:val="auto"/>
          <w:highlight w:val="none"/>
          <w:u w:val="dotted"/>
          <w:lang w:eastAsia="zh-CN"/>
        </w:rPr>
        <w:t xml:space="preserve">                                          </w:t>
      </w:r>
    </w:p>
    <w:p w14:paraId="315C48F4">
      <w:pPr>
        <w:adjustRightInd w:val="0"/>
        <w:snapToGrid w:val="0"/>
        <w:spacing w:line="5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联系电话：</w:t>
      </w:r>
      <w:r>
        <w:rPr>
          <w:rFonts w:hint="eastAsia" w:ascii="仿宋" w:hAnsi="仿宋" w:eastAsia="仿宋" w:cs="仿宋"/>
          <w:color w:val="auto"/>
          <w:highlight w:val="none"/>
          <w:u w:val="dotted"/>
          <w:lang w:eastAsia="zh-CN"/>
        </w:rPr>
        <w:t xml:space="preserve">                                          </w:t>
      </w:r>
    </w:p>
    <w:p w14:paraId="670D72B9">
      <w:pPr>
        <w:adjustRightInd w:val="0"/>
        <w:snapToGrid w:val="0"/>
        <w:spacing w:line="5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地址： </w:t>
      </w:r>
      <w:r>
        <w:rPr>
          <w:rFonts w:hint="eastAsia" w:ascii="仿宋" w:hAnsi="仿宋" w:eastAsia="仿宋" w:cs="仿宋"/>
          <w:color w:val="auto"/>
          <w:highlight w:val="none"/>
          <w:u w:val="dotted"/>
          <w:lang w:eastAsia="zh-CN"/>
        </w:rPr>
        <w:t xml:space="preserve">                        </w:t>
      </w:r>
      <w:r>
        <w:rPr>
          <w:rFonts w:hint="eastAsia" w:ascii="仿宋" w:hAnsi="仿宋" w:eastAsia="仿宋" w:cs="仿宋"/>
          <w:color w:val="auto"/>
          <w:highlight w:val="none"/>
          <w:lang w:eastAsia="zh-CN"/>
        </w:rPr>
        <w:t>邮编：</w:t>
      </w:r>
      <w:r>
        <w:rPr>
          <w:rFonts w:hint="eastAsia" w:ascii="仿宋" w:hAnsi="仿宋" w:eastAsia="仿宋" w:cs="仿宋"/>
          <w:color w:val="auto"/>
          <w:highlight w:val="none"/>
          <w:u w:val="dotted"/>
          <w:lang w:eastAsia="zh-CN"/>
        </w:rPr>
        <w:t xml:space="preserve">               </w:t>
      </w:r>
    </w:p>
    <w:p w14:paraId="3CAF123D">
      <w:pPr>
        <w:adjustRightInd w:val="0"/>
        <w:snapToGrid w:val="0"/>
        <w:spacing w:line="540" w:lineRule="exact"/>
        <w:ind w:firstLine="486" w:firstLineChars="200"/>
        <w:outlineLvl w:val="0"/>
        <w:rPr>
          <w:rFonts w:ascii="仿宋" w:hAnsi="仿宋" w:eastAsia="仿宋" w:cs="仿宋"/>
          <w:bCs/>
          <w:color w:val="auto"/>
          <w:highlight w:val="none"/>
          <w:lang w:eastAsia="zh-CN"/>
        </w:rPr>
      </w:pPr>
      <w:bookmarkStart w:id="33" w:name="_Toc15938"/>
      <w:r>
        <w:rPr>
          <w:rFonts w:hint="eastAsia" w:ascii="仿宋" w:hAnsi="仿宋" w:eastAsia="仿宋" w:cs="仿宋"/>
          <w:bCs/>
          <w:color w:val="auto"/>
          <w:highlight w:val="none"/>
          <w:lang w:eastAsia="zh-CN"/>
        </w:rPr>
        <w:t>二、质疑项目基本情况</w:t>
      </w:r>
      <w:bookmarkEnd w:id="33"/>
    </w:p>
    <w:p w14:paraId="5B1D5370">
      <w:pPr>
        <w:adjustRightInd w:val="0"/>
        <w:snapToGrid w:val="0"/>
        <w:spacing w:line="5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质疑项目的名称：</w:t>
      </w:r>
      <w:r>
        <w:rPr>
          <w:rFonts w:hint="eastAsia" w:ascii="仿宋" w:hAnsi="仿宋" w:eastAsia="仿宋" w:cs="仿宋"/>
          <w:color w:val="auto"/>
          <w:highlight w:val="none"/>
          <w:u w:val="dotted"/>
          <w:lang w:eastAsia="zh-CN"/>
        </w:rPr>
        <w:t xml:space="preserve">                                     </w:t>
      </w:r>
    </w:p>
    <w:p w14:paraId="2FB3C650">
      <w:pPr>
        <w:adjustRightInd w:val="0"/>
        <w:snapToGrid w:val="0"/>
        <w:spacing w:line="5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质疑项目的编号：</w:t>
      </w:r>
      <w:r>
        <w:rPr>
          <w:rFonts w:hint="eastAsia" w:ascii="仿宋" w:hAnsi="仿宋" w:eastAsia="仿宋" w:cs="仿宋"/>
          <w:color w:val="auto"/>
          <w:highlight w:val="none"/>
          <w:u w:val="dotted"/>
          <w:lang w:eastAsia="zh-CN"/>
        </w:rPr>
        <w:t xml:space="preserve">               </w:t>
      </w:r>
      <w:r>
        <w:rPr>
          <w:rFonts w:hint="eastAsia" w:ascii="仿宋" w:hAnsi="仿宋" w:eastAsia="仿宋" w:cs="仿宋"/>
          <w:color w:val="auto"/>
          <w:highlight w:val="none"/>
          <w:lang w:eastAsia="zh-CN"/>
        </w:rPr>
        <w:t>包号：</w:t>
      </w:r>
      <w:r>
        <w:rPr>
          <w:rFonts w:hint="eastAsia" w:ascii="仿宋" w:hAnsi="仿宋" w:eastAsia="仿宋" w:cs="仿宋"/>
          <w:color w:val="auto"/>
          <w:highlight w:val="none"/>
          <w:u w:val="dotted"/>
          <w:lang w:eastAsia="zh-CN"/>
        </w:rPr>
        <w:t xml:space="preserve">                </w:t>
      </w:r>
    </w:p>
    <w:p w14:paraId="146C3331">
      <w:pPr>
        <w:adjustRightInd w:val="0"/>
        <w:snapToGrid w:val="0"/>
        <w:spacing w:line="540" w:lineRule="exact"/>
        <w:ind w:firstLine="486"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采购人名称：</w:t>
      </w:r>
      <w:r>
        <w:rPr>
          <w:rFonts w:hint="eastAsia" w:ascii="仿宋" w:hAnsi="仿宋" w:eastAsia="仿宋" w:cs="仿宋"/>
          <w:color w:val="auto"/>
          <w:highlight w:val="none"/>
          <w:u w:val="dotted"/>
          <w:lang w:eastAsia="zh-CN"/>
        </w:rPr>
        <w:t xml:space="preserve">                                         </w:t>
      </w:r>
    </w:p>
    <w:p w14:paraId="0B9AE928">
      <w:pPr>
        <w:adjustRightInd w:val="0"/>
        <w:snapToGrid w:val="0"/>
        <w:spacing w:line="5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采购文件获取日期：</w:t>
      </w:r>
      <w:r>
        <w:rPr>
          <w:rFonts w:hint="eastAsia" w:ascii="仿宋" w:hAnsi="仿宋" w:eastAsia="仿宋" w:cs="仿宋"/>
          <w:color w:val="auto"/>
          <w:highlight w:val="none"/>
          <w:u w:val="dotted"/>
          <w:lang w:eastAsia="zh-CN"/>
        </w:rPr>
        <w:t xml:space="preserve">                                   </w:t>
      </w:r>
    </w:p>
    <w:p w14:paraId="33F8D47D">
      <w:pPr>
        <w:adjustRightInd w:val="0"/>
        <w:snapToGrid w:val="0"/>
        <w:spacing w:line="540" w:lineRule="exact"/>
        <w:ind w:firstLine="486" w:firstLineChars="200"/>
        <w:outlineLvl w:val="0"/>
        <w:rPr>
          <w:rFonts w:ascii="仿宋" w:hAnsi="仿宋" w:eastAsia="仿宋" w:cs="仿宋"/>
          <w:bCs/>
          <w:color w:val="auto"/>
          <w:highlight w:val="none"/>
          <w:lang w:eastAsia="zh-CN"/>
        </w:rPr>
      </w:pPr>
      <w:bookmarkStart w:id="34" w:name="_Toc18271"/>
      <w:r>
        <w:rPr>
          <w:rFonts w:hint="eastAsia" w:ascii="仿宋" w:hAnsi="仿宋" w:eastAsia="仿宋" w:cs="仿宋"/>
          <w:bCs/>
          <w:color w:val="auto"/>
          <w:highlight w:val="none"/>
          <w:lang w:eastAsia="zh-CN"/>
        </w:rPr>
        <w:t>三、质疑事项具体内容</w:t>
      </w:r>
      <w:bookmarkEnd w:id="34"/>
    </w:p>
    <w:p w14:paraId="2BE5100E">
      <w:pPr>
        <w:adjustRightInd w:val="0"/>
        <w:snapToGrid w:val="0"/>
        <w:spacing w:line="540" w:lineRule="exact"/>
        <w:ind w:firstLine="486"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质疑事项1：</w:t>
      </w:r>
      <w:r>
        <w:rPr>
          <w:rFonts w:hint="eastAsia" w:ascii="仿宋" w:hAnsi="仿宋" w:eastAsia="仿宋" w:cs="仿宋"/>
          <w:color w:val="auto"/>
          <w:highlight w:val="none"/>
          <w:u w:val="dotted"/>
          <w:lang w:eastAsia="zh-CN"/>
        </w:rPr>
        <w:t xml:space="preserve">                                         </w:t>
      </w:r>
    </w:p>
    <w:p w14:paraId="1C64C5E3">
      <w:pPr>
        <w:adjustRightInd w:val="0"/>
        <w:snapToGrid w:val="0"/>
        <w:spacing w:line="5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事实依据：</w:t>
      </w:r>
      <w:r>
        <w:rPr>
          <w:rFonts w:hint="eastAsia" w:ascii="仿宋" w:hAnsi="仿宋" w:eastAsia="仿宋" w:cs="仿宋"/>
          <w:color w:val="auto"/>
          <w:highlight w:val="none"/>
          <w:u w:val="dotted"/>
          <w:lang w:eastAsia="zh-CN"/>
        </w:rPr>
        <w:t xml:space="preserve">                                           </w:t>
      </w:r>
    </w:p>
    <w:p w14:paraId="048DA445">
      <w:pPr>
        <w:adjustRightInd w:val="0"/>
        <w:snapToGrid w:val="0"/>
        <w:spacing w:line="540" w:lineRule="exact"/>
        <w:ind w:firstLine="486"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法律依据：</w:t>
      </w:r>
      <w:r>
        <w:rPr>
          <w:rFonts w:hint="eastAsia" w:ascii="仿宋" w:hAnsi="仿宋" w:eastAsia="仿宋" w:cs="仿宋"/>
          <w:color w:val="auto"/>
          <w:highlight w:val="none"/>
          <w:u w:val="dotted"/>
          <w:lang w:eastAsia="zh-CN"/>
        </w:rPr>
        <w:t xml:space="preserve">                                           </w:t>
      </w:r>
    </w:p>
    <w:p w14:paraId="489562D1">
      <w:pPr>
        <w:adjustRightInd w:val="0"/>
        <w:snapToGrid w:val="0"/>
        <w:spacing w:line="540" w:lineRule="exact"/>
        <w:ind w:firstLine="486"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质疑事项2</w:t>
      </w:r>
    </w:p>
    <w:p w14:paraId="24A077AA">
      <w:pPr>
        <w:adjustRightInd w:val="0"/>
        <w:snapToGrid w:val="0"/>
        <w:spacing w:line="5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w:t>
      </w:r>
    </w:p>
    <w:p w14:paraId="7F922288">
      <w:pPr>
        <w:adjustRightInd w:val="0"/>
        <w:snapToGrid w:val="0"/>
        <w:spacing w:line="540" w:lineRule="exact"/>
        <w:ind w:firstLine="486" w:firstLineChars="200"/>
        <w:outlineLvl w:val="0"/>
        <w:rPr>
          <w:rFonts w:ascii="仿宋" w:hAnsi="仿宋" w:eastAsia="仿宋" w:cs="仿宋"/>
          <w:bCs/>
          <w:color w:val="auto"/>
          <w:highlight w:val="none"/>
          <w:lang w:eastAsia="zh-CN"/>
        </w:rPr>
      </w:pPr>
      <w:bookmarkStart w:id="35" w:name="_Toc22365"/>
      <w:r>
        <w:rPr>
          <w:rFonts w:hint="eastAsia" w:ascii="仿宋" w:hAnsi="仿宋" w:eastAsia="仿宋" w:cs="仿宋"/>
          <w:bCs/>
          <w:color w:val="auto"/>
          <w:highlight w:val="none"/>
          <w:lang w:eastAsia="zh-CN"/>
        </w:rPr>
        <w:t>四、与质疑事项相关的质疑请求</w:t>
      </w:r>
      <w:bookmarkEnd w:id="35"/>
    </w:p>
    <w:p w14:paraId="36DB36DB">
      <w:pPr>
        <w:adjustRightInd w:val="0"/>
        <w:snapToGrid w:val="0"/>
        <w:spacing w:line="540" w:lineRule="exact"/>
        <w:ind w:firstLine="486"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请求：</w:t>
      </w:r>
      <w:r>
        <w:rPr>
          <w:rFonts w:hint="eastAsia" w:ascii="仿宋" w:hAnsi="仿宋" w:eastAsia="仿宋" w:cs="仿宋"/>
          <w:color w:val="auto"/>
          <w:highlight w:val="none"/>
          <w:u w:val="dotted"/>
          <w:lang w:eastAsia="zh-CN"/>
        </w:rPr>
        <w:t xml:space="preserve">                                               </w:t>
      </w:r>
    </w:p>
    <w:p w14:paraId="7ABAA96F">
      <w:pPr>
        <w:spacing w:line="5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签章(签章)：                   公章：                      </w:t>
      </w:r>
    </w:p>
    <w:p w14:paraId="48D31124">
      <w:pPr>
        <w:spacing w:line="540" w:lineRule="exact"/>
        <w:ind w:firstLine="486" w:firstLineChars="200"/>
        <w:rPr>
          <w:rFonts w:ascii="仿宋" w:hAnsi="仿宋" w:eastAsia="仿宋" w:cs="仿宋"/>
          <w:b/>
          <w:bCs/>
          <w:color w:val="auto"/>
          <w:sz w:val="21"/>
          <w:szCs w:val="21"/>
          <w:highlight w:val="none"/>
          <w:lang w:eastAsia="zh-CN"/>
        </w:rPr>
      </w:pPr>
      <w:r>
        <w:rPr>
          <w:rFonts w:hint="eastAsia" w:ascii="仿宋" w:hAnsi="仿宋" w:eastAsia="仿宋" w:cs="仿宋"/>
          <w:color w:val="auto"/>
          <w:highlight w:val="none"/>
          <w:lang w:eastAsia="zh-CN"/>
        </w:rPr>
        <w:t xml:space="preserve">日期：    </w:t>
      </w:r>
    </w:p>
    <w:p w14:paraId="6251B1DA">
      <w:pPr>
        <w:pageBreakBefore/>
        <w:spacing w:line="440" w:lineRule="exact"/>
        <w:jc w:val="center"/>
        <w:outlineLvl w:val="0"/>
        <w:rPr>
          <w:rFonts w:ascii="仿宋" w:hAnsi="仿宋" w:eastAsia="仿宋" w:cs="仿宋"/>
          <w:b/>
          <w:bCs/>
          <w:color w:val="auto"/>
          <w:sz w:val="30"/>
          <w:szCs w:val="30"/>
          <w:highlight w:val="none"/>
          <w:lang w:eastAsia="zh-CN"/>
        </w:rPr>
      </w:pPr>
      <w:bookmarkStart w:id="36" w:name="_Toc469495731"/>
      <w:r>
        <w:rPr>
          <w:rFonts w:hint="eastAsia" w:ascii="仿宋" w:hAnsi="仿宋" w:eastAsia="仿宋" w:cs="仿宋"/>
          <w:b/>
          <w:bCs/>
          <w:color w:val="auto"/>
          <w:sz w:val="30"/>
          <w:szCs w:val="30"/>
          <w:highlight w:val="none"/>
          <w:lang w:eastAsia="zh-CN"/>
        </w:rPr>
        <w:t>第三部分  评标办法</w:t>
      </w:r>
      <w:bookmarkEnd w:id="36"/>
    </w:p>
    <w:p w14:paraId="49033E1F">
      <w:pPr>
        <w:jc w:val="center"/>
        <w:outlineLvl w:val="1"/>
        <w:rPr>
          <w:rFonts w:ascii="仿宋" w:hAnsi="仿宋" w:eastAsia="仿宋" w:cs="仿宋"/>
          <w:b/>
          <w:color w:val="auto"/>
          <w:sz w:val="28"/>
          <w:szCs w:val="28"/>
          <w:highlight w:val="none"/>
          <w:lang w:eastAsia="zh-CN"/>
        </w:rPr>
      </w:pPr>
      <w:bookmarkStart w:id="37" w:name="_Toc469495733"/>
      <w:bookmarkStart w:id="38" w:name="_Toc362983802"/>
      <w:bookmarkStart w:id="39" w:name="_Toc267320058"/>
      <w:bookmarkStart w:id="40" w:name="_Toc363135205"/>
      <w:r>
        <w:rPr>
          <w:rFonts w:hint="eastAsia" w:ascii="仿宋" w:hAnsi="仿宋" w:eastAsia="仿宋" w:cs="仿宋"/>
          <w:b/>
          <w:color w:val="auto"/>
          <w:sz w:val="28"/>
          <w:szCs w:val="28"/>
          <w:highlight w:val="none"/>
          <w:lang w:eastAsia="zh-CN"/>
        </w:rPr>
        <w:t>一  总  则</w:t>
      </w:r>
    </w:p>
    <w:p w14:paraId="23C9D943">
      <w:pPr>
        <w:keepNext w:val="0"/>
        <w:keepLines w:val="0"/>
        <w:pageBreakBefore w:val="0"/>
        <w:tabs>
          <w:tab w:val="left" w:pos="567"/>
          <w:tab w:val="left" w:pos="600"/>
        </w:tabs>
        <w:kinsoku/>
        <w:wordWrap/>
        <w:overflowPunct/>
        <w:topLinePunct w:val="0"/>
        <w:autoSpaceDE/>
        <w:autoSpaceDN/>
        <w:bidi w:val="0"/>
        <w:adjustRightInd/>
        <w:snapToGrid/>
        <w:spacing w:line="42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1、一般规定</w:t>
      </w:r>
    </w:p>
    <w:p w14:paraId="21C31FDC">
      <w:pPr>
        <w:keepNext w:val="0"/>
        <w:keepLines w:val="0"/>
        <w:pageBreakBefore w:val="0"/>
        <w:kinsoku/>
        <w:wordWrap/>
        <w:overflowPunct/>
        <w:topLinePunct w:val="0"/>
        <w:autoSpaceDE/>
        <w:autoSpaceDN/>
        <w:bidi w:val="0"/>
        <w:adjustRightInd/>
        <w:snapToGrid/>
        <w:spacing w:line="42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1.1本项目的招标按照《中华人民共和国政府采购法》、《政府采购货物和服务招标投标管理办法》及政府采购的有关规定进行。</w:t>
      </w:r>
    </w:p>
    <w:p w14:paraId="751DBA3A">
      <w:pPr>
        <w:keepNext w:val="0"/>
        <w:keepLines w:val="0"/>
        <w:pageBreakBefore w:val="0"/>
        <w:kinsoku/>
        <w:wordWrap/>
        <w:overflowPunct/>
        <w:topLinePunct w:val="0"/>
        <w:autoSpaceDE/>
        <w:autoSpaceDN/>
        <w:bidi w:val="0"/>
        <w:adjustRightInd/>
        <w:snapToGrid/>
        <w:spacing w:line="42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1.2评标必须遵循邀请、公平、公正、诚实信用的原则。</w:t>
      </w:r>
    </w:p>
    <w:p w14:paraId="220C2B6D">
      <w:pPr>
        <w:keepNext w:val="0"/>
        <w:keepLines w:val="0"/>
        <w:pageBreakBefore w:val="0"/>
        <w:kinsoku/>
        <w:wordWrap/>
        <w:overflowPunct/>
        <w:topLinePunct w:val="0"/>
        <w:autoSpaceDE/>
        <w:autoSpaceDN/>
        <w:bidi w:val="0"/>
        <w:adjustRightInd/>
        <w:snapToGrid/>
        <w:spacing w:line="42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1.3招标代理机构组织招标、开标、评标工作，全过程接受政府采购有关部门的监督、管理和指导。</w:t>
      </w:r>
    </w:p>
    <w:p w14:paraId="0D918D5A">
      <w:pPr>
        <w:keepNext w:val="0"/>
        <w:keepLines w:val="0"/>
        <w:pageBreakBefore w:val="0"/>
        <w:kinsoku/>
        <w:wordWrap/>
        <w:overflowPunct/>
        <w:topLinePunct w:val="0"/>
        <w:autoSpaceDE/>
        <w:autoSpaceDN/>
        <w:bidi w:val="0"/>
        <w:adjustRightInd/>
        <w:snapToGrid/>
        <w:spacing w:line="42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1.4评标按照招标文件规定的内容进行，采取符合招标文件要求的</w:t>
      </w:r>
      <w:r>
        <w:rPr>
          <w:rFonts w:hint="eastAsia" w:ascii="仿宋" w:hAnsi="仿宋" w:eastAsia="仿宋" w:cs="仿宋"/>
          <w:color w:val="auto"/>
          <w:szCs w:val="21"/>
          <w:highlight w:val="none"/>
          <w:lang w:val="en-US" w:eastAsia="zh-CN"/>
        </w:rPr>
        <w:t>综合评分法</w:t>
      </w:r>
      <w:r>
        <w:rPr>
          <w:rFonts w:hint="eastAsia" w:ascii="仿宋" w:hAnsi="仿宋" w:eastAsia="仿宋" w:cs="仿宋"/>
          <w:color w:val="auto"/>
          <w:szCs w:val="21"/>
          <w:highlight w:val="none"/>
          <w:lang w:eastAsia="zh-CN"/>
        </w:rPr>
        <w:t>；</w:t>
      </w:r>
    </w:p>
    <w:p w14:paraId="24B851E2">
      <w:pPr>
        <w:keepNext w:val="0"/>
        <w:keepLines w:val="0"/>
        <w:pageBreakBefore w:val="0"/>
        <w:kinsoku/>
        <w:wordWrap/>
        <w:overflowPunct/>
        <w:topLinePunct w:val="0"/>
        <w:autoSpaceDE/>
        <w:autoSpaceDN/>
        <w:bidi w:val="0"/>
        <w:adjustRightInd/>
        <w:snapToGrid/>
        <w:spacing w:line="42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1.5本办法的评标对象是指供应商按照招标文件要求提供的有效投标文件，包括供应商应评标委员会要求对原投标文件作出的正式书面澄清文件。</w:t>
      </w:r>
    </w:p>
    <w:p w14:paraId="6645CF32">
      <w:pPr>
        <w:keepNext w:val="0"/>
        <w:keepLines w:val="0"/>
        <w:pageBreakBefore w:val="0"/>
        <w:tabs>
          <w:tab w:val="left" w:pos="567"/>
          <w:tab w:val="left" w:pos="1145"/>
        </w:tabs>
        <w:kinsoku/>
        <w:wordWrap/>
        <w:overflowPunct/>
        <w:topLinePunct w:val="0"/>
        <w:autoSpaceDE/>
        <w:autoSpaceDN/>
        <w:bidi w:val="0"/>
        <w:adjustRightInd/>
        <w:snapToGrid/>
        <w:spacing w:line="42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2、评标组织机构的组成</w:t>
      </w:r>
    </w:p>
    <w:p w14:paraId="4AE09129">
      <w:pPr>
        <w:keepNext w:val="0"/>
        <w:keepLines w:val="0"/>
        <w:pageBreakBefore w:val="0"/>
        <w:widowControl/>
        <w:kinsoku/>
        <w:wordWrap/>
        <w:overflowPunct/>
        <w:topLinePunct w:val="0"/>
        <w:autoSpaceDE/>
        <w:autoSpaceDN/>
        <w:bidi w:val="0"/>
        <w:adjustRightInd/>
        <w:snapToGrid/>
        <w:spacing w:line="420" w:lineRule="exact"/>
        <w:ind w:firstLine="480"/>
        <w:textAlignment w:val="auto"/>
        <w:rPr>
          <w:rFonts w:ascii="仿宋" w:hAnsi="仿宋" w:eastAsia="仿宋" w:cs="仿宋"/>
          <w:b/>
          <w:bCs/>
          <w:color w:val="auto"/>
          <w:szCs w:val="21"/>
          <w:highlight w:val="none"/>
          <w:lang w:eastAsia="zh-CN"/>
        </w:rPr>
      </w:pPr>
      <w:r>
        <w:rPr>
          <w:rFonts w:hint="eastAsia" w:ascii="仿宋" w:hAnsi="仿宋" w:eastAsia="仿宋" w:cs="仿宋"/>
          <w:b/>
          <w:bCs/>
          <w:color w:val="auto"/>
          <w:szCs w:val="21"/>
          <w:highlight w:val="none"/>
          <w:lang w:eastAsia="zh-CN"/>
        </w:rPr>
        <w:t>2.1</w:t>
      </w:r>
      <w:r>
        <w:rPr>
          <w:rFonts w:hint="eastAsia" w:ascii="仿宋" w:hAnsi="仿宋" w:eastAsia="仿宋" w:cs="仿宋"/>
          <w:color w:val="auto"/>
          <w:spacing w:val="-2"/>
          <w:highlight w:val="none"/>
          <w:lang w:eastAsia="zh-CN"/>
        </w:rPr>
        <w:t xml:space="preserve"> 评标委员会由采购人代表1人和有关技术、经济等方面的专家</w:t>
      </w:r>
      <w:r>
        <w:rPr>
          <w:rFonts w:hint="eastAsia" w:ascii="仿宋" w:hAnsi="仿宋" w:eastAsia="仿宋" w:cs="仿宋"/>
          <w:color w:val="auto"/>
          <w:spacing w:val="-2"/>
          <w:highlight w:val="none"/>
          <w:lang w:val="en-US" w:eastAsia="zh-CN"/>
        </w:rPr>
        <w:t>4</w:t>
      </w:r>
      <w:r>
        <w:rPr>
          <w:rFonts w:hint="eastAsia" w:ascii="仿宋" w:hAnsi="仿宋" w:eastAsia="仿宋" w:cs="仿宋"/>
          <w:color w:val="auto"/>
          <w:spacing w:val="-2"/>
          <w:highlight w:val="none"/>
          <w:lang w:eastAsia="zh-CN"/>
        </w:rPr>
        <w:t>人组成，成员人数为</w:t>
      </w:r>
      <w:r>
        <w:rPr>
          <w:rFonts w:hint="eastAsia" w:ascii="仿宋" w:hAnsi="仿宋" w:eastAsia="仿宋" w:cs="仿宋"/>
          <w:color w:val="auto"/>
          <w:spacing w:val="-2"/>
          <w:highlight w:val="none"/>
          <w:lang w:val="en-US" w:eastAsia="zh-CN"/>
        </w:rPr>
        <w:t>5</w:t>
      </w:r>
      <w:r>
        <w:rPr>
          <w:rFonts w:hint="eastAsia" w:ascii="仿宋" w:hAnsi="仿宋" w:eastAsia="仿宋" w:cs="仿宋"/>
          <w:color w:val="auto"/>
          <w:spacing w:val="-2"/>
          <w:highlight w:val="none"/>
          <w:lang w:eastAsia="zh-CN"/>
        </w:rPr>
        <w:t>人。</w:t>
      </w:r>
      <w:r>
        <w:rPr>
          <w:rFonts w:hint="eastAsia" w:ascii="仿宋" w:hAnsi="仿宋" w:eastAsia="仿宋" w:cs="仿宋"/>
          <w:color w:val="auto"/>
          <w:szCs w:val="21"/>
          <w:highlight w:val="none"/>
          <w:lang w:eastAsia="zh-CN" w:bidi="ar-SA"/>
        </w:rPr>
        <w:t>其中，技术、经济等方面的专家不得少于成员总数的三分之二。采购数额在1000万元以上、技术复杂的项目，评标委员会中技术、经济方面的专家人数应当为七人以上单数。采购人应当从同级或上一级财政部门设立的政府采购评审专家库中，通过随机方式抽取评标专家。采购人对技术复杂、专业性极强的采购项目，通过随机方式难以确定合适评标专家的，经设区的市、自治州以上人民政府财政部门同意，可以采取选择性方式确定评标专家。</w:t>
      </w:r>
    </w:p>
    <w:p w14:paraId="29C63A85">
      <w:pPr>
        <w:keepNext w:val="0"/>
        <w:keepLines w:val="0"/>
        <w:pageBreakBefore w:val="0"/>
        <w:tabs>
          <w:tab w:val="left" w:pos="567"/>
          <w:tab w:val="left" w:pos="1145"/>
        </w:tabs>
        <w:kinsoku/>
        <w:wordWrap/>
        <w:overflowPunct/>
        <w:topLinePunct w:val="0"/>
        <w:autoSpaceDE/>
        <w:autoSpaceDN/>
        <w:bidi w:val="0"/>
        <w:adjustRightInd/>
        <w:snapToGrid/>
        <w:spacing w:line="42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2.2评标工作组由招标人及有关专家组成，由评标委员会确认，并接受其领导。</w:t>
      </w:r>
    </w:p>
    <w:p w14:paraId="5BF864C4">
      <w:pPr>
        <w:keepNext w:val="0"/>
        <w:keepLines w:val="0"/>
        <w:pageBreakBefore w:val="0"/>
        <w:tabs>
          <w:tab w:val="left" w:pos="567"/>
          <w:tab w:val="left" w:pos="1145"/>
        </w:tabs>
        <w:kinsoku/>
        <w:wordWrap/>
        <w:overflowPunct/>
        <w:topLinePunct w:val="0"/>
        <w:autoSpaceDE/>
        <w:autoSpaceDN/>
        <w:bidi w:val="0"/>
        <w:adjustRightInd/>
        <w:snapToGrid/>
        <w:spacing w:line="42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2.3评标委员会应相对独立工作，负责评标、撰写技术、商务评标报告。采购代理机构负责评标过程中资料的保管、发放、回收，整理、汇总评标资料。</w:t>
      </w:r>
    </w:p>
    <w:p w14:paraId="1486BD5B">
      <w:pPr>
        <w:keepNext w:val="0"/>
        <w:keepLines w:val="0"/>
        <w:pageBreakBefore w:val="0"/>
        <w:tabs>
          <w:tab w:val="left" w:pos="567"/>
          <w:tab w:val="left" w:pos="600"/>
        </w:tabs>
        <w:kinsoku/>
        <w:wordWrap/>
        <w:overflowPunct/>
        <w:topLinePunct w:val="0"/>
        <w:autoSpaceDE/>
        <w:autoSpaceDN/>
        <w:bidi w:val="0"/>
        <w:adjustRightInd/>
        <w:snapToGrid/>
        <w:spacing w:line="42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3、评标委员会职责</w:t>
      </w:r>
    </w:p>
    <w:p w14:paraId="7CA02A87">
      <w:pPr>
        <w:pStyle w:val="45"/>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619" w:firstLineChars="255"/>
        <w:textAlignment w:val="auto"/>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3.1审查投标文件是否符合招标文件要求，并作出评价；</w:t>
      </w:r>
    </w:p>
    <w:p w14:paraId="3D5E2CFE">
      <w:pPr>
        <w:pStyle w:val="45"/>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619" w:firstLineChars="255"/>
        <w:textAlignment w:val="auto"/>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3.2要求供应商对投标文件有关事项作出解释或者澄清；</w:t>
      </w:r>
    </w:p>
    <w:p w14:paraId="154324B6">
      <w:pPr>
        <w:pStyle w:val="45"/>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619" w:firstLineChars="255"/>
        <w:textAlignment w:val="auto"/>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3.3推荐中标候选人名单；</w:t>
      </w:r>
    </w:p>
    <w:p w14:paraId="504F359C">
      <w:pPr>
        <w:pStyle w:val="45"/>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619" w:firstLineChars="255"/>
        <w:textAlignment w:val="auto"/>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3.4向招标人、招标代理机构或者有关部门报告非法干预评标工作的行为。</w:t>
      </w:r>
    </w:p>
    <w:p w14:paraId="5916B5D0">
      <w:pPr>
        <w:keepNext w:val="0"/>
        <w:keepLines w:val="0"/>
        <w:pageBreakBefore w:val="0"/>
        <w:tabs>
          <w:tab w:val="left" w:pos="567"/>
          <w:tab w:val="left" w:pos="600"/>
        </w:tabs>
        <w:kinsoku/>
        <w:wordWrap/>
        <w:overflowPunct/>
        <w:topLinePunct w:val="0"/>
        <w:autoSpaceDE/>
        <w:autoSpaceDN/>
        <w:bidi w:val="0"/>
        <w:adjustRightInd/>
        <w:snapToGrid/>
        <w:spacing w:line="42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4、评标委员会义务</w:t>
      </w:r>
    </w:p>
    <w:p w14:paraId="6C086F5F">
      <w:pPr>
        <w:keepNext w:val="0"/>
        <w:keepLines w:val="0"/>
        <w:pageBreakBefore w:val="0"/>
        <w:tabs>
          <w:tab w:val="left" w:pos="567"/>
          <w:tab w:val="left" w:pos="600"/>
        </w:tabs>
        <w:kinsoku/>
        <w:wordWrap/>
        <w:overflowPunct/>
        <w:topLinePunct w:val="0"/>
        <w:autoSpaceDE/>
        <w:autoSpaceDN/>
        <w:bidi w:val="0"/>
        <w:adjustRightInd/>
        <w:snapToGrid/>
        <w:spacing w:line="42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4.1遵纪守法，客观、公正、廉洁地履行职责；</w:t>
      </w:r>
    </w:p>
    <w:p w14:paraId="34D11CFE">
      <w:pPr>
        <w:keepNext w:val="0"/>
        <w:keepLines w:val="0"/>
        <w:pageBreakBefore w:val="0"/>
        <w:tabs>
          <w:tab w:val="left" w:pos="567"/>
          <w:tab w:val="left" w:pos="600"/>
        </w:tabs>
        <w:kinsoku/>
        <w:wordWrap/>
        <w:overflowPunct/>
        <w:topLinePunct w:val="0"/>
        <w:autoSpaceDE/>
        <w:autoSpaceDN/>
        <w:bidi w:val="0"/>
        <w:adjustRightInd/>
        <w:snapToGrid/>
        <w:spacing w:line="42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4.2按照招标文件规定的评标方法和评标标准进行评标，对评审意见承担个人责任；</w:t>
      </w:r>
    </w:p>
    <w:p w14:paraId="6BA184B6">
      <w:pPr>
        <w:keepNext w:val="0"/>
        <w:keepLines w:val="0"/>
        <w:pageBreakBefore w:val="0"/>
        <w:tabs>
          <w:tab w:val="left" w:pos="567"/>
          <w:tab w:val="left" w:pos="600"/>
        </w:tabs>
        <w:kinsoku/>
        <w:wordWrap/>
        <w:overflowPunct/>
        <w:topLinePunct w:val="0"/>
        <w:autoSpaceDE/>
        <w:autoSpaceDN/>
        <w:bidi w:val="0"/>
        <w:adjustRightInd/>
        <w:snapToGrid/>
        <w:spacing w:line="42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4.3对评标过程和结果，以及供应商的商业秘密保密；</w:t>
      </w:r>
    </w:p>
    <w:p w14:paraId="62E31932">
      <w:pPr>
        <w:keepNext w:val="0"/>
        <w:keepLines w:val="0"/>
        <w:pageBreakBefore w:val="0"/>
        <w:tabs>
          <w:tab w:val="left" w:pos="567"/>
          <w:tab w:val="left" w:pos="600"/>
        </w:tabs>
        <w:kinsoku/>
        <w:wordWrap/>
        <w:overflowPunct/>
        <w:topLinePunct w:val="0"/>
        <w:autoSpaceDE/>
        <w:autoSpaceDN/>
        <w:bidi w:val="0"/>
        <w:adjustRightInd/>
        <w:snapToGrid/>
        <w:spacing w:line="42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4.4参与评标报告的起草；</w:t>
      </w:r>
    </w:p>
    <w:p w14:paraId="163F8609">
      <w:pPr>
        <w:keepNext w:val="0"/>
        <w:keepLines w:val="0"/>
        <w:pageBreakBefore w:val="0"/>
        <w:tabs>
          <w:tab w:val="left" w:pos="567"/>
          <w:tab w:val="left" w:pos="600"/>
        </w:tabs>
        <w:kinsoku/>
        <w:wordWrap/>
        <w:overflowPunct/>
        <w:topLinePunct w:val="0"/>
        <w:autoSpaceDE/>
        <w:autoSpaceDN/>
        <w:bidi w:val="0"/>
        <w:adjustRightInd/>
        <w:snapToGrid/>
        <w:spacing w:line="42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4.5配合有关部门的投诉处理工作；</w:t>
      </w:r>
    </w:p>
    <w:p w14:paraId="637BAC44">
      <w:pPr>
        <w:keepNext w:val="0"/>
        <w:keepLines w:val="0"/>
        <w:pageBreakBefore w:val="0"/>
        <w:tabs>
          <w:tab w:val="left" w:pos="567"/>
          <w:tab w:val="left" w:pos="600"/>
        </w:tabs>
        <w:kinsoku/>
        <w:wordWrap/>
        <w:overflowPunct/>
        <w:topLinePunct w:val="0"/>
        <w:autoSpaceDE/>
        <w:autoSpaceDN/>
        <w:bidi w:val="0"/>
        <w:adjustRightInd/>
        <w:snapToGrid/>
        <w:spacing w:line="42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4.6配合招标人、招标代理机构答复投标供应商提出的质疑。</w:t>
      </w:r>
    </w:p>
    <w:p w14:paraId="6195AAE0">
      <w:pPr>
        <w:keepNext w:val="0"/>
        <w:keepLines w:val="0"/>
        <w:pageBreakBefore w:val="0"/>
        <w:tabs>
          <w:tab w:val="left" w:pos="1547"/>
        </w:tabs>
        <w:kinsoku/>
        <w:wordWrap/>
        <w:overflowPunct/>
        <w:topLinePunct w:val="0"/>
        <w:autoSpaceDE/>
        <w:autoSpaceDN/>
        <w:bidi w:val="0"/>
        <w:adjustRightInd/>
        <w:snapToGrid/>
        <w:spacing w:line="420" w:lineRule="exact"/>
        <w:ind w:firstLine="619" w:firstLineChars="255"/>
        <w:textAlignment w:val="auto"/>
        <w:rPr>
          <w:rFonts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5、 评标程序</w:t>
      </w:r>
    </w:p>
    <w:p w14:paraId="76510629">
      <w:pPr>
        <w:pStyle w:val="19"/>
        <w:keepNext w:val="0"/>
        <w:keepLines w:val="0"/>
        <w:pageBreakBefore w:val="0"/>
        <w:tabs>
          <w:tab w:val="left" w:pos="720"/>
          <w:tab w:val="clear" w:pos="0"/>
        </w:tabs>
        <w:kinsoku/>
        <w:wordWrap/>
        <w:overflowPunct/>
        <w:topLinePunct w:val="0"/>
        <w:autoSpaceDE/>
        <w:autoSpaceDN/>
        <w:bidi w:val="0"/>
        <w:adjustRightInd/>
        <w:snapToGrid/>
        <w:spacing w:line="420" w:lineRule="exact"/>
        <w:ind w:firstLine="619" w:firstLineChars="255"/>
        <w:textAlignment w:val="auto"/>
        <w:rPr>
          <w:rFonts w:ascii="仿宋" w:hAnsi="仿宋" w:eastAsia="仿宋" w:cs="仿宋"/>
          <w:bCs/>
          <w:color w:val="auto"/>
          <w:szCs w:val="21"/>
          <w:highlight w:val="none"/>
          <w:lang w:eastAsia="zh-CN" w:bidi="ar-SA"/>
        </w:rPr>
      </w:pPr>
      <w:r>
        <w:rPr>
          <w:rFonts w:hint="eastAsia" w:ascii="仿宋" w:hAnsi="仿宋" w:eastAsia="仿宋" w:cs="仿宋"/>
          <w:bCs/>
          <w:color w:val="auto"/>
          <w:szCs w:val="21"/>
          <w:highlight w:val="none"/>
          <w:lang w:eastAsia="zh-CN" w:bidi="ar-SA"/>
        </w:rPr>
        <w:t>5.1本次评标首先由评标委员会对供应商的投标文件进行初审，对未能通过初审的投标文件作无效标处理；</w:t>
      </w:r>
    </w:p>
    <w:p w14:paraId="021DA387">
      <w:pPr>
        <w:keepNext w:val="0"/>
        <w:keepLines w:val="0"/>
        <w:pageBreakBefore w:val="0"/>
        <w:tabs>
          <w:tab w:val="left" w:pos="720"/>
        </w:tabs>
        <w:kinsoku/>
        <w:wordWrap/>
        <w:overflowPunct/>
        <w:topLinePunct w:val="0"/>
        <w:autoSpaceDE/>
        <w:autoSpaceDN/>
        <w:bidi w:val="0"/>
        <w:adjustRightInd/>
        <w:snapToGrid/>
        <w:spacing w:line="420" w:lineRule="exact"/>
        <w:ind w:firstLine="619" w:firstLineChars="255"/>
        <w:textAlignment w:val="auto"/>
        <w:rPr>
          <w:rFonts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5.2对通过初审的供应商的投标文件进行详细的比较和评价。如需要，进行必要的澄清工作；</w:t>
      </w:r>
    </w:p>
    <w:p w14:paraId="0CE61F9E">
      <w:pPr>
        <w:keepNext w:val="0"/>
        <w:keepLines w:val="0"/>
        <w:pageBreakBefore w:val="0"/>
        <w:widowControl/>
        <w:kinsoku/>
        <w:wordWrap/>
        <w:overflowPunct/>
        <w:topLinePunct w:val="0"/>
        <w:autoSpaceDE/>
        <w:autoSpaceDN/>
        <w:bidi w:val="0"/>
        <w:adjustRightInd/>
        <w:snapToGrid/>
        <w:spacing w:line="420" w:lineRule="exact"/>
        <w:ind w:firstLine="482"/>
        <w:textAlignment w:val="auto"/>
        <w:rPr>
          <w:rFonts w:ascii="仿宋" w:hAnsi="仿宋" w:eastAsia="仿宋" w:cs="仿宋"/>
          <w:b/>
          <w:bCs/>
          <w:color w:val="auto"/>
          <w:sz w:val="36"/>
          <w:szCs w:val="36"/>
          <w:highlight w:val="none"/>
          <w:lang w:eastAsia="zh-CN" w:bidi="ar-SA"/>
        </w:rPr>
      </w:pPr>
      <w:r>
        <w:rPr>
          <w:rFonts w:hint="eastAsia" w:ascii="仿宋" w:hAnsi="仿宋" w:eastAsia="仿宋" w:cs="仿宋"/>
          <w:color w:val="auto"/>
          <w:szCs w:val="21"/>
          <w:highlight w:val="none"/>
          <w:lang w:eastAsia="zh-CN" w:bidi="ar-SA"/>
        </w:rPr>
        <w:t>5.3依据评分标准以及各项权值，各位评委单独就每个供应商的投标文件进行价格、技术、信誉、</w:t>
      </w:r>
      <w:r>
        <w:rPr>
          <w:rFonts w:hint="eastAsia" w:ascii="仿宋" w:hAnsi="仿宋" w:eastAsia="仿宋" w:cs="仿宋"/>
          <w:color w:val="auto"/>
          <w:szCs w:val="21"/>
          <w:highlight w:val="none"/>
          <w:lang w:val="en-US" w:eastAsia="zh-CN" w:bidi="ar-SA"/>
        </w:rPr>
        <w:t>方案</w:t>
      </w:r>
      <w:r>
        <w:rPr>
          <w:rFonts w:hint="eastAsia" w:ascii="仿宋" w:hAnsi="仿宋" w:eastAsia="仿宋" w:cs="仿宋"/>
          <w:color w:val="auto"/>
          <w:szCs w:val="21"/>
          <w:highlight w:val="none"/>
          <w:lang w:eastAsia="zh-CN" w:bidi="ar-SA"/>
        </w:rPr>
        <w:t>、服务、对招标文件的响应程度，以及相应的比重或者权值等各项因素进行综合评审后，按最终综合得分由高向低排序，由评标委员会推荐综合得分最高的供应商为第一中标候选人，综合得分第二名的供应商为第二中标候选人，综合得分第三名的供应商为第三中标候选人。</w:t>
      </w:r>
    </w:p>
    <w:p w14:paraId="10EE9634">
      <w:pPr>
        <w:jc w:val="center"/>
        <w:outlineLvl w:val="1"/>
        <w:rPr>
          <w:rFonts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二  投标文件初审</w:t>
      </w:r>
      <w:bookmarkEnd w:id="37"/>
      <w:bookmarkEnd w:id="38"/>
    </w:p>
    <w:p w14:paraId="5A6037C7">
      <w:pPr>
        <w:spacing w:line="400" w:lineRule="exact"/>
        <w:ind w:firstLine="356" w:firstLineChars="147"/>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6.资格性审查:</w:t>
      </w:r>
    </w:p>
    <w:p w14:paraId="62D007B6">
      <w:pPr>
        <w:spacing w:line="400" w:lineRule="exact"/>
        <w:ind w:firstLine="356" w:firstLineChars="147"/>
        <w:rPr>
          <w:rFonts w:hint="eastAsia" w:ascii="仿宋" w:hAnsi="仿宋" w:eastAsia="仿宋" w:cs="仿宋"/>
          <w:color w:val="auto"/>
          <w:szCs w:val="21"/>
          <w:highlight w:val="none"/>
        </w:rPr>
      </w:pPr>
      <w:r>
        <w:rPr>
          <w:rFonts w:hint="eastAsia" w:ascii="仿宋" w:hAnsi="仿宋" w:eastAsia="仿宋" w:cs="仿宋"/>
          <w:color w:val="auto"/>
          <w:szCs w:val="21"/>
          <w:highlight w:val="none"/>
          <w:lang w:eastAsia="zh-CN"/>
        </w:rPr>
        <w:t>6</w:t>
      </w:r>
      <w:r>
        <w:rPr>
          <w:rFonts w:hint="eastAsia" w:ascii="仿宋" w:hAnsi="仿宋" w:eastAsia="仿宋" w:cs="仿宋"/>
          <w:color w:val="auto"/>
          <w:szCs w:val="21"/>
          <w:highlight w:val="none"/>
        </w:rPr>
        <w:t>.1评审细则</w:t>
      </w:r>
    </w:p>
    <w:tbl>
      <w:tblPr>
        <w:tblStyle w:val="25"/>
        <w:tblW w:w="101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
        <w:gridCol w:w="495"/>
        <w:gridCol w:w="7662"/>
        <w:gridCol w:w="525"/>
        <w:gridCol w:w="568"/>
      </w:tblGrid>
      <w:tr w14:paraId="1794D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936" w:type="dxa"/>
            <w:vMerge w:val="restart"/>
            <w:vAlign w:val="center"/>
          </w:tcPr>
          <w:p w14:paraId="1629E8C4">
            <w:pPr>
              <w:jc w:val="center"/>
              <w:rPr>
                <w:rFonts w:ascii="仿宋" w:hAnsi="仿宋" w:eastAsia="仿宋" w:cs="仿宋"/>
                <w:b/>
                <w:color w:val="auto"/>
                <w:sz w:val="21"/>
                <w:szCs w:val="21"/>
                <w:highlight w:val="none"/>
              </w:rPr>
            </w:pPr>
            <w:r>
              <w:rPr>
                <w:rFonts w:hint="eastAsia" w:ascii="仿宋" w:hAnsi="仿宋" w:eastAsia="仿宋" w:cs="仿宋"/>
                <w:b/>
                <w:color w:val="auto"/>
                <w:sz w:val="21"/>
                <w:szCs w:val="21"/>
                <w:highlight w:val="none"/>
              </w:rPr>
              <w:t>项目</w:t>
            </w:r>
          </w:p>
        </w:tc>
        <w:tc>
          <w:tcPr>
            <w:tcW w:w="8157" w:type="dxa"/>
            <w:gridSpan w:val="2"/>
            <w:vMerge w:val="restart"/>
            <w:vAlign w:val="center"/>
          </w:tcPr>
          <w:p w14:paraId="3564578E">
            <w:pPr>
              <w:jc w:val="center"/>
              <w:rPr>
                <w:rFonts w:ascii="仿宋" w:hAnsi="仿宋" w:eastAsia="仿宋" w:cs="仿宋"/>
                <w:b/>
                <w:color w:val="auto"/>
                <w:sz w:val="21"/>
                <w:szCs w:val="21"/>
                <w:highlight w:val="none"/>
              </w:rPr>
            </w:pPr>
            <w:r>
              <w:rPr>
                <w:rFonts w:hint="eastAsia" w:ascii="仿宋" w:hAnsi="仿宋" w:eastAsia="仿宋" w:cs="仿宋"/>
                <w:b/>
                <w:color w:val="auto"/>
                <w:sz w:val="21"/>
                <w:szCs w:val="21"/>
                <w:highlight w:val="none"/>
              </w:rPr>
              <w:t>评审内容</w:t>
            </w:r>
          </w:p>
        </w:tc>
        <w:tc>
          <w:tcPr>
            <w:tcW w:w="1093" w:type="dxa"/>
            <w:gridSpan w:val="2"/>
            <w:vAlign w:val="center"/>
          </w:tcPr>
          <w:p w14:paraId="6F0D8764">
            <w:pPr>
              <w:jc w:val="center"/>
              <w:rPr>
                <w:rFonts w:ascii="仿宋" w:hAnsi="仿宋" w:eastAsia="仿宋" w:cs="仿宋"/>
                <w:b/>
                <w:color w:val="auto"/>
                <w:sz w:val="21"/>
                <w:szCs w:val="21"/>
                <w:highlight w:val="none"/>
              </w:rPr>
            </w:pPr>
            <w:r>
              <w:rPr>
                <w:rFonts w:hint="eastAsia" w:ascii="仿宋" w:hAnsi="仿宋" w:eastAsia="仿宋" w:cs="仿宋"/>
                <w:b/>
                <w:color w:val="auto"/>
                <w:sz w:val="21"/>
                <w:szCs w:val="21"/>
                <w:highlight w:val="none"/>
              </w:rPr>
              <w:t>评审意见</w:t>
            </w:r>
          </w:p>
        </w:tc>
      </w:tr>
      <w:tr w14:paraId="46D03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936" w:type="dxa"/>
            <w:vMerge w:val="continue"/>
            <w:vAlign w:val="center"/>
          </w:tcPr>
          <w:p w14:paraId="5378B389">
            <w:pPr>
              <w:rPr>
                <w:rFonts w:ascii="仿宋" w:hAnsi="仿宋" w:eastAsia="仿宋" w:cs="仿宋"/>
                <w:color w:val="auto"/>
                <w:sz w:val="18"/>
                <w:szCs w:val="21"/>
                <w:highlight w:val="none"/>
              </w:rPr>
            </w:pPr>
          </w:p>
        </w:tc>
        <w:tc>
          <w:tcPr>
            <w:tcW w:w="8157" w:type="dxa"/>
            <w:gridSpan w:val="2"/>
            <w:vMerge w:val="continue"/>
          </w:tcPr>
          <w:p w14:paraId="47F89E33">
            <w:pPr>
              <w:rPr>
                <w:rFonts w:ascii="仿宋" w:hAnsi="仿宋" w:eastAsia="仿宋" w:cs="仿宋"/>
                <w:color w:val="auto"/>
                <w:sz w:val="18"/>
                <w:szCs w:val="21"/>
                <w:highlight w:val="none"/>
              </w:rPr>
            </w:pPr>
          </w:p>
        </w:tc>
        <w:tc>
          <w:tcPr>
            <w:tcW w:w="525" w:type="dxa"/>
            <w:vAlign w:val="center"/>
          </w:tcPr>
          <w:p w14:paraId="2FEA2992">
            <w:pPr>
              <w:jc w:val="center"/>
              <w:rPr>
                <w:rFonts w:ascii="仿宋" w:hAnsi="仿宋" w:eastAsia="仿宋" w:cs="仿宋"/>
                <w:b/>
                <w:color w:val="auto"/>
                <w:sz w:val="21"/>
                <w:szCs w:val="21"/>
                <w:highlight w:val="none"/>
              </w:rPr>
            </w:pPr>
            <w:r>
              <w:rPr>
                <w:rFonts w:hint="eastAsia" w:ascii="仿宋" w:hAnsi="仿宋" w:eastAsia="仿宋" w:cs="仿宋"/>
                <w:b/>
                <w:color w:val="auto"/>
                <w:sz w:val="21"/>
                <w:szCs w:val="21"/>
                <w:highlight w:val="none"/>
              </w:rPr>
              <w:t>是</w:t>
            </w:r>
          </w:p>
        </w:tc>
        <w:tc>
          <w:tcPr>
            <w:tcW w:w="568" w:type="dxa"/>
            <w:vAlign w:val="center"/>
          </w:tcPr>
          <w:p w14:paraId="338147CF">
            <w:pPr>
              <w:jc w:val="center"/>
              <w:rPr>
                <w:rFonts w:ascii="仿宋" w:hAnsi="仿宋" w:eastAsia="仿宋" w:cs="仿宋"/>
                <w:b/>
                <w:color w:val="auto"/>
                <w:sz w:val="21"/>
                <w:szCs w:val="21"/>
                <w:highlight w:val="none"/>
              </w:rPr>
            </w:pPr>
            <w:r>
              <w:rPr>
                <w:rFonts w:hint="eastAsia" w:ascii="仿宋" w:hAnsi="仿宋" w:eastAsia="仿宋" w:cs="仿宋"/>
                <w:b/>
                <w:color w:val="auto"/>
                <w:sz w:val="21"/>
                <w:szCs w:val="21"/>
                <w:highlight w:val="none"/>
              </w:rPr>
              <w:t>否</w:t>
            </w:r>
          </w:p>
        </w:tc>
      </w:tr>
      <w:tr w14:paraId="76C56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936" w:type="dxa"/>
            <w:vMerge w:val="continue"/>
            <w:vAlign w:val="center"/>
          </w:tcPr>
          <w:p w14:paraId="1FBF1DBE">
            <w:pPr>
              <w:jc w:val="center"/>
              <w:rPr>
                <w:rFonts w:ascii="仿宋" w:hAnsi="仿宋" w:eastAsia="仿宋" w:cs="仿宋"/>
                <w:color w:val="auto"/>
                <w:szCs w:val="21"/>
                <w:highlight w:val="none"/>
                <w:lang w:eastAsia="zh-CN"/>
              </w:rPr>
            </w:pPr>
          </w:p>
        </w:tc>
        <w:tc>
          <w:tcPr>
            <w:tcW w:w="495" w:type="dxa"/>
            <w:vAlign w:val="center"/>
          </w:tcPr>
          <w:p w14:paraId="4B6BC01C">
            <w:pPr>
              <w:jc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w:t>
            </w:r>
          </w:p>
        </w:tc>
        <w:tc>
          <w:tcPr>
            <w:tcW w:w="7662" w:type="dxa"/>
            <w:vAlign w:val="center"/>
          </w:tcPr>
          <w:p w14:paraId="2225CA05">
            <w:pPr>
              <w:widowControl/>
              <w:textAlignment w:val="center"/>
              <w:rPr>
                <w:rFonts w:hint="eastAsia" w:ascii="仿宋" w:hAnsi="仿宋" w:eastAsia="仿宋" w:cs="仿宋"/>
                <w:color w:val="auto"/>
                <w:highlight w:val="none"/>
                <w:lang w:eastAsia="zh-CN"/>
              </w:rPr>
            </w:pPr>
            <w:r>
              <w:rPr>
                <w:rFonts w:hint="eastAsia" w:ascii="仿宋" w:hAnsi="仿宋" w:eastAsia="仿宋" w:cs="仿宋"/>
                <w:b w:val="0"/>
                <w:bCs/>
                <w:color w:val="auto"/>
                <w:sz w:val="24"/>
                <w:szCs w:val="24"/>
                <w:highlight w:val="none"/>
                <w:lang w:val="en-US" w:eastAsia="zh-CN"/>
              </w:rPr>
              <w:t>按要求提供《中小企业声明函》</w:t>
            </w:r>
            <w:r>
              <w:rPr>
                <w:rFonts w:hint="eastAsia" w:ascii="仿宋" w:hAnsi="仿宋" w:eastAsia="仿宋" w:cs="仿宋"/>
                <w:b w:val="0"/>
                <w:bCs/>
                <w:color w:val="auto"/>
                <w:sz w:val="24"/>
                <w:szCs w:val="24"/>
                <w:highlight w:val="none"/>
                <w:lang w:eastAsia="zh-CN"/>
              </w:rPr>
              <w:t>；</w:t>
            </w:r>
          </w:p>
        </w:tc>
        <w:tc>
          <w:tcPr>
            <w:tcW w:w="525" w:type="dxa"/>
          </w:tcPr>
          <w:p w14:paraId="42D439ED">
            <w:pPr>
              <w:rPr>
                <w:rFonts w:ascii="仿宋" w:hAnsi="仿宋" w:eastAsia="仿宋" w:cs="仿宋"/>
                <w:color w:val="auto"/>
                <w:szCs w:val="21"/>
                <w:highlight w:val="none"/>
                <w:lang w:eastAsia="zh-CN"/>
              </w:rPr>
            </w:pPr>
          </w:p>
        </w:tc>
        <w:tc>
          <w:tcPr>
            <w:tcW w:w="568" w:type="dxa"/>
          </w:tcPr>
          <w:p w14:paraId="0F78C199">
            <w:pPr>
              <w:rPr>
                <w:rFonts w:ascii="仿宋" w:hAnsi="仿宋" w:eastAsia="仿宋" w:cs="仿宋"/>
                <w:color w:val="auto"/>
                <w:szCs w:val="21"/>
                <w:highlight w:val="none"/>
                <w:lang w:eastAsia="zh-CN"/>
              </w:rPr>
            </w:pPr>
          </w:p>
        </w:tc>
      </w:tr>
      <w:tr w14:paraId="6B5DA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936" w:type="dxa"/>
            <w:vMerge w:val="continue"/>
            <w:vAlign w:val="center"/>
          </w:tcPr>
          <w:p w14:paraId="3CC669F8">
            <w:pPr>
              <w:jc w:val="center"/>
              <w:rPr>
                <w:rFonts w:ascii="仿宋" w:hAnsi="仿宋" w:eastAsia="仿宋" w:cs="仿宋"/>
                <w:color w:val="auto"/>
                <w:szCs w:val="21"/>
                <w:highlight w:val="none"/>
                <w:lang w:eastAsia="zh-CN"/>
              </w:rPr>
            </w:pPr>
          </w:p>
        </w:tc>
        <w:tc>
          <w:tcPr>
            <w:tcW w:w="495" w:type="dxa"/>
            <w:vAlign w:val="center"/>
          </w:tcPr>
          <w:p w14:paraId="15D73228">
            <w:pPr>
              <w:jc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2</w:t>
            </w:r>
          </w:p>
        </w:tc>
        <w:tc>
          <w:tcPr>
            <w:tcW w:w="7662" w:type="dxa"/>
            <w:vAlign w:val="center"/>
          </w:tcPr>
          <w:p w14:paraId="4D6C8901">
            <w:pPr>
              <w:widowControl/>
              <w:textAlignment w:val="center"/>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具备三证合一营业执照副本</w:t>
            </w:r>
            <w:r>
              <w:rPr>
                <w:rFonts w:hint="eastAsia" w:ascii="仿宋" w:hAnsi="仿宋" w:eastAsia="仿宋" w:cs="仿宋"/>
                <w:b w:val="0"/>
                <w:bCs/>
                <w:color w:val="auto"/>
                <w:sz w:val="24"/>
                <w:szCs w:val="24"/>
                <w:highlight w:val="none"/>
                <w:lang w:eastAsia="zh-CN"/>
              </w:rPr>
              <w:t>；</w:t>
            </w:r>
          </w:p>
        </w:tc>
        <w:tc>
          <w:tcPr>
            <w:tcW w:w="525" w:type="dxa"/>
          </w:tcPr>
          <w:p w14:paraId="5DB5CED9">
            <w:pPr>
              <w:rPr>
                <w:rFonts w:ascii="仿宋" w:hAnsi="仿宋" w:eastAsia="仿宋" w:cs="仿宋"/>
                <w:color w:val="auto"/>
                <w:szCs w:val="21"/>
                <w:highlight w:val="none"/>
                <w:lang w:eastAsia="zh-CN"/>
              </w:rPr>
            </w:pPr>
          </w:p>
        </w:tc>
        <w:tc>
          <w:tcPr>
            <w:tcW w:w="568" w:type="dxa"/>
          </w:tcPr>
          <w:p w14:paraId="2DB5C40F">
            <w:pPr>
              <w:rPr>
                <w:rFonts w:ascii="仿宋" w:hAnsi="仿宋" w:eastAsia="仿宋" w:cs="仿宋"/>
                <w:color w:val="auto"/>
                <w:szCs w:val="21"/>
                <w:highlight w:val="none"/>
                <w:lang w:eastAsia="zh-CN"/>
              </w:rPr>
            </w:pPr>
          </w:p>
        </w:tc>
      </w:tr>
      <w:tr w14:paraId="61286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936" w:type="dxa"/>
            <w:vMerge w:val="continue"/>
            <w:vAlign w:val="center"/>
          </w:tcPr>
          <w:p w14:paraId="7B4A95FE">
            <w:pPr>
              <w:jc w:val="center"/>
              <w:rPr>
                <w:rFonts w:ascii="仿宋" w:hAnsi="仿宋" w:eastAsia="仿宋" w:cs="仿宋"/>
                <w:color w:val="auto"/>
                <w:szCs w:val="21"/>
                <w:highlight w:val="none"/>
                <w:lang w:eastAsia="zh-CN"/>
              </w:rPr>
            </w:pPr>
          </w:p>
        </w:tc>
        <w:tc>
          <w:tcPr>
            <w:tcW w:w="495" w:type="dxa"/>
            <w:vAlign w:val="center"/>
          </w:tcPr>
          <w:p w14:paraId="74BB1371">
            <w:pPr>
              <w:jc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3</w:t>
            </w:r>
          </w:p>
        </w:tc>
        <w:tc>
          <w:tcPr>
            <w:tcW w:w="7662" w:type="dxa"/>
            <w:vAlign w:val="center"/>
          </w:tcPr>
          <w:p w14:paraId="33AAFC96">
            <w:pPr>
              <w:widowControl/>
              <w:textAlignment w:val="center"/>
              <w:rPr>
                <w:rFonts w:hint="eastAsia" w:ascii="仿宋" w:hAnsi="仿宋" w:eastAsia="仿宋" w:cs="仿宋"/>
                <w:color w:val="auto"/>
                <w:highlight w:val="none"/>
                <w:lang w:eastAsia="zh-CN"/>
              </w:rPr>
            </w:pPr>
            <w:r>
              <w:rPr>
                <w:rFonts w:hint="eastAsia" w:ascii="仿宋" w:hAnsi="仿宋" w:eastAsia="仿宋" w:cs="仿宋"/>
                <w:color w:val="auto"/>
                <w:sz w:val="24"/>
                <w:szCs w:val="24"/>
                <w:highlight w:val="none"/>
                <w:lang w:eastAsia="zh-CN"/>
              </w:rPr>
              <w:t>法定代表人投标需提供法定代表人资格证明书，委托代理人投标需提供法定代表人授权委托书；</w:t>
            </w:r>
          </w:p>
        </w:tc>
        <w:tc>
          <w:tcPr>
            <w:tcW w:w="525" w:type="dxa"/>
          </w:tcPr>
          <w:p w14:paraId="66567B86">
            <w:pPr>
              <w:rPr>
                <w:rFonts w:ascii="仿宋" w:hAnsi="仿宋" w:eastAsia="仿宋" w:cs="仿宋"/>
                <w:color w:val="auto"/>
                <w:szCs w:val="21"/>
                <w:highlight w:val="none"/>
                <w:lang w:eastAsia="zh-CN"/>
              </w:rPr>
            </w:pPr>
          </w:p>
        </w:tc>
        <w:tc>
          <w:tcPr>
            <w:tcW w:w="568" w:type="dxa"/>
          </w:tcPr>
          <w:p w14:paraId="7954E04E">
            <w:pPr>
              <w:rPr>
                <w:rFonts w:ascii="仿宋" w:hAnsi="仿宋" w:eastAsia="仿宋" w:cs="仿宋"/>
                <w:color w:val="auto"/>
                <w:szCs w:val="21"/>
                <w:highlight w:val="none"/>
                <w:lang w:eastAsia="zh-CN"/>
              </w:rPr>
            </w:pPr>
          </w:p>
        </w:tc>
      </w:tr>
      <w:tr w14:paraId="17CBC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936" w:type="dxa"/>
            <w:vMerge w:val="continue"/>
            <w:vAlign w:val="center"/>
          </w:tcPr>
          <w:p w14:paraId="31EA37C9">
            <w:pPr>
              <w:rPr>
                <w:rFonts w:ascii="仿宋" w:hAnsi="仿宋" w:eastAsia="仿宋" w:cs="仿宋"/>
                <w:color w:val="auto"/>
                <w:highlight w:val="none"/>
                <w:lang w:eastAsia="zh-CN"/>
              </w:rPr>
            </w:pPr>
          </w:p>
        </w:tc>
        <w:tc>
          <w:tcPr>
            <w:tcW w:w="495" w:type="dxa"/>
            <w:vAlign w:val="center"/>
          </w:tcPr>
          <w:p w14:paraId="581229C4">
            <w:pPr>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4</w:t>
            </w:r>
          </w:p>
        </w:tc>
        <w:tc>
          <w:tcPr>
            <w:tcW w:w="7662" w:type="dxa"/>
            <w:vAlign w:val="center"/>
          </w:tcPr>
          <w:p w14:paraId="2CC4A130">
            <w:pPr>
              <w:widowControl/>
              <w:textAlignment w:val="center"/>
              <w:rPr>
                <w:rFonts w:ascii="仿宋" w:hAnsi="仿宋" w:eastAsia="仿宋" w:cs="仿宋"/>
                <w:color w:val="auto"/>
                <w:highlight w:val="none"/>
                <w:lang w:eastAsia="zh-CN"/>
              </w:rPr>
            </w:pPr>
            <w:r>
              <w:rPr>
                <w:rFonts w:hint="eastAsia" w:ascii="仿宋" w:hAnsi="仿宋" w:eastAsia="仿宋" w:cs="仿宋"/>
                <w:color w:val="auto"/>
                <w:sz w:val="24"/>
                <w:szCs w:val="24"/>
                <w:highlight w:val="none"/>
                <w:lang w:eastAsia="zh-CN"/>
              </w:rPr>
              <w:t>参加政府采购活动前三年内，在经营活动中没有重大违法记录；未被“信用中国”（www.creditchina.gov.cn）、中国政府采购网（www.ccgp.gov.cn）列入失信被执行人、税收违法黑名单、政府采购严重违法失信行为记录名单。</w:t>
            </w:r>
          </w:p>
        </w:tc>
        <w:tc>
          <w:tcPr>
            <w:tcW w:w="525" w:type="dxa"/>
          </w:tcPr>
          <w:p w14:paraId="59353067">
            <w:pPr>
              <w:rPr>
                <w:rFonts w:ascii="仿宋" w:hAnsi="仿宋" w:eastAsia="仿宋" w:cs="仿宋"/>
                <w:color w:val="auto"/>
                <w:szCs w:val="21"/>
                <w:highlight w:val="none"/>
                <w:lang w:eastAsia="zh-CN"/>
              </w:rPr>
            </w:pPr>
          </w:p>
        </w:tc>
        <w:tc>
          <w:tcPr>
            <w:tcW w:w="568" w:type="dxa"/>
          </w:tcPr>
          <w:p w14:paraId="64A2F5C0">
            <w:pPr>
              <w:rPr>
                <w:rFonts w:ascii="仿宋" w:hAnsi="仿宋" w:eastAsia="仿宋" w:cs="仿宋"/>
                <w:color w:val="auto"/>
                <w:szCs w:val="21"/>
                <w:highlight w:val="none"/>
                <w:lang w:eastAsia="zh-CN"/>
              </w:rPr>
            </w:pPr>
          </w:p>
        </w:tc>
      </w:tr>
      <w:tr w14:paraId="7C1A0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36" w:type="dxa"/>
            <w:vMerge w:val="continue"/>
            <w:vAlign w:val="center"/>
          </w:tcPr>
          <w:p w14:paraId="4483E98A">
            <w:pPr>
              <w:rPr>
                <w:rFonts w:ascii="仿宋" w:hAnsi="仿宋" w:eastAsia="仿宋" w:cs="仿宋"/>
                <w:color w:val="auto"/>
                <w:highlight w:val="none"/>
                <w:lang w:eastAsia="zh-CN"/>
              </w:rPr>
            </w:pPr>
          </w:p>
        </w:tc>
        <w:tc>
          <w:tcPr>
            <w:tcW w:w="495" w:type="dxa"/>
            <w:vAlign w:val="center"/>
          </w:tcPr>
          <w:p w14:paraId="5DBF00D5">
            <w:pPr>
              <w:jc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5</w:t>
            </w:r>
          </w:p>
        </w:tc>
        <w:tc>
          <w:tcPr>
            <w:tcW w:w="7662" w:type="dxa"/>
            <w:vAlign w:val="center"/>
          </w:tcPr>
          <w:p w14:paraId="312D6DF8">
            <w:pPr>
              <w:widowControl/>
              <w:textAlignment w:val="center"/>
              <w:rPr>
                <w:rFonts w:hint="eastAsia" w:ascii="仿宋" w:hAnsi="仿宋" w:eastAsia="仿宋" w:cs="仿宋"/>
                <w:color w:val="auto"/>
                <w:highlight w:val="none"/>
                <w:lang w:val="en-US" w:eastAsia="zh-CN"/>
              </w:rPr>
            </w:pPr>
            <w:r>
              <w:rPr>
                <w:rFonts w:ascii="仿宋" w:hAnsi="仿宋" w:eastAsia="仿宋" w:cs="仿宋"/>
                <w:color w:val="auto"/>
                <w:highlight w:val="none"/>
                <w:lang w:eastAsia="zh-CN"/>
              </w:rPr>
              <w:t>投标企业须提供投标人（被授权在职人员）近6个月内任意一个月有效的社保证明</w:t>
            </w:r>
            <w:r>
              <w:rPr>
                <w:rFonts w:hint="eastAsia" w:ascii="仿宋" w:hAnsi="仿宋" w:eastAsia="仿宋" w:cs="仿宋"/>
                <w:color w:val="auto"/>
                <w:highlight w:val="none"/>
                <w:lang w:eastAsia="zh-CN"/>
              </w:rPr>
              <w:t>；</w:t>
            </w:r>
          </w:p>
        </w:tc>
        <w:tc>
          <w:tcPr>
            <w:tcW w:w="525" w:type="dxa"/>
          </w:tcPr>
          <w:p w14:paraId="04BEC911">
            <w:pPr>
              <w:rPr>
                <w:rFonts w:ascii="仿宋" w:hAnsi="仿宋" w:eastAsia="仿宋" w:cs="仿宋"/>
                <w:color w:val="auto"/>
                <w:szCs w:val="21"/>
                <w:highlight w:val="none"/>
                <w:lang w:eastAsia="zh-CN"/>
              </w:rPr>
            </w:pPr>
          </w:p>
        </w:tc>
        <w:tc>
          <w:tcPr>
            <w:tcW w:w="568" w:type="dxa"/>
          </w:tcPr>
          <w:p w14:paraId="7F69BF9D">
            <w:pPr>
              <w:rPr>
                <w:rFonts w:ascii="仿宋" w:hAnsi="仿宋" w:eastAsia="仿宋" w:cs="仿宋"/>
                <w:color w:val="auto"/>
                <w:szCs w:val="21"/>
                <w:highlight w:val="none"/>
                <w:lang w:eastAsia="zh-CN"/>
              </w:rPr>
            </w:pPr>
          </w:p>
        </w:tc>
      </w:tr>
      <w:tr w14:paraId="2CB7A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936" w:type="dxa"/>
            <w:vMerge w:val="continue"/>
            <w:vAlign w:val="center"/>
          </w:tcPr>
          <w:p w14:paraId="0126A4E4">
            <w:pPr>
              <w:rPr>
                <w:rFonts w:ascii="仿宋" w:hAnsi="仿宋" w:eastAsia="仿宋" w:cs="仿宋"/>
                <w:color w:val="auto"/>
                <w:highlight w:val="none"/>
                <w:lang w:eastAsia="zh-CN"/>
              </w:rPr>
            </w:pPr>
          </w:p>
        </w:tc>
        <w:tc>
          <w:tcPr>
            <w:tcW w:w="495" w:type="dxa"/>
            <w:vAlign w:val="center"/>
          </w:tcPr>
          <w:p w14:paraId="15FEA39D">
            <w:pPr>
              <w:jc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6</w:t>
            </w:r>
          </w:p>
        </w:tc>
        <w:tc>
          <w:tcPr>
            <w:tcW w:w="7662" w:type="dxa"/>
            <w:vAlign w:val="center"/>
          </w:tcPr>
          <w:p w14:paraId="5BB323A5">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400" w:lineRule="atLeast"/>
              <w:textAlignment w:val="auto"/>
              <w:rPr>
                <w:rFonts w:ascii="仿宋" w:hAnsi="仿宋" w:eastAsia="仿宋" w:cs="仿宋"/>
                <w:color w:val="auto"/>
                <w:highlight w:val="none"/>
                <w:lang w:eastAsia="zh-CN"/>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具有良好的商业信誉和健全的财务会计制度：提供经外部审计的近3年（2022年、2023年、2024年）内任意一年的财务报告（成立不满一年的企业需提供（公司成立起至投标截止时间上一月）财务报表）和财务会计制度；</w:t>
            </w:r>
          </w:p>
        </w:tc>
        <w:tc>
          <w:tcPr>
            <w:tcW w:w="525" w:type="dxa"/>
          </w:tcPr>
          <w:p w14:paraId="21C382F8">
            <w:pPr>
              <w:rPr>
                <w:rFonts w:ascii="仿宋" w:hAnsi="仿宋" w:eastAsia="仿宋" w:cs="仿宋"/>
                <w:color w:val="auto"/>
                <w:szCs w:val="21"/>
                <w:highlight w:val="none"/>
                <w:lang w:eastAsia="zh-CN"/>
              </w:rPr>
            </w:pPr>
          </w:p>
        </w:tc>
        <w:tc>
          <w:tcPr>
            <w:tcW w:w="568" w:type="dxa"/>
          </w:tcPr>
          <w:p w14:paraId="208CFDFE">
            <w:pPr>
              <w:rPr>
                <w:rFonts w:ascii="仿宋" w:hAnsi="仿宋" w:eastAsia="仿宋" w:cs="仿宋"/>
                <w:color w:val="auto"/>
                <w:szCs w:val="21"/>
                <w:highlight w:val="none"/>
                <w:lang w:eastAsia="zh-CN"/>
              </w:rPr>
            </w:pPr>
          </w:p>
        </w:tc>
      </w:tr>
      <w:tr w14:paraId="6C9EC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936" w:type="dxa"/>
            <w:vMerge w:val="continue"/>
            <w:vAlign w:val="center"/>
          </w:tcPr>
          <w:p w14:paraId="14B49ED4">
            <w:pPr>
              <w:rPr>
                <w:rFonts w:ascii="仿宋" w:hAnsi="仿宋" w:eastAsia="仿宋" w:cs="仿宋"/>
                <w:color w:val="auto"/>
                <w:highlight w:val="none"/>
                <w:lang w:eastAsia="zh-CN"/>
              </w:rPr>
            </w:pPr>
          </w:p>
        </w:tc>
        <w:tc>
          <w:tcPr>
            <w:tcW w:w="495" w:type="dxa"/>
            <w:vAlign w:val="center"/>
          </w:tcPr>
          <w:p w14:paraId="5768B94F">
            <w:pPr>
              <w:jc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7</w:t>
            </w:r>
          </w:p>
        </w:tc>
        <w:tc>
          <w:tcPr>
            <w:tcW w:w="7662" w:type="dxa"/>
            <w:vAlign w:val="center"/>
          </w:tcPr>
          <w:p w14:paraId="4962AE2C">
            <w:pPr>
              <w:widowControl/>
              <w:textAlignment w:val="center"/>
              <w:rPr>
                <w:rFonts w:ascii="仿宋" w:hAnsi="仿宋" w:eastAsia="仿宋" w:cs="仿宋"/>
                <w:color w:val="auto"/>
                <w:highlight w:val="none"/>
                <w:lang w:eastAsia="zh-CN"/>
              </w:rPr>
            </w:pPr>
            <w:r>
              <w:rPr>
                <w:rFonts w:hint="eastAsia" w:ascii="仿宋" w:hAnsi="仿宋" w:eastAsia="仿宋" w:cs="仿宋"/>
                <w:color w:val="auto"/>
                <w:spacing w:val="0"/>
                <w:w w:val="90"/>
                <w:kern w:val="0"/>
                <w:position w:val="0"/>
                <w:sz w:val="24"/>
                <w:szCs w:val="24"/>
                <w:highlight w:val="none"/>
                <w:shd w:val="clear" w:color="auto" w:fill="auto"/>
                <w:lang w:val="en-US" w:eastAsia="zh-CN" w:bidi="en-US"/>
              </w:rPr>
              <w:t>具有履行合同所必需的设备和专业技术能力：（提供承诺函加盖公章，格式自拟）</w:t>
            </w:r>
          </w:p>
        </w:tc>
        <w:tc>
          <w:tcPr>
            <w:tcW w:w="525" w:type="dxa"/>
          </w:tcPr>
          <w:p w14:paraId="26CE2668">
            <w:pPr>
              <w:rPr>
                <w:rFonts w:ascii="仿宋" w:hAnsi="仿宋" w:eastAsia="仿宋" w:cs="仿宋"/>
                <w:color w:val="auto"/>
                <w:szCs w:val="21"/>
                <w:highlight w:val="none"/>
                <w:lang w:eastAsia="zh-CN"/>
              </w:rPr>
            </w:pPr>
          </w:p>
        </w:tc>
        <w:tc>
          <w:tcPr>
            <w:tcW w:w="568" w:type="dxa"/>
          </w:tcPr>
          <w:p w14:paraId="0F104F30">
            <w:pPr>
              <w:rPr>
                <w:rFonts w:ascii="仿宋" w:hAnsi="仿宋" w:eastAsia="仿宋" w:cs="仿宋"/>
                <w:color w:val="auto"/>
                <w:szCs w:val="21"/>
                <w:highlight w:val="none"/>
                <w:lang w:eastAsia="zh-CN"/>
              </w:rPr>
            </w:pPr>
          </w:p>
        </w:tc>
      </w:tr>
      <w:tr w14:paraId="2C279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936" w:type="dxa"/>
            <w:vMerge w:val="continue"/>
            <w:vAlign w:val="center"/>
          </w:tcPr>
          <w:p w14:paraId="481E59E0">
            <w:pPr>
              <w:rPr>
                <w:rFonts w:ascii="仿宋" w:hAnsi="仿宋" w:eastAsia="仿宋" w:cs="仿宋"/>
                <w:color w:val="auto"/>
                <w:highlight w:val="none"/>
                <w:lang w:eastAsia="zh-CN"/>
              </w:rPr>
            </w:pPr>
          </w:p>
        </w:tc>
        <w:tc>
          <w:tcPr>
            <w:tcW w:w="495" w:type="dxa"/>
            <w:vAlign w:val="center"/>
          </w:tcPr>
          <w:p w14:paraId="69D57CD2">
            <w:pPr>
              <w:jc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8</w:t>
            </w:r>
          </w:p>
        </w:tc>
        <w:tc>
          <w:tcPr>
            <w:tcW w:w="7662" w:type="dxa"/>
            <w:vAlign w:val="center"/>
          </w:tcPr>
          <w:p w14:paraId="49062B90">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400" w:lineRule="atLeast"/>
              <w:textAlignment w:val="auto"/>
              <w:rPr>
                <w:rFonts w:hint="eastAsia" w:ascii="仿宋" w:hAnsi="仿宋" w:eastAsia="仿宋" w:cs="仿宋"/>
                <w:color w:val="auto"/>
                <w:spacing w:val="0"/>
                <w:w w:val="9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有依法缴纳税收和社会保障资金的良好纪录：提供近半年内任意三个月缴纳税收证明及社保缴纳证明；（新成立公司提供成立之日起至今的缴税记录及社保缴纳证明，若供应商的纳税记录为零申报的，需提供相应证明材料）。</w:t>
            </w:r>
          </w:p>
        </w:tc>
        <w:tc>
          <w:tcPr>
            <w:tcW w:w="525" w:type="dxa"/>
          </w:tcPr>
          <w:p w14:paraId="23BB64C3">
            <w:pPr>
              <w:rPr>
                <w:rFonts w:ascii="仿宋" w:hAnsi="仿宋" w:eastAsia="仿宋" w:cs="仿宋"/>
                <w:color w:val="auto"/>
                <w:szCs w:val="21"/>
                <w:highlight w:val="none"/>
                <w:lang w:eastAsia="zh-CN"/>
              </w:rPr>
            </w:pPr>
          </w:p>
        </w:tc>
        <w:tc>
          <w:tcPr>
            <w:tcW w:w="568" w:type="dxa"/>
          </w:tcPr>
          <w:p w14:paraId="1A689513">
            <w:pPr>
              <w:rPr>
                <w:rFonts w:ascii="仿宋" w:hAnsi="仿宋" w:eastAsia="仿宋" w:cs="仿宋"/>
                <w:color w:val="auto"/>
                <w:szCs w:val="21"/>
                <w:highlight w:val="none"/>
                <w:lang w:eastAsia="zh-CN"/>
              </w:rPr>
            </w:pPr>
          </w:p>
        </w:tc>
      </w:tr>
      <w:tr w14:paraId="78925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936" w:type="dxa"/>
            <w:vMerge w:val="continue"/>
            <w:vAlign w:val="center"/>
          </w:tcPr>
          <w:p w14:paraId="7601EE35">
            <w:pPr>
              <w:rPr>
                <w:rFonts w:ascii="仿宋" w:hAnsi="仿宋" w:eastAsia="仿宋" w:cs="仿宋"/>
                <w:color w:val="auto"/>
                <w:highlight w:val="none"/>
                <w:lang w:eastAsia="zh-CN"/>
              </w:rPr>
            </w:pPr>
          </w:p>
        </w:tc>
        <w:tc>
          <w:tcPr>
            <w:tcW w:w="495" w:type="dxa"/>
            <w:vAlign w:val="center"/>
          </w:tcPr>
          <w:p w14:paraId="63199B3B">
            <w:pPr>
              <w:jc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9</w:t>
            </w:r>
          </w:p>
        </w:tc>
        <w:tc>
          <w:tcPr>
            <w:tcW w:w="7662" w:type="dxa"/>
            <w:vAlign w:val="center"/>
          </w:tcPr>
          <w:p w14:paraId="368D2E56">
            <w:pPr>
              <w:widowControl/>
              <w:textAlignment w:val="center"/>
              <w:rPr>
                <w:rFonts w:hint="eastAsia" w:ascii="仿宋" w:hAnsi="仿宋" w:eastAsia="仿宋" w:cs="仿宋"/>
                <w:b w:val="0"/>
                <w:bCs/>
                <w:color w:val="auto"/>
                <w:sz w:val="24"/>
                <w:szCs w:val="24"/>
                <w:highlight w:val="none"/>
                <w:lang w:val="en-US" w:eastAsia="zh-CN" w:bidi="en-US"/>
              </w:rPr>
            </w:pPr>
            <w:r>
              <w:rPr>
                <w:rFonts w:hint="eastAsia" w:ascii="仿宋" w:hAnsi="仿宋" w:eastAsia="仿宋" w:cs="仿宋"/>
                <w:color w:val="auto"/>
                <w:highlight w:val="none"/>
                <w:lang w:eastAsia="zh-CN"/>
              </w:rPr>
              <w:t>投标保证金缴纳凭证或投标担保函。</w:t>
            </w:r>
          </w:p>
        </w:tc>
        <w:tc>
          <w:tcPr>
            <w:tcW w:w="525" w:type="dxa"/>
          </w:tcPr>
          <w:p w14:paraId="19879C2A">
            <w:pPr>
              <w:rPr>
                <w:rFonts w:ascii="仿宋" w:hAnsi="仿宋" w:eastAsia="仿宋" w:cs="仿宋"/>
                <w:color w:val="auto"/>
                <w:szCs w:val="21"/>
                <w:highlight w:val="none"/>
                <w:lang w:eastAsia="zh-CN"/>
              </w:rPr>
            </w:pPr>
          </w:p>
        </w:tc>
        <w:tc>
          <w:tcPr>
            <w:tcW w:w="568" w:type="dxa"/>
          </w:tcPr>
          <w:p w14:paraId="4BC4448C">
            <w:pPr>
              <w:rPr>
                <w:rFonts w:ascii="仿宋" w:hAnsi="仿宋" w:eastAsia="仿宋" w:cs="仿宋"/>
                <w:color w:val="auto"/>
                <w:szCs w:val="21"/>
                <w:highlight w:val="none"/>
                <w:lang w:eastAsia="zh-CN"/>
              </w:rPr>
            </w:pPr>
          </w:p>
        </w:tc>
      </w:tr>
      <w:tr w14:paraId="79782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936" w:type="dxa"/>
            <w:vMerge w:val="continue"/>
            <w:vAlign w:val="center"/>
          </w:tcPr>
          <w:p w14:paraId="1D65C7F0">
            <w:pPr>
              <w:rPr>
                <w:rFonts w:ascii="仿宋" w:hAnsi="仿宋" w:eastAsia="仿宋" w:cs="仿宋"/>
                <w:color w:val="auto"/>
                <w:highlight w:val="none"/>
                <w:lang w:eastAsia="zh-CN"/>
              </w:rPr>
            </w:pPr>
          </w:p>
        </w:tc>
        <w:tc>
          <w:tcPr>
            <w:tcW w:w="495" w:type="dxa"/>
          </w:tcPr>
          <w:p w14:paraId="0CA65856">
            <w:pPr>
              <w:spacing w:line="440" w:lineRule="exact"/>
              <w:rPr>
                <w:rFonts w:hint="default" w:ascii="仿宋" w:hAnsi="仿宋" w:eastAsia="仿宋" w:cs="仿宋"/>
                <w:color w:val="auto"/>
                <w:szCs w:val="21"/>
                <w:highlight w:val="none"/>
                <w:lang w:val="en-US" w:eastAsia="zh-CN"/>
              </w:rPr>
            </w:pPr>
          </w:p>
        </w:tc>
        <w:tc>
          <w:tcPr>
            <w:tcW w:w="7662" w:type="dxa"/>
          </w:tcPr>
          <w:p w14:paraId="5D4F708B">
            <w:pPr>
              <w:rPr>
                <w:rFonts w:ascii="仿宋" w:hAnsi="仿宋" w:eastAsia="仿宋" w:cs="仿宋"/>
                <w:color w:val="auto"/>
                <w:highlight w:val="none"/>
                <w:lang w:eastAsia="zh-CN"/>
              </w:rPr>
            </w:pPr>
            <w:r>
              <w:rPr>
                <w:rFonts w:hint="eastAsia" w:ascii="仿宋" w:hAnsi="仿宋" w:eastAsia="仿宋" w:cs="仿宋"/>
                <w:color w:val="auto"/>
                <w:highlight w:val="none"/>
                <w:lang w:eastAsia="zh-CN"/>
              </w:rPr>
              <w:t>结论：是否通过评审（须填写通过或不通过）</w:t>
            </w:r>
          </w:p>
          <w:p w14:paraId="51C7C423">
            <w:pPr>
              <w:rPr>
                <w:rFonts w:ascii="仿宋" w:hAnsi="仿宋" w:eastAsia="仿宋" w:cs="仿宋"/>
                <w:color w:val="auto"/>
                <w:highlight w:val="none"/>
                <w:lang w:eastAsia="zh-CN"/>
              </w:rPr>
            </w:pPr>
            <w:r>
              <w:rPr>
                <w:rFonts w:hint="eastAsia" w:ascii="仿宋" w:hAnsi="仿宋" w:eastAsia="仿宋" w:cs="仿宋"/>
                <w:color w:val="auto"/>
                <w:highlight w:val="none"/>
                <w:lang w:eastAsia="zh-CN"/>
              </w:rPr>
              <w:t>注：如有一项不合格，作废标处理。</w:t>
            </w:r>
          </w:p>
        </w:tc>
        <w:tc>
          <w:tcPr>
            <w:tcW w:w="525" w:type="dxa"/>
          </w:tcPr>
          <w:p w14:paraId="1CB07C75">
            <w:pPr>
              <w:rPr>
                <w:rFonts w:ascii="仿宋" w:hAnsi="仿宋" w:eastAsia="仿宋" w:cs="仿宋"/>
                <w:color w:val="auto"/>
                <w:szCs w:val="21"/>
                <w:highlight w:val="none"/>
                <w:lang w:eastAsia="zh-CN"/>
              </w:rPr>
            </w:pPr>
          </w:p>
        </w:tc>
        <w:tc>
          <w:tcPr>
            <w:tcW w:w="568" w:type="dxa"/>
          </w:tcPr>
          <w:p w14:paraId="663EAC56">
            <w:pPr>
              <w:rPr>
                <w:rFonts w:ascii="仿宋" w:hAnsi="仿宋" w:eastAsia="仿宋" w:cs="仿宋"/>
                <w:color w:val="auto"/>
                <w:szCs w:val="21"/>
                <w:highlight w:val="none"/>
                <w:lang w:eastAsia="zh-CN"/>
              </w:rPr>
            </w:pPr>
          </w:p>
        </w:tc>
      </w:tr>
    </w:tbl>
    <w:p w14:paraId="648C15CD">
      <w:pPr>
        <w:spacing w:line="400" w:lineRule="exact"/>
        <w:ind w:firstLine="356" w:firstLineChars="147"/>
        <w:rPr>
          <w:rFonts w:hint="eastAsia" w:ascii="仿宋" w:hAnsi="仿宋" w:eastAsia="仿宋" w:cs="仿宋"/>
          <w:color w:val="auto"/>
          <w:szCs w:val="21"/>
          <w:highlight w:val="none"/>
        </w:rPr>
      </w:pPr>
    </w:p>
    <w:p w14:paraId="7A666080">
      <w:pPr>
        <w:spacing w:line="400" w:lineRule="exact"/>
        <w:ind w:firstLine="585" w:firstLineChars="241"/>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6.2如评标专家在检验电子标书过程中，如果由于供应商自身原因导致评标专家无法查看并检验电子标书中以上相关资料的，否决其投标。即使投标单位将原件携带至现场的，同样按无效投标处理。</w:t>
      </w:r>
    </w:p>
    <w:p w14:paraId="6F949DAC">
      <w:pPr>
        <w:spacing w:beforeLines="50" w:line="440" w:lineRule="exact"/>
        <w:ind w:firstLine="356" w:firstLineChars="147"/>
        <w:rPr>
          <w:rFonts w:ascii="仿宋" w:hAnsi="仿宋" w:eastAsia="仿宋" w:cs="仿宋"/>
          <w:b/>
          <w:color w:val="auto"/>
          <w:szCs w:val="21"/>
          <w:highlight w:val="none"/>
        </w:rPr>
      </w:pPr>
      <w:r>
        <w:rPr>
          <w:rFonts w:hint="eastAsia" w:ascii="仿宋" w:hAnsi="仿宋" w:eastAsia="仿宋" w:cs="仿宋"/>
          <w:b/>
          <w:color w:val="auto"/>
          <w:szCs w:val="21"/>
          <w:highlight w:val="none"/>
          <w:lang w:eastAsia="zh-CN"/>
        </w:rPr>
        <w:t>7</w:t>
      </w:r>
      <w:r>
        <w:rPr>
          <w:rFonts w:hint="eastAsia" w:ascii="仿宋" w:hAnsi="仿宋" w:eastAsia="仿宋" w:cs="仿宋"/>
          <w:b/>
          <w:color w:val="auto"/>
          <w:szCs w:val="21"/>
          <w:highlight w:val="none"/>
        </w:rPr>
        <w:t>.符合性审查</w:t>
      </w:r>
    </w:p>
    <w:p w14:paraId="2A62DA1E">
      <w:pPr>
        <w:spacing w:line="440" w:lineRule="exact"/>
        <w:ind w:firstLine="364" w:firstLineChars="150"/>
        <w:rPr>
          <w:rFonts w:ascii="仿宋" w:hAnsi="仿宋" w:eastAsia="仿宋" w:cs="仿宋"/>
          <w:color w:val="auto"/>
          <w:szCs w:val="21"/>
          <w:highlight w:val="none"/>
        </w:rPr>
      </w:pPr>
      <w:r>
        <w:rPr>
          <w:rFonts w:hint="eastAsia" w:ascii="仿宋" w:hAnsi="仿宋" w:eastAsia="仿宋" w:cs="仿宋"/>
          <w:color w:val="auto"/>
          <w:szCs w:val="21"/>
          <w:highlight w:val="none"/>
          <w:lang w:eastAsia="zh-CN"/>
        </w:rPr>
        <w:t>7</w:t>
      </w:r>
      <w:r>
        <w:rPr>
          <w:rFonts w:hint="eastAsia" w:ascii="仿宋" w:hAnsi="仿宋" w:eastAsia="仿宋" w:cs="仿宋"/>
          <w:color w:val="auto"/>
          <w:szCs w:val="21"/>
          <w:highlight w:val="none"/>
        </w:rPr>
        <w:t>．1评审细则</w:t>
      </w:r>
    </w:p>
    <w:tbl>
      <w:tblPr>
        <w:tblStyle w:val="25"/>
        <w:tblpPr w:leftFromText="180" w:rightFromText="180" w:vertAnchor="text" w:horzAnchor="page" w:tblpX="1293" w:tblpY="544"/>
        <w:tblW w:w="943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94"/>
        <w:gridCol w:w="597"/>
        <w:gridCol w:w="6378"/>
        <w:gridCol w:w="749"/>
        <w:gridCol w:w="617"/>
      </w:tblGrid>
      <w:tr w14:paraId="44FFFC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1094" w:type="dxa"/>
            <w:vMerge w:val="restart"/>
            <w:tcBorders>
              <w:top w:val="single" w:color="auto" w:sz="4" w:space="0"/>
              <w:left w:val="single" w:color="auto" w:sz="4" w:space="0"/>
            </w:tcBorders>
            <w:vAlign w:val="center"/>
          </w:tcPr>
          <w:p w14:paraId="2BF6AF57">
            <w:pPr>
              <w:jc w:val="center"/>
              <w:rPr>
                <w:rFonts w:ascii="仿宋" w:hAnsi="仿宋" w:eastAsia="仿宋" w:cs="仿宋"/>
                <w:b/>
                <w:color w:val="auto"/>
                <w:highlight w:val="none"/>
              </w:rPr>
            </w:pPr>
            <w:r>
              <w:rPr>
                <w:rFonts w:hint="eastAsia" w:ascii="仿宋" w:hAnsi="仿宋" w:eastAsia="仿宋" w:cs="仿宋"/>
                <w:b/>
                <w:color w:val="auto"/>
                <w:highlight w:val="none"/>
              </w:rPr>
              <w:t>项目</w:t>
            </w:r>
          </w:p>
        </w:tc>
        <w:tc>
          <w:tcPr>
            <w:tcW w:w="6975" w:type="dxa"/>
            <w:gridSpan w:val="2"/>
            <w:vMerge w:val="restart"/>
            <w:tcBorders>
              <w:top w:val="single" w:color="auto" w:sz="4" w:space="0"/>
            </w:tcBorders>
            <w:vAlign w:val="center"/>
          </w:tcPr>
          <w:p w14:paraId="6D8AFAC1">
            <w:pPr>
              <w:jc w:val="center"/>
              <w:rPr>
                <w:rFonts w:ascii="仿宋" w:hAnsi="仿宋" w:eastAsia="仿宋" w:cs="仿宋"/>
                <w:b/>
                <w:color w:val="auto"/>
                <w:highlight w:val="none"/>
              </w:rPr>
            </w:pPr>
            <w:r>
              <w:rPr>
                <w:rFonts w:hint="eastAsia" w:ascii="仿宋" w:hAnsi="仿宋" w:eastAsia="仿宋" w:cs="仿宋"/>
                <w:b/>
                <w:color w:val="auto"/>
                <w:highlight w:val="none"/>
              </w:rPr>
              <w:t>评审内容</w:t>
            </w:r>
          </w:p>
        </w:tc>
        <w:tc>
          <w:tcPr>
            <w:tcW w:w="1366" w:type="dxa"/>
            <w:gridSpan w:val="2"/>
            <w:tcBorders>
              <w:top w:val="single" w:color="auto" w:sz="4" w:space="0"/>
              <w:right w:val="single" w:color="auto" w:sz="4" w:space="0"/>
            </w:tcBorders>
            <w:vAlign w:val="center"/>
          </w:tcPr>
          <w:p w14:paraId="54EE9F14">
            <w:pPr>
              <w:jc w:val="center"/>
              <w:rPr>
                <w:rFonts w:ascii="仿宋" w:hAnsi="仿宋" w:eastAsia="仿宋" w:cs="仿宋"/>
                <w:b/>
                <w:color w:val="auto"/>
                <w:highlight w:val="none"/>
              </w:rPr>
            </w:pPr>
            <w:r>
              <w:rPr>
                <w:rFonts w:hint="eastAsia" w:ascii="仿宋" w:hAnsi="仿宋" w:eastAsia="仿宋" w:cs="仿宋"/>
                <w:b/>
                <w:color w:val="auto"/>
                <w:highlight w:val="none"/>
              </w:rPr>
              <w:t>评审意见</w:t>
            </w:r>
          </w:p>
        </w:tc>
      </w:tr>
      <w:tr w14:paraId="40F26E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094" w:type="dxa"/>
            <w:vMerge w:val="continue"/>
            <w:tcBorders>
              <w:left w:val="single" w:color="auto" w:sz="4" w:space="0"/>
              <w:bottom w:val="single" w:color="auto" w:sz="4" w:space="0"/>
            </w:tcBorders>
            <w:vAlign w:val="center"/>
          </w:tcPr>
          <w:p w14:paraId="6DB2141F">
            <w:pPr>
              <w:rPr>
                <w:rFonts w:ascii="仿宋" w:hAnsi="仿宋" w:eastAsia="仿宋" w:cs="仿宋"/>
                <w:color w:val="auto"/>
                <w:highlight w:val="none"/>
              </w:rPr>
            </w:pPr>
          </w:p>
        </w:tc>
        <w:tc>
          <w:tcPr>
            <w:tcW w:w="6975" w:type="dxa"/>
            <w:gridSpan w:val="2"/>
            <w:vMerge w:val="continue"/>
            <w:tcBorders>
              <w:bottom w:val="single" w:color="auto" w:sz="4" w:space="0"/>
            </w:tcBorders>
          </w:tcPr>
          <w:p w14:paraId="32D51E17">
            <w:pPr>
              <w:rPr>
                <w:rFonts w:ascii="仿宋" w:hAnsi="仿宋" w:eastAsia="仿宋" w:cs="仿宋"/>
                <w:color w:val="auto"/>
                <w:highlight w:val="none"/>
              </w:rPr>
            </w:pPr>
          </w:p>
        </w:tc>
        <w:tc>
          <w:tcPr>
            <w:tcW w:w="749" w:type="dxa"/>
            <w:vAlign w:val="center"/>
          </w:tcPr>
          <w:p w14:paraId="470938F7">
            <w:pPr>
              <w:jc w:val="center"/>
              <w:rPr>
                <w:rFonts w:ascii="仿宋" w:hAnsi="仿宋" w:eastAsia="仿宋" w:cs="仿宋"/>
                <w:b/>
                <w:color w:val="auto"/>
                <w:highlight w:val="none"/>
              </w:rPr>
            </w:pPr>
            <w:r>
              <w:rPr>
                <w:rFonts w:hint="eastAsia" w:ascii="仿宋" w:hAnsi="仿宋" w:eastAsia="仿宋" w:cs="仿宋"/>
                <w:b/>
                <w:color w:val="auto"/>
                <w:highlight w:val="none"/>
              </w:rPr>
              <w:t>是</w:t>
            </w:r>
          </w:p>
        </w:tc>
        <w:tc>
          <w:tcPr>
            <w:tcW w:w="617" w:type="dxa"/>
            <w:tcBorders>
              <w:right w:val="single" w:color="auto" w:sz="4" w:space="0"/>
            </w:tcBorders>
            <w:vAlign w:val="center"/>
          </w:tcPr>
          <w:p w14:paraId="40A9C996">
            <w:pPr>
              <w:jc w:val="center"/>
              <w:rPr>
                <w:rFonts w:ascii="仿宋" w:hAnsi="仿宋" w:eastAsia="仿宋" w:cs="仿宋"/>
                <w:b/>
                <w:color w:val="auto"/>
                <w:highlight w:val="none"/>
              </w:rPr>
            </w:pPr>
            <w:r>
              <w:rPr>
                <w:rFonts w:hint="eastAsia" w:ascii="仿宋" w:hAnsi="仿宋" w:eastAsia="仿宋" w:cs="仿宋"/>
                <w:b/>
                <w:color w:val="auto"/>
                <w:highlight w:val="none"/>
              </w:rPr>
              <w:t>否</w:t>
            </w:r>
          </w:p>
        </w:tc>
      </w:tr>
      <w:tr w14:paraId="454C7E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0" w:hRule="atLeast"/>
        </w:trPr>
        <w:tc>
          <w:tcPr>
            <w:tcW w:w="1094" w:type="dxa"/>
            <w:vMerge w:val="restart"/>
            <w:tcBorders>
              <w:top w:val="single" w:color="auto" w:sz="4" w:space="0"/>
              <w:left w:val="single" w:color="auto" w:sz="4" w:space="0"/>
              <w:right w:val="single" w:color="auto" w:sz="4" w:space="0"/>
            </w:tcBorders>
            <w:vAlign w:val="center"/>
          </w:tcPr>
          <w:p w14:paraId="1A6CDFB7">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审</w:t>
            </w:r>
          </w:p>
          <w:p w14:paraId="0CE08354">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查</w:t>
            </w:r>
          </w:p>
          <w:p w14:paraId="17DE3573">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标</w:t>
            </w:r>
          </w:p>
          <w:p w14:paraId="108B57F6">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准</w:t>
            </w:r>
          </w:p>
        </w:tc>
        <w:tc>
          <w:tcPr>
            <w:tcW w:w="597" w:type="dxa"/>
            <w:tcBorders>
              <w:top w:val="single" w:color="auto" w:sz="4" w:space="0"/>
              <w:left w:val="single" w:color="auto" w:sz="4" w:space="0"/>
              <w:right w:val="single" w:color="auto" w:sz="4" w:space="0"/>
            </w:tcBorders>
            <w:vAlign w:val="center"/>
          </w:tcPr>
          <w:p w14:paraId="058FC5A4">
            <w:pPr>
              <w:jc w:val="center"/>
              <w:rPr>
                <w:rFonts w:ascii="仿宋" w:hAnsi="仿宋" w:eastAsia="仿宋" w:cs="仿宋"/>
                <w:color w:val="auto"/>
                <w:highlight w:val="none"/>
              </w:rPr>
            </w:pPr>
            <w:r>
              <w:rPr>
                <w:rFonts w:hint="eastAsia" w:ascii="仿宋" w:hAnsi="仿宋" w:eastAsia="仿宋" w:cs="仿宋"/>
                <w:color w:val="auto"/>
                <w:highlight w:val="none"/>
              </w:rPr>
              <w:t>1</w:t>
            </w:r>
          </w:p>
        </w:tc>
        <w:tc>
          <w:tcPr>
            <w:tcW w:w="6378" w:type="dxa"/>
            <w:tcBorders>
              <w:top w:val="single" w:color="auto" w:sz="4" w:space="0"/>
              <w:left w:val="single" w:color="auto" w:sz="4" w:space="0"/>
              <w:right w:val="single" w:color="auto" w:sz="4" w:space="0"/>
            </w:tcBorders>
            <w:vAlign w:val="center"/>
          </w:tcPr>
          <w:p w14:paraId="04118718">
            <w:pPr>
              <w:widowControl/>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由政府立项核准、审批的采购项目, 报价高于设定的采购预算价的；</w:t>
            </w:r>
          </w:p>
        </w:tc>
        <w:tc>
          <w:tcPr>
            <w:tcW w:w="749" w:type="dxa"/>
            <w:tcBorders>
              <w:left w:val="single" w:color="auto" w:sz="4" w:space="0"/>
              <w:right w:val="single" w:color="auto" w:sz="4" w:space="0"/>
            </w:tcBorders>
          </w:tcPr>
          <w:p w14:paraId="73C794AE">
            <w:pPr>
              <w:jc w:val="center"/>
              <w:rPr>
                <w:rFonts w:ascii="仿宋" w:hAnsi="仿宋" w:eastAsia="仿宋" w:cs="仿宋"/>
                <w:b/>
                <w:color w:val="auto"/>
                <w:szCs w:val="21"/>
                <w:highlight w:val="none"/>
                <w:lang w:eastAsia="zh-CN"/>
              </w:rPr>
            </w:pPr>
          </w:p>
        </w:tc>
        <w:tc>
          <w:tcPr>
            <w:tcW w:w="617" w:type="dxa"/>
            <w:tcBorders>
              <w:left w:val="single" w:color="auto" w:sz="4" w:space="0"/>
              <w:right w:val="single" w:color="auto" w:sz="4" w:space="0"/>
            </w:tcBorders>
          </w:tcPr>
          <w:p w14:paraId="2174F480">
            <w:pPr>
              <w:jc w:val="center"/>
              <w:rPr>
                <w:rFonts w:ascii="仿宋" w:hAnsi="仿宋" w:eastAsia="仿宋" w:cs="仿宋"/>
                <w:b/>
                <w:color w:val="auto"/>
                <w:szCs w:val="21"/>
                <w:highlight w:val="none"/>
                <w:lang w:eastAsia="zh-CN"/>
              </w:rPr>
            </w:pPr>
          </w:p>
        </w:tc>
      </w:tr>
      <w:tr w14:paraId="49E82E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094" w:type="dxa"/>
            <w:vMerge w:val="continue"/>
            <w:tcBorders>
              <w:left w:val="single" w:color="auto" w:sz="4" w:space="0"/>
              <w:right w:val="single" w:color="auto" w:sz="4" w:space="0"/>
            </w:tcBorders>
            <w:vAlign w:val="center"/>
          </w:tcPr>
          <w:p w14:paraId="00B1ED0A">
            <w:pPr>
              <w:rPr>
                <w:rFonts w:ascii="仿宋" w:hAnsi="仿宋" w:eastAsia="仿宋" w:cs="仿宋"/>
                <w:color w:val="auto"/>
                <w:highlight w:val="none"/>
                <w:lang w:eastAsia="zh-CN"/>
              </w:rPr>
            </w:pPr>
          </w:p>
        </w:tc>
        <w:tc>
          <w:tcPr>
            <w:tcW w:w="597" w:type="dxa"/>
            <w:tcBorders>
              <w:top w:val="single" w:color="auto" w:sz="4" w:space="0"/>
              <w:left w:val="single" w:color="auto" w:sz="4" w:space="0"/>
              <w:bottom w:val="single" w:color="auto" w:sz="4" w:space="0"/>
              <w:right w:val="single" w:color="auto" w:sz="4" w:space="0"/>
            </w:tcBorders>
            <w:vAlign w:val="center"/>
          </w:tcPr>
          <w:p w14:paraId="6C719BBD">
            <w:pPr>
              <w:jc w:val="center"/>
              <w:rPr>
                <w:rFonts w:ascii="仿宋" w:hAnsi="仿宋" w:eastAsia="仿宋" w:cs="仿宋"/>
                <w:color w:val="auto"/>
                <w:highlight w:val="none"/>
              </w:rPr>
            </w:pPr>
            <w:r>
              <w:rPr>
                <w:rFonts w:hint="eastAsia" w:ascii="仿宋" w:hAnsi="仿宋" w:eastAsia="仿宋" w:cs="仿宋"/>
                <w:color w:val="auto"/>
                <w:highlight w:val="none"/>
              </w:rPr>
              <w:t>2</w:t>
            </w:r>
          </w:p>
        </w:tc>
        <w:tc>
          <w:tcPr>
            <w:tcW w:w="6378" w:type="dxa"/>
            <w:tcBorders>
              <w:top w:val="single" w:color="auto" w:sz="4" w:space="0"/>
              <w:left w:val="single" w:color="auto" w:sz="4" w:space="0"/>
              <w:bottom w:val="single" w:color="auto" w:sz="4" w:space="0"/>
              <w:right w:val="single" w:color="auto" w:sz="4" w:space="0"/>
            </w:tcBorders>
            <w:vAlign w:val="center"/>
          </w:tcPr>
          <w:p w14:paraId="2BCAFF1E">
            <w:pPr>
              <w:widowControl/>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法定代表人身份证明及授权委托书有效，且符合招标文件规定的格式；</w:t>
            </w:r>
          </w:p>
        </w:tc>
        <w:tc>
          <w:tcPr>
            <w:tcW w:w="749" w:type="dxa"/>
            <w:tcBorders>
              <w:left w:val="single" w:color="auto" w:sz="4" w:space="0"/>
            </w:tcBorders>
          </w:tcPr>
          <w:p w14:paraId="03A2E97E">
            <w:pPr>
              <w:rPr>
                <w:rFonts w:ascii="仿宋" w:hAnsi="仿宋" w:eastAsia="仿宋" w:cs="仿宋"/>
                <w:color w:val="auto"/>
                <w:szCs w:val="21"/>
                <w:highlight w:val="none"/>
                <w:lang w:eastAsia="zh-CN"/>
              </w:rPr>
            </w:pPr>
          </w:p>
        </w:tc>
        <w:tc>
          <w:tcPr>
            <w:tcW w:w="617" w:type="dxa"/>
            <w:tcBorders>
              <w:right w:val="single" w:color="auto" w:sz="4" w:space="0"/>
            </w:tcBorders>
          </w:tcPr>
          <w:p w14:paraId="616AE386">
            <w:pPr>
              <w:rPr>
                <w:rFonts w:ascii="仿宋" w:hAnsi="仿宋" w:eastAsia="仿宋" w:cs="仿宋"/>
                <w:color w:val="auto"/>
                <w:szCs w:val="21"/>
                <w:highlight w:val="none"/>
                <w:lang w:eastAsia="zh-CN"/>
              </w:rPr>
            </w:pPr>
          </w:p>
        </w:tc>
      </w:tr>
      <w:tr w14:paraId="31931E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4" w:hRule="atLeast"/>
        </w:trPr>
        <w:tc>
          <w:tcPr>
            <w:tcW w:w="1094" w:type="dxa"/>
            <w:vMerge w:val="continue"/>
            <w:tcBorders>
              <w:left w:val="single" w:color="auto" w:sz="4" w:space="0"/>
              <w:right w:val="single" w:color="auto" w:sz="4" w:space="0"/>
            </w:tcBorders>
            <w:vAlign w:val="center"/>
          </w:tcPr>
          <w:p w14:paraId="07991232">
            <w:pPr>
              <w:rPr>
                <w:rFonts w:ascii="仿宋" w:hAnsi="仿宋" w:eastAsia="仿宋" w:cs="仿宋"/>
                <w:color w:val="auto"/>
                <w:highlight w:val="none"/>
                <w:lang w:eastAsia="zh-CN"/>
              </w:rPr>
            </w:pPr>
          </w:p>
        </w:tc>
        <w:tc>
          <w:tcPr>
            <w:tcW w:w="597" w:type="dxa"/>
            <w:tcBorders>
              <w:top w:val="single" w:color="auto" w:sz="4" w:space="0"/>
              <w:left w:val="single" w:color="auto" w:sz="4" w:space="0"/>
              <w:right w:val="single" w:color="auto" w:sz="4" w:space="0"/>
            </w:tcBorders>
            <w:vAlign w:val="center"/>
          </w:tcPr>
          <w:p w14:paraId="79CF9BDD">
            <w:pPr>
              <w:jc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3</w:t>
            </w:r>
          </w:p>
        </w:tc>
        <w:tc>
          <w:tcPr>
            <w:tcW w:w="6378" w:type="dxa"/>
            <w:tcBorders>
              <w:top w:val="single" w:color="auto" w:sz="4" w:space="0"/>
              <w:left w:val="single" w:color="auto" w:sz="4" w:space="0"/>
              <w:right w:val="single" w:color="auto" w:sz="4" w:space="0"/>
            </w:tcBorders>
            <w:vAlign w:val="center"/>
          </w:tcPr>
          <w:p w14:paraId="2A3E0122">
            <w:pPr>
              <w:widowControl/>
              <w:textAlignment w:val="center"/>
              <w:rPr>
                <w:rFonts w:hint="eastAsia" w:ascii="仿宋" w:hAnsi="仿宋" w:eastAsia="仿宋" w:cs="仿宋"/>
                <w:color w:val="auto"/>
                <w:highlight w:val="none"/>
                <w:lang w:eastAsia="zh-CN"/>
              </w:rPr>
            </w:pPr>
            <w:r>
              <w:rPr>
                <w:rFonts w:hint="eastAsia" w:ascii="仿宋" w:hAnsi="仿宋" w:eastAsia="仿宋" w:cs="仿宋"/>
                <w:color w:val="auto"/>
                <w:highlight w:val="none"/>
              </w:rPr>
              <w:t>只有一个方案投标</w:t>
            </w:r>
            <w:r>
              <w:rPr>
                <w:rFonts w:hint="eastAsia" w:ascii="仿宋" w:hAnsi="仿宋" w:eastAsia="仿宋" w:cs="仿宋"/>
                <w:color w:val="auto"/>
                <w:highlight w:val="none"/>
                <w:lang w:eastAsia="zh-CN"/>
              </w:rPr>
              <w:t>；</w:t>
            </w:r>
          </w:p>
        </w:tc>
        <w:tc>
          <w:tcPr>
            <w:tcW w:w="749" w:type="dxa"/>
            <w:tcBorders>
              <w:left w:val="single" w:color="auto" w:sz="4" w:space="0"/>
            </w:tcBorders>
          </w:tcPr>
          <w:p w14:paraId="7A6BE183">
            <w:pPr>
              <w:rPr>
                <w:rFonts w:ascii="仿宋" w:hAnsi="仿宋" w:eastAsia="仿宋" w:cs="仿宋"/>
                <w:color w:val="auto"/>
                <w:szCs w:val="21"/>
                <w:highlight w:val="none"/>
              </w:rPr>
            </w:pPr>
          </w:p>
        </w:tc>
        <w:tc>
          <w:tcPr>
            <w:tcW w:w="617" w:type="dxa"/>
            <w:tcBorders>
              <w:right w:val="single" w:color="auto" w:sz="4" w:space="0"/>
            </w:tcBorders>
          </w:tcPr>
          <w:p w14:paraId="362D9109">
            <w:pPr>
              <w:rPr>
                <w:rFonts w:ascii="仿宋" w:hAnsi="仿宋" w:eastAsia="仿宋" w:cs="仿宋"/>
                <w:color w:val="auto"/>
                <w:szCs w:val="21"/>
                <w:highlight w:val="none"/>
              </w:rPr>
            </w:pPr>
          </w:p>
        </w:tc>
      </w:tr>
      <w:tr w14:paraId="18E29F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8" w:hRule="atLeast"/>
        </w:trPr>
        <w:tc>
          <w:tcPr>
            <w:tcW w:w="1094" w:type="dxa"/>
            <w:vMerge w:val="continue"/>
            <w:tcBorders>
              <w:left w:val="single" w:color="auto" w:sz="4" w:space="0"/>
              <w:right w:val="single" w:color="auto" w:sz="4" w:space="0"/>
            </w:tcBorders>
            <w:vAlign w:val="center"/>
          </w:tcPr>
          <w:p w14:paraId="5F5D54BF">
            <w:pPr>
              <w:rPr>
                <w:rFonts w:ascii="仿宋" w:hAnsi="仿宋" w:eastAsia="仿宋" w:cs="仿宋"/>
                <w:color w:val="auto"/>
                <w:highlight w:val="none"/>
              </w:rPr>
            </w:pPr>
          </w:p>
        </w:tc>
        <w:tc>
          <w:tcPr>
            <w:tcW w:w="597" w:type="dxa"/>
            <w:tcBorders>
              <w:left w:val="single" w:color="auto" w:sz="4" w:space="0"/>
            </w:tcBorders>
            <w:vAlign w:val="center"/>
          </w:tcPr>
          <w:p w14:paraId="5A39DB0B">
            <w:pPr>
              <w:jc w:val="center"/>
              <w:rPr>
                <w:rFonts w:ascii="仿宋" w:hAnsi="仿宋" w:eastAsia="仿宋" w:cs="仿宋"/>
                <w:color w:val="auto"/>
                <w:highlight w:val="none"/>
              </w:rPr>
            </w:pPr>
            <w:r>
              <w:rPr>
                <w:rFonts w:hint="eastAsia" w:ascii="仿宋" w:hAnsi="仿宋" w:eastAsia="仿宋" w:cs="仿宋"/>
                <w:color w:val="auto"/>
                <w:highlight w:val="none"/>
                <w:lang w:val="en-US" w:eastAsia="zh-CN"/>
              </w:rPr>
              <w:t>4</w:t>
            </w:r>
          </w:p>
        </w:tc>
        <w:tc>
          <w:tcPr>
            <w:tcW w:w="6378" w:type="dxa"/>
            <w:tcBorders>
              <w:right w:val="single" w:color="auto" w:sz="4" w:space="0"/>
            </w:tcBorders>
            <w:vAlign w:val="center"/>
          </w:tcPr>
          <w:p w14:paraId="53FD9B6A">
            <w:pPr>
              <w:widowControl/>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投标文件内容齐全、无遗漏；</w:t>
            </w:r>
          </w:p>
        </w:tc>
        <w:tc>
          <w:tcPr>
            <w:tcW w:w="749" w:type="dxa"/>
            <w:tcBorders>
              <w:left w:val="single" w:color="auto" w:sz="4" w:space="0"/>
            </w:tcBorders>
          </w:tcPr>
          <w:p w14:paraId="0CAB513E">
            <w:pPr>
              <w:rPr>
                <w:rFonts w:ascii="仿宋" w:hAnsi="仿宋" w:eastAsia="仿宋" w:cs="仿宋"/>
                <w:color w:val="auto"/>
                <w:szCs w:val="21"/>
                <w:highlight w:val="none"/>
                <w:lang w:eastAsia="zh-CN"/>
              </w:rPr>
            </w:pPr>
          </w:p>
        </w:tc>
        <w:tc>
          <w:tcPr>
            <w:tcW w:w="617" w:type="dxa"/>
            <w:tcBorders>
              <w:right w:val="single" w:color="auto" w:sz="4" w:space="0"/>
            </w:tcBorders>
          </w:tcPr>
          <w:p w14:paraId="7E4512DA">
            <w:pPr>
              <w:rPr>
                <w:rFonts w:ascii="仿宋" w:hAnsi="仿宋" w:eastAsia="仿宋" w:cs="仿宋"/>
                <w:color w:val="auto"/>
                <w:szCs w:val="21"/>
                <w:highlight w:val="none"/>
                <w:lang w:eastAsia="zh-CN"/>
              </w:rPr>
            </w:pPr>
          </w:p>
        </w:tc>
      </w:tr>
      <w:tr w14:paraId="61CAA1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1" w:hRule="atLeast"/>
        </w:trPr>
        <w:tc>
          <w:tcPr>
            <w:tcW w:w="1094" w:type="dxa"/>
            <w:vMerge w:val="continue"/>
            <w:tcBorders>
              <w:left w:val="single" w:color="auto" w:sz="4" w:space="0"/>
              <w:right w:val="single" w:color="auto" w:sz="4" w:space="0"/>
            </w:tcBorders>
            <w:vAlign w:val="center"/>
          </w:tcPr>
          <w:p w14:paraId="43379014">
            <w:pPr>
              <w:rPr>
                <w:rFonts w:ascii="仿宋" w:hAnsi="仿宋" w:eastAsia="仿宋" w:cs="仿宋"/>
                <w:color w:val="auto"/>
                <w:highlight w:val="none"/>
                <w:lang w:eastAsia="zh-CN"/>
              </w:rPr>
            </w:pPr>
          </w:p>
        </w:tc>
        <w:tc>
          <w:tcPr>
            <w:tcW w:w="597" w:type="dxa"/>
            <w:tcBorders>
              <w:left w:val="single" w:color="auto" w:sz="4" w:space="0"/>
              <w:bottom w:val="single" w:color="auto" w:sz="4" w:space="0"/>
            </w:tcBorders>
            <w:vAlign w:val="center"/>
          </w:tcPr>
          <w:p w14:paraId="1415FA07">
            <w:pPr>
              <w:jc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5</w:t>
            </w:r>
          </w:p>
        </w:tc>
        <w:tc>
          <w:tcPr>
            <w:tcW w:w="6378" w:type="dxa"/>
            <w:tcBorders>
              <w:bottom w:val="single" w:color="auto" w:sz="4" w:space="0"/>
              <w:right w:val="single" w:color="auto" w:sz="4" w:space="0"/>
            </w:tcBorders>
            <w:vAlign w:val="center"/>
          </w:tcPr>
          <w:p w14:paraId="69AE18D8">
            <w:pPr>
              <w:widowControl/>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对招标文件规定的招标内容全部作出响应；</w:t>
            </w:r>
          </w:p>
        </w:tc>
        <w:tc>
          <w:tcPr>
            <w:tcW w:w="749" w:type="dxa"/>
            <w:tcBorders>
              <w:left w:val="single" w:color="auto" w:sz="4" w:space="0"/>
              <w:bottom w:val="single" w:color="auto" w:sz="4" w:space="0"/>
            </w:tcBorders>
          </w:tcPr>
          <w:p w14:paraId="4525E883">
            <w:pPr>
              <w:rPr>
                <w:rFonts w:ascii="仿宋" w:hAnsi="仿宋" w:eastAsia="仿宋" w:cs="仿宋"/>
                <w:color w:val="auto"/>
                <w:szCs w:val="21"/>
                <w:highlight w:val="none"/>
                <w:lang w:eastAsia="zh-CN"/>
              </w:rPr>
            </w:pPr>
          </w:p>
        </w:tc>
        <w:tc>
          <w:tcPr>
            <w:tcW w:w="617" w:type="dxa"/>
            <w:tcBorders>
              <w:bottom w:val="single" w:color="auto" w:sz="4" w:space="0"/>
              <w:right w:val="single" w:color="auto" w:sz="4" w:space="0"/>
            </w:tcBorders>
          </w:tcPr>
          <w:p w14:paraId="4DC88B4D">
            <w:pPr>
              <w:rPr>
                <w:rFonts w:ascii="仿宋" w:hAnsi="仿宋" w:eastAsia="仿宋" w:cs="仿宋"/>
                <w:color w:val="auto"/>
                <w:szCs w:val="21"/>
                <w:highlight w:val="none"/>
                <w:lang w:eastAsia="zh-CN"/>
              </w:rPr>
            </w:pPr>
          </w:p>
        </w:tc>
      </w:tr>
      <w:tr w14:paraId="0E7A38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3" w:hRule="atLeast"/>
        </w:trPr>
        <w:tc>
          <w:tcPr>
            <w:tcW w:w="1094" w:type="dxa"/>
            <w:vMerge w:val="continue"/>
            <w:tcBorders>
              <w:left w:val="single" w:color="auto" w:sz="4" w:space="0"/>
              <w:right w:val="single" w:color="auto" w:sz="4" w:space="0"/>
            </w:tcBorders>
            <w:vAlign w:val="center"/>
          </w:tcPr>
          <w:p w14:paraId="3C9E155F">
            <w:pPr>
              <w:rPr>
                <w:rFonts w:ascii="仿宋" w:hAnsi="仿宋" w:eastAsia="仿宋" w:cs="仿宋"/>
                <w:color w:val="auto"/>
                <w:highlight w:val="none"/>
                <w:lang w:eastAsia="zh-CN"/>
              </w:rPr>
            </w:pPr>
          </w:p>
        </w:tc>
        <w:tc>
          <w:tcPr>
            <w:tcW w:w="597" w:type="dxa"/>
            <w:tcBorders>
              <w:top w:val="single" w:color="auto" w:sz="4" w:space="0"/>
              <w:left w:val="single" w:color="auto" w:sz="4" w:space="0"/>
              <w:bottom w:val="single" w:color="auto" w:sz="4" w:space="0"/>
              <w:right w:val="single" w:color="auto" w:sz="4" w:space="0"/>
            </w:tcBorders>
            <w:vAlign w:val="center"/>
          </w:tcPr>
          <w:p w14:paraId="4C4CD388">
            <w:pPr>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6</w:t>
            </w:r>
          </w:p>
        </w:tc>
        <w:tc>
          <w:tcPr>
            <w:tcW w:w="6378" w:type="dxa"/>
            <w:tcBorders>
              <w:top w:val="single" w:color="auto" w:sz="4" w:space="0"/>
              <w:left w:val="single" w:color="auto" w:sz="4" w:space="0"/>
              <w:bottom w:val="single" w:color="auto" w:sz="4" w:space="0"/>
              <w:right w:val="single" w:color="auto" w:sz="4" w:space="0"/>
            </w:tcBorders>
            <w:vAlign w:val="center"/>
          </w:tcPr>
          <w:p w14:paraId="5EA54FCD">
            <w:pPr>
              <w:widowControl/>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满足招标文件提出的技术和质量要求；</w:t>
            </w:r>
          </w:p>
        </w:tc>
        <w:tc>
          <w:tcPr>
            <w:tcW w:w="749" w:type="dxa"/>
            <w:tcBorders>
              <w:top w:val="single" w:color="auto" w:sz="4" w:space="0"/>
              <w:left w:val="single" w:color="auto" w:sz="4" w:space="0"/>
              <w:bottom w:val="single" w:color="auto" w:sz="4" w:space="0"/>
              <w:right w:val="single" w:color="auto" w:sz="4" w:space="0"/>
            </w:tcBorders>
          </w:tcPr>
          <w:p w14:paraId="716EA2ED">
            <w:pPr>
              <w:rPr>
                <w:rFonts w:ascii="仿宋" w:hAnsi="仿宋" w:eastAsia="仿宋" w:cs="仿宋"/>
                <w:color w:val="auto"/>
                <w:szCs w:val="21"/>
                <w:highlight w:val="none"/>
                <w:lang w:eastAsia="zh-CN"/>
              </w:rPr>
            </w:pPr>
          </w:p>
        </w:tc>
        <w:tc>
          <w:tcPr>
            <w:tcW w:w="617" w:type="dxa"/>
            <w:tcBorders>
              <w:top w:val="single" w:color="auto" w:sz="4" w:space="0"/>
              <w:left w:val="single" w:color="auto" w:sz="4" w:space="0"/>
              <w:bottom w:val="single" w:color="auto" w:sz="4" w:space="0"/>
              <w:right w:val="single" w:color="auto" w:sz="4" w:space="0"/>
            </w:tcBorders>
          </w:tcPr>
          <w:p w14:paraId="797893F0">
            <w:pPr>
              <w:rPr>
                <w:rFonts w:ascii="仿宋" w:hAnsi="仿宋" w:eastAsia="仿宋" w:cs="仿宋"/>
                <w:color w:val="auto"/>
                <w:szCs w:val="21"/>
                <w:highlight w:val="none"/>
                <w:lang w:eastAsia="zh-CN"/>
              </w:rPr>
            </w:pPr>
          </w:p>
        </w:tc>
      </w:tr>
      <w:tr w14:paraId="1AB967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1" w:hRule="atLeast"/>
        </w:trPr>
        <w:tc>
          <w:tcPr>
            <w:tcW w:w="1094" w:type="dxa"/>
            <w:vMerge w:val="continue"/>
            <w:tcBorders>
              <w:left w:val="single" w:color="auto" w:sz="4" w:space="0"/>
              <w:right w:val="single" w:color="auto" w:sz="4" w:space="0"/>
            </w:tcBorders>
            <w:vAlign w:val="center"/>
          </w:tcPr>
          <w:p w14:paraId="5C905B8F">
            <w:pPr>
              <w:rPr>
                <w:rFonts w:ascii="仿宋" w:hAnsi="仿宋" w:eastAsia="仿宋" w:cs="仿宋"/>
                <w:color w:val="auto"/>
                <w:highlight w:val="none"/>
                <w:lang w:eastAsia="zh-CN"/>
              </w:rPr>
            </w:pPr>
          </w:p>
        </w:tc>
        <w:tc>
          <w:tcPr>
            <w:tcW w:w="597" w:type="dxa"/>
            <w:tcBorders>
              <w:top w:val="single" w:color="auto" w:sz="4" w:space="0"/>
              <w:left w:val="single" w:color="auto" w:sz="4" w:space="0"/>
            </w:tcBorders>
            <w:vAlign w:val="center"/>
          </w:tcPr>
          <w:p w14:paraId="5FD2CD87">
            <w:pPr>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7</w:t>
            </w:r>
          </w:p>
        </w:tc>
        <w:tc>
          <w:tcPr>
            <w:tcW w:w="6378" w:type="dxa"/>
            <w:tcBorders>
              <w:top w:val="single" w:color="auto" w:sz="4" w:space="0"/>
              <w:right w:val="single" w:color="auto" w:sz="4" w:space="0"/>
            </w:tcBorders>
            <w:vAlign w:val="center"/>
          </w:tcPr>
          <w:p w14:paraId="17B982E1">
            <w:pPr>
              <w:widowControl/>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完成期限满足招标文件要求；</w:t>
            </w:r>
          </w:p>
        </w:tc>
        <w:tc>
          <w:tcPr>
            <w:tcW w:w="749" w:type="dxa"/>
            <w:tcBorders>
              <w:top w:val="single" w:color="auto" w:sz="4" w:space="0"/>
              <w:left w:val="single" w:color="auto" w:sz="4" w:space="0"/>
            </w:tcBorders>
          </w:tcPr>
          <w:p w14:paraId="17FCAC61">
            <w:pPr>
              <w:rPr>
                <w:rFonts w:ascii="仿宋" w:hAnsi="仿宋" w:eastAsia="仿宋" w:cs="仿宋"/>
                <w:color w:val="auto"/>
                <w:szCs w:val="21"/>
                <w:highlight w:val="none"/>
                <w:lang w:eastAsia="zh-CN"/>
              </w:rPr>
            </w:pPr>
          </w:p>
        </w:tc>
        <w:tc>
          <w:tcPr>
            <w:tcW w:w="617" w:type="dxa"/>
            <w:tcBorders>
              <w:top w:val="single" w:color="auto" w:sz="4" w:space="0"/>
              <w:right w:val="single" w:color="auto" w:sz="4" w:space="0"/>
            </w:tcBorders>
          </w:tcPr>
          <w:p w14:paraId="6BAEEE66">
            <w:pPr>
              <w:rPr>
                <w:rFonts w:ascii="仿宋" w:hAnsi="仿宋" w:eastAsia="仿宋" w:cs="仿宋"/>
                <w:color w:val="auto"/>
                <w:szCs w:val="21"/>
                <w:highlight w:val="none"/>
                <w:lang w:eastAsia="zh-CN"/>
              </w:rPr>
            </w:pPr>
          </w:p>
        </w:tc>
      </w:tr>
      <w:tr w14:paraId="604FFC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8" w:hRule="atLeast"/>
        </w:trPr>
        <w:tc>
          <w:tcPr>
            <w:tcW w:w="1094" w:type="dxa"/>
            <w:vMerge w:val="continue"/>
            <w:tcBorders>
              <w:left w:val="single" w:color="auto" w:sz="4" w:space="0"/>
              <w:right w:val="single" w:color="auto" w:sz="4" w:space="0"/>
            </w:tcBorders>
            <w:vAlign w:val="center"/>
          </w:tcPr>
          <w:p w14:paraId="43DF4701">
            <w:pPr>
              <w:rPr>
                <w:rFonts w:ascii="仿宋" w:hAnsi="仿宋" w:eastAsia="仿宋" w:cs="仿宋"/>
                <w:color w:val="auto"/>
                <w:highlight w:val="none"/>
                <w:lang w:eastAsia="zh-CN"/>
              </w:rPr>
            </w:pPr>
          </w:p>
        </w:tc>
        <w:tc>
          <w:tcPr>
            <w:tcW w:w="597" w:type="dxa"/>
            <w:tcBorders>
              <w:left w:val="single" w:color="auto" w:sz="4" w:space="0"/>
            </w:tcBorders>
            <w:vAlign w:val="center"/>
          </w:tcPr>
          <w:p w14:paraId="03BA3865">
            <w:pPr>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8</w:t>
            </w:r>
          </w:p>
        </w:tc>
        <w:tc>
          <w:tcPr>
            <w:tcW w:w="6378" w:type="dxa"/>
            <w:tcBorders>
              <w:right w:val="single" w:color="auto" w:sz="4" w:space="0"/>
            </w:tcBorders>
            <w:vAlign w:val="center"/>
          </w:tcPr>
          <w:p w14:paraId="716D5BC1">
            <w:pPr>
              <w:widowControl/>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售后服务满足招标文件要求；</w:t>
            </w:r>
          </w:p>
        </w:tc>
        <w:tc>
          <w:tcPr>
            <w:tcW w:w="749" w:type="dxa"/>
            <w:tcBorders>
              <w:left w:val="single" w:color="auto" w:sz="4" w:space="0"/>
            </w:tcBorders>
          </w:tcPr>
          <w:p w14:paraId="6E7FD31C">
            <w:pPr>
              <w:rPr>
                <w:rFonts w:ascii="仿宋" w:hAnsi="仿宋" w:eastAsia="仿宋" w:cs="仿宋"/>
                <w:color w:val="auto"/>
                <w:szCs w:val="21"/>
                <w:highlight w:val="none"/>
                <w:lang w:eastAsia="zh-CN"/>
              </w:rPr>
            </w:pPr>
          </w:p>
        </w:tc>
        <w:tc>
          <w:tcPr>
            <w:tcW w:w="617" w:type="dxa"/>
            <w:tcBorders>
              <w:right w:val="single" w:color="auto" w:sz="4" w:space="0"/>
            </w:tcBorders>
          </w:tcPr>
          <w:p w14:paraId="23B23E6E">
            <w:pPr>
              <w:rPr>
                <w:rFonts w:ascii="仿宋" w:hAnsi="仿宋" w:eastAsia="仿宋" w:cs="仿宋"/>
                <w:color w:val="auto"/>
                <w:szCs w:val="21"/>
                <w:highlight w:val="none"/>
                <w:lang w:eastAsia="zh-CN"/>
              </w:rPr>
            </w:pPr>
          </w:p>
        </w:tc>
      </w:tr>
      <w:tr w14:paraId="39400E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trPr>
        <w:tc>
          <w:tcPr>
            <w:tcW w:w="1094" w:type="dxa"/>
            <w:vMerge w:val="continue"/>
            <w:tcBorders>
              <w:left w:val="single" w:color="auto" w:sz="4" w:space="0"/>
              <w:right w:val="single" w:color="auto" w:sz="4" w:space="0"/>
            </w:tcBorders>
            <w:vAlign w:val="center"/>
          </w:tcPr>
          <w:p w14:paraId="23139843">
            <w:pPr>
              <w:rPr>
                <w:rFonts w:ascii="仿宋" w:hAnsi="仿宋" w:eastAsia="仿宋" w:cs="仿宋"/>
                <w:color w:val="auto"/>
                <w:highlight w:val="none"/>
                <w:lang w:eastAsia="zh-CN"/>
              </w:rPr>
            </w:pPr>
          </w:p>
        </w:tc>
        <w:tc>
          <w:tcPr>
            <w:tcW w:w="597" w:type="dxa"/>
            <w:tcBorders>
              <w:left w:val="single" w:color="auto" w:sz="4" w:space="0"/>
            </w:tcBorders>
            <w:vAlign w:val="center"/>
          </w:tcPr>
          <w:p w14:paraId="5AB4AA81">
            <w:pPr>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9</w:t>
            </w:r>
          </w:p>
        </w:tc>
        <w:tc>
          <w:tcPr>
            <w:tcW w:w="6378" w:type="dxa"/>
            <w:tcBorders>
              <w:right w:val="single" w:color="auto" w:sz="4" w:space="0"/>
            </w:tcBorders>
            <w:vAlign w:val="center"/>
          </w:tcPr>
          <w:p w14:paraId="24C02575">
            <w:pPr>
              <w:widowControl/>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投标有效期满足招标文件要求；</w:t>
            </w:r>
          </w:p>
        </w:tc>
        <w:tc>
          <w:tcPr>
            <w:tcW w:w="749" w:type="dxa"/>
            <w:tcBorders>
              <w:left w:val="single" w:color="auto" w:sz="4" w:space="0"/>
            </w:tcBorders>
          </w:tcPr>
          <w:p w14:paraId="6CA633EA">
            <w:pPr>
              <w:rPr>
                <w:rFonts w:ascii="仿宋" w:hAnsi="仿宋" w:eastAsia="仿宋" w:cs="仿宋"/>
                <w:color w:val="auto"/>
                <w:szCs w:val="21"/>
                <w:highlight w:val="none"/>
                <w:lang w:eastAsia="zh-CN"/>
              </w:rPr>
            </w:pPr>
          </w:p>
        </w:tc>
        <w:tc>
          <w:tcPr>
            <w:tcW w:w="617" w:type="dxa"/>
            <w:tcBorders>
              <w:right w:val="single" w:color="auto" w:sz="4" w:space="0"/>
            </w:tcBorders>
          </w:tcPr>
          <w:p w14:paraId="27732499">
            <w:pPr>
              <w:rPr>
                <w:rFonts w:ascii="仿宋" w:hAnsi="仿宋" w:eastAsia="仿宋" w:cs="仿宋"/>
                <w:color w:val="auto"/>
                <w:szCs w:val="21"/>
                <w:highlight w:val="none"/>
                <w:lang w:eastAsia="zh-CN"/>
              </w:rPr>
            </w:pPr>
          </w:p>
        </w:tc>
      </w:tr>
      <w:tr w14:paraId="0E8638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094" w:type="dxa"/>
            <w:vMerge w:val="continue"/>
            <w:tcBorders>
              <w:left w:val="single" w:color="auto" w:sz="4" w:space="0"/>
              <w:right w:val="single" w:color="auto" w:sz="4" w:space="0"/>
            </w:tcBorders>
            <w:vAlign w:val="center"/>
          </w:tcPr>
          <w:p w14:paraId="5437D659">
            <w:pPr>
              <w:rPr>
                <w:rFonts w:ascii="仿宋" w:hAnsi="仿宋" w:eastAsia="仿宋" w:cs="仿宋"/>
                <w:color w:val="auto"/>
                <w:highlight w:val="none"/>
                <w:lang w:eastAsia="zh-CN"/>
              </w:rPr>
            </w:pPr>
          </w:p>
        </w:tc>
        <w:tc>
          <w:tcPr>
            <w:tcW w:w="597" w:type="dxa"/>
            <w:tcBorders>
              <w:left w:val="single" w:color="auto" w:sz="4" w:space="0"/>
            </w:tcBorders>
            <w:vAlign w:val="center"/>
          </w:tcPr>
          <w:p w14:paraId="3465FCFA">
            <w:pPr>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10</w:t>
            </w:r>
          </w:p>
        </w:tc>
        <w:tc>
          <w:tcPr>
            <w:tcW w:w="6378" w:type="dxa"/>
            <w:tcBorders>
              <w:right w:val="single" w:color="auto" w:sz="4" w:space="0"/>
            </w:tcBorders>
            <w:vAlign w:val="center"/>
          </w:tcPr>
          <w:p w14:paraId="7D6F7CD2">
            <w:pPr>
              <w:widowControl/>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供应商详细地址、联系人、电话。</w:t>
            </w:r>
          </w:p>
        </w:tc>
        <w:tc>
          <w:tcPr>
            <w:tcW w:w="749" w:type="dxa"/>
            <w:tcBorders>
              <w:left w:val="single" w:color="auto" w:sz="4" w:space="0"/>
            </w:tcBorders>
          </w:tcPr>
          <w:p w14:paraId="34F5F985">
            <w:pPr>
              <w:rPr>
                <w:rFonts w:ascii="仿宋" w:hAnsi="仿宋" w:eastAsia="仿宋" w:cs="仿宋"/>
                <w:color w:val="auto"/>
                <w:szCs w:val="21"/>
                <w:highlight w:val="none"/>
                <w:lang w:eastAsia="zh-CN"/>
              </w:rPr>
            </w:pPr>
          </w:p>
        </w:tc>
        <w:tc>
          <w:tcPr>
            <w:tcW w:w="617" w:type="dxa"/>
            <w:tcBorders>
              <w:right w:val="single" w:color="auto" w:sz="4" w:space="0"/>
            </w:tcBorders>
          </w:tcPr>
          <w:p w14:paraId="6BE3F65E">
            <w:pPr>
              <w:rPr>
                <w:rFonts w:ascii="仿宋" w:hAnsi="仿宋" w:eastAsia="仿宋" w:cs="仿宋"/>
                <w:color w:val="auto"/>
                <w:szCs w:val="21"/>
                <w:highlight w:val="none"/>
                <w:lang w:eastAsia="zh-CN"/>
              </w:rPr>
            </w:pPr>
          </w:p>
        </w:tc>
      </w:tr>
      <w:tr w14:paraId="3F7571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9" w:hRule="atLeast"/>
        </w:trPr>
        <w:tc>
          <w:tcPr>
            <w:tcW w:w="1094" w:type="dxa"/>
            <w:tcBorders>
              <w:left w:val="single" w:color="auto" w:sz="4" w:space="0"/>
              <w:bottom w:val="single" w:color="auto" w:sz="4" w:space="0"/>
              <w:right w:val="single" w:color="auto" w:sz="4" w:space="0"/>
            </w:tcBorders>
            <w:vAlign w:val="center"/>
          </w:tcPr>
          <w:p w14:paraId="0903FAF3">
            <w:pPr>
              <w:jc w:val="center"/>
              <w:rPr>
                <w:rFonts w:ascii="仿宋" w:hAnsi="仿宋" w:eastAsia="仿宋" w:cs="仿宋"/>
                <w:color w:val="auto"/>
                <w:szCs w:val="21"/>
                <w:highlight w:val="none"/>
                <w:lang w:eastAsia="zh-CN"/>
              </w:rPr>
            </w:pPr>
          </w:p>
        </w:tc>
        <w:tc>
          <w:tcPr>
            <w:tcW w:w="6975" w:type="dxa"/>
            <w:gridSpan w:val="2"/>
            <w:tcBorders>
              <w:left w:val="single" w:color="auto" w:sz="4" w:space="0"/>
              <w:bottom w:val="single" w:color="auto" w:sz="4" w:space="0"/>
              <w:right w:val="single" w:color="auto" w:sz="4" w:space="0"/>
            </w:tcBorders>
          </w:tcPr>
          <w:p w14:paraId="55FFA6EE">
            <w:pPr>
              <w:rPr>
                <w:rFonts w:ascii="仿宋" w:hAnsi="仿宋" w:eastAsia="仿宋" w:cs="仿宋"/>
                <w:color w:val="auto"/>
                <w:highlight w:val="none"/>
                <w:lang w:eastAsia="zh-CN"/>
              </w:rPr>
            </w:pPr>
            <w:r>
              <w:rPr>
                <w:rFonts w:hint="eastAsia" w:ascii="仿宋" w:hAnsi="仿宋" w:eastAsia="仿宋" w:cs="仿宋"/>
                <w:color w:val="auto"/>
                <w:highlight w:val="none"/>
                <w:lang w:eastAsia="zh-CN"/>
              </w:rPr>
              <w:t>结论：是否通过评审（须填写通过或不通过）</w:t>
            </w:r>
          </w:p>
          <w:p w14:paraId="2193E6A0">
            <w:pPr>
              <w:rPr>
                <w:rFonts w:ascii="仿宋" w:hAnsi="仿宋" w:eastAsia="仿宋" w:cs="仿宋"/>
                <w:color w:val="auto"/>
                <w:highlight w:val="none"/>
                <w:lang w:eastAsia="zh-CN"/>
              </w:rPr>
            </w:pPr>
            <w:r>
              <w:rPr>
                <w:rFonts w:hint="eastAsia" w:ascii="仿宋" w:hAnsi="仿宋" w:eastAsia="仿宋" w:cs="仿宋"/>
                <w:color w:val="auto"/>
                <w:highlight w:val="none"/>
                <w:lang w:eastAsia="zh-CN"/>
              </w:rPr>
              <w:t>注：如有一项不合格，作废标处理。</w:t>
            </w:r>
          </w:p>
        </w:tc>
        <w:tc>
          <w:tcPr>
            <w:tcW w:w="1366" w:type="dxa"/>
            <w:gridSpan w:val="2"/>
            <w:tcBorders>
              <w:left w:val="single" w:color="auto" w:sz="4" w:space="0"/>
              <w:bottom w:val="single" w:color="auto" w:sz="4" w:space="0"/>
              <w:right w:val="single" w:color="auto" w:sz="4" w:space="0"/>
            </w:tcBorders>
          </w:tcPr>
          <w:p w14:paraId="3E9E6B3C">
            <w:pPr>
              <w:rPr>
                <w:rFonts w:ascii="仿宋" w:hAnsi="仿宋" w:eastAsia="仿宋" w:cs="仿宋"/>
                <w:color w:val="auto"/>
                <w:szCs w:val="21"/>
                <w:highlight w:val="none"/>
                <w:lang w:eastAsia="zh-CN"/>
              </w:rPr>
            </w:pPr>
          </w:p>
        </w:tc>
      </w:tr>
    </w:tbl>
    <w:p w14:paraId="60FB08B4">
      <w:pPr>
        <w:rPr>
          <w:rFonts w:ascii="仿宋" w:hAnsi="仿宋" w:eastAsia="仿宋" w:cs="仿宋"/>
          <w:color w:val="auto"/>
          <w:highlight w:val="none"/>
          <w:lang w:eastAsia="zh-CN"/>
        </w:rPr>
      </w:pPr>
    </w:p>
    <w:p w14:paraId="4D447E4E">
      <w:pPr>
        <w:keepNext w:val="0"/>
        <w:keepLines w:val="0"/>
        <w:pageBreakBefore w:val="0"/>
        <w:widowControl w:val="0"/>
        <w:kinsoku/>
        <w:wordWrap/>
        <w:overflowPunct/>
        <w:topLinePunct w:val="0"/>
        <w:bidi w:val="0"/>
        <w:snapToGrid/>
        <w:spacing w:line="360" w:lineRule="exact"/>
        <w:ind w:firstLine="585" w:firstLineChars="241"/>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7.2评委会判定投标文件的响应性只根据投标文件本身的内容，而不寻求外部的证据，但投标有不真实不正确的内容时除外。</w:t>
      </w:r>
    </w:p>
    <w:p w14:paraId="35749939">
      <w:pPr>
        <w:keepNext w:val="0"/>
        <w:keepLines w:val="0"/>
        <w:pageBreakBefore w:val="0"/>
        <w:widowControl w:val="0"/>
        <w:kinsoku/>
        <w:wordWrap/>
        <w:overflowPunct/>
        <w:topLinePunct w:val="0"/>
        <w:bidi w:val="0"/>
        <w:snapToGrid/>
        <w:spacing w:line="360" w:lineRule="exact"/>
        <w:ind w:firstLine="585" w:firstLineChars="241"/>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7.3如果投标文件实质上没有响应采购文件的要求，评委会将予以拒绝，供应商不得通过修正或撤销不符合要求的偏离或保留，而使其投标成为实质上响应的投标。</w:t>
      </w:r>
    </w:p>
    <w:p w14:paraId="43093994">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 7.4供应商可在现场20分钟内对评标委员会的评审结论提出异议，评标委员会根据采购文件及有关规定对供应商的异议进行复议</w:t>
      </w:r>
    </w:p>
    <w:p w14:paraId="5711FC85">
      <w:pPr>
        <w:keepNext w:val="0"/>
        <w:keepLines w:val="0"/>
        <w:pageBreakBefore w:val="0"/>
        <w:widowControl w:val="0"/>
        <w:kinsoku/>
        <w:wordWrap/>
        <w:overflowPunct/>
        <w:topLinePunct w:val="0"/>
        <w:bidi w:val="0"/>
        <w:snapToGrid/>
        <w:spacing w:line="360" w:lineRule="exact"/>
        <w:ind w:firstLine="607" w:firstLineChars="25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7.5只有通过初审的供应商才能进入下一步评标程序。</w:t>
      </w:r>
    </w:p>
    <w:p w14:paraId="23D1582F">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b/>
          <w:color w:val="auto"/>
          <w:szCs w:val="21"/>
          <w:highlight w:val="none"/>
          <w:lang w:eastAsia="zh-CN"/>
        </w:rPr>
        <w:t>温馨提示：投标文件资格审查资料请精心准备,如评标专家在检验电子标书过程中，如果由于供应商自身原因导致评标专家无法查看并检验电子标书中以上相关资料的，按无效投标处理。即使投标单位将原件携带至现场的，同样按无效投标处理。</w:t>
      </w:r>
    </w:p>
    <w:p w14:paraId="04A710FE">
      <w:pPr>
        <w:keepNext w:val="0"/>
        <w:keepLines w:val="0"/>
        <w:pageBreakBefore w:val="0"/>
        <w:widowControl w:val="0"/>
        <w:kinsoku/>
        <w:wordWrap/>
        <w:overflowPunct/>
        <w:topLinePunct w:val="0"/>
        <w:bidi w:val="0"/>
        <w:snapToGrid/>
        <w:spacing w:beforeLines="50" w:line="360" w:lineRule="exact"/>
        <w:jc w:val="center"/>
        <w:textAlignment w:val="auto"/>
        <w:outlineLvl w:val="1"/>
        <w:rPr>
          <w:rFonts w:ascii="仿宋" w:hAnsi="仿宋" w:eastAsia="仿宋" w:cs="仿宋"/>
          <w:b/>
          <w:color w:val="auto"/>
          <w:highlight w:val="none"/>
          <w:lang w:eastAsia="zh-CN"/>
        </w:rPr>
      </w:pPr>
      <w:bookmarkStart w:id="41" w:name="_Toc469495734"/>
      <w:bookmarkStart w:id="42" w:name="_Toc362983803"/>
      <w:r>
        <w:rPr>
          <w:rFonts w:hint="eastAsia" w:ascii="仿宋" w:hAnsi="仿宋" w:eastAsia="仿宋" w:cs="仿宋"/>
          <w:b/>
          <w:color w:val="auto"/>
          <w:highlight w:val="none"/>
          <w:lang w:eastAsia="zh-CN"/>
        </w:rPr>
        <w:t xml:space="preserve">三 </w:t>
      </w:r>
      <w:r>
        <w:rPr>
          <w:rFonts w:hint="eastAsia" w:ascii="仿宋" w:hAnsi="仿宋" w:eastAsia="仿宋" w:cs="仿宋"/>
          <w:b/>
          <w:color w:val="auto"/>
          <w:sz w:val="28"/>
          <w:szCs w:val="28"/>
          <w:highlight w:val="none"/>
          <w:lang w:eastAsia="zh-CN"/>
        </w:rPr>
        <w:t xml:space="preserve"> </w:t>
      </w:r>
      <w:r>
        <w:rPr>
          <w:rFonts w:hint="eastAsia" w:ascii="仿宋" w:hAnsi="仿宋" w:eastAsia="仿宋" w:cs="仿宋"/>
          <w:b/>
          <w:color w:val="auto"/>
          <w:highlight w:val="none"/>
          <w:lang w:eastAsia="zh-CN"/>
        </w:rPr>
        <w:t>投标文件的澄清和补正</w:t>
      </w:r>
      <w:bookmarkEnd w:id="41"/>
      <w:bookmarkEnd w:id="42"/>
    </w:p>
    <w:p w14:paraId="680925E2">
      <w:pPr>
        <w:keepNext w:val="0"/>
        <w:keepLines w:val="0"/>
        <w:pageBreakBefore w:val="0"/>
        <w:widowControl w:val="0"/>
        <w:kinsoku/>
        <w:wordWrap/>
        <w:overflowPunct/>
        <w:topLinePunct w:val="0"/>
        <w:bidi w:val="0"/>
        <w:snapToGrid/>
        <w:spacing w:line="360" w:lineRule="exact"/>
        <w:ind w:firstLine="243"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8．澄清、说明或补正的形式</w:t>
      </w:r>
    </w:p>
    <w:p w14:paraId="6D3A5264">
      <w:pPr>
        <w:keepNext w:val="0"/>
        <w:keepLines w:val="0"/>
        <w:pageBreakBefore w:val="0"/>
        <w:widowControl w:val="0"/>
        <w:kinsoku/>
        <w:wordWrap/>
        <w:overflowPunct/>
        <w:topLinePunct w:val="0"/>
        <w:bidi w:val="0"/>
        <w:snapToGrid/>
        <w:spacing w:line="360" w:lineRule="exact"/>
        <w:ind w:firstLine="243"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8.1对于投标文件中含义不明确、同类问题表述不一致或者有明显文字和计算错误的内容，评标委员会将通过“政府采购云平台”在线询标的方式要求投标供应商在规定的时间内作出必要的澄清、说明或者补正，投标供应商澄清、说明或补正时间为20分钟。</w:t>
      </w:r>
    </w:p>
    <w:p w14:paraId="2AD3654C">
      <w:pPr>
        <w:keepNext w:val="0"/>
        <w:keepLines w:val="0"/>
        <w:pageBreakBefore w:val="0"/>
        <w:widowControl w:val="0"/>
        <w:kinsoku/>
        <w:wordWrap/>
        <w:overflowPunct/>
        <w:topLinePunct w:val="0"/>
        <w:bidi w:val="0"/>
        <w:snapToGrid/>
        <w:spacing w:line="360" w:lineRule="exact"/>
        <w:ind w:firstLine="243"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8.2投标供应商的澄清、说明或者补正应当通过“政府采购云平台”在线答复的方式提交，并加盖公章（电子印章），或者由法定代表人（负责人）或其授权的代表签章。投标供应商的澄清、说明或者补正不得超出投标文件的范围或者改变投标文件的实质性内容，不接受投标供应商主动对投标文件的澄清、说明或者补正。</w:t>
      </w:r>
    </w:p>
    <w:p w14:paraId="41D446F4">
      <w:pPr>
        <w:keepNext w:val="0"/>
        <w:keepLines w:val="0"/>
        <w:pageBreakBefore w:val="0"/>
        <w:widowControl w:val="0"/>
        <w:kinsoku/>
        <w:wordWrap/>
        <w:overflowPunct/>
        <w:topLinePunct w:val="0"/>
        <w:bidi w:val="0"/>
        <w:snapToGrid/>
        <w:spacing w:line="360" w:lineRule="exact"/>
        <w:ind w:firstLine="243"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8.3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5A0B6004">
      <w:pPr>
        <w:keepNext w:val="0"/>
        <w:keepLines w:val="0"/>
        <w:pageBreakBefore w:val="0"/>
        <w:widowControl w:val="0"/>
        <w:kinsoku/>
        <w:wordWrap/>
        <w:overflowPunct/>
        <w:topLinePunct w:val="0"/>
        <w:bidi w:val="0"/>
        <w:snapToGrid/>
        <w:spacing w:line="360" w:lineRule="exact"/>
        <w:ind w:firstLine="243"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9．错误修正的原则</w:t>
      </w:r>
    </w:p>
    <w:p w14:paraId="14831869">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电子交易平台客户端里开标一览表录入的投标报价或优惠率与扫描上传的报价文件信息不一致的，以扫描上传的报价文件信息为准进行修正。</w:t>
      </w:r>
    </w:p>
    <w:p w14:paraId="5507D750">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投标文件报价出现前后不一致的，除采购文件另有规定外，按照下列规定修正：</w:t>
      </w:r>
    </w:p>
    <w:p w14:paraId="43DFCC9A">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9.1 投标函中表述的内容与报价表中不一致的，以报价表为准；报价表中的内容与报价明细表不一致的，以报价表为准；</w:t>
      </w:r>
    </w:p>
    <w:p w14:paraId="334FA715">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9.2 投标文件中的大写金额和小写金额不一致的，以大写金额为准；</w:t>
      </w:r>
    </w:p>
    <w:p w14:paraId="7A01CE27">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9.3 单价金额小数点或者百分比有明显错位的，以开标一览表的总价为准，并修改单价；</w:t>
      </w:r>
    </w:p>
    <w:p w14:paraId="5234B060">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9.4 总价金额与按单价汇总金额不一致的，以单价金额计算结果为准；</w:t>
      </w:r>
    </w:p>
    <w:p w14:paraId="0B4A4FAA">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9.5 若用文字表示的数值与用数字表示的数值不一致，以文字表示的数值为准；</w:t>
      </w:r>
    </w:p>
    <w:p w14:paraId="5C1B7FFD">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9.6 如有多报（指数量超出采购文件需求）、重报（指同一货物重复报价），其投标总价在评标过程中不予调整，如其中标，其合同价按其投标单价予以调整；</w:t>
      </w:r>
    </w:p>
    <w:p w14:paraId="1807376C">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9.7 对不同文字文本投标文件的解释发生异议的，以中文文本为准；</w:t>
      </w:r>
    </w:p>
    <w:p w14:paraId="6F73EEA1">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同时出现两种以上不一致的，按照前款规定的顺序修正。按上述修正错误的原则及方法调整或修正投标文件的投标报价，供应商确认后，以调整或修正后的投标报价为准。如供应商拒绝调整或修正的，其投标文件按无效标处理。修正应当采用电子询标的形式，并加盖公章（电子印章）。</w:t>
      </w:r>
    </w:p>
    <w:p w14:paraId="186B5FD8">
      <w:pPr>
        <w:keepNext w:val="0"/>
        <w:keepLines w:val="0"/>
        <w:pageBreakBefore w:val="0"/>
        <w:widowControl w:val="0"/>
        <w:kinsoku/>
        <w:wordWrap/>
        <w:overflowPunct/>
        <w:topLinePunct w:val="0"/>
        <w:bidi w:val="0"/>
        <w:snapToGrid/>
        <w:spacing w:line="360" w:lineRule="exact"/>
        <w:jc w:val="center"/>
        <w:textAlignment w:val="auto"/>
        <w:outlineLvl w:val="1"/>
        <w:rPr>
          <w:rFonts w:ascii="仿宋" w:hAnsi="仿宋" w:eastAsia="仿宋" w:cs="仿宋"/>
          <w:b/>
          <w:color w:val="auto"/>
          <w:highlight w:val="none"/>
          <w:lang w:eastAsia="zh-CN"/>
        </w:rPr>
      </w:pPr>
      <w:bookmarkStart w:id="43" w:name="_Toc469495735"/>
      <w:r>
        <w:rPr>
          <w:rFonts w:hint="eastAsia" w:ascii="仿宋" w:hAnsi="仿宋" w:eastAsia="仿宋" w:cs="仿宋"/>
          <w:b/>
          <w:color w:val="auto"/>
          <w:highlight w:val="none"/>
          <w:lang w:eastAsia="zh-CN"/>
        </w:rPr>
        <w:t>四 比较与评价</w:t>
      </w:r>
      <w:bookmarkEnd w:id="43"/>
    </w:p>
    <w:p w14:paraId="5DC9880A">
      <w:pPr>
        <w:keepNext w:val="0"/>
        <w:keepLines w:val="0"/>
        <w:pageBreakBefore w:val="0"/>
        <w:widowControl w:val="0"/>
        <w:tabs>
          <w:tab w:val="left" w:pos="720"/>
        </w:tabs>
        <w:kinsoku/>
        <w:wordWrap/>
        <w:overflowPunct/>
        <w:topLinePunct w:val="0"/>
        <w:bidi w:val="0"/>
        <w:snapToGrid/>
        <w:spacing w:line="360" w:lineRule="exact"/>
        <w:ind w:firstLine="486" w:firstLineChars="200"/>
        <w:textAlignment w:val="auto"/>
        <w:rPr>
          <w:rFonts w:ascii="仿宋" w:hAnsi="仿宋" w:eastAsia="仿宋" w:cs="仿宋"/>
          <w:color w:val="auto"/>
          <w:szCs w:val="21"/>
          <w:highlight w:val="none"/>
          <w:lang w:eastAsia="zh-CN" w:bidi="ar-SA"/>
        </w:rPr>
      </w:pPr>
      <w:bookmarkStart w:id="44" w:name="_Toc469495736"/>
      <w:bookmarkStart w:id="45" w:name="_Toc362983805"/>
      <w:r>
        <w:rPr>
          <w:rFonts w:hint="eastAsia" w:ascii="仿宋" w:hAnsi="仿宋" w:eastAsia="仿宋" w:cs="仿宋"/>
          <w:color w:val="auto"/>
          <w:szCs w:val="21"/>
          <w:highlight w:val="none"/>
          <w:lang w:eastAsia="zh-CN" w:bidi="ar-SA"/>
        </w:rPr>
        <w:t>10.1评标委员会按招标文件中规定的评标方法和标准，对资格性检查和符合性检查合格的投标文件进行商务和技术评估、综合比较与评价。</w:t>
      </w:r>
    </w:p>
    <w:p w14:paraId="1A41DE78">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FF0000"/>
          <w:szCs w:val="21"/>
          <w:highlight w:val="none"/>
          <w:lang w:eastAsia="zh-CN" w:bidi="ar-SA"/>
        </w:rPr>
      </w:pPr>
      <w:r>
        <w:rPr>
          <w:rFonts w:hint="eastAsia" w:ascii="仿宋" w:hAnsi="仿宋" w:eastAsia="仿宋" w:cs="仿宋"/>
          <w:color w:val="auto"/>
          <w:szCs w:val="21"/>
          <w:highlight w:val="none"/>
          <w:lang w:eastAsia="zh-CN" w:bidi="ar-SA"/>
        </w:rPr>
        <w:t>10.2评标委员会根据商务和技术评估的结果，采用综合评分法，分别对投标文件的商务、技术、价格等内容进行打分。其中，商务评估、技术评估、价格评估的评分权值（详见</w:t>
      </w:r>
      <w:r>
        <w:rPr>
          <w:rFonts w:hint="eastAsia" w:ascii="仿宋" w:hAnsi="仿宋" w:eastAsia="仿宋" w:cs="仿宋"/>
          <w:color w:val="auto"/>
          <w:szCs w:val="21"/>
          <w:highlight w:val="none"/>
          <w:lang w:val="en-US" w:eastAsia="zh-CN" w:bidi="ar-SA"/>
        </w:rPr>
        <w:t>附表</w:t>
      </w:r>
      <w:r>
        <w:rPr>
          <w:rFonts w:hint="eastAsia" w:ascii="仿宋" w:hAnsi="仿宋" w:eastAsia="仿宋" w:cs="仿宋"/>
          <w:color w:val="auto"/>
          <w:szCs w:val="21"/>
          <w:highlight w:val="none"/>
          <w:lang w:eastAsia="zh-CN" w:bidi="ar-SA"/>
        </w:rPr>
        <w:t>）。</w:t>
      </w:r>
    </w:p>
    <w:p w14:paraId="77FCF447">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bCs/>
          <w:color w:val="auto"/>
          <w:szCs w:val="21"/>
          <w:highlight w:val="none"/>
          <w:lang w:eastAsia="zh-CN" w:bidi="ar-SA"/>
        </w:rPr>
      </w:pPr>
      <w:r>
        <w:rPr>
          <w:rFonts w:hint="eastAsia" w:ascii="仿宋" w:hAnsi="仿宋" w:eastAsia="仿宋" w:cs="仿宋"/>
          <w:color w:val="auto"/>
          <w:szCs w:val="21"/>
          <w:highlight w:val="none"/>
          <w:lang w:eastAsia="zh-CN" w:bidi="ar-SA"/>
        </w:rPr>
        <w:t>10.</w:t>
      </w:r>
      <w:r>
        <w:rPr>
          <w:rFonts w:hint="eastAsia" w:ascii="仿宋" w:hAnsi="仿宋" w:eastAsia="仿宋" w:cs="仿宋"/>
          <w:bCs/>
          <w:color w:val="auto"/>
          <w:szCs w:val="21"/>
          <w:highlight w:val="none"/>
          <w:lang w:eastAsia="zh-CN" w:bidi="ar-SA"/>
        </w:rPr>
        <w:t>2.1评委打分办法</w:t>
      </w:r>
    </w:p>
    <w:p w14:paraId="2B55461F">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auto"/>
          <w:szCs w:val="21"/>
          <w:highlight w:val="none"/>
          <w:lang w:eastAsia="zh-CN" w:bidi="ar-SA"/>
        </w:rPr>
      </w:pPr>
      <w:r>
        <w:rPr>
          <w:rFonts w:hint="eastAsia" w:ascii="仿宋" w:hAnsi="仿宋" w:eastAsia="仿宋" w:cs="仿宋"/>
          <w:bCs/>
          <w:color w:val="auto"/>
          <w:szCs w:val="21"/>
          <w:highlight w:val="none"/>
          <w:lang w:eastAsia="zh-CN" w:bidi="ar-SA"/>
        </w:rPr>
        <w:t>（1）</w:t>
      </w:r>
      <w:r>
        <w:rPr>
          <w:rFonts w:hint="eastAsia" w:ascii="仿宋" w:hAnsi="仿宋" w:eastAsia="仿宋" w:cs="仿宋"/>
          <w:color w:val="auto"/>
          <w:szCs w:val="21"/>
          <w:highlight w:val="none"/>
          <w:lang w:eastAsia="zh-CN" w:bidi="ar-SA"/>
        </w:rPr>
        <w:t>参加评分的评委应尽力体现客观、实事求是，避免学派偏见和个人偏好。</w:t>
      </w:r>
    </w:p>
    <w:p w14:paraId="78947A62">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（2）衡量、对比的依据，应以招标文件、投标文件、提供的正式试验数据、质询澄清中的文字为准，口头回答和收集的资料只作为参考。</w:t>
      </w:r>
    </w:p>
    <w:p w14:paraId="249D14F3">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（3）评分主要是为比较各供应商的价格、商务和技术综合排序。</w:t>
      </w:r>
    </w:p>
    <w:p w14:paraId="4C9C0A88">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（4）评委打分采取记名形式。</w:t>
      </w:r>
    </w:p>
    <w:p w14:paraId="01A40356">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（5）各评委根据提供的技术打分表独立自主打分，任何人不得要求评委统一打分或统一确定等次顺序。</w:t>
      </w:r>
    </w:p>
    <w:p w14:paraId="44A487DA">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（6）对打分表中的每项条款，各评委应根据投标文件、澄清材料、招标文件要求，按满足的程度给供应商打分。</w:t>
      </w:r>
    </w:p>
    <w:p w14:paraId="355E9B22">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（7）评分程序</w:t>
      </w:r>
    </w:p>
    <w:p w14:paraId="336BC722">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1)就供应商的投标文件对照整理出商务、技术评标因素对比表、偏差表，并在经过校核的基础上逐项打分。</w:t>
      </w:r>
    </w:p>
    <w:p w14:paraId="1AA16617">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2)各评委独立完成打分后，将评分表交给代理机构，由代理机构组织进行分数统计。</w:t>
      </w:r>
    </w:p>
    <w:p w14:paraId="251014A0">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3)最终汇总表中各供应商得分应为评委打分的算术平均值。</w:t>
      </w:r>
    </w:p>
    <w:p w14:paraId="747E2E20">
      <w:pPr>
        <w:pStyle w:val="6"/>
        <w:keepNext w:val="0"/>
        <w:keepLines w:val="0"/>
        <w:pageBreakBefore w:val="0"/>
        <w:widowControl w:val="0"/>
        <w:kinsoku/>
        <w:wordWrap/>
        <w:overflowPunct/>
        <w:topLinePunct w:val="0"/>
        <w:bidi w:val="0"/>
        <w:snapToGrid/>
        <w:spacing w:line="360" w:lineRule="exact"/>
        <w:jc w:val="left"/>
        <w:textAlignment w:val="auto"/>
        <w:rPr>
          <w:rFonts w:hint="eastAsia"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（8）评分标准和细则（综合评分法评分标准）</w:t>
      </w:r>
    </w:p>
    <w:p w14:paraId="10C8E502">
      <w:pPr>
        <w:pStyle w:val="4"/>
        <w:jc w:val="center"/>
        <w:rPr>
          <w:rFonts w:ascii="仿宋" w:hAnsi="仿宋" w:eastAsia="仿宋" w:cs="仿宋"/>
          <w:color w:val="auto"/>
          <w:sz w:val="28"/>
          <w:szCs w:val="21"/>
          <w:highlight w:val="none"/>
          <w:lang w:eastAsia="zh-CN"/>
        </w:rPr>
      </w:pPr>
      <w:r>
        <w:rPr>
          <w:rFonts w:hint="eastAsia" w:ascii="仿宋" w:hAnsi="仿宋" w:eastAsia="仿宋" w:cs="仿宋"/>
          <w:color w:val="auto"/>
          <w:sz w:val="28"/>
          <w:szCs w:val="21"/>
          <w:highlight w:val="none"/>
          <w:lang w:eastAsia="zh-CN"/>
        </w:rPr>
        <w:t>评分标准</w:t>
      </w:r>
    </w:p>
    <w:tbl>
      <w:tblPr>
        <w:tblStyle w:val="25"/>
        <w:tblpPr w:leftFromText="180" w:rightFromText="180" w:vertAnchor="text" w:horzAnchor="page" w:tblpXSpec="center" w:tblpY="299"/>
        <w:tblOverlap w:val="neve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7"/>
        <w:gridCol w:w="1438"/>
        <w:gridCol w:w="6479"/>
        <w:gridCol w:w="793"/>
      </w:tblGrid>
      <w:tr w14:paraId="68A8F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gridSpan w:val="4"/>
            <w:vAlign w:val="center"/>
          </w:tcPr>
          <w:p w14:paraId="75D0763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商务与技术综合评审（占总分值的</w:t>
            </w:r>
            <w:r>
              <w:rPr>
                <w:rFonts w:hint="eastAsia" w:ascii="仿宋" w:hAnsi="仿宋" w:eastAsia="仿宋" w:cs="仿宋"/>
                <w:color w:val="auto"/>
                <w:szCs w:val="21"/>
                <w:highlight w:val="none"/>
                <w:lang w:val="en-US" w:eastAsia="zh-CN" w:bidi="ar-SA"/>
              </w:rPr>
              <w:t>70</w:t>
            </w:r>
            <w:r>
              <w:rPr>
                <w:rFonts w:hint="eastAsia" w:ascii="仿宋" w:hAnsi="仿宋" w:eastAsia="仿宋" w:cs="仿宋"/>
                <w:color w:val="auto"/>
                <w:szCs w:val="21"/>
                <w:highlight w:val="none"/>
                <w:lang w:eastAsia="zh-CN" w:bidi="ar-SA"/>
              </w:rPr>
              <w:t>分）</w:t>
            </w:r>
          </w:p>
        </w:tc>
      </w:tr>
      <w:tr w14:paraId="35EBA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311" w:type="pct"/>
            <w:vAlign w:val="center"/>
          </w:tcPr>
          <w:p w14:paraId="39402CA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序号</w:t>
            </w:r>
          </w:p>
        </w:tc>
        <w:tc>
          <w:tcPr>
            <w:tcW w:w="774" w:type="pct"/>
            <w:vAlign w:val="center"/>
          </w:tcPr>
          <w:p w14:paraId="5A8BF37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评审项目</w:t>
            </w:r>
          </w:p>
        </w:tc>
        <w:tc>
          <w:tcPr>
            <w:tcW w:w="3488" w:type="pct"/>
            <w:vAlign w:val="center"/>
          </w:tcPr>
          <w:p w14:paraId="3A5CD3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评审细则</w:t>
            </w:r>
          </w:p>
        </w:tc>
        <w:tc>
          <w:tcPr>
            <w:tcW w:w="425" w:type="pct"/>
            <w:vAlign w:val="center"/>
          </w:tcPr>
          <w:p w14:paraId="01EA9AE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备注</w:t>
            </w:r>
          </w:p>
        </w:tc>
      </w:tr>
      <w:tr w14:paraId="0CCBD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1" w:type="pct"/>
            <w:vAlign w:val="center"/>
          </w:tcPr>
          <w:p w14:paraId="7B43BD3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1</w:t>
            </w:r>
          </w:p>
        </w:tc>
        <w:tc>
          <w:tcPr>
            <w:tcW w:w="774" w:type="pct"/>
            <w:vAlign w:val="center"/>
          </w:tcPr>
          <w:p w14:paraId="569510A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技术参数</w:t>
            </w:r>
          </w:p>
          <w:p w14:paraId="11EA2FC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w:t>
            </w:r>
            <w:r>
              <w:rPr>
                <w:rFonts w:hint="eastAsia" w:ascii="仿宋" w:hAnsi="仿宋" w:eastAsia="仿宋" w:cs="仿宋"/>
                <w:color w:val="auto"/>
                <w:szCs w:val="21"/>
                <w:highlight w:val="none"/>
                <w:lang w:val="en-US" w:eastAsia="zh-CN" w:bidi="ar-SA"/>
              </w:rPr>
              <w:t>35</w:t>
            </w:r>
            <w:r>
              <w:rPr>
                <w:rFonts w:hint="eastAsia" w:ascii="仿宋" w:hAnsi="仿宋" w:eastAsia="仿宋" w:cs="仿宋"/>
                <w:color w:val="auto"/>
                <w:szCs w:val="21"/>
                <w:highlight w:val="none"/>
                <w:lang w:eastAsia="zh-CN" w:bidi="ar-SA"/>
              </w:rPr>
              <w:t>分）</w:t>
            </w:r>
          </w:p>
        </w:tc>
        <w:tc>
          <w:tcPr>
            <w:tcW w:w="3488" w:type="pct"/>
            <w:vAlign w:val="center"/>
          </w:tcPr>
          <w:p w14:paraId="4C91641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val="en-US" w:eastAsia="zh-CN" w:bidi="ar-SA"/>
              </w:rPr>
              <w:t>投标产品不能实质性满足招标文件核心重要技术指标参数要求的为无效投标文件；</w:t>
            </w:r>
            <w:bookmarkStart w:id="84" w:name="_GoBack"/>
            <w:bookmarkEnd w:id="84"/>
            <w:r>
              <w:rPr>
                <w:rFonts w:hint="eastAsia" w:ascii="仿宋" w:hAnsi="仿宋" w:eastAsia="仿宋" w:cs="仿宋"/>
                <w:color w:val="auto"/>
                <w:szCs w:val="21"/>
                <w:highlight w:val="none"/>
                <w:lang w:val="en-US" w:eastAsia="zh-CN" w:bidi="ar-SA"/>
              </w:rPr>
              <w:t>满足招标文件核心重要技术指标参数要求的得25分，以此为基础，投标人技术指标参数优于招标文件规定的相应技术指标参数的，每有一项加1分，最多加10分；投标人一般技术指标参数低于招标文件规定的相应技术指标参数的，每有一项减 0.5分，减完为止。</w:t>
            </w:r>
          </w:p>
        </w:tc>
        <w:tc>
          <w:tcPr>
            <w:tcW w:w="425" w:type="pct"/>
            <w:vAlign w:val="center"/>
          </w:tcPr>
          <w:p w14:paraId="76F6A210">
            <w:pPr>
              <w:keepNext w:val="0"/>
              <w:keepLines w:val="0"/>
              <w:pageBreakBefore w:val="0"/>
              <w:widowControl w:val="0"/>
              <w:kinsoku/>
              <w:wordWrap/>
              <w:overflowPunct/>
              <w:topLinePunct w:val="0"/>
              <w:autoSpaceDE/>
              <w:autoSpaceDN/>
              <w:bidi w:val="0"/>
              <w:adjustRightInd/>
              <w:snapToGrid/>
              <w:spacing w:line="400" w:lineRule="exact"/>
              <w:ind w:firstLine="486" w:firstLineChars="200"/>
              <w:textAlignment w:val="auto"/>
              <w:rPr>
                <w:rFonts w:hint="eastAsia" w:ascii="仿宋" w:hAnsi="仿宋" w:eastAsia="仿宋" w:cs="仿宋"/>
                <w:color w:val="auto"/>
                <w:szCs w:val="21"/>
                <w:highlight w:val="none"/>
                <w:lang w:eastAsia="zh-CN" w:bidi="ar-SA"/>
              </w:rPr>
            </w:pPr>
          </w:p>
        </w:tc>
      </w:tr>
      <w:tr w14:paraId="0FE03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1" w:type="pct"/>
            <w:vAlign w:val="center"/>
          </w:tcPr>
          <w:p w14:paraId="54EA1BD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Cs w:val="21"/>
                <w:highlight w:val="none"/>
                <w:lang w:val="en-US" w:eastAsia="zh-CN" w:bidi="ar-SA"/>
              </w:rPr>
            </w:pPr>
            <w:r>
              <w:rPr>
                <w:rFonts w:hint="eastAsia" w:ascii="仿宋" w:hAnsi="仿宋" w:eastAsia="仿宋" w:cs="仿宋"/>
                <w:color w:val="auto"/>
                <w:szCs w:val="21"/>
                <w:highlight w:val="none"/>
                <w:lang w:val="en-US" w:eastAsia="zh-CN" w:bidi="ar-SA"/>
              </w:rPr>
              <w:t>2</w:t>
            </w:r>
          </w:p>
        </w:tc>
        <w:tc>
          <w:tcPr>
            <w:tcW w:w="774" w:type="pct"/>
            <w:vAlign w:val="center"/>
          </w:tcPr>
          <w:p w14:paraId="783E9F3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val="en-US" w:eastAsia="zh-CN" w:bidi="ar-SA"/>
              </w:rPr>
              <w:t>项目机构配备（6分）</w:t>
            </w:r>
          </w:p>
        </w:tc>
        <w:tc>
          <w:tcPr>
            <w:tcW w:w="3488" w:type="pct"/>
            <w:vAlign w:val="center"/>
          </w:tcPr>
          <w:p w14:paraId="7913B7E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Cs w:val="21"/>
                <w:highlight w:val="none"/>
                <w:lang w:val="en-US" w:eastAsia="zh-CN" w:bidi="ar-SA"/>
              </w:rPr>
            </w:pPr>
            <w:r>
              <w:rPr>
                <w:rFonts w:hint="eastAsia" w:ascii="仿宋" w:hAnsi="仿宋" w:eastAsia="仿宋" w:cs="仿宋"/>
                <w:color w:val="auto"/>
                <w:szCs w:val="21"/>
                <w:highlight w:val="none"/>
                <w:lang w:val="en-US" w:eastAsia="zh-CN" w:bidi="ar-SA"/>
              </w:rPr>
              <w:t xml:space="preserve">投标人针对本项目拟派驻的项目负责人（项目经理）为机电工程专业一级建造师者得3分，机电工程专业二级建造师者得1分；投标人针对本项目拟派驻的技术负责人为高级工程师者得3分，中级工程师者得1分。 </w:t>
            </w:r>
          </w:p>
          <w:p w14:paraId="7F17E3A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Cs w:val="21"/>
                <w:highlight w:val="none"/>
                <w:lang w:val="en-US" w:eastAsia="zh-CN" w:bidi="ar-SA"/>
              </w:rPr>
            </w:pPr>
            <w:r>
              <w:rPr>
                <w:rFonts w:hint="eastAsia" w:ascii="仿宋" w:hAnsi="仿宋" w:eastAsia="仿宋" w:cs="仿宋"/>
                <w:color w:val="auto"/>
                <w:szCs w:val="21"/>
                <w:highlight w:val="none"/>
                <w:lang w:val="en-US" w:eastAsia="zh-CN" w:bidi="ar-SA"/>
              </w:rPr>
              <w:t>（注：投标人同时提供以上人员相应证书及近期连续三个月的公司社保缴纳证明，扫描件须加盖公章，未加盖公章的不得分）。</w:t>
            </w:r>
          </w:p>
        </w:tc>
        <w:tc>
          <w:tcPr>
            <w:tcW w:w="425" w:type="pct"/>
            <w:vAlign w:val="center"/>
          </w:tcPr>
          <w:p w14:paraId="1A502F61">
            <w:pPr>
              <w:keepNext w:val="0"/>
              <w:keepLines w:val="0"/>
              <w:pageBreakBefore w:val="0"/>
              <w:widowControl w:val="0"/>
              <w:kinsoku/>
              <w:wordWrap/>
              <w:overflowPunct/>
              <w:topLinePunct w:val="0"/>
              <w:autoSpaceDE/>
              <w:autoSpaceDN/>
              <w:bidi w:val="0"/>
              <w:adjustRightInd/>
              <w:snapToGrid/>
              <w:spacing w:line="400" w:lineRule="exact"/>
              <w:ind w:firstLine="486" w:firstLineChars="200"/>
              <w:textAlignment w:val="auto"/>
              <w:rPr>
                <w:rFonts w:hint="eastAsia" w:ascii="仿宋" w:hAnsi="仿宋" w:eastAsia="仿宋" w:cs="仿宋"/>
                <w:color w:val="auto"/>
                <w:szCs w:val="21"/>
                <w:highlight w:val="none"/>
                <w:lang w:eastAsia="zh-CN" w:bidi="ar-SA"/>
              </w:rPr>
            </w:pPr>
          </w:p>
        </w:tc>
      </w:tr>
      <w:tr w14:paraId="75F29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11" w:type="pct"/>
            <w:vAlign w:val="center"/>
          </w:tcPr>
          <w:p w14:paraId="0E25D5A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Cs w:val="21"/>
                <w:highlight w:val="none"/>
                <w:lang w:val="en-US" w:eastAsia="zh-CN" w:bidi="ar-SA"/>
              </w:rPr>
            </w:pPr>
            <w:r>
              <w:rPr>
                <w:rFonts w:hint="eastAsia" w:ascii="仿宋" w:hAnsi="仿宋" w:eastAsia="仿宋" w:cs="仿宋"/>
                <w:color w:val="auto"/>
                <w:szCs w:val="21"/>
                <w:highlight w:val="none"/>
                <w:lang w:val="en-US" w:eastAsia="zh-CN" w:bidi="ar-SA"/>
              </w:rPr>
              <w:t>3</w:t>
            </w:r>
          </w:p>
        </w:tc>
        <w:tc>
          <w:tcPr>
            <w:tcW w:w="774" w:type="pct"/>
            <w:vAlign w:val="center"/>
          </w:tcPr>
          <w:p w14:paraId="66149FA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Cs w:val="21"/>
                <w:highlight w:val="none"/>
                <w:lang w:val="en-US" w:eastAsia="zh-CN" w:bidi="ar-SA"/>
              </w:rPr>
            </w:pPr>
            <w:r>
              <w:rPr>
                <w:rFonts w:hint="eastAsia" w:ascii="仿宋" w:hAnsi="仿宋" w:eastAsia="仿宋" w:cs="仿宋"/>
                <w:color w:val="auto"/>
                <w:szCs w:val="21"/>
                <w:highlight w:val="none"/>
                <w:lang w:val="en-US" w:eastAsia="zh-CN" w:bidi="ar-SA"/>
              </w:rPr>
              <w:t>安装施工组织设计方案(12分)</w:t>
            </w:r>
          </w:p>
          <w:p w14:paraId="01BFF3E7">
            <w:pPr>
              <w:keepNext w:val="0"/>
              <w:keepLines w:val="0"/>
              <w:pageBreakBefore w:val="0"/>
              <w:widowControl w:val="0"/>
              <w:kinsoku/>
              <w:wordWrap/>
              <w:overflowPunct/>
              <w:topLinePunct w:val="0"/>
              <w:autoSpaceDE/>
              <w:autoSpaceDN/>
              <w:bidi w:val="0"/>
              <w:adjustRightInd/>
              <w:snapToGrid/>
              <w:spacing w:line="400" w:lineRule="exact"/>
              <w:ind w:firstLine="486" w:firstLineChars="200"/>
              <w:textAlignment w:val="auto"/>
              <w:rPr>
                <w:rFonts w:hint="eastAsia" w:ascii="仿宋" w:hAnsi="仿宋" w:eastAsia="仿宋" w:cs="仿宋"/>
                <w:color w:val="auto"/>
                <w:szCs w:val="21"/>
                <w:highlight w:val="none"/>
                <w:lang w:val="en-US" w:eastAsia="zh-CN" w:bidi="ar-SA"/>
              </w:rPr>
            </w:pPr>
          </w:p>
        </w:tc>
        <w:tc>
          <w:tcPr>
            <w:tcW w:w="3488" w:type="pct"/>
            <w:vAlign w:val="center"/>
          </w:tcPr>
          <w:p w14:paraId="791B6DA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Cs w:val="21"/>
                <w:highlight w:val="none"/>
                <w:lang w:val="en-US" w:eastAsia="zh-CN" w:bidi="ar-SA"/>
              </w:rPr>
            </w:pPr>
            <w:r>
              <w:rPr>
                <w:rFonts w:hint="eastAsia" w:ascii="仿宋" w:hAnsi="仿宋" w:eastAsia="仿宋" w:cs="仿宋"/>
                <w:color w:val="auto"/>
                <w:szCs w:val="21"/>
                <w:highlight w:val="none"/>
                <w:lang w:val="en-US" w:eastAsia="zh-CN" w:bidi="ar-SA"/>
              </w:rPr>
              <w:t xml:space="preserve">能够结合拟供应产品的技术要素，制定出全面详实、科学合理的施工技术方案，保障工作失误在可控的范围内、工作时效性满足采购人的要求；包括但不限于： ①确保工程质量的技术组织措施、 ②确保工期的技术组织措施、 ③确保安全生产的技术组织措施、 ④确保文明施工的技术组织措施等。 </w:t>
            </w:r>
          </w:p>
          <w:p w14:paraId="4BD180F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Cs w:val="21"/>
                <w:highlight w:val="none"/>
                <w:lang w:val="en-US" w:eastAsia="zh-CN" w:bidi="ar-SA"/>
              </w:rPr>
            </w:pPr>
            <w:r>
              <w:rPr>
                <w:rFonts w:hint="eastAsia" w:ascii="仿宋" w:hAnsi="仿宋" w:eastAsia="仿宋" w:cs="仿宋"/>
                <w:color w:val="auto"/>
                <w:szCs w:val="21"/>
                <w:highlight w:val="none"/>
                <w:lang w:val="en-US" w:eastAsia="zh-CN" w:bidi="ar-SA"/>
              </w:rPr>
              <w:t>以上内容无缺陷能满足项目实际需求的得12分；每有一项内容缺失的扣3分，每有一项内容存在不足或缺陷的扣1分，扣完为止，不提供不得分。</w:t>
            </w:r>
          </w:p>
        </w:tc>
        <w:tc>
          <w:tcPr>
            <w:tcW w:w="425" w:type="pct"/>
            <w:vAlign w:val="center"/>
          </w:tcPr>
          <w:p w14:paraId="2F2D4344">
            <w:pPr>
              <w:keepNext w:val="0"/>
              <w:keepLines w:val="0"/>
              <w:pageBreakBefore w:val="0"/>
              <w:widowControl w:val="0"/>
              <w:kinsoku/>
              <w:wordWrap/>
              <w:overflowPunct/>
              <w:topLinePunct w:val="0"/>
              <w:autoSpaceDE/>
              <w:autoSpaceDN/>
              <w:bidi w:val="0"/>
              <w:adjustRightInd/>
              <w:snapToGrid/>
              <w:spacing w:line="400" w:lineRule="exact"/>
              <w:ind w:firstLine="486" w:firstLineChars="200"/>
              <w:textAlignment w:val="auto"/>
              <w:rPr>
                <w:rFonts w:hint="eastAsia" w:ascii="仿宋" w:hAnsi="仿宋" w:eastAsia="仿宋" w:cs="仿宋"/>
                <w:color w:val="auto"/>
                <w:szCs w:val="21"/>
                <w:highlight w:val="none"/>
                <w:lang w:val="en-US" w:eastAsia="zh-CN" w:bidi="ar-SA"/>
              </w:rPr>
            </w:pPr>
          </w:p>
        </w:tc>
      </w:tr>
      <w:tr w14:paraId="2AA2D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11" w:type="pct"/>
            <w:vAlign w:val="center"/>
          </w:tcPr>
          <w:p w14:paraId="72BDC82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 w:hAnsi="仿宋" w:eastAsia="仿宋" w:cs="仿宋"/>
                <w:color w:val="auto"/>
                <w:szCs w:val="21"/>
                <w:highlight w:val="none"/>
                <w:lang w:val="en-US" w:eastAsia="zh-CN" w:bidi="ar-SA"/>
              </w:rPr>
            </w:pPr>
            <w:r>
              <w:rPr>
                <w:rFonts w:hint="eastAsia" w:ascii="仿宋" w:hAnsi="仿宋" w:eastAsia="仿宋" w:cs="仿宋"/>
                <w:color w:val="auto"/>
                <w:szCs w:val="21"/>
                <w:highlight w:val="none"/>
                <w:lang w:val="en-US" w:eastAsia="zh-CN" w:bidi="ar-SA"/>
              </w:rPr>
              <w:t>4</w:t>
            </w:r>
          </w:p>
        </w:tc>
        <w:tc>
          <w:tcPr>
            <w:tcW w:w="774" w:type="pct"/>
            <w:vAlign w:val="center"/>
          </w:tcPr>
          <w:p w14:paraId="1EC415E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Cs w:val="21"/>
                <w:highlight w:val="none"/>
                <w:lang w:val="en-US" w:eastAsia="zh-CN" w:bidi="ar-SA"/>
              </w:rPr>
            </w:pPr>
            <w:r>
              <w:rPr>
                <w:rFonts w:hint="eastAsia" w:ascii="仿宋" w:hAnsi="仿宋" w:eastAsia="仿宋" w:cs="仿宋"/>
                <w:color w:val="auto"/>
                <w:szCs w:val="21"/>
                <w:highlight w:val="none"/>
                <w:lang w:val="en-US" w:eastAsia="zh-CN" w:bidi="ar-SA"/>
              </w:rPr>
              <w:t>售后服务及技术培训方案 (12分)</w:t>
            </w:r>
          </w:p>
          <w:p w14:paraId="1BA9C452">
            <w:pPr>
              <w:keepNext w:val="0"/>
              <w:keepLines w:val="0"/>
              <w:pageBreakBefore w:val="0"/>
              <w:widowControl w:val="0"/>
              <w:kinsoku/>
              <w:wordWrap/>
              <w:overflowPunct/>
              <w:topLinePunct w:val="0"/>
              <w:autoSpaceDE/>
              <w:autoSpaceDN/>
              <w:bidi w:val="0"/>
              <w:adjustRightInd/>
              <w:snapToGrid/>
              <w:spacing w:line="400" w:lineRule="exact"/>
              <w:ind w:firstLine="486" w:firstLineChars="200"/>
              <w:textAlignment w:val="auto"/>
              <w:rPr>
                <w:rFonts w:hint="eastAsia" w:ascii="仿宋" w:hAnsi="仿宋" w:eastAsia="仿宋" w:cs="仿宋"/>
                <w:color w:val="auto"/>
                <w:szCs w:val="21"/>
                <w:highlight w:val="none"/>
                <w:lang w:val="en-US" w:eastAsia="zh-CN" w:bidi="ar-SA"/>
              </w:rPr>
            </w:pPr>
          </w:p>
        </w:tc>
        <w:tc>
          <w:tcPr>
            <w:tcW w:w="3488" w:type="pct"/>
            <w:vAlign w:val="center"/>
          </w:tcPr>
          <w:p w14:paraId="64555C7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Cs w:val="21"/>
                <w:highlight w:val="none"/>
                <w:lang w:val="en-US" w:eastAsia="zh-CN" w:bidi="ar-SA"/>
              </w:rPr>
            </w:pPr>
            <w:r>
              <w:rPr>
                <w:rFonts w:hint="eastAsia" w:ascii="仿宋" w:hAnsi="仿宋" w:eastAsia="仿宋" w:cs="仿宋"/>
                <w:color w:val="auto"/>
                <w:szCs w:val="21"/>
                <w:highlight w:val="none"/>
                <w:lang w:val="en-US" w:eastAsia="zh-CN" w:bidi="ar-SA"/>
              </w:rPr>
              <w:t>提供切实可行的售后服务及技术培训方案，针对项目在运营过程中的售后服务及技术咨询支持，方案包含但不限于：①后期服务响应时间、人员安排，②服务网点设置，③技术培训方案。提供的售后服务及技术培训方案详细、完整，响应时间及时，服务机构健全得12分；每有一项内容缺失的扣4分，每有一项内容存在不足或缺陷的扣2分，扣完为止，不提供不得分。</w:t>
            </w:r>
          </w:p>
        </w:tc>
        <w:tc>
          <w:tcPr>
            <w:tcW w:w="425" w:type="pct"/>
            <w:vAlign w:val="center"/>
          </w:tcPr>
          <w:p w14:paraId="2646BAC8">
            <w:pPr>
              <w:keepNext w:val="0"/>
              <w:keepLines w:val="0"/>
              <w:pageBreakBefore w:val="0"/>
              <w:widowControl w:val="0"/>
              <w:kinsoku/>
              <w:wordWrap/>
              <w:overflowPunct/>
              <w:topLinePunct w:val="0"/>
              <w:autoSpaceDE/>
              <w:autoSpaceDN/>
              <w:bidi w:val="0"/>
              <w:adjustRightInd/>
              <w:snapToGrid/>
              <w:spacing w:line="400" w:lineRule="exact"/>
              <w:ind w:firstLine="486" w:firstLineChars="200"/>
              <w:textAlignment w:val="auto"/>
              <w:rPr>
                <w:rFonts w:hint="eastAsia" w:ascii="仿宋" w:hAnsi="仿宋" w:eastAsia="仿宋" w:cs="仿宋"/>
                <w:color w:val="auto"/>
                <w:szCs w:val="21"/>
                <w:highlight w:val="none"/>
                <w:lang w:val="en-US" w:eastAsia="zh-CN" w:bidi="ar-SA"/>
              </w:rPr>
            </w:pPr>
          </w:p>
        </w:tc>
      </w:tr>
      <w:tr w14:paraId="3F1FC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311" w:type="pct"/>
            <w:shd w:val="clear" w:color="auto" w:fill="auto"/>
            <w:vAlign w:val="center"/>
          </w:tcPr>
          <w:p w14:paraId="16DCFF7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Cs w:val="21"/>
                <w:highlight w:val="none"/>
                <w:lang w:val="en-US" w:eastAsia="en-US" w:bidi="ar-SA"/>
              </w:rPr>
            </w:pPr>
            <w:r>
              <w:rPr>
                <w:rFonts w:hint="eastAsia" w:ascii="仿宋" w:hAnsi="仿宋" w:eastAsia="仿宋" w:cs="仿宋"/>
                <w:color w:val="auto"/>
                <w:szCs w:val="21"/>
                <w:highlight w:val="none"/>
                <w:lang w:val="en-US" w:eastAsia="zh-CN" w:bidi="ar-SA"/>
              </w:rPr>
              <w:t>5</w:t>
            </w:r>
          </w:p>
        </w:tc>
        <w:tc>
          <w:tcPr>
            <w:tcW w:w="774" w:type="pct"/>
            <w:shd w:val="clear" w:color="auto" w:fill="auto"/>
            <w:vAlign w:val="center"/>
          </w:tcPr>
          <w:p w14:paraId="425E9D27">
            <w:pPr>
              <w:keepNext w:val="0"/>
              <w:keepLines w:val="0"/>
              <w:pageBreakBefore w:val="0"/>
              <w:widowControl w:val="0"/>
              <w:kinsoku/>
              <w:wordWrap/>
              <w:overflowPunct/>
              <w:topLinePunct w:val="0"/>
              <w:autoSpaceDE/>
              <w:autoSpaceDN/>
              <w:bidi w:val="0"/>
              <w:adjustRightInd/>
              <w:snapToGrid/>
              <w:spacing w:line="400" w:lineRule="exact"/>
              <w:ind w:left="243" w:hanging="243" w:hangingChars="100"/>
              <w:jc w:val="center"/>
              <w:textAlignment w:val="auto"/>
              <w:rPr>
                <w:rFonts w:hint="eastAsia" w:ascii="仿宋" w:hAnsi="仿宋" w:eastAsia="仿宋" w:cs="仿宋"/>
                <w:color w:val="auto"/>
                <w:szCs w:val="21"/>
                <w:highlight w:val="none"/>
                <w:lang w:val="en-US" w:eastAsia="zh-CN" w:bidi="ar-SA"/>
              </w:rPr>
            </w:pPr>
            <w:r>
              <w:rPr>
                <w:rFonts w:hint="eastAsia" w:ascii="仿宋" w:hAnsi="仿宋" w:eastAsia="仿宋" w:cs="仿宋"/>
                <w:color w:val="auto"/>
                <w:szCs w:val="21"/>
                <w:highlight w:val="none"/>
                <w:lang w:val="en-US" w:eastAsia="zh-CN" w:bidi="ar-SA"/>
              </w:rPr>
              <w:t>质保期</w:t>
            </w:r>
          </w:p>
          <w:p w14:paraId="65F73009">
            <w:pPr>
              <w:keepNext w:val="0"/>
              <w:keepLines w:val="0"/>
              <w:pageBreakBefore w:val="0"/>
              <w:widowControl w:val="0"/>
              <w:kinsoku/>
              <w:wordWrap/>
              <w:overflowPunct/>
              <w:topLinePunct w:val="0"/>
              <w:autoSpaceDE/>
              <w:autoSpaceDN/>
              <w:bidi w:val="0"/>
              <w:adjustRightInd/>
              <w:snapToGrid/>
              <w:spacing w:line="400" w:lineRule="exact"/>
              <w:ind w:left="243" w:hanging="243" w:hangingChars="100"/>
              <w:jc w:val="center"/>
              <w:textAlignment w:val="auto"/>
              <w:rPr>
                <w:rFonts w:hint="default" w:ascii="仿宋" w:hAnsi="仿宋" w:eastAsia="仿宋" w:cs="仿宋"/>
                <w:color w:val="auto"/>
                <w:szCs w:val="21"/>
                <w:highlight w:val="none"/>
                <w:lang w:val="en-US" w:eastAsia="zh-CN" w:bidi="ar-SA"/>
              </w:rPr>
            </w:pPr>
            <w:r>
              <w:rPr>
                <w:rFonts w:hint="eastAsia" w:ascii="仿宋" w:hAnsi="仿宋" w:eastAsia="仿宋" w:cs="仿宋"/>
                <w:color w:val="auto"/>
                <w:szCs w:val="21"/>
                <w:highlight w:val="none"/>
                <w:lang w:val="en-US" w:eastAsia="zh-CN" w:bidi="ar-SA"/>
              </w:rPr>
              <w:t>（5分）</w:t>
            </w:r>
          </w:p>
        </w:tc>
        <w:tc>
          <w:tcPr>
            <w:tcW w:w="3488" w:type="pct"/>
            <w:shd w:val="clear" w:color="auto" w:fill="auto"/>
            <w:vAlign w:val="top"/>
          </w:tcPr>
          <w:p w14:paraId="0342ACD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Cs w:val="21"/>
                <w:highlight w:val="none"/>
                <w:lang w:val="en-US" w:eastAsia="zh-CN" w:bidi="ar-SA"/>
              </w:rPr>
            </w:pPr>
            <w:r>
              <w:rPr>
                <w:rFonts w:hint="eastAsia" w:ascii="仿宋" w:hAnsi="仿宋" w:eastAsia="仿宋" w:cs="仿宋"/>
                <w:color w:val="auto"/>
                <w:szCs w:val="21"/>
                <w:highlight w:val="none"/>
                <w:lang w:val="en-US" w:eastAsia="zh-CN" w:bidi="ar-SA"/>
              </w:rPr>
              <w:t>满足招标文件要求的质保期限的得2分；承诺质保期每增加1年的加1.5分，本项最多加3分。</w:t>
            </w:r>
          </w:p>
        </w:tc>
        <w:tc>
          <w:tcPr>
            <w:tcW w:w="425" w:type="pct"/>
            <w:shd w:val="clear" w:color="auto" w:fill="auto"/>
            <w:vAlign w:val="top"/>
          </w:tcPr>
          <w:p w14:paraId="4B967E05">
            <w:pPr>
              <w:keepNext w:val="0"/>
              <w:keepLines w:val="0"/>
              <w:pageBreakBefore w:val="0"/>
              <w:widowControl w:val="0"/>
              <w:kinsoku/>
              <w:wordWrap/>
              <w:overflowPunct/>
              <w:topLinePunct w:val="0"/>
              <w:autoSpaceDE/>
              <w:autoSpaceDN/>
              <w:bidi w:val="0"/>
              <w:adjustRightInd/>
              <w:snapToGrid/>
              <w:spacing w:line="400" w:lineRule="exact"/>
              <w:ind w:firstLine="486" w:firstLineChars="200"/>
              <w:textAlignment w:val="auto"/>
              <w:rPr>
                <w:rFonts w:hint="eastAsia" w:ascii="仿宋" w:hAnsi="仿宋" w:eastAsia="仿宋" w:cs="仿宋"/>
                <w:color w:val="auto"/>
                <w:szCs w:val="21"/>
                <w:highlight w:val="none"/>
                <w:lang w:val="en-US" w:eastAsia="en-US" w:bidi="ar-SA"/>
              </w:rPr>
            </w:pPr>
          </w:p>
        </w:tc>
      </w:tr>
      <w:tr w14:paraId="62970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gridSpan w:val="4"/>
            <w:vAlign w:val="center"/>
          </w:tcPr>
          <w:p w14:paraId="77B8C85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Cs w:val="21"/>
                <w:highlight w:val="none"/>
                <w:lang w:eastAsia="zh-CN" w:bidi="ar-SA"/>
              </w:rPr>
            </w:pPr>
            <w:r>
              <w:rPr>
                <w:rFonts w:hint="eastAsia" w:ascii="仿宋" w:hAnsi="仿宋" w:eastAsia="仿宋" w:cs="仿宋"/>
                <w:b/>
                <w:bCs/>
                <w:color w:val="auto"/>
                <w:szCs w:val="21"/>
                <w:highlight w:val="none"/>
                <w:lang w:eastAsia="zh-CN" w:bidi="ar-SA"/>
              </w:rPr>
              <w:t>价格部分（占总分值的</w:t>
            </w:r>
            <w:r>
              <w:rPr>
                <w:rFonts w:hint="eastAsia" w:ascii="仿宋" w:hAnsi="仿宋" w:eastAsia="仿宋" w:cs="仿宋"/>
                <w:b/>
                <w:bCs/>
                <w:color w:val="auto"/>
                <w:szCs w:val="21"/>
                <w:highlight w:val="none"/>
                <w:lang w:val="en-US" w:eastAsia="zh-CN" w:bidi="ar-SA"/>
              </w:rPr>
              <w:t>30</w:t>
            </w:r>
            <w:r>
              <w:rPr>
                <w:rFonts w:hint="eastAsia" w:ascii="仿宋" w:hAnsi="仿宋" w:eastAsia="仿宋" w:cs="仿宋"/>
                <w:b/>
                <w:bCs/>
                <w:color w:val="auto"/>
                <w:szCs w:val="21"/>
                <w:highlight w:val="none"/>
                <w:lang w:eastAsia="zh-CN" w:bidi="ar-SA"/>
              </w:rPr>
              <w:t>分）</w:t>
            </w:r>
          </w:p>
        </w:tc>
      </w:tr>
      <w:tr w14:paraId="5D32E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11" w:type="pct"/>
            <w:vAlign w:val="center"/>
          </w:tcPr>
          <w:p w14:paraId="03CD0E6D">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仿宋" w:hAnsi="仿宋" w:eastAsia="仿宋" w:cs="仿宋"/>
                <w:color w:val="auto"/>
                <w:szCs w:val="21"/>
                <w:highlight w:val="none"/>
                <w:lang w:val="en-US" w:eastAsia="zh-CN" w:bidi="ar-SA"/>
              </w:rPr>
            </w:pPr>
            <w:r>
              <w:rPr>
                <w:rFonts w:hint="eastAsia" w:ascii="仿宋" w:hAnsi="仿宋" w:eastAsia="仿宋" w:cs="仿宋"/>
                <w:color w:val="auto"/>
                <w:szCs w:val="21"/>
                <w:highlight w:val="none"/>
                <w:lang w:val="en-US" w:eastAsia="zh-CN" w:bidi="ar-SA"/>
              </w:rPr>
              <w:t xml:space="preserve"> 1</w:t>
            </w:r>
          </w:p>
        </w:tc>
        <w:tc>
          <w:tcPr>
            <w:tcW w:w="774" w:type="pct"/>
            <w:vAlign w:val="center"/>
          </w:tcPr>
          <w:p w14:paraId="04330CBA">
            <w:pPr>
              <w:keepNext w:val="0"/>
              <w:keepLines w:val="0"/>
              <w:pageBreakBefore w:val="0"/>
              <w:widowControl w:val="0"/>
              <w:kinsoku/>
              <w:wordWrap/>
              <w:overflowPunct/>
              <w:topLinePunct w:val="0"/>
              <w:autoSpaceDE/>
              <w:autoSpaceDN/>
              <w:bidi w:val="0"/>
              <w:adjustRightInd/>
              <w:snapToGrid/>
              <w:spacing w:line="400" w:lineRule="exact"/>
              <w:ind w:left="243" w:hanging="243" w:hangingChars="100"/>
              <w:textAlignment w:val="auto"/>
              <w:rPr>
                <w:rFonts w:hint="eastAsia"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投标人报价(</w:t>
            </w:r>
            <w:r>
              <w:rPr>
                <w:rFonts w:hint="eastAsia" w:ascii="仿宋" w:hAnsi="仿宋" w:eastAsia="仿宋" w:cs="仿宋"/>
                <w:color w:val="auto"/>
                <w:szCs w:val="21"/>
                <w:highlight w:val="none"/>
                <w:lang w:val="en-US" w:eastAsia="zh-CN" w:bidi="ar-SA"/>
              </w:rPr>
              <w:t>30</w:t>
            </w:r>
            <w:r>
              <w:rPr>
                <w:rFonts w:hint="eastAsia" w:ascii="仿宋" w:hAnsi="仿宋" w:eastAsia="仿宋" w:cs="仿宋"/>
                <w:color w:val="auto"/>
                <w:szCs w:val="21"/>
                <w:highlight w:val="none"/>
                <w:lang w:eastAsia="zh-CN" w:bidi="ar-SA"/>
              </w:rPr>
              <w:t>分)</w:t>
            </w:r>
          </w:p>
        </w:tc>
        <w:tc>
          <w:tcPr>
            <w:tcW w:w="3488" w:type="pct"/>
            <w:vAlign w:val="center"/>
          </w:tcPr>
          <w:p w14:paraId="47F4E47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在满足招标文件要求的前提下，取各投标人有效报价的最低投标报价作为评标基准价,满分为</w:t>
            </w:r>
            <w:r>
              <w:rPr>
                <w:rFonts w:hint="eastAsia" w:ascii="仿宋" w:hAnsi="仿宋" w:eastAsia="仿宋" w:cs="仿宋"/>
                <w:color w:val="auto"/>
                <w:szCs w:val="21"/>
                <w:highlight w:val="none"/>
                <w:lang w:val="en-US" w:eastAsia="zh-CN" w:bidi="ar-SA"/>
              </w:rPr>
              <w:t>30</w:t>
            </w:r>
            <w:r>
              <w:rPr>
                <w:rFonts w:hint="eastAsia" w:ascii="仿宋" w:hAnsi="仿宋" w:eastAsia="仿宋" w:cs="仿宋"/>
                <w:color w:val="auto"/>
                <w:szCs w:val="21"/>
                <w:highlight w:val="none"/>
                <w:lang w:eastAsia="zh-CN" w:bidi="ar-SA"/>
              </w:rPr>
              <w:t>分；价格分的计算投标报价得分=(评标基准价／投标报价)×</w:t>
            </w:r>
            <w:r>
              <w:rPr>
                <w:rFonts w:hint="eastAsia" w:ascii="仿宋" w:hAnsi="仿宋" w:eastAsia="仿宋" w:cs="仿宋"/>
                <w:color w:val="auto"/>
                <w:szCs w:val="21"/>
                <w:highlight w:val="none"/>
                <w:lang w:val="en-US" w:eastAsia="zh-CN" w:bidi="ar-SA"/>
              </w:rPr>
              <w:t>30</w:t>
            </w:r>
            <w:r>
              <w:rPr>
                <w:rFonts w:hint="eastAsia" w:ascii="仿宋" w:hAnsi="仿宋" w:eastAsia="仿宋" w:cs="仿宋"/>
                <w:color w:val="auto"/>
                <w:szCs w:val="21"/>
                <w:highlight w:val="none"/>
                <w:lang w:eastAsia="zh-CN" w:bidi="ar-SA"/>
              </w:rPr>
              <w:t>%×100。（计算分值时，百分比按四舍五入原则，保留小数点后二位数）</w:t>
            </w:r>
          </w:p>
        </w:tc>
        <w:tc>
          <w:tcPr>
            <w:tcW w:w="425" w:type="pct"/>
            <w:vAlign w:val="center"/>
          </w:tcPr>
          <w:p w14:paraId="3739BA99">
            <w:pPr>
              <w:keepNext w:val="0"/>
              <w:keepLines w:val="0"/>
              <w:pageBreakBefore w:val="0"/>
              <w:widowControl w:val="0"/>
              <w:kinsoku/>
              <w:wordWrap/>
              <w:overflowPunct/>
              <w:topLinePunct w:val="0"/>
              <w:autoSpaceDE/>
              <w:autoSpaceDN/>
              <w:bidi w:val="0"/>
              <w:adjustRightInd/>
              <w:snapToGrid/>
              <w:spacing w:line="400" w:lineRule="exact"/>
              <w:ind w:firstLine="486" w:firstLineChars="200"/>
              <w:textAlignment w:val="auto"/>
              <w:rPr>
                <w:rFonts w:hint="eastAsia" w:ascii="仿宋" w:hAnsi="仿宋" w:eastAsia="仿宋" w:cs="仿宋"/>
                <w:color w:val="auto"/>
                <w:szCs w:val="21"/>
                <w:highlight w:val="none"/>
                <w:lang w:eastAsia="zh-CN" w:bidi="ar-SA"/>
              </w:rPr>
            </w:pPr>
          </w:p>
        </w:tc>
      </w:tr>
    </w:tbl>
    <w:p w14:paraId="571793D0">
      <w:pPr>
        <w:keepNext w:val="0"/>
        <w:keepLines w:val="0"/>
        <w:pageBreakBefore w:val="0"/>
        <w:widowControl w:val="0"/>
        <w:kinsoku/>
        <w:wordWrap/>
        <w:overflowPunct/>
        <w:topLinePunct w:val="0"/>
        <w:autoSpaceDE/>
        <w:autoSpaceDN/>
        <w:bidi w:val="0"/>
        <w:adjustRightInd/>
        <w:snapToGrid/>
        <w:spacing w:line="400" w:lineRule="exact"/>
        <w:ind w:firstLine="486" w:firstLineChars="200"/>
        <w:textAlignment w:val="auto"/>
        <w:rPr>
          <w:rFonts w:hint="eastAsia" w:ascii="仿宋" w:hAnsi="仿宋" w:eastAsia="仿宋" w:cs="仿宋"/>
          <w:color w:val="auto"/>
          <w:szCs w:val="21"/>
          <w:highlight w:val="yellow"/>
          <w:lang w:val="en-US" w:eastAsia="zh-CN" w:bidi="ar-SA"/>
        </w:rPr>
      </w:pPr>
    </w:p>
    <w:p w14:paraId="262E96A3">
      <w:pPr>
        <w:keepNext w:val="0"/>
        <w:keepLines w:val="0"/>
        <w:pageBreakBefore w:val="0"/>
        <w:widowControl w:val="0"/>
        <w:kinsoku/>
        <w:wordWrap/>
        <w:overflowPunct/>
        <w:topLinePunct w:val="0"/>
        <w:autoSpaceDE/>
        <w:autoSpaceDN/>
        <w:bidi w:val="0"/>
        <w:adjustRightInd/>
        <w:snapToGrid/>
        <w:spacing w:line="400" w:lineRule="exact"/>
        <w:ind w:firstLine="486" w:firstLineChars="200"/>
        <w:textAlignment w:val="auto"/>
        <w:rPr>
          <w:rFonts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如评标专家在检验电子标书过程中，如果由于供应商自身原因导致评标专家无法查看并检验电子标书中以上相关资料的，否决其投标。即使投标单位将原件携带至现场的，同样按无效投标处理。</w:t>
      </w:r>
    </w:p>
    <w:p w14:paraId="28108CEC">
      <w:pPr>
        <w:pStyle w:val="48"/>
        <w:keepNext w:val="0"/>
        <w:keepLines w:val="0"/>
        <w:pageBreakBefore w:val="0"/>
        <w:widowControl w:val="0"/>
        <w:tabs>
          <w:tab w:val="left" w:pos="1701"/>
        </w:tabs>
        <w:kinsoku/>
        <w:wordWrap/>
        <w:overflowPunct/>
        <w:topLinePunct w:val="0"/>
        <w:autoSpaceDE/>
        <w:autoSpaceDN/>
        <w:bidi w:val="0"/>
        <w:adjustRightInd/>
        <w:snapToGrid/>
        <w:spacing w:line="400" w:lineRule="exact"/>
        <w:ind w:left="0" w:firstLine="486" w:firstLineChars="200"/>
        <w:textAlignment w:val="auto"/>
        <w:rPr>
          <w:rFonts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10.2.2价格评分方法</w:t>
      </w:r>
    </w:p>
    <w:p w14:paraId="705F4884">
      <w:pPr>
        <w:rPr>
          <w:rFonts w:hint="default" w:ascii="仿宋" w:hAnsi="仿宋" w:eastAsia="仿宋" w:cs="仿宋"/>
          <w:color w:val="auto"/>
          <w:sz w:val="24"/>
          <w:szCs w:val="24"/>
          <w:lang w:val="en-US" w:eastAsia="zh-CN"/>
        </w:rPr>
      </w:pPr>
      <w:r>
        <w:rPr>
          <w:rFonts w:hint="eastAsia" w:ascii="仿宋" w:hAnsi="仿宋" w:eastAsia="仿宋" w:cs="仿宋"/>
          <w:color w:val="auto"/>
          <w:szCs w:val="21"/>
          <w:highlight w:val="none"/>
          <w:lang w:eastAsia="zh-CN" w:bidi="ar-SA"/>
        </w:rPr>
        <w:t xml:space="preserve">满足招标文件技术要求且投标价格最低的投标报价为评标基准价，其价格分为满分。其他供应商的价格分别按照下列公式计算： </w:t>
      </w:r>
      <w:r>
        <w:rPr>
          <w:rFonts w:hint="eastAsia" w:ascii="仿宋" w:hAnsi="仿宋" w:eastAsia="仿宋" w:cs="仿宋"/>
          <w:color w:val="auto"/>
          <w:sz w:val="24"/>
          <w:szCs w:val="24"/>
          <w:lang w:eastAsia="zh-CN"/>
        </w:rPr>
        <w:t>价格得分=（评审基准价/投标报价）×价格权值×100。</w:t>
      </w:r>
    </w:p>
    <w:p w14:paraId="553E35DA">
      <w:pPr>
        <w:keepNext w:val="0"/>
        <w:keepLines w:val="0"/>
        <w:pageBreakBefore w:val="0"/>
        <w:widowControl w:val="0"/>
        <w:kinsoku/>
        <w:wordWrap/>
        <w:overflowPunct/>
        <w:topLinePunct w:val="0"/>
        <w:autoSpaceDE/>
        <w:autoSpaceDN/>
        <w:bidi w:val="0"/>
        <w:adjustRightInd/>
        <w:snapToGrid/>
        <w:spacing w:line="400" w:lineRule="exact"/>
        <w:ind w:firstLine="486" w:firstLineChars="200"/>
        <w:textAlignment w:val="auto"/>
        <w:rPr>
          <w:rFonts w:ascii="仿宋" w:hAnsi="仿宋" w:eastAsia="仿宋" w:cs="仿宋"/>
          <w:color w:val="auto"/>
          <w:szCs w:val="21"/>
          <w:highlight w:val="none"/>
          <w:lang w:eastAsia="zh-CN" w:bidi="ar-SA"/>
        </w:rPr>
      </w:pPr>
    </w:p>
    <w:p w14:paraId="5104B3C8">
      <w:pPr>
        <w:spacing w:beforeLines="50" w:line="400" w:lineRule="exact"/>
        <w:jc w:val="center"/>
        <w:outlineLvl w:val="1"/>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五  推荐中标候选人</w:t>
      </w:r>
      <w:bookmarkEnd w:id="44"/>
      <w:bookmarkEnd w:id="45"/>
    </w:p>
    <w:p w14:paraId="30C510A1">
      <w:pPr>
        <w:snapToGrid w:val="0"/>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11.1评标委员会推荐3名中标候选人，并标明排序。</w:t>
      </w:r>
    </w:p>
    <w:p w14:paraId="2E21F0BB">
      <w:pPr>
        <w:spacing w:line="400" w:lineRule="exact"/>
        <w:ind w:firstLine="475" w:firstLineChars="196"/>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11.2如出现报价相同情况，则由招标人现场抽签确定中标候选人排名顺序。</w:t>
      </w:r>
    </w:p>
    <w:bookmarkEnd w:id="39"/>
    <w:p w14:paraId="79BE1E24">
      <w:pPr>
        <w:snapToGrid w:val="0"/>
        <w:spacing w:line="400" w:lineRule="exact"/>
        <w:ind w:firstLine="486" w:firstLineChars="200"/>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12.无效投标条款</w:t>
      </w:r>
    </w:p>
    <w:p w14:paraId="5B47B253">
      <w:pPr>
        <w:snapToGrid w:val="0"/>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12.1投标文件有下列情形之一的,其投标文件拒收:</w:t>
      </w:r>
    </w:p>
    <w:p w14:paraId="21277062">
      <w:pPr>
        <w:snapToGrid w:val="0"/>
        <w:spacing w:line="400" w:lineRule="exact"/>
        <w:rPr>
          <w:rFonts w:ascii="仿宋" w:hAnsi="仿宋" w:eastAsia="仿宋" w:cs="仿宋"/>
          <w:b/>
          <w:bCs/>
          <w:color w:val="auto"/>
          <w:szCs w:val="21"/>
          <w:highlight w:val="none"/>
          <w:lang w:eastAsia="zh-CN"/>
        </w:rPr>
      </w:pPr>
      <w:r>
        <w:rPr>
          <w:rFonts w:hint="eastAsia" w:ascii="仿宋" w:hAnsi="仿宋" w:eastAsia="仿宋" w:cs="仿宋"/>
          <w:color w:val="auto"/>
          <w:szCs w:val="21"/>
          <w:highlight w:val="none"/>
          <w:lang w:eastAsia="zh-CN"/>
        </w:rPr>
        <w:t xml:space="preserve">   </w:t>
      </w:r>
      <w:r>
        <w:rPr>
          <w:rFonts w:hint="eastAsia" w:ascii="仿宋" w:hAnsi="仿宋" w:eastAsia="仿宋" w:cs="仿宋"/>
          <w:b/>
          <w:bCs/>
          <w:color w:val="auto"/>
          <w:szCs w:val="21"/>
          <w:highlight w:val="none"/>
          <w:lang w:eastAsia="zh-CN"/>
        </w:rPr>
        <w:t xml:space="preserve"> (1) 未在开标截止时间前通过网上招标投标系统递交有效电子投标文件的，开标系统不予接收。</w:t>
      </w:r>
    </w:p>
    <w:p w14:paraId="2CDB3A59">
      <w:pPr>
        <w:snapToGrid w:val="0"/>
        <w:spacing w:line="400" w:lineRule="exact"/>
        <w:ind w:firstLine="486" w:firstLineChars="200"/>
        <w:rPr>
          <w:rFonts w:ascii="仿宋" w:hAnsi="仿宋" w:eastAsia="仿宋" w:cs="仿宋"/>
          <w:b/>
          <w:bCs/>
          <w:color w:val="auto"/>
          <w:szCs w:val="21"/>
          <w:highlight w:val="none"/>
          <w:lang w:eastAsia="zh-CN"/>
        </w:rPr>
      </w:pPr>
      <w:r>
        <w:rPr>
          <w:rFonts w:hint="eastAsia" w:ascii="仿宋" w:hAnsi="仿宋" w:eastAsia="仿宋" w:cs="仿宋"/>
          <w:b/>
          <w:bCs/>
          <w:color w:val="auto"/>
          <w:szCs w:val="21"/>
          <w:highlight w:val="none"/>
          <w:lang w:eastAsia="zh-CN"/>
        </w:rPr>
        <w:t>（2）</w:t>
      </w:r>
      <w:r>
        <w:rPr>
          <w:rFonts w:hint="eastAsia" w:ascii="仿宋" w:hAnsi="仿宋" w:eastAsia="仿宋" w:cs="仿宋"/>
          <w:b/>
          <w:color w:val="auto"/>
          <w:szCs w:val="21"/>
          <w:highlight w:val="none"/>
          <w:lang w:eastAsia="zh-CN"/>
        </w:rPr>
        <w:t>所有供应商应在规定时间里完成投标文件的解密工作</w:t>
      </w:r>
      <w:r>
        <w:rPr>
          <w:rFonts w:hint="eastAsia" w:ascii="仿宋" w:hAnsi="仿宋" w:eastAsia="仿宋" w:cs="仿宋"/>
          <w:b/>
          <w:bCs/>
          <w:color w:val="auto"/>
          <w:szCs w:val="21"/>
          <w:highlight w:val="none"/>
          <w:lang w:eastAsia="zh-CN"/>
        </w:rPr>
        <w:t>【供应商使用其有效加密锁（CA锁）进行解密（因供应商原因未能提供有效CA锁对其投标文件进行解密的，其投标文件按无效标处理），以网上招投标系统解密倒计时为准】</w:t>
      </w:r>
      <w:r>
        <w:rPr>
          <w:rFonts w:hint="eastAsia" w:ascii="仿宋" w:hAnsi="仿宋" w:eastAsia="仿宋" w:cs="仿宋"/>
          <w:b/>
          <w:color w:val="auto"/>
          <w:szCs w:val="21"/>
          <w:highlight w:val="none"/>
          <w:lang w:eastAsia="zh-CN"/>
        </w:rPr>
        <w:t>，因系统原因未能成功解密的投标文件，可导入备份投标文件。备份投标文件也无法导入的，则投标文件被否决。</w:t>
      </w:r>
    </w:p>
    <w:p w14:paraId="7D4AFB8B">
      <w:pPr>
        <w:snapToGrid w:val="0"/>
        <w:spacing w:line="40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  12.2供应商有下列情形之一的,资格审查后其投标作无效投标处理：</w:t>
      </w:r>
    </w:p>
    <w:p w14:paraId="19ABEBAC">
      <w:pPr>
        <w:snapToGrid w:val="0"/>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(1)法定代表人参加开标会议未携带有效的法定代表人身份证明原件和本人身份证的；委托代理人参加开标会议未携带有效的法定代表人授权书和本人身份证；</w:t>
      </w:r>
    </w:p>
    <w:p w14:paraId="7E2947A7">
      <w:pPr>
        <w:snapToGrid w:val="0"/>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(2)供应商为本项目提供招标代理服务的；</w:t>
      </w:r>
    </w:p>
    <w:p w14:paraId="31C548F5">
      <w:pPr>
        <w:snapToGrid w:val="0"/>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(3)供应商与在本项目代理机构存在相互任职或工作的；</w:t>
      </w:r>
    </w:p>
    <w:p w14:paraId="15018BAD">
      <w:pPr>
        <w:snapToGrid w:val="0"/>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(4)投标保证金未按规定要求缴纳的；</w:t>
      </w:r>
    </w:p>
    <w:p w14:paraId="10B50E0F">
      <w:pPr>
        <w:snapToGrid w:val="0"/>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(5)评标专家无法查看并检验电子标书中相关资料的；</w:t>
      </w:r>
    </w:p>
    <w:p w14:paraId="7CE540F8">
      <w:pPr>
        <w:snapToGrid w:val="0"/>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(6)供应商超出营业范围投标的；</w:t>
      </w:r>
    </w:p>
    <w:p w14:paraId="22E2EC6E">
      <w:pPr>
        <w:snapToGrid w:val="0"/>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(7)联合体投标未提交联合体协议的；</w:t>
      </w:r>
    </w:p>
    <w:p w14:paraId="4617F07F">
      <w:pPr>
        <w:snapToGrid w:val="0"/>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(8)被暂停营业的；</w:t>
      </w:r>
    </w:p>
    <w:p w14:paraId="269DF8A0">
      <w:pPr>
        <w:snapToGrid w:val="0"/>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(9)被暂停或取消投标资格的；</w:t>
      </w:r>
    </w:p>
    <w:p w14:paraId="53B392CC">
      <w:pPr>
        <w:snapToGrid w:val="0"/>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(10)财产被接管或冻结的；</w:t>
      </w:r>
    </w:p>
    <w:p w14:paraId="2C9CD660">
      <w:pPr>
        <w:snapToGrid w:val="0"/>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(11)供应商单位负责人为同一人或者存在控股、管理关系的不同单位的；</w:t>
      </w:r>
    </w:p>
    <w:p w14:paraId="6A0FADEC">
      <w:pPr>
        <w:snapToGrid w:val="0"/>
        <w:spacing w:line="400" w:lineRule="exact"/>
        <w:ind w:firstLine="364" w:firstLineChars="15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（12）供应商基本资格条件和特定资格条件中有一项及以上不符合要求的；</w:t>
      </w:r>
    </w:p>
    <w:p w14:paraId="2EB497E2">
      <w:pPr>
        <w:snapToGrid w:val="0"/>
        <w:spacing w:line="400" w:lineRule="exact"/>
        <w:ind w:firstLine="364" w:firstLineChars="15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（13）供应商使用相同的MAC地址进行报名的；</w:t>
      </w:r>
    </w:p>
    <w:p w14:paraId="0A939047">
      <w:pPr>
        <w:snapToGrid w:val="0"/>
        <w:spacing w:line="400" w:lineRule="exact"/>
        <w:ind w:firstLine="364" w:firstLineChars="15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（14）其它情形，经评标委员会委提出按无效投标处理，并经公共资源交易监督部门核准的；</w:t>
      </w:r>
    </w:p>
    <w:p w14:paraId="3AF1D693">
      <w:pPr>
        <w:snapToGrid w:val="0"/>
        <w:spacing w:line="400" w:lineRule="exact"/>
        <w:ind w:firstLine="364" w:firstLineChars="15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（15）供应商使用相同IP地址报名的，一经发现，监管部门将进一步核实，查实后按串通投标处理；</w:t>
      </w:r>
    </w:p>
    <w:p w14:paraId="5F80CB48">
      <w:pPr>
        <w:snapToGrid w:val="0"/>
        <w:spacing w:line="400" w:lineRule="exact"/>
        <w:ind w:firstLine="364" w:firstLineChars="15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（16）采购文件规定的其它无效投标情形。</w:t>
      </w:r>
    </w:p>
    <w:p w14:paraId="4A698492">
      <w:pPr>
        <w:snapToGrid w:val="0"/>
        <w:spacing w:line="40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   12.3 供应商有下列情形之一的,符合性审查后其投标按无效投标处理：</w:t>
      </w:r>
    </w:p>
    <w:p w14:paraId="1E131C06">
      <w:pPr>
        <w:snapToGrid w:val="0"/>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 投标文件签章、盖章不全，经评标委员会一致认定对开评标内容有实质性影响并经监督部门核准的；</w:t>
      </w:r>
    </w:p>
    <w:p w14:paraId="32BDEE09">
      <w:pPr>
        <w:snapToGrid w:val="0"/>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(2)未按规定的格式填写，实质性内容不全或关键字迹模糊、无法辨认; 经监督部门核准的；</w:t>
      </w:r>
    </w:p>
    <w:p w14:paraId="04665ACE">
      <w:pPr>
        <w:snapToGrid w:val="0"/>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lang w:eastAsia="zh-CN"/>
        </w:rPr>
        <w:t>)同一供应商提交两个以上不同的投标文件或者投标报价，但采购文件规定提交备选方案的除外；</w:t>
      </w:r>
    </w:p>
    <w:p w14:paraId="2C239F78">
      <w:pPr>
        <w:snapToGrid w:val="0"/>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lang w:eastAsia="zh-CN"/>
        </w:rPr>
        <w:t>)投标文件没有对采购文件的实质性要求和条件作出响应;</w:t>
      </w:r>
    </w:p>
    <w:p w14:paraId="316B0D38">
      <w:pPr>
        <w:snapToGrid w:val="0"/>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lang w:eastAsia="zh-CN"/>
        </w:rPr>
        <w:t>)投标报价超出规定的投标限价或公布的采购预算的；注：供应商的投标报价各项单价均不得高于招标文件给定的单价最高限价，否则，其投标文件将按无效投标处理。</w:t>
      </w:r>
    </w:p>
    <w:p w14:paraId="472FA534">
      <w:pPr>
        <w:snapToGrid w:val="0"/>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lang w:eastAsia="zh-CN"/>
        </w:rPr>
        <w:t>)不按评标委员会要求澄清、说明或补正的，或者评标委员会根据采购文件的规定对采购文件的计算错误进行修正后，供应商不接受修正的投标报价的。</w:t>
      </w:r>
    </w:p>
    <w:p w14:paraId="1D566CE9">
      <w:pPr>
        <w:snapToGrid w:val="0"/>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lang w:eastAsia="zh-CN"/>
        </w:rPr>
        <w:t>）其它情形，经评标委员会委提出按无效投标处理，并经公共资源交易监督部门核准的；</w:t>
      </w:r>
    </w:p>
    <w:p w14:paraId="1B3A9302">
      <w:pPr>
        <w:widowControl/>
        <w:spacing w:line="5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8</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shd w:val="clear" w:color="auto" w:fill="FFFFFF"/>
          <w:lang w:eastAsia="zh-CN"/>
        </w:rPr>
        <w:t>未按照招标文件的规定提交投标保证金的；</w:t>
      </w:r>
    </w:p>
    <w:p w14:paraId="5C31A500">
      <w:pPr>
        <w:widowControl/>
        <w:spacing w:line="5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9</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shd w:val="clear" w:color="auto" w:fill="FFFFFF"/>
          <w:lang w:eastAsia="zh-CN"/>
        </w:rPr>
        <w:t>投标文件含有采购人不能接受的附加条件的;</w:t>
      </w:r>
    </w:p>
    <w:p w14:paraId="782B0BDE">
      <w:pPr>
        <w:tabs>
          <w:tab w:val="left" w:pos="1123"/>
        </w:tabs>
        <w:snapToGrid w:val="0"/>
        <w:spacing w:line="5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10</w:t>
      </w:r>
      <w:r>
        <w:rPr>
          <w:rFonts w:hint="eastAsia" w:ascii="仿宋" w:hAnsi="仿宋" w:eastAsia="仿宋" w:cs="仿宋"/>
          <w:color w:val="auto"/>
          <w:szCs w:val="21"/>
          <w:highlight w:val="none"/>
          <w:lang w:eastAsia="zh-CN"/>
        </w:rPr>
        <w:t>）采购文件规定的其它无效投标情形。</w:t>
      </w:r>
    </w:p>
    <w:p w14:paraId="1E2C2F67">
      <w:pPr>
        <w:snapToGrid w:val="0"/>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12.4 供应商有下列情形之一的, 详细评审后其投标按无效投标处理：</w:t>
      </w:r>
    </w:p>
    <w:p w14:paraId="311B9A5C">
      <w:pPr>
        <w:snapToGrid w:val="0"/>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(1)投标产品不符合必须强制执行的国家标准的；</w:t>
      </w:r>
    </w:p>
    <w:p w14:paraId="737A2512">
      <w:pPr>
        <w:snapToGrid w:val="0"/>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(2)供应商有串通投标、弄虚作假、行贿等违法行为；</w:t>
      </w:r>
    </w:p>
    <w:p w14:paraId="2B3DF54F">
      <w:pPr>
        <w:snapToGrid w:val="0"/>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(3)投标文件含有违反国家法律、法规的内容，或附有招标人不能接受的条件的；</w:t>
      </w:r>
    </w:p>
    <w:p w14:paraId="759E950D">
      <w:pPr>
        <w:spacing w:line="360" w:lineRule="auto"/>
        <w:ind w:firstLine="364" w:firstLineChars="15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（4）在同一项目（或同一标段）中有多个供应商有效投标报价接近最高限价，且评标委员会认为报价出现异常的，可以宣布其投标无效；</w:t>
      </w:r>
    </w:p>
    <w:p w14:paraId="0CC47B21">
      <w:pPr>
        <w:spacing w:line="360" w:lineRule="auto"/>
        <w:ind w:firstLine="364" w:firstLineChars="15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（5）报价明显低于其他供应商，且不能证明报价合理性的投标无效；</w:t>
      </w:r>
    </w:p>
    <w:p w14:paraId="3F5E1FBE">
      <w:pPr>
        <w:spacing w:line="360" w:lineRule="auto"/>
        <w:ind w:firstLine="364" w:firstLineChars="15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（6）拒不确认评标委员会评审修正的投标无效；</w:t>
      </w:r>
    </w:p>
    <w:p w14:paraId="35534336">
      <w:pPr>
        <w:spacing w:line="360" w:lineRule="auto"/>
        <w:ind w:firstLine="364" w:firstLineChars="15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（7）其它情形，经评标委员会委提出按无效投标处理，并经公共资源交易监督部门核准的；</w:t>
      </w:r>
    </w:p>
    <w:p w14:paraId="4AB739A6">
      <w:pPr>
        <w:spacing w:line="360" w:lineRule="auto"/>
        <w:ind w:firstLine="364" w:firstLineChars="15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（8）采购文件规定的其它无效投标情形。</w:t>
      </w:r>
    </w:p>
    <w:p w14:paraId="64B5F77D">
      <w:pPr>
        <w:rPr>
          <w:rFonts w:hint="eastAsia" w:ascii="仿宋" w:hAnsi="仿宋" w:eastAsia="仿宋" w:cs="仿宋"/>
          <w:b/>
          <w:bCs w:val="0"/>
          <w:color w:val="auto"/>
          <w:sz w:val="36"/>
          <w:szCs w:val="36"/>
          <w:highlight w:val="none"/>
          <w:lang w:eastAsia="zh-CN"/>
        </w:rPr>
        <w:sectPr>
          <w:headerReference r:id="rId6" w:type="default"/>
          <w:footerReference r:id="rId7" w:type="default"/>
          <w:pgSz w:w="11905" w:h="16838"/>
          <w:pgMar w:top="1440" w:right="1417" w:bottom="1440" w:left="1417" w:header="850" w:footer="992" w:gutter="0"/>
          <w:pgNumType w:fmt="decimal" w:start="1"/>
          <w:cols w:space="0" w:num="1"/>
          <w:docGrid w:type="linesAndChars" w:linePitch="325" w:charSpace="635"/>
        </w:sectPr>
      </w:pPr>
      <w:bookmarkStart w:id="46" w:name="_Toc469495737"/>
      <w:bookmarkStart w:id="47" w:name="OLE_LINK4"/>
      <w:r>
        <w:rPr>
          <w:rFonts w:hint="eastAsia" w:ascii="仿宋" w:hAnsi="仿宋" w:eastAsia="仿宋" w:cs="仿宋"/>
          <w:b/>
          <w:bCs w:val="0"/>
          <w:color w:val="auto"/>
          <w:sz w:val="36"/>
          <w:szCs w:val="36"/>
          <w:highlight w:val="none"/>
          <w:lang w:eastAsia="zh-CN"/>
        </w:rPr>
        <w:br w:type="page"/>
      </w:r>
    </w:p>
    <w:bookmarkEnd w:id="40"/>
    <w:bookmarkEnd w:id="46"/>
    <w:bookmarkEnd w:id="47"/>
    <w:p w14:paraId="0FEA9712">
      <w:pPr>
        <w:pageBreakBefore/>
        <w:numPr>
          <w:ilvl w:val="0"/>
          <w:numId w:val="9"/>
        </w:numPr>
        <w:spacing w:line="440" w:lineRule="exact"/>
        <w:ind w:leftChars="0"/>
        <w:jc w:val="center"/>
        <w:outlineLvl w:val="0"/>
        <w:rPr>
          <w:rFonts w:hint="eastAsia" w:ascii="仿宋" w:hAnsi="仿宋" w:eastAsia="仿宋" w:cs="仿宋"/>
          <w:b/>
          <w:bCs w:val="0"/>
          <w:color w:val="auto"/>
          <w:sz w:val="36"/>
          <w:szCs w:val="36"/>
          <w:highlight w:val="none"/>
          <w:lang w:val="en-US" w:eastAsia="zh-CN"/>
        </w:rPr>
      </w:pPr>
      <w:bookmarkStart w:id="48" w:name="_Toc340225294"/>
      <w:bookmarkStart w:id="49" w:name="_Toc267320052"/>
      <w:r>
        <w:rPr>
          <w:rFonts w:hint="eastAsia" w:ascii="仿宋" w:hAnsi="仿宋" w:eastAsia="仿宋" w:cs="仿宋"/>
          <w:b/>
          <w:bCs w:val="0"/>
          <w:color w:val="auto"/>
          <w:sz w:val="36"/>
          <w:szCs w:val="36"/>
          <w:highlight w:val="none"/>
          <w:lang w:val="en-US" w:eastAsia="zh-CN"/>
        </w:rPr>
        <w:t>采购内容及参数要求</w:t>
      </w:r>
      <w:bookmarkEnd w:id="48"/>
      <w:bookmarkEnd w:id="49"/>
    </w:p>
    <w:p w14:paraId="0BCCB855">
      <w:pPr>
        <w:bidi w:val="0"/>
        <w:rPr>
          <w:rFonts w:hint="eastAsia" w:ascii="Times New Roman" w:hAnsi="Times New Roman" w:eastAsia="Times New Roman" w:cs="Times New Roman"/>
          <w:color w:val="000000"/>
          <w:sz w:val="24"/>
          <w:szCs w:val="24"/>
          <w:lang w:val="en-US" w:eastAsia="zh-CN" w:bidi="en-US"/>
        </w:rPr>
      </w:pPr>
    </w:p>
    <w:p w14:paraId="464DE3E0">
      <w:pPr>
        <w:bidi w:val="0"/>
        <w:jc w:val="center"/>
        <w:rPr>
          <w:rFonts w:hint="eastAsia"/>
          <w:b/>
          <w:bCs/>
          <w:sz w:val="32"/>
          <w:szCs w:val="32"/>
          <w:lang w:val="en-US" w:eastAsia="zh-CN"/>
        </w:rPr>
      </w:pPr>
      <w:r>
        <w:rPr>
          <w:rFonts w:hint="eastAsia"/>
          <w:b/>
          <w:bCs/>
          <w:sz w:val="32"/>
          <w:szCs w:val="32"/>
          <w:lang w:val="en-US" w:eastAsia="zh-CN"/>
        </w:rPr>
        <w:t>设备采购清单</w:t>
      </w:r>
    </w:p>
    <w:tbl>
      <w:tblPr>
        <w:tblStyle w:val="26"/>
        <w:tblW w:w="93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8"/>
        <w:gridCol w:w="3771"/>
        <w:gridCol w:w="2330"/>
        <w:gridCol w:w="2330"/>
      </w:tblGrid>
      <w:tr w14:paraId="564C7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888" w:type="dxa"/>
            <w:vAlign w:val="center"/>
          </w:tcPr>
          <w:p w14:paraId="08BFE0DA">
            <w:pPr>
              <w:spacing w:line="360" w:lineRule="auto"/>
              <w:jc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序号</w:t>
            </w:r>
          </w:p>
        </w:tc>
        <w:tc>
          <w:tcPr>
            <w:tcW w:w="3771" w:type="dxa"/>
            <w:vAlign w:val="center"/>
          </w:tcPr>
          <w:p w14:paraId="72370953">
            <w:pPr>
              <w:spacing w:line="360" w:lineRule="auto"/>
              <w:jc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名称</w:t>
            </w:r>
          </w:p>
        </w:tc>
        <w:tc>
          <w:tcPr>
            <w:tcW w:w="2330" w:type="dxa"/>
            <w:vAlign w:val="center"/>
          </w:tcPr>
          <w:p w14:paraId="375413E2">
            <w:pPr>
              <w:spacing w:line="360" w:lineRule="auto"/>
              <w:ind w:firstLine="364" w:firstLineChars="150"/>
              <w:jc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数量</w:t>
            </w:r>
          </w:p>
        </w:tc>
        <w:tc>
          <w:tcPr>
            <w:tcW w:w="2330" w:type="dxa"/>
            <w:vAlign w:val="center"/>
          </w:tcPr>
          <w:p w14:paraId="5961209C">
            <w:pPr>
              <w:spacing w:line="360" w:lineRule="auto"/>
              <w:ind w:firstLine="364" w:firstLineChars="150"/>
              <w:jc w:val="both"/>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备注</w:t>
            </w:r>
          </w:p>
        </w:tc>
      </w:tr>
      <w:tr w14:paraId="7D40E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888" w:type="dxa"/>
            <w:vAlign w:val="center"/>
          </w:tcPr>
          <w:p w14:paraId="7C9D9A40">
            <w:pPr>
              <w:spacing w:line="360" w:lineRule="auto"/>
              <w:ind w:firstLine="364" w:firstLineChars="150"/>
              <w:jc w:val="both"/>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1</w:t>
            </w:r>
          </w:p>
        </w:tc>
        <w:tc>
          <w:tcPr>
            <w:tcW w:w="3771" w:type="dxa"/>
            <w:vAlign w:val="center"/>
          </w:tcPr>
          <w:p w14:paraId="02ADEB21">
            <w:pPr>
              <w:spacing w:line="360" w:lineRule="auto"/>
              <w:jc w:val="center"/>
              <w:rPr>
                <w:rFonts w:hint="default" w:ascii="仿宋" w:hAnsi="仿宋" w:eastAsia="仿宋" w:cs="仿宋"/>
                <w:color w:val="auto"/>
                <w:szCs w:val="21"/>
                <w:highlight w:val="none"/>
                <w:lang w:val="en-US" w:eastAsia="zh-CN"/>
              </w:rPr>
            </w:pPr>
            <w:r>
              <w:rPr>
                <w:rFonts w:hint="default" w:ascii="仿宋" w:hAnsi="仿宋" w:eastAsia="仿宋" w:cs="仿宋"/>
                <w:color w:val="auto"/>
                <w:szCs w:val="21"/>
                <w:highlight w:val="none"/>
                <w:lang w:val="en-US" w:eastAsia="zh-CN"/>
              </w:rPr>
              <w:t>中型医疗废物院内处置设备</w:t>
            </w:r>
          </w:p>
        </w:tc>
        <w:tc>
          <w:tcPr>
            <w:tcW w:w="2330" w:type="dxa"/>
            <w:vAlign w:val="center"/>
          </w:tcPr>
          <w:p w14:paraId="572C4C8A">
            <w:pPr>
              <w:spacing w:line="360" w:lineRule="auto"/>
              <w:ind w:firstLine="364" w:firstLineChars="150"/>
              <w:jc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1套</w:t>
            </w:r>
          </w:p>
        </w:tc>
        <w:tc>
          <w:tcPr>
            <w:tcW w:w="2330" w:type="dxa"/>
            <w:vAlign w:val="center"/>
          </w:tcPr>
          <w:p w14:paraId="19E86EEE">
            <w:pPr>
              <w:spacing w:line="360" w:lineRule="auto"/>
              <w:jc w:val="both"/>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阿合奇县人民医院</w:t>
            </w:r>
          </w:p>
        </w:tc>
      </w:tr>
      <w:tr w14:paraId="69AE8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888" w:type="dxa"/>
            <w:vAlign w:val="center"/>
          </w:tcPr>
          <w:p w14:paraId="01213BC2">
            <w:pPr>
              <w:spacing w:line="360" w:lineRule="auto"/>
              <w:ind w:firstLine="364" w:firstLineChars="150"/>
              <w:jc w:val="both"/>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2</w:t>
            </w:r>
          </w:p>
        </w:tc>
        <w:tc>
          <w:tcPr>
            <w:tcW w:w="3771" w:type="dxa"/>
            <w:vAlign w:val="center"/>
          </w:tcPr>
          <w:p w14:paraId="4B6FAB1E">
            <w:pPr>
              <w:spacing w:line="360" w:lineRule="auto"/>
              <w:jc w:val="center"/>
              <w:rPr>
                <w:rFonts w:hint="default" w:ascii="仿宋" w:hAnsi="仿宋" w:eastAsia="仿宋" w:cs="仿宋"/>
                <w:color w:val="auto"/>
                <w:szCs w:val="21"/>
                <w:highlight w:val="none"/>
                <w:lang w:val="en-US" w:eastAsia="zh-CN"/>
              </w:rPr>
            </w:pPr>
            <w:r>
              <w:rPr>
                <w:rFonts w:hint="default" w:ascii="仿宋" w:hAnsi="仿宋" w:eastAsia="仿宋" w:cs="仿宋"/>
                <w:color w:val="auto"/>
                <w:szCs w:val="21"/>
                <w:highlight w:val="none"/>
                <w:lang w:val="en-US" w:eastAsia="zh-CN"/>
              </w:rPr>
              <w:t>小型医疗废物院内处置设备</w:t>
            </w:r>
          </w:p>
        </w:tc>
        <w:tc>
          <w:tcPr>
            <w:tcW w:w="2330" w:type="dxa"/>
            <w:vAlign w:val="center"/>
          </w:tcPr>
          <w:p w14:paraId="7B48510F">
            <w:pPr>
              <w:spacing w:line="360" w:lineRule="auto"/>
              <w:ind w:firstLine="364" w:firstLineChars="150"/>
              <w:jc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6套</w:t>
            </w:r>
          </w:p>
        </w:tc>
        <w:tc>
          <w:tcPr>
            <w:tcW w:w="2330" w:type="dxa"/>
            <w:vAlign w:val="center"/>
          </w:tcPr>
          <w:p w14:paraId="7CD98B5B">
            <w:pPr>
              <w:spacing w:line="360" w:lineRule="auto"/>
              <w:jc w:val="both"/>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六个乡镇卫生院</w:t>
            </w:r>
          </w:p>
        </w:tc>
      </w:tr>
      <w:tr w14:paraId="3389B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888" w:type="dxa"/>
            <w:vAlign w:val="center"/>
          </w:tcPr>
          <w:p w14:paraId="2B72EE8C">
            <w:pPr>
              <w:spacing w:line="360" w:lineRule="auto"/>
              <w:ind w:firstLine="364" w:firstLineChars="150"/>
              <w:jc w:val="both"/>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3</w:t>
            </w:r>
          </w:p>
        </w:tc>
        <w:tc>
          <w:tcPr>
            <w:tcW w:w="3771" w:type="dxa"/>
            <w:vAlign w:val="center"/>
          </w:tcPr>
          <w:p w14:paraId="348C4DA2">
            <w:pPr>
              <w:spacing w:line="360" w:lineRule="auto"/>
              <w:jc w:val="center"/>
              <w:rPr>
                <w:rFonts w:hint="default" w:ascii="仿宋" w:hAnsi="仿宋" w:eastAsia="仿宋" w:cs="仿宋"/>
                <w:color w:val="auto"/>
                <w:szCs w:val="21"/>
                <w:highlight w:val="none"/>
                <w:lang w:val="en-US" w:eastAsia="zh-CN"/>
              </w:rPr>
            </w:pPr>
            <w:r>
              <w:rPr>
                <w:rFonts w:hint="default" w:ascii="仿宋" w:hAnsi="仿宋" w:eastAsia="仿宋" w:cs="仿宋"/>
                <w:color w:val="auto"/>
                <w:szCs w:val="21"/>
                <w:highlight w:val="none"/>
                <w:lang w:val="en-US" w:eastAsia="zh-CN"/>
              </w:rPr>
              <w:t>医疗废物就地处置信息云系统</w:t>
            </w:r>
          </w:p>
        </w:tc>
        <w:tc>
          <w:tcPr>
            <w:tcW w:w="2330" w:type="dxa"/>
            <w:vAlign w:val="center"/>
          </w:tcPr>
          <w:p w14:paraId="7E264312">
            <w:pPr>
              <w:spacing w:line="360" w:lineRule="auto"/>
              <w:ind w:firstLine="364" w:firstLineChars="150"/>
              <w:jc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1套</w:t>
            </w:r>
          </w:p>
        </w:tc>
        <w:tc>
          <w:tcPr>
            <w:tcW w:w="2330" w:type="dxa"/>
            <w:vAlign w:val="center"/>
          </w:tcPr>
          <w:p w14:paraId="7560F8D9">
            <w:pPr>
              <w:spacing w:line="360" w:lineRule="auto"/>
              <w:jc w:val="both"/>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（含APP，可免费对接生态环境局系统监管平台）</w:t>
            </w:r>
          </w:p>
        </w:tc>
      </w:tr>
      <w:tr w14:paraId="22AD6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888" w:type="dxa"/>
            <w:vAlign w:val="center"/>
          </w:tcPr>
          <w:p w14:paraId="3EDCDFFE">
            <w:pPr>
              <w:spacing w:line="360" w:lineRule="auto"/>
              <w:ind w:firstLine="364" w:firstLineChars="150"/>
              <w:jc w:val="both"/>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4</w:t>
            </w:r>
          </w:p>
        </w:tc>
        <w:tc>
          <w:tcPr>
            <w:tcW w:w="3771" w:type="dxa"/>
            <w:vAlign w:val="center"/>
          </w:tcPr>
          <w:p w14:paraId="4D1AB65F">
            <w:pPr>
              <w:spacing w:line="360" w:lineRule="auto"/>
              <w:jc w:val="center"/>
              <w:rPr>
                <w:rFonts w:hint="default" w:ascii="仿宋" w:hAnsi="仿宋" w:eastAsia="仿宋" w:cs="仿宋"/>
                <w:color w:val="auto"/>
                <w:szCs w:val="21"/>
                <w:highlight w:val="none"/>
                <w:lang w:val="en-US" w:eastAsia="zh-CN"/>
              </w:rPr>
            </w:pPr>
            <w:r>
              <w:rPr>
                <w:rFonts w:hint="default" w:ascii="仿宋" w:hAnsi="仿宋" w:eastAsia="仿宋" w:cs="仿宋"/>
                <w:color w:val="auto"/>
                <w:szCs w:val="21"/>
                <w:highlight w:val="none"/>
                <w:lang w:val="en-US" w:eastAsia="zh-CN"/>
              </w:rPr>
              <w:t>医疗废物就地处置智能环保设施</w:t>
            </w:r>
          </w:p>
        </w:tc>
        <w:tc>
          <w:tcPr>
            <w:tcW w:w="2330" w:type="dxa"/>
            <w:vAlign w:val="center"/>
          </w:tcPr>
          <w:p w14:paraId="1FD4BAD7">
            <w:pPr>
              <w:spacing w:line="360" w:lineRule="auto"/>
              <w:ind w:firstLine="364" w:firstLineChars="150"/>
              <w:jc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7套</w:t>
            </w:r>
          </w:p>
        </w:tc>
        <w:tc>
          <w:tcPr>
            <w:tcW w:w="2330" w:type="dxa"/>
            <w:vAlign w:val="center"/>
          </w:tcPr>
          <w:p w14:paraId="4F3EC1D6">
            <w:pPr>
              <w:spacing w:line="360" w:lineRule="auto"/>
              <w:ind w:firstLine="364" w:firstLineChars="150"/>
              <w:jc w:val="both"/>
              <w:rPr>
                <w:rFonts w:hint="default" w:ascii="仿宋" w:hAnsi="仿宋" w:eastAsia="仿宋" w:cs="仿宋"/>
                <w:color w:val="auto"/>
                <w:szCs w:val="21"/>
                <w:highlight w:val="none"/>
                <w:lang w:val="en-US" w:eastAsia="zh-CN"/>
              </w:rPr>
            </w:pPr>
          </w:p>
        </w:tc>
      </w:tr>
      <w:tr w14:paraId="61DAE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888" w:type="dxa"/>
            <w:vAlign w:val="center"/>
          </w:tcPr>
          <w:p w14:paraId="71811A4C">
            <w:pPr>
              <w:spacing w:line="360" w:lineRule="auto"/>
              <w:ind w:firstLine="364" w:firstLineChars="150"/>
              <w:jc w:val="both"/>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5</w:t>
            </w:r>
          </w:p>
        </w:tc>
        <w:tc>
          <w:tcPr>
            <w:tcW w:w="3771" w:type="dxa"/>
            <w:vAlign w:val="center"/>
          </w:tcPr>
          <w:p w14:paraId="22E96C29">
            <w:pPr>
              <w:spacing w:line="360" w:lineRule="auto"/>
              <w:jc w:val="center"/>
              <w:rPr>
                <w:rFonts w:hint="default" w:ascii="仿宋" w:hAnsi="仿宋" w:eastAsia="仿宋" w:cs="仿宋"/>
                <w:color w:val="auto"/>
                <w:szCs w:val="21"/>
                <w:highlight w:val="none"/>
                <w:lang w:val="en-US" w:eastAsia="zh-CN"/>
              </w:rPr>
            </w:pPr>
            <w:r>
              <w:rPr>
                <w:rFonts w:hint="default" w:ascii="仿宋" w:hAnsi="仿宋" w:eastAsia="仿宋" w:cs="仿宋"/>
                <w:color w:val="auto"/>
                <w:szCs w:val="21"/>
                <w:highlight w:val="none"/>
                <w:lang w:val="en-US" w:eastAsia="zh-CN"/>
              </w:rPr>
              <w:t>医废智能收集溯源系统</w:t>
            </w:r>
          </w:p>
        </w:tc>
        <w:tc>
          <w:tcPr>
            <w:tcW w:w="2330" w:type="dxa"/>
            <w:vAlign w:val="center"/>
          </w:tcPr>
          <w:p w14:paraId="7F75ABAB">
            <w:pPr>
              <w:spacing w:line="360" w:lineRule="auto"/>
              <w:ind w:firstLine="364" w:firstLineChars="150"/>
              <w:jc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7套</w:t>
            </w:r>
          </w:p>
        </w:tc>
        <w:tc>
          <w:tcPr>
            <w:tcW w:w="2330" w:type="dxa"/>
            <w:vAlign w:val="center"/>
          </w:tcPr>
          <w:p w14:paraId="08F1AFC6">
            <w:pPr>
              <w:spacing w:line="360" w:lineRule="auto"/>
              <w:ind w:firstLine="364" w:firstLineChars="150"/>
              <w:jc w:val="both"/>
              <w:rPr>
                <w:rFonts w:hint="default" w:ascii="仿宋" w:hAnsi="仿宋" w:eastAsia="仿宋" w:cs="仿宋"/>
                <w:color w:val="auto"/>
                <w:szCs w:val="21"/>
                <w:highlight w:val="none"/>
                <w:lang w:val="en-US" w:eastAsia="zh-CN"/>
              </w:rPr>
            </w:pPr>
          </w:p>
        </w:tc>
      </w:tr>
      <w:tr w14:paraId="6FF2D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888" w:type="dxa"/>
            <w:vAlign w:val="center"/>
          </w:tcPr>
          <w:p w14:paraId="53C96161">
            <w:pPr>
              <w:spacing w:line="360" w:lineRule="auto"/>
              <w:ind w:firstLine="364" w:firstLineChars="150"/>
              <w:jc w:val="both"/>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6</w:t>
            </w:r>
          </w:p>
        </w:tc>
        <w:tc>
          <w:tcPr>
            <w:tcW w:w="3771" w:type="dxa"/>
            <w:vAlign w:val="center"/>
          </w:tcPr>
          <w:p w14:paraId="4C5289F1">
            <w:pPr>
              <w:spacing w:line="360" w:lineRule="auto"/>
              <w:jc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医疗机构环评验收报告</w:t>
            </w:r>
          </w:p>
        </w:tc>
        <w:tc>
          <w:tcPr>
            <w:tcW w:w="2330" w:type="dxa"/>
            <w:vAlign w:val="center"/>
          </w:tcPr>
          <w:p w14:paraId="6BF94221">
            <w:pPr>
              <w:spacing w:line="360" w:lineRule="auto"/>
              <w:ind w:firstLine="364" w:firstLineChars="150"/>
              <w:jc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7份</w:t>
            </w:r>
          </w:p>
        </w:tc>
        <w:tc>
          <w:tcPr>
            <w:tcW w:w="2330" w:type="dxa"/>
            <w:vAlign w:val="center"/>
          </w:tcPr>
          <w:p w14:paraId="3C38692F">
            <w:pPr>
              <w:spacing w:line="360" w:lineRule="auto"/>
              <w:jc w:val="both"/>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此项内容投标单位在报价时不再单独列项，包含在总报价中即可。</w:t>
            </w:r>
          </w:p>
        </w:tc>
      </w:tr>
    </w:tbl>
    <w:p w14:paraId="38BE3CFB">
      <w:pPr>
        <w:bidi w:val="0"/>
        <w:jc w:val="center"/>
        <w:rPr>
          <w:rFonts w:hint="default"/>
          <w:lang w:val="en-US" w:eastAsia="zh-CN"/>
        </w:rPr>
      </w:pPr>
    </w:p>
    <w:p w14:paraId="33DDC333">
      <w:pPr>
        <w:pageBreakBefore/>
        <w:numPr>
          <w:ilvl w:val="0"/>
          <w:numId w:val="0"/>
        </w:numPr>
        <w:spacing w:line="440" w:lineRule="exact"/>
        <w:jc w:val="both"/>
        <w:outlineLvl w:val="0"/>
        <w:rPr>
          <w:rFonts w:hint="eastAsia" w:ascii="仿宋" w:hAnsi="仿宋" w:eastAsia="仿宋" w:cs="仿宋"/>
          <w:b/>
          <w:bCs w:val="0"/>
          <w:color w:val="auto"/>
          <w:sz w:val="36"/>
          <w:szCs w:val="36"/>
          <w:highlight w:val="none"/>
          <w:lang w:val="en-US" w:eastAsia="zh-CN"/>
        </w:rPr>
      </w:pPr>
    </w:p>
    <w:tbl>
      <w:tblPr>
        <w:tblStyle w:val="25"/>
        <w:tblW w:w="91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93"/>
        <w:gridCol w:w="5734"/>
      </w:tblGrid>
      <w:tr w14:paraId="6AA62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7" w:type="dxa"/>
            <w:gridSpan w:val="2"/>
            <w:vAlign w:val="center"/>
          </w:tcPr>
          <w:p w14:paraId="0A199D44">
            <w:pPr>
              <w:jc w:val="center"/>
            </w:pPr>
            <w:r>
              <w:rPr>
                <w:rFonts w:hint="eastAsia" w:asciiTheme="minorEastAsia" w:hAnsiTheme="minorEastAsia" w:eastAsiaTheme="minorEastAsia" w:cstheme="minorEastAsia"/>
                <w:b/>
                <w:bCs w:val="0"/>
                <w:sz w:val="28"/>
                <w:szCs w:val="28"/>
                <w:lang w:val="en-US" w:eastAsia="zh-CN"/>
              </w:rPr>
              <w:t>一、</w:t>
            </w:r>
            <w:r>
              <w:rPr>
                <w:rFonts w:hint="eastAsia" w:asciiTheme="minorEastAsia" w:hAnsiTheme="minorEastAsia" w:eastAsiaTheme="minorEastAsia" w:cstheme="minorEastAsia"/>
                <w:b/>
                <w:bCs w:val="0"/>
                <w:sz w:val="28"/>
                <w:szCs w:val="28"/>
              </w:rPr>
              <w:t>中型医疗废物院内处置设备</w:t>
            </w:r>
          </w:p>
        </w:tc>
      </w:tr>
      <w:tr w14:paraId="53A0B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3" w:type="dxa"/>
            <w:vAlign w:val="center"/>
          </w:tcPr>
          <w:p w14:paraId="7908A34A">
            <w:pPr>
              <w:rPr>
                <w:rFonts w:hint="eastAsia" w:ascii="仿宋" w:hAnsi="仿宋" w:eastAsia="仿宋" w:cs="仿宋"/>
                <w:b/>
              </w:rPr>
            </w:pPr>
            <w:r>
              <w:rPr>
                <w:rFonts w:hint="eastAsia" w:ascii="仿宋" w:hAnsi="仿宋" w:eastAsia="仿宋" w:cs="仿宋"/>
                <w:b/>
              </w:rPr>
              <w:t>参数名称</w:t>
            </w:r>
          </w:p>
        </w:tc>
        <w:tc>
          <w:tcPr>
            <w:tcW w:w="5734" w:type="dxa"/>
            <w:vAlign w:val="center"/>
          </w:tcPr>
          <w:p w14:paraId="5168BDED">
            <w:pPr>
              <w:rPr>
                <w:rFonts w:hint="eastAsia" w:ascii="仿宋" w:hAnsi="仿宋" w:eastAsia="仿宋" w:cs="仿宋"/>
                <w:b/>
              </w:rPr>
            </w:pPr>
            <w:r>
              <w:rPr>
                <w:rFonts w:hint="eastAsia" w:ascii="仿宋" w:hAnsi="仿宋" w:eastAsia="仿宋" w:cs="仿宋"/>
                <w:b/>
              </w:rPr>
              <w:t>参数要求</w:t>
            </w:r>
          </w:p>
        </w:tc>
      </w:tr>
      <w:tr w14:paraId="54065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3" w:type="dxa"/>
            <w:vAlign w:val="center"/>
          </w:tcPr>
          <w:p w14:paraId="36B66A4B">
            <w:pPr>
              <w:rPr>
                <w:rFonts w:hint="eastAsia" w:ascii="仿宋" w:hAnsi="仿宋" w:eastAsia="仿宋" w:cs="仿宋"/>
              </w:rPr>
            </w:pPr>
            <w:r>
              <w:rPr>
                <w:rFonts w:hint="eastAsia" w:ascii="仿宋" w:hAnsi="仿宋" w:eastAsia="仿宋" w:cs="仿宋"/>
              </w:rPr>
              <w:t>整机重量</w:t>
            </w:r>
          </w:p>
        </w:tc>
        <w:tc>
          <w:tcPr>
            <w:tcW w:w="5734" w:type="dxa"/>
            <w:vAlign w:val="center"/>
          </w:tcPr>
          <w:p w14:paraId="55615586">
            <w:pPr>
              <w:rPr>
                <w:rFonts w:hint="eastAsia" w:ascii="仿宋" w:hAnsi="仿宋" w:eastAsia="仿宋" w:cs="仿宋"/>
              </w:rPr>
            </w:pPr>
            <w:r>
              <w:rPr>
                <w:rFonts w:hint="eastAsia" w:ascii="仿宋" w:hAnsi="仿宋" w:eastAsia="仿宋" w:cs="仿宋"/>
              </w:rPr>
              <w:t>≤1000KG</w:t>
            </w:r>
          </w:p>
        </w:tc>
      </w:tr>
      <w:tr w14:paraId="23C9F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3" w:type="dxa"/>
            <w:vAlign w:val="center"/>
          </w:tcPr>
          <w:p w14:paraId="60FFB64C">
            <w:pPr>
              <w:rPr>
                <w:rFonts w:hint="eastAsia" w:ascii="仿宋" w:hAnsi="仿宋" w:eastAsia="仿宋" w:cs="仿宋"/>
              </w:rPr>
            </w:pPr>
            <w:r>
              <w:rPr>
                <w:rFonts w:hint="eastAsia" w:ascii="仿宋" w:hAnsi="仿宋" w:eastAsia="仿宋" w:cs="仿宋"/>
              </w:rPr>
              <w:t>额定电压</w:t>
            </w:r>
          </w:p>
        </w:tc>
        <w:tc>
          <w:tcPr>
            <w:tcW w:w="5734" w:type="dxa"/>
            <w:vAlign w:val="center"/>
          </w:tcPr>
          <w:p w14:paraId="335AB3C2">
            <w:pPr>
              <w:rPr>
                <w:rFonts w:hint="eastAsia" w:ascii="仿宋" w:hAnsi="仿宋" w:eastAsia="仿宋" w:cs="仿宋"/>
              </w:rPr>
            </w:pPr>
            <w:r>
              <w:rPr>
                <w:rFonts w:hint="eastAsia" w:ascii="仿宋" w:hAnsi="仿宋" w:eastAsia="仿宋" w:cs="仿宋"/>
              </w:rPr>
              <w:t>AC三相380V</w:t>
            </w:r>
          </w:p>
        </w:tc>
      </w:tr>
      <w:tr w14:paraId="56FA1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3" w:type="dxa"/>
            <w:vAlign w:val="center"/>
          </w:tcPr>
          <w:p w14:paraId="14FE3ADD">
            <w:pPr>
              <w:rPr>
                <w:rFonts w:hint="eastAsia" w:ascii="仿宋" w:hAnsi="仿宋" w:eastAsia="仿宋" w:cs="仿宋"/>
              </w:rPr>
            </w:pPr>
            <w:r>
              <w:rPr>
                <w:rFonts w:hint="eastAsia" w:ascii="仿宋" w:hAnsi="仿宋" w:eastAsia="仿宋" w:cs="仿宋"/>
              </w:rPr>
              <w:t>额定功率</w:t>
            </w:r>
          </w:p>
        </w:tc>
        <w:tc>
          <w:tcPr>
            <w:tcW w:w="5734" w:type="dxa"/>
            <w:vAlign w:val="center"/>
          </w:tcPr>
          <w:p w14:paraId="6AE05691">
            <w:pPr>
              <w:rPr>
                <w:rFonts w:hint="eastAsia" w:ascii="仿宋" w:hAnsi="仿宋" w:eastAsia="仿宋" w:cs="仿宋"/>
              </w:rPr>
            </w:pPr>
            <w:r>
              <w:rPr>
                <w:rFonts w:hint="eastAsia" w:ascii="仿宋" w:hAnsi="仿宋" w:eastAsia="仿宋" w:cs="仿宋"/>
              </w:rPr>
              <w:t>≤15KW</w:t>
            </w:r>
          </w:p>
        </w:tc>
      </w:tr>
      <w:tr w14:paraId="470DC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3" w:type="dxa"/>
            <w:vAlign w:val="center"/>
          </w:tcPr>
          <w:p w14:paraId="1E7C4A96">
            <w:pPr>
              <w:rPr>
                <w:rFonts w:hint="eastAsia" w:ascii="仿宋" w:hAnsi="仿宋" w:eastAsia="仿宋" w:cs="仿宋"/>
              </w:rPr>
            </w:pPr>
            <w:r>
              <w:rPr>
                <w:rFonts w:hint="eastAsia" w:ascii="仿宋" w:hAnsi="仿宋" w:eastAsia="仿宋" w:cs="仿宋"/>
              </w:rPr>
              <w:t>投料高度</w:t>
            </w:r>
          </w:p>
        </w:tc>
        <w:tc>
          <w:tcPr>
            <w:tcW w:w="5734" w:type="dxa"/>
            <w:vAlign w:val="center"/>
          </w:tcPr>
          <w:p w14:paraId="710A7301">
            <w:pPr>
              <w:rPr>
                <w:rFonts w:hint="eastAsia" w:ascii="仿宋" w:hAnsi="仿宋" w:eastAsia="仿宋" w:cs="仿宋"/>
              </w:rPr>
            </w:pPr>
            <w:r>
              <w:rPr>
                <w:rFonts w:hint="eastAsia" w:ascii="仿宋" w:hAnsi="仿宋" w:eastAsia="仿宋" w:cs="仿宋"/>
              </w:rPr>
              <w:t>≈ 1100MM，便于投料</w:t>
            </w:r>
          </w:p>
        </w:tc>
      </w:tr>
      <w:tr w14:paraId="2A123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3" w:type="dxa"/>
            <w:vAlign w:val="center"/>
          </w:tcPr>
          <w:p w14:paraId="45252EC6">
            <w:pPr>
              <w:rPr>
                <w:rFonts w:hint="eastAsia" w:ascii="仿宋" w:hAnsi="仿宋" w:eastAsia="仿宋" w:cs="仿宋"/>
              </w:rPr>
            </w:pPr>
            <w:r>
              <w:rPr>
                <w:rFonts w:hint="eastAsia" w:ascii="仿宋" w:hAnsi="仿宋" w:eastAsia="仿宋" w:cs="仿宋"/>
              </w:rPr>
              <w:t>料仓容积</w:t>
            </w:r>
          </w:p>
        </w:tc>
        <w:tc>
          <w:tcPr>
            <w:tcW w:w="5734" w:type="dxa"/>
            <w:vAlign w:val="center"/>
          </w:tcPr>
          <w:p w14:paraId="6ADBB7FD">
            <w:pPr>
              <w:rPr>
                <w:rFonts w:hint="eastAsia" w:ascii="仿宋" w:hAnsi="仿宋" w:eastAsia="仿宋" w:cs="仿宋"/>
              </w:rPr>
            </w:pPr>
            <w:r>
              <w:rPr>
                <w:rFonts w:hint="eastAsia" w:ascii="仿宋" w:hAnsi="仿宋" w:eastAsia="仿宋" w:cs="仿宋"/>
              </w:rPr>
              <w:t>≥ 100升</w:t>
            </w:r>
          </w:p>
        </w:tc>
      </w:tr>
      <w:tr w14:paraId="10B60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3" w:type="dxa"/>
            <w:vAlign w:val="center"/>
          </w:tcPr>
          <w:p w14:paraId="70A221B5">
            <w:pPr>
              <w:rPr>
                <w:rFonts w:hint="eastAsia" w:ascii="仿宋" w:hAnsi="仿宋" w:eastAsia="仿宋" w:cs="仿宋"/>
              </w:rPr>
            </w:pPr>
            <w:r>
              <w:rPr>
                <w:rFonts w:hint="eastAsia" w:ascii="仿宋" w:hAnsi="仿宋" w:eastAsia="仿宋" w:cs="仿宋"/>
              </w:rPr>
              <w:t>破碎转速</w:t>
            </w:r>
          </w:p>
        </w:tc>
        <w:tc>
          <w:tcPr>
            <w:tcW w:w="5734" w:type="dxa"/>
            <w:vAlign w:val="center"/>
          </w:tcPr>
          <w:p w14:paraId="3732EC43">
            <w:pPr>
              <w:rPr>
                <w:rFonts w:hint="eastAsia" w:ascii="仿宋" w:hAnsi="仿宋" w:eastAsia="仿宋" w:cs="仿宋"/>
              </w:rPr>
            </w:pPr>
            <w:r>
              <w:rPr>
                <w:rFonts w:hint="eastAsia" w:ascii="仿宋" w:hAnsi="仿宋" w:eastAsia="仿宋" w:cs="仿宋"/>
              </w:rPr>
              <w:t>能实现破碎毁形效果</w:t>
            </w:r>
          </w:p>
        </w:tc>
      </w:tr>
      <w:tr w14:paraId="2FBDC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3" w:type="dxa"/>
            <w:vAlign w:val="center"/>
          </w:tcPr>
          <w:p w14:paraId="29D9D8AD">
            <w:pPr>
              <w:rPr>
                <w:rFonts w:hint="eastAsia" w:ascii="仿宋" w:hAnsi="仿宋" w:eastAsia="仿宋" w:cs="仿宋"/>
              </w:rPr>
            </w:pPr>
            <w:r>
              <w:rPr>
                <w:rFonts w:hint="eastAsia" w:ascii="仿宋" w:hAnsi="仿宋" w:eastAsia="仿宋" w:cs="仿宋"/>
              </w:rPr>
              <w:t>冷却方式</w:t>
            </w:r>
          </w:p>
        </w:tc>
        <w:tc>
          <w:tcPr>
            <w:tcW w:w="5734" w:type="dxa"/>
            <w:vAlign w:val="center"/>
          </w:tcPr>
          <w:p w14:paraId="1B3FA648">
            <w:pPr>
              <w:rPr>
                <w:rFonts w:hint="eastAsia" w:ascii="仿宋" w:hAnsi="仿宋" w:eastAsia="仿宋" w:cs="仿宋"/>
              </w:rPr>
            </w:pPr>
            <w:r>
              <w:rPr>
                <w:rFonts w:hint="eastAsia" w:ascii="仿宋" w:hAnsi="仿宋" w:eastAsia="仿宋" w:cs="仿宋"/>
              </w:rPr>
              <w:t>水冷或风冷等常用方法</w:t>
            </w:r>
          </w:p>
        </w:tc>
      </w:tr>
      <w:tr w14:paraId="76F9E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3" w:type="dxa"/>
            <w:vAlign w:val="center"/>
          </w:tcPr>
          <w:p w14:paraId="20C7271D">
            <w:pPr>
              <w:rPr>
                <w:rFonts w:hint="eastAsia" w:ascii="仿宋" w:hAnsi="仿宋" w:eastAsia="仿宋" w:cs="仿宋"/>
              </w:rPr>
            </w:pPr>
            <w:r>
              <w:rPr>
                <w:rFonts w:hint="eastAsia" w:ascii="仿宋" w:hAnsi="仿宋" w:eastAsia="仿宋" w:cs="仿宋"/>
              </w:rPr>
              <w:t>通讯端口</w:t>
            </w:r>
          </w:p>
        </w:tc>
        <w:tc>
          <w:tcPr>
            <w:tcW w:w="5734" w:type="dxa"/>
            <w:vAlign w:val="center"/>
          </w:tcPr>
          <w:p w14:paraId="5D4015DC">
            <w:pPr>
              <w:rPr>
                <w:rFonts w:hint="eastAsia" w:ascii="仿宋" w:hAnsi="仿宋" w:eastAsia="仿宋" w:cs="仿宋"/>
              </w:rPr>
            </w:pPr>
            <w:r>
              <w:rPr>
                <w:rFonts w:hint="eastAsia" w:ascii="仿宋" w:hAnsi="仿宋" w:eastAsia="仿宋" w:cs="仿宋"/>
              </w:rPr>
              <w:t>以太网</w:t>
            </w:r>
          </w:p>
        </w:tc>
      </w:tr>
      <w:tr w14:paraId="58AD2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3" w:type="dxa"/>
            <w:vAlign w:val="center"/>
          </w:tcPr>
          <w:p w14:paraId="7A7CB74C">
            <w:pPr>
              <w:rPr>
                <w:rFonts w:hint="eastAsia" w:ascii="仿宋" w:hAnsi="仿宋" w:eastAsia="仿宋" w:cs="仿宋"/>
              </w:rPr>
            </w:pPr>
            <w:r>
              <w:rPr>
                <w:rFonts w:hint="eastAsia" w:ascii="仿宋" w:hAnsi="仿宋" w:eastAsia="仿宋" w:cs="仿宋"/>
              </w:rPr>
              <w:t>通讯协议</w:t>
            </w:r>
          </w:p>
        </w:tc>
        <w:tc>
          <w:tcPr>
            <w:tcW w:w="5734" w:type="dxa"/>
            <w:vAlign w:val="center"/>
          </w:tcPr>
          <w:p w14:paraId="13F10C46">
            <w:pPr>
              <w:rPr>
                <w:rFonts w:hint="eastAsia" w:ascii="仿宋" w:hAnsi="仿宋" w:eastAsia="仿宋" w:cs="仿宋"/>
              </w:rPr>
            </w:pPr>
            <w:r>
              <w:rPr>
                <w:rFonts w:hint="eastAsia" w:ascii="仿宋" w:hAnsi="仿宋" w:eastAsia="仿宋" w:cs="仿宋"/>
              </w:rPr>
              <w:t>MQTT3.1、MQTT3.1.1协议</w:t>
            </w:r>
          </w:p>
        </w:tc>
      </w:tr>
      <w:tr w14:paraId="6AE80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3" w:type="dxa"/>
            <w:vAlign w:val="center"/>
          </w:tcPr>
          <w:p w14:paraId="29680349">
            <w:pPr>
              <w:rPr>
                <w:rFonts w:hint="eastAsia" w:ascii="仿宋" w:hAnsi="仿宋" w:eastAsia="仿宋" w:cs="仿宋"/>
              </w:rPr>
            </w:pPr>
            <w:r>
              <w:rPr>
                <w:rFonts w:hint="eastAsia" w:ascii="仿宋" w:hAnsi="仿宋" w:eastAsia="仿宋" w:cs="仿宋"/>
              </w:rPr>
              <w:t>数据传输格式</w:t>
            </w:r>
          </w:p>
        </w:tc>
        <w:tc>
          <w:tcPr>
            <w:tcW w:w="5734" w:type="dxa"/>
            <w:vAlign w:val="center"/>
          </w:tcPr>
          <w:p w14:paraId="5E3D5EB9">
            <w:pPr>
              <w:rPr>
                <w:rFonts w:hint="eastAsia" w:ascii="仿宋" w:hAnsi="仿宋" w:eastAsia="仿宋" w:cs="仿宋"/>
              </w:rPr>
            </w:pPr>
            <w:r>
              <w:rPr>
                <w:rFonts w:hint="eastAsia" w:ascii="仿宋" w:hAnsi="仿宋" w:eastAsia="仿宋" w:cs="仿宋"/>
              </w:rPr>
              <w:t>JSON</w:t>
            </w:r>
          </w:p>
        </w:tc>
      </w:tr>
      <w:tr w14:paraId="63B2E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3" w:type="dxa"/>
            <w:vAlign w:val="center"/>
          </w:tcPr>
          <w:p w14:paraId="06F41759">
            <w:pPr>
              <w:rPr>
                <w:rFonts w:hint="eastAsia" w:ascii="仿宋" w:hAnsi="仿宋" w:eastAsia="仿宋" w:cs="仿宋"/>
                <w:color w:val="auto"/>
                <w:highlight w:val="none"/>
              </w:rPr>
            </w:pPr>
            <w:r>
              <w:rPr>
                <w:rFonts w:hint="eastAsia" w:ascii="仿宋" w:hAnsi="仿宋" w:eastAsia="仿宋" w:cs="仿宋"/>
                <w:color w:val="auto"/>
                <w:highlight w:val="none"/>
              </w:rPr>
              <w:t>字符串编码</w:t>
            </w:r>
          </w:p>
        </w:tc>
        <w:tc>
          <w:tcPr>
            <w:tcW w:w="5734" w:type="dxa"/>
            <w:vAlign w:val="center"/>
          </w:tcPr>
          <w:p w14:paraId="4D3877B4">
            <w:pPr>
              <w:rPr>
                <w:rFonts w:hint="eastAsia" w:ascii="仿宋" w:hAnsi="仿宋" w:eastAsia="仿宋" w:cs="仿宋"/>
                <w:color w:val="auto"/>
                <w:highlight w:val="none"/>
              </w:rPr>
            </w:pPr>
            <w:r>
              <w:rPr>
                <w:rFonts w:hint="eastAsia" w:ascii="仿宋" w:hAnsi="仿宋" w:eastAsia="仿宋" w:cs="仿宋"/>
                <w:color w:val="auto"/>
                <w:highlight w:val="none"/>
              </w:rPr>
              <w:t>UFT-8</w:t>
            </w:r>
          </w:p>
        </w:tc>
      </w:tr>
      <w:tr w14:paraId="54AC9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3" w:type="dxa"/>
            <w:vAlign w:val="center"/>
          </w:tcPr>
          <w:p w14:paraId="029CEAFC">
            <w:pPr>
              <w:rPr>
                <w:rFonts w:hint="eastAsia" w:ascii="仿宋" w:hAnsi="仿宋" w:eastAsia="仿宋" w:cs="仿宋"/>
              </w:rPr>
            </w:pPr>
            <w:r>
              <w:rPr>
                <w:rFonts w:hint="eastAsia" w:ascii="仿宋" w:hAnsi="仿宋" w:eastAsia="仿宋" w:cs="仿宋"/>
              </w:rPr>
              <w:t>销毁方法</w:t>
            </w:r>
          </w:p>
        </w:tc>
        <w:tc>
          <w:tcPr>
            <w:tcW w:w="5734" w:type="dxa"/>
            <w:vAlign w:val="center"/>
          </w:tcPr>
          <w:p w14:paraId="537FFF5E">
            <w:pPr>
              <w:rPr>
                <w:rFonts w:hint="eastAsia" w:ascii="仿宋" w:hAnsi="仿宋" w:eastAsia="仿宋" w:cs="仿宋"/>
              </w:rPr>
            </w:pPr>
            <w:r>
              <w:rPr>
                <w:rFonts w:hint="eastAsia" w:ascii="仿宋" w:hAnsi="仿宋" w:eastAsia="仿宋" w:cs="仿宋"/>
              </w:rPr>
              <w:t>采用合金钢片等物理切割粉碎</w:t>
            </w:r>
          </w:p>
        </w:tc>
      </w:tr>
      <w:tr w14:paraId="16B97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3" w:type="dxa"/>
            <w:vAlign w:val="center"/>
          </w:tcPr>
          <w:p w14:paraId="62DD6DE7">
            <w:pPr>
              <w:rPr>
                <w:rFonts w:hint="eastAsia" w:ascii="仿宋" w:hAnsi="仿宋" w:eastAsia="仿宋" w:cs="仿宋"/>
              </w:rPr>
            </w:pPr>
            <w:r>
              <w:rPr>
                <w:rFonts w:hint="eastAsia" w:ascii="仿宋" w:hAnsi="仿宋" w:eastAsia="仿宋" w:cs="仿宋"/>
              </w:rPr>
              <w:t>自清洁能力</w:t>
            </w:r>
          </w:p>
        </w:tc>
        <w:tc>
          <w:tcPr>
            <w:tcW w:w="5734" w:type="dxa"/>
            <w:vAlign w:val="center"/>
          </w:tcPr>
          <w:p w14:paraId="5B882F8E">
            <w:pPr>
              <w:rPr>
                <w:rFonts w:hint="eastAsia" w:ascii="仿宋" w:hAnsi="仿宋" w:eastAsia="仿宋" w:cs="仿宋"/>
              </w:rPr>
            </w:pPr>
            <w:r>
              <w:rPr>
                <w:rFonts w:hint="eastAsia" w:ascii="仿宋" w:hAnsi="仿宋" w:eastAsia="仿宋" w:cs="仿宋"/>
              </w:rPr>
              <w:t>包括内桶壁及上盖内壁</w:t>
            </w:r>
          </w:p>
        </w:tc>
      </w:tr>
      <w:tr w14:paraId="3684C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3" w:type="dxa"/>
            <w:vAlign w:val="center"/>
          </w:tcPr>
          <w:p w14:paraId="173E9BBC">
            <w:pPr>
              <w:rPr>
                <w:rFonts w:hint="eastAsia" w:ascii="仿宋" w:hAnsi="仿宋" w:eastAsia="仿宋" w:cs="仿宋"/>
              </w:rPr>
            </w:pPr>
            <w:r>
              <w:rPr>
                <w:rFonts w:hint="eastAsia" w:ascii="仿宋" w:hAnsi="仿宋" w:eastAsia="仿宋" w:cs="仿宋"/>
              </w:rPr>
              <w:t>安全保护措施</w:t>
            </w:r>
          </w:p>
        </w:tc>
        <w:tc>
          <w:tcPr>
            <w:tcW w:w="5734" w:type="dxa"/>
            <w:vAlign w:val="center"/>
          </w:tcPr>
          <w:p w14:paraId="4B46CA65">
            <w:pPr>
              <w:rPr>
                <w:rFonts w:hint="eastAsia" w:ascii="仿宋" w:hAnsi="仿宋" w:eastAsia="仿宋" w:cs="仿宋"/>
              </w:rPr>
            </w:pPr>
            <w:r>
              <w:rPr>
                <w:rFonts w:hint="eastAsia" w:ascii="仿宋" w:hAnsi="仿宋" w:eastAsia="仿宋" w:cs="仿宋"/>
              </w:rPr>
              <w:t>过载保护、漏电保护、热超敏反应等保护</w:t>
            </w:r>
          </w:p>
        </w:tc>
      </w:tr>
      <w:tr w14:paraId="59298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3" w:type="dxa"/>
            <w:vAlign w:val="center"/>
          </w:tcPr>
          <w:p w14:paraId="3188B331">
            <w:pPr>
              <w:rPr>
                <w:rFonts w:hint="eastAsia" w:ascii="仿宋" w:hAnsi="仿宋" w:eastAsia="仿宋" w:cs="仿宋"/>
              </w:rPr>
            </w:pPr>
            <w:r>
              <w:rPr>
                <w:rFonts w:hint="eastAsia" w:ascii="仿宋" w:hAnsi="仿宋" w:eastAsia="仿宋" w:cs="仿宋"/>
              </w:rPr>
              <w:t>刀片材料</w:t>
            </w:r>
          </w:p>
        </w:tc>
        <w:tc>
          <w:tcPr>
            <w:tcW w:w="5734" w:type="dxa"/>
            <w:vAlign w:val="center"/>
          </w:tcPr>
          <w:p w14:paraId="502576D6">
            <w:pPr>
              <w:rPr>
                <w:rFonts w:hint="eastAsia" w:ascii="仿宋" w:hAnsi="仿宋" w:eastAsia="仿宋" w:cs="仿宋"/>
              </w:rPr>
            </w:pPr>
            <w:r>
              <w:rPr>
                <w:rFonts w:hint="eastAsia" w:ascii="仿宋" w:hAnsi="仿宋" w:eastAsia="仿宋" w:cs="仿宋"/>
              </w:rPr>
              <w:t>优质合金钢刀片</w:t>
            </w:r>
          </w:p>
        </w:tc>
      </w:tr>
      <w:tr w14:paraId="18C15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3" w:type="dxa"/>
            <w:vAlign w:val="center"/>
          </w:tcPr>
          <w:p w14:paraId="41DC9174">
            <w:pPr>
              <w:rPr>
                <w:rFonts w:hint="eastAsia" w:ascii="仿宋" w:hAnsi="仿宋" w:eastAsia="仿宋" w:cs="仿宋"/>
              </w:rPr>
            </w:pPr>
            <w:r>
              <w:rPr>
                <w:rFonts w:hint="eastAsia" w:ascii="仿宋" w:hAnsi="仿宋" w:eastAsia="仿宋" w:cs="仿宋"/>
              </w:rPr>
              <w:t>★ 就地无害化处置技术</w:t>
            </w:r>
          </w:p>
        </w:tc>
        <w:tc>
          <w:tcPr>
            <w:tcW w:w="5734" w:type="dxa"/>
            <w:vAlign w:val="center"/>
          </w:tcPr>
          <w:p w14:paraId="657E3605">
            <w:pPr>
              <w:rPr>
                <w:rFonts w:hint="eastAsia" w:ascii="仿宋" w:hAnsi="仿宋" w:eastAsia="仿宋" w:cs="仿宋"/>
              </w:rPr>
            </w:pPr>
            <w:r>
              <w:rPr>
                <w:rFonts w:hint="eastAsia" w:ascii="仿宋" w:hAnsi="仿宋" w:eastAsia="仿宋" w:cs="仿宋"/>
              </w:rPr>
              <w:t>国标常压微波消毒法</w:t>
            </w:r>
          </w:p>
        </w:tc>
      </w:tr>
      <w:tr w14:paraId="532F4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3" w:type="dxa"/>
            <w:vAlign w:val="center"/>
          </w:tcPr>
          <w:p w14:paraId="4865F44A">
            <w:pPr>
              <w:rPr>
                <w:rFonts w:hint="eastAsia" w:ascii="仿宋" w:hAnsi="仿宋" w:eastAsia="仿宋" w:cs="仿宋"/>
              </w:rPr>
            </w:pPr>
            <w:r>
              <w:rPr>
                <w:rFonts w:hint="eastAsia" w:ascii="仿宋" w:hAnsi="仿宋" w:eastAsia="仿宋" w:cs="仿宋"/>
              </w:rPr>
              <w:t>消杀能力</w:t>
            </w:r>
          </w:p>
        </w:tc>
        <w:tc>
          <w:tcPr>
            <w:tcW w:w="5734" w:type="dxa"/>
            <w:vAlign w:val="center"/>
          </w:tcPr>
          <w:p w14:paraId="4DD0E106">
            <w:pPr>
              <w:rPr>
                <w:rFonts w:hint="eastAsia" w:ascii="仿宋" w:hAnsi="仿宋" w:eastAsia="仿宋" w:cs="仿宋"/>
              </w:rPr>
            </w:pPr>
            <w:r>
              <w:rPr>
                <w:rFonts w:hint="eastAsia" w:ascii="仿宋" w:hAnsi="仿宋" w:eastAsia="仿宋" w:cs="仿宋"/>
              </w:rPr>
              <w:t>满足国标≥99.99%的专业第三方报告（消杀金标菌枯草黑色变种芽孢杆菌）</w:t>
            </w:r>
          </w:p>
        </w:tc>
      </w:tr>
      <w:tr w14:paraId="24D23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3" w:type="dxa"/>
            <w:vAlign w:val="center"/>
          </w:tcPr>
          <w:p w14:paraId="121BD243">
            <w:pPr>
              <w:rPr>
                <w:rFonts w:hint="eastAsia" w:ascii="仿宋" w:hAnsi="仿宋" w:eastAsia="仿宋" w:cs="仿宋"/>
              </w:rPr>
            </w:pPr>
            <w:r>
              <w:rPr>
                <w:rFonts w:hint="eastAsia" w:ascii="仿宋" w:hAnsi="仿宋" w:eastAsia="仿宋" w:cs="仿宋"/>
              </w:rPr>
              <w:t>★ 微波泄露管控</w:t>
            </w:r>
          </w:p>
        </w:tc>
        <w:tc>
          <w:tcPr>
            <w:tcW w:w="5734" w:type="dxa"/>
            <w:vAlign w:val="center"/>
          </w:tcPr>
          <w:p w14:paraId="5597F6FA">
            <w:pPr>
              <w:rPr>
                <w:rFonts w:hint="eastAsia" w:ascii="仿宋" w:hAnsi="仿宋" w:eastAsia="仿宋" w:cs="仿宋"/>
              </w:rPr>
            </w:pPr>
            <w:r>
              <w:rPr>
                <w:rFonts w:hint="eastAsia" w:ascii="仿宋" w:hAnsi="仿宋" w:eastAsia="仿宋" w:cs="仿宋"/>
              </w:rPr>
              <w:t>有微波泄漏监测装置，且符合国标要求</w:t>
            </w:r>
          </w:p>
        </w:tc>
      </w:tr>
      <w:tr w14:paraId="69AC9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3" w:type="dxa"/>
            <w:vAlign w:val="center"/>
          </w:tcPr>
          <w:p w14:paraId="02524F23">
            <w:pPr>
              <w:rPr>
                <w:rFonts w:hint="eastAsia" w:ascii="仿宋" w:hAnsi="仿宋" w:eastAsia="仿宋" w:cs="仿宋"/>
              </w:rPr>
            </w:pPr>
            <w:r>
              <w:rPr>
                <w:rFonts w:hint="eastAsia" w:ascii="仿宋" w:hAnsi="仿宋" w:eastAsia="仿宋" w:cs="仿宋"/>
              </w:rPr>
              <w:t>处置能力</w:t>
            </w:r>
          </w:p>
        </w:tc>
        <w:tc>
          <w:tcPr>
            <w:tcW w:w="5734" w:type="dxa"/>
            <w:vAlign w:val="center"/>
          </w:tcPr>
          <w:p w14:paraId="211E4CA8">
            <w:pPr>
              <w:rPr>
                <w:rFonts w:hint="eastAsia" w:ascii="仿宋" w:hAnsi="仿宋" w:eastAsia="仿宋" w:cs="仿宋"/>
              </w:rPr>
            </w:pPr>
            <w:r>
              <w:rPr>
                <w:rFonts w:hint="eastAsia" w:ascii="仿宋" w:hAnsi="仿宋" w:eastAsia="仿宋" w:cs="仿宋"/>
              </w:rPr>
              <w:t>约10公斤每小时</w:t>
            </w:r>
          </w:p>
        </w:tc>
      </w:tr>
      <w:tr w14:paraId="500E5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3" w:type="dxa"/>
            <w:vAlign w:val="center"/>
          </w:tcPr>
          <w:p w14:paraId="554447AF">
            <w:pPr>
              <w:rPr>
                <w:rFonts w:hint="eastAsia" w:ascii="仿宋" w:hAnsi="仿宋" w:eastAsia="仿宋" w:cs="仿宋"/>
              </w:rPr>
            </w:pPr>
            <w:r>
              <w:rPr>
                <w:rFonts w:hint="eastAsia" w:ascii="仿宋" w:hAnsi="仿宋" w:eastAsia="仿宋" w:cs="仿宋"/>
              </w:rPr>
              <w:t>废物减容率</w:t>
            </w:r>
          </w:p>
        </w:tc>
        <w:tc>
          <w:tcPr>
            <w:tcW w:w="5734" w:type="dxa"/>
            <w:vAlign w:val="center"/>
          </w:tcPr>
          <w:p w14:paraId="4443D9E2">
            <w:pPr>
              <w:rPr>
                <w:rFonts w:hint="eastAsia" w:ascii="仿宋" w:hAnsi="仿宋" w:eastAsia="仿宋" w:cs="仿宋"/>
              </w:rPr>
            </w:pPr>
            <w:r>
              <w:rPr>
                <w:rFonts w:hint="eastAsia" w:ascii="仿宋" w:hAnsi="仿宋" w:eastAsia="仿宋" w:cs="仿宋"/>
              </w:rPr>
              <w:t>满足行业水平的≥80%</w:t>
            </w:r>
          </w:p>
        </w:tc>
      </w:tr>
      <w:tr w14:paraId="27069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3" w:type="dxa"/>
            <w:vAlign w:val="center"/>
          </w:tcPr>
          <w:p w14:paraId="0D0B2616">
            <w:pPr>
              <w:rPr>
                <w:rFonts w:hint="eastAsia" w:ascii="仿宋" w:hAnsi="仿宋" w:eastAsia="仿宋" w:cs="仿宋"/>
              </w:rPr>
            </w:pPr>
            <w:r>
              <w:rPr>
                <w:rFonts w:hint="eastAsia" w:ascii="仿宋" w:hAnsi="仿宋" w:eastAsia="仿宋" w:cs="仿宋"/>
              </w:rPr>
              <w:t>★ 处置医废种类</w:t>
            </w:r>
          </w:p>
        </w:tc>
        <w:tc>
          <w:tcPr>
            <w:tcW w:w="5734" w:type="dxa"/>
            <w:vAlign w:val="center"/>
          </w:tcPr>
          <w:p w14:paraId="28A079C7">
            <w:pPr>
              <w:rPr>
                <w:rFonts w:hint="eastAsia" w:ascii="仿宋" w:hAnsi="仿宋" w:eastAsia="仿宋" w:cs="仿宋"/>
              </w:rPr>
            </w:pPr>
            <w:r>
              <w:rPr>
                <w:rFonts w:hint="eastAsia" w:ascii="仿宋" w:hAnsi="仿宋" w:eastAsia="仿宋" w:cs="仿宋"/>
              </w:rPr>
              <w:t>损伤性、感染性、病理性，符合《国家危险废物名录》中的豁免清单要求。</w:t>
            </w:r>
          </w:p>
        </w:tc>
      </w:tr>
      <w:tr w14:paraId="45FF4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3" w:type="dxa"/>
            <w:vAlign w:val="center"/>
          </w:tcPr>
          <w:p w14:paraId="1C588EA2">
            <w:pPr>
              <w:rPr>
                <w:rFonts w:hint="eastAsia" w:ascii="仿宋" w:hAnsi="仿宋" w:eastAsia="仿宋" w:cs="仿宋"/>
              </w:rPr>
            </w:pPr>
            <w:r>
              <w:rPr>
                <w:rFonts w:hint="eastAsia" w:ascii="仿宋" w:hAnsi="仿宋" w:eastAsia="仿宋" w:cs="仿宋"/>
              </w:rPr>
              <w:t>数据传输能力</w:t>
            </w:r>
          </w:p>
        </w:tc>
        <w:tc>
          <w:tcPr>
            <w:tcW w:w="5734" w:type="dxa"/>
            <w:vAlign w:val="center"/>
          </w:tcPr>
          <w:p w14:paraId="18123D5C">
            <w:pPr>
              <w:rPr>
                <w:rFonts w:hint="eastAsia" w:ascii="仿宋" w:hAnsi="仿宋" w:eastAsia="仿宋" w:cs="仿宋"/>
              </w:rPr>
            </w:pPr>
            <w:r>
              <w:rPr>
                <w:rFonts w:hint="eastAsia" w:ascii="仿宋" w:hAnsi="仿宋" w:eastAsia="仿宋" w:cs="仿宋"/>
              </w:rPr>
              <w:t>有</w:t>
            </w:r>
          </w:p>
        </w:tc>
      </w:tr>
      <w:tr w14:paraId="39257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3" w:type="dxa"/>
            <w:vAlign w:val="center"/>
          </w:tcPr>
          <w:p w14:paraId="7C3F555D">
            <w:pPr>
              <w:rPr>
                <w:rFonts w:hint="eastAsia" w:ascii="仿宋" w:hAnsi="仿宋" w:eastAsia="仿宋" w:cs="仿宋"/>
              </w:rPr>
            </w:pPr>
            <w:r>
              <w:rPr>
                <w:rFonts w:hint="eastAsia" w:ascii="仿宋" w:hAnsi="仿宋" w:eastAsia="仿宋" w:cs="仿宋"/>
              </w:rPr>
              <w:t>远程监管功能</w:t>
            </w:r>
          </w:p>
        </w:tc>
        <w:tc>
          <w:tcPr>
            <w:tcW w:w="5734" w:type="dxa"/>
            <w:vAlign w:val="center"/>
          </w:tcPr>
          <w:p w14:paraId="4501FCC3">
            <w:pPr>
              <w:rPr>
                <w:rFonts w:hint="eastAsia" w:ascii="仿宋" w:hAnsi="仿宋" w:eastAsia="仿宋" w:cs="仿宋"/>
              </w:rPr>
            </w:pPr>
            <w:r>
              <w:rPr>
                <w:rFonts w:hint="eastAsia" w:ascii="仿宋" w:hAnsi="仿宋" w:eastAsia="仿宋" w:cs="仿宋"/>
              </w:rPr>
              <w:t>具备</w:t>
            </w:r>
          </w:p>
        </w:tc>
      </w:tr>
      <w:tr w14:paraId="48556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3" w:type="dxa"/>
            <w:vAlign w:val="center"/>
          </w:tcPr>
          <w:p w14:paraId="36EB4455">
            <w:pPr>
              <w:rPr>
                <w:rFonts w:hint="eastAsia" w:ascii="仿宋" w:hAnsi="仿宋" w:eastAsia="仿宋" w:cs="仿宋"/>
              </w:rPr>
            </w:pPr>
            <w:r>
              <w:rPr>
                <w:rFonts w:hint="eastAsia" w:ascii="仿宋" w:hAnsi="仿宋" w:eastAsia="仿宋" w:cs="仿宋"/>
              </w:rPr>
              <w:t>数据信息化平台</w:t>
            </w:r>
          </w:p>
        </w:tc>
        <w:tc>
          <w:tcPr>
            <w:tcW w:w="5734" w:type="dxa"/>
            <w:vAlign w:val="center"/>
          </w:tcPr>
          <w:p w14:paraId="340C0DEF">
            <w:pPr>
              <w:rPr>
                <w:rFonts w:hint="eastAsia" w:ascii="仿宋" w:hAnsi="仿宋" w:eastAsia="仿宋" w:cs="仿宋"/>
              </w:rPr>
            </w:pPr>
            <w:r>
              <w:rPr>
                <w:rFonts w:hint="eastAsia" w:ascii="仿宋" w:hAnsi="仿宋" w:eastAsia="仿宋" w:cs="仿宋"/>
              </w:rPr>
              <w:t>具备</w:t>
            </w:r>
          </w:p>
        </w:tc>
      </w:tr>
      <w:tr w14:paraId="39DA1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3" w:type="dxa"/>
            <w:vAlign w:val="center"/>
          </w:tcPr>
          <w:p w14:paraId="620F9704">
            <w:pPr>
              <w:rPr>
                <w:rFonts w:hint="eastAsia" w:ascii="仿宋" w:hAnsi="仿宋" w:eastAsia="仿宋" w:cs="仿宋"/>
              </w:rPr>
            </w:pPr>
            <w:r>
              <w:rPr>
                <w:rFonts w:hint="eastAsia" w:ascii="仿宋" w:hAnsi="仿宋" w:eastAsia="仿宋" w:cs="仿宋"/>
              </w:rPr>
              <w:t>设备知识产权</w:t>
            </w:r>
          </w:p>
        </w:tc>
        <w:tc>
          <w:tcPr>
            <w:tcW w:w="5734" w:type="dxa"/>
            <w:vAlign w:val="center"/>
          </w:tcPr>
          <w:p w14:paraId="090C3CA3">
            <w:pPr>
              <w:rPr>
                <w:rFonts w:hint="eastAsia" w:ascii="仿宋" w:hAnsi="仿宋" w:eastAsia="仿宋" w:cs="仿宋"/>
              </w:rPr>
            </w:pPr>
            <w:r>
              <w:rPr>
                <w:rFonts w:hint="eastAsia" w:ascii="仿宋" w:hAnsi="仿宋" w:eastAsia="仿宋" w:cs="仿宋"/>
              </w:rPr>
              <w:t>国产优先</w:t>
            </w:r>
          </w:p>
        </w:tc>
      </w:tr>
      <w:tr w14:paraId="4EBA5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3" w:type="dxa"/>
            <w:vAlign w:val="center"/>
          </w:tcPr>
          <w:p w14:paraId="79044D13">
            <w:pPr>
              <w:rPr>
                <w:rFonts w:hint="eastAsia" w:ascii="仿宋" w:hAnsi="仿宋" w:eastAsia="仿宋" w:cs="仿宋"/>
              </w:rPr>
            </w:pPr>
            <w:r>
              <w:rPr>
                <w:rFonts w:hint="eastAsia" w:ascii="仿宋" w:hAnsi="仿宋" w:eastAsia="仿宋" w:cs="仿宋"/>
              </w:rPr>
              <w:t>★ 废水排放</w:t>
            </w:r>
          </w:p>
        </w:tc>
        <w:tc>
          <w:tcPr>
            <w:tcW w:w="5734" w:type="dxa"/>
            <w:vAlign w:val="center"/>
          </w:tcPr>
          <w:p w14:paraId="6EC879D7">
            <w:pPr>
              <w:rPr>
                <w:rFonts w:hint="eastAsia" w:ascii="仿宋" w:hAnsi="仿宋" w:eastAsia="仿宋" w:cs="仿宋"/>
              </w:rPr>
            </w:pPr>
            <w:r>
              <w:rPr>
                <w:rFonts w:hint="eastAsia" w:ascii="仿宋" w:hAnsi="仿宋" w:eastAsia="仿宋" w:cs="仿宋"/>
              </w:rPr>
              <w:t>不允许</w:t>
            </w:r>
          </w:p>
        </w:tc>
      </w:tr>
      <w:tr w14:paraId="424F6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3" w:type="dxa"/>
            <w:vAlign w:val="center"/>
          </w:tcPr>
          <w:p w14:paraId="58CB5E17">
            <w:pPr>
              <w:rPr>
                <w:rFonts w:hint="eastAsia" w:ascii="仿宋" w:hAnsi="仿宋" w:eastAsia="仿宋" w:cs="仿宋"/>
              </w:rPr>
            </w:pPr>
            <w:r>
              <w:rPr>
                <w:rFonts w:hint="eastAsia" w:ascii="仿宋" w:hAnsi="仿宋" w:eastAsia="仿宋" w:cs="仿宋"/>
              </w:rPr>
              <w:t>运行方式</w:t>
            </w:r>
          </w:p>
        </w:tc>
        <w:tc>
          <w:tcPr>
            <w:tcW w:w="5734" w:type="dxa"/>
            <w:vAlign w:val="center"/>
          </w:tcPr>
          <w:p w14:paraId="4BFA21B2">
            <w:pPr>
              <w:rPr>
                <w:rFonts w:hint="eastAsia" w:ascii="仿宋" w:hAnsi="仿宋" w:eastAsia="仿宋" w:cs="仿宋"/>
              </w:rPr>
            </w:pPr>
            <w:r>
              <w:rPr>
                <w:rFonts w:hint="eastAsia" w:ascii="仿宋" w:hAnsi="仿宋" w:eastAsia="仿宋" w:cs="仿宋"/>
              </w:rPr>
              <w:t>操作简便，智能运行</w:t>
            </w:r>
          </w:p>
        </w:tc>
      </w:tr>
      <w:tr w14:paraId="6BB0F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3" w:type="dxa"/>
            <w:vAlign w:val="center"/>
          </w:tcPr>
          <w:p w14:paraId="7BAB7B14">
            <w:pPr>
              <w:rPr>
                <w:rFonts w:hint="eastAsia" w:ascii="仿宋" w:hAnsi="仿宋" w:eastAsia="仿宋" w:cs="仿宋"/>
              </w:rPr>
            </w:pPr>
            <w:r>
              <w:rPr>
                <w:rFonts w:hint="eastAsia" w:ascii="仿宋" w:hAnsi="仿宋" w:eastAsia="仿宋" w:cs="仿宋"/>
              </w:rPr>
              <w:t>操作显示屏大小（英寸）</w:t>
            </w:r>
          </w:p>
        </w:tc>
        <w:tc>
          <w:tcPr>
            <w:tcW w:w="5734" w:type="dxa"/>
            <w:vAlign w:val="center"/>
          </w:tcPr>
          <w:p w14:paraId="79B32190">
            <w:pPr>
              <w:rPr>
                <w:rFonts w:hint="eastAsia" w:ascii="仿宋" w:hAnsi="仿宋" w:eastAsia="仿宋" w:cs="仿宋"/>
              </w:rPr>
            </w:pPr>
            <w:r>
              <w:rPr>
                <w:rFonts w:hint="eastAsia" w:ascii="仿宋" w:hAnsi="仿宋" w:eastAsia="仿宋" w:cs="仿宋"/>
              </w:rPr>
              <w:t>不低于6英寸</w:t>
            </w:r>
          </w:p>
        </w:tc>
      </w:tr>
      <w:tr w14:paraId="257F9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3" w:type="dxa"/>
            <w:vAlign w:val="center"/>
          </w:tcPr>
          <w:p w14:paraId="314031BE">
            <w:pPr>
              <w:rPr>
                <w:rFonts w:hint="eastAsia" w:ascii="仿宋" w:hAnsi="仿宋" w:eastAsia="仿宋" w:cs="仿宋"/>
              </w:rPr>
            </w:pPr>
            <w:r>
              <w:rPr>
                <w:rFonts w:hint="eastAsia" w:ascii="仿宋" w:hAnsi="仿宋" w:eastAsia="仿宋" w:cs="仿宋"/>
              </w:rPr>
              <w:t>显示功能</w:t>
            </w:r>
          </w:p>
        </w:tc>
        <w:tc>
          <w:tcPr>
            <w:tcW w:w="5734" w:type="dxa"/>
            <w:vAlign w:val="center"/>
          </w:tcPr>
          <w:p w14:paraId="77089CB1">
            <w:pPr>
              <w:rPr>
                <w:rFonts w:hint="eastAsia" w:ascii="仿宋" w:hAnsi="仿宋" w:eastAsia="仿宋" w:cs="仿宋"/>
              </w:rPr>
            </w:pPr>
            <w:r>
              <w:rPr>
                <w:rFonts w:hint="eastAsia" w:ascii="仿宋" w:hAnsi="仿宋" w:eastAsia="仿宋" w:cs="仿宋"/>
              </w:rPr>
              <w:t>处置进度 、 实时参数（温度，时间等） 、 对任何异常功能的警报 等</w:t>
            </w:r>
          </w:p>
        </w:tc>
      </w:tr>
    </w:tbl>
    <w:p w14:paraId="170AA620">
      <w:pPr>
        <w:pStyle w:val="8"/>
        <w:keepNext w:val="0"/>
        <w:keepLines w:val="0"/>
        <w:pageBreakBefore w:val="0"/>
        <w:widowControl w:val="0"/>
        <w:numPr>
          <w:ilvl w:val="0"/>
          <w:numId w:val="0"/>
        </w:numPr>
        <w:tabs>
          <w:tab w:val="left" w:pos="780"/>
        </w:tabs>
        <w:kinsoku/>
        <w:wordWrap/>
        <w:overflowPunct/>
        <w:topLinePunct w:val="0"/>
        <w:autoSpaceDE/>
        <w:autoSpaceDN/>
        <w:bidi w:val="0"/>
        <w:adjustRightInd/>
        <w:snapToGrid/>
        <w:spacing w:line="240" w:lineRule="auto"/>
        <w:ind w:left="420" w:leftChars="0"/>
        <w:textAlignment w:val="auto"/>
        <w:rPr>
          <w:rFonts w:hint="eastAsia" w:ascii="仿宋" w:hAnsi="仿宋" w:eastAsia="仿宋" w:cs="仿宋"/>
          <w:b w:val="0"/>
          <w:bCs/>
          <w:sz w:val="18"/>
          <w:szCs w:val="18"/>
          <w:lang w:eastAsia="zh-CN"/>
        </w:rPr>
      </w:pPr>
    </w:p>
    <w:p w14:paraId="445CE066">
      <w:pPr>
        <w:pStyle w:val="8"/>
        <w:numPr>
          <w:ilvl w:val="0"/>
          <w:numId w:val="0"/>
        </w:numPr>
        <w:tabs>
          <w:tab w:val="left" w:pos="780"/>
        </w:tabs>
        <w:ind w:leftChars="0"/>
        <w:rPr>
          <w:rFonts w:hint="eastAsia" w:ascii="仿宋" w:hAnsi="仿宋" w:eastAsia="仿宋" w:cs="仿宋"/>
          <w:b w:val="0"/>
          <w:bCs/>
          <w:sz w:val="28"/>
          <w:szCs w:val="28"/>
        </w:rPr>
      </w:pPr>
    </w:p>
    <w:p w14:paraId="716E3998">
      <w:pPr>
        <w:pStyle w:val="8"/>
        <w:numPr>
          <w:ilvl w:val="0"/>
          <w:numId w:val="0"/>
        </w:numPr>
        <w:tabs>
          <w:tab w:val="left" w:pos="780"/>
        </w:tabs>
        <w:ind w:leftChars="0"/>
        <w:rPr>
          <w:rFonts w:hint="eastAsia" w:asciiTheme="minorEastAsia" w:hAnsiTheme="minorEastAsia" w:eastAsiaTheme="minorEastAsia" w:cstheme="minorEastAsia"/>
          <w:b w:val="0"/>
          <w:bCs/>
          <w:sz w:val="28"/>
          <w:szCs w:val="28"/>
        </w:rPr>
      </w:pPr>
    </w:p>
    <w:tbl>
      <w:tblPr>
        <w:tblStyle w:val="25"/>
        <w:tblW w:w="91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04"/>
        <w:gridCol w:w="5723"/>
      </w:tblGrid>
      <w:tr w14:paraId="496F6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7" w:type="dxa"/>
            <w:gridSpan w:val="2"/>
            <w:vAlign w:val="center"/>
          </w:tcPr>
          <w:p w14:paraId="372F1CB1">
            <w:pPr>
              <w:pStyle w:val="8"/>
              <w:numPr>
                <w:ilvl w:val="0"/>
                <w:numId w:val="0"/>
              </w:numPr>
              <w:tabs>
                <w:tab w:val="left" w:pos="780"/>
              </w:tabs>
              <w:ind w:leftChars="0"/>
              <w:jc w:val="center"/>
              <w:rPr>
                <w:rFonts w:hint="default" w:asciiTheme="minorEastAsia" w:hAnsiTheme="minorEastAsia" w:eastAsiaTheme="minorEastAsia" w:cstheme="minorEastAsia"/>
                <w:b w:val="0"/>
                <w:bCs/>
                <w:sz w:val="18"/>
                <w:szCs w:val="18"/>
                <w:lang w:val="en-US" w:eastAsia="zh-CN"/>
              </w:rPr>
            </w:pPr>
            <w:r>
              <w:rPr>
                <w:rFonts w:hint="eastAsia" w:asciiTheme="minorEastAsia" w:hAnsiTheme="minorEastAsia" w:eastAsiaTheme="minorEastAsia" w:cstheme="minorEastAsia"/>
                <w:b/>
                <w:bCs w:val="0"/>
                <w:sz w:val="28"/>
                <w:szCs w:val="28"/>
                <w:lang w:val="en-US" w:eastAsia="zh-CN"/>
              </w:rPr>
              <w:t>二、</w:t>
            </w:r>
            <w:r>
              <w:rPr>
                <w:rFonts w:hint="eastAsia" w:asciiTheme="minorEastAsia" w:hAnsiTheme="minorEastAsia" w:eastAsiaTheme="minorEastAsia" w:cstheme="minorEastAsia"/>
                <w:b/>
                <w:bCs w:val="0"/>
                <w:sz w:val="28"/>
                <w:szCs w:val="28"/>
              </w:rPr>
              <w:t>小型医疗废物院内处置设备</w:t>
            </w:r>
            <w:r>
              <w:rPr>
                <w:rFonts w:hint="eastAsia" w:asciiTheme="minorEastAsia" w:hAnsiTheme="minorEastAsia" w:eastAsiaTheme="minorEastAsia" w:cstheme="minorEastAsia"/>
                <w:b/>
                <w:bCs w:val="0"/>
                <w:sz w:val="28"/>
                <w:szCs w:val="28"/>
                <w:lang w:val="en-US" w:eastAsia="zh-CN"/>
              </w:rPr>
              <w:t>(核心产品)</w:t>
            </w:r>
          </w:p>
        </w:tc>
      </w:tr>
      <w:tr w14:paraId="0E787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4" w:type="dxa"/>
            <w:vAlign w:val="center"/>
          </w:tcPr>
          <w:p w14:paraId="5FFD8C0C">
            <w:pPr>
              <w:rPr>
                <w:rFonts w:hint="eastAsia" w:ascii="仿宋" w:hAnsi="仿宋" w:eastAsia="仿宋" w:cs="仿宋"/>
                <w:lang w:val="en-US" w:eastAsia="zh-CN"/>
              </w:rPr>
            </w:pPr>
            <w:r>
              <w:rPr>
                <w:rFonts w:hint="eastAsia" w:ascii="仿宋" w:hAnsi="仿宋" w:eastAsia="仿宋" w:cs="仿宋"/>
                <w:lang w:val="en-US" w:eastAsia="zh-CN"/>
              </w:rPr>
              <w:t>参数名称</w:t>
            </w:r>
          </w:p>
        </w:tc>
        <w:tc>
          <w:tcPr>
            <w:tcW w:w="5723" w:type="dxa"/>
            <w:vAlign w:val="center"/>
          </w:tcPr>
          <w:p w14:paraId="45BE172C">
            <w:pPr>
              <w:rPr>
                <w:rFonts w:hint="eastAsia" w:ascii="仿宋" w:hAnsi="仿宋" w:eastAsia="仿宋" w:cs="仿宋"/>
                <w:lang w:val="en-US" w:eastAsia="zh-CN"/>
              </w:rPr>
            </w:pPr>
            <w:r>
              <w:rPr>
                <w:rFonts w:hint="eastAsia" w:ascii="仿宋" w:hAnsi="仿宋" w:eastAsia="仿宋" w:cs="仿宋"/>
                <w:lang w:val="en-US" w:eastAsia="zh-CN"/>
              </w:rPr>
              <w:t>参数要求</w:t>
            </w:r>
          </w:p>
        </w:tc>
      </w:tr>
      <w:tr w14:paraId="1BAE7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4" w:type="dxa"/>
            <w:vAlign w:val="center"/>
          </w:tcPr>
          <w:p w14:paraId="0A430A1F">
            <w:pPr>
              <w:rPr>
                <w:rFonts w:hint="eastAsia" w:ascii="仿宋" w:hAnsi="仿宋" w:eastAsia="仿宋" w:cs="仿宋"/>
              </w:rPr>
            </w:pPr>
            <w:r>
              <w:rPr>
                <w:rFonts w:hint="eastAsia" w:ascii="仿宋" w:hAnsi="仿宋" w:eastAsia="仿宋" w:cs="仿宋"/>
                <w:lang w:val="en-US" w:eastAsia="zh-CN"/>
              </w:rPr>
              <w:t>整机重量</w:t>
            </w:r>
          </w:p>
        </w:tc>
        <w:tc>
          <w:tcPr>
            <w:tcW w:w="5723" w:type="dxa"/>
            <w:vAlign w:val="center"/>
          </w:tcPr>
          <w:p w14:paraId="4965BE7F">
            <w:pPr>
              <w:rPr>
                <w:rFonts w:hint="eastAsia" w:ascii="仿宋" w:hAnsi="仿宋" w:eastAsia="仿宋" w:cs="仿宋"/>
              </w:rPr>
            </w:pPr>
            <w:r>
              <w:rPr>
                <w:rFonts w:hint="eastAsia" w:ascii="仿宋" w:hAnsi="仿宋" w:eastAsia="仿宋" w:cs="仿宋"/>
                <w:lang w:val="en-US" w:eastAsia="zh-CN"/>
              </w:rPr>
              <w:t>≤500KG</w:t>
            </w:r>
          </w:p>
        </w:tc>
      </w:tr>
      <w:tr w14:paraId="59AE8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4" w:type="dxa"/>
            <w:vAlign w:val="center"/>
          </w:tcPr>
          <w:p w14:paraId="734EB023">
            <w:pPr>
              <w:rPr>
                <w:rFonts w:hint="eastAsia" w:ascii="仿宋" w:hAnsi="仿宋" w:eastAsia="仿宋" w:cs="仿宋"/>
              </w:rPr>
            </w:pPr>
            <w:r>
              <w:rPr>
                <w:rFonts w:hint="eastAsia" w:ascii="仿宋" w:hAnsi="仿宋" w:eastAsia="仿宋" w:cs="仿宋"/>
                <w:lang w:val="en-US" w:eastAsia="zh-CN"/>
              </w:rPr>
              <w:t>额定电压</w:t>
            </w:r>
          </w:p>
        </w:tc>
        <w:tc>
          <w:tcPr>
            <w:tcW w:w="5723" w:type="dxa"/>
            <w:vAlign w:val="center"/>
          </w:tcPr>
          <w:p w14:paraId="56C663B1">
            <w:pPr>
              <w:rPr>
                <w:rFonts w:hint="eastAsia" w:ascii="仿宋" w:hAnsi="仿宋" w:eastAsia="仿宋" w:cs="仿宋"/>
              </w:rPr>
            </w:pPr>
            <w:r>
              <w:rPr>
                <w:rFonts w:hint="eastAsia" w:ascii="仿宋" w:hAnsi="仿宋" w:eastAsia="仿宋" w:cs="仿宋"/>
                <w:lang w:val="en-US" w:eastAsia="zh-CN"/>
              </w:rPr>
              <w:t>AC三相380V</w:t>
            </w:r>
          </w:p>
        </w:tc>
      </w:tr>
      <w:tr w14:paraId="33748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4" w:type="dxa"/>
            <w:vAlign w:val="center"/>
          </w:tcPr>
          <w:p w14:paraId="41A961A4">
            <w:pPr>
              <w:rPr>
                <w:rFonts w:hint="eastAsia" w:ascii="仿宋" w:hAnsi="仿宋" w:eastAsia="仿宋" w:cs="仿宋"/>
              </w:rPr>
            </w:pPr>
            <w:r>
              <w:rPr>
                <w:rFonts w:hint="eastAsia" w:ascii="仿宋" w:hAnsi="仿宋" w:eastAsia="仿宋" w:cs="仿宋"/>
                <w:lang w:val="en-US" w:eastAsia="zh-CN"/>
              </w:rPr>
              <w:t>额定功率</w:t>
            </w:r>
          </w:p>
        </w:tc>
        <w:tc>
          <w:tcPr>
            <w:tcW w:w="5723" w:type="dxa"/>
            <w:vAlign w:val="center"/>
          </w:tcPr>
          <w:p w14:paraId="195800EC">
            <w:pPr>
              <w:rPr>
                <w:rFonts w:hint="eastAsia" w:ascii="仿宋" w:hAnsi="仿宋" w:eastAsia="仿宋" w:cs="仿宋"/>
              </w:rPr>
            </w:pPr>
            <w:r>
              <w:rPr>
                <w:rFonts w:hint="eastAsia" w:ascii="仿宋" w:hAnsi="仿宋" w:eastAsia="仿宋" w:cs="仿宋"/>
                <w:lang w:val="en-US" w:eastAsia="zh-CN"/>
              </w:rPr>
              <w:t>≤10KW</w:t>
            </w:r>
          </w:p>
        </w:tc>
      </w:tr>
      <w:tr w14:paraId="37B37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4" w:type="dxa"/>
            <w:vAlign w:val="center"/>
          </w:tcPr>
          <w:p w14:paraId="7F3C6B97">
            <w:pPr>
              <w:rPr>
                <w:rFonts w:hint="eastAsia" w:ascii="仿宋" w:hAnsi="仿宋" w:eastAsia="仿宋" w:cs="仿宋"/>
              </w:rPr>
            </w:pPr>
            <w:r>
              <w:rPr>
                <w:rFonts w:hint="eastAsia" w:ascii="仿宋" w:hAnsi="仿宋" w:eastAsia="仿宋" w:cs="仿宋"/>
                <w:lang w:val="en-US" w:eastAsia="zh-CN"/>
              </w:rPr>
              <w:t>投料高度</w:t>
            </w:r>
          </w:p>
        </w:tc>
        <w:tc>
          <w:tcPr>
            <w:tcW w:w="5723" w:type="dxa"/>
            <w:vAlign w:val="center"/>
          </w:tcPr>
          <w:p w14:paraId="2FD35018">
            <w:pPr>
              <w:rPr>
                <w:rFonts w:hint="eastAsia" w:ascii="仿宋" w:hAnsi="仿宋" w:eastAsia="仿宋" w:cs="仿宋"/>
              </w:rPr>
            </w:pPr>
            <w:r>
              <w:rPr>
                <w:rFonts w:hint="eastAsia" w:ascii="仿宋" w:hAnsi="仿宋" w:eastAsia="仿宋" w:cs="仿宋"/>
                <w:lang w:val="en-US" w:eastAsia="zh-CN"/>
              </w:rPr>
              <w:t>≈1100MM，便于投料</w:t>
            </w:r>
          </w:p>
        </w:tc>
      </w:tr>
      <w:tr w14:paraId="60D63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4" w:type="dxa"/>
            <w:vAlign w:val="center"/>
          </w:tcPr>
          <w:p w14:paraId="49C083CD">
            <w:pPr>
              <w:rPr>
                <w:rFonts w:hint="eastAsia" w:ascii="仿宋" w:hAnsi="仿宋" w:eastAsia="仿宋" w:cs="仿宋"/>
              </w:rPr>
            </w:pPr>
            <w:r>
              <w:rPr>
                <w:rFonts w:hint="eastAsia" w:ascii="仿宋" w:hAnsi="仿宋" w:eastAsia="仿宋" w:cs="仿宋"/>
                <w:lang w:val="en-US" w:eastAsia="zh-CN"/>
              </w:rPr>
              <w:t>料仓容积</w:t>
            </w:r>
          </w:p>
        </w:tc>
        <w:tc>
          <w:tcPr>
            <w:tcW w:w="5723" w:type="dxa"/>
            <w:vAlign w:val="center"/>
          </w:tcPr>
          <w:p w14:paraId="61052596">
            <w:pPr>
              <w:rPr>
                <w:rFonts w:hint="eastAsia" w:ascii="仿宋" w:hAnsi="仿宋" w:eastAsia="仿宋" w:cs="仿宋"/>
              </w:rPr>
            </w:pPr>
            <w:r>
              <w:rPr>
                <w:rFonts w:hint="eastAsia" w:ascii="仿宋" w:hAnsi="仿宋" w:eastAsia="仿宋" w:cs="仿宋"/>
                <w:lang w:val="en-US" w:eastAsia="zh-CN"/>
              </w:rPr>
              <w:t>≥50升</w:t>
            </w:r>
          </w:p>
        </w:tc>
      </w:tr>
      <w:tr w14:paraId="01258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4" w:type="dxa"/>
            <w:vAlign w:val="center"/>
          </w:tcPr>
          <w:p w14:paraId="6CE906F2">
            <w:pPr>
              <w:rPr>
                <w:rFonts w:hint="eastAsia" w:ascii="仿宋" w:hAnsi="仿宋" w:eastAsia="仿宋" w:cs="仿宋"/>
              </w:rPr>
            </w:pPr>
            <w:r>
              <w:rPr>
                <w:rFonts w:hint="eastAsia" w:ascii="仿宋" w:hAnsi="仿宋" w:eastAsia="仿宋" w:cs="仿宋"/>
                <w:lang w:val="en-US" w:eastAsia="zh-CN"/>
              </w:rPr>
              <w:t>破碎转速</w:t>
            </w:r>
          </w:p>
        </w:tc>
        <w:tc>
          <w:tcPr>
            <w:tcW w:w="5723" w:type="dxa"/>
            <w:vAlign w:val="center"/>
          </w:tcPr>
          <w:p w14:paraId="345E0013">
            <w:pPr>
              <w:rPr>
                <w:rFonts w:hint="eastAsia" w:ascii="仿宋" w:hAnsi="仿宋" w:eastAsia="仿宋" w:cs="仿宋"/>
              </w:rPr>
            </w:pPr>
            <w:r>
              <w:rPr>
                <w:rFonts w:hint="eastAsia" w:ascii="仿宋" w:hAnsi="仿宋" w:eastAsia="仿宋" w:cs="仿宋"/>
                <w:lang w:val="en-US" w:eastAsia="zh-CN"/>
              </w:rPr>
              <w:t>能实现破碎毁形效果</w:t>
            </w:r>
          </w:p>
        </w:tc>
      </w:tr>
      <w:tr w14:paraId="436CE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4" w:type="dxa"/>
            <w:vAlign w:val="center"/>
          </w:tcPr>
          <w:p w14:paraId="50EF688E">
            <w:pPr>
              <w:rPr>
                <w:rFonts w:hint="eastAsia" w:ascii="仿宋" w:hAnsi="仿宋" w:eastAsia="仿宋" w:cs="仿宋"/>
              </w:rPr>
            </w:pPr>
            <w:r>
              <w:rPr>
                <w:rFonts w:hint="eastAsia" w:ascii="仿宋" w:hAnsi="仿宋" w:eastAsia="仿宋" w:cs="仿宋"/>
                <w:lang w:val="en-US" w:eastAsia="zh-CN"/>
              </w:rPr>
              <w:t>冷却方式</w:t>
            </w:r>
          </w:p>
        </w:tc>
        <w:tc>
          <w:tcPr>
            <w:tcW w:w="5723" w:type="dxa"/>
            <w:vAlign w:val="center"/>
          </w:tcPr>
          <w:p w14:paraId="22CF0E0B">
            <w:pPr>
              <w:rPr>
                <w:rFonts w:hint="eastAsia" w:ascii="仿宋" w:hAnsi="仿宋" w:eastAsia="仿宋" w:cs="仿宋"/>
              </w:rPr>
            </w:pPr>
            <w:r>
              <w:rPr>
                <w:rFonts w:hint="eastAsia" w:ascii="仿宋" w:hAnsi="仿宋" w:eastAsia="仿宋" w:cs="仿宋"/>
                <w:lang w:val="en-US" w:eastAsia="zh-CN"/>
              </w:rPr>
              <w:t>水冷或风冷等常用方法</w:t>
            </w:r>
          </w:p>
        </w:tc>
      </w:tr>
      <w:tr w14:paraId="3DE6D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4" w:type="dxa"/>
            <w:vAlign w:val="center"/>
          </w:tcPr>
          <w:p w14:paraId="0B2C38EB">
            <w:pPr>
              <w:rPr>
                <w:rFonts w:hint="eastAsia" w:ascii="仿宋" w:hAnsi="仿宋" w:eastAsia="仿宋" w:cs="仿宋"/>
              </w:rPr>
            </w:pPr>
            <w:r>
              <w:rPr>
                <w:rFonts w:hint="eastAsia" w:ascii="仿宋" w:hAnsi="仿宋" w:eastAsia="仿宋" w:cs="仿宋"/>
                <w:lang w:val="en-US" w:eastAsia="zh-CN"/>
              </w:rPr>
              <w:t>通讯端口</w:t>
            </w:r>
          </w:p>
        </w:tc>
        <w:tc>
          <w:tcPr>
            <w:tcW w:w="5723" w:type="dxa"/>
            <w:vAlign w:val="center"/>
          </w:tcPr>
          <w:p w14:paraId="47FC52BC">
            <w:pPr>
              <w:rPr>
                <w:rFonts w:hint="eastAsia" w:ascii="仿宋" w:hAnsi="仿宋" w:eastAsia="仿宋" w:cs="仿宋"/>
              </w:rPr>
            </w:pPr>
            <w:r>
              <w:rPr>
                <w:rFonts w:hint="eastAsia" w:ascii="仿宋" w:hAnsi="仿宋" w:eastAsia="仿宋" w:cs="仿宋"/>
                <w:lang w:val="en-US" w:eastAsia="zh-CN"/>
              </w:rPr>
              <w:t>以太网</w:t>
            </w:r>
          </w:p>
        </w:tc>
      </w:tr>
      <w:tr w14:paraId="0C9F8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4" w:type="dxa"/>
            <w:vAlign w:val="center"/>
          </w:tcPr>
          <w:p w14:paraId="7D9738E0">
            <w:pPr>
              <w:rPr>
                <w:rFonts w:hint="eastAsia" w:ascii="仿宋" w:hAnsi="仿宋" w:eastAsia="仿宋" w:cs="仿宋"/>
              </w:rPr>
            </w:pPr>
            <w:r>
              <w:rPr>
                <w:rFonts w:hint="eastAsia" w:ascii="仿宋" w:hAnsi="仿宋" w:eastAsia="仿宋" w:cs="仿宋"/>
                <w:lang w:val="en-US" w:eastAsia="zh-CN"/>
              </w:rPr>
              <w:t>通讯协议</w:t>
            </w:r>
          </w:p>
        </w:tc>
        <w:tc>
          <w:tcPr>
            <w:tcW w:w="5723" w:type="dxa"/>
            <w:vAlign w:val="center"/>
          </w:tcPr>
          <w:p w14:paraId="7915C4E6">
            <w:pPr>
              <w:rPr>
                <w:rFonts w:hint="eastAsia" w:ascii="仿宋" w:hAnsi="仿宋" w:eastAsia="仿宋" w:cs="仿宋"/>
              </w:rPr>
            </w:pPr>
            <w:r>
              <w:rPr>
                <w:rFonts w:hint="eastAsia" w:ascii="仿宋" w:hAnsi="仿宋" w:eastAsia="仿宋" w:cs="仿宋"/>
                <w:lang w:val="en-US" w:eastAsia="zh-CN"/>
              </w:rPr>
              <w:t>MQTT3.1、MQTT3.1.1协议</w:t>
            </w:r>
          </w:p>
        </w:tc>
      </w:tr>
      <w:tr w14:paraId="6D7C6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4" w:type="dxa"/>
            <w:vAlign w:val="center"/>
          </w:tcPr>
          <w:p w14:paraId="67BD2DD1">
            <w:pPr>
              <w:rPr>
                <w:rFonts w:hint="eastAsia" w:ascii="仿宋" w:hAnsi="仿宋" w:eastAsia="仿宋" w:cs="仿宋"/>
              </w:rPr>
            </w:pPr>
            <w:r>
              <w:rPr>
                <w:rFonts w:hint="eastAsia" w:ascii="仿宋" w:hAnsi="仿宋" w:eastAsia="仿宋" w:cs="仿宋"/>
                <w:lang w:val="en-US" w:eastAsia="zh-CN"/>
              </w:rPr>
              <w:t>数据传输格式</w:t>
            </w:r>
          </w:p>
        </w:tc>
        <w:tc>
          <w:tcPr>
            <w:tcW w:w="5723" w:type="dxa"/>
            <w:vAlign w:val="center"/>
          </w:tcPr>
          <w:p w14:paraId="12582171">
            <w:pPr>
              <w:rPr>
                <w:rFonts w:hint="eastAsia" w:ascii="仿宋" w:hAnsi="仿宋" w:eastAsia="仿宋" w:cs="仿宋"/>
              </w:rPr>
            </w:pPr>
            <w:r>
              <w:rPr>
                <w:rFonts w:hint="eastAsia" w:ascii="仿宋" w:hAnsi="仿宋" w:eastAsia="仿宋" w:cs="仿宋"/>
                <w:lang w:val="en-US" w:eastAsia="zh-CN"/>
              </w:rPr>
              <w:t>JSON</w:t>
            </w:r>
          </w:p>
        </w:tc>
      </w:tr>
      <w:tr w14:paraId="2C9EA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4" w:type="dxa"/>
            <w:vAlign w:val="center"/>
          </w:tcPr>
          <w:p w14:paraId="2D878E4C">
            <w:pPr>
              <w:rPr>
                <w:rFonts w:hint="eastAsia" w:ascii="仿宋" w:hAnsi="仿宋" w:eastAsia="仿宋" w:cs="仿宋"/>
              </w:rPr>
            </w:pPr>
            <w:r>
              <w:rPr>
                <w:rFonts w:hint="eastAsia" w:ascii="仿宋" w:hAnsi="仿宋" w:eastAsia="仿宋" w:cs="仿宋"/>
                <w:lang w:val="en-US" w:eastAsia="zh-CN"/>
              </w:rPr>
              <w:t>字符串编码</w:t>
            </w:r>
          </w:p>
        </w:tc>
        <w:tc>
          <w:tcPr>
            <w:tcW w:w="5723" w:type="dxa"/>
            <w:vAlign w:val="center"/>
          </w:tcPr>
          <w:p w14:paraId="44BF7DFB">
            <w:pPr>
              <w:rPr>
                <w:rFonts w:hint="eastAsia" w:ascii="仿宋" w:hAnsi="仿宋" w:eastAsia="仿宋" w:cs="仿宋"/>
              </w:rPr>
            </w:pPr>
            <w:r>
              <w:rPr>
                <w:rFonts w:hint="eastAsia" w:ascii="仿宋" w:hAnsi="仿宋" w:eastAsia="仿宋" w:cs="仿宋"/>
                <w:lang w:val="en-US" w:eastAsia="zh-CN"/>
              </w:rPr>
              <w:t>UFT-8</w:t>
            </w:r>
          </w:p>
        </w:tc>
      </w:tr>
      <w:tr w14:paraId="3808F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4" w:type="dxa"/>
            <w:vAlign w:val="center"/>
          </w:tcPr>
          <w:p w14:paraId="6D1E6E68">
            <w:pPr>
              <w:rPr>
                <w:rFonts w:hint="eastAsia" w:ascii="仿宋" w:hAnsi="仿宋" w:eastAsia="仿宋" w:cs="仿宋"/>
              </w:rPr>
            </w:pPr>
            <w:r>
              <w:rPr>
                <w:rFonts w:hint="eastAsia" w:ascii="仿宋" w:hAnsi="仿宋" w:eastAsia="仿宋" w:cs="仿宋"/>
                <w:lang w:val="en-US" w:eastAsia="zh-CN"/>
              </w:rPr>
              <w:t>销毁方法</w:t>
            </w:r>
          </w:p>
        </w:tc>
        <w:tc>
          <w:tcPr>
            <w:tcW w:w="5723" w:type="dxa"/>
            <w:vAlign w:val="center"/>
          </w:tcPr>
          <w:p w14:paraId="64793E91">
            <w:pPr>
              <w:rPr>
                <w:rFonts w:hint="eastAsia" w:ascii="仿宋" w:hAnsi="仿宋" w:eastAsia="仿宋" w:cs="仿宋"/>
              </w:rPr>
            </w:pPr>
            <w:r>
              <w:rPr>
                <w:rFonts w:hint="eastAsia" w:ascii="仿宋" w:hAnsi="仿宋" w:eastAsia="仿宋" w:cs="仿宋"/>
                <w:lang w:val="en-US" w:eastAsia="zh-CN"/>
              </w:rPr>
              <w:t>采用合金钢片物理切割粉碎</w:t>
            </w:r>
          </w:p>
        </w:tc>
      </w:tr>
      <w:tr w14:paraId="719E2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4" w:type="dxa"/>
            <w:vAlign w:val="center"/>
          </w:tcPr>
          <w:p w14:paraId="7952B03E">
            <w:pPr>
              <w:rPr>
                <w:rFonts w:hint="eastAsia" w:ascii="仿宋" w:hAnsi="仿宋" w:eastAsia="仿宋" w:cs="仿宋"/>
              </w:rPr>
            </w:pPr>
            <w:r>
              <w:rPr>
                <w:rFonts w:hint="eastAsia" w:ascii="仿宋" w:hAnsi="仿宋" w:eastAsia="仿宋" w:cs="仿宋"/>
                <w:lang w:val="en-US" w:eastAsia="zh-CN"/>
              </w:rPr>
              <w:t>自清洁能力</w:t>
            </w:r>
          </w:p>
        </w:tc>
        <w:tc>
          <w:tcPr>
            <w:tcW w:w="5723" w:type="dxa"/>
            <w:vAlign w:val="center"/>
          </w:tcPr>
          <w:p w14:paraId="65A842D2">
            <w:pPr>
              <w:rPr>
                <w:rFonts w:hint="eastAsia" w:ascii="仿宋" w:hAnsi="仿宋" w:eastAsia="仿宋" w:cs="仿宋"/>
              </w:rPr>
            </w:pPr>
            <w:r>
              <w:rPr>
                <w:rFonts w:hint="eastAsia" w:ascii="仿宋" w:hAnsi="仿宋" w:eastAsia="仿宋" w:cs="仿宋"/>
                <w:lang w:val="en-US" w:eastAsia="zh-CN"/>
              </w:rPr>
              <w:t>包括内桶壁及上盖内壁</w:t>
            </w:r>
          </w:p>
        </w:tc>
      </w:tr>
      <w:tr w14:paraId="51AB2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4" w:type="dxa"/>
            <w:vAlign w:val="center"/>
          </w:tcPr>
          <w:p w14:paraId="24CCED2F">
            <w:pPr>
              <w:rPr>
                <w:rFonts w:hint="eastAsia" w:ascii="仿宋" w:hAnsi="仿宋" w:eastAsia="仿宋" w:cs="仿宋"/>
              </w:rPr>
            </w:pPr>
            <w:r>
              <w:rPr>
                <w:rFonts w:hint="eastAsia" w:ascii="仿宋" w:hAnsi="仿宋" w:eastAsia="仿宋" w:cs="仿宋"/>
                <w:lang w:val="en-US" w:eastAsia="zh-CN"/>
              </w:rPr>
              <w:t>安全保护措施</w:t>
            </w:r>
          </w:p>
        </w:tc>
        <w:tc>
          <w:tcPr>
            <w:tcW w:w="5723" w:type="dxa"/>
            <w:vAlign w:val="center"/>
          </w:tcPr>
          <w:p w14:paraId="1FF54951">
            <w:pPr>
              <w:rPr>
                <w:rFonts w:hint="eastAsia" w:ascii="仿宋" w:hAnsi="仿宋" w:eastAsia="仿宋" w:cs="仿宋"/>
              </w:rPr>
            </w:pPr>
            <w:r>
              <w:rPr>
                <w:rFonts w:hint="eastAsia" w:ascii="仿宋" w:hAnsi="仿宋" w:eastAsia="仿宋" w:cs="仿宋"/>
                <w:lang w:val="en-US" w:eastAsia="zh-CN"/>
              </w:rPr>
              <w:t>过载保护、漏电保护、热超敏反应等保护</w:t>
            </w:r>
          </w:p>
        </w:tc>
      </w:tr>
      <w:tr w14:paraId="033DC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4" w:type="dxa"/>
            <w:vAlign w:val="center"/>
          </w:tcPr>
          <w:p w14:paraId="5556137A">
            <w:pPr>
              <w:rPr>
                <w:rFonts w:hint="eastAsia" w:ascii="仿宋" w:hAnsi="仿宋" w:eastAsia="仿宋" w:cs="仿宋"/>
              </w:rPr>
            </w:pPr>
            <w:r>
              <w:rPr>
                <w:rFonts w:hint="eastAsia" w:ascii="仿宋" w:hAnsi="仿宋" w:eastAsia="仿宋" w:cs="仿宋"/>
                <w:lang w:val="en-US" w:eastAsia="zh-CN"/>
              </w:rPr>
              <w:t>刀片材料</w:t>
            </w:r>
          </w:p>
        </w:tc>
        <w:tc>
          <w:tcPr>
            <w:tcW w:w="5723" w:type="dxa"/>
            <w:vAlign w:val="center"/>
          </w:tcPr>
          <w:p w14:paraId="0148809E">
            <w:pPr>
              <w:rPr>
                <w:rFonts w:hint="eastAsia" w:ascii="仿宋" w:hAnsi="仿宋" w:eastAsia="仿宋" w:cs="仿宋"/>
              </w:rPr>
            </w:pPr>
            <w:r>
              <w:rPr>
                <w:rFonts w:hint="eastAsia" w:ascii="仿宋" w:hAnsi="仿宋" w:eastAsia="仿宋" w:cs="仿宋"/>
                <w:lang w:val="en-US" w:eastAsia="zh-CN"/>
              </w:rPr>
              <w:t>优质合金钢刀片</w:t>
            </w:r>
          </w:p>
        </w:tc>
      </w:tr>
      <w:tr w14:paraId="2C753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4" w:type="dxa"/>
            <w:vAlign w:val="center"/>
          </w:tcPr>
          <w:p w14:paraId="1963736D">
            <w:pPr>
              <w:rPr>
                <w:rFonts w:hint="eastAsia" w:ascii="仿宋" w:hAnsi="仿宋" w:eastAsia="仿宋" w:cs="仿宋"/>
              </w:rPr>
            </w:pPr>
            <w:r>
              <w:rPr>
                <w:rFonts w:hint="eastAsia" w:ascii="仿宋" w:hAnsi="仿宋" w:eastAsia="仿宋" w:cs="仿宋"/>
                <w:lang w:val="en-US" w:eastAsia="zh-CN"/>
              </w:rPr>
              <w:t>★ 就地无害化处置技术</w:t>
            </w:r>
          </w:p>
        </w:tc>
        <w:tc>
          <w:tcPr>
            <w:tcW w:w="5723" w:type="dxa"/>
            <w:vAlign w:val="center"/>
          </w:tcPr>
          <w:p w14:paraId="2AFAC62D">
            <w:pPr>
              <w:rPr>
                <w:rFonts w:hint="eastAsia" w:ascii="仿宋" w:hAnsi="仿宋" w:eastAsia="仿宋" w:cs="仿宋"/>
              </w:rPr>
            </w:pPr>
            <w:r>
              <w:rPr>
                <w:rFonts w:hint="eastAsia" w:ascii="仿宋" w:hAnsi="仿宋" w:eastAsia="仿宋" w:cs="仿宋"/>
                <w:lang w:val="en-US" w:eastAsia="zh-CN"/>
              </w:rPr>
              <w:t>国标常压微波消毒法</w:t>
            </w:r>
          </w:p>
        </w:tc>
      </w:tr>
      <w:tr w14:paraId="30FF6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4" w:type="dxa"/>
            <w:vAlign w:val="center"/>
          </w:tcPr>
          <w:p w14:paraId="5197705F">
            <w:pPr>
              <w:rPr>
                <w:rFonts w:hint="eastAsia" w:ascii="仿宋" w:hAnsi="仿宋" w:eastAsia="仿宋" w:cs="仿宋"/>
              </w:rPr>
            </w:pPr>
            <w:r>
              <w:rPr>
                <w:rFonts w:hint="eastAsia" w:ascii="仿宋" w:hAnsi="仿宋" w:eastAsia="仿宋" w:cs="仿宋"/>
                <w:lang w:val="en-US" w:eastAsia="zh-CN"/>
              </w:rPr>
              <w:t>消杀能力</w:t>
            </w:r>
          </w:p>
        </w:tc>
        <w:tc>
          <w:tcPr>
            <w:tcW w:w="5723" w:type="dxa"/>
            <w:vAlign w:val="center"/>
          </w:tcPr>
          <w:p w14:paraId="097CE937">
            <w:pPr>
              <w:rPr>
                <w:rFonts w:hint="eastAsia" w:ascii="仿宋" w:hAnsi="仿宋" w:eastAsia="仿宋" w:cs="仿宋"/>
              </w:rPr>
            </w:pPr>
            <w:r>
              <w:rPr>
                <w:rFonts w:hint="eastAsia" w:ascii="仿宋" w:hAnsi="仿宋" w:eastAsia="仿宋" w:cs="仿宋"/>
                <w:lang w:val="en-US" w:eastAsia="zh-CN"/>
              </w:rPr>
              <w:t>满足国标≥99.99%的专业第三方报告（消杀金标菌枯草黑色变种芽孢杆菌）</w:t>
            </w:r>
          </w:p>
        </w:tc>
      </w:tr>
      <w:tr w14:paraId="7A76F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4" w:type="dxa"/>
            <w:vAlign w:val="center"/>
          </w:tcPr>
          <w:p w14:paraId="09A1F7C3">
            <w:pPr>
              <w:rPr>
                <w:rFonts w:hint="eastAsia" w:ascii="仿宋" w:hAnsi="仿宋" w:eastAsia="仿宋" w:cs="仿宋"/>
              </w:rPr>
            </w:pPr>
            <w:r>
              <w:rPr>
                <w:rFonts w:hint="eastAsia" w:ascii="仿宋" w:hAnsi="仿宋" w:eastAsia="仿宋" w:cs="仿宋"/>
                <w:lang w:val="en-US" w:eastAsia="zh-CN"/>
              </w:rPr>
              <w:t>★ 微波泄露管控</w:t>
            </w:r>
          </w:p>
        </w:tc>
        <w:tc>
          <w:tcPr>
            <w:tcW w:w="5723" w:type="dxa"/>
            <w:vAlign w:val="center"/>
          </w:tcPr>
          <w:p w14:paraId="7EA1F99A">
            <w:pPr>
              <w:rPr>
                <w:rFonts w:hint="eastAsia" w:ascii="仿宋" w:hAnsi="仿宋" w:eastAsia="仿宋" w:cs="仿宋"/>
              </w:rPr>
            </w:pPr>
            <w:r>
              <w:rPr>
                <w:rFonts w:hint="eastAsia" w:ascii="仿宋" w:hAnsi="仿宋" w:eastAsia="仿宋" w:cs="仿宋"/>
                <w:lang w:val="en-US" w:eastAsia="zh-CN"/>
              </w:rPr>
              <w:t>有微波泄漏监测装置，且符合国标要求</w:t>
            </w:r>
          </w:p>
        </w:tc>
      </w:tr>
      <w:tr w14:paraId="2A909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4" w:type="dxa"/>
            <w:vAlign w:val="center"/>
          </w:tcPr>
          <w:p w14:paraId="6C126094">
            <w:pPr>
              <w:rPr>
                <w:rFonts w:hint="eastAsia" w:ascii="仿宋" w:hAnsi="仿宋" w:eastAsia="仿宋" w:cs="仿宋"/>
              </w:rPr>
            </w:pPr>
            <w:r>
              <w:rPr>
                <w:rFonts w:hint="eastAsia" w:ascii="仿宋" w:hAnsi="仿宋" w:eastAsia="仿宋" w:cs="仿宋"/>
                <w:lang w:val="en-US" w:eastAsia="zh-CN"/>
              </w:rPr>
              <w:t>处置能力</w:t>
            </w:r>
          </w:p>
        </w:tc>
        <w:tc>
          <w:tcPr>
            <w:tcW w:w="5723" w:type="dxa"/>
            <w:vAlign w:val="center"/>
          </w:tcPr>
          <w:p w14:paraId="3CA92BCA">
            <w:pPr>
              <w:rPr>
                <w:rFonts w:hint="eastAsia" w:ascii="仿宋" w:hAnsi="仿宋" w:eastAsia="仿宋" w:cs="仿宋"/>
              </w:rPr>
            </w:pPr>
            <w:r>
              <w:rPr>
                <w:rFonts w:hint="eastAsia" w:ascii="仿宋" w:hAnsi="仿宋" w:eastAsia="仿宋" w:cs="仿宋"/>
                <w:lang w:val="en-US" w:eastAsia="zh-CN"/>
              </w:rPr>
              <w:t>约5公斤每小时</w:t>
            </w:r>
          </w:p>
        </w:tc>
      </w:tr>
      <w:tr w14:paraId="281B4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4" w:type="dxa"/>
            <w:vAlign w:val="center"/>
          </w:tcPr>
          <w:p w14:paraId="6F54D1DB">
            <w:pPr>
              <w:rPr>
                <w:rFonts w:hint="eastAsia" w:ascii="仿宋" w:hAnsi="仿宋" w:eastAsia="仿宋" w:cs="仿宋"/>
              </w:rPr>
            </w:pPr>
            <w:r>
              <w:rPr>
                <w:rFonts w:hint="eastAsia" w:ascii="仿宋" w:hAnsi="仿宋" w:eastAsia="仿宋" w:cs="仿宋"/>
                <w:lang w:val="en-US" w:eastAsia="zh-CN"/>
              </w:rPr>
              <w:t>废物减容率</w:t>
            </w:r>
          </w:p>
        </w:tc>
        <w:tc>
          <w:tcPr>
            <w:tcW w:w="5723" w:type="dxa"/>
            <w:vAlign w:val="center"/>
          </w:tcPr>
          <w:p w14:paraId="7A470142">
            <w:pPr>
              <w:rPr>
                <w:rFonts w:hint="eastAsia" w:ascii="仿宋" w:hAnsi="仿宋" w:eastAsia="仿宋" w:cs="仿宋"/>
              </w:rPr>
            </w:pPr>
            <w:r>
              <w:rPr>
                <w:rFonts w:hint="eastAsia" w:ascii="仿宋" w:hAnsi="仿宋" w:eastAsia="仿宋" w:cs="仿宋"/>
                <w:lang w:val="en-US" w:eastAsia="zh-CN"/>
              </w:rPr>
              <w:t>满足行业水平的≥80%</w:t>
            </w:r>
          </w:p>
        </w:tc>
      </w:tr>
      <w:tr w14:paraId="05AA2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4" w:type="dxa"/>
            <w:vAlign w:val="center"/>
          </w:tcPr>
          <w:p w14:paraId="6DFAB124">
            <w:pPr>
              <w:rPr>
                <w:rFonts w:hint="eastAsia" w:ascii="仿宋" w:hAnsi="仿宋" w:eastAsia="仿宋" w:cs="仿宋"/>
              </w:rPr>
            </w:pPr>
            <w:r>
              <w:rPr>
                <w:rFonts w:hint="eastAsia" w:ascii="仿宋" w:hAnsi="仿宋" w:eastAsia="仿宋" w:cs="仿宋"/>
                <w:lang w:val="en-US" w:eastAsia="zh-CN"/>
              </w:rPr>
              <w:t>★ 处置医废种类</w:t>
            </w:r>
          </w:p>
        </w:tc>
        <w:tc>
          <w:tcPr>
            <w:tcW w:w="5723" w:type="dxa"/>
            <w:vAlign w:val="center"/>
          </w:tcPr>
          <w:p w14:paraId="609EE674">
            <w:pPr>
              <w:rPr>
                <w:rFonts w:hint="eastAsia" w:ascii="仿宋" w:hAnsi="仿宋" w:eastAsia="仿宋" w:cs="仿宋"/>
              </w:rPr>
            </w:pPr>
            <w:r>
              <w:rPr>
                <w:rFonts w:hint="eastAsia" w:ascii="仿宋" w:hAnsi="仿宋" w:eastAsia="仿宋" w:cs="仿宋"/>
                <w:lang w:val="en-US" w:eastAsia="zh-CN"/>
              </w:rPr>
              <w:t>损伤性、感染性、病理性，符合《国家危险废物名录》中的豁免清单要求。</w:t>
            </w:r>
          </w:p>
        </w:tc>
      </w:tr>
      <w:tr w14:paraId="6D0E6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4" w:type="dxa"/>
            <w:vAlign w:val="center"/>
          </w:tcPr>
          <w:p w14:paraId="78E84456">
            <w:pPr>
              <w:rPr>
                <w:rFonts w:hint="eastAsia" w:ascii="仿宋" w:hAnsi="仿宋" w:eastAsia="仿宋" w:cs="仿宋"/>
              </w:rPr>
            </w:pPr>
            <w:r>
              <w:rPr>
                <w:rFonts w:hint="eastAsia" w:ascii="仿宋" w:hAnsi="仿宋" w:eastAsia="仿宋" w:cs="仿宋"/>
                <w:lang w:val="en-US" w:eastAsia="zh-CN"/>
              </w:rPr>
              <w:t>数据传输能力</w:t>
            </w:r>
          </w:p>
        </w:tc>
        <w:tc>
          <w:tcPr>
            <w:tcW w:w="5723" w:type="dxa"/>
            <w:vAlign w:val="center"/>
          </w:tcPr>
          <w:p w14:paraId="33A5EC86">
            <w:pPr>
              <w:rPr>
                <w:rFonts w:hint="eastAsia" w:ascii="仿宋" w:hAnsi="仿宋" w:eastAsia="仿宋" w:cs="仿宋"/>
              </w:rPr>
            </w:pPr>
            <w:r>
              <w:rPr>
                <w:rFonts w:hint="eastAsia" w:ascii="仿宋" w:hAnsi="仿宋" w:eastAsia="仿宋" w:cs="仿宋"/>
                <w:lang w:val="en-US" w:eastAsia="zh-CN"/>
              </w:rPr>
              <w:t>有</w:t>
            </w:r>
          </w:p>
        </w:tc>
      </w:tr>
      <w:tr w14:paraId="27261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4" w:type="dxa"/>
            <w:vAlign w:val="center"/>
          </w:tcPr>
          <w:p w14:paraId="20DB52F3">
            <w:pPr>
              <w:rPr>
                <w:rFonts w:hint="eastAsia" w:ascii="仿宋" w:hAnsi="仿宋" w:eastAsia="仿宋" w:cs="仿宋"/>
              </w:rPr>
            </w:pPr>
            <w:r>
              <w:rPr>
                <w:rFonts w:hint="eastAsia" w:ascii="仿宋" w:hAnsi="仿宋" w:eastAsia="仿宋" w:cs="仿宋"/>
                <w:lang w:val="en-US" w:eastAsia="zh-CN"/>
              </w:rPr>
              <w:t>远程监管功能</w:t>
            </w:r>
          </w:p>
        </w:tc>
        <w:tc>
          <w:tcPr>
            <w:tcW w:w="5723" w:type="dxa"/>
            <w:vAlign w:val="center"/>
          </w:tcPr>
          <w:p w14:paraId="16F3EDC8">
            <w:pPr>
              <w:rPr>
                <w:rFonts w:hint="eastAsia" w:ascii="仿宋" w:hAnsi="仿宋" w:eastAsia="仿宋" w:cs="仿宋"/>
              </w:rPr>
            </w:pPr>
            <w:r>
              <w:rPr>
                <w:rFonts w:hint="eastAsia" w:ascii="仿宋" w:hAnsi="仿宋" w:eastAsia="仿宋" w:cs="仿宋"/>
                <w:lang w:val="en-US" w:eastAsia="zh-CN"/>
              </w:rPr>
              <w:t>具备</w:t>
            </w:r>
          </w:p>
        </w:tc>
      </w:tr>
      <w:tr w14:paraId="754F8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4" w:type="dxa"/>
            <w:vAlign w:val="center"/>
          </w:tcPr>
          <w:p w14:paraId="4281AE3E">
            <w:pPr>
              <w:rPr>
                <w:rFonts w:hint="eastAsia" w:ascii="仿宋" w:hAnsi="仿宋" w:eastAsia="仿宋" w:cs="仿宋"/>
              </w:rPr>
            </w:pPr>
            <w:r>
              <w:rPr>
                <w:rFonts w:hint="eastAsia" w:ascii="仿宋" w:hAnsi="仿宋" w:eastAsia="仿宋" w:cs="仿宋"/>
                <w:lang w:val="en-US" w:eastAsia="zh-CN"/>
              </w:rPr>
              <w:t>数据信息化平台</w:t>
            </w:r>
          </w:p>
        </w:tc>
        <w:tc>
          <w:tcPr>
            <w:tcW w:w="5723" w:type="dxa"/>
            <w:vAlign w:val="center"/>
          </w:tcPr>
          <w:p w14:paraId="3F33100C">
            <w:pPr>
              <w:rPr>
                <w:rFonts w:hint="eastAsia" w:ascii="仿宋" w:hAnsi="仿宋" w:eastAsia="仿宋" w:cs="仿宋"/>
              </w:rPr>
            </w:pPr>
            <w:r>
              <w:rPr>
                <w:rFonts w:hint="eastAsia" w:ascii="仿宋" w:hAnsi="仿宋" w:eastAsia="仿宋" w:cs="仿宋"/>
                <w:lang w:val="en-US" w:eastAsia="zh-CN"/>
              </w:rPr>
              <w:t>具备</w:t>
            </w:r>
          </w:p>
        </w:tc>
      </w:tr>
      <w:tr w14:paraId="05707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4" w:type="dxa"/>
            <w:vAlign w:val="center"/>
          </w:tcPr>
          <w:p w14:paraId="3CF78A8C">
            <w:pPr>
              <w:rPr>
                <w:rFonts w:hint="eastAsia" w:ascii="仿宋" w:hAnsi="仿宋" w:eastAsia="仿宋" w:cs="仿宋"/>
              </w:rPr>
            </w:pPr>
            <w:r>
              <w:rPr>
                <w:rFonts w:hint="eastAsia" w:ascii="仿宋" w:hAnsi="仿宋" w:eastAsia="仿宋" w:cs="仿宋"/>
                <w:lang w:val="en-US" w:eastAsia="zh-CN"/>
              </w:rPr>
              <w:t>设备知识产权</w:t>
            </w:r>
          </w:p>
        </w:tc>
        <w:tc>
          <w:tcPr>
            <w:tcW w:w="5723" w:type="dxa"/>
            <w:vAlign w:val="center"/>
          </w:tcPr>
          <w:p w14:paraId="51E92F1A">
            <w:pPr>
              <w:rPr>
                <w:rFonts w:hint="eastAsia" w:ascii="仿宋" w:hAnsi="仿宋" w:eastAsia="仿宋" w:cs="仿宋"/>
              </w:rPr>
            </w:pPr>
            <w:r>
              <w:rPr>
                <w:rFonts w:hint="eastAsia" w:ascii="仿宋" w:hAnsi="仿宋" w:eastAsia="仿宋" w:cs="仿宋"/>
                <w:lang w:val="en-US" w:eastAsia="zh-CN"/>
              </w:rPr>
              <w:t>国产</w:t>
            </w:r>
          </w:p>
        </w:tc>
      </w:tr>
      <w:tr w14:paraId="60742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4" w:type="dxa"/>
            <w:vAlign w:val="center"/>
          </w:tcPr>
          <w:p w14:paraId="4D551630">
            <w:pPr>
              <w:rPr>
                <w:rFonts w:hint="eastAsia" w:ascii="仿宋" w:hAnsi="仿宋" w:eastAsia="仿宋" w:cs="仿宋"/>
              </w:rPr>
            </w:pPr>
            <w:r>
              <w:rPr>
                <w:rFonts w:hint="eastAsia" w:ascii="仿宋" w:hAnsi="仿宋" w:eastAsia="仿宋" w:cs="仿宋"/>
                <w:lang w:val="en-US" w:eastAsia="zh-CN"/>
              </w:rPr>
              <w:t>★ 废水排放</w:t>
            </w:r>
          </w:p>
        </w:tc>
        <w:tc>
          <w:tcPr>
            <w:tcW w:w="5723" w:type="dxa"/>
            <w:vAlign w:val="center"/>
          </w:tcPr>
          <w:p w14:paraId="77A38AD6">
            <w:pPr>
              <w:rPr>
                <w:rFonts w:hint="eastAsia" w:ascii="仿宋" w:hAnsi="仿宋" w:eastAsia="仿宋" w:cs="仿宋"/>
              </w:rPr>
            </w:pPr>
            <w:r>
              <w:rPr>
                <w:rFonts w:hint="eastAsia" w:ascii="仿宋" w:hAnsi="仿宋" w:eastAsia="仿宋" w:cs="仿宋"/>
                <w:lang w:val="en-US" w:eastAsia="zh-CN"/>
              </w:rPr>
              <w:t>不允许</w:t>
            </w:r>
          </w:p>
        </w:tc>
      </w:tr>
      <w:tr w14:paraId="01DCB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4" w:type="dxa"/>
            <w:vAlign w:val="center"/>
          </w:tcPr>
          <w:p w14:paraId="12A80077">
            <w:pPr>
              <w:rPr>
                <w:rFonts w:hint="eastAsia" w:ascii="仿宋" w:hAnsi="仿宋" w:eastAsia="仿宋" w:cs="仿宋"/>
              </w:rPr>
            </w:pPr>
            <w:r>
              <w:rPr>
                <w:rFonts w:hint="eastAsia" w:ascii="仿宋" w:hAnsi="仿宋" w:eastAsia="仿宋" w:cs="仿宋"/>
                <w:lang w:val="en-US" w:eastAsia="zh-CN"/>
              </w:rPr>
              <w:t>运行方式</w:t>
            </w:r>
          </w:p>
        </w:tc>
        <w:tc>
          <w:tcPr>
            <w:tcW w:w="5723" w:type="dxa"/>
            <w:vAlign w:val="center"/>
          </w:tcPr>
          <w:p w14:paraId="259A8A64">
            <w:pPr>
              <w:rPr>
                <w:rFonts w:hint="eastAsia" w:ascii="仿宋" w:hAnsi="仿宋" w:eastAsia="仿宋" w:cs="仿宋"/>
              </w:rPr>
            </w:pPr>
            <w:r>
              <w:rPr>
                <w:rFonts w:hint="eastAsia" w:ascii="仿宋" w:hAnsi="仿宋" w:eastAsia="仿宋" w:cs="仿宋"/>
                <w:lang w:val="en-US" w:eastAsia="zh-CN"/>
              </w:rPr>
              <w:t>操作简便，智能运行</w:t>
            </w:r>
          </w:p>
        </w:tc>
      </w:tr>
      <w:tr w14:paraId="4091B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4" w:type="dxa"/>
            <w:vAlign w:val="center"/>
          </w:tcPr>
          <w:p w14:paraId="28FEB6B1">
            <w:pPr>
              <w:rPr>
                <w:rFonts w:hint="eastAsia" w:ascii="仿宋" w:hAnsi="仿宋" w:eastAsia="仿宋" w:cs="仿宋"/>
              </w:rPr>
            </w:pPr>
            <w:r>
              <w:rPr>
                <w:rFonts w:hint="eastAsia" w:ascii="仿宋" w:hAnsi="仿宋" w:eastAsia="仿宋" w:cs="仿宋"/>
                <w:lang w:val="en-US" w:eastAsia="zh-CN"/>
              </w:rPr>
              <w:t>操作显示屏大小（英寸）</w:t>
            </w:r>
          </w:p>
        </w:tc>
        <w:tc>
          <w:tcPr>
            <w:tcW w:w="5723" w:type="dxa"/>
            <w:vAlign w:val="center"/>
          </w:tcPr>
          <w:p w14:paraId="757AF0BB">
            <w:pPr>
              <w:rPr>
                <w:rFonts w:hint="eastAsia" w:ascii="仿宋" w:hAnsi="仿宋" w:eastAsia="仿宋" w:cs="仿宋"/>
              </w:rPr>
            </w:pPr>
            <w:r>
              <w:rPr>
                <w:rFonts w:hint="eastAsia" w:ascii="仿宋" w:hAnsi="仿宋" w:eastAsia="仿宋" w:cs="仿宋"/>
                <w:lang w:val="en-US" w:eastAsia="zh-CN"/>
              </w:rPr>
              <w:t>不低于6英寸</w:t>
            </w:r>
          </w:p>
        </w:tc>
      </w:tr>
      <w:tr w14:paraId="010F2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4" w:type="dxa"/>
            <w:vAlign w:val="center"/>
          </w:tcPr>
          <w:p w14:paraId="600D38F8">
            <w:pPr>
              <w:rPr>
                <w:rFonts w:hint="eastAsia" w:ascii="仿宋" w:hAnsi="仿宋" w:eastAsia="仿宋" w:cs="仿宋"/>
              </w:rPr>
            </w:pPr>
            <w:r>
              <w:rPr>
                <w:rFonts w:hint="eastAsia" w:ascii="仿宋" w:hAnsi="仿宋" w:eastAsia="仿宋" w:cs="仿宋"/>
                <w:lang w:val="en-US" w:eastAsia="zh-CN"/>
              </w:rPr>
              <w:t>显示功能</w:t>
            </w:r>
          </w:p>
        </w:tc>
        <w:tc>
          <w:tcPr>
            <w:tcW w:w="5723" w:type="dxa"/>
            <w:vAlign w:val="center"/>
          </w:tcPr>
          <w:p w14:paraId="34FC020B">
            <w:pPr>
              <w:rPr>
                <w:rFonts w:hint="eastAsia" w:ascii="仿宋" w:hAnsi="仿宋" w:eastAsia="仿宋" w:cs="仿宋"/>
              </w:rPr>
            </w:pPr>
            <w:r>
              <w:rPr>
                <w:rFonts w:hint="eastAsia" w:ascii="仿宋" w:hAnsi="仿宋" w:eastAsia="仿宋" w:cs="仿宋"/>
                <w:lang w:val="en-US" w:eastAsia="zh-CN"/>
              </w:rPr>
              <w:t>处置进度、实时参数（温度，时间等）、对任何异常功能的警报</w:t>
            </w:r>
          </w:p>
        </w:tc>
      </w:tr>
    </w:tbl>
    <w:p w14:paraId="61FA21EE">
      <w:pPr>
        <w:pStyle w:val="8"/>
        <w:numPr>
          <w:ilvl w:val="0"/>
          <w:numId w:val="0"/>
        </w:numPr>
        <w:ind w:leftChars="200"/>
        <w:rPr>
          <w:rFonts w:hint="eastAsia" w:ascii="仿宋" w:hAnsi="仿宋" w:eastAsia="仿宋" w:cs="仿宋"/>
          <w:b w:val="0"/>
          <w:bCs/>
          <w:sz w:val="18"/>
          <w:szCs w:val="18"/>
        </w:rPr>
      </w:pPr>
    </w:p>
    <w:p w14:paraId="6B19339C">
      <w:pPr>
        <w:pStyle w:val="8"/>
        <w:numPr>
          <w:ilvl w:val="0"/>
          <w:numId w:val="0"/>
        </w:numPr>
        <w:ind w:leftChars="200"/>
        <w:rPr>
          <w:rFonts w:hint="eastAsia" w:asciiTheme="minorEastAsia" w:hAnsiTheme="minorEastAsia" w:eastAsiaTheme="minorEastAsia" w:cstheme="minorEastAsia"/>
          <w:b w:val="0"/>
          <w:bCs/>
          <w:sz w:val="18"/>
          <w:szCs w:val="18"/>
        </w:rPr>
      </w:pPr>
    </w:p>
    <w:p w14:paraId="7D4969F4">
      <w:pPr>
        <w:pStyle w:val="8"/>
        <w:numPr>
          <w:ilvl w:val="0"/>
          <w:numId w:val="0"/>
        </w:numPr>
        <w:ind w:leftChars="200"/>
        <w:rPr>
          <w:rFonts w:hint="eastAsia" w:asciiTheme="minorEastAsia" w:hAnsiTheme="minorEastAsia" w:eastAsiaTheme="minorEastAsia" w:cstheme="minorEastAsia"/>
          <w:b w:val="0"/>
          <w:bCs/>
          <w:sz w:val="18"/>
          <w:szCs w:val="18"/>
        </w:rPr>
      </w:pPr>
    </w:p>
    <w:p w14:paraId="646F9163">
      <w:pPr>
        <w:pStyle w:val="8"/>
        <w:numPr>
          <w:ilvl w:val="0"/>
          <w:numId w:val="0"/>
        </w:numPr>
        <w:ind w:leftChars="200"/>
        <w:rPr>
          <w:rFonts w:hint="eastAsia" w:asciiTheme="minorEastAsia" w:hAnsiTheme="minorEastAsia" w:eastAsiaTheme="minorEastAsia" w:cstheme="minorEastAsia"/>
          <w:b w:val="0"/>
          <w:bCs/>
          <w:sz w:val="18"/>
          <w:szCs w:val="18"/>
        </w:rPr>
      </w:pPr>
    </w:p>
    <w:p w14:paraId="48368F6C">
      <w:pPr>
        <w:pStyle w:val="8"/>
        <w:numPr>
          <w:ilvl w:val="0"/>
          <w:numId w:val="0"/>
        </w:numPr>
        <w:ind w:leftChars="200"/>
        <w:jc w:val="center"/>
        <w:rPr>
          <w:rFonts w:hint="eastAsia" w:asciiTheme="minorEastAsia" w:hAnsiTheme="minorEastAsia" w:eastAsiaTheme="minorEastAsia" w:cstheme="minorEastAsia"/>
          <w:b w:val="0"/>
          <w:bCs/>
          <w:sz w:val="18"/>
          <w:szCs w:val="18"/>
        </w:rPr>
      </w:pPr>
    </w:p>
    <w:p w14:paraId="20F31A85">
      <w:pPr>
        <w:pStyle w:val="8"/>
        <w:numPr>
          <w:ilvl w:val="0"/>
          <w:numId w:val="0"/>
        </w:numPr>
        <w:ind w:leftChars="200"/>
        <w:jc w:val="center"/>
        <w:rPr>
          <w:rFonts w:hint="eastAsia" w:asciiTheme="minorEastAsia" w:hAnsiTheme="minorEastAsia" w:eastAsiaTheme="minorEastAsia" w:cstheme="minorEastAsia"/>
          <w:b w:val="0"/>
          <w:bCs/>
          <w:sz w:val="18"/>
          <w:szCs w:val="18"/>
        </w:rPr>
      </w:pPr>
    </w:p>
    <w:p w14:paraId="615DF2B9">
      <w:pPr>
        <w:pStyle w:val="8"/>
        <w:numPr>
          <w:ilvl w:val="0"/>
          <w:numId w:val="0"/>
        </w:numPr>
        <w:ind w:leftChars="200"/>
        <w:jc w:val="center"/>
        <w:rPr>
          <w:rFonts w:hint="eastAsia" w:asciiTheme="minorEastAsia" w:hAnsiTheme="minorEastAsia" w:eastAsiaTheme="minorEastAsia" w:cstheme="minorEastAsia"/>
          <w:b w:val="0"/>
          <w:bCs/>
          <w:sz w:val="18"/>
          <w:szCs w:val="18"/>
        </w:rPr>
      </w:pPr>
    </w:p>
    <w:tbl>
      <w:tblPr>
        <w:tblStyle w:val="25"/>
        <w:tblW w:w="92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
        <w:gridCol w:w="2803"/>
        <w:gridCol w:w="12"/>
        <w:gridCol w:w="6409"/>
      </w:tblGrid>
      <w:tr w14:paraId="19D60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2" w:type="dxa"/>
          <w:jc w:val="center"/>
        </w:trPr>
        <w:tc>
          <w:tcPr>
            <w:tcW w:w="9224" w:type="dxa"/>
            <w:gridSpan w:val="3"/>
            <w:vAlign w:val="center"/>
          </w:tcPr>
          <w:p w14:paraId="1C7B9B21">
            <w:pPr>
              <w:pStyle w:val="8"/>
              <w:numPr>
                <w:ilvl w:val="0"/>
                <w:numId w:val="0"/>
              </w:numPr>
              <w:tabs>
                <w:tab w:val="left" w:pos="780"/>
              </w:tabs>
              <w:ind w:leftChars="0"/>
              <w:jc w:val="center"/>
              <w:rPr>
                <w:rFonts w:hint="eastAsia" w:ascii="仿宋" w:hAnsi="仿宋" w:eastAsia="仿宋" w:cs="仿宋"/>
                <w:b/>
                <w:bCs w:val="0"/>
                <w:sz w:val="28"/>
                <w:szCs w:val="28"/>
              </w:rPr>
            </w:pPr>
            <w:r>
              <w:rPr>
                <w:rFonts w:hint="eastAsia" w:ascii="仿宋" w:hAnsi="仿宋" w:eastAsia="仿宋" w:cs="仿宋"/>
                <w:b/>
                <w:bCs w:val="0"/>
                <w:sz w:val="28"/>
                <w:szCs w:val="28"/>
                <w:lang w:val="en-US" w:eastAsia="zh-CN"/>
              </w:rPr>
              <w:t>三、</w:t>
            </w:r>
            <w:r>
              <w:rPr>
                <w:rFonts w:hint="eastAsia" w:ascii="仿宋" w:hAnsi="仿宋" w:eastAsia="仿宋" w:cs="仿宋"/>
                <w:b/>
                <w:bCs w:val="0"/>
                <w:sz w:val="28"/>
                <w:szCs w:val="28"/>
              </w:rPr>
              <w:t>医疗废物就地处置信息云系统</w:t>
            </w:r>
          </w:p>
          <w:p w14:paraId="34D61E44">
            <w:pPr>
              <w:pStyle w:val="8"/>
              <w:keepNext w:val="0"/>
              <w:keepLines w:val="0"/>
              <w:pageBreakBefore w:val="0"/>
              <w:widowControl w:val="0"/>
              <w:numPr>
                <w:ilvl w:val="0"/>
                <w:numId w:val="0"/>
              </w:numPr>
              <w:tabs>
                <w:tab w:val="left" w:pos="780"/>
              </w:tabs>
              <w:kinsoku/>
              <w:wordWrap/>
              <w:overflowPunct/>
              <w:topLinePunct w:val="0"/>
              <w:autoSpaceDE/>
              <w:autoSpaceDN/>
              <w:bidi w:val="0"/>
              <w:adjustRightInd/>
              <w:snapToGrid/>
              <w:spacing w:line="240" w:lineRule="auto"/>
              <w:textAlignment w:val="auto"/>
              <w:rPr>
                <w:rFonts w:hint="eastAsia" w:ascii="仿宋" w:hAnsi="仿宋" w:eastAsia="仿宋" w:cs="仿宋"/>
                <w:b/>
              </w:rPr>
            </w:pPr>
            <w:r>
              <w:rPr>
                <w:rFonts w:hint="eastAsia" w:ascii="仿宋" w:hAnsi="仿宋" w:eastAsia="仿宋" w:cs="仿宋"/>
                <w:b w:val="0"/>
                <w:bCs/>
                <w:sz w:val="18"/>
                <w:szCs w:val="18"/>
              </w:rPr>
              <w:t>系统概述：该系统专为</w:t>
            </w:r>
            <w:r>
              <w:rPr>
                <w:rFonts w:hint="eastAsia" w:ascii="仿宋" w:hAnsi="仿宋" w:eastAsia="仿宋" w:cs="仿宋"/>
                <w:b w:val="0"/>
                <w:bCs/>
                <w:sz w:val="18"/>
                <w:szCs w:val="18"/>
                <w:lang w:eastAsia="zh-CN"/>
              </w:rPr>
              <w:t>医疗废</w:t>
            </w:r>
            <w:r>
              <w:rPr>
                <w:rFonts w:hint="eastAsia" w:ascii="仿宋" w:hAnsi="仿宋" w:eastAsia="仿宋" w:cs="仿宋"/>
                <w:b w:val="0"/>
                <w:bCs/>
                <w:sz w:val="18"/>
                <w:szCs w:val="18"/>
              </w:rPr>
              <w:t>物处置设计，集成自动称重、全程追溯、数据上传和统计分析功能，实现</w:t>
            </w:r>
            <w:r>
              <w:rPr>
                <w:rFonts w:hint="eastAsia" w:ascii="仿宋" w:hAnsi="仿宋" w:eastAsia="仿宋" w:cs="仿宋"/>
                <w:b w:val="0"/>
                <w:bCs/>
                <w:sz w:val="18"/>
                <w:szCs w:val="18"/>
                <w:lang w:eastAsia="zh-CN"/>
              </w:rPr>
              <w:t>医疗废</w:t>
            </w:r>
            <w:r>
              <w:rPr>
                <w:rFonts w:hint="eastAsia" w:ascii="仿宋" w:hAnsi="仿宋" w:eastAsia="仿宋" w:cs="仿宋"/>
                <w:b w:val="0"/>
                <w:bCs/>
                <w:sz w:val="18"/>
                <w:szCs w:val="18"/>
              </w:rPr>
              <w:t>物从处置前到处置后的全生命周期管理 ，符合国家《医疗废物管理条例》 及相关环保法规要求。</w:t>
            </w:r>
          </w:p>
        </w:tc>
      </w:tr>
      <w:tr w14:paraId="7200C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2" w:type="dxa"/>
          <w:jc w:val="center"/>
        </w:trPr>
        <w:tc>
          <w:tcPr>
            <w:tcW w:w="9224" w:type="dxa"/>
            <w:gridSpan w:val="3"/>
            <w:vAlign w:val="center"/>
          </w:tcPr>
          <w:p w14:paraId="04616D93">
            <w:pPr>
              <w:pStyle w:val="8"/>
              <w:keepNext w:val="0"/>
              <w:keepLines w:val="0"/>
              <w:pageBreakBefore w:val="0"/>
              <w:widowControl w:val="0"/>
              <w:numPr>
                <w:ilvl w:val="0"/>
                <w:numId w:val="0"/>
              </w:numPr>
              <w:tabs>
                <w:tab w:val="left" w:pos="780"/>
              </w:tabs>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模块名称及技术规格</w:t>
            </w:r>
          </w:p>
        </w:tc>
      </w:tr>
      <w:tr w14:paraId="36434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2" w:type="dxa"/>
          <w:jc w:val="center"/>
        </w:trPr>
        <w:tc>
          <w:tcPr>
            <w:tcW w:w="2815" w:type="dxa"/>
            <w:gridSpan w:val="2"/>
            <w:vAlign w:val="center"/>
          </w:tcPr>
          <w:p w14:paraId="2728DB7D">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模块名称</w:t>
            </w:r>
          </w:p>
        </w:tc>
        <w:tc>
          <w:tcPr>
            <w:tcW w:w="6409" w:type="dxa"/>
            <w:vAlign w:val="center"/>
          </w:tcPr>
          <w:p w14:paraId="44D2D3B4">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技术规格</w:t>
            </w:r>
          </w:p>
        </w:tc>
      </w:tr>
      <w:tr w14:paraId="25738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2" w:type="dxa"/>
          <w:jc w:val="center"/>
        </w:trPr>
        <w:tc>
          <w:tcPr>
            <w:tcW w:w="2815" w:type="dxa"/>
            <w:gridSpan w:val="2"/>
            <w:vAlign w:val="center"/>
          </w:tcPr>
          <w:p w14:paraId="639A2213">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操作系统</w:t>
            </w:r>
          </w:p>
        </w:tc>
        <w:tc>
          <w:tcPr>
            <w:tcW w:w="6409" w:type="dxa"/>
            <w:vAlign w:val="center"/>
          </w:tcPr>
          <w:p w14:paraId="2A0DD178">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MQTT客户端</w:t>
            </w:r>
          </w:p>
        </w:tc>
      </w:tr>
      <w:tr w14:paraId="6ADA5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2" w:type="dxa"/>
          <w:jc w:val="center"/>
        </w:trPr>
        <w:tc>
          <w:tcPr>
            <w:tcW w:w="2815" w:type="dxa"/>
            <w:gridSpan w:val="2"/>
            <w:vAlign w:val="center"/>
          </w:tcPr>
          <w:p w14:paraId="6BFA717B">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屏幕</w:t>
            </w:r>
          </w:p>
        </w:tc>
        <w:tc>
          <w:tcPr>
            <w:tcW w:w="6409" w:type="dxa"/>
            <w:vAlign w:val="center"/>
          </w:tcPr>
          <w:p w14:paraId="5AAC867F">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多种尺寸可选（4.3 寸 / 7 寸 / 10 寸等）</w:t>
            </w:r>
          </w:p>
        </w:tc>
      </w:tr>
      <w:tr w14:paraId="07665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2" w:type="dxa"/>
          <w:jc w:val="center"/>
        </w:trPr>
        <w:tc>
          <w:tcPr>
            <w:tcW w:w="2815" w:type="dxa"/>
            <w:gridSpan w:val="2"/>
            <w:vAlign w:val="center"/>
          </w:tcPr>
          <w:p w14:paraId="621D5AA4">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通信协议</w:t>
            </w:r>
          </w:p>
        </w:tc>
        <w:tc>
          <w:tcPr>
            <w:tcW w:w="6409" w:type="dxa"/>
            <w:vAlign w:val="center"/>
          </w:tcPr>
          <w:p w14:paraId="5785724F">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HTTPS(TLS1.3)、MQTT 3.1.1(物联网协议)</w:t>
            </w:r>
          </w:p>
        </w:tc>
      </w:tr>
      <w:tr w14:paraId="1ADF8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2" w:type="dxa"/>
          <w:jc w:val="center"/>
        </w:trPr>
        <w:tc>
          <w:tcPr>
            <w:tcW w:w="2815" w:type="dxa"/>
            <w:gridSpan w:val="2"/>
            <w:vAlign w:val="center"/>
          </w:tcPr>
          <w:p w14:paraId="52C1F527">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CPU</w:t>
            </w:r>
          </w:p>
        </w:tc>
        <w:tc>
          <w:tcPr>
            <w:tcW w:w="6409" w:type="dxa"/>
            <w:vAlign w:val="center"/>
          </w:tcPr>
          <w:p w14:paraId="203684F4">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4 核 A7 架构，主频 1.2GHz</w:t>
            </w:r>
          </w:p>
        </w:tc>
      </w:tr>
      <w:tr w14:paraId="4BDEB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2" w:type="dxa"/>
          <w:jc w:val="center"/>
        </w:trPr>
        <w:tc>
          <w:tcPr>
            <w:tcW w:w="2815" w:type="dxa"/>
            <w:gridSpan w:val="2"/>
            <w:vAlign w:val="center"/>
          </w:tcPr>
          <w:p w14:paraId="0A9E0BCD">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内存</w:t>
            </w:r>
          </w:p>
        </w:tc>
        <w:tc>
          <w:tcPr>
            <w:tcW w:w="6409" w:type="dxa"/>
            <w:vAlign w:val="center"/>
          </w:tcPr>
          <w:p w14:paraId="3CE38F1E">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256MB DDR3L</w:t>
            </w:r>
          </w:p>
        </w:tc>
      </w:tr>
      <w:tr w14:paraId="2E166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2" w:type="dxa"/>
          <w:jc w:val="center"/>
        </w:trPr>
        <w:tc>
          <w:tcPr>
            <w:tcW w:w="2815" w:type="dxa"/>
            <w:gridSpan w:val="2"/>
            <w:vAlign w:val="center"/>
          </w:tcPr>
          <w:p w14:paraId="484122D9">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网络</w:t>
            </w:r>
          </w:p>
        </w:tc>
        <w:tc>
          <w:tcPr>
            <w:tcW w:w="6409" w:type="dxa"/>
            <w:vAlign w:val="center"/>
          </w:tcPr>
          <w:p w14:paraId="4A9D11CA">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支持有线网口、Wi-Fi、4G 全网通（隐藏式天线）</w:t>
            </w:r>
          </w:p>
        </w:tc>
      </w:tr>
      <w:tr w14:paraId="129D9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2" w:type="dxa"/>
          <w:jc w:val="center"/>
        </w:trPr>
        <w:tc>
          <w:tcPr>
            <w:tcW w:w="2815" w:type="dxa"/>
            <w:gridSpan w:val="2"/>
            <w:vAlign w:val="center"/>
          </w:tcPr>
          <w:p w14:paraId="3BD83E30">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串口</w:t>
            </w:r>
          </w:p>
        </w:tc>
        <w:tc>
          <w:tcPr>
            <w:tcW w:w="6409" w:type="dxa"/>
            <w:vAlign w:val="center"/>
          </w:tcPr>
          <w:p w14:paraId="6523DE91">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RS485/RS232，USB、MicroSD 卡扩展</w:t>
            </w:r>
          </w:p>
        </w:tc>
      </w:tr>
      <w:tr w14:paraId="4E072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2" w:type="dxa"/>
          <w:jc w:val="center"/>
        </w:trPr>
        <w:tc>
          <w:tcPr>
            <w:tcW w:w="2815" w:type="dxa"/>
            <w:gridSpan w:val="2"/>
            <w:vAlign w:val="center"/>
          </w:tcPr>
          <w:p w14:paraId="1137A77F">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工作环境</w:t>
            </w:r>
          </w:p>
        </w:tc>
        <w:tc>
          <w:tcPr>
            <w:tcW w:w="6409" w:type="dxa"/>
            <w:vAlign w:val="center"/>
          </w:tcPr>
          <w:p w14:paraId="6B70D232">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-10℃ ~ +55℃，工业宽温</w:t>
            </w:r>
          </w:p>
        </w:tc>
      </w:tr>
      <w:tr w14:paraId="5A1CE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36" w:type="dxa"/>
            <w:gridSpan w:val="4"/>
            <w:vAlign w:val="center"/>
          </w:tcPr>
          <w:p w14:paraId="19FD7074">
            <w:pPr>
              <w:pStyle w:val="8"/>
              <w:keepNext w:val="0"/>
              <w:keepLines w:val="0"/>
              <w:pageBreakBefore w:val="0"/>
              <w:widowControl w:val="0"/>
              <w:numPr>
                <w:ilvl w:val="0"/>
                <w:numId w:val="0"/>
              </w:numPr>
              <w:tabs>
                <w:tab w:val="left" w:pos="780"/>
              </w:tabs>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软件功能</w:t>
            </w:r>
          </w:p>
        </w:tc>
      </w:tr>
      <w:tr w14:paraId="53C52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5" w:type="dxa"/>
            <w:gridSpan w:val="2"/>
            <w:vAlign w:val="center"/>
          </w:tcPr>
          <w:p w14:paraId="2FFB7F10">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功能模块</w:t>
            </w:r>
          </w:p>
        </w:tc>
        <w:tc>
          <w:tcPr>
            <w:tcW w:w="6421" w:type="dxa"/>
            <w:gridSpan w:val="2"/>
            <w:vAlign w:val="center"/>
          </w:tcPr>
          <w:p w14:paraId="39994581">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需求（功能点）概述</w:t>
            </w:r>
          </w:p>
        </w:tc>
      </w:tr>
      <w:tr w14:paraId="7019E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5" w:type="dxa"/>
            <w:gridSpan w:val="2"/>
            <w:vAlign w:val="center"/>
          </w:tcPr>
          <w:p w14:paraId="6EA91CFF">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系统登录页</w:t>
            </w:r>
          </w:p>
        </w:tc>
        <w:tc>
          <w:tcPr>
            <w:tcW w:w="6421" w:type="dxa"/>
            <w:gridSpan w:val="2"/>
            <w:vAlign w:val="center"/>
          </w:tcPr>
          <w:p w14:paraId="7380B122">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登录，支持通过管理员预设账号密码登录系统</w:t>
            </w:r>
          </w:p>
        </w:tc>
      </w:tr>
      <w:tr w14:paraId="643B8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5" w:type="dxa"/>
            <w:gridSpan w:val="2"/>
            <w:vAlign w:val="center"/>
          </w:tcPr>
          <w:p w14:paraId="7CC87228">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用户信息</w:t>
            </w:r>
          </w:p>
        </w:tc>
        <w:tc>
          <w:tcPr>
            <w:tcW w:w="6421" w:type="dxa"/>
            <w:gridSpan w:val="2"/>
            <w:vAlign w:val="center"/>
          </w:tcPr>
          <w:p w14:paraId="46828709">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显示当前登录账号信息（头像、账号等）</w:t>
            </w:r>
          </w:p>
        </w:tc>
      </w:tr>
      <w:tr w14:paraId="790C4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5" w:type="dxa"/>
            <w:gridSpan w:val="2"/>
            <w:vAlign w:val="center"/>
          </w:tcPr>
          <w:p w14:paraId="044C55AF">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首页</w:t>
            </w:r>
          </w:p>
        </w:tc>
        <w:tc>
          <w:tcPr>
            <w:tcW w:w="6421" w:type="dxa"/>
            <w:gridSpan w:val="2"/>
            <w:vAlign w:val="center"/>
          </w:tcPr>
          <w:p w14:paraId="46705FFA">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数据平台，当日或当月医废处置统计、近7天的处置信息趋势图等数据看板</w:t>
            </w:r>
          </w:p>
        </w:tc>
      </w:tr>
      <w:tr w14:paraId="46028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5" w:type="dxa"/>
            <w:gridSpan w:val="2"/>
            <w:vAlign w:val="center"/>
          </w:tcPr>
          <w:p w14:paraId="772256ED">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 实时监控</w:t>
            </w:r>
          </w:p>
        </w:tc>
        <w:tc>
          <w:tcPr>
            <w:tcW w:w="6421" w:type="dxa"/>
            <w:gridSpan w:val="2"/>
            <w:vAlign w:val="center"/>
          </w:tcPr>
          <w:p w14:paraId="0332B87E">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集中监控，设备当前状态（离线、在线）、显示当前设备序列号等</w:t>
            </w:r>
          </w:p>
        </w:tc>
      </w:tr>
      <w:tr w14:paraId="4B80F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5" w:type="dxa"/>
            <w:gridSpan w:val="2"/>
            <w:vAlign w:val="center"/>
          </w:tcPr>
          <w:p w14:paraId="7941B893">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地图监控</w:t>
            </w:r>
          </w:p>
        </w:tc>
        <w:tc>
          <w:tcPr>
            <w:tcW w:w="6421" w:type="dxa"/>
            <w:gridSpan w:val="2"/>
            <w:vAlign w:val="center"/>
          </w:tcPr>
          <w:p w14:paraId="4B053CDB">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显示当前设备所在地址状态等信息</w:t>
            </w:r>
          </w:p>
        </w:tc>
      </w:tr>
      <w:tr w14:paraId="0DFAD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5" w:type="dxa"/>
            <w:gridSpan w:val="2"/>
            <w:vAlign w:val="center"/>
          </w:tcPr>
          <w:p w14:paraId="1ED6E43C">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采集管理</w:t>
            </w:r>
          </w:p>
        </w:tc>
        <w:tc>
          <w:tcPr>
            <w:tcW w:w="6421" w:type="dxa"/>
            <w:gridSpan w:val="2"/>
            <w:vAlign w:val="center"/>
          </w:tcPr>
          <w:p w14:paraId="58FBEB5E">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数据采集，采集医废处置信息的采集模板编辑</w:t>
            </w:r>
          </w:p>
        </w:tc>
      </w:tr>
      <w:tr w14:paraId="6420D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5" w:type="dxa"/>
            <w:gridSpan w:val="2"/>
            <w:vAlign w:val="center"/>
          </w:tcPr>
          <w:p w14:paraId="3D65D763">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规则引擎</w:t>
            </w:r>
          </w:p>
        </w:tc>
        <w:tc>
          <w:tcPr>
            <w:tcW w:w="6421" w:type="dxa"/>
            <w:gridSpan w:val="2"/>
            <w:vAlign w:val="center"/>
          </w:tcPr>
          <w:p w14:paraId="193B2985">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可制定设备杀菌认证的相关信息</w:t>
            </w:r>
          </w:p>
        </w:tc>
      </w:tr>
      <w:tr w14:paraId="3ABA3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5" w:type="dxa"/>
            <w:gridSpan w:val="2"/>
            <w:vAlign w:val="center"/>
          </w:tcPr>
          <w:p w14:paraId="35BAACCC">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设备档案</w:t>
            </w:r>
          </w:p>
        </w:tc>
        <w:tc>
          <w:tcPr>
            <w:tcW w:w="6421" w:type="dxa"/>
            <w:gridSpan w:val="2"/>
            <w:vAlign w:val="center"/>
          </w:tcPr>
          <w:p w14:paraId="6554AF40">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产品型号等相关设备型号的添加减少等功能</w:t>
            </w:r>
          </w:p>
        </w:tc>
      </w:tr>
      <w:tr w14:paraId="06EF9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5" w:type="dxa"/>
            <w:gridSpan w:val="2"/>
            <w:vAlign w:val="center"/>
          </w:tcPr>
          <w:p w14:paraId="6AB951EE">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设备列表</w:t>
            </w:r>
          </w:p>
        </w:tc>
        <w:tc>
          <w:tcPr>
            <w:tcW w:w="6421" w:type="dxa"/>
            <w:gridSpan w:val="2"/>
            <w:vAlign w:val="center"/>
          </w:tcPr>
          <w:p w14:paraId="03713CC9">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可制定设备序列号归属单位等信息</w:t>
            </w:r>
          </w:p>
        </w:tc>
      </w:tr>
      <w:tr w14:paraId="1DB9E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5" w:type="dxa"/>
            <w:gridSpan w:val="2"/>
            <w:vAlign w:val="center"/>
          </w:tcPr>
          <w:p w14:paraId="3EF179F2">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事件管理</w:t>
            </w:r>
          </w:p>
        </w:tc>
        <w:tc>
          <w:tcPr>
            <w:tcW w:w="6421" w:type="dxa"/>
            <w:gridSpan w:val="2"/>
            <w:vAlign w:val="center"/>
          </w:tcPr>
          <w:p w14:paraId="76F7E21E">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事件等级，预警等级分类：告警、通知、预警、故障、智能硬件保养等信息制定</w:t>
            </w:r>
          </w:p>
        </w:tc>
      </w:tr>
      <w:tr w14:paraId="34F71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5" w:type="dxa"/>
            <w:gridSpan w:val="2"/>
            <w:vAlign w:val="center"/>
          </w:tcPr>
          <w:p w14:paraId="579D74A2">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告警配置</w:t>
            </w:r>
          </w:p>
        </w:tc>
        <w:tc>
          <w:tcPr>
            <w:tcW w:w="6421" w:type="dxa"/>
            <w:gridSpan w:val="2"/>
            <w:vAlign w:val="center"/>
          </w:tcPr>
          <w:p w14:paraId="5F538ED0">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配置告警选项，可以按需求配置相关告警</w:t>
            </w:r>
          </w:p>
        </w:tc>
      </w:tr>
      <w:tr w14:paraId="46306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5" w:type="dxa"/>
            <w:gridSpan w:val="2"/>
            <w:vAlign w:val="center"/>
          </w:tcPr>
          <w:p w14:paraId="0FA37BD4">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事件提醒</w:t>
            </w:r>
          </w:p>
        </w:tc>
        <w:tc>
          <w:tcPr>
            <w:tcW w:w="6421" w:type="dxa"/>
            <w:gridSpan w:val="2"/>
            <w:vAlign w:val="center"/>
          </w:tcPr>
          <w:p w14:paraId="07AA2866">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设置事件提醒，例如设备关机等相关设备状态</w:t>
            </w:r>
          </w:p>
        </w:tc>
      </w:tr>
      <w:tr w14:paraId="68804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5" w:type="dxa"/>
            <w:gridSpan w:val="2"/>
            <w:vAlign w:val="center"/>
          </w:tcPr>
          <w:p w14:paraId="5B9E6ABF">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历史事件</w:t>
            </w:r>
          </w:p>
        </w:tc>
        <w:tc>
          <w:tcPr>
            <w:tcW w:w="6421" w:type="dxa"/>
            <w:gridSpan w:val="2"/>
            <w:vAlign w:val="center"/>
          </w:tcPr>
          <w:p w14:paraId="5A8AE363">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可查询历史事件</w:t>
            </w:r>
          </w:p>
        </w:tc>
      </w:tr>
      <w:tr w14:paraId="212FA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5" w:type="dxa"/>
            <w:gridSpan w:val="2"/>
            <w:vAlign w:val="center"/>
          </w:tcPr>
          <w:p w14:paraId="295FDFD0">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事件联系人</w:t>
            </w:r>
          </w:p>
        </w:tc>
        <w:tc>
          <w:tcPr>
            <w:tcW w:w="6421" w:type="dxa"/>
            <w:gridSpan w:val="2"/>
            <w:vAlign w:val="center"/>
          </w:tcPr>
          <w:p w14:paraId="093AF595">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事件联系人设置</w:t>
            </w:r>
          </w:p>
        </w:tc>
      </w:tr>
      <w:tr w14:paraId="735E3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5" w:type="dxa"/>
            <w:gridSpan w:val="2"/>
            <w:vAlign w:val="center"/>
          </w:tcPr>
          <w:p w14:paraId="6EB56AB0">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云组态</w:t>
            </w:r>
          </w:p>
        </w:tc>
        <w:tc>
          <w:tcPr>
            <w:tcW w:w="6421" w:type="dxa"/>
            <w:gridSpan w:val="2"/>
            <w:vAlign w:val="center"/>
          </w:tcPr>
          <w:p w14:paraId="13C4E61A">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组态配置，数据驾驶舱界面配置，设置完成可以将其设为主页</w:t>
            </w:r>
          </w:p>
        </w:tc>
      </w:tr>
      <w:tr w14:paraId="6D1D9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5" w:type="dxa"/>
            <w:gridSpan w:val="2"/>
            <w:vAlign w:val="center"/>
          </w:tcPr>
          <w:p w14:paraId="599BED53">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数据源</w:t>
            </w:r>
          </w:p>
        </w:tc>
        <w:tc>
          <w:tcPr>
            <w:tcW w:w="6421" w:type="dxa"/>
            <w:gridSpan w:val="2"/>
            <w:vAlign w:val="center"/>
          </w:tcPr>
          <w:p w14:paraId="518C23F0">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数据驾驶舱收集的底层逻辑</w:t>
            </w:r>
          </w:p>
        </w:tc>
      </w:tr>
      <w:tr w14:paraId="3550A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5" w:type="dxa"/>
            <w:gridSpan w:val="2"/>
            <w:vAlign w:val="center"/>
          </w:tcPr>
          <w:p w14:paraId="72FA9AA9">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数据报表</w:t>
            </w:r>
          </w:p>
        </w:tc>
        <w:tc>
          <w:tcPr>
            <w:tcW w:w="6421" w:type="dxa"/>
            <w:gridSpan w:val="2"/>
            <w:vAlign w:val="center"/>
          </w:tcPr>
          <w:p w14:paraId="0F983430">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报表任务，可以设置定时任务，每月指定时间下载数据报表</w:t>
            </w:r>
          </w:p>
        </w:tc>
      </w:tr>
      <w:tr w14:paraId="7E371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5" w:type="dxa"/>
            <w:gridSpan w:val="2"/>
            <w:vAlign w:val="center"/>
          </w:tcPr>
          <w:p w14:paraId="1B514D68">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报表下载</w:t>
            </w:r>
          </w:p>
        </w:tc>
        <w:tc>
          <w:tcPr>
            <w:tcW w:w="6421" w:type="dxa"/>
            <w:gridSpan w:val="2"/>
            <w:vAlign w:val="center"/>
          </w:tcPr>
          <w:p w14:paraId="7FD3E91F">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历史下载报表查询</w:t>
            </w:r>
          </w:p>
        </w:tc>
      </w:tr>
      <w:tr w14:paraId="37E60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5" w:type="dxa"/>
            <w:gridSpan w:val="2"/>
            <w:vAlign w:val="center"/>
          </w:tcPr>
          <w:p w14:paraId="6568D7A1">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系统拓展</w:t>
            </w:r>
          </w:p>
        </w:tc>
        <w:tc>
          <w:tcPr>
            <w:tcW w:w="6421" w:type="dxa"/>
            <w:gridSpan w:val="2"/>
            <w:vAlign w:val="center"/>
          </w:tcPr>
          <w:p w14:paraId="38557405">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摄像头，可添加云摄像头，并可在实时监控中远程查看</w:t>
            </w:r>
          </w:p>
        </w:tc>
      </w:tr>
      <w:tr w14:paraId="4EF8C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15" w:type="dxa"/>
            <w:gridSpan w:val="2"/>
            <w:vAlign w:val="center"/>
          </w:tcPr>
          <w:p w14:paraId="7A91648B">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权限管理</w:t>
            </w:r>
          </w:p>
        </w:tc>
        <w:tc>
          <w:tcPr>
            <w:tcW w:w="6421" w:type="dxa"/>
            <w:gridSpan w:val="2"/>
            <w:vAlign w:val="center"/>
          </w:tcPr>
          <w:p w14:paraId="0A56FC58">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组织机构，管理员、厂家、操作员等相关人员设置</w:t>
            </w:r>
          </w:p>
        </w:tc>
      </w:tr>
      <w:tr w14:paraId="3789C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5" w:type="dxa"/>
            <w:gridSpan w:val="2"/>
            <w:vAlign w:val="center"/>
          </w:tcPr>
          <w:p w14:paraId="7B8DC7F3">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授权</w:t>
            </w:r>
          </w:p>
        </w:tc>
        <w:tc>
          <w:tcPr>
            <w:tcW w:w="6421" w:type="dxa"/>
            <w:gridSpan w:val="2"/>
            <w:vAlign w:val="center"/>
          </w:tcPr>
          <w:p w14:paraId="1415F8FF">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主管理员授权给相应人员权限</w:t>
            </w:r>
          </w:p>
        </w:tc>
      </w:tr>
    </w:tbl>
    <w:p w14:paraId="61C9E81A">
      <w:pPr>
        <w:pStyle w:val="8"/>
        <w:numPr>
          <w:ilvl w:val="0"/>
          <w:numId w:val="0"/>
        </w:numPr>
        <w:ind w:leftChars="200"/>
        <w:rPr>
          <w:rFonts w:hint="eastAsia" w:asciiTheme="minorEastAsia" w:hAnsiTheme="minorEastAsia" w:eastAsiaTheme="minorEastAsia" w:cstheme="minorEastAsia"/>
          <w:b w:val="0"/>
          <w:bCs/>
          <w:sz w:val="18"/>
          <w:szCs w:val="18"/>
        </w:rPr>
      </w:pPr>
    </w:p>
    <w:tbl>
      <w:tblPr>
        <w:tblStyle w:val="25"/>
        <w:tblW w:w="5017" w:type="pct"/>
        <w:tblInd w:w="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81"/>
        <w:gridCol w:w="6238"/>
      </w:tblGrid>
      <w:tr w14:paraId="4D18D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2"/>
            <w:vAlign w:val="center"/>
          </w:tcPr>
          <w:p w14:paraId="12BDF4AB">
            <w:pPr>
              <w:jc w:val="center"/>
              <w:rPr>
                <w:b/>
              </w:rPr>
            </w:pPr>
            <w:r>
              <w:rPr>
                <w:rFonts w:hint="eastAsia" w:asciiTheme="minorEastAsia" w:hAnsiTheme="minorEastAsia" w:eastAsiaTheme="minorEastAsia" w:cstheme="minorEastAsia"/>
                <w:b/>
                <w:bCs w:val="0"/>
                <w:sz w:val="28"/>
                <w:szCs w:val="28"/>
                <w:lang w:val="en-US" w:eastAsia="zh-CN"/>
              </w:rPr>
              <w:t>四、</w:t>
            </w:r>
            <w:r>
              <w:rPr>
                <w:rFonts w:hint="eastAsia" w:asciiTheme="minorEastAsia" w:hAnsiTheme="minorEastAsia" w:eastAsiaTheme="minorEastAsia" w:cstheme="minorEastAsia"/>
                <w:b/>
                <w:bCs w:val="0"/>
                <w:sz w:val="28"/>
                <w:szCs w:val="28"/>
              </w:rPr>
              <w:t>医疗废物就地处置智能环保设施</w:t>
            </w:r>
          </w:p>
        </w:tc>
      </w:tr>
      <w:tr w14:paraId="1BBFE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3" w:type="pct"/>
            <w:vAlign w:val="center"/>
          </w:tcPr>
          <w:p w14:paraId="729C5D3F">
            <w:pPr>
              <w:jc w:val="left"/>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参数名称</w:t>
            </w:r>
          </w:p>
        </w:tc>
        <w:tc>
          <w:tcPr>
            <w:tcW w:w="3346" w:type="pct"/>
            <w:vAlign w:val="center"/>
          </w:tcPr>
          <w:p w14:paraId="1DA670BC">
            <w:pPr>
              <w:jc w:val="left"/>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参数要求</w:t>
            </w:r>
          </w:p>
        </w:tc>
      </w:tr>
      <w:tr w14:paraId="3D73A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3" w:type="pct"/>
            <w:vAlign w:val="center"/>
          </w:tcPr>
          <w:p w14:paraId="3D47281A">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 产品形态</w:t>
            </w:r>
          </w:p>
        </w:tc>
        <w:tc>
          <w:tcPr>
            <w:tcW w:w="3346" w:type="pct"/>
            <w:vAlign w:val="center"/>
          </w:tcPr>
          <w:p w14:paraId="4867B658">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整屋形式的环保舱，不占用原医废暂存间</w:t>
            </w:r>
          </w:p>
        </w:tc>
      </w:tr>
      <w:tr w14:paraId="35CF3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1653" w:type="pct"/>
            <w:vAlign w:val="center"/>
          </w:tcPr>
          <w:p w14:paraId="1A3D2BF2">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 设施大小</w:t>
            </w:r>
          </w:p>
        </w:tc>
        <w:tc>
          <w:tcPr>
            <w:tcW w:w="3346" w:type="pct"/>
            <w:vAlign w:val="center"/>
          </w:tcPr>
          <w:p w14:paraId="643DC5B6">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占地不超过15㎡</w:t>
            </w:r>
          </w:p>
        </w:tc>
      </w:tr>
      <w:tr w14:paraId="136CE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3" w:type="pct"/>
            <w:vAlign w:val="center"/>
          </w:tcPr>
          <w:p w14:paraId="5D09256B">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设施整体重量</w:t>
            </w:r>
          </w:p>
        </w:tc>
        <w:tc>
          <w:tcPr>
            <w:tcW w:w="3346" w:type="pct"/>
            <w:vAlign w:val="center"/>
          </w:tcPr>
          <w:p w14:paraId="4708DB7D">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不超过3吨</w:t>
            </w:r>
          </w:p>
        </w:tc>
      </w:tr>
      <w:tr w14:paraId="44616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3" w:type="pct"/>
            <w:vAlign w:val="center"/>
          </w:tcPr>
          <w:p w14:paraId="48CC6597">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设施功能分区</w:t>
            </w:r>
          </w:p>
        </w:tc>
        <w:tc>
          <w:tcPr>
            <w:tcW w:w="3346" w:type="pct"/>
            <w:vAlign w:val="center"/>
          </w:tcPr>
          <w:p w14:paraId="2AB90C58">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至少分两区，操作区要独立</w:t>
            </w:r>
          </w:p>
        </w:tc>
      </w:tr>
      <w:tr w14:paraId="0908A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3" w:type="pct"/>
            <w:vAlign w:val="center"/>
          </w:tcPr>
          <w:p w14:paraId="03473F27">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作业环境</w:t>
            </w:r>
          </w:p>
        </w:tc>
        <w:tc>
          <w:tcPr>
            <w:tcW w:w="3346" w:type="pct"/>
            <w:vAlign w:val="center"/>
          </w:tcPr>
          <w:p w14:paraId="267D5172">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操作区无恶臭</w:t>
            </w:r>
          </w:p>
        </w:tc>
      </w:tr>
      <w:tr w14:paraId="53565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3" w:type="pct"/>
            <w:vAlign w:val="center"/>
          </w:tcPr>
          <w:p w14:paraId="44ACE47E">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设施整体功率</w:t>
            </w:r>
          </w:p>
        </w:tc>
        <w:tc>
          <w:tcPr>
            <w:tcW w:w="3346" w:type="pct"/>
            <w:vAlign w:val="center"/>
          </w:tcPr>
          <w:p w14:paraId="6FDA0391">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不超过20kW</w:t>
            </w:r>
          </w:p>
        </w:tc>
      </w:tr>
      <w:tr w14:paraId="4BD8E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3" w:type="pct"/>
            <w:vAlign w:val="center"/>
          </w:tcPr>
          <w:p w14:paraId="3F123681">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设施废气处置</w:t>
            </w:r>
          </w:p>
        </w:tc>
        <w:tc>
          <w:tcPr>
            <w:tcW w:w="3346" w:type="pct"/>
            <w:vAlign w:val="center"/>
          </w:tcPr>
          <w:p w14:paraId="32A9B626">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具有独立的废气处置装置</w:t>
            </w:r>
          </w:p>
        </w:tc>
      </w:tr>
      <w:tr w14:paraId="15402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3" w:type="pct"/>
            <w:vAlign w:val="center"/>
          </w:tcPr>
          <w:p w14:paraId="7A5307C9">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设施保温功能</w:t>
            </w:r>
          </w:p>
        </w:tc>
        <w:tc>
          <w:tcPr>
            <w:tcW w:w="3346" w:type="pct"/>
            <w:vAlign w:val="center"/>
          </w:tcPr>
          <w:p w14:paraId="661A42B4">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即使室外低于零下20℃时，室内不低于10℃</w:t>
            </w:r>
          </w:p>
        </w:tc>
      </w:tr>
    </w:tbl>
    <w:p w14:paraId="2FDCD1B7">
      <w:pPr>
        <w:rPr>
          <w:rFonts w:hint="eastAsia" w:asciiTheme="minorEastAsia" w:hAnsiTheme="minorEastAsia" w:eastAsiaTheme="minorEastAsia" w:cstheme="minorEastAsia"/>
          <w:b w:val="0"/>
          <w:bCs/>
          <w:sz w:val="18"/>
          <w:szCs w:val="18"/>
        </w:rPr>
      </w:pPr>
    </w:p>
    <w:tbl>
      <w:tblPr>
        <w:tblStyle w:val="25"/>
        <w:tblW w:w="9292" w:type="dxa"/>
        <w:tblInd w:w="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29"/>
        <w:gridCol w:w="882"/>
        <w:gridCol w:w="23"/>
        <w:gridCol w:w="2454"/>
        <w:gridCol w:w="3420"/>
        <w:gridCol w:w="7"/>
        <w:gridCol w:w="77"/>
      </w:tblGrid>
      <w:tr w14:paraId="1AC5D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2" w:type="dxa"/>
            <w:gridSpan w:val="7"/>
            <w:vAlign w:val="center"/>
          </w:tcPr>
          <w:p w14:paraId="6B640A16">
            <w:pPr>
              <w:pStyle w:val="8"/>
              <w:numPr>
                <w:ilvl w:val="0"/>
                <w:numId w:val="0"/>
              </w:numPr>
              <w:tabs>
                <w:tab w:val="left" w:pos="780"/>
              </w:tabs>
              <w:ind w:leftChars="0"/>
              <w:jc w:val="center"/>
              <w:rPr>
                <w:rFonts w:hint="eastAsia" w:ascii="仿宋" w:hAnsi="仿宋" w:eastAsia="仿宋" w:cs="仿宋"/>
                <w:b/>
                <w:bCs w:val="0"/>
                <w:sz w:val="28"/>
                <w:szCs w:val="28"/>
              </w:rPr>
            </w:pPr>
            <w:r>
              <w:rPr>
                <w:rFonts w:hint="eastAsia" w:ascii="仿宋" w:hAnsi="仿宋" w:eastAsia="仿宋" w:cs="仿宋"/>
                <w:b/>
                <w:bCs w:val="0"/>
                <w:sz w:val="28"/>
                <w:szCs w:val="28"/>
                <w:lang w:val="en-US" w:eastAsia="zh-CN"/>
              </w:rPr>
              <w:t>五、</w:t>
            </w:r>
            <w:r>
              <w:rPr>
                <w:rFonts w:hint="eastAsia" w:ascii="仿宋" w:hAnsi="仿宋" w:eastAsia="仿宋" w:cs="仿宋"/>
                <w:b/>
                <w:bCs w:val="0"/>
                <w:sz w:val="28"/>
                <w:szCs w:val="28"/>
              </w:rPr>
              <w:t>医废智能收集溯源系统</w:t>
            </w:r>
          </w:p>
          <w:p w14:paraId="44A0E5C6">
            <w:pPr>
              <w:rPr>
                <w:rFonts w:hint="eastAsia" w:ascii="仿宋" w:hAnsi="仿宋" w:eastAsia="仿宋" w:cs="仿宋"/>
                <w:b w:val="0"/>
                <w:bCs/>
                <w:sz w:val="18"/>
                <w:szCs w:val="18"/>
              </w:rPr>
            </w:pPr>
            <w:r>
              <w:rPr>
                <w:rFonts w:hint="eastAsia" w:ascii="仿宋" w:hAnsi="仿宋" w:eastAsia="仿宋" w:cs="仿宋"/>
                <w:b w:val="0"/>
                <w:bCs/>
                <w:sz w:val="18"/>
                <w:szCs w:val="18"/>
              </w:rPr>
              <w:t>系统概述：该系统专为</w:t>
            </w:r>
            <w:r>
              <w:rPr>
                <w:rFonts w:hint="eastAsia" w:ascii="仿宋" w:hAnsi="仿宋" w:eastAsia="仿宋" w:cs="仿宋"/>
                <w:b w:val="0"/>
                <w:bCs/>
                <w:sz w:val="18"/>
                <w:szCs w:val="18"/>
                <w:lang w:eastAsia="zh-CN"/>
              </w:rPr>
              <w:t>医疗废</w:t>
            </w:r>
            <w:r>
              <w:rPr>
                <w:rFonts w:hint="eastAsia" w:ascii="仿宋" w:hAnsi="仿宋" w:eastAsia="仿宋" w:cs="仿宋"/>
                <w:b w:val="0"/>
                <w:bCs/>
                <w:sz w:val="18"/>
                <w:szCs w:val="18"/>
              </w:rPr>
              <w:t>物转运流程设计，集成自动称重、全程追溯、数据上传和统计分析功能，实现医疗废物从产生到处置的全生命周期管理 ，符合国家《医疗废物管理条例》 及相关环保法规要求。</w:t>
            </w:r>
          </w:p>
          <w:p w14:paraId="14DAECA2">
            <w:pPr>
              <w:numPr>
                <w:ilvl w:val="0"/>
                <w:numId w:val="0"/>
              </w:numPr>
              <w:ind w:left="420" w:leftChars="0"/>
              <w:rPr>
                <w:rFonts w:hint="eastAsia" w:ascii="仿宋" w:hAnsi="仿宋" w:eastAsia="仿宋" w:cs="仿宋"/>
              </w:rPr>
            </w:pPr>
          </w:p>
        </w:tc>
      </w:tr>
      <w:tr w14:paraId="1F66B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2" w:type="dxa"/>
            <w:gridSpan w:val="7"/>
            <w:vAlign w:val="center"/>
          </w:tcPr>
          <w:p w14:paraId="13FAE2A4">
            <w:pPr>
              <w:jc w:val="left"/>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模块名称及技术规格</w:t>
            </w:r>
          </w:p>
        </w:tc>
      </w:tr>
      <w:tr w14:paraId="02256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34" w:type="dxa"/>
            <w:gridSpan w:val="3"/>
            <w:vAlign w:val="center"/>
          </w:tcPr>
          <w:p w14:paraId="2E11E4F3">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模块名称</w:t>
            </w:r>
          </w:p>
        </w:tc>
        <w:tc>
          <w:tcPr>
            <w:tcW w:w="5958" w:type="dxa"/>
            <w:gridSpan w:val="4"/>
            <w:vAlign w:val="center"/>
          </w:tcPr>
          <w:p w14:paraId="01E7ED75">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技术规格</w:t>
            </w:r>
          </w:p>
        </w:tc>
      </w:tr>
      <w:tr w14:paraId="07F9A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34" w:type="dxa"/>
            <w:gridSpan w:val="3"/>
            <w:vAlign w:val="center"/>
          </w:tcPr>
          <w:p w14:paraId="0D7D1AD4">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操作系统</w:t>
            </w:r>
          </w:p>
        </w:tc>
        <w:tc>
          <w:tcPr>
            <w:tcW w:w="5958" w:type="dxa"/>
            <w:gridSpan w:val="4"/>
            <w:vAlign w:val="center"/>
          </w:tcPr>
          <w:p w14:paraId="104D310F">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nginx1.21及以上，jdk1.8</w:t>
            </w:r>
          </w:p>
        </w:tc>
      </w:tr>
      <w:tr w14:paraId="22923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34" w:type="dxa"/>
            <w:gridSpan w:val="3"/>
            <w:vAlign w:val="center"/>
          </w:tcPr>
          <w:p w14:paraId="1455FA0B">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控制面板</w:t>
            </w:r>
          </w:p>
        </w:tc>
        <w:tc>
          <w:tcPr>
            <w:tcW w:w="5958" w:type="dxa"/>
            <w:gridSpan w:val="4"/>
            <w:vAlign w:val="center"/>
          </w:tcPr>
          <w:p w14:paraId="59C3E050">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宝塔面板9.0  及以上</w:t>
            </w:r>
          </w:p>
        </w:tc>
      </w:tr>
      <w:tr w14:paraId="22A50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34" w:type="dxa"/>
            <w:gridSpan w:val="3"/>
            <w:vAlign w:val="center"/>
          </w:tcPr>
          <w:p w14:paraId="1A593479">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开发箱架</w:t>
            </w:r>
          </w:p>
        </w:tc>
        <w:tc>
          <w:tcPr>
            <w:tcW w:w="5958" w:type="dxa"/>
            <w:gridSpan w:val="4"/>
            <w:vAlign w:val="center"/>
          </w:tcPr>
          <w:p w14:paraId="735EA491">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前端：Vue.js 3.0 + Element Plus ，后端：JAVA</w:t>
            </w:r>
          </w:p>
        </w:tc>
      </w:tr>
      <w:tr w14:paraId="19B23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34" w:type="dxa"/>
            <w:gridSpan w:val="3"/>
            <w:vAlign w:val="center"/>
          </w:tcPr>
          <w:p w14:paraId="08C2E0D2">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通信协议</w:t>
            </w:r>
          </w:p>
        </w:tc>
        <w:tc>
          <w:tcPr>
            <w:tcW w:w="5958" w:type="dxa"/>
            <w:gridSpan w:val="4"/>
            <w:vAlign w:val="center"/>
          </w:tcPr>
          <w:p w14:paraId="030251D3">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HTTPS(TLS1.3)、MQTT 3.1.1(物联网协议)、WebSocket</w:t>
            </w:r>
          </w:p>
        </w:tc>
      </w:tr>
      <w:tr w14:paraId="25815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34" w:type="dxa"/>
            <w:gridSpan w:val="3"/>
            <w:vAlign w:val="center"/>
          </w:tcPr>
          <w:p w14:paraId="0D55C1F4">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数据存储</w:t>
            </w:r>
          </w:p>
        </w:tc>
        <w:tc>
          <w:tcPr>
            <w:tcW w:w="5958" w:type="dxa"/>
            <w:gridSpan w:val="4"/>
            <w:vAlign w:val="center"/>
          </w:tcPr>
          <w:p w14:paraId="668EC5B1">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本地服务器：mysql 5.7  及以上</w:t>
            </w:r>
          </w:p>
        </w:tc>
      </w:tr>
      <w:tr w14:paraId="230D5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2" w:type="dxa"/>
            <w:gridSpan w:val="7"/>
            <w:vAlign w:val="center"/>
          </w:tcPr>
          <w:p w14:paraId="76F83327">
            <w:pPr>
              <w:jc w:val="left"/>
              <w:rPr>
                <w:rFonts w:hint="eastAsia" w:ascii="仿宋" w:hAnsi="仿宋" w:eastAsia="仿宋" w:cs="仿宋"/>
                <w:color w:val="000000"/>
                <w:sz w:val="24"/>
                <w:szCs w:val="24"/>
                <w:lang w:val="en-US" w:eastAsia="zh-CN" w:bidi="en-US"/>
              </w:rPr>
            </w:pPr>
            <w:r>
              <w:rPr>
                <w:rFonts w:hint="eastAsia" w:ascii="仿宋" w:hAnsi="仿宋" w:eastAsia="仿宋" w:cs="仿宋"/>
                <w:b/>
                <w:bCs/>
                <w:color w:val="000000"/>
                <w:sz w:val="24"/>
                <w:szCs w:val="24"/>
                <w:lang w:val="en-US" w:eastAsia="zh-CN" w:bidi="en-US"/>
              </w:rPr>
              <w:t>软件功能</w:t>
            </w:r>
          </w:p>
        </w:tc>
      </w:tr>
      <w:tr w14:paraId="7D0D2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9" w:type="dxa"/>
            <w:vAlign w:val="center"/>
          </w:tcPr>
          <w:p w14:paraId="7B37396C">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子系统</w:t>
            </w:r>
          </w:p>
        </w:tc>
        <w:tc>
          <w:tcPr>
            <w:tcW w:w="3359" w:type="dxa"/>
            <w:gridSpan w:val="3"/>
            <w:vAlign w:val="center"/>
          </w:tcPr>
          <w:p w14:paraId="61BCB240">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功能模块</w:t>
            </w:r>
          </w:p>
        </w:tc>
        <w:tc>
          <w:tcPr>
            <w:tcW w:w="3504" w:type="dxa"/>
            <w:gridSpan w:val="3"/>
            <w:vAlign w:val="center"/>
          </w:tcPr>
          <w:p w14:paraId="3ABF1161">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需求（功能点）概述</w:t>
            </w:r>
          </w:p>
        </w:tc>
      </w:tr>
      <w:tr w14:paraId="47B8B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9" w:type="dxa"/>
            <w:vMerge w:val="restart"/>
            <w:vAlign w:val="center"/>
          </w:tcPr>
          <w:p w14:paraId="7638121F">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PC 管理平台</w:t>
            </w:r>
          </w:p>
        </w:tc>
        <w:tc>
          <w:tcPr>
            <w:tcW w:w="3359" w:type="dxa"/>
            <w:gridSpan w:val="3"/>
            <w:vAlign w:val="center"/>
          </w:tcPr>
          <w:p w14:paraId="1550A8B1">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首页</w:t>
            </w:r>
          </w:p>
        </w:tc>
        <w:tc>
          <w:tcPr>
            <w:tcW w:w="3504" w:type="dxa"/>
            <w:gridSpan w:val="3"/>
            <w:vAlign w:val="center"/>
          </w:tcPr>
          <w:p w14:paraId="344BE250">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登录，支持通过管理员预设账号密码登录系统</w:t>
            </w:r>
          </w:p>
        </w:tc>
      </w:tr>
      <w:tr w14:paraId="16604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9" w:type="dxa"/>
            <w:vMerge w:val="continue"/>
            <w:vAlign w:val="center"/>
          </w:tcPr>
          <w:p w14:paraId="64D53B98">
            <w:pPr>
              <w:rPr>
                <w:rFonts w:hint="eastAsia" w:ascii="仿宋" w:hAnsi="仿宋" w:eastAsia="仿宋" w:cs="仿宋"/>
                <w:color w:val="000000"/>
                <w:sz w:val="24"/>
                <w:szCs w:val="24"/>
                <w:lang w:val="en-US" w:eastAsia="zh-CN" w:bidi="en-US"/>
              </w:rPr>
            </w:pPr>
          </w:p>
        </w:tc>
        <w:tc>
          <w:tcPr>
            <w:tcW w:w="3359" w:type="dxa"/>
            <w:gridSpan w:val="3"/>
            <w:vAlign w:val="center"/>
          </w:tcPr>
          <w:p w14:paraId="0EC121C3">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用户信息</w:t>
            </w:r>
          </w:p>
        </w:tc>
        <w:tc>
          <w:tcPr>
            <w:tcW w:w="3504" w:type="dxa"/>
            <w:gridSpan w:val="3"/>
            <w:vAlign w:val="center"/>
          </w:tcPr>
          <w:p w14:paraId="206472E0">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显示当前登录账号信息（头像 、账号等）</w:t>
            </w:r>
          </w:p>
        </w:tc>
      </w:tr>
      <w:tr w14:paraId="1D63F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9" w:type="dxa"/>
            <w:vMerge w:val="continue"/>
            <w:vAlign w:val="center"/>
          </w:tcPr>
          <w:p w14:paraId="76E323F4">
            <w:pPr>
              <w:rPr>
                <w:rFonts w:hint="eastAsia" w:ascii="仿宋" w:hAnsi="仿宋" w:eastAsia="仿宋" w:cs="仿宋"/>
                <w:color w:val="000000"/>
                <w:sz w:val="24"/>
                <w:szCs w:val="24"/>
                <w:lang w:val="en-US" w:eastAsia="zh-CN" w:bidi="en-US"/>
              </w:rPr>
            </w:pPr>
          </w:p>
        </w:tc>
        <w:tc>
          <w:tcPr>
            <w:tcW w:w="3359" w:type="dxa"/>
            <w:gridSpan w:val="3"/>
            <w:vAlign w:val="center"/>
          </w:tcPr>
          <w:p w14:paraId="18F7F662">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汇总数据</w:t>
            </w:r>
          </w:p>
        </w:tc>
        <w:tc>
          <w:tcPr>
            <w:tcW w:w="3504" w:type="dxa"/>
            <w:gridSpan w:val="3"/>
            <w:vAlign w:val="center"/>
          </w:tcPr>
          <w:p w14:paraId="7821A9EA">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提供当月医废收集统计、近 7 天收集/出库趋势、科室收集量排名等数据可视化看板</w:t>
            </w:r>
          </w:p>
        </w:tc>
      </w:tr>
      <w:tr w14:paraId="53101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9" w:type="dxa"/>
            <w:vMerge w:val="continue"/>
            <w:vAlign w:val="center"/>
          </w:tcPr>
          <w:p w14:paraId="089BF135">
            <w:pPr>
              <w:rPr>
                <w:rFonts w:hint="eastAsia" w:ascii="仿宋" w:hAnsi="仿宋" w:eastAsia="仿宋" w:cs="仿宋"/>
                <w:color w:val="000000"/>
                <w:sz w:val="24"/>
                <w:szCs w:val="24"/>
                <w:lang w:val="en-US" w:eastAsia="zh-CN" w:bidi="en-US"/>
              </w:rPr>
            </w:pPr>
          </w:p>
        </w:tc>
        <w:tc>
          <w:tcPr>
            <w:tcW w:w="3359" w:type="dxa"/>
            <w:gridSpan w:val="3"/>
            <w:vAlign w:val="center"/>
          </w:tcPr>
          <w:p w14:paraId="4E5C9004">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日常业务-医废收集</w:t>
            </w:r>
          </w:p>
        </w:tc>
        <w:tc>
          <w:tcPr>
            <w:tcW w:w="3504" w:type="dxa"/>
            <w:gridSpan w:val="3"/>
            <w:vAlign w:val="center"/>
          </w:tcPr>
          <w:p w14:paraId="61D1EDDE">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显示医废收集任务列表及详情， 支持管理员数据维护</w:t>
            </w:r>
          </w:p>
        </w:tc>
      </w:tr>
      <w:tr w14:paraId="383D6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9" w:type="dxa"/>
            <w:vMerge w:val="continue"/>
            <w:vAlign w:val="center"/>
          </w:tcPr>
          <w:p w14:paraId="72E72A48">
            <w:pPr>
              <w:rPr>
                <w:rFonts w:hint="eastAsia" w:ascii="仿宋" w:hAnsi="仿宋" w:eastAsia="仿宋" w:cs="仿宋"/>
                <w:color w:val="000000"/>
                <w:sz w:val="24"/>
                <w:szCs w:val="24"/>
                <w:lang w:val="en-US" w:eastAsia="zh-CN" w:bidi="en-US"/>
              </w:rPr>
            </w:pPr>
          </w:p>
        </w:tc>
        <w:tc>
          <w:tcPr>
            <w:tcW w:w="3359" w:type="dxa"/>
            <w:gridSpan w:val="3"/>
            <w:vAlign w:val="center"/>
          </w:tcPr>
          <w:p w14:paraId="4B9B0C20">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医废收集明细</w:t>
            </w:r>
          </w:p>
        </w:tc>
        <w:tc>
          <w:tcPr>
            <w:tcW w:w="3504" w:type="dxa"/>
            <w:gridSpan w:val="3"/>
            <w:vAlign w:val="center"/>
          </w:tcPr>
          <w:p w14:paraId="4CF52C4C">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提供依日期、科室、收集人员等条件，查询医废收集过程明细数据信息</w:t>
            </w:r>
          </w:p>
        </w:tc>
      </w:tr>
      <w:tr w14:paraId="769D3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9" w:type="dxa"/>
            <w:vMerge w:val="continue"/>
            <w:vAlign w:val="center"/>
          </w:tcPr>
          <w:p w14:paraId="7A02D5E0">
            <w:pPr>
              <w:rPr>
                <w:rFonts w:hint="eastAsia" w:ascii="仿宋" w:hAnsi="仿宋" w:eastAsia="仿宋" w:cs="仿宋"/>
                <w:color w:val="000000"/>
                <w:sz w:val="24"/>
                <w:szCs w:val="24"/>
                <w:lang w:val="en-US" w:eastAsia="zh-CN" w:bidi="en-US"/>
              </w:rPr>
            </w:pPr>
          </w:p>
        </w:tc>
        <w:tc>
          <w:tcPr>
            <w:tcW w:w="3359" w:type="dxa"/>
            <w:gridSpan w:val="3"/>
            <w:vAlign w:val="center"/>
          </w:tcPr>
          <w:p w14:paraId="58207338">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医废入库</w:t>
            </w:r>
          </w:p>
        </w:tc>
        <w:tc>
          <w:tcPr>
            <w:tcW w:w="3504" w:type="dxa"/>
            <w:gridSpan w:val="3"/>
            <w:vAlign w:val="center"/>
          </w:tcPr>
          <w:p w14:paraId="1006A7FC">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显示医废入库列表及详情，支持管理员数据维护</w:t>
            </w:r>
          </w:p>
        </w:tc>
      </w:tr>
      <w:tr w14:paraId="2FF19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9" w:type="dxa"/>
            <w:vMerge w:val="continue"/>
            <w:vAlign w:val="center"/>
          </w:tcPr>
          <w:p w14:paraId="5A2FD555">
            <w:pPr>
              <w:rPr>
                <w:rFonts w:hint="eastAsia" w:ascii="仿宋" w:hAnsi="仿宋" w:eastAsia="仿宋" w:cs="仿宋"/>
                <w:color w:val="000000"/>
                <w:sz w:val="24"/>
                <w:szCs w:val="24"/>
                <w:lang w:val="en-US" w:eastAsia="zh-CN" w:bidi="en-US"/>
              </w:rPr>
            </w:pPr>
          </w:p>
        </w:tc>
        <w:tc>
          <w:tcPr>
            <w:tcW w:w="3359" w:type="dxa"/>
            <w:gridSpan w:val="3"/>
            <w:vAlign w:val="center"/>
          </w:tcPr>
          <w:p w14:paraId="72E112BE">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医废出库</w:t>
            </w:r>
          </w:p>
        </w:tc>
        <w:tc>
          <w:tcPr>
            <w:tcW w:w="3504" w:type="dxa"/>
            <w:gridSpan w:val="3"/>
            <w:vAlign w:val="center"/>
          </w:tcPr>
          <w:p w14:paraId="472EC911">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显示出库交接列表及详情，支持管理员数据维护</w:t>
            </w:r>
          </w:p>
        </w:tc>
      </w:tr>
      <w:tr w14:paraId="03E94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7" w:type="dxa"/>
        </w:trPr>
        <w:tc>
          <w:tcPr>
            <w:tcW w:w="2429" w:type="dxa"/>
            <w:vMerge w:val="continue"/>
            <w:vAlign w:val="center"/>
          </w:tcPr>
          <w:p w14:paraId="70620929">
            <w:pPr>
              <w:rPr>
                <w:rFonts w:hint="eastAsia" w:ascii="仿宋" w:hAnsi="仿宋" w:eastAsia="仿宋" w:cs="仿宋"/>
                <w:color w:val="000000"/>
                <w:sz w:val="24"/>
                <w:szCs w:val="24"/>
                <w:lang w:val="en-US" w:eastAsia="zh-CN" w:bidi="en-US"/>
              </w:rPr>
            </w:pPr>
          </w:p>
        </w:tc>
        <w:tc>
          <w:tcPr>
            <w:tcW w:w="3359" w:type="dxa"/>
            <w:gridSpan w:val="3"/>
            <w:vAlign w:val="center"/>
          </w:tcPr>
          <w:p w14:paraId="728432D3">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科室医废二维码</w:t>
            </w:r>
          </w:p>
        </w:tc>
        <w:tc>
          <w:tcPr>
            <w:tcW w:w="3427" w:type="dxa"/>
            <w:gridSpan w:val="2"/>
            <w:vAlign w:val="center"/>
          </w:tcPr>
          <w:p w14:paraId="4D92F580">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展示二维码信息，可新增、批量新增、删除科室医废二维码，二维码由系统自动生成，以供 App 端扫码使用，二维码可下载</w:t>
            </w:r>
          </w:p>
        </w:tc>
      </w:tr>
      <w:tr w14:paraId="6CFB9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7" w:type="dxa"/>
        </w:trPr>
        <w:tc>
          <w:tcPr>
            <w:tcW w:w="2429" w:type="dxa"/>
            <w:vMerge w:val="continue"/>
            <w:vAlign w:val="center"/>
          </w:tcPr>
          <w:p w14:paraId="2AA830D5">
            <w:pPr>
              <w:rPr>
                <w:rFonts w:hint="eastAsia" w:ascii="仿宋" w:hAnsi="仿宋" w:eastAsia="仿宋" w:cs="仿宋"/>
                <w:color w:val="000000"/>
                <w:sz w:val="24"/>
                <w:szCs w:val="24"/>
                <w:lang w:val="en-US" w:eastAsia="zh-CN" w:bidi="en-US"/>
              </w:rPr>
            </w:pPr>
          </w:p>
        </w:tc>
        <w:tc>
          <w:tcPr>
            <w:tcW w:w="3359" w:type="dxa"/>
            <w:gridSpan w:val="3"/>
            <w:vAlign w:val="center"/>
          </w:tcPr>
          <w:p w14:paraId="065CF3FA">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 医废溯源</w:t>
            </w:r>
          </w:p>
        </w:tc>
        <w:tc>
          <w:tcPr>
            <w:tcW w:w="3427" w:type="dxa"/>
            <w:gridSpan w:val="2"/>
            <w:vAlign w:val="center"/>
          </w:tcPr>
          <w:p w14:paraId="2FD7DEB2">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提供收集→ 入库→ 出库→ 转运全链路溯源，支持系统在审核后上报到省平台</w:t>
            </w:r>
          </w:p>
        </w:tc>
      </w:tr>
      <w:tr w14:paraId="7A380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7" w:type="dxa"/>
        </w:trPr>
        <w:tc>
          <w:tcPr>
            <w:tcW w:w="2429" w:type="dxa"/>
            <w:vMerge w:val="continue"/>
            <w:vAlign w:val="center"/>
          </w:tcPr>
          <w:p w14:paraId="3F652C0A">
            <w:pPr>
              <w:rPr>
                <w:rFonts w:hint="eastAsia" w:ascii="仿宋" w:hAnsi="仿宋" w:eastAsia="仿宋" w:cs="仿宋"/>
                <w:color w:val="000000"/>
                <w:sz w:val="24"/>
                <w:szCs w:val="24"/>
                <w:lang w:val="en-US" w:eastAsia="zh-CN" w:bidi="en-US"/>
              </w:rPr>
            </w:pPr>
          </w:p>
        </w:tc>
        <w:tc>
          <w:tcPr>
            <w:tcW w:w="3359" w:type="dxa"/>
            <w:gridSpan w:val="3"/>
            <w:vAlign w:val="center"/>
          </w:tcPr>
          <w:p w14:paraId="332917DB">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异常上报</w:t>
            </w:r>
          </w:p>
        </w:tc>
        <w:tc>
          <w:tcPr>
            <w:tcW w:w="3427" w:type="dxa"/>
            <w:gridSpan w:val="2"/>
            <w:vAlign w:val="center"/>
          </w:tcPr>
          <w:p w14:paraId="58C3A02A">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显示 App 端上报的异常信息， 支持手动创建及处理结果登记</w:t>
            </w:r>
          </w:p>
        </w:tc>
      </w:tr>
      <w:tr w14:paraId="72008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7" w:type="dxa"/>
        </w:trPr>
        <w:tc>
          <w:tcPr>
            <w:tcW w:w="2429" w:type="dxa"/>
            <w:vMerge w:val="continue"/>
            <w:vAlign w:val="center"/>
          </w:tcPr>
          <w:p w14:paraId="27B3F854">
            <w:pPr>
              <w:rPr>
                <w:rFonts w:hint="eastAsia" w:ascii="仿宋" w:hAnsi="仿宋" w:eastAsia="仿宋" w:cs="仿宋"/>
                <w:color w:val="000000"/>
                <w:sz w:val="24"/>
                <w:szCs w:val="24"/>
                <w:lang w:val="en-US" w:eastAsia="zh-CN" w:bidi="en-US"/>
              </w:rPr>
            </w:pPr>
          </w:p>
        </w:tc>
        <w:tc>
          <w:tcPr>
            <w:tcW w:w="3359" w:type="dxa"/>
            <w:gridSpan w:val="3"/>
            <w:vAlign w:val="center"/>
          </w:tcPr>
          <w:p w14:paraId="2BE2221E">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扫码日志</w:t>
            </w:r>
          </w:p>
        </w:tc>
        <w:tc>
          <w:tcPr>
            <w:tcW w:w="3427" w:type="dxa"/>
            <w:gridSpan w:val="2"/>
            <w:vAlign w:val="center"/>
          </w:tcPr>
          <w:p w14:paraId="06040734">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记录并展示操作人员扫码行为明细</w:t>
            </w:r>
          </w:p>
        </w:tc>
      </w:tr>
      <w:tr w14:paraId="23A13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7" w:type="dxa"/>
        </w:trPr>
        <w:tc>
          <w:tcPr>
            <w:tcW w:w="2429" w:type="dxa"/>
            <w:vMerge w:val="continue"/>
            <w:vAlign w:val="center"/>
          </w:tcPr>
          <w:p w14:paraId="33F9EBA7">
            <w:pPr>
              <w:rPr>
                <w:rFonts w:hint="eastAsia" w:ascii="仿宋" w:hAnsi="仿宋" w:eastAsia="仿宋" w:cs="仿宋"/>
                <w:color w:val="000000"/>
                <w:sz w:val="24"/>
                <w:szCs w:val="24"/>
                <w:lang w:val="en-US" w:eastAsia="zh-CN" w:bidi="en-US"/>
              </w:rPr>
            </w:pPr>
          </w:p>
        </w:tc>
        <w:tc>
          <w:tcPr>
            <w:tcW w:w="3359" w:type="dxa"/>
            <w:gridSpan w:val="3"/>
            <w:vAlign w:val="center"/>
          </w:tcPr>
          <w:p w14:paraId="7D44B3AF">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统计报表-医废日报表</w:t>
            </w:r>
          </w:p>
        </w:tc>
        <w:tc>
          <w:tcPr>
            <w:tcW w:w="3427" w:type="dxa"/>
            <w:gridSpan w:val="2"/>
            <w:vAlign w:val="center"/>
          </w:tcPr>
          <w:p w14:paraId="047562A7">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系统提供科室、收集人员、医废、日期等条件，查询列出系统按天的汇总信息</w:t>
            </w:r>
          </w:p>
        </w:tc>
      </w:tr>
      <w:tr w14:paraId="042A7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7" w:type="dxa"/>
        </w:trPr>
        <w:tc>
          <w:tcPr>
            <w:tcW w:w="2429" w:type="dxa"/>
            <w:vMerge w:val="continue"/>
            <w:vAlign w:val="center"/>
          </w:tcPr>
          <w:p w14:paraId="55B898F9">
            <w:pPr>
              <w:rPr>
                <w:rFonts w:hint="eastAsia" w:ascii="仿宋" w:hAnsi="仿宋" w:eastAsia="仿宋" w:cs="仿宋"/>
                <w:color w:val="000000"/>
                <w:sz w:val="24"/>
                <w:szCs w:val="24"/>
                <w:lang w:val="en-US" w:eastAsia="zh-CN" w:bidi="en-US"/>
              </w:rPr>
            </w:pPr>
          </w:p>
        </w:tc>
        <w:tc>
          <w:tcPr>
            <w:tcW w:w="3359" w:type="dxa"/>
            <w:gridSpan w:val="3"/>
            <w:vAlign w:val="center"/>
          </w:tcPr>
          <w:p w14:paraId="55FD714D">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统计报表-医废分类统计</w:t>
            </w:r>
          </w:p>
        </w:tc>
        <w:tc>
          <w:tcPr>
            <w:tcW w:w="3427" w:type="dxa"/>
            <w:gridSpan w:val="2"/>
            <w:vAlign w:val="center"/>
          </w:tcPr>
          <w:p w14:paraId="25C23C3A">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系统提供科室、收集人员、医废、日期等条件，查询列出系统按医废的分类汇总信息</w:t>
            </w:r>
          </w:p>
        </w:tc>
      </w:tr>
      <w:tr w14:paraId="2C498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7" w:type="dxa"/>
        </w:trPr>
        <w:tc>
          <w:tcPr>
            <w:tcW w:w="2429" w:type="dxa"/>
            <w:vMerge w:val="continue"/>
            <w:vAlign w:val="center"/>
          </w:tcPr>
          <w:p w14:paraId="456612C6">
            <w:pPr>
              <w:rPr>
                <w:rFonts w:hint="eastAsia" w:ascii="仿宋" w:hAnsi="仿宋" w:eastAsia="仿宋" w:cs="仿宋"/>
                <w:color w:val="000000"/>
                <w:sz w:val="24"/>
                <w:szCs w:val="24"/>
                <w:lang w:val="en-US" w:eastAsia="zh-CN" w:bidi="en-US"/>
              </w:rPr>
            </w:pPr>
          </w:p>
        </w:tc>
        <w:tc>
          <w:tcPr>
            <w:tcW w:w="3359" w:type="dxa"/>
            <w:gridSpan w:val="3"/>
            <w:vAlign w:val="center"/>
          </w:tcPr>
          <w:p w14:paraId="5777064F">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统计报表-异常数据统计</w:t>
            </w:r>
          </w:p>
        </w:tc>
        <w:tc>
          <w:tcPr>
            <w:tcW w:w="3427" w:type="dxa"/>
            <w:gridSpan w:val="2"/>
            <w:vAlign w:val="center"/>
          </w:tcPr>
          <w:p w14:paraId="4AC889B1">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系统提供日期 、 异常类型等条件，查询列出系统收集到的的异常信息</w:t>
            </w:r>
          </w:p>
        </w:tc>
      </w:tr>
      <w:tr w14:paraId="7D776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7" w:type="dxa"/>
        </w:trPr>
        <w:tc>
          <w:tcPr>
            <w:tcW w:w="2429" w:type="dxa"/>
            <w:vMerge w:val="continue"/>
            <w:vAlign w:val="center"/>
          </w:tcPr>
          <w:p w14:paraId="4F1AB56B">
            <w:pPr>
              <w:rPr>
                <w:rFonts w:hint="eastAsia" w:ascii="仿宋" w:hAnsi="仿宋" w:eastAsia="仿宋" w:cs="仿宋"/>
                <w:color w:val="000000"/>
                <w:sz w:val="24"/>
                <w:szCs w:val="24"/>
                <w:lang w:val="en-US" w:eastAsia="zh-CN" w:bidi="en-US"/>
              </w:rPr>
            </w:pPr>
          </w:p>
        </w:tc>
        <w:tc>
          <w:tcPr>
            <w:tcW w:w="3359" w:type="dxa"/>
            <w:gridSpan w:val="3"/>
            <w:vAlign w:val="center"/>
          </w:tcPr>
          <w:p w14:paraId="0B13B4AD">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基础资料-平台二维码信息</w:t>
            </w:r>
          </w:p>
        </w:tc>
        <w:tc>
          <w:tcPr>
            <w:tcW w:w="3427" w:type="dxa"/>
            <w:gridSpan w:val="2"/>
            <w:vAlign w:val="center"/>
          </w:tcPr>
          <w:p w14:paraId="02241666">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集中管理系统所有二维码， 方便用户查询、禁启用， 同时支持二维码下载。</w:t>
            </w:r>
          </w:p>
        </w:tc>
      </w:tr>
      <w:tr w14:paraId="12BE2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7" w:type="dxa"/>
        </w:trPr>
        <w:tc>
          <w:tcPr>
            <w:tcW w:w="2429" w:type="dxa"/>
            <w:vMerge w:val="continue"/>
            <w:vAlign w:val="center"/>
          </w:tcPr>
          <w:p w14:paraId="50D90B30">
            <w:pPr>
              <w:rPr>
                <w:rFonts w:hint="eastAsia" w:ascii="仿宋" w:hAnsi="仿宋" w:eastAsia="仿宋" w:cs="仿宋"/>
                <w:color w:val="000000"/>
                <w:sz w:val="24"/>
                <w:szCs w:val="24"/>
                <w:lang w:val="en-US" w:eastAsia="zh-CN" w:bidi="en-US"/>
              </w:rPr>
            </w:pPr>
          </w:p>
        </w:tc>
        <w:tc>
          <w:tcPr>
            <w:tcW w:w="3359" w:type="dxa"/>
            <w:gridSpan w:val="3"/>
            <w:vAlign w:val="center"/>
          </w:tcPr>
          <w:p w14:paraId="4F2EA739">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基础资料-医废类型信息</w:t>
            </w:r>
          </w:p>
        </w:tc>
        <w:tc>
          <w:tcPr>
            <w:tcW w:w="3427" w:type="dxa"/>
            <w:gridSpan w:val="2"/>
            <w:vAlign w:val="center"/>
          </w:tcPr>
          <w:p w14:paraId="0D7973DC">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提供医废分类管理功能（新增/编辑/删除）</w:t>
            </w:r>
          </w:p>
        </w:tc>
      </w:tr>
      <w:tr w14:paraId="17A36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7" w:type="dxa"/>
        </w:trPr>
        <w:tc>
          <w:tcPr>
            <w:tcW w:w="2429" w:type="dxa"/>
            <w:vMerge w:val="continue"/>
            <w:vAlign w:val="center"/>
          </w:tcPr>
          <w:p w14:paraId="2F709ECF">
            <w:pPr>
              <w:rPr>
                <w:rFonts w:hint="eastAsia" w:ascii="仿宋" w:hAnsi="仿宋" w:eastAsia="仿宋" w:cs="仿宋"/>
                <w:color w:val="000000"/>
                <w:sz w:val="24"/>
                <w:szCs w:val="24"/>
                <w:lang w:val="en-US" w:eastAsia="zh-CN" w:bidi="en-US"/>
              </w:rPr>
            </w:pPr>
          </w:p>
        </w:tc>
        <w:tc>
          <w:tcPr>
            <w:tcW w:w="3359" w:type="dxa"/>
            <w:gridSpan w:val="3"/>
            <w:vAlign w:val="center"/>
          </w:tcPr>
          <w:p w14:paraId="0676858C">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基础资料-暂存地信息</w:t>
            </w:r>
          </w:p>
        </w:tc>
        <w:tc>
          <w:tcPr>
            <w:tcW w:w="3427" w:type="dxa"/>
            <w:gridSpan w:val="2"/>
            <w:vAlign w:val="center"/>
          </w:tcPr>
          <w:p w14:paraId="5E366917">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管理医废暂存点信息， 支持二维码下载</w:t>
            </w:r>
          </w:p>
        </w:tc>
      </w:tr>
      <w:tr w14:paraId="0ADBB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7" w:type="dxa"/>
        </w:trPr>
        <w:tc>
          <w:tcPr>
            <w:tcW w:w="2429" w:type="dxa"/>
            <w:vMerge w:val="continue"/>
            <w:vAlign w:val="center"/>
          </w:tcPr>
          <w:p w14:paraId="3096DEDF">
            <w:pPr>
              <w:rPr>
                <w:rFonts w:hint="eastAsia" w:ascii="仿宋" w:hAnsi="仿宋" w:eastAsia="仿宋" w:cs="仿宋"/>
                <w:color w:val="000000"/>
                <w:sz w:val="24"/>
                <w:szCs w:val="24"/>
                <w:lang w:val="en-US" w:eastAsia="zh-CN" w:bidi="en-US"/>
              </w:rPr>
            </w:pPr>
          </w:p>
        </w:tc>
        <w:tc>
          <w:tcPr>
            <w:tcW w:w="3359" w:type="dxa"/>
            <w:gridSpan w:val="3"/>
            <w:vAlign w:val="center"/>
          </w:tcPr>
          <w:p w14:paraId="1C7A3F0C">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基础资料-智能车</w:t>
            </w:r>
          </w:p>
        </w:tc>
        <w:tc>
          <w:tcPr>
            <w:tcW w:w="3427" w:type="dxa"/>
            <w:gridSpan w:val="2"/>
            <w:vAlign w:val="center"/>
          </w:tcPr>
          <w:p w14:paraId="5F9DFBA2">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管理智能收集车辆档案 ，新车辆要先在平台注册后方可使用</w:t>
            </w:r>
          </w:p>
        </w:tc>
      </w:tr>
      <w:tr w14:paraId="641AE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7" w:type="dxa"/>
        </w:trPr>
        <w:tc>
          <w:tcPr>
            <w:tcW w:w="2429" w:type="dxa"/>
            <w:vMerge w:val="continue"/>
            <w:vAlign w:val="center"/>
          </w:tcPr>
          <w:p w14:paraId="609C8C5B">
            <w:pPr>
              <w:rPr>
                <w:rFonts w:hint="eastAsia" w:ascii="仿宋" w:hAnsi="仿宋" w:eastAsia="仿宋" w:cs="仿宋"/>
                <w:color w:val="000000"/>
                <w:sz w:val="24"/>
                <w:szCs w:val="24"/>
                <w:lang w:val="en-US" w:eastAsia="zh-CN" w:bidi="en-US"/>
              </w:rPr>
            </w:pPr>
          </w:p>
        </w:tc>
        <w:tc>
          <w:tcPr>
            <w:tcW w:w="3359" w:type="dxa"/>
            <w:gridSpan w:val="3"/>
            <w:vAlign w:val="center"/>
          </w:tcPr>
          <w:p w14:paraId="77ED86B0">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基础资料-周转箱</w:t>
            </w:r>
          </w:p>
        </w:tc>
        <w:tc>
          <w:tcPr>
            <w:tcW w:w="3427" w:type="dxa"/>
            <w:gridSpan w:val="2"/>
            <w:vAlign w:val="center"/>
          </w:tcPr>
          <w:p w14:paraId="62E72298">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管理周转箱档案， 支持二维码下载</w:t>
            </w:r>
          </w:p>
        </w:tc>
      </w:tr>
      <w:tr w14:paraId="38894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7" w:type="dxa"/>
        </w:trPr>
        <w:tc>
          <w:tcPr>
            <w:tcW w:w="2429" w:type="dxa"/>
            <w:vMerge w:val="continue"/>
            <w:vAlign w:val="center"/>
          </w:tcPr>
          <w:p w14:paraId="634D3088">
            <w:pPr>
              <w:rPr>
                <w:rFonts w:hint="eastAsia" w:ascii="仿宋" w:hAnsi="仿宋" w:eastAsia="仿宋" w:cs="仿宋"/>
                <w:color w:val="000000"/>
                <w:sz w:val="24"/>
                <w:szCs w:val="24"/>
                <w:lang w:val="en-US" w:eastAsia="zh-CN" w:bidi="en-US"/>
              </w:rPr>
            </w:pPr>
          </w:p>
        </w:tc>
        <w:tc>
          <w:tcPr>
            <w:tcW w:w="3359" w:type="dxa"/>
            <w:gridSpan w:val="3"/>
            <w:vAlign w:val="center"/>
          </w:tcPr>
          <w:p w14:paraId="474B74AD">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基础资料-转运车辆信息</w:t>
            </w:r>
          </w:p>
        </w:tc>
        <w:tc>
          <w:tcPr>
            <w:tcW w:w="3427" w:type="dxa"/>
            <w:gridSpan w:val="2"/>
            <w:vAlign w:val="center"/>
          </w:tcPr>
          <w:p w14:paraId="61304180">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管理外部医废转运车辆档案，支持二维码下载</w:t>
            </w:r>
          </w:p>
        </w:tc>
      </w:tr>
      <w:tr w14:paraId="66644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7" w:type="dxa"/>
        </w:trPr>
        <w:tc>
          <w:tcPr>
            <w:tcW w:w="2429" w:type="dxa"/>
            <w:vMerge w:val="restart"/>
            <w:vAlign w:val="center"/>
          </w:tcPr>
          <w:p w14:paraId="46584930">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PC 管理平台</w:t>
            </w:r>
          </w:p>
        </w:tc>
        <w:tc>
          <w:tcPr>
            <w:tcW w:w="3359" w:type="dxa"/>
            <w:gridSpan w:val="3"/>
            <w:vAlign w:val="center"/>
          </w:tcPr>
          <w:p w14:paraId="073938A2">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系统管理-科室管理</w:t>
            </w:r>
          </w:p>
        </w:tc>
        <w:tc>
          <w:tcPr>
            <w:tcW w:w="3427" w:type="dxa"/>
            <w:gridSpan w:val="2"/>
            <w:vAlign w:val="center"/>
          </w:tcPr>
          <w:p w14:paraId="60907CFE">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支持医院行政架构管理（部门/科室新增/编辑/删除），按科室、部门分类多层级管理，其中 [科室]的用于上报至省平台</w:t>
            </w:r>
          </w:p>
        </w:tc>
      </w:tr>
      <w:tr w14:paraId="27C1C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7" w:type="dxa"/>
        </w:trPr>
        <w:tc>
          <w:tcPr>
            <w:tcW w:w="2429" w:type="dxa"/>
            <w:vMerge w:val="continue"/>
            <w:vAlign w:val="center"/>
          </w:tcPr>
          <w:p w14:paraId="4EE981F2">
            <w:pPr>
              <w:rPr>
                <w:rFonts w:hint="eastAsia" w:ascii="仿宋" w:hAnsi="仿宋" w:eastAsia="仿宋" w:cs="仿宋"/>
                <w:color w:val="000000"/>
                <w:sz w:val="24"/>
                <w:szCs w:val="24"/>
                <w:lang w:val="en-US" w:eastAsia="zh-CN" w:bidi="en-US"/>
              </w:rPr>
            </w:pPr>
          </w:p>
        </w:tc>
        <w:tc>
          <w:tcPr>
            <w:tcW w:w="3359" w:type="dxa"/>
            <w:gridSpan w:val="3"/>
            <w:vAlign w:val="center"/>
          </w:tcPr>
          <w:p w14:paraId="69AB58B4">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系统管理-人员管理</w:t>
            </w:r>
          </w:p>
        </w:tc>
        <w:tc>
          <w:tcPr>
            <w:tcW w:w="3427" w:type="dxa"/>
            <w:gridSpan w:val="2"/>
            <w:vAlign w:val="center"/>
          </w:tcPr>
          <w:p w14:paraId="1E225C14">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管理平台用户信息，可分配账号、密码、角色。人员二维码可下载</w:t>
            </w:r>
          </w:p>
        </w:tc>
      </w:tr>
      <w:tr w14:paraId="5CE12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7" w:type="dxa"/>
        </w:trPr>
        <w:tc>
          <w:tcPr>
            <w:tcW w:w="2429" w:type="dxa"/>
            <w:vMerge w:val="continue"/>
            <w:vAlign w:val="center"/>
          </w:tcPr>
          <w:p w14:paraId="6BE399D4">
            <w:pPr>
              <w:rPr>
                <w:rFonts w:hint="eastAsia" w:ascii="仿宋" w:hAnsi="仿宋" w:eastAsia="仿宋" w:cs="仿宋"/>
                <w:color w:val="000000"/>
                <w:sz w:val="24"/>
                <w:szCs w:val="24"/>
                <w:lang w:val="en-US" w:eastAsia="zh-CN" w:bidi="en-US"/>
              </w:rPr>
            </w:pPr>
          </w:p>
        </w:tc>
        <w:tc>
          <w:tcPr>
            <w:tcW w:w="3359" w:type="dxa"/>
            <w:gridSpan w:val="3"/>
            <w:vAlign w:val="center"/>
          </w:tcPr>
          <w:p w14:paraId="77DC9086">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系统管理-角色信息</w:t>
            </w:r>
          </w:p>
        </w:tc>
        <w:tc>
          <w:tcPr>
            <w:tcW w:w="3427" w:type="dxa"/>
            <w:gridSpan w:val="2"/>
            <w:vAlign w:val="center"/>
          </w:tcPr>
          <w:p w14:paraId="72EF308B">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提供平台角色信息以及角色权限管理，按(收集人员、科室护士、暂存间管理员、医院管理员、机构间转运人员)5 类角色来管控</w:t>
            </w:r>
          </w:p>
        </w:tc>
      </w:tr>
      <w:tr w14:paraId="3884F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7" w:type="dxa"/>
        </w:trPr>
        <w:tc>
          <w:tcPr>
            <w:tcW w:w="2429" w:type="dxa"/>
            <w:vMerge w:val="continue"/>
            <w:vAlign w:val="center"/>
          </w:tcPr>
          <w:p w14:paraId="71B1C298">
            <w:pPr>
              <w:rPr>
                <w:rFonts w:hint="eastAsia" w:ascii="仿宋" w:hAnsi="仿宋" w:eastAsia="仿宋" w:cs="仿宋"/>
                <w:color w:val="000000"/>
                <w:sz w:val="24"/>
                <w:szCs w:val="24"/>
                <w:lang w:val="en-US" w:eastAsia="zh-CN" w:bidi="en-US"/>
              </w:rPr>
            </w:pPr>
          </w:p>
        </w:tc>
        <w:tc>
          <w:tcPr>
            <w:tcW w:w="3359" w:type="dxa"/>
            <w:gridSpan w:val="3"/>
            <w:vAlign w:val="center"/>
          </w:tcPr>
          <w:p w14:paraId="05859D95">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系统管理-菜单管理</w:t>
            </w:r>
          </w:p>
        </w:tc>
        <w:tc>
          <w:tcPr>
            <w:tcW w:w="3427" w:type="dxa"/>
            <w:gridSpan w:val="2"/>
            <w:vAlign w:val="center"/>
          </w:tcPr>
          <w:p w14:paraId="64A71A4D">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提供给超级管理员，对平台功能菜单的维护，并展示菜单层级及信息</w:t>
            </w:r>
          </w:p>
        </w:tc>
      </w:tr>
      <w:tr w14:paraId="68FAD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7" w:type="dxa"/>
        </w:trPr>
        <w:tc>
          <w:tcPr>
            <w:tcW w:w="2429" w:type="dxa"/>
            <w:vMerge w:val="continue"/>
            <w:vAlign w:val="center"/>
          </w:tcPr>
          <w:p w14:paraId="4376C5DC">
            <w:pPr>
              <w:rPr>
                <w:rFonts w:hint="eastAsia" w:ascii="仿宋" w:hAnsi="仿宋" w:eastAsia="仿宋" w:cs="仿宋"/>
                <w:color w:val="000000"/>
                <w:sz w:val="24"/>
                <w:szCs w:val="24"/>
                <w:lang w:val="en-US" w:eastAsia="zh-CN" w:bidi="en-US"/>
              </w:rPr>
            </w:pPr>
          </w:p>
        </w:tc>
        <w:tc>
          <w:tcPr>
            <w:tcW w:w="3359" w:type="dxa"/>
            <w:gridSpan w:val="3"/>
            <w:vAlign w:val="center"/>
          </w:tcPr>
          <w:p w14:paraId="08001B12">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系统管理-数据字典</w:t>
            </w:r>
          </w:p>
        </w:tc>
        <w:tc>
          <w:tcPr>
            <w:tcW w:w="3427" w:type="dxa"/>
            <w:gridSpan w:val="2"/>
            <w:vAlign w:val="center"/>
          </w:tcPr>
          <w:p w14:paraId="009C0C2A">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可新增、修改平台所需要的下拉字典类选择数据</w:t>
            </w:r>
          </w:p>
        </w:tc>
      </w:tr>
      <w:tr w14:paraId="49756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7" w:type="dxa"/>
        </w:trPr>
        <w:tc>
          <w:tcPr>
            <w:tcW w:w="2429" w:type="dxa"/>
            <w:vMerge w:val="continue"/>
            <w:vAlign w:val="center"/>
          </w:tcPr>
          <w:p w14:paraId="2D49347C">
            <w:pPr>
              <w:rPr>
                <w:rFonts w:hint="eastAsia" w:ascii="仿宋" w:hAnsi="仿宋" w:eastAsia="仿宋" w:cs="仿宋"/>
                <w:color w:val="000000"/>
                <w:sz w:val="24"/>
                <w:szCs w:val="24"/>
                <w:lang w:val="en-US" w:eastAsia="zh-CN" w:bidi="en-US"/>
              </w:rPr>
            </w:pPr>
          </w:p>
        </w:tc>
        <w:tc>
          <w:tcPr>
            <w:tcW w:w="3359" w:type="dxa"/>
            <w:gridSpan w:val="3"/>
            <w:vAlign w:val="center"/>
          </w:tcPr>
          <w:p w14:paraId="78DF04E7">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系统管理-系统参数</w:t>
            </w:r>
          </w:p>
        </w:tc>
        <w:tc>
          <w:tcPr>
            <w:tcW w:w="3427" w:type="dxa"/>
            <w:gridSpan w:val="2"/>
            <w:vAlign w:val="center"/>
          </w:tcPr>
          <w:p w14:paraId="15382B1F">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支持系统参数配置（如 APP 版本更新管理、省平台对接参数）</w:t>
            </w:r>
          </w:p>
        </w:tc>
      </w:tr>
      <w:tr w14:paraId="05D71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7" w:type="dxa"/>
        </w:trPr>
        <w:tc>
          <w:tcPr>
            <w:tcW w:w="2429" w:type="dxa"/>
            <w:vMerge w:val="continue"/>
            <w:vAlign w:val="center"/>
          </w:tcPr>
          <w:p w14:paraId="692FC761">
            <w:pPr>
              <w:rPr>
                <w:rFonts w:hint="eastAsia" w:ascii="仿宋" w:hAnsi="仿宋" w:eastAsia="仿宋" w:cs="仿宋"/>
                <w:color w:val="000000"/>
                <w:sz w:val="24"/>
                <w:szCs w:val="24"/>
                <w:lang w:val="en-US" w:eastAsia="zh-CN" w:bidi="en-US"/>
              </w:rPr>
            </w:pPr>
          </w:p>
        </w:tc>
        <w:tc>
          <w:tcPr>
            <w:tcW w:w="3359" w:type="dxa"/>
            <w:gridSpan w:val="3"/>
            <w:vAlign w:val="center"/>
          </w:tcPr>
          <w:p w14:paraId="2EDCEDEE">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系统管理-系统日志</w:t>
            </w:r>
          </w:p>
        </w:tc>
        <w:tc>
          <w:tcPr>
            <w:tcW w:w="3427" w:type="dxa"/>
            <w:gridSpan w:val="2"/>
            <w:vAlign w:val="center"/>
          </w:tcPr>
          <w:p w14:paraId="74C9C734">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针对 PC 端的部门菜单功能，记录、跟踪平台用户在 PC 端的操作日志，并可依日期查询历史日志</w:t>
            </w:r>
          </w:p>
        </w:tc>
      </w:tr>
      <w:tr w14:paraId="49DA0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7" w:type="dxa"/>
        </w:trPr>
        <w:tc>
          <w:tcPr>
            <w:tcW w:w="2429" w:type="dxa"/>
            <w:vMerge w:val="restart"/>
            <w:vAlign w:val="center"/>
          </w:tcPr>
          <w:p w14:paraId="49CCAE29">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智能推车APP</w:t>
            </w:r>
          </w:p>
        </w:tc>
        <w:tc>
          <w:tcPr>
            <w:tcW w:w="3359" w:type="dxa"/>
            <w:gridSpan w:val="3"/>
            <w:vAlign w:val="center"/>
          </w:tcPr>
          <w:p w14:paraId="0D6D561B">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首页</w:t>
            </w:r>
          </w:p>
        </w:tc>
        <w:tc>
          <w:tcPr>
            <w:tcW w:w="3427" w:type="dxa"/>
            <w:gridSpan w:val="2"/>
            <w:vAlign w:val="center"/>
          </w:tcPr>
          <w:p w14:paraId="480865D8">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扫码登录，用户可扫描收集人员码或仓管员码进行登录</w:t>
            </w:r>
          </w:p>
        </w:tc>
      </w:tr>
      <w:tr w14:paraId="293BE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7" w:type="dxa"/>
        </w:trPr>
        <w:tc>
          <w:tcPr>
            <w:tcW w:w="2429" w:type="dxa"/>
            <w:vMerge w:val="continue"/>
            <w:vAlign w:val="center"/>
          </w:tcPr>
          <w:p w14:paraId="216972A6">
            <w:pPr>
              <w:rPr>
                <w:rFonts w:hint="eastAsia" w:ascii="仿宋" w:hAnsi="仿宋" w:eastAsia="仿宋" w:cs="仿宋"/>
                <w:color w:val="000000"/>
                <w:sz w:val="24"/>
                <w:szCs w:val="24"/>
                <w:lang w:val="en-US" w:eastAsia="zh-CN" w:bidi="en-US"/>
              </w:rPr>
            </w:pPr>
          </w:p>
        </w:tc>
        <w:tc>
          <w:tcPr>
            <w:tcW w:w="3359" w:type="dxa"/>
            <w:gridSpan w:val="3"/>
            <w:vAlign w:val="center"/>
          </w:tcPr>
          <w:p w14:paraId="24033198">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医废收集</w:t>
            </w:r>
          </w:p>
        </w:tc>
        <w:tc>
          <w:tcPr>
            <w:tcW w:w="3427" w:type="dxa"/>
            <w:gridSpan w:val="2"/>
            <w:vAlign w:val="center"/>
          </w:tcPr>
          <w:p w14:paraId="130916B6">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用扫码方式实现收集人员→ 护士码→科室医废码→称重→ 周转箱码的规范式 、便捷式操作， 支持按箱 、按袋不同方式进行收集 ，针对胎盘特殊分类，也同时登记数量</w:t>
            </w:r>
          </w:p>
        </w:tc>
      </w:tr>
      <w:tr w14:paraId="3FC58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7" w:type="dxa"/>
        </w:trPr>
        <w:tc>
          <w:tcPr>
            <w:tcW w:w="2429" w:type="dxa"/>
            <w:vMerge w:val="continue"/>
            <w:vAlign w:val="center"/>
          </w:tcPr>
          <w:p w14:paraId="7F6F0B2D">
            <w:pPr>
              <w:rPr>
                <w:rFonts w:hint="eastAsia" w:ascii="仿宋" w:hAnsi="仿宋" w:eastAsia="仿宋" w:cs="仿宋"/>
                <w:color w:val="000000"/>
                <w:sz w:val="24"/>
                <w:szCs w:val="24"/>
                <w:lang w:val="en-US" w:eastAsia="zh-CN" w:bidi="en-US"/>
              </w:rPr>
            </w:pPr>
          </w:p>
        </w:tc>
        <w:tc>
          <w:tcPr>
            <w:tcW w:w="3359" w:type="dxa"/>
            <w:gridSpan w:val="3"/>
            <w:vAlign w:val="center"/>
          </w:tcPr>
          <w:p w14:paraId="47A9657F">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暂存入库</w:t>
            </w:r>
          </w:p>
        </w:tc>
        <w:tc>
          <w:tcPr>
            <w:tcW w:w="3427" w:type="dxa"/>
            <w:gridSpan w:val="2"/>
            <w:vAlign w:val="center"/>
          </w:tcPr>
          <w:p w14:paraId="74A49A65">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用扫码方式实现收集人员→ 仓库码→ 仓管员码→ 周转箱码的入库操作</w:t>
            </w:r>
          </w:p>
        </w:tc>
      </w:tr>
      <w:tr w14:paraId="7C853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7" w:type="dxa"/>
        </w:trPr>
        <w:tc>
          <w:tcPr>
            <w:tcW w:w="2429" w:type="dxa"/>
            <w:vMerge w:val="continue"/>
            <w:vAlign w:val="center"/>
          </w:tcPr>
          <w:p w14:paraId="3AA05976">
            <w:pPr>
              <w:rPr>
                <w:rFonts w:hint="eastAsia" w:ascii="仿宋" w:hAnsi="仿宋" w:eastAsia="仿宋" w:cs="仿宋"/>
                <w:color w:val="000000"/>
                <w:sz w:val="24"/>
                <w:szCs w:val="24"/>
                <w:lang w:val="en-US" w:eastAsia="zh-CN" w:bidi="en-US"/>
              </w:rPr>
            </w:pPr>
          </w:p>
        </w:tc>
        <w:tc>
          <w:tcPr>
            <w:tcW w:w="3359" w:type="dxa"/>
            <w:gridSpan w:val="3"/>
            <w:vAlign w:val="center"/>
          </w:tcPr>
          <w:p w14:paraId="1D368FAB">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交接出库</w:t>
            </w:r>
          </w:p>
        </w:tc>
        <w:tc>
          <w:tcPr>
            <w:tcW w:w="3427" w:type="dxa"/>
            <w:gridSpan w:val="2"/>
            <w:vAlign w:val="center"/>
          </w:tcPr>
          <w:p w14:paraId="051C3550">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用扫码方式实现仓管人员→ 仓库码→接收车码→ 周转箱码, 最后出库确认采用手写签名的出库操作</w:t>
            </w:r>
          </w:p>
        </w:tc>
      </w:tr>
      <w:tr w14:paraId="12AEE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7" w:type="dxa"/>
        </w:trPr>
        <w:tc>
          <w:tcPr>
            <w:tcW w:w="2429" w:type="dxa"/>
            <w:vMerge w:val="continue"/>
            <w:vAlign w:val="center"/>
          </w:tcPr>
          <w:p w14:paraId="1FB6ED87">
            <w:pPr>
              <w:rPr>
                <w:rFonts w:hint="eastAsia" w:ascii="仿宋" w:hAnsi="仿宋" w:eastAsia="仿宋" w:cs="仿宋"/>
                <w:color w:val="000000"/>
                <w:sz w:val="24"/>
                <w:szCs w:val="24"/>
                <w:lang w:val="en-US" w:eastAsia="zh-CN" w:bidi="en-US"/>
              </w:rPr>
            </w:pPr>
          </w:p>
        </w:tc>
        <w:tc>
          <w:tcPr>
            <w:tcW w:w="3359" w:type="dxa"/>
            <w:gridSpan w:val="3"/>
            <w:vAlign w:val="center"/>
          </w:tcPr>
          <w:p w14:paraId="53153DE1">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异常上报</w:t>
            </w:r>
          </w:p>
        </w:tc>
        <w:tc>
          <w:tcPr>
            <w:tcW w:w="3427" w:type="dxa"/>
            <w:gridSpan w:val="2"/>
            <w:vAlign w:val="center"/>
          </w:tcPr>
          <w:p w14:paraId="01BFFE93">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支持扫码、手写上报异常情况（异常码+ 类型选择+问题描述+图片取证）</w:t>
            </w:r>
          </w:p>
        </w:tc>
      </w:tr>
      <w:tr w14:paraId="0C71E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7" w:type="dxa"/>
        </w:trPr>
        <w:tc>
          <w:tcPr>
            <w:tcW w:w="2429" w:type="dxa"/>
            <w:vMerge w:val="continue"/>
            <w:vAlign w:val="center"/>
          </w:tcPr>
          <w:p w14:paraId="72E89DDA">
            <w:pPr>
              <w:rPr>
                <w:rFonts w:hint="eastAsia" w:ascii="仿宋" w:hAnsi="仿宋" w:eastAsia="仿宋" w:cs="仿宋"/>
                <w:color w:val="000000"/>
                <w:sz w:val="24"/>
                <w:szCs w:val="24"/>
                <w:lang w:val="en-US" w:eastAsia="zh-CN" w:bidi="en-US"/>
              </w:rPr>
            </w:pPr>
          </w:p>
        </w:tc>
        <w:tc>
          <w:tcPr>
            <w:tcW w:w="3359" w:type="dxa"/>
            <w:gridSpan w:val="3"/>
            <w:vAlign w:val="center"/>
          </w:tcPr>
          <w:p w14:paraId="39044F24">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扫码追溯</w:t>
            </w:r>
          </w:p>
        </w:tc>
        <w:tc>
          <w:tcPr>
            <w:tcW w:w="3427" w:type="dxa"/>
            <w:gridSpan w:val="2"/>
            <w:vAlign w:val="center"/>
          </w:tcPr>
          <w:p w14:paraId="57A169EC">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提供周转箱全生命周期扫码查询溯源（空箱/收集中/入库/出库） 四态可视化信息</w:t>
            </w:r>
          </w:p>
        </w:tc>
      </w:tr>
      <w:tr w14:paraId="22ADC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7" w:type="dxa"/>
        </w:trPr>
        <w:tc>
          <w:tcPr>
            <w:tcW w:w="2429" w:type="dxa"/>
            <w:vMerge w:val="continue"/>
            <w:vAlign w:val="center"/>
          </w:tcPr>
          <w:p w14:paraId="42AEBD04">
            <w:pPr>
              <w:rPr>
                <w:rFonts w:hint="eastAsia" w:ascii="仿宋" w:hAnsi="仿宋" w:eastAsia="仿宋" w:cs="仿宋"/>
                <w:color w:val="000000"/>
                <w:sz w:val="24"/>
                <w:szCs w:val="24"/>
                <w:lang w:val="en-US" w:eastAsia="zh-CN" w:bidi="en-US"/>
              </w:rPr>
            </w:pPr>
          </w:p>
        </w:tc>
        <w:tc>
          <w:tcPr>
            <w:tcW w:w="3359" w:type="dxa"/>
            <w:gridSpan w:val="3"/>
            <w:vAlign w:val="center"/>
          </w:tcPr>
          <w:p w14:paraId="1D8F658C">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APP更新</w:t>
            </w:r>
          </w:p>
        </w:tc>
        <w:tc>
          <w:tcPr>
            <w:tcW w:w="3427" w:type="dxa"/>
            <w:gridSpan w:val="2"/>
            <w:vAlign w:val="center"/>
          </w:tcPr>
          <w:p w14:paraId="09CB0E86">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自动比对新旧版本更新信息， 支持远程在线升级安装</w:t>
            </w:r>
          </w:p>
        </w:tc>
      </w:tr>
      <w:tr w14:paraId="392EF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7" w:type="dxa"/>
        </w:trPr>
        <w:tc>
          <w:tcPr>
            <w:tcW w:w="2429" w:type="dxa"/>
            <w:vAlign w:val="center"/>
          </w:tcPr>
          <w:p w14:paraId="2C70D807">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省平台对接</w:t>
            </w:r>
          </w:p>
        </w:tc>
        <w:tc>
          <w:tcPr>
            <w:tcW w:w="3359" w:type="dxa"/>
            <w:gridSpan w:val="3"/>
            <w:vAlign w:val="center"/>
          </w:tcPr>
          <w:p w14:paraId="04673BB5">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数据上报对接</w:t>
            </w:r>
          </w:p>
        </w:tc>
        <w:tc>
          <w:tcPr>
            <w:tcW w:w="3427" w:type="dxa"/>
            <w:gridSpan w:val="2"/>
            <w:vAlign w:val="center"/>
          </w:tcPr>
          <w:p w14:paraId="0E1A3CD8">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与医疗废物监督监测平台对接，依据平台提供的《医疗废物统一开放接口》API接口规则， 实现系统业务数据的上报对接 。业务接口包括：推送科室信息 、推送人员信息、推送暂存地信息、获取废弃物类型列表、批量推送收集消息、批量推送入库消息 、批量推送出库消息。</w:t>
            </w:r>
          </w:p>
        </w:tc>
      </w:tr>
      <w:tr w14:paraId="067F2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84" w:type="dxa"/>
        </w:trPr>
        <w:tc>
          <w:tcPr>
            <w:tcW w:w="9208" w:type="dxa"/>
            <w:gridSpan w:val="5"/>
            <w:vAlign w:val="center"/>
          </w:tcPr>
          <w:p w14:paraId="6B9FEEA5">
            <w:pPr>
              <w:jc w:val="left"/>
              <w:rPr>
                <w:rFonts w:hint="eastAsia" w:ascii="仿宋" w:hAnsi="仿宋" w:eastAsia="仿宋" w:cs="仿宋"/>
                <w:b/>
                <w:bCs/>
                <w:color w:val="000000"/>
                <w:sz w:val="24"/>
                <w:szCs w:val="24"/>
                <w:lang w:val="en-US" w:eastAsia="zh-CN" w:bidi="en-US"/>
              </w:rPr>
            </w:pPr>
            <w:r>
              <w:rPr>
                <w:rFonts w:hint="eastAsia" w:ascii="仿宋" w:hAnsi="仿宋" w:eastAsia="仿宋" w:cs="仿宋"/>
                <w:b/>
                <w:bCs/>
                <w:color w:val="000000"/>
                <w:sz w:val="24"/>
                <w:szCs w:val="24"/>
                <w:lang w:val="en-US" w:eastAsia="zh-CN" w:bidi="en-US"/>
              </w:rPr>
              <w:t>系统功能清单</w:t>
            </w:r>
          </w:p>
        </w:tc>
      </w:tr>
      <w:tr w14:paraId="72F78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84" w:type="dxa"/>
        </w:trPr>
        <w:tc>
          <w:tcPr>
            <w:tcW w:w="3311" w:type="dxa"/>
            <w:gridSpan w:val="2"/>
            <w:vAlign w:val="center"/>
          </w:tcPr>
          <w:p w14:paraId="67D63312">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功能类别</w:t>
            </w:r>
          </w:p>
        </w:tc>
        <w:tc>
          <w:tcPr>
            <w:tcW w:w="5897" w:type="dxa"/>
            <w:gridSpan w:val="3"/>
            <w:vAlign w:val="center"/>
          </w:tcPr>
          <w:p w14:paraId="10D91033">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功能详情</w:t>
            </w:r>
          </w:p>
        </w:tc>
      </w:tr>
      <w:tr w14:paraId="3BB3B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84" w:type="dxa"/>
        </w:trPr>
        <w:tc>
          <w:tcPr>
            <w:tcW w:w="3311" w:type="dxa"/>
            <w:gridSpan w:val="2"/>
            <w:vAlign w:val="center"/>
          </w:tcPr>
          <w:p w14:paraId="4F2380FF">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自动称重记录</w:t>
            </w:r>
          </w:p>
        </w:tc>
        <w:tc>
          <w:tcPr>
            <w:tcW w:w="5897" w:type="dxa"/>
            <w:gridSpan w:val="3"/>
            <w:vAlign w:val="center"/>
          </w:tcPr>
          <w:p w14:paraId="601613AB">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动态皮重计算 、超重自动预警、批次重量汇总统计。</w:t>
            </w:r>
          </w:p>
        </w:tc>
      </w:tr>
      <w:tr w14:paraId="22D6D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84" w:type="dxa"/>
        </w:trPr>
        <w:tc>
          <w:tcPr>
            <w:tcW w:w="3311" w:type="dxa"/>
            <w:gridSpan w:val="2"/>
            <w:vAlign w:val="center"/>
          </w:tcPr>
          <w:p w14:paraId="2BDA3721">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数据分析</w:t>
            </w:r>
          </w:p>
        </w:tc>
        <w:tc>
          <w:tcPr>
            <w:tcW w:w="5897" w:type="dxa"/>
            <w:gridSpan w:val="3"/>
            <w:vAlign w:val="center"/>
          </w:tcPr>
          <w:p w14:paraId="1A9B0EC5">
            <w:pPr>
              <w:rPr>
                <w:rFonts w:hint="eastAsia" w:ascii="仿宋" w:hAnsi="仿宋" w:eastAsia="仿宋" w:cs="仿宋"/>
                <w:color w:val="000000"/>
                <w:sz w:val="24"/>
                <w:szCs w:val="24"/>
                <w:lang w:val="en-US" w:eastAsia="zh-CN" w:bidi="en-US"/>
              </w:rPr>
            </w:pPr>
            <w:r>
              <w:rPr>
                <w:rFonts w:hint="eastAsia" w:ascii="仿宋" w:hAnsi="仿宋" w:eastAsia="仿宋" w:cs="仿宋"/>
                <w:color w:val="000000"/>
                <w:sz w:val="24"/>
                <w:szCs w:val="24"/>
                <w:lang w:val="en-US" w:eastAsia="zh-CN" w:bidi="en-US"/>
              </w:rPr>
              <w:t>废弃物分类统计、科室产出排名 、物料出入库分析。</w:t>
            </w:r>
          </w:p>
        </w:tc>
      </w:tr>
    </w:tbl>
    <w:p w14:paraId="4990F733">
      <w:pPr>
        <w:rPr>
          <w:rFonts w:hint="eastAsia" w:ascii="仿宋" w:hAnsi="仿宋" w:eastAsia="仿宋" w:cs="仿宋"/>
          <w:b w:val="0"/>
          <w:bCs/>
          <w:sz w:val="18"/>
          <w:szCs w:val="18"/>
        </w:rPr>
      </w:pPr>
    </w:p>
    <w:p w14:paraId="1BD39C83">
      <w:pPr>
        <w:ind w:left="0" w:leftChars="0" w:firstLine="0" w:firstLineChars="0"/>
        <w:rPr>
          <w:rFonts w:hint="eastAsia"/>
          <w:b/>
          <w:bCs/>
          <w:lang w:val="en-US" w:eastAsia="zh-CN"/>
        </w:rPr>
      </w:pPr>
      <w:r>
        <w:rPr>
          <w:rFonts w:hint="eastAsia" w:ascii="仿宋" w:hAnsi="仿宋" w:eastAsia="仿宋" w:cs="仿宋"/>
          <w:b/>
          <w:bCs/>
          <w:lang w:val="en-US" w:eastAsia="zh-CN"/>
        </w:rPr>
        <w:t>说明：文中</w:t>
      </w:r>
      <w:r>
        <w:rPr>
          <w:rFonts w:hint="eastAsia" w:ascii="仿宋" w:hAnsi="仿宋" w:eastAsia="仿宋" w:cs="仿宋"/>
          <w:b/>
          <w:bCs/>
        </w:rPr>
        <w:t>★</w:t>
      </w:r>
      <w:r>
        <w:rPr>
          <w:rFonts w:hint="eastAsia" w:ascii="仿宋" w:hAnsi="仿宋" w:eastAsia="仿宋" w:cs="仿宋"/>
          <w:b/>
          <w:bCs/>
          <w:lang w:val="en-US" w:eastAsia="zh-CN"/>
        </w:rPr>
        <w:t>代表核心重要参数需求</w:t>
      </w:r>
    </w:p>
    <w:p w14:paraId="3A8E6DF4">
      <w:pPr>
        <w:ind w:left="0" w:leftChars="0" w:firstLine="0" w:firstLineChars="0"/>
        <w:rPr>
          <w:rFonts w:hint="default"/>
          <w:lang w:val="en-US" w:eastAsia="zh-CN"/>
        </w:rPr>
      </w:pPr>
    </w:p>
    <w:p w14:paraId="46348231">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bCs/>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商务要求：</w:t>
      </w:r>
    </w:p>
    <w:p w14:paraId="6AC89EAE">
      <w:pPr>
        <w:pStyle w:val="20"/>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left="2204" w:leftChars="207" w:right="0" w:hanging="1701" w:hangingChars="700"/>
        <w:jc w:val="left"/>
        <w:textAlignment w:val="auto"/>
        <w:rPr>
          <w:rFonts w:hint="eastAsia" w:ascii="仿宋" w:hAnsi="仿宋" w:eastAsia="仿宋" w:cs="仿宋"/>
          <w:color w:val="auto"/>
          <w:sz w:val="24"/>
          <w:szCs w:val="24"/>
          <w:lang w:val="en-US" w:eastAsia="zh-CN" w:bidi="en-US"/>
        </w:rPr>
      </w:pPr>
      <w:r>
        <w:rPr>
          <w:rFonts w:hint="eastAsia" w:ascii="仿宋" w:hAnsi="仿宋" w:eastAsia="仿宋" w:cs="仿宋"/>
          <w:b/>
          <w:bCs/>
          <w:color w:val="auto"/>
          <w:highlight w:val="none"/>
          <w:lang w:eastAsia="zh-CN"/>
        </w:rPr>
        <w:t>（一）实施（供货）期 ：</w:t>
      </w:r>
      <w:r>
        <w:rPr>
          <w:rFonts w:hint="eastAsia" w:ascii="仿宋" w:hAnsi="仿宋" w:eastAsia="仿宋" w:cs="仿宋"/>
          <w:color w:val="auto"/>
          <w:sz w:val="24"/>
          <w:szCs w:val="24"/>
          <w:lang w:val="en-US" w:eastAsia="zh-CN" w:bidi="en-US"/>
        </w:rPr>
        <w:t>75日历日（最终以双方签订的合同约定为准）。</w:t>
      </w:r>
    </w:p>
    <w:p w14:paraId="7358A2AA">
      <w:pPr>
        <w:keepNext w:val="0"/>
        <w:keepLines w:val="0"/>
        <w:pageBreakBefore w:val="0"/>
        <w:widowControl w:val="0"/>
        <w:kinsoku/>
        <w:wordWrap/>
        <w:overflowPunct/>
        <w:topLinePunct w:val="0"/>
        <w:autoSpaceDE/>
        <w:autoSpaceDN/>
        <w:bidi w:val="0"/>
        <w:adjustRightInd/>
        <w:snapToGrid/>
        <w:spacing w:line="460" w:lineRule="exact"/>
        <w:ind w:left="486" w:leftChars="200"/>
        <w:textAlignment w:val="auto"/>
        <w:rPr>
          <w:rFonts w:hint="eastAsia" w:ascii="仿宋" w:hAnsi="仿宋" w:eastAsia="仿宋" w:cs="仿宋"/>
          <w:color w:val="auto"/>
          <w:highlight w:val="none"/>
          <w:lang w:eastAsia="zh-CN"/>
        </w:rPr>
      </w:pPr>
      <w:r>
        <w:rPr>
          <w:rFonts w:hint="eastAsia" w:ascii="仿宋" w:hAnsi="仿宋" w:eastAsia="仿宋" w:cs="仿宋"/>
          <w:b/>
          <w:bCs/>
          <w:color w:val="auto"/>
          <w:highlight w:val="none"/>
          <w:lang w:eastAsia="zh-CN"/>
        </w:rPr>
        <w:t>（二）实施（交货）地点</w:t>
      </w:r>
      <w:r>
        <w:rPr>
          <w:rFonts w:hint="eastAsia" w:ascii="仿宋" w:hAnsi="仿宋" w:eastAsia="仿宋" w:cs="仿宋"/>
          <w:color w:val="auto"/>
          <w:highlight w:val="none"/>
          <w:lang w:eastAsia="zh-CN"/>
        </w:rPr>
        <w:t xml:space="preserve"> ：甲方指定地点</w:t>
      </w:r>
    </w:p>
    <w:p w14:paraId="39E45955">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b/>
          <w:bCs/>
          <w:color w:val="000000" w:themeColor="text1"/>
          <w:highlight w:val="none"/>
          <w:lang w:eastAsia="zh-CN"/>
          <w14:textFill>
            <w14:solidFill>
              <w14:schemeClr w14:val="tx1"/>
            </w14:solidFill>
          </w14:textFill>
        </w:rPr>
      </w:pPr>
      <w:r>
        <w:rPr>
          <w:rFonts w:hint="eastAsia" w:ascii="仿宋" w:hAnsi="仿宋" w:eastAsia="仿宋" w:cs="仿宋"/>
          <w:b/>
          <w:bCs/>
          <w:color w:val="000000" w:themeColor="text1"/>
          <w:highlight w:val="none"/>
          <w:lang w:eastAsia="zh-CN"/>
          <w14:textFill>
            <w14:solidFill>
              <w14:schemeClr w14:val="tx1"/>
            </w14:solidFill>
          </w14:textFill>
        </w:rPr>
        <w:t>（三）报价要求</w:t>
      </w:r>
    </w:p>
    <w:p w14:paraId="03DE8400">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000000" w:themeColor="text1"/>
          <w:highlight w:val="none"/>
          <w:lang w:eastAsia="zh-CN"/>
          <w14:textFill>
            <w14:solidFill>
              <w14:schemeClr w14:val="tx1"/>
            </w14:solidFill>
          </w14:textFill>
        </w:rPr>
      </w:pPr>
      <w:r>
        <w:rPr>
          <w:rFonts w:hint="eastAsia" w:ascii="仿宋" w:hAnsi="仿宋" w:eastAsia="仿宋" w:cs="仿宋"/>
          <w:color w:val="000000" w:themeColor="text1"/>
          <w:highlight w:val="none"/>
          <w:lang w:eastAsia="zh-CN"/>
          <w14:textFill>
            <w14:solidFill>
              <w14:schemeClr w14:val="tx1"/>
            </w14:solidFill>
          </w14:textFill>
        </w:rPr>
        <w:t>本次报价为人民币报价，投标报价应包括：货物本身价格、</w:t>
      </w:r>
      <w:r>
        <w:rPr>
          <w:rFonts w:hint="eastAsia" w:ascii="仿宋" w:hAnsi="仿宋" w:eastAsia="仿宋" w:cs="仿宋"/>
          <w:color w:val="000000" w:themeColor="text1"/>
          <w:highlight w:val="none"/>
          <w:lang w:val="en-US" w:eastAsia="zh-CN"/>
          <w14:textFill>
            <w14:solidFill>
              <w14:schemeClr w14:val="tx1"/>
            </w14:solidFill>
          </w14:textFill>
        </w:rPr>
        <w:t>安装调试运行费用、环评验收费用、</w:t>
      </w:r>
      <w:r>
        <w:rPr>
          <w:rFonts w:hint="eastAsia" w:ascii="仿宋" w:hAnsi="仿宋" w:eastAsia="仿宋" w:cs="仿宋"/>
          <w:color w:val="000000" w:themeColor="text1"/>
          <w:highlight w:val="none"/>
          <w:lang w:eastAsia="zh-CN"/>
          <w14:textFill>
            <w14:solidFill>
              <w14:schemeClr w14:val="tx1"/>
            </w14:solidFill>
          </w14:textFill>
        </w:rPr>
        <w:t>保险费用、培训费、养护费、包装费、运输费用、二次搬运费、装卸费、损耗、税金费用、自检费、人工费、其他配件费及验收合格前和质保期内发生的一切费用、应当提供的伴随服务/售后服务费用。</w:t>
      </w:r>
    </w:p>
    <w:p w14:paraId="39A61FC9">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b/>
          <w:bCs/>
          <w:color w:val="000000" w:themeColor="text1"/>
          <w:highlight w:val="none"/>
          <w:lang w:eastAsia="zh-CN"/>
          <w14:textFill>
            <w14:solidFill>
              <w14:schemeClr w14:val="tx1"/>
            </w14:solidFill>
          </w14:textFill>
        </w:rPr>
      </w:pPr>
      <w:r>
        <w:rPr>
          <w:rFonts w:hint="eastAsia" w:ascii="仿宋" w:hAnsi="仿宋" w:eastAsia="仿宋" w:cs="仿宋"/>
          <w:b/>
          <w:bCs/>
          <w:color w:val="000000" w:themeColor="text1"/>
          <w:highlight w:val="none"/>
          <w:lang w:eastAsia="zh-CN"/>
          <w14:textFill>
            <w14:solidFill>
              <w14:schemeClr w14:val="tx1"/>
            </w14:solidFill>
          </w14:textFill>
        </w:rPr>
        <w:t>（四）质保要求</w:t>
      </w:r>
    </w:p>
    <w:p w14:paraId="1C076D95">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 xml:space="preserve">1、质保期：免费质保2年。 </w:t>
      </w:r>
    </w:p>
    <w:p w14:paraId="37FDAA32">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2、乙方应保证所提供的货物是全新、未使用过的原装合格正品，并完全符合国家标准和行业的相关标准。</w:t>
      </w:r>
    </w:p>
    <w:p w14:paraId="6389F12A">
      <w:pPr>
        <w:keepNext w:val="0"/>
        <w:keepLines w:val="0"/>
        <w:pageBreakBefore w:val="0"/>
        <w:widowControl w:val="0"/>
        <w:kinsoku/>
        <w:wordWrap/>
        <w:overflowPunct/>
        <w:topLinePunct w:val="0"/>
        <w:autoSpaceDE/>
        <w:autoSpaceDN/>
        <w:bidi w:val="0"/>
        <w:adjustRightInd/>
        <w:snapToGrid/>
        <w:spacing w:line="460" w:lineRule="exact"/>
        <w:ind w:firstLine="243" w:firstLineChars="100"/>
        <w:textAlignment w:val="auto"/>
        <w:rPr>
          <w:rFonts w:hint="eastAsia" w:ascii="仿宋" w:hAnsi="仿宋" w:eastAsia="仿宋" w:cs="仿宋"/>
          <w:b/>
          <w:bCs/>
          <w:color w:val="000000" w:themeColor="text1"/>
          <w:highlight w:val="none"/>
          <w:lang w:eastAsia="zh-CN"/>
          <w14:textFill>
            <w14:solidFill>
              <w14:schemeClr w14:val="tx1"/>
            </w14:solidFill>
          </w14:textFill>
        </w:rPr>
      </w:pPr>
      <w:r>
        <w:rPr>
          <w:rFonts w:hint="eastAsia" w:ascii="仿宋" w:hAnsi="仿宋" w:eastAsia="仿宋" w:cs="仿宋"/>
          <w:b/>
          <w:bCs/>
          <w:color w:val="000000" w:themeColor="text1"/>
          <w:highlight w:val="none"/>
          <w:lang w:eastAsia="zh-CN"/>
          <w14:textFill>
            <w14:solidFill>
              <w14:schemeClr w14:val="tx1"/>
            </w14:solidFill>
          </w14:textFill>
        </w:rPr>
        <w:t>（五）售后服务、理赔、质量技术及验收保证的承诺</w:t>
      </w:r>
    </w:p>
    <w:p w14:paraId="658F273E">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000000" w:themeColor="text1"/>
          <w:highlight w:val="none"/>
          <w:lang w:eastAsia="zh-CN"/>
          <w14:textFill>
            <w14:solidFill>
              <w14:schemeClr w14:val="tx1"/>
            </w14:solidFill>
          </w14:textFill>
        </w:rPr>
      </w:pPr>
      <w:r>
        <w:rPr>
          <w:rFonts w:hint="eastAsia" w:ascii="仿宋" w:hAnsi="仿宋" w:eastAsia="仿宋" w:cs="仿宋"/>
          <w:color w:val="000000" w:themeColor="text1"/>
          <w:highlight w:val="none"/>
          <w:lang w:eastAsia="zh-CN"/>
          <w14:textFill>
            <w14:solidFill>
              <w14:schemeClr w14:val="tx1"/>
            </w14:solidFill>
          </w14:textFill>
        </w:rPr>
        <w:t>1、售后服务</w:t>
      </w:r>
    </w:p>
    <w:p w14:paraId="1D9B203A">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auto"/>
          <w:highlight w:val="none"/>
          <w:lang w:eastAsia="zh-CN"/>
        </w:rPr>
      </w:pPr>
      <w:r>
        <w:rPr>
          <w:rFonts w:hint="eastAsia" w:ascii="仿宋" w:hAnsi="仿宋" w:eastAsia="仿宋" w:cs="仿宋"/>
          <w:color w:val="000000" w:themeColor="text1"/>
          <w:highlight w:val="none"/>
          <w:lang w:eastAsia="zh-CN"/>
          <w14:textFill>
            <w14:solidFill>
              <w14:schemeClr w14:val="tx1"/>
            </w14:solidFill>
          </w14:textFill>
        </w:rPr>
        <w:t>1.1产品质量：在合同期内，甲方正常使用乙方所供产品而出现质量问题时，乙方负责。产品使用：甲方在使用乙方所供产品中出现问题需乙方解决时，乙方应无偿解决</w:t>
      </w:r>
      <w:r>
        <w:rPr>
          <w:rFonts w:hint="eastAsia" w:ascii="仿宋" w:hAnsi="仿宋" w:eastAsia="仿宋" w:cs="仿宋"/>
          <w:color w:val="auto"/>
          <w:highlight w:val="none"/>
          <w:lang w:eastAsia="zh-CN"/>
        </w:rPr>
        <w:t>（退换货）。</w:t>
      </w:r>
    </w:p>
    <w:p w14:paraId="0FD7AD15">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1.2质保期内，当采购人遇到使用及技术问题电话咨询不能解决的，须在12小时内到达现场进行处理。    </w:t>
      </w:r>
    </w:p>
    <w:p w14:paraId="3FCDD0DC">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b w:val="0"/>
          <w:bCs w:val="0"/>
          <w:color w:val="auto"/>
          <w:highlight w:val="none"/>
          <w:lang w:eastAsia="zh-CN"/>
        </w:rPr>
      </w:pPr>
      <w:r>
        <w:rPr>
          <w:rFonts w:hint="eastAsia" w:ascii="仿宋" w:hAnsi="仿宋" w:eastAsia="仿宋" w:cs="仿宋"/>
          <w:b w:val="0"/>
          <w:bCs w:val="0"/>
          <w:color w:val="auto"/>
          <w:highlight w:val="none"/>
          <w:lang w:eastAsia="zh-CN"/>
        </w:rPr>
        <w:t>1.3质保期内，设备出现故障，须在</w:t>
      </w:r>
      <w:r>
        <w:rPr>
          <w:rFonts w:hint="eastAsia" w:ascii="仿宋" w:hAnsi="仿宋" w:eastAsia="仿宋" w:cs="仿宋"/>
          <w:b w:val="0"/>
          <w:bCs w:val="0"/>
          <w:color w:val="auto"/>
          <w:highlight w:val="none"/>
          <w:lang w:val="en-US" w:eastAsia="zh-CN"/>
        </w:rPr>
        <w:t>1</w:t>
      </w:r>
      <w:r>
        <w:rPr>
          <w:rFonts w:hint="eastAsia" w:ascii="仿宋" w:hAnsi="仿宋" w:eastAsia="仿宋" w:cs="仿宋"/>
          <w:b w:val="0"/>
          <w:bCs w:val="0"/>
          <w:color w:val="auto"/>
          <w:highlight w:val="none"/>
          <w:lang w:eastAsia="zh-CN"/>
        </w:rPr>
        <w:t>小时内响应，</w:t>
      </w:r>
      <w:r>
        <w:rPr>
          <w:rFonts w:hint="eastAsia" w:ascii="仿宋" w:hAnsi="仿宋" w:eastAsia="仿宋" w:cs="仿宋"/>
          <w:b w:val="0"/>
          <w:bCs w:val="0"/>
          <w:color w:val="auto"/>
          <w:highlight w:val="none"/>
          <w:lang w:val="en-US" w:eastAsia="zh-CN"/>
        </w:rPr>
        <w:t>5</w:t>
      </w:r>
      <w:r>
        <w:rPr>
          <w:rFonts w:hint="eastAsia" w:ascii="仿宋" w:hAnsi="仿宋" w:eastAsia="仿宋" w:cs="仿宋"/>
          <w:b w:val="0"/>
          <w:bCs w:val="0"/>
          <w:color w:val="auto"/>
          <w:highlight w:val="none"/>
          <w:lang w:eastAsia="zh-CN"/>
        </w:rPr>
        <w:t>小时内到达现场，一般故障8小时内修复，较大故障24小时内解决问题。</w:t>
      </w:r>
      <w:r>
        <w:rPr>
          <w:rFonts w:hint="eastAsia" w:ascii="仿宋" w:hAnsi="仿宋" w:eastAsia="仿宋" w:cs="仿宋"/>
          <w:b/>
          <w:bCs/>
          <w:color w:val="auto"/>
          <w:highlight w:val="none"/>
          <w:lang w:eastAsia="zh-CN"/>
        </w:rPr>
        <w:t>每年提供不少于</w:t>
      </w:r>
      <w:r>
        <w:rPr>
          <w:rFonts w:hint="eastAsia" w:ascii="仿宋" w:hAnsi="仿宋" w:eastAsia="仿宋" w:cs="仿宋"/>
          <w:b/>
          <w:bCs/>
          <w:color w:val="auto"/>
          <w:highlight w:val="none"/>
          <w:lang w:val="en-US" w:eastAsia="zh-CN"/>
        </w:rPr>
        <w:t>4</w:t>
      </w:r>
      <w:r>
        <w:rPr>
          <w:rFonts w:hint="eastAsia" w:ascii="仿宋" w:hAnsi="仿宋" w:eastAsia="仿宋" w:cs="仿宋"/>
          <w:b/>
          <w:bCs/>
          <w:color w:val="auto"/>
          <w:highlight w:val="none"/>
          <w:lang w:eastAsia="zh-CN"/>
        </w:rPr>
        <w:t>次回访。</w:t>
      </w:r>
    </w:p>
    <w:p w14:paraId="238311B3">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2、交货时应提供以下技术或培训资料（如涉及）</w:t>
      </w:r>
    </w:p>
    <w:p w14:paraId="5B78FF4B">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2.1原产地证明书</w:t>
      </w:r>
      <w:r>
        <w:rPr>
          <w:rFonts w:hint="eastAsia" w:ascii="仿宋" w:hAnsi="仿宋" w:eastAsia="仿宋" w:cs="仿宋"/>
          <w:color w:val="auto"/>
          <w:highlight w:val="none"/>
          <w:lang w:val="en-US" w:eastAsia="zh-CN"/>
        </w:rPr>
        <w:t>或</w:t>
      </w:r>
      <w:r>
        <w:rPr>
          <w:rFonts w:hint="eastAsia" w:ascii="仿宋" w:hAnsi="仿宋" w:eastAsia="仿宋" w:cs="仿宋"/>
          <w:color w:val="auto"/>
          <w:highlight w:val="none"/>
          <w:lang w:eastAsia="zh-CN"/>
        </w:rPr>
        <w:t>产品检测合格证(由制造厂签发)；</w:t>
      </w:r>
    </w:p>
    <w:p w14:paraId="299CDCBC">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2.2提供主机及配套设备的安装图纸及说明；</w:t>
      </w:r>
    </w:p>
    <w:p w14:paraId="7A9CE5C1">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2.3提供主机及配套设备使用说明书、维护手册；</w:t>
      </w:r>
    </w:p>
    <w:p w14:paraId="50076FCD">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2.4备件手册、零件及易损件的图纸及相关资料；</w:t>
      </w:r>
    </w:p>
    <w:p w14:paraId="0F29E303">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2.5其它相关技术资料。</w:t>
      </w:r>
    </w:p>
    <w:p w14:paraId="71C5DDF8">
      <w:pPr>
        <w:keepNext w:val="0"/>
        <w:keepLines w:val="0"/>
        <w:pageBreakBefore w:val="0"/>
        <w:widowControl w:val="0"/>
        <w:numPr>
          <w:ilvl w:val="0"/>
          <w:numId w:val="10"/>
        </w:numPr>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b/>
          <w:bCs/>
          <w:color w:val="auto"/>
          <w:highlight w:val="none"/>
          <w:lang w:val="en-US" w:eastAsia="zh-CN"/>
        </w:rPr>
      </w:pPr>
      <w:r>
        <w:rPr>
          <w:rFonts w:hint="eastAsia" w:ascii="仿宋" w:hAnsi="仿宋" w:eastAsia="仿宋" w:cs="仿宋"/>
          <w:b/>
          <w:bCs/>
          <w:color w:val="auto"/>
          <w:highlight w:val="none"/>
          <w:lang w:val="en-US" w:eastAsia="zh-CN"/>
        </w:rPr>
        <w:t>安装：中标单位或生产厂家在不具备安装能力时可以委托具有相关资质的单位安装。</w:t>
      </w:r>
    </w:p>
    <w:p w14:paraId="2B671488">
      <w:pPr>
        <w:keepNext w:val="0"/>
        <w:keepLines w:val="0"/>
        <w:pageBreakBefore w:val="0"/>
        <w:widowControl w:val="0"/>
        <w:numPr>
          <w:ilvl w:val="0"/>
          <w:numId w:val="10"/>
        </w:numPr>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b/>
          <w:bCs/>
          <w:color w:val="auto"/>
          <w:highlight w:val="none"/>
          <w:lang w:val="en-US" w:eastAsia="zh-CN"/>
        </w:rPr>
        <w:t>现场培训</w:t>
      </w:r>
      <w:r>
        <w:rPr>
          <w:rFonts w:hint="eastAsia" w:ascii="仿宋" w:hAnsi="仿宋" w:eastAsia="仿宋" w:cs="仿宋"/>
          <w:color w:val="auto"/>
          <w:highlight w:val="none"/>
          <w:lang w:val="en-US" w:eastAsia="zh-CN"/>
        </w:rPr>
        <w:t>：免费安装并现场培训相关人员至掌握设备软件操作及日常维护、安全、应急处置培训，留存培训记录。</w:t>
      </w:r>
    </w:p>
    <w:p w14:paraId="51A9640A">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4.1</w:t>
      </w:r>
      <w:r>
        <w:rPr>
          <w:rFonts w:hint="eastAsia" w:ascii="仿宋" w:hAnsi="仿宋" w:eastAsia="仿宋" w:cs="仿宋"/>
          <w:color w:val="auto"/>
          <w:highlight w:val="none"/>
          <w:lang w:eastAsia="zh-CN"/>
        </w:rPr>
        <w:t>设备到场后，供应商需至少派1名工程师现场指导安装调试。</w:t>
      </w:r>
    </w:p>
    <w:p w14:paraId="73B8BC08">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5、新购设备随仪器配备必要的维修工具，工具能满足维护人员对设备的正常维护、维修。</w:t>
      </w:r>
    </w:p>
    <w:p w14:paraId="16AAD83A">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6</w:t>
      </w:r>
      <w:r>
        <w:rPr>
          <w:rFonts w:hint="eastAsia" w:ascii="仿宋" w:hAnsi="仿宋" w:eastAsia="仿宋" w:cs="仿宋"/>
          <w:color w:val="auto"/>
          <w:highlight w:val="none"/>
          <w:lang w:eastAsia="zh-CN"/>
        </w:rPr>
        <w:t>、在质保期内，如果供应商的产品技术升级，供应商应及时通知采购人，如采购人有相应要求，供应商应对采购人购买的产品进行</w:t>
      </w:r>
      <w:r>
        <w:rPr>
          <w:rFonts w:hint="eastAsia" w:ascii="仿宋" w:hAnsi="仿宋" w:eastAsia="仿宋" w:cs="仿宋"/>
          <w:color w:val="auto"/>
          <w:highlight w:val="none"/>
          <w:lang w:val="en-US" w:eastAsia="zh-CN"/>
        </w:rPr>
        <w:t>免费</w:t>
      </w:r>
      <w:r>
        <w:rPr>
          <w:rFonts w:hint="eastAsia" w:ascii="仿宋" w:hAnsi="仿宋" w:eastAsia="仿宋" w:cs="仿宋"/>
          <w:color w:val="auto"/>
          <w:highlight w:val="none"/>
          <w:lang w:eastAsia="zh-CN"/>
        </w:rPr>
        <w:t>升级服务。</w:t>
      </w:r>
    </w:p>
    <w:p w14:paraId="7820A41E">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7</w:t>
      </w:r>
      <w:r>
        <w:rPr>
          <w:rFonts w:hint="eastAsia" w:ascii="仿宋" w:hAnsi="仿宋" w:eastAsia="仿宋" w:cs="仿宋"/>
          <w:color w:val="auto"/>
          <w:highlight w:val="none"/>
          <w:lang w:eastAsia="zh-CN"/>
        </w:rPr>
        <w:t>、质保期过后，供应商应同样提供免费电话咨询服务，并应承诺提供该产品上门维护服务。</w:t>
      </w:r>
    </w:p>
    <w:p w14:paraId="24374AB6">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8、质保期过后，采购人需要继续由原投标人提供售后服务的，非硬件损坏的免费提供技术支持及售后服务，硬件损坏的只收取硬件成本费，软件终身提供免费技术支持。</w:t>
      </w:r>
    </w:p>
    <w:p w14:paraId="08C4EADB">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b/>
          <w:bCs/>
          <w:color w:val="000000" w:themeColor="text1"/>
          <w:highlight w:val="none"/>
          <w:lang w:eastAsia="zh-CN"/>
          <w14:textFill>
            <w14:solidFill>
              <w14:schemeClr w14:val="tx1"/>
            </w14:solidFill>
          </w14:textFill>
        </w:rPr>
      </w:pPr>
      <w:r>
        <w:rPr>
          <w:rFonts w:hint="eastAsia" w:ascii="仿宋" w:hAnsi="仿宋" w:eastAsia="仿宋" w:cs="仿宋"/>
          <w:b/>
          <w:bCs/>
          <w:color w:val="000000" w:themeColor="text1"/>
          <w:highlight w:val="none"/>
          <w:lang w:eastAsia="zh-CN"/>
          <w14:textFill>
            <w14:solidFill>
              <w14:schemeClr w14:val="tx1"/>
            </w14:solidFill>
          </w14:textFill>
        </w:rPr>
        <w:t>（六）验收</w:t>
      </w:r>
    </w:p>
    <w:p w14:paraId="7C1A4C4D">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000000" w:themeColor="text1"/>
          <w:highlight w:val="none"/>
          <w:lang w:eastAsia="zh-CN"/>
          <w14:textFill>
            <w14:solidFill>
              <w14:schemeClr w14:val="tx1"/>
            </w14:solidFill>
          </w14:textFill>
        </w:rPr>
      </w:pPr>
      <w:r>
        <w:rPr>
          <w:rFonts w:hint="eastAsia" w:ascii="仿宋" w:hAnsi="仿宋" w:eastAsia="仿宋" w:cs="仿宋"/>
          <w:color w:val="000000" w:themeColor="text1"/>
          <w:highlight w:val="none"/>
          <w:lang w:eastAsia="zh-CN"/>
          <w14:textFill>
            <w14:solidFill>
              <w14:schemeClr w14:val="tx1"/>
            </w14:solidFill>
          </w14:textFill>
        </w:rPr>
        <w:t>1、供应商提供的产品为全新未使用且符合相关法律法规要求的合格产品；</w:t>
      </w:r>
    </w:p>
    <w:p w14:paraId="33926C86">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highlight w:val="none"/>
          <w:lang w:eastAsia="zh-CN"/>
          <w14:textFill>
            <w14:solidFill>
              <w14:schemeClr w14:val="tx1"/>
            </w14:solidFill>
          </w14:textFill>
        </w:rPr>
        <w:t>2、供应商提供的产品型号、规格等特性需与投标文件、合同规定内容完全一致，且满足采购方提出的采购需求。</w:t>
      </w:r>
    </w:p>
    <w:p w14:paraId="5E520781">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3、货物验收时，供应商向采购人提供生产厂家出具的设备出厂验收报告、第三方整机检测报告、合格证、厂家资格证件等相关文件。</w:t>
      </w:r>
    </w:p>
    <w:p w14:paraId="3A034D5A">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default"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4、供应商提供的产品需经采购人验收小组验收（或聘请第三方检测机构参与验收），进行试验检测，按照技术要求逐项进行测试，测试结果应满足相</w:t>
      </w:r>
      <w:r>
        <w:rPr>
          <w:rFonts w:hint="eastAsia" w:ascii="仿宋" w:hAnsi="仿宋" w:eastAsia="仿宋" w:cs="仿宋"/>
          <w:color w:val="000000" w:themeColor="text1"/>
          <w:highlight w:val="none"/>
          <w:lang w:eastAsia="zh-CN"/>
          <w14:textFill>
            <w14:solidFill>
              <w14:schemeClr w14:val="tx1"/>
            </w14:solidFill>
          </w14:textFill>
        </w:rPr>
        <w:t>关要求，试验通过并满足要求为验收合格</w:t>
      </w:r>
      <w:r>
        <w:rPr>
          <w:rFonts w:hint="eastAsia" w:ascii="仿宋" w:hAnsi="仿宋" w:eastAsia="仿宋" w:cs="仿宋"/>
          <w:color w:val="000000" w:themeColor="text1"/>
          <w:highlight w:val="none"/>
          <w:lang w:val="en-US" w:eastAsia="zh-CN"/>
          <w14:textFill>
            <w14:solidFill>
              <w14:schemeClr w14:val="tx1"/>
            </w14:solidFill>
          </w14:textFill>
        </w:rPr>
        <w:t>；验收不合格的，按合同要求整改、索赔。</w:t>
      </w:r>
    </w:p>
    <w:p w14:paraId="3132EAE0">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auto"/>
          <w:highlight w:val="none"/>
          <w:lang w:eastAsia="zh-CN"/>
        </w:rPr>
      </w:pPr>
      <w:r>
        <w:rPr>
          <w:rFonts w:hint="eastAsia" w:ascii="仿宋" w:hAnsi="仿宋" w:eastAsia="仿宋" w:cs="仿宋"/>
          <w:b w:val="0"/>
          <w:bCs w:val="0"/>
          <w:color w:val="auto"/>
          <w:highlight w:val="none"/>
          <w:lang w:val="en-US" w:eastAsia="zh-CN"/>
        </w:rPr>
        <w:t>5、项目的环评验收以生态环境部门的环评受理、环评批复以及环评验收挂网为标准。</w:t>
      </w:r>
    </w:p>
    <w:p w14:paraId="0D89454F">
      <w:pPr>
        <w:keepNext w:val="0"/>
        <w:keepLines w:val="0"/>
        <w:pageBreakBefore w:val="0"/>
        <w:widowControl w:val="0"/>
        <w:kinsoku/>
        <w:wordWrap/>
        <w:overflowPunct/>
        <w:topLinePunct w:val="0"/>
        <w:autoSpaceDE/>
        <w:autoSpaceDN/>
        <w:bidi w:val="0"/>
        <w:adjustRightInd/>
        <w:snapToGrid/>
        <w:spacing w:line="460" w:lineRule="exact"/>
        <w:ind w:firstLine="356" w:firstLineChars="147"/>
        <w:textAlignment w:val="auto"/>
        <w:rPr>
          <w:rFonts w:hint="eastAsia"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（七）付款方式</w:t>
      </w:r>
    </w:p>
    <w:p w14:paraId="2DF62683">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b w:val="0"/>
          <w:bCs w:val="0"/>
          <w:color w:val="auto"/>
          <w:highlight w:val="none"/>
          <w:lang w:eastAsia="zh-CN"/>
        </w:rPr>
      </w:pPr>
      <w:r>
        <w:rPr>
          <w:rFonts w:hint="eastAsia" w:ascii="仿宋" w:hAnsi="仿宋" w:eastAsia="仿宋" w:cs="仿宋"/>
          <w:b w:val="0"/>
          <w:bCs w:val="0"/>
          <w:color w:val="auto"/>
          <w:highlight w:val="none"/>
          <w:lang w:val="en-US" w:eastAsia="zh-CN"/>
        </w:rPr>
        <w:t>签订合同后中标方需提供中标通知书及相应金额发票于15日内预付100万元货款，中标方实施2026年第一期三家医院的设备供应和合格验收。中标标的第二期设施产品安装并环评报告表竣工验收并稳定运行3个月后，由甲方单位出具2027年第二期四家医院竣工验收手续和完成信息化闭环管理后15日内支付剩余货款的100%，中标供应商按两阶段提供对应付款金额的正规发票。（具体以甲乙双方签订合同为准）</w:t>
      </w:r>
    </w:p>
    <w:p w14:paraId="11113601">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（八）知识产权</w:t>
      </w:r>
    </w:p>
    <w:p w14:paraId="08D552C1">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000000" w:themeColor="text1"/>
          <w:highlight w:val="none"/>
          <w:lang w:eastAsia="zh-CN"/>
          <w14:textFill>
            <w14:solidFill>
              <w14:schemeClr w14:val="tx1"/>
            </w14:solidFill>
          </w14:textFill>
        </w:rPr>
      </w:pPr>
      <w:r>
        <w:rPr>
          <w:rFonts w:hint="eastAsia" w:ascii="仿宋" w:hAnsi="仿宋" w:eastAsia="仿宋" w:cs="仿宋"/>
          <w:color w:val="000000" w:themeColor="text1"/>
          <w:highlight w:val="none"/>
          <w:lang w:eastAsia="zh-CN"/>
          <w14:textFill>
            <w14:solidFill>
              <w14:schemeClr w14:val="tx1"/>
            </w14:solidFill>
          </w14:textFill>
        </w:rPr>
        <w:t>采购人在中华人民共和国境内使用供应商提供的货物及服务时免受第三方提出的侵犯其专利权或其它知识产权的起诉。如果第三方提出侵权指控，中标人应承担由此而引起的一切法律责任和费用。</w:t>
      </w:r>
    </w:p>
    <w:p w14:paraId="15C1C48F">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b/>
          <w:bCs/>
          <w:color w:val="000000" w:themeColor="text1"/>
          <w:highlight w:val="none"/>
          <w:lang w:eastAsia="zh-CN"/>
          <w14:textFill>
            <w14:solidFill>
              <w14:schemeClr w14:val="tx1"/>
            </w14:solidFill>
          </w14:textFill>
        </w:rPr>
      </w:pPr>
      <w:bookmarkStart w:id="50" w:name="_Toc12239"/>
      <w:bookmarkStart w:id="51" w:name="_Toc7598"/>
      <w:bookmarkStart w:id="52" w:name="_Toc20832"/>
      <w:bookmarkStart w:id="53" w:name="_Toc12840_WPSOffice_Level1"/>
      <w:bookmarkStart w:id="54" w:name="_Toc439255252"/>
      <w:bookmarkStart w:id="55" w:name="_Toc267320054"/>
      <w:bookmarkStart w:id="56" w:name="_Toc469495740"/>
      <w:r>
        <w:rPr>
          <w:rFonts w:hint="eastAsia" w:ascii="仿宋" w:hAnsi="仿宋" w:eastAsia="仿宋" w:cs="仿宋"/>
          <w:b/>
          <w:bCs/>
          <w:color w:val="000000" w:themeColor="text1"/>
          <w:highlight w:val="none"/>
          <w:lang w:eastAsia="zh-CN"/>
          <w14:textFill>
            <w14:solidFill>
              <w14:schemeClr w14:val="tx1"/>
            </w14:solidFill>
          </w14:textFill>
        </w:rPr>
        <w:t>（九）其他</w:t>
      </w:r>
      <w:bookmarkEnd w:id="50"/>
      <w:bookmarkEnd w:id="51"/>
      <w:bookmarkEnd w:id="52"/>
    </w:p>
    <w:bookmarkEnd w:id="53"/>
    <w:bookmarkEnd w:id="54"/>
    <w:bookmarkEnd w:id="55"/>
    <w:p w14:paraId="79EB362D">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000000" w:themeColor="text1"/>
          <w:highlight w:val="none"/>
          <w:lang w:eastAsia="zh-CN"/>
          <w14:textFill>
            <w14:solidFill>
              <w14:schemeClr w14:val="tx1"/>
            </w14:solidFill>
          </w14:textFill>
        </w:rPr>
      </w:pPr>
      <w:r>
        <w:rPr>
          <w:rFonts w:hint="eastAsia" w:ascii="仿宋" w:hAnsi="仿宋" w:eastAsia="仿宋" w:cs="仿宋"/>
          <w:color w:val="000000" w:themeColor="text1"/>
          <w:highlight w:val="none"/>
          <w:lang w:eastAsia="zh-CN"/>
          <w14:textFill>
            <w14:solidFill>
              <w14:schemeClr w14:val="tx1"/>
            </w14:solidFill>
          </w14:textFill>
        </w:rPr>
        <w:t>1、供应商必须在投标文件中对以上条款和服务承诺明确列出，承诺内容必须达到本篇及招标文件其他条款的要求。</w:t>
      </w:r>
    </w:p>
    <w:p w14:paraId="3741CCE7">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000000" w:themeColor="text1"/>
          <w:highlight w:val="none"/>
          <w:lang w:eastAsia="zh-CN"/>
          <w14:textFill>
            <w14:solidFill>
              <w14:schemeClr w14:val="tx1"/>
            </w14:solidFill>
          </w14:textFill>
        </w:rPr>
      </w:pPr>
      <w:r>
        <w:rPr>
          <w:rFonts w:hint="eastAsia" w:ascii="仿宋" w:hAnsi="仿宋" w:eastAsia="仿宋" w:cs="仿宋"/>
          <w:color w:val="000000" w:themeColor="text1"/>
          <w:highlight w:val="none"/>
          <w:lang w:eastAsia="zh-CN"/>
          <w14:textFill>
            <w14:solidFill>
              <w14:schemeClr w14:val="tx1"/>
            </w14:solidFill>
          </w14:textFill>
        </w:rPr>
        <w:t>2、中标人与采购人签订《协议》后，须与用户方签订《货物采购供应合同》（包括供货范围、需求数量、单价等），明确具体供货数量、供货时间、送达地点等内容。</w:t>
      </w:r>
    </w:p>
    <w:p w14:paraId="57BDB9BE">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000000" w:themeColor="text1"/>
          <w:highlight w:val="none"/>
          <w:lang w:eastAsia="zh-CN"/>
          <w14:textFill>
            <w14:solidFill>
              <w14:schemeClr w14:val="tx1"/>
            </w14:solidFill>
          </w14:textFill>
        </w:rPr>
      </w:pPr>
      <w:r>
        <w:rPr>
          <w:rFonts w:hint="eastAsia" w:ascii="仿宋" w:hAnsi="仿宋" w:eastAsia="仿宋" w:cs="仿宋"/>
          <w:color w:val="000000" w:themeColor="text1"/>
          <w:highlight w:val="none"/>
          <w:lang w:eastAsia="zh-CN"/>
          <w14:textFill>
            <w14:solidFill>
              <w14:schemeClr w14:val="tx1"/>
            </w14:solidFill>
          </w14:textFill>
        </w:rPr>
        <w:t>3、其他未尽事宜由供需双方在采购合同中详细约定。</w:t>
      </w:r>
    </w:p>
    <w:p w14:paraId="07E3C3BB">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000000" w:themeColor="text1"/>
          <w:highlight w:val="none"/>
          <w:lang w:eastAsia="zh-CN"/>
          <w14:textFill>
            <w14:solidFill>
              <w14:schemeClr w14:val="tx1"/>
            </w14:solidFill>
          </w14:textFill>
        </w:rPr>
      </w:pPr>
      <w:r>
        <w:rPr>
          <w:rFonts w:hint="eastAsia" w:ascii="仿宋" w:hAnsi="仿宋" w:eastAsia="仿宋" w:cs="仿宋"/>
          <w:color w:val="000000" w:themeColor="text1"/>
          <w:highlight w:val="none"/>
          <w:lang w:eastAsia="zh-CN"/>
          <w14:textFill>
            <w14:solidFill>
              <w14:schemeClr w14:val="tx1"/>
            </w14:solidFill>
          </w14:textFill>
        </w:rPr>
        <w:t>4、 若供应商不能按招标文件规定的交货期正常交货，采购方有权终止采购合同，并将相关情况上报给采购计划主管部门，取消其中标资格。</w:t>
      </w:r>
    </w:p>
    <w:p w14:paraId="04C81D60">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b/>
          <w:color w:val="000000" w:themeColor="text1"/>
          <w:sz w:val="30"/>
          <w:szCs w:val="30"/>
          <w:highlight w:val="none"/>
          <w:lang w:eastAsia="zh-CN"/>
          <w14:textFill>
            <w14:solidFill>
              <w14:schemeClr w14:val="tx1"/>
            </w14:solidFill>
          </w14:textFill>
        </w:rPr>
      </w:pPr>
      <w:r>
        <w:rPr>
          <w:rFonts w:hint="eastAsia" w:ascii="仿宋" w:hAnsi="仿宋" w:eastAsia="仿宋" w:cs="仿宋"/>
          <w:color w:val="000000" w:themeColor="text1"/>
          <w:highlight w:val="none"/>
          <w:lang w:eastAsia="zh-CN"/>
          <w14:textFill>
            <w14:solidFill>
              <w14:schemeClr w14:val="tx1"/>
            </w14:solidFill>
          </w14:textFill>
        </w:rPr>
        <w:t>5、</w:t>
      </w:r>
      <w:r>
        <w:rPr>
          <w:rFonts w:hint="eastAsia" w:ascii="仿宋" w:hAnsi="仿宋" w:eastAsia="仿宋" w:cs="仿宋"/>
          <w:color w:val="000000" w:themeColor="text1"/>
          <w:kern w:val="2"/>
          <w:highlight w:val="none"/>
          <w:lang w:eastAsia="zh-CN" w:bidi="ar-SA"/>
          <w14:textFill>
            <w14:solidFill>
              <w14:schemeClr w14:val="tx1"/>
            </w14:solidFill>
          </w14:textFill>
        </w:rPr>
        <w:t>其他未尽事宜由供需双方在采购合同中详细约定。</w:t>
      </w:r>
      <w:bookmarkEnd w:id="56"/>
    </w:p>
    <w:p w14:paraId="58DDD5BD">
      <w:pPr>
        <w:keepNext w:val="0"/>
        <w:keepLines w:val="0"/>
        <w:pageBreakBefore w:val="0"/>
        <w:widowControl w:val="0"/>
        <w:kinsoku/>
        <w:wordWrap/>
        <w:overflowPunct/>
        <w:topLinePunct w:val="0"/>
        <w:autoSpaceDE/>
        <w:autoSpaceDN/>
        <w:bidi w:val="0"/>
        <w:adjustRightInd/>
        <w:snapToGrid/>
        <w:spacing w:line="360" w:lineRule="exact"/>
        <w:ind w:firstLine="606" w:firstLineChars="200"/>
        <w:textAlignment w:val="auto"/>
        <w:rPr>
          <w:rFonts w:hint="eastAsia" w:ascii="宋体" w:hAnsi="宋体" w:eastAsia="宋体" w:cs="宋体"/>
          <w:b/>
          <w:color w:val="000000" w:themeColor="text1"/>
          <w:sz w:val="30"/>
          <w:szCs w:val="30"/>
          <w:highlight w:val="none"/>
          <w:lang w:eastAsia="zh-CN"/>
          <w14:textFill>
            <w14:solidFill>
              <w14:schemeClr w14:val="tx1"/>
            </w14:solidFill>
          </w14:textFill>
        </w:rPr>
      </w:pPr>
    </w:p>
    <w:p w14:paraId="2368977E">
      <w:pPr>
        <w:spacing w:line="480" w:lineRule="exact"/>
        <w:jc w:val="center"/>
        <w:outlineLvl w:val="1"/>
        <w:rPr>
          <w:rFonts w:hint="eastAsia" w:ascii="宋体" w:hAnsi="宋体" w:eastAsia="宋体" w:cs="宋体"/>
          <w:b/>
          <w:color w:val="000000" w:themeColor="text1"/>
          <w:sz w:val="30"/>
          <w:szCs w:val="30"/>
          <w:highlight w:val="none"/>
          <w:lang w:eastAsia="zh-CN"/>
          <w14:textFill>
            <w14:solidFill>
              <w14:schemeClr w14:val="tx1"/>
            </w14:solidFill>
          </w14:textFill>
        </w:rPr>
      </w:pPr>
    </w:p>
    <w:p w14:paraId="02A705DE">
      <w:pPr>
        <w:pStyle w:val="6"/>
        <w:rPr>
          <w:rFonts w:hint="eastAsia" w:ascii="宋体" w:hAnsi="宋体" w:eastAsia="宋体" w:cs="宋体"/>
          <w:b/>
          <w:color w:val="000000" w:themeColor="text1"/>
          <w:sz w:val="30"/>
          <w:szCs w:val="30"/>
          <w:highlight w:val="none"/>
          <w:lang w:eastAsia="zh-CN"/>
          <w14:textFill>
            <w14:solidFill>
              <w14:schemeClr w14:val="tx1"/>
            </w14:solidFill>
          </w14:textFill>
        </w:rPr>
      </w:pPr>
    </w:p>
    <w:p w14:paraId="6EC543B5">
      <w:pPr>
        <w:pStyle w:val="7"/>
        <w:rPr>
          <w:rFonts w:hint="eastAsia" w:ascii="宋体" w:hAnsi="宋体" w:eastAsia="宋体" w:cs="宋体"/>
          <w:b/>
          <w:color w:val="000000" w:themeColor="text1"/>
          <w:sz w:val="30"/>
          <w:szCs w:val="30"/>
          <w:highlight w:val="none"/>
          <w:lang w:eastAsia="zh-CN"/>
          <w14:textFill>
            <w14:solidFill>
              <w14:schemeClr w14:val="tx1"/>
            </w14:solidFill>
          </w14:textFill>
        </w:rPr>
      </w:pPr>
    </w:p>
    <w:p w14:paraId="5023DF5C">
      <w:pPr>
        <w:rPr>
          <w:rFonts w:hint="eastAsia" w:ascii="宋体" w:hAnsi="宋体" w:eastAsia="宋体" w:cs="宋体"/>
          <w:b/>
          <w:color w:val="000000" w:themeColor="text1"/>
          <w:sz w:val="30"/>
          <w:szCs w:val="30"/>
          <w:highlight w:val="none"/>
          <w:lang w:eastAsia="zh-CN"/>
          <w14:textFill>
            <w14:solidFill>
              <w14:schemeClr w14:val="tx1"/>
            </w14:solidFill>
          </w14:textFill>
        </w:rPr>
      </w:pPr>
    </w:p>
    <w:p w14:paraId="4F12CE3B">
      <w:pPr>
        <w:pStyle w:val="68"/>
        <w:rPr>
          <w:rFonts w:hint="eastAsia" w:ascii="宋体" w:hAnsi="宋体" w:eastAsia="宋体" w:cs="宋体"/>
          <w:b/>
          <w:color w:val="000000" w:themeColor="text1"/>
          <w:sz w:val="30"/>
          <w:szCs w:val="30"/>
          <w:highlight w:val="none"/>
          <w:lang w:eastAsia="zh-CN"/>
          <w14:textFill>
            <w14:solidFill>
              <w14:schemeClr w14:val="tx1"/>
            </w14:solidFill>
          </w14:textFill>
        </w:rPr>
      </w:pPr>
    </w:p>
    <w:p w14:paraId="67EB2616">
      <w:pPr>
        <w:spacing w:line="480" w:lineRule="exact"/>
        <w:jc w:val="both"/>
        <w:outlineLvl w:val="1"/>
        <w:rPr>
          <w:rFonts w:hint="eastAsia" w:ascii="仿宋" w:hAnsi="仿宋" w:eastAsia="仿宋" w:cs="仿宋"/>
          <w:b/>
          <w:color w:val="auto"/>
          <w:sz w:val="30"/>
          <w:szCs w:val="30"/>
          <w:highlight w:val="none"/>
          <w:lang w:eastAsia="zh-CN"/>
        </w:rPr>
      </w:pPr>
    </w:p>
    <w:p w14:paraId="57948F80">
      <w:pPr>
        <w:spacing w:line="480" w:lineRule="exact"/>
        <w:jc w:val="center"/>
        <w:outlineLvl w:val="1"/>
        <w:rPr>
          <w:rFonts w:hint="eastAsia" w:ascii="宋体" w:hAnsi="宋体" w:eastAsia="宋体" w:cs="宋体"/>
          <w:b/>
          <w:bCs/>
          <w:sz w:val="32"/>
          <w:szCs w:val="32"/>
          <w:highlight w:val="none"/>
          <w:lang w:eastAsia="zh-CN"/>
        </w:rPr>
      </w:pPr>
      <w:r>
        <w:rPr>
          <w:rFonts w:hint="eastAsia" w:ascii="仿宋" w:hAnsi="仿宋" w:eastAsia="仿宋" w:cs="仿宋"/>
          <w:b/>
          <w:color w:val="auto"/>
          <w:sz w:val="30"/>
          <w:szCs w:val="30"/>
          <w:highlight w:val="none"/>
          <w:lang w:eastAsia="zh-CN"/>
        </w:rPr>
        <w:t>第五部分 合同条款及格式</w:t>
      </w:r>
      <w:bookmarkStart w:id="57" w:name="_Toc144974578"/>
      <w:bookmarkStart w:id="58" w:name="_Toc152045610"/>
      <w:bookmarkStart w:id="59" w:name="_Toc246996996"/>
      <w:bookmarkStart w:id="60" w:name="_Toc469495742"/>
      <w:bookmarkStart w:id="61" w:name="_Toc296602498"/>
      <w:bookmarkStart w:id="62" w:name="_Toc247085768"/>
      <w:bookmarkStart w:id="63" w:name="_Toc152042388"/>
      <w:bookmarkStart w:id="64" w:name="_Toc1332"/>
      <w:bookmarkStart w:id="65" w:name="_Toc179632628"/>
      <w:bookmarkStart w:id="66" w:name="_Toc246996253"/>
    </w:p>
    <w:bookmarkEnd w:id="57"/>
    <w:bookmarkEnd w:id="58"/>
    <w:bookmarkEnd w:id="59"/>
    <w:bookmarkEnd w:id="60"/>
    <w:bookmarkEnd w:id="61"/>
    <w:bookmarkEnd w:id="62"/>
    <w:bookmarkEnd w:id="63"/>
    <w:bookmarkEnd w:id="64"/>
    <w:bookmarkEnd w:id="65"/>
    <w:bookmarkEnd w:id="66"/>
    <w:p w14:paraId="6C124912">
      <w:pPr>
        <w:spacing w:line="480" w:lineRule="exact"/>
        <w:jc w:val="center"/>
        <w:outlineLvl w:val="1"/>
        <w:rPr>
          <w:rFonts w:ascii="宋体"/>
          <w:color w:val="auto"/>
          <w:highlight w:val="none"/>
        </w:rPr>
      </w:pPr>
      <w:r>
        <w:rPr>
          <w:rFonts w:hint="eastAsia" w:ascii="仿宋" w:hAnsi="仿宋" w:eastAsia="仿宋" w:cs="仿宋"/>
          <w:color w:val="auto"/>
          <w:szCs w:val="21"/>
          <w:highlight w:val="none"/>
          <w:lang w:eastAsia="zh-CN"/>
        </w:rPr>
        <w:t>（本合同为合同样稿，最终稿由供需双方协商后确定）</w:t>
      </w:r>
    </w:p>
    <w:p w14:paraId="7FDF8236">
      <w:pPr>
        <w:keepNext w:val="0"/>
        <w:keepLines w:val="0"/>
        <w:pageBreakBefore w:val="0"/>
        <w:widowControl/>
        <w:numPr>
          <w:ilvl w:val="0"/>
          <w:numId w:val="0"/>
        </w:numPr>
        <w:kinsoku/>
        <w:wordWrap/>
        <w:overflowPunct/>
        <w:topLinePunct w:val="0"/>
        <w:autoSpaceDE/>
        <w:autoSpaceDN/>
        <w:bidi w:val="0"/>
        <w:adjustRightInd/>
        <w:snapToGrid/>
        <w:spacing w:line="440" w:lineRule="exact"/>
        <w:jc w:val="center"/>
        <w:textAlignment w:val="baseline"/>
        <w:outlineLvl w:val="1"/>
        <w:rPr>
          <w:rFonts w:ascii="宋体"/>
          <w:color w:val="auto"/>
          <w:highlight w:val="none"/>
        </w:rPr>
      </w:pPr>
      <w:bookmarkStart w:id="67" w:name="_Toc469495741"/>
      <w:r>
        <w:rPr>
          <w:rFonts w:hint="eastAsia" w:ascii="仿宋" w:hAnsi="仿宋" w:eastAsia="仿宋" w:cs="仿宋"/>
          <w:b/>
          <w:color w:val="auto"/>
          <w:sz w:val="30"/>
          <w:szCs w:val="30"/>
          <w:highlight w:val="none"/>
          <w:lang w:val="en-US" w:eastAsia="zh-CN"/>
        </w:rPr>
        <w:t>一、</w:t>
      </w:r>
      <w:r>
        <w:rPr>
          <w:rFonts w:hint="eastAsia" w:ascii="仿宋" w:hAnsi="仿宋" w:eastAsia="仿宋" w:cs="仿宋"/>
          <w:b/>
          <w:color w:val="auto"/>
          <w:sz w:val="30"/>
          <w:szCs w:val="30"/>
          <w:highlight w:val="none"/>
        </w:rPr>
        <w:t>合同协议书</w:t>
      </w:r>
      <w:bookmarkEnd w:id="67"/>
      <w:r>
        <w:rPr>
          <w:rFonts w:hint="eastAsia" w:ascii="仿宋" w:hAnsi="仿宋" w:eastAsia="仿宋" w:cs="仿宋"/>
          <w:b/>
          <w:color w:val="auto"/>
          <w:sz w:val="30"/>
          <w:szCs w:val="30"/>
          <w:highlight w:val="none"/>
          <w:lang w:eastAsia="zh-CN"/>
        </w:rPr>
        <w:t xml:space="preserve">      </w:t>
      </w:r>
      <w:r>
        <w:rPr>
          <w:rFonts w:hint="eastAsia" w:ascii="仿宋" w:hAnsi="仿宋" w:eastAsia="仿宋" w:cs="仿宋"/>
          <w:b/>
          <w:color w:val="auto"/>
          <w:sz w:val="32"/>
          <w:szCs w:val="32"/>
          <w:highlight w:val="none"/>
        </w:rPr>
        <w:t>合同名称</w:t>
      </w:r>
    </w:p>
    <w:p w14:paraId="44294013">
      <w:pPr>
        <w:keepNext w:val="0"/>
        <w:keepLines w:val="0"/>
        <w:pageBreakBefore w:val="0"/>
        <w:widowControl/>
        <w:kinsoku/>
        <w:wordWrap/>
        <w:overflowPunct/>
        <w:topLinePunct w:val="0"/>
        <w:autoSpaceDE/>
        <w:autoSpaceDN/>
        <w:bidi w:val="0"/>
        <w:adjustRightInd/>
        <w:snapToGrid/>
        <w:spacing w:line="440" w:lineRule="exact"/>
        <w:jc w:val="both"/>
        <w:textAlignment w:val="baseline"/>
        <w:outlineLvl w:val="1"/>
        <w:rPr>
          <w:rFonts w:ascii="仿宋" w:hAnsi="仿宋" w:eastAsia="仿宋" w:cs="仿宋"/>
          <w:color w:val="auto"/>
          <w:highlight w:val="none"/>
        </w:rPr>
      </w:pPr>
      <w:r>
        <w:rPr>
          <w:rFonts w:hint="eastAsia" w:ascii="仿宋" w:hAnsi="仿宋" w:eastAsia="仿宋" w:cs="仿宋"/>
          <w:color w:val="auto"/>
          <w:highlight w:val="none"/>
        </w:rPr>
        <w:t>编号</w:t>
      </w:r>
    </w:p>
    <w:p w14:paraId="5180164F">
      <w:pPr>
        <w:keepNext w:val="0"/>
        <w:keepLines w:val="0"/>
        <w:pageBreakBefore w:val="0"/>
        <w:kinsoku/>
        <w:wordWrap/>
        <w:overflowPunct/>
        <w:topLinePunct w:val="0"/>
        <w:autoSpaceDE/>
        <w:autoSpaceDN/>
        <w:bidi w:val="0"/>
        <w:adjustRightInd/>
        <w:snapToGrid/>
        <w:spacing w:line="440" w:lineRule="exact"/>
        <w:ind w:firstLine="486" w:firstLineChars="200"/>
        <w:rPr>
          <w:rFonts w:ascii="仿宋" w:hAnsi="仿宋" w:eastAsia="仿宋" w:cs="仿宋"/>
          <w:color w:val="auto"/>
          <w:highlight w:val="none"/>
        </w:rPr>
      </w:pPr>
      <w:r>
        <w:rPr>
          <w:rFonts w:hint="eastAsia" w:ascii="仿宋" w:hAnsi="仿宋" w:eastAsia="仿宋" w:cs="仿宋"/>
          <w:color w:val="auto"/>
          <w:highlight w:val="none"/>
        </w:rPr>
        <w:t>买    方：                                   卖    方：</w:t>
      </w:r>
    </w:p>
    <w:p w14:paraId="0DE7160E">
      <w:pPr>
        <w:keepNext w:val="0"/>
        <w:keepLines w:val="0"/>
        <w:pageBreakBefore w:val="0"/>
        <w:kinsoku/>
        <w:wordWrap/>
        <w:overflowPunct/>
        <w:topLinePunct w:val="0"/>
        <w:autoSpaceDE/>
        <w:autoSpaceDN/>
        <w:bidi w:val="0"/>
        <w:adjustRightInd/>
        <w:snapToGrid/>
        <w:spacing w:line="440" w:lineRule="exact"/>
        <w:ind w:firstLine="486" w:firstLineChars="200"/>
        <w:rPr>
          <w:rFonts w:ascii="仿宋" w:hAnsi="仿宋" w:eastAsia="仿宋" w:cs="仿宋"/>
          <w:color w:val="auto"/>
          <w:highlight w:val="none"/>
        </w:rPr>
      </w:pPr>
      <w:r>
        <w:rPr>
          <w:rFonts w:hint="eastAsia" w:ascii="仿宋" w:hAnsi="仿宋" w:eastAsia="仿宋" w:cs="仿宋"/>
          <w:color w:val="auto"/>
          <w:highlight w:val="none"/>
        </w:rPr>
        <w:t>电    话：                                   电    话：</w:t>
      </w:r>
    </w:p>
    <w:p w14:paraId="4575F683">
      <w:pPr>
        <w:keepNext w:val="0"/>
        <w:keepLines w:val="0"/>
        <w:pageBreakBefore w:val="0"/>
        <w:kinsoku/>
        <w:wordWrap/>
        <w:overflowPunct/>
        <w:topLinePunct w:val="0"/>
        <w:autoSpaceDE/>
        <w:autoSpaceDN/>
        <w:bidi w:val="0"/>
        <w:adjustRightInd/>
        <w:snapToGrid/>
        <w:spacing w:line="440" w:lineRule="exact"/>
        <w:ind w:firstLine="486" w:firstLineChars="200"/>
        <w:rPr>
          <w:rFonts w:ascii="仿宋" w:hAnsi="仿宋" w:eastAsia="仿宋" w:cs="仿宋"/>
          <w:color w:val="auto"/>
          <w:highlight w:val="none"/>
        </w:rPr>
      </w:pPr>
      <w:r>
        <w:rPr>
          <w:rFonts w:hint="eastAsia" w:ascii="仿宋" w:hAnsi="仿宋" w:eastAsia="仿宋" w:cs="仿宋"/>
          <w:color w:val="auto"/>
          <w:highlight w:val="none"/>
        </w:rPr>
        <w:t xml:space="preserve">住    所：                                   住    所：                       </w:t>
      </w:r>
    </w:p>
    <w:p w14:paraId="08FC183C">
      <w:pPr>
        <w:keepNext w:val="0"/>
        <w:keepLines w:val="0"/>
        <w:pageBreakBefore w:val="0"/>
        <w:kinsoku/>
        <w:wordWrap/>
        <w:overflowPunct/>
        <w:topLinePunct w:val="0"/>
        <w:autoSpaceDE/>
        <w:autoSpaceDN/>
        <w:bidi w:val="0"/>
        <w:adjustRightInd/>
        <w:snapToGrid/>
        <w:spacing w:line="4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u w:val="single"/>
          <w:lang w:eastAsia="zh-CN"/>
        </w:rPr>
        <w:t>（买方）</w:t>
      </w:r>
      <w:r>
        <w:rPr>
          <w:rFonts w:hint="eastAsia" w:ascii="仿宋" w:hAnsi="仿宋" w:eastAsia="仿宋" w:cs="仿宋"/>
          <w:color w:val="auto"/>
          <w:highlight w:val="none"/>
          <w:lang w:eastAsia="zh-CN"/>
        </w:rPr>
        <w:t>的</w:t>
      </w:r>
      <w:r>
        <w:rPr>
          <w:rFonts w:hint="eastAsia" w:ascii="仿宋" w:hAnsi="仿宋" w:eastAsia="仿宋" w:cs="仿宋"/>
          <w:color w:val="auto"/>
          <w:highlight w:val="none"/>
          <w:u w:val="single"/>
          <w:lang w:eastAsia="zh-CN"/>
        </w:rPr>
        <w:t>（项目名称）</w:t>
      </w:r>
      <w:r>
        <w:rPr>
          <w:rFonts w:hint="eastAsia" w:ascii="仿宋" w:hAnsi="仿宋" w:eastAsia="仿宋" w:cs="仿宋"/>
          <w:color w:val="auto"/>
          <w:highlight w:val="none"/>
          <w:lang w:eastAsia="zh-CN"/>
        </w:rPr>
        <w:t>中所需</w:t>
      </w:r>
      <w:r>
        <w:rPr>
          <w:rFonts w:hint="eastAsia" w:ascii="仿宋" w:hAnsi="仿宋" w:eastAsia="仿宋" w:cs="仿宋"/>
          <w:color w:val="auto"/>
          <w:highlight w:val="none"/>
          <w:u w:val="single"/>
          <w:lang w:eastAsia="zh-CN"/>
        </w:rPr>
        <w:t>（产品名称）</w:t>
      </w:r>
      <w:r>
        <w:rPr>
          <w:rFonts w:hint="eastAsia" w:ascii="仿宋" w:hAnsi="仿宋" w:eastAsia="仿宋" w:cs="仿宋"/>
          <w:color w:val="auto"/>
          <w:highlight w:val="none"/>
          <w:lang w:eastAsia="zh-CN"/>
        </w:rPr>
        <w:t xml:space="preserve"> 经公开招标，确定</w:t>
      </w:r>
      <w:r>
        <w:rPr>
          <w:rFonts w:hint="eastAsia" w:ascii="仿宋" w:hAnsi="仿宋" w:eastAsia="仿宋" w:cs="仿宋"/>
          <w:color w:val="auto"/>
          <w:highlight w:val="none"/>
          <w:u w:val="single"/>
          <w:lang w:eastAsia="zh-CN"/>
        </w:rPr>
        <w:t>（卖方）</w:t>
      </w:r>
      <w:r>
        <w:rPr>
          <w:rFonts w:hint="eastAsia" w:ascii="仿宋" w:hAnsi="仿宋" w:eastAsia="仿宋" w:cs="仿宋"/>
          <w:color w:val="auto"/>
          <w:highlight w:val="none"/>
          <w:lang w:eastAsia="zh-CN"/>
        </w:rPr>
        <w:t>为中标人。按照中华人民共和国</w:t>
      </w:r>
      <w:r>
        <w:rPr>
          <w:rFonts w:hint="eastAsia" w:ascii="仿宋" w:hAnsi="仿宋" w:eastAsia="仿宋" w:cs="仿宋"/>
          <w:color w:val="auto"/>
          <w:highlight w:val="none"/>
          <w:lang w:val="en-US" w:eastAsia="zh-CN"/>
        </w:rPr>
        <w:t>民法典</w:t>
      </w:r>
      <w:r>
        <w:rPr>
          <w:rFonts w:hint="eastAsia" w:ascii="仿宋" w:hAnsi="仿宋" w:eastAsia="仿宋" w:cs="仿宋"/>
          <w:color w:val="auto"/>
          <w:highlight w:val="none"/>
          <w:lang w:eastAsia="zh-CN"/>
        </w:rPr>
        <w:t>的规定，买卖双方同意按照下述的条款和条件，签署本合同。</w:t>
      </w:r>
    </w:p>
    <w:p w14:paraId="4ACD1901">
      <w:pPr>
        <w:keepNext w:val="0"/>
        <w:keepLines w:val="0"/>
        <w:pageBreakBefore w:val="0"/>
        <w:kinsoku/>
        <w:wordWrap/>
        <w:overflowPunct/>
        <w:topLinePunct w:val="0"/>
        <w:autoSpaceDE/>
        <w:autoSpaceDN/>
        <w:bidi w:val="0"/>
        <w:adjustRightInd/>
        <w:snapToGrid/>
        <w:spacing w:line="4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1、本合同文件</w:t>
      </w:r>
    </w:p>
    <w:p w14:paraId="560A3936">
      <w:pPr>
        <w:spacing w:line="42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下列每一文件均应作为合同的组成部分进行阅读和解释：</w:t>
      </w:r>
    </w:p>
    <w:p w14:paraId="71983797">
      <w:pPr>
        <w:spacing w:line="42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（1）采购文件（2）投标文件（3）中标通知书</w:t>
      </w:r>
    </w:p>
    <w:p w14:paraId="5D3AFD5A">
      <w:pPr>
        <w:spacing w:line="42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（4）经双方确认进入合同的其它文件、补充条款或说明</w:t>
      </w:r>
    </w:p>
    <w:p w14:paraId="3192EFA2">
      <w:pPr>
        <w:spacing w:line="42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2、采购标的、数量、质量要求</w:t>
      </w:r>
    </w:p>
    <w:p w14:paraId="3D153C63">
      <w:pPr>
        <w:spacing w:line="42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3、合同总价</w:t>
      </w:r>
    </w:p>
    <w:p w14:paraId="5F80EED5">
      <w:pPr>
        <w:spacing w:line="42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合同总价为 </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元人民币。</w:t>
      </w:r>
    </w:p>
    <w:p w14:paraId="330D4651">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ascii="仿宋" w:hAnsi="仿宋" w:eastAsia="仿宋" w:cs="仿宋"/>
          <w:b w:val="0"/>
          <w:bCs w:val="0"/>
          <w:color w:val="auto"/>
          <w:highlight w:val="none"/>
          <w:lang w:eastAsia="zh-CN"/>
        </w:rPr>
      </w:pPr>
      <w:r>
        <w:rPr>
          <w:rFonts w:hint="eastAsia" w:ascii="仿宋" w:hAnsi="仿宋" w:eastAsia="仿宋" w:cs="仿宋"/>
          <w:color w:val="auto"/>
          <w:highlight w:val="none"/>
          <w:lang w:eastAsia="zh-CN"/>
        </w:rPr>
        <w:t>4、付款方式</w:t>
      </w:r>
      <w:r>
        <w:rPr>
          <w:rFonts w:hint="eastAsia" w:ascii="仿宋" w:hAnsi="仿宋" w:eastAsia="仿宋" w:cs="仿宋"/>
          <w:b/>
          <w:bCs/>
          <w:color w:val="auto"/>
          <w:highlight w:val="none"/>
          <w:lang w:eastAsia="zh-CN"/>
        </w:rPr>
        <w:t>：</w:t>
      </w:r>
      <w:r>
        <w:rPr>
          <w:rFonts w:hint="eastAsia" w:ascii="仿宋" w:hAnsi="仿宋" w:eastAsia="仿宋" w:cs="仿宋"/>
          <w:b w:val="0"/>
          <w:bCs w:val="0"/>
          <w:color w:val="auto"/>
          <w:highlight w:val="none"/>
          <w:lang w:val="en-US" w:eastAsia="zh-CN"/>
        </w:rPr>
        <w:t>签订合同后中标方需提供中标通知书及相应金额发票于15日内预付100万元货款，中标方实施2026年第一期三家医院的设备供应和合格验收。中标标的第二期设施产品安装并环评报告表竣工验收并稳定运行3个月后，由甲方单位出具2027年第二期四家医院竣工验收手续和完成信息化闭环管理后15日内支付剩余货款的100%，中标供应商按两阶段提供对应付款金额的正规发票。（具体以甲乙双方签订合同为准）</w:t>
      </w:r>
    </w:p>
    <w:p w14:paraId="3D9E75EB">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5、合同供货</w:t>
      </w:r>
      <w:r>
        <w:rPr>
          <w:rFonts w:hint="eastAsia" w:ascii="仿宋" w:hAnsi="仿宋" w:eastAsia="仿宋" w:cs="仿宋"/>
          <w:color w:val="auto"/>
          <w:highlight w:val="none"/>
          <w:lang w:val="en-US" w:eastAsia="zh-CN"/>
        </w:rPr>
        <w:t>服务</w:t>
      </w:r>
      <w:r>
        <w:rPr>
          <w:rFonts w:hint="eastAsia" w:ascii="仿宋" w:hAnsi="仿宋" w:eastAsia="仿宋" w:cs="仿宋"/>
          <w:color w:val="auto"/>
          <w:highlight w:val="none"/>
          <w:lang w:eastAsia="zh-CN"/>
        </w:rPr>
        <w:t>期限及地点和方式</w:t>
      </w:r>
    </w:p>
    <w:p w14:paraId="3A7F1532">
      <w:pPr>
        <w:spacing w:line="42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6、验收要求及违约责任</w:t>
      </w:r>
    </w:p>
    <w:p w14:paraId="6908EC10">
      <w:pPr>
        <w:spacing w:line="42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7、违约责任及解决争议方法</w:t>
      </w:r>
    </w:p>
    <w:p w14:paraId="2741F5C0">
      <w:pPr>
        <w:spacing w:line="42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8、合同的生效</w:t>
      </w:r>
    </w:p>
    <w:p w14:paraId="20EB0ED3">
      <w:pPr>
        <w:pStyle w:val="9"/>
        <w:spacing w:after="0" w:line="420" w:lineRule="exact"/>
        <w:ind w:left="0" w:leftChars="0" w:firstLine="486"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合同经双方授权代表签署，买卖双方加盖印章之后生效。</w:t>
      </w:r>
    </w:p>
    <w:p w14:paraId="475B0187">
      <w:pPr>
        <w:pStyle w:val="9"/>
        <w:spacing w:after="0" w:line="420" w:lineRule="exact"/>
        <w:ind w:left="0" w:leftChars="0" w:firstLine="486"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本合同一式     份，双方各执     份。</w:t>
      </w:r>
    </w:p>
    <w:p w14:paraId="736E2C52">
      <w:pPr>
        <w:pStyle w:val="9"/>
        <w:spacing w:after="0" w:line="360" w:lineRule="exact"/>
        <w:ind w:left="0" w:leftChars="0" w:firstLine="486"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买  方：                            卖  方：</w:t>
      </w:r>
    </w:p>
    <w:p w14:paraId="5BF95E3D">
      <w:pPr>
        <w:pStyle w:val="9"/>
        <w:spacing w:after="0" w:line="360" w:lineRule="exact"/>
        <w:ind w:left="0" w:leftChars="0" w:firstLine="486"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名  称：（盖章）                    名  称：（盖章）</w:t>
      </w:r>
    </w:p>
    <w:p w14:paraId="2A9BEC45">
      <w:pPr>
        <w:pStyle w:val="9"/>
        <w:spacing w:after="0" w:line="360" w:lineRule="exact"/>
        <w:ind w:left="0" w:leftChars="0" w:firstLine="486"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法定代表人（或委托代理人签章）：    法定代表人（或委托代理人签章）：</w:t>
      </w:r>
    </w:p>
    <w:p w14:paraId="7E488AEC">
      <w:pPr>
        <w:pStyle w:val="9"/>
        <w:spacing w:after="0" w:line="360" w:lineRule="exact"/>
        <w:ind w:left="0" w:leftChars="0" w:firstLine="486"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地    址：                          地    址：</w:t>
      </w:r>
    </w:p>
    <w:p w14:paraId="1EE8B428">
      <w:pPr>
        <w:pStyle w:val="9"/>
        <w:spacing w:after="0" w:line="360" w:lineRule="exact"/>
        <w:ind w:left="0" w:leftChars="0" w:firstLine="486"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邮政编码：                          邮政编码：</w:t>
      </w:r>
    </w:p>
    <w:p w14:paraId="7F00EA8B">
      <w:pPr>
        <w:pStyle w:val="9"/>
        <w:spacing w:after="0" w:line="360" w:lineRule="exact"/>
        <w:ind w:left="0" w:leftChars="0" w:firstLine="486"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电    话：                          电    话：</w:t>
      </w:r>
    </w:p>
    <w:p w14:paraId="4DC12595">
      <w:pPr>
        <w:pStyle w:val="9"/>
        <w:spacing w:after="0" w:line="360" w:lineRule="exact"/>
        <w:ind w:left="0" w:leftChars="0" w:firstLine="486"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开户银行：                          开户银行：</w:t>
      </w:r>
    </w:p>
    <w:p w14:paraId="496688E6">
      <w:pPr>
        <w:pStyle w:val="9"/>
        <w:spacing w:after="0" w:line="360" w:lineRule="exact"/>
        <w:ind w:left="0" w:leftChars="0" w:firstLine="486" w:firstLineChars="200"/>
        <w:rPr>
          <w:rFonts w:hint="eastAsia"/>
          <w:lang w:eastAsia="zh-CN"/>
        </w:rPr>
      </w:pPr>
      <w:r>
        <w:rPr>
          <w:rFonts w:hint="eastAsia" w:ascii="仿宋" w:hAnsi="仿宋" w:eastAsia="仿宋" w:cs="仿宋"/>
          <w:color w:val="auto"/>
          <w:highlight w:val="none"/>
          <w:u w:color="000000"/>
          <w:lang w:eastAsia="zh-CN"/>
        </w:rPr>
        <w:t>帐    号：                          帐    号：</w:t>
      </w:r>
    </w:p>
    <w:p w14:paraId="13221E44">
      <w:pPr>
        <w:pStyle w:val="9"/>
        <w:spacing w:after="0" w:line="420" w:lineRule="exact"/>
        <w:ind w:left="0" w:leftChars="0" w:firstLine="0" w:firstLineChars="0"/>
        <w:jc w:val="center"/>
        <w:rPr>
          <w:rFonts w:ascii="仿宋" w:hAnsi="仿宋" w:eastAsia="仿宋" w:cs="仿宋"/>
          <w:b/>
          <w:color w:val="auto"/>
          <w:sz w:val="30"/>
          <w:szCs w:val="30"/>
          <w:highlight w:val="none"/>
          <w:lang w:eastAsia="zh-CN"/>
        </w:rPr>
      </w:pPr>
      <w:r>
        <w:rPr>
          <w:rFonts w:hint="eastAsia" w:ascii="仿宋" w:hAnsi="仿宋" w:eastAsia="仿宋" w:cs="仿宋"/>
          <w:b/>
          <w:color w:val="auto"/>
          <w:sz w:val="30"/>
          <w:szCs w:val="30"/>
          <w:highlight w:val="none"/>
          <w:lang w:eastAsia="zh-CN"/>
        </w:rPr>
        <w:t>二  合同条款</w:t>
      </w:r>
    </w:p>
    <w:p w14:paraId="0DE0AACA">
      <w:pPr>
        <w:spacing w:line="440" w:lineRule="exact"/>
        <w:rPr>
          <w:rFonts w:ascii="仿宋" w:hAnsi="仿宋" w:eastAsia="仿宋" w:cs="仿宋"/>
          <w:b/>
          <w:color w:val="auto"/>
          <w:szCs w:val="21"/>
          <w:highlight w:val="none"/>
        </w:rPr>
      </w:pPr>
      <w:r>
        <w:rPr>
          <w:rFonts w:hint="eastAsia" w:ascii="仿宋" w:hAnsi="仿宋" w:eastAsia="仿宋" w:cs="仿宋"/>
          <w:b/>
          <w:color w:val="auto"/>
          <w:szCs w:val="21"/>
          <w:highlight w:val="none"/>
        </w:rPr>
        <w:t>一.合同文件</w:t>
      </w:r>
    </w:p>
    <w:p w14:paraId="58154B37">
      <w:pPr>
        <w:spacing w:line="440" w:lineRule="exact"/>
        <w:rPr>
          <w:rFonts w:ascii="仿宋" w:hAnsi="仿宋" w:eastAsia="仿宋" w:cs="仿宋"/>
          <w:color w:val="auto"/>
          <w:szCs w:val="21"/>
          <w:highlight w:val="none"/>
        </w:rPr>
      </w:pPr>
      <w:r>
        <w:rPr>
          <w:rFonts w:hint="eastAsia" w:ascii="仿宋" w:hAnsi="仿宋" w:eastAsia="仿宋" w:cs="仿宋"/>
          <w:color w:val="auto"/>
          <w:szCs w:val="21"/>
          <w:highlight w:val="none"/>
        </w:rPr>
        <w:t>1、合同文件适用法律</w:t>
      </w:r>
    </w:p>
    <w:p w14:paraId="196BD1FD">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适用于合同文件的法律是中华人民共和国现行法律、法规及招标人所在地的地方性法规。</w:t>
      </w:r>
    </w:p>
    <w:p w14:paraId="4EA45BBA">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2、合同文件组成和解释顺序</w:t>
      </w:r>
    </w:p>
    <w:p w14:paraId="6E1E3419">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(1)合同文件的组成和解释顺序如下：</w:t>
      </w:r>
    </w:p>
    <w:p w14:paraId="77A2B820">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&lt;1&gt;合同的主要条款；</w:t>
      </w:r>
    </w:p>
    <w:p w14:paraId="1C50FFB6">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&lt;2&gt;合同的一般性条款；</w:t>
      </w:r>
    </w:p>
    <w:p w14:paraId="799434B7">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&lt;3&gt;洽商、变更等明确双方权利义务的纪要、协议；</w:t>
      </w:r>
    </w:p>
    <w:p w14:paraId="3831AD07">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&lt;4&gt;中标通知书、投标文件和采购文件；</w:t>
      </w:r>
    </w:p>
    <w:p w14:paraId="29DA6160">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&lt;5&gt;有关图纸、标准、规范和其它有关技术资料、技术要求。</w:t>
      </w:r>
    </w:p>
    <w:p w14:paraId="773123C9">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&lt;6&gt;合同的主要条款的效力优于合同的一般性条款的效力。</w:t>
      </w:r>
    </w:p>
    <w:p w14:paraId="3EB50D6C">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3、合同文件使用文字</w:t>
      </w:r>
    </w:p>
    <w:p w14:paraId="1724058A">
      <w:pPr>
        <w:pStyle w:val="6"/>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(1)合同文件使用中文书写、解释和说明。</w:t>
      </w:r>
    </w:p>
    <w:p w14:paraId="7B610E6E">
      <w:pPr>
        <w:pStyle w:val="6"/>
        <w:overflowPunct w:val="0"/>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(2)合同文件使用技术性条款约定的为国家标准和规范；国家没有相应标准、规范时，可使用行业标准、规范。非标货物应按约定的技术性条款的标准和规范。 </w:t>
      </w:r>
    </w:p>
    <w:p w14:paraId="674B3899">
      <w:pPr>
        <w:spacing w:line="440" w:lineRule="exact"/>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二.标的物的一般条款</w:t>
      </w:r>
    </w:p>
    <w:p w14:paraId="6AA4687A">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4、完整物权</w:t>
      </w:r>
    </w:p>
    <w:p w14:paraId="20E33CAC">
      <w:pPr>
        <w:tabs>
          <w:tab w:val="left" w:pos="660"/>
        </w:tabs>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    对于</w:t>
      </w:r>
      <w:r>
        <w:rPr>
          <w:rFonts w:hint="eastAsia" w:ascii="仿宋" w:hAnsi="仿宋" w:eastAsia="仿宋" w:cs="仿宋"/>
          <w:color w:val="auto"/>
          <w:szCs w:val="21"/>
          <w:highlight w:val="none"/>
          <w:lang w:val="en-US" w:eastAsia="zh-CN"/>
        </w:rPr>
        <w:t>出售</w:t>
      </w:r>
      <w:r>
        <w:rPr>
          <w:rFonts w:hint="eastAsia" w:ascii="仿宋" w:hAnsi="仿宋" w:eastAsia="仿宋" w:cs="仿宋"/>
          <w:color w:val="auto"/>
          <w:szCs w:val="21"/>
          <w:highlight w:val="none"/>
          <w:lang w:eastAsia="zh-CN"/>
        </w:rPr>
        <w:t>的标的物，卖方应当拥有完整物权，并且卖方负有保证第三人不得向买方主张任何权利（包括知识产权）的义务。</w:t>
      </w:r>
    </w:p>
    <w:p w14:paraId="7178416D">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5、质量保证</w:t>
      </w:r>
    </w:p>
    <w:p w14:paraId="3B19A561">
      <w:pPr>
        <w:pStyle w:val="6"/>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卖方应保证所供标的物是全新的，未使用过的，并且是非长期积压的库存商品，完全符合合同规定的质量、规格和性能的要求，卖方应保证其提供的标的物在正确安装，正常使用和保养条件下，在其标称的使用寿命期内应具有满意的性能。在卖方承诺的质量保证期限内，卖方应对由于设计、工艺或材料的缺陷及伴随服务而造成的任何不足或故障负责。</w:t>
      </w:r>
    </w:p>
    <w:p w14:paraId="3F547C0F">
      <w:pPr>
        <w:pStyle w:val="6"/>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根据买方按检验标准自己检验的结果或当地技监部门的检验结果，或者在质量保证期内，如果标的物的数量、质量或规格与合同不符或证实标的物是有缺陷的，包括潜在缺陷或使用不符合要求的材料等，买方应尽快以书面形式通知卖方并提出索赔。</w:t>
      </w:r>
    </w:p>
    <w:p w14:paraId="0A00E5AA">
      <w:pPr>
        <w:pStyle w:val="6"/>
        <w:tabs>
          <w:tab w:val="left" w:pos="900"/>
        </w:tabs>
        <w:overflowPunct w:val="0"/>
        <w:spacing w:line="440" w:lineRule="exact"/>
        <w:rPr>
          <w:rFonts w:cs="宋体"/>
          <w:color w:val="auto"/>
          <w:sz w:val="21"/>
          <w:szCs w:val="21"/>
          <w:highlight w:val="none"/>
          <w:u w:color="000000"/>
          <w:lang w:eastAsia="zh-CN"/>
        </w:rPr>
      </w:pPr>
      <w:r>
        <w:rPr>
          <w:rFonts w:hint="eastAsia" w:ascii="仿宋" w:hAnsi="仿宋" w:eastAsia="仿宋" w:cs="仿宋"/>
          <w:color w:val="auto"/>
          <w:szCs w:val="24"/>
          <w:highlight w:val="none"/>
          <w:u w:color="000000"/>
          <w:lang w:eastAsia="zh-CN"/>
        </w:rPr>
        <w:t>(3)除合同主要条款规定外，合同条款中标的物的质量保证期均自标的物通过最终验收之日起计算，且质量保证期按不低于国家标准和卖方承诺的高于国家标准的质保期（卖方有特殊要求的除</w:t>
      </w:r>
      <w:r>
        <w:rPr>
          <w:rFonts w:hint="eastAsia" w:cs="宋体"/>
          <w:color w:val="auto"/>
          <w:sz w:val="21"/>
          <w:szCs w:val="21"/>
          <w:highlight w:val="none"/>
          <w:u w:color="000000"/>
          <w:lang w:eastAsia="zh-CN"/>
        </w:rPr>
        <w:t>外）。</w:t>
      </w:r>
    </w:p>
    <w:p w14:paraId="6BC6414C">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6、包装</w:t>
      </w:r>
    </w:p>
    <w:p w14:paraId="77B6EFA7">
      <w:pPr>
        <w:pStyle w:val="6"/>
        <w:tabs>
          <w:tab w:val="left" w:pos="900"/>
        </w:tabs>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卖方应当按照约定的包装方式交付标的物。对包装方式没有约定或者约定不明确的，应当按照双方补充协议约定的方式包装，或者按照通用的方式包装，没有通用方式的，应当采取足以保护标的物的包装方式。</w:t>
      </w:r>
    </w:p>
    <w:p w14:paraId="5D583B11">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7、伴随服务</w:t>
      </w:r>
    </w:p>
    <w:p w14:paraId="06DFE29F">
      <w:pPr>
        <w:pStyle w:val="6"/>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(1)卖方除应履行按期按量交付合格标的物的义务之外，还应提供下列服务：</w:t>
      </w:r>
    </w:p>
    <w:p w14:paraId="2F36C616">
      <w:pPr>
        <w:pStyle w:val="6"/>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&lt;1&gt;标的物的现场安装或指导安装、启动、调试、监督（如果必须安装、调试的话）；</w:t>
      </w:r>
    </w:p>
    <w:p w14:paraId="5D4020CF">
      <w:pPr>
        <w:pStyle w:val="6"/>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&lt;2&gt;提供标的物组装和一般维修所必须的工具；</w:t>
      </w:r>
    </w:p>
    <w:p w14:paraId="6690CE73">
      <w:pPr>
        <w:pStyle w:val="6"/>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&lt;3&gt;在合同规定的期限内对所提供标的物实行运行监督、维修服务的前提条件是该服务并不能免除卖方在质量保证期内所承担的义务；</w:t>
      </w:r>
    </w:p>
    <w:p w14:paraId="6F242C83">
      <w:pPr>
        <w:pStyle w:val="6"/>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&lt;4&gt;对买方技术人员的技术指导或培训。</w:t>
      </w:r>
    </w:p>
    <w:p w14:paraId="4EE92DD3">
      <w:pPr>
        <w:pStyle w:val="6"/>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(2)除合同另有规定之外，伴随服务的费用均已含在合同价款中，买方不再另行进行支付。</w:t>
      </w:r>
    </w:p>
    <w:p w14:paraId="209E8F05">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三.标的物的交付、检验和验收</w:t>
      </w:r>
    </w:p>
    <w:p w14:paraId="68817923">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8、标的物的交付</w:t>
      </w:r>
    </w:p>
    <w:p w14:paraId="73B41FF9">
      <w:pPr>
        <w:pStyle w:val="6"/>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(1)标的物的所有权自标的物交付时转移。</w:t>
      </w:r>
    </w:p>
    <w:p w14:paraId="46889642">
      <w:pPr>
        <w:pStyle w:val="6"/>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(2)卖方应当按照约定的期限和约定的地点交付符合采购文件要求的标的物。</w:t>
      </w:r>
    </w:p>
    <w:p w14:paraId="6A2A1C13">
      <w:pPr>
        <w:pStyle w:val="6"/>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(3)卖方应当按照约定或者交易习惯向招标人交付提取标的物单证以外的有关单证和资料。</w:t>
      </w:r>
    </w:p>
    <w:p w14:paraId="1C30B1D8">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9、检验和验收</w:t>
      </w:r>
    </w:p>
    <w:p w14:paraId="10B55649">
      <w:pPr>
        <w:pStyle w:val="6"/>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在交货时，卖方应配合买方对标的物的质量、规格、性能、数量等进行详细而全面的检验，并出具一份合格检验证明，合格检验证明作为验收的依据，但不能作为有关标的物质量、规格、数量或性能的最终检验结果。</w:t>
      </w:r>
    </w:p>
    <w:p w14:paraId="415F4913">
      <w:pPr>
        <w:pStyle w:val="6"/>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(2)买方根据合同规定的内容和验收标准进行验收，经检验无误后出具验收合格证明，该证明作为最终付款所需文件的组成部分。</w:t>
      </w:r>
    </w:p>
    <w:p w14:paraId="12A5F33A">
      <w:pPr>
        <w:pStyle w:val="6"/>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(3)验收期限自标的物交付之日起三十天内。特殊情况需延长的，双方应在合同条款中约定。</w:t>
      </w:r>
    </w:p>
    <w:p w14:paraId="4679C110">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四.对标的物提出异议的时间和办法</w:t>
      </w:r>
    </w:p>
    <w:p w14:paraId="6195298F">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10、对标的物提出异议的时间和办法 </w:t>
      </w:r>
    </w:p>
    <w:p w14:paraId="1B7AA69A">
      <w:pPr>
        <w:pStyle w:val="6"/>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(1)买方在验收过程中，应当于双方约定的检验期间内将标的物的数量或质量不符合约定的情形及处理方式以书面形式通知卖方。</w:t>
      </w:r>
    </w:p>
    <w:p w14:paraId="3FC5478D">
      <w:pPr>
        <w:pStyle w:val="6"/>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(2)如买方在验收期满后既不出具验收合格证明又未提出书面异议的视为卖方所交标的物符合合同规定。</w:t>
      </w:r>
    </w:p>
    <w:p w14:paraId="16367B1B">
      <w:pPr>
        <w:pStyle w:val="6"/>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(3)卖方应在收到买方书面异议后七天内负责处理问题，否则将视为默认买方提出的异议和处理意见。</w:t>
      </w:r>
    </w:p>
    <w:p w14:paraId="78001F3D">
      <w:pPr>
        <w:spacing w:line="440" w:lineRule="exact"/>
        <w:rPr>
          <w:rFonts w:ascii="仿宋" w:hAnsi="仿宋" w:eastAsia="仿宋" w:cs="仿宋"/>
          <w:b/>
          <w:color w:val="auto"/>
          <w:highlight w:val="none"/>
        </w:rPr>
      </w:pPr>
      <w:r>
        <w:rPr>
          <w:rFonts w:hint="eastAsia" w:ascii="仿宋" w:hAnsi="仿宋" w:eastAsia="仿宋" w:cs="仿宋"/>
          <w:b/>
          <w:color w:val="auto"/>
          <w:highlight w:val="none"/>
        </w:rPr>
        <w:t>五.合同价款和支付</w:t>
      </w:r>
    </w:p>
    <w:p w14:paraId="5F7A8BF5">
      <w:pPr>
        <w:spacing w:line="440" w:lineRule="exact"/>
        <w:rPr>
          <w:rFonts w:ascii="仿宋" w:hAnsi="仿宋" w:eastAsia="仿宋" w:cs="仿宋"/>
          <w:color w:val="auto"/>
          <w:highlight w:val="none"/>
        </w:rPr>
      </w:pPr>
      <w:r>
        <w:rPr>
          <w:rFonts w:hint="eastAsia" w:ascii="仿宋" w:hAnsi="仿宋" w:eastAsia="仿宋" w:cs="仿宋"/>
          <w:color w:val="auto"/>
          <w:highlight w:val="none"/>
        </w:rPr>
        <w:t>11、合同价款和支付</w:t>
      </w:r>
    </w:p>
    <w:p w14:paraId="729E3F71">
      <w:pPr>
        <w:pStyle w:val="6"/>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(1)本合同的结算货币为人民币，单位元。</w:t>
      </w:r>
    </w:p>
    <w:p w14:paraId="62560B4B">
      <w:pPr>
        <w:pStyle w:val="6"/>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(2)卖方应按照双方签订的合同规定交货并在合同主要条款规定的期限内持下列单据结算货款：</w:t>
      </w:r>
    </w:p>
    <w:p w14:paraId="06C89E4E">
      <w:pPr>
        <w:pStyle w:val="6"/>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&lt;1&gt;合格的销售发票；</w:t>
      </w:r>
    </w:p>
    <w:p w14:paraId="179A9D4D">
      <w:pPr>
        <w:pStyle w:val="6"/>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&lt;2&gt;买方盖章签收后的送货回单和验收合格证明。</w:t>
      </w:r>
    </w:p>
    <w:p w14:paraId="6FBF8441">
      <w:pPr>
        <w:pStyle w:val="6"/>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(3)买方应按合同主要条款规定的期限和方式付款。</w:t>
      </w:r>
    </w:p>
    <w:p w14:paraId="38F9C2F7">
      <w:pPr>
        <w:pStyle w:val="6"/>
        <w:tabs>
          <w:tab w:val="left" w:pos="540"/>
        </w:tabs>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(4)根据现行税法对买方征收的与本合同有关的一切税费均由买方承担；根据现行税法对卖方征收的与本合同有关的一切税费均由卖方承担。</w:t>
      </w:r>
    </w:p>
    <w:p w14:paraId="3A407DC7">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六.违约责任</w:t>
      </w:r>
    </w:p>
    <w:p w14:paraId="64C53A35">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12、违约责任</w:t>
      </w:r>
    </w:p>
    <w:p w14:paraId="00CDC879">
      <w:pPr>
        <w:pStyle w:val="6"/>
        <w:spacing w:line="440" w:lineRule="exact"/>
        <w:ind w:firstLine="486" w:firstLineChars="200"/>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合同一方不履行合同义务或者履行合同义务不符合约定的，应当承担继续履行、采取补救措施或者赔偿损失等违约责任。</w:t>
      </w:r>
    </w:p>
    <w:p w14:paraId="71FBAA7D">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13、买方违约责任</w:t>
      </w:r>
    </w:p>
    <w:p w14:paraId="6F048E9E">
      <w:pPr>
        <w:pStyle w:val="6"/>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(1)在合同生效后，买方要求退货的，应向卖方偿付合同总价款的5%，作为违约金，违约金不足以补偿损失的，卖方有权要求甲方补足。</w:t>
      </w:r>
    </w:p>
    <w:p w14:paraId="00C7BADE">
      <w:pPr>
        <w:pStyle w:val="6"/>
        <w:overflowPunct w:val="0"/>
        <w:spacing w:line="440" w:lineRule="exact"/>
        <w:ind w:right="-386" w:rightChars="-159"/>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(2)买方逾期付款的应按照逾期付款金额的每天万分之四支付逾期付款违约金。</w:t>
      </w:r>
    </w:p>
    <w:p w14:paraId="4C654F68">
      <w:pPr>
        <w:pStyle w:val="6"/>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(3)买方违反合同规定，拒绝接收卖方交付的符合采购文件要求的合格标的物，应当承担卖方由此造成的损失。</w:t>
      </w:r>
    </w:p>
    <w:p w14:paraId="50D2D9E0">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14、卖方违约责任</w:t>
      </w:r>
    </w:p>
    <w:p w14:paraId="2F38F32F">
      <w:pPr>
        <w:pStyle w:val="6"/>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(1)卖方不能交货（逾期超过五天视为不能交货），或交货不合格从而影响买方按期正常使用的，应向买方偿付合同总价款5%的违约金，违约金不足以补偿损失的，买方有权要求卖方补足。</w:t>
      </w:r>
    </w:p>
    <w:p w14:paraId="61FC9C36">
      <w:pPr>
        <w:pStyle w:val="6"/>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(2)卖方逾期交货的，应在发货前与买方和政府采购管理部门协商，买方仍需求的，卖方应立即发货并应按照逾期交货部分货款的每天万分之四支付逾期交货违约金，同时承担买方因此遭致的损失费用。</w:t>
      </w:r>
    </w:p>
    <w:p w14:paraId="1AEF5ED1">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15、不可抗力</w:t>
      </w:r>
    </w:p>
    <w:p w14:paraId="161E24CA">
      <w:pPr>
        <w:pStyle w:val="6"/>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(1)因水灾、火灾、地震、战争等不可抗力不能履行合同的，根据不可抗力的影响，部分或者全部免除责任。但合同一方迟延履行后发生不可抗力的，不能免除责任。</w:t>
      </w:r>
    </w:p>
    <w:p w14:paraId="51EFBEE2">
      <w:pPr>
        <w:pStyle w:val="6"/>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(2)合同一方因不可抗力不能履行合同的，应当及时通知对方，以减轻可能给对方造成的损失，并应当在合理期限内提供证明。</w:t>
      </w:r>
    </w:p>
    <w:p w14:paraId="2DB3C3B6">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七.索赔</w:t>
      </w:r>
    </w:p>
    <w:p w14:paraId="66C45EF6">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16、索赔</w:t>
      </w:r>
    </w:p>
    <w:p w14:paraId="6DBD3DB9">
      <w:pPr>
        <w:pStyle w:val="6"/>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(1)买方有权根据当地产品质量检验机构或其它有权威部门出具的检验证书向卖方提出索赔。</w:t>
      </w:r>
    </w:p>
    <w:p w14:paraId="6CCF610C">
      <w:pPr>
        <w:pStyle w:val="6"/>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(2)在本合同规定的检验期和质量保证期内，如果卖方对买方提出的索赔或差异有责任，则卖方应按买方同意的下列一种或多种方式解决索赔事宜：</w:t>
      </w:r>
    </w:p>
    <w:p w14:paraId="322BE86C">
      <w:pPr>
        <w:pStyle w:val="6"/>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&lt;1&gt;卖方同意退货，并按合同规定的货币将货款退还给买方，并承担由此发生的一切损失和费用，包括利息、银行手续费、运费、保险费、检验费、仓储费、装卸费以及为保护退回标的物所需的其它必要费用；</w:t>
      </w:r>
    </w:p>
    <w:p w14:paraId="3E8DF30F">
      <w:pPr>
        <w:pStyle w:val="6"/>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&lt;2&gt;根据标的物的低劣程度、损坏程度以及甲方遭受损失的数额，经双方协商确定降低标的物的价格；</w:t>
      </w:r>
    </w:p>
    <w:p w14:paraId="486F99BC">
      <w:pPr>
        <w:pStyle w:val="6"/>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3&gt;用符合规格、质量和性能要求的新零件、部件或标的物来更换有缺陷的部分或修补缺陷部分，卖方应承担一切费用和风险并负担买方所发生的一切直接费用。同时，卖方应按合同规定，相应延长修补或被更换部件或标的物的质量保证期。</w:t>
      </w:r>
    </w:p>
    <w:p w14:paraId="747ED8FC">
      <w:pPr>
        <w:pStyle w:val="6"/>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如果在买方发出索赔通知后七天内，卖方未能答复，上述索赔应视为已被卖方接受。若卖方未在买方提出索赔通知后七天内或买方同意的更长时间内，按照合同规定的任何一种方法解决索赔事宜，买方将从未付款或卖方开具的履约保证金中扣回索赔金额，如果这些金额不足以补偿索赔金额，买方有权向卖方提出对不足部分的补偿。</w:t>
      </w:r>
    </w:p>
    <w:p w14:paraId="332A6E3A">
      <w:pPr>
        <w:pStyle w:val="6"/>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(4)买方提出索赔的书面材料应报当地政府采购管理部门备案。卖方同意的索赔方案应报当地政府采购管理部门审核。</w:t>
      </w:r>
    </w:p>
    <w:p w14:paraId="3176E1AC">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八.履约保证金</w:t>
      </w:r>
    </w:p>
    <w:p w14:paraId="23798B69">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17、履约保证金</w:t>
      </w:r>
    </w:p>
    <w:p w14:paraId="49DD7669">
      <w:pPr>
        <w:pStyle w:val="6"/>
        <w:overflowPunct w:val="0"/>
        <w:spacing w:line="440" w:lineRule="exact"/>
        <w:ind w:firstLine="607" w:firstLineChars="250"/>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(1)卖方应在本合同签订时，按采购文件的约定提供相应的履约保证金，保证金的有效期应不低于合同有效期。</w:t>
      </w:r>
    </w:p>
    <w:p w14:paraId="096573E3">
      <w:pPr>
        <w:pStyle w:val="6"/>
        <w:overflowPunct w:val="0"/>
        <w:spacing w:line="440" w:lineRule="exact"/>
        <w:ind w:right="-386" w:rightChars="-159"/>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(2)如果卖方未能履行合同规定的任何义务，买方有权从履约保证金中取得补偿。</w:t>
      </w:r>
    </w:p>
    <w:p w14:paraId="60688D80">
      <w:pPr>
        <w:pStyle w:val="6"/>
        <w:overflowPunct w:val="0"/>
        <w:spacing w:line="440" w:lineRule="exact"/>
        <w:ind w:right="-1010" w:rightChars="-416"/>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(3)履约保证金（无息）将在卖方履行完合同义务，买方支付合同价款的五天内</w:t>
      </w:r>
    </w:p>
    <w:p w14:paraId="514B7B70">
      <w:pPr>
        <w:pStyle w:val="6"/>
        <w:overflowPunct w:val="0"/>
        <w:spacing w:line="440" w:lineRule="exact"/>
        <w:ind w:right="-1010" w:rightChars="-416" w:firstLine="0"/>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退回。</w:t>
      </w:r>
    </w:p>
    <w:p w14:paraId="33914FBB">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九.合同的解除和转让</w:t>
      </w:r>
    </w:p>
    <w:p w14:paraId="6E3A7FEC">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18、合同的解除</w:t>
      </w:r>
    </w:p>
    <w:p w14:paraId="41D5F3F7">
      <w:pPr>
        <w:pStyle w:val="6"/>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(1)买方和卖方协商一致，可以解除合同。</w:t>
      </w:r>
    </w:p>
    <w:p w14:paraId="3FABAAD9">
      <w:pPr>
        <w:pStyle w:val="6"/>
        <w:spacing w:line="440" w:lineRule="exact"/>
        <w:rPr>
          <w:rFonts w:ascii="仿宋" w:hAnsi="仿宋" w:eastAsia="仿宋" w:cs="仿宋"/>
          <w:color w:val="auto"/>
          <w:szCs w:val="24"/>
          <w:highlight w:val="none"/>
          <w:u w:color="000000"/>
        </w:rPr>
      </w:pPr>
      <w:r>
        <w:rPr>
          <w:rFonts w:hint="eastAsia" w:ascii="仿宋" w:hAnsi="仿宋" w:eastAsia="仿宋" w:cs="仿宋"/>
          <w:color w:val="auto"/>
          <w:szCs w:val="24"/>
          <w:highlight w:val="none"/>
          <w:u w:color="000000"/>
        </w:rPr>
        <w:t>(2)有下列情形之一，合同一方可以解除合同：</w:t>
      </w:r>
    </w:p>
    <w:p w14:paraId="56F67079">
      <w:pPr>
        <w:pStyle w:val="6"/>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&lt;1&gt;因不可抗力致使不能实现合同目的，未受不可抗力影响的一方有权解除合同；</w:t>
      </w:r>
    </w:p>
    <w:p w14:paraId="23340707">
      <w:pPr>
        <w:pStyle w:val="6"/>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&lt;2&gt;因合同一方违约导致合同不能履行，另一方有权解除合同。</w:t>
      </w:r>
    </w:p>
    <w:p w14:paraId="0D46DE3E">
      <w:pPr>
        <w:pStyle w:val="6"/>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(3)有权解除合同的一方，应当在违约事实或不可抗力发生之后三十天内书面通知对方以主张解除合同，合同在书面通知到达对方时解除。</w:t>
      </w:r>
    </w:p>
    <w:p w14:paraId="31D717C5">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19、合同的转让</w:t>
      </w:r>
    </w:p>
    <w:p w14:paraId="784AA14B">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合同的部分和全部都不得转让。</w:t>
      </w:r>
    </w:p>
    <w:p w14:paraId="3B540CD7">
      <w:pPr>
        <w:spacing w:line="440" w:lineRule="exact"/>
        <w:rPr>
          <w:rFonts w:ascii="仿宋" w:hAnsi="仿宋" w:eastAsia="仿宋" w:cs="仿宋"/>
          <w:b/>
          <w:color w:val="auto"/>
          <w:highlight w:val="none"/>
        </w:rPr>
      </w:pPr>
      <w:r>
        <w:rPr>
          <w:rFonts w:hint="eastAsia" w:ascii="仿宋" w:hAnsi="仿宋" w:eastAsia="仿宋" w:cs="仿宋"/>
          <w:b/>
          <w:color w:val="auto"/>
          <w:highlight w:val="none"/>
        </w:rPr>
        <w:t>十.合同的生效</w:t>
      </w:r>
    </w:p>
    <w:p w14:paraId="24C61BCE">
      <w:pPr>
        <w:spacing w:line="440" w:lineRule="exact"/>
        <w:rPr>
          <w:rFonts w:ascii="仿宋" w:hAnsi="仿宋" w:eastAsia="仿宋" w:cs="仿宋"/>
          <w:color w:val="auto"/>
          <w:highlight w:val="none"/>
        </w:rPr>
      </w:pPr>
      <w:r>
        <w:rPr>
          <w:rFonts w:hint="eastAsia" w:ascii="仿宋" w:hAnsi="仿宋" w:eastAsia="仿宋" w:cs="仿宋"/>
          <w:color w:val="auto"/>
          <w:highlight w:val="none"/>
        </w:rPr>
        <w:t>20</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合同的生效</w:t>
      </w:r>
    </w:p>
    <w:p w14:paraId="709A3A0C">
      <w:pPr>
        <w:spacing w:line="4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本合同在双方签字盖章并在招标人收到中标人提交的履约保证金后，经招标采购管理部门备案后生效。</w:t>
      </w:r>
    </w:p>
    <w:p w14:paraId="278D04EC">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十一. 争议解决</w:t>
      </w:r>
    </w:p>
    <w:p w14:paraId="144E8DD8">
      <w:pPr>
        <w:spacing w:line="440" w:lineRule="exact"/>
        <w:ind w:firstLine="243" w:firstLineChars="1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21、争议解决</w:t>
      </w:r>
    </w:p>
    <w:p w14:paraId="4752943E">
      <w:pPr>
        <w:pStyle w:val="6"/>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 xml:space="preserve"> 买卖双方因合同发生争议，进行调解，协商不成，可选择：</w:t>
      </w:r>
    </w:p>
    <w:p w14:paraId="572EF194">
      <w:pPr>
        <w:pStyle w:val="6"/>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(1)双方同时申请仲裁；</w:t>
      </w:r>
    </w:p>
    <w:p w14:paraId="7C68F464">
      <w:pPr>
        <w:pStyle w:val="6"/>
        <w:tabs>
          <w:tab w:val="left" w:pos="900"/>
        </w:tabs>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(2)向买方所在地人民法院提起诉讼。</w:t>
      </w:r>
    </w:p>
    <w:p w14:paraId="3FE60AB3">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十二 .附则</w:t>
      </w:r>
    </w:p>
    <w:p w14:paraId="182416E1">
      <w:pPr>
        <w:spacing w:line="440" w:lineRule="exact"/>
        <w:ind w:firstLine="243" w:firstLineChars="1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22、合同份数。</w:t>
      </w:r>
    </w:p>
    <w:p w14:paraId="237ECDA5">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r>
        <w:rPr>
          <w:rFonts w:hint="eastAsia" w:ascii="仿宋" w:hAnsi="仿宋" w:eastAsia="仿宋" w:cs="仿宋"/>
          <w:color w:val="auto"/>
          <w:highlight w:val="none"/>
          <w:lang w:eastAsia="zh-CN"/>
        </w:rPr>
        <w:tab/>
      </w:r>
      <w:r>
        <w:rPr>
          <w:rFonts w:hint="eastAsia" w:ascii="仿宋" w:hAnsi="仿宋" w:eastAsia="仿宋" w:cs="仿宋"/>
          <w:color w:val="auto"/>
          <w:highlight w:val="none"/>
          <w:lang w:eastAsia="zh-CN"/>
        </w:rPr>
        <w:t xml:space="preserve"> 本合同一式</w:t>
      </w:r>
      <w:r>
        <w:rPr>
          <w:rFonts w:hint="eastAsia" w:ascii="仿宋" w:hAnsi="仿宋" w:eastAsia="仿宋" w:cs="仿宋"/>
          <w:color w:val="auto"/>
          <w:highlight w:val="none"/>
          <w:lang w:val="en-US" w:eastAsia="zh-CN"/>
        </w:rPr>
        <w:t>六</w:t>
      </w:r>
      <w:r>
        <w:rPr>
          <w:rFonts w:hint="eastAsia" w:ascii="仿宋" w:hAnsi="仿宋" w:eastAsia="仿宋" w:cs="仿宋"/>
          <w:color w:val="auto"/>
          <w:highlight w:val="none"/>
          <w:lang w:eastAsia="zh-CN"/>
        </w:rPr>
        <w:t>份，买卖双方各执二份，招标代理机构一份，招标采购管理部门一份。</w:t>
      </w:r>
    </w:p>
    <w:p w14:paraId="3D07F7DC">
      <w:pPr>
        <w:spacing w:line="440" w:lineRule="exact"/>
        <w:ind w:firstLine="243" w:firstLineChars="1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23、未尽事宜</w:t>
      </w:r>
    </w:p>
    <w:p w14:paraId="1689E3E8">
      <w:pPr>
        <w:spacing w:line="440" w:lineRule="exact"/>
        <w:ind w:firstLine="607" w:firstLineChars="250"/>
        <w:rPr>
          <w:rFonts w:ascii="宋体" w:cs="宋体"/>
          <w:color w:val="auto"/>
          <w:szCs w:val="21"/>
          <w:highlight w:val="none"/>
          <w:lang w:eastAsia="zh-CN"/>
        </w:rPr>
      </w:pPr>
      <w:r>
        <w:rPr>
          <w:rFonts w:hint="eastAsia" w:ascii="仿宋" w:hAnsi="仿宋" w:eastAsia="仿宋" w:cs="仿宋"/>
          <w:color w:val="auto"/>
          <w:highlight w:val="none"/>
          <w:lang w:eastAsia="zh-CN"/>
        </w:rPr>
        <w:t>本合同未尽事宜应按《中华人民共和国政府采购法》、《中华人民共和国</w:t>
      </w:r>
      <w:r>
        <w:rPr>
          <w:rFonts w:hint="eastAsia" w:ascii="仿宋" w:hAnsi="仿宋" w:eastAsia="仿宋" w:cs="仿宋"/>
          <w:color w:val="auto"/>
          <w:highlight w:val="none"/>
          <w:lang w:val="en-US" w:eastAsia="zh-CN"/>
        </w:rPr>
        <w:t>民法典</w:t>
      </w:r>
      <w:r>
        <w:rPr>
          <w:rFonts w:hint="eastAsia" w:ascii="仿宋" w:hAnsi="仿宋" w:eastAsia="仿宋" w:cs="仿宋"/>
          <w:color w:val="auto"/>
          <w:highlight w:val="none"/>
          <w:lang w:eastAsia="zh-CN"/>
        </w:rPr>
        <w:t>》之规定解释。</w:t>
      </w:r>
    </w:p>
    <w:p w14:paraId="7CAD7891">
      <w:pPr>
        <w:pStyle w:val="39"/>
        <w:keepNext/>
        <w:keepLines/>
        <w:spacing w:before="0" w:after="1160"/>
        <w:jc w:val="center"/>
        <w:rPr>
          <w:rFonts w:hint="eastAsia" w:ascii="仿宋" w:hAnsi="仿宋" w:eastAsia="仿宋" w:cs="仿宋"/>
          <w:b/>
          <w:bCs/>
          <w:color w:val="auto"/>
          <w:highlight w:val="none"/>
        </w:rPr>
        <w:sectPr>
          <w:pgSz w:w="11905" w:h="16838"/>
          <w:pgMar w:top="1440" w:right="1417" w:bottom="1440" w:left="1417" w:header="850" w:footer="992" w:gutter="0"/>
          <w:pgNumType w:fmt="decimal"/>
          <w:cols w:space="0" w:num="1"/>
          <w:docGrid w:type="linesAndChars" w:linePitch="325" w:charSpace="635"/>
        </w:sectPr>
      </w:pPr>
    </w:p>
    <w:p w14:paraId="52B64B97">
      <w:pPr>
        <w:pStyle w:val="39"/>
        <w:keepNext/>
        <w:keepLines/>
        <w:spacing w:before="0" w:after="1160"/>
        <w:jc w:val="center"/>
        <w:rPr>
          <w:rFonts w:ascii="仿宋" w:hAnsi="仿宋" w:eastAsia="仿宋" w:cs="仿宋"/>
          <w:b/>
          <w:bCs/>
          <w:color w:val="auto"/>
          <w:highlight w:val="none"/>
        </w:rPr>
      </w:pPr>
      <w:r>
        <w:rPr>
          <w:rFonts w:hint="eastAsia" w:ascii="仿宋" w:hAnsi="仿宋" w:eastAsia="仿宋" w:cs="仿宋"/>
          <w:b/>
          <w:bCs/>
          <w:color w:val="auto"/>
          <w:highlight w:val="none"/>
        </w:rPr>
        <w:t>第</w:t>
      </w:r>
      <w:r>
        <w:rPr>
          <w:rFonts w:hint="eastAsia" w:ascii="仿宋" w:hAnsi="仿宋" w:eastAsia="仿宋" w:cs="仿宋"/>
          <w:b/>
          <w:bCs/>
          <w:color w:val="auto"/>
          <w:highlight w:val="none"/>
          <w:lang w:eastAsia="zh-CN"/>
        </w:rPr>
        <w:t>六</w:t>
      </w:r>
      <w:r>
        <w:rPr>
          <w:rFonts w:hint="eastAsia" w:ascii="仿宋" w:hAnsi="仿宋" w:eastAsia="仿宋" w:cs="仿宋"/>
          <w:b/>
          <w:bCs/>
          <w:color w:val="auto"/>
          <w:highlight w:val="none"/>
        </w:rPr>
        <w:t>部分</w:t>
      </w:r>
      <w:r>
        <w:rPr>
          <w:rFonts w:hint="eastAsia" w:ascii="仿宋" w:hAnsi="仿宋" w:eastAsia="仿宋" w:cs="仿宋"/>
          <w:b/>
          <w:bCs/>
          <w:color w:val="auto"/>
          <w:highlight w:val="none"/>
          <w:lang w:val="en-US" w:eastAsia="zh-CN"/>
        </w:rPr>
        <w:t xml:space="preserve">  </w:t>
      </w:r>
      <w:r>
        <w:rPr>
          <w:rFonts w:hint="eastAsia" w:ascii="仿宋" w:hAnsi="仿宋" w:eastAsia="仿宋" w:cs="仿宋"/>
          <w:b/>
          <w:bCs/>
          <w:color w:val="auto"/>
          <w:highlight w:val="none"/>
        </w:rPr>
        <w:t>投标文件格式</w:t>
      </w:r>
    </w:p>
    <w:p w14:paraId="5557C958">
      <w:pPr>
        <w:adjustRightInd w:val="0"/>
        <w:snapToGrid w:val="0"/>
        <w:spacing w:line="360" w:lineRule="auto"/>
        <w:ind w:left="602" w:right="70" w:hanging="602"/>
        <w:jc w:val="right"/>
        <w:rPr>
          <w:rFonts w:ascii="仿宋" w:hAnsi="仿宋" w:eastAsia="仿宋" w:cs="仿宋"/>
          <w:b/>
          <w:bCs/>
          <w:color w:val="auto"/>
          <w:sz w:val="28"/>
          <w:szCs w:val="28"/>
          <w:highlight w:val="none"/>
          <w:bdr w:val="single" w:color="auto" w:sz="4" w:space="0"/>
          <w:lang w:eastAsia="zh-CN"/>
        </w:rPr>
      </w:pPr>
      <w:bookmarkStart w:id="68" w:name="bookmark196"/>
      <w:r>
        <w:rPr>
          <w:rFonts w:hint="eastAsia" w:ascii="仿宋" w:hAnsi="仿宋" w:eastAsia="仿宋" w:cs="仿宋"/>
          <w:b/>
          <w:bCs/>
          <w:color w:val="auto"/>
          <w:sz w:val="28"/>
          <w:szCs w:val="28"/>
          <w:highlight w:val="none"/>
          <w:bdr w:val="single" w:color="auto" w:sz="4" w:space="0"/>
          <w:lang w:eastAsia="zh-CN"/>
        </w:rPr>
        <w:t>正/副 本</w:t>
      </w:r>
    </w:p>
    <w:p w14:paraId="1CF88A8B">
      <w:pPr>
        <w:adjustRightInd w:val="0"/>
        <w:snapToGrid w:val="0"/>
        <w:spacing w:line="360" w:lineRule="auto"/>
        <w:jc w:val="center"/>
        <w:rPr>
          <w:rFonts w:ascii="仿宋" w:hAnsi="仿宋" w:eastAsia="仿宋" w:cs="仿宋"/>
          <w:b/>
          <w:caps/>
          <w:color w:val="auto"/>
          <w:highlight w:val="none"/>
          <w:lang w:eastAsia="zh-CN"/>
        </w:rPr>
      </w:pPr>
    </w:p>
    <w:p w14:paraId="0F50E27E">
      <w:pPr>
        <w:adjustRightInd w:val="0"/>
        <w:snapToGrid w:val="0"/>
        <w:spacing w:line="360" w:lineRule="auto"/>
        <w:jc w:val="center"/>
        <w:rPr>
          <w:rFonts w:ascii="仿宋" w:hAnsi="仿宋" w:eastAsia="仿宋" w:cs="仿宋"/>
          <w:bCs/>
          <w:color w:val="auto"/>
          <w:sz w:val="32"/>
          <w:szCs w:val="32"/>
          <w:highlight w:val="none"/>
          <w:lang w:eastAsia="zh-CN"/>
        </w:rPr>
      </w:pPr>
      <w:r>
        <w:rPr>
          <w:rFonts w:hint="eastAsia" w:ascii="仿宋" w:hAnsi="仿宋" w:eastAsia="仿宋" w:cs="仿宋"/>
          <w:b/>
          <w:caps/>
          <w:color w:val="auto"/>
          <w:sz w:val="32"/>
          <w:szCs w:val="32"/>
          <w:highlight w:val="none"/>
          <w:lang w:eastAsia="zh-CN"/>
        </w:rPr>
        <w:t>（项目名称）</w:t>
      </w:r>
    </w:p>
    <w:p w14:paraId="2A365F0C">
      <w:pPr>
        <w:adjustRightInd w:val="0"/>
        <w:snapToGrid w:val="0"/>
        <w:spacing w:line="360" w:lineRule="auto"/>
        <w:jc w:val="center"/>
        <w:rPr>
          <w:rFonts w:ascii="仿宋" w:hAnsi="仿宋" w:eastAsia="仿宋" w:cs="仿宋"/>
          <w:bCs/>
          <w:color w:val="auto"/>
          <w:sz w:val="32"/>
          <w:szCs w:val="32"/>
          <w:highlight w:val="none"/>
          <w:lang w:eastAsia="zh-CN"/>
        </w:rPr>
      </w:pPr>
    </w:p>
    <w:p w14:paraId="6F25252E">
      <w:pPr>
        <w:adjustRightInd w:val="0"/>
        <w:snapToGrid w:val="0"/>
        <w:spacing w:line="360" w:lineRule="auto"/>
        <w:jc w:val="center"/>
        <w:rPr>
          <w:rFonts w:ascii="仿宋" w:hAnsi="仿宋" w:eastAsia="仿宋" w:cs="仿宋"/>
          <w:bCs/>
          <w:color w:val="auto"/>
          <w:sz w:val="32"/>
          <w:szCs w:val="32"/>
          <w:highlight w:val="none"/>
          <w:lang w:eastAsia="zh-CN"/>
        </w:rPr>
      </w:pPr>
      <w:r>
        <w:rPr>
          <w:rFonts w:hint="eastAsia" w:ascii="仿宋" w:hAnsi="仿宋" w:eastAsia="仿宋" w:cs="仿宋"/>
          <w:b/>
          <w:bCs/>
          <w:color w:val="auto"/>
          <w:sz w:val="44"/>
          <w:szCs w:val="44"/>
          <w:highlight w:val="none"/>
          <w:lang w:eastAsia="zh-CN"/>
        </w:rPr>
        <w:t>投标文件</w:t>
      </w:r>
    </w:p>
    <w:p w14:paraId="438766DD">
      <w:pPr>
        <w:adjustRightInd w:val="0"/>
        <w:snapToGrid w:val="0"/>
        <w:spacing w:line="360" w:lineRule="auto"/>
        <w:jc w:val="center"/>
        <w:rPr>
          <w:rFonts w:ascii="仿宋" w:hAnsi="仿宋" w:eastAsia="仿宋" w:cs="仿宋"/>
          <w:bCs/>
          <w:color w:val="auto"/>
          <w:sz w:val="32"/>
          <w:szCs w:val="32"/>
          <w:highlight w:val="none"/>
          <w:lang w:eastAsia="zh-CN"/>
        </w:rPr>
      </w:pPr>
    </w:p>
    <w:p w14:paraId="636758D5">
      <w:pPr>
        <w:adjustRightInd w:val="0"/>
        <w:snapToGrid w:val="0"/>
        <w:spacing w:line="360" w:lineRule="auto"/>
        <w:jc w:val="both"/>
        <w:rPr>
          <w:rFonts w:ascii="仿宋" w:hAnsi="仿宋" w:eastAsia="仿宋" w:cs="仿宋"/>
          <w:bCs/>
          <w:color w:val="auto"/>
          <w:sz w:val="32"/>
          <w:szCs w:val="32"/>
          <w:highlight w:val="none"/>
          <w:lang w:eastAsia="zh-CN"/>
        </w:rPr>
      </w:pPr>
    </w:p>
    <w:p w14:paraId="1EA26F02">
      <w:pPr>
        <w:adjustRightInd w:val="0"/>
        <w:snapToGrid w:val="0"/>
        <w:spacing w:line="360" w:lineRule="auto"/>
        <w:ind w:right="-155" w:rightChars="-64"/>
        <w:rPr>
          <w:rFonts w:ascii="仿宋" w:hAnsi="仿宋" w:eastAsia="仿宋" w:cs="仿宋"/>
          <w:b/>
          <w:caps/>
          <w:color w:val="auto"/>
          <w:sz w:val="28"/>
          <w:szCs w:val="28"/>
          <w:highlight w:val="none"/>
          <w:lang w:eastAsia="zh-CN"/>
        </w:rPr>
      </w:pPr>
      <w:r>
        <w:rPr>
          <w:rFonts w:hint="eastAsia" w:ascii="仿宋" w:hAnsi="仿宋" w:eastAsia="仿宋" w:cs="仿宋"/>
          <w:b/>
          <w:caps/>
          <w:color w:val="auto"/>
          <w:spacing w:val="0"/>
          <w:kern w:val="0"/>
          <w:sz w:val="28"/>
          <w:szCs w:val="28"/>
          <w:highlight w:val="none"/>
          <w:fitText w:val="2810" w:id="1470909418"/>
          <w:lang w:eastAsia="zh-CN"/>
        </w:rPr>
        <w:t>供应商名称（公章）：</w:t>
      </w:r>
    </w:p>
    <w:p w14:paraId="6E0748BF">
      <w:pPr>
        <w:adjustRightInd w:val="0"/>
        <w:snapToGrid w:val="0"/>
        <w:spacing w:line="360" w:lineRule="auto"/>
        <w:ind w:right="-155" w:rightChars="-64"/>
        <w:rPr>
          <w:rFonts w:ascii="仿宋" w:hAnsi="仿宋" w:eastAsia="仿宋" w:cs="仿宋"/>
          <w:b/>
          <w:caps/>
          <w:color w:val="auto"/>
          <w:sz w:val="28"/>
          <w:szCs w:val="28"/>
          <w:highlight w:val="none"/>
          <w:lang w:eastAsia="zh-CN"/>
        </w:rPr>
      </w:pPr>
    </w:p>
    <w:p w14:paraId="2E882B60">
      <w:pPr>
        <w:adjustRightInd w:val="0"/>
        <w:snapToGrid w:val="0"/>
        <w:spacing w:line="360" w:lineRule="auto"/>
        <w:ind w:right="-155" w:rightChars="-64"/>
        <w:rPr>
          <w:rFonts w:ascii="仿宋" w:hAnsi="仿宋" w:eastAsia="仿宋" w:cs="仿宋"/>
          <w:b/>
          <w:caps/>
          <w:color w:val="auto"/>
          <w:sz w:val="28"/>
          <w:szCs w:val="28"/>
          <w:highlight w:val="none"/>
          <w:lang w:eastAsia="zh-CN"/>
        </w:rPr>
      </w:pPr>
      <w:r>
        <w:rPr>
          <w:rFonts w:hint="eastAsia" w:ascii="仿宋" w:hAnsi="仿宋" w:eastAsia="仿宋" w:cs="仿宋"/>
          <w:b/>
          <w:caps/>
          <w:color w:val="auto"/>
          <w:spacing w:val="0"/>
          <w:w w:val="77"/>
          <w:kern w:val="0"/>
          <w:sz w:val="28"/>
          <w:szCs w:val="28"/>
          <w:highlight w:val="none"/>
          <w:fitText w:val="2810" w:id="1"/>
          <w:lang w:eastAsia="zh-CN"/>
        </w:rPr>
        <w:t>法定代表人（签章或盖章）</w:t>
      </w:r>
      <w:r>
        <w:rPr>
          <w:rFonts w:hint="eastAsia" w:ascii="仿宋" w:hAnsi="仿宋" w:eastAsia="仿宋" w:cs="仿宋"/>
          <w:b/>
          <w:caps/>
          <w:color w:val="auto"/>
          <w:spacing w:val="-1"/>
          <w:w w:val="77"/>
          <w:kern w:val="0"/>
          <w:sz w:val="28"/>
          <w:szCs w:val="28"/>
          <w:highlight w:val="none"/>
          <w:fitText w:val="2810" w:id="1"/>
          <w:lang w:eastAsia="zh-CN"/>
        </w:rPr>
        <w:t>：</w:t>
      </w:r>
    </w:p>
    <w:p w14:paraId="6410B2C8">
      <w:pPr>
        <w:adjustRightInd w:val="0"/>
        <w:snapToGrid w:val="0"/>
        <w:spacing w:line="360" w:lineRule="auto"/>
        <w:ind w:right="-155" w:rightChars="-64"/>
        <w:rPr>
          <w:rFonts w:ascii="仿宋" w:hAnsi="仿宋" w:eastAsia="仿宋" w:cs="仿宋"/>
          <w:b/>
          <w:caps/>
          <w:color w:val="auto"/>
          <w:sz w:val="28"/>
          <w:szCs w:val="28"/>
          <w:highlight w:val="none"/>
          <w:lang w:eastAsia="zh-CN"/>
        </w:rPr>
      </w:pPr>
    </w:p>
    <w:p w14:paraId="15F9AA8B">
      <w:pPr>
        <w:adjustRightInd w:val="0"/>
        <w:snapToGrid w:val="0"/>
        <w:spacing w:line="360" w:lineRule="auto"/>
        <w:ind w:right="-155" w:rightChars="-64"/>
        <w:rPr>
          <w:rFonts w:ascii="仿宋" w:hAnsi="仿宋" w:eastAsia="仿宋" w:cs="仿宋"/>
          <w:b/>
          <w:caps/>
          <w:color w:val="auto"/>
          <w:sz w:val="28"/>
          <w:szCs w:val="28"/>
          <w:highlight w:val="none"/>
          <w:lang w:eastAsia="zh-CN"/>
        </w:rPr>
      </w:pPr>
      <w:r>
        <w:rPr>
          <w:rFonts w:hint="eastAsia" w:ascii="仿宋" w:hAnsi="仿宋" w:eastAsia="仿宋" w:cs="仿宋"/>
          <w:b/>
          <w:caps/>
          <w:color w:val="auto"/>
          <w:spacing w:val="113"/>
          <w:kern w:val="0"/>
          <w:sz w:val="28"/>
          <w:szCs w:val="28"/>
          <w:highlight w:val="none"/>
          <w:fitText w:val="2810" w:id="2"/>
          <w:lang w:eastAsia="zh-CN"/>
        </w:rPr>
        <w:t>供应商地址</w:t>
      </w:r>
      <w:r>
        <w:rPr>
          <w:rFonts w:hint="eastAsia" w:ascii="仿宋" w:hAnsi="仿宋" w:eastAsia="仿宋" w:cs="仿宋"/>
          <w:b/>
          <w:caps/>
          <w:color w:val="auto"/>
          <w:spacing w:val="0"/>
          <w:kern w:val="0"/>
          <w:sz w:val="28"/>
          <w:szCs w:val="28"/>
          <w:highlight w:val="none"/>
          <w:fitText w:val="2810" w:id="2"/>
          <w:lang w:eastAsia="zh-CN"/>
        </w:rPr>
        <w:t>：</w:t>
      </w:r>
    </w:p>
    <w:p w14:paraId="136D3DA1">
      <w:pPr>
        <w:adjustRightInd w:val="0"/>
        <w:snapToGrid w:val="0"/>
        <w:spacing w:line="360" w:lineRule="auto"/>
        <w:ind w:right="-155" w:rightChars="-64"/>
        <w:rPr>
          <w:rFonts w:ascii="仿宋" w:hAnsi="仿宋" w:eastAsia="仿宋" w:cs="仿宋"/>
          <w:b/>
          <w:caps/>
          <w:color w:val="auto"/>
          <w:sz w:val="28"/>
          <w:szCs w:val="28"/>
          <w:highlight w:val="none"/>
          <w:lang w:eastAsia="zh-CN"/>
        </w:rPr>
      </w:pPr>
    </w:p>
    <w:p w14:paraId="7077E411">
      <w:pPr>
        <w:adjustRightInd w:val="0"/>
        <w:snapToGrid w:val="0"/>
        <w:spacing w:line="360" w:lineRule="auto"/>
        <w:ind w:right="-155" w:rightChars="-64"/>
        <w:rPr>
          <w:rFonts w:ascii="仿宋" w:hAnsi="仿宋" w:eastAsia="仿宋" w:cs="仿宋"/>
          <w:b/>
          <w:caps/>
          <w:color w:val="auto"/>
          <w:sz w:val="28"/>
          <w:szCs w:val="28"/>
          <w:highlight w:val="none"/>
          <w:lang w:eastAsia="zh-CN"/>
        </w:rPr>
      </w:pPr>
      <w:r>
        <w:rPr>
          <w:rFonts w:hint="eastAsia" w:ascii="仿宋" w:hAnsi="仿宋" w:eastAsia="仿宋" w:cs="仿宋"/>
          <w:b/>
          <w:caps/>
          <w:color w:val="auto"/>
          <w:spacing w:val="281"/>
          <w:kern w:val="0"/>
          <w:sz w:val="28"/>
          <w:szCs w:val="28"/>
          <w:highlight w:val="none"/>
          <w:fitText w:val="2810" w:id="3"/>
          <w:lang w:eastAsia="zh-CN"/>
        </w:rPr>
        <w:t>联系人</w:t>
      </w:r>
      <w:r>
        <w:rPr>
          <w:rFonts w:hint="eastAsia" w:ascii="仿宋" w:hAnsi="仿宋" w:eastAsia="仿宋" w:cs="仿宋"/>
          <w:b/>
          <w:caps/>
          <w:color w:val="auto"/>
          <w:spacing w:val="2"/>
          <w:kern w:val="0"/>
          <w:sz w:val="28"/>
          <w:szCs w:val="28"/>
          <w:highlight w:val="none"/>
          <w:fitText w:val="2810" w:id="3"/>
          <w:lang w:eastAsia="zh-CN"/>
        </w:rPr>
        <w:t>：</w:t>
      </w:r>
    </w:p>
    <w:p w14:paraId="11388C9A">
      <w:pPr>
        <w:adjustRightInd w:val="0"/>
        <w:snapToGrid w:val="0"/>
        <w:spacing w:line="360" w:lineRule="auto"/>
        <w:ind w:right="-155" w:rightChars="-64"/>
        <w:rPr>
          <w:rFonts w:ascii="仿宋" w:hAnsi="仿宋" w:eastAsia="仿宋" w:cs="仿宋"/>
          <w:b/>
          <w:caps/>
          <w:color w:val="auto"/>
          <w:sz w:val="28"/>
          <w:szCs w:val="28"/>
          <w:highlight w:val="none"/>
          <w:lang w:eastAsia="zh-CN"/>
        </w:rPr>
      </w:pPr>
    </w:p>
    <w:p w14:paraId="43B41785">
      <w:pPr>
        <w:adjustRightInd w:val="0"/>
        <w:snapToGrid w:val="0"/>
        <w:spacing w:line="360" w:lineRule="auto"/>
        <w:ind w:right="-155" w:rightChars="-64"/>
        <w:rPr>
          <w:rFonts w:ascii="仿宋" w:hAnsi="仿宋" w:eastAsia="仿宋" w:cs="仿宋"/>
          <w:b/>
          <w:caps/>
          <w:color w:val="auto"/>
          <w:sz w:val="28"/>
          <w:szCs w:val="28"/>
          <w:highlight w:val="none"/>
          <w:lang w:eastAsia="zh-CN"/>
        </w:rPr>
      </w:pPr>
      <w:r>
        <w:rPr>
          <w:rFonts w:hint="eastAsia" w:ascii="仿宋" w:hAnsi="仿宋" w:eastAsia="仿宋" w:cs="仿宋"/>
          <w:b/>
          <w:caps/>
          <w:color w:val="auto"/>
          <w:spacing w:val="176"/>
          <w:kern w:val="0"/>
          <w:sz w:val="28"/>
          <w:szCs w:val="28"/>
          <w:highlight w:val="none"/>
          <w:fitText w:val="2810" w:id="4"/>
          <w:lang w:eastAsia="zh-CN"/>
        </w:rPr>
        <w:t>联系电话</w:t>
      </w:r>
      <w:r>
        <w:rPr>
          <w:rFonts w:hint="eastAsia" w:ascii="仿宋" w:hAnsi="仿宋" w:eastAsia="仿宋" w:cs="仿宋"/>
          <w:b/>
          <w:caps/>
          <w:color w:val="auto"/>
          <w:spacing w:val="1"/>
          <w:kern w:val="0"/>
          <w:sz w:val="28"/>
          <w:szCs w:val="28"/>
          <w:highlight w:val="none"/>
          <w:fitText w:val="2810" w:id="4"/>
          <w:lang w:eastAsia="zh-CN"/>
        </w:rPr>
        <w:t>：</w:t>
      </w:r>
    </w:p>
    <w:p w14:paraId="7B551E76">
      <w:pPr>
        <w:adjustRightInd w:val="0"/>
        <w:snapToGrid w:val="0"/>
        <w:spacing w:line="360" w:lineRule="auto"/>
        <w:jc w:val="center"/>
        <w:rPr>
          <w:rFonts w:ascii="仿宋" w:hAnsi="仿宋" w:eastAsia="仿宋" w:cs="仿宋"/>
          <w:b/>
          <w:caps/>
          <w:color w:val="auto"/>
          <w:sz w:val="28"/>
          <w:szCs w:val="28"/>
          <w:highlight w:val="none"/>
          <w:lang w:eastAsia="zh-CN"/>
        </w:rPr>
      </w:pPr>
    </w:p>
    <w:p w14:paraId="3E4D9773">
      <w:pPr>
        <w:adjustRightInd w:val="0"/>
        <w:snapToGrid w:val="0"/>
        <w:spacing w:line="360" w:lineRule="auto"/>
        <w:jc w:val="center"/>
        <w:rPr>
          <w:rFonts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_</w:t>
      </w:r>
      <w:r>
        <w:rPr>
          <w:rFonts w:hint="eastAsia" w:ascii="仿宋" w:hAnsi="仿宋" w:eastAsia="仿宋" w:cs="仿宋"/>
          <w:b/>
          <w:color w:val="auto"/>
          <w:sz w:val="28"/>
          <w:szCs w:val="28"/>
          <w:highlight w:val="none"/>
          <w:u w:val="single"/>
          <w:lang w:eastAsia="zh-CN"/>
        </w:rPr>
        <w:t xml:space="preserve">    </w:t>
      </w:r>
      <w:r>
        <w:rPr>
          <w:rFonts w:hint="eastAsia" w:ascii="仿宋" w:hAnsi="仿宋" w:eastAsia="仿宋" w:cs="仿宋"/>
          <w:b/>
          <w:color w:val="auto"/>
          <w:sz w:val="28"/>
          <w:szCs w:val="28"/>
          <w:highlight w:val="none"/>
          <w:lang w:eastAsia="zh-CN"/>
        </w:rPr>
        <w:t>_年__</w:t>
      </w:r>
      <w:r>
        <w:rPr>
          <w:rFonts w:hint="eastAsia" w:ascii="仿宋" w:hAnsi="仿宋" w:eastAsia="仿宋" w:cs="仿宋"/>
          <w:b/>
          <w:color w:val="auto"/>
          <w:sz w:val="28"/>
          <w:szCs w:val="28"/>
          <w:highlight w:val="none"/>
          <w:u w:val="single"/>
          <w:lang w:eastAsia="zh-CN"/>
        </w:rPr>
        <w:t xml:space="preserve">   </w:t>
      </w:r>
      <w:r>
        <w:rPr>
          <w:rFonts w:hint="eastAsia" w:ascii="仿宋" w:hAnsi="仿宋" w:eastAsia="仿宋" w:cs="仿宋"/>
          <w:b/>
          <w:color w:val="auto"/>
          <w:sz w:val="28"/>
          <w:szCs w:val="28"/>
          <w:highlight w:val="none"/>
          <w:lang w:eastAsia="zh-CN"/>
        </w:rPr>
        <w:t>_月__</w:t>
      </w:r>
      <w:r>
        <w:rPr>
          <w:rFonts w:hint="eastAsia" w:ascii="仿宋" w:hAnsi="仿宋" w:eastAsia="仿宋" w:cs="仿宋"/>
          <w:b/>
          <w:color w:val="auto"/>
          <w:sz w:val="28"/>
          <w:szCs w:val="28"/>
          <w:highlight w:val="none"/>
          <w:u w:val="single"/>
          <w:lang w:eastAsia="zh-CN"/>
        </w:rPr>
        <w:t xml:space="preserve">   </w:t>
      </w:r>
      <w:r>
        <w:rPr>
          <w:rFonts w:hint="eastAsia" w:ascii="仿宋" w:hAnsi="仿宋" w:eastAsia="仿宋" w:cs="仿宋"/>
          <w:b/>
          <w:color w:val="auto"/>
          <w:sz w:val="28"/>
          <w:szCs w:val="28"/>
          <w:highlight w:val="none"/>
          <w:lang w:eastAsia="zh-CN"/>
        </w:rPr>
        <w:t>_日</w:t>
      </w:r>
    </w:p>
    <w:p w14:paraId="3CA6EACE">
      <w:pPr>
        <w:pStyle w:val="41"/>
        <w:spacing w:after="340" w:line="240" w:lineRule="auto"/>
        <w:ind w:firstLine="0"/>
        <w:rPr>
          <w:rFonts w:ascii="仿宋" w:hAnsi="仿宋" w:eastAsia="仿宋" w:cs="仿宋"/>
          <w:color w:val="auto"/>
          <w:highlight w:val="none"/>
        </w:rPr>
      </w:pPr>
    </w:p>
    <w:bookmarkEnd w:id="68"/>
    <w:p w14:paraId="4432F329">
      <w:pPr>
        <w:pStyle w:val="3"/>
        <w:spacing w:line="240" w:lineRule="atLeast"/>
        <w:rPr>
          <w:rFonts w:ascii="仿宋" w:hAnsi="仿宋" w:eastAsia="仿宋" w:cs="仿宋"/>
          <w:bCs/>
          <w:color w:val="auto"/>
          <w:sz w:val="24"/>
          <w:highlight w:val="none"/>
          <w:lang w:eastAsia="zh-CN"/>
        </w:rPr>
      </w:pPr>
      <w:bookmarkStart w:id="69" w:name="_Toc18974"/>
      <w:bookmarkStart w:id="70" w:name="_Toc515647803"/>
      <w:bookmarkStart w:id="71" w:name="_Toc8919"/>
      <w:bookmarkStart w:id="72" w:name="_Toc18694"/>
    </w:p>
    <w:p w14:paraId="0AE2F4E7">
      <w:pPr>
        <w:pStyle w:val="3"/>
        <w:spacing w:line="240" w:lineRule="atLeast"/>
        <w:rPr>
          <w:rFonts w:hint="eastAsia" w:ascii="仿宋" w:hAnsi="仿宋" w:eastAsia="仿宋" w:cs="仿宋"/>
          <w:bCs/>
          <w:color w:val="auto"/>
          <w:szCs w:val="21"/>
          <w:highlight w:val="none"/>
          <w:lang w:eastAsia="zh-CN"/>
        </w:rPr>
      </w:pPr>
    </w:p>
    <w:p w14:paraId="7B2F0311">
      <w:pPr>
        <w:pStyle w:val="3"/>
        <w:spacing w:line="240" w:lineRule="atLeast"/>
        <w:rPr>
          <w:rFonts w:hint="eastAsia" w:ascii="仿宋" w:hAnsi="仿宋" w:eastAsia="仿宋" w:cs="仿宋"/>
          <w:bCs/>
          <w:color w:val="auto"/>
          <w:szCs w:val="21"/>
          <w:highlight w:val="none"/>
          <w:lang w:eastAsia="zh-CN"/>
        </w:rPr>
      </w:pPr>
    </w:p>
    <w:p w14:paraId="6D2C4EA8">
      <w:pPr>
        <w:pStyle w:val="3"/>
        <w:spacing w:line="240" w:lineRule="atLeast"/>
        <w:rPr>
          <w:rFonts w:ascii="仿宋" w:hAnsi="仿宋" w:eastAsia="仿宋" w:cs="仿宋"/>
          <w:color w:val="auto"/>
          <w:szCs w:val="21"/>
          <w:highlight w:val="none"/>
          <w:lang w:eastAsia="zh-CN"/>
        </w:rPr>
      </w:pPr>
      <w:r>
        <w:rPr>
          <w:rFonts w:hint="eastAsia" w:ascii="仿宋" w:hAnsi="仿宋" w:eastAsia="仿宋" w:cs="仿宋"/>
          <w:bCs/>
          <w:color w:val="auto"/>
          <w:szCs w:val="21"/>
          <w:highlight w:val="none"/>
          <w:lang w:eastAsia="zh-CN"/>
        </w:rPr>
        <w:t>第一部分 资格证明文件</w:t>
      </w:r>
      <w:bookmarkEnd w:id="69"/>
      <w:bookmarkEnd w:id="70"/>
      <w:bookmarkEnd w:id="71"/>
      <w:bookmarkEnd w:id="72"/>
    </w:p>
    <w:p w14:paraId="60FE49DB">
      <w:pPr>
        <w:spacing w:line="240" w:lineRule="atLeast"/>
        <w:ind w:left="717" w:hanging="716" w:hangingChars="295"/>
        <w:jc w:val="center"/>
        <w:rPr>
          <w:rFonts w:ascii="仿宋" w:hAnsi="仿宋" w:eastAsia="仿宋" w:cs="仿宋"/>
          <w:color w:val="auto"/>
          <w:highlight w:val="none"/>
          <w:lang w:eastAsia="zh-CN"/>
        </w:rPr>
      </w:pPr>
    </w:p>
    <w:p w14:paraId="77658CBF">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firstLine="486" w:firstLineChars="200"/>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eastAsia="zh-CN"/>
        </w:rPr>
        <w:t>1、营业执照等证明文件</w:t>
      </w:r>
      <w:r>
        <w:rPr>
          <w:rFonts w:hint="eastAsia" w:ascii="仿宋" w:hAnsi="仿宋" w:eastAsia="仿宋" w:cs="仿宋"/>
          <w:color w:val="auto"/>
          <w:szCs w:val="21"/>
          <w:highlight w:val="none"/>
          <w:lang w:val="en-US" w:eastAsia="zh-CN"/>
        </w:rPr>
        <w:t>（注：</w:t>
      </w: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1、具有独立承担民事责任的能力：提供有效的营业执照等。2、具有良好的商业信誉和健全的财务会计制度：提供经外部审计的近3年（2022年、2023年、2024年）内任意一年的财务报告（成立不满一年的企业需提供（公司成立起至投标截止时间上一月）财务报表）和财务会计制度；3、</w:t>
      </w:r>
      <w:r>
        <w:rPr>
          <w:rFonts w:hint="eastAsia" w:ascii="仿宋" w:hAnsi="仿宋" w:eastAsia="仿宋" w:cs="仿宋"/>
          <w:color w:val="auto"/>
          <w:spacing w:val="0"/>
          <w:w w:val="90"/>
          <w:kern w:val="0"/>
          <w:position w:val="0"/>
          <w:sz w:val="24"/>
          <w:szCs w:val="24"/>
          <w:highlight w:val="none"/>
          <w:shd w:val="clear" w:color="auto" w:fill="auto"/>
          <w:lang w:val="en-US" w:eastAsia="zh-CN" w:bidi="en-US"/>
        </w:rPr>
        <w:t xml:space="preserve">具有履行合同所必需的设备和专业技术能力：（提供承诺函加盖公章，格式自拟）； </w:t>
      </w: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4、有依法缴纳税收和社会保障资金的良好纪录：提供近半年内任意三个月缴纳税收证明及社保缴纳证明；（新成立公司提供成立之日起至今的缴税记录及社保缴纳证明，若供应商的纳税记录为零申报的，需提供相应证明材料）。</w:t>
      </w:r>
    </w:p>
    <w:p w14:paraId="5FCC9C2D">
      <w:pPr>
        <w:spacing w:line="440" w:lineRule="exact"/>
        <w:ind w:firstLine="356" w:firstLineChars="147"/>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2、法定代表人资格证明书；</w:t>
      </w:r>
    </w:p>
    <w:p w14:paraId="1D0D6567">
      <w:pPr>
        <w:spacing w:line="440" w:lineRule="exact"/>
        <w:ind w:firstLine="356" w:firstLineChars="147"/>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3、法定代表人授权书；</w:t>
      </w:r>
    </w:p>
    <w:p w14:paraId="1F470CF5">
      <w:pPr>
        <w:spacing w:line="440" w:lineRule="exact"/>
        <w:ind w:firstLine="356" w:firstLineChars="147"/>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4、投标保证金缴纳凭证或投标担保函；</w:t>
      </w:r>
    </w:p>
    <w:p w14:paraId="4145D065">
      <w:pPr>
        <w:spacing w:line="440" w:lineRule="exact"/>
        <w:ind w:firstLine="356" w:firstLineChars="147"/>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5、投标企业须提供投标人（被授权在职人员）近6个月内任意一个月有效的社保证明；</w:t>
      </w:r>
    </w:p>
    <w:p w14:paraId="2F5B0533">
      <w:pPr>
        <w:spacing w:line="440" w:lineRule="exact"/>
        <w:ind w:firstLine="356" w:firstLineChars="147"/>
        <w:rPr>
          <w:rFonts w:hint="eastAsia" w:ascii="仿宋" w:hAnsi="仿宋" w:eastAsia="仿宋" w:cs="仿宋"/>
          <w:b w:val="0"/>
          <w:color w:val="auto"/>
          <w:sz w:val="24"/>
          <w:szCs w:val="21"/>
          <w:highlight w:val="none"/>
          <w:lang w:val="en-US" w:eastAsia="zh-CN" w:bidi="en-US"/>
        </w:rPr>
      </w:pPr>
      <w:r>
        <w:rPr>
          <w:rFonts w:hint="eastAsia" w:ascii="仿宋" w:hAnsi="仿宋" w:eastAsia="仿宋" w:cs="仿宋"/>
          <w:b w:val="0"/>
          <w:color w:val="auto"/>
          <w:sz w:val="24"/>
          <w:szCs w:val="21"/>
          <w:highlight w:val="none"/>
          <w:lang w:val="en-US" w:eastAsia="zh-CN" w:bidi="en-US"/>
        </w:rPr>
        <w:t>6、参加政府采购活动前3年内在经营活动中没有重大违法记录的书面声明；参加政府采购活动前三年内，在经营活动中没有重大违法记录；未被“信用中国”（www.creditchina.gov.cn）、中国政府采购网（www.ccgp.gov.cn）列入失信被执行人、税收违法黑名单、政府采购严重违法失信行为记录名单。</w:t>
      </w:r>
    </w:p>
    <w:p w14:paraId="176418F7">
      <w:pPr>
        <w:spacing w:line="440" w:lineRule="exact"/>
        <w:ind w:firstLine="356" w:firstLineChars="147"/>
        <w:rPr>
          <w:rFonts w:hint="default" w:ascii="仿宋" w:hAnsi="仿宋" w:eastAsia="仿宋" w:cs="仿宋"/>
          <w:b w:val="0"/>
          <w:color w:val="auto"/>
          <w:sz w:val="24"/>
          <w:szCs w:val="21"/>
          <w:highlight w:val="none"/>
          <w:lang w:val="en-US" w:eastAsia="zh-CN" w:bidi="en-US"/>
        </w:rPr>
      </w:pPr>
      <w:r>
        <w:rPr>
          <w:rFonts w:hint="eastAsia" w:ascii="仿宋" w:hAnsi="仿宋" w:eastAsia="仿宋" w:cs="仿宋"/>
          <w:b w:val="0"/>
          <w:color w:val="auto"/>
          <w:sz w:val="24"/>
          <w:szCs w:val="21"/>
          <w:highlight w:val="none"/>
          <w:lang w:val="en-US" w:eastAsia="zh-CN" w:bidi="en-US"/>
        </w:rPr>
        <w:t>7、投标人须知资料表要求的其他资格证明文件。</w:t>
      </w:r>
    </w:p>
    <w:p w14:paraId="1F05370E">
      <w:pPr>
        <w:tabs>
          <w:tab w:val="left" w:pos="5580"/>
        </w:tabs>
        <w:spacing w:line="500" w:lineRule="atLeast"/>
        <w:ind w:left="1" w:firstLine="571" w:firstLineChars="235"/>
        <w:rPr>
          <w:rFonts w:hint="eastAsia" w:ascii="仿宋" w:hAnsi="仿宋" w:eastAsia="仿宋" w:cs="仿宋"/>
          <w:color w:val="auto"/>
          <w:highlight w:val="none"/>
          <w:lang w:val="en-US" w:eastAsia="zh-CN"/>
        </w:rPr>
      </w:pPr>
    </w:p>
    <w:p w14:paraId="68FB7F2E">
      <w:pPr>
        <w:pStyle w:val="37"/>
        <w:rPr>
          <w:rFonts w:ascii="仿宋" w:hAnsi="仿宋" w:eastAsia="仿宋" w:cs="仿宋"/>
          <w:b/>
          <w:bCs/>
          <w:color w:val="auto"/>
          <w:sz w:val="36"/>
          <w:szCs w:val="36"/>
          <w:highlight w:val="none"/>
          <w:lang w:eastAsia="zh-CN"/>
        </w:rPr>
      </w:pPr>
    </w:p>
    <w:p w14:paraId="7A847157">
      <w:pPr>
        <w:pStyle w:val="8"/>
        <w:numPr>
          <w:ilvl w:val="0"/>
          <w:numId w:val="0"/>
        </w:numPr>
        <w:kinsoku w:val="0"/>
        <w:overflowPunct w:val="0"/>
        <w:spacing w:before="34" w:line="440" w:lineRule="exact"/>
        <w:ind w:left="480" w:right="126"/>
        <w:jc w:val="center"/>
        <w:rPr>
          <w:rFonts w:hint="eastAsia" w:ascii="仿宋" w:hAnsi="仿宋" w:eastAsia="仿宋" w:cs="仿宋"/>
          <w:b/>
          <w:bCs/>
          <w:color w:val="auto"/>
          <w:sz w:val="36"/>
          <w:szCs w:val="36"/>
          <w:highlight w:val="none"/>
          <w:lang w:eastAsia="zh-CN"/>
        </w:rPr>
      </w:pPr>
      <w:bookmarkStart w:id="73" w:name="_Toc17577"/>
      <w:bookmarkStart w:id="74" w:name="_Toc4844"/>
      <w:bookmarkStart w:id="75" w:name="_Toc515647805"/>
      <w:bookmarkStart w:id="76" w:name="_Toc29899"/>
    </w:p>
    <w:p w14:paraId="7CBEB7E6">
      <w:pPr>
        <w:rPr>
          <w:rFonts w:hint="eastAsia" w:ascii="仿宋" w:hAnsi="仿宋" w:eastAsia="仿宋" w:cs="仿宋"/>
          <w:b/>
          <w:bCs/>
          <w:color w:val="auto"/>
          <w:sz w:val="36"/>
          <w:szCs w:val="36"/>
          <w:highlight w:val="none"/>
          <w:lang w:eastAsia="zh-CN"/>
        </w:rPr>
      </w:pPr>
    </w:p>
    <w:p w14:paraId="0E68DFF3">
      <w:pPr>
        <w:pStyle w:val="6"/>
        <w:rPr>
          <w:rFonts w:hint="eastAsia" w:ascii="仿宋" w:hAnsi="仿宋" w:eastAsia="仿宋" w:cs="仿宋"/>
          <w:b/>
          <w:bCs/>
          <w:color w:val="auto"/>
          <w:sz w:val="36"/>
          <w:szCs w:val="36"/>
          <w:highlight w:val="none"/>
          <w:lang w:eastAsia="zh-CN"/>
        </w:rPr>
      </w:pPr>
    </w:p>
    <w:p w14:paraId="61401CB0">
      <w:pPr>
        <w:rPr>
          <w:rFonts w:hint="eastAsia" w:ascii="仿宋" w:hAnsi="仿宋" w:eastAsia="仿宋" w:cs="仿宋"/>
          <w:b/>
          <w:bCs/>
          <w:color w:val="auto"/>
          <w:sz w:val="36"/>
          <w:szCs w:val="36"/>
          <w:highlight w:val="none"/>
          <w:lang w:eastAsia="zh-CN"/>
        </w:rPr>
      </w:pPr>
    </w:p>
    <w:p w14:paraId="0C948C65">
      <w:pPr>
        <w:pStyle w:val="33"/>
        <w:rPr>
          <w:rFonts w:hint="eastAsia" w:ascii="仿宋" w:hAnsi="仿宋" w:eastAsia="仿宋" w:cs="仿宋"/>
          <w:b/>
          <w:bCs/>
          <w:color w:val="auto"/>
          <w:sz w:val="36"/>
          <w:szCs w:val="36"/>
          <w:highlight w:val="none"/>
          <w:lang w:eastAsia="zh-CN"/>
        </w:rPr>
      </w:pPr>
    </w:p>
    <w:p w14:paraId="206ED2EE">
      <w:pPr>
        <w:pStyle w:val="8"/>
        <w:numPr>
          <w:ilvl w:val="0"/>
          <w:numId w:val="0"/>
        </w:numPr>
        <w:kinsoku w:val="0"/>
        <w:overflowPunct w:val="0"/>
        <w:spacing w:before="34" w:line="440" w:lineRule="exact"/>
        <w:ind w:right="126"/>
        <w:jc w:val="both"/>
        <w:rPr>
          <w:rFonts w:hint="eastAsia" w:ascii="仿宋" w:hAnsi="仿宋" w:eastAsia="仿宋" w:cs="仿宋"/>
          <w:b/>
          <w:bCs/>
          <w:color w:val="auto"/>
          <w:sz w:val="36"/>
          <w:szCs w:val="36"/>
          <w:highlight w:val="none"/>
          <w:lang w:eastAsia="zh-CN"/>
        </w:rPr>
      </w:pPr>
    </w:p>
    <w:p w14:paraId="55BA7031">
      <w:pPr>
        <w:pStyle w:val="8"/>
        <w:numPr>
          <w:ilvl w:val="0"/>
          <w:numId w:val="0"/>
        </w:numPr>
        <w:kinsoku w:val="0"/>
        <w:overflowPunct w:val="0"/>
        <w:spacing w:before="34" w:line="440" w:lineRule="exact"/>
        <w:ind w:left="480" w:right="126"/>
        <w:jc w:val="center"/>
        <w:rPr>
          <w:rFonts w:ascii="仿宋" w:hAnsi="仿宋" w:eastAsia="仿宋" w:cs="仿宋"/>
          <w:b/>
          <w:bCs/>
          <w:color w:val="auto"/>
          <w:sz w:val="36"/>
          <w:szCs w:val="36"/>
          <w:highlight w:val="none"/>
          <w:lang w:eastAsia="zh-CN"/>
        </w:rPr>
      </w:pPr>
      <w:r>
        <w:rPr>
          <w:rFonts w:hint="eastAsia" w:ascii="仿宋" w:hAnsi="仿宋" w:eastAsia="仿宋" w:cs="仿宋"/>
          <w:b/>
          <w:bCs/>
          <w:color w:val="auto"/>
          <w:sz w:val="36"/>
          <w:szCs w:val="36"/>
          <w:highlight w:val="none"/>
          <w:lang w:eastAsia="zh-CN"/>
        </w:rPr>
        <w:t xml:space="preserve">1、 </w:t>
      </w:r>
      <w:bookmarkEnd w:id="73"/>
      <w:bookmarkEnd w:id="74"/>
      <w:bookmarkEnd w:id="75"/>
      <w:bookmarkEnd w:id="76"/>
      <w:r>
        <w:rPr>
          <w:rFonts w:hint="eastAsia" w:ascii="仿宋" w:hAnsi="仿宋" w:eastAsia="仿宋" w:cs="仿宋"/>
          <w:b/>
          <w:bCs/>
          <w:color w:val="auto"/>
          <w:sz w:val="36"/>
          <w:szCs w:val="36"/>
          <w:highlight w:val="none"/>
          <w:lang w:eastAsia="zh-CN"/>
        </w:rPr>
        <w:t>营业执照等证明文件</w:t>
      </w:r>
    </w:p>
    <w:p w14:paraId="2880A9CC">
      <w:pPr>
        <w:pStyle w:val="10"/>
        <w:tabs>
          <w:tab w:val="left" w:pos="5580"/>
        </w:tabs>
        <w:spacing w:line="400" w:lineRule="exact"/>
        <w:ind w:left="1164" w:leftChars="257" w:hanging="540"/>
        <w:jc w:val="center"/>
        <w:rPr>
          <w:rFonts w:ascii="仿宋" w:hAnsi="仿宋" w:eastAsia="仿宋" w:cs="仿宋"/>
          <w:b/>
          <w:color w:val="auto"/>
          <w:highlight w:val="none"/>
          <w:lang w:eastAsia="zh-CN"/>
        </w:rPr>
      </w:pPr>
    </w:p>
    <w:p w14:paraId="29F5A209">
      <w:pPr>
        <w:pStyle w:val="10"/>
        <w:tabs>
          <w:tab w:val="left" w:pos="5580"/>
        </w:tabs>
        <w:spacing w:line="400" w:lineRule="exact"/>
        <w:ind w:left="1164" w:leftChars="257" w:hanging="540"/>
        <w:rPr>
          <w:rFonts w:ascii="仿宋" w:hAnsi="仿宋" w:eastAsia="仿宋" w:cs="仿宋"/>
          <w:b/>
          <w:color w:val="auto"/>
          <w:highlight w:val="none"/>
          <w:lang w:eastAsia="zh-CN"/>
        </w:rPr>
      </w:pPr>
    </w:p>
    <w:p w14:paraId="79487D42">
      <w:pPr>
        <w:pStyle w:val="10"/>
        <w:tabs>
          <w:tab w:val="left" w:pos="5580"/>
        </w:tabs>
        <w:spacing w:line="400" w:lineRule="exact"/>
        <w:ind w:left="1164" w:leftChars="257" w:hanging="540"/>
        <w:rPr>
          <w:rFonts w:ascii="仿宋" w:hAnsi="仿宋" w:eastAsia="仿宋" w:cs="仿宋"/>
          <w:b/>
          <w:color w:val="auto"/>
          <w:highlight w:val="none"/>
          <w:lang w:eastAsia="zh-CN"/>
        </w:rPr>
      </w:pPr>
    </w:p>
    <w:p w14:paraId="3B33EC61">
      <w:pPr>
        <w:spacing w:line="440" w:lineRule="exact"/>
        <w:ind w:firstLine="356" w:firstLineChars="147"/>
        <w:rPr>
          <w:rFonts w:hint="eastAsia" w:ascii="仿宋" w:hAnsi="仿宋" w:eastAsia="仿宋" w:cs="仿宋"/>
          <w:color w:val="auto"/>
          <w:szCs w:val="21"/>
          <w:highlight w:val="none"/>
          <w:lang w:val="en-US" w:eastAsia="zh-CN"/>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说明：</w:t>
      </w:r>
      <w:r>
        <w:rPr>
          <w:rFonts w:hint="eastAsia" w:ascii="仿宋" w:hAnsi="仿宋" w:eastAsia="仿宋" w:cs="仿宋"/>
          <w:color w:val="auto"/>
          <w:szCs w:val="21"/>
          <w:highlight w:val="none"/>
          <w:lang w:val="en-US" w:eastAsia="zh-CN"/>
        </w:rPr>
        <w:t>1、具有独立承担民事责任的能力：提供有效的营业执照等。</w:t>
      </w:r>
    </w:p>
    <w:p w14:paraId="46CC5012">
      <w:pPr>
        <w:numPr>
          <w:ilvl w:val="0"/>
          <w:numId w:val="11"/>
        </w:numPr>
        <w:spacing w:line="440" w:lineRule="exact"/>
        <w:ind w:firstLine="356" w:firstLineChars="147"/>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具有良好的商业信誉和健全的财务会计制度：提供经外部审计的近3年（2023年、2024年、2025年）内任意一年的财务报告（成立不满一年的企业需提供（公司成立起至投标截止时间上一月）财务报表）和财务会计制度；</w:t>
      </w:r>
    </w:p>
    <w:p w14:paraId="60975CA3">
      <w:pPr>
        <w:numPr>
          <w:ilvl w:val="0"/>
          <w:numId w:val="11"/>
        </w:numPr>
        <w:spacing w:line="440" w:lineRule="exact"/>
        <w:ind w:firstLine="356" w:firstLineChars="147"/>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具有履行合同所必需的设备和专业技术能力（提供承诺函加盖公章，格式自拟）；</w:t>
      </w:r>
    </w:p>
    <w:p w14:paraId="54916A3B">
      <w:pPr>
        <w:numPr>
          <w:ilvl w:val="0"/>
          <w:numId w:val="11"/>
        </w:numPr>
        <w:spacing w:line="440" w:lineRule="exact"/>
        <w:ind w:firstLine="356" w:firstLineChars="147"/>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有依法缴纳税收和社会保障资金的良好纪录：提供近半年内任意三个月缴纳税收证明及社保缴纳证明；（新成立公司提供成立之日起至今的缴税记录及社保缴纳证明，若供应商的纳税记录为零申报的，需提供相应证明材料）。</w:t>
      </w:r>
    </w:p>
    <w:p w14:paraId="2ED76BD4">
      <w:pPr>
        <w:pStyle w:val="8"/>
        <w:keepNext w:val="0"/>
        <w:keepLines w:val="0"/>
        <w:pageBreakBefore w:val="0"/>
        <w:widowControl w:val="0"/>
        <w:numPr>
          <w:ilvl w:val="0"/>
          <w:numId w:val="0"/>
        </w:numPr>
        <w:tabs>
          <w:tab w:val="left" w:pos="780"/>
        </w:tabs>
        <w:kinsoku w:val="0"/>
        <w:overflowPunct w:val="0"/>
        <w:topLinePunct w:val="0"/>
        <w:autoSpaceDE/>
        <w:autoSpaceDN/>
        <w:bidi w:val="0"/>
        <w:adjustRightInd/>
        <w:snapToGrid/>
        <w:spacing w:before="34" w:line="440" w:lineRule="exact"/>
        <w:ind w:right="126" w:rightChars="0" w:firstLine="486" w:firstLineChars="200"/>
        <w:jc w:val="left"/>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p>
    <w:p w14:paraId="3965E9BC">
      <w:pPr>
        <w:pStyle w:val="8"/>
        <w:keepNext w:val="0"/>
        <w:keepLines w:val="0"/>
        <w:pageBreakBefore w:val="0"/>
        <w:widowControl w:val="0"/>
        <w:numPr>
          <w:ilvl w:val="0"/>
          <w:numId w:val="0"/>
        </w:numPr>
        <w:tabs>
          <w:tab w:val="left" w:pos="780"/>
        </w:tabs>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p>
    <w:p w14:paraId="3B5D102F">
      <w:pPr>
        <w:pStyle w:val="8"/>
        <w:numPr>
          <w:ilvl w:val="0"/>
          <w:numId w:val="0"/>
        </w:numPr>
        <w:kinsoku w:val="0"/>
        <w:overflowPunct w:val="0"/>
        <w:spacing w:before="34" w:line="440" w:lineRule="exact"/>
        <w:ind w:left="480" w:right="126"/>
        <w:jc w:val="center"/>
        <w:rPr>
          <w:rFonts w:ascii="仿宋" w:hAnsi="仿宋" w:eastAsia="仿宋" w:cs="仿宋"/>
          <w:b/>
          <w:bCs/>
          <w:color w:val="auto"/>
          <w:sz w:val="36"/>
          <w:szCs w:val="36"/>
          <w:highlight w:val="none"/>
          <w:lang w:eastAsia="zh-CN"/>
        </w:rPr>
      </w:pPr>
    </w:p>
    <w:p w14:paraId="7B0782F4">
      <w:pPr>
        <w:pStyle w:val="8"/>
        <w:numPr>
          <w:ilvl w:val="0"/>
          <w:numId w:val="0"/>
        </w:numPr>
        <w:kinsoku w:val="0"/>
        <w:overflowPunct w:val="0"/>
        <w:spacing w:before="34" w:line="440" w:lineRule="exact"/>
        <w:ind w:left="480" w:right="126"/>
        <w:jc w:val="center"/>
        <w:rPr>
          <w:rFonts w:ascii="仿宋" w:hAnsi="仿宋" w:eastAsia="仿宋" w:cs="仿宋"/>
          <w:b/>
          <w:bCs/>
          <w:color w:val="auto"/>
          <w:sz w:val="36"/>
          <w:szCs w:val="36"/>
          <w:highlight w:val="none"/>
          <w:lang w:eastAsia="zh-CN"/>
        </w:rPr>
      </w:pPr>
    </w:p>
    <w:p w14:paraId="3CA72D60">
      <w:pPr>
        <w:pStyle w:val="8"/>
        <w:numPr>
          <w:ilvl w:val="0"/>
          <w:numId w:val="0"/>
        </w:numPr>
        <w:kinsoku w:val="0"/>
        <w:overflowPunct w:val="0"/>
        <w:spacing w:before="34" w:line="440" w:lineRule="exact"/>
        <w:ind w:left="480" w:right="126"/>
        <w:jc w:val="center"/>
        <w:rPr>
          <w:rFonts w:ascii="仿宋" w:hAnsi="仿宋" w:eastAsia="仿宋" w:cs="仿宋"/>
          <w:b/>
          <w:bCs/>
          <w:color w:val="auto"/>
          <w:sz w:val="36"/>
          <w:szCs w:val="36"/>
          <w:highlight w:val="none"/>
          <w:lang w:eastAsia="zh-CN"/>
        </w:rPr>
      </w:pPr>
    </w:p>
    <w:p w14:paraId="2510BCB2">
      <w:pPr>
        <w:pStyle w:val="8"/>
        <w:numPr>
          <w:ilvl w:val="0"/>
          <w:numId w:val="0"/>
        </w:numPr>
        <w:kinsoku w:val="0"/>
        <w:overflowPunct w:val="0"/>
        <w:spacing w:before="34" w:line="440" w:lineRule="exact"/>
        <w:ind w:left="480" w:right="126"/>
        <w:jc w:val="center"/>
        <w:rPr>
          <w:rFonts w:ascii="仿宋" w:hAnsi="仿宋" w:eastAsia="仿宋" w:cs="仿宋"/>
          <w:b/>
          <w:bCs/>
          <w:color w:val="auto"/>
          <w:sz w:val="36"/>
          <w:szCs w:val="36"/>
          <w:highlight w:val="none"/>
          <w:lang w:eastAsia="zh-CN"/>
        </w:rPr>
      </w:pPr>
    </w:p>
    <w:p w14:paraId="232F80B1">
      <w:pPr>
        <w:pStyle w:val="8"/>
        <w:numPr>
          <w:ilvl w:val="0"/>
          <w:numId w:val="0"/>
        </w:numPr>
        <w:kinsoku w:val="0"/>
        <w:overflowPunct w:val="0"/>
        <w:spacing w:before="34" w:line="440" w:lineRule="exact"/>
        <w:ind w:right="126"/>
        <w:jc w:val="both"/>
        <w:rPr>
          <w:rFonts w:ascii="仿宋" w:hAnsi="仿宋" w:eastAsia="仿宋" w:cs="仿宋"/>
          <w:b/>
          <w:bCs/>
          <w:color w:val="auto"/>
          <w:sz w:val="36"/>
          <w:szCs w:val="36"/>
          <w:highlight w:val="none"/>
          <w:lang w:eastAsia="zh-CN"/>
        </w:rPr>
      </w:pPr>
    </w:p>
    <w:p w14:paraId="7D690852">
      <w:pPr>
        <w:rPr>
          <w:rFonts w:ascii="仿宋" w:hAnsi="仿宋" w:eastAsia="仿宋" w:cs="仿宋"/>
          <w:b/>
          <w:bCs/>
          <w:color w:val="auto"/>
          <w:sz w:val="36"/>
          <w:szCs w:val="36"/>
          <w:highlight w:val="none"/>
          <w:lang w:eastAsia="zh-CN"/>
        </w:rPr>
      </w:pPr>
    </w:p>
    <w:p w14:paraId="48F06F41">
      <w:pPr>
        <w:pStyle w:val="37"/>
        <w:rPr>
          <w:rFonts w:ascii="仿宋" w:hAnsi="仿宋" w:eastAsia="仿宋" w:cs="仿宋"/>
          <w:b/>
          <w:bCs/>
          <w:color w:val="auto"/>
          <w:sz w:val="36"/>
          <w:szCs w:val="36"/>
          <w:highlight w:val="none"/>
          <w:lang w:eastAsia="zh-CN"/>
        </w:rPr>
      </w:pPr>
    </w:p>
    <w:p w14:paraId="3BECEA9F">
      <w:pPr>
        <w:pStyle w:val="37"/>
        <w:rPr>
          <w:rFonts w:ascii="仿宋" w:hAnsi="仿宋" w:eastAsia="仿宋" w:cs="仿宋"/>
          <w:b/>
          <w:bCs/>
          <w:color w:val="auto"/>
          <w:sz w:val="36"/>
          <w:szCs w:val="36"/>
          <w:highlight w:val="none"/>
          <w:lang w:eastAsia="zh-CN"/>
        </w:rPr>
      </w:pPr>
    </w:p>
    <w:p w14:paraId="0AC5F9F6">
      <w:pPr>
        <w:pStyle w:val="37"/>
        <w:rPr>
          <w:rFonts w:ascii="仿宋" w:hAnsi="仿宋" w:eastAsia="仿宋" w:cs="仿宋"/>
          <w:b/>
          <w:bCs/>
          <w:color w:val="auto"/>
          <w:sz w:val="36"/>
          <w:szCs w:val="36"/>
          <w:highlight w:val="none"/>
          <w:lang w:eastAsia="zh-CN"/>
        </w:rPr>
      </w:pPr>
    </w:p>
    <w:p w14:paraId="1FC8CB93">
      <w:pPr>
        <w:pStyle w:val="37"/>
        <w:rPr>
          <w:rFonts w:ascii="仿宋" w:hAnsi="仿宋" w:eastAsia="仿宋" w:cs="仿宋"/>
          <w:b/>
          <w:bCs/>
          <w:color w:val="auto"/>
          <w:sz w:val="36"/>
          <w:szCs w:val="36"/>
          <w:highlight w:val="none"/>
          <w:lang w:eastAsia="zh-CN"/>
        </w:rPr>
      </w:pPr>
    </w:p>
    <w:p w14:paraId="2842BDEB">
      <w:pPr>
        <w:pStyle w:val="37"/>
        <w:rPr>
          <w:rFonts w:ascii="仿宋" w:hAnsi="仿宋" w:eastAsia="仿宋" w:cs="仿宋"/>
          <w:b/>
          <w:bCs/>
          <w:color w:val="auto"/>
          <w:sz w:val="36"/>
          <w:szCs w:val="36"/>
          <w:highlight w:val="none"/>
          <w:lang w:eastAsia="zh-CN"/>
        </w:rPr>
      </w:pPr>
    </w:p>
    <w:p w14:paraId="5E8F91CC">
      <w:pPr>
        <w:pStyle w:val="37"/>
        <w:rPr>
          <w:rFonts w:ascii="仿宋" w:hAnsi="仿宋" w:eastAsia="仿宋" w:cs="仿宋"/>
          <w:b/>
          <w:bCs/>
          <w:color w:val="auto"/>
          <w:sz w:val="36"/>
          <w:szCs w:val="36"/>
          <w:highlight w:val="none"/>
          <w:lang w:eastAsia="zh-CN"/>
        </w:rPr>
      </w:pPr>
    </w:p>
    <w:p w14:paraId="43EA92A0">
      <w:pPr>
        <w:pStyle w:val="37"/>
        <w:ind w:left="0" w:leftChars="0" w:firstLine="0" w:firstLineChars="0"/>
        <w:rPr>
          <w:rFonts w:ascii="仿宋" w:hAnsi="仿宋" w:eastAsia="仿宋" w:cs="仿宋"/>
          <w:b/>
          <w:bCs/>
          <w:color w:val="auto"/>
          <w:sz w:val="36"/>
          <w:szCs w:val="36"/>
          <w:highlight w:val="none"/>
          <w:lang w:eastAsia="zh-CN"/>
        </w:rPr>
      </w:pPr>
    </w:p>
    <w:p w14:paraId="4674A6A0">
      <w:pPr>
        <w:pStyle w:val="37"/>
        <w:rPr>
          <w:rFonts w:ascii="仿宋" w:hAnsi="仿宋" w:eastAsia="仿宋" w:cs="仿宋"/>
          <w:b/>
          <w:bCs/>
          <w:color w:val="auto"/>
          <w:sz w:val="36"/>
          <w:szCs w:val="36"/>
          <w:highlight w:val="none"/>
          <w:lang w:eastAsia="zh-CN"/>
        </w:rPr>
      </w:pPr>
    </w:p>
    <w:p w14:paraId="01C648E2">
      <w:pPr>
        <w:pStyle w:val="37"/>
        <w:rPr>
          <w:rFonts w:ascii="仿宋" w:hAnsi="仿宋" w:eastAsia="仿宋" w:cs="仿宋"/>
          <w:b/>
          <w:bCs/>
          <w:color w:val="auto"/>
          <w:sz w:val="36"/>
          <w:szCs w:val="36"/>
          <w:highlight w:val="none"/>
          <w:lang w:eastAsia="zh-CN"/>
        </w:rPr>
      </w:pPr>
    </w:p>
    <w:p w14:paraId="4CB5950C">
      <w:pPr>
        <w:pStyle w:val="37"/>
        <w:rPr>
          <w:rFonts w:ascii="仿宋" w:hAnsi="仿宋" w:eastAsia="仿宋" w:cs="仿宋"/>
          <w:b/>
          <w:bCs/>
          <w:color w:val="auto"/>
          <w:sz w:val="36"/>
          <w:szCs w:val="36"/>
          <w:highlight w:val="none"/>
          <w:lang w:eastAsia="zh-CN"/>
        </w:rPr>
      </w:pPr>
    </w:p>
    <w:p w14:paraId="5AEE987C">
      <w:pPr>
        <w:pStyle w:val="8"/>
        <w:numPr>
          <w:ilvl w:val="0"/>
          <w:numId w:val="0"/>
        </w:numPr>
        <w:kinsoku w:val="0"/>
        <w:overflowPunct w:val="0"/>
        <w:spacing w:before="34" w:line="440" w:lineRule="exact"/>
        <w:ind w:left="480" w:right="126"/>
        <w:jc w:val="center"/>
        <w:rPr>
          <w:rFonts w:ascii="仿宋" w:hAnsi="仿宋" w:eastAsia="仿宋" w:cs="仿宋"/>
          <w:color w:val="auto"/>
          <w:sz w:val="36"/>
          <w:szCs w:val="36"/>
          <w:highlight w:val="none"/>
          <w:lang w:eastAsia="zh-CN"/>
        </w:rPr>
      </w:pPr>
      <w:r>
        <w:rPr>
          <w:rFonts w:hint="eastAsia" w:ascii="仿宋" w:hAnsi="仿宋" w:eastAsia="仿宋" w:cs="仿宋"/>
          <w:b/>
          <w:bCs/>
          <w:color w:val="auto"/>
          <w:sz w:val="36"/>
          <w:szCs w:val="36"/>
          <w:highlight w:val="none"/>
          <w:lang w:eastAsia="zh-CN"/>
        </w:rPr>
        <w:t>2、法定代表人资格证明书</w:t>
      </w:r>
    </w:p>
    <w:p w14:paraId="120D8A3F">
      <w:pPr>
        <w:spacing w:line="420" w:lineRule="exact"/>
        <w:ind w:firstLine="486" w:firstLineChars="200"/>
        <w:rPr>
          <w:rFonts w:ascii="仿宋" w:hAnsi="仿宋" w:eastAsia="仿宋" w:cs="仿宋"/>
          <w:color w:val="auto"/>
          <w:highlight w:val="none"/>
          <w:u w:val="single"/>
          <w:lang w:eastAsia="zh-CN"/>
        </w:rPr>
      </w:pPr>
      <w:r>
        <w:rPr>
          <w:rFonts w:hint="eastAsia" w:ascii="仿宋" w:hAnsi="仿宋" w:eastAsia="仿宋" w:cs="仿宋"/>
          <w:color w:val="auto"/>
          <w:highlight w:val="none"/>
          <w:lang w:eastAsia="zh-CN"/>
        </w:rPr>
        <w:t>投标单位名称：</w:t>
      </w:r>
      <w:r>
        <w:rPr>
          <w:rFonts w:hint="eastAsia" w:ascii="仿宋" w:hAnsi="仿宋" w:eastAsia="仿宋" w:cs="仿宋"/>
          <w:color w:val="auto"/>
          <w:highlight w:val="none"/>
          <w:u w:val="single"/>
          <w:lang w:eastAsia="zh-CN"/>
        </w:rPr>
        <w:t xml:space="preserve">                       </w:t>
      </w:r>
    </w:p>
    <w:p w14:paraId="619AA68B">
      <w:pPr>
        <w:spacing w:line="420" w:lineRule="exact"/>
        <w:ind w:firstLine="486" w:firstLineChars="200"/>
        <w:rPr>
          <w:rFonts w:ascii="仿宋" w:hAnsi="仿宋" w:eastAsia="仿宋" w:cs="仿宋"/>
          <w:color w:val="auto"/>
          <w:highlight w:val="none"/>
          <w:u w:val="single"/>
          <w:lang w:eastAsia="zh-CN"/>
        </w:rPr>
      </w:pPr>
      <w:r>
        <w:rPr>
          <w:rFonts w:hint="eastAsia" w:ascii="仿宋" w:hAnsi="仿宋" w:eastAsia="仿宋" w:cs="仿宋"/>
          <w:color w:val="auto"/>
          <w:highlight w:val="none"/>
          <w:lang w:eastAsia="zh-CN"/>
        </w:rPr>
        <w:t>单位性质：</w:t>
      </w:r>
      <w:r>
        <w:rPr>
          <w:rFonts w:hint="eastAsia" w:ascii="仿宋" w:hAnsi="仿宋" w:eastAsia="仿宋" w:cs="仿宋"/>
          <w:color w:val="auto"/>
          <w:highlight w:val="none"/>
          <w:u w:val="single"/>
          <w:lang w:eastAsia="zh-CN"/>
        </w:rPr>
        <w:t xml:space="preserve">                           </w:t>
      </w:r>
    </w:p>
    <w:p w14:paraId="164BD830">
      <w:pPr>
        <w:spacing w:line="420" w:lineRule="exact"/>
        <w:ind w:firstLine="486" w:firstLineChars="200"/>
        <w:rPr>
          <w:rFonts w:ascii="仿宋" w:hAnsi="仿宋" w:eastAsia="仿宋" w:cs="仿宋"/>
          <w:color w:val="auto"/>
          <w:highlight w:val="none"/>
          <w:u w:val="single"/>
          <w:lang w:eastAsia="zh-CN"/>
        </w:rPr>
      </w:pPr>
      <w:r>
        <w:rPr>
          <w:rFonts w:hint="eastAsia" w:ascii="仿宋" w:hAnsi="仿宋" w:eastAsia="仿宋" w:cs="仿宋"/>
          <w:color w:val="auto"/>
          <w:highlight w:val="none"/>
          <w:lang w:eastAsia="zh-CN"/>
        </w:rPr>
        <w:t>地址：</w:t>
      </w:r>
      <w:r>
        <w:rPr>
          <w:rFonts w:hint="eastAsia" w:ascii="仿宋" w:hAnsi="仿宋" w:eastAsia="仿宋" w:cs="仿宋"/>
          <w:color w:val="auto"/>
          <w:highlight w:val="none"/>
          <w:u w:val="single"/>
          <w:lang w:eastAsia="zh-CN"/>
        </w:rPr>
        <w:t xml:space="preserve">                               </w:t>
      </w:r>
    </w:p>
    <w:p w14:paraId="006DAE15">
      <w:pPr>
        <w:spacing w:line="42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成立时间：</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年</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月</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日</w:t>
      </w:r>
    </w:p>
    <w:p w14:paraId="05AF17DD">
      <w:pPr>
        <w:spacing w:line="420" w:lineRule="exact"/>
        <w:ind w:firstLine="486" w:firstLineChars="200"/>
        <w:rPr>
          <w:rFonts w:ascii="仿宋" w:hAnsi="仿宋" w:eastAsia="仿宋" w:cs="仿宋"/>
          <w:color w:val="auto"/>
          <w:highlight w:val="none"/>
          <w:u w:val="single"/>
          <w:lang w:eastAsia="zh-CN"/>
        </w:rPr>
      </w:pPr>
      <w:r>
        <w:rPr>
          <w:rFonts w:hint="eastAsia" w:ascii="仿宋" w:hAnsi="仿宋" w:eastAsia="仿宋" w:cs="仿宋"/>
          <w:color w:val="auto"/>
          <w:highlight w:val="none"/>
          <w:lang w:eastAsia="zh-CN"/>
        </w:rPr>
        <w:t>经营期限：</w:t>
      </w:r>
      <w:r>
        <w:rPr>
          <w:rFonts w:hint="eastAsia" w:ascii="仿宋" w:hAnsi="仿宋" w:eastAsia="仿宋" w:cs="仿宋"/>
          <w:color w:val="auto"/>
          <w:highlight w:val="none"/>
          <w:u w:val="single"/>
          <w:lang w:eastAsia="zh-CN"/>
        </w:rPr>
        <w:t xml:space="preserve">             </w:t>
      </w:r>
    </w:p>
    <w:p w14:paraId="47052341">
      <w:pPr>
        <w:spacing w:line="420" w:lineRule="exact"/>
        <w:ind w:firstLine="486" w:firstLineChars="200"/>
        <w:rPr>
          <w:rFonts w:ascii="仿宋" w:hAnsi="仿宋" w:eastAsia="仿宋" w:cs="仿宋"/>
          <w:color w:val="auto"/>
          <w:highlight w:val="none"/>
          <w:u w:val="single"/>
          <w:lang w:eastAsia="zh-CN"/>
        </w:rPr>
      </w:pPr>
      <w:r>
        <w:rPr>
          <w:rFonts w:hint="eastAsia" w:ascii="仿宋" w:hAnsi="仿宋" w:eastAsia="仿宋" w:cs="仿宋"/>
          <w:color w:val="auto"/>
          <w:highlight w:val="none"/>
          <w:lang w:eastAsia="zh-CN"/>
        </w:rPr>
        <w:t>姓名：</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性别：</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年龄：</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职务：</w:t>
      </w:r>
      <w:r>
        <w:rPr>
          <w:rFonts w:hint="eastAsia" w:ascii="仿宋" w:hAnsi="仿宋" w:eastAsia="仿宋" w:cs="仿宋"/>
          <w:color w:val="auto"/>
          <w:highlight w:val="none"/>
          <w:u w:val="single"/>
          <w:lang w:eastAsia="zh-CN"/>
        </w:rPr>
        <w:t xml:space="preserve">           </w:t>
      </w:r>
    </w:p>
    <w:p w14:paraId="1E345444">
      <w:pPr>
        <w:spacing w:line="420" w:lineRule="exact"/>
        <w:ind w:firstLine="486" w:firstLineChars="200"/>
        <w:rPr>
          <w:rFonts w:ascii="仿宋" w:hAnsi="仿宋" w:eastAsia="仿宋" w:cs="仿宋"/>
          <w:color w:val="auto"/>
          <w:highlight w:val="none"/>
          <w:u w:val="single"/>
          <w:lang w:eastAsia="zh-CN"/>
        </w:rPr>
      </w:pPr>
      <w:r>
        <w:rPr>
          <w:rFonts w:hint="eastAsia" w:ascii="仿宋" w:hAnsi="仿宋" w:eastAsia="仿宋" w:cs="仿宋"/>
          <w:color w:val="auto"/>
          <w:highlight w:val="none"/>
          <w:lang w:eastAsia="zh-CN"/>
        </w:rPr>
        <w:t>身份证号码：</w:t>
      </w:r>
      <w:r>
        <w:rPr>
          <w:rFonts w:hint="eastAsia" w:ascii="仿宋" w:hAnsi="仿宋" w:eastAsia="仿宋" w:cs="仿宋"/>
          <w:color w:val="auto"/>
          <w:highlight w:val="none"/>
          <w:u w:val="single"/>
          <w:lang w:eastAsia="zh-CN"/>
        </w:rPr>
        <w:t xml:space="preserve">                                                     </w:t>
      </w:r>
    </w:p>
    <w:p w14:paraId="60BB0AFD">
      <w:pPr>
        <w:spacing w:line="42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系</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（投标单位名称）的法定代表人。</w:t>
      </w:r>
    </w:p>
    <w:p w14:paraId="49D40215">
      <w:pPr>
        <w:spacing w:line="420" w:lineRule="exact"/>
        <w:ind w:firstLine="972" w:firstLineChars="400"/>
        <w:rPr>
          <w:rFonts w:ascii="仿宋" w:hAnsi="仿宋" w:eastAsia="仿宋" w:cs="仿宋"/>
          <w:color w:val="auto"/>
          <w:highlight w:val="none"/>
        </w:rPr>
      </w:pPr>
      <w:r>
        <w:rPr>
          <w:rFonts w:hint="eastAsia" w:ascii="仿宋" w:hAnsi="仿宋" w:eastAsia="仿宋" w:cs="仿宋"/>
          <w:color w:val="auto"/>
          <w:highlight w:val="none"/>
        </w:rPr>
        <w:t>特此证明。</w:t>
      </w:r>
    </w:p>
    <w:p w14:paraId="2B0F7E80">
      <w:pPr>
        <w:pStyle w:val="8"/>
        <w:numPr>
          <w:ilvl w:val="0"/>
          <w:numId w:val="0"/>
        </w:numPr>
        <w:kinsoku w:val="0"/>
        <w:overflowPunct w:val="0"/>
        <w:rPr>
          <w:rFonts w:ascii="仿宋" w:hAnsi="仿宋" w:eastAsia="仿宋" w:cs="仿宋"/>
          <w:color w:val="auto"/>
          <w:sz w:val="20"/>
          <w:szCs w:val="20"/>
          <w:highlight w:val="none"/>
        </w:rPr>
      </w:pPr>
      <w:r>
        <w:rPr>
          <w:color w:val="auto"/>
          <w:sz w:val="25"/>
          <w:highlight w:val="none"/>
        </w:rPr>
        <mc:AlternateContent>
          <mc:Choice Requires="wps">
            <w:drawing>
              <wp:anchor distT="0" distB="0" distL="114300" distR="114300" simplePos="0" relativeHeight="251660288" behindDoc="0" locked="0" layoutInCell="1" allowOverlap="1">
                <wp:simplePos x="0" y="0"/>
                <wp:positionH relativeFrom="column">
                  <wp:posOffset>2991485</wp:posOffset>
                </wp:positionH>
                <wp:positionV relativeFrom="paragraph">
                  <wp:posOffset>194945</wp:posOffset>
                </wp:positionV>
                <wp:extent cx="2363470" cy="1403350"/>
                <wp:effectExtent l="5080" t="4445" r="12700" b="20955"/>
                <wp:wrapSquare wrapText="bothSides"/>
                <wp:docPr id="1" name="自选图形 77"/>
                <wp:cNvGraphicFramePr/>
                <a:graphic xmlns:a="http://schemas.openxmlformats.org/drawingml/2006/main">
                  <a:graphicData uri="http://schemas.microsoft.com/office/word/2010/wordprocessingShape">
                    <wps:wsp>
                      <wps:cNvSpPr/>
                      <wps:spPr>
                        <a:xfrm>
                          <a:off x="0" y="0"/>
                          <a:ext cx="2363470" cy="140335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62F69F8E">
                            <w:pPr>
                              <w:jc w:val="center"/>
                              <w:rPr>
                                <w:rFonts w:hint="eastAsia" w:ascii="仿宋" w:hAnsi="仿宋" w:eastAsia="仿宋" w:cs="仿宋"/>
                                <w:sz w:val="24"/>
                                <w:szCs w:val="24"/>
                              </w:rPr>
                            </w:pPr>
                          </w:p>
                          <w:p w14:paraId="34BDF4C0">
                            <w:pPr>
                              <w:jc w:val="center"/>
                              <w:rPr>
                                <w:rFonts w:hint="eastAsia" w:ascii="仿宋" w:hAnsi="仿宋" w:eastAsia="仿宋" w:cs="仿宋"/>
                                <w:sz w:val="24"/>
                                <w:szCs w:val="24"/>
                              </w:rPr>
                            </w:pPr>
                          </w:p>
                          <w:p w14:paraId="7E76A3F3">
                            <w:pPr>
                              <w:jc w:val="center"/>
                              <w:rPr>
                                <w:rFonts w:hint="eastAsia" w:ascii="仿宋" w:hAnsi="仿宋" w:eastAsia="仿宋" w:cs="仿宋"/>
                                <w:sz w:val="24"/>
                                <w:szCs w:val="24"/>
                              </w:rPr>
                            </w:pPr>
                            <w:r>
                              <w:rPr>
                                <w:rFonts w:hint="eastAsia" w:ascii="仿宋" w:hAnsi="仿宋" w:eastAsia="仿宋" w:cs="仿宋"/>
                                <w:sz w:val="24"/>
                                <w:szCs w:val="24"/>
                              </w:rPr>
                              <w:t>法定代表人身份证复印件</w:t>
                            </w:r>
                            <w:r>
                              <w:rPr>
                                <w:rFonts w:hint="eastAsia" w:ascii="仿宋" w:hAnsi="仿宋" w:eastAsia="仿宋" w:cs="仿宋"/>
                                <w:sz w:val="24"/>
                                <w:szCs w:val="24"/>
                                <w:lang w:val="en-US" w:eastAsia="zh-CN"/>
                              </w:rPr>
                              <w:t>反</w:t>
                            </w:r>
                            <w:r>
                              <w:rPr>
                                <w:rFonts w:hint="eastAsia" w:ascii="仿宋" w:hAnsi="仿宋" w:eastAsia="仿宋" w:cs="仿宋"/>
                                <w:sz w:val="24"/>
                                <w:szCs w:val="24"/>
                              </w:rPr>
                              <w:t>面</w:t>
                            </w:r>
                          </w:p>
                          <w:p w14:paraId="65F138F5"/>
                        </w:txbxContent>
                      </wps:txbx>
                      <wps:bodyPr upright="1"/>
                    </wps:wsp>
                  </a:graphicData>
                </a:graphic>
              </wp:anchor>
            </w:drawing>
          </mc:Choice>
          <mc:Fallback>
            <w:pict>
              <v:roundrect id="自选图形 77" o:spid="_x0000_s1026" o:spt="2" style="position:absolute;left:0pt;margin-left:235.55pt;margin-top:15.35pt;height:110.5pt;width:186.1pt;mso-wrap-distance-bottom:0pt;mso-wrap-distance-left:9pt;mso-wrap-distance-right:9pt;mso-wrap-distance-top:0pt;z-index:251660288;mso-width-relative:page;mso-height-relative:page;" fillcolor="#FFFFFF" filled="t" stroked="t" coordsize="21600,21600" arcsize="0.166666666666667" o:gfxdata="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GPn&#10;fv/XAAAACgEAAA8AAAAAAAAAAQAgAAAAIgAAAGRycy9kb3ducmV2LnhtbFBLAQIUABQAAAAIAIdO&#10;4kCi5g+wJAIAAFgEAAAOAAAAAAAAAAEAIAAAACYBAABkcnMvZTJvRG9jLnhtbFBLBQYAAAAABgAG&#10;AFkBAAC8BQAAAAA=&#10;">
                <v:fill on="t" focussize="0,0"/>
                <v:stroke color="#000000" joinstyle="round"/>
                <v:imagedata o:title=""/>
                <o:lock v:ext="edit" aspectratio="f"/>
                <v:textbox>
                  <w:txbxContent>
                    <w:p w14:paraId="62F69F8E">
                      <w:pPr>
                        <w:jc w:val="center"/>
                        <w:rPr>
                          <w:rFonts w:hint="eastAsia" w:ascii="仿宋" w:hAnsi="仿宋" w:eastAsia="仿宋" w:cs="仿宋"/>
                          <w:sz w:val="24"/>
                          <w:szCs w:val="24"/>
                        </w:rPr>
                      </w:pPr>
                    </w:p>
                    <w:p w14:paraId="34BDF4C0">
                      <w:pPr>
                        <w:jc w:val="center"/>
                        <w:rPr>
                          <w:rFonts w:hint="eastAsia" w:ascii="仿宋" w:hAnsi="仿宋" w:eastAsia="仿宋" w:cs="仿宋"/>
                          <w:sz w:val="24"/>
                          <w:szCs w:val="24"/>
                        </w:rPr>
                      </w:pPr>
                    </w:p>
                    <w:p w14:paraId="7E76A3F3">
                      <w:pPr>
                        <w:jc w:val="center"/>
                        <w:rPr>
                          <w:rFonts w:hint="eastAsia" w:ascii="仿宋" w:hAnsi="仿宋" w:eastAsia="仿宋" w:cs="仿宋"/>
                          <w:sz w:val="24"/>
                          <w:szCs w:val="24"/>
                        </w:rPr>
                      </w:pPr>
                      <w:r>
                        <w:rPr>
                          <w:rFonts w:hint="eastAsia" w:ascii="仿宋" w:hAnsi="仿宋" w:eastAsia="仿宋" w:cs="仿宋"/>
                          <w:sz w:val="24"/>
                          <w:szCs w:val="24"/>
                        </w:rPr>
                        <w:t>法定代表人身份证复印件</w:t>
                      </w:r>
                      <w:r>
                        <w:rPr>
                          <w:rFonts w:hint="eastAsia" w:ascii="仿宋" w:hAnsi="仿宋" w:eastAsia="仿宋" w:cs="仿宋"/>
                          <w:sz w:val="24"/>
                          <w:szCs w:val="24"/>
                          <w:lang w:val="en-US" w:eastAsia="zh-CN"/>
                        </w:rPr>
                        <w:t>反</w:t>
                      </w:r>
                      <w:r>
                        <w:rPr>
                          <w:rFonts w:hint="eastAsia" w:ascii="仿宋" w:hAnsi="仿宋" w:eastAsia="仿宋" w:cs="仿宋"/>
                          <w:sz w:val="24"/>
                          <w:szCs w:val="24"/>
                        </w:rPr>
                        <w:t>面</w:t>
                      </w:r>
                    </w:p>
                    <w:p w14:paraId="65F138F5"/>
                  </w:txbxContent>
                </v:textbox>
                <w10:wrap type="square"/>
              </v:roundrect>
            </w:pict>
          </mc:Fallback>
        </mc:AlternateContent>
      </w:r>
    </w:p>
    <w:p w14:paraId="0AB29ED8">
      <w:pPr>
        <w:pStyle w:val="8"/>
        <w:numPr>
          <w:ilvl w:val="0"/>
          <w:numId w:val="0"/>
        </w:numPr>
        <w:kinsoku w:val="0"/>
        <w:overflowPunct w:val="0"/>
        <w:spacing w:before="7"/>
        <w:rPr>
          <w:rFonts w:ascii="仿宋" w:hAnsi="仿宋" w:eastAsia="仿宋" w:cs="仿宋"/>
          <w:color w:val="auto"/>
          <w:sz w:val="25"/>
          <w:szCs w:val="25"/>
          <w:highlight w:val="none"/>
        </w:rPr>
      </w:pPr>
      <w:r>
        <w:rPr>
          <w:color w:val="auto"/>
          <w:sz w:val="25"/>
          <w:highlight w:val="none"/>
        </w:rPr>
        <mc:AlternateContent>
          <mc:Choice Requires="wps">
            <w:drawing>
              <wp:anchor distT="0" distB="0" distL="114300" distR="114300" simplePos="0" relativeHeight="251665408" behindDoc="1" locked="0" layoutInCell="1" allowOverlap="1">
                <wp:simplePos x="0" y="0"/>
                <wp:positionH relativeFrom="column">
                  <wp:posOffset>336550</wp:posOffset>
                </wp:positionH>
                <wp:positionV relativeFrom="paragraph">
                  <wp:posOffset>17145</wp:posOffset>
                </wp:positionV>
                <wp:extent cx="2371725" cy="1403350"/>
                <wp:effectExtent l="5080" t="5080" r="4445" b="20320"/>
                <wp:wrapTight wrapText="bothSides">
                  <wp:wrapPolygon>
                    <wp:start x="20682" y="-2"/>
                    <wp:lineTo x="909" y="0"/>
                    <wp:lineTo x="0" y="1611"/>
                    <wp:lineTo x="0" y="3600"/>
                    <wp:lineTo x="0" y="18000"/>
                    <wp:lineTo x="0" y="19988"/>
                    <wp:lineTo x="909" y="21600"/>
                    <wp:lineTo x="20682" y="21602"/>
                    <wp:lineTo x="917" y="21602"/>
                    <wp:lineTo x="20690" y="21600"/>
                    <wp:lineTo x="21599" y="19988"/>
                    <wp:lineTo x="21599" y="18000"/>
                    <wp:lineTo x="21599" y="3600"/>
                    <wp:lineTo x="21599" y="1611"/>
                    <wp:lineTo x="20690" y="0"/>
                    <wp:lineTo x="917" y="-2"/>
                    <wp:lineTo x="20682" y="-2"/>
                  </wp:wrapPolygon>
                </wp:wrapTight>
                <wp:docPr id="5" name="自选图形 91"/>
                <wp:cNvGraphicFramePr/>
                <a:graphic xmlns:a="http://schemas.openxmlformats.org/drawingml/2006/main">
                  <a:graphicData uri="http://schemas.microsoft.com/office/word/2010/wordprocessingShape">
                    <wps:wsp>
                      <wps:cNvSpPr/>
                      <wps:spPr>
                        <a:xfrm>
                          <a:off x="0" y="0"/>
                          <a:ext cx="2371725" cy="140335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65B649EC">
                            <w:pPr>
                              <w:jc w:val="center"/>
                              <w:rPr>
                                <w:rFonts w:hint="eastAsia" w:ascii="仿宋" w:hAnsi="仿宋" w:eastAsia="仿宋" w:cs="仿宋"/>
                                <w:sz w:val="24"/>
                                <w:szCs w:val="24"/>
                              </w:rPr>
                            </w:pPr>
                          </w:p>
                          <w:p w14:paraId="24FA9801">
                            <w:pPr>
                              <w:jc w:val="center"/>
                              <w:rPr>
                                <w:rFonts w:hint="eastAsia" w:ascii="仿宋" w:hAnsi="仿宋" w:eastAsia="仿宋" w:cs="仿宋"/>
                                <w:sz w:val="24"/>
                                <w:szCs w:val="24"/>
                              </w:rPr>
                            </w:pPr>
                          </w:p>
                          <w:p w14:paraId="2ADA4F42">
                            <w:pPr>
                              <w:jc w:val="center"/>
                              <w:rPr>
                                <w:rFonts w:hint="eastAsia" w:ascii="仿宋" w:hAnsi="仿宋" w:eastAsia="仿宋" w:cs="仿宋"/>
                                <w:sz w:val="24"/>
                                <w:szCs w:val="24"/>
                              </w:rPr>
                            </w:pPr>
                            <w:r>
                              <w:rPr>
                                <w:rFonts w:hint="eastAsia" w:ascii="仿宋" w:hAnsi="仿宋" w:eastAsia="仿宋" w:cs="仿宋"/>
                                <w:sz w:val="24"/>
                                <w:szCs w:val="24"/>
                              </w:rPr>
                              <w:t>法定代表人身份证复印件正面</w:t>
                            </w:r>
                          </w:p>
                          <w:p w14:paraId="1DEB5A44"/>
                        </w:txbxContent>
                      </wps:txbx>
                      <wps:bodyPr upright="1"/>
                    </wps:wsp>
                  </a:graphicData>
                </a:graphic>
              </wp:anchor>
            </w:drawing>
          </mc:Choice>
          <mc:Fallback>
            <w:pict>
              <v:roundrect id="自选图形 91" o:spid="_x0000_s1026" o:spt="2" style="position:absolute;left:0pt;margin-left:26.5pt;margin-top:1.35pt;height:110.5pt;width:186.75pt;mso-wrap-distance-left:9pt;mso-wrap-distance-right:9pt;z-index:-251651072;mso-width-relative:page;mso-height-relative:page;" fillcolor="#FFFFFF" filled="t" stroked="t" coordsize="21600,21600" wrapcoords="20682 -2 909 0 0 1611 0 3600 0 18000 0 19988 909 21600 20682 21602 917 21602 20690 21600 21599 19988 21599 18000 21599 3600 21599 1611 20690 0 917 -2 20682 -2" arcsize="0.166666666666667" o:gfxdata="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R2rcKNUA&#10;AAAIAQAADwAAAAAAAAABACAAAAAiAAAAZHJzL2Rvd25yZXYueG1sUEsBAhQAFAAAAAgAh07iQM0g&#10;vGgiAgAAWAQAAA4AAAAAAAAAAQAgAAAAJAEAAGRycy9lMm9Eb2MueG1sUEsFBgAAAAAGAAYAWQEA&#10;ALgFAAAAAA==&#10;">
                <v:fill on="t" focussize="0,0"/>
                <v:stroke color="#000000" joinstyle="round"/>
                <v:imagedata o:title=""/>
                <o:lock v:ext="edit" aspectratio="f"/>
                <v:textbox>
                  <w:txbxContent>
                    <w:p w14:paraId="65B649EC">
                      <w:pPr>
                        <w:jc w:val="center"/>
                        <w:rPr>
                          <w:rFonts w:hint="eastAsia" w:ascii="仿宋" w:hAnsi="仿宋" w:eastAsia="仿宋" w:cs="仿宋"/>
                          <w:sz w:val="24"/>
                          <w:szCs w:val="24"/>
                        </w:rPr>
                      </w:pPr>
                    </w:p>
                    <w:p w14:paraId="24FA9801">
                      <w:pPr>
                        <w:jc w:val="center"/>
                        <w:rPr>
                          <w:rFonts w:hint="eastAsia" w:ascii="仿宋" w:hAnsi="仿宋" w:eastAsia="仿宋" w:cs="仿宋"/>
                          <w:sz w:val="24"/>
                          <w:szCs w:val="24"/>
                        </w:rPr>
                      </w:pPr>
                    </w:p>
                    <w:p w14:paraId="2ADA4F42">
                      <w:pPr>
                        <w:jc w:val="center"/>
                        <w:rPr>
                          <w:rFonts w:hint="eastAsia" w:ascii="仿宋" w:hAnsi="仿宋" w:eastAsia="仿宋" w:cs="仿宋"/>
                          <w:sz w:val="24"/>
                          <w:szCs w:val="24"/>
                        </w:rPr>
                      </w:pPr>
                      <w:r>
                        <w:rPr>
                          <w:rFonts w:hint="eastAsia" w:ascii="仿宋" w:hAnsi="仿宋" w:eastAsia="仿宋" w:cs="仿宋"/>
                          <w:sz w:val="24"/>
                          <w:szCs w:val="24"/>
                        </w:rPr>
                        <w:t>法定代表人身份证复印件正面</w:t>
                      </w:r>
                    </w:p>
                    <w:p w14:paraId="1DEB5A44"/>
                  </w:txbxContent>
                </v:textbox>
                <w10:wrap type="tight"/>
              </v:roundrect>
            </w:pict>
          </mc:Fallback>
        </mc:AlternateContent>
      </w:r>
    </w:p>
    <w:p w14:paraId="7F3BD5D3">
      <w:pPr>
        <w:pStyle w:val="8"/>
        <w:numPr>
          <w:ilvl w:val="0"/>
          <w:numId w:val="0"/>
        </w:numPr>
        <w:kinsoku w:val="0"/>
        <w:overflowPunct w:val="0"/>
        <w:spacing w:line="200" w:lineRule="atLeast"/>
        <w:rPr>
          <w:rFonts w:ascii="仿宋" w:hAnsi="仿宋" w:eastAsia="仿宋" w:cs="仿宋"/>
          <w:color w:val="auto"/>
          <w:sz w:val="20"/>
          <w:szCs w:val="20"/>
          <w:highlight w:val="none"/>
        </w:rPr>
      </w:pPr>
    </w:p>
    <w:p w14:paraId="6C81E297">
      <w:pPr>
        <w:wordWrap w:val="0"/>
        <w:spacing w:line="420" w:lineRule="exact"/>
        <w:ind w:firstLine="486" w:firstLineChars="200"/>
        <w:jc w:val="right"/>
        <w:rPr>
          <w:rFonts w:ascii="仿宋" w:hAnsi="仿宋" w:eastAsia="仿宋" w:cs="仿宋"/>
          <w:color w:val="auto"/>
          <w:highlight w:val="none"/>
        </w:rPr>
      </w:pPr>
    </w:p>
    <w:p w14:paraId="3DC140C1">
      <w:pPr>
        <w:pStyle w:val="8"/>
        <w:numPr>
          <w:ilvl w:val="0"/>
          <w:numId w:val="0"/>
        </w:numPr>
        <w:kinsoku w:val="0"/>
        <w:overflowPunct w:val="0"/>
        <w:spacing w:before="34" w:line="357" w:lineRule="auto"/>
        <w:ind w:right="126"/>
        <w:jc w:val="both"/>
        <w:rPr>
          <w:rFonts w:ascii="仿宋" w:hAnsi="仿宋" w:eastAsia="仿宋" w:cs="仿宋"/>
          <w:color w:val="auto"/>
          <w:highlight w:val="none"/>
          <w:lang w:eastAsia="zh-CN"/>
        </w:rPr>
      </w:pPr>
    </w:p>
    <w:p w14:paraId="3C7B35E8">
      <w:pPr>
        <w:pStyle w:val="8"/>
        <w:numPr>
          <w:ilvl w:val="0"/>
          <w:numId w:val="0"/>
        </w:numPr>
        <w:kinsoku w:val="0"/>
        <w:overflowPunct w:val="0"/>
        <w:spacing w:before="34" w:line="357" w:lineRule="auto"/>
        <w:ind w:right="126"/>
        <w:jc w:val="both"/>
        <w:rPr>
          <w:rFonts w:hint="eastAsia" w:ascii="仿宋" w:hAnsi="仿宋" w:eastAsia="仿宋" w:cs="仿宋"/>
          <w:color w:val="auto"/>
          <w:sz w:val="24"/>
          <w:highlight w:val="none"/>
          <w:lang w:eastAsia="zh-CN"/>
        </w:rPr>
      </w:pPr>
    </w:p>
    <w:p w14:paraId="456408A0">
      <w:pPr>
        <w:pStyle w:val="8"/>
        <w:numPr>
          <w:ilvl w:val="0"/>
          <w:numId w:val="0"/>
        </w:numPr>
        <w:kinsoku w:val="0"/>
        <w:overflowPunct w:val="0"/>
        <w:spacing w:before="34" w:line="357" w:lineRule="auto"/>
        <w:ind w:right="126"/>
        <w:jc w:val="both"/>
        <w:rPr>
          <w:rFonts w:hint="eastAsia" w:ascii="仿宋" w:hAnsi="仿宋" w:eastAsia="仿宋" w:cs="仿宋"/>
          <w:color w:val="auto"/>
          <w:sz w:val="24"/>
          <w:highlight w:val="none"/>
          <w:lang w:eastAsia="zh-CN"/>
        </w:rPr>
      </w:pPr>
    </w:p>
    <w:p w14:paraId="0C93951D">
      <w:pPr>
        <w:pStyle w:val="8"/>
        <w:numPr>
          <w:ilvl w:val="0"/>
          <w:numId w:val="0"/>
        </w:numPr>
        <w:kinsoku w:val="0"/>
        <w:overflowPunct w:val="0"/>
        <w:spacing w:before="34" w:line="357" w:lineRule="auto"/>
        <w:ind w:right="126"/>
        <w:jc w:val="both"/>
        <w:rPr>
          <w:rFonts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投标单位名称：                       （公章）</w:t>
      </w:r>
    </w:p>
    <w:p w14:paraId="312DC81A">
      <w:pPr>
        <w:pStyle w:val="8"/>
        <w:numPr>
          <w:ilvl w:val="0"/>
          <w:numId w:val="0"/>
        </w:numPr>
        <w:kinsoku w:val="0"/>
        <w:overflowPunct w:val="0"/>
        <w:spacing w:before="34" w:line="357" w:lineRule="auto"/>
        <w:ind w:right="126"/>
        <w:jc w:val="both"/>
        <w:rPr>
          <w:rFonts w:ascii="仿宋" w:hAnsi="仿宋" w:eastAsia="仿宋" w:cs="仿宋"/>
          <w:color w:val="auto"/>
          <w:highlight w:val="none"/>
          <w:lang w:eastAsia="zh-CN"/>
        </w:rPr>
      </w:pPr>
      <w:r>
        <w:rPr>
          <w:rFonts w:hint="eastAsia" w:ascii="仿宋" w:hAnsi="仿宋" w:eastAsia="仿宋" w:cs="仿宋"/>
          <w:color w:val="auto"/>
          <w:sz w:val="24"/>
          <w:highlight w:val="none"/>
          <w:lang w:eastAsia="zh-CN"/>
        </w:rPr>
        <w:t xml:space="preserve">法定代表人（签字或盖章）：           </w:t>
      </w:r>
      <w:r>
        <w:rPr>
          <w:rFonts w:hint="eastAsia" w:ascii="仿宋" w:hAnsi="仿宋" w:eastAsia="仿宋" w:cs="仿宋"/>
          <w:color w:val="auto"/>
          <w:highlight w:val="none"/>
          <w:lang w:eastAsia="zh-CN"/>
        </w:rPr>
        <w:t xml:space="preserve">      </w:t>
      </w:r>
    </w:p>
    <w:p w14:paraId="5D605B8A">
      <w:pPr>
        <w:pStyle w:val="8"/>
        <w:numPr>
          <w:ilvl w:val="0"/>
          <w:numId w:val="0"/>
        </w:numPr>
        <w:kinsoku w:val="0"/>
        <w:overflowPunct w:val="0"/>
        <w:spacing w:before="34" w:line="357" w:lineRule="auto"/>
        <w:ind w:right="126"/>
        <w:jc w:val="both"/>
        <w:rPr>
          <w:rFonts w:ascii="仿宋" w:hAnsi="仿宋" w:eastAsia="仿宋" w:cs="仿宋"/>
          <w:color w:val="auto"/>
          <w:highlight w:val="none"/>
          <w:lang w:eastAsia="zh-CN"/>
        </w:rPr>
      </w:pPr>
    </w:p>
    <w:p w14:paraId="567C2721">
      <w:pPr>
        <w:pStyle w:val="8"/>
        <w:numPr>
          <w:ilvl w:val="0"/>
          <w:numId w:val="0"/>
        </w:numPr>
        <w:kinsoku w:val="0"/>
        <w:overflowPunct w:val="0"/>
        <w:spacing w:before="34" w:line="357" w:lineRule="auto"/>
        <w:ind w:right="126"/>
        <w:jc w:val="both"/>
        <w:rPr>
          <w:rFonts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 xml:space="preserve">    日  期：   年  月  日</w:t>
      </w:r>
    </w:p>
    <w:p w14:paraId="4274A303">
      <w:pPr>
        <w:pStyle w:val="8"/>
        <w:numPr>
          <w:ilvl w:val="0"/>
          <w:numId w:val="0"/>
        </w:numPr>
        <w:kinsoku w:val="0"/>
        <w:overflowPunct w:val="0"/>
        <w:spacing w:before="34" w:line="357" w:lineRule="auto"/>
        <w:ind w:left="480" w:right="126"/>
        <w:jc w:val="center"/>
        <w:rPr>
          <w:rFonts w:hint="eastAsia" w:ascii="仿宋" w:hAnsi="仿宋" w:eastAsia="仿宋" w:cs="仿宋"/>
          <w:b/>
          <w:bCs/>
          <w:color w:val="auto"/>
          <w:sz w:val="36"/>
          <w:szCs w:val="36"/>
          <w:highlight w:val="none"/>
          <w:lang w:eastAsia="zh-CN"/>
        </w:rPr>
      </w:pPr>
      <w:r>
        <w:rPr>
          <w:rFonts w:hint="eastAsia" w:ascii="仿宋" w:hAnsi="仿宋" w:eastAsia="仿宋" w:cs="仿宋"/>
          <w:color w:val="auto"/>
          <w:highlight w:val="none"/>
          <w:lang w:eastAsia="zh-CN"/>
        </w:rPr>
        <w:br w:type="page"/>
      </w:r>
      <w:r>
        <w:rPr>
          <w:rFonts w:hint="eastAsia" w:ascii="仿宋" w:hAnsi="仿宋" w:eastAsia="仿宋" w:cs="仿宋"/>
          <w:b/>
          <w:bCs/>
          <w:color w:val="auto"/>
          <w:sz w:val="36"/>
          <w:szCs w:val="36"/>
          <w:highlight w:val="none"/>
          <w:lang w:eastAsia="zh-CN"/>
        </w:rPr>
        <w:t>3、法定代表人授权书</w:t>
      </w:r>
    </w:p>
    <w:p w14:paraId="086EC336">
      <w:pPr>
        <w:spacing w:line="42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致</w:t>
      </w:r>
      <w:r>
        <w:rPr>
          <w:rFonts w:hint="eastAsia" w:ascii="仿宋" w:hAnsi="仿宋" w:eastAsia="仿宋" w:cs="仿宋"/>
          <w:color w:val="auto"/>
          <w:highlight w:val="none"/>
          <w:u w:val="single"/>
          <w:lang w:eastAsia="zh-CN"/>
        </w:rPr>
        <w:t>：</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lang w:eastAsia="zh-CN"/>
        </w:rPr>
        <w:t xml:space="preserve">采购人名称） </w:t>
      </w:r>
    </w:p>
    <w:p w14:paraId="241E2E4A">
      <w:pPr>
        <w:spacing w:line="42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本授权书声明：注册于</w:t>
      </w:r>
      <w:r>
        <w:rPr>
          <w:rFonts w:hint="eastAsia" w:ascii="仿宋" w:hAnsi="仿宋" w:eastAsia="仿宋" w:cs="仿宋"/>
          <w:color w:val="auto"/>
          <w:highlight w:val="none"/>
          <w:u w:val="single"/>
          <w:lang w:eastAsia="zh-CN"/>
        </w:rPr>
        <w:t>（供应商地址）</w:t>
      </w:r>
      <w:r>
        <w:rPr>
          <w:rFonts w:hint="eastAsia" w:ascii="仿宋" w:hAnsi="仿宋" w:eastAsia="仿宋" w:cs="仿宋"/>
          <w:color w:val="auto"/>
          <w:highlight w:val="none"/>
          <w:lang w:eastAsia="zh-CN"/>
        </w:rPr>
        <w:t>的</w:t>
      </w:r>
      <w:r>
        <w:rPr>
          <w:rFonts w:hint="eastAsia" w:ascii="仿宋" w:hAnsi="仿宋" w:eastAsia="仿宋" w:cs="仿宋"/>
          <w:color w:val="auto"/>
          <w:highlight w:val="none"/>
          <w:u w:val="single"/>
          <w:lang w:eastAsia="zh-CN"/>
        </w:rPr>
        <w:t>（供应商名称）</w:t>
      </w:r>
      <w:r>
        <w:rPr>
          <w:rFonts w:hint="eastAsia" w:ascii="仿宋" w:hAnsi="仿宋" w:eastAsia="仿宋" w:cs="仿宋"/>
          <w:color w:val="auto"/>
          <w:highlight w:val="none"/>
          <w:lang w:eastAsia="zh-CN"/>
        </w:rPr>
        <w:t>法定代表人（负责人）</w:t>
      </w:r>
      <w:r>
        <w:rPr>
          <w:rFonts w:hint="eastAsia" w:ascii="仿宋" w:hAnsi="仿宋" w:eastAsia="仿宋" w:cs="仿宋"/>
          <w:color w:val="auto"/>
          <w:highlight w:val="none"/>
          <w:u w:val="single"/>
          <w:lang w:eastAsia="zh-CN"/>
        </w:rPr>
        <w:t>姓名、职务或职称）</w:t>
      </w:r>
      <w:r>
        <w:rPr>
          <w:rFonts w:hint="eastAsia" w:ascii="仿宋" w:hAnsi="仿宋" w:eastAsia="仿宋" w:cs="仿宋"/>
          <w:color w:val="auto"/>
          <w:highlight w:val="none"/>
          <w:lang w:eastAsia="zh-CN"/>
        </w:rPr>
        <w:t>代表本公司授权</w:t>
      </w:r>
      <w:r>
        <w:rPr>
          <w:rFonts w:hint="eastAsia" w:ascii="仿宋" w:hAnsi="仿宋" w:eastAsia="仿宋" w:cs="仿宋"/>
          <w:color w:val="auto"/>
          <w:highlight w:val="none"/>
          <w:u w:val="single"/>
          <w:lang w:eastAsia="zh-CN"/>
        </w:rPr>
        <w:t>（姓名）</w:t>
      </w:r>
      <w:r>
        <w:rPr>
          <w:rFonts w:hint="eastAsia" w:ascii="仿宋" w:hAnsi="仿宋" w:eastAsia="仿宋" w:cs="仿宋"/>
          <w:color w:val="auto"/>
          <w:highlight w:val="none"/>
          <w:lang w:eastAsia="zh-CN"/>
        </w:rPr>
        <w:t>为本单位的合法代理人，参与贵方组织的</w:t>
      </w:r>
      <w:r>
        <w:rPr>
          <w:rFonts w:hint="eastAsia" w:ascii="仿宋" w:hAnsi="仿宋" w:eastAsia="仿宋" w:cs="仿宋"/>
          <w:color w:val="auto"/>
          <w:highlight w:val="none"/>
          <w:u w:val="single"/>
          <w:lang w:eastAsia="zh-CN"/>
        </w:rPr>
        <w:t>（项目名称及项目编号）</w:t>
      </w:r>
      <w:r>
        <w:rPr>
          <w:rFonts w:hint="eastAsia" w:ascii="仿宋" w:hAnsi="仿宋" w:eastAsia="仿宋" w:cs="仿宋"/>
          <w:color w:val="auto"/>
          <w:highlight w:val="none"/>
          <w:lang w:eastAsia="zh-CN"/>
        </w:rPr>
        <w:t xml:space="preserve"> 的投标、谈判、签约等具体工作，并签署全部有关文件、协议及合同。</w:t>
      </w:r>
    </w:p>
    <w:p w14:paraId="5F567B45">
      <w:pPr>
        <w:adjustRightInd w:val="0"/>
        <w:snapToGrid w:val="0"/>
        <w:spacing w:line="42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我单位对被授权人的上述经济活动负全部责任。在撤销授权的书面通知前，本授权书一直有效。被授权人在授权书有效期内签署的所有文件不因授权的撤</w:t>
      </w:r>
      <w:r>
        <w:rPr>
          <w:rFonts w:hint="eastAsia" w:ascii="仿宋" w:hAnsi="仿宋" w:eastAsia="仿宋" w:cs="仿宋"/>
          <w:color w:val="auto"/>
          <w:highlight w:val="none"/>
          <w:lang w:val="en-US" w:eastAsia="zh-CN"/>
        </w:rPr>
        <w:t>销</w:t>
      </w:r>
      <w:r>
        <w:rPr>
          <w:rFonts w:hint="eastAsia" w:ascii="仿宋" w:hAnsi="仿宋" w:eastAsia="仿宋" w:cs="仿宋"/>
          <w:color w:val="auto"/>
          <w:highlight w:val="none"/>
          <w:lang w:eastAsia="zh-CN"/>
        </w:rPr>
        <w:t>而失效。</w:t>
      </w:r>
    </w:p>
    <w:p w14:paraId="518EE6AB">
      <w:pPr>
        <w:pStyle w:val="8"/>
        <w:tabs>
          <w:tab w:val="left" w:pos="780"/>
        </w:tabs>
        <w:kinsoku w:val="0"/>
        <w:overflowPunct w:val="0"/>
        <w:adjustRightInd w:val="0"/>
        <w:snapToGrid w:val="0"/>
        <w:spacing w:before="12"/>
        <w:rPr>
          <w:rFonts w:ascii="仿宋" w:hAnsi="仿宋" w:eastAsia="仿宋" w:cs="仿宋"/>
          <w:color w:val="auto"/>
          <w:sz w:val="4"/>
          <w:szCs w:val="4"/>
          <w:highlight w:val="none"/>
          <w:lang w:eastAsia="zh-CN"/>
        </w:rPr>
      </w:pPr>
    </w:p>
    <w:p w14:paraId="75C68A7F">
      <w:pPr>
        <w:pStyle w:val="8"/>
        <w:numPr>
          <w:ilvl w:val="0"/>
          <w:numId w:val="0"/>
        </w:numPr>
        <w:kinsoku w:val="0"/>
        <w:overflowPunct w:val="0"/>
        <w:adjustRightInd w:val="0"/>
        <w:snapToGrid w:val="0"/>
        <w:spacing w:line="200" w:lineRule="atLeast"/>
        <w:ind w:right="1931" w:rightChars="795"/>
        <w:jc w:val="both"/>
        <w:rPr>
          <w:rFonts w:ascii="仿宋" w:hAnsi="仿宋" w:eastAsia="仿宋" w:cs="仿宋"/>
          <w:color w:val="auto"/>
          <w:sz w:val="18"/>
          <w:szCs w:val="20"/>
          <w:highlight w:val="none"/>
        </w:rPr>
      </w:pPr>
      <w:r>
        <w:rPr>
          <w:color w:val="auto"/>
          <w:sz w:val="18"/>
          <w:highlight w:val="none"/>
        </w:rPr>
        <mc:AlternateContent>
          <mc:Choice Requires="wps">
            <w:drawing>
              <wp:anchor distT="0" distB="0" distL="114300" distR="114300" simplePos="0" relativeHeight="251664384" behindDoc="0" locked="0" layoutInCell="1" allowOverlap="1">
                <wp:simplePos x="0" y="0"/>
                <wp:positionH relativeFrom="column">
                  <wp:posOffset>252730</wp:posOffset>
                </wp:positionH>
                <wp:positionV relativeFrom="paragraph">
                  <wp:posOffset>1524635</wp:posOffset>
                </wp:positionV>
                <wp:extent cx="2348230" cy="1367155"/>
                <wp:effectExtent l="4445" t="4445" r="9525" b="19050"/>
                <wp:wrapSquare wrapText="bothSides"/>
                <wp:docPr id="4" name="自选图形 62"/>
                <wp:cNvGraphicFramePr/>
                <a:graphic xmlns:a="http://schemas.openxmlformats.org/drawingml/2006/main">
                  <a:graphicData uri="http://schemas.microsoft.com/office/word/2010/wordprocessingShape">
                    <wps:wsp>
                      <wps:cNvSpPr/>
                      <wps:spPr>
                        <a:xfrm>
                          <a:off x="0" y="0"/>
                          <a:ext cx="2348230" cy="136715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63A45769">
                            <w:pPr>
                              <w:jc w:val="center"/>
                              <w:rPr>
                                <w:rFonts w:hint="eastAsia" w:ascii="仿宋" w:hAnsi="仿宋" w:eastAsia="仿宋" w:cs="仿宋"/>
                                <w:sz w:val="24"/>
                                <w:szCs w:val="24"/>
                              </w:rPr>
                            </w:pPr>
                          </w:p>
                          <w:p w14:paraId="08D0F72E">
                            <w:pPr>
                              <w:jc w:val="center"/>
                              <w:rPr>
                                <w:rFonts w:hint="eastAsia" w:ascii="仿宋" w:hAnsi="仿宋" w:eastAsia="仿宋" w:cs="仿宋"/>
                                <w:sz w:val="24"/>
                                <w:szCs w:val="24"/>
                              </w:rPr>
                            </w:pPr>
                          </w:p>
                          <w:p w14:paraId="12622E41">
                            <w:pPr>
                              <w:jc w:val="center"/>
                              <w:rPr>
                                <w:rFonts w:hint="eastAsia" w:ascii="仿宋" w:hAnsi="仿宋" w:eastAsia="仿宋" w:cs="仿宋"/>
                                <w:sz w:val="24"/>
                                <w:szCs w:val="24"/>
                              </w:rPr>
                            </w:pPr>
                            <w:r>
                              <w:rPr>
                                <w:rFonts w:hint="eastAsia" w:ascii="仿宋" w:hAnsi="仿宋" w:eastAsia="仿宋" w:cs="仿宋"/>
                                <w:sz w:val="24"/>
                                <w:szCs w:val="24"/>
                              </w:rPr>
                              <w:t>法定代表人身份证复印件正面</w:t>
                            </w:r>
                          </w:p>
                          <w:p w14:paraId="3D08836E"/>
                        </w:txbxContent>
                      </wps:txbx>
                      <wps:bodyPr upright="1"/>
                    </wps:wsp>
                  </a:graphicData>
                </a:graphic>
              </wp:anchor>
            </w:drawing>
          </mc:Choice>
          <mc:Fallback>
            <w:pict>
              <v:roundrect id="自选图形 62" o:spid="_x0000_s1026" o:spt="2" style="position:absolute;left:0pt;margin-left:19.9pt;margin-top:120.05pt;height:107.65pt;width:184.9pt;mso-wrap-distance-bottom:0pt;mso-wrap-distance-left:9pt;mso-wrap-distance-right:9pt;mso-wrap-distance-top:0pt;z-index:251664384;mso-width-relative:page;mso-height-relative:page;" fillcolor="#FFFFFF" filled="t" stroked="t" coordsize="21600,21600" arcsize="0.166666666666667" o:gfxdata="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qJ&#10;84rXAAAACgEAAA8AAAAAAAAAAQAgAAAAIgAAAGRycy9kb3ducmV2LnhtbFBLAQIUABQAAAAIAIdO&#10;4kByItc7JAIAAFgEAAAOAAAAAAAAAAEAIAAAACYBAABkcnMvZTJvRG9jLnhtbFBLBQYAAAAABgAG&#10;AFkBAAC8BQAAAAA=&#10;">
                <v:fill on="t" focussize="0,0"/>
                <v:stroke color="#000000" joinstyle="round"/>
                <v:imagedata o:title=""/>
                <o:lock v:ext="edit" aspectratio="f"/>
                <v:textbox>
                  <w:txbxContent>
                    <w:p w14:paraId="63A45769">
                      <w:pPr>
                        <w:jc w:val="center"/>
                        <w:rPr>
                          <w:rFonts w:hint="eastAsia" w:ascii="仿宋" w:hAnsi="仿宋" w:eastAsia="仿宋" w:cs="仿宋"/>
                          <w:sz w:val="24"/>
                          <w:szCs w:val="24"/>
                        </w:rPr>
                      </w:pPr>
                    </w:p>
                    <w:p w14:paraId="08D0F72E">
                      <w:pPr>
                        <w:jc w:val="center"/>
                        <w:rPr>
                          <w:rFonts w:hint="eastAsia" w:ascii="仿宋" w:hAnsi="仿宋" w:eastAsia="仿宋" w:cs="仿宋"/>
                          <w:sz w:val="24"/>
                          <w:szCs w:val="24"/>
                        </w:rPr>
                      </w:pPr>
                    </w:p>
                    <w:p w14:paraId="12622E41">
                      <w:pPr>
                        <w:jc w:val="center"/>
                        <w:rPr>
                          <w:rFonts w:hint="eastAsia" w:ascii="仿宋" w:hAnsi="仿宋" w:eastAsia="仿宋" w:cs="仿宋"/>
                          <w:sz w:val="24"/>
                          <w:szCs w:val="24"/>
                        </w:rPr>
                      </w:pPr>
                      <w:r>
                        <w:rPr>
                          <w:rFonts w:hint="eastAsia" w:ascii="仿宋" w:hAnsi="仿宋" w:eastAsia="仿宋" w:cs="仿宋"/>
                          <w:sz w:val="24"/>
                          <w:szCs w:val="24"/>
                        </w:rPr>
                        <w:t>法定代表人身份证复印件正面</w:t>
                      </w:r>
                    </w:p>
                    <w:p w14:paraId="3D08836E"/>
                  </w:txbxContent>
                </v:textbox>
                <w10:wrap type="square"/>
              </v:roundrect>
            </w:pict>
          </mc:Fallback>
        </mc:AlternateContent>
      </w:r>
      <w:r>
        <w:rPr>
          <w:rFonts w:hint="default"/>
          <w:color w:val="auto"/>
          <w:sz w:val="18"/>
          <w:highlight w:val="none"/>
          <w:lang w:val="en-US"/>
        </w:rPr>
        <mc:AlternateContent>
          <mc:Choice Requires="wps">
            <w:drawing>
              <wp:anchor distT="0" distB="0" distL="114300" distR="114300" simplePos="0" relativeHeight="251661312" behindDoc="1" locked="0" layoutInCell="1" allowOverlap="1">
                <wp:simplePos x="0" y="0"/>
                <wp:positionH relativeFrom="column">
                  <wp:posOffset>214630</wp:posOffset>
                </wp:positionH>
                <wp:positionV relativeFrom="paragraph">
                  <wp:posOffset>62865</wp:posOffset>
                </wp:positionV>
                <wp:extent cx="2378075" cy="1367155"/>
                <wp:effectExtent l="4445" t="4445" r="17780" b="19050"/>
                <wp:wrapTight wrapText="bothSides">
                  <wp:wrapPolygon>
                    <wp:start x="20605" y="-2"/>
                    <wp:lineTo x="986" y="0"/>
                    <wp:lineTo x="0" y="1611"/>
                    <wp:lineTo x="0" y="3600"/>
                    <wp:lineTo x="0" y="18000"/>
                    <wp:lineTo x="0" y="19988"/>
                    <wp:lineTo x="986" y="21600"/>
                    <wp:lineTo x="20605" y="21602"/>
                    <wp:lineTo x="994" y="21602"/>
                    <wp:lineTo x="20613" y="21600"/>
                    <wp:lineTo x="21599" y="19988"/>
                    <wp:lineTo x="21599" y="18000"/>
                    <wp:lineTo x="21599" y="3600"/>
                    <wp:lineTo x="21599" y="1611"/>
                    <wp:lineTo x="20613" y="0"/>
                    <wp:lineTo x="994" y="-2"/>
                    <wp:lineTo x="20605" y="-2"/>
                  </wp:wrapPolygon>
                </wp:wrapTight>
                <wp:docPr id="2" name="自选图形 60"/>
                <wp:cNvGraphicFramePr/>
                <a:graphic xmlns:a="http://schemas.openxmlformats.org/drawingml/2006/main">
                  <a:graphicData uri="http://schemas.microsoft.com/office/word/2010/wordprocessingShape">
                    <wps:wsp>
                      <wps:cNvSpPr/>
                      <wps:spPr>
                        <a:xfrm>
                          <a:off x="0" y="0"/>
                          <a:ext cx="2378075" cy="136715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2F29C0F4">
                            <w:pPr>
                              <w:jc w:val="center"/>
                              <w:rPr>
                                <w:rFonts w:hint="eastAsia" w:ascii="仿宋" w:hAnsi="仿宋" w:eastAsia="仿宋" w:cs="仿宋"/>
                                <w:sz w:val="24"/>
                                <w:szCs w:val="24"/>
                              </w:rPr>
                            </w:pPr>
                          </w:p>
                          <w:p w14:paraId="77F05906">
                            <w:pPr>
                              <w:jc w:val="center"/>
                              <w:rPr>
                                <w:rFonts w:hint="eastAsia" w:ascii="仿宋" w:hAnsi="仿宋" w:eastAsia="仿宋" w:cs="仿宋"/>
                                <w:sz w:val="24"/>
                                <w:szCs w:val="24"/>
                              </w:rPr>
                            </w:pPr>
                          </w:p>
                          <w:p w14:paraId="18AD3492">
                            <w:pPr>
                              <w:jc w:val="center"/>
                              <w:rPr>
                                <w:rFonts w:hint="eastAsia" w:ascii="仿宋" w:hAnsi="仿宋" w:eastAsia="仿宋" w:cs="仿宋"/>
                                <w:sz w:val="24"/>
                                <w:szCs w:val="24"/>
                                <w:lang w:eastAsia="zh-CN"/>
                              </w:rPr>
                            </w:pPr>
                            <w:r>
                              <w:rPr>
                                <w:rFonts w:hint="eastAsia" w:ascii="仿宋" w:hAnsi="仿宋" w:eastAsia="仿宋" w:cs="仿宋"/>
                                <w:sz w:val="24"/>
                                <w:szCs w:val="24"/>
                              </w:rPr>
                              <w:t>授权委托人身份证复印件</w:t>
                            </w:r>
                            <w:r>
                              <w:rPr>
                                <w:rFonts w:hint="eastAsia" w:ascii="仿宋" w:hAnsi="仿宋" w:eastAsia="仿宋" w:cs="仿宋"/>
                                <w:sz w:val="24"/>
                                <w:szCs w:val="24"/>
                                <w:lang w:eastAsia="zh-CN"/>
                              </w:rPr>
                              <w:t>正面</w:t>
                            </w:r>
                          </w:p>
                          <w:p w14:paraId="72BC3043">
                            <w:pPr>
                              <w:rPr>
                                <w:rFonts w:hint="eastAsia"/>
                                <w:lang w:val="en-US" w:eastAsia="zh-CN"/>
                              </w:rPr>
                            </w:pPr>
                          </w:p>
                        </w:txbxContent>
                      </wps:txbx>
                      <wps:bodyPr upright="1"/>
                    </wps:wsp>
                  </a:graphicData>
                </a:graphic>
              </wp:anchor>
            </w:drawing>
          </mc:Choice>
          <mc:Fallback>
            <w:pict>
              <v:roundrect id="自选图形 60" o:spid="_x0000_s1026" o:spt="2" style="position:absolute;left:0pt;margin-left:16.9pt;margin-top:4.95pt;height:107.65pt;width:187.25pt;mso-wrap-distance-left:9pt;mso-wrap-distance-right:9pt;z-index:-251655168;mso-width-relative:page;mso-height-relative:page;" fillcolor="#FFFFFF" filled="t" stroked="t" coordsize="21600,21600" wrapcoords="20605 -2 986 0 0 1611 0 3600 0 18000 0 19988 986 21600 20605 21602 994 21602 20613 21600 21599 19988 21599 18000 21599 3600 21599 1611 20613 0 994 -2 20605 -2" arcsize="0.166666666666667" o:gfxdata="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HgUrBPV&#10;AAAACAEAAA8AAAAAAAAAAQAgAAAAIgAAAGRycy9kb3ducmV2LnhtbFBLAQIUABQAAAAIAIdO4kBA&#10;QakHIwIAAFgEAAAOAAAAAAAAAAEAIAAAACQBAABkcnMvZTJvRG9jLnhtbFBLBQYAAAAABgAGAFkB&#10;AAC5BQAAAAA=&#10;">
                <v:fill on="t" focussize="0,0"/>
                <v:stroke color="#000000" joinstyle="round"/>
                <v:imagedata o:title=""/>
                <o:lock v:ext="edit" aspectratio="f"/>
                <v:textbox>
                  <w:txbxContent>
                    <w:p w14:paraId="2F29C0F4">
                      <w:pPr>
                        <w:jc w:val="center"/>
                        <w:rPr>
                          <w:rFonts w:hint="eastAsia" w:ascii="仿宋" w:hAnsi="仿宋" w:eastAsia="仿宋" w:cs="仿宋"/>
                          <w:sz w:val="24"/>
                          <w:szCs w:val="24"/>
                        </w:rPr>
                      </w:pPr>
                    </w:p>
                    <w:p w14:paraId="77F05906">
                      <w:pPr>
                        <w:jc w:val="center"/>
                        <w:rPr>
                          <w:rFonts w:hint="eastAsia" w:ascii="仿宋" w:hAnsi="仿宋" w:eastAsia="仿宋" w:cs="仿宋"/>
                          <w:sz w:val="24"/>
                          <w:szCs w:val="24"/>
                        </w:rPr>
                      </w:pPr>
                    </w:p>
                    <w:p w14:paraId="18AD3492">
                      <w:pPr>
                        <w:jc w:val="center"/>
                        <w:rPr>
                          <w:rFonts w:hint="eastAsia" w:ascii="仿宋" w:hAnsi="仿宋" w:eastAsia="仿宋" w:cs="仿宋"/>
                          <w:sz w:val="24"/>
                          <w:szCs w:val="24"/>
                          <w:lang w:eastAsia="zh-CN"/>
                        </w:rPr>
                      </w:pPr>
                      <w:r>
                        <w:rPr>
                          <w:rFonts w:hint="eastAsia" w:ascii="仿宋" w:hAnsi="仿宋" w:eastAsia="仿宋" w:cs="仿宋"/>
                          <w:sz w:val="24"/>
                          <w:szCs w:val="24"/>
                        </w:rPr>
                        <w:t>授权委托人身份证复印件</w:t>
                      </w:r>
                      <w:r>
                        <w:rPr>
                          <w:rFonts w:hint="eastAsia" w:ascii="仿宋" w:hAnsi="仿宋" w:eastAsia="仿宋" w:cs="仿宋"/>
                          <w:sz w:val="24"/>
                          <w:szCs w:val="24"/>
                          <w:lang w:eastAsia="zh-CN"/>
                        </w:rPr>
                        <w:t>正面</w:t>
                      </w:r>
                    </w:p>
                    <w:p w14:paraId="72BC3043">
                      <w:pPr>
                        <w:rPr>
                          <w:rFonts w:hint="eastAsia"/>
                          <w:lang w:val="en-US" w:eastAsia="zh-CN"/>
                        </w:rPr>
                      </w:pPr>
                    </w:p>
                  </w:txbxContent>
                </v:textbox>
                <w10:wrap type="tight"/>
              </v:roundrect>
            </w:pict>
          </mc:Fallback>
        </mc:AlternateContent>
      </w:r>
      <w:r>
        <w:rPr>
          <w:color w:val="auto"/>
          <w:sz w:val="18"/>
          <w:highlight w:val="none"/>
        </w:rPr>
        <mc:AlternateContent>
          <mc:Choice Requires="wps">
            <w:drawing>
              <wp:anchor distT="0" distB="0" distL="114300" distR="114300" simplePos="0" relativeHeight="251665408" behindDoc="0" locked="0" layoutInCell="1" allowOverlap="1">
                <wp:simplePos x="0" y="0"/>
                <wp:positionH relativeFrom="column">
                  <wp:posOffset>2920365</wp:posOffset>
                </wp:positionH>
                <wp:positionV relativeFrom="paragraph">
                  <wp:posOffset>1524635</wp:posOffset>
                </wp:positionV>
                <wp:extent cx="2341245" cy="1367155"/>
                <wp:effectExtent l="4445" t="4445" r="16510" b="19050"/>
                <wp:wrapSquare wrapText="bothSides"/>
                <wp:docPr id="6" name="自选图形 63"/>
                <wp:cNvGraphicFramePr/>
                <a:graphic xmlns:a="http://schemas.openxmlformats.org/drawingml/2006/main">
                  <a:graphicData uri="http://schemas.microsoft.com/office/word/2010/wordprocessingShape">
                    <wps:wsp>
                      <wps:cNvSpPr/>
                      <wps:spPr>
                        <a:xfrm>
                          <a:off x="0" y="0"/>
                          <a:ext cx="2341245" cy="136715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4451D626">
                            <w:pPr>
                              <w:jc w:val="center"/>
                              <w:rPr>
                                <w:rFonts w:hint="eastAsia" w:ascii="仿宋" w:hAnsi="仿宋" w:eastAsia="仿宋" w:cs="仿宋"/>
                                <w:sz w:val="24"/>
                                <w:szCs w:val="24"/>
                              </w:rPr>
                            </w:pPr>
                          </w:p>
                          <w:p w14:paraId="3551907E">
                            <w:pPr>
                              <w:jc w:val="center"/>
                              <w:rPr>
                                <w:rFonts w:hint="eastAsia" w:ascii="仿宋" w:hAnsi="仿宋" w:eastAsia="仿宋" w:cs="仿宋"/>
                                <w:sz w:val="24"/>
                                <w:szCs w:val="24"/>
                              </w:rPr>
                            </w:pPr>
                          </w:p>
                          <w:p w14:paraId="782F4A24">
                            <w:pPr>
                              <w:jc w:val="center"/>
                              <w:rPr>
                                <w:rFonts w:hint="eastAsia" w:ascii="仿宋" w:hAnsi="仿宋" w:eastAsia="仿宋" w:cs="仿宋"/>
                                <w:sz w:val="24"/>
                                <w:szCs w:val="24"/>
                              </w:rPr>
                            </w:pPr>
                            <w:r>
                              <w:rPr>
                                <w:rFonts w:hint="eastAsia" w:ascii="仿宋" w:hAnsi="仿宋" w:eastAsia="仿宋" w:cs="仿宋"/>
                                <w:sz w:val="24"/>
                                <w:szCs w:val="24"/>
                              </w:rPr>
                              <w:t>法定代表人身份证复印件正面</w:t>
                            </w:r>
                          </w:p>
                          <w:p w14:paraId="48EE0F03"/>
                        </w:txbxContent>
                      </wps:txbx>
                      <wps:bodyPr upright="1"/>
                    </wps:wsp>
                  </a:graphicData>
                </a:graphic>
              </wp:anchor>
            </w:drawing>
          </mc:Choice>
          <mc:Fallback>
            <w:pict>
              <v:roundrect id="自选图形 63" o:spid="_x0000_s1026" o:spt="2" style="position:absolute;left:0pt;margin-left:229.95pt;margin-top:120.05pt;height:107.65pt;width:184.35pt;mso-wrap-distance-bottom:0pt;mso-wrap-distance-left:9pt;mso-wrap-distance-right:9pt;mso-wrap-distance-top:0pt;z-index:251665408;mso-width-relative:page;mso-height-relative:page;" fillcolor="#FFFFFF" filled="t" stroked="t" coordsize="21600,21600" arcsize="0.166666666666667" o:gfxdata="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gxxbJ&#10;1gAAAAsBAAAPAAAAAAAAAAEAIAAAACIAAABkcnMvZG93bnJldi54bWxQSwECFAAUAAAACACHTuJA&#10;uewFBiMCAABYBAAADgAAAAAAAAABACAAAAAlAQAAZHJzL2Uyb0RvYy54bWxQSwUGAAAAAAYABgBZ&#10;AQAAugUAAAAA&#10;">
                <v:fill on="t" focussize="0,0"/>
                <v:stroke color="#000000" joinstyle="round"/>
                <v:imagedata o:title=""/>
                <o:lock v:ext="edit" aspectratio="f"/>
                <v:textbox>
                  <w:txbxContent>
                    <w:p w14:paraId="4451D626">
                      <w:pPr>
                        <w:jc w:val="center"/>
                        <w:rPr>
                          <w:rFonts w:hint="eastAsia" w:ascii="仿宋" w:hAnsi="仿宋" w:eastAsia="仿宋" w:cs="仿宋"/>
                          <w:sz w:val="24"/>
                          <w:szCs w:val="24"/>
                        </w:rPr>
                      </w:pPr>
                    </w:p>
                    <w:p w14:paraId="3551907E">
                      <w:pPr>
                        <w:jc w:val="center"/>
                        <w:rPr>
                          <w:rFonts w:hint="eastAsia" w:ascii="仿宋" w:hAnsi="仿宋" w:eastAsia="仿宋" w:cs="仿宋"/>
                          <w:sz w:val="24"/>
                          <w:szCs w:val="24"/>
                        </w:rPr>
                      </w:pPr>
                    </w:p>
                    <w:p w14:paraId="782F4A24">
                      <w:pPr>
                        <w:jc w:val="center"/>
                        <w:rPr>
                          <w:rFonts w:hint="eastAsia" w:ascii="仿宋" w:hAnsi="仿宋" w:eastAsia="仿宋" w:cs="仿宋"/>
                          <w:sz w:val="24"/>
                          <w:szCs w:val="24"/>
                        </w:rPr>
                      </w:pPr>
                      <w:r>
                        <w:rPr>
                          <w:rFonts w:hint="eastAsia" w:ascii="仿宋" w:hAnsi="仿宋" w:eastAsia="仿宋" w:cs="仿宋"/>
                          <w:sz w:val="24"/>
                          <w:szCs w:val="24"/>
                        </w:rPr>
                        <w:t>法定代表人身份证复印件正面</w:t>
                      </w:r>
                    </w:p>
                    <w:p w14:paraId="48EE0F03"/>
                  </w:txbxContent>
                </v:textbox>
                <w10:wrap type="square"/>
              </v:roundrect>
            </w:pict>
          </mc:Fallback>
        </mc:AlternateContent>
      </w:r>
      <w:r>
        <w:rPr>
          <w:color w:val="auto"/>
          <w:sz w:val="18"/>
          <w:highlight w:val="none"/>
        </w:rPr>
        <mc:AlternateContent>
          <mc:Choice Requires="wps">
            <w:drawing>
              <wp:anchor distT="0" distB="0" distL="114300" distR="114300" simplePos="0" relativeHeight="251663360" behindDoc="0" locked="0" layoutInCell="1" allowOverlap="1">
                <wp:simplePos x="0" y="0"/>
                <wp:positionH relativeFrom="column">
                  <wp:posOffset>2902585</wp:posOffset>
                </wp:positionH>
                <wp:positionV relativeFrom="paragraph">
                  <wp:posOffset>41275</wp:posOffset>
                </wp:positionV>
                <wp:extent cx="2327275" cy="1367155"/>
                <wp:effectExtent l="4445" t="4445" r="11430" b="19050"/>
                <wp:wrapSquare wrapText="bothSides"/>
                <wp:docPr id="3" name="自选图形 61"/>
                <wp:cNvGraphicFramePr/>
                <a:graphic xmlns:a="http://schemas.openxmlformats.org/drawingml/2006/main">
                  <a:graphicData uri="http://schemas.microsoft.com/office/word/2010/wordprocessingShape">
                    <wps:wsp>
                      <wps:cNvSpPr/>
                      <wps:spPr>
                        <a:xfrm>
                          <a:off x="0" y="0"/>
                          <a:ext cx="2327275" cy="136715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2C3B2C20">
                            <w:pPr>
                              <w:jc w:val="center"/>
                              <w:rPr>
                                <w:rFonts w:hint="eastAsia" w:ascii="仿宋" w:hAnsi="仿宋" w:eastAsia="仿宋" w:cs="仿宋"/>
                                <w:sz w:val="24"/>
                                <w:szCs w:val="24"/>
                              </w:rPr>
                            </w:pPr>
                          </w:p>
                          <w:p w14:paraId="35AB0ED4">
                            <w:pPr>
                              <w:jc w:val="center"/>
                              <w:rPr>
                                <w:rFonts w:hint="eastAsia" w:ascii="仿宋" w:hAnsi="仿宋" w:eastAsia="仿宋" w:cs="仿宋"/>
                                <w:sz w:val="24"/>
                                <w:szCs w:val="24"/>
                              </w:rPr>
                            </w:pPr>
                          </w:p>
                          <w:p w14:paraId="3B43427E">
                            <w:pPr>
                              <w:jc w:val="center"/>
                              <w:rPr>
                                <w:rFonts w:hint="eastAsia" w:ascii="仿宋" w:hAnsi="仿宋" w:eastAsia="仿宋" w:cs="仿宋"/>
                                <w:sz w:val="24"/>
                                <w:szCs w:val="24"/>
                                <w:lang w:eastAsia="zh-CN"/>
                              </w:rPr>
                            </w:pPr>
                            <w:r>
                              <w:rPr>
                                <w:rFonts w:hint="eastAsia" w:ascii="仿宋" w:hAnsi="仿宋" w:eastAsia="仿宋" w:cs="仿宋"/>
                                <w:sz w:val="24"/>
                                <w:szCs w:val="24"/>
                              </w:rPr>
                              <w:t>授权委托人身份证复印件</w:t>
                            </w:r>
                            <w:r>
                              <w:rPr>
                                <w:rFonts w:hint="eastAsia" w:ascii="仿宋" w:hAnsi="仿宋" w:eastAsia="仿宋" w:cs="仿宋"/>
                                <w:sz w:val="24"/>
                                <w:szCs w:val="24"/>
                                <w:lang w:eastAsia="zh-CN"/>
                              </w:rPr>
                              <w:t>反面</w:t>
                            </w:r>
                          </w:p>
                          <w:p w14:paraId="621BB66B"/>
                        </w:txbxContent>
                      </wps:txbx>
                      <wps:bodyPr upright="1"/>
                    </wps:wsp>
                  </a:graphicData>
                </a:graphic>
              </wp:anchor>
            </w:drawing>
          </mc:Choice>
          <mc:Fallback>
            <w:pict>
              <v:roundrect id="自选图形 61" o:spid="_x0000_s1026" o:spt="2" style="position:absolute;left:0pt;margin-left:228.55pt;margin-top:3.25pt;height:107.65pt;width:183.25pt;mso-wrap-distance-bottom:0pt;mso-wrap-distance-left:9pt;mso-wrap-distance-right:9pt;mso-wrap-distance-top:0pt;z-index:251663360;mso-width-relative:page;mso-height-relative:page;" fillcolor="#FFFFFF" filled="t" stroked="t" coordsize="21600,21600" arcsize="0.166666666666667" o:gfxdata="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KEvrYLV&#10;AAAACQEAAA8AAAAAAAAAAQAgAAAAIgAAAGRycy9kb3ducmV2LnhtbFBLAQIUABQAAAAIAIdO4kAp&#10;Gsm9IwIAAFgEAAAOAAAAAAAAAAEAIAAAACQBAABkcnMvZTJvRG9jLnhtbFBLBQYAAAAABgAGAFkB&#10;AAC5BQAAAAA=&#10;">
                <v:fill on="t" focussize="0,0"/>
                <v:stroke color="#000000" joinstyle="round"/>
                <v:imagedata o:title=""/>
                <o:lock v:ext="edit" aspectratio="f"/>
                <v:textbox>
                  <w:txbxContent>
                    <w:p w14:paraId="2C3B2C20">
                      <w:pPr>
                        <w:jc w:val="center"/>
                        <w:rPr>
                          <w:rFonts w:hint="eastAsia" w:ascii="仿宋" w:hAnsi="仿宋" w:eastAsia="仿宋" w:cs="仿宋"/>
                          <w:sz w:val="24"/>
                          <w:szCs w:val="24"/>
                        </w:rPr>
                      </w:pPr>
                    </w:p>
                    <w:p w14:paraId="35AB0ED4">
                      <w:pPr>
                        <w:jc w:val="center"/>
                        <w:rPr>
                          <w:rFonts w:hint="eastAsia" w:ascii="仿宋" w:hAnsi="仿宋" w:eastAsia="仿宋" w:cs="仿宋"/>
                          <w:sz w:val="24"/>
                          <w:szCs w:val="24"/>
                        </w:rPr>
                      </w:pPr>
                    </w:p>
                    <w:p w14:paraId="3B43427E">
                      <w:pPr>
                        <w:jc w:val="center"/>
                        <w:rPr>
                          <w:rFonts w:hint="eastAsia" w:ascii="仿宋" w:hAnsi="仿宋" w:eastAsia="仿宋" w:cs="仿宋"/>
                          <w:sz w:val="24"/>
                          <w:szCs w:val="24"/>
                          <w:lang w:eastAsia="zh-CN"/>
                        </w:rPr>
                      </w:pPr>
                      <w:r>
                        <w:rPr>
                          <w:rFonts w:hint="eastAsia" w:ascii="仿宋" w:hAnsi="仿宋" w:eastAsia="仿宋" w:cs="仿宋"/>
                          <w:sz w:val="24"/>
                          <w:szCs w:val="24"/>
                        </w:rPr>
                        <w:t>授权委托人身份证复印件</w:t>
                      </w:r>
                      <w:r>
                        <w:rPr>
                          <w:rFonts w:hint="eastAsia" w:ascii="仿宋" w:hAnsi="仿宋" w:eastAsia="仿宋" w:cs="仿宋"/>
                          <w:sz w:val="24"/>
                          <w:szCs w:val="24"/>
                          <w:lang w:eastAsia="zh-CN"/>
                        </w:rPr>
                        <w:t>反面</w:t>
                      </w:r>
                    </w:p>
                    <w:p w14:paraId="621BB66B"/>
                  </w:txbxContent>
                </v:textbox>
                <w10:wrap type="square"/>
              </v:roundrect>
            </w:pict>
          </mc:Fallback>
        </mc:AlternateContent>
      </w:r>
    </w:p>
    <w:p w14:paraId="373987C0">
      <w:pPr>
        <w:pStyle w:val="8"/>
        <w:numPr>
          <w:ilvl w:val="0"/>
          <w:numId w:val="0"/>
        </w:numPr>
        <w:kinsoku w:val="0"/>
        <w:overflowPunct w:val="0"/>
        <w:adjustRightInd w:val="0"/>
        <w:snapToGrid w:val="0"/>
        <w:spacing w:line="200" w:lineRule="atLeast"/>
        <w:rPr>
          <w:rFonts w:ascii="仿宋" w:hAnsi="仿宋" w:eastAsia="仿宋" w:cs="仿宋"/>
          <w:color w:val="auto"/>
          <w:sz w:val="18"/>
          <w:szCs w:val="20"/>
          <w:highlight w:val="none"/>
        </w:rPr>
      </w:pPr>
    </w:p>
    <w:p w14:paraId="04A74CCE">
      <w:pPr>
        <w:rPr>
          <w:rFonts w:ascii="仿宋" w:hAnsi="仿宋" w:eastAsia="仿宋" w:cs="仿宋"/>
          <w:color w:val="auto"/>
          <w:sz w:val="18"/>
          <w:szCs w:val="20"/>
          <w:highlight w:val="none"/>
        </w:rPr>
      </w:pPr>
    </w:p>
    <w:p w14:paraId="01F2F95A">
      <w:pPr>
        <w:pStyle w:val="37"/>
        <w:rPr>
          <w:rFonts w:ascii="仿宋" w:hAnsi="仿宋" w:eastAsia="仿宋" w:cs="仿宋"/>
          <w:color w:val="auto"/>
          <w:sz w:val="18"/>
          <w:szCs w:val="20"/>
          <w:highlight w:val="none"/>
        </w:rPr>
      </w:pPr>
    </w:p>
    <w:p w14:paraId="44B0E9D3">
      <w:pPr>
        <w:pStyle w:val="37"/>
        <w:rPr>
          <w:rFonts w:ascii="仿宋" w:hAnsi="仿宋" w:eastAsia="仿宋" w:cs="仿宋"/>
          <w:color w:val="auto"/>
          <w:sz w:val="18"/>
          <w:szCs w:val="20"/>
          <w:highlight w:val="none"/>
        </w:rPr>
      </w:pPr>
    </w:p>
    <w:p w14:paraId="6B83428E">
      <w:pPr>
        <w:pStyle w:val="37"/>
        <w:rPr>
          <w:rFonts w:ascii="仿宋" w:hAnsi="仿宋" w:eastAsia="仿宋" w:cs="仿宋"/>
          <w:color w:val="auto"/>
          <w:sz w:val="18"/>
          <w:szCs w:val="20"/>
          <w:highlight w:val="none"/>
        </w:rPr>
      </w:pPr>
    </w:p>
    <w:p w14:paraId="5D7A6738">
      <w:pPr>
        <w:pStyle w:val="37"/>
        <w:rPr>
          <w:rFonts w:ascii="仿宋" w:hAnsi="仿宋" w:eastAsia="仿宋" w:cs="仿宋"/>
          <w:color w:val="auto"/>
          <w:sz w:val="18"/>
          <w:szCs w:val="20"/>
          <w:highlight w:val="none"/>
        </w:rPr>
      </w:pPr>
    </w:p>
    <w:p w14:paraId="67C5EA9A">
      <w:pPr>
        <w:pStyle w:val="8"/>
        <w:numPr>
          <w:ilvl w:val="0"/>
          <w:numId w:val="0"/>
        </w:numPr>
        <w:tabs>
          <w:tab w:val="left" w:pos="5295"/>
        </w:tabs>
        <w:kinsoku w:val="0"/>
        <w:overflowPunct w:val="0"/>
        <w:adjustRightInd w:val="0"/>
        <w:snapToGrid w:val="0"/>
        <w:spacing w:line="360" w:lineRule="auto"/>
        <w:ind w:left="709"/>
        <w:rPr>
          <w:rFonts w:hint="eastAsia" w:ascii="仿宋" w:hAnsi="仿宋" w:eastAsia="仿宋" w:cs="仿宋"/>
          <w:color w:val="auto"/>
          <w:sz w:val="24"/>
          <w:highlight w:val="none"/>
          <w:lang w:eastAsia="zh-CN"/>
        </w:rPr>
      </w:pPr>
    </w:p>
    <w:p w14:paraId="6CD8AFDB">
      <w:pPr>
        <w:pStyle w:val="8"/>
        <w:numPr>
          <w:ilvl w:val="0"/>
          <w:numId w:val="0"/>
        </w:numPr>
        <w:tabs>
          <w:tab w:val="left" w:pos="5295"/>
        </w:tabs>
        <w:kinsoku w:val="0"/>
        <w:overflowPunct w:val="0"/>
        <w:adjustRightInd w:val="0"/>
        <w:snapToGrid w:val="0"/>
        <w:spacing w:line="360" w:lineRule="auto"/>
        <w:ind w:left="709"/>
        <w:rPr>
          <w:rFonts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被授权代表（签章）：          供应商法定代表人（签章）：</w:t>
      </w:r>
    </w:p>
    <w:p w14:paraId="3C2B29A3">
      <w:pPr>
        <w:pStyle w:val="8"/>
        <w:numPr>
          <w:ilvl w:val="0"/>
          <w:numId w:val="0"/>
        </w:numPr>
        <w:tabs>
          <w:tab w:val="left" w:pos="1098"/>
          <w:tab w:val="left" w:pos="5298"/>
          <w:tab w:val="left" w:pos="5778"/>
        </w:tabs>
        <w:kinsoku w:val="0"/>
        <w:overflowPunct w:val="0"/>
        <w:adjustRightInd w:val="0"/>
        <w:snapToGrid w:val="0"/>
        <w:spacing w:line="360" w:lineRule="auto"/>
        <w:ind w:left="709"/>
        <w:rPr>
          <w:rFonts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职</w:t>
      </w:r>
      <w:r>
        <w:rPr>
          <w:rFonts w:hint="eastAsia" w:ascii="仿宋" w:hAnsi="仿宋" w:eastAsia="仿宋" w:cs="仿宋"/>
          <w:color w:val="auto"/>
          <w:sz w:val="24"/>
          <w:highlight w:val="none"/>
          <w:lang w:eastAsia="zh-CN"/>
        </w:rPr>
        <w:tab/>
      </w:r>
      <w:r>
        <w:rPr>
          <w:rFonts w:hint="eastAsia" w:ascii="仿宋" w:hAnsi="仿宋" w:eastAsia="仿宋" w:cs="仿宋"/>
          <w:color w:val="auto"/>
          <w:sz w:val="24"/>
          <w:highlight w:val="none"/>
          <w:lang w:eastAsia="zh-CN"/>
        </w:rPr>
        <w:t>务：</w:t>
      </w:r>
      <w:r>
        <w:rPr>
          <w:rFonts w:hint="eastAsia" w:ascii="仿宋" w:hAnsi="仿宋" w:eastAsia="仿宋" w:cs="仿宋"/>
          <w:color w:val="auto"/>
          <w:sz w:val="24"/>
          <w:highlight w:val="none"/>
          <w:lang w:eastAsia="zh-CN"/>
        </w:rPr>
        <w:tab/>
      </w:r>
      <w:r>
        <w:rPr>
          <w:rFonts w:hint="eastAsia" w:ascii="仿宋" w:hAnsi="仿宋" w:eastAsia="仿宋" w:cs="仿宋"/>
          <w:color w:val="auto"/>
          <w:sz w:val="24"/>
          <w:highlight w:val="none"/>
          <w:lang w:eastAsia="zh-CN"/>
        </w:rPr>
        <w:t>职</w:t>
      </w:r>
      <w:r>
        <w:rPr>
          <w:rFonts w:hint="eastAsia" w:ascii="仿宋" w:hAnsi="仿宋" w:eastAsia="仿宋" w:cs="仿宋"/>
          <w:color w:val="auto"/>
          <w:sz w:val="24"/>
          <w:highlight w:val="none"/>
          <w:lang w:eastAsia="zh-CN"/>
        </w:rPr>
        <w:tab/>
      </w:r>
      <w:r>
        <w:rPr>
          <w:rFonts w:hint="eastAsia" w:ascii="仿宋" w:hAnsi="仿宋" w:eastAsia="仿宋" w:cs="仿宋"/>
          <w:color w:val="auto"/>
          <w:sz w:val="24"/>
          <w:highlight w:val="none"/>
          <w:lang w:eastAsia="zh-CN"/>
        </w:rPr>
        <w:t>务：</w:t>
      </w:r>
    </w:p>
    <w:p w14:paraId="23E966D3">
      <w:pPr>
        <w:pStyle w:val="8"/>
        <w:numPr>
          <w:ilvl w:val="0"/>
          <w:numId w:val="0"/>
        </w:numPr>
        <w:tabs>
          <w:tab w:val="left" w:pos="1098"/>
          <w:tab w:val="left" w:pos="5298"/>
          <w:tab w:val="left" w:pos="5778"/>
        </w:tabs>
        <w:kinsoku w:val="0"/>
        <w:overflowPunct w:val="0"/>
        <w:adjustRightInd w:val="0"/>
        <w:snapToGrid w:val="0"/>
        <w:spacing w:line="360" w:lineRule="auto"/>
        <w:ind w:left="709"/>
        <w:rPr>
          <w:rFonts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电</w:t>
      </w:r>
      <w:r>
        <w:rPr>
          <w:rFonts w:hint="eastAsia" w:ascii="仿宋" w:hAnsi="仿宋" w:eastAsia="仿宋" w:cs="仿宋"/>
          <w:color w:val="auto"/>
          <w:sz w:val="24"/>
          <w:highlight w:val="none"/>
          <w:lang w:eastAsia="zh-CN"/>
        </w:rPr>
        <w:tab/>
      </w:r>
      <w:r>
        <w:rPr>
          <w:rFonts w:hint="eastAsia" w:ascii="仿宋" w:hAnsi="仿宋" w:eastAsia="仿宋" w:cs="仿宋"/>
          <w:color w:val="auto"/>
          <w:sz w:val="24"/>
          <w:highlight w:val="none"/>
          <w:lang w:eastAsia="zh-CN"/>
        </w:rPr>
        <w:t>话：</w:t>
      </w:r>
      <w:r>
        <w:rPr>
          <w:rFonts w:hint="eastAsia" w:ascii="仿宋" w:hAnsi="仿宋" w:eastAsia="仿宋" w:cs="仿宋"/>
          <w:color w:val="auto"/>
          <w:sz w:val="24"/>
          <w:highlight w:val="none"/>
          <w:lang w:eastAsia="zh-CN"/>
        </w:rPr>
        <w:tab/>
      </w:r>
      <w:r>
        <w:rPr>
          <w:rFonts w:hint="eastAsia" w:ascii="仿宋" w:hAnsi="仿宋" w:eastAsia="仿宋" w:cs="仿宋"/>
          <w:color w:val="auto"/>
          <w:sz w:val="24"/>
          <w:highlight w:val="none"/>
          <w:lang w:eastAsia="zh-CN"/>
        </w:rPr>
        <w:t>电</w:t>
      </w:r>
      <w:r>
        <w:rPr>
          <w:rFonts w:hint="eastAsia" w:ascii="仿宋" w:hAnsi="仿宋" w:eastAsia="仿宋" w:cs="仿宋"/>
          <w:color w:val="auto"/>
          <w:sz w:val="24"/>
          <w:highlight w:val="none"/>
          <w:lang w:eastAsia="zh-CN"/>
        </w:rPr>
        <w:tab/>
      </w:r>
      <w:r>
        <w:rPr>
          <w:rFonts w:hint="eastAsia" w:ascii="仿宋" w:hAnsi="仿宋" w:eastAsia="仿宋" w:cs="仿宋"/>
          <w:color w:val="auto"/>
          <w:sz w:val="24"/>
          <w:highlight w:val="none"/>
          <w:lang w:eastAsia="zh-CN"/>
        </w:rPr>
        <w:t>话：</w:t>
      </w:r>
    </w:p>
    <w:p w14:paraId="6A86AC0F">
      <w:pPr>
        <w:pStyle w:val="8"/>
        <w:numPr>
          <w:ilvl w:val="0"/>
          <w:numId w:val="0"/>
        </w:numPr>
        <w:tabs>
          <w:tab w:val="left" w:pos="5631"/>
          <w:tab w:val="left" w:pos="6591"/>
          <w:tab w:val="left" w:pos="7191"/>
          <w:tab w:val="left" w:pos="7791"/>
          <w:tab w:val="left" w:pos="8247"/>
        </w:tabs>
        <w:kinsoku w:val="0"/>
        <w:overflowPunct w:val="0"/>
        <w:adjustRightInd w:val="0"/>
        <w:snapToGrid w:val="0"/>
        <w:spacing w:line="360" w:lineRule="auto"/>
        <w:ind w:left="709" w:right="238"/>
        <w:rPr>
          <w:rFonts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供应商：</w:t>
      </w:r>
      <w:r>
        <w:rPr>
          <w:rFonts w:hint="eastAsia" w:ascii="仿宋" w:hAnsi="仿宋" w:eastAsia="仿宋" w:cs="仿宋"/>
          <w:color w:val="auto"/>
          <w:sz w:val="24"/>
          <w:highlight w:val="none"/>
          <w:u w:val="single"/>
          <w:lang w:eastAsia="zh-CN"/>
        </w:rPr>
        <w:tab/>
      </w:r>
      <w:r>
        <w:rPr>
          <w:rFonts w:hint="eastAsia" w:ascii="仿宋" w:hAnsi="仿宋" w:eastAsia="仿宋" w:cs="仿宋"/>
          <w:color w:val="auto"/>
          <w:sz w:val="24"/>
          <w:highlight w:val="none"/>
          <w:u w:val="single"/>
          <w:lang w:eastAsia="zh-CN"/>
        </w:rPr>
        <w:tab/>
      </w:r>
      <w:r>
        <w:rPr>
          <w:rFonts w:hint="eastAsia" w:ascii="仿宋" w:hAnsi="仿宋" w:eastAsia="仿宋" w:cs="仿宋"/>
          <w:color w:val="auto"/>
          <w:sz w:val="24"/>
          <w:highlight w:val="none"/>
          <w:u w:val="single"/>
          <w:lang w:eastAsia="zh-CN"/>
        </w:rPr>
        <w:tab/>
      </w:r>
      <w:r>
        <w:rPr>
          <w:rFonts w:hint="eastAsia" w:ascii="仿宋" w:hAnsi="仿宋" w:eastAsia="仿宋" w:cs="仿宋"/>
          <w:color w:val="auto"/>
          <w:sz w:val="24"/>
          <w:highlight w:val="none"/>
          <w:lang w:eastAsia="zh-CN"/>
        </w:rPr>
        <w:t>（盖章）</w:t>
      </w:r>
    </w:p>
    <w:p w14:paraId="54058744">
      <w:pPr>
        <w:pStyle w:val="8"/>
        <w:numPr>
          <w:ilvl w:val="0"/>
          <w:numId w:val="0"/>
        </w:numPr>
        <w:tabs>
          <w:tab w:val="left" w:pos="5145"/>
          <w:tab w:val="left" w:pos="6591"/>
          <w:tab w:val="left" w:pos="7191"/>
          <w:tab w:val="left" w:pos="7791"/>
          <w:tab w:val="left" w:pos="8247"/>
        </w:tabs>
        <w:kinsoku w:val="0"/>
        <w:overflowPunct w:val="0"/>
        <w:adjustRightInd w:val="0"/>
        <w:snapToGrid w:val="0"/>
        <w:spacing w:line="360" w:lineRule="auto"/>
        <w:ind w:left="121" w:leftChars="50" w:right="238" w:firstLine="2916" w:firstLineChars="1200"/>
        <w:jc w:val="both"/>
        <w:rPr>
          <w:rFonts w:ascii="仿宋" w:hAnsi="仿宋" w:eastAsia="仿宋" w:cs="仿宋"/>
          <w:color w:val="auto"/>
          <w:sz w:val="20"/>
          <w:highlight w:val="none"/>
          <w:lang w:eastAsia="zh-CN"/>
        </w:rPr>
      </w:pPr>
      <w:r>
        <w:rPr>
          <w:rFonts w:hint="eastAsia" w:ascii="仿宋" w:hAnsi="仿宋" w:eastAsia="仿宋" w:cs="仿宋"/>
          <w:color w:val="auto"/>
          <w:sz w:val="24"/>
          <w:highlight w:val="none"/>
          <w:lang w:eastAsia="zh-CN"/>
        </w:rPr>
        <w:t xml:space="preserve"> 日期：</w:t>
      </w:r>
      <w:r>
        <w:rPr>
          <w:rFonts w:hint="eastAsia" w:ascii="仿宋" w:hAnsi="仿宋" w:eastAsia="仿宋" w:cs="仿宋"/>
          <w:color w:val="auto"/>
          <w:sz w:val="24"/>
          <w:highlight w:val="none"/>
          <w:u w:val="single"/>
          <w:lang w:eastAsia="zh-CN"/>
        </w:rPr>
        <w:t xml:space="preserve">     </w:t>
      </w:r>
      <w:r>
        <w:rPr>
          <w:rFonts w:hint="eastAsia" w:ascii="仿宋" w:hAnsi="仿宋" w:eastAsia="仿宋" w:cs="仿宋"/>
          <w:color w:val="auto"/>
          <w:sz w:val="24"/>
          <w:highlight w:val="none"/>
          <w:lang w:eastAsia="zh-CN"/>
        </w:rPr>
        <w:t>年</w:t>
      </w:r>
      <w:r>
        <w:rPr>
          <w:rFonts w:hint="eastAsia" w:ascii="仿宋" w:hAnsi="仿宋" w:eastAsia="仿宋" w:cs="仿宋"/>
          <w:color w:val="auto"/>
          <w:sz w:val="24"/>
          <w:highlight w:val="none"/>
          <w:u w:val="single"/>
          <w:lang w:eastAsia="zh-CN"/>
        </w:rPr>
        <w:t xml:space="preserve">   </w:t>
      </w:r>
      <w:r>
        <w:rPr>
          <w:rFonts w:hint="eastAsia" w:ascii="仿宋" w:hAnsi="仿宋" w:eastAsia="仿宋" w:cs="仿宋"/>
          <w:color w:val="auto"/>
          <w:sz w:val="24"/>
          <w:highlight w:val="none"/>
          <w:lang w:eastAsia="zh-CN"/>
        </w:rPr>
        <w:t>月</w:t>
      </w:r>
      <w:r>
        <w:rPr>
          <w:rFonts w:hint="eastAsia" w:ascii="仿宋" w:hAnsi="仿宋" w:eastAsia="仿宋" w:cs="仿宋"/>
          <w:color w:val="auto"/>
          <w:sz w:val="24"/>
          <w:highlight w:val="none"/>
          <w:u w:val="single"/>
          <w:lang w:eastAsia="zh-CN"/>
        </w:rPr>
        <w:t xml:space="preserve">   </w:t>
      </w:r>
      <w:r>
        <w:rPr>
          <w:rFonts w:hint="eastAsia" w:ascii="仿宋" w:hAnsi="仿宋" w:eastAsia="仿宋" w:cs="仿宋"/>
          <w:color w:val="auto"/>
          <w:sz w:val="24"/>
          <w:highlight w:val="none"/>
          <w:lang w:eastAsia="zh-CN"/>
        </w:rPr>
        <w:t xml:space="preserve">日 </w:t>
      </w:r>
      <w:r>
        <w:rPr>
          <w:rFonts w:hint="eastAsia" w:ascii="仿宋" w:hAnsi="仿宋" w:eastAsia="仿宋" w:cs="仿宋"/>
          <w:color w:val="auto"/>
          <w:sz w:val="20"/>
          <w:highlight w:val="none"/>
          <w:lang w:eastAsia="zh-CN"/>
        </w:rPr>
        <w:t xml:space="preserve">               </w:t>
      </w:r>
    </w:p>
    <w:p w14:paraId="6D93ED16">
      <w:pPr>
        <w:pStyle w:val="37"/>
        <w:rPr>
          <w:rFonts w:ascii="仿宋" w:hAnsi="仿宋" w:eastAsia="仿宋" w:cs="仿宋"/>
          <w:b/>
          <w:bCs/>
          <w:color w:val="auto"/>
          <w:sz w:val="36"/>
          <w:szCs w:val="36"/>
          <w:highlight w:val="none"/>
          <w:lang w:eastAsia="zh-CN"/>
        </w:rPr>
      </w:pPr>
      <w:r>
        <w:rPr>
          <w:rFonts w:hint="eastAsia" w:ascii="仿宋" w:hAnsi="仿宋" w:eastAsia="仿宋" w:cs="仿宋"/>
          <w:color w:val="auto"/>
          <w:highlight w:val="none"/>
          <w:lang w:eastAsia="zh-CN"/>
        </w:rPr>
        <w:br w:type="page"/>
      </w:r>
    </w:p>
    <w:p w14:paraId="475FAFED">
      <w:pPr>
        <w:pStyle w:val="3"/>
        <w:spacing w:line="240" w:lineRule="atLeast"/>
        <w:rPr>
          <w:rFonts w:ascii="仿宋" w:hAnsi="仿宋" w:eastAsia="仿宋" w:cs="仿宋"/>
          <w:bCs/>
          <w:color w:val="auto"/>
          <w:sz w:val="36"/>
          <w:szCs w:val="36"/>
          <w:highlight w:val="none"/>
          <w:lang w:eastAsia="zh-CN"/>
        </w:rPr>
      </w:pPr>
      <w:r>
        <w:rPr>
          <w:rFonts w:hint="eastAsia" w:ascii="仿宋" w:hAnsi="仿宋" w:eastAsia="仿宋" w:cs="仿宋"/>
          <w:bCs/>
          <w:color w:val="auto"/>
          <w:sz w:val="36"/>
          <w:szCs w:val="36"/>
          <w:highlight w:val="none"/>
          <w:lang w:val="en-US" w:eastAsia="zh-CN"/>
        </w:rPr>
        <w:t>4</w:t>
      </w:r>
      <w:r>
        <w:rPr>
          <w:rFonts w:hint="eastAsia" w:ascii="仿宋" w:hAnsi="仿宋" w:eastAsia="仿宋" w:cs="仿宋"/>
          <w:bCs/>
          <w:color w:val="auto"/>
          <w:sz w:val="36"/>
          <w:szCs w:val="36"/>
          <w:highlight w:val="none"/>
          <w:lang w:eastAsia="zh-CN"/>
        </w:rPr>
        <w:t>、投标保证金缴纳凭证或投标担保函</w:t>
      </w:r>
    </w:p>
    <w:p w14:paraId="186BF835">
      <w:pPr>
        <w:ind w:firstLine="486" w:firstLineChars="200"/>
        <w:rPr>
          <w:rFonts w:ascii="仿宋" w:hAnsi="仿宋" w:eastAsia="仿宋" w:cs="仿宋"/>
          <w:color w:val="auto"/>
          <w:highlight w:val="none"/>
          <w:lang w:eastAsia="zh-CN"/>
        </w:rPr>
      </w:pPr>
    </w:p>
    <w:p w14:paraId="303EAA20">
      <w:pPr>
        <w:pStyle w:val="6"/>
        <w:rPr>
          <w:rFonts w:ascii="仿宋" w:hAnsi="仿宋" w:eastAsia="仿宋" w:cs="仿宋"/>
          <w:color w:val="auto"/>
          <w:highlight w:val="none"/>
          <w:lang w:eastAsia="zh-CN"/>
        </w:rPr>
      </w:pPr>
    </w:p>
    <w:p w14:paraId="1F50DE08">
      <w:pPr>
        <w:pStyle w:val="6"/>
        <w:rPr>
          <w:rFonts w:ascii="仿宋" w:hAnsi="仿宋" w:eastAsia="仿宋" w:cs="仿宋"/>
          <w:color w:val="auto"/>
          <w:highlight w:val="none"/>
        </w:rPr>
      </w:pPr>
    </w:p>
    <w:p w14:paraId="35588EB3">
      <w:pPr>
        <w:spacing w:line="240" w:lineRule="atLeast"/>
        <w:ind w:left="1164" w:leftChars="257" w:hanging="540"/>
        <w:jc w:val="center"/>
        <w:rPr>
          <w:rFonts w:ascii="仿宋" w:hAnsi="仿宋" w:eastAsia="仿宋" w:cs="仿宋"/>
          <w:color w:val="auto"/>
          <w:highlight w:val="none"/>
        </w:rPr>
      </w:pPr>
    </w:p>
    <w:p w14:paraId="76CA00A6">
      <w:pPr>
        <w:rPr>
          <w:rFonts w:ascii="仿宋" w:hAnsi="仿宋" w:eastAsia="仿宋" w:cs="仿宋"/>
          <w:color w:val="auto"/>
          <w:sz w:val="28"/>
          <w:szCs w:val="28"/>
          <w:highlight w:val="none"/>
        </w:rPr>
      </w:pPr>
    </w:p>
    <w:tbl>
      <w:tblPr>
        <w:tblStyle w:val="25"/>
        <w:tblpPr w:leftFromText="180" w:rightFromText="180" w:vertAnchor="text" w:horzAnchor="page" w:tblpX="2090" w:tblpY="750"/>
        <w:tblOverlap w:val="never"/>
        <w:tblW w:w="78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9"/>
      </w:tblGrid>
      <w:tr w14:paraId="2F20A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6" w:hRule="atLeast"/>
        </w:trPr>
        <w:tc>
          <w:tcPr>
            <w:tcW w:w="7879" w:type="dxa"/>
          </w:tcPr>
          <w:p w14:paraId="6EBFBAD8">
            <w:pPr>
              <w:rPr>
                <w:rFonts w:ascii="仿宋" w:hAnsi="仿宋" w:eastAsia="仿宋" w:cs="仿宋"/>
                <w:b/>
                <w:bCs/>
                <w:color w:val="auto"/>
                <w:sz w:val="30"/>
                <w:szCs w:val="30"/>
                <w:highlight w:val="none"/>
              </w:rPr>
            </w:pPr>
          </w:p>
          <w:p w14:paraId="4AD98B74">
            <w:pPr>
              <w:jc w:val="center"/>
              <w:rPr>
                <w:rFonts w:ascii="仿宋" w:hAnsi="仿宋" w:eastAsia="仿宋" w:cs="仿宋"/>
                <w:b/>
                <w:bCs/>
                <w:color w:val="auto"/>
                <w:sz w:val="30"/>
                <w:szCs w:val="30"/>
                <w:highlight w:val="none"/>
              </w:rPr>
            </w:pPr>
          </w:p>
          <w:p w14:paraId="4D1B640C">
            <w:pPr>
              <w:jc w:val="center"/>
              <w:rPr>
                <w:rFonts w:ascii="仿宋" w:hAnsi="仿宋" w:eastAsia="仿宋" w:cs="仿宋"/>
                <w:b/>
                <w:bCs/>
                <w:color w:val="auto"/>
                <w:sz w:val="30"/>
                <w:szCs w:val="30"/>
                <w:highlight w:val="none"/>
                <w:lang w:eastAsia="zh-CN"/>
              </w:rPr>
            </w:pPr>
            <w:r>
              <w:rPr>
                <w:rFonts w:hint="eastAsia" w:ascii="仿宋" w:hAnsi="仿宋" w:eastAsia="仿宋" w:cs="仿宋"/>
                <w:b/>
                <w:bCs/>
                <w:color w:val="auto"/>
                <w:sz w:val="30"/>
                <w:szCs w:val="30"/>
                <w:highlight w:val="none"/>
                <w:lang w:eastAsia="zh-CN"/>
              </w:rPr>
              <w:t>打款凭证</w:t>
            </w:r>
          </w:p>
        </w:tc>
      </w:tr>
    </w:tbl>
    <w:p w14:paraId="3DC23C4A">
      <w:pPr>
        <w:pStyle w:val="6"/>
        <w:rPr>
          <w:rFonts w:ascii="仿宋" w:hAnsi="仿宋" w:eastAsia="仿宋" w:cs="仿宋"/>
          <w:color w:val="auto"/>
          <w:highlight w:val="none"/>
        </w:rPr>
      </w:pPr>
    </w:p>
    <w:p w14:paraId="6A8AC164">
      <w:pPr>
        <w:pStyle w:val="6"/>
        <w:rPr>
          <w:rFonts w:ascii="仿宋" w:hAnsi="仿宋" w:eastAsia="仿宋" w:cs="仿宋"/>
          <w:color w:val="auto"/>
          <w:highlight w:val="none"/>
        </w:rPr>
      </w:pPr>
    </w:p>
    <w:p w14:paraId="463C0D37">
      <w:pPr>
        <w:pStyle w:val="6"/>
        <w:rPr>
          <w:rFonts w:ascii="仿宋" w:hAnsi="仿宋" w:eastAsia="仿宋" w:cs="仿宋"/>
          <w:color w:val="auto"/>
          <w:highlight w:val="none"/>
        </w:rPr>
      </w:pPr>
    </w:p>
    <w:p w14:paraId="2FB4BB03">
      <w:pPr>
        <w:pStyle w:val="6"/>
        <w:rPr>
          <w:rFonts w:ascii="仿宋" w:hAnsi="仿宋" w:eastAsia="仿宋" w:cs="仿宋"/>
          <w:color w:val="auto"/>
          <w:highlight w:val="none"/>
        </w:rPr>
      </w:pPr>
    </w:p>
    <w:p w14:paraId="3BF798F4">
      <w:pPr>
        <w:pStyle w:val="6"/>
        <w:rPr>
          <w:rFonts w:ascii="仿宋" w:hAnsi="仿宋" w:eastAsia="仿宋" w:cs="仿宋"/>
          <w:color w:val="auto"/>
          <w:highlight w:val="none"/>
        </w:rPr>
      </w:pPr>
    </w:p>
    <w:p w14:paraId="3A9D17D7">
      <w:pPr>
        <w:pStyle w:val="6"/>
        <w:rPr>
          <w:rFonts w:ascii="仿宋" w:hAnsi="仿宋" w:eastAsia="仿宋" w:cs="仿宋"/>
          <w:color w:val="auto"/>
          <w:highlight w:val="none"/>
        </w:rPr>
      </w:pPr>
    </w:p>
    <w:p w14:paraId="18930847">
      <w:pPr>
        <w:rPr>
          <w:rFonts w:ascii="仿宋" w:hAnsi="仿宋" w:eastAsia="仿宋" w:cs="仿宋"/>
          <w:color w:val="auto"/>
          <w:highlight w:val="none"/>
        </w:rPr>
      </w:pPr>
    </w:p>
    <w:p w14:paraId="760AFD5C">
      <w:pPr>
        <w:pStyle w:val="4"/>
        <w:rPr>
          <w:rFonts w:ascii="仿宋" w:hAnsi="仿宋" w:eastAsia="仿宋" w:cs="仿宋"/>
          <w:color w:val="auto"/>
          <w:highlight w:val="none"/>
        </w:rPr>
      </w:pPr>
    </w:p>
    <w:p w14:paraId="2DB200E6">
      <w:pPr>
        <w:rPr>
          <w:rFonts w:ascii="仿宋" w:hAnsi="仿宋" w:eastAsia="仿宋" w:cs="仿宋"/>
          <w:color w:val="auto"/>
          <w:highlight w:val="none"/>
        </w:rPr>
      </w:pPr>
    </w:p>
    <w:p w14:paraId="157F52E6">
      <w:pPr>
        <w:rPr>
          <w:rFonts w:ascii="仿宋" w:hAnsi="仿宋" w:eastAsia="仿宋" w:cs="仿宋"/>
          <w:color w:val="auto"/>
          <w:highlight w:val="none"/>
        </w:rPr>
      </w:pPr>
    </w:p>
    <w:p w14:paraId="7230C229">
      <w:pPr>
        <w:rPr>
          <w:rFonts w:ascii="仿宋" w:hAnsi="仿宋" w:eastAsia="仿宋" w:cs="仿宋"/>
          <w:color w:val="auto"/>
          <w:highlight w:val="none"/>
        </w:rPr>
      </w:pPr>
    </w:p>
    <w:p w14:paraId="4E408805">
      <w:pPr>
        <w:jc w:val="center"/>
        <w:rPr>
          <w:rFonts w:ascii="仿宋" w:hAnsi="仿宋" w:eastAsia="仿宋" w:cs="仿宋"/>
          <w:color w:val="auto"/>
          <w:sz w:val="28"/>
          <w:szCs w:val="28"/>
          <w:highlight w:val="none"/>
        </w:rPr>
      </w:pPr>
    </w:p>
    <w:p w14:paraId="27E111CA">
      <w:pPr>
        <w:jc w:val="center"/>
        <w:rPr>
          <w:rFonts w:ascii="仿宋" w:hAnsi="仿宋" w:eastAsia="仿宋" w:cs="仿宋"/>
          <w:color w:val="auto"/>
          <w:sz w:val="28"/>
          <w:szCs w:val="28"/>
          <w:highlight w:val="none"/>
        </w:rPr>
      </w:pPr>
    </w:p>
    <w:p w14:paraId="0627935F">
      <w:pPr>
        <w:jc w:val="center"/>
        <w:rPr>
          <w:rFonts w:ascii="仿宋" w:hAnsi="仿宋" w:eastAsia="仿宋" w:cs="仿宋"/>
          <w:color w:val="auto"/>
          <w:sz w:val="28"/>
          <w:szCs w:val="28"/>
          <w:highlight w:val="none"/>
        </w:rPr>
      </w:pPr>
    </w:p>
    <w:p w14:paraId="72695C7B">
      <w:pPr>
        <w:jc w:val="center"/>
        <w:rPr>
          <w:rFonts w:ascii="仿宋" w:hAnsi="仿宋" w:eastAsia="仿宋" w:cs="仿宋"/>
          <w:color w:val="auto"/>
          <w:sz w:val="28"/>
          <w:szCs w:val="28"/>
          <w:highlight w:val="none"/>
        </w:rPr>
      </w:pPr>
    </w:p>
    <w:p w14:paraId="60F5DAD3">
      <w:pPr>
        <w:jc w:val="center"/>
        <w:rPr>
          <w:rFonts w:ascii="仿宋" w:hAnsi="仿宋" w:eastAsia="仿宋" w:cs="仿宋"/>
          <w:color w:val="auto"/>
          <w:sz w:val="28"/>
          <w:szCs w:val="28"/>
          <w:highlight w:val="none"/>
        </w:rPr>
      </w:pPr>
    </w:p>
    <w:p w14:paraId="4ACD63AB">
      <w:pPr>
        <w:jc w:val="center"/>
        <w:rPr>
          <w:rFonts w:ascii="仿宋" w:hAnsi="仿宋" w:eastAsia="仿宋" w:cs="仿宋"/>
          <w:color w:val="auto"/>
          <w:sz w:val="28"/>
          <w:szCs w:val="28"/>
          <w:highlight w:val="none"/>
        </w:rPr>
      </w:pPr>
    </w:p>
    <w:p w14:paraId="406264A9">
      <w:pPr>
        <w:jc w:val="center"/>
        <w:rPr>
          <w:rFonts w:ascii="仿宋" w:hAnsi="仿宋" w:eastAsia="仿宋" w:cs="仿宋"/>
          <w:color w:val="auto"/>
          <w:sz w:val="28"/>
          <w:szCs w:val="28"/>
          <w:highlight w:val="none"/>
        </w:rPr>
      </w:pPr>
    </w:p>
    <w:p w14:paraId="59B4287B">
      <w:pPr>
        <w:jc w:val="center"/>
        <w:rPr>
          <w:rFonts w:ascii="仿宋" w:hAnsi="仿宋" w:eastAsia="仿宋" w:cs="仿宋"/>
          <w:color w:val="auto"/>
          <w:sz w:val="28"/>
          <w:szCs w:val="28"/>
          <w:highlight w:val="none"/>
        </w:rPr>
      </w:pPr>
    </w:p>
    <w:p w14:paraId="07F14F07">
      <w:pPr>
        <w:pStyle w:val="32"/>
        <w:rPr>
          <w:color w:val="auto"/>
        </w:rPr>
      </w:pPr>
    </w:p>
    <w:p w14:paraId="04DBB2FC">
      <w:pPr>
        <w:spacing w:line="360" w:lineRule="auto"/>
        <w:jc w:val="both"/>
        <w:rPr>
          <w:rFonts w:ascii="仿宋" w:hAnsi="仿宋" w:eastAsia="仿宋" w:cs="仿宋"/>
          <w:b/>
          <w:bCs/>
          <w:color w:val="auto"/>
          <w:sz w:val="28"/>
          <w:szCs w:val="28"/>
          <w:highlight w:val="none"/>
          <w:lang w:eastAsia="zh-CN"/>
        </w:rPr>
      </w:pPr>
    </w:p>
    <w:p w14:paraId="5C5777BC">
      <w:pPr>
        <w:spacing w:line="360" w:lineRule="auto"/>
        <w:jc w:val="center"/>
        <w:rPr>
          <w:rFonts w:hint="eastAsia" w:ascii="仿宋" w:hAnsi="仿宋" w:eastAsia="仿宋" w:cs="仿宋"/>
          <w:b/>
          <w:bCs/>
          <w:color w:val="auto"/>
          <w:sz w:val="28"/>
          <w:szCs w:val="28"/>
          <w:highlight w:val="none"/>
          <w:lang w:eastAsia="zh-CN"/>
        </w:rPr>
      </w:pPr>
    </w:p>
    <w:p w14:paraId="1376A34C">
      <w:pPr>
        <w:spacing w:line="360" w:lineRule="auto"/>
        <w:jc w:val="center"/>
        <w:rPr>
          <w:rFonts w:ascii="仿宋" w:hAnsi="仿宋" w:eastAsia="仿宋" w:cs="仿宋"/>
          <w:b/>
          <w:bCs/>
          <w:color w:val="auto"/>
          <w:sz w:val="28"/>
          <w:szCs w:val="28"/>
          <w:highlight w:val="none"/>
          <w:lang w:eastAsia="zh-CN"/>
        </w:rPr>
      </w:pPr>
      <w:r>
        <w:rPr>
          <w:rFonts w:hint="eastAsia" w:ascii="仿宋" w:hAnsi="仿宋" w:eastAsia="仿宋" w:cs="仿宋"/>
          <w:b/>
          <w:bCs/>
          <w:color w:val="auto"/>
          <w:sz w:val="28"/>
          <w:szCs w:val="28"/>
          <w:highlight w:val="none"/>
          <w:lang w:eastAsia="zh-CN"/>
        </w:rPr>
        <w:t>政府采购投标担保函 （项目用）</w:t>
      </w:r>
    </w:p>
    <w:p w14:paraId="20D72D49">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编号：</w:t>
      </w:r>
    </w:p>
    <w:p w14:paraId="17A12722">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（采购人或采购代理机构）：</w:t>
      </w:r>
    </w:p>
    <w:p w14:paraId="72430A4B">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鉴于</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（以下简称“供应商”）拟参加编号为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的</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w:t>
      </w:r>
    </w:p>
    <w:p w14:paraId="5D2E278D">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项目（以下简称“本项目”）投标，根据本项目询价通知书，供应商参加投标时应向你方缴纳投标保证金，且可以投标担保函的形式缴纳投标保证金。应供应商的申请，我方以保证的方式向你方提供如下投标保证金担保：</w:t>
      </w:r>
    </w:p>
    <w:p w14:paraId="6A20F6AE">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一、保证责任的情形及保证金额</w:t>
      </w:r>
    </w:p>
    <w:p w14:paraId="45552E3B">
      <w:pPr>
        <w:spacing w:line="360" w:lineRule="auto"/>
        <w:ind w:firstLine="243" w:firstLineChars="1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（一）在供应商出现下列情形之一时，我方承担保证责任：</w:t>
      </w:r>
    </w:p>
    <w:p w14:paraId="605973AD">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1．中标后供应商无正当理由不与采购人或者采购代理机构签订《政府采购合同》；</w:t>
      </w:r>
    </w:p>
    <w:p w14:paraId="723950C7">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2．询价通知书规定的供应商应当缴纳保证金的其他情形。</w:t>
      </w:r>
    </w:p>
    <w:p w14:paraId="0C33226A">
      <w:pPr>
        <w:spacing w:line="360" w:lineRule="auto"/>
        <w:ind w:firstLine="243" w:firstLineChars="1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（二）我方承担保证责任的最高金额为人民币</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元（大写</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），即本项目的投标保证金金额。</w:t>
      </w:r>
    </w:p>
    <w:p w14:paraId="2EFBF6F5">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二、保证的方式及保证期间</w:t>
      </w:r>
    </w:p>
    <w:p w14:paraId="20145E1E">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我方保证的方式为：连带责任保证。</w:t>
      </w:r>
    </w:p>
    <w:p w14:paraId="15DD8850">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我方的保证期间为：自本保函生效之日起</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个月止。</w:t>
      </w:r>
    </w:p>
    <w:p w14:paraId="710B0D1A">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三、承担保证责任的程序</w:t>
      </w:r>
    </w:p>
    <w:p w14:paraId="2654FD29">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1．你方要求我方承担保证责任的，应在本保函保证期间内向我方发出书面索赔通知。索赔通知应写明要求索赔的金额，支付款项应到达的账号，并附有证明供应商发生我方应承担保证责任情形的事实材料。</w:t>
      </w:r>
    </w:p>
    <w:p w14:paraId="79099579">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2．我方在收到索赔通知及相关证明材料后，在</w:t>
      </w:r>
      <w:r>
        <w:rPr>
          <w:rFonts w:hint="eastAsia" w:ascii="仿宋" w:hAnsi="仿宋" w:eastAsia="仿宋" w:cs="仿宋"/>
          <w:color w:val="auto"/>
          <w:highlight w:val="none"/>
          <w:u w:val="single"/>
          <w:lang w:eastAsia="zh-CN"/>
        </w:rPr>
        <w:t>　　　</w:t>
      </w:r>
      <w:r>
        <w:rPr>
          <w:rFonts w:hint="eastAsia" w:ascii="仿宋" w:hAnsi="仿宋" w:eastAsia="仿宋" w:cs="仿宋"/>
          <w:color w:val="auto"/>
          <w:highlight w:val="none"/>
          <w:lang w:eastAsia="zh-CN"/>
        </w:rPr>
        <w:t>个工作日内进行审查，符合应承担保证责任情形的，我方应按照你方的要求代供应商向你方支付投标保证金。</w:t>
      </w:r>
    </w:p>
    <w:p w14:paraId="4E5FA5AE">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四、保证责任的终止</w:t>
      </w:r>
    </w:p>
    <w:p w14:paraId="4D210440">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1．保证期间届满你方未向我方书面主张保证责任的，自保证期间届满次日起，我方保证责任自动终止。</w:t>
      </w:r>
    </w:p>
    <w:p w14:paraId="11354C25">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2．我方按照本保函向你贵方履行了保证责任后，自我方向你贵方支付款项（支付款项从我方账户划出）之日起，保证责任终止。</w:t>
      </w:r>
    </w:p>
    <w:p w14:paraId="6FA690EB">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3．按照法律法规的规定或出现我方保证责任终止的其它情形的，我方在本保函项下的保证责任亦终止。</w:t>
      </w:r>
    </w:p>
    <w:p w14:paraId="5EF6D366">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五、免责条款</w:t>
      </w:r>
    </w:p>
    <w:p w14:paraId="46F2D9DB">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1．依照法律规定或你方与供应商的另行约定，全部或者部分免除供应商投标保证金义务时，我方亦免除相应的保证责任。</w:t>
      </w:r>
    </w:p>
    <w:p w14:paraId="4178AB07">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2．因你方原因致使供应商发生本保函第一条第（一）款约定情形的，我方不承担保证责任。</w:t>
      </w:r>
    </w:p>
    <w:p w14:paraId="23F762AF">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3．因不可抗力造成供应商发生本保函第一条约定情形的，我方不承担保证责任。</w:t>
      </w:r>
    </w:p>
    <w:p w14:paraId="0376F033">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4．你方或其他有权机关对询价通知书进行任何澄清或修改，加重我方保证责任的，我方对加重部分不承担保证责任，但该澄清或修改经我方事先书面同意的除外。</w:t>
      </w:r>
    </w:p>
    <w:p w14:paraId="214C37C9">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六、争议的解决</w:t>
      </w:r>
    </w:p>
    <w:p w14:paraId="0B268836">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因本保函发生的纠纷，由你我双方协商解决，协商不成的，通过诉讼程序解决，诉讼管辖地法院为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法院。</w:t>
      </w:r>
    </w:p>
    <w:p w14:paraId="3F9ABA6A">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七、保函的生效</w:t>
      </w:r>
    </w:p>
    <w:p w14:paraId="35BD2A7F">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本保函自我方加盖公章之日起生效。</w:t>
      </w:r>
    </w:p>
    <w:p w14:paraId="6599FA5E">
      <w:pPr>
        <w:spacing w:line="360" w:lineRule="auto"/>
        <w:ind w:firstLine="6439" w:firstLineChars="2650"/>
        <w:rPr>
          <w:rFonts w:ascii="仿宋" w:hAnsi="仿宋" w:eastAsia="仿宋" w:cs="仿宋"/>
          <w:color w:val="auto"/>
          <w:highlight w:val="none"/>
          <w:lang w:eastAsia="zh-CN"/>
        </w:rPr>
      </w:pPr>
    </w:p>
    <w:p w14:paraId="31512659">
      <w:pPr>
        <w:spacing w:line="360" w:lineRule="auto"/>
        <w:ind w:firstLine="6439" w:firstLineChars="2650"/>
        <w:rPr>
          <w:rFonts w:ascii="仿宋" w:hAnsi="仿宋" w:eastAsia="仿宋" w:cs="仿宋"/>
          <w:color w:val="auto"/>
          <w:highlight w:val="none"/>
          <w:lang w:eastAsia="zh-CN"/>
        </w:rPr>
      </w:pPr>
    </w:p>
    <w:p w14:paraId="4E5EB774">
      <w:pPr>
        <w:spacing w:line="360" w:lineRule="auto"/>
        <w:ind w:firstLine="6439" w:firstLineChars="2650"/>
        <w:rPr>
          <w:rFonts w:ascii="仿宋" w:hAnsi="仿宋" w:eastAsia="仿宋" w:cs="仿宋"/>
          <w:color w:val="auto"/>
          <w:highlight w:val="none"/>
          <w:lang w:eastAsia="zh-CN"/>
        </w:rPr>
      </w:pPr>
      <w:r>
        <w:rPr>
          <w:rFonts w:hint="eastAsia" w:ascii="仿宋" w:hAnsi="仿宋" w:eastAsia="仿宋" w:cs="仿宋"/>
          <w:color w:val="auto"/>
          <w:highlight w:val="none"/>
          <w:lang w:eastAsia="zh-CN"/>
        </w:rPr>
        <w:t>保证人：（公章）</w:t>
      </w:r>
    </w:p>
    <w:p w14:paraId="1F9B43DC">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p>
    <w:p w14:paraId="6327597B">
      <w:pPr>
        <w:spacing w:line="360" w:lineRule="auto"/>
        <w:ind w:firstLine="6318" w:firstLineChars="2600"/>
        <w:rPr>
          <w:rFonts w:hint="default" w:ascii="仿宋" w:hAnsi="仿宋" w:eastAsia="仿宋" w:cs="仿宋"/>
          <w:color w:val="auto"/>
          <w:highlight w:val="none"/>
          <w:lang w:val="en-US" w:eastAsia="zh-CN"/>
        </w:rPr>
        <w:sectPr>
          <w:pgSz w:w="11905" w:h="16838"/>
          <w:pgMar w:top="1440" w:right="1417" w:bottom="1440" w:left="1417" w:header="850" w:footer="992" w:gutter="0"/>
          <w:pgNumType w:fmt="decimal"/>
          <w:cols w:space="0" w:num="1"/>
          <w:docGrid w:type="linesAndChars" w:linePitch="325" w:charSpace="635"/>
        </w:sectPr>
      </w:pPr>
      <w:r>
        <w:rPr>
          <w:rFonts w:hint="eastAsia" w:ascii="仿宋" w:hAnsi="仿宋" w:eastAsia="仿宋" w:cs="仿宋"/>
          <w:color w:val="auto"/>
          <w:highlight w:val="none"/>
          <w:lang w:eastAsia="zh-CN"/>
        </w:rPr>
        <w:t xml:space="preserve">年     月      </w:t>
      </w:r>
      <w:r>
        <w:rPr>
          <w:rFonts w:hint="eastAsia" w:ascii="仿宋" w:hAnsi="仿宋" w:eastAsia="仿宋" w:cs="仿宋"/>
          <w:color w:val="auto"/>
          <w:highlight w:val="none"/>
          <w:lang w:val="en-US" w:eastAsia="zh-CN"/>
        </w:rPr>
        <w:t>日</w:t>
      </w:r>
    </w:p>
    <w:p w14:paraId="00E2649B">
      <w:pPr>
        <w:spacing w:line="400" w:lineRule="exact"/>
        <w:ind w:firstLine="486" w:firstLineChars="200"/>
        <w:rPr>
          <w:rFonts w:ascii="仿宋" w:hAnsi="仿宋" w:eastAsia="仿宋" w:cs="仿宋"/>
          <w:b/>
          <w:bCs/>
          <w:color w:val="auto"/>
          <w:highlight w:val="none"/>
          <w:lang w:eastAsia="zh-CN"/>
        </w:rPr>
      </w:pPr>
      <w:r>
        <w:rPr>
          <w:rFonts w:hint="eastAsia" w:ascii="仿宋" w:hAnsi="仿宋" w:eastAsia="仿宋" w:cs="仿宋"/>
          <w:b/>
          <w:bCs/>
          <w:color w:val="auto"/>
          <w:highlight w:val="none"/>
          <w:lang w:val="en-US" w:eastAsia="zh-CN"/>
        </w:rPr>
        <w:t>5</w:t>
      </w:r>
      <w:r>
        <w:rPr>
          <w:rFonts w:hint="eastAsia" w:ascii="仿宋" w:hAnsi="仿宋" w:eastAsia="仿宋" w:cs="仿宋"/>
          <w:b/>
          <w:bCs/>
          <w:color w:val="auto"/>
          <w:highlight w:val="none"/>
          <w:lang w:eastAsia="zh-CN"/>
        </w:rPr>
        <w:t>、投标企业须提供供应商（被授权本单位在职人员）近6个月内任意1个月的有效社保证明</w:t>
      </w:r>
    </w:p>
    <w:p w14:paraId="3A684C76">
      <w:pPr>
        <w:spacing w:line="400" w:lineRule="exact"/>
        <w:ind w:firstLine="486" w:firstLineChars="200"/>
        <w:rPr>
          <w:rFonts w:ascii="仿宋" w:hAnsi="仿宋" w:eastAsia="仿宋" w:cs="仿宋"/>
          <w:b/>
          <w:bCs/>
          <w:color w:val="auto"/>
          <w:highlight w:val="none"/>
          <w:lang w:eastAsia="zh-CN"/>
        </w:rPr>
      </w:pPr>
    </w:p>
    <w:p w14:paraId="63330867">
      <w:pPr>
        <w:pStyle w:val="32"/>
        <w:rPr>
          <w:lang w:eastAsia="zh-CN"/>
        </w:rPr>
      </w:pPr>
    </w:p>
    <w:p w14:paraId="7A7DFFDB">
      <w:pPr>
        <w:spacing w:line="400" w:lineRule="exact"/>
        <w:ind w:firstLine="486" w:firstLineChars="200"/>
        <w:rPr>
          <w:rFonts w:hint="eastAsia"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说明：复印件上应加盖本单位章</w:t>
      </w:r>
    </w:p>
    <w:p w14:paraId="2F924E2C">
      <w:pPr>
        <w:spacing w:line="440" w:lineRule="exact"/>
        <w:rPr>
          <w:rFonts w:hint="eastAsia" w:ascii="仿宋" w:hAnsi="仿宋" w:eastAsia="仿宋" w:cs="仿宋"/>
          <w:color w:val="auto"/>
          <w:szCs w:val="21"/>
          <w:highlight w:val="none"/>
          <w:lang w:eastAsia="zh-CN"/>
        </w:rPr>
      </w:pPr>
    </w:p>
    <w:p w14:paraId="76E77033">
      <w:pPr>
        <w:pStyle w:val="37"/>
        <w:rPr>
          <w:rFonts w:hint="eastAsia" w:ascii="仿宋" w:hAnsi="仿宋" w:eastAsia="仿宋" w:cs="仿宋"/>
          <w:b/>
          <w:bCs/>
          <w:color w:val="auto"/>
          <w:highlight w:val="none"/>
          <w:lang w:val="en-US" w:eastAsia="zh-CN"/>
        </w:rPr>
      </w:pPr>
      <w:r>
        <w:rPr>
          <w:rFonts w:hint="eastAsia" w:ascii="仿宋" w:hAnsi="仿宋" w:eastAsia="仿宋" w:cs="仿宋"/>
          <w:b/>
          <w:bCs/>
          <w:color w:val="auto"/>
          <w:highlight w:val="none"/>
          <w:lang w:val="en-US" w:eastAsia="zh-CN"/>
        </w:rPr>
        <w:t>6、参加政府采购活动前3年内</w:t>
      </w:r>
      <w:bookmarkStart w:id="77" w:name="_Toc1137"/>
      <w:bookmarkStart w:id="78" w:name="_Toc515647812"/>
      <w:bookmarkStart w:id="79" w:name="_Toc6008"/>
      <w:r>
        <w:rPr>
          <w:rFonts w:hint="eastAsia" w:ascii="仿宋" w:hAnsi="仿宋" w:eastAsia="仿宋" w:cs="仿宋"/>
          <w:b/>
          <w:bCs/>
          <w:color w:val="auto"/>
          <w:highlight w:val="none"/>
          <w:lang w:val="en-US" w:eastAsia="zh-CN"/>
        </w:rPr>
        <w:t>在经营活动中没有重大违法记录的书面声明</w:t>
      </w:r>
      <w:bookmarkEnd w:id="77"/>
      <w:bookmarkEnd w:id="78"/>
      <w:bookmarkEnd w:id="79"/>
      <w:r>
        <w:rPr>
          <w:rFonts w:hint="eastAsia" w:ascii="仿宋" w:hAnsi="仿宋" w:eastAsia="仿宋" w:cs="仿宋"/>
          <w:b/>
          <w:bCs/>
          <w:color w:val="auto"/>
          <w:highlight w:val="none"/>
          <w:lang w:val="en-US" w:eastAsia="zh-CN"/>
        </w:rPr>
        <w:t>；参加政府采购活动前三年内，在经营活动中没有重大违法记录；未被“信用中国”（www.creditchina.gov.cn）、中国政府采购网（www.ccgp.gov.cn）列入失信被执行人、税收违法黑名单、政府采购严重违法失信行为记录名单。</w:t>
      </w:r>
    </w:p>
    <w:p w14:paraId="44B59728">
      <w:pPr>
        <w:pStyle w:val="37"/>
        <w:rPr>
          <w:rFonts w:hint="eastAsia" w:ascii="仿宋" w:hAnsi="仿宋" w:eastAsia="仿宋" w:cs="仿宋"/>
          <w:b/>
          <w:bCs/>
          <w:color w:val="auto"/>
          <w:highlight w:val="none"/>
          <w:lang w:val="en-US" w:eastAsia="zh-CN"/>
        </w:rPr>
      </w:pPr>
    </w:p>
    <w:p w14:paraId="2441353D">
      <w:pPr>
        <w:pStyle w:val="3"/>
        <w:spacing w:line="240" w:lineRule="atLeast"/>
        <w:rPr>
          <w:rFonts w:ascii="仿宋" w:hAnsi="仿宋" w:eastAsia="仿宋" w:cs="仿宋"/>
          <w:color w:val="auto"/>
          <w:sz w:val="24"/>
          <w:highlight w:val="none"/>
          <w:lang w:eastAsia="zh-CN"/>
        </w:rPr>
      </w:pPr>
    </w:p>
    <w:p w14:paraId="6DE146C4">
      <w:pPr>
        <w:pStyle w:val="10"/>
        <w:tabs>
          <w:tab w:val="left" w:pos="5580"/>
        </w:tabs>
        <w:spacing w:line="240" w:lineRule="atLeast"/>
        <w:ind w:left="1164" w:leftChars="257" w:hanging="540"/>
        <w:jc w:val="center"/>
        <w:rPr>
          <w:rFonts w:ascii="仿宋" w:hAnsi="仿宋" w:eastAsia="仿宋" w:cs="仿宋"/>
          <w:b/>
          <w:color w:val="auto"/>
          <w:highlight w:val="none"/>
          <w:lang w:eastAsia="zh-CN"/>
        </w:rPr>
      </w:pPr>
    </w:p>
    <w:p w14:paraId="65366641">
      <w:pPr>
        <w:pStyle w:val="10"/>
        <w:tabs>
          <w:tab w:val="left" w:pos="5580"/>
        </w:tabs>
        <w:spacing w:line="240" w:lineRule="atLeast"/>
        <w:ind w:left="1164" w:leftChars="257" w:hanging="540"/>
        <w:rPr>
          <w:rFonts w:ascii="仿宋" w:hAnsi="仿宋" w:eastAsia="仿宋" w:cs="仿宋"/>
          <w:color w:val="auto"/>
          <w:highlight w:val="none"/>
          <w:lang w:eastAsia="zh-CN"/>
        </w:rPr>
      </w:pPr>
    </w:p>
    <w:p w14:paraId="562AB7CB">
      <w:pPr>
        <w:pStyle w:val="10"/>
        <w:tabs>
          <w:tab w:val="left" w:pos="5580"/>
        </w:tabs>
        <w:spacing w:line="240" w:lineRule="atLeast"/>
        <w:ind w:left="1164" w:leftChars="257" w:hanging="540"/>
        <w:rPr>
          <w:rFonts w:ascii="仿宋" w:hAnsi="仿宋" w:eastAsia="仿宋" w:cs="仿宋"/>
          <w:color w:val="auto"/>
          <w:highlight w:val="none"/>
          <w:lang w:eastAsia="zh-CN"/>
        </w:rPr>
      </w:pPr>
    </w:p>
    <w:p w14:paraId="54B40A6A">
      <w:pPr>
        <w:pStyle w:val="10"/>
        <w:tabs>
          <w:tab w:val="left" w:pos="5580"/>
        </w:tabs>
        <w:spacing w:line="360" w:lineRule="auto"/>
        <w:ind w:left="1164"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说明：1.供应商应按照相关法规规定如实作出说明。</w:t>
      </w:r>
    </w:p>
    <w:p w14:paraId="7D1A7FCE">
      <w:pPr>
        <w:pStyle w:val="10"/>
        <w:tabs>
          <w:tab w:val="left" w:pos="5580"/>
        </w:tabs>
        <w:spacing w:line="360" w:lineRule="auto"/>
        <w:ind w:left="746" w:leftChars="307" w:firstLine="607" w:firstLineChars="250"/>
        <w:rPr>
          <w:rFonts w:ascii="仿宋" w:hAnsi="仿宋" w:eastAsia="仿宋" w:cs="仿宋"/>
          <w:color w:val="auto"/>
          <w:highlight w:val="none"/>
          <w:lang w:eastAsia="zh-CN"/>
        </w:rPr>
      </w:pPr>
      <w:r>
        <w:rPr>
          <w:rFonts w:hint="eastAsia" w:ascii="仿宋" w:hAnsi="仿宋" w:eastAsia="仿宋" w:cs="仿宋"/>
          <w:color w:val="auto"/>
          <w:highlight w:val="none"/>
          <w:lang w:eastAsia="zh-CN"/>
        </w:rPr>
        <w:t>2．按照招标文件的规定加盖单位章（自然人投标的无需盖章，需要签字）。</w:t>
      </w:r>
    </w:p>
    <w:p w14:paraId="1AA4281E">
      <w:pPr>
        <w:spacing w:line="440" w:lineRule="exact"/>
        <w:ind w:firstLine="486" w:firstLineChars="200"/>
        <w:rPr>
          <w:rFonts w:hint="eastAsia" w:ascii="仿宋" w:hAnsi="仿宋" w:eastAsia="仿宋" w:cs="仿宋"/>
          <w:b/>
          <w:bCs/>
          <w:color w:val="auto"/>
          <w:sz w:val="24"/>
          <w:szCs w:val="24"/>
          <w:highlight w:val="none"/>
          <w:lang w:val="en-US" w:eastAsia="zh-CN" w:bidi="en-US"/>
        </w:rPr>
      </w:pPr>
    </w:p>
    <w:p w14:paraId="4206704B">
      <w:pPr>
        <w:spacing w:line="440" w:lineRule="exact"/>
        <w:rPr>
          <w:rFonts w:hint="eastAsia" w:ascii="仿宋" w:hAnsi="仿宋" w:eastAsia="仿宋" w:cs="仿宋"/>
          <w:b/>
          <w:bCs/>
          <w:color w:val="auto"/>
          <w:sz w:val="24"/>
          <w:szCs w:val="24"/>
          <w:highlight w:val="none"/>
          <w:lang w:val="en-US" w:eastAsia="zh-CN" w:bidi="en-US"/>
        </w:rPr>
      </w:pPr>
    </w:p>
    <w:p w14:paraId="62E531F8">
      <w:pPr>
        <w:spacing w:line="440" w:lineRule="exact"/>
        <w:rPr>
          <w:rFonts w:hint="eastAsia" w:ascii="仿宋" w:hAnsi="仿宋" w:eastAsia="仿宋" w:cs="仿宋"/>
          <w:b/>
          <w:bCs/>
          <w:color w:val="auto"/>
          <w:sz w:val="24"/>
          <w:szCs w:val="24"/>
          <w:highlight w:val="none"/>
          <w:lang w:val="en-US" w:eastAsia="zh-CN" w:bidi="en-US"/>
        </w:rPr>
      </w:pPr>
    </w:p>
    <w:p w14:paraId="1BFF71B6">
      <w:pPr>
        <w:spacing w:line="440" w:lineRule="exact"/>
        <w:ind w:firstLine="486" w:firstLineChars="200"/>
        <w:rPr>
          <w:rFonts w:hint="default" w:ascii="仿宋" w:hAnsi="仿宋" w:eastAsia="仿宋" w:cs="仿宋"/>
          <w:b/>
          <w:bCs/>
          <w:color w:val="auto"/>
          <w:sz w:val="24"/>
          <w:szCs w:val="24"/>
          <w:highlight w:val="none"/>
          <w:lang w:val="en-US" w:eastAsia="zh-CN" w:bidi="en-US"/>
        </w:rPr>
      </w:pPr>
      <w:r>
        <w:rPr>
          <w:rFonts w:hint="eastAsia" w:ascii="仿宋" w:hAnsi="仿宋" w:eastAsia="仿宋" w:cs="仿宋"/>
          <w:b/>
          <w:bCs/>
          <w:color w:val="auto"/>
          <w:sz w:val="24"/>
          <w:szCs w:val="24"/>
          <w:highlight w:val="none"/>
          <w:lang w:val="en-US" w:eastAsia="zh-CN" w:bidi="en-US"/>
        </w:rPr>
        <w:t>7、投标人须知资料表要求的其他资格证明文件。</w:t>
      </w:r>
    </w:p>
    <w:p w14:paraId="7E47270B">
      <w:pPr>
        <w:spacing w:line="440" w:lineRule="exact"/>
        <w:rPr>
          <w:rFonts w:hint="eastAsia" w:ascii="仿宋" w:hAnsi="仿宋" w:eastAsia="仿宋" w:cs="仿宋"/>
          <w:b/>
          <w:bCs/>
          <w:color w:val="auto"/>
          <w:sz w:val="24"/>
          <w:szCs w:val="24"/>
          <w:highlight w:val="none"/>
          <w:lang w:val="en-US" w:eastAsia="zh-CN" w:bidi="en-US"/>
        </w:rPr>
      </w:pPr>
      <w:r>
        <w:rPr>
          <w:rFonts w:hint="eastAsia" w:ascii="仿宋" w:hAnsi="仿宋" w:eastAsia="仿宋" w:cs="仿宋"/>
          <w:b/>
          <w:bCs/>
          <w:color w:val="auto"/>
          <w:sz w:val="24"/>
          <w:szCs w:val="24"/>
          <w:highlight w:val="none"/>
          <w:lang w:val="en-US" w:eastAsia="zh-CN" w:bidi="en-US"/>
        </w:rPr>
        <w:t xml:space="preserve">    </w:t>
      </w:r>
    </w:p>
    <w:p w14:paraId="44C40368">
      <w:pPr>
        <w:spacing w:line="440" w:lineRule="exact"/>
        <w:rPr>
          <w:rFonts w:hint="eastAsia" w:ascii="仿宋" w:hAnsi="仿宋" w:eastAsia="仿宋" w:cs="仿宋"/>
          <w:b/>
          <w:bCs/>
          <w:color w:val="auto"/>
          <w:sz w:val="24"/>
          <w:szCs w:val="24"/>
          <w:highlight w:val="none"/>
          <w:lang w:val="en-US" w:eastAsia="zh-CN" w:bidi="en-US"/>
        </w:rPr>
      </w:pPr>
    </w:p>
    <w:p w14:paraId="3B9B9DCE">
      <w:pPr>
        <w:rPr>
          <w:rFonts w:hint="eastAsia"/>
          <w:color w:val="auto"/>
          <w:highlight w:val="none"/>
          <w:lang w:eastAsia="zh-CN"/>
        </w:rPr>
      </w:pPr>
      <w:bookmarkStart w:id="80" w:name="_Toc22967"/>
      <w:bookmarkStart w:id="81" w:name="_Toc11180"/>
      <w:bookmarkStart w:id="82" w:name="_Toc515647816"/>
      <w:bookmarkStart w:id="83" w:name="_Toc5695"/>
    </w:p>
    <w:p w14:paraId="60E66209">
      <w:pPr>
        <w:rPr>
          <w:rFonts w:hint="eastAsia"/>
          <w:color w:val="auto"/>
          <w:highlight w:val="none"/>
          <w:lang w:eastAsia="zh-CN"/>
        </w:rPr>
      </w:pPr>
    </w:p>
    <w:p w14:paraId="68802794">
      <w:pPr>
        <w:pStyle w:val="33"/>
        <w:ind w:left="0" w:leftChars="0" w:firstLine="0" w:firstLineChars="0"/>
        <w:rPr>
          <w:rFonts w:hint="eastAsia"/>
          <w:color w:val="auto"/>
          <w:highlight w:val="none"/>
          <w:lang w:eastAsia="zh-CN"/>
        </w:rPr>
      </w:pPr>
    </w:p>
    <w:p w14:paraId="1E971EA7">
      <w:pPr>
        <w:pStyle w:val="33"/>
        <w:rPr>
          <w:rFonts w:hint="eastAsia"/>
          <w:color w:val="auto"/>
          <w:highlight w:val="none"/>
          <w:lang w:eastAsia="zh-CN"/>
        </w:rPr>
      </w:pPr>
    </w:p>
    <w:p w14:paraId="7EF2EEBF">
      <w:pPr>
        <w:pStyle w:val="33"/>
        <w:rPr>
          <w:rFonts w:hint="eastAsia"/>
          <w:color w:val="auto"/>
          <w:highlight w:val="none"/>
          <w:lang w:eastAsia="zh-CN"/>
        </w:rPr>
      </w:pPr>
    </w:p>
    <w:p w14:paraId="72F82AF2">
      <w:pPr>
        <w:pStyle w:val="33"/>
        <w:rPr>
          <w:rFonts w:hint="eastAsia"/>
          <w:color w:val="auto"/>
          <w:highlight w:val="none"/>
          <w:lang w:eastAsia="zh-CN"/>
        </w:rPr>
      </w:pPr>
    </w:p>
    <w:p w14:paraId="6CC55448">
      <w:pPr>
        <w:pStyle w:val="33"/>
        <w:rPr>
          <w:rFonts w:hint="eastAsia"/>
          <w:color w:val="auto"/>
          <w:highlight w:val="none"/>
          <w:lang w:eastAsia="zh-CN"/>
        </w:rPr>
      </w:pPr>
    </w:p>
    <w:p w14:paraId="709F8F2D">
      <w:pPr>
        <w:pStyle w:val="33"/>
        <w:rPr>
          <w:rFonts w:hint="eastAsia"/>
          <w:color w:val="auto"/>
          <w:highlight w:val="none"/>
          <w:lang w:eastAsia="zh-CN"/>
        </w:rPr>
      </w:pPr>
    </w:p>
    <w:p w14:paraId="7E551808">
      <w:pPr>
        <w:pStyle w:val="33"/>
        <w:rPr>
          <w:rFonts w:hint="eastAsia"/>
          <w:color w:val="auto"/>
          <w:highlight w:val="none"/>
          <w:lang w:eastAsia="zh-CN"/>
        </w:rPr>
      </w:pPr>
    </w:p>
    <w:p w14:paraId="74FB2925">
      <w:pPr>
        <w:pStyle w:val="33"/>
        <w:rPr>
          <w:rFonts w:hint="eastAsia"/>
          <w:color w:val="auto"/>
          <w:highlight w:val="none"/>
          <w:lang w:eastAsia="zh-CN"/>
        </w:rPr>
      </w:pPr>
    </w:p>
    <w:p w14:paraId="7DF46DC0">
      <w:pPr>
        <w:pStyle w:val="2"/>
        <w:spacing w:before="40" w:after="40" w:line="579" w:lineRule="auto"/>
        <w:jc w:val="center"/>
        <w:rPr>
          <w:rFonts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第二部分  商务及技术文件</w:t>
      </w:r>
      <w:bookmarkEnd w:id="80"/>
      <w:bookmarkEnd w:id="81"/>
      <w:bookmarkEnd w:id="82"/>
      <w:bookmarkEnd w:id="83"/>
    </w:p>
    <w:p w14:paraId="54305B8F">
      <w:pPr>
        <w:pStyle w:val="10"/>
        <w:spacing w:line="400" w:lineRule="exact"/>
        <w:ind w:left="359" w:leftChars="148" w:firstLine="228"/>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1、投标函</w:t>
      </w:r>
    </w:p>
    <w:p w14:paraId="6BC2F471">
      <w:pPr>
        <w:pStyle w:val="10"/>
        <w:spacing w:line="400" w:lineRule="exact"/>
        <w:ind w:left="359" w:leftChars="148" w:firstLine="228"/>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2、开标一览表</w:t>
      </w:r>
    </w:p>
    <w:p w14:paraId="080D848C">
      <w:pPr>
        <w:pStyle w:val="10"/>
        <w:spacing w:line="400" w:lineRule="exact"/>
        <w:ind w:left="359" w:leftChars="148" w:firstLine="228"/>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3、货物说明一览表</w:t>
      </w:r>
    </w:p>
    <w:p w14:paraId="663816EB">
      <w:pPr>
        <w:pStyle w:val="10"/>
        <w:spacing w:line="400" w:lineRule="exact"/>
        <w:ind w:left="359" w:leftChars="148" w:firstLine="228"/>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4、投标分项报价明细表</w:t>
      </w:r>
    </w:p>
    <w:p w14:paraId="2806CE9F">
      <w:pPr>
        <w:pStyle w:val="10"/>
        <w:spacing w:line="400" w:lineRule="exact"/>
        <w:ind w:left="359" w:leftChars="148" w:firstLine="228"/>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5</w:t>
      </w:r>
      <w:r>
        <w:rPr>
          <w:rFonts w:hint="eastAsia" w:ascii="仿宋" w:hAnsi="仿宋" w:eastAsia="仿宋" w:cs="仿宋"/>
          <w:color w:val="auto"/>
          <w:highlight w:val="none"/>
          <w:lang w:eastAsia="zh-CN"/>
        </w:rPr>
        <w:t>、技术</w:t>
      </w:r>
      <w:r>
        <w:rPr>
          <w:rFonts w:hint="eastAsia" w:ascii="仿宋" w:hAnsi="仿宋" w:eastAsia="仿宋" w:cs="仿宋"/>
          <w:color w:val="auto"/>
          <w:highlight w:val="none"/>
          <w:lang w:val="en-US" w:eastAsia="zh-CN"/>
        </w:rPr>
        <w:t>条款</w:t>
      </w:r>
      <w:r>
        <w:rPr>
          <w:rFonts w:hint="eastAsia" w:ascii="仿宋" w:hAnsi="仿宋" w:eastAsia="仿宋" w:cs="仿宋"/>
          <w:color w:val="auto"/>
          <w:highlight w:val="none"/>
          <w:lang w:eastAsia="zh-CN"/>
        </w:rPr>
        <w:t>偏离表</w:t>
      </w:r>
    </w:p>
    <w:p w14:paraId="0065F7D3">
      <w:pPr>
        <w:pStyle w:val="10"/>
        <w:spacing w:line="400" w:lineRule="exact"/>
        <w:ind w:left="359" w:leftChars="148" w:firstLine="228"/>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6</w:t>
      </w:r>
      <w:r>
        <w:rPr>
          <w:rFonts w:hint="eastAsia" w:ascii="仿宋" w:hAnsi="仿宋" w:eastAsia="仿宋" w:cs="仿宋"/>
          <w:color w:val="auto"/>
          <w:highlight w:val="none"/>
          <w:lang w:eastAsia="zh-CN"/>
        </w:rPr>
        <w:t>、商务条款偏离表</w:t>
      </w:r>
    </w:p>
    <w:p w14:paraId="7A6550F9">
      <w:pPr>
        <w:pStyle w:val="10"/>
        <w:spacing w:line="400" w:lineRule="exact"/>
        <w:ind w:left="359" w:leftChars="148" w:firstLine="228"/>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7</w:t>
      </w:r>
      <w:r>
        <w:rPr>
          <w:rFonts w:hint="eastAsia" w:ascii="仿宋" w:hAnsi="仿宋" w:eastAsia="仿宋" w:cs="仿宋"/>
          <w:color w:val="auto"/>
          <w:highlight w:val="none"/>
          <w:lang w:eastAsia="zh-CN"/>
        </w:rPr>
        <w:t>、中小企业声明函(</w:t>
      </w:r>
      <w:r>
        <w:rPr>
          <w:rFonts w:hint="eastAsia" w:ascii="仿宋" w:hAnsi="仿宋" w:eastAsia="仿宋" w:cs="仿宋"/>
          <w:color w:val="auto"/>
          <w:highlight w:val="none"/>
          <w:lang w:val="en-US" w:eastAsia="zh-CN"/>
        </w:rPr>
        <w:t>货物</w:t>
      </w:r>
      <w:r>
        <w:rPr>
          <w:rFonts w:hint="eastAsia" w:ascii="仿宋" w:hAnsi="仿宋" w:eastAsia="仿宋" w:cs="仿宋"/>
          <w:color w:val="auto"/>
          <w:highlight w:val="none"/>
          <w:lang w:eastAsia="zh-CN"/>
        </w:rPr>
        <w:t>)</w:t>
      </w:r>
    </w:p>
    <w:p w14:paraId="2F21B7A5">
      <w:pPr>
        <w:pStyle w:val="10"/>
        <w:spacing w:line="400" w:lineRule="exact"/>
        <w:ind w:left="359" w:leftChars="148" w:firstLine="228"/>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8、</w:t>
      </w:r>
      <w:r>
        <w:rPr>
          <w:rFonts w:hint="eastAsia" w:ascii="仿宋" w:hAnsi="仿宋" w:eastAsia="仿宋" w:cs="仿宋"/>
          <w:color w:val="auto"/>
          <w:highlight w:val="none"/>
          <w:lang w:eastAsia="zh-CN"/>
        </w:rPr>
        <w:t>残疾人福利性单位声明函》</w:t>
      </w:r>
    </w:p>
    <w:p w14:paraId="76088689">
      <w:pPr>
        <w:pStyle w:val="10"/>
        <w:spacing w:line="400" w:lineRule="exact"/>
        <w:ind w:left="359" w:leftChars="148" w:firstLine="228"/>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9、关于符合本国产品标准的声明函</w:t>
      </w:r>
    </w:p>
    <w:p w14:paraId="42D69138">
      <w:pPr>
        <w:pStyle w:val="10"/>
        <w:spacing w:line="400" w:lineRule="exact"/>
        <w:ind w:left="359" w:leftChars="148" w:firstLine="228"/>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10</w:t>
      </w:r>
      <w:r>
        <w:rPr>
          <w:rFonts w:hint="eastAsia" w:ascii="仿宋" w:hAnsi="仿宋" w:eastAsia="仿宋" w:cs="仿宋"/>
          <w:color w:val="auto"/>
          <w:highlight w:val="none"/>
          <w:lang w:eastAsia="zh-CN"/>
        </w:rPr>
        <w:t>、评分标准和细则中技术部分证明材料（格式自拟）</w:t>
      </w:r>
    </w:p>
    <w:p w14:paraId="58A43A2B">
      <w:pPr>
        <w:pStyle w:val="10"/>
        <w:spacing w:line="400" w:lineRule="exact"/>
        <w:ind w:left="359" w:leftChars="148" w:firstLine="228"/>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11</w:t>
      </w:r>
      <w:r>
        <w:rPr>
          <w:rFonts w:hint="eastAsia" w:ascii="仿宋" w:hAnsi="仿宋" w:eastAsia="仿宋" w:cs="仿宋"/>
          <w:color w:val="auto"/>
          <w:highlight w:val="none"/>
          <w:lang w:eastAsia="zh-CN"/>
        </w:rPr>
        <w:t>、评分标准和细则中</w:t>
      </w:r>
      <w:r>
        <w:rPr>
          <w:rFonts w:hint="eastAsia" w:ascii="仿宋" w:hAnsi="仿宋" w:eastAsia="仿宋" w:cs="仿宋"/>
          <w:color w:val="auto"/>
          <w:highlight w:val="none"/>
          <w:lang w:val="en-US" w:eastAsia="zh-CN"/>
        </w:rPr>
        <w:t>商务</w:t>
      </w:r>
      <w:r>
        <w:rPr>
          <w:rFonts w:hint="eastAsia" w:ascii="仿宋" w:hAnsi="仿宋" w:eastAsia="仿宋" w:cs="仿宋"/>
          <w:color w:val="auto"/>
          <w:highlight w:val="none"/>
          <w:lang w:eastAsia="zh-CN"/>
        </w:rPr>
        <w:t>部分证明材料（格式自拟）</w:t>
      </w:r>
    </w:p>
    <w:p w14:paraId="585F872B">
      <w:pPr>
        <w:pStyle w:val="10"/>
        <w:spacing w:line="400" w:lineRule="exact"/>
        <w:ind w:left="359" w:leftChars="148" w:firstLine="228"/>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12</w:t>
      </w:r>
      <w:r>
        <w:rPr>
          <w:rFonts w:hint="eastAsia" w:ascii="仿宋" w:hAnsi="仿宋" w:eastAsia="仿宋" w:cs="仿宋"/>
          <w:color w:val="auto"/>
          <w:highlight w:val="none"/>
          <w:lang w:eastAsia="zh-CN"/>
        </w:rPr>
        <w:t>、供应商认为有必要提供的其他证明材料（格式自拟）</w:t>
      </w:r>
    </w:p>
    <w:p w14:paraId="532C3CC9">
      <w:pPr>
        <w:pStyle w:val="10"/>
        <w:spacing w:line="400" w:lineRule="exact"/>
        <w:ind w:left="359" w:leftChars="148" w:firstLine="228"/>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br w:type="page"/>
      </w:r>
    </w:p>
    <w:p w14:paraId="1B2863F1">
      <w:pPr>
        <w:pStyle w:val="8"/>
        <w:numPr>
          <w:ilvl w:val="0"/>
          <w:numId w:val="0"/>
        </w:numPr>
        <w:kinsoku w:val="0"/>
        <w:overflowPunct w:val="0"/>
        <w:spacing w:before="130" w:line="355" w:lineRule="auto"/>
        <w:ind w:left="480" w:right="7"/>
        <w:jc w:val="center"/>
        <w:rPr>
          <w:rFonts w:ascii="仿宋" w:hAnsi="仿宋" w:eastAsia="仿宋" w:cs="仿宋"/>
          <w:b/>
          <w:bCs/>
          <w:color w:val="auto"/>
          <w:sz w:val="36"/>
          <w:szCs w:val="36"/>
          <w:highlight w:val="none"/>
          <w:lang w:eastAsia="zh-CN"/>
        </w:rPr>
      </w:pPr>
      <w:r>
        <w:rPr>
          <w:rFonts w:hint="eastAsia" w:ascii="仿宋" w:hAnsi="仿宋" w:eastAsia="仿宋" w:cs="仿宋"/>
          <w:b/>
          <w:bCs/>
          <w:color w:val="auto"/>
          <w:sz w:val="36"/>
          <w:szCs w:val="36"/>
          <w:highlight w:val="none"/>
          <w:lang w:eastAsia="zh-CN"/>
        </w:rPr>
        <w:t>1、投标函</w:t>
      </w:r>
    </w:p>
    <w:p w14:paraId="70C05C1B">
      <w:pPr>
        <w:spacing w:line="440" w:lineRule="exact"/>
        <w:rPr>
          <w:rFonts w:ascii="仿宋" w:hAnsi="仿宋" w:eastAsia="仿宋" w:cs="仿宋"/>
          <w:color w:val="auto"/>
          <w:highlight w:val="none"/>
          <w:u w:val="single"/>
          <w:lang w:eastAsia="zh-CN"/>
        </w:rPr>
      </w:pPr>
      <w:r>
        <w:rPr>
          <w:rFonts w:hint="eastAsia" w:ascii="仿宋" w:hAnsi="仿宋" w:eastAsia="仿宋" w:cs="仿宋"/>
          <w:color w:val="auto"/>
          <w:highlight w:val="none"/>
          <w:lang w:eastAsia="zh-CN"/>
        </w:rPr>
        <w:t>致：</w:t>
      </w:r>
      <w:r>
        <w:rPr>
          <w:rFonts w:hint="eastAsia" w:ascii="仿宋" w:hAnsi="仿宋" w:eastAsia="仿宋" w:cs="仿宋"/>
          <w:color w:val="auto"/>
          <w:highlight w:val="none"/>
          <w:u w:val="single"/>
          <w:lang w:eastAsia="zh-CN"/>
        </w:rPr>
        <w:t xml:space="preserve">                     </w:t>
      </w:r>
    </w:p>
    <w:p w14:paraId="38CBF3D5">
      <w:pPr>
        <w:spacing w:line="4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为响应你方组织的</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项目的招标[项目编号为：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，我方愿参与投标。</w:t>
      </w:r>
    </w:p>
    <w:p w14:paraId="698EFFAC">
      <w:pPr>
        <w:spacing w:line="4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我方确认收到贵方提供的</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招标文件的全部内容。</w:t>
      </w:r>
    </w:p>
    <w:p w14:paraId="6C7D6C53">
      <w:pPr>
        <w:spacing w:line="4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我方在参与投标前已详细研究了招标文件的所有内容，包括澄清、修改文件（如果有）和所有已提供的参考资料以及有关附件，我方完全明白并认为此招标文件没有倾向性，也不存在排斥潜在报价供应商的内容，我方同意招标文件的相关条款，放弃对招标文件提出误解和质疑的一切权力。</w:t>
      </w:r>
    </w:p>
    <w:p w14:paraId="20402100">
      <w:pPr>
        <w:spacing w:line="4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u w:val="single"/>
          <w:lang w:eastAsia="zh-CN"/>
        </w:rPr>
        <w:t xml:space="preserve">      (供应商名称)      </w:t>
      </w:r>
      <w:r>
        <w:rPr>
          <w:rFonts w:hint="eastAsia" w:ascii="仿宋" w:hAnsi="仿宋" w:eastAsia="仿宋" w:cs="仿宋"/>
          <w:color w:val="auto"/>
          <w:highlight w:val="none"/>
          <w:lang w:eastAsia="zh-CN"/>
        </w:rPr>
        <w:t>作为供应商正式授权</w:t>
      </w:r>
      <w:r>
        <w:rPr>
          <w:rFonts w:hint="eastAsia" w:ascii="仿宋" w:hAnsi="仿宋" w:eastAsia="仿宋" w:cs="仿宋"/>
          <w:color w:val="auto"/>
          <w:highlight w:val="none"/>
          <w:u w:val="single"/>
          <w:lang w:eastAsia="zh-CN"/>
        </w:rPr>
        <w:t xml:space="preserve">  (授权代表全名, 职务)  </w:t>
      </w:r>
      <w:r>
        <w:rPr>
          <w:rFonts w:hint="eastAsia" w:ascii="仿宋" w:hAnsi="仿宋" w:eastAsia="仿宋" w:cs="仿宋"/>
          <w:color w:val="auto"/>
          <w:highlight w:val="none"/>
          <w:lang w:eastAsia="zh-CN"/>
        </w:rPr>
        <w:t>代表我方全权处理有关本报价的一切事宜。</w:t>
      </w:r>
    </w:p>
    <w:p w14:paraId="5D3BB953">
      <w:pPr>
        <w:spacing w:line="4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我方已完全明白招标文件的所有条款要求，并申明如下：</w:t>
      </w:r>
    </w:p>
    <w:p w14:paraId="6D54E33D">
      <w:pPr>
        <w:spacing w:line="48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（一）按招标文件提供的全部货物与相关服务的投标总价详见《报价一览表》。</w:t>
      </w:r>
    </w:p>
    <w:p w14:paraId="78115E92">
      <w:pPr>
        <w:spacing w:line="48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（二）本投标文件的有效期为投标截止时间起</w:t>
      </w:r>
      <w:r>
        <w:rPr>
          <w:rFonts w:hint="eastAsia" w:ascii="仿宋" w:hAnsi="仿宋" w:eastAsia="仿宋" w:cs="仿宋"/>
          <w:color w:val="auto"/>
          <w:highlight w:val="none"/>
          <w:u w:val="single"/>
          <w:lang w:eastAsia="zh-CN"/>
        </w:rPr>
        <w:t>60</w:t>
      </w:r>
      <w:r>
        <w:rPr>
          <w:rFonts w:hint="eastAsia" w:ascii="仿宋" w:hAnsi="仿宋" w:eastAsia="仿宋" w:cs="仿宋"/>
          <w:color w:val="auto"/>
          <w:highlight w:val="none"/>
          <w:lang w:eastAsia="zh-CN"/>
        </w:rPr>
        <w:t>天。如中标，有效期将延至合同终止日为止。在此提交的资格证明文件均至投标截止日有效，如有在投标有效期内失效的，我方承诺在中标后补齐一切手续，保证所有资格证明文件能在签订采购合同时直至采购合同终止日有效。</w:t>
      </w:r>
    </w:p>
    <w:p w14:paraId="37CCAFED">
      <w:pPr>
        <w:spacing w:line="48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（三）我方同意按照贵方可能提出的要求而提供与投标有关的任何其它数据、信息或资料。</w:t>
      </w:r>
    </w:p>
    <w:p w14:paraId="58AF4055">
      <w:pPr>
        <w:spacing w:line="48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（四）我方理解贵方不一定接受最低投标价或任何贵方可能收到的投标。</w:t>
      </w:r>
    </w:p>
    <w:p w14:paraId="3007E97B">
      <w:pPr>
        <w:spacing w:line="48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（五）我方如果中标，将保证履行招标文件及其澄清、修改文件（如果有）中的全部责任和义务，按质、按量、按期完成《招标内容》及《合同书》中的全部任务。</w:t>
      </w:r>
    </w:p>
    <w:p w14:paraId="0840E1C7">
      <w:pPr>
        <w:spacing w:line="48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（六）如我方被授予合同，我方承诺支付就本次招标应支付或将支付的中标服务费（详见按招标文件要求格式填写的《中标服务费支付承诺书》）。</w:t>
      </w:r>
    </w:p>
    <w:p w14:paraId="263DCFF1">
      <w:pPr>
        <w:spacing w:line="48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（七）我方作为在法律、财务和运作上独立于采购人、招标代理机构的供应商，在此保证所提交的所有文件和全部说明是真实的和正确的。</w:t>
      </w:r>
    </w:p>
    <w:p w14:paraId="16DB99E4">
      <w:pPr>
        <w:spacing w:line="48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（八）我方投标报价已包含应向知识产权所有权人支付的所有相关税费，并保证采购人在中国使用我方提供的货物时，如有第三方提出侵犯其知识产权主张的，责任由我方承担。</w:t>
      </w:r>
    </w:p>
    <w:p w14:paraId="10FEDDE9">
      <w:pPr>
        <w:spacing w:line="48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（九）我方与其他供应商不存在单位负责人为同一人或者存在直接控股、管理关系。</w:t>
      </w:r>
    </w:p>
    <w:p w14:paraId="169A1815">
      <w:pPr>
        <w:spacing w:line="48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（十）我方承诺未为本项目提供整体设计、规范编制或者项目管理、监理、检测等服务。</w:t>
      </w:r>
    </w:p>
    <w:p w14:paraId="369C04B1">
      <w:pPr>
        <w:spacing w:line="48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（十一）我方具备《政府采购法》第二十二条规定的条件，承诺如下：</w:t>
      </w:r>
    </w:p>
    <w:p w14:paraId="4650F306">
      <w:pPr>
        <w:spacing w:line="4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（1）我方已依法缴纳了各项税费及社会保险费用，如有需要，可随时向采购人提供近三个月内的相关缴费证明，以便核查。</w:t>
      </w:r>
    </w:p>
    <w:p w14:paraId="141B7E96">
      <w:pPr>
        <w:spacing w:line="4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（2）我方已依法建立健全的财务会计制度，如有需要，可随时向采购人提供相关的证明材料，以便核查。</w:t>
      </w:r>
    </w:p>
    <w:p w14:paraId="508070C5">
      <w:pPr>
        <w:spacing w:line="4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（3）我方参加本项目政府采购活动前3年内在经营活动中没有重大违法记录。</w:t>
      </w:r>
    </w:p>
    <w:p w14:paraId="6C244C6D">
      <w:pPr>
        <w:spacing w:line="4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（4）我方具备履行合同所必需的设备和专业技术能力。</w:t>
      </w:r>
    </w:p>
    <w:p w14:paraId="0A8B0151">
      <w:pPr>
        <w:spacing w:line="4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（5）我方符合法律、行政法规规定的其他条件。</w:t>
      </w:r>
    </w:p>
    <w:p w14:paraId="79C78522">
      <w:pPr>
        <w:spacing w:line="4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以上内容如有虚假或与事实不符的，评审委员会可将我方</w:t>
      </w:r>
      <w:r>
        <w:rPr>
          <w:rFonts w:hint="eastAsia" w:ascii="仿宋" w:hAnsi="仿宋" w:eastAsia="仿宋" w:cs="仿宋"/>
          <w:color w:val="auto"/>
          <w:highlight w:val="none"/>
          <w:lang w:val="en-US" w:eastAsia="zh-CN"/>
        </w:rPr>
        <w:t>作</w:t>
      </w:r>
      <w:r>
        <w:rPr>
          <w:rFonts w:hint="eastAsia" w:ascii="仿宋" w:hAnsi="仿宋" w:eastAsia="仿宋" w:cs="仿宋"/>
          <w:color w:val="auto"/>
          <w:highlight w:val="none"/>
          <w:lang w:eastAsia="zh-CN"/>
        </w:rPr>
        <w:t>无效投标处理，我方愿意承担相应的法律责任。</w:t>
      </w:r>
    </w:p>
    <w:p w14:paraId="36B4ACB5">
      <w:pPr>
        <w:spacing w:line="4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（十</w:t>
      </w:r>
      <w:r>
        <w:rPr>
          <w:rFonts w:hint="eastAsia" w:ascii="仿宋" w:hAnsi="仿宋" w:eastAsia="仿宋" w:cs="仿宋"/>
          <w:color w:val="auto"/>
          <w:highlight w:val="none"/>
          <w:lang w:val="en-US" w:eastAsia="zh-CN"/>
        </w:rPr>
        <w:t>二</w:t>
      </w:r>
      <w:r>
        <w:rPr>
          <w:rFonts w:hint="eastAsia" w:ascii="仿宋" w:hAnsi="仿宋" w:eastAsia="仿宋" w:cs="仿宋"/>
          <w:color w:val="auto"/>
          <w:highlight w:val="none"/>
          <w:lang w:eastAsia="zh-CN"/>
        </w:rPr>
        <w:t>）我方对在本函及投标文件中所作的所有承诺承担法律责任。</w:t>
      </w:r>
    </w:p>
    <w:p w14:paraId="0133DBC2">
      <w:pPr>
        <w:spacing w:line="4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（十</w:t>
      </w:r>
      <w:r>
        <w:rPr>
          <w:rFonts w:hint="eastAsia" w:ascii="仿宋" w:hAnsi="仿宋" w:eastAsia="仿宋" w:cs="仿宋"/>
          <w:color w:val="auto"/>
          <w:highlight w:val="none"/>
          <w:lang w:val="en-US" w:eastAsia="zh-CN"/>
        </w:rPr>
        <w:t>三</w:t>
      </w:r>
      <w:r>
        <w:rPr>
          <w:rFonts w:hint="eastAsia" w:ascii="仿宋" w:hAnsi="仿宋" w:eastAsia="仿宋" w:cs="仿宋"/>
          <w:color w:val="auto"/>
          <w:highlight w:val="none"/>
          <w:lang w:eastAsia="zh-CN"/>
        </w:rPr>
        <w:t>）所有与本招标有关的函件请发往下列地址：</w:t>
      </w:r>
    </w:p>
    <w:p w14:paraId="5C37DDD6">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地    址：</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.邮政编码：</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w:t>
      </w:r>
    </w:p>
    <w:p w14:paraId="5595F56B">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电    话：</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w:t>
      </w:r>
    </w:p>
    <w:p w14:paraId="5E4B7066">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传    真：</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w:t>
      </w:r>
    </w:p>
    <w:p w14:paraId="4D1805DF">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代表姓名：</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.职    务：</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w:t>
      </w:r>
    </w:p>
    <w:p w14:paraId="1C721784">
      <w:pPr>
        <w:spacing w:line="440" w:lineRule="exact"/>
        <w:ind w:right="480"/>
        <w:jc w:val="right"/>
        <w:rPr>
          <w:rFonts w:ascii="仿宋" w:hAnsi="仿宋" w:eastAsia="仿宋" w:cs="仿宋"/>
          <w:color w:val="auto"/>
          <w:highlight w:val="none"/>
          <w:lang w:eastAsia="zh-CN"/>
        </w:rPr>
      </w:pPr>
      <w:r>
        <w:rPr>
          <w:rFonts w:hint="eastAsia" w:ascii="仿宋" w:hAnsi="仿宋" w:eastAsia="仿宋" w:cs="仿宋"/>
          <w:color w:val="auto"/>
          <w:highlight w:val="none"/>
          <w:lang w:eastAsia="zh-CN"/>
        </w:rPr>
        <w:t>供应商：</w:t>
      </w:r>
      <w:r>
        <w:rPr>
          <w:rFonts w:hint="eastAsia" w:ascii="仿宋" w:hAnsi="仿宋" w:eastAsia="仿宋" w:cs="仿宋"/>
          <w:color w:val="auto"/>
          <w:highlight w:val="none"/>
          <w:u w:val="single"/>
          <w:lang w:eastAsia="zh-CN"/>
        </w:rPr>
        <w:tab/>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（公章） </w:t>
      </w:r>
    </w:p>
    <w:p w14:paraId="316EEDD6">
      <w:pPr>
        <w:wordWrap w:val="0"/>
        <w:spacing w:line="440" w:lineRule="exact"/>
        <w:ind w:firstLine="486" w:firstLineChars="200"/>
        <w:jc w:val="right"/>
        <w:rPr>
          <w:rFonts w:ascii="仿宋" w:hAnsi="仿宋" w:eastAsia="仿宋" w:cs="仿宋"/>
          <w:color w:val="auto"/>
          <w:highlight w:val="none"/>
          <w:lang w:eastAsia="zh-CN"/>
        </w:rPr>
      </w:pPr>
      <w:r>
        <w:rPr>
          <w:rFonts w:hint="eastAsia" w:ascii="仿宋" w:hAnsi="仿宋" w:eastAsia="仿宋" w:cs="仿宋"/>
          <w:color w:val="auto"/>
          <w:highlight w:val="none"/>
          <w:lang w:eastAsia="zh-CN"/>
        </w:rPr>
        <w:t>法定代表人或委托人：</w:t>
      </w:r>
      <w:r>
        <w:rPr>
          <w:rFonts w:hint="eastAsia" w:ascii="仿宋" w:hAnsi="仿宋" w:eastAsia="仿宋" w:cs="仿宋"/>
          <w:color w:val="auto"/>
          <w:highlight w:val="none"/>
          <w:lang w:eastAsia="zh-CN"/>
        </w:rPr>
        <w:tab/>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（签章）  </w:t>
      </w:r>
    </w:p>
    <w:p w14:paraId="170A4795">
      <w:pPr>
        <w:wordWrap w:val="0"/>
        <w:spacing w:line="440" w:lineRule="exact"/>
        <w:ind w:firstLine="486" w:firstLineChars="200"/>
        <w:jc w:val="right"/>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u w:val="single"/>
          <w:lang w:eastAsia="zh-CN"/>
        </w:rPr>
        <w:tab/>
      </w:r>
      <w:r>
        <w:rPr>
          <w:rFonts w:hint="eastAsia" w:ascii="仿宋" w:hAnsi="仿宋" w:eastAsia="仿宋" w:cs="仿宋"/>
          <w:color w:val="auto"/>
          <w:highlight w:val="none"/>
          <w:lang w:eastAsia="zh-CN"/>
        </w:rPr>
        <w:t>年</w:t>
      </w:r>
      <w:r>
        <w:rPr>
          <w:rFonts w:hint="eastAsia" w:ascii="仿宋" w:hAnsi="仿宋" w:eastAsia="仿宋" w:cs="仿宋"/>
          <w:color w:val="auto"/>
          <w:highlight w:val="none"/>
          <w:u w:val="single"/>
          <w:lang w:eastAsia="zh-CN"/>
        </w:rPr>
        <w:tab/>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月</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日</w:t>
      </w:r>
    </w:p>
    <w:p w14:paraId="1A377AC0">
      <w:pPr>
        <w:pStyle w:val="37"/>
        <w:rPr>
          <w:rFonts w:ascii="仿宋" w:hAnsi="仿宋" w:eastAsia="仿宋" w:cs="仿宋"/>
          <w:color w:val="auto"/>
          <w:highlight w:val="none"/>
          <w:lang w:eastAsia="zh-CN"/>
        </w:rPr>
      </w:pPr>
      <w:r>
        <w:rPr>
          <w:rFonts w:hint="eastAsia" w:ascii="仿宋" w:hAnsi="仿宋" w:eastAsia="仿宋" w:cs="仿宋"/>
          <w:color w:val="auto"/>
          <w:highlight w:val="none"/>
          <w:lang w:eastAsia="zh-CN"/>
        </w:rPr>
        <w:br w:type="page"/>
      </w:r>
    </w:p>
    <w:p w14:paraId="0CEC0C4E">
      <w:pPr>
        <w:pStyle w:val="6"/>
        <w:tabs>
          <w:tab w:val="left" w:pos="5580"/>
        </w:tabs>
        <w:spacing w:line="240" w:lineRule="atLeast"/>
        <w:ind w:firstLine="3364" w:firstLineChars="927"/>
        <w:jc w:val="both"/>
        <w:rPr>
          <w:rFonts w:ascii="仿宋" w:hAnsi="仿宋" w:eastAsia="仿宋" w:cs="仿宋"/>
          <w:color w:val="auto"/>
          <w:highlight w:val="none"/>
          <w:lang w:eastAsia="zh-CN"/>
        </w:rPr>
      </w:pPr>
      <w:r>
        <w:rPr>
          <w:rFonts w:hint="eastAsia" w:ascii="仿宋" w:hAnsi="仿宋" w:eastAsia="仿宋" w:cs="仿宋"/>
          <w:b/>
          <w:color w:val="auto"/>
          <w:sz w:val="36"/>
          <w:szCs w:val="24"/>
          <w:highlight w:val="none"/>
          <w:lang w:eastAsia="zh-CN"/>
        </w:rPr>
        <w:t>2、开标一览表</w:t>
      </w:r>
      <w:r>
        <w:rPr>
          <w:rFonts w:hint="eastAsia" w:ascii="仿宋" w:hAnsi="仿宋" w:eastAsia="仿宋" w:cs="仿宋"/>
          <w:b/>
          <w:color w:val="auto"/>
          <w:sz w:val="36"/>
          <w:szCs w:val="24"/>
          <w:highlight w:val="none"/>
          <w:lang w:eastAsia="zh-CN"/>
        </w:rPr>
        <w:cr/>
      </w:r>
    </w:p>
    <w:p w14:paraId="202C08A0">
      <w:pPr>
        <w:adjustRightInd w:val="0"/>
        <w:snapToGrid w:val="0"/>
        <w:spacing w:line="500" w:lineRule="exact"/>
        <w:rPr>
          <w:rFonts w:ascii="仿宋" w:hAnsi="仿宋" w:eastAsia="仿宋" w:cs="仿宋"/>
          <w:color w:val="auto"/>
          <w:szCs w:val="21"/>
          <w:highlight w:val="none"/>
          <w:u w:val="single"/>
          <w:lang w:eastAsia="zh-CN"/>
        </w:rPr>
      </w:pPr>
      <w:r>
        <w:rPr>
          <w:rFonts w:hint="eastAsia" w:ascii="仿宋" w:hAnsi="仿宋" w:eastAsia="仿宋" w:cs="仿宋"/>
          <w:color w:val="auto"/>
          <w:szCs w:val="21"/>
          <w:highlight w:val="none"/>
          <w:lang w:eastAsia="zh-CN"/>
        </w:rPr>
        <w:t xml:space="preserve">招标项目名称： </w:t>
      </w:r>
      <w:r>
        <w:rPr>
          <w:rFonts w:hint="eastAsia" w:ascii="仿宋" w:hAnsi="仿宋" w:eastAsia="仿宋" w:cs="仿宋"/>
          <w:color w:val="auto"/>
          <w:szCs w:val="21"/>
          <w:highlight w:val="none"/>
          <w:u w:val="single"/>
          <w:lang w:eastAsia="zh-CN"/>
        </w:rPr>
        <w:t xml:space="preserve">                         </w:t>
      </w:r>
    </w:p>
    <w:p w14:paraId="2FE111F6">
      <w:pPr>
        <w:adjustRightInd w:val="0"/>
        <w:snapToGrid w:val="0"/>
        <w:spacing w:line="500" w:lineRule="exact"/>
        <w:rPr>
          <w:rFonts w:ascii="仿宋" w:hAnsi="仿宋" w:eastAsia="仿宋" w:cs="仿宋"/>
          <w:i/>
          <w:iCs/>
          <w:color w:val="auto"/>
          <w:szCs w:val="21"/>
          <w:highlight w:val="none"/>
          <w:lang w:eastAsia="zh-CN"/>
        </w:rPr>
      </w:pPr>
      <w:r>
        <w:rPr>
          <w:rFonts w:hint="eastAsia" w:ascii="仿宋" w:hAnsi="仿宋" w:eastAsia="仿宋" w:cs="仿宋"/>
          <w:color w:val="auto"/>
          <w:szCs w:val="21"/>
          <w:highlight w:val="none"/>
          <w:lang w:eastAsia="zh-CN"/>
        </w:rPr>
        <w:t>招标项目编号：</w:t>
      </w:r>
      <w:r>
        <w:rPr>
          <w:rFonts w:hint="eastAsia" w:ascii="仿宋" w:hAnsi="仿宋" w:eastAsia="仿宋" w:cs="仿宋"/>
          <w:i/>
          <w:iCs/>
          <w:color w:val="auto"/>
          <w:szCs w:val="21"/>
          <w:highlight w:val="none"/>
          <w:lang w:eastAsia="zh-CN"/>
        </w:rPr>
        <w:t xml:space="preserve"> </w:t>
      </w:r>
      <w:r>
        <w:rPr>
          <w:rFonts w:hint="eastAsia" w:ascii="仿宋" w:hAnsi="仿宋" w:eastAsia="仿宋" w:cs="仿宋"/>
          <w:color w:val="auto"/>
          <w:szCs w:val="21"/>
          <w:highlight w:val="none"/>
          <w:u w:val="single"/>
          <w:lang w:eastAsia="zh-CN"/>
        </w:rPr>
        <w:t xml:space="preserve">                         </w:t>
      </w:r>
    </w:p>
    <w:p w14:paraId="0DAE85A1">
      <w:pPr>
        <w:spacing w:line="50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                                                 单位：元（人民币）</w:t>
      </w:r>
    </w:p>
    <w:tbl>
      <w:tblPr>
        <w:tblStyle w:val="25"/>
        <w:tblW w:w="8780" w:type="dxa"/>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1"/>
        <w:gridCol w:w="974"/>
        <w:gridCol w:w="6185"/>
      </w:tblGrid>
      <w:tr w14:paraId="20C65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trPr>
        <w:tc>
          <w:tcPr>
            <w:tcW w:w="2595" w:type="dxa"/>
            <w:gridSpan w:val="2"/>
            <w:vAlign w:val="center"/>
          </w:tcPr>
          <w:p w14:paraId="6E84F8C4">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项目名称</w:t>
            </w:r>
          </w:p>
        </w:tc>
        <w:tc>
          <w:tcPr>
            <w:tcW w:w="6185" w:type="dxa"/>
            <w:vAlign w:val="center"/>
          </w:tcPr>
          <w:p w14:paraId="2D882AAD">
            <w:pPr>
              <w:rPr>
                <w:rFonts w:ascii="仿宋" w:hAnsi="仿宋" w:eastAsia="仿宋" w:cs="仿宋"/>
                <w:color w:val="auto"/>
                <w:szCs w:val="21"/>
                <w:highlight w:val="none"/>
              </w:rPr>
            </w:pPr>
          </w:p>
        </w:tc>
      </w:tr>
      <w:tr w14:paraId="18B9E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2595" w:type="dxa"/>
            <w:gridSpan w:val="2"/>
            <w:vAlign w:val="center"/>
          </w:tcPr>
          <w:p w14:paraId="16891F11">
            <w:pPr>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供货期限</w:t>
            </w:r>
          </w:p>
        </w:tc>
        <w:tc>
          <w:tcPr>
            <w:tcW w:w="6185" w:type="dxa"/>
            <w:vAlign w:val="center"/>
          </w:tcPr>
          <w:p w14:paraId="28E5E602">
            <w:pPr>
              <w:jc w:val="center"/>
              <w:rPr>
                <w:rFonts w:ascii="仿宋" w:hAnsi="仿宋" w:eastAsia="仿宋" w:cs="仿宋"/>
                <w:color w:val="auto"/>
                <w:szCs w:val="21"/>
                <w:highlight w:val="none"/>
                <w:lang w:eastAsia="zh-CN"/>
              </w:rPr>
            </w:pPr>
          </w:p>
        </w:tc>
      </w:tr>
      <w:tr w14:paraId="6A6E2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3" w:hRule="atLeast"/>
        </w:trPr>
        <w:tc>
          <w:tcPr>
            <w:tcW w:w="2595" w:type="dxa"/>
            <w:gridSpan w:val="2"/>
            <w:tcBorders>
              <w:top w:val="single" w:color="auto" w:sz="4" w:space="0"/>
            </w:tcBorders>
            <w:vAlign w:val="center"/>
          </w:tcPr>
          <w:p w14:paraId="4AE7056D">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投标有效期</w:t>
            </w:r>
          </w:p>
        </w:tc>
        <w:tc>
          <w:tcPr>
            <w:tcW w:w="6185" w:type="dxa"/>
            <w:vAlign w:val="center"/>
          </w:tcPr>
          <w:p w14:paraId="2CDDA4C0">
            <w:pPr>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60天</w:t>
            </w:r>
          </w:p>
        </w:tc>
      </w:tr>
      <w:tr w14:paraId="4A398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621" w:type="dxa"/>
            <w:vMerge w:val="restart"/>
            <w:vAlign w:val="center"/>
          </w:tcPr>
          <w:p w14:paraId="610C54A2">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投标报价</w:t>
            </w:r>
          </w:p>
          <w:p w14:paraId="37929E90">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（人民币）</w:t>
            </w:r>
          </w:p>
        </w:tc>
        <w:tc>
          <w:tcPr>
            <w:tcW w:w="974" w:type="dxa"/>
            <w:tcBorders>
              <w:top w:val="single" w:color="auto" w:sz="4" w:space="0"/>
              <w:bottom w:val="single" w:color="auto" w:sz="4" w:space="0"/>
            </w:tcBorders>
            <w:vAlign w:val="center"/>
          </w:tcPr>
          <w:p w14:paraId="6A4F9991">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rPr>
              <w:t>小写</w:t>
            </w:r>
          </w:p>
        </w:tc>
        <w:tc>
          <w:tcPr>
            <w:tcW w:w="6185" w:type="dxa"/>
            <w:vAlign w:val="center"/>
          </w:tcPr>
          <w:p w14:paraId="245D8BC6">
            <w:pPr>
              <w:jc w:val="center"/>
              <w:rPr>
                <w:rFonts w:ascii="仿宋" w:hAnsi="仿宋" w:eastAsia="仿宋" w:cs="仿宋"/>
                <w:color w:val="auto"/>
                <w:szCs w:val="21"/>
                <w:highlight w:val="none"/>
              </w:rPr>
            </w:pPr>
          </w:p>
        </w:tc>
      </w:tr>
      <w:tr w14:paraId="50B85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621" w:type="dxa"/>
            <w:vMerge w:val="continue"/>
            <w:vAlign w:val="center"/>
          </w:tcPr>
          <w:p w14:paraId="11DC0BA3">
            <w:pPr>
              <w:jc w:val="center"/>
              <w:rPr>
                <w:rFonts w:ascii="仿宋" w:hAnsi="仿宋" w:eastAsia="仿宋" w:cs="仿宋"/>
                <w:color w:val="auto"/>
                <w:szCs w:val="21"/>
                <w:highlight w:val="none"/>
              </w:rPr>
            </w:pPr>
          </w:p>
        </w:tc>
        <w:tc>
          <w:tcPr>
            <w:tcW w:w="974" w:type="dxa"/>
            <w:tcBorders>
              <w:top w:val="single" w:color="auto" w:sz="4" w:space="0"/>
              <w:bottom w:val="single" w:color="auto" w:sz="4" w:space="0"/>
            </w:tcBorders>
            <w:vAlign w:val="center"/>
          </w:tcPr>
          <w:p w14:paraId="5F05A1B5">
            <w:pPr>
              <w:widowControl/>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大写</w:t>
            </w:r>
          </w:p>
        </w:tc>
        <w:tc>
          <w:tcPr>
            <w:tcW w:w="6185" w:type="dxa"/>
            <w:vAlign w:val="center"/>
          </w:tcPr>
          <w:p w14:paraId="7EF0821C">
            <w:pPr>
              <w:jc w:val="center"/>
              <w:rPr>
                <w:rFonts w:ascii="仿宋" w:hAnsi="仿宋" w:eastAsia="仿宋" w:cs="仿宋"/>
                <w:color w:val="auto"/>
                <w:szCs w:val="21"/>
                <w:highlight w:val="none"/>
              </w:rPr>
            </w:pPr>
          </w:p>
        </w:tc>
      </w:tr>
    </w:tbl>
    <w:p w14:paraId="2F6A035C">
      <w:pPr>
        <w:spacing w:line="500" w:lineRule="exact"/>
        <w:ind w:firstLine="475" w:firstLineChars="196"/>
        <w:rPr>
          <w:rFonts w:ascii="仿宋" w:hAnsi="仿宋" w:eastAsia="仿宋" w:cs="仿宋"/>
          <w:color w:val="auto"/>
          <w:szCs w:val="21"/>
          <w:highlight w:val="none"/>
        </w:rPr>
      </w:pPr>
      <w:r>
        <w:rPr>
          <w:rFonts w:hint="eastAsia" w:ascii="仿宋" w:hAnsi="仿宋" w:eastAsia="仿宋" w:cs="仿宋"/>
          <w:color w:val="auto"/>
          <w:szCs w:val="21"/>
          <w:highlight w:val="none"/>
        </w:rPr>
        <w:t>填写说明：</w:t>
      </w:r>
    </w:p>
    <w:p w14:paraId="078652A8">
      <w:pPr>
        <w:spacing w:line="500" w:lineRule="exact"/>
        <w:ind w:firstLine="475" w:firstLineChars="196"/>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1.为方便开标唱标，供应商应将开标一览表单独密封，并在信封上标明“开标一览表”字样，然后在递交投标文件时单独递交</w:t>
      </w:r>
      <w:r>
        <w:rPr>
          <w:rFonts w:hint="eastAsia" w:ascii="仿宋" w:hAnsi="仿宋" w:eastAsia="仿宋" w:cs="仿宋"/>
          <w:b/>
          <w:bCs/>
          <w:color w:val="auto"/>
          <w:highlight w:val="none"/>
          <w:lang w:eastAsia="zh-CN"/>
        </w:rPr>
        <w:t>。</w:t>
      </w:r>
    </w:p>
    <w:p w14:paraId="4E803159">
      <w:pPr>
        <w:spacing w:line="5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开标时，本表中的内容与投标文件中的投标函、货物价格明细表及分项价格表的内容不一致的，以本表为准；大写金额与小写金额不一致的，以大写金额为准；总价金额与按单价汇总金额不一致的，以单价金额计算结果为准；单价金额小数点有明显错位的，应以总价为准，并修改单价。</w:t>
      </w:r>
    </w:p>
    <w:p w14:paraId="52E24145">
      <w:pPr>
        <w:spacing w:line="5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3.投标总价为招标范围所列全部招标项目的报价总和，并应与投标报价明细表及分项价格表保持一致。</w:t>
      </w:r>
    </w:p>
    <w:p w14:paraId="7DDBF3AB">
      <w:pPr>
        <w:spacing w:line="5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4.必须在投标文件中装订。</w:t>
      </w:r>
    </w:p>
    <w:p w14:paraId="6CE64764">
      <w:pPr>
        <w:spacing w:line="5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5.投标报价不得填报选择性报价。</w:t>
      </w:r>
    </w:p>
    <w:p w14:paraId="2ABCC78F">
      <w:pPr>
        <w:spacing w:line="5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供应商名称：</w:t>
      </w:r>
      <w:r>
        <w:rPr>
          <w:rFonts w:hint="eastAsia" w:ascii="仿宋" w:hAnsi="仿宋" w:eastAsia="仿宋" w:cs="仿宋"/>
          <w:color w:val="auto"/>
          <w:szCs w:val="21"/>
          <w:highlight w:val="none"/>
          <w:u w:val="single"/>
          <w:lang w:eastAsia="zh-CN"/>
        </w:rPr>
        <w:t xml:space="preserve">    （加盖公章）     </w:t>
      </w:r>
      <w:r>
        <w:rPr>
          <w:rFonts w:hint="eastAsia" w:ascii="仿宋" w:hAnsi="仿宋" w:eastAsia="仿宋" w:cs="仿宋"/>
          <w:color w:val="auto"/>
          <w:szCs w:val="21"/>
          <w:highlight w:val="none"/>
          <w:lang w:eastAsia="zh-CN"/>
        </w:rPr>
        <w:t xml:space="preserve">       </w:t>
      </w:r>
    </w:p>
    <w:p w14:paraId="7A868C97">
      <w:pPr>
        <w:spacing w:line="5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法定代表人签字或盖章：</w:t>
      </w:r>
      <w:r>
        <w:rPr>
          <w:rFonts w:hint="eastAsia" w:ascii="仿宋" w:hAnsi="仿宋" w:eastAsia="仿宋" w:cs="仿宋"/>
          <w:color w:val="auto"/>
          <w:szCs w:val="21"/>
          <w:highlight w:val="none"/>
          <w:u w:val="single"/>
          <w:lang w:eastAsia="zh-CN"/>
        </w:rPr>
        <w:t xml:space="preserve">           </w:t>
      </w:r>
      <w:r>
        <w:rPr>
          <w:rFonts w:hint="eastAsia" w:ascii="仿宋" w:hAnsi="仿宋" w:eastAsia="仿宋" w:cs="仿宋"/>
          <w:color w:val="auto"/>
          <w:szCs w:val="21"/>
          <w:highlight w:val="none"/>
          <w:lang w:eastAsia="zh-CN"/>
        </w:rPr>
        <w:t xml:space="preserve"> </w:t>
      </w:r>
    </w:p>
    <w:p w14:paraId="091657CF">
      <w:pPr>
        <w:spacing w:line="5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授权代表签字或盖章：</w:t>
      </w:r>
      <w:r>
        <w:rPr>
          <w:rFonts w:hint="eastAsia" w:ascii="仿宋" w:hAnsi="仿宋" w:eastAsia="仿宋" w:cs="仿宋"/>
          <w:color w:val="auto"/>
          <w:szCs w:val="21"/>
          <w:highlight w:val="none"/>
          <w:u w:val="single"/>
          <w:lang w:eastAsia="zh-CN"/>
        </w:rPr>
        <w:t xml:space="preserve">               </w:t>
      </w:r>
      <w:r>
        <w:rPr>
          <w:rFonts w:hint="eastAsia" w:ascii="仿宋" w:hAnsi="仿宋" w:eastAsia="仿宋" w:cs="仿宋"/>
          <w:color w:val="auto"/>
          <w:szCs w:val="21"/>
          <w:highlight w:val="none"/>
          <w:lang w:eastAsia="zh-CN"/>
        </w:rPr>
        <w:t xml:space="preserve">  </w:t>
      </w:r>
    </w:p>
    <w:p w14:paraId="7D0FFDE5">
      <w:pPr>
        <w:spacing w:line="5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签署日期：</w:t>
      </w:r>
      <w:r>
        <w:rPr>
          <w:rFonts w:hint="eastAsia" w:ascii="仿宋" w:hAnsi="仿宋" w:eastAsia="仿宋" w:cs="仿宋"/>
          <w:color w:val="auto"/>
          <w:szCs w:val="21"/>
          <w:highlight w:val="none"/>
          <w:u w:val="single"/>
          <w:lang w:eastAsia="zh-CN"/>
        </w:rPr>
        <w:t xml:space="preserve">       </w:t>
      </w:r>
      <w:r>
        <w:rPr>
          <w:rFonts w:hint="eastAsia" w:ascii="仿宋" w:hAnsi="仿宋" w:eastAsia="仿宋" w:cs="仿宋"/>
          <w:color w:val="auto"/>
          <w:szCs w:val="21"/>
          <w:highlight w:val="none"/>
          <w:lang w:eastAsia="zh-CN"/>
        </w:rPr>
        <w:t xml:space="preserve"> 年</w:t>
      </w:r>
      <w:r>
        <w:rPr>
          <w:rFonts w:hint="eastAsia" w:ascii="仿宋" w:hAnsi="仿宋" w:eastAsia="仿宋" w:cs="仿宋"/>
          <w:color w:val="auto"/>
          <w:szCs w:val="21"/>
          <w:highlight w:val="none"/>
          <w:u w:val="single"/>
          <w:lang w:eastAsia="zh-CN"/>
        </w:rPr>
        <w:t xml:space="preserve">     </w:t>
      </w:r>
      <w:r>
        <w:rPr>
          <w:rFonts w:hint="eastAsia" w:ascii="仿宋" w:hAnsi="仿宋" w:eastAsia="仿宋" w:cs="仿宋"/>
          <w:color w:val="auto"/>
          <w:szCs w:val="21"/>
          <w:highlight w:val="none"/>
          <w:lang w:eastAsia="zh-CN"/>
        </w:rPr>
        <w:t xml:space="preserve">月 </w:t>
      </w:r>
      <w:r>
        <w:rPr>
          <w:rFonts w:hint="eastAsia" w:ascii="仿宋" w:hAnsi="仿宋" w:eastAsia="仿宋" w:cs="仿宋"/>
          <w:color w:val="auto"/>
          <w:szCs w:val="21"/>
          <w:highlight w:val="none"/>
          <w:u w:val="single"/>
          <w:lang w:eastAsia="zh-CN"/>
        </w:rPr>
        <w:t xml:space="preserve">    </w:t>
      </w:r>
      <w:r>
        <w:rPr>
          <w:rFonts w:hint="eastAsia" w:ascii="仿宋" w:hAnsi="仿宋" w:eastAsia="仿宋" w:cs="仿宋"/>
          <w:color w:val="auto"/>
          <w:szCs w:val="21"/>
          <w:highlight w:val="none"/>
          <w:lang w:eastAsia="zh-CN"/>
        </w:rPr>
        <w:t>日</w:t>
      </w:r>
    </w:p>
    <w:p w14:paraId="3CDA6005">
      <w:pPr>
        <w:spacing w:line="360" w:lineRule="auto"/>
        <w:jc w:val="both"/>
        <w:rPr>
          <w:rFonts w:ascii="仿宋" w:hAnsi="仿宋" w:eastAsia="仿宋" w:cs="仿宋"/>
          <w:b/>
          <w:color w:val="auto"/>
          <w:sz w:val="36"/>
          <w:szCs w:val="36"/>
          <w:highlight w:val="none"/>
          <w:lang w:eastAsia="zh-CN"/>
        </w:rPr>
      </w:pPr>
    </w:p>
    <w:p w14:paraId="5C5D9258">
      <w:pPr>
        <w:pStyle w:val="39"/>
        <w:keepNext/>
        <w:keepLines/>
        <w:spacing w:before="0" w:after="220"/>
        <w:rPr>
          <w:rFonts w:ascii="仿宋" w:hAnsi="仿宋" w:eastAsia="仿宋" w:cs="仿宋"/>
          <w:color w:val="auto"/>
          <w:highlight w:val="none"/>
          <w:lang w:val="en-US" w:eastAsia="zh-CN"/>
        </w:rPr>
      </w:pPr>
      <w:r>
        <w:rPr>
          <w:rFonts w:hint="eastAsia" w:ascii="仿宋" w:hAnsi="仿宋" w:eastAsia="仿宋" w:cs="仿宋"/>
          <w:b/>
          <w:bCs/>
          <w:color w:val="auto"/>
          <w:highlight w:val="none"/>
          <w:lang w:val="en-US" w:eastAsia="zh-CN"/>
        </w:rPr>
        <w:t>3、货物说明一览表</w:t>
      </w:r>
    </w:p>
    <w:p w14:paraId="6608E60B">
      <w:pPr>
        <w:pStyle w:val="10"/>
        <w:spacing w:line="240" w:lineRule="atLeast"/>
        <w:ind w:left="1164" w:leftChars="257" w:hanging="540"/>
        <w:rPr>
          <w:rFonts w:ascii="仿宋" w:hAnsi="仿宋" w:eastAsia="仿宋" w:cs="仿宋"/>
          <w:color w:val="auto"/>
          <w:highlight w:val="none"/>
          <w:lang w:eastAsia="zh-CN"/>
        </w:rPr>
      </w:pPr>
    </w:p>
    <w:p w14:paraId="22E31B4E">
      <w:pPr>
        <w:pStyle w:val="10"/>
        <w:spacing w:line="240" w:lineRule="atLeast"/>
        <w:ind w:left="1164"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项目名称:                           </w:t>
      </w:r>
    </w:p>
    <w:p w14:paraId="6F7C876D">
      <w:pPr>
        <w:pStyle w:val="10"/>
        <w:spacing w:line="240" w:lineRule="atLeast"/>
        <w:ind w:left="1164"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招标编号:                       包号:                      </w:t>
      </w:r>
    </w:p>
    <w:p w14:paraId="554C6E6E">
      <w:pPr>
        <w:pStyle w:val="10"/>
        <w:spacing w:line="240" w:lineRule="atLeast"/>
        <w:ind w:left="1164" w:leftChars="257" w:hanging="540"/>
        <w:rPr>
          <w:rFonts w:ascii="仿宋" w:hAnsi="仿宋" w:eastAsia="仿宋" w:cs="仿宋"/>
          <w:color w:val="auto"/>
          <w:highlight w:val="none"/>
          <w:lang w:eastAsia="zh-CN"/>
        </w:rPr>
      </w:pPr>
    </w:p>
    <w:tbl>
      <w:tblPr>
        <w:tblStyle w:val="25"/>
        <w:tblW w:w="87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1"/>
        <w:gridCol w:w="1400"/>
        <w:gridCol w:w="1410"/>
        <w:gridCol w:w="1040"/>
        <w:gridCol w:w="1370"/>
        <w:gridCol w:w="1420"/>
        <w:gridCol w:w="1101"/>
      </w:tblGrid>
      <w:tr w14:paraId="37765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961" w:type="dxa"/>
            <w:vAlign w:val="center"/>
          </w:tcPr>
          <w:p w14:paraId="46DB7316">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序号</w:t>
            </w:r>
          </w:p>
        </w:tc>
        <w:tc>
          <w:tcPr>
            <w:tcW w:w="1400" w:type="dxa"/>
            <w:vAlign w:val="center"/>
          </w:tcPr>
          <w:p w14:paraId="25B42A5E">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货物名称</w:t>
            </w:r>
          </w:p>
        </w:tc>
        <w:tc>
          <w:tcPr>
            <w:tcW w:w="1410" w:type="dxa"/>
            <w:vAlign w:val="center"/>
          </w:tcPr>
          <w:p w14:paraId="1DE88EE6">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主要规格</w:t>
            </w:r>
          </w:p>
        </w:tc>
        <w:tc>
          <w:tcPr>
            <w:tcW w:w="1040" w:type="dxa"/>
            <w:vAlign w:val="center"/>
          </w:tcPr>
          <w:p w14:paraId="774CBD74">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数量</w:t>
            </w:r>
          </w:p>
        </w:tc>
        <w:tc>
          <w:tcPr>
            <w:tcW w:w="1370" w:type="dxa"/>
            <w:vAlign w:val="center"/>
          </w:tcPr>
          <w:p w14:paraId="3D1DBAF2">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供货期</w:t>
            </w:r>
          </w:p>
        </w:tc>
        <w:tc>
          <w:tcPr>
            <w:tcW w:w="1420" w:type="dxa"/>
            <w:vAlign w:val="center"/>
          </w:tcPr>
          <w:p w14:paraId="11B9CD84">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交货地点</w:t>
            </w:r>
          </w:p>
        </w:tc>
        <w:tc>
          <w:tcPr>
            <w:tcW w:w="1101" w:type="dxa"/>
            <w:vAlign w:val="center"/>
          </w:tcPr>
          <w:p w14:paraId="2F082FBA">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其它</w:t>
            </w:r>
          </w:p>
        </w:tc>
      </w:tr>
      <w:tr w14:paraId="00FE0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961" w:type="dxa"/>
          </w:tcPr>
          <w:p w14:paraId="009A807D">
            <w:pPr>
              <w:pStyle w:val="10"/>
              <w:spacing w:line="240" w:lineRule="atLeast"/>
              <w:ind w:left="1164" w:leftChars="257" w:hanging="540"/>
              <w:rPr>
                <w:rFonts w:ascii="仿宋" w:hAnsi="仿宋" w:eastAsia="仿宋" w:cs="仿宋"/>
                <w:color w:val="auto"/>
                <w:highlight w:val="none"/>
                <w:lang w:eastAsia="zh-CN"/>
              </w:rPr>
            </w:pPr>
          </w:p>
        </w:tc>
        <w:tc>
          <w:tcPr>
            <w:tcW w:w="1400" w:type="dxa"/>
          </w:tcPr>
          <w:p w14:paraId="2670FFEE">
            <w:pPr>
              <w:pStyle w:val="10"/>
              <w:spacing w:line="240" w:lineRule="atLeast"/>
              <w:ind w:left="1164" w:leftChars="257" w:hanging="540"/>
              <w:rPr>
                <w:rFonts w:ascii="仿宋" w:hAnsi="仿宋" w:eastAsia="仿宋" w:cs="仿宋"/>
                <w:color w:val="auto"/>
                <w:highlight w:val="none"/>
                <w:lang w:eastAsia="zh-CN"/>
              </w:rPr>
            </w:pPr>
          </w:p>
        </w:tc>
        <w:tc>
          <w:tcPr>
            <w:tcW w:w="1410" w:type="dxa"/>
          </w:tcPr>
          <w:p w14:paraId="1B852CF8">
            <w:pPr>
              <w:pStyle w:val="10"/>
              <w:spacing w:line="240" w:lineRule="atLeast"/>
              <w:ind w:left="1164" w:leftChars="257" w:hanging="540"/>
              <w:rPr>
                <w:rFonts w:ascii="仿宋" w:hAnsi="仿宋" w:eastAsia="仿宋" w:cs="仿宋"/>
                <w:color w:val="auto"/>
                <w:highlight w:val="none"/>
                <w:lang w:eastAsia="zh-CN"/>
              </w:rPr>
            </w:pPr>
          </w:p>
        </w:tc>
        <w:tc>
          <w:tcPr>
            <w:tcW w:w="1040" w:type="dxa"/>
          </w:tcPr>
          <w:p w14:paraId="18AB82D3">
            <w:pPr>
              <w:pStyle w:val="10"/>
              <w:spacing w:line="240" w:lineRule="atLeast"/>
              <w:ind w:left="1164" w:leftChars="257" w:hanging="540"/>
              <w:rPr>
                <w:rFonts w:ascii="仿宋" w:hAnsi="仿宋" w:eastAsia="仿宋" w:cs="仿宋"/>
                <w:color w:val="auto"/>
                <w:highlight w:val="none"/>
                <w:lang w:eastAsia="zh-CN"/>
              </w:rPr>
            </w:pPr>
          </w:p>
        </w:tc>
        <w:tc>
          <w:tcPr>
            <w:tcW w:w="1370" w:type="dxa"/>
          </w:tcPr>
          <w:p w14:paraId="5A09EDEA">
            <w:pPr>
              <w:pStyle w:val="10"/>
              <w:spacing w:line="240" w:lineRule="atLeast"/>
              <w:ind w:left="1164" w:leftChars="257" w:hanging="540"/>
              <w:rPr>
                <w:rFonts w:ascii="仿宋" w:hAnsi="仿宋" w:eastAsia="仿宋" w:cs="仿宋"/>
                <w:color w:val="auto"/>
                <w:highlight w:val="none"/>
                <w:lang w:eastAsia="zh-CN"/>
              </w:rPr>
            </w:pPr>
          </w:p>
        </w:tc>
        <w:tc>
          <w:tcPr>
            <w:tcW w:w="1420" w:type="dxa"/>
          </w:tcPr>
          <w:p w14:paraId="173C056C">
            <w:pPr>
              <w:pStyle w:val="10"/>
              <w:spacing w:line="240" w:lineRule="atLeast"/>
              <w:ind w:left="1164" w:leftChars="257" w:hanging="540"/>
              <w:rPr>
                <w:rFonts w:ascii="仿宋" w:hAnsi="仿宋" w:eastAsia="仿宋" w:cs="仿宋"/>
                <w:color w:val="auto"/>
                <w:highlight w:val="none"/>
                <w:lang w:eastAsia="zh-CN"/>
              </w:rPr>
            </w:pPr>
          </w:p>
        </w:tc>
        <w:tc>
          <w:tcPr>
            <w:tcW w:w="1101" w:type="dxa"/>
          </w:tcPr>
          <w:p w14:paraId="60B28B27">
            <w:pPr>
              <w:pStyle w:val="10"/>
              <w:spacing w:line="240" w:lineRule="atLeast"/>
              <w:ind w:left="1164" w:leftChars="257" w:hanging="540"/>
              <w:rPr>
                <w:rFonts w:ascii="仿宋" w:hAnsi="仿宋" w:eastAsia="仿宋" w:cs="仿宋"/>
                <w:color w:val="auto"/>
                <w:highlight w:val="none"/>
                <w:lang w:eastAsia="zh-CN"/>
              </w:rPr>
            </w:pPr>
          </w:p>
        </w:tc>
      </w:tr>
      <w:tr w14:paraId="15443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961" w:type="dxa"/>
          </w:tcPr>
          <w:p w14:paraId="290F0562">
            <w:pPr>
              <w:pStyle w:val="10"/>
              <w:spacing w:line="240" w:lineRule="atLeast"/>
              <w:ind w:left="1164" w:leftChars="257" w:hanging="540"/>
              <w:rPr>
                <w:rFonts w:ascii="仿宋" w:hAnsi="仿宋" w:eastAsia="仿宋" w:cs="仿宋"/>
                <w:color w:val="auto"/>
                <w:highlight w:val="none"/>
                <w:lang w:eastAsia="zh-CN"/>
              </w:rPr>
            </w:pPr>
          </w:p>
        </w:tc>
        <w:tc>
          <w:tcPr>
            <w:tcW w:w="1400" w:type="dxa"/>
          </w:tcPr>
          <w:p w14:paraId="6CED6C92">
            <w:pPr>
              <w:pStyle w:val="10"/>
              <w:spacing w:line="240" w:lineRule="atLeast"/>
              <w:ind w:left="1164" w:leftChars="257" w:hanging="540"/>
              <w:rPr>
                <w:rFonts w:ascii="仿宋" w:hAnsi="仿宋" w:eastAsia="仿宋" w:cs="仿宋"/>
                <w:color w:val="auto"/>
                <w:highlight w:val="none"/>
                <w:lang w:eastAsia="zh-CN"/>
              </w:rPr>
            </w:pPr>
          </w:p>
        </w:tc>
        <w:tc>
          <w:tcPr>
            <w:tcW w:w="1410" w:type="dxa"/>
          </w:tcPr>
          <w:p w14:paraId="67B9CED0">
            <w:pPr>
              <w:pStyle w:val="10"/>
              <w:spacing w:line="240" w:lineRule="atLeast"/>
              <w:ind w:left="1164" w:leftChars="257" w:hanging="540"/>
              <w:rPr>
                <w:rFonts w:ascii="仿宋" w:hAnsi="仿宋" w:eastAsia="仿宋" w:cs="仿宋"/>
                <w:color w:val="auto"/>
                <w:highlight w:val="none"/>
                <w:lang w:eastAsia="zh-CN"/>
              </w:rPr>
            </w:pPr>
          </w:p>
        </w:tc>
        <w:tc>
          <w:tcPr>
            <w:tcW w:w="1040" w:type="dxa"/>
          </w:tcPr>
          <w:p w14:paraId="3EB80A05">
            <w:pPr>
              <w:pStyle w:val="10"/>
              <w:spacing w:line="240" w:lineRule="atLeast"/>
              <w:ind w:left="1164" w:leftChars="257" w:hanging="540"/>
              <w:rPr>
                <w:rFonts w:ascii="仿宋" w:hAnsi="仿宋" w:eastAsia="仿宋" w:cs="仿宋"/>
                <w:color w:val="auto"/>
                <w:highlight w:val="none"/>
                <w:lang w:eastAsia="zh-CN"/>
              </w:rPr>
            </w:pPr>
          </w:p>
        </w:tc>
        <w:tc>
          <w:tcPr>
            <w:tcW w:w="1370" w:type="dxa"/>
          </w:tcPr>
          <w:p w14:paraId="5D61466A">
            <w:pPr>
              <w:pStyle w:val="10"/>
              <w:spacing w:line="240" w:lineRule="atLeast"/>
              <w:ind w:left="1164" w:leftChars="257" w:hanging="540"/>
              <w:rPr>
                <w:rFonts w:ascii="仿宋" w:hAnsi="仿宋" w:eastAsia="仿宋" w:cs="仿宋"/>
                <w:color w:val="auto"/>
                <w:highlight w:val="none"/>
                <w:lang w:eastAsia="zh-CN"/>
              </w:rPr>
            </w:pPr>
          </w:p>
        </w:tc>
        <w:tc>
          <w:tcPr>
            <w:tcW w:w="1420" w:type="dxa"/>
          </w:tcPr>
          <w:p w14:paraId="3F5E7254">
            <w:pPr>
              <w:pStyle w:val="10"/>
              <w:spacing w:line="240" w:lineRule="atLeast"/>
              <w:ind w:left="1164" w:leftChars="257" w:hanging="540"/>
              <w:rPr>
                <w:rFonts w:ascii="仿宋" w:hAnsi="仿宋" w:eastAsia="仿宋" w:cs="仿宋"/>
                <w:color w:val="auto"/>
                <w:highlight w:val="none"/>
                <w:lang w:eastAsia="zh-CN"/>
              </w:rPr>
            </w:pPr>
          </w:p>
        </w:tc>
        <w:tc>
          <w:tcPr>
            <w:tcW w:w="1101" w:type="dxa"/>
          </w:tcPr>
          <w:p w14:paraId="7B3FAC7B">
            <w:pPr>
              <w:pStyle w:val="10"/>
              <w:spacing w:line="240" w:lineRule="atLeast"/>
              <w:ind w:left="1164" w:leftChars="257" w:hanging="540"/>
              <w:rPr>
                <w:rFonts w:ascii="仿宋" w:hAnsi="仿宋" w:eastAsia="仿宋" w:cs="仿宋"/>
                <w:color w:val="auto"/>
                <w:highlight w:val="none"/>
                <w:lang w:eastAsia="zh-CN"/>
              </w:rPr>
            </w:pPr>
          </w:p>
        </w:tc>
      </w:tr>
      <w:tr w14:paraId="5A4F3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961" w:type="dxa"/>
          </w:tcPr>
          <w:p w14:paraId="6E7B58DF">
            <w:pPr>
              <w:pStyle w:val="10"/>
              <w:spacing w:line="240" w:lineRule="atLeast"/>
              <w:ind w:left="1164" w:leftChars="257" w:hanging="540"/>
              <w:rPr>
                <w:rFonts w:ascii="仿宋" w:hAnsi="仿宋" w:eastAsia="仿宋" w:cs="仿宋"/>
                <w:color w:val="auto"/>
                <w:highlight w:val="none"/>
                <w:lang w:eastAsia="zh-CN"/>
              </w:rPr>
            </w:pPr>
          </w:p>
        </w:tc>
        <w:tc>
          <w:tcPr>
            <w:tcW w:w="1400" w:type="dxa"/>
          </w:tcPr>
          <w:p w14:paraId="55C9C377">
            <w:pPr>
              <w:pStyle w:val="10"/>
              <w:spacing w:line="240" w:lineRule="atLeast"/>
              <w:ind w:left="1164" w:leftChars="257" w:hanging="540"/>
              <w:rPr>
                <w:rFonts w:ascii="仿宋" w:hAnsi="仿宋" w:eastAsia="仿宋" w:cs="仿宋"/>
                <w:color w:val="auto"/>
                <w:highlight w:val="none"/>
                <w:lang w:eastAsia="zh-CN"/>
              </w:rPr>
            </w:pPr>
          </w:p>
        </w:tc>
        <w:tc>
          <w:tcPr>
            <w:tcW w:w="1410" w:type="dxa"/>
          </w:tcPr>
          <w:p w14:paraId="0DB82952">
            <w:pPr>
              <w:pStyle w:val="10"/>
              <w:spacing w:line="240" w:lineRule="atLeast"/>
              <w:ind w:left="1164" w:leftChars="257" w:hanging="540"/>
              <w:rPr>
                <w:rFonts w:ascii="仿宋" w:hAnsi="仿宋" w:eastAsia="仿宋" w:cs="仿宋"/>
                <w:color w:val="auto"/>
                <w:highlight w:val="none"/>
                <w:lang w:eastAsia="zh-CN"/>
              </w:rPr>
            </w:pPr>
          </w:p>
        </w:tc>
        <w:tc>
          <w:tcPr>
            <w:tcW w:w="1040" w:type="dxa"/>
          </w:tcPr>
          <w:p w14:paraId="398127E6">
            <w:pPr>
              <w:pStyle w:val="10"/>
              <w:spacing w:line="240" w:lineRule="atLeast"/>
              <w:ind w:left="1164" w:leftChars="257" w:hanging="540"/>
              <w:rPr>
                <w:rFonts w:ascii="仿宋" w:hAnsi="仿宋" w:eastAsia="仿宋" w:cs="仿宋"/>
                <w:color w:val="auto"/>
                <w:highlight w:val="none"/>
                <w:lang w:eastAsia="zh-CN"/>
              </w:rPr>
            </w:pPr>
          </w:p>
        </w:tc>
        <w:tc>
          <w:tcPr>
            <w:tcW w:w="1370" w:type="dxa"/>
          </w:tcPr>
          <w:p w14:paraId="32913E0C">
            <w:pPr>
              <w:pStyle w:val="10"/>
              <w:spacing w:line="240" w:lineRule="atLeast"/>
              <w:ind w:left="1164" w:leftChars="257" w:hanging="540"/>
              <w:rPr>
                <w:rFonts w:ascii="仿宋" w:hAnsi="仿宋" w:eastAsia="仿宋" w:cs="仿宋"/>
                <w:color w:val="auto"/>
                <w:highlight w:val="none"/>
                <w:lang w:eastAsia="zh-CN"/>
              </w:rPr>
            </w:pPr>
          </w:p>
        </w:tc>
        <w:tc>
          <w:tcPr>
            <w:tcW w:w="1420" w:type="dxa"/>
          </w:tcPr>
          <w:p w14:paraId="62211C1E">
            <w:pPr>
              <w:pStyle w:val="10"/>
              <w:spacing w:line="240" w:lineRule="atLeast"/>
              <w:ind w:left="1164" w:leftChars="257" w:hanging="540"/>
              <w:rPr>
                <w:rFonts w:ascii="仿宋" w:hAnsi="仿宋" w:eastAsia="仿宋" w:cs="仿宋"/>
                <w:color w:val="auto"/>
                <w:highlight w:val="none"/>
                <w:lang w:eastAsia="zh-CN"/>
              </w:rPr>
            </w:pPr>
          </w:p>
        </w:tc>
        <w:tc>
          <w:tcPr>
            <w:tcW w:w="1101" w:type="dxa"/>
          </w:tcPr>
          <w:p w14:paraId="0179BC57">
            <w:pPr>
              <w:pStyle w:val="10"/>
              <w:spacing w:line="240" w:lineRule="atLeast"/>
              <w:ind w:left="1164" w:leftChars="257" w:hanging="540"/>
              <w:rPr>
                <w:rFonts w:ascii="仿宋" w:hAnsi="仿宋" w:eastAsia="仿宋" w:cs="仿宋"/>
                <w:color w:val="auto"/>
                <w:highlight w:val="none"/>
                <w:lang w:eastAsia="zh-CN"/>
              </w:rPr>
            </w:pPr>
          </w:p>
        </w:tc>
      </w:tr>
      <w:tr w14:paraId="372B4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961" w:type="dxa"/>
          </w:tcPr>
          <w:p w14:paraId="76603E2F">
            <w:pPr>
              <w:pStyle w:val="10"/>
              <w:spacing w:line="240" w:lineRule="atLeast"/>
              <w:ind w:left="1164" w:leftChars="257" w:hanging="540"/>
              <w:rPr>
                <w:rFonts w:ascii="仿宋" w:hAnsi="仿宋" w:eastAsia="仿宋" w:cs="仿宋"/>
                <w:color w:val="auto"/>
                <w:highlight w:val="none"/>
                <w:lang w:eastAsia="zh-CN"/>
              </w:rPr>
            </w:pPr>
          </w:p>
        </w:tc>
        <w:tc>
          <w:tcPr>
            <w:tcW w:w="1400" w:type="dxa"/>
          </w:tcPr>
          <w:p w14:paraId="09EEDD21">
            <w:pPr>
              <w:pStyle w:val="10"/>
              <w:spacing w:line="240" w:lineRule="atLeast"/>
              <w:ind w:left="1164" w:leftChars="257" w:hanging="540"/>
              <w:rPr>
                <w:rFonts w:ascii="仿宋" w:hAnsi="仿宋" w:eastAsia="仿宋" w:cs="仿宋"/>
                <w:color w:val="auto"/>
                <w:highlight w:val="none"/>
                <w:lang w:eastAsia="zh-CN"/>
              </w:rPr>
            </w:pPr>
          </w:p>
        </w:tc>
        <w:tc>
          <w:tcPr>
            <w:tcW w:w="1410" w:type="dxa"/>
          </w:tcPr>
          <w:p w14:paraId="348D3FA8">
            <w:pPr>
              <w:pStyle w:val="10"/>
              <w:spacing w:line="240" w:lineRule="atLeast"/>
              <w:ind w:left="1164" w:leftChars="257" w:hanging="540"/>
              <w:rPr>
                <w:rFonts w:ascii="仿宋" w:hAnsi="仿宋" w:eastAsia="仿宋" w:cs="仿宋"/>
                <w:color w:val="auto"/>
                <w:highlight w:val="none"/>
                <w:lang w:eastAsia="zh-CN"/>
              </w:rPr>
            </w:pPr>
          </w:p>
        </w:tc>
        <w:tc>
          <w:tcPr>
            <w:tcW w:w="1040" w:type="dxa"/>
          </w:tcPr>
          <w:p w14:paraId="5DDD4D8D">
            <w:pPr>
              <w:pStyle w:val="10"/>
              <w:spacing w:line="240" w:lineRule="atLeast"/>
              <w:ind w:left="1164" w:leftChars="257" w:hanging="540"/>
              <w:rPr>
                <w:rFonts w:ascii="仿宋" w:hAnsi="仿宋" w:eastAsia="仿宋" w:cs="仿宋"/>
                <w:color w:val="auto"/>
                <w:highlight w:val="none"/>
                <w:lang w:eastAsia="zh-CN"/>
              </w:rPr>
            </w:pPr>
          </w:p>
        </w:tc>
        <w:tc>
          <w:tcPr>
            <w:tcW w:w="1370" w:type="dxa"/>
          </w:tcPr>
          <w:p w14:paraId="7EB8CCC4">
            <w:pPr>
              <w:pStyle w:val="10"/>
              <w:spacing w:line="240" w:lineRule="atLeast"/>
              <w:ind w:left="1164" w:leftChars="257" w:hanging="540"/>
              <w:rPr>
                <w:rFonts w:ascii="仿宋" w:hAnsi="仿宋" w:eastAsia="仿宋" w:cs="仿宋"/>
                <w:color w:val="auto"/>
                <w:highlight w:val="none"/>
                <w:lang w:eastAsia="zh-CN"/>
              </w:rPr>
            </w:pPr>
          </w:p>
        </w:tc>
        <w:tc>
          <w:tcPr>
            <w:tcW w:w="1420" w:type="dxa"/>
          </w:tcPr>
          <w:p w14:paraId="3F521AB7">
            <w:pPr>
              <w:pStyle w:val="10"/>
              <w:spacing w:line="240" w:lineRule="atLeast"/>
              <w:ind w:left="1164" w:leftChars="257" w:hanging="540"/>
              <w:rPr>
                <w:rFonts w:ascii="仿宋" w:hAnsi="仿宋" w:eastAsia="仿宋" w:cs="仿宋"/>
                <w:color w:val="auto"/>
                <w:highlight w:val="none"/>
                <w:lang w:eastAsia="zh-CN"/>
              </w:rPr>
            </w:pPr>
          </w:p>
        </w:tc>
        <w:tc>
          <w:tcPr>
            <w:tcW w:w="1101" w:type="dxa"/>
          </w:tcPr>
          <w:p w14:paraId="3A441F0C">
            <w:pPr>
              <w:pStyle w:val="10"/>
              <w:spacing w:line="240" w:lineRule="atLeast"/>
              <w:ind w:left="1164" w:leftChars="257" w:hanging="540"/>
              <w:rPr>
                <w:rFonts w:ascii="仿宋" w:hAnsi="仿宋" w:eastAsia="仿宋" w:cs="仿宋"/>
                <w:color w:val="auto"/>
                <w:highlight w:val="none"/>
                <w:lang w:eastAsia="zh-CN"/>
              </w:rPr>
            </w:pPr>
          </w:p>
        </w:tc>
      </w:tr>
      <w:tr w14:paraId="1627D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961" w:type="dxa"/>
          </w:tcPr>
          <w:p w14:paraId="4AB4D82F">
            <w:pPr>
              <w:pStyle w:val="10"/>
              <w:spacing w:line="240" w:lineRule="atLeast"/>
              <w:ind w:left="1164" w:leftChars="257" w:hanging="540"/>
              <w:rPr>
                <w:rFonts w:ascii="仿宋" w:hAnsi="仿宋" w:eastAsia="仿宋" w:cs="仿宋"/>
                <w:color w:val="auto"/>
                <w:highlight w:val="none"/>
                <w:lang w:eastAsia="zh-CN"/>
              </w:rPr>
            </w:pPr>
          </w:p>
        </w:tc>
        <w:tc>
          <w:tcPr>
            <w:tcW w:w="1400" w:type="dxa"/>
          </w:tcPr>
          <w:p w14:paraId="6A4EF0C6">
            <w:pPr>
              <w:pStyle w:val="10"/>
              <w:spacing w:line="240" w:lineRule="atLeast"/>
              <w:ind w:left="1164" w:leftChars="257" w:hanging="540"/>
              <w:rPr>
                <w:rFonts w:ascii="仿宋" w:hAnsi="仿宋" w:eastAsia="仿宋" w:cs="仿宋"/>
                <w:color w:val="auto"/>
                <w:highlight w:val="none"/>
                <w:lang w:eastAsia="zh-CN"/>
              </w:rPr>
            </w:pPr>
          </w:p>
        </w:tc>
        <w:tc>
          <w:tcPr>
            <w:tcW w:w="1410" w:type="dxa"/>
          </w:tcPr>
          <w:p w14:paraId="6B40B5D7">
            <w:pPr>
              <w:pStyle w:val="10"/>
              <w:spacing w:line="240" w:lineRule="atLeast"/>
              <w:ind w:left="1164" w:leftChars="257" w:hanging="540"/>
              <w:rPr>
                <w:rFonts w:ascii="仿宋" w:hAnsi="仿宋" w:eastAsia="仿宋" w:cs="仿宋"/>
                <w:color w:val="auto"/>
                <w:highlight w:val="none"/>
                <w:lang w:eastAsia="zh-CN"/>
              </w:rPr>
            </w:pPr>
          </w:p>
        </w:tc>
        <w:tc>
          <w:tcPr>
            <w:tcW w:w="1040" w:type="dxa"/>
          </w:tcPr>
          <w:p w14:paraId="08445C08">
            <w:pPr>
              <w:pStyle w:val="10"/>
              <w:spacing w:line="240" w:lineRule="atLeast"/>
              <w:ind w:left="1164" w:leftChars="257" w:hanging="540"/>
              <w:rPr>
                <w:rFonts w:ascii="仿宋" w:hAnsi="仿宋" w:eastAsia="仿宋" w:cs="仿宋"/>
                <w:color w:val="auto"/>
                <w:highlight w:val="none"/>
                <w:lang w:eastAsia="zh-CN"/>
              </w:rPr>
            </w:pPr>
          </w:p>
        </w:tc>
        <w:tc>
          <w:tcPr>
            <w:tcW w:w="1370" w:type="dxa"/>
          </w:tcPr>
          <w:p w14:paraId="6AD0BC06">
            <w:pPr>
              <w:pStyle w:val="10"/>
              <w:spacing w:line="240" w:lineRule="atLeast"/>
              <w:ind w:left="1164" w:leftChars="257" w:hanging="540"/>
              <w:rPr>
                <w:rFonts w:ascii="仿宋" w:hAnsi="仿宋" w:eastAsia="仿宋" w:cs="仿宋"/>
                <w:color w:val="auto"/>
                <w:highlight w:val="none"/>
                <w:lang w:eastAsia="zh-CN"/>
              </w:rPr>
            </w:pPr>
          </w:p>
        </w:tc>
        <w:tc>
          <w:tcPr>
            <w:tcW w:w="1420" w:type="dxa"/>
          </w:tcPr>
          <w:p w14:paraId="048A4D9C">
            <w:pPr>
              <w:pStyle w:val="10"/>
              <w:spacing w:line="240" w:lineRule="atLeast"/>
              <w:ind w:left="1164" w:leftChars="257" w:hanging="540"/>
              <w:rPr>
                <w:rFonts w:ascii="仿宋" w:hAnsi="仿宋" w:eastAsia="仿宋" w:cs="仿宋"/>
                <w:color w:val="auto"/>
                <w:highlight w:val="none"/>
                <w:lang w:eastAsia="zh-CN"/>
              </w:rPr>
            </w:pPr>
          </w:p>
        </w:tc>
        <w:tc>
          <w:tcPr>
            <w:tcW w:w="1101" w:type="dxa"/>
          </w:tcPr>
          <w:p w14:paraId="6A6D45C2">
            <w:pPr>
              <w:pStyle w:val="10"/>
              <w:spacing w:line="240" w:lineRule="atLeast"/>
              <w:ind w:left="1164" w:leftChars="257" w:hanging="540"/>
              <w:rPr>
                <w:rFonts w:ascii="仿宋" w:hAnsi="仿宋" w:eastAsia="仿宋" w:cs="仿宋"/>
                <w:color w:val="auto"/>
                <w:highlight w:val="none"/>
                <w:lang w:eastAsia="zh-CN"/>
              </w:rPr>
            </w:pPr>
          </w:p>
        </w:tc>
      </w:tr>
      <w:tr w14:paraId="3FD41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961" w:type="dxa"/>
          </w:tcPr>
          <w:p w14:paraId="60AE30B0">
            <w:pPr>
              <w:pStyle w:val="10"/>
              <w:spacing w:line="240" w:lineRule="atLeast"/>
              <w:ind w:left="1164" w:leftChars="257" w:hanging="540"/>
              <w:rPr>
                <w:rFonts w:ascii="仿宋" w:hAnsi="仿宋" w:eastAsia="仿宋" w:cs="仿宋"/>
                <w:color w:val="auto"/>
                <w:highlight w:val="none"/>
                <w:lang w:eastAsia="zh-CN"/>
              </w:rPr>
            </w:pPr>
          </w:p>
        </w:tc>
        <w:tc>
          <w:tcPr>
            <w:tcW w:w="1400" w:type="dxa"/>
          </w:tcPr>
          <w:p w14:paraId="79F3CD31">
            <w:pPr>
              <w:pStyle w:val="10"/>
              <w:spacing w:line="240" w:lineRule="atLeast"/>
              <w:ind w:left="1164" w:leftChars="257" w:hanging="540"/>
              <w:rPr>
                <w:rFonts w:ascii="仿宋" w:hAnsi="仿宋" w:eastAsia="仿宋" w:cs="仿宋"/>
                <w:color w:val="auto"/>
                <w:highlight w:val="none"/>
                <w:lang w:eastAsia="zh-CN"/>
              </w:rPr>
            </w:pPr>
          </w:p>
        </w:tc>
        <w:tc>
          <w:tcPr>
            <w:tcW w:w="1410" w:type="dxa"/>
          </w:tcPr>
          <w:p w14:paraId="2D5470B7">
            <w:pPr>
              <w:pStyle w:val="10"/>
              <w:spacing w:line="240" w:lineRule="atLeast"/>
              <w:ind w:left="1164" w:leftChars="257" w:hanging="540"/>
              <w:rPr>
                <w:rFonts w:ascii="仿宋" w:hAnsi="仿宋" w:eastAsia="仿宋" w:cs="仿宋"/>
                <w:color w:val="auto"/>
                <w:highlight w:val="none"/>
                <w:lang w:eastAsia="zh-CN"/>
              </w:rPr>
            </w:pPr>
          </w:p>
        </w:tc>
        <w:tc>
          <w:tcPr>
            <w:tcW w:w="1040" w:type="dxa"/>
          </w:tcPr>
          <w:p w14:paraId="65667968">
            <w:pPr>
              <w:pStyle w:val="10"/>
              <w:spacing w:line="240" w:lineRule="atLeast"/>
              <w:ind w:left="1164" w:leftChars="257" w:hanging="540"/>
              <w:rPr>
                <w:rFonts w:ascii="仿宋" w:hAnsi="仿宋" w:eastAsia="仿宋" w:cs="仿宋"/>
                <w:color w:val="auto"/>
                <w:highlight w:val="none"/>
                <w:lang w:eastAsia="zh-CN"/>
              </w:rPr>
            </w:pPr>
          </w:p>
        </w:tc>
        <w:tc>
          <w:tcPr>
            <w:tcW w:w="1370" w:type="dxa"/>
          </w:tcPr>
          <w:p w14:paraId="79326E1E">
            <w:pPr>
              <w:pStyle w:val="10"/>
              <w:spacing w:line="240" w:lineRule="atLeast"/>
              <w:ind w:left="1164" w:leftChars="257" w:hanging="540"/>
              <w:rPr>
                <w:rFonts w:ascii="仿宋" w:hAnsi="仿宋" w:eastAsia="仿宋" w:cs="仿宋"/>
                <w:color w:val="auto"/>
                <w:highlight w:val="none"/>
                <w:lang w:eastAsia="zh-CN"/>
              </w:rPr>
            </w:pPr>
          </w:p>
        </w:tc>
        <w:tc>
          <w:tcPr>
            <w:tcW w:w="1420" w:type="dxa"/>
          </w:tcPr>
          <w:p w14:paraId="5FD722DC">
            <w:pPr>
              <w:pStyle w:val="10"/>
              <w:spacing w:line="240" w:lineRule="atLeast"/>
              <w:ind w:left="1164" w:leftChars="257" w:hanging="540"/>
              <w:rPr>
                <w:rFonts w:ascii="仿宋" w:hAnsi="仿宋" w:eastAsia="仿宋" w:cs="仿宋"/>
                <w:color w:val="auto"/>
                <w:highlight w:val="none"/>
                <w:lang w:eastAsia="zh-CN"/>
              </w:rPr>
            </w:pPr>
          </w:p>
        </w:tc>
        <w:tc>
          <w:tcPr>
            <w:tcW w:w="1101" w:type="dxa"/>
          </w:tcPr>
          <w:p w14:paraId="6BE382F4">
            <w:pPr>
              <w:pStyle w:val="10"/>
              <w:spacing w:line="240" w:lineRule="atLeast"/>
              <w:ind w:left="1164" w:leftChars="257" w:hanging="540"/>
              <w:rPr>
                <w:rFonts w:ascii="仿宋" w:hAnsi="仿宋" w:eastAsia="仿宋" w:cs="仿宋"/>
                <w:color w:val="auto"/>
                <w:highlight w:val="none"/>
                <w:lang w:eastAsia="zh-CN"/>
              </w:rPr>
            </w:pPr>
          </w:p>
        </w:tc>
      </w:tr>
      <w:tr w14:paraId="4E04A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961" w:type="dxa"/>
          </w:tcPr>
          <w:p w14:paraId="128CC848">
            <w:pPr>
              <w:pStyle w:val="10"/>
              <w:spacing w:line="240" w:lineRule="atLeast"/>
              <w:ind w:left="1164" w:leftChars="257" w:hanging="540"/>
              <w:rPr>
                <w:rFonts w:ascii="仿宋" w:hAnsi="仿宋" w:eastAsia="仿宋" w:cs="仿宋"/>
                <w:color w:val="auto"/>
                <w:highlight w:val="none"/>
                <w:lang w:eastAsia="zh-CN"/>
              </w:rPr>
            </w:pPr>
          </w:p>
        </w:tc>
        <w:tc>
          <w:tcPr>
            <w:tcW w:w="1400" w:type="dxa"/>
          </w:tcPr>
          <w:p w14:paraId="097C8898">
            <w:pPr>
              <w:pStyle w:val="10"/>
              <w:spacing w:line="240" w:lineRule="atLeast"/>
              <w:ind w:left="1164" w:leftChars="257" w:hanging="540"/>
              <w:rPr>
                <w:rFonts w:ascii="仿宋" w:hAnsi="仿宋" w:eastAsia="仿宋" w:cs="仿宋"/>
                <w:color w:val="auto"/>
                <w:highlight w:val="none"/>
                <w:lang w:eastAsia="zh-CN"/>
              </w:rPr>
            </w:pPr>
          </w:p>
        </w:tc>
        <w:tc>
          <w:tcPr>
            <w:tcW w:w="1410" w:type="dxa"/>
          </w:tcPr>
          <w:p w14:paraId="119A2EE7">
            <w:pPr>
              <w:pStyle w:val="10"/>
              <w:spacing w:line="240" w:lineRule="atLeast"/>
              <w:ind w:left="1164" w:leftChars="257" w:hanging="540"/>
              <w:rPr>
                <w:rFonts w:ascii="仿宋" w:hAnsi="仿宋" w:eastAsia="仿宋" w:cs="仿宋"/>
                <w:color w:val="auto"/>
                <w:highlight w:val="none"/>
                <w:lang w:eastAsia="zh-CN"/>
              </w:rPr>
            </w:pPr>
          </w:p>
        </w:tc>
        <w:tc>
          <w:tcPr>
            <w:tcW w:w="1040" w:type="dxa"/>
          </w:tcPr>
          <w:p w14:paraId="76B6DD40">
            <w:pPr>
              <w:pStyle w:val="10"/>
              <w:spacing w:line="240" w:lineRule="atLeast"/>
              <w:ind w:left="1164" w:leftChars="257" w:hanging="540"/>
              <w:rPr>
                <w:rFonts w:ascii="仿宋" w:hAnsi="仿宋" w:eastAsia="仿宋" w:cs="仿宋"/>
                <w:color w:val="auto"/>
                <w:highlight w:val="none"/>
                <w:lang w:eastAsia="zh-CN"/>
              </w:rPr>
            </w:pPr>
          </w:p>
        </w:tc>
        <w:tc>
          <w:tcPr>
            <w:tcW w:w="1370" w:type="dxa"/>
          </w:tcPr>
          <w:p w14:paraId="7BF2C851">
            <w:pPr>
              <w:pStyle w:val="10"/>
              <w:spacing w:line="240" w:lineRule="atLeast"/>
              <w:ind w:left="1164" w:leftChars="257" w:hanging="540"/>
              <w:rPr>
                <w:rFonts w:ascii="仿宋" w:hAnsi="仿宋" w:eastAsia="仿宋" w:cs="仿宋"/>
                <w:color w:val="auto"/>
                <w:highlight w:val="none"/>
                <w:lang w:eastAsia="zh-CN"/>
              </w:rPr>
            </w:pPr>
          </w:p>
        </w:tc>
        <w:tc>
          <w:tcPr>
            <w:tcW w:w="1420" w:type="dxa"/>
          </w:tcPr>
          <w:p w14:paraId="4B59795E">
            <w:pPr>
              <w:pStyle w:val="10"/>
              <w:spacing w:line="240" w:lineRule="atLeast"/>
              <w:ind w:left="1164" w:leftChars="257" w:hanging="540"/>
              <w:rPr>
                <w:rFonts w:ascii="仿宋" w:hAnsi="仿宋" w:eastAsia="仿宋" w:cs="仿宋"/>
                <w:color w:val="auto"/>
                <w:highlight w:val="none"/>
                <w:lang w:eastAsia="zh-CN"/>
              </w:rPr>
            </w:pPr>
          </w:p>
        </w:tc>
        <w:tc>
          <w:tcPr>
            <w:tcW w:w="1101" w:type="dxa"/>
          </w:tcPr>
          <w:p w14:paraId="26FAB752">
            <w:pPr>
              <w:pStyle w:val="10"/>
              <w:spacing w:line="240" w:lineRule="atLeast"/>
              <w:ind w:left="1164" w:leftChars="257" w:hanging="540"/>
              <w:rPr>
                <w:rFonts w:ascii="仿宋" w:hAnsi="仿宋" w:eastAsia="仿宋" w:cs="仿宋"/>
                <w:color w:val="auto"/>
                <w:highlight w:val="none"/>
                <w:lang w:eastAsia="zh-CN"/>
              </w:rPr>
            </w:pPr>
          </w:p>
        </w:tc>
      </w:tr>
      <w:tr w14:paraId="752CF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961" w:type="dxa"/>
          </w:tcPr>
          <w:p w14:paraId="17C07C28">
            <w:pPr>
              <w:pStyle w:val="10"/>
              <w:spacing w:line="240" w:lineRule="atLeast"/>
              <w:ind w:left="1164" w:leftChars="257" w:hanging="540"/>
              <w:rPr>
                <w:rFonts w:ascii="仿宋" w:hAnsi="仿宋" w:eastAsia="仿宋" w:cs="仿宋"/>
                <w:color w:val="auto"/>
                <w:highlight w:val="none"/>
                <w:lang w:eastAsia="zh-CN"/>
              </w:rPr>
            </w:pPr>
          </w:p>
        </w:tc>
        <w:tc>
          <w:tcPr>
            <w:tcW w:w="1400" w:type="dxa"/>
          </w:tcPr>
          <w:p w14:paraId="775B4C95">
            <w:pPr>
              <w:pStyle w:val="10"/>
              <w:spacing w:line="240" w:lineRule="atLeast"/>
              <w:ind w:left="1164" w:leftChars="257" w:hanging="540"/>
              <w:rPr>
                <w:rFonts w:ascii="仿宋" w:hAnsi="仿宋" w:eastAsia="仿宋" w:cs="仿宋"/>
                <w:color w:val="auto"/>
                <w:highlight w:val="none"/>
                <w:lang w:eastAsia="zh-CN"/>
              </w:rPr>
            </w:pPr>
          </w:p>
        </w:tc>
        <w:tc>
          <w:tcPr>
            <w:tcW w:w="1410" w:type="dxa"/>
          </w:tcPr>
          <w:p w14:paraId="0950A334">
            <w:pPr>
              <w:pStyle w:val="10"/>
              <w:spacing w:line="240" w:lineRule="atLeast"/>
              <w:ind w:left="1164" w:leftChars="257" w:hanging="540"/>
              <w:rPr>
                <w:rFonts w:ascii="仿宋" w:hAnsi="仿宋" w:eastAsia="仿宋" w:cs="仿宋"/>
                <w:color w:val="auto"/>
                <w:highlight w:val="none"/>
                <w:lang w:eastAsia="zh-CN"/>
              </w:rPr>
            </w:pPr>
          </w:p>
        </w:tc>
        <w:tc>
          <w:tcPr>
            <w:tcW w:w="1040" w:type="dxa"/>
          </w:tcPr>
          <w:p w14:paraId="1DF91A5C">
            <w:pPr>
              <w:pStyle w:val="10"/>
              <w:spacing w:line="240" w:lineRule="atLeast"/>
              <w:ind w:left="1164" w:leftChars="257" w:hanging="540"/>
              <w:rPr>
                <w:rFonts w:ascii="仿宋" w:hAnsi="仿宋" w:eastAsia="仿宋" w:cs="仿宋"/>
                <w:color w:val="auto"/>
                <w:highlight w:val="none"/>
                <w:lang w:eastAsia="zh-CN"/>
              </w:rPr>
            </w:pPr>
          </w:p>
        </w:tc>
        <w:tc>
          <w:tcPr>
            <w:tcW w:w="1370" w:type="dxa"/>
          </w:tcPr>
          <w:p w14:paraId="55E86F3A">
            <w:pPr>
              <w:pStyle w:val="10"/>
              <w:spacing w:line="240" w:lineRule="atLeast"/>
              <w:ind w:left="1164" w:leftChars="257" w:hanging="540"/>
              <w:rPr>
                <w:rFonts w:ascii="仿宋" w:hAnsi="仿宋" w:eastAsia="仿宋" w:cs="仿宋"/>
                <w:color w:val="auto"/>
                <w:highlight w:val="none"/>
                <w:lang w:eastAsia="zh-CN"/>
              </w:rPr>
            </w:pPr>
          </w:p>
        </w:tc>
        <w:tc>
          <w:tcPr>
            <w:tcW w:w="1420" w:type="dxa"/>
          </w:tcPr>
          <w:p w14:paraId="47DFCBC5">
            <w:pPr>
              <w:pStyle w:val="10"/>
              <w:spacing w:line="240" w:lineRule="atLeast"/>
              <w:ind w:left="1164" w:leftChars="257" w:hanging="540"/>
              <w:rPr>
                <w:rFonts w:ascii="仿宋" w:hAnsi="仿宋" w:eastAsia="仿宋" w:cs="仿宋"/>
                <w:color w:val="auto"/>
                <w:highlight w:val="none"/>
                <w:lang w:eastAsia="zh-CN"/>
              </w:rPr>
            </w:pPr>
          </w:p>
        </w:tc>
        <w:tc>
          <w:tcPr>
            <w:tcW w:w="1101" w:type="dxa"/>
          </w:tcPr>
          <w:p w14:paraId="11E68327">
            <w:pPr>
              <w:pStyle w:val="10"/>
              <w:spacing w:line="240" w:lineRule="atLeast"/>
              <w:ind w:left="1164" w:leftChars="257" w:hanging="540"/>
              <w:rPr>
                <w:rFonts w:ascii="仿宋" w:hAnsi="仿宋" w:eastAsia="仿宋" w:cs="仿宋"/>
                <w:color w:val="auto"/>
                <w:highlight w:val="none"/>
                <w:lang w:eastAsia="zh-CN"/>
              </w:rPr>
            </w:pPr>
          </w:p>
        </w:tc>
      </w:tr>
    </w:tbl>
    <w:p w14:paraId="5240E8B5">
      <w:pPr>
        <w:pStyle w:val="10"/>
        <w:spacing w:line="240" w:lineRule="atLeast"/>
        <w:ind w:left="1164" w:leftChars="257" w:hanging="540"/>
        <w:rPr>
          <w:rFonts w:ascii="仿宋" w:hAnsi="仿宋" w:eastAsia="仿宋" w:cs="仿宋"/>
          <w:color w:val="auto"/>
          <w:highlight w:val="none"/>
        </w:rPr>
      </w:pPr>
    </w:p>
    <w:p w14:paraId="468E2511">
      <w:pPr>
        <w:pStyle w:val="10"/>
        <w:spacing w:line="240" w:lineRule="atLeast"/>
        <w:ind w:left="1164" w:leftChars="257" w:hanging="540"/>
        <w:rPr>
          <w:rFonts w:hAnsi="宋体" w:eastAsia="宋体" w:cs="宋体"/>
          <w:color w:val="auto"/>
          <w:highlight w:val="none"/>
          <w:lang w:eastAsia="zh-CN"/>
        </w:rPr>
      </w:pPr>
      <w:r>
        <w:rPr>
          <w:rFonts w:hint="eastAsia" w:ascii="仿宋" w:hAnsi="仿宋" w:eastAsia="仿宋" w:cs="仿宋"/>
          <w:color w:val="auto"/>
          <w:highlight w:val="none"/>
          <w:lang w:eastAsia="zh-CN"/>
        </w:rPr>
        <w:t>法定代表人或其委托代理人签字:</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u w:val="single"/>
          <w:lang w:eastAsia="zh-CN"/>
        </w:rPr>
        <w:tab/>
      </w:r>
      <w:r>
        <w:rPr>
          <w:rFonts w:hint="eastAsia" w:ascii="仿宋" w:hAnsi="仿宋" w:eastAsia="仿宋" w:cs="仿宋"/>
          <w:color w:val="auto"/>
          <w:highlight w:val="none"/>
          <w:u w:val="single"/>
          <w:lang w:eastAsia="zh-CN"/>
        </w:rPr>
        <w:t xml:space="preserve">        </w:t>
      </w:r>
      <w:r>
        <w:rPr>
          <w:rFonts w:hint="eastAsia" w:hAnsi="宋体" w:eastAsia="宋体" w:cs="宋体"/>
          <w:color w:val="auto"/>
          <w:highlight w:val="none"/>
          <w:u w:val="single"/>
          <w:lang w:eastAsia="zh-CN"/>
        </w:rPr>
        <w:t xml:space="preserve">         </w:t>
      </w:r>
    </w:p>
    <w:p w14:paraId="0FD2489A">
      <w:pPr>
        <w:pStyle w:val="10"/>
        <w:tabs>
          <w:tab w:val="left" w:pos="5370"/>
        </w:tabs>
        <w:spacing w:line="240" w:lineRule="atLeast"/>
        <w:ind w:left="1164" w:leftChars="257" w:hanging="540"/>
        <w:rPr>
          <w:rFonts w:ascii="仿宋" w:hAnsi="仿宋" w:eastAsia="仿宋" w:cs="仿宋"/>
          <w:color w:val="auto"/>
          <w:highlight w:val="none"/>
          <w:lang w:eastAsia="zh-CN"/>
        </w:rPr>
      </w:pPr>
    </w:p>
    <w:p w14:paraId="1771A988">
      <w:pPr>
        <w:pStyle w:val="10"/>
        <w:tabs>
          <w:tab w:val="left" w:pos="5370"/>
        </w:tabs>
        <w:spacing w:line="240" w:lineRule="atLeast"/>
        <w:ind w:left="1164" w:leftChars="257" w:hanging="540"/>
        <w:rPr>
          <w:rFonts w:ascii="仿宋" w:hAnsi="仿宋" w:eastAsia="仿宋" w:cs="仿宋"/>
          <w:color w:val="auto"/>
          <w:highlight w:val="none"/>
          <w:u w:val="single"/>
          <w:lang w:eastAsia="zh-CN"/>
        </w:rPr>
      </w:pPr>
      <w:r>
        <w:rPr>
          <w:rFonts w:hint="eastAsia" w:ascii="仿宋" w:hAnsi="仿宋" w:eastAsia="仿宋" w:cs="仿宋"/>
          <w:color w:val="auto"/>
          <w:highlight w:val="none"/>
          <w:lang w:eastAsia="zh-CN"/>
        </w:rPr>
        <w:t>供应商(盖单位章):</w:t>
      </w:r>
      <w:r>
        <w:rPr>
          <w:rFonts w:hint="eastAsia" w:ascii="仿宋" w:hAnsi="仿宋" w:eastAsia="仿宋" w:cs="仿宋"/>
          <w:color w:val="auto"/>
          <w:highlight w:val="none"/>
          <w:u w:val="single"/>
          <w:lang w:eastAsia="zh-CN"/>
        </w:rPr>
        <w:tab/>
      </w:r>
    </w:p>
    <w:p w14:paraId="0A862A09">
      <w:pPr>
        <w:pStyle w:val="10"/>
        <w:spacing w:line="240" w:lineRule="atLeast"/>
        <w:ind w:left="1164" w:leftChars="257" w:hanging="540"/>
        <w:rPr>
          <w:rFonts w:ascii="仿宋" w:hAnsi="仿宋" w:eastAsia="仿宋" w:cs="仿宋"/>
          <w:color w:val="auto"/>
          <w:highlight w:val="none"/>
          <w:lang w:eastAsia="zh-CN"/>
        </w:rPr>
      </w:pPr>
    </w:p>
    <w:p w14:paraId="47E47CD4">
      <w:pPr>
        <w:pStyle w:val="10"/>
        <w:spacing w:line="240" w:lineRule="atLeast"/>
        <w:ind w:left="1164" w:leftChars="257" w:hanging="540"/>
        <w:rPr>
          <w:rFonts w:hAnsi="宋体" w:eastAsia="宋体" w:cs="宋体"/>
          <w:color w:val="auto"/>
          <w:highlight w:val="none"/>
          <w:lang w:eastAsia="zh-CN"/>
        </w:rPr>
      </w:pPr>
      <w:r>
        <w:rPr>
          <w:rFonts w:hint="eastAsia" w:ascii="仿宋" w:hAnsi="仿宋" w:eastAsia="仿宋" w:cs="仿宋"/>
          <w:color w:val="auto"/>
          <w:highlight w:val="none"/>
          <w:lang w:eastAsia="zh-CN"/>
        </w:rPr>
        <w:t>注: 各项货物详细技术性能应另页描述</w:t>
      </w:r>
      <w:r>
        <w:rPr>
          <w:rFonts w:hint="eastAsia" w:hAnsi="宋体" w:eastAsia="宋体" w:cs="宋体"/>
          <w:color w:val="auto"/>
          <w:highlight w:val="none"/>
          <w:lang w:eastAsia="zh-CN"/>
        </w:rPr>
        <w:t>。</w:t>
      </w:r>
    </w:p>
    <w:p w14:paraId="7E5C67E7">
      <w:pPr>
        <w:pStyle w:val="10"/>
        <w:spacing w:line="240" w:lineRule="atLeast"/>
        <w:ind w:left="1164" w:leftChars="257" w:hanging="540"/>
        <w:jc w:val="center"/>
        <w:rPr>
          <w:rFonts w:hAnsi="宋体" w:eastAsia="宋体" w:cs="宋体"/>
          <w:color w:val="auto"/>
          <w:highlight w:val="none"/>
          <w:lang w:eastAsia="zh-CN"/>
        </w:rPr>
      </w:pPr>
    </w:p>
    <w:p w14:paraId="3D60F108">
      <w:pPr>
        <w:pStyle w:val="10"/>
        <w:spacing w:line="240" w:lineRule="atLeast"/>
        <w:ind w:left="1164" w:leftChars="257" w:hanging="540"/>
        <w:jc w:val="center"/>
        <w:rPr>
          <w:rFonts w:hAnsi="宋体" w:eastAsia="宋体" w:cs="宋体"/>
          <w:color w:val="auto"/>
          <w:highlight w:val="none"/>
          <w:lang w:eastAsia="zh-CN"/>
        </w:rPr>
        <w:sectPr>
          <w:footerReference r:id="rId8" w:type="default"/>
          <w:pgSz w:w="11905" w:h="16838"/>
          <w:pgMar w:top="1440" w:right="1797" w:bottom="1440" w:left="1797" w:header="850" w:footer="992" w:gutter="0"/>
          <w:pgNumType w:fmt="decimal"/>
          <w:cols w:space="720" w:num="1"/>
          <w:docGrid w:type="linesAndChars" w:linePitch="325" w:charSpace="635"/>
        </w:sectPr>
      </w:pPr>
    </w:p>
    <w:p w14:paraId="6CDA769A">
      <w:pPr>
        <w:pStyle w:val="39"/>
        <w:keepNext/>
        <w:keepLines/>
        <w:spacing w:before="0" w:after="220"/>
        <w:rPr>
          <w:rFonts w:ascii="仿宋" w:hAnsi="仿宋" w:eastAsia="仿宋" w:cs="仿宋"/>
          <w:b/>
          <w:bCs/>
          <w:color w:val="auto"/>
          <w:highlight w:val="none"/>
        </w:rPr>
      </w:pPr>
      <w:r>
        <w:rPr>
          <w:rFonts w:hint="eastAsia" w:ascii="仿宋" w:hAnsi="仿宋" w:eastAsia="仿宋" w:cs="仿宋"/>
          <w:b/>
          <w:bCs/>
          <w:color w:val="auto"/>
          <w:highlight w:val="none"/>
          <w:lang w:val="en-US" w:eastAsia="zh-CN"/>
        </w:rPr>
        <w:t>4</w:t>
      </w:r>
      <w:r>
        <w:rPr>
          <w:rFonts w:hint="eastAsia" w:ascii="仿宋" w:hAnsi="仿宋" w:eastAsia="仿宋" w:cs="仿宋"/>
          <w:b/>
          <w:bCs/>
          <w:color w:val="auto"/>
          <w:highlight w:val="none"/>
          <w:lang w:eastAsia="zh-CN"/>
        </w:rPr>
        <w:t>、投标分项报价明细表</w:t>
      </w:r>
    </w:p>
    <w:p w14:paraId="72806C26">
      <w:pPr>
        <w:pStyle w:val="39"/>
        <w:keepNext/>
        <w:keepLines/>
        <w:spacing w:before="0" w:after="220"/>
        <w:jc w:val="both"/>
        <w:rPr>
          <w:rFonts w:ascii="仿宋" w:hAnsi="仿宋" w:eastAsia="仿宋" w:cs="仿宋"/>
          <w:color w:val="auto"/>
          <w:sz w:val="24"/>
          <w:highlight w:val="none"/>
        </w:rPr>
      </w:pPr>
      <w:r>
        <w:rPr>
          <w:rFonts w:hint="eastAsia" w:ascii="仿宋" w:hAnsi="仿宋" w:eastAsia="仿宋" w:cs="仿宋"/>
          <w:color w:val="auto"/>
          <w:sz w:val="24"/>
          <w:highlight w:val="none"/>
        </w:rPr>
        <w:t xml:space="preserve">项目名称:                      </w:t>
      </w:r>
    </w:p>
    <w:p w14:paraId="646BD448">
      <w:pPr>
        <w:pStyle w:val="39"/>
        <w:keepNext/>
        <w:keepLines/>
        <w:spacing w:before="0" w:after="220"/>
        <w:jc w:val="both"/>
        <w:rPr>
          <w:rFonts w:ascii="仿宋" w:hAnsi="仿宋" w:eastAsia="仿宋" w:cs="仿宋"/>
          <w:color w:val="auto"/>
          <w:sz w:val="24"/>
          <w:highlight w:val="none"/>
        </w:rPr>
      </w:pPr>
      <w:r>
        <w:rPr>
          <w:rFonts w:hint="eastAsia" w:ascii="仿宋" w:hAnsi="仿宋" w:eastAsia="仿宋" w:cs="仿宋"/>
          <w:color w:val="auto"/>
          <w:sz w:val="24"/>
          <w:highlight w:val="none"/>
        </w:rPr>
        <w:t xml:space="preserve">招标编号:                </w:t>
      </w:r>
      <w:r>
        <w:rPr>
          <w:rFonts w:hint="eastAsia" w:ascii="仿宋" w:hAnsi="仿宋" w:eastAsia="仿宋" w:cs="仿宋"/>
          <w:color w:val="auto"/>
          <w:sz w:val="24"/>
          <w:highlight w:val="none"/>
          <w:lang w:val="en-US" w:eastAsia="zh-CN"/>
        </w:rPr>
        <w:t xml:space="preserve">                     </w:t>
      </w:r>
    </w:p>
    <w:p w14:paraId="01014C68">
      <w:pPr>
        <w:pStyle w:val="10"/>
        <w:spacing w:line="240" w:lineRule="atLeast"/>
        <w:ind w:left="1157" w:leftChars="257" w:hanging="540"/>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单位：</w:t>
      </w:r>
      <w:r>
        <w:rPr>
          <w:rFonts w:hint="eastAsia" w:ascii="仿宋" w:hAnsi="仿宋" w:eastAsia="仿宋" w:cs="仿宋"/>
          <w:color w:val="auto"/>
          <w:szCs w:val="21"/>
          <w:highlight w:val="none"/>
          <w:lang w:eastAsia="zh-CN"/>
        </w:rPr>
        <w:t>元（人民币）</w:t>
      </w:r>
    </w:p>
    <w:tbl>
      <w:tblPr>
        <w:tblStyle w:val="25"/>
        <w:tblW w:w="798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98"/>
        <w:gridCol w:w="1185"/>
        <w:gridCol w:w="1309"/>
        <w:gridCol w:w="845"/>
        <w:gridCol w:w="716"/>
        <w:gridCol w:w="709"/>
        <w:gridCol w:w="886"/>
        <w:gridCol w:w="820"/>
        <w:gridCol w:w="820"/>
      </w:tblGrid>
      <w:tr w14:paraId="1295AB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5853DB14">
            <w:pPr>
              <w:spacing w:line="50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序号</w:t>
            </w:r>
          </w:p>
        </w:tc>
        <w:tc>
          <w:tcPr>
            <w:tcW w:w="1185" w:type="dxa"/>
            <w:tcBorders>
              <w:top w:val="single" w:color="auto" w:sz="4" w:space="0"/>
              <w:left w:val="single" w:color="auto" w:sz="4" w:space="0"/>
              <w:bottom w:val="single" w:color="auto" w:sz="4" w:space="0"/>
              <w:right w:val="single" w:color="auto" w:sz="4" w:space="0"/>
            </w:tcBorders>
            <w:vAlign w:val="center"/>
          </w:tcPr>
          <w:p w14:paraId="1A82A2E6">
            <w:pPr>
              <w:spacing w:line="50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lang w:val="en-US" w:eastAsia="zh-CN"/>
              </w:rPr>
              <w:t>商品名称</w:t>
            </w:r>
          </w:p>
        </w:tc>
        <w:tc>
          <w:tcPr>
            <w:tcW w:w="1309" w:type="dxa"/>
            <w:tcBorders>
              <w:top w:val="single" w:color="auto" w:sz="4" w:space="0"/>
              <w:left w:val="single" w:color="auto" w:sz="4" w:space="0"/>
              <w:bottom w:val="single" w:color="auto" w:sz="4" w:space="0"/>
              <w:right w:val="single" w:color="auto" w:sz="4" w:space="0"/>
            </w:tcBorders>
            <w:vAlign w:val="center"/>
          </w:tcPr>
          <w:p w14:paraId="6F277FE6">
            <w:pPr>
              <w:spacing w:line="500" w:lineRule="exact"/>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品牌</w:t>
            </w:r>
            <w:r>
              <w:rPr>
                <w:rFonts w:hint="eastAsia" w:ascii="仿宋" w:hAnsi="仿宋" w:eastAsia="仿宋" w:cs="仿宋"/>
                <w:color w:val="auto"/>
                <w:szCs w:val="21"/>
                <w:highlight w:val="none"/>
                <w:lang w:val="en-US" w:eastAsia="zh-CN"/>
              </w:rPr>
              <w:t>/生产厂家</w:t>
            </w:r>
          </w:p>
        </w:tc>
        <w:tc>
          <w:tcPr>
            <w:tcW w:w="845" w:type="dxa"/>
            <w:tcBorders>
              <w:top w:val="single" w:color="auto" w:sz="4" w:space="0"/>
              <w:left w:val="single" w:color="auto" w:sz="4" w:space="0"/>
              <w:bottom w:val="single" w:color="auto" w:sz="4" w:space="0"/>
              <w:right w:val="single" w:color="auto" w:sz="4" w:space="0"/>
            </w:tcBorders>
            <w:vAlign w:val="center"/>
          </w:tcPr>
          <w:p w14:paraId="1664E8E3">
            <w:pPr>
              <w:spacing w:line="50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规格</w:t>
            </w:r>
          </w:p>
        </w:tc>
        <w:tc>
          <w:tcPr>
            <w:tcW w:w="716" w:type="dxa"/>
            <w:tcBorders>
              <w:top w:val="single" w:color="auto" w:sz="4" w:space="0"/>
              <w:left w:val="single" w:color="auto" w:sz="4" w:space="0"/>
              <w:bottom w:val="single" w:color="auto" w:sz="4" w:space="0"/>
              <w:right w:val="single" w:color="auto" w:sz="4" w:space="0"/>
            </w:tcBorders>
            <w:vAlign w:val="center"/>
          </w:tcPr>
          <w:p w14:paraId="1FFBB57C">
            <w:pPr>
              <w:spacing w:line="500" w:lineRule="exact"/>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单位</w:t>
            </w:r>
          </w:p>
        </w:tc>
        <w:tc>
          <w:tcPr>
            <w:tcW w:w="709" w:type="dxa"/>
            <w:tcBorders>
              <w:top w:val="single" w:color="auto" w:sz="4" w:space="0"/>
              <w:left w:val="single" w:color="auto" w:sz="4" w:space="0"/>
              <w:bottom w:val="single" w:color="auto" w:sz="4" w:space="0"/>
              <w:right w:val="single" w:color="auto" w:sz="4" w:space="0"/>
            </w:tcBorders>
            <w:vAlign w:val="center"/>
          </w:tcPr>
          <w:p w14:paraId="771D1EFB">
            <w:pPr>
              <w:spacing w:line="500" w:lineRule="exact"/>
              <w:jc w:val="center"/>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数量</w:t>
            </w:r>
          </w:p>
        </w:tc>
        <w:tc>
          <w:tcPr>
            <w:tcW w:w="886" w:type="dxa"/>
            <w:tcBorders>
              <w:top w:val="single" w:color="auto" w:sz="4" w:space="0"/>
              <w:left w:val="single" w:color="auto" w:sz="4" w:space="0"/>
              <w:bottom w:val="single" w:color="auto" w:sz="4" w:space="0"/>
              <w:right w:val="single" w:color="auto" w:sz="4" w:space="0"/>
            </w:tcBorders>
            <w:vAlign w:val="center"/>
          </w:tcPr>
          <w:p w14:paraId="44691407">
            <w:pPr>
              <w:spacing w:line="500" w:lineRule="exact"/>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单价（元）</w:t>
            </w:r>
          </w:p>
        </w:tc>
        <w:tc>
          <w:tcPr>
            <w:tcW w:w="820" w:type="dxa"/>
            <w:tcBorders>
              <w:top w:val="single" w:color="auto" w:sz="4" w:space="0"/>
              <w:left w:val="single" w:color="auto" w:sz="4" w:space="0"/>
              <w:bottom w:val="single" w:color="auto" w:sz="4" w:space="0"/>
              <w:right w:val="single" w:color="auto" w:sz="4" w:space="0"/>
            </w:tcBorders>
            <w:vAlign w:val="center"/>
          </w:tcPr>
          <w:p w14:paraId="406F42B2">
            <w:pPr>
              <w:spacing w:line="500" w:lineRule="exact"/>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总价（元）</w:t>
            </w:r>
          </w:p>
        </w:tc>
        <w:tc>
          <w:tcPr>
            <w:tcW w:w="820" w:type="dxa"/>
            <w:tcBorders>
              <w:top w:val="single" w:color="auto" w:sz="4" w:space="0"/>
              <w:left w:val="single" w:color="auto" w:sz="4" w:space="0"/>
              <w:bottom w:val="single" w:color="auto" w:sz="4" w:space="0"/>
              <w:right w:val="single" w:color="auto" w:sz="4" w:space="0"/>
            </w:tcBorders>
            <w:vAlign w:val="center"/>
          </w:tcPr>
          <w:p w14:paraId="65162E06">
            <w:pPr>
              <w:spacing w:line="500" w:lineRule="exact"/>
              <w:jc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备注</w:t>
            </w:r>
          </w:p>
        </w:tc>
      </w:tr>
      <w:tr w14:paraId="1CC9A3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7983F3D0">
            <w:pPr>
              <w:spacing w:line="500" w:lineRule="exact"/>
              <w:jc w:val="center"/>
              <w:rPr>
                <w:rFonts w:ascii="仿宋" w:hAnsi="仿宋" w:eastAsia="仿宋" w:cs="仿宋"/>
                <w:color w:val="auto"/>
                <w:szCs w:val="21"/>
                <w:highlight w:val="none"/>
              </w:rPr>
            </w:pPr>
          </w:p>
        </w:tc>
        <w:tc>
          <w:tcPr>
            <w:tcW w:w="1185" w:type="dxa"/>
            <w:tcBorders>
              <w:top w:val="single" w:color="auto" w:sz="4" w:space="0"/>
              <w:left w:val="single" w:color="auto" w:sz="4" w:space="0"/>
              <w:bottom w:val="single" w:color="auto" w:sz="4" w:space="0"/>
              <w:right w:val="single" w:color="auto" w:sz="4" w:space="0"/>
            </w:tcBorders>
            <w:vAlign w:val="center"/>
          </w:tcPr>
          <w:p w14:paraId="22DAE750">
            <w:pPr>
              <w:spacing w:line="500" w:lineRule="exact"/>
              <w:jc w:val="center"/>
              <w:rPr>
                <w:rFonts w:ascii="仿宋" w:hAnsi="仿宋" w:eastAsia="仿宋" w:cs="仿宋"/>
                <w:color w:val="auto"/>
                <w:szCs w:val="21"/>
                <w:highlight w:val="none"/>
              </w:rPr>
            </w:pPr>
          </w:p>
        </w:tc>
        <w:tc>
          <w:tcPr>
            <w:tcW w:w="1309" w:type="dxa"/>
            <w:tcBorders>
              <w:top w:val="single" w:color="auto" w:sz="4" w:space="0"/>
              <w:left w:val="single" w:color="auto" w:sz="4" w:space="0"/>
              <w:bottom w:val="single" w:color="auto" w:sz="4" w:space="0"/>
              <w:right w:val="single" w:color="auto" w:sz="4" w:space="0"/>
            </w:tcBorders>
            <w:vAlign w:val="center"/>
          </w:tcPr>
          <w:p w14:paraId="13DC98C0">
            <w:pPr>
              <w:spacing w:line="500" w:lineRule="exact"/>
              <w:jc w:val="center"/>
              <w:rPr>
                <w:rFonts w:ascii="仿宋" w:hAnsi="仿宋" w:eastAsia="仿宋" w:cs="仿宋"/>
                <w:color w:val="auto"/>
                <w:szCs w:val="21"/>
                <w:highlight w:val="none"/>
              </w:rPr>
            </w:pPr>
          </w:p>
        </w:tc>
        <w:tc>
          <w:tcPr>
            <w:tcW w:w="845" w:type="dxa"/>
            <w:tcBorders>
              <w:top w:val="single" w:color="auto" w:sz="4" w:space="0"/>
              <w:left w:val="single" w:color="auto" w:sz="4" w:space="0"/>
              <w:bottom w:val="single" w:color="auto" w:sz="4" w:space="0"/>
              <w:right w:val="single" w:color="auto" w:sz="4" w:space="0"/>
            </w:tcBorders>
            <w:vAlign w:val="center"/>
          </w:tcPr>
          <w:p w14:paraId="68B3BD40">
            <w:pPr>
              <w:spacing w:line="500" w:lineRule="exact"/>
              <w:jc w:val="center"/>
              <w:rPr>
                <w:rFonts w:ascii="仿宋" w:hAnsi="仿宋" w:eastAsia="仿宋" w:cs="仿宋"/>
                <w:color w:val="auto"/>
                <w:szCs w:val="21"/>
                <w:highlight w:val="none"/>
              </w:rPr>
            </w:pPr>
          </w:p>
        </w:tc>
        <w:tc>
          <w:tcPr>
            <w:tcW w:w="716" w:type="dxa"/>
            <w:tcBorders>
              <w:top w:val="single" w:color="auto" w:sz="4" w:space="0"/>
              <w:left w:val="single" w:color="auto" w:sz="4" w:space="0"/>
              <w:bottom w:val="single" w:color="auto" w:sz="4" w:space="0"/>
              <w:right w:val="single" w:color="auto" w:sz="4" w:space="0"/>
            </w:tcBorders>
            <w:vAlign w:val="center"/>
          </w:tcPr>
          <w:p w14:paraId="48883923">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28B77745">
            <w:pPr>
              <w:spacing w:line="500" w:lineRule="exact"/>
              <w:jc w:val="center"/>
              <w:rPr>
                <w:rFonts w:ascii="仿宋" w:hAnsi="仿宋" w:eastAsia="仿宋" w:cs="仿宋"/>
                <w:color w:val="auto"/>
                <w:szCs w:val="21"/>
                <w:highlight w:val="none"/>
              </w:rPr>
            </w:pPr>
          </w:p>
        </w:tc>
        <w:tc>
          <w:tcPr>
            <w:tcW w:w="886" w:type="dxa"/>
            <w:tcBorders>
              <w:top w:val="single" w:color="auto" w:sz="4" w:space="0"/>
              <w:left w:val="single" w:color="auto" w:sz="4" w:space="0"/>
              <w:bottom w:val="single" w:color="auto" w:sz="4" w:space="0"/>
              <w:right w:val="single" w:color="auto" w:sz="4" w:space="0"/>
            </w:tcBorders>
            <w:vAlign w:val="center"/>
          </w:tcPr>
          <w:p w14:paraId="35E2183D">
            <w:pPr>
              <w:spacing w:line="500" w:lineRule="exact"/>
              <w:jc w:val="center"/>
              <w:rPr>
                <w:rFonts w:ascii="仿宋" w:hAnsi="仿宋" w:eastAsia="仿宋" w:cs="仿宋"/>
                <w:color w:val="auto"/>
                <w:szCs w:val="21"/>
                <w:highlight w:val="none"/>
              </w:rPr>
            </w:pPr>
          </w:p>
        </w:tc>
        <w:tc>
          <w:tcPr>
            <w:tcW w:w="820" w:type="dxa"/>
            <w:tcBorders>
              <w:top w:val="single" w:color="auto" w:sz="4" w:space="0"/>
              <w:left w:val="single" w:color="auto" w:sz="4" w:space="0"/>
              <w:bottom w:val="single" w:color="auto" w:sz="4" w:space="0"/>
              <w:right w:val="single" w:color="auto" w:sz="4" w:space="0"/>
            </w:tcBorders>
            <w:vAlign w:val="center"/>
          </w:tcPr>
          <w:p w14:paraId="2F24E453">
            <w:pPr>
              <w:spacing w:line="500" w:lineRule="exact"/>
              <w:jc w:val="center"/>
              <w:rPr>
                <w:rFonts w:ascii="仿宋" w:hAnsi="仿宋" w:eastAsia="仿宋" w:cs="仿宋"/>
                <w:color w:val="auto"/>
                <w:szCs w:val="21"/>
                <w:highlight w:val="none"/>
              </w:rPr>
            </w:pPr>
          </w:p>
        </w:tc>
        <w:tc>
          <w:tcPr>
            <w:tcW w:w="820" w:type="dxa"/>
            <w:tcBorders>
              <w:top w:val="single" w:color="auto" w:sz="4" w:space="0"/>
              <w:left w:val="single" w:color="auto" w:sz="4" w:space="0"/>
              <w:bottom w:val="single" w:color="auto" w:sz="4" w:space="0"/>
              <w:right w:val="single" w:color="auto" w:sz="4" w:space="0"/>
            </w:tcBorders>
            <w:vAlign w:val="center"/>
          </w:tcPr>
          <w:p w14:paraId="7C152B95">
            <w:pPr>
              <w:spacing w:line="500" w:lineRule="exact"/>
              <w:jc w:val="center"/>
              <w:rPr>
                <w:rFonts w:ascii="仿宋" w:hAnsi="仿宋" w:eastAsia="仿宋" w:cs="仿宋"/>
                <w:color w:val="auto"/>
                <w:szCs w:val="21"/>
                <w:highlight w:val="none"/>
              </w:rPr>
            </w:pPr>
          </w:p>
        </w:tc>
      </w:tr>
      <w:tr w14:paraId="0D2602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2E804F3E">
            <w:pPr>
              <w:spacing w:line="500" w:lineRule="exact"/>
              <w:jc w:val="center"/>
              <w:rPr>
                <w:rFonts w:ascii="仿宋" w:hAnsi="仿宋" w:eastAsia="仿宋" w:cs="仿宋"/>
                <w:color w:val="auto"/>
                <w:szCs w:val="21"/>
                <w:highlight w:val="none"/>
              </w:rPr>
            </w:pPr>
          </w:p>
        </w:tc>
        <w:tc>
          <w:tcPr>
            <w:tcW w:w="1185" w:type="dxa"/>
            <w:tcBorders>
              <w:top w:val="single" w:color="auto" w:sz="4" w:space="0"/>
              <w:left w:val="single" w:color="auto" w:sz="4" w:space="0"/>
              <w:bottom w:val="single" w:color="auto" w:sz="4" w:space="0"/>
              <w:right w:val="single" w:color="auto" w:sz="4" w:space="0"/>
            </w:tcBorders>
            <w:vAlign w:val="center"/>
          </w:tcPr>
          <w:p w14:paraId="08CF020A">
            <w:pPr>
              <w:spacing w:line="500" w:lineRule="exact"/>
              <w:jc w:val="center"/>
              <w:rPr>
                <w:rFonts w:ascii="仿宋" w:hAnsi="仿宋" w:eastAsia="仿宋" w:cs="仿宋"/>
                <w:color w:val="auto"/>
                <w:szCs w:val="21"/>
                <w:highlight w:val="none"/>
              </w:rPr>
            </w:pPr>
          </w:p>
        </w:tc>
        <w:tc>
          <w:tcPr>
            <w:tcW w:w="1309" w:type="dxa"/>
            <w:tcBorders>
              <w:top w:val="single" w:color="auto" w:sz="4" w:space="0"/>
              <w:left w:val="single" w:color="auto" w:sz="4" w:space="0"/>
              <w:bottom w:val="single" w:color="auto" w:sz="4" w:space="0"/>
              <w:right w:val="single" w:color="auto" w:sz="4" w:space="0"/>
            </w:tcBorders>
            <w:vAlign w:val="center"/>
          </w:tcPr>
          <w:p w14:paraId="142A3CBD">
            <w:pPr>
              <w:spacing w:line="500" w:lineRule="exact"/>
              <w:jc w:val="center"/>
              <w:rPr>
                <w:rFonts w:ascii="仿宋" w:hAnsi="仿宋" w:eastAsia="仿宋" w:cs="仿宋"/>
                <w:color w:val="auto"/>
                <w:szCs w:val="21"/>
                <w:highlight w:val="none"/>
              </w:rPr>
            </w:pPr>
          </w:p>
        </w:tc>
        <w:tc>
          <w:tcPr>
            <w:tcW w:w="845" w:type="dxa"/>
            <w:tcBorders>
              <w:top w:val="single" w:color="auto" w:sz="4" w:space="0"/>
              <w:left w:val="single" w:color="auto" w:sz="4" w:space="0"/>
              <w:bottom w:val="single" w:color="auto" w:sz="4" w:space="0"/>
              <w:right w:val="single" w:color="auto" w:sz="4" w:space="0"/>
            </w:tcBorders>
            <w:vAlign w:val="center"/>
          </w:tcPr>
          <w:p w14:paraId="2DCF0416">
            <w:pPr>
              <w:spacing w:line="500" w:lineRule="exact"/>
              <w:jc w:val="center"/>
              <w:rPr>
                <w:rFonts w:ascii="仿宋" w:hAnsi="仿宋" w:eastAsia="仿宋" w:cs="仿宋"/>
                <w:color w:val="auto"/>
                <w:szCs w:val="21"/>
                <w:highlight w:val="none"/>
              </w:rPr>
            </w:pPr>
          </w:p>
        </w:tc>
        <w:tc>
          <w:tcPr>
            <w:tcW w:w="716" w:type="dxa"/>
            <w:tcBorders>
              <w:top w:val="single" w:color="auto" w:sz="4" w:space="0"/>
              <w:left w:val="single" w:color="auto" w:sz="4" w:space="0"/>
              <w:bottom w:val="single" w:color="auto" w:sz="4" w:space="0"/>
              <w:right w:val="single" w:color="auto" w:sz="4" w:space="0"/>
            </w:tcBorders>
            <w:vAlign w:val="center"/>
          </w:tcPr>
          <w:p w14:paraId="06937377">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137E9B0B">
            <w:pPr>
              <w:spacing w:line="500" w:lineRule="exact"/>
              <w:jc w:val="center"/>
              <w:rPr>
                <w:rFonts w:ascii="仿宋" w:hAnsi="仿宋" w:eastAsia="仿宋" w:cs="仿宋"/>
                <w:color w:val="auto"/>
                <w:szCs w:val="21"/>
                <w:highlight w:val="none"/>
              </w:rPr>
            </w:pPr>
          </w:p>
        </w:tc>
        <w:tc>
          <w:tcPr>
            <w:tcW w:w="886" w:type="dxa"/>
            <w:tcBorders>
              <w:top w:val="single" w:color="auto" w:sz="4" w:space="0"/>
              <w:left w:val="single" w:color="auto" w:sz="4" w:space="0"/>
              <w:bottom w:val="single" w:color="auto" w:sz="4" w:space="0"/>
              <w:right w:val="single" w:color="auto" w:sz="4" w:space="0"/>
            </w:tcBorders>
            <w:vAlign w:val="center"/>
          </w:tcPr>
          <w:p w14:paraId="1EDC4619">
            <w:pPr>
              <w:spacing w:line="500" w:lineRule="exact"/>
              <w:jc w:val="center"/>
              <w:rPr>
                <w:rFonts w:ascii="仿宋" w:hAnsi="仿宋" w:eastAsia="仿宋" w:cs="仿宋"/>
                <w:color w:val="auto"/>
                <w:szCs w:val="21"/>
                <w:highlight w:val="none"/>
              </w:rPr>
            </w:pPr>
          </w:p>
        </w:tc>
        <w:tc>
          <w:tcPr>
            <w:tcW w:w="820" w:type="dxa"/>
            <w:tcBorders>
              <w:top w:val="single" w:color="auto" w:sz="4" w:space="0"/>
              <w:left w:val="single" w:color="auto" w:sz="4" w:space="0"/>
              <w:bottom w:val="single" w:color="auto" w:sz="4" w:space="0"/>
              <w:right w:val="single" w:color="auto" w:sz="4" w:space="0"/>
            </w:tcBorders>
            <w:vAlign w:val="center"/>
          </w:tcPr>
          <w:p w14:paraId="7746668C">
            <w:pPr>
              <w:spacing w:line="500" w:lineRule="exact"/>
              <w:jc w:val="center"/>
              <w:rPr>
                <w:rFonts w:ascii="仿宋" w:hAnsi="仿宋" w:eastAsia="仿宋" w:cs="仿宋"/>
                <w:color w:val="auto"/>
                <w:szCs w:val="21"/>
                <w:highlight w:val="none"/>
              </w:rPr>
            </w:pPr>
          </w:p>
        </w:tc>
        <w:tc>
          <w:tcPr>
            <w:tcW w:w="820" w:type="dxa"/>
            <w:tcBorders>
              <w:top w:val="single" w:color="auto" w:sz="4" w:space="0"/>
              <w:left w:val="single" w:color="auto" w:sz="4" w:space="0"/>
              <w:bottom w:val="single" w:color="auto" w:sz="4" w:space="0"/>
              <w:right w:val="single" w:color="auto" w:sz="4" w:space="0"/>
            </w:tcBorders>
            <w:vAlign w:val="center"/>
          </w:tcPr>
          <w:p w14:paraId="2E7FFA6F">
            <w:pPr>
              <w:spacing w:line="500" w:lineRule="exact"/>
              <w:jc w:val="center"/>
              <w:rPr>
                <w:rFonts w:ascii="仿宋" w:hAnsi="仿宋" w:eastAsia="仿宋" w:cs="仿宋"/>
                <w:color w:val="auto"/>
                <w:szCs w:val="21"/>
                <w:highlight w:val="none"/>
              </w:rPr>
            </w:pPr>
          </w:p>
        </w:tc>
      </w:tr>
      <w:tr w14:paraId="3CE7FC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40DF36E5">
            <w:pPr>
              <w:spacing w:line="500" w:lineRule="exact"/>
              <w:jc w:val="center"/>
              <w:rPr>
                <w:rFonts w:ascii="仿宋" w:hAnsi="仿宋" w:eastAsia="仿宋" w:cs="仿宋"/>
                <w:color w:val="auto"/>
                <w:szCs w:val="21"/>
                <w:highlight w:val="none"/>
              </w:rPr>
            </w:pPr>
          </w:p>
        </w:tc>
        <w:tc>
          <w:tcPr>
            <w:tcW w:w="1185" w:type="dxa"/>
            <w:tcBorders>
              <w:top w:val="single" w:color="auto" w:sz="4" w:space="0"/>
              <w:left w:val="single" w:color="auto" w:sz="4" w:space="0"/>
              <w:bottom w:val="single" w:color="auto" w:sz="4" w:space="0"/>
              <w:right w:val="single" w:color="auto" w:sz="4" w:space="0"/>
            </w:tcBorders>
            <w:vAlign w:val="center"/>
          </w:tcPr>
          <w:p w14:paraId="18947DBC">
            <w:pPr>
              <w:spacing w:line="500" w:lineRule="exact"/>
              <w:jc w:val="center"/>
              <w:rPr>
                <w:rFonts w:ascii="仿宋" w:hAnsi="仿宋" w:eastAsia="仿宋" w:cs="仿宋"/>
                <w:color w:val="auto"/>
                <w:szCs w:val="21"/>
                <w:highlight w:val="none"/>
              </w:rPr>
            </w:pPr>
          </w:p>
        </w:tc>
        <w:tc>
          <w:tcPr>
            <w:tcW w:w="1309" w:type="dxa"/>
            <w:tcBorders>
              <w:top w:val="single" w:color="auto" w:sz="4" w:space="0"/>
              <w:left w:val="single" w:color="auto" w:sz="4" w:space="0"/>
              <w:bottom w:val="single" w:color="auto" w:sz="4" w:space="0"/>
              <w:right w:val="single" w:color="auto" w:sz="4" w:space="0"/>
            </w:tcBorders>
            <w:vAlign w:val="center"/>
          </w:tcPr>
          <w:p w14:paraId="6BC42F3D">
            <w:pPr>
              <w:spacing w:line="500" w:lineRule="exact"/>
              <w:jc w:val="center"/>
              <w:rPr>
                <w:rFonts w:ascii="仿宋" w:hAnsi="仿宋" w:eastAsia="仿宋" w:cs="仿宋"/>
                <w:color w:val="auto"/>
                <w:szCs w:val="21"/>
                <w:highlight w:val="none"/>
              </w:rPr>
            </w:pPr>
          </w:p>
        </w:tc>
        <w:tc>
          <w:tcPr>
            <w:tcW w:w="845" w:type="dxa"/>
            <w:tcBorders>
              <w:top w:val="single" w:color="auto" w:sz="4" w:space="0"/>
              <w:left w:val="single" w:color="auto" w:sz="4" w:space="0"/>
              <w:bottom w:val="single" w:color="auto" w:sz="4" w:space="0"/>
              <w:right w:val="single" w:color="auto" w:sz="4" w:space="0"/>
            </w:tcBorders>
            <w:vAlign w:val="center"/>
          </w:tcPr>
          <w:p w14:paraId="64B126A5">
            <w:pPr>
              <w:spacing w:line="500" w:lineRule="exact"/>
              <w:jc w:val="center"/>
              <w:rPr>
                <w:rFonts w:ascii="仿宋" w:hAnsi="仿宋" w:eastAsia="仿宋" w:cs="仿宋"/>
                <w:color w:val="auto"/>
                <w:szCs w:val="21"/>
                <w:highlight w:val="none"/>
              </w:rPr>
            </w:pPr>
          </w:p>
        </w:tc>
        <w:tc>
          <w:tcPr>
            <w:tcW w:w="716" w:type="dxa"/>
            <w:tcBorders>
              <w:top w:val="single" w:color="auto" w:sz="4" w:space="0"/>
              <w:left w:val="single" w:color="auto" w:sz="4" w:space="0"/>
              <w:bottom w:val="single" w:color="auto" w:sz="4" w:space="0"/>
              <w:right w:val="single" w:color="auto" w:sz="4" w:space="0"/>
            </w:tcBorders>
            <w:vAlign w:val="center"/>
          </w:tcPr>
          <w:p w14:paraId="057B7C93">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0D184CC4">
            <w:pPr>
              <w:spacing w:line="500" w:lineRule="exact"/>
              <w:jc w:val="center"/>
              <w:rPr>
                <w:rFonts w:ascii="仿宋" w:hAnsi="仿宋" w:eastAsia="仿宋" w:cs="仿宋"/>
                <w:color w:val="auto"/>
                <w:szCs w:val="21"/>
                <w:highlight w:val="none"/>
              </w:rPr>
            </w:pPr>
          </w:p>
        </w:tc>
        <w:tc>
          <w:tcPr>
            <w:tcW w:w="886" w:type="dxa"/>
            <w:tcBorders>
              <w:top w:val="single" w:color="auto" w:sz="4" w:space="0"/>
              <w:left w:val="single" w:color="auto" w:sz="4" w:space="0"/>
              <w:bottom w:val="single" w:color="auto" w:sz="4" w:space="0"/>
              <w:right w:val="single" w:color="auto" w:sz="4" w:space="0"/>
            </w:tcBorders>
            <w:vAlign w:val="center"/>
          </w:tcPr>
          <w:p w14:paraId="3D6F065D">
            <w:pPr>
              <w:spacing w:line="500" w:lineRule="exact"/>
              <w:jc w:val="center"/>
              <w:rPr>
                <w:rFonts w:ascii="仿宋" w:hAnsi="仿宋" w:eastAsia="仿宋" w:cs="仿宋"/>
                <w:color w:val="auto"/>
                <w:szCs w:val="21"/>
                <w:highlight w:val="none"/>
              </w:rPr>
            </w:pPr>
          </w:p>
        </w:tc>
        <w:tc>
          <w:tcPr>
            <w:tcW w:w="820" w:type="dxa"/>
            <w:tcBorders>
              <w:top w:val="single" w:color="auto" w:sz="4" w:space="0"/>
              <w:left w:val="single" w:color="auto" w:sz="4" w:space="0"/>
              <w:bottom w:val="single" w:color="auto" w:sz="4" w:space="0"/>
              <w:right w:val="single" w:color="auto" w:sz="4" w:space="0"/>
            </w:tcBorders>
            <w:vAlign w:val="center"/>
          </w:tcPr>
          <w:p w14:paraId="7502E745">
            <w:pPr>
              <w:spacing w:line="500" w:lineRule="exact"/>
              <w:jc w:val="center"/>
              <w:rPr>
                <w:rFonts w:ascii="仿宋" w:hAnsi="仿宋" w:eastAsia="仿宋" w:cs="仿宋"/>
                <w:color w:val="auto"/>
                <w:szCs w:val="21"/>
                <w:highlight w:val="none"/>
              </w:rPr>
            </w:pPr>
          </w:p>
        </w:tc>
        <w:tc>
          <w:tcPr>
            <w:tcW w:w="820" w:type="dxa"/>
            <w:tcBorders>
              <w:top w:val="single" w:color="auto" w:sz="4" w:space="0"/>
              <w:left w:val="single" w:color="auto" w:sz="4" w:space="0"/>
              <w:bottom w:val="single" w:color="auto" w:sz="4" w:space="0"/>
              <w:right w:val="single" w:color="auto" w:sz="4" w:space="0"/>
            </w:tcBorders>
            <w:vAlign w:val="center"/>
          </w:tcPr>
          <w:p w14:paraId="65A3FBA6">
            <w:pPr>
              <w:spacing w:line="500" w:lineRule="exact"/>
              <w:jc w:val="center"/>
              <w:rPr>
                <w:rFonts w:ascii="仿宋" w:hAnsi="仿宋" w:eastAsia="仿宋" w:cs="仿宋"/>
                <w:color w:val="auto"/>
                <w:szCs w:val="21"/>
                <w:highlight w:val="none"/>
              </w:rPr>
            </w:pPr>
          </w:p>
        </w:tc>
      </w:tr>
      <w:tr w14:paraId="1009A5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02C021E3">
            <w:pPr>
              <w:spacing w:line="500" w:lineRule="exact"/>
              <w:jc w:val="center"/>
              <w:rPr>
                <w:rFonts w:ascii="仿宋" w:hAnsi="仿宋" w:eastAsia="仿宋" w:cs="仿宋"/>
                <w:color w:val="auto"/>
                <w:szCs w:val="21"/>
                <w:highlight w:val="none"/>
              </w:rPr>
            </w:pPr>
          </w:p>
        </w:tc>
        <w:tc>
          <w:tcPr>
            <w:tcW w:w="1185" w:type="dxa"/>
            <w:tcBorders>
              <w:top w:val="single" w:color="auto" w:sz="4" w:space="0"/>
              <w:left w:val="single" w:color="auto" w:sz="4" w:space="0"/>
              <w:bottom w:val="single" w:color="auto" w:sz="4" w:space="0"/>
              <w:right w:val="single" w:color="auto" w:sz="4" w:space="0"/>
            </w:tcBorders>
            <w:vAlign w:val="center"/>
          </w:tcPr>
          <w:p w14:paraId="15524347">
            <w:pPr>
              <w:spacing w:line="500" w:lineRule="exact"/>
              <w:jc w:val="center"/>
              <w:rPr>
                <w:rFonts w:ascii="仿宋" w:hAnsi="仿宋" w:eastAsia="仿宋" w:cs="仿宋"/>
                <w:color w:val="auto"/>
                <w:szCs w:val="21"/>
                <w:highlight w:val="none"/>
              </w:rPr>
            </w:pPr>
          </w:p>
        </w:tc>
        <w:tc>
          <w:tcPr>
            <w:tcW w:w="1309" w:type="dxa"/>
            <w:tcBorders>
              <w:top w:val="single" w:color="auto" w:sz="4" w:space="0"/>
              <w:left w:val="single" w:color="auto" w:sz="4" w:space="0"/>
              <w:bottom w:val="single" w:color="auto" w:sz="4" w:space="0"/>
              <w:right w:val="single" w:color="auto" w:sz="4" w:space="0"/>
            </w:tcBorders>
            <w:vAlign w:val="center"/>
          </w:tcPr>
          <w:p w14:paraId="223B7736">
            <w:pPr>
              <w:spacing w:line="500" w:lineRule="exact"/>
              <w:jc w:val="center"/>
              <w:rPr>
                <w:rFonts w:ascii="仿宋" w:hAnsi="仿宋" w:eastAsia="仿宋" w:cs="仿宋"/>
                <w:color w:val="auto"/>
                <w:szCs w:val="21"/>
                <w:highlight w:val="none"/>
              </w:rPr>
            </w:pPr>
          </w:p>
        </w:tc>
        <w:tc>
          <w:tcPr>
            <w:tcW w:w="845" w:type="dxa"/>
            <w:tcBorders>
              <w:top w:val="single" w:color="auto" w:sz="4" w:space="0"/>
              <w:left w:val="single" w:color="auto" w:sz="4" w:space="0"/>
              <w:bottom w:val="single" w:color="auto" w:sz="4" w:space="0"/>
              <w:right w:val="single" w:color="auto" w:sz="4" w:space="0"/>
            </w:tcBorders>
            <w:vAlign w:val="center"/>
          </w:tcPr>
          <w:p w14:paraId="1131983C">
            <w:pPr>
              <w:spacing w:line="500" w:lineRule="exact"/>
              <w:jc w:val="center"/>
              <w:rPr>
                <w:rFonts w:ascii="仿宋" w:hAnsi="仿宋" w:eastAsia="仿宋" w:cs="仿宋"/>
                <w:color w:val="auto"/>
                <w:szCs w:val="21"/>
                <w:highlight w:val="none"/>
              </w:rPr>
            </w:pPr>
          </w:p>
        </w:tc>
        <w:tc>
          <w:tcPr>
            <w:tcW w:w="716" w:type="dxa"/>
            <w:tcBorders>
              <w:top w:val="single" w:color="auto" w:sz="4" w:space="0"/>
              <w:left w:val="single" w:color="auto" w:sz="4" w:space="0"/>
              <w:bottom w:val="single" w:color="auto" w:sz="4" w:space="0"/>
              <w:right w:val="single" w:color="auto" w:sz="4" w:space="0"/>
            </w:tcBorders>
            <w:vAlign w:val="center"/>
          </w:tcPr>
          <w:p w14:paraId="16545416">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34CD170B">
            <w:pPr>
              <w:spacing w:line="500" w:lineRule="exact"/>
              <w:jc w:val="center"/>
              <w:rPr>
                <w:rFonts w:ascii="仿宋" w:hAnsi="仿宋" w:eastAsia="仿宋" w:cs="仿宋"/>
                <w:color w:val="auto"/>
                <w:szCs w:val="21"/>
                <w:highlight w:val="none"/>
              </w:rPr>
            </w:pPr>
          </w:p>
        </w:tc>
        <w:tc>
          <w:tcPr>
            <w:tcW w:w="886" w:type="dxa"/>
            <w:tcBorders>
              <w:top w:val="single" w:color="auto" w:sz="4" w:space="0"/>
              <w:left w:val="single" w:color="auto" w:sz="4" w:space="0"/>
              <w:bottom w:val="single" w:color="auto" w:sz="4" w:space="0"/>
              <w:right w:val="single" w:color="auto" w:sz="4" w:space="0"/>
            </w:tcBorders>
            <w:vAlign w:val="center"/>
          </w:tcPr>
          <w:p w14:paraId="41E6E86C">
            <w:pPr>
              <w:spacing w:line="500" w:lineRule="exact"/>
              <w:jc w:val="center"/>
              <w:rPr>
                <w:rFonts w:ascii="仿宋" w:hAnsi="仿宋" w:eastAsia="仿宋" w:cs="仿宋"/>
                <w:color w:val="auto"/>
                <w:szCs w:val="21"/>
                <w:highlight w:val="none"/>
              </w:rPr>
            </w:pPr>
          </w:p>
        </w:tc>
        <w:tc>
          <w:tcPr>
            <w:tcW w:w="820" w:type="dxa"/>
            <w:tcBorders>
              <w:top w:val="single" w:color="auto" w:sz="4" w:space="0"/>
              <w:left w:val="single" w:color="auto" w:sz="4" w:space="0"/>
              <w:bottom w:val="single" w:color="auto" w:sz="4" w:space="0"/>
              <w:right w:val="single" w:color="auto" w:sz="4" w:space="0"/>
            </w:tcBorders>
            <w:vAlign w:val="center"/>
          </w:tcPr>
          <w:p w14:paraId="3DA938E0">
            <w:pPr>
              <w:spacing w:line="500" w:lineRule="exact"/>
              <w:jc w:val="center"/>
              <w:rPr>
                <w:rFonts w:ascii="仿宋" w:hAnsi="仿宋" w:eastAsia="仿宋" w:cs="仿宋"/>
                <w:color w:val="auto"/>
                <w:szCs w:val="21"/>
                <w:highlight w:val="none"/>
              </w:rPr>
            </w:pPr>
          </w:p>
        </w:tc>
        <w:tc>
          <w:tcPr>
            <w:tcW w:w="820" w:type="dxa"/>
            <w:tcBorders>
              <w:top w:val="single" w:color="auto" w:sz="4" w:space="0"/>
              <w:left w:val="single" w:color="auto" w:sz="4" w:space="0"/>
              <w:bottom w:val="single" w:color="auto" w:sz="4" w:space="0"/>
              <w:right w:val="single" w:color="auto" w:sz="4" w:space="0"/>
            </w:tcBorders>
            <w:vAlign w:val="center"/>
          </w:tcPr>
          <w:p w14:paraId="013D6017">
            <w:pPr>
              <w:spacing w:line="500" w:lineRule="exact"/>
              <w:jc w:val="center"/>
              <w:rPr>
                <w:rFonts w:ascii="仿宋" w:hAnsi="仿宋" w:eastAsia="仿宋" w:cs="仿宋"/>
                <w:color w:val="auto"/>
                <w:szCs w:val="21"/>
                <w:highlight w:val="none"/>
              </w:rPr>
            </w:pPr>
          </w:p>
        </w:tc>
      </w:tr>
      <w:tr w14:paraId="1088EA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258D6189">
            <w:pPr>
              <w:spacing w:line="500" w:lineRule="exact"/>
              <w:jc w:val="center"/>
              <w:rPr>
                <w:rFonts w:ascii="仿宋" w:hAnsi="仿宋" w:eastAsia="仿宋" w:cs="仿宋"/>
                <w:color w:val="auto"/>
                <w:szCs w:val="21"/>
                <w:highlight w:val="none"/>
              </w:rPr>
            </w:pPr>
          </w:p>
        </w:tc>
        <w:tc>
          <w:tcPr>
            <w:tcW w:w="1185" w:type="dxa"/>
            <w:tcBorders>
              <w:top w:val="single" w:color="auto" w:sz="4" w:space="0"/>
              <w:left w:val="single" w:color="auto" w:sz="4" w:space="0"/>
              <w:bottom w:val="single" w:color="auto" w:sz="4" w:space="0"/>
              <w:right w:val="single" w:color="auto" w:sz="4" w:space="0"/>
            </w:tcBorders>
            <w:vAlign w:val="center"/>
          </w:tcPr>
          <w:p w14:paraId="64FB2E1B">
            <w:pPr>
              <w:spacing w:line="500" w:lineRule="exact"/>
              <w:jc w:val="center"/>
              <w:rPr>
                <w:rFonts w:ascii="仿宋" w:hAnsi="仿宋" w:eastAsia="仿宋" w:cs="仿宋"/>
                <w:color w:val="auto"/>
                <w:szCs w:val="21"/>
                <w:highlight w:val="none"/>
              </w:rPr>
            </w:pPr>
          </w:p>
        </w:tc>
        <w:tc>
          <w:tcPr>
            <w:tcW w:w="1309" w:type="dxa"/>
            <w:tcBorders>
              <w:top w:val="single" w:color="auto" w:sz="4" w:space="0"/>
              <w:left w:val="single" w:color="auto" w:sz="4" w:space="0"/>
              <w:bottom w:val="single" w:color="auto" w:sz="4" w:space="0"/>
              <w:right w:val="single" w:color="auto" w:sz="4" w:space="0"/>
            </w:tcBorders>
            <w:vAlign w:val="center"/>
          </w:tcPr>
          <w:p w14:paraId="55B0A8B1">
            <w:pPr>
              <w:spacing w:line="500" w:lineRule="exact"/>
              <w:jc w:val="center"/>
              <w:rPr>
                <w:rFonts w:ascii="仿宋" w:hAnsi="仿宋" w:eastAsia="仿宋" w:cs="仿宋"/>
                <w:color w:val="auto"/>
                <w:szCs w:val="21"/>
                <w:highlight w:val="none"/>
              </w:rPr>
            </w:pPr>
          </w:p>
        </w:tc>
        <w:tc>
          <w:tcPr>
            <w:tcW w:w="845" w:type="dxa"/>
            <w:tcBorders>
              <w:top w:val="single" w:color="auto" w:sz="4" w:space="0"/>
              <w:left w:val="single" w:color="auto" w:sz="4" w:space="0"/>
              <w:bottom w:val="single" w:color="auto" w:sz="4" w:space="0"/>
              <w:right w:val="single" w:color="auto" w:sz="4" w:space="0"/>
            </w:tcBorders>
            <w:vAlign w:val="center"/>
          </w:tcPr>
          <w:p w14:paraId="6380BBE0">
            <w:pPr>
              <w:spacing w:line="500" w:lineRule="exact"/>
              <w:jc w:val="center"/>
              <w:rPr>
                <w:rFonts w:ascii="仿宋" w:hAnsi="仿宋" w:eastAsia="仿宋" w:cs="仿宋"/>
                <w:color w:val="auto"/>
                <w:szCs w:val="21"/>
                <w:highlight w:val="none"/>
              </w:rPr>
            </w:pPr>
          </w:p>
        </w:tc>
        <w:tc>
          <w:tcPr>
            <w:tcW w:w="716" w:type="dxa"/>
            <w:tcBorders>
              <w:top w:val="single" w:color="auto" w:sz="4" w:space="0"/>
              <w:left w:val="single" w:color="auto" w:sz="4" w:space="0"/>
              <w:bottom w:val="single" w:color="auto" w:sz="4" w:space="0"/>
              <w:right w:val="single" w:color="auto" w:sz="4" w:space="0"/>
            </w:tcBorders>
            <w:vAlign w:val="center"/>
          </w:tcPr>
          <w:p w14:paraId="16239FCF">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4F3420FE">
            <w:pPr>
              <w:spacing w:line="500" w:lineRule="exact"/>
              <w:jc w:val="center"/>
              <w:rPr>
                <w:rFonts w:ascii="仿宋" w:hAnsi="仿宋" w:eastAsia="仿宋" w:cs="仿宋"/>
                <w:color w:val="auto"/>
                <w:szCs w:val="21"/>
                <w:highlight w:val="none"/>
              </w:rPr>
            </w:pPr>
          </w:p>
        </w:tc>
        <w:tc>
          <w:tcPr>
            <w:tcW w:w="886" w:type="dxa"/>
            <w:tcBorders>
              <w:top w:val="single" w:color="auto" w:sz="4" w:space="0"/>
              <w:left w:val="single" w:color="auto" w:sz="4" w:space="0"/>
              <w:bottom w:val="single" w:color="auto" w:sz="4" w:space="0"/>
              <w:right w:val="single" w:color="auto" w:sz="4" w:space="0"/>
            </w:tcBorders>
            <w:vAlign w:val="center"/>
          </w:tcPr>
          <w:p w14:paraId="26838558">
            <w:pPr>
              <w:spacing w:line="500" w:lineRule="exact"/>
              <w:jc w:val="center"/>
              <w:rPr>
                <w:rFonts w:ascii="仿宋" w:hAnsi="仿宋" w:eastAsia="仿宋" w:cs="仿宋"/>
                <w:color w:val="auto"/>
                <w:szCs w:val="21"/>
                <w:highlight w:val="none"/>
              </w:rPr>
            </w:pPr>
          </w:p>
        </w:tc>
        <w:tc>
          <w:tcPr>
            <w:tcW w:w="820" w:type="dxa"/>
            <w:tcBorders>
              <w:top w:val="single" w:color="auto" w:sz="4" w:space="0"/>
              <w:left w:val="single" w:color="auto" w:sz="4" w:space="0"/>
              <w:bottom w:val="single" w:color="auto" w:sz="4" w:space="0"/>
              <w:right w:val="single" w:color="auto" w:sz="4" w:space="0"/>
            </w:tcBorders>
            <w:vAlign w:val="center"/>
          </w:tcPr>
          <w:p w14:paraId="104AE9C0">
            <w:pPr>
              <w:spacing w:line="500" w:lineRule="exact"/>
              <w:jc w:val="center"/>
              <w:rPr>
                <w:rFonts w:ascii="仿宋" w:hAnsi="仿宋" w:eastAsia="仿宋" w:cs="仿宋"/>
                <w:color w:val="auto"/>
                <w:szCs w:val="21"/>
                <w:highlight w:val="none"/>
              </w:rPr>
            </w:pPr>
          </w:p>
        </w:tc>
        <w:tc>
          <w:tcPr>
            <w:tcW w:w="820" w:type="dxa"/>
            <w:tcBorders>
              <w:top w:val="single" w:color="auto" w:sz="4" w:space="0"/>
              <w:left w:val="single" w:color="auto" w:sz="4" w:space="0"/>
              <w:bottom w:val="single" w:color="auto" w:sz="4" w:space="0"/>
              <w:right w:val="single" w:color="auto" w:sz="4" w:space="0"/>
            </w:tcBorders>
            <w:vAlign w:val="center"/>
          </w:tcPr>
          <w:p w14:paraId="7F72AE14">
            <w:pPr>
              <w:spacing w:line="500" w:lineRule="exact"/>
              <w:jc w:val="center"/>
              <w:rPr>
                <w:rFonts w:ascii="仿宋" w:hAnsi="仿宋" w:eastAsia="仿宋" w:cs="仿宋"/>
                <w:color w:val="auto"/>
                <w:szCs w:val="21"/>
                <w:highlight w:val="none"/>
              </w:rPr>
            </w:pPr>
          </w:p>
        </w:tc>
      </w:tr>
    </w:tbl>
    <w:p w14:paraId="0C5BDF92">
      <w:pPr>
        <w:pStyle w:val="43"/>
        <w:tabs>
          <w:tab w:val="left" w:pos="493"/>
        </w:tabs>
        <w:spacing w:line="317" w:lineRule="exact"/>
        <w:ind w:left="176"/>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说明：</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 xml:space="preserve">说明：投标人应根据货物清单分项进行填报，表中表格行数可自行添加。招标文件中未列出的相关辅助材料和在实施过程中涉及到的其它一切费用应在报价时一并考虑，项目实施过程中不再单独结算。 </w:t>
      </w:r>
    </w:p>
    <w:p w14:paraId="33EE4761">
      <w:pPr>
        <w:pStyle w:val="43"/>
        <w:spacing w:line="317" w:lineRule="exact"/>
        <w:rPr>
          <w:rFonts w:ascii="仿宋" w:hAnsi="仿宋" w:eastAsia="仿宋" w:cs="仿宋"/>
          <w:color w:val="auto"/>
          <w:sz w:val="24"/>
          <w:szCs w:val="24"/>
          <w:highlight w:val="none"/>
        </w:rPr>
      </w:pPr>
    </w:p>
    <w:p w14:paraId="783E63E4">
      <w:pPr>
        <w:pStyle w:val="43"/>
        <w:tabs>
          <w:tab w:val="left" w:pos="493"/>
        </w:tabs>
        <w:spacing w:line="317" w:lineRule="exact"/>
        <w:rPr>
          <w:rFonts w:ascii="仿宋" w:hAnsi="仿宋" w:eastAsia="仿宋" w:cs="仿宋"/>
          <w:color w:val="auto"/>
          <w:sz w:val="20"/>
          <w:szCs w:val="20"/>
          <w:highlight w:val="none"/>
        </w:rPr>
      </w:pPr>
    </w:p>
    <w:p w14:paraId="1AAE239D">
      <w:pPr>
        <w:pStyle w:val="43"/>
        <w:tabs>
          <w:tab w:val="left" w:pos="493"/>
        </w:tabs>
        <w:spacing w:line="317" w:lineRule="exact"/>
        <w:ind w:left="176"/>
        <w:rPr>
          <w:rFonts w:ascii="仿宋" w:hAnsi="仿宋" w:eastAsia="仿宋" w:cs="仿宋"/>
          <w:color w:val="auto"/>
          <w:sz w:val="20"/>
          <w:szCs w:val="20"/>
          <w:highlight w:val="none"/>
        </w:rPr>
      </w:pPr>
    </w:p>
    <w:p w14:paraId="0C42D6FE">
      <w:pPr>
        <w:pStyle w:val="8"/>
        <w:numPr>
          <w:ilvl w:val="0"/>
          <w:numId w:val="0"/>
        </w:numPr>
        <w:tabs>
          <w:tab w:val="left" w:pos="8227"/>
        </w:tabs>
        <w:kinsoku w:val="0"/>
        <w:overflowPunct w:val="0"/>
        <w:spacing w:line="381" w:lineRule="auto"/>
        <w:ind w:left="1680" w:right="118"/>
        <w:rPr>
          <w:rFonts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供应商：</w:t>
      </w:r>
      <w:r>
        <w:rPr>
          <w:rFonts w:hint="eastAsia" w:ascii="仿宋" w:hAnsi="仿宋" w:eastAsia="仿宋" w:cs="仿宋"/>
          <w:color w:val="auto"/>
          <w:sz w:val="24"/>
          <w:highlight w:val="none"/>
          <w:u w:val="single"/>
          <w:lang w:eastAsia="zh-CN"/>
        </w:rPr>
        <w:tab/>
      </w:r>
      <w:r>
        <w:rPr>
          <w:rFonts w:hint="eastAsia" w:ascii="仿宋" w:hAnsi="仿宋" w:eastAsia="仿宋" w:cs="仿宋"/>
          <w:color w:val="auto"/>
          <w:w w:val="95"/>
          <w:sz w:val="24"/>
          <w:highlight w:val="none"/>
          <w:lang w:eastAsia="zh-CN"/>
        </w:rPr>
        <w:t>（盖章）</w:t>
      </w:r>
      <w:r>
        <w:rPr>
          <w:rFonts w:hint="eastAsia" w:ascii="仿宋" w:hAnsi="仿宋" w:eastAsia="仿宋" w:cs="仿宋"/>
          <w:color w:val="auto"/>
          <w:sz w:val="24"/>
          <w:highlight w:val="none"/>
          <w:lang w:eastAsia="zh-CN"/>
        </w:rPr>
        <w:t xml:space="preserve"> </w:t>
      </w:r>
    </w:p>
    <w:p w14:paraId="13AD2BE2">
      <w:pPr>
        <w:pStyle w:val="8"/>
        <w:numPr>
          <w:ilvl w:val="0"/>
          <w:numId w:val="0"/>
        </w:numPr>
        <w:tabs>
          <w:tab w:val="left" w:pos="8227"/>
        </w:tabs>
        <w:kinsoku w:val="0"/>
        <w:overflowPunct w:val="0"/>
        <w:spacing w:line="381" w:lineRule="auto"/>
        <w:ind w:left="1680" w:right="118"/>
        <w:rPr>
          <w:rFonts w:ascii="仿宋" w:hAnsi="仿宋" w:eastAsia="仿宋" w:cs="仿宋"/>
          <w:color w:val="auto"/>
          <w:w w:val="95"/>
          <w:sz w:val="24"/>
          <w:highlight w:val="none"/>
          <w:lang w:eastAsia="zh-CN"/>
        </w:rPr>
      </w:pPr>
      <w:r>
        <w:rPr>
          <w:rFonts w:hint="eastAsia" w:ascii="仿宋" w:hAnsi="仿宋" w:eastAsia="仿宋" w:cs="仿宋"/>
          <w:color w:val="auto"/>
          <w:sz w:val="24"/>
          <w:highlight w:val="none"/>
          <w:lang w:eastAsia="zh-CN"/>
        </w:rPr>
        <w:t>法定代表人或被授权人：</w:t>
      </w:r>
      <w:r>
        <w:rPr>
          <w:rFonts w:hint="eastAsia" w:ascii="仿宋" w:hAnsi="仿宋" w:eastAsia="仿宋" w:cs="仿宋"/>
          <w:color w:val="auto"/>
          <w:sz w:val="24"/>
          <w:highlight w:val="none"/>
          <w:u w:val="single"/>
          <w:lang w:eastAsia="zh-CN"/>
        </w:rPr>
        <w:tab/>
      </w:r>
      <w:r>
        <w:rPr>
          <w:rFonts w:hint="eastAsia" w:ascii="仿宋" w:hAnsi="仿宋" w:eastAsia="仿宋" w:cs="仿宋"/>
          <w:color w:val="auto"/>
          <w:w w:val="95"/>
          <w:sz w:val="24"/>
          <w:highlight w:val="none"/>
          <w:lang w:eastAsia="zh-CN"/>
        </w:rPr>
        <w:t>（签章）</w:t>
      </w:r>
    </w:p>
    <w:p w14:paraId="32BF0202">
      <w:pPr>
        <w:pStyle w:val="8"/>
        <w:numPr>
          <w:ilvl w:val="0"/>
          <w:numId w:val="0"/>
        </w:numPr>
        <w:tabs>
          <w:tab w:val="left" w:pos="5551"/>
          <w:tab w:val="left" w:pos="6511"/>
          <w:tab w:val="left" w:pos="7111"/>
          <w:tab w:val="left" w:pos="7711"/>
        </w:tabs>
        <w:kinsoku w:val="0"/>
        <w:overflowPunct w:val="0"/>
        <w:spacing w:before="46"/>
        <w:ind w:left="3928"/>
        <w:rPr>
          <w:rFonts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日期：</w:t>
      </w:r>
      <w:r>
        <w:rPr>
          <w:rFonts w:hint="eastAsia" w:ascii="仿宋" w:hAnsi="仿宋" w:eastAsia="仿宋" w:cs="仿宋"/>
          <w:color w:val="auto"/>
          <w:sz w:val="24"/>
          <w:highlight w:val="none"/>
          <w:u w:val="single"/>
          <w:lang w:eastAsia="zh-CN"/>
        </w:rPr>
        <w:tab/>
      </w:r>
      <w:r>
        <w:rPr>
          <w:rFonts w:hint="eastAsia" w:ascii="仿宋" w:hAnsi="仿宋" w:eastAsia="仿宋" w:cs="仿宋"/>
          <w:color w:val="auto"/>
          <w:sz w:val="24"/>
          <w:highlight w:val="none"/>
          <w:lang w:eastAsia="zh-CN"/>
        </w:rPr>
        <w:t>年</w:t>
      </w:r>
      <w:r>
        <w:rPr>
          <w:rFonts w:hint="eastAsia" w:ascii="仿宋" w:hAnsi="仿宋" w:eastAsia="仿宋" w:cs="仿宋"/>
          <w:color w:val="auto"/>
          <w:sz w:val="24"/>
          <w:highlight w:val="none"/>
          <w:u w:val="single"/>
          <w:lang w:eastAsia="zh-CN"/>
        </w:rPr>
        <w:tab/>
      </w:r>
      <w:r>
        <w:rPr>
          <w:rFonts w:hint="eastAsia" w:ascii="仿宋" w:hAnsi="仿宋" w:eastAsia="仿宋" w:cs="仿宋"/>
          <w:color w:val="auto"/>
          <w:sz w:val="24"/>
          <w:highlight w:val="none"/>
          <w:lang w:eastAsia="zh-CN"/>
        </w:rPr>
        <w:t>月</w:t>
      </w:r>
      <w:r>
        <w:rPr>
          <w:rFonts w:hint="eastAsia" w:ascii="仿宋" w:hAnsi="仿宋" w:eastAsia="仿宋" w:cs="仿宋"/>
          <w:color w:val="auto"/>
          <w:sz w:val="24"/>
          <w:highlight w:val="none"/>
          <w:u w:val="single"/>
          <w:lang w:eastAsia="zh-CN"/>
        </w:rPr>
        <w:tab/>
      </w:r>
      <w:r>
        <w:rPr>
          <w:rFonts w:hint="eastAsia" w:ascii="仿宋" w:hAnsi="仿宋" w:eastAsia="仿宋" w:cs="仿宋"/>
          <w:color w:val="auto"/>
          <w:sz w:val="24"/>
          <w:highlight w:val="none"/>
          <w:lang w:eastAsia="zh-CN"/>
        </w:rPr>
        <w:t>日</w:t>
      </w:r>
    </w:p>
    <w:p w14:paraId="1B7E2D87">
      <w:pPr>
        <w:spacing w:line="360" w:lineRule="auto"/>
        <w:jc w:val="both"/>
        <w:rPr>
          <w:rFonts w:ascii="仿宋" w:hAnsi="仿宋" w:eastAsia="仿宋" w:cs="仿宋"/>
          <w:b/>
          <w:color w:val="auto"/>
          <w:sz w:val="36"/>
          <w:szCs w:val="36"/>
          <w:highlight w:val="none"/>
          <w:lang w:eastAsia="zh-CN"/>
        </w:rPr>
      </w:pPr>
    </w:p>
    <w:p w14:paraId="557F3383">
      <w:pPr>
        <w:spacing w:line="360" w:lineRule="auto"/>
        <w:jc w:val="both"/>
        <w:rPr>
          <w:rFonts w:ascii="仿宋" w:hAnsi="仿宋" w:eastAsia="仿宋" w:cs="仿宋"/>
          <w:b/>
          <w:color w:val="auto"/>
          <w:sz w:val="36"/>
          <w:szCs w:val="36"/>
          <w:highlight w:val="none"/>
          <w:lang w:eastAsia="zh-CN"/>
        </w:rPr>
      </w:pPr>
    </w:p>
    <w:p w14:paraId="50A44135">
      <w:pPr>
        <w:spacing w:line="360" w:lineRule="auto"/>
        <w:jc w:val="both"/>
        <w:rPr>
          <w:rFonts w:ascii="仿宋" w:hAnsi="仿宋" w:eastAsia="仿宋" w:cs="仿宋"/>
          <w:b/>
          <w:color w:val="auto"/>
          <w:sz w:val="36"/>
          <w:szCs w:val="36"/>
          <w:highlight w:val="none"/>
          <w:lang w:eastAsia="zh-CN"/>
        </w:rPr>
      </w:pPr>
    </w:p>
    <w:p w14:paraId="696B7ED7">
      <w:pPr>
        <w:spacing w:line="360" w:lineRule="auto"/>
        <w:jc w:val="both"/>
        <w:rPr>
          <w:rFonts w:ascii="仿宋" w:hAnsi="仿宋" w:eastAsia="仿宋" w:cs="仿宋"/>
          <w:b/>
          <w:color w:val="auto"/>
          <w:sz w:val="36"/>
          <w:szCs w:val="36"/>
          <w:highlight w:val="none"/>
          <w:lang w:eastAsia="zh-CN"/>
        </w:rPr>
      </w:pPr>
    </w:p>
    <w:p w14:paraId="484CD6B3">
      <w:pPr>
        <w:spacing w:line="360" w:lineRule="auto"/>
        <w:jc w:val="both"/>
        <w:rPr>
          <w:rFonts w:ascii="仿宋" w:hAnsi="仿宋" w:eastAsia="仿宋" w:cs="仿宋"/>
          <w:b/>
          <w:color w:val="auto"/>
          <w:sz w:val="36"/>
          <w:szCs w:val="36"/>
          <w:highlight w:val="none"/>
          <w:lang w:eastAsia="zh-CN"/>
        </w:rPr>
      </w:pPr>
    </w:p>
    <w:p w14:paraId="13C48024">
      <w:pPr>
        <w:spacing w:line="360" w:lineRule="auto"/>
        <w:jc w:val="center"/>
        <w:rPr>
          <w:rFonts w:ascii="仿宋" w:hAnsi="仿宋" w:eastAsia="仿宋" w:cs="仿宋"/>
          <w:b/>
          <w:bCs/>
          <w:color w:val="auto"/>
          <w:sz w:val="32"/>
          <w:szCs w:val="32"/>
          <w:highlight w:val="none"/>
          <w:lang w:eastAsia="zh-CN"/>
        </w:rPr>
      </w:pPr>
      <w:r>
        <w:rPr>
          <w:rFonts w:hint="eastAsia" w:ascii="仿宋" w:hAnsi="仿宋" w:eastAsia="仿宋" w:cs="仿宋"/>
          <w:b/>
          <w:color w:val="auto"/>
          <w:sz w:val="36"/>
          <w:szCs w:val="36"/>
          <w:highlight w:val="none"/>
          <w:lang w:val="en-US" w:eastAsia="zh-CN"/>
        </w:rPr>
        <w:t>5</w:t>
      </w:r>
      <w:r>
        <w:rPr>
          <w:rFonts w:hint="eastAsia" w:ascii="仿宋" w:hAnsi="仿宋" w:eastAsia="仿宋" w:cs="仿宋"/>
          <w:b/>
          <w:color w:val="auto"/>
          <w:sz w:val="36"/>
          <w:szCs w:val="36"/>
          <w:highlight w:val="none"/>
          <w:lang w:eastAsia="zh-CN"/>
        </w:rPr>
        <w:t>、</w:t>
      </w:r>
      <w:r>
        <w:rPr>
          <w:rFonts w:hint="eastAsia" w:ascii="仿宋" w:hAnsi="仿宋" w:eastAsia="仿宋" w:cs="仿宋"/>
          <w:b/>
          <w:bCs/>
          <w:color w:val="auto"/>
          <w:sz w:val="32"/>
          <w:szCs w:val="32"/>
          <w:highlight w:val="none"/>
          <w:lang w:eastAsia="zh-CN"/>
        </w:rPr>
        <w:t>技术条款偏离表</w:t>
      </w:r>
    </w:p>
    <w:p w14:paraId="56088B1F">
      <w:pPr>
        <w:pStyle w:val="10"/>
        <w:shd w:val="clear" w:color="auto" w:fill="auto"/>
        <w:spacing w:line="240" w:lineRule="atLeast"/>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项目名称:                       招标编号:                 包号:</w:t>
      </w:r>
    </w:p>
    <w:p w14:paraId="7A596995">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rPr>
      </w:pPr>
    </w:p>
    <w:tbl>
      <w:tblPr>
        <w:tblStyle w:val="25"/>
        <w:tblW w:w="93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260"/>
        <w:gridCol w:w="1640"/>
        <w:gridCol w:w="1186"/>
        <w:gridCol w:w="1282"/>
        <w:gridCol w:w="2414"/>
        <w:gridCol w:w="700"/>
      </w:tblGrid>
      <w:tr w14:paraId="3F62B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center"/>
          </w:tcPr>
          <w:p w14:paraId="205457D6">
            <w:pPr>
              <w:pStyle w:val="10"/>
              <w:shd w:val="clear" w:color="auto" w:fill="auto"/>
              <w:spacing w:line="240" w:lineRule="atLeast"/>
              <w:jc w:val="center"/>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序号</w:t>
            </w:r>
          </w:p>
        </w:tc>
        <w:tc>
          <w:tcPr>
            <w:tcW w:w="1260" w:type="dxa"/>
            <w:noWrap w:val="0"/>
            <w:vAlign w:val="center"/>
          </w:tcPr>
          <w:p w14:paraId="4175D610">
            <w:pPr>
              <w:pStyle w:val="10"/>
              <w:shd w:val="clear" w:color="auto" w:fill="auto"/>
              <w:spacing w:line="240" w:lineRule="atLeast"/>
              <w:jc w:val="center"/>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名称</w:t>
            </w:r>
          </w:p>
        </w:tc>
        <w:tc>
          <w:tcPr>
            <w:tcW w:w="1640" w:type="dxa"/>
            <w:noWrap w:val="0"/>
            <w:vAlign w:val="center"/>
          </w:tcPr>
          <w:p w14:paraId="00008E18">
            <w:pPr>
              <w:pStyle w:val="10"/>
              <w:shd w:val="clear" w:color="auto" w:fill="auto"/>
              <w:spacing w:line="240" w:lineRule="atLeast"/>
              <w:ind w:left="307" w:leftChars="128"/>
              <w:jc w:val="center"/>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招标文件条款号</w:t>
            </w:r>
          </w:p>
        </w:tc>
        <w:tc>
          <w:tcPr>
            <w:tcW w:w="1186" w:type="dxa"/>
            <w:noWrap w:val="0"/>
            <w:vAlign w:val="center"/>
          </w:tcPr>
          <w:p w14:paraId="53DBA03C">
            <w:pPr>
              <w:pStyle w:val="10"/>
              <w:shd w:val="clear" w:color="auto" w:fill="auto"/>
              <w:spacing w:line="240" w:lineRule="atLeast"/>
              <w:jc w:val="center"/>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招标规格</w:t>
            </w:r>
          </w:p>
        </w:tc>
        <w:tc>
          <w:tcPr>
            <w:tcW w:w="1282" w:type="dxa"/>
            <w:noWrap w:val="0"/>
            <w:vAlign w:val="center"/>
          </w:tcPr>
          <w:p w14:paraId="17FB3CC3">
            <w:pPr>
              <w:pStyle w:val="10"/>
              <w:shd w:val="clear" w:color="auto" w:fill="auto"/>
              <w:spacing w:line="240" w:lineRule="atLeast"/>
              <w:jc w:val="center"/>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投标规格</w:t>
            </w:r>
          </w:p>
        </w:tc>
        <w:tc>
          <w:tcPr>
            <w:tcW w:w="2414" w:type="dxa"/>
            <w:noWrap w:val="0"/>
            <w:vAlign w:val="center"/>
          </w:tcPr>
          <w:p w14:paraId="3A3B76C1">
            <w:pPr>
              <w:pStyle w:val="10"/>
              <w:shd w:val="clear" w:color="auto" w:fill="auto"/>
              <w:spacing w:line="240" w:lineRule="atLeast"/>
              <w:jc w:val="center"/>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偏离</w:t>
            </w:r>
          </w:p>
        </w:tc>
        <w:tc>
          <w:tcPr>
            <w:tcW w:w="700" w:type="dxa"/>
            <w:noWrap w:val="0"/>
            <w:vAlign w:val="center"/>
          </w:tcPr>
          <w:p w14:paraId="7DA7B6F2">
            <w:pPr>
              <w:pStyle w:val="10"/>
              <w:shd w:val="clear" w:color="auto" w:fill="auto"/>
              <w:spacing w:line="240" w:lineRule="atLeast"/>
              <w:jc w:val="center"/>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说明</w:t>
            </w:r>
          </w:p>
        </w:tc>
      </w:tr>
      <w:tr w14:paraId="71D6D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59DF8662">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260" w:type="dxa"/>
            <w:noWrap w:val="0"/>
            <w:vAlign w:val="top"/>
          </w:tcPr>
          <w:p w14:paraId="1A58F339">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640" w:type="dxa"/>
            <w:noWrap w:val="0"/>
            <w:vAlign w:val="top"/>
          </w:tcPr>
          <w:p w14:paraId="32178AC7">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186" w:type="dxa"/>
            <w:noWrap w:val="0"/>
            <w:vAlign w:val="top"/>
          </w:tcPr>
          <w:p w14:paraId="4D418838">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282" w:type="dxa"/>
            <w:noWrap w:val="0"/>
            <w:vAlign w:val="top"/>
          </w:tcPr>
          <w:p w14:paraId="50B85FFE">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2414" w:type="dxa"/>
            <w:noWrap w:val="0"/>
            <w:vAlign w:val="center"/>
          </w:tcPr>
          <w:p w14:paraId="23E9CE17">
            <w:pPr>
              <w:pStyle w:val="10"/>
              <w:keepNext w:val="0"/>
              <w:keepLines w:val="0"/>
              <w:pageBreakBefore w:val="0"/>
              <w:widowControl w:val="0"/>
              <w:shd w:val="clear" w:color="auto" w:fill="auto"/>
              <w:kinsoku/>
              <w:wordWrap/>
              <w:overflowPunct/>
              <w:topLinePunct w:val="0"/>
              <w:autoSpaceDE/>
              <w:autoSpaceDN/>
              <w:bidi w:val="0"/>
              <w:adjustRightInd/>
              <w:snapToGrid/>
              <w:spacing w:line="240" w:lineRule="atLeast"/>
              <w:jc w:val="left"/>
              <w:textAlignment w:val="auto"/>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u w:val="single" w:color="auto"/>
                <w:lang w:val="en-US" w:eastAsia="zh-CN"/>
              </w:rPr>
              <w:t>如有正偏离需提供证明材料，证明材料附后(并注明页码)</w:t>
            </w:r>
          </w:p>
        </w:tc>
        <w:tc>
          <w:tcPr>
            <w:tcW w:w="700" w:type="dxa"/>
            <w:noWrap w:val="0"/>
            <w:vAlign w:val="top"/>
          </w:tcPr>
          <w:p w14:paraId="7F91066A">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r>
      <w:tr w14:paraId="1CA35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4B46D7CC">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260" w:type="dxa"/>
            <w:noWrap w:val="0"/>
            <w:vAlign w:val="top"/>
          </w:tcPr>
          <w:p w14:paraId="47C63868">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640" w:type="dxa"/>
            <w:noWrap w:val="0"/>
            <w:vAlign w:val="top"/>
          </w:tcPr>
          <w:p w14:paraId="67B3367D">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186" w:type="dxa"/>
            <w:noWrap w:val="0"/>
            <w:vAlign w:val="top"/>
          </w:tcPr>
          <w:p w14:paraId="56A81078">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282" w:type="dxa"/>
            <w:noWrap w:val="0"/>
            <w:vAlign w:val="top"/>
          </w:tcPr>
          <w:p w14:paraId="5694903D">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2414" w:type="dxa"/>
            <w:noWrap w:val="0"/>
            <w:vAlign w:val="top"/>
          </w:tcPr>
          <w:p w14:paraId="7BF977B9">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700" w:type="dxa"/>
            <w:noWrap w:val="0"/>
            <w:vAlign w:val="top"/>
          </w:tcPr>
          <w:p w14:paraId="68FFDE66">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r>
      <w:tr w14:paraId="6BA00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14FCDA13">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260" w:type="dxa"/>
            <w:noWrap w:val="0"/>
            <w:vAlign w:val="top"/>
          </w:tcPr>
          <w:p w14:paraId="0D9FB18D">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640" w:type="dxa"/>
            <w:noWrap w:val="0"/>
            <w:vAlign w:val="top"/>
          </w:tcPr>
          <w:p w14:paraId="3382F93A">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186" w:type="dxa"/>
            <w:noWrap w:val="0"/>
            <w:vAlign w:val="top"/>
          </w:tcPr>
          <w:p w14:paraId="11C756F7">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282" w:type="dxa"/>
            <w:noWrap w:val="0"/>
            <w:vAlign w:val="top"/>
          </w:tcPr>
          <w:p w14:paraId="4C647196">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2414" w:type="dxa"/>
            <w:noWrap w:val="0"/>
            <w:vAlign w:val="top"/>
          </w:tcPr>
          <w:p w14:paraId="31C50729">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700" w:type="dxa"/>
            <w:noWrap w:val="0"/>
            <w:vAlign w:val="top"/>
          </w:tcPr>
          <w:p w14:paraId="25723DD9">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r>
      <w:tr w14:paraId="1D7AC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46008959">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260" w:type="dxa"/>
            <w:noWrap w:val="0"/>
            <w:vAlign w:val="top"/>
          </w:tcPr>
          <w:p w14:paraId="2F7CAC4F">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640" w:type="dxa"/>
            <w:noWrap w:val="0"/>
            <w:vAlign w:val="top"/>
          </w:tcPr>
          <w:p w14:paraId="01639539">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186" w:type="dxa"/>
            <w:noWrap w:val="0"/>
            <w:vAlign w:val="top"/>
          </w:tcPr>
          <w:p w14:paraId="043FB453">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282" w:type="dxa"/>
            <w:noWrap w:val="0"/>
            <w:vAlign w:val="top"/>
          </w:tcPr>
          <w:p w14:paraId="5AD6DF6E">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2414" w:type="dxa"/>
            <w:noWrap w:val="0"/>
            <w:vAlign w:val="top"/>
          </w:tcPr>
          <w:p w14:paraId="368AF7EA">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700" w:type="dxa"/>
            <w:noWrap w:val="0"/>
            <w:vAlign w:val="top"/>
          </w:tcPr>
          <w:p w14:paraId="5A285210">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r>
      <w:tr w14:paraId="1ABDA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2C3CF674">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260" w:type="dxa"/>
            <w:noWrap w:val="0"/>
            <w:vAlign w:val="top"/>
          </w:tcPr>
          <w:p w14:paraId="5B2A57B2">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640" w:type="dxa"/>
            <w:noWrap w:val="0"/>
            <w:vAlign w:val="top"/>
          </w:tcPr>
          <w:p w14:paraId="07A54648">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186" w:type="dxa"/>
            <w:noWrap w:val="0"/>
            <w:vAlign w:val="top"/>
          </w:tcPr>
          <w:p w14:paraId="243A01AC">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282" w:type="dxa"/>
            <w:noWrap w:val="0"/>
            <w:vAlign w:val="top"/>
          </w:tcPr>
          <w:p w14:paraId="744B6333">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2414" w:type="dxa"/>
            <w:noWrap w:val="0"/>
            <w:vAlign w:val="top"/>
          </w:tcPr>
          <w:p w14:paraId="78E0B529">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700" w:type="dxa"/>
            <w:noWrap w:val="0"/>
            <w:vAlign w:val="top"/>
          </w:tcPr>
          <w:p w14:paraId="382DF0E7">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r>
      <w:tr w14:paraId="1BAFE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5CE0BEFC">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260" w:type="dxa"/>
            <w:noWrap w:val="0"/>
            <w:vAlign w:val="top"/>
          </w:tcPr>
          <w:p w14:paraId="786059DB">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640" w:type="dxa"/>
            <w:noWrap w:val="0"/>
            <w:vAlign w:val="top"/>
          </w:tcPr>
          <w:p w14:paraId="31FBDC20">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186" w:type="dxa"/>
            <w:noWrap w:val="0"/>
            <w:vAlign w:val="top"/>
          </w:tcPr>
          <w:p w14:paraId="4CF2632D">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282" w:type="dxa"/>
            <w:noWrap w:val="0"/>
            <w:vAlign w:val="top"/>
          </w:tcPr>
          <w:p w14:paraId="65906F98">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2414" w:type="dxa"/>
            <w:noWrap w:val="0"/>
            <w:vAlign w:val="top"/>
          </w:tcPr>
          <w:p w14:paraId="000FFA7D">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700" w:type="dxa"/>
            <w:noWrap w:val="0"/>
            <w:vAlign w:val="top"/>
          </w:tcPr>
          <w:p w14:paraId="2A945F16">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r>
      <w:tr w14:paraId="736E1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1336809F">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260" w:type="dxa"/>
            <w:noWrap w:val="0"/>
            <w:vAlign w:val="top"/>
          </w:tcPr>
          <w:p w14:paraId="67ED213B">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640" w:type="dxa"/>
            <w:noWrap w:val="0"/>
            <w:vAlign w:val="top"/>
          </w:tcPr>
          <w:p w14:paraId="76D30951">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186" w:type="dxa"/>
            <w:noWrap w:val="0"/>
            <w:vAlign w:val="top"/>
          </w:tcPr>
          <w:p w14:paraId="7875E377">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282" w:type="dxa"/>
            <w:noWrap w:val="0"/>
            <w:vAlign w:val="top"/>
          </w:tcPr>
          <w:p w14:paraId="7CF21FD9">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2414" w:type="dxa"/>
            <w:noWrap w:val="0"/>
            <w:vAlign w:val="top"/>
          </w:tcPr>
          <w:p w14:paraId="2BE59BD6">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700" w:type="dxa"/>
            <w:noWrap w:val="0"/>
            <w:vAlign w:val="top"/>
          </w:tcPr>
          <w:p w14:paraId="434F61A2">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r>
      <w:tr w14:paraId="5AC72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67DCF689">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260" w:type="dxa"/>
            <w:noWrap w:val="0"/>
            <w:vAlign w:val="top"/>
          </w:tcPr>
          <w:p w14:paraId="2D0CE4F7">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640" w:type="dxa"/>
            <w:noWrap w:val="0"/>
            <w:vAlign w:val="top"/>
          </w:tcPr>
          <w:p w14:paraId="526E30D5">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186" w:type="dxa"/>
            <w:noWrap w:val="0"/>
            <w:vAlign w:val="top"/>
          </w:tcPr>
          <w:p w14:paraId="062B7F13">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282" w:type="dxa"/>
            <w:noWrap w:val="0"/>
            <w:vAlign w:val="top"/>
          </w:tcPr>
          <w:p w14:paraId="12A6B460">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2414" w:type="dxa"/>
            <w:noWrap w:val="0"/>
            <w:vAlign w:val="top"/>
          </w:tcPr>
          <w:p w14:paraId="2399B1BD">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700" w:type="dxa"/>
            <w:noWrap w:val="0"/>
            <w:vAlign w:val="top"/>
          </w:tcPr>
          <w:p w14:paraId="0CF5F8E8">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r>
      <w:tr w14:paraId="36853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8" w:type="dxa"/>
            <w:noWrap w:val="0"/>
            <w:vAlign w:val="top"/>
          </w:tcPr>
          <w:p w14:paraId="73BB7982">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260" w:type="dxa"/>
            <w:noWrap w:val="0"/>
            <w:vAlign w:val="top"/>
          </w:tcPr>
          <w:p w14:paraId="2A906C2A">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640" w:type="dxa"/>
            <w:noWrap w:val="0"/>
            <w:vAlign w:val="top"/>
          </w:tcPr>
          <w:p w14:paraId="5725E85A">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186" w:type="dxa"/>
            <w:noWrap w:val="0"/>
            <w:vAlign w:val="top"/>
          </w:tcPr>
          <w:p w14:paraId="7D00C68B">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282" w:type="dxa"/>
            <w:noWrap w:val="0"/>
            <w:vAlign w:val="top"/>
          </w:tcPr>
          <w:p w14:paraId="09E51969">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2414" w:type="dxa"/>
            <w:noWrap w:val="0"/>
            <w:vAlign w:val="top"/>
          </w:tcPr>
          <w:p w14:paraId="4C9291E1">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700" w:type="dxa"/>
            <w:noWrap w:val="0"/>
            <w:vAlign w:val="top"/>
          </w:tcPr>
          <w:p w14:paraId="2F86593F">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r>
      <w:tr w14:paraId="54CF2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3306206F">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260" w:type="dxa"/>
            <w:noWrap w:val="0"/>
            <w:vAlign w:val="top"/>
          </w:tcPr>
          <w:p w14:paraId="517EFA9D">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640" w:type="dxa"/>
            <w:noWrap w:val="0"/>
            <w:vAlign w:val="top"/>
          </w:tcPr>
          <w:p w14:paraId="02DD3439">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186" w:type="dxa"/>
            <w:noWrap w:val="0"/>
            <w:vAlign w:val="top"/>
          </w:tcPr>
          <w:p w14:paraId="2CA96A14">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282" w:type="dxa"/>
            <w:noWrap w:val="0"/>
            <w:vAlign w:val="top"/>
          </w:tcPr>
          <w:p w14:paraId="6C88CAB9">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2414" w:type="dxa"/>
            <w:noWrap w:val="0"/>
            <w:vAlign w:val="top"/>
          </w:tcPr>
          <w:p w14:paraId="63F046A8">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700" w:type="dxa"/>
            <w:noWrap w:val="0"/>
            <w:vAlign w:val="top"/>
          </w:tcPr>
          <w:p w14:paraId="233BD9E2">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r>
      <w:tr w14:paraId="43422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8" w:type="dxa"/>
            <w:noWrap w:val="0"/>
            <w:vAlign w:val="top"/>
          </w:tcPr>
          <w:p w14:paraId="0A4A713A">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260" w:type="dxa"/>
            <w:noWrap w:val="0"/>
            <w:vAlign w:val="top"/>
          </w:tcPr>
          <w:p w14:paraId="5AC85488">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640" w:type="dxa"/>
            <w:noWrap w:val="0"/>
            <w:vAlign w:val="top"/>
          </w:tcPr>
          <w:p w14:paraId="1EFDACDA">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186" w:type="dxa"/>
            <w:noWrap w:val="0"/>
            <w:vAlign w:val="top"/>
          </w:tcPr>
          <w:p w14:paraId="7070218A">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282" w:type="dxa"/>
            <w:noWrap w:val="0"/>
            <w:vAlign w:val="top"/>
          </w:tcPr>
          <w:p w14:paraId="109E6427">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2414" w:type="dxa"/>
            <w:noWrap w:val="0"/>
            <w:vAlign w:val="top"/>
          </w:tcPr>
          <w:p w14:paraId="3249AA1C">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700" w:type="dxa"/>
            <w:noWrap w:val="0"/>
            <w:vAlign w:val="top"/>
          </w:tcPr>
          <w:p w14:paraId="28579D53">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r>
      <w:tr w14:paraId="1F011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366379C7">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260" w:type="dxa"/>
            <w:noWrap w:val="0"/>
            <w:vAlign w:val="top"/>
          </w:tcPr>
          <w:p w14:paraId="4FCA9ED3">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640" w:type="dxa"/>
            <w:noWrap w:val="0"/>
            <w:vAlign w:val="top"/>
          </w:tcPr>
          <w:p w14:paraId="6AA40079">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186" w:type="dxa"/>
            <w:noWrap w:val="0"/>
            <w:vAlign w:val="top"/>
          </w:tcPr>
          <w:p w14:paraId="0BB1A955">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282" w:type="dxa"/>
            <w:noWrap w:val="0"/>
            <w:vAlign w:val="top"/>
          </w:tcPr>
          <w:p w14:paraId="2AF5FFB2">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2414" w:type="dxa"/>
            <w:noWrap w:val="0"/>
            <w:vAlign w:val="top"/>
          </w:tcPr>
          <w:p w14:paraId="6F33C0FF">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700" w:type="dxa"/>
            <w:noWrap w:val="0"/>
            <w:vAlign w:val="top"/>
          </w:tcPr>
          <w:p w14:paraId="02899550">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r>
      <w:tr w14:paraId="61062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8" w:type="dxa"/>
            <w:noWrap w:val="0"/>
            <w:vAlign w:val="top"/>
          </w:tcPr>
          <w:p w14:paraId="10A5734A">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260" w:type="dxa"/>
            <w:noWrap w:val="0"/>
            <w:vAlign w:val="top"/>
          </w:tcPr>
          <w:p w14:paraId="77598C0A">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640" w:type="dxa"/>
            <w:noWrap w:val="0"/>
            <w:vAlign w:val="top"/>
          </w:tcPr>
          <w:p w14:paraId="7AB98C8C">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186" w:type="dxa"/>
            <w:noWrap w:val="0"/>
            <w:vAlign w:val="top"/>
          </w:tcPr>
          <w:p w14:paraId="47091A5B">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282" w:type="dxa"/>
            <w:noWrap w:val="0"/>
            <w:vAlign w:val="top"/>
          </w:tcPr>
          <w:p w14:paraId="286E8BA9">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2414" w:type="dxa"/>
            <w:noWrap w:val="0"/>
            <w:vAlign w:val="top"/>
          </w:tcPr>
          <w:p w14:paraId="7D8D985E">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700" w:type="dxa"/>
            <w:noWrap w:val="0"/>
            <w:vAlign w:val="top"/>
          </w:tcPr>
          <w:p w14:paraId="0E6C1BB0">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r>
      <w:tr w14:paraId="1D9B9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8" w:type="dxa"/>
            <w:noWrap w:val="0"/>
            <w:vAlign w:val="top"/>
          </w:tcPr>
          <w:p w14:paraId="0386135D">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260" w:type="dxa"/>
            <w:noWrap w:val="0"/>
            <w:vAlign w:val="top"/>
          </w:tcPr>
          <w:p w14:paraId="1765842D">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640" w:type="dxa"/>
            <w:noWrap w:val="0"/>
            <w:vAlign w:val="top"/>
          </w:tcPr>
          <w:p w14:paraId="2FE018F8">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186" w:type="dxa"/>
            <w:noWrap w:val="0"/>
            <w:vAlign w:val="top"/>
          </w:tcPr>
          <w:p w14:paraId="5978F432">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1282" w:type="dxa"/>
            <w:noWrap w:val="0"/>
            <w:vAlign w:val="top"/>
          </w:tcPr>
          <w:p w14:paraId="5649365B">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2414" w:type="dxa"/>
            <w:noWrap w:val="0"/>
            <w:vAlign w:val="top"/>
          </w:tcPr>
          <w:p w14:paraId="0A4CB109">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700" w:type="dxa"/>
            <w:noWrap w:val="0"/>
            <w:vAlign w:val="top"/>
          </w:tcPr>
          <w:p w14:paraId="1B6C62F1">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r>
    </w:tbl>
    <w:p w14:paraId="45B4A052">
      <w:pPr>
        <w:spacing w:line="360" w:lineRule="auto"/>
        <w:rPr>
          <w:rFonts w:hint="eastAsia" w:ascii="宋体" w:hAnsi="宋体" w:eastAsia="宋体" w:cs="宋体"/>
          <w:b w:val="0"/>
          <w:bCs w:val="0"/>
          <w:color w:val="auto"/>
          <w:lang w:eastAsia="zh-CN"/>
        </w:rPr>
      </w:pPr>
      <w:r>
        <w:rPr>
          <w:rFonts w:hint="eastAsia" w:ascii="宋体" w:hAnsi="宋体" w:eastAsia="宋体" w:cs="宋体"/>
          <w:b w:val="0"/>
          <w:bCs w:val="0"/>
          <w:color w:val="auto"/>
          <w:lang w:eastAsia="zh-CN"/>
        </w:rPr>
        <w:t>备注：投标人应根据其提供的</w:t>
      </w:r>
      <w:r>
        <w:rPr>
          <w:rFonts w:hint="eastAsia" w:ascii="宋体" w:hAnsi="宋体" w:eastAsia="宋体" w:cs="宋体"/>
          <w:b w:val="0"/>
          <w:bCs w:val="0"/>
          <w:color w:val="auto"/>
          <w:lang w:val="en-US" w:eastAsia="zh-CN"/>
        </w:rPr>
        <w:t>货物清单</w:t>
      </w:r>
      <w:r>
        <w:rPr>
          <w:rFonts w:hint="eastAsia" w:ascii="宋体" w:hAnsi="宋体" w:eastAsia="宋体" w:cs="宋体"/>
          <w:b w:val="0"/>
          <w:bCs w:val="0"/>
          <w:color w:val="auto"/>
          <w:lang w:eastAsia="zh-CN"/>
        </w:rPr>
        <w:t>，对照招标文件中的要求，有差异的，则在此表中列明实际响应的内容提要并加以说明，以便查对。本表包括所有的技术响应及差异。无差异说明表示完全响应。</w:t>
      </w:r>
    </w:p>
    <w:p w14:paraId="441B0CEF">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rPr>
      </w:pPr>
    </w:p>
    <w:p w14:paraId="6628E2C9">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eastAsia="zh-CN"/>
        </w:rPr>
      </w:pPr>
    </w:p>
    <w:p w14:paraId="3744D81F">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lang w:eastAsia="zh-CN"/>
        </w:rPr>
        <w:t>法定代表人或其委托代理人签章</w:t>
      </w:r>
      <w:r>
        <w:rPr>
          <w:rFonts w:hint="eastAsia" w:ascii="仿宋" w:hAnsi="仿宋" w:eastAsia="仿宋" w:cs="仿宋"/>
          <w:b w:val="0"/>
          <w:bCs w:val="0"/>
          <w:color w:val="auto"/>
          <w:sz w:val="24"/>
          <w:highlight w:val="none"/>
        </w:rPr>
        <w:t>:</w:t>
      </w:r>
      <w:r>
        <w:rPr>
          <w:rFonts w:hint="eastAsia" w:ascii="仿宋" w:hAnsi="仿宋" w:eastAsia="仿宋" w:cs="仿宋"/>
          <w:b w:val="0"/>
          <w:bCs w:val="0"/>
          <w:color w:val="auto"/>
          <w:sz w:val="24"/>
          <w:highlight w:val="none"/>
          <w:u w:val="single"/>
        </w:rPr>
        <w:t xml:space="preserve"> </w:t>
      </w:r>
      <w:r>
        <w:rPr>
          <w:rFonts w:hint="eastAsia" w:ascii="仿宋" w:hAnsi="仿宋" w:eastAsia="仿宋" w:cs="仿宋"/>
          <w:b w:val="0"/>
          <w:bCs w:val="0"/>
          <w:color w:val="auto"/>
          <w:sz w:val="24"/>
          <w:highlight w:val="none"/>
          <w:u w:val="single"/>
        </w:rPr>
        <w:tab/>
      </w:r>
      <w:r>
        <w:rPr>
          <w:rFonts w:hint="eastAsia" w:ascii="仿宋" w:hAnsi="仿宋" w:eastAsia="仿宋" w:cs="仿宋"/>
          <w:b w:val="0"/>
          <w:bCs w:val="0"/>
          <w:color w:val="auto"/>
          <w:sz w:val="24"/>
          <w:highlight w:val="none"/>
          <w:u w:val="single"/>
        </w:rPr>
        <w:t xml:space="preserve">                 </w:t>
      </w:r>
    </w:p>
    <w:p w14:paraId="2EEE891E">
      <w:pPr>
        <w:pStyle w:val="10"/>
        <w:shd w:val="clear" w:color="auto" w:fill="auto"/>
        <w:tabs>
          <w:tab w:val="left" w:pos="5370"/>
        </w:tabs>
        <w:spacing w:line="240" w:lineRule="atLeast"/>
        <w:ind w:left="1157" w:leftChars="257" w:hanging="540"/>
        <w:rPr>
          <w:rFonts w:hint="eastAsia" w:ascii="仿宋" w:hAnsi="仿宋" w:eastAsia="仿宋" w:cs="仿宋"/>
          <w:b w:val="0"/>
          <w:bCs w:val="0"/>
          <w:color w:val="auto"/>
          <w:sz w:val="24"/>
          <w:highlight w:val="none"/>
          <w:u w:val="single"/>
        </w:rPr>
      </w:pPr>
      <w:r>
        <w:rPr>
          <w:rFonts w:hint="eastAsia" w:ascii="仿宋" w:hAnsi="仿宋" w:eastAsia="仿宋" w:cs="仿宋"/>
          <w:b w:val="0"/>
          <w:bCs w:val="0"/>
          <w:color w:val="auto"/>
          <w:sz w:val="24"/>
          <w:highlight w:val="none"/>
        </w:rPr>
        <w:t>投标人(盖单位章):</w:t>
      </w:r>
      <w:r>
        <w:rPr>
          <w:rFonts w:hint="eastAsia" w:ascii="仿宋" w:hAnsi="仿宋" w:eastAsia="仿宋" w:cs="仿宋"/>
          <w:b w:val="0"/>
          <w:bCs w:val="0"/>
          <w:color w:val="auto"/>
          <w:sz w:val="24"/>
          <w:highlight w:val="none"/>
          <w:u w:val="single"/>
        </w:rPr>
        <w:tab/>
      </w:r>
    </w:p>
    <w:p w14:paraId="7D480AD9">
      <w:pPr>
        <w:rPr>
          <w:rFonts w:ascii="仿宋" w:hAnsi="仿宋" w:eastAsia="仿宋" w:cs="仿宋"/>
          <w:color w:val="auto"/>
          <w:highlight w:val="none"/>
          <w:lang w:eastAsia="zh-CN"/>
        </w:rPr>
      </w:pPr>
    </w:p>
    <w:p w14:paraId="35EBE95A">
      <w:pPr>
        <w:pStyle w:val="40"/>
        <w:spacing w:after="0"/>
        <w:ind w:left="0" w:leftChars="0" w:firstLine="0" w:firstLineChars="0"/>
        <w:jc w:val="both"/>
        <w:rPr>
          <w:rFonts w:ascii="仿宋" w:hAnsi="仿宋" w:eastAsia="仿宋" w:cs="仿宋"/>
          <w:color w:val="auto"/>
          <w:sz w:val="36"/>
          <w:szCs w:val="36"/>
          <w:highlight w:val="none"/>
          <w:lang w:eastAsia="zh-CN"/>
        </w:rPr>
      </w:pPr>
    </w:p>
    <w:p w14:paraId="101B28EE">
      <w:pPr>
        <w:pStyle w:val="40"/>
        <w:spacing w:after="0"/>
        <w:ind w:left="0" w:leftChars="0" w:firstLine="0" w:firstLineChars="0"/>
        <w:jc w:val="both"/>
        <w:rPr>
          <w:rFonts w:ascii="仿宋" w:hAnsi="仿宋" w:eastAsia="仿宋" w:cs="仿宋"/>
          <w:color w:val="auto"/>
          <w:sz w:val="36"/>
          <w:szCs w:val="36"/>
          <w:highlight w:val="none"/>
          <w:lang w:eastAsia="zh-CN"/>
        </w:rPr>
      </w:pPr>
    </w:p>
    <w:p w14:paraId="7B4AC833">
      <w:pPr>
        <w:jc w:val="center"/>
        <w:rPr>
          <w:rFonts w:ascii="仿宋" w:hAnsi="仿宋" w:eastAsia="仿宋" w:cs="仿宋"/>
          <w:b/>
          <w:bCs/>
          <w:color w:val="auto"/>
          <w:sz w:val="30"/>
          <w:szCs w:val="30"/>
          <w:highlight w:val="none"/>
          <w:lang w:eastAsia="zh-CN"/>
        </w:rPr>
      </w:pPr>
      <w:r>
        <w:rPr>
          <w:rFonts w:hint="eastAsia" w:ascii="仿宋" w:hAnsi="仿宋" w:eastAsia="仿宋" w:cs="仿宋"/>
          <w:b/>
          <w:bCs/>
          <w:color w:val="auto"/>
          <w:sz w:val="30"/>
          <w:szCs w:val="30"/>
          <w:highlight w:val="none"/>
          <w:lang w:val="en-US" w:eastAsia="zh-CN"/>
        </w:rPr>
        <w:t>6</w:t>
      </w:r>
      <w:r>
        <w:rPr>
          <w:rFonts w:hint="eastAsia" w:ascii="仿宋" w:hAnsi="仿宋" w:eastAsia="仿宋" w:cs="仿宋"/>
          <w:b/>
          <w:bCs/>
          <w:color w:val="auto"/>
          <w:sz w:val="30"/>
          <w:szCs w:val="30"/>
          <w:highlight w:val="none"/>
          <w:lang w:eastAsia="zh-CN"/>
        </w:rPr>
        <w:t>、商务条款偏离表</w:t>
      </w:r>
    </w:p>
    <w:p w14:paraId="6B763340">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 xml:space="preserve">项目名称:                      招标编号:    </w:t>
      </w:r>
      <w:r>
        <w:rPr>
          <w:rFonts w:hint="eastAsia" w:ascii="仿宋" w:hAnsi="仿宋" w:eastAsia="仿宋" w:cs="仿宋"/>
          <w:b w:val="0"/>
          <w:bCs w:val="0"/>
          <w:color w:val="auto"/>
          <w:sz w:val="24"/>
          <w:highlight w:val="none"/>
          <w:lang w:val="en-US" w:eastAsia="zh-CN"/>
        </w:rPr>
        <w:t xml:space="preserve">       </w:t>
      </w:r>
      <w:r>
        <w:rPr>
          <w:rFonts w:hint="eastAsia" w:ascii="仿宋" w:hAnsi="仿宋" w:eastAsia="仿宋" w:cs="仿宋"/>
          <w:b w:val="0"/>
          <w:bCs w:val="0"/>
          <w:color w:val="auto"/>
          <w:sz w:val="24"/>
          <w:highlight w:val="none"/>
        </w:rPr>
        <w:t xml:space="preserve">      包号:</w:t>
      </w:r>
    </w:p>
    <w:p w14:paraId="7483075E">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
        <w:gridCol w:w="2040"/>
        <w:gridCol w:w="2520"/>
        <w:gridCol w:w="2520"/>
        <w:gridCol w:w="900"/>
      </w:tblGrid>
      <w:tr w14:paraId="2868E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5" w:hRule="atLeast"/>
          <w:jc w:val="center"/>
        </w:trPr>
        <w:tc>
          <w:tcPr>
            <w:tcW w:w="948" w:type="dxa"/>
            <w:noWrap w:val="0"/>
            <w:vAlign w:val="top"/>
          </w:tcPr>
          <w:p w14:paraId="5DC0FA28">
            <w:pPr>
              <w:pStyle w:val="10"/>
              <w:shd w:val="clear" w:color="auto" w:fill="auto"/>
              <w:spacing w:line="240" w:lineRule="atLeast"/>
              <w:jc w:val="center"/>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序号</w:t>
            </w:r>
          </w:p>
        </w:tc>
        <w:tc>
          <w:tcPr>
            <w:tcW w:w="2040" w:type="dxa"/>
            <w:noWrap w:val="0"/>
            <w:vAlign w:val="top"/>
          </w:tcPr>
          <w:p w14:paraId="1D27FB17">
            <w:pPr>
              <w:pStyle w:val="10"/>
              <w:shd w:val="clear" w:color="auto" w:fill="auto"/>
              <w:spacing w:line="240" w:lineRule="atLeast"/>
              <w:jc w:val="center"/>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招标文件条款号</w:t>
            </w:r>
          </w:p>
        </w:tc>
        <w:tc>
          <w:tcPr>
            <w:tcW w:w="2520" w:type="dxa"/>
            <w:noWrap w:val="0"/>
            <w:vAlign w:val="top"/>
          </w:tcPr>
          <w:p w14:paraId="488D951B">
            <w:pPr>
              <w:pStyle w:val="10"/>
              <w:shd w:val="clear" w:color="auto" w:fill="auto"/>
              <w:spacing w:line="240" w:lineRule="atLeast"/>
              <w:jc w:val="center"/>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招标文件的商务条款</w:t>
            </w:r>
          </w:p>
        </w:tc>
        <w:tc>
          <w:tcPr>
            <w:tcW w:w="2520" w:type="dxa"/>
            <w:noWrap w:val="0"/>
            <w:vAlign w:val="top"/>
          </w:tcPr>
          <w:p w14:paraId="749953F4">
            <w:pPr>
              <w:pStyle w:val="10"/>
              <w:shd w:val="clear" w:color="auto" w:fill="auto"/>
              <w:spacing w:line="240" w:lineRule="atLeast"/>
              <w:jc w:val="center"/>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投标文件的商务条款</w:t>
            </w:r>
          </w:p>
        </w:tc>
        <w:tc>
          <w:tcPr>
            <w:tcW w:w="900" w:type="dxa"/>
            <w:noWrap w:val="0"/>
            <w:vAlign w:val="top"/>
          </w:tcPr>
          <w:p w14:paraId="15B66F63">
            <w:pPr>
              <w:pStyle w:val="10"/>
              <w:shd w:val="clear" w:color="auto" w:fill="auto"/>
              <w:spacing w:line="240" w:lineRule="atLeast"/>
              <w:jc w:val="center"/>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说明</w:t>
            </w:r>
          </w:p>
        </w:tc>
      </w:tr>
      <w:tr w14:paraId="12F6B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0035338B">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2040" w:type="dxa"/>
            <w:noWrap w:val="0"/>
            <w:vAlign w:val="top"/>
          </w:tcPr>
          <w:p w14:paraId="6071B2B8">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2520" w:type="dxa"/>
            <w:noWrap w:val="0"/>
            <w:vAlign w:val="top"/>
          </w:tcPr>
          <w:p w14:paraId="7243D29D">
            <w:pPr>
              <w:pStyle w:val="10"/>
              <w:shd w:val="clear" w:color="auto" w:fill="auto"/>
              <w:spacing w:line="240" w:lineRule="atLeast"/>
              <w:ind w:left="1157" w:leftChars="257" w:hanging="540"/>
              <w:jc w:val="center"/>
              <w:rPr>
                <w:rFonts w:hint="eastAsia" w:ascii="仿宋" w:hAnsi="仿宋" w:eastAsia="仿宋" w:cs="仿宋"/>
                <w:b w:val="0"/>
                <w:bCs w:val="0"/>
                <w:color w:val="auto"/>
                <w:sz w:val="24"/>
                <w:highlight w:val="none"/>
                <w:lang w:val="en-US" w:eastAsia="zh-CN"/>
              </w:rPr>
            </w:pPr>
          </w:p>
        </w:tc>
        <w:tc>
          <w:tcPr>
            <w:tcW w:w="2520" w:type="dxa"/>
            <w:noWrap w:val="0"/>
            <w:vAlign w:val="top"/>
          </w:tcPr>
          <w:p w14:paraId="2C220D6B">
            <w:pPr>
              <w:pStyle w:val="10"/>
              <w:shd w:val="clear" w:color="auto" w:fill="auto"/>
              <w:spacing w:line="240" w:lineRule="atLeast"/>
              <w:ind w:left="1157" w:leftChars="257" w:hanging="540"/>
              <w:jc w:val="center"/>
              <w:rPr>
                <w:rFonts w:hint="eastAsia" w:ascii="仿宋" w:hAnsi="仿宋" w:eastAsia="仿宋" w:cs="仿宋"/>
                <w:b w:val="0"/>
                <w:bCs w:val="0"/>
                <w:color w:val="auto"/>
                <w:sz w:val="24"/>
                <w:highlight w:val="none"/>
                <w:lang w:val="en-US" w:eastAsia="zh-CN"/>
              </w:rPr>
            </w:pPr>
          </w:p>
        </w:tc>
        <w:tc>
          <w:tcPr>
            <w:tcW w:w="900" w:type="dxa"/>
            <w:noWrap w:val="0"/>
            <w:vAlign w:val="top"/>
          </w:tcPr>
          <w:p w14:paraId="5D7D4D62">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r>
      <w:tr w14:paraId="79D5C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50C1C732">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2040" w:type="dxa"/>
            <w:noWrap w:val="0"/>
            <w:vAlign w:val="top"/>
          </w:tcPr>
          <w:p w14:paraId="00F3DA39">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2520" w:type="dxa"/>
            <w:noWrap w:val="0"/>
            <w:vAlign w:val="top"/>
          </w:tcPr>
          <w:p w14:paraId="3DFAB889">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2520" w:type="dxa"/>
            <w:noWrap w:val="0"/>
            <w:vAlign w:val="top"/>
          </w:tcPr>
          <w:p w14:paraId="6DB14507">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900" w:type="dxa"/>
            <w:noWrap w:val="0"/>
            <w:vAlign w:val="top"/>
          </w:tcPr>
          <w:p w14:paraId="782BBCDA">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r>
      <w:tr w14:paraId="28A65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0E36922F">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2040" w:type="dxa"/>
            <w:noWrap w:val="0"/>
            <w:vAlign w:val="top"/>
          </w:tcPr>
          <w:p w14:paraId="78FA2088">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2520" w:type="dxa"/>
            <w:noWrap w:val="0"/>
            <w:vAlign w:val="top"/>
          </w:tcPr>
          <w:p w14:paraId="14F81046">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2520" w:type="dxa"/>
            <w:noWrap w:val="0"/>
            <w:vAlign w:val="top"/>
          </w:tcPr>
          <w:p w14:paraId="7EF43897">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900" w:type="dxa"/>
            <w:noWrap w:val="0"/>
            <w:vAlign w:val="top"/>
          </w:tcPr>
          <w:p w14:paraId="4DD5149E">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r>
      <w:tr w14:paraId="303FD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5C937D4A">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2040" w:type="dxa"/>
            <w:noWrap w:val="0"/>
            <w:vAlign w:val="top"/>
          </w:tcPr>
          <w:p w14:paraId="26C58F06">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2520" w:type="dxa"/>
            <w:noWrap w:val="0"/>
            <w:vAlign w:val="top"/>
          </w:tcPr>
          <w:p w14:paraId="46E4CC42">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2520" w:type="dxa"/>
            <w:noWrap w:val="0"/>
            <w:vAlign w:val="top"/>
          </w:tcPr>
          <w:p w14:paraId="2E9AB17F">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c>
          <w:tcPr>
            <w:tcW w:w="900" w:type="dxa"/>
            <w:noWrap w:val="0"/>
            <w:vAlign w:val="top"/>
          </w:tcPr>
          <w:p w14:paraId="6A0724C6">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lang w:val="en-US" w:eastAsia="zh-CN"/>
              </w:rPr>
            </w:pPr>
          </w:p>
        </w:tc>
      </w:tr>
      <w:tr w14:paraId="7ED8E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27224618">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2040" w:type="dxa"/>
            <w:noWrap w:val="0"/>
            <w:vAlign w:val="top"/>
          </w:tcPr>
          <w:p w14:paraId="49CE39A1">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77306C42">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35CF4665">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900" w:type="dxa"/>
            <w:noWrap w:val="0"/>
            <w:vAlign w:val="top"/>
          </w:tcPr>
          <w:p w14:paraId="78C296F5">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r>
      <w:tr w14:paraId="7AB9B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63B0ACE7">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2040" w:type="dxa"/>
            <w:noWrap w:val="0"/>
            <w:vAlign w:val="top"/>
          </w:tcPr>
          <w:p w14:paraId="0F1B7A2A">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5C5EFCB0">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4580834F">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900" w:type="dxa"/>
            <w:noWrap w:val="0"/>
            <w:vAlign w:val="top"/>
          </w:tcPr>
          <w:p w14:paraId="7886C915">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r>
      <w:tr w14:paraId="27AC6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342E1DD3">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2040" w:type="dxa"/>
            <w:noWrap w:val="0"/>
            <w:vAlign w:val="top"/>
          </w:tcPr>
          <w:p w14:paraId="0B73E277">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4FE0F72E">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50B7C3A1">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900" w:type="dxa"/>
            <w:noWrap w:val="0"/>
            <w:vAlign w:val="top"/>
          </w:tcPr>
          <w:p w14:paraId="306EF3D9">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r>
      <w:tr w14:paraId="7ACD6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7BDFE819">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2040" w:type="dxa"/>
            <w:noWrap w:val="0"/>
            <w:vAlign w:val="top"/>
          </w:tcPr>
          <w:p w14:paraId="6D315760">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0B6E1244">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28F4B37C">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900" w:type="dxa"/>
            <w:noWrap w:val="0"/>
            <w:vAlign w:val="top"/>
          </w:tcPr>
          <w:p w14:paraId="5E598605">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r>
      <w:tr w14:paraId="2B2DD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53929205">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2040" w:type="dxa"/>
            <w:noWrap w:val="0"/>
            <w:vAlign w:val="top"/>
          </w:tcPr>
          <w:p w14:paraId="02DB5150">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15083517">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6378F367">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900" w:type="dxa"/>
            <w:noWrap w:val="0"/>
            <w:vAlign w:val="top"/>
          </w:tcPr>
          <w:p w14:paraId="09527A39">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r>
      <w:tr w14:paraId="047D4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11B7BBE9">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2040" w:type="dxa"/>
            <w:noWrap w:val="0"/>
            <w:vAlign w:val="top"/>
          </w:tcPr>
          <w:p w14:paraId="0EC389D4">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6B3D164B">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1DE1876D">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900" w:type="dxa"/>
            <w:noWrap w:val="0"/>
            <w:vAlign w:val="top"/>
          </w:tcPr>
          <w:p w14:paraId="7B6D026D">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r>
      <w:tr w14:paraId="45EC2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7C32686B">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2040" w:type="dxa"/>
            <w:noWrap w:val="0"/>
            <w:vAlign w:val="top"/>
          </w:tcPr>
          <w:p w14:paraId="0FB19363">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5DEDCA53">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4F659BCE">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900" w:type="dxa"/>
            <w:noWrap w:val="0"/>
            <w:vAlign w:val="top"/>
          </w:tcPr>
          <w:p w14:paraId="30A91325">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r>
      <w:tr w14:paraId="3EFED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0FB1CFFB">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2040" w:type="dxa"/>
            <w:noWrap w:val="0"/>
            <w:vAlign w:val="top"/>
          </w:tcPr>
          <w:p w14:paraId="7B9803CB">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76E0D95C">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44D70D22">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900" w:type="dxa"/>
            <w:noWrap w:val="0"/>
            <w:vAlign w:val="top"/>
          </w:tcPr>
          <w:p w14:paraId="475EB590">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r>
      <w:tr w14:paraId="2B5EB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5F80C589">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2040" w:type="dxa"/>
            <w:noWrap w:val="0"/>
            <w:vAlign w:val="top"/>
          </w:tcPr>
          <w:p w14:paraId="0A8018BB">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15ED1BDD">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77E02C0C">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900" w:type="dxa"/>
            <w:noWrap w:val="0"/>
            <w:vAlign w:val="top"/>
          </w:tcPr>
          <w:p w14:paraId="6ED6BBF1">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r>
      <w:tr w14:paraId="49863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08C48E67">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2040" w:type="dxa"/>
            <w:noWrap w:val="0"/>
            <w:vAlign w:val="top"/>
          </w:tcPr>
          <w:p w14:paraId="4A75E40A">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47E48EA1">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7E83DF93">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900" w:type="dxa"/>
            <w:noWrap w:val="0"/>
            <w:vAlign w:val="top"/>
          </w:tcPr>
          <w:p w14:paraId="1AA1E48E">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r>
      <w:tr w14:paraId="2790E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64126980">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2040" w:type="dxa"/>
            <w:noWrap w:val="0"/>
            <w:vAlign w:val="top"/>
          </w:tcPr>
          <w:p w14:paraId="0A2326EC">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7ABB8E35">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51CB6765">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900" w:type="dxa"/>
            <w:noWrap w:val="0"/>
            <w:vAlign w:val="top"/>
          </w:tcPr>
          <w:p w14:paraId="129823CC">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r>
      <w:tr w14:paraId="1CF35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5E3808DA">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2040" w:type="dxa"/>
            <w:noWrap w:val="0"/>
            <w:vAlign w:val="top"/>
          </w:tcPr>
          <w:p w14:paraId="2C0227F5">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434A68BF">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41BD1CFF">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900" w:type="dxa"/>
            <w:noWrap w:val="0"/>
            <w:vAlign w:val="top"/>
          </w:tcPr>
          <w:p w14:paraId="2F9A6EFB">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r>
      <w:tr w14:paraId="04151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6A09E5FC">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2040" w:type="dxa"/>
            <w:noWrap w:val="0"/>
            <w:vAlign w:val="top"/>
          </w:tcPr>
          <w:p w14:paraId="266BED87">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2E8F06D6">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43DDDD86">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c>
          <w:tcPr>
            <w:tcW w:w="900" w:type="dxa"/>
            <w:noWrap w:val="0"/>
            <w:vAlign w:val="top"/>
          </w:tcPr>
          <w:p w14:paraId="252D8786">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lang w:val="en-US" w:eastAsia="zh-CN"/>
              </w:rPr>
            </w:pPr>
          </w:p>
        </w:tc>
      </w:tr>
    </w:tbl>
    <w:p w14:paraId="5BC4CDFF">
      <w:pPr>
        <w:spacing w:line="360" w:lineRule="auto"/>
        <w:rPr>
          <w:rFonts w:hint="eastAsia" w:ascii="宋体" w:hAnsi="宋体" w:eastAsia="宋体" w:cs="宋体"/>
          <w:b w:val="0"/>
          <w:bCs w:val="0"/>
          <w:color w:val="auto"/>
          <w:lang w:eastAsia="zh-CN"/>
        </w:rPr>
      </w:pPr>
      <w:r>
        <w:rPr>
          <w:rFonts w:hint="eastAsia" w:ascii="宋体" w:hAnsi="宋体" w:eastAsia="宋体" w:cs="宋体"/>
          <w:b w:val="0"/>
          <w:bCs w:val="0"/>
          <w:color w:val="auto"/>
          <w:lang w:eastAsia="zh-CN"/>
        </w:rPr>
        <w:t>备注：投标人应根据其提供的</w:t>
      </w:r>
      <w:r>
        <w:rPr>
          <w:rFonts w:hint="eastAsia" w:ascii="宋体" w:hAnsi="宋体" w:eastAsia="宋体" w:cs="宋体"/>
          <w:b w:val="0"/>
          <w:bCs w:val="0"/>
          <w:color w:val="auto"/>
          <w:lang w:val="en-US" w:eastAsia="zh-CN"/>
        </w:rPr>
        <w:t>货物清单</w:t>
      </w:r>
      <w:r>
        <w:rPr>
          <w:rFonts w:hint="eastAsia" w:ascii="宋体" w:hAnsi="宋体" w:eastAsia="宋体" w:cs="宋体"/>
          <w:b w:val="0"/>
          <w:bCs w:val="0"/>
          <w:color w:val="auto"/>
          <w:lang w:eastAsia="zh-CN"/>
        </w:rPr>
        <w:t>，对照招标文件第四章中的要求，有差异的，则在此表中列明实际响应的内容提要并加以说明，以便查对。本表包括所有的技术响应及差异。无差异说明表示完全响应。</w:t>
      </w:r>
    </w:p>
    <w:p w14:paraId="61EB1F6A">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rPr>
      </w:pPr>
    </w:p>
    <w:p w14:paraId="52A94EFC">
      <w:pPr>
        <w:pStyle w:val="10"/>
        <w:shd w:val="clear" w:color="auto" w:fill="auto"/>
        <w:spacing w:line="240" w:lineRule="atLeast"/>
        <w:ind w:left="1157" w:leftChars="257" w:hanging="540"/>
        <w:rPr>
          <w:rFonts w:hint="eastAsia" w:ascii="仿宋" w:hAnsi="仿宋" w:eastAsia="仿宋" w:cs="仿宋"/>
          <w:b w:val="0"/>
          <w:bCs w:val="0"/>
          <w:color w:val="auto"/>
          <w:sz w:val="24"/>
          <w:highlight w:val="yellow"/>
        </w:rPr>
      </w:pPr>
    </w:p>
    <w:p w14:paraId="7D349D0F">
      <w:pPr>
        <w:pStyle w:val="10"/>
        <w:shd w:val="clear" w:color="auto" w:fill="auto"/>
        <w:spacing w:line="240" w:lineRule="atLeast"/>
        <w:ind w:left="1157" w:leftChars="257" w:hanging="54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lang w:eastAsia="zh-CN"/>
        </w:rPr>
        <w:t>法定代表人或其委托代理人签章</w:t>
      </w:r>
      <w:r>
        <w:rPr>
          <w:rFonts w:hint="eastAsia" w:ascii="仿宋" w:hAnsi="仿宋" w:eastAsia="仿宋" w:cs="仿宋"/>
          <w:b w:val="0"/>
          <w:bCs w:val="0"/>
          <w:color w:val="auto"/>
          <w:sz w:val="24"/>
          <w:highlight w:val="none"/>
        </w:rPr>
        <w:t>:</w:t>
      </w:r>
      <w:r>
        <w:rPr>
          <w:rFonts w:hint="eastAsia" w:ascii="仿宋" w:hAnsi="仿宋" w:eastAsia="仿宋" w:cs="仿宋"/>
          <w:b w:val="0"/>
          <w:bCs w:val="0"/>
          <w:color w:val="auto"/>
          <w:sz w:val="24"/>
          <w:highlight w:val="none"/>
          <w:u w:val="single"/>
        </w:rPr>
        <w:t xml:space="preserve"> </w:t>
      </w:r>
      <w:r>
        <w:rPr>
          <w:rFonts w:hint="eastAsia" w:ascii="仿宋" w:hAnsi="仿宋" w:eastAsia="仿宋" w:cs="仿宋"/>
          <w:b w:val="0"/>
          <w:bCs w:val="0"/>
          <w:color w:val="auto"/>
          <w:sz w:val="24"/>
          <w:highlight w:val="none"/>
          <w:u w:val="single"/>
        </w:rPr>
        <w:tab/>
      </w:r>
      <w:r>
        <w:rPr>
          <w:rFonts w:hint="eastAsia" w:ascii="仿宋" w:hAnsi="仿宋" w:eastAsia="仿宋" w:cs="仿宋"/>
          <w:b w:val="0"/>
          <w:bCs w:val="0"/>
          <w:color w:val="auto"/>
          <w:sz w:val="24"/>
          <w:highlight w:val="none"/>
          <w:u w:val="single"/>
        </w:rPr>
        <w:t xml:space="preserve">                 </w:t>
      </w:r>
    </w:p>
    <w:p w14:paraId="4B5EF509">
      <w:pPr>
        <w:pStyle w:val="10"/>
        <w:shd w:val="clear" w:color="auto" w:fill="auto"/>
        <w:tabs>
          <w:tab w:val="left" w:pos="5370"/>
        </w:tabs>
        <w:spacing w:line="240" w:lineRule="atLeast"/>
        <w:ind w:left="1157" w:leftChars="257" w:hanging="540"/>
        <w:rPr>
          <w:rFonts w:hint="eastAsia" w:ascii="仿宋" w:hAnsi="仿宋" w:eastAsia="仿宋" w:cs="仿宋"/>
          <w:b w:val="0"/>
          <w:bCs w:val="0"/>
          <w:color w:val="auto"/>
          <w:sz w:val="24"/>
          <w:highlight w:val="none"/>
          <w:u w:val="single"/>
        </w:rPr>
      </w:pPr>
      <w:r>
        <w:rPr>
          <w:rFonts w:hint="eastAsia" w:ascii="仿宋" w:hAnsi="仿宋" w:eastAsia="仿宋" w:cs="仿宋"/>
          <w:b w:val="0"/>
          <w:bCs w:val="0"/>
          <w:color w:val="auto"/>
          <w:sz w:val="24"/>
          <w:highlight w:val="none"/>
        </w:rPr>
        <w:t>投标人(盖单位章):</w:t>
      </w:r>
      <w:r>
        <w:rPr>
          <w:rFonts w:hint="eastAsia" w:ascii="仿宋" w:hAnsi="仿宋" w:eastAsia="仿宋" w:cs="仿宋"/>
          <w:b w:val="0"/>
          <w:bCs w:val="0"/>
          <w:color w:val="auto"/>
          <w:sz w:val="24"/>
          <w:highlight w:val="none"/>
          <w:u w:val="single"/>
        </w:rPr>
        <w:tab/>
      </w:r>
    </w:p>
    <w:p w14:paraId="1FAEC3DC">
      <w:pPr>
        <w:pStyle w:val="41"/>
        <w:tabs>
          <w:tab w:val="left" w:pos="826"/>
        </w:tabs>
        <w:spacing w:line="470" w:lineRule="exact"/>
        <w:ind w:firstLine="0"/>
        <w:jc w:val="center"/>
        <w:rPr>
          <w:rFonts w:ascii="仿宋" w:hAnsi="仿宋" w:eastAsia="仿宋" w:cs="仿宋"/>
          <w:color w:val="auto"/>
          <w:sz w:val="21"/>
          <w:szCs w:val="21"/>
          <w:highlight w:val="none"/>
        </w:rPr>
      </w:pPr>
    </w:p>
    <w:p w14:paraId="38DD2ECB">
      <w:pPr>
        <w:pStyle w:val="41"/>
        <w:tabs>
          <w:tab w:val="left" w:pos="826"/>
        </w:tabs>
        <w:spacing w:line="470" w:lineRule="exact"/>
        <w:ind w:firstLine="0"/>
        <w:jc w:val="both"/>
        <w:rPr>
          <w:rFonts w:ascii="仿宋" w:hAnsi="仿宋" w:eastAsia="仿宋" w:cs="仿宋"/>
          <w:color w:val="auto"/>
          <w:sz w:val="21"/>
          <w:szCs w:val="21"/>
          <w:highlight w:val="none"/>
        </w:rPr>
      </w:pPr>
    </w:p>
    <w:p w14:paraId="3252C831">
      <w:pPr>
        <w:spacing w:line="360" w:lineRule="auto"/>
        <w:jc w:val="center"/>
        <w:rPr>
          <w:rFonts w:ascii="仿宋" w:hAnsi="仿宋" w:eastAsia="仿宋" w:cs="仿宋"/>
          <w:b/>
          <w:color w:val="auto"/>
          <w:sz w:val="32"/>
          <w:szCs w:val="32"/>
          <w:highlight w:val="none"/>
          <w:lang w:eastAsia="zh-CN"/>
        </w:rPr>
      </w:pPr>
      <w:r>
        <w:rPr>
          <w:rFonts w:hint="eastAsia" w:ascii="仿宋" w:hAnsi="仿宋" w:eastAsia="仿宋" w:cs="仿宋"/>
          <w:b/>
          <w:color w:val="auto"/>
          <w:sz w:val="36"/>
          <w:szCs w:val="36"/>
          <w:highlight w:val="none"/>
          <w:lang w:val="en-US" w:eastAsia="zh-CN"/>
        </w:rPr>
        <w:t>7</w:t>
      </w:r>
      <w:r>
        <w:rPr>
          <w:rFonts w:hint="eastAsia" w:ascii="仿宋" w:hAnsi="仿宋" w:eastAsia="仿宋" w:cs="仿宋"/>
          <w:b/>
          <w:color w:val="auto"/>
          <w:sz w:val="36"/>
          <w:szCs w:val="36"/>
          <w:highlight w:val="none"/>
          <w:lang w:eastAsia="zh-CN"/>
        </w:rPr>
        <w:t>、中小企业声明函(货物)</w:t>
      </w:r>
    </w:p>
    <w:p w14:paraId="42393E6C">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公司（联合体）郑重声明，根据《政府采购促进中小企业发展管理办法》（财库[2020]46号）的规定，本公司（联合体）参加（单位名称）的（项目名称）采购活动，提供的货物全部由符合政策要求的中小企业制造。相关企业（含联合体中的中小企业、签订分包意向协议的中小企业）的具体情况如下：</w:t>
      </w:r>
    </w:p>
    <w:p w14:paraId="4569A371">
      <w:pPr>
        <w:numPr>
          <w:ilvl w:val="0"/>
          <w:numId w:val="12"/>
        </w:num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u w:val="single"/>
          <w:lang w:eastAsia="zh-CN"/>
        </w:rPr>
        <w:t>（标的名称）</w:t>
      </w:r>
      <w:r>
        <w:rPr>
          <w:rFonts w:hint="eastAsia" w:ascii="仿宋" w:hAnsi="仿宋" w:eastAsia="仿宋" w:cs="仿宋"/>
          <w:color w:val="auto"/>
          <w:highlight w:val="none"/>
          <w:lang w:eastAsia="zh-CN"/>
        </w:rPr>
        <w:t>，属于</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u w:val="single"/>
          <w:lang w:eastAsia="zh-CN"/>
        </w:rPr>
        <w:t>（采购文件中明确的所属行业）</w:t>
      </w:r>
      <w:r>
        <w:rPr>
          <w:rFonts w:hint="eastAsia" w:ascii="仿宋" w:hAnsi="仿宋" w:eastAsia="仿宋" w:cs="仿宋"/>
          <w:color w:val="auto"/>
          <w:highlight w:val="none"/>
          <w:lang w:eastAsia="zh-CN"/>
        </w:rPr>
        <w:t>；制造商为</w:t>
      </w:r>
      <w:r>
        <w:rPr>
          <w:rFonts w:hint="eastAsia" w:ascii="仿宋" w:hAnsi="仿宋" w:eastAsia="仿宋" w:cs="仿宋"/>
          <w:color w:val="auto"/>
          <w:highlight w:val="none"/>
          <w:u w:val="single"/>
          <w:lang w:eastAsia="zh-CN"/>
        </w:rPr>
        <w:t>（企业名称）</w:t>
      </w:r>
      <w:r>
        <w:rPr>
          <w:rFonts w:hint="eastAsia" w:ascii="仿宋" w:hAnsi="仿宋" w:eastAsia="仿宋" w:cs="仿宋"/>
          <w:color w:val="auto"/>
          <w:highlight w:val="none"/>
          <w:lang w:eastAsia="zh-CN"/>
        </w:rPr>
        <w:t>，从业人员</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人，营业收入为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万元，资产总额为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万元，属于</w:t>
      </w:r>
      <w:r>
        <w:rPr>
          <w:rFonts w:hint="eastAsia" w:ascii="仿宋" w:hAnsi="仿宋" w:eastAsia="仿宋" w:cs="仿宋"/>
          <w:color w:val="auto"/>
          <w:highlight w:val="none"/>
          <w:u w:val="single"/>
          <w:lang w:eastAsia="zh-CN"/>
        </w:rPr>
        <w:t>（中型企业、小型企业、微型企业</w:t>
      </w:r>
      <w:r>
        <w:rPr>
          <w:rFonts w:hint="eastAsia" w:ascii="仿宋" w:hAnsi="仿宋" w:eastAsia="仿宋" w:cs="仿宋"/>
          <w:color w:val="auto"/>
          <w:highlight w:val="none"/>
          <w:lang w:eastAsia="zh-CN"/>
        </w:rPr>
        <w:t>）；</w:t>
      </w:r>
    </w:p>
    <w:p w14:paraId="698A50D8">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2. </w:t>
      </w:r>
      <w:r>
        <w:rPr>
          <w:rFonts w:hint="eastAsia" w:ascii="仿宋" w:hAnsi="仿宋" w:eastAsia="仿宋" w:cs="仿宋"/>
          <w:color w:val="auto"/>
          <w:highlight w:val="none"/>
          <w:u w:val="single"/>
          <w:lang w:eastAsia="zh-CN"/>
        </w:rPr>
        <w:t xml:space="preserve"> （标的名称）</w:t>
      </w:r>
      <w:r>
        <w:rPr>
          <w:rFonts w:hint="eastAsia" w:ascii="仿宋" w:hAnsi="仿宋" w:eastAsia="仿宋" w:cs="仿宋"/>
          <w:color w:val="auto"/>
          <w:highlight w:val="none"/>
          <w:lang w:eastAsia="zh-CN"/>
        </w:rPr>
        <w:t>，属于</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u w:val="single"/>
          <w:lang w:eastAsia="zh-CN"/>
        </w:rPr>
        <w:t xml:space="preserve">（采购文件明中确的所属行业） </w:t>
      </w:r>
      <w:r>
        <w:rPr>
          <w:rFonts w:hint="eastAsia" w:ascii="仿宋" w:hAnsi="仿宋" w:eastAsia="仿宋" w:cs="仿宋"/>
          <w:color w:val="auto"/>
          <w:highlight w:val="none"/>
          <w:lang w:eastAsia="zh-CN"/>
        </w:rPr>
        <w:t>；制造商为</w:t>
      </w:r>
      <w:r>
        <w:rPr>
          <w:rFonts w:hint="eastAsia" w:ascii="仿宋" w:hAnsi="仿宋" w:eastAsia="仿宋" w:cs="仿宋"/>
          <w:color w:val="auto"/>
          <w:highlight w:val="none"/>
          <w:u w:val="single"/>
          <w:lang w:eastAsia="zh-CN"/>
        </w:rPr>
        <w:t xml:space="preserve"> （企业名称）</w:t>
      </w:r>
      <w:r>
        <w:rPr>
          <w:rFonts w:hint="eastAsia" w:ascii="仿宋" w:hAnsi="仿宋" w:eastAsia="仿宋" w:cs="仿宋"/>
          <w:color w:val="auto"/>
          <w:highlight w:val="none"/>
          <w:lang w:eastAsia="zh-CN"/>
        </w:rPr>
        <w:t>，从业人员</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人，营业收入为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万元，资产总额为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万元，属于</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u w:val="single"/>
          <w:lang w:eastAsia="zh-CN"/>
        </w:rPr>
        <w:t>（中型企业、小型企业、微型企业）</w:t>
      </w:r>
      <w:r>
        <w:rPr>
          <w:rFonts w:hint="eastAsia" w:ascii="仿宋" w:hAnsi="仿宋" w:eastAsia="仿宋" w:cs="仿宋"/>
          <w:color w:val="auto"/>
          <w:highlight w:val="none"/>
          <w:lang w:eastAsia="zh-CN"/>
        </w:rPr>
        <w:t>；</w:t>
      </w:r>
    </w:p>
    <w:p w14:paraId="746A3468">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w:t>
      </w:r>
    </w:p>
    <w:p w14:paraId="709646C8">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以上企业，不属于大企业的分支机构，不存在控股股东为大企业的情形，也不存在与大企业的负责人为同一人的情形。</w:t>
      </w:r>
    </w:p>
    <w:p w14:paraId="08E95A1B">
      <w:pPr>
        <w:spacing w:line="360" w:lineRule="auto"/>
        <w:ind w:firstLine="480" w:firstLineChars="200"/>
        <w:rPr>
          <w:rFonts w:ascii="仿宋" w:hAnsi="仿宋" w:eastAsia="仿宋" w:cs="仿宋"/>
          <w:color w:val="auto"/>
          <w:highlight w:val="none"/>
          <w:lang w:eastAsia="zh-CN"/>
        </w:rPr>
      </w:pPr>
    </w:p>
    <w:p w14:paraId="5991F7DF">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本企业对上述声明内容的真实性负责。如有虚假，将依法承担相应责任。</w:t>
      </w:r>
    </w:p>
    <w:p w14:paraId="1E3EF560">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p>
    <w:p w14:paraId="7320D6A1">
      <w:pPr>
        <w:spacing w:line="360" w:lineRule="auto"/>
        <w:ind w:firstLine="480" w:firstLineChars="200"/>
        <w:rPr>
          <w:rFonts w:ascii="仿宋" w:hAnsi="仿宋" w:eastAsia="仿宋" w:cs="仿宋"/>
          <w:color w:val="auto"/>
          <w:highlight w:val="none"/>
          <w:lang w:eastAsia="zh-CN"/>
        </w:rPr>
      </w:pPr>
    </w:p>
    <w:p w14:paraId="0072770E">
      <w:pPr>
        <w:spacing w:line="360" w:lineRule="auto"/>
        <w:ind w:firstLine="4560" w:firstLineChars="19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企业名称（盖章）：</w:t>
      </w:r>
    </w:p>
    <w:p w14:paraId="2FBEC9CC">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日期：</w:t>
      </w:r>
    </w:p>
    <w:p w14:paraId="135D3A15">
      <w:pPr>
        <w:spacing w:line="360" w:lineRule="auto"/>
        <w:ind w:firstLine="480" w:firstLineChars="200"/>
        <w:rPr>
          <w:rFonts w:ascii="仿宋" w:hAnsi="仿宋" w:eastAsia="仿宋" w:cs="仿宋"/>
          <w:color w:val="auto"/>
          <w:highlight w:val="none"/>
          <w:lang w:eastAsia="zh-CN"/>
        </w:rPr>
      </w:pPr>
    </w:p>
    <w:p w14:paraId="6FA99B20">
      <w:pPr>
        <w:spacing w:line="360" w:lineRule="auto"/>
        <w:ind w:firstLine="480" w:firstLineChars="200"/>
        <w:rPr>
          <w:rFonts w:ascii="仿宋" w:hAnsi="仿宋" w:eastAsia="仿宋" w:cs="仿宋"/>
          <w:color w:val="auto"/>
          <w:highlight w:val="none"/>
          <w:lang w:eastAsia="zh-CN"/>
        </w:rPr>
      </w:pPr>
    </w:p>
    <w:p w14:paraId="50F2C270">
      <w:pPr>
        <w:spacing w:line="360" w:lineRule="auto"/>
        <w:ind w:firstLine="480" w:firstLineChars="200"/>
        <w:rPr>
          <w:rFonts w:ascii="仿宋" w:hAnsi="仿宋" w:eastAsia="仿宋" w:cs="仿宋"/>
          <w:color w:val="auto"/>
          <w:highlight w:val="none"/>
          <w:lang w:eastAsia="zh-CN"/>
        </w:rPr>
      </w:pPr>
    </w:p>
    <w:p w14:paraId="325AC187">
      <w:pPr>
        <w:spacing w:line="360" w:lineRule="auto"/>
        <w:ind w:firstLine="480" w:firstLineChars="200"/>
        <w:rPr>
          <w:rFonts w:ascii="仿宋" w:hAnsi="仿宋" w:eastAsia="仿宋" w:cs="仿宋"/>
          <w:color w:val="auto"/>
          <w:highlight w:val="none"/>
          <w:lang w:eastAsia="zh-CN"/>
        </w:rPr>
      </w:pPr>
    </w:p>
    <w:p w14:paraId="5405B9ED">
      <w:pPr>
        <w:spacing w:line="360" w:lineRule="auto"/>
        <w:ind w:firstLine="480" w:firstLineChars="200"/>
        <w:rPr>
          <w:rFonts w:ascii="仿宋" w:hAnsi="仿宋" w:eastAsia="仿宋" w:cs="仿宋"/>
          <w:color w:val="auto"/>
          <w:highlight w:val="none"/>
          <w:lang w:eastAsia="zh-CN"/>
        </w:rPr>
      </w:pPr>
    </w:p>
    <w:p w14:paraId="68E419F7">
      <w:pPr>
        <w:spacing w:line="360" w:lineRule="auto"/>
        <w:ind w:firstLine="480" w:firstLineChars="200"/>
        <w:rPr>
          <w:rFonts w:ascii="仿宋" w:hAnsi="仿宋" w:eastAsia="仿宋" w:cs="仿宋"/>
          <w:color w:val="auto"/>
          <w:highlight w:val="none"/>
          <w:lang w:eastAsia="zh-CN"/>
        </w:rPr>
      </w:pPr>
    </w:p>
    <w:p w14:paraId="10FC8799">
      <w:pPr>
        <w:pStyle w:val="18"/>
        <w:rPr>
          <w:rFonts w:ascii="仿宋" w:hAnsi="仿宋" w:eastAsia="仿宋" w:cs="仿宋"/>
          <w:color w:val="auto"/>
          <w:highlight w:val="none"/>
          <w:lang w:eastAsia="zh-CN"/>
        </w:rPr>
      </w:pPr>
    </w:p>
    <w:p w14:paraId="3D60E9E9">
      <w:pPr>
        <w:pStyle w:val="18"/>
        <w:rPr>
          <w:rFonts w:ascii="仿宋" w:hAnsi="仿宋" w:eastAsia="仿宋" w:cs="仿宋"/>
          <w:color w:val="auto"/>
          <w:highlight w:val="none"/>
          <w:lang w:eastAsia="zh-CN"/>
        </w:rPr>
      </w:pPr>
    </w:p>
    <w:p w14:paraId="5BF6D505">
      <w:pPr>
        <w:pStyle w:val="18"/>
        <w:rPr>
          <w:rFonts w:ascii="仿宋" w:hAnsi="仿宋" w:eastAsia="仿宋" w:cs="仿宋"/>
          <w:color w:val="auto"/>
          <w:highlight w:val="none"/>
          <w:lang w:eastAsia="zh-CN"/>
        </w:rPr>
      </w:pPr>
    </w:p>
    <w:p w14:paraId="0C640DD9">
      <w:pPr>
        <w:pStyle w:val="18"/>
        <w:rPr>
          <w:rFonts w:ascii="仿宋" w:hAnsi="仿宋" w:eastAsia="仿宋" w:cs="仿宋"/>
          <w:color w:val="auto"/>
          <w:highlight w:val="none"/>
          <w:lang w:eastAsia="zh-CN"/>
        </w:rPr>
      </w:pPr>
    </w:p>
    <w:p w14:paraId="1F9476F3">
      <w:pPr>
        <w:pStyle w:val="18"/>
        <w:rPr>
          <w:rFonts w:ascii="仿宋" w:hAnsi="仿宋" w:eastAsia="仿宋" w:cs="仿宋"/>
          <w:color w:val="auto"/>
          <w:highlight w:val="none"/>
          <w:lang w:eastAsia="zh-CN"/>
        </w:rPr>
      </w:pPr>
    </w:p>
    <w:p w14:paraId="257A9FF2">
      <w:pPr>
        <w:pStyle w:val="18"/>
        <w:rPr>
          <w:rFonts w:ascii="仿宋" w:hAnsi="仿宋" w:eastAsia="仿宋" w:cs="仿宋"/>
          <w:color w:val="auto"/>
          <w:highlight w:val="none"/>
          <w:lang w:eastAsia="zh-CN"/>
        </w:rPr>
      </w:pPr>
    </w:p>
    <w:p w14:paraId="17AA48FF">
      <w:pPr>
        <w:tabs>
          <w:tab w:val="left" w:pos="3600"/>
        </w:tabs>
        <w:adjustRightInd w:val="0"/>
        <w:snapToGrid w:val="0"/>
        <w:spacing w:line="440" w:lineRule="exact"/>
        <w:jc w:val="center"/>
        <w:rPr>
          <w:rFonts w:ascii="仿宋" w:hAnsi="仿宋" w:eastAsia="仿宋" w:cs="仿宋"/>
          <w:b/>
          <w:bCs/>
          <w:color w:val="auto"/>
          <w:spacing w:val="6"/>
          <w:sz w:val="36"/>
          <w:szCs w:val="36"/>
          <w:highlight w:val="none"/>
          <w:lang w:eastAsia="zh-CN"/>
        </w:rPr>
      </w:pPr>
      <w:r>
        <w:rPr>
          <w:rFonts w:hint="eastAsia" w:ascii="仿宋" w:hAnsi="仿宋" w:eastAsia="仿宋" w:cs="仿宋"/>
          <w:color w:val="auto"/>
          <w:sz w:val="36"/>
          <w:szCs w:val="36"/>
          <w:highlight w:val="none"/>
          <w:lang w:val="en-US" w:eastAsia="zh-CN"/>
        </w:rPr>
        <w:t>8</w:t>
      </w:r>
      <w:r>
        <w:rPr>
          <w:rFonts w:hint="eastAsia" w:ascii="仿宋" w:hAnsi="仿宋" w:eastAsia="仿宋" w:cs="仿宋"/>
          <w:color w:val="auto"/>
          <w:sz w:val="36"/>
          <w:szCs w:val="36"/>
          <w:highlight w:val="none"/>
          <w:lang w:eastAsia="zh-CN"/>
        </w:rPr>
        <w:t>、</w:t>
      </w:r>
      <w:r>
        <w:rPr>
          <w:rFonts w:hint="eastAsia" w:ascii="仿宋" w:hAnsi="仿宋" w:eastAsia="仿宋" w:cs="仿宋"/>
          <w:b/>
          <w:bCs/>
          <w:color w:val="auto"/>
          <w:spacing w:val="6"/>
          <w:sz w:val="36"/>
          <w:szCs w:val="36"/>
          <w:highlight w:val="none"/>
          <w:lang w:eastAsia="zh-CN"/>
        </w:rPr>
        <w:t>残疾人福利性单位声明函</w:t>
      </w:r>
    </w:p>
    <w:p w14:paraId="303EAA94">
      <w:pPr>
        <w:widowControl/>
        <w:adjustRightInd w:val="0"/>
        <w:snapToGrid w:val="0"/>
        <w:spacing w:line="440" w:lineRule="exact"/>
        <w:ind w:firstLine="504" w:firstLineChars="200"/>
        <w:rPr>
          <w:rFonts w:ascii="仿宋" w:hAnsi="仿宋" w:eastAsia="仿宋" w:cs="仿宋"/>
          <w:color w:val="auto"/>
          <w:spacing w:val="6"/>
          <w:highlight w:val="none"/>
          <w:lang w:eastAsia="zh-CN"/>
        </w:rPr>
      </w:pPr>
    </w:p>
    <w:p w14:paraId="255236F4">
      <w:pPr>
        <w:widowControl/>
        <w:adjustRightInd w:val="0"/>
        <w:snapToGrid w:val="0"/>
        <w:spacing w:line="440" w:lineRule="exact"/>
        <w:ind w:firstLine="504" w:firstLineChars="200"/>
        <w:rPr>
          <w:rFonts w:ascii="仿宋" w:hAnsi="仿宋" w:eastAsia="仿宋" w:cs="仿宋"/>
          <w:color w:val="auto"/>
          <w:spacing w:val="6"/>
          <w:highlight w:val="none"/>
          <w:lang w:eastAsia="zh-CN"/>
        </w:rPr>
      </w:pPr>
      <w:r>
        <w:rPr>
          <w:rFonts w:hint="eastAsia" w:ascii="仿宋" w:hAnsi="仿宋" w:eastAsia="仿宋" w:cs="仿宋"/>
          <w:color w:val="auto"/>
          <w:spacing w:val="6"/>
          <w:highlight w:val="none"/>
          <w:lang w:eastAsia="zh-CN"/>
        </w:rPr>
        <w:t>本单位郑重声明，根据《财政部 民政部 中国残疾人联合会关于促进残疾人就业政府采购政策的通知》（财库〔2017〕141号）的规定，本单位为符合条件的残疾人福利性单位，且本单位参加</w:t>
      </w:r>
      <w:r>
        <w:rPr>
          <w:rFonts w:hint="eastAsia" w:ascii="仿宋" w:hAnsi="仿宋" w:eastAsia="仿宋" w:cs="仿宋"/>
          <w:color w:val="auto"/>
          <w:spacing w:val="6"/>
          <w:highlight w:val="none"/>
          <w:u w:val="single"/>
          <w:lang w:eastAsia="zh-CN"/>
        </w:rPr>
        <w:t xml:space="preserve">     </w:t>
      </w:r>
      <w:r>
        <w:rPr>
          <w:rFonts w:hint="eastAsia" w:ascii="仿宋" w:hAnsi="仿宋" w:eastAsia="仿宋" w:cs="仿宋"/>
          <w:color w:val="auto"/>
          <w:spacing w:val="6"/>
          <w:highlight w:val="none"/>
          <w:lang w:eastAsia="zh-CN"/>
        </w:rPr>
        <w:t>单位的</w:t>
      </w:r>
      <w:r>
        <w:rPr>
          <w:rFonts w:hint="eastAsia" w:ascii="仿宋" w:hAnsi="仿宋" w:eastAsia="仿宋" w:cs="仿宋"/>
          <w:color w:val="auto"/>
          <w:spacing w:val="6"/>
          <w:highlight w:val="none"/>
          <w:u w:val="single"/>
          <w:lang w:eastAsia="zh-CN"/>
        </w:rPr>
        <w:t xml:space="preserve">     </w:t>
      </w:r>
      <w:r>
        <w:rPr>
          <w:rFonts w:hint="eastAsia" w:ascii="仿宋" w:hAnsi="仿宋" w:eastAsia="仿宋" w:cs="仿宋"/>
          <w:color w:val="auto"/>
          <w:spacing w:val="6"/>
          <w:highlight w:val="none"/>
          <w:lang w:eastAsia="zh-CN"/>
        </w:rPr>
        <w:t>项目采购活动提供本单位制造的货物（由本单位承担工程/提供服务），或者提供其他残疾人福利性单位制造的货物（不包括使用非残疾人福利性单位注册商标的货物）。</w:t>
      </w:r>
    </w:p>
    <w:p w14:paraId="521A8E01">
      <w:pPr>
        <w:widowControl/>
        <w:adjustRightInd w:val="0"/>
        <w:snapToGrid w:val="0"/>
        <w:spacing w:line="440" w:lineRule="exact"/>
        <w:ind w:firstLine="504" w:firstLineChars="200"/>
        <w:rPr>
          <w:rFonts w:ascii="仿宋" w:hAnsi="仿宋" w:eastAsia="仿宋" w:cs="仿宋"/>
          <w:color w:val="auto"/>
          <w:spacing w:val="6"/>
          <w:highlight w:val="none"/>
          <w:lang w:eastAsia="zh-CN"/>
        </w:rPr>
      </w:pPr>
      <w:r>
        <w:rPr>
          <w:rFonts w:hint="eastAsia" w:ascii="仿宋" w:hAnsi="仿宋" w:eastAsia="仿宋" w:cs="仿宋"/>
          <w:color w:val="auto"/>
          <w:spacing w:val="6"/>
          <w:highlight w:val="none"/>
          <w:lang w:eastAsia="zh-CN"/>
        </w:rPr>
        <w:t>本单位对上述声明的真实性负责。如有虚假，将依法承担相应责任。</w:t>
      </w:r>
    </w:p>
    <w:p w14:paraId="5CD05754">
      <w:pPr>
        <w:widowControl/>
        <w:adjustRightInd w:val="0"/>
        <w:snapToGrid w:val="0"/>
        <w:spacing w:line="440" w:lineRule="exact"/>
        <w:ind w:firstLine="504" w:firstLineChars="200"/>
        <w:rPr>
          <w:rFonts w:ascii="仿宋" w:hAnsi="仿宋" w:eastAsia="仿宋" w:cs="仿宋"/>
          <w:color w:val="auto"/>
          <w:spacing w:val="6"/>
          <w:highlight w:val="none"/>
          <w:lang w:eastAsia="zh-CN"/>
        </w:rPr>
      </w:pPr>
      <w:r>
        <w:rPr>
          <w:rFonts w:hint="eastAsia" w:ascii="仿宋" w:hAnsi="仿宋" w:eastAsia="仿宋" w:cs="仿宋"/>
          <w:color w:val="auto"/>
          <w:spacing w:val="6"/>
          <w:highlight w:val="none"/>
          <w:lang w:eastAsia="zh-CN"/>
        </w:rPr>
        <w:t xml:space="preserve">                                     </w:t>
      </w:r>
    </w:p>
    <w:p w14:paraId="07CDBAC4">
      <w:pPr>
        <w:widowControl/>
        <w:adjustRightInd w:val="0"/>
        <w:snapToGrid w:val="0"/>
        <w:spacing w:line="440" w:lineRule="exact"/>
        <w:ind w:firstLine="5544" w:firstLineChars="2200"/>
        <w:rPr>
          <w:rFonts w:ascii="仿宋" w:hAnsi="仿宋" w:eastAsia="仿宋" w:cs="仿宋"/>
          <w:color w:val="auto"/>
          <w:spacing w:val="6"/>
          <w:highlight w:val="none"/>
          <w:lang w:eastAsia="zh-CN"/>
        </w:rPr>
      </w:pPr>
      <w:r>
        <w:rPr>
          <w:rFonts w:hint="eastAsia" w:ascii="仿宋" w:hAnsi="仿宋" w:eastAsia="仿宋" w:cs="仿宋"/>
          <w:color w:val="auto"/>
          <w:spacing w:val="6"/>
          <w:highlight w:val="none"/>
          <w:lang w:eastAsia="zh-CN"/>
        </w:rPr>
        <w:t>单位名称（盖章）：</w:t>
      </w:r>
    </w:p>
    <w:p w14:paraId="004ADAC1">
      <w:pPr>
        <w:widowControl/>
        <w:adjustRightInd w:val="0"/>
        <w:snapToGrid w:val="0"/>
        <w:spacing w:line="440" w:lineRule="exact"/>
        <w:ind w:firstLine="504" w:firstLineChars="200"/>
        <w:rPr>
          <w:rFonts w:ascii="仿宋" w:hAnsi="仿宋" w:eastAsia="仿宋" w:cs="仿宋"/>
          <w:color w:val="auto"/>
          <w:spacing w:val="6"/>
          <w:highlight w:val="none"/>
          <w:lang w:eastAsia="zh-CN"/>
        </w:rPr>
      </w:pPr>
      <w:r>
        <w:rPr>
          <w:rFonts w:hint="eastAsia" w:ascii="仿宋" w:hAnsi="仿宋" w:eastAsia="仿宋" w:cs="仿宋"/>
          <w:color w:val="auto"/>
          <w:spacing w:val="6"/>
          <w:highlight w:val="none"/>
          <w:lang w:eastAsia="zh-CN"/>
        </w:rPr>
        <w:t xml:space="preserve">                                      日  期：</w:t>
      </w:r>
    </w:p>
    <w:p w14:paraId="2474DB3A">
      <w:pPr>
        <w:pStyle w:val="3"/>
        <w:numPr>
          <w:ilvl w:val="1"/>
          <w:numId w:val="0"/>
        </w:numPr>
        <w:spacing w:line="240" w:lineRule="atLeast"/>
        <w:jc w:val="left"/>
        <w:rPr>
          <w:rFonts w:ascii="仿宋" w:hAnsi="仿宋" w:eastAsia="仿宋" w:cs="仿宋"/>
          <w:bCs/>
          <w:color w:val="auto"/>
          <w:sz w:val="24"/>
          <w:highlight w:val="none"/>
          <w:lang w:eastAsia="zh-CN"/>
        </w:rPr>
      </w:pPr>
    </w:p>
    <w:p w14:paraId="222DACFE">
      <w:pPr>
        <w:pStyle w:val="3"/>
        <w:numPr>
          <w:ilvl w:val="1"/>
          <w:numId w:val="0"/>
        </w:numPr>
        <w:spacing w:line="240" w:lineRule="atLeast"/>
        <w:jc w:val="left"/>
        <w:rPr>
          <w:rFonts w:ascii="仿宋" w:hAnsi="仿宋" w:eastAsia="仿宋" w:cs="仿宋"/>
          <w:bCs/>
          <w:color w:val="auto"/>
          <w:sz w:val="24"/>
          <w:highlight w:val="none"/>
          <w:lang w:eastAsia="zh-CN"/>
        </w:rPr>
      </w:pPr>
    </w:p>
    <w:p w14:paraId="38C7B60F">
      <w:pPr>
        <w:pStyle w:val="3"/>
        <w:numPr>
          <w:ilvl w:val="1"/>
          <w:numId w:val="0"/>
        </w:numPr>
        <w:spacing w:line="240" w:lineRule="atLeast"/>
        <w:jc w:val="left"/>
        <w:rPr>
          <w:rFonts w:ascii="仿宋" w:hAnsi="仿宋" w:eastAsia="仿宋" w:cs="仿宋"/>
          <w:bCs/>
          <w:color w:val="auto"/>
          <w:sz w:val="24"/>
          <w:highlight w:val="none"/>
          <w:lang w:eastAsia="zh-CN"/>
        </w:rPr>
      </w:pPr>
    </w:p>
    <w:p w14:paraId="2C35B880">
      <w:pPr>
        <w:rPr>
          <w:rFonts w:ascii="仿宋" w:hAnsi="仿宋" w:eastAsia="仿宋" w:cs="仿宋"/>
          <w:b/>
          <w:bCs/>
          <w:color w:val="auto"/>
          <w:highlight w:val="none"/>
          <w:lang w:eastAsia="zh-CN"/>
        </w:rPr>
      </w:pPr>
    </w:p>
    <w:p w14:paraId="7F539499">
      <w:pPr>
        <w:pStyle w:val="37"/>
        <w:rPr>
          <w:rFonts w:ascii="仿宋" w:hAnsi="仿宋" w:eastAsia="仿宋" w:cs="仿宋"/>
          <w:b/>
          <w:bCs/>
          <w:color w:val="auto"/>
          <w:highlight w:val="none"/>
          <w:lang w:eastAsia="zh-CN"/>
        </w:rPr>
      </w:pPr>
    </w:p>
    <w:p w14:paraId="2030F868">
      <w:pPr>
        <w:pStyle w:val="37"/>
        <w:rPr>
          <w:rFonts w:ascii="仿宋" w:hAnsi="仿宋" w:eastAsia="仿宋" w:cs="仿宋"/>
          <w:b/>
          <w:bCs/>
          <w:color w:val="auto"/>
          <w:highlight w:val="none"/>
          <w:lang w:eastAsia="zh-CN"/>
        </w:rPr>
      </w:pPr>
    </w:p>
    <w:p w14:paraId="1DADE57D">
      <w:pPr>
        <w:pStyle w:val="37"/>
        <w:rPr>
          <w:rFonts w:ascii="仿宋" w:hAnsi="仿宋" w:eastAsia="仿宋" w:cs="仿宋"/>
          <w:b/>
          <w:bCs/>
          <w:color w:val="auto"/>
          <w:highlight w:val="none"/>
          <w:lang w:eastAsia="zh-CN"/>
        </w:rPr>
      </w:pPr>
    </w:p>
    <w:p w14:paraId="3C44BACA">
      <w:pPr>
        <w:pStyle w:val="37"/>
        <w:ind w:left="0" w:leftChars="0" w:firstLine="0" w:firstLineChars="0"/>
        <w:rPr>
          <w:rFonts w:ascii="仿宋" w:hAnsi="仿宋" w:eastAsia="仿宋" w:cs="仿宋"/>
          <w:b/>
          <w:bCs/>
          <w:color w:val="auto"/>
          <w:highlight w:val="none"/>
          <w:lang w:eastAsia="zh-CN"/>
        </w:rPr>
      </w:pPr>
    </w:p>
    <w:p w14:paraId="3F64BE91">
      <w:pPr>
        <w:pStyle w:val="37"/>
        <w:rPr>
          <w:rFonts w:ascii="仿宋" w:hAnsi="仿宋" w:eastAsia="仿宋" w:cs="仿宋"/>
          <w:b/>
          <w:bCs/>
          <w:color w:val="auto"/>
          <w:highlight w:val="none"/>
          <w:lang w:eastAsia="zh-CN"/>
        </w:rPr>
      </w:pPr>
    </w:p>
    <w:p w14:paraId="619A54C9">
      <w:pPr>
        <w:pStyle w:val="37"/>
        <w:rPr>
          <w:rFonts w:ascii="仿宋" w:hAnsi="仿宋" w:eastAsia="仿宋" w:cs="仿宋"/>
          <w:b/>
          <w:bCs/>
          <w:color w:val="auto"/>
          <w:highlight w:val="none"/>
          <w:lang w:eastAsia="zh-CN"/>
        </w:rPr>
      </w:pPr>
    </w:p>
    <w:p w14:paraId="7BDC258C">
      <w:pPr>
        <w:pStyle w:val="37"/>
        <w:rPr>
          <w:rFonts w:ascii="仿宋" w:hAnsi="仿宋" w:eastAsia="仿宋" w:cs="仿宋"/>
          <w:b/>
          <w:bCs/>
          <w:color w:val="auto"/>
          <w:highlight w:val="none"/>
          <w:lang w:eastAsia="zh-CN"/>
        </w:rPr>
      </w:pPr>
    </w:p>
    <w:p w14:paraId="10653911">
      <w:pPr>
        <w:widowControl/>
        <w:adjustRightInd w:val="0"/>
        <w:snapToGrid w:val="0"/>
        <w:spacing w:line="440" w:lineRule="exact"/>
        <w:ind w:firstLine="643" w:firstLineChars="200"/>
        <w:jc w:val="left"/>
        <w:rPr>
          <w:rFonts w:hint="eastAsia" w:ascii="仿宋" w:hAnsi="仿宋" w:eastAsia="仿宋" w:cs="仿宋"/>
          <w:b/>
          <w:bCs/>
          <w:color w:val="auto"/>
          <w:sz w:val="32"/>
          <w:szCs w:val="32"/>
          <w:highlight w:val="none"/>
          <w:lang w:eastAsia="zh-CN"/>
        </w:rPr>
      </w:pPr>
      <w:r>
        <w:rPr>
          <w:rFonts w:hint="eastAsia" w:ascii="仿宋" w:hAnsi="仿宋" w:eastAsia="仿宋" w:cs="仿宋"/>
          <w:b/>
          <w:bCs/>
          <w:color w:val="auto"/>
          <w:sz w:val="32"/>
          <w:szCs w:val="32"/>
          <w:highlight w:val="none"/>
          <w:lang w:eastAsia="zh-CN"/>
        </w:rPr>
        <w:t>备注：不是残疾人福利性单位，无需提供声明函</w:t>
      </w:r>
    </w:p>
    <w:p w14:paraId="1BCDAE19">
      <w:pPr>
        <w:pStyle w:val="39"/>
        <w:keepNext/>
        <w:keepLines/>
        <w:spacing w:before="0" w:after="660"/>
        <w:ind w:firstLine="420"/>
        <w:rPr>
          <w:rFonts w:hint="eastAsia" w:ascii="仿宋" w:hAnsi="仿宋" w:eastAsia="仿宋" w:cs="仿宋"/>
          <w:b/>
          <w:bCs/>
          <w:color w:val="auto"/>
          <w:sz w:val="32"/>
          <w:szCs w:val="32"/>
          <w:highlight w:val="none"/>
          <w:lang w:eastAsia="zh-CN"/>
        </w:rPr>
      </w:pPr>
    </w:p>
    <w:p w14:paraId="6681D934">
      <w:pPr>
        <w:numPr>
          <w:ilvl w:val="0"/>
          <w:numId w:val="0"/>
        </w:numPr>
        <w:shd w:val="clear" w:color="auto" w:fill="auto"/>
        <w:tabs>
          <w:tab w:val="left" w:pos="3600"/>
        </w:tabs>
        <w:adjustRightInd w:val="0"/>
        <w:snapToGrid w:val="0"/>
        <w:spacing w:line="440" w:lineRule="exact"/>
        <w:jc w:val="both"/>
        <w:rPr>
          <w:rFonts w:hint="eastAsia" w:ascii="仿宋" w:hAnsi="仿宋" w:eastAsia="仿宋" w:cs="仿宋"/>
          <w:b/>
          <w:bCs/>
          <w:color w:val="auto"/>
          <w:spacing w:val="0"/>
          <w:w w:val="100"/>
          <w:position w:val="0"/>
          <w:sz w:val="36"/>
          <w:szCs w:val="36"/>
          <w:lang w:val="en-US" w:eastAsia="zh-CN"/>
        </w:rPr>
      </w:pPr>
    </w:p>
    <w:p w14:paraId="47E0F734">
      <w:pPr>
        <w:numPr>
          <w:ilvl w:val="0"/>
          <w:numId w:val="0"/>
        </w:numPr>
        <w:shd w:val="clear" w:color="auto" w:fill="auto"/>
        <w:tabs>
          <w:tab w:val="left" w:pos="3600"/>
        </w:tabs>
        <w:adjustRightInd w:val="0"/>
        <w:snapToGrid w:val="0"/>
        <w:spacing w:line="440" w:lineRule="exact"/>
        <w:jc w:val="both"/>
        <w:rPr>
          <w:rFonts w:hint="eastAsia" w:ascii="仿宋" w:hAnsi="仿宋" w:eastAsia="仿宋" w:cs="仿宋"/>
          <w:b/>
          <w:bCs/>
          <w:color w:val="auto"/>
          <w:spacing w:val="0"/>
          <w:w w:val="100"/>
          <w:position w:val="0"/>
          <w:sz w:val="36"/>
          <w:szCs w:val="36"/>
          <w:lang w:val="en-US" w:eastAsia="zh-CN"/>
        </w:rPr>
      </w:pPr>
    </w:p>
    <w:p w14:paraId="2D3069D6">
      <w:pPr>
        <w:numPr>
          <w:ilvl w:val="0"/>
          <w:numId w:val="0"/>
        </w:numPr>
        <w:shd w:val="clear" w:color="auto" w:fill="auto"/>
        <w:tabs>
          <w:tab w:val="left" w:pos="3600"/>
        </w:tabs>
        <w:adjustRightInd w:val="0"/>
        <w:snapToGrid w:val="0"/>
        <w:spacing w:line="440" w:lineRule="exact"/>
        <w:jc w:val="both"/>
        <w:rPr>
          <w:rFonts w:hint="eastAsia" w:ascii="仿宋" w:hAnsi="仿宋" w:eastAsia="仿宋" w:cs="仿宋"/>
          <w:b/>
          <w:bCs/>
          <w:color w:val="auto"/>
          <w:spacing w:val="0"/>
          <w:w w:val="100"/>
          <w:position w:val="0"/>
          <w:sz w:val="36"/>
          <w:szCs w:val="36"/>
          <w:lang w:val="en-US" w:eastAsia="zh-CN"/>
        </w:rPr>
      </w:pPr>
    </w:p>
    <w:p w14:paraId="5F0A9923">
      <w:pPr>
        <w:numPr>
          <w:ilvl w:val="0"/>
          <w:numId w:val="0"/>
        </w:numPr>
        <w:shd w:val="clear" w:color="auto" w:fill="auto"/>
        <w:tabs>
          <w:tab w:val="left" w:pos="3600"/>
        </w:tabs>
        <w:adjustRightInd w:val="0"/>
        <w:snapToGrid w:val="0"/>
        <w:spacing w:line="440" w:lineRule="exact"/>
        <w:jc w:val="both"/>
        <w:rPr>
          <w:rFonts w:hint="eastAsia" w:ascii="仿宋" w:hAnsi="仿宋" w:eastAsia="仿宋" w:cs="仿宋"/>
          <w:b/>
          <w:bCs/>
          <w:color w:val="auto"/>
          <w:spacing w:val="0"/>
          <w:w w:val="100"/>
          <w:position w:val="0"/>
          <w:sz w:val="36"/>
          <w:szCs w:val="36"/>
          <w:lang w:val="en-US" w:eastAsia="zh-CN"/>
        </w:rPr>
      </w:pPr>
    </w:p>
    <w:p w14:paraId="480D7602">
      <w:pPr>
        <w:numPr>
          <w:ilvl w:val="0"/>
          <w:numId w:val="0"/>
        </w:numPr>
        <w:shd w:val="clear" w:color="auto" w:fill="auto"/>
        <w:tabs>
          <w:tab w:val="left" w:pos="3600"/>
        </w:tabs>
        <w:adjustRightInd w:val="0"/>
        <w:snapToGrid w:val="0"/>
        <w:spacing w:line="440" w:lineRule="exact"/>
        <w:jc w:val="both"/>
        <w:rPr>
          <w:rFonts w:hint="eastAsia" w:ascii="仿宋" w:hAnsi="仿宋" w:eastAsia="仿宋" w:cs="仿宋"/>
          <w:b/>
          <w:bCs/>
          <w:color w:val="auto"/>
          <w:spacing w:val="0"/>
          <w:w w:val="100"/>
          <w:position w:val="0"/>
          <w:sz w:val="36"/>
          <w:szCs w:val="36"/>
          <w:lang w:val="en-US" w:eastAsia="zh-CN"/>
        </w:rPr>
      </w:pPr>
    </w:p>
    <w:p w14:paraId="539BECE2">
      <w:pPr>
        <w:numPr>
          <w:ilvl w:val="0"/>
          <w:numId w:val="0"/>
        </w:numPr>
        <w:shd w:val="clear" w:color="auto" w:fill="auto"/>
        <w:tabs>
          <w:tab w:val="left" w:pos="3600"/>
        </w:tabs>
        <w:adjustRightInd w:val="0"/>
        <w:snapToGrid w:val="0"/>
        <w:spacing w:line="440" w:lineRule="exact"/>
        <w:jc w:val="both"/>
        <w:rPr>
          <w:rFonts w:hint="eastAsia" w:ascii="仿宋" w:hAnsi="仿宋" w:eastAsia="仿宋" w:cs="仿宋"/>
          <w:b/>
          <w:bCs/>
          <w:color w:val="auto"/>
          <w:spacing w:val="0"/>
          <w:w w:val="100"/>
          <w:position w:val="0"/>
          <w:sz w:val="36"/>
          <w:szCs w:val="36"/>
          <w:lang w:val="en-US" w:eastAsia="zh-CN"/>
        </w:rPr>
      </w:pPr>
    </w:p>
    <w:p w14:paraId="393C3E94">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r>
        <w:rPr>
          <w:rFonts w:hint="eastAsia" w:ascii="仿宋" w:hAnsi="仿宋" w:eastAsia="仿宋" w:cs="仿宋"/>
          <w:b/>
          <w:bCs/>
          <w:color w:val="auto"/>
          <w:spacing w:val="0"/>
          <w:w w:val="100"/>
          <w:position w:val="0"/>
          <w:sz w:val="36"/>
          <w:szCs w:val="36"/>
          <w:lang w:val="en-US" w:eastAsia="zh-CN"/>
        </w:rPr>
        <w:t>9、关于符合本国产品标准的声明函</w:t>
      </w:r>
    </w:p>
    <w:p w14:paraId="045183C0">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r>
        <w:rPr>
          <w:rFonts w:hint="eastAsia" w:ascii="仿宋" w:hAnsi="仿宋" w:eastAsia="仿宋" w:cs="仿宋"/>
          <w:b/>
          <w:bCs/>
          <w:color w:val="auto"/>
          <w:spacing w:val="0"/>
          <w:w w:val="100"/>
          <w:position w:val="0"/>
          <w:sz w:val="36"/>
          <w:szCs w:val="36"/>
          <w:lang w:val="en-US" w:eastAsia="zh-CN"/>
        </w:rPr>
        <w:t> </w:t>
      </w:r>
    </w:p>
    <w:p w14:paraId="0B32752F">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本公司（单位）郑重声明，根据《国务院办公厅关于在政府采购中实施本国产品标准及相关政策的通知》（国办发〔2025〕34号）的规定，本公司（单位）提供的以下产品属于本国产品。具体情况如下：</w:t>
      </w:r>
    </w:p>
    <w:p w14:paraId="5AC5D78F">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1.</w:t>
      </w:r>
      <w:r>
        <w:rPr>
          <w:rFonts w:hint="eastAsia" w:ascii="仿宋" w:hAnsi="仿宋" w:eastAsia="仿宋" w:cs="仿宋"/>
          <w:color w:val="auto"/>
          <w:spacing w:val="6"/>
          <w:kern w:val="0"/>
          <w:sz w:val="24"/>
          <w:szCs w:val="24"/>
          <w:u w:val="single"/>
          <w:lang w:val="en-US" w:eastAsia="zh-CN"/>
        </w:rPr>
        <w:t>（产品名称1）</w:t>
      </w:r>
      <w:r>
        <w:rPr>
          <w:rFonts w:hint="eastAsia" w:ascii="仿宋" w:hAnsi="仿宋" w:eastAsia="仿宋" w:cs="仿宋"/>
          <w:color w:val="auto"/>
          <w:spacing w:val="6"/>
          <w:kern w:val="0"/>
          <w:sz w:val="24"/>
          <w:szCs w:val="24"/>
          <w:vertAlign w:val="superscript"/>
          <w:lang w:val="en-US" w:eastAsia="zh-CN"/>
        </w:rPr>
        <w:t>1</w:t>
      </w:r>
      <w:r>
        <w:rPr>
          <w:rFonts w:hint="eastAsia" w:ascii="仿宋" w:hAnsi="仿宋" w:eastAsia="仿宋" w:cs="仿宋"/>
          <w:color w:val="auto"/>
          <w:spacing w:val="6"/>
          <w:kern w:val="0"/>
          <w:sz w:val="24"/>
          <w:szCs w:val="24"/>
          <w:lang w:val="en-US" w:eastAsia="zh-CN"/>
        </w:rPr>
        <w:t>，生产厂为</w:t>
      </w:r>
      <w:r>
        <w:rPr>
          <w:rFonts w:hint="eastAsia" w:ascii="仿宋" w:hAnsi="仿宋" w:eastAsia="仿宋" w:cs="仿宋"/>
          <w:color w:val="auto"/>
          <w:spacing w:val="6"/>
          <w:kern w:val="0"/>
          <w:sz w:val="24"/>
          <w:szCs w:val="24"/>
          <w:u w:val="single"/>
          <w:lang w:val="en-US" w:eastAsia="zh-CN"/>
        </w:rPr>
        <w:t>（厂名）</w:t>
      </w:r>
      <w:r>
        <w:rPr>
          <w:rFonts w:hint="eastAsia" w:ascii="仿宋" w:hAnsi="仿宋" w:eastAsia="仿宋" w:cs="仿宋"/>
          <w:color w:val="auto"/>
          <w:spacing w:val="6"/>
          <w:kern w:val="0"/>
          <w:sz w:val="24"/>
          <w:szCs w:val="24"/>
          <w:vertAlign w:val="superscript"/>
          <w:lang w:val="en-US" w:eastAsia="zh-CN"/>
        </w:rPr>
        <w:t>2</w:t>
      </w:r>
      <w:r>
        <w:rPr>
          <w:rFonts w:hint="eastAsia" w:ascii="仿宋" w:hAnsi="仿宋" w:eastAsia="仿宋" w:cs="仿宋"/>
          <w:color w:val="auto"/>
          <w:spacing w:val="6"/>
          <w:kern w:val="0"/>
          <w:sz w:val="24"/>
          <w:szCs w:val="24"/>
          <w:lang w:val="en-US" w:eastAsia="zh-CN"/>
        </w:rPr>
        <w:t>，厂址为</w:t>
      </w:r>
      <w:r>
        <w:rPr>
          <w:rFonts w:hint="eastAsia" w:ascii="仿宋" w:hAnsi="仿宋" w:eastAsia="仿宋" w:cs="仿宋"/>
          <w:color w:val="auto"/>
          <w:spacing w:val="6"/>
          <w:kern w:val="0"/>
          <w:sz w:val="24"/>
          <w:szCs w:val="24"/>
          <w:u w:val="single"/>
          <w:lang w:val="en-US" w:eastAsia="zh-CN"/>
        </w:rPr>
        <w:t>（生产厂址）</w:t>
      </w:r>
      <w:r>
        <w:rPr>
          <w:rFonts w:hint="eastAsia" w:ascii="仿宋" w:hAnsi="仿宋" w:eastAsia="仿宋" w:cs="仿宋"/>
          <w:color w:val="auto"/>
          <w:spacing w:val="6"/>
          <w:kern w:val="0"/>
          <w:sz w:val="24"/>
          <w:szCs w:val="24"/>
          <w:lang w:val="en-US" w:eastAsia="zh-CN"/>
        </w:rPr>
        <w:t>。</w:t>
      </w:r>
      <w:r>
        <w:rPr>
          <w:rFonts w:hint="eastAsia" w:ascii="仿宋" w:hAnsi="仿宋" w:eastAsia="仿宋" w:cs="仿宋"/>
          <w:color w:val="auto"/>
          <w:spacing w:val="6"/>
          <w:kern w:val="0"/>
          <w:sz w:val="24"/>
          <w:szCs w:val="24"/>
          <w:u w:val="single"/>
          <w:lang w:val="en-US" w:eastAsia="zh-CN"/>
        </w:rPr>
        <w:t>（产品名称1）</w:t>
      </w:r>
      <w:r>
        <w:rPr>
          <w:rFonts w:hint="eastAsia" w:ascii="仿宋" w:hAnsi="仿宋" w:eastAsia="仿宋" w:cs="仿宋"/>
          <w:color w:val="auto"/>
          <w:spacing w:val="6"/>
          <w:kern w:val="0"/>
          <w:sz w:val="24"/>
          <w:szCs w:val="24"/>
          <w:lang w:val="en-US" w:eastAsia="zh-CN"/>
        </w:rPr>
        <w:t>的中国境内生产的组件成本占比≥</w:t>
      </w:r>
      <w:r>
        <w:rPr>
          <w:rFonts w:hint="eastAsia" w:ascii="仿宋" w:hAnsi="仿宋" w:eastAsia="仿宋" w:cs="仿宋"/>
          <w:color w:val="auto"/>
          <w:spacing w:val="6"/>
          <w:kern w:val="0"/>
          <w:sz w:val="24"/>
          <w:szCs w:val="24"/>
          <w:u w:val="single"/>
          <w:lang w:val="en-US" w:eastAsia="zh-CN"/>
        </w:rPr>
        <w:t>（规定比例）</w:t>
      </w:r>
      <w:r>
        <w:rPr>
          <w:rFonts w:hint="eastAsia" w:ascii="仿宋" w:hAnsi="仿宋" w:eastAsia="仿宋" w:cs="仿宋"/>
          <w:color w:val="auto"/>
          <w:spacing w:val="6"/>
          <w:kern w:val="0"/>
          <w:sz w:val="24"/>
          <w:szCs w:val="24"/>
          <w:vertAlign w:val="superscript"/>
          <w:lang w:val="en-US" w:eastAsia="zh-CN"/>
        </w:rPr>
        <w:t>3</w:t>
      </w:r>
      <w:r>
        <w:rPr>
          <w:rFonts w:hint="eastAsia" w:ascii="仿宋" w:hAnsi="仿宋" w:eastAsia="仿宋" w:cs="仿宋"/>
          <w:color w:val="auto"/>
          <w:spacing w:val="6"/>
          <w:kern w:val="0"/>
          <w:sz w:val="24"/>
          <w:szCs w:val="24"/>
          <w:lang w:val="en-US" w:eastAsia="zh-CN"/>
        </w:rPr>
        <w:t>，</w:t>
      </w:r>
      <w:r>
        <w:rPr>
          <w:rFonts w:hint="eastAsia" w:ascii="仿宋" w:hAnsi="仿宋" w:eastAsia="仿宋" w:cs="仿宋"/>
          <w:color w:val="auto"/>
          <w:spacing w:val="6"/>
          <w:kern w:val="0"/>
          <w:sz w:val="24"/>
          <w:szCs w:val="24"/>
          <w:u w:val="single"/>
          <w:lang w:val="en-US" w:eastAsia="zh-CN"/>
        </w:rPr>
        <w:t>（产品名称1）</w:t>
      </w:r>
      <w:r>
        <w:rPr>
          <w:rFonts w:hint="eastAsia" w:ascii="仿宋" w:hAnsi="仿宋" w:eastAsia="仿宋" w:cs="仿宋"/>
          <w:color w:val="auto"/>
          <w:spacing w:val="6"/>
          <w:kern w:val="0"/>
          <w:sz w:val="24"/>
          <w:szCs w:val="24"/>
          <w:lang w:val="en-US" w:eastAsia="zh-CN"/>
        </w:rPr>
        <w:t>的</w:t>
      </w:r>
      <w:r>
        <w:rPr>
          <w:rFonts w:hint="eastAsia" w:ascii="仿宋" w:hAnsi="仿宋" w:eastAsia="仿宋" w:cs="仿宋"/>
          <w:color w:val="auto"/>
          <w:spacing w:val="6"/>
          <w:kern w:val="0"/>
          <w:sz w:val="24"/>
          <w:szCs w:val="24"/>
          <w:u w:val="single"/>
          <w:lang w:val="en-US" w:eastAsia="zh-CN"/>
        </w:rPr>
        <w:t>（关键组件）</w:t>
      </w:r>
      <w:r>
        <w:rPr>
          <w:rFonts w:hint="eastAsia" w:ascii="仿宋" w:hAnsi="仿宋" w:eastAsia="仿宋" w:cs="仿宋"/>
          <w:color w:val="auto"/>
          <w:spacing w:val="6"/>
          <w:kern w:val="0"/>
          <w:sz w:val="24"/>
          <w:szCs w:val="24"/>
          <w:vertAlign w:val="superscript"/>
          <w:lang w:val="en-US" w:eastAsia="zh-CN"/>
        </w:rPr>
        <w:t>4</w:t>
      </w:r>
      <w:r>
        <w:rPr>
          <w:rFonts w:hint="eastAsia" w:ascii="仿宋" w:hAnsi="仿宋" w:eastAsia="仿宋" w:cs="仿宋"/>
          <w:color w:val="auto"/>
          <w:spacing w:val="6"/>
          <w:kern w:val="0"/>
          <w:sz w:val="24"/>
          <w:szCs w:val="24"/>
          <w:lang w:val="en-US" w:eastAsia="zh-CN"/>
        </w:rPr>
        <w:t>在中国境内生产。</w:t>
      </w:r>
      <w:r>
        <w:rPr>
          <w:rFonts w:hint="eastAsia" w:ascii="仿宋" w:hAnsi="仿宋" w:eastAsia="仿宋" w:cs="仿宋"/>
          <w:color w:val="auto"/>
          <w:spacing w:val="6"/>
          <w:kern w:val="0"/>
          <w:sz w:val="24"/>
          <w:szCs w:val="24"/>
          <w:u w:val="single"/>
          <w:lang w:val="en-US" w:eastAsia="zh-CN"/>
        </w:rPr>
        <w:t>（产品名称1）</w:t>
      </w:r>
      <w:r>
        <w:rPr>
          <w:rFonts w:hint="eastAsia" w:ascii="仿宋" w:hAnsi="仿宋" w:eastAsia="仿宋" w:cs="仿宋"/>
          <w:color w:val="auto"/>
          <w:spacing w:val="6"/>
          <w:kern w:val="0"/>
          <w:sz w:val="24"/>
          <w:szCs w:val="24"/>
          <w:lang w:val="en-US" w:eastAsia="zh-CN"/>
        </w:rPr>
        <w:t>的</w:t>
      </w:r>
      <w:r>
        <w:rPr>
          <w:rFonts w:hint="eastAsia" w:ascii="仿宋" w:hAnsi="仿宋" w:eastAsia="仿宋" w:cs="仿宋"/>
          <w:color w:val="auto"/>
          <w:spacing w:val="6"/>
          <w:kern w:val="0"/>
          <w:sz w:val="24"/>
          <w:szCs w:val="24"/>
          <w:u w:val="single"/>
          <w:lang w:val="en-US" w:eastAsia="zh-CN"/>
        </w:rPr>
        <w:t>（关键工序）</w:t>
      </w:r>
      <w:r>
        <w:rPr>
          <w:rFonts w:hint="eastAsia" w:ascii="仿宋" w:hAnsi="仿宋" w:eastAsia="仿宋" w:cs="仿宋"/>
          <w:color w:val="auto"/>
          <w:spacing w:val="6"/>
          <w:kern w:val="0"/>
          <w:sz w:val="24"/>
          <w:szCs w:val="24"/>
          <w:vertAlign w:val="superscript"/>
          <w:lang w:val="en-US" w:eastAsia="zh-CN"/>
        </w:rPr>
        <w:t>5</w:t>
      </w:r>
      <w:r>
        <w:rPr>
          <w:rFonts w:hint="eastAsia" w:ascii="仿宋" w:hAnsi="仿宋" w:eastAsia="仿宋" w:cs="仿宋"/>
          <w:color w:val="auto"/>
          <w:spacing w:val="6"/>
          <w:kern w:val="0"/>
          <w:sz w:val="24"/>
          <w:szCs w:val="24"/>
          <w:lang w:val="en-US" w:eastAsia="zh-CN"/>
        </w:rPr>
        <w:t>在中国境内完成。</w:t>
      </w:r>
    </w:p>
    <w:p w14:paraId="4301B3D7">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2.</w:t>
      </w:r>
      <w:r>
        <w:rPr>
          <w:rFonts w:hint="eastAsia" w:ascii="仿宋" w:hAnsi="仿宋" w:eastAsia="仿宋" w:cs="仿宋"/>
          <w:color w:val="auto"/>
          <w:spacing w:val="6"/>
          <w:kern w:val="0"/>
          <w:sz w:val="24"/>
          <w:szCs w:val="24"/>
          <w:u w:val="single"/>
          <w:lang w:val="en-US" w:eastAsia="zh-CN"/>
        </w:rPr>
        <w:t>（产品名称2）</w:t>
      </w:r>
      <w:r>
        <w:rPr>
          <w:rFonts w:hint="eastAsia" w:ascii="仿宋" w:hAnsi="仿宋" w:eastAsia="仿宋" w:cs="仿宋"/>
          <w:color w:val="auto"/>
          <w:spacing w:val="6"/>
          <w:kern w:val="0"/>
          <w:sz w:val="24"/>
          <w:szCs w:val="24"/>
          <w:lang w:val="en-US" w:eastAsia="zh-CN"/>
        </w:rPr>
        <w:t>，生产厂为</w:t>
      </w:r>
      <w:r>
        <w:rPr>
          <w:rFonts w:hint="eastAsia" w:ascii="仿宋" w:hAnsi="仿宋" w:eastAsia="仿宋" w:cs="仿宋"/>
          <w:color w:val="auto"/>
          <w:spacing w:val="6"/>
          <w:kern w:val="0"/>
          <w:sz w:val="24"/>
          <w:szCs w:val="24"/>
          <w:u w:val="single"/>
          <w:lang w:val="en-US" w:eastAsia="zh-CN"/>
        </w:rPr>
        <w:t>（厂名）</w:t>
      </w:r>
      <w:r>
        <w:rPr>
          <w:rFonts w:hint="eastAsia" w:ascii="仿宋" w:hAnsi="仿宋" w:eastAsia="仿宋" w:cs="仿宋"/>
          <w:color w:val="auto"/>
          <w:spacing w:val="6"/>
          <w:kern w:val="0"/>
          <w:sz w:val="24"/>
          <w:szCs w:val="24"/>
          <w:lang w:val="en-US" w:eastAsia="zh-CN"/>
        </w:rPr>
        <w:t>，厂址为</w:t>
      </w:r>
      <w:r>
        <w:rPr>
          <w:rFonts w:hint="eastAsia" w:ascii="仿宋" w:hAnsi="仿宋" w:eastAsia="仿宋" w:cs="仿宋"/>
          <w:color w:val="auto"/>
          <w:spacing w:val="6"/>
          <w:kern w:val="0"/>
          <w:sz w:val="24"/>
          <w:szCs w:val="24"/>
          <w:u w:val="single"/>
          <w:lang w:val="en-US" w:eastAsia="zh-CN"/>
        </w:rPr>
        <w:t>（生产厂址）</w:t>
      </w:r>
      <w:r>
        <w:rPr>
          <w:rFonts w:hint="eastAsia" w:ascii="仿宋" w:hAnsi="仿宋" w:eastAsia="仿宋" w:cs="仿宋"/>
          <w:color w:val="auto"/>
          <w:spacing w:val="6"/>
          <w:kern w:val="0"/>
          <w:sz w:val="24"/>
          <w:szCs w:val="24"/>
          <w:lang w:val="en-US" w:eastAsia="zh-CN"/>
        </w:rPr>
        <w:t>。</w:t>
      </w:r>
      <w:r>
        <w:rPr>
          <w:rFonts w:hint="eastAsia" w:ascii="仿宋" w:hAnsi="仿宋" w:eastAsia="仿宋" w:cs="仿宋"/>
          <w:color w:val="auto"/>
          <w:spacing w:val="6"/>
          <w:kern w:val="0"/>
          <w:sz w:val="24"/>
          <w:szCs w:val="24"/>
          <w:u w:val="single"/>
          <w:lang w:val="en-US" w:eastAsia="zh-CN"/>
        </w:rPr>
        <w:t>（产品名称2）</w:t>
      </w:r>
      <w:r>
        <w:rPr>
          <w:rFonts w:hint="eastAsia" w:ascii="仿宋" w:hAnsi="仿宋" w:eastAsia="仿宋" w:cs="仿宋"/>
          <w:color w:val="auto"/>
          <w:spacing w:val="6"/>
          <w:kern w:val="0"/>
          <w:sz w:val="24"/>
          <w:szCs w:val="24"/>
          <w:lang w:val="en-US" w:eastAsia="zh-CN"/>
        </w:rPr>
        <w:t>的中国境内生产的组件成本占比≥</w:t>
      </w:r>
      <w:r>
        <w:rPr>
          <w:rFonts w:hint="eastAsia" w:ascii="仿宋" w:hAnsi="仿宋" w:eastAsia="仿宋" w:cs="仿宋"/>
          <w:color w:val="auto"/>
          <w:spacing w:val="6"/>
          <w:kern w:val="0"/>
          <w:sz w:val="24"/>
          <w:szCs w:val="24"/>
          <w:u w:val="single"/>
          <w:lang w:val="en-US" w:eastAsia="zh-CN"/>
        </w:rPr>
        <w:t>（规定比例）</w:t>
      </w:r>
      <w:r>
        <w:rPr>
          <w:rFonts w:hint="eastAsia" w:ascii="仿宋" w:hAnsi="仿宋" w:eastAsia="仿宋" w:cs="仿宋"/>
          <w:color w:val="auto"/>
          <w:spacing w:val="6"/>
          <w:kern w:val="0"/>
          <w:sz w:val="24"/>
          <w:szCs w:val="24"/>
          <w:lang w:val="en-US" w:eastAsia="zh-CN"/>
        </w:rPr>
        <w:t>。</w:t>
      </w:r>
      <w:r>
        <w:rPr>
          <w:rFonts w:hint="eastAsia" w:ascii="仿宋" w:hAnsi="仿宋" w:eastAsia="仿宋" w:cs="仿宋"/>
          <w:color w:val="auto"/>
          <w:spacing w:val="6"/>
          <w:kern w:val="0"/>
          <w:sz w:val="24"/>
          <w:szCs w:val="24"/>
          <w:u w:val="single"/>
          <w:lang w:val="en-US" w:eastAsia="zh-CN"/>
        </w:rPr>
        <w:t>（产品名称2）</w:t>
      </w:r>
      <w:r>
        <w:rPr>
          <w:rFonts w:hint="eastAsia" w:ascii="仿宋" w:hAnsi="仿宋" w:eastAsia="仿宋" w:cs="仿宋"/>
          <w:color w:val="auto"/>
          <w:spacing w:val="6"/>
          <w:kern w:val="0"/>
          <w:sz w:val="24"/>
          <w:szCs w:val="24"/>
          <w:lang w:val="en-US" w:eastAsia="zh-CN"/>
        </w:rPr>
        <w:t>的</w:t>
      </w:r>
      <w:r>
        <w:rPr>
          <w:rFonts w:hint="eastAsia" w:ascii="仿宋" w:hAnsi="仿宋" w:eastAsia="仿宋" w:cs="仿宋"/>
          <w:color w:val="auto"/>
          <w:spacing w:val="6"/>
          <w:kern w:val="0"/>
          <w:sz w:val="24"/>
          <w:szCs w:val="24"/>
          <w:u w:val="single"/>
          <w:lang w:val="en-US" w:eastAsia="zh-CN"/>
        </w:rPr>
        <w:t>（关键组件）</w:t>
      </w:r>
      <w:r>
        <w:rPr>
          <w:rFonts w:hint="eastAsia" w:ascii="仿宋" w:hAnsi="仿宋" w:eastAsia="仿宋" w:cs="仿宋"/>
          <w:color w:val="auto"/>
          <w:spacing w:val="6"/>
          <w:kern w:val="0"/>
          <w:sz w:val="24"/>
          <w:szCs w:val="24"/>
          <w:lang w:val="en-US" w:eastAsia="zh-CN"/>
        </w:rPr>
        <w:t>在中国境内生产。</w:t>
      </w:r>
      <w:r>
        <w:rPr>
          <w:rFonts w:hint="eastAsia" w:ascii="仿宋" w:hAnsi="仿宋" w:eastAsia="仿宋" w:cs="仿宋"/>
          <w:color w:val="auto"/>
          <w:spacing w:val="6"/>
          <w:kern w:val="0"/>
          <w:sz w:val="24"/>
          <w:szCs w:val="24"/>
          <w:u w:val="single"/>
          <w:lang w:val="en-US" w:eastAsia="zh-CN"/>
        </w:rPr>
        <w:t>（产品名称2）</w:t>
      </w:r>
      <w:r>
        <w:rPr>
          <w:rFonts w:hint="eastAsia" w:ascii="仿宋" w:hAnsi="仿宋" w:eastAsia="仿宋" w:cs="仿宋"/>
          <w:color w:val="auto"/>
          <w:spacing w:val="6"/>
          <w:kern w:val="0"/>
          <w:sz w:val="24"/>
          <w:szCs w:val="24"/>
          <w:lang w:val="en-US" w:eastAsia="zh-CN"/>
        </w:rPr>
        <w:t>的</w:t>
      </w:r>
      <w:r>
        <w:rPr>
          <w:rFonts w:hint="eastAsia" w:ascii="仿宋" w:hAnsi="仿宋" w:eastAsia="仿宋" w:cs="仿宋"/>
          <w:color w:val="auto"/>
          <w:spacing w:val="6"/>
          <w:kern w:val="0"/>
          <w:sz w:val="24"/>
          <w:szCs w:val="24"/>
          <w:u w:val="single"/>
          <w:lang w:val="en-US" w:eastAsia="zh-CN"/>
        </w:rPr>
        <w:t>（关键工序）</w:t>
      </w:r>
      <w:r>
        <w:rPr>
          <w:rFonts w:hint="eastAsia" w:ascii="仿宋" w:hAnsi="仿宋" w:eastAsia="仿宋" w:cs="仿宋"/>
          <w:color w:val="auto"/>
          <w:spacing w:val="6"/>
          <w:kern w:val="0"/>
          <w:sz w:val="24"/>
          <w:szCs w:val="24"/>
          <w:lang w:val="en-US" w:eastAsia="zh-CN"/>
        </w:rPr>
        <w:t>在中国境内完成。</w:t>
      </w:r>
    </w:p>
    <w:p w14:paraId="08D4480D">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w:t>
      </w:r>
    </w:p>
    <w:p w14:paraId="7D3E20C6">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本公司（单位）对上述声明内容的真实性负责。如有虚假，愿承担相应法律责任。</w:t>
      </w:r>
    </w:p>
    <w:p w14:paraId="28190B9D">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 </w:t>
      </w:r>
    </w:p>
    <w:p w14:paraId="3D0C5EE7">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公司（单位）名称（盖章）：　        </w:t>
      </w:r>
    </w:p>
    <w:p w14:paraId="599AEA38">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日期：　     年　  月　  日         </w:t>
      </w:r>
    </w:p>
    <w:p w14:paraId="6F4CFA94">
      <w:pPr>
        <w:widowControl/>
        <w:adjustRightInd w:val="0"/>
        <w:snapToGrid w:val="0"/>
        <w:spacing w:line="440" w:lineRule="exact"/>
        <w:jc w:val="left"/>
        <w:rPr>
          <w:rFonts w:hint="eastAsia" w:ascii="仿宋" w:hAnsi="仿宋" w:eastAsia="仿宋" w:cs="仿宋"/>
          <w:color w:val="auto"/>
          <w:spacing w:val="6"/>
          <w:kern w:val="0"/>
          <w:sz w:val="24"/>
          <w:szCs w:val="24"/>
          <w:lang w:val="en-US" w:eastAsia="zh-CN"/>
        </w:rPr>
      </w:pPr>
    </w:p>
    <w:p w14:paraId="12C7021E">
      <w:pPr>
        <w:widowControl/>
        <w:adjustRightInd w:val="0"/>
        <w:snapToGrid w:val="0"/>
        <w:spacing w:line="440" w:lineRule="exact"/>
        <w:jc w:val="left"/>
        <w:rPr>
          <w:rFonts w:hint="eastAsia" w:ascii="仿宋" w:hAnsi="仿宋" w:eastAsia="仿宋" w:cs="仿宋"/>
          <w:color w:val="auto"/>
          <w:spacing w:val="6"/>
          <w:kern w:val="0"/>
          <w:sz w:val="24"/>
          <w:szCs w:val="24"/>
          <w:lang w:val="en-US" w:eastAsia="zh-CN"/>
        </w:rPr>
      </w:pPr>
    </w:p>
    <w:p w14:paraId="1878E6BB">
      <w:pPr>
        <w:widowControl/>
        <w:adjustRightInd w:val="0"/>
        <w:snapToGrid w:val="0"/>
        <w:spacing w:line="440" w:lineRule="exact"/>
        <w:jc w:val="left"/>
        <w:rPr>
          <w:rFonts w:hint="eastAsia" w:ascii="仿宋" w:hAnsi="仿宋" w:eastAsia="仿宋" w:cs="仿宋"/>
          <w:color w:val="auto"/>
          <w:spacing w:val="6"/>
          <w:kern w:val="0"/>
          <w:sz w:val="24"/>
          <w:szCs w:val="24"/>
          <w:lang w:val="en-US" w:eastAsia="zh-CN"/>
        </w:rPr>
      </w:pPr>
    </w:p>
    <w:p w14:paraId="41B08620">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p>
    <w:p w14:paraId="0F2EEABE">
      <w:pPr>
        <w:widowControl/>
        <w:adjustRightInd w:val="0"/>
        <w:snapToGrid w:val="0"/>
        <w:spacing w:line="440" w:lineRule="exact"/>
        <w:ind w:firstLine="384" w:firstLineChars="200"/>
        <w:jc w:val="left"/>
        <w:rPr>
          <w:rFonts w:hint="eastAsia" w:ascii="仿宋" w:hAnsi="仿宋" w:eastAsia="仿宋" w:cs="仿宋"/>
          <w:color w:val="auto"/>
          <w:spacing w:val="6"/>
          <w:kern w:val="0"/>
          <w:sz w:val="18"/>
          <w:szCs w:val="18"/>
          <w:lang w:val="en-US" w:eastAsia="zh-CN"/>
        </w:rPr>
      </w:pPr>
      <w:r>
        <w:rPr>
          <w:rFonts w:hint="eastAsia" w:ascii="仿宋" w:hAnsi="仿宋" w:eastAsia="仿宋" w:cs="仿宋"/>
          <w:color w:val="auto"/>
          <w:spacing w:val="6"/>
          <w:kern w:val="0"/>
          <w:sz w:val="18"/>
          <w:szCs w:val="18"/>
          <w:lang w:val="en-US" w:eastAsia="zh-CN"/>
        </w:rPr>
        <w:t>1.产品如有型号，请在“产品名称”栏一并填写。</w:t>
      </w:r>
    </w:p>
    <w:p w14:paraId="7BE3FD32">
      <w:pPr>
        <w:widowControl/>
        <w:adjustRightInd w:val="0"/>
        <w:snapToGrid w:val="0"/>
        <w:spacing w:line="440" w:lineRule="exact"/>
        <w:ind w:firstLine="384" w:firstLineChars="200"/>
        <w:jc w:val="left"/>
        <w:rPr>
          <w:rFonts w:hint="eastAsia" w:ascii="仿宋" w:hAnsi="仿宋" w:eastAsia="仿宋" w:cs="仿宋"/>
          <w:color w:val="auto"/>
          <w:spacing w:val="6"/>
          <w:kern w:val="0"/>
          <w:sz w:val="18"/>
          <w:szCs w:val="18"/>
          <w:lang w:val="en-US" w:eastAsia="zh-CN"/>
        </w:rPr>
      </w:pPr>
      <w:r>
        <w:rPr>
          <w:rFonts w:hint="eastAsia" w:ascii="仿宋" w:hAnsi="仿宋" w:eastAsia="仿宋" w:cs="仿宋"/>
          <w:color w:val="auto"/>
          <w:spacing w:val="6"/>
          <w:kern w:val="0"/>
          <w:sz w:val="18"/>
          <w:szCs w:val="18"/>
          <w:lang w:val="en-US" w:eastAsia="zh-CN"/>
        </w:rPr>
        <w:t>2.生产厂名与厂址应与生产厂营业执照载明的相关信息保持一致。</w:t>
      </w:r>
    </w:p>
    <w:p w14:paraId="549838A9">
      <w:pPr>
        <w:widowControl/>
        <w:adjustRightInd w:val="0"/>
        <w:snapToGrid w:val="0"/>
        <w:spacing w:line="440" w:lineRule="exact"/>
        <w:ind w:firstLine="384" w:firstLineChars="200"/>
        <w:jc w:val="left"/>
        <w:rPr>
          <w:rFonts w:hint="eastAsia" w:ascii="仿宋" w:hAnsi="仿宋" w:eastAsia="仿宋" w:cs="仿宋"/>
          <w:color w:val="auto"/>
          <w:spacing w:val="6"/>
          <w:kern w:val="0"/>
          <w:sz w:val="18"/>
          <w:szCs w:val="18"/>
          <w:lang w:val="en-US" w:eastAsia="zh-CN"/>
        </w:rPr>
      </w:pPr>
      <w:r>
        <w:rPr>
          <w:rFonts w:hint="eastAsia" w:ascii="仿宋" w:hAnsi="仿宋" w:eastAsia="仿宋" w:cs="仿宋"/>
          <w:color w:val="auto"/>
          <w:spacing w:val="6"/>
          <w:kern w:val="0"/>
          <w:sz w:val="18"/>
          <w:szCs w:val="18"/>
          <w:lang w:val="en-US" w:eastAsia="zh-CN"/>
        </w:rPr>
        <w:t>3.该产品的中国境内生产的组件成本占比相关要求实施前，“规定比例”栏可不填，下同。</w:t>
      </w:r>
    </w:p>
    <w:p w14:paraId="57974308">
      <w:pPr>
        <w:widowControl/>
        <w:adjustRightInd w:val="0"/>
        <w:snapToGrid w:val="0"/>
        <w:spacing w:line="440" w:lineRule="exact"/>
        <w:ind w:firstLine="384" w:firstLineChars="200"/>
        <w:jc w:val="left"/>
        <w:rPr>
          <w:rFonts w:hint="eastAsia" w:ascii="仿宋" w:hAnsi="仿宋" w:eastAsia="仿宋" w:cs="仿宋"/>
          <w:color w:val="auto"/>
          <w:spacing w:val="6"/>
          <w:kern w:val="0"/>
          <w:sz w:val="18"/>
          <w:szCs w:val="18"/>
          <w:lang w:val="en-US" w:eastAsia="zh-CN"/>
        </w:rPr>
      </w:pPr>
      <w:r>
        <w:rPr>
          <w:rFonts w:hint="eastAsia" w:ascii="仿宋" w:hAnsi="仿宋" w:eastAsia="仿宋" w:cs="仿宋"/>
          <w:color w:val="auto"/>
          <w:spacing w:val="6"/>
          <w:kern w:val="0"/>
          <w:sz w:val="18"/>
          <w:szCs w:val="18"/>
          <w:lang w:val="en-US" w:eastAsia="zh-CN"/>
        </w:rPr>
        <w:t>4.该产品的关键组件要求实施前，“关键组件”栏可不填，下同。</w:t>
      </w:r>
    </w:p>
    <w:p w14:paraId="27E0AC0A">
      <w:pPr>
        <w:widowControl/>
        <w:adjustRightInd w:val="0"/>
        <w:snapToGrid w:val="0"/>
        <w:spacing w:line="440" w:lineRule="exact"/>
        <w:ind w:firstLine="384" w:firstLineChars="200"/>
        <w:jc w:val="left"/>
        <w:rPr>
          <w:rFonts w:hint="default" w:ascii="仿宋" w:hAnsi="仿宋" w:eastAsia="仿宋" w:cs="仿宋"/>
          <w:b/>
          <w:bCs/>
          <w:color w:val="auto"/>
          <w:sz w:val="32"/>
          <w:szCs w:val="32"/>
          <w:highlight w:val="none"/>
          <w:lang w:val="en-US" w:eastAsia="zh-CN"/>
        </w:rPr>
      </w:pPr>
      <w:r>
        <w:rPr>
          <w:rFonts w:hint="eastAsia" w:ascii="仿宋" w:hAnsi="仿宋" w:eastAsia="仿宋" w:cs="仿宋"/>
          <w:color w:val="auto"/>
          <w:spacing w:val="6"/>
          <w:kern w:val="0"/>
          <w:sz w:val="18"/>
          <w:szCs w:val="18"/>
          <w:lang w:val="en-US" w:eastAsia="zh-CN"/>
        </w:rPr>
        <w:t>5.该产品的关键工序要求实施前，“关键工序”栏可不填，下同。</w:t>
      </w:r>
    </w:p>
    <w:p w14:paraId="1AB428BC">
      <w:pPr>
        <w:numPr>
          <w:ilvl w:val="0"/>
          <w:numId w:val="0"/>
        </w:numPr>
        <w:shd w:val="clear" w:color="auto" w:fill="auto"/>
        <w:tabs>
          <w:tab w:val="left" w:pos="3600"/>
        </w:tabs>
        <w:adjustRightInd w:val="0"/>
        <w:snapToGrid w:val="0"/>
        <w:spacing w:line="440" w:lineRule="exact"/>
        <w:jc w:val="both"/>
        <w:rPr>
          <w:rFonts w:hint="eastAsia" w:ascii="仿宋" w:hAnsi="仿宋" w:eastAsia="仿宋" w:cs="仿宋"/>
          <w:b/>
          <w:bCs/>
          <w:color w:val="auto"/>
          <w:spacing w:val="0"/>
          <w:w w:val="100"/>
          <w:position w:val="0"/>
          <w:sz w:val="36"/>
          <w:szCs w:val="36"/>
          <w:highlight w:val="none"/>
          <w:lang w:val="en-US" w:eastAsia="zh-CN"/>
        </w:rPr>
      </w:pPr>
    </w:p>
    <w:p w14:paraId="3D1797BF">
      <w:pPr>
        <w:pStyle w:val="37"/>
        <w:rPr>
          <w:rFonts w:ascii="仿宋" w:hAnsi="仿宋" w:eastAsia="仿宋" w:cs="仿宋"/>
          <w:b/>
          <w:bCs/>
          <w:color w:val="auto"/>
          <w:highlight w:val="none"/>
          <w:lang w:eastAsia="zh-CN"/>
        </w:rPr>
      </w:pPr>
    </w:p>
    <w:p w14:paraId="05D68B0E">
      <w:pPr>
        <w:pStyle w:val="37"/>
        <w:rPr>
          <w:rFonts w:ascii="仿宋" w:hAnsi="仿宋" w:eastAsia="仿宋" w:cs="仿宋"/>
          <w:b/>
          <w:bCs/>
          <w:color w:val="auto"/>
          <w:highlight w:val="none"/>
          <w:lang w:eastAsia="zh-CN"/>
        </w:rPr>
      </w:pPr>
    </w:p>
    <w:p w14:paraId="5B5B14C5">
      <w:pPr>
        <w:tabs>
          <w:tab w:val="left" w:pos="3600"/>
        </w:tabs>
        <w:adjustRightInd w:val="0"/>
        <w:snapToGrid w:val="0"/>
        <w:spacing w:line="440" w:lineRule="exact"/>
        <w:jc w:val="both"/>
        <w:rPr>
          <w:rFonts w:ascii="仿宋" w:hAnsi="仿宋" w:eastAsia="仿宋" w:cs="仿宋"/>
          <w:color w:val="auto"/>
          <w:sz w:val="36"/>
          <w:szCs w:val="36"/>
          <w:highlight w:val="none"/>
          <w:lang w:eastAsia="zh-CN"/>
        </w:rPr>
      </w:pPr>
      <w:r>
        <w:rPr>
          <w:rFonts w:hint="eastAsia" w:ascii="仿宋" w:hAnsi="仿宋" w:eastAsia="仿宋" w:cs="仿宋"/>
          <w:b/>
          <w:bCs/>
          <w:color w:val="auto"/>
          <w:sz w:val="36"/>
          <w:szCs w:val="36"/>
          <w:highlight w:val="none"/>
          <w:lang w:val="en-US" w:eastAsia="zh-CN"/>
        </w:rPr>
        <w:t>10</w:t>
      </w:r>
      <w:r>
        <w:rPr>
          <w:rFonts w:hint="eastAsia" w:ascii="仿宋" w:hAnsi="仿宋" w:eastAsia="仿宋" w:cs="仿宋"/>
          <w:b/>
          <w:bCs/>
          <w:color w:val="auto"/>
          <w:sz w:val="36"/>
          <w:szCs w:val="36"/>
          <w:highlight w:val="none"/>
          <w:lang w:eastAsia="zh-CN"/>
        </w:rPr>
        <w:t>、评分标准和细则中技术部分证明材料（格式自拟</w:t>
      </w:r>
      <w:r>
        <w:rPr>
          <w:rFonts w:hint="eastAsia" w:ascii="仿宋" w:hAnsi="仿宋" w:eastAsia="仿宋" w:cs="仿宋"/>
          <w:color w:val="auto"/>
          <w:sz w:val="36"/>
          <w:szCs w:val="36"/>
          <w:highlight w:val="none"/>
          <w:lang w:eastAsia="zh-CN"/>
        </w:rPr>
        <w:t>）</w:t>
      </w:r>
    </w:p>
    <w:p w14:paraId="67EFC5A1">
      <w:pPr>
        <w:pStyle w:val="3"/>
        <w:numPr>
          <w:ilvl w:val="1"/>
          <w:numId w:val="0"/>
        </w:numPr>
        <w:spacing w:line="240" w:lineRule="atLeast"/>
        <w:ind w:left="617" w:leftChars="257"/>
        <w:rPr>
          <w:rFonts w:ascii="仿宋" w:hAnsi="仿宋" w:eastAsia="仿宋" w:cs="仿宋"/>
          <w:color w:val="auto"/>
          <w:sz w:val="24"/>
          <w:highlight w:val="none"/>
          <w:lang w:eastAsia="zh-CN"/>
        </w:rPr>
      </w:pPr>
    </w:p>
    <w:p w14:paraId="4726DA42">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说明：1.应提供</w:t>
      </w:r>
      <w:r>
        <w:rPr>
          <w:rFonts w:hint="eastAsia" w:ascii="仿宋" w:hAnsi="仿宋" w:eastAsia="仿宋" w:cs="仿宋"/>
          <w:color w:val="auto"/>
          <w:highlight w:val="none"/>
          <w:u w:val="single"/>
          <w:lang w:eastAsia="zh-CN"/>
        </w:rPr>
        <w:t>评分标准和细则中技术部分</w:t>
      </w:r>
      <w:r>
        <w:rPr>
          <w:rFonts w:hint="eastAsia" w:ascii="仿宋" w:hAnsi="仿宋" w:eastAsia="仿宋" w:cs="仿宋"/>
          <w:color w:val="auto"/>
          <w:highlight w:val="none"/>
          <w:lang w:eastAsia="zh-CN"/>
        </w:rPr>
        <w:t>要求的其他资格证明文件（主要包括：</w:t>
      </w:r>
      <w:r>
        <w:rPr>
          <w:rFonts w:hint="default" w:ascii="仿宋" w:hAnsi="仿宋" w:eastAsia="仿宋" w:cs="仿宋"/>
          <w:color w:val="auto"/>
          <w:kern w:val="0"/>
          <w:sz w:val="24"/>
        </w:rPr>
        <w:t>技术方案及项目实施方案</w:t>
      </w:r>
      <w:r>
        <w:rPr>
          <w:rFonts w:hint="eastAsia" w:ascii="仿宋" w:hAnsi="仿宋" w:eastAsia="仿宋" w:cs="仿宋"/>
          <w:color w:val="auto"/>
          <w:kern w:val="0"/>
          <w:sz w:val="24"/>
          <w:lang w:eastAsia="zh-CN"/>
        </w:rPr>
        <w:t>、</w:t>
      </w:r>
      <w:r>
        <w:rPr>
          <w:rFonts w:hint="eastAsia" w:ascii="仿宋" w:hAnsi="仿宋" w:eastAsia="仿宋" w:cs="仿宋"/>
          <w:color w:val="auto"/>
          <w:kern w:val="0"/>
          <w:sz w:val="24"/>
          <w:lang w:val="en-US" w:eastAsia="zh-CN"/>
        </w:rPr>
        <w:t>拟投入本项目机械 、器具设备配置、</w:t>
      </w:r>
      <w:r>
        <w:rPr>
          <w:rFonts w:hint="eastAsia" w:ascii="仿宋" w:hAnsi="仿宋" w:eastAsia="仿宋" w:cs="宋体"/>
          <w:color w:val="auto"/>
          <w:kern w:val="0"/>
          <w:sz w:val="24"/>
          <w:szCs w:val="20"/>
          <w:lang w:val="en-US" w:eastAsia="zh-CN" w:bidi="ar-SA"/>
        </w:rPr>
        <w:t>质量管理体系与措施、</w:t>
      </w:r>
      <w:r>
        <w:rPr>
          <w:rFonts w:hint="eastAsia" w:ascii="仿宋" w:hAnsi="仿宋" w:eastAsia="仿宋" w:cs="宋体"/>
          <w:color w:val="auto"/>
          <w:kern w:val="0"/>
          <w:sz w:val="24"/>
          <w:szCs w:val="20"/>
          <w:highlight w:val="none"/>
          <w:lang w:val="en-US" w:eastAsia="zh-CN" w:bidi="ar-SA"/>
        </w:rPr>
        <w:t>工程进度计划与措施、</w:t>
      </w:r>
      <w:r>
        <w:rPr>
          <w:rFonts w:hint="eastAsia" w:ascii="仿宋" w:hAnsi="仿宋" w:eastAsia="仿宋" w:cs="仿宋"/>
          <w:color w:val="auto"/>
          <w:kern w:val="0"/>
          <w:sz w:val="24"/>
          <w:szCs w:val="24"/>
          <w:lang w:val="en-US" w:eastAsia="zh-CN" w:bidi="ar-SA"/>
        </w:rPr>
        <w:t>售后服务方案等</w:t>
      </w:r>
      <w:r>
        <w:rPr>
          <w:rFonts w:hint="eastAsia" w:ascii="仿宋" w:hAnsi="仿宋" w:eastAsia="仿宋" w:cs="仿宋"/>
          <w:color w:val="auto"/>
          <w:highlight w:val="none"/>
          <w:lang w:eastAsia="zh-CN"/>
        </w:rPr>
        <w:t>）。</w:t>
      </w:r>
    </w:p>
    <w:p w14:paraId="1B05A3E9">
      <w:pPr>
        <w:pStyle w:val="10"/>
        <w:tabs>
          <w:tab w:val="left" w:pos="5580"/>
        </w:tabs>
        <w:spacing w:line="240" w:lineRule="atLeast"/>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2.复印件上应加盖本单位章（自然人投标的无需盖章，需要签字）。</w:t>
      </w:r>
    </w:p>
    <w:p w14:paraId="6CCF855A">
      <w:pPr>
        <w:pStyle w:val="4"/>
        <w:rPr>
          <w:rFonts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 xml:space="preserve">   </w:t>
      </w:r>
    </w:p>
    <w:p w14:paraId="0BCC2C08">
      <w:pPr>
        <w:rPr>
          <w:rFonts w:ascii="仿宋" w:hAnsi="仿宋" w:eastAsia="仿宋" w:cs="仿宋"/>
          <w:color w:val="auto"/>
          <w:highlight w:val="none"/>
          <w:lang w:eastAsia="zh-CN"/>
        </w:rPr>
      </w:pPr>
    </w:p>
    <w:p w14:paraId="4290F268">
      <w:pPr>
        <w:pStyle w:val="3"/>
        <w:numPr>
          <w:ilvl w:val="1"/>
          <w:numId w:val="0"/>
        </w:numPr>
        <w:spacing w:line="240" w:lineRule="atLeast"/>
        <w:ind w:left="617" w:leftChars="257"/>
        <w:rPr>
          <w:rFonts w:ascii="仿宋" w:hAnsi="仿宋" w:eastAsia="仿宋" w:cs="仿宋"/>
          <w:color w:val="auto"/>
          <w:sz w:val="24"/>
          <w:highlight w:val="none"/>
          <w:lang w:eastAsia="zh-CN"/>
        </w:rPr>
      </w:pPr>
    </w:p>
    <w:p w14:paraId="039E68CE">
      <w:pPr>
        <w:tabs>
          <w:tab w:val="left" w:pos="3600"/>
        </w:tabs>
        <w:adjustRightInd w:val="0"/>
        <w:snapToGrid w:val="0"/>
        <w:spacing w:line="440" w:lineRule="exact"/>
        <w:jc w:val="center"/>
        <w:rPr>
          <w:rFonts w:ascii="仿宋" w:hAnsi="仿宋" w:eastAsia="仿宋" w:cs="仿宋"/>
          <w:b/>
          <w:bCs/>
          <w:color w:val="auto"/>
          <w:sz w:val="36"/>
          <w:szCs w:val="36"/>
          <w:highlight w:val="none"/>
          <w:lang w:eastAsia="zh-CN"/>
        </w:rPr>
      </w:pPr>
      <w:r>
        <w:rPr>
          <w:rFonts w:hint="eastAsia" w:ascii="仿宋" w:hAnsi="仿宋" w:eastAsia="仿宋" w:cs="仿宋"/>
          <w:b/>
          <w:bCs/>
          <w:color w:val="auto"/>
          <w:sz w:val="36"/>
          <w:szCs w:val="36"/>
          <w:highlight w:val="none"/>
          <w:lang w:val="en-US" w:eastAsia="zh-CN"/>
        </w:rPr>
        <w:t>11</w:t>
      </w:r>
      <w:r>
        <w:rPr>
          <w:rFonts w:hint="eastAsia" w:ascii="仿宋" w:hAnsi="仿宋" w:eastAsia="仿宋" w:cs="仿宋"/>
          <w:b/>
          <w:bCs/>
          <w:color w:val="auto"/>
          <w:sz w:val="36"/>
          <w:szCs w:val="36"/>
          <w:highlight w:val="none"/>
          <w:lang w:eastAsia="zh-CN"/>
        </w:rPr>
        <w:t>、评分标准和细则中商务部分证明材料（格式自拟）</w:t>
      </w:r>
    </w:p>
    <w:p w14:paraId="2BB2479B">
      <w:pPr>
        <w:pStyle w:val="10"/>
        <w:tabs>
          <w:tab w:val="left" w:pos="5580"/>
        </w:tabs>
        <w:spacing w:line="240" w:lineRule="atLeast"/>
        <w:rPr>
          <w:rFonts w:ascii="仿宋" w:hAnsi="仿宋" w:eastAsia="仿宋" w:cs="仿宋"/>
          <w:color w:val="auto"/>
          <w:highlight w:val="none"/>
          <w:lang w:eastAsia="zh-CN"/>
        </w:rPr>
      </w:pPr>
    </w:p>
    <w:p w14:paraId="11A952E6">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说明：1.应提供</w:t>
      </w:r>
      <w:r>
        <w:rPr>
          <w:rFonts w:hint="eastAsia" w:ascii="仿宋" w:hAnsi="仿宋" w:eastAsia="仿宋" w:cs="仿宋"/>
          <w:color w:val="auto"/>
          <w:highlight w:val="none"/>
          <w:u w:val="single"/>
          <w:lang w:eastAsia="zh-CN"/>
        </w:rPr>
        <w:t>评分标准和细则中商务部分</w:t>
      </w:r>
      <w:r>
        <w:rPr>
          <w:rFonts w:hint="eastAsia" w:ascii="仿宋" w:hAnsi="仿宋" w:eastAsia="仿宋" w:cs="仿宋"/>
          <w:color w:val="auto"/>
          <w:highlight w:val="none"/>
          <w:lang w:eastAsia="zh-CN"/>
        </w:rPr>
        <w:t>要求的其他资格证明文件（主要包括：</w:t>
      </w:r>
      <w:r>
        <w:rPr>
          <w:rFonts w:hint="eastAsia" w:ascii="仿宋" w:hAnsi="仿宋" w:eastAsia="仿宋" w:cs="仿宋"/>
          <w:color w:val="auto"/>
          <w:kern w:val="0"/>
          <w:sz w:val="24"/>
        </w:rPr>
        <w:t>团队人员配置</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企业实业</w:t>
      </w:r>
      <w:r>
        <w:rPr>
          <w:rFonts w:hint="eastAsia" w:ascii="仿宋" w:hAnsi="仿宋" w:eastAsia="仿宋" w:cs="仿宋"/>
          <w:color w:val="auto"/>
          <w:highlight w:val="none"/>
          <w:lang w:eastAsia="zh-CN"/>
        </w:rPr>
        <w:t>等）。</w:t>
      </w:r>
    </w:p>
    <w:p w14:paraId="33170535">
      <w:pPr>
        <w:pStyle w:val="10"/>
        <w:tabs>
          <w:tab w:val="left" w:pos="5580"/>
        </w:tabs>
        <w:spacing w:line="240" w:lineRule="atLeast"/>
        <w:ind w:firstLine="720" w:firstLineChars="3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2.复印件上应加盖本单位章（自然人投标的无需盖章，需要签字）。</w:t>
      </w:r>
    </w:p>
    <w:p w14:paraId="722EDEF2">
      <w:pPr>
        <w:pStyle w:val="3"/>
        <w:numPr>
          <w:ilvl w:val="1"/>
          <w:numId w:val="0"/>
        </w:numPr>
        <w:spacing w:line="240" w:lineRule="atLeast"/>
        <w:jc w:val="left"/>
        <w:rPr>
          <w:rFonts w:ascii="仿宋" w:hAnsi="仿宋" w:eastAsia="仿宋" w:cs="仿宋"/>
          <w:bCs/>
          <w:color w:val="auto"/>
          <w:sz w:val="24"/>
          <w:highlight w:val="none"/>
          <w:lang w:eastAsia="zh-CN"/>
        </w:rPr>
      </w:pPr>
      <w:r>
        <w:rPr>
          <w:rFonts w:hint="eastAsia" w:ascii="仿宋" w:hAnsi="仿宋" w:eastAsia="仿宋" w:cs="仿宋"/>
          <w:color w:val="auto"/>
          <w:sz w:val="24"/>
          <w:highlight w:val="none"/>
          <w:lang w:eastAsia="zh-CN"/>
        </w:rPr>
        <w:t xml:space="preserve">    </w:t>
      </w:r>
    </w:p>
    <w:p w14:paraId="41F17834">
      <w:pPr>
        <w:pStyle w:val="3"/>
        <w:numPr>
          <w:ilvl w:val="1"/>
          <w:numId w:val="0"/>
        </w:numPr>
        <w:spacing w:line="240" w:lineRule="atLeast"/>
        <w:jc w:val="left"/>
        <w:rPr>
          <w:rFonts w:ascii="仿宋" w:hAnsi="仿宋" w:eastAsia="仿宋" w:cs="仿宋"/>
          <w:bCs/>
          <w:color w:val="auto"/>
          <w:sz w:val="24"/>
          <w:highlight w:val="none"/>
          <w:lang w:eastAsia="zh-CN"/>
        </w:rPr>
      </w:pPr>
    </w:p>
    <w:p w14:paraId="32386E4D">
      <w:pPr>
        <w:pStyle w:val="3"/>
        <w:numPr>
          <w:ilvl w:val="1"/>
          <w:numId w:val="0"/>
        </w:numPr>
        <w:spacing w:line="240" w:lineRule="atLeast"/>
        <w:jc w:val="left"/>
        <w:rPr>
          <w:rFonts w:ascii="仿宋" w:hAnsi="仿宋" w:eastAsia="仿宋" w:cs="仿宋"/>
          <w:bCs/>
          <w:color w:val="auto"/>
          <w:sz w:val="24"/>
          <w:highlight w:val="none"/>
          <w:lang w:eastAsia="zh-CN"/>
        </w:rPr>
      </w:pPr>
    </w:p>
    <w:p w14:paraId="5B52DE52">
      <w:pPr>
        <w:rPr>
          <w:rFonts w:ascii="仿宋" w:hAnsi="仿宋" w:eastAsia="仿宋" w:cs="仿宋"/>
          <w:color w:val="auto"/>
          <w:highlight w:val="none"/>
          <w:lang w:eastAsia="zh-CN"/>
        </w:rPr>
      </w:pPr>
    </w:p>
    <w:p w14:paraId="0A4E2EB0">
      <w:pPr>
        <w:pStyle w:val="3"/>
        <w:numPr>
          <w:ilvl w:val="1"/>
          <w:numId w:val="0"/>
        </w:numPr>
        <w:spacing w:line="240" w:lineRule="atLeast"/>
        <w:jc w:val="left"/>
        <w:rPr>
          <w:rFonts w:ascii="仿宋" w:hAnsi="仿宋" w:eastAsia="仿宋" w:cs="仿宋"/>
          <w:bCs/>
          <w:color w:val="auto"/>
          <w:sz w:val="24"/>
          <w:highlight w:val="none"/>
          <w:lang w:eastAsia="zh-CN"/>
        </w:rPr>
      </w:pPr>
    </w:p>
    <w:p w14:paraId="12026622">
      <w:pPr>
        <w:pStyle w:val="3"/>
        <w:numPr>
          <w:ilvl w:val="1"/>
          <w:numId w:val="0"/>
        </w:numPr>
        <w:spacing w:line="240" w:lineRule="atLeast"/>
        <w:jc w:val="left"/>
        <w:rPr>
          <w:rFonts w:ascii="仿宋" w:hAnsi="仿宋" w:eastAsia="仿宋" w:cs="仿宋"/>
          <w:bCs/>
          <w:color w:val="auto"/>
          <w:sz w:val="24"/>
          <w:highlight w:val="none"/>
          <w:lang w:eastAsia="zh-CN"/>
        </w:rPr>
      </w:pPr>
    </w:p>
    <w:p w14:paraId="0B0BBF78">
      <w:pPr>
        <w:tabs>
          <w:tab w:val="left" w:pos="3600"/>
        </w:tabs>
        <w:adjustRightInd w:val="0"/>
        <w:snapToGrid w:val="0"/>
        <w:spacing w:line="440" w:lineRule="exact"/>
        <w:jc w:val="center"/>
        <w:rPr>
          <w:rFonts w:ascii="仿宋" w:hAnsi="仿宋" w:eastAsia="仿宋" w:cs="仿宋"/>
          <w:b/>
          <w:bCs/>
          <w:color w:val="auto"/>
          <w:w w:val="90"/>
          <w:sz w:val="36"/>
          <w:szCs w:val="36"/>
          <w:highlight w:val="none"/>
          <w:lang w:eastAsia="zh-CN"/>
        </w:rPr>
      </w:pPr>
      <w:r>
        <w:rPr>
          <w:rFonts w:hint="eastAsia" w:ascii="仿宋" w:hAnsi="仿宋" w:eastAsia="仿宋" w:cs="仿宋"/>
          <w:b/>
          <w:bCs/>
          <w:color w:val="auto"/>
          <w:sz w:val="36"/>
          <w:szCs w:val="36"/>
          <w:highlight w:val="none"/>
          <w:lang w:val="en-US" w:eastAsia="zh-CN"/>
        </w:rPr>
        <w:t>12</w:t>
      </w:r>
      <w:r>
        <w:rPr>
          <w:rFonts w:hint="eastAsia" w:ascii="仿宋" w:hAnsi="仿宋" w:eastAsia="仿宋" w:cs="仿宋"/>
          <w:b/>
          <w:bCs/>
          <w:color w:val="auto"/>
          <w:sz w:val="36"/>
          <w:szCs w:val="36"/>
          <w:highlight w:val="none"/>
          <w:lang w:eastAsia="zh-CN"/>
        </w:rPr>
        <w:t>、</w:t>
      </w:r>
      <w:r>
        <w:rPr>
          <w:rFonts w:hint="eastAsia" w:ascii="仿宋" w:hAnsi="仿宋" w:eastAsia="仿宋" w:cs="仿宋"/>
          <w:b/>
          <w:bCs/>
          <w:color w:val="auto"/>
          <w:w w:val="90"/>
          <w:sz w:val="36"/>
          <w:szCs w:val="36"/>
          <w:highlight w:val="none"/>
          <w:lang w:eastAsia="zh-CN"/>
        </w:rPr>
        <w:t>供应商认为有必要提供的其他证明材料（格式自拟）</w:t>
      </w:r>
    </w:p>
    <w:p w14:paraId="0EF3885F">
      <w:pPr>
        <w:pStyle w:val="10"/>
        <w:tabs>
          <w:tab w:val="left" w:pos="5580"/>
        </w:tabs>
        <w:spacing w:line="240" w:lineRule="atLeast"/>
        <w:ind w:firstLine="480" w:firstLineChars="200"/>
        <w:rPr>
          <w:rFonts w:ascii="仿宋" w:hAnsi="仿宋" w:eastAsia="仿宋" w:cs="仿宋"/>
          <w:color w:val="auto"/>
          <w:highlight w:val="none"/>
          <w:lang w:eastAsia="zh-CN"/>
        </w:rPr>
      </w:pPr>
    </w:p>
    <w:p w14:paraId="7D70F73A">
      <w:pPr>
        <w:pStyle w:val="10"/>
        <w:tabs>
          <w:tab w:val="left" w:pos="5580"/>
        </w:tabs>
        <w:spacing w:line="240" w:lineRule="atLeast"/>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说明：复印件上应加盖本单位章（自然人投标的无需盖章，需要签字）。</w:t>
      </w:r>
    </w:p>
    <w:p w14:paraId="0B4DE5D4">
      <w:pPr>
        <w:pStyle w:val="11"/>
        <w:ind w:left="2880"/>
        <w:rPr>
          <w:color w:val="auto"/>
          <w:highlight w:val="none"/>
          <w:lang w:eastAsia="zh-CN"/>
        </w:rPr>
      </w:pPr>
    </w:p>
    <w:sectPr>
      <w:headerReference r:id="rId9" w:type="default"/>
      <w:footerReference r:id="rId10"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1" w:fontKey="{F499B711-AB35-4EB1-890D-8455CE681C3D}"/>
  </w:font>
  <w:font w:name="Cambria">
    <w:panose1 w:val="02040503050406030204"/>
    <w:charset w:val="00"/>
    <w:family w:val="roman"/>
    <w:pitch w:val="default"/>
    <w:sig w:usb0="E00006FF" w:usb1="420024FF" w:usb2="02000000" w:usb3="00000000" w:csb0="2000019F" w:csb1="00000000"/>
  </w:font>
  <w:font w:name="_x000B__x000C_">
    <w:altName w:val="Courier New"/>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7F" w:usb3="00000000" w:csb0="203F01FF" w:csb1="DFFF0000"/>
  </w:font>
  <w:font w:name="MingLiU">
    <w:altName w:val="PMingLiU-ExtB"/>
    <w:panose1 w:val="02020509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6A6120">
    <w:pPr>
      <w:pStyle w:val="14"/>
      <w:ind w:right="360"/>
      <w:jc w:val="both"/>
    </w:pPr>
    <w:r>
      <w:rPr>
        <w:sz w:val="16"/>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2CA7A9">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2F2CA7A9">
                    <w:pPr>
                      <w:pStyle w:val="14"/>
                    </w:pPr>
                    <w:r>
                      <w:fldChar w:fldCharType="begin"/>
                    </w:r>
                    <w:r>
                      <w:instrText xml:space="preserve"> PAGE  \* MERGEFORMAT </w:instrText>
                    </w:r>
                    <w:r>
                      <w:fldChar w:fldCharType="separate"/>
                    </w:r>
                    <w:r>
                      <w:t>1</w:t>
                    </w:r>
                    <w:r>
                      <w:fldChar w:fldCharType="end"/>
                    </w:r>
                  </w:p>
                </w:txbxContent>
              </v:textbox>
            </v:shape>
          </w:pict>
        </mc:Fallback>
      </mc:AlternateContent>
    </w:r>
    <w:r>
      <w:rPr>
        <w:sz w:val="16"/>
        <w:lang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D97DF02"/>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OUHjVccBAACdAwAADgAAAAAAAAABACAAAAAeAQAAZHJzL2Uyb0RvYy54&#10;bWxQSwUGAAAAAAYABgBZAQAAVwUAAAAA&#10;">
              <v:fill on="f" focussize="0,0"/>
              <v:stroke on="f"/>
              <v:imagedata o:title=""/>
              <o:lock v:ext="edit" aspectratio="f"/>
              <v:textbox inset="0mm,0mm,0mm,0mm" style="mso-fit-shape-to-text:t;">
                <w:txbxContent>
                  <w:p w14:paraId="6D97DF02"/>
                </w:txbxContent>
              </v:textbox>
            </v:shape>
          </w:pict>
        </mc:Fallback>
      </mc:AlternateContent>
    </w:r>
    <w:r>
      <w:rPr>
        <w:rFonts w:hint="eastAsia"/>
        <w:sz w:val="16"/>
        <w:szCs w:val="16"/>
      </w:rPr>
      <w:t xml:space="preserve"> </w:t>
    </w:r>
    <w:r>
      <w:rPr>
        <w:rFonts w:hint="eastAsia"/>
        <w:color w:val="800000"/>
        <w:sz w:val="16"/>
        <w:szCs w:val="20"/>
        <w:lang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8BB14">
    <w:pPr>
      <w:pStyle w:val="14"/>
      <w:ind w:right="360"/>
      <w:jc w:val="both"/>
    </w:pPr>
    <w:r>
      <w:rPr>
        <w:sz w:val="16"/>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DDE108">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08DDE108">
                    <w:pPr>
                      <w:pStyle w:val="14"/>
                    </w:pPr>
                    <w:r>
                      <w:fldChar w:fldCharType="begin"/>
                    </w:r>
                    <w:r>
                      <w:instrText xml:space="preserve"> PAGE  \* MERGEFORMAT </w:instrText>
                    </w:r>
                    <w:r>
                      <w:fldChar w:fldCharType="separate"/>
                    </w:r>
                    <w:r>
                      <w:t>1</w:t>
                    </w:r>
                    <w:r>
                      <w:fldChar w:fldCharType="end"/>
                    </w:r>
                  </w:p>
                </w:txbxContent>
              </v:textbox>
            </v:shape>
          </w:pict>
        </mc:Fallback>
      </mc:AlternateContent>
    </w:r>
    <w:r>
      <w:rPr>
        <w:sz w:val="16"/>
        <w:lang w:eastAsia="zh-CN" w:bidi="ar-S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F60ADC3">
                          <w:pPr>
                            <w:pStyle w:val="14"/>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HbBNzHIAQAAnQMAAA4AAAAAAAAAAQAgAAAAHgEAAGRycy9lMm9Eb2Mu&#10;eG1sUEsFBgAAAAAGAAYAWQEAAFgFAAAAAA==&#10;">
              <v:fill on="f" focussize="0,0"/>
              <v:stroke on="f"/>
              <v:imagedata o:title=""/>
              <o:lock v:ext="edit" aspectratio="f"/>
              <v:textbox inset="0mm,0mm,0mm,0mm" style="mso-fit-shape-to-text:t;">
                <w:txbxContent>
                  <w:p w14:paraId="5F60ADC3">
                    <w:pPr>
                      <w:pStyle w:val="14"/>
                    </w:pPr>
                  </w:p>
                </w:txbxContent>
              </v:textbox>
            </v:shape>
          </w:pict>
        </mc:Fallback>
      </mc:AlternateContent>
    </w:r>
    <w:r>
      <w:rPr>
        <w:rFonts w:hint="eastAsia"/>
        <w:sz w:val="16"/>
        <w:szCs w:val="16"/>
      </w:rPr>
      <w:t xml:space="preserve"> </w:t>
    </w:r>
    <w:r>
      <w:rPr>
        <w:rFonts w:hint="eastAsia"/>
        <w:color w:val="800000"/>
        <w:sz w:val="16"/>
        <w:szCs w:val="20"/>
        <w:lang w:eastAsia="zh-CN"/>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28A1C">
    <w:pPr>
      <w:pStyle w:val="14"/>
      <w:ind w:right="360"/>
      <w:jc w:val="both"/>
    </w:pPr>
    <w:r>
      <w:rPr>
        <w:sz w:val="13"/>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B8CDEC">
                          <w:pPr>
                            <w:pStyle w:val="14"/>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4FB8CDEC">
                    <w:pPr>
                      <w:pStyle w:val="14"/>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w:t>
                    </w:r>
                    <w:r>
                      <w:rPr>
                        <w:rFonts w:hint="eastAsia" w:eastAsia="宋体"/>
                        <w:lang w:eastAsia="zh-CN"/>
                      </w:rPr>
                      <w:fldChar w:fldCharType="end"/>
                    </w:r>
                  </w:p>
                </w:txbxContent>
              </v:textbox>
            </v:shape>
          </w:pict>
        </mc:Fallback>
      </mc:AlternateContent>
    </w:r>
    <w:r>
      <w:rPr>
        <w:rFonts w:hint="eastAsia"/>
        <w:sz w:val="13"/>
        <w:szCs w:val="13"/>
      </w:rPr>
      <w:t xml:space="preserve"> </w:t>
    </w:r>
    <w:r>
      <w:rPr>
        <w:rFonts w:hint="eastAsia"/>
      </w:rPr>
      <w:t xml:space="preserve">  </w:t>
    </w:r>
  </w:p>
  <w:p w14:paraId="4DE0B4ED">
    <w:pPr>
      <w:pStyle w:val="14"/>
      <w:tabs>
        <w:tab w:val="center" w:pos="4320"/>
        <w:tab w:val="right" w:pos="8640"/>
        <w:tab w:val="clear" w:pos="4153"/>
        <w:tab w:val="clear" w:pos="8306"/>
      </w:tabs>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1198C">
    <w:pPr>
      <w:pStyle w:val="14"/>
      <w:ind w:right="360"/>
      <w:jc w:val="both"/>
    </w:pPr>
    <w:r>
      <w:rPr>
        <w:sz w:val="24"/>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CC5A07">
                          <w:pPr>
                            <w:pStyle w:val="14"/>
                          </w:pPr>
                          <w:r>
                            <w:fldChar w:fldCharType="begin"/>
                          </w:r>
                          <w:r>
                            <w:instrText xml:space="preserve"> PAGE  \* MERGEFORMAT </w:instrText>
                          </w:r>
                          <w:r>
                            <w:fldChar w:fldCharType="separate"/>
                          </w:r>
                          <w:r>
                            <w:t>121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4DCC5A07">
                    <w:pPr>
                      <w:pStyle w:val="14"/>
                    </w:pPr>
                    <w:r>
                      <w:fldChar w:fldCharType="begin"/>
                    </w:r>
                    <w:r>
                      <w:instrText xml:space="preserve"> PAGE  \* MERGEFORMAT </w:instrText>
                    </w:r>
                    <w:r>
                      <w:fldChar w:fldCharType="separate"/>
                    </w:r>
                    <w:r>
                      <w:t>121</w:t>
                    </w:r>
                    <w:r>
                      <w:fldChar w:fldCharType="end"/>
                    </w:r>
                  </w:p>
                </w:txbxContent>
              </v:textbox>
            </v:shape>
          </w:pict>
        </mc:Fallback>
      </mc:AlternateContent>
    </w:r>
    <w:r>
      <w:rPr>
        <w:rFonts w:hint="eastAsia" w:ascii="宋体" w:hAnsi="宋体" w:eastAsia="宋体" w:cs="宋体"/>
        <w:color w:val="auto"/>
        <w:sz w:val="24"/>
        <w:lang w:eastAsia="zh-CN"/>
      </w:rPr>
      <w:t xml:space="preserve">  </w:t>
    </w:r>
    <w:r>
      <w:rPr>
        <w:rFonts w:hint="eastAsia"/>
        <w:sz w:val="13"/>
        <w:szCs w:val="13"/>
      </w:rPr>
      <w:t xml:space="preserve"> </w:t>
    </w:r>
    <w:r>
      <w:rPr>
        <w:rFonts w:hint="eastAsia"/>
      </w:rPr>
      <w:t xml:space="preserve"> </w:t>
    </w:r>
    <w:r>
      <w:rPr>
        <w:rFonts w:hint="eastAsia"/>
        <w:color w:val="800000"/>
        <w:sz w:val="16"/>
        <w:szCs w:val="20"/>
        <w:lang w:eastAsia="zh-CN"/>
      </w:rPr>
      <w:t xml:space="preserve">      </w:t>
    </w:r>
  </w:p>
  <w:p w14:paraId="55260DEB">
    <w:pPr>
      <w:pStyle w:val="14"/>
      <w:autoSpaceDE w:val="0"/>
      <w:autoSpaceDN w:val="0"/>
      <w:adjustRightInd w:val="0"/>
      <w:ind w:left="7200" w:hanging="7200" w:hangingChars="4000"/>
      <w:jc w:val="both"/>
    </w:pPr>
  </w:p>
  <w:p w14:paraId="0FECFD7F">
    <w:pPr>
      <w:pStyle w:val="14"/>
      <w:ind w:right="360"/>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59685">
    <w:pPr>
      <w:pStyle w:val="14"/>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DE061F">
                          <w:pPr>
                            <w:pStyle w:val="14"/>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102</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67DE061F">
                    <w:pPr>
                      <w:pStyle w:val="14"/>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102</w:t>
                    </w:r>
                    <w:r>
                      <w:rPr>
                        <w:rFonts w:hint="eastAsia" w:eastAsia="宋体"/>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1E388">
    <w:pPr>
      <w:pStyle w:val="15"/>
      <w:pBdr>
        <w:bottom w:val="none" w:color="auto" w:sz="0" w:space="0"/>
      </w:pBdr>
      <w:tabs>
        <w:tab w:val="clear" w:pos="4153"/>
        <w:tab w:val="clear" w:pos="8306"/>
      </w:tabs>
      <w:rPr>
        <w:rFonts w:eastAsia="宋体"/>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87E54">
    <w:pPr>
      <w:pStyle w:val="15"/>
      <w:rPr>
        <w:rFonts w:ascii="宋体" w:hAnsi="宋体" w:eastAsia="宋体" w:cs="宋体"/>
        <w:sz w:val="20"/>
        <w:szCs w:val="20"/>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9EDD6">
    <w:pPr>
      <w:pStyle w:val="15"/>
      <w:rPr>
        <w:rFonts w:ascii="宋体" w:hAnsi="宋体" w:eastAsia="宋体" w:cs="宋体"/>
        <w:sz w:val="20"/>
        <w:szCs w:val="20"/>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A1DAE7"/>
    <w:multiLevelType w:val="singleLevel"/>
    <w:tmpl w:val="91A1DAE7"/>
    <w:lvl w:ilvl="0" w:tentative="0">
      <w:start w:val="1"/>
      <w:numFmt w:val="chineseCounting"/>
      <w:suff w:val="space"/>
      <w:lvlText w:val="第%1部分"/>
      <w:lvlJc w:val="left"/>
      <w:rPr>
        <w:rFonts w:hint="eastAsia"/>
      </w:rPr>
    </w:lvl>
  </w:abstractNum>
  <w:abstractNum w:abstractNumId="1">
    <w:nsid w:val="9F69EB69"/>
    <w:multiLevelType w:val="singleLevel"/>
    <w:tmpl w:val="9F69EB69"/>
    <w:lvl w:ilvl="0" w:tentative="0">
      <w:start w:val="4"/>
      <w:numFmt w:val="chineseCounting"/>
      <w:suff w:val="space"/>
      <w:lvlText w:val="第%1部分"/>
      <w:lvlJc w:val="left"/>
      <w:rPr>
        <w:rFonts w:hint="eastAsia"/>
      </w:rPr>
    </w:lvl>
  </w:abstractNum>
  <w:abstractNum w:abstractNumId="2">
    <w:nsid w:val="C3BE6113"/>
    <w:multiLevelType w:val="multilevel"/>
    <w:tmpl w:val="C3BE6113"/>
    <w:lvl w:ilvl="0" w:tentative="0">
      <w:start w:val="1"/>
      <w:numFmt w:val="chineseCounting"/>
      <w:suff w:val="nothing"/>
      <w:lvlText w:val="%1、"/>
      <w:lvlJc w:val="left"/>
      <w:pPr>
        <w:tabs>
          <w:tab w:val="left" w:pos="0"/>
        </w:tabs>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suff w:val="nothing"/>
      <w:lvlText w:val="%3．"/>
      <w:lvlJc w:val="left"/>
      <w:pPr>
        <w:ind w:left="0" w:firstLine="0"/>
      </w:pPr>
      <w:rPr>
        <w:rFonts w:hint="eastAsia"/>
      </w:rPr>
    </w:lvl>
    <w:lvl w:ilvl="3" w:tentative="0">
      <w:start w:val="1"/>
      <w:numFmt w:val="decimal"/>
      <w:pStyle w:val="5"/>
      <w:suff w:val="nothing"/>
      <w:lvlText w:val="（%4）"/>
      <w:lvlJc w:val="left"/>
      <w:pPr>
        <w:ind w:left="0" w:firstLine="0"/>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3">
    <w:nsid w:val="CF0DAD01"/>
    <w:multiLevelType w:val="singleLevel"/>
    <w:tmpl w:val="CF0DAD01"/>
    <w:lvl w:ilvl="0" w:tentative="0">
      <w:start w:val="1"/>
      <w:numFmt w:val="decimal"/>
      <w:suff w:val="space"/>
      <w:lvlText w:val="%1."/>
      <w:lvlJc w:val="left"/>
    </w:lvl>
  </w:abstractNum>
  <w:abstractNum w:abstractNumId="4">
    <w:nsid w:val="E643E0BB"/>
    <w:multiLevelType w:val="singleLevel"/>
    <w:tmpl w:val="E643E0BB"/>
    <w:lvl w:ilvl="0" w:tentative="0">
      <w:start w:val="6"/>
      <w:numFmt w:val="chineseCounting"/>
      <w:suff w:val="nothing"/>
      <w:lvlText w:val="%1、"/>
      <w:lvlJc w:val="left"/>
      <w:rPr>
        <w:rFonts w:hint="eastAsia"/>
      </w:rPr>
    </w:lvl>
  </w:abstractNum>
  <w:abstractNum w:abstractNumId="5">
    <w:nsid w:val="F007BB60"/>
    <w:multiLevelType w:val="singleLevel"/>
    <w:tmpl w:val="F007BB60"/>
    <w:lvl w:ilvl="0" w:tentative="0">
      <w:start w:val="2"/>
      <w:numFmt w:val="decimal"/>
      <w:suff w:val="nothing"/>
      <w:lvlText w:val="（%1）"/>
      <w:lvlJc w:val="left"/>
    </w:lvl>
  </w:abstractNum>
  <w:abstractNum w:abstractNumId="6">
    <w:nsid w:val="0000000D"/>
    <w:multiLevelType w:val="multilevel"/>
    <w:tmpl w:val="0000000D"/>
    <w:lvl w:ilvl="0" w:tentative="0">
      <w:start w:val="1"/>
      <w:numFmt w:val="decimal"/>
      <w:pStyle w:val="8"/>
      <w:lvlText w:val="%1."/>
      <w:lvlJc w:val="left"/>
      <w:pPr>
        <w:tabs>
          <w:tab w:val="left" w:pos="780"/>
        </w:tabs>
        <w:ind w:left="790" w:hanging="430"/>
      </w:pPr>
      <w:rPr>
        <w:rFonts w:hint="eastAsia"/>
      </w:rPr>
    </w:lvl>
    <w:lvl w:ilvl="1" w:tentative="0">
      <w:start w:val="1"/>
      <w:numFmt w:val="decimal"/>
      <w:lvlText w:val="%1.%2"/>
      <w:lvlJc w:val="left"/>
      <w:pPr>
        <w:tabs>
          <w:tab w:val="left" w:pos="880"/>
        </w:tabs>
        <w:ind w:left="880" w:hanging="700"/>
      </w:pPr>
      <w:rPr>
        <w:rFonts w:ascii="宋体" w:hAnsi="宋体" w:eastAsia="宋体" w:cs="Times New Roman"/>
        <w:lang w:val="en-US"/>
      </w:rPr>
    </w:lvl>
    <w:lvl w:ilvl="2" w:tentative="0">
      <w:start w:val="1"/>
      <w:numFmt w:val="decimal"/>
      <w:lvlText w:val="%1.%2.%3"/>
      <w:lvlJc w:val="left"/>
      <w:pPr>
        <w:tabs>
          <w:tab w:val="left" w:pos="1360"/>
        </w:tabs>
        <w:ind w:left="1360" w:hanging="1000"/>
      </w:pPr>
      <w:rPr>
        <w:rFonts w:hint="eastAsia"/>
      </w:rPr>
    </w:lvl>
    <w:lvl w:ilvl="3" w:tentative="0">
      <w:start w:val="1"/>
      <w:numFmt w:val="decimal"/>
      <w:lvlText w:val="%1.%2.%3.%4"/>
      <w:lvlJc w:val="left"/>
      <w:pPr>
        <w:tabs>
          <w:tab w:val="left" w:pos="360"/>
        </w:tabs>
        <w:ind w:left="2344" w:hanging="1984"/>
      </w:pPr>
      <w:rPr>
        <w:rFonts w:hint="eastAsia"/>
      </w:rPr>
    </w:lvl>
    <w:lvl w:ilvl="4" w:tentative="0">
      <w:start w:val="1"/>
      <w:numFmt w:val="decimal"/>
      <w:lvlText w:val="%1.%2.%3.%4.%5"/>
      <w:lvlJc w:val="left"/>
      <w:pPr>
        <w:tabs>
          <w:tab w:val="left" w:pos="2911"/>
        </w:tabs>
        <w:ind w:left="2911" w:hanging="850"/>
      </w:pPr>
      <w:rPr>
        <w:rFonts w:hint="eastAsia"/>
      </w:rPr>
    </w:lvl>
    <w:lvl w:ilvl="5" w:tentative="0">
      <w:start w:val="1"/>
      <w:numFmt w:val="decimal"/>
      <w:lvlText w:val="%1.%2.%3.%4.%5.%6"/>
      <w:lvlJc w:val="left"/>
      <w:pPr>
        <w:tabs>
          <w:tab w:val="left" w:pos="3620"/>
        </w:tabs>
        <w:ind w:left="3620" w:hanging="1134"/>
      </w:pPr>
      <w:rPr>
        <w:rFonts w:hint="eastAsia"/>
      </w:rPr>
    </w:lvl>
    <w:lvl w:ilvl="6" w:tentative="0">
      <w:start w:val="1"/>
      <w:numFmt w:val="decimal"/>
      <w:lvlText w:val="%1.%2.%3.%4.%5.%6.%7"/>
      <w:lvlJc w:val="left"/>
      <w:pPr>
        <w:tabs>
          <w:tab w:val="left" w:pos="4187"/>
        </w:tabs>
        <w:ind w:left="4187" w:hanging="1276"/>
      </w:pPr>
      <w:rPr>
        <w:rFonts w:hint="eastAsia"/>
      </w:rPr>
    </w:lvl>
    <w:lvl w:ilvl="7" w:tentative="0">
      <w:start w:val="1"/>
      <w:numFmt w:val="decimal"/>
      <w:lvlText w:val="%1.%2.%3.%4.%5.%6.%7.%8"/>
      <w:lvlJc w:val="left"/>
      <w:pPr>
        <w:tabs>
          <w:tab w:val="left" w:pos="4754"/>
        </w:tabs>
        <w:ind w:left="4754" w:hanging="1418"/>
      </w:pPr>
      <w:rPr>
        <w:rFonts w:hint="eastAsia"/>
      </w:rPr>
    </w:lvl>
    <w:lvl w:ilvl="8" w:tentative="0">
      <w:start w:val="1"/>
      <w:numFmt w:val="decimal"/>
      <w:lvlText w:val="%1.%2.%3.%4.%5.%6.%7.%8.%9"/>
      <w:lvlJc w:val="left"/>
      <w:pPr>
        <w:tabs>
          <w:tab w:val="left" w:pos="5462"/>
        </w:tabs>
        <w:ind w:left="5462" w:hanging="1700"/>
      </w:pPr>
      <w:rPr>
        <w:rFonts w:hint="eastAsia"/>
      </w:rPr>
    </w:lvl>
  </w:abstractNum>
  <w:abstractNum w:abstractNumId="7">
    <w:nsid w:val="0DB45DE7"/>
    <w:multiLevelType w:val="singleLevel"/>
    <w:tmpl w:val="0DB45DE7"/>
    <w:lvl w:ilvl="0" w:tentative="0">
      <w:start w:val="2"/>
      <w:numFmt w:val="decimal"/>
      <w:suff w:val="nothing"/>
      <w:lvlText w:val="%1、"/>
      <w:lvlJc w:val="left"/>
    </w:lvl>
  </w:abstractNum>
  <w:abstractNum w:abstractNumId="8">
    <w:nsid w:val="11715540"/>
    <w:multiLevelType w:val="multilevel"/>
    <w:tmpl w:val="11715540"/>
    <w:lvl w:ilvl="0" w:tentative="0">
      <w:start w:val="1"/>
      <w:numFmt w:val="japaneseCounting"/>
      <w:lvlText w:val="（%1）"/>
      <w:lvlJc w:val="left"/>
      <w:pPr>
        <w:tabs>
          <w:tab w:val="left" w:pos="1725"/>
        </w:tabs>
        <w:ind w:left="1725" w:hanging="1080"/>
      </w:pPr>
      <w:rPr>
        <w:rFonts w:hint="default"/>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9">
    <w:nsid w:val="321FC89C"/>
    <w:multiLevelType w:val="singleLevel"/>
    <w:tmpl w:val="321FC89C"/>
    <w:lvl w:ilvl="0" w:tentative="0">
      <w:start w:val="3"/>
      <w:numFmt w:val="decimal"/>
      <w:suff w:val="space"/>
      <w:lvlText w:val="%1、"/>
      <w:lvlJc w:val="left"/>
    </w:lvl>
  </w:abstractNum>
  <w:abstractNum w:abstractNumId="10">
    <w:nsid w:val="55CD4C99"/>
    <w:multiLevelType w:val="singleLevel"/>
    <w:tmpl w:val="55CD4C99"/>
    <w:lvl w:ilvl="0" w:tentative="0">
      <w:start w:val="1"/>
      <w:numFmt w:val="chineseCounting"/>
      <w:suff w:val="nothing"/>
      <w:lvlText w:val="%1、"/>
      <w:lvlJc w:val="left"/>
    </w:lvl>
  </w:abstractNum>
  <w:abstractNum w:abstractNumId="11">
    <w:nsid w:val="78AA6554"/>
    <w:multiLevelType w:val="multilevel"/>
    <w:tmpl w:val="78AA6554"/>
    <w:lvl w:ilvl="0" w:tentative="0">
      <w:start w:val="1"/>
      <w:numFmt w:val="japaneseCounting"/>
      <w:lvlText w:val="（%1）"/>
      <w:lvlJc w:val="left"/>
      <w:pPr>
        <w:tabs>
          <w:tab w:val="left" w:pos="1725"/>
        </w:tabs>
        <w:ind w:left="1725" w:hanging="1080"/>
      </w:pPr>
      <w:rPr>
        <w:rFonts w:hint="default"/>
        <w:lang w:val="en-US"/>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num w:numId="1">
    <w:abstractNumId w:val="2"/>
  </w:num>
  <w:num w:numId="2">
    <w:abstractNumId w:val="6"/>
  </w:num>
  <w:num w:numId="3">
    <w:abstractNumId w:val="0"/>
  </w:num>
  <w:num w:numId="4">
    <w:abstractNumId w:val="4"/>
  </w:num>
  <w:num w:numId="5">
    <w:abstractNumId w:val="5"/>
  </w:num>
  <w:num w:numId="6">
    <w:abstractNumId w:val="10"/>
  </w:num>
  <w:num w:numId="7">
    <w:abstractNumId w:val="8"/>
  </w:num>
  <w:num w:numId="8">
    <w:abstractNumId w:val="11"/>
  </w:num>
  <w:num w:numId="9">
    <w:abstractNumId w:val="1"/>
  </w:num>
  <w:num w:numId="10">
    <w:abstractNumId w:val="9"/>
  </w:num>
  <w:num w:numId="11">
    <w:abstractNumId w:val="7"/>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embedTrueTypeFonts/>
  <w:saveSubset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RjZTkxMGY0NGU0ZDEwZjBiZjQ3NjVlZWRhOTQ1YWUifQ=="/>
  </w:docVars>
  <w:rsids>
    <w:rsidRoot w:val="430832B2"/>
    <w:rsid w:val="00036274"/>
    <w:rsid w:val="000E7277"/>
    <w:rsid w:val="00153D08"/>
    <w:rsid w:val="001909B2"/>
    <w:rsid w:val="001A6737"/>
    <w:rsid w:val="001E5A72"/>
    <w:rsid w:val="00232484"/>
    <w:rsid w:val="00305CE7"/>
    <w:rsid w:val="004259D8"/>
    <w:rsid w:val="00461E17"/>
    <w:rsid w:val="00471CA4"/>
    <w:rsid w:val="00562077"/>
    <w:rsid w:val="00597163"/>
    <w:rsid w:val="005D4E0B"/>
    <w:rsid w:val="005E0AA6"/>
    <w:rsid w:val="00643BE3"/>
    <w:rsid w:val="006761BB"/>
    <w:rsid w:val="006D00E3"/>
    <w:rsid w:val="0076445C"/>
    <w:rsid w:val="008276FA"/>
    <w:rsid w:val="008849F7"/>
    <w:rsid w:val="008D1783"/>
    <w:rsid w:val="008D4A14"/>
    <w:rsid w:val="008F665C"/>
    <w:rsid w:val="009143D6"/>
    <w:rsid w:val="00A329DF"/>
    <w:rsid w:val="00A75CA8"/>
    <w:rsid w:val="00AA277B"/>
    <w:rsid w:val="00AB0B74"/>
    <w:rsid w:val="00AF420A"/>
    <w:rsid w:val="00BA4013"/>
    <w:rsid w:val="00C26A7F"/>
    <w:rsid w:val="00C377E4"/>
    <w:rsid w:val="00C57AF5"/>
    <w:rsid w:val="00C74FD6"/>
    <w:rsid w:val="00D00791"/>
    <w:rsid w:val="00D00D67"/>
    <w:rsid w:val="00D03DFD"/>
    <w:rsid w:val="00D84377"/>
    <w:rsid w:val="00DE0124"/>
    <w:rsid w:val="00E56748"/>
    <w:rsid w:val="00EB29FB"/>
    <w:rsid w:val="00ED05CA"/>
    <w:rsid w:val="00F050C2"/>
    <w:rsid w:val="00F70359"/>
    <w:rsid w:val="00FB6C7A"/>
    <w:rsid w:val="0123584C"/>
    <w:rsid w:val="014631E4"/>
    <w:rsid w:val="014F6266"/>
    <w:rsid w:val="01537940"/>
    <w:rsid w:val="01577813"/>
    <w:rsid w:val="016162CE"/>
    <w:rsid w:val="019F0F2F"/>
    <w:rsid w:val="01BA3FA8"/>
    <w:rsid w:val="01BD17FD"/>
    <w:rsid w:val="01E44B68"/>
    <w:rsid w:val="01EF3980"/>
    <w:rsid w:val="02113BC2"/>
    <w:rsid w:val="021A6F6E"/>
    <w:rsid w:val="02614ACA"/>
    <w:rsid w:val="02785C71"/>
    <w:rsid w:val="027D687D"/>
    <w:rsid w:val="02873BB9"/>
    <w:rsid w:val="0298074F"/>
    <w:rsid w:val="029B6DF8"/>
    <w:rsid w:val="02D45050"/>
    <w:rsid w:val="02E7054D"/>
    <w:rsid w:val="03120DC1"/>
    <w:rsid w:val="03152839"/>
    <w:rsid w:val="03531E23"/>
    <w:rsid w:val="035508BA"/>
    <w:rsid w:val="035C6DF3"/>
    <w:rsid w:val="03773127"/>
    <w:rsid w:val="038A3960"/>
    <w:rsid w:val="03AA4003"/>
    <w:rsid w:val="03B409DD"/>
    <w:rsid w:val="03CA3EDE"/>
    <w:rsid w:val="03D270B5"/>
    <w:rsid w:val="03DF7ECE"/>
    <w:rsid w:val="042A106A"/>
    <w:rsid w:val="043155F1"/>
    <w:rsid w:val="04700DA8"/>
    <w:rsid w:val="04770389"/>
    <w:rsid w:val="049B057E"/>
    <w:rsid w:val="04A5170B"/>
    <w:rsid w:val="04AD3DAA"/>
    <w:rsid w:val="04C64537"/>
    <w:rsid w:val="04C82992"/>
    <w:rsid w:val="04CC1D57"/>
    <w:rsid w:val="04E11CA6"/>
    <w:rsid w:val="050F221F"/>
    <w:rsid w:val="05130605"/>
    <w:rsid w:val="051E7B81"/>
    <w:rsid w:val="05205D43"/>
    <w:rsid w:val="052B11CF"/>
    <w:rsid w:val="0591547A"/>
    <w:rsid w:val="05B43558"/>
    <w:rsid w:val="05BD6F2F"/>
    <w:rsid w:val="05C96E1F"/>
    <w:rsid w:val="05CE725F"/>
    <w:rsid w:val="05D26519"/>
    <w:rsid w:val="05E43238"/>
    <w:rsid w:val="06141E47"/>
    <w:rsid w:val="06173249"/>
    <w:rsid w:val="061A5D6F"/>
    <w:rsid w:val="0621750B"/>
    <w:rsid w:val="062E44A1"/>
    <w:rsid w:val="06385AA9"/>
    <w:rsid w:val="063B7194"/>
    <w:rsid w:val="0664493D"/>
    <w:rsid w:val="067376C2"/>
    <w:rsid w:val="068F23C3"/>
    <w:rsid w:val="06964B51"/>
    <w:rsid w:val="06A20D46"/>
    <w:rsid w:val="06C96786"/>
    <w:rsid w:val="06FA704F"/>
    <w:rsid w:val="072C60C0"/>
    <w:rsid w:val="072D2F81"/>
    <w:rsid w:val="073826E5"/>
    <w:rsid w:val="074F6B51"/>
    <w:rsid w:val="076242BA"/>
    <w:rsid w:val="076F5947"/>
    <w:rsid w:val="07CC09EB"/>
    <w:rsid w:val="08002443"/>
    <w:rsid w:val="08253C96"/>
    <w:rsid w:val="08323FEC"/>
    <w:rsid w:val="085D5AE7"/>
    <w:rsid w:val="086504F8"/>
    <w:rsid w:val="088C7521"/>
    <w:rsid w:val="091D420B"/>
    <w:rsid w:val="091E61E5"/>
    <w:rsid w:val="09231976"/>
    <w:rsid w:val="093F2ABC"/>
    <w:rsid w:val="0949643C"/>
    <w:rsid w:val="095073FA"/>
    <w:rsid w:val="09683838"/>
    <w:rsid w:val="098032F7"/>
    <w:rsid w:val="099723FA"/>
    <w:rsid w:val="09975029"/>
    <w:rsid w:val="099B238B"/>
    <w:rsid w:val="09B17236"/>
    <w:rsid w:val="09BB7723"/>
    <w:rsid w:val="09BC20E9"/>
    <w:rsid w:val="09C47798"/>
    <w:rsid w:val="09E92566"/>
    <w:rsid w:val="0A007485"/>
    <w:rsid w:val="0A226110"/>
    <w:rsid w:val="0A271261"/>
    <w:rsid w:val="0A495E4D"/>
    <w:rsid w:val="0A622E54"/>
    <w:rsid w:val="0A6D34F7"/>
    <w:rsid w:val="0A7E69F9"/>
    <w:rsid w:val="0A982D0F"/>
    <w:rsid w:val="0A995798"/>
    <w:rsid w:val="0A9F23E7"/>
    <w:rsid w:val="0AA82B31"/>
    <w:rsid w:val="0AD30AC3"/>
    <w:rsid w:val="0AEC1713"/>
    <w:rsid w:val="0AFE7394"/>
    <w:rsid w:val="0B213EE8"/>
    <w:rsid w:val="0B2F3756"/>
    <w:rsid w:val="0B3D750A"/>
    <w:rsid w:val="0B472137"/>
    <w:rsid w:val="0B641CFB"/>
    <w:rsid w:val="0B81389B"/>
    <w:rsid w:val="0B941400"/>
    <w:rsid w:val="0B9E39F1"/>
    <w:rsid w:val="0BB54396"/>
    <w:rsid w:val="0BF26C44"/>
    <w:rsid w:val="0C1429D4"/>
    <w:rsid w:val="0C3963C0"/>
    <w:rsid w:val="0C525237"/>
    <w:rsid w:val="0C844FE0"/>
    <w:rsid w:val="0CBA37BB"/>
    <w:rsid w:val="0CC0289C"/>
    <w:rsid w:val="0CC065DF"/>
    <w:rsid w:val="0CF364CE"/>
    <w:rsid w:val="0D236D42"/>
    <w:rsid w:val="0D533015"/>
    <w:rsid w:val="0D5A59E1"/>
    <w:rsid w:val="0D5D72E9"/>
    <w:rsid w:val="0D625AD8"/>
    <w:rsid w:val="0D9030DE"/>
    <w:rsid w:val="0D9378B6"/>
    <w:rsid w:val="0DC43F13"/>
    <w:rsid w:val="0DF71E4A"/>
    <w:rsid w:val="0E3E1813"/>
    <w:rsid w:val="0E464928"/>
    <w:rsid w:val="0E653000"/>
    <w:rsid w:val="0E6C53F8"/>
    <w:rsid w:val="0E8C1181"/>
    <w:rsid w:val="0E946323"/>
    <w:rsid w:val="0E947D89"/>
    <w:rsid w:val="0EBE2D47"/>
    <w:rsid w:val="0ECD62EE"/>
    <w:rsid w:val="0EE15F5A"/>
    <w:rsid w:val="0F152C78"/>
    <w:rsid w:val="0F356E0A"/>
    <w:rsid w:val="0F5025E4"/>
    <w:rsid w:val="0F876AD1"/>
    <w:rsid w:val="0F916077"/>
    <w:rsid w:val="0FA22205"/>
    <w:rsid w:val="0FD63973"/>
    <w:rsid w:val="0FD91EF8"/>
    <w:rsid w:val="0FDC276E"/>
    <w:rsid w:val="0FFE0D46"/>
    <w:rsid w:val="10015291"/>
    <w:rsid w:val="10667503"/>
    <w:rsid w:val="10685029"/>
    <w:rsid w:val="107546E2"/>
    <w:rsid w:val="1084479B"/>
    <w:rsid w:val="108469B0"/>
    <w:rsid w:val="111821AF"/>
    <w:rsid w:val="112B743F"/>
    <w:rsid w:val="11352510"/>
    <w:rsid w:val="11366ED6"/>
    <w:rsid w:val="114227C7"/>
    <w:rsid w:val="114535BD"/>
    <w:rsid w:val="116457F1"/>
    <w:rsid w:val="11790B97"/>
    <w:rsid w:val="11A43746"/>
    <w:rsid w:val="11E12A09"/>
    <w:rsid w:val="12326DC2"/>
    <w:rsid w:val="127D570A"/>
    <w:rsid w:val="127E70EE"/>
    <w:rsid w:val="12891287"/>
    <w:rsid w:val="1291653A"/>
    <w:rsid w:val="129526FC"/>
    <w:rsid w:val="12B91B6C"/>
    <w:rsid w:val="12D746E8"/>
    <w:rsid w:val="12E23A01"/>
    <w:rsid w:val="13015F66"/>
    <w:rsid w:val="130308CA"/>
    <w:rsid w:val="1312560D"/>
    <w:rsid w:val="13174B5D"/>
    <w:rsid w:val="1326612C"/>
    <w:rsid w:val="132C218A"/>
    <w:rsid w:val="13497394"/>
    <w:rsid w:val="135B4488"/>
    <w:rsid w:val="13651CF4"/>
    <w:rsid w:val="139F6FB4"/>
    <w:rsid w:val="13A65F65"/>
    <w:rsid w:val="13AF634E"/>
    <w:rsid w:val="13D55805"/>
    <w:rsid w:val="13F84D28"/>
    <w:rsid w:val="14151024"/>
    <w:rsid w:val="142B46CE"/>
    <w:rsid w:val="144B2C98"/>
    <w:rsid w:val="14602089"/>
    <w:rsid w:val="14825BED"/>
    <w:rsid w:val="14841E5F"/>
    <w:rsid w:val="14953EB8"/>
    <w:rsid w:val="149C63AB"/>
    <w:rsid w:val="14B46A8F"/>
    <w:rsid w:val="14C60571"/>
    <w:rsid w:val="14C66F47"/>
    <w:rsid w:val="14CD6092"/>
    <w:rsid w:val="14DD6D28"/>
    <w:rsid w:val="15200D24"/>
    <w:rsid w:val="1525173B"/>
    <w:rsid w:val="153C6A85"/>
    <w:rsid w:val="155344FA"/>
    <w:rsid w:val="155A0105"/>
    <w:rsid w:val="156D1711"/>
    <w:rsid w:val="159F732A"/>
    <w:rsid w:val="15A00DC2"/>
    <w:rsid w:val="15A5462A"/>
    <w:rsid w:val="15C31338"/>
    <w:rsid w:val="15D66ED9"/>
    <w:rsid w:val="15DE4373"/>
    <w:rsid w:val="15E839EB"/>
    <w:rsid w:val="15EF5FB5"/>
    <w:rsid w:val="15F64E85"/>
    <w:rsid w:val="16010E59"/>
    <w:rsid w:val="16105F47"/>
    <w:rsid w:val="16175528"/>
    <w:rsid w:val="16250E07"/>
    <w:rsid w:val="16533BFB"/>
    <w:rsid w:val="16574331"/>
    <w:rsid w:val="16622B33"/>
    <w:rsid w:val="167A5638"/>
    <w:rsid w:val="167B61DA"/>
    <w:rsid w:val="169D2B08"/>
    <w:rsid w:val="16C61301"/>
    <w:rsid w:val="16DD0E18"/>
    <w:rsid w:val="16DD57C1"/>
    <w:rsid w:val="16EA2C3C"/>
    <w:rsid w:val="170E4BCF"/>
    <w:rsid w:val="17150407"/>
    <w:rsid w:val="171F0B4E"/>
    <w:rsid w:val="172577D0"/>
    <w:rsid w:val="17342109"/>
    <w:rsid w:val="174A3FF4"/>
    <w:rsid w:val="17536A81"/>
    <w:rsid w:val="1756362C"/>
    <w:rsid w:val="177D34DC"/>
    <w:rsid w:val="178644DD"/>
    <w:rsid w:val="17881C02"/>
    <w:rsid w:val="178E694D"/>
    <w:rsid w:val="17A27073"/>
    <w:rsid w:val="17A34B99"/>
    <w:rsid w:val="17DA34D8"/>
    <w:rsid w:val="17E8797F"/>
    <w:rsid w:val="17E9335B"/>
    <w:rsid w:val="17EB3771"/>
    <w:rsid w:val="18057EC9"/>
    <w:rsid w:val="180E4FC2"/>
    <w:rsid w:val="182B372C"/>
    <w:rsid w:val="183D39F7"/>
    <w:rsid w:val="1890511D"/>
    <w:rsid w:val="18BD5FDF"/>
    <w:rsid w:val="18CC2463"/>
    <w:rsid w:val="18CD7A02"/>
    <w:rsid w:val="18DF7E53"/>
    <w:rsid w:val="18F71640"/>
    <w:rsid w:val="18FE29CF"/>
    <w:rsid w:val="19067CFD"/>
    <w:rsid w:val="1910625E"/>
    <w:rsid w:val="19445F08"/>
    <w:rsid w:val="194F6D87"/>
    <w:rsid w:val="19791440"/>
    <w:rsid w:val="19890363"/>
    <w:rsid w:val="198D3D53"/>
    <w:rsid w:val="19D23A73"/>
    <w:rsid w:val="19D24BCD"/>
    <w:rsid w:val="19D53105"/>
    <w:rsid w:val="19D805CE"/>
    <w:rsid w:val="19E74BB9"/>
    <w:rsid w:val="19EC2827"/>
    <w:rsid w:val="1A0C7728"/>
    <w:rsid w:val="1A1A5173"/>
    <w:rsid w:val="1A3F329F"/>
    <w:rsid w:val="1A6A7BF0"/>
    <w:rsid w:val="1A6C043C"/>
    <w:rsid w:val="1AA14F3E"/>
    <w:rsid w:val="1ABB2559"/>
    <w:rsid w:val="1ACD57BB"/>
    <w:rsid w:val="1B2938B4"/>
    <w:rsid w:val="1B304F83"/>
    <w:rsid w:val="1B3867B7"/>
    <w:rsid w:val="1B3917D2"/>
    <w:rsid w:val="1B526E30"/>
    <w:rsid w:val="1B5A42F2"/>
    <w:rsid w:val="1B8F4956"/>
    <w:rsid w:val="1B9A62B3"/>
    <w:rsid w:val="1B9F4C44"/>
    <w:rsid w:val="1BA46EB4"/>
    <w:rsid w:val="1BAE628F"/>
    <w:rsid w:val="1BBD6B62"/>
    <w:rsid w:val="1BC3290A"/>
    <w:rsid w:val="1BE55780"/>
    <w:rsid w:val="1BE65325"/>
    <w:rsid w:val="1BF54431"/>
    <w:rsid w:val="1C4F41B3"/>
    <w:rsid w:val="1C770BAC"/>
    <w:rsid w:val="1C8812E8"/>
    <w:rsid w:val="1CBF4223"/>
    <w:rsid w:val="1CC048D1"/>
    <w:rsid w:val="1CC45CDD"/>
    <w:rsid w:val="1CFF3DC8"/>
    <w:rsid w:val="1D28001A"/>
    <w:rsid w:val="1D682FCE"/>
    <w:rsid w:val="1D6F5759"/>
    <w:rsid w:val="1D70551D"/>
    <w:rsid w:val="1D7C3EC2"/>
    <w:rsid w:val="1DDE4B7D"/>
    <w:rsid w:val="1DFB572F"/>
    <w:rsid w:val="1E0B5246"/>
    <w:rsid w:val="1E122A78"/>
    <w:rsid w:val="1E435DE1"/>
    <w:rsid w:val="1E4F61D8"/>
    <w:rsid w:val="1E564033"/>
    <w:rsid w:val="1E6813A9"/>
    <w:rsid w:val="1E6D1634"/>
    <w:rsid w:val="1ECE4F82"/>
    <w:rsid w:val="1EE5064C"/>
    <w:rsid w:val="1F0321C6"/>
    <w:rsid w:val="1F0664F1"/>
    <w:rsid w:val="1F0E3240"/>
    <w:rsid w:val="1F5B26D6"/>
    <w:rsid w:val="1F6007D8"/>
    <w:rsid w:val="1F6C3F34"/>
    <w:rsid w:val="1FA420E5"/>
    <w:rsid w:val="1FA922C3"/>
    <w:rsid w:val="1FB748C5"/>
    <w:rsid w:val="1FB75686"/>
    <w:rsid w:val="202A6722"/>
    <w:rsid w:val="203828DD"/>
    <w:rsid w:val="20497A92"/>
    <w:rsid w:val="205D4216"/>
    <w:rsid w:val="20746CEC"/>
    <w:rsid w:val="207746C5"/>
    <w:rsid w:val="209D4381"/>
    <w:rsid w:val="20A33CCB"/>
    <w:rsid w:val="20BE129F"/>
    <w:rsid w:val="20E00C0C"/>
    <w:rsid w:val="211A31D2"/>
    <w:rsid w:val="218454A5"/>
    <w:rsid w:val="21903D8A"/>
    <w:rsid w:val="21AE4866"/>
    <w:rsid w:val="21E464DA"/>
    <w:rsid w:val="21E739C2"/>
    <w:rsid w:val="21F7470F"/>
    <w:rsid w:val="22086693"/>
    <w:rsid w:val="220F4D49"/>
    <w:rsid w:val="22237002"/>
    <w:rsid w:val="22561186"/>
    <w:rsid w:val="22965E6B"/>
    <w:rsid w:val="22AE28BF"/>
    <w:rsid w:val="22B67E76"/>
    <w:rsid w:val="22D64075"/>
    <w:rsid w:val="22D700DE"/>
    <w:rsid w:val="22F917C9"/>
    <w:rsid w:val="23226B91"/>
    <w:rsid w:val="23463622"/>
    <w:rsid w:val="235B1AD6"/>
    <w:rsid w:val="235B27CC"/>
    <w:rsid w:val="23672FEE"/>
    <w:rsid w:val="23866C6B"/>
    <w:rsid w:val="23874BA3"/>
    <w:rsid w:val="238D7E59"/>
    <w:rsid w:val="23A52724"/>
    <w:rsid w:val="23B1063E"/>
    <w:rsid w:val="23B31F24"/>
    <w:rsid w:val="23E07E45"/>
    <w:rsid w:val="23F84B49"/>
    <w:rsid w:val="23FC6808"/>
    <w:rsid w:val="24217571"/>
    <w:rsid w:val="2426737F"/>
    <w:rsid w:val="242C7FB7"/>
    <w:rsid w:val="245B2E54"/>
    <w:rsid w:val="25002F8D"/>
    <w:rsid w:val="250A091E"/>
    <w:rsid w:val="25546BA5"/>
    <w:rsid w:val="25550156"/>
    <w:rsid w:val="255F6E8A"/>
    <w:rsid w:val="25660DE9"/>
    <w:rsid w:val="256D43FD"/>
    <w:rsid w:val="258D4BC1"/>
    <w:rsid w:val="25BB5FF9"/>
    <w:rsid w:val="25CE197B"/>
    <w:rsid w:val="25FB512C"/>
    <w:rsid w:val="2626787B"/>
    <w:rsid w:val="262B2929"/>
    <w:rsid w:val="266B40F4"/>
    <w:rsid w:val="26747E2C"/>
    <w:rsid w:val="26753BA5"/>
    <w:rsid w:val="267D2FA7"/>
    <w:rsid w:val="268B6833"/>
    <w:rsid w:val="26926DEE"/>
    <w:rsid w:val="26B733C2"/>
    <w:rsid w:val="26D37563"/>
    <w:rsid w:val="26DC54DA"/>
    <w:rsid w:val="27363334"/>
    <w:rsid w:val="274B4345"/>
    <w:rsid w:val="2759752E"/>
    <w:rsid w:val="27613CE7"/>
    <w:rsid w:val="27641FEC"/>
    <w:rsid w:val="27870033"/>
    <w:rsid w:val="279C2E44"/>
    <w:rsid w:val="280B656E"/>
    <w:rsid w:val="28195D94"/>
    <w:rsid w:val="282F4953"/>
    <w:rsid w:val="283D072F"/>
    <w:rsid w:val="28440AF6"/>
    <w:rsid w:val="285A4427"/>
    <w:rsid w:val="286536CA"/>
    <w:rsid w:val="286B44D3"/>
    <w:rsid w:val="289330D2"/>
    <w:rsid w:val="289B07B1"/>
    <w:rsid w:val="28D57A5B"/>
    <w:rsid w:val="28F82A29"/>
    <w:rsid w:val="290F6532"/>
    <w:rsid w:val="291C049E"/>
    <w:rsid w:val="291F0973"/>
    <w:rsid w:val="29384AB9"/>
    <w:rsid w:val="293A037F"/>
    <w:rsid w:val="293D4896"/>
    <w:rsid w:val="294C2123"/>
    <w:rsid w:val="294E1863"/>
    <w:rsid w:val="299249BD"/>
    <w:rsid w:val="29A679DE"/>
    <w:rsid w:val="29DB685D"/>
    <w:rsid w:val="29EC3DAC"/>
    <w:rsid w:val="29F20F87"/>
    <w:rsid w:val="2A015314"/>
    <w:rsid w:val="2A1F1EB2"/>
    <w:rsid w:val="2A2109F6"/>
    <w:rsid w:val="2A2644A5"/>
    <w:rsid w:val="2A2953D2"/>
    <w:rsid w:val="2A390EC5"/>
    <w:rsid w:val="2A3D2C2B"/>
    <w:rsid w:val="2A5E151F"/>
    <w:rsid w:val="2A60273F"/>
    <w:rsid w:val="2A6F2C28"/>
    <w:rsid w:val="2AB303AA"/>
    <w:rsid w:val="2ACD0275"/>
    <w:rsid w:val="2AD417E1"/>
    <w:rsid w:val="2ADC5AFD"/>
    <w:rsid w:val="2AE56C24"/>
    <w:rsid w:val="2AF23A16"/>
    <w:rsid w:val="2AF552B4"/>
    <w:rsid w:val="2AF9470D"/>
    <w:rsid w:val="2B2A724C"/>
    <w:rsid w:val="2B3330A0"/>
    <w:rsid w:val="2B396545"/>
    <w:rsid w:val="2B762634"/>
    <w:rsid w:val="2B7812DA"/>
    <w:rsid w:val="2B882CB1"/>
    <w:rsid w:val="2B973B3C"/>
    <w:rsid w:val="2B97636B"/>
    <w:rsid w:val="2BC41856"/>
    <w:rsid w:val="2BC74505"/>
    <w:rsid w:val="2BE52CAD"/>
    <w:rsid w:val="2C187B19"/>
    <w:rsid w:val="2C302A48"/>
    <w:rsid w:val="2C6A7F5A"/>
    <w:rsid w:val="2CA200C7"/>
    <w:rsid w:val="2CD70408"/>
    <w:rsid w:val="2CFB5024"/>
    <w:rsid w:val="2D0317F4"/>
    <w:rsid w:val="2D1B0C53"/>
    <w:rsid w:val="2D261D28"/>
    <w:rsid w:val="2D32459D"/>
    <w:rsid w:val="2D380A40"/>
    <w:rsid w:val="2D3A16A4"/>
    <w:rsid w:val="2D7E66F1"/>
    <w:rsid w:val="2D95546D"/>
    <w:rsid w:val="2DA570F4"/>
    <w:rsid w:val="2DB43A1E"/>
    <w:rsid w:val="2DB85DC1"/>
    <w:rsid w:val="2DC071FE"/>
    <w:rsid w:val="2DDB2F86"/>
    <w:rsid w:val="2DF1140A"/>
    <w:rsid w:val="2E1B0C2F"/>
    <w:rsid w:val="2E2D19AE"/>
    <w:rsid w:val="2E3662A3"/>
    <w:rsid w:val="2E4F43FC"/>
    <w:rsid w:val="2E764B34"/>
    <w:rsid w:val="2E765137"/>
    <w:rsid w:val="2E8F0C1E"/>
    <w:rsid w:val="2EB85F02"/>
    <w:rsid w:val="2ECB148D"/>
    <w:rsid w:val="2ED0014B"/>
    <w:rsid w:val="2ED161A3"/>
    <w:rsid w:val="2F265E4E"/>
    <w:rsid w:val="2F2820FC"/>
    <w:rsid w:val="2F5A7DDB"/>
    <w:rsid w:val="2F6F7D2B"/>
    <w:rsid w:val="2FA50B1C"/>
    <w:rsid w:val="2FAD33C2"/>
    <w:rsid w:val="2FB86C3C"/>
    <w:rsid w:val="2FD815CC"/>
    <w:rsid w:val="30093CDB"/>
    <w:rsid w:val="301A16BC"/>
    <w:rsid w:val="301B400C"/>
    <w:rsid w:val="30486A4B"/>
    <w:rsid w:val="309E3029"/>
    <w:rsid w:val="30B013AF"/>
    <w:rsid w:val="30C419B0"/>
    <w:rsid w:val="30F878AC"/>
    <w:rsid w:val="310E0297"/>
    <w:rsid w:val="313A1B8F"/>
    <w:rsid w:val="3180137D"/>
    <w:rsid w:val="318C4BC4"/>
    <w:rsid w:val="31AF60BD"/>
    <w:rsid w:val="31C54436"/>
    <w:rsid w:val="31DE4CF4"/>
    <w:rsid w:val="32140CAC"/>
    <w:rsid w:val="32387E25"/>
    <w:rsid w:val="325141C6"/>
    <w:rsid w:val="32792DB7"/>
    <w:rsid w:val="32AD108D"/>
    <w:rsid w:val="32B435BE"/>
    <w:rsid w:val="32D63C1D"/>
    <w:rsid w:val="32E53E60"/>
    <w:rsid w:val="32F67E2E"/>
    <w:rsid w:val="32F819B1"/>
    <w:rsid w:val="330B1B18"/>
    <w:rsid w:val="331C6AE0"/>
    <w:rsid w:val="334C7FB6"/>
    <w:rsid w:val="335B1D88"/>
    <w:rsid w:val="335C76C1"/>
    <w:rsid w:val="33711F29"/>
    <w:rsid w:val="337911FE"/>
    <w:rsid w:val="337B3536"/>
    <w:rsid w:val="33A90616"/>
    <w:rsid w:val="33DE547F"/>
    <w:rsid w:val="34526D71"/>
    <w:rsid w:val="3464452F"/>
    <w:rsid w:val="3469771D"/>
    <w:rsid w:val="34755008"/>
    <w:rsid w:val="347A51A8"/>
    <w:rsid w:val="34976726"/>
    <w:rsid w:val="34A12B95"/>
    <w:rsid w:val="34AC10D9"/>
    <w:rsid w:val="34AC63E7"/>
    <w:rsid w:val="34F903B8"/>
    <w:rsid w:val="351A6043"/>
    <w:rsid w:val="35414648"/>
    <w:rsid w:val="35427B0F"/>
    <w:rsid w:val="356B5D1D"/>
    <w:rsid w:val="357F49FA"/>
    <w:rsid w:val="35CB558F"/>
    <w:rsid w:val="36394B26"/>
    <w:rsid w:val="3667175C"/>
    <w:rsid w:val="36A4475E"/>
    <w:rsid w:val="36A56C68"/>
    <w:rsid w:val="36AA5E0A"/>
    <w:rsid w:val="36C22E36"/>
    <w:rsid w:val="36CA0C5E"/>
    <w:rsid w:val="36D05553"/>
    <w:rsid w:val="36E45212"/>
    <w:rsid w:val="36F154C9"/>
    <w:rsid w:val="36F91182"/>
    <w:rsid w:val="37066C5A"/>
    <w:rsid w:val="37182A56"/>
    <w:rsid w:val="371C74DF"/>
    <w:rsid w:val="37217B5C"/>
    <w:rsid w:val="372E04CB"/>
    <w:rsid w:val="374E6478"/>
    <w:rsid w:val="37520F41"/>
    <w:rsid w:val="3762161D"/>
    <w:rsid w:val="378679C0"/>
    <w:rsid w:val="378F65A8"/>
    <w:rsid w:val="37A05DB8"/>
    <w:rsid w:val="37A12630"/>
    <w:rsid w:val="37A559ED"/>
    <w:rsid w:val="37AC319E"/>
    <w:rsid w:val="37D44BCF"/>
    <w:rsid w:val="37DE58F5"/>
    <w:rsid w:val="38083993"/>
    <w:rsid w:val="38182E64"/>
    <w:rsid w:val="382E3793"/>
    <w:rsid w:val="38417D8A"/>
    <w:rsid w:val="38715716"/>
    <w:rsid w:val="38895400"/>
    <w:rsid w:val="38BD4DB8"/>
    <w:rsid w:val="38C13A06"/>
    <w:rsid w:val="38C56C0D"/>
    <w:rsid w:val="38DE52AC"/>
    <w:rsid w:val="38DE55D9"/>
    <w:rsid w:val="38E53BA7"/>
    <w:rsid w:val="38EB5D28"/>
    <w:rsid w:val="390C7ED6"/>
    <w:rsid w:val="3913703E"/>
    <w:rsid w:val="39205BF2"/>
    <w:rsid w:val="393042D6"/>
    <w:rsid w:val="393B2A2C"/>
    <w:rsid w:val="3986639D"/>
    <w:rsid w:val="39A77BA6"/>
    <w:rsid w:val="39C07B4A"/>
    <w:rsid w:val="3A0473C9"/>
    <w:rsid w:val="3A1273C6"/>
    <w:rsid w:val="3A127C30"/>
    <w:rsid w:val="3A591D15"/>
    <w:rsid w:val="3A5E2E76"/>
    <w:rsid w:val="3A6D6A80"/>
    <w:rsid w:val="3A8A5A19"/>
    <w:rsid w:val="3AA578F9"/>
    <w:rsid w:val="3AE02D01"/>
    <w:rsid w:val="3AE06945"/>
    <w:rsid w:val="3AFA401D"/>
    <w:rsid w:val="3B1339F6"/>
    <w:rsid w:val="3B2A146C"/>
    <w:rsid w:val="3B3E1CA2"/>
    <w:rsid w:val="3B4F15A0"/>
    <w:rsid w:val="3B7F7C46"/>
    <w:rsid w:val="3B805D44"/>
    <w:rsid w:val="3B941E1F"/>
    <w:rsid w:val="3BA119E0"/>
    <w:rsid w:val="3BCC2061"/>
    <w:rsid w:val="3BDE19D1"/>
    <w:rsid w:val="3C096E11"/>
    <w:rsid w:val="3C1C6B44"/>
    <w:rsid w:val="3C5950AB"/>
    <w:rsid w:val="3C851CFB"/>
    <w:rsid w:val="3C893FAF"/>
    <w:rsid w:val="3C946E63"/>
    <w:rsid w:val="3C990195"/>
    <w:rsid w:val="3CA827C1"/>
    <w:rsid w:val="3CAD59EE"/>
    <w:rsid w:val="3CC5567F"/>
    <w:rsid w:val="3CC63B87"/>
    <w:rsid w:val="3CDA4418"/>
    <w:rsid w:val="3CDE204C"/>
    <w:rsid w:val="3CFD4BC8"/>
    <w:rsid w:val="3D0B7FBE"/>
    <w:rsid w:val="3D1D2B74"/>
    <w:rsid w:val="3D28703D"/>
    <w:rsid w:val="3D38095E"/>
    <w:rsid w:val="3D5E6777"/>
    <w:rsid w:val="3D643600"/>
    <w:rsid w:val="3D723DD3"/>
    <w:rsid w:val="3D751F42"/>
    <w:rsid w:val="3D820B0E"/>
    <w:rsid w:val="3D992E0C"/>
    <w:rsid w:val="3DA87F4F"/>
    <w:rsid w:val="3DB56F56"/>
    <w:rsid w:val="3DC2196D"/>
    <w:rsid w:val="3E3006E5"/>
    <w:rsid w:val="3E3300C3"/>
    <w:rsid w:val="3E642A25"/>
    <w:rsid w:val="3E7C7D6E"/>
    <w:rsid w:val="3E80503E"/>
    <w:rsid w:val="3E832EAB"/>
    <w:rsid w:val="3EFF3A15"/>
    <w:rsid w:val="3F2B709E"/>
    <w:rsid w:val="3F385E8A"/>
    <w:rsid w:val="3F6A3151"/>
    <w:rsid w:val="3F8335E8"/>
    <w:rsid w:val="3F874C1D"/>
    <w:rsid w:val="3F973103"/>
    <w:rsid w:val="3FD64258"/>
    <w:rsid w:val="401114DC"/>
    <w:rsid w:val="403F2E01"/>
    <w:rsid w:val="405B3EA5"/>
    <w:rsid w:val="40807FDE"/>
    <w:rsid w:val="40814B23"/>
    <w:rsid w:val="408E72C3"/>
    <w:rsid w:val="408E7BCF"/>
    <w:rsid w:val="40AB15B8"/>
    <w:rsid w:val="40B26236"/>
    <w:rsid w:val="40BD43AF"/>
    <w:rsid w:val="40C14C05"/>
    <w:rsid w:val="40C764D4"/>
    <w:rsid w:val="40D95381"/>
    <w:rsid w:val="410133B9"/>
    <w:rsid w:val="41042A54"/>
    <w:rsid w:val="41285F8B"/>
    <w:rsid w:val="413B181B"/>
    <w:rsid w:val="415155DE"/>
    <w:rsid w:val="416359C8"/>
    <w:rsid w:val="41681350"/>
    <w:rsid w:val="416F668A"/>
    <w:rsid w:val="41915F75"/>
    <w:rsid w:val="419378A9"/>
    <w:rsid w:val="419F6662"/>
    <w:rsid w:val="41A72D03"/>
    <w:rsid w:val="41B63597"/>
    <w:rsid w:val="41BC55E0"/>
    <w:rsid w:val="41BF069E"/>
    <w:rsid w:val="420B7389"/>
    <w:rsid w:val="423563C7"/>
    <w:rsid w:val="42C57370"/>
    <w:rsid w:val="42DD6902"/>
    <w:rsid w:val="42FF450A"/>
    <w:rsid w:val="430832B2"/>
    <w:rsid w:val="43144276"/>
    <w:rsid w:val="43264088"/>
    <w:rsid w:val="43333AFF"/>
    <w:rsid w:val="434966C0"/>
    <w:rsid w:val="43603D96"/>
    <w:rsid w:val="437C4518"/>
    <w:rsid w:val="43900453"/>
    <w:rsid w:val="43AA4B1B"/>
    <w:rsid w:val="43AD25D6"/>
    <w:rsid w:val="43C42B78"/>
    <w:rsid w:val="43CB7C06"/>
    <w:rsid w:val="43CE514A"/>
    <w:rsid w:val="43D2785E"/>
    <w:rsid w:val="43D5393A"/>
    <w:rsid w:val="43EB0B8A"/>
    <w:rsid w:val="43F26816"/>
    <w:rsid w:val="441E0010"/>
    <w:rsid w:val="44352E99"/>
    <w:rsid w:val="445769C9"/>
    <w:rsid w:val="44637696"/>
    <w:rsid w:val="44740DA7"/>
    <w:rsid w:val="448160DE"/>
    <w:rsid w:val="44881E95"/>
    <w:rsid w:val="44894F93"/>
    <w:rsid w:val="44C7578F"/>
    <w:rsid w:val="44D31AB8"/>
    <w:rsid w:val="44D33BE7"/>
    <w:rsid w:val="44F92119"/>
    <w:rsid w:val="450E5498"/>
    <w:rsid w:val="45111167"/>
    <w:rsid w:val="4517597F"/>
    <w:rsid w:val="45442C68"/>
    <w:rsid w:val="454815E5"/>
    <w:rsid w:val="45544139"/>
    <w:rsid w:val="455C6204"/>
    <w:rsid w:val="455D72FE"/>
    <w:rsid w:val="456F4189"/>
    <w:rsid w:val="457C2033"/>
    <w:rsid w:val="45971DE8"/>
    <w:rsid w:val="45AA6F6F"/>
    <w:rsid w:val="45C50129"/>
    <w:rsid w:val="45CF47E4"/>
    <w:rsid w:val="45F70027"/>
    <w:rsid w:val="46084EB5"/>
    <w:rsid w:val="4609638B"/>
    <w:rsid w:val="4629258A"/>
    <w:rsid w:val="464A2500"/>
    <w:rsid w:val="46676379"/>
    <w:rsid w:val="466A125B"/>
    <w:rsid w:val="466B0DF4"/>
    <w:rsid w:val="46994235"/>
    <w:rsid w:val="46A2549B"/>
    <w:rsid w:val="46A95479"/>
    <w:rsid w:val="46AC6D17"/>
    <w:rsid w:val="46B856BC"/>
    <w:rsid w:val="46BE1992"/>
    <w:rsid w:val="46EA44EB"/>
    <w:rsid w:val="46F77B89"/>
    <w:rsid w:val="47255CCC"/>
    <w:rsid w:val="47291ADE"/>
    <w:rsid w:val="473E02B7"/>
    <w:rsid w:val="4743767B"/>
    <w:rsid w:val="4757256C"/>
    <w:rsid w:val="478A4765"/>
    <w:rsid w:val="47BC11DC"/>
    <w:rsid w:val="47BD4669"/>
    <w:rsid w:val="47E87AAF"/>
    <w:rsid w:val="47E90CDF"/>
    <w:rsid w:val="47F15329"/>
    <w:rsid w:val="481728B6"/>
    <w:rsid w:val="482657E1"/>
    <w:rsid w:val="484934BD"/>
    <w:rsid w:val="48627FD5"/>
    <w:rsid w:val="486A0BB4"/>
    <w:rsid w:val="487B3318"/>
    <w:rsid w:val="489E177B"/>
    <w:rsid w:val="48A3643A"/>
    <w:rsid w:val="48B93029"/>
    <w:rsid w:val="48DA45E2"/>
    <w:rsid w:val="48EB1D78"/>
    <w:rsid w:val="48FA1FBB"/>
    <w:rsid w:val="49150526"/>
    <w:rsid w:val="491A440C"/>
    <w:rsid w:val="49325BF9"/>
    <w:rsid w:val="493E4F53"/>
    <w:rsid w:val="49562804"/>
    <w:rsid w:val="496D1745"/>
    <w:rsid w:val="49726A4B"/>
    <w:rsid w:val="498868D5"/>
    <w:rsid w:val="498D72D3"/>
    <w:rsid w:val="49984EFD"/>
    <w:rsid w:val="49B0569C"/>
    <w:rsid w:val="49C469F4"/>
    <w:rsid w:val="49CE0794"/>
    <w:rsid w:val="4A024B1E"/>
    <w:rsid w:val="4A06197A"/>
    <w:rsid w:val="4A076C56"/>
    <w:rsid w:val="4A431F7F"/>
    <w:rsid w:val="4A5C3A7A"/>
    <w:rsid w:val="4A6A597E"/>
    <w:rsid w:val="4A711501"/>
    <w:rsid w:val="4AA659FB"/>
    <w:rsid w:val="4AAC19DB"/>
    <w:rsid w:val="4AAF0341"/>
    <w:rsid w:val="4ACE771B"/>
    <w:rsid w:val="4AD66542"/>
    <w:rsid w:val="4ADB07DF"/>
    <w:rsid w:val="4ADE5F63"/>
    <w:rsid w:val="4AE253FD"/>
    <w:rsid w:val="4AE64EED"/>
    <w:rsid w:val="4B097E96"/>
    <w:rsid w:val="4B105AC6"/>
    <w:rsid w:val="4B140ACE"/>
    <w:rsid w:val="4B4614E8"/>
    <w:rsid w:val="4B54430C"/>
    <w:rsid w:val="4B7B64DF"/>
    <w:rsid w:val="4B8B15F1"/>
    <w:rsid w:val="4BA10E14"/>
    <w:rsid w:val="4BB73B85"/>
    <w:rsid w:val="4BE032D5"/>
    <w:rsid w:val="4BF478AD"/>
    <w:rsid w:val="4BF84389"/>
    <w:rsid w:val="4C17384D"/>
    <w:rsid w:val="4C257A37"/>
    <w:rsid w:val="4C552A37"/>
    <w:rsid w:val="4C61693C"/>
    <w:rsid w:val="4C64712B"/>
    <w:rsid w:val="4C700EF1"/>
    <w:rsid w:val="4C760354"/>
    <w:rsid w:val="4C7622A1"/>
    <w:rsid w:val="4C870112"/>
    <w:rsid w:val="4C891B35"/>
    <w:rsid w:val="4CC94770"/>
    <w:rsid w:val="4CD4494E"/>
    <w:rsid w:val="4CE216E4"/>
    <w:rsid w:val="4D01600E"/>
    <w:rsid w:val="4D20222E"/>
    <w:rsid w:val="4D48432B"/>
    <w:rsid w:val="4D714816"/>
    <w:rsid w:val="4D7F6F33"/>
    <w:rsid w:val="4DA62A1D"/>
    <w:rsid w:val="4DDC1341"/>
    <w:rsid w:val="4DDE31B9"/>
    <w:rsid w:val="4DF50B78"/>
    <w:rsid w:val="4E11030D"/>
    <w:rsid w:val="4E5C26CE"/>
    <w:rsid w:val="4E644329"/>
    <w:rsid w:val="4E6938E7"/>
    <w:rsid w:val="4E6A5759"/>
    <w:rsid w:val="4E6D76D3"/>
    <w:rsid w:val="4E6F0D56"/>
    <w:rsid w:val="4E701DC0"/>
    <w:rsid w:val="4E7E543D"/>
    <w:rsid w:val="4E93713A"/>
    <w:rsid w:val="4EA26BC8"/>
    <w:rsid w:val="4EBB21ED"/>
    <w:rsid w:val="4ECA741E"/>
    <w:rsid w:val="4ED36DD5"/>
    <w:rsid w:val="4F006719"/>
    <w:rsid w:val="4F1D2EA8"/>
    <w:rsid w:val="4F2231C0"/>
    <w:rsid w:val="4F2E489B"/>
    <w:rsid w:val="4F3A1385"/>
    <w:rsid w:val="4F4C72E9"/>
    <w:rsid w:val="4F5166AD"/>
    <w:rsid w:val="4F5D25FD"/>
    <w:rsid w:val="4F643265"/>
    <w:rsid w:val="4F741231"/>
    <w:rsid w:val="4FB41D44"/>
    <w:rsid w:val="4FB93303"/>
    <w:rsid w:val="4FBC32D6"/>
    <w:rsid w:val="4FE30908"/>
    <w:rsid w:val="4FEC61F9"/>
    <w:rsid w:val="50101C63"/>
    <w:rsid w:val="50105D76"/>
    <w:rsid w:val="501D4402"/>
    <w:rsid w:val="502B5E6D"/>
    <w:rsid w:val="50A576C5"/>
    <w:rsid w:val="50B961A3"/>
    <w:rsid w:val="50BB3EFC"/>
    <w:rsid w:val="50BF6E81"/>
    <w:rsid w:val="50FF0870"/>
    <w:rsid w:val="5116195C"/>
    <w:rsid w:val="511C3DE5"/>
    <w:rsid w:val="513D513B"/>
    <w:rsid w:val="513E053E"/>
    <w:rsid w:val="513F080C"/>
    <w:rsid w:val="5142015D"/>
    <w:rsid w:val="518E2B89"/>
    <w:rsid w:val="51A206CC"/>
    <w:rsid w:val="51A86022"/>
    <w:rsid w:val="51B4522C"/>
    <w:rsid w:val="51D05F78"/>
    <w:rsid w:val="51FE3FDB"/>
    <w:rsid w:val="52140592"/>
    <w:rsid w:val="52205B00"/>
    <w:rsid w:val="52654DCD"/>
    <w:rsid w:val="52943481"/>
    <w:rsid w:val="52C2392B"/>
    <w:rsid w:val="52CD0741"/>
    <w:rsid w:val="52D719EE"/>
    <w:rsid w:val="52DA541F"/>
    <w:rsid w:val="52E23E17"/>
    <w:rsid w:val="52E361B6"/>
    <w:rsid w:val="5306542C"/>
    <w:rsid w:val="530A15C8"/>
    <w:rsid w:val="533662E6"/>
    <w:rsid w:val="53390376"/>
    <w:rsid w:val="533C1C56"/>
    <w:rsid w:val="534A52A6"/>
    <w:rsid w:val="535E4656"/>
    <w:rsid w:val="53796D79"/>
    <w:rsid w:val="53842532"/>
    <w:rsid w:val="53914B2C"/>
    <w:rsid w:val="53AB5DE1"/>
    <w:rsid w:val="53DC38BE"/>
    <w:rsid w:val="540A24A6"/>
    <w:rsid w:val="541D6439"/>
    <w:rsid w:val="54435924"/>
    <w:rsid w:val="546A09A4"/>
    <w:rsid w:val="549E4143"/>
    <w:rsid w:val="54A77BD0"/>
    <w:rsid w:val="54BF0D1B"/>
    <w:rsid w:val="54CE7798"/>
    <w:rsid w:val="54DE52B7"/>
    <w:rsid w:val="54E87AB4"/>
    <w:rsid w:val="552535BC"/>
    <w:rsid w:val="553813F1"/>
    <w:rsid w:val="554A6079"/>
    <w:rsid w:val="557E3F74"/>
    <w:rsid w:val="55821076"/>
    <w:rsid w:val="558C5339"/>
    <w:rsid w:val="55A25EB5"/>
    <w:rsid w:val="55A71617"/>
    <w:rsid w:val="55B101D6"/>
    <w:rsid w:val="55E55DA1"/>
    <w:rsid w:val="56020031"/>
    <w:rsid w:val="5604091D"/>
    <w:rsid w:val="56226FF5"/>
    <w:rsid w:val="56292132"/>
    <w:rsid w:val="562E7748"/>
    <w:rsid w:val="56493792"/>
    <w:rsid w:val="56562A21"/>
    <w:rsid w:val="565847C5"/>
    <w:rsid w:val="566477E9"/>
    <w:rsid w:val="56777341"/>
    <w:rsid w:val="567A06B3"/>
    <w:rsid w:val="568E48B9"/>
    <w:rsid w:val="56D402F0"/>
    <w:rsid w:val="571C3A45"/>
    <w:rsid w:val="572F4B71"/>
    <w:rsid w:val="575329D5"/>
    <w:rsid w:val="576959DB"/>
    <w:rsid w:val="57790E97"/>
    <w:rsid w:val="57B4461F"/>
    <w:rsid w:val="583F5C3D"/>
    <w:rsid w:val="5849381E"/>
    <w:rsid w:val="589870FB"/>
    <w:rsid w:val="589A5311"/>
    <w:rsid w:val="589F66DB"/>
    <w:rsid w:val="58F5602E"/>
    <w:rsid w:val="5918680C"/>
    <w:rsid w:val="594015B1"/>
    <w:rsid w:val="59554FEC"/>
    <w:rsid w:val="595A0DC1"/>
    <w:rsid w:val="596D4A2C"/>
    <w:rsid w:val="597638E0"/>
    <w:rsid w:val="599B0EFC"/>
    <w:rsid w:val="599C2C1B"/>
    <w:rsid w:val="599C7120"/>
    <w:rsid w:val="59BD150F"/>
    <w:rsid w:val="59BD511F"/>
    <w:rsid w:val="59F2174F"/>
    <w:rsid w:val="5A130C2C"/>
    <w:rsid w:val="5A392A01"/>
    <w:rsid w:val="5A39563D"/>
    <w:rsid w:val="5A5F4374"/>
    <w:rsid w:val="5A8B5169"/>
    <w:rsid w:val="5ADF2A17"/>
    <w:rsid w:val="5AE0581C"/>
    <w:rsid w:val="5AE96334"/>
    <w:rsid w:val="5AF13737"/>
    <w:rsid w:val="5AF53743"/>
    <w:rsid w:val="5B073D10"/>
    <w:rsid w:val="5B1E7AF4"/>
    <w:rsid w:val="5B2914F9"/>
    <w:rsid w:val="5B2F3729"/>
    <w:rsid w:val="5B31213F"/>
    <w:rsid w:val="5B5F2CA5"/>
    <w:rsid w:val="5B5F738D"/>
    <w:rsid w:val="5B9A6E73"/>
    <w:rsid w:val="5BA54009"/>
    <w:rsid w:val="5BC11E3D"/>
    <w:rsid w:val="5BC27B41"/>
    <w:rsid w:val="5BE43388"/>
    <w:rsid w:val="5BE71925"/>
    <w:rsid w:val="5BFE5A66"/>
    <w:rsid w:val="5C142F3C"/>
    <w:rsid w:val="5C167E2B"/>
    <w:rsid w:val="5C313040"/>
    <w:rsid w:val="5C643EC4"/>
    <w:rsid w:val="5C7D4F86"/>
    <w:rsid w:val="5C857737"/>
    <w:rsid w:val="5C8E14A9"/>
    <w:rsid w:val="5CCF1148"/>
    <w:rsid w:val="5CD53D28"/>
    <w:rsid w:val="5CE9389A"/>
    <w:rsid w:val="5CF718B7"/>
    <w:rsid w:val="5D02548B"/>
    <w:rsid w:val="5D0460DC"/>
    <w:rsid w:val="5D2366CB"/>
    <w:rsid w:val="5D3331A6"/>
    <w:rsid w:val="5D8A153C"/>
    <w:rsid w:val="5DB22C4A"/>
    <w:rsid w:val="5DDB6408"/>
    <w:rsid w:val="5DDC1EC7"/>
    <w:rsid w:val="5DE1497B"/>
    <w:rsid w:val="5E135BA1"/>
    <w:rsid w:val="5E1D1079"/>
    <w:rsid w:val="5E211941"/>
    <w:rsid w:val="5E58491E"/>
    <w:rsid w:val="5E6D59C3"/>
    <w:rsid w:val="5E8537C2"/>
    <w:rsid w:val="5E9341CF"/>
    <w:rsid w:val="5E93488E"/>
    <w:rsid w:val="5E9C0CBE"/>
    <w:rsid w:val="5ED13367"/>
    <w:rsid w:val="5EDA6373"/>
    <w:rsid w:val="5EF37781"/>
    <w:rsid w:val="5EF46D8B"/>
    <w:rsid w:val="5EF534E0"/>
    <w:rsid w:val="5F011E9E"/>
    <w:rsid w:val="5F0F0853"/>
    <w:rsid w:val="5F182D44"/>
    <w:rsid w:val="5F1A6ABC"/>
    <w:rsid w:val="5F5A15AE"/>
    <w:rsid w:val="5F7749A4"/>
    <w:rsid w:val="5F93686E"/>
    <w:rsid w:val="5F9C1BC7"/>
    <w:rsid w:val="5FA4371C"/>
    <w:rsid w:val="5FC4513D"/>
    <w:rsid w:val="5FFB68ED"/>
    <w:rsid w:val="601F4136"/>
    <w:rsid w:val="6022031E"/>
    <w:rsid w:val="60A32AE1"/>
    <w:rsid w:val="60AA69DE"/>
    <w:rsid w:val="60CE25B1"/>
    <w:rsid w:val="610A404B"/>
    <w:rsid w:val="61183C2B"/>
    <w:rsid w:val="614150DB"/>
    <w:rsid w:val="6151078F"/>
    <w:rsid w:val="615838CB"/>
    <w:rsid w:val="61695AD8"/>
    <w:rsid w:val="617D1400"/>
    <w:rsid w:val="61880654"/>
    <w:rsid w:val="61903A3C"/>
    <w:rsid w:val="61952D71"/>
    <w:rsid w:val="61BC46E9"/>
    <w:rsid w:val="61C24BFD"/>
    <w:rsid w:val="61E3018A"/>
    <w:rsid w:val="620D46B6"/>
    <w:rsid w:val="62145A44"/>
    <w:rsid w:val="626004E0"/>
    <w:rsid w:val="626549C9"/>
    <w:rsid w:val="62A50D92"/>
    <w:rsid w:val="62BB6808"/>
    <w:rsid w:val="634A483E"/>
    <w:rsid w:val="637A3FCD"/>
    <w:rsid w:val="6386335A"/>
    <w:rsid w:val="63882B27"/>
    <w:rsid w:val="63A236A6"/>
    <w:rsid w:val="63BB0870"/>
    <w:rsid w:val="63C51B85"/>
    <w:rsid w:val="63DA4A6C"/>
    <w:rsid w:val="642B45E0"/>
    <w:rsid w:val="64366989"/>
    <w:rsid w:val="64604EAC"/>
    <w:rsid w:val="64740A1C"/>
    <w:rsid w:val="648028DF"/>
    <w:rsid w:val="64805FF8"/>
    <w:rsid w:val="6481138B"/>
    <w:rsid w:val="64D7429C"/>
    <w:rsid w:val="650F3891"/>
    <w:rsid w:val="65184D52"/>
    <w:rsid w:val="651F2242"/>
    <w:rsid w:val="652E63B1"/>
    <w:rsid w:val="653D443F"/>
    <w:rsid w:val="65434447"/>
    <w:rsid w:val="65677A9C"/>
    <w:rsid w:val="656F7113"/>
    <w:rsid w:val="657F3C3F"/>
    <w:rsid w:val="65946EA6"/>
    <w:rsid w:val="65B80DDC"/>
    <w:rsid w:val="65D200F0"/>
    <w:rsid w:val="65E918A2"/>
    <w:rsid w:val="65F73581"/>
    <w:rsid w:val="65FA31A3"/>
    <w:rsid w:val="66457796"/>
    <w:rsid w:val="666A0329"/>
    <w:rsid w:val="66A5387A"/>
    <w:rsid w:val="66C25C39"/>
    <w:rsid w:val="66C2621A"/>
    <w:rsid w:val="66C32833"/>
    <w:rsid w:val="66D9725C"/>
    <w:rsid w:val="66F11EDD"/>
    <w:rsid w:val="66FE060F"/>
    <w:rsid w:val="67573E7B"/>
    <w:rsid w:val="67584625"/>
    <w:rsid w:val="6764746E"/>
    <w:rsid w:val="67656B1B"/>
    <w:rsid w:val="678054D1"/>
    <w:rsid w:val="678A0557"/>
    <w:rsid w:val="67902011"/>
    <w:rsid w:val="679542C8"/>
    <w:rsid w:val="67955879"/>
    <w:rsid w:val="67AE419D"/>
    <w:rsid w:val="67AF209E"/>
    <w:rsid w:val="67B22635"/>
    <w:rsid w:val="67B60664"/>
    <w:rsid w:val="67BE74C9"/>
    <w:rsid w:val="683769EB"/>
    <w:rsid w:val="683C6122"/>
    <w:rsid w:val="684C7A58"/>
    <w:rsid w:val="684F37DE"/>
    <w:rsid w:val="685F3791"/>
    <w:rsid w:val="686D1E60"/>
    <w:rsid w:val="688A1EA1"/>
    <w:rsid w:val="68AE714D"/>
    <w:rsid w:val="68B2669E"/>
    <w:rsid w:val="68CB6160"/>
    <w:rsid w:val="68DD0609"/>
    <w:rsid w:val="68E22B52"/>
    <w:rsid w:val="68EB131E"/>
    <w:rsid w:val="68F3373D"/>
    <w:rsid w:val="69182A19"/>
    <w:rsid w:val="691E1E3E"/>
    <w:rsid w:val="69277887"/>
    <w:rsid w:val="69277DCD"/>
    <w:rsid w:val="69764EE6"/>
    <w:rsid w:val="698C05B6"/>
    <w:rsid w:val="698C50B9"/>
    <w:rsid w:val="698E1753"/>
    <w:rsid w:val="69B642C0"/>
    <w:rsid w:val="69D47128"/>
    <w:rsid w:val="69F07ED0"/>
    <w:rsid w:val="69FE3890"/>
    <w:rsid w:val="6A10379F"/>
    <w:rsid w:val="6A4F72AA"/>
    <w:rsid w:val="6A636242"/>
    <w:rsid w:val="6A7A0A2B"/>
    <w:rsid w:val="6A7F636D"/>
    <w:rsid w:val="6A9040D6"/>
    <w:rsid w:val="6A982DA4"/>
    <w:rsid w:val="6AB161D5"/>
    <w:rsid w:val="6AC67AF8"/>
    <w:rsid w:val="6ADE7537"/>
    <w:rsid w:val="6AF26B3F"/>
    <w:rsid w:val="6B07083C"/>
    <w:rsid w:val="6B0A0356"/>
    <w:rsid w:val="6B133F99"/>
    <w:rsid w:val="6B171379"/>
    <w:rsid w:val="6B221B0E"/>
    <w:rsid w:val="6B262B10"/>
    <w:rsid w:val="6B272C8C"/>
    <w:rsid w:val="6B426B13"/>
    <w:rsid w:val="6B59096C"/>
    <w:rsid w:val="6B6F0725"/>
    <w:rsid w:val="6B7A5449"/>
    <w:rsid w:val="6B9419A4"/>
    <w:rsid w:val="6B954940"/>
    <w:rsid w:val="6BC4672D"/>
    <w:rsid w:val="6C0633D2"/>
    <w:rsid w:val="6C122EBF"/>
    <w:rsid w:val="6C364F34"/>
    <w:rsid w:val="6C3A4520"/>
    <w:rsid w:val="6C6204DD"/>
    <w:rsid w:val="6C6B60B5"/>
    <w:rsid w:val="6C7543E1"/>
    <w:rsid w:val="6C7D42B4"/>
    <w:rsid w:val="6C8A3E98"/>
    <w:rsid w:val="6C963B87"/>
    <w:rsid w:val="6CA96079"/>
    <w:rsid w:val="6CAC1F8A"/>
    <w:rsid w:val="6CAD0F6F"/>
    <w:rsid w:val="6CC81EA4"/>
    <w:rsid w:val="6CD15AD6"/>
    <w:rsid w:val="6CE17B08"/>
    <w:rsid w:val="6CEB1759"/>
    <w:rsid w:val="6D1000FF"/>
    <w:rsid w:val="6D171F4F"/>
    <w:rsid w:val="6D37776E"/>
    <w:rsid w:val="6D65184A"/>
    <w:rsid w:val="6D69517B"/>
    <w:rsid w:val="6D785A21"/>
    <w:rsid w:val="6D895E36"/>
    <w:rsid w:val="6DD644F6"/>
    <w:rsid w:val="6E030F65"/>
    <w:rsid w:val="6E9879FD"/>
    <w:rsid w:val="6EC72090"/>
    <w:rsid w:val="6EC8214A"/>
    <w:rsid w:val="6F104F06"/>
    <w:rsid w:val="6F1976C8"/>
    <w:rsid w:val="6F1D055D"/>
    <w:rsid w:val="6F2170FF"/>
    <w:rsid w:val="6F377689"/>
    <w:rsid w:val="6F4A0A27"/>
    <w:rsid w:val="6F634051"/>
    <w:rsid w:val="6F926779"/>
    <w:rsid w:val="6FAD104F"/>
    <w:rsid w:val="6FE76018"/>
    <w:rsid w:val="6FF679D9"/>
    <w:rsid w:val="6FFC5967"/>
    <w:rsid w:val="70021CEB"/>
    <w:rsid w:val="703412AA"/>
    <w:rsid w:val="704838FD"/>
    <w:rsid w:val="7051785A"/>
    <w:rsid w:val="7066454C"/>
    <w:rsid w:val="70671D7D"/>
    <w:rsid w:val="706A7307"/>
    <w:rsid w:val="7076627E"/>
    <w:rsid w:val="707F6878"/>
    <w:rsid w:val="70893AA1"/>
    <w:rsid w:val="709119F6"/>
    <w:rsid w:val="70AF7F0C"/>
    <w:rsid w:val="70BC644D"/>
    <w:rsid w:val="70CF1D8A"/>
    <w:rsid w:val="70D16063"/>
    <w:rsid w:val="70F562D7"/>
    <w:rsid w:val="710D6480"/>
    <w:rsid w:val="713D64DC"/>
    <w:rsid w:val="714A1292"/>
    <w:rsid w:val="7154354A"/>
    <w:rsid w:val="7169742F"/>
    <w:rsid w:val="718720E0"/>
    <w:rsid w:val="71941D4C"/>
    <w:rsid w:val="719426FE"/>
    <w:rsid w:val="71E60A7F"/>
    <w:rsid w:val="71F7318A"/>
    <w:rsid w:val="720634E7"/>
    <w:rsid w:val="72094B9E"/>
    <w:rsid w:val="721A3870"/>
    <w:rsid w:val="724A31D9"/>
    <w:rsid w:val="724F3AC4"/>
    <w:rsid w:val="72873F22"/>
    <w:rsid w:val="728E35F1"/>
    <w:rsid w:val="72BF7C4E"/>
    <w:rsid w:val="72DB435C"/>
    <w:rsid w:val="731750C1"/>
    <w:rsid w:val="73631CAF"/>
    <w:rsid w:val="737C6513"/>
    <w:rsid w:val="73951ECB"/>
    <w:rsid w:val="739641CD"/>
    <w:rsid w:val="73A11102"/>
    <w:rsid w:val="73AA32A8"/>
    <w:rsid w:val="73DA313D"/>
    <w:rsid w:val="73F76C73"/>
    <w:rsid w:val="74033B6B"/>
    <w:rsid w:val="740C0054"/>
    <w:rsid w:val="745272B0"/>
    <w:rsid w:val="746135D3"/>
    <w:rsid w:val="747B5DF7"/>
    <w:rsid w:val="74825670"/>
    <w:rsid w:val="7493410F"/>
    <w:rsid w:val="74955C8D"/>
    <w:rsid w:val="74C104FD"/>
    <w:rsid w:val="74CC297A"/>
    <w:rsid w:val="74EB6AD9"/>
    <w:rsid w:val="752A6976"/>
    <w:rsid w:val="753541F8"/>
    <w:rsid w:val="755B467D"/>
    <w:rsid w:val="756845CD"/>
    <w:rsid w:val="7577036C"/>
    <w:rsid w:val="75781DD0"/>
    <w:rsid w:val="758249F1"/>
    <w:rsid w:val="75824D9D"/>
    <w:rsid w:val="758C7D84"/>
    <w:rsid w:val="759E1430"/>
    <w:rsid w:val="75AB1C93"/>
    <w:rsid w:val="75B258B6"/>
    <w:rsid w:val="75BF6A65"/>
    <w:rsid w:val="76073557"/>
    <w:rsid w:val="761B163F"/>
    <w:rsid w:val="761F3505"/>
    <w:rsid w:val="763A5D31"/>
    <w:rsid w:val="76425E45"/>
    <w:rsid w:val="76433FDA"/>
    <w:rsid w:val="76486327"/>
    <w:rsid w:val="76695DFA"/>
    <w:rsid w:val="76766876"/>
    <w:rsid w:val="76810114"/>
    <w:rsid w:val="768B4278"/>
    <w:rsid w:val="76C23869"/>
    <w:rsid w:val="76CD1CB0"/>
    <w:rsid w:val="76E41762"/>
    <w:rsid w:val="76E46ECE"/>
    <w:rsid w:val="76F37EC6"/>
    <w:rsid w:val="77075720"/>
    <w:rsid w:val="7717316E"/>
    <w:rsid w:val="775C3E6A"/>
    <w:rsid w:val="77603777"/>
    <w:rsid w:val="77786406"/>
    <w:rsid w:val="77901BB9"/>
    <w:rsid w:val="779B3C6B"/>
    <w:rsid w:val="77AB5706"/>
    <w:rsid w:val="77BD3D54"/>
    <w:rsid w:val="77C7479C"/>
    <w:rsid w:val="780D4FB8"/>
    <w:rsid w:val="78222A54"/>
    <w:rsid w:val="786D6438"/>
    <w:rsid w:val="787B3EF7"/>
    <w:rsid w:val="787D26D8"/>
    <w:rsid w:val="788E3223"/>
    <w:rsid w:val="78CF287F"/>
    <w:rsid w:val="78E06AB0"/>
    <w:rsid w:val="798E0318"/>
    <w:rsid w:val="79984D55"/>
    <w:rsid w:val="79AF62F8"/>
    <w:rsid w:val="79BD5DDD"/>
    <w:rsid w:val="79E166FC"/>
    <w:rsid w:val="79ED6E4F"/>
    <w:rsid w:val="79F857F4"/>
    <w:rsid w:val="7A0D2DBC"/>
    <w:rsid w:val="7A1F0FD2"/>
    <w:rsid w:val="7A2465E9"/>
    <w:rsid w:val="7A326EC1"/>
    <w:rsid w:val="7A4B626B"/>
    <w:rsid w:val="7A721678"/>
    <w:rsid w:val="7A752F65"/>
    <w:rsid w:val="7AC415A1"/>
    <w:rsid w:val="7AD93877"/>
    <w:rsid w:val="7ADB3C24"/>
    <w:rsid w:val="7B192E57"/>
    <w:rsid w:val="7B3E43EA"/>
    <w:rsid w:val="7B5B0730"/>
    <w:rsid w:val="7B740B29"/>
    <w:rsid w:val="7B7D62B0"/>
    <w:rsid w:val="7B831833"/>
    <w:rsid w:val="7B9F061D"/>
    <w:rsid w:val="7BA1047B"/>
    <w:rsid w:val="7BE9694A"/>
    <w:rsid w:val="7BF53DED"/>
    <w:rsid w:val="7BFC0690"/>
    <w:rsid w:val="7C10112E"/>
    <w:rsid w:val="7C1D50F5"/>
    <w:rsid w:val="7C4756F7"/>
    <w:rsid w:val="7C4A2F57"/>
    <w:rsid w:val="7C6070F8"/>
    <w:rsid w:val="7C6106D5"/>
    <w:rsid w:val="7C610CB9"/>
    <w:rsid w:val="7C6151AF"/>
    <w:rsid w:val="7C867CD4"/>
    <w:rsid w:val="7CA35C53"/>
    <w:rsid w:val="7CAF3149"/>
    <w:rsid w:val="7CBD556F"/>
    <w:rsid w:val="7CC540BD"/>
    <w:rsid w:val="7CD2057E"/>
    <w:rsid w:val="7D187ED3"/>
    <w:rsid w:val="7D1E37C3"/>
    <w:rsid w:val="7D344AB3"/>
    <w:rsid w:val="7D3B0F76"/>
    <w:rsid w:val="7D423759"/>
    <w:rsid w:val="7D477A69"/>
    <w:rsid w:val="7D5E4872"/>
    <w:rsid w:val="7D695F1A"/>
    <w:rsid w:val="7D712C70"/>
    <w:rsid w:val="7D816BD7"/>
    <w:rsid w:val="7D821FA4"/>
    <w:rsid w:val="7D847ACA"/>
    <w:rsid w:val="7D925508"/>
    <w:rsid w:val="7DD956AA"/>
    <w:rsid w:val="7E214310"/>
    <w:rsid w:val="7E224C88"/>
    <w:rsid w:val="7E260070"/>
    <w:rsid w:val="7E2D5B39"/>
    <w:rsid w:val="7E42351F"/>
    <w:rsid w:val="7E7E6C0F"/>
    <w:rsid w:val="7EC578B9"/>
    <w:rsid w:val="7ECB1EA2"/>
    <w:rsid w:val="7ED160D1"/>
    <w:rsid w:val="7ED841FD"/>
    <w:rsid w:val="7EDB5E10"/>
    <w:rsid w:val="7EEE1A20"/>
    <w:rsid w:val="7EEE3521"/>
    <w:rsid w:val="7F1A34C9"/>
    <w:rsid w:val="7F2B4D67"/>
    <w:rsid w:val="7F4C7921"/>
    <w:rsid w:val="7F7B314F"/>
    <w:rsid w:val="7F9F5A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iPriority="99"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Times New Roman" w:cs="Times New Roman"/>
      <w:color w:val="000000"/>
      <w:sz w:val="24"/>
      <w:szCs w:val="24"/>
      <w:lang w:val="en-US" w:eastAsia="en-US" w:bidi="en-US"/>
    </w:rPr>
  </w:style>
  <w:style w:type="paragraph" w:styleId="2">
    <w:name w:val="heading 1"/>
    <w:basedOn w:val="1"/>
    <w:next w:val="1"/>
    <w:qFormat/>
    <w:uiPriority w:val="0"/>
    <w:pPr>
      <w:keepNext/>
      <w:keepLines/>
      <w:spacing w:line="360" w:lineRule="auto"/>
      <w:jc w:val="center"/>
      <w:outlineLvl w:val="0"/>
    </w:pPr>
    <w:rPr>
      <w:b/>
      <w:bCs/>
      <w:kern w:val="44"/>
      <w:sz w:val="44"/>
      <w:szCs w:val="44"/>
    </w:rPr>
  </w:style>
  <w:style w:type="paragraph" w:styleId="3">
    <w:name w:val="heading 2"/>
    <w:basedOn w:val="1"/>
    <w:next w:val="1"/>
    <w:qFormat/>
    <w:uiPriority w:val="0"/>
    <w:pPr>
      <w:tabs>
        <w:tab w:val="left" w:pos="540"/>
      </w:tabs>
      <w:adjustRightInd w:val="0"/>
      <w:snapToGrid w:val="0"/>
      <w:spacing w:line="360" w:lineRule="auto"/>
      <w:jc w:val="center"/>
      <w:outlineLvl w:val="1"/>
    </w:pPr>
    <w:rPr>
      <w:rFonts w:ascii="Arial" w:hAnsi="Arial"/>
      <w:b/>
      <w:sz w:val="28"/>
      <w:szCs w:val="20"/>
    </w:rPr>
  </w:style>
  <w:style w:type="paragraph" w:styleId="4">
    <w:name w:val="heading 3"/>
    <w:basedOn w:val="1"/>
    <w:next w:val="1"/>
    <w:qFormat/>
    <w:uiPriority w:val="9"/>
    <w:pPr>
      <w:keepNext/>
      <w:keepLines/>
      <w:spacing w:before="260" w:after="260" w:line="416" w:lineRule="auto"/>
      <w:outlineLvl w:val="2"/>
    </w:pPr>
    <w:rPr>
      <w:b/>
      <w:bCs/>
      <w:sz w:val="32"/>
      <w:szCs w:val="32"/>
    </w:rPr>
  </w:style>
  <w:style w:type="paragraph" w:styleId="5">
    <w:name w:val="heading 4"/>
    <w:basedOn w:val="1"/>
    <w:next w:val="1"/>
    <w:unhideWhenUsed/>
    <w:qFormat/>
    <w:uiPriority w:val="0"/>
    <w:pPr>
      <w:keepNext/>
      <w:keepLines/>
      <w:numPr>
        <w:ilvl w:val="3"/>
        <w:numId w:val="1"/>
      </w:numPr>
      <w:spacing w:beforeLines="0" w:beforeAutospacing="0" w:afterLines="0" w:afterAutospacing="0" w:line="560" w:lineRule="exact"/>
      <w:ind w:firstLine="880" w:firstLineChars="200"/>
      <w:outlineLvl w:val="3"/>
    </w:pPr>
    <w:rPr>
      <w:rFonts w:ascii="Times New Roman" w:hAnsi="Times New Roman" w:eastAsia="仿宋_GB2312"/>
      <w:b/>
      <w:sz w:val="28"/>
    </w:rPr>
  </w:style>
  <w:style w:type="character" w:default="1" w:styleId="27">
    <w:name w:val="Default Paragraph Font"/>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6">
    <w:name w:val="Normal Indent"/>
    <w:basedOn w:val="1"/>
    <w:next w:val="7"/>
    <w:qFormat/>
    <w:uiPriority w:val="0"/>
    <w:pPr>
      <w:autoSpaceDE w:val="0"/>
      <w:autoSpaceDN w:val="0"/>
      <w:adjustRightInd w:val="0"/>
      <w:ind w:firstLine="420"/>
    </w:pPr>
    <w:rPr>
      <w:rFonts w:ascii="宋体"/>
      <w:szCs w:val="20"/>
    </w:rPr>
  </w:style>
  <w:style w:type="paragraph" w:styleId="7">
    <w:name w:val="toa heading"/>
    <w:basedOn w:val="1"/>
    <w:next w:val="1"/>
    <w:qFormat/>
    <w:uiPriority w:val="0"/>
    <w:pPr>
      <w:spacing w:before="120"/>
    </w:pPr>
    <w:rPr>
      <w:rFonts w:ascii="Cambria" w:hAnsi="Cambria"/>
      <w:szCs w:val="20"/>
    </w:rPr>
  </w:style>
  <w:style w:type="paragraph" w:styleId="8">
    <w:name w:val="Body Text"/>
    <w:basedOn w:val="1"/>
    <w:qFormat/>
    <w:uiPriority w:val="99"/>
    <w:pPr>
      <w:numPr>
        <w:ilvl w:val="0"/>
        <w:numId w:val="2"/>
      </w:numPr>
      <w:tabs>
        <w:tab w:val="clear" w:pos="780"/>
      </w:tabs>
      <w:ind w:left="0" w:firstLine="0"/>
    </w:pPr>
    <w:rPr>
      <w:rFonts w:ascii="黑体" w:eastAsia="黑体"/>
      <w:sz w:val="22"/>
    </w:rPr>
  </w:style>
  <w:style w:type="paragraph" w:styleId="9">
    <w:name w:val="Body Text Indent"/>
    <w:basedOn w:val="1"/>
    <w:next w:val="1"/>
    <w:qFormat/>
    <w:uiPriority w:val="0"/>
    <w:pPr>
      <w:spacing w:after="120"/>
      <w:ind w:left="200" w:leftChars="200"/>
    </w:pPr>
  </w:style>
  <w:style w:type="paragraph" w:styleId="10">
    <w:name w:val="Plain Text"/>
    <w:basedOn w:val="1"/>
    <w:next w:val="11"/>
    <w:qFormat/>
    <w:uiPriority w:val="0"/>
    <w:rPr>
      <w:rFonts w:ascii="宋体"/>
      <w:szCs w:val="20"/>
      <w:u w:color="000000"/>
    </w:rPr>
  </w:style>
  <w:style w:type="paragraph" w:styleId="11">
    <w:name w:val="index 7"/>
    <w:basedOn w:val="1"/>
    <w:next w:val="1"/>
    <w:qFormat/>
    <w:uiPriority w:val="0"/>
    <w:pPr>
      <w:ind w:left="1200" w:leftChars="1200"/>
    </w:pPr>
    <w:rPr>
      <w:color w:val="auto"/>
      <w:kern w:val="2"/>
    </w:rPr>
  </w:style>
  <w:style w:type="paragraph" w:styleId="12">
    <w:name w:val="Date"/>
    <w:basedOn w:val="1"/>
    <w:next w:val="1"/>
    <w:qFormat/>
    <w:uiPriority w:val="0"/>
    <w:rPr>
      <w:rFonts w:ascii="Arial" w:hAnsi="Arial" w:eastAsia="仿宋_GB2312"/>
      <w:sz w:val="32"/>
      <w:szCs w:val="20"/>
      <w:u w:color="000000"/>
    </w:rPr>
  </w:style>
  <w:style w:type="paragraph" w:styleId="13">
    <w:name w:val="Balloon Text"/>
    <w:basedOn w:val="1"/>
    <w:qFormat/>
    <w:uiPriority w:val="0"/>
    <w:rPr>
      <w:sz w:val="18"/>
      <w:szCs w:val="18"/>
    </w:rPr>
  </w:style>
  <w:style w:type="paragraph" w:styleId="14">
    <w:name w:val="footer"/>
    <w:basedOn w:val="1"/>
    <w:qFormat/>
    <w:uiPriority w:val="0"/>
    <w:pPr>
      <w:tabs>
        <w:tab w:val="center" w:pos="4153"/>
        <w:tab w:val="right" w:pos="8306"/>
      </w:tabs>
      <w:snapToGrid w:val="0"/>
    </w:pPr>
    <w:rPr>
      <w:sz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6">
    <w:name w:val="toc 1"/>
    <w:basedOn w:val="1"/>
    <w:next w:val="1"/>
    <w:qFormat/>
    <w:uiPriority w:val="0"/>
    <w:pPr>
      <w:widowControl/>
      <w:spacing w:after="100" w:line="276" w:lineRule="auto"/>
      <w:jc w:val="left"/>
    </w:pPr>
    <w:rPr>
      <w:kern w:val="0"/>
      <w:sz w:val="22"/>
    </w:rPr>
  </w:style>
  <w:style w:type="paragraph" w:styleId="17">
    <w:name w:val="List"/>
    <w:basedOn w:val="1"/>
    <w:qFormat/>
    <w:uiPriority w:val="0"/>
    <w:pPr>
      <w:adjustRightInd/>
      <w:snapToGrid/>
      <w:spacing w:after="0"/>
      <w:ind w:left="200" w:hanging="200" w:hangingChars="200"/>
      <w:contextualSpacing/>
    </w:pPr>
    <w:rPr>
      <w:rFonts w:ascii="Times New Roman" w:hAnsi="Times New Roman" w:eastAsia="宋体"/>
      <w:sz w:val="20"/>
      <w:szCs w:val="20"/>
    </w:rPr>
  </w:style>
  <w:style w:type="paragraph" w:styleId="18">
    <w:name w:val="footnote text"/>
    <w:basedOn w:val="1"/>
    <w:semiHidden/>
    <w:unhideWhenUsed/>
    <w:qFormat/>
    <w:uiPriority w:val="99"/>
    <w:pPr>
      <w:snapToGrid w:val="0"/>
    </w:pPr>
    <w:rPr>
      <w:sz w:val="18"/>
      <w:szCs w:val="18"/>
    </w:rPr>
  </w:style>
  <w:style w:type="paragraph" w:styleId="19">
    <w:name w:val="Body Text 2"/>
    <w:basedOn w:val="1"/>
    <w:qFormat/>
    <w:uiPriority w:val="0"/>
    <w:pPr>
      <w:tabs>
        <w:tab w:val="left" w:pos="0"/>
      </w:tabs>
      <w:spacing w:line="400" w:lineRule="atLeast"/>
    </w:pPr>
    <w:rPr>
      <w:rFonts w:ascii="Arial" w:hAnsi="Arial"/>
    </w:rPr>
  </w:style>
  <w:style w:type="paragraph" w:styleId="20">
    <w:name w:val="Normal (Web)"/>
    <w:basedOn w:val="1"/>
    <w:next w:val="21"/>
    <w:qFormat/>
    <w:uiPriority w:val="99"/>
    <w:pPr>
      <w:widowControl/>
    </w:pPr>
    <w:rPr>
      <w:rFonts w:ascii="宋体" w:hAnsi="宋体" w:eastAsia="宋体" w:cs="宋体"/>
    </w:rPr>
  </w:style>
  <w:style w:type="paragraph" w:customStyle="1" w:styleId="21">
    <w:name w:val="目录 41"/>
    <w:next w:val="1"/>
    <w:autoRedefine/>
    <w:qFormat/>
    <w:uiPriority w:val="0"/>
    <w:pPr>
      <w:wordWrap w:val="0"/>
      <w:ind w:left="1275"/>
      <w:jc w:val="both"/>
    </w:pPr>
    <w:rPr>
      <w:rFonts w:ascii="Times New Roman" w:hAnsi="Times New Roman" w:eastAsia="宋体" w:cs="Times New Roman"/>
      <w:sz w:val="21"/>
      <w:lang w:val="en-US" w:eastAsia="zh-CN" w:bidi="ar-SA"/>
    </w:rPr>
  </w:style>
  <w:style w:type="paragraph" w:styleId="22">
    <w:name w:val="Title"/>
    <w:basedOn w:val="1"/>
    <w:next w:val="1"/>
    <w:qFormat/>
    <w:uiPriority w:val="0"/>
    <w:pPr>
      <w:spacing w:before="240" w:after="60"/>
      <w:jc w:val="center"/>
      <w:outlineLvl w:val="0"/>
    </w:pPr>
    <w:rPr>
      <w:rFonts w:ascii="Cambria" w:hAnsi="Cambria"/>
      <w:b/>
      <w:bCs/>
      <w:sz w:val="32"/>
      <w:szCs w:val="32"/>
    </w:rPr>
  </w:style>
  <w:style w:type="paragraph" w:styleId="23">
    <w:name w:val="Body Text First Indent"/>
    <w:basedOn w:val="8"/>
    <w:qFormat/>
    <w:uiPriority w:val="0"/>
    <w:pPr>
      <w:tabs>
        <w:tab w:val="left" w:pos="780"/>
      </w:tabs>
      <w:spacing w:after="220" w:afterLines="0" w:line="220" w:lineRule="atLeast"/>
      <w:ind w:firstLine="420"/>
    </w:pPr>
    <w:rPr>
      <w:rFonts w:ascii="Times New Roman" w:hAnsi="Times New Roman" w:eastAsia="宋体" w:cs="Times New Roman"/>
      <w:sz w:val="21"/>
      <w:szCs w:val="20"/>
    </w:rPr>
  </w:style>
  <w:style w:type="paragraph" w:styleId="24">
    <w:name w:val="Body Text First Indent 2"/>
    <w:basedOn w:val="9"/>
    <w:qFormat/>
    <w:uiPriority w:val="0"/>
    <w:pPr>
      <w:ind w:firstLine="420" w:firstLineChars="200"/>
    </w:pPr>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Strong"/>
    <w:basedOn w:val="27"/>
    <w:qFormat/>
    <w:uiPriority w:val="0"/>
    <w:rPr>
      <w:b/>
      <w:bCs/>
    </w:rPr>
  </w:style>
  <w:style w:type="character" w:styleId="29">
    <w:name w:val="Hyperlink"/>
    <w:qFormat/>
    <w:uiPriority w:val="99"/>
    <w:rPr>
      <w:color w:val="0000FF"/>
      <w:u w:val="single"/>
    </w:rPr>
  </w:style>
  <w:style w:type="character" w:styleId="30">
    <w:name w:val="footnote reference"/>
    <w:basedOn w:val="27"/>
    <w:semiHidden/>
    <w:unhideWhenUsed/>
    <w:qFormat/>
    <w:uiPriority w:val="99"/>
    <w:rPr>
      <w:vertAlign w:val="superscript"/>
    </w:rPr>
  </w:style>
  <w:style w:type="paragraph" w:customStyle="1" w:styleId="31">
    <w:name w:val="_Style 2"/>
    <w:basedOn w:val="2"/>
    <w:next w:val="1"/>
    <w:qFormat/>
    <w:uiPriority w:val="39"/>
    <w:pPr>
      <w:widowControl/>
      <w:tabs>
        <w:tab w:val="left" w:pos="715"/>
      </w:tabs>
      <w:spacing w:before="480" w:line="276" w:lineRule="auto"/>
      <w:jc w:val="left"/>
      <w:outlineLvl w:val="9"/>
    </w:pPr>
    <w:rPr>
      <w:rFonts w:ascii="Cambria" w:hAnsi="Cambria" w:eastAsia="宋体"/>
      <w:color w:val="365F91"/>
      <w:kern w:val="0"/>
      <w:sz w:val="28"/>
      <w:szCs w:val="28"/>
    </w:rPr>
  </w:style>
  <w:style w:type="paragraph" w:customStyle="1" w:styleId="32">
    <w:name w:val="Default"/>
    <w:basedOn w:val="22"/>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3">
    <w:name w:val="样式 样式 左侧:  2 字符 + 左侧:  0.85 厘米 首行缩进:  2 字符1"/>
    <w:basedOn w:val="1"/>
    <w:qFormat/>
    <w:uiPriority w:val="0"/>
    <w:pPr>
      <w:ind w:left="482" w:firstLine="200" w:firstLineChars="200"/>
    </w:pPr>
    <w:rPr>
      <w:rFonts w:cs="宋体"/>
      <w:szCs w:val="20"/>
    </w:rPr>
  </w:style>
  <w:style w:type="paragraph" w:customStyle="1" w:styleId="34">
    <w:name w:val="_Style 1"/>
    <w:qFormat/>
    <w:uiPriority w:val="99"/>
    <w:pPr>
      <w:widowControl w:val="0"/>
      <w:jc w:val="both"/>
    </w:pPr>
    <w:rPr>
      <w:rFonts w:ascii="Calibri" w:hAnsi="Calibri" w:eastAsia="宋体" w:cs="Calibri"/>
      <w:kern w:val="2"/>
      <w:sz w:val="21"/>
      <w:szCs w:val="21"/>
      <w:lang w:val="en-US" w:eastAsia="zh-CN" w:bidi="ar-SA"/>
    </w:rPr>
  </w:style>
  <w:style w:type="paragraph" w:customStyle="1" w:styleId="35">
    <w:name w:val="大标题"/>
    <w:basedOn w:val="1"/>
    <w:next w:val="24"/>
    <w:qFormat/>
    <w:uiPriority w:val="0"/>
    <w:pPr>
      <w:jc w:val="center"/>
    </w:pPr>
    <w:rPr>
      <w:rFonts w:ascii="Arial" w:hAnsi="Arial" w:eastAsia="宋体" w:cs="Times New Roman"/>
      <w:b/>
      <w:sz w:val="28"/>
      <w:szCs w:val="24"/>
    </w:rPr>
  </w:style>
  <w:style w:type="paragraph" w:customStyle="1" w:styleId="36">
    <w:name w:val="样式 首行缩进:  2 字符"/>
    <w:basedOn w:val="1"/>
    <w:qFormat/>
    <w:uiPriority w:val="0"/>
    <w:pPr>
      <w:spacing w:line="360" w:lineRule="auto"/>
      <w:ind w:firstLine="480" w:firstLineChars="200"/>
    </w:pPr>
    <w:rPr>
      <w:rFonts w:ascii="宋体" w:hAnsi="宋体" w:cs="宋体"/>
      <w:szCs w:val="20"/>
    </w:rPr>
  </w:style>
  <w:style w:type="paragraph" w:customStyle="1" w:styleId="37">
    <w:name w:val="正文格式"/>
    <w:basedOn w:val="1"/>
    <w:qFormat/>
    <w:uiPriority w:val="99"/>
    <w:pPr>
      <w:widowControl/>
      <w:adjustRightInd w:val="0"/>
      <w:snapToGrid w:val="0"/>
      <w:spacing w:line="400" w:lineRule="atLeast"/>
      <w:ind w:firstLine="482"/>
      <w:textAlignment w:val="baseline"/>
    </w:pPr>
  </w:style>
  <w:style w:type="paragraph" w:customStyle="1" w:styleId="38">
    <w:name w:val="文档正文"/>
    <w:basedOn w:val="6"/>
    <w:qFormat/>
    <w:uiPriority w:val="0"/>
    <w:pPr>
      <w:spacing w:line="360" w:lineRule="auto"/>
    </w:pPr>
    <w:rPr>
      <w:rFonts w:hAnsi="宋体"/>
      <w:b/>
      <w:bCs/>
    </w:rPr>
  </w:style>
  <w:style w:type="paragraph" w:customStyle="1" w:styleId="39">
    <w:name w:val="Heading #2|1"/>
    <w:basedOn w:val="1"/>
    <w:qFormat/>
    <w:uiPriority w:val="0"/>
    <w:pPr>
      <w:spacing w:before="60" w:after="270"/>
      <w:jc w:val="center"/>
      <w:outlineLvl w:val="1"/>
    </w:pPr>
    <w:rPr>
      <w:rFonts w:ascii="宋体" w:hAnsi="宋体" w:eastAsia="宋体" w:cs="宋体"/>
      <w:sz w:val="36"/>
      <w:szCs w:val="36"/>
      <w:lang w:val="zh-TW" w:eastAsia="zh-TW" w:bidi="zh-TW"/>
    </w:rPr>
  </w:style>
  <w:style w:type="paragraph" w:customStyle="1" w:styleId="40">
    <w:name w:val="Body text|2"/>
    <w:basedOn w:val="1"/>
    <w:qFormat/>
    <w:uiPriority w:val="0"/>
    <w:pPr>
      <w:spacing w:after="260"/>
      <w:ind w:firstLine="140"/>
    </w:pPr>
    <w:rPr>
      <w:rFonts w:ascii="宋体" w:hAnsi="宋体" w:eastAsia="宋体" w:cs="宋体"/>
      <w:sz w:val="30"/>
      <w:szCs w:val="30"/>
      <w:lang w:val="zh-TW" w:eastAsia="zh-TW" w:bidi="zh-TW"/>
    </w:rPr>
  </w:style>
  <w:style w:type="paragraph" w:customStyle="1" w:styleId="41">
    <w:name w:val="Body text|1"/>
    <w:basedOn w:val="1"/>
    <w:qFormat/>
    <w:uiPriority w:val="0"/>
    <w:pPr>
      <w:spacing w:line="454" w:lineRule="auto"/>
      <w:ind w:firstLine="140"/>
    </w:pPr>
    <w:rPr>
      <w:rFonts w:ascii="宋体" w:hAnsi="宋体" w:eastAsia="宋体" w:cs="宋体"/>
      <w:sz w:val="22"/>
      <w:szCs w:val="22"/>
      <w:lang w:val="zh-TW" w:eastAsia="zh-TW" w:bidi="zh-TW"/>
    </w:rPr>
  </w:style>
  <w:style w:type="paragraph" w:customStyle="1" w:styleId="42">
    <w:name w:val="Other|1"/>
    <w:basedOn w:val="1"/>
    <w:qFormat/>
    <w:uiPriority w:val="0"/>
    <w:pPr>
      <w:spacing w:line="454" w:lineRule="auto"/>
      <w:ind w:firstLine="140"/>
    </w:pPr>
    <w:rPr>
      <w:rFonts w:ascii="宋体" w:hAnsi="宋体" w:eastAsia="宋体" w:cs="宋体"/>
      <w:sz w:val="22"/>
      <w:szCs w:val="22"/>
      <w:lang w:val="zh-TW" w:eastAsia="zh-TW" w:bidi="zh-TW"/>
    </w:rPr>
  </w:style>
  <w:style w:type="paragraph" w:customStyle="1" w:styleId="43">
    <w:name w:val="Table caption|1"/>
    <w:basedOn w:val="1"/>
    <w:qFormat/>
    <w:uiPriority w:val="0"/>
    <w:rPr>
      <w:rFonts w:ascii="宋体" w:hAnsi="宋体" w:eastAsia="宋体" w:cs="宋体"/>
      <w:sz w:val="22"/>
      <w:szCs w:val="22"/>
      <w:lang w:val="zh-TW" w:eastAsia="zh-TW" w:bidi="zh-TW"/>
    </w:rPr>
  </w:style>
  <w:style w:type="paragraph" w:customStyle="1" w:styleId="44">
    <w:name w:val="Table Paragraph"/>
    <w:basedOn w:val="1"/>
    <w:qFormat/>
    <w:uiPriority w:val="1"/>
    <w:pPr>
      <w:autoSpaceDE w:val="0"/>
      <w:autoSpaceDN w:val="0"/>
      <w:adjustRightInd w:val="0"/>
    </w:pPr>
    <w:rPr>
      <w:rFonts w:eastAsia="宋体"/>
    </w:rPr>
  </w:style>
  <w:style w:type="paragraph" w:customStyle="1" w:styleId="45">
    <w:name w:val="black1"/>
    <w:basedOn w:val="1"/>
    <w:qFormat/>
    <w:uiPriority w:val="0"/>
    <w:pPr>
      <w:widowControl/>
      <w:spacing w:before="100" w:beforeAutospacing="1" w:after="100" w:afterAutospacing="1" w:line="280" w:lineRule="atLeast"/>
    </w:pPr>
    <w:rPr>
      <w:rFonts w:ascii="_x000B__x000C_" w:hAnsi="_x000B__x000C_"/>
      <w:sz w:val="18"/>
      <w:szCs w:val="18"/>
    </w:rPr>
  </w:style>
  <w:style w:type="paragraph" w:customStyle="1" w:styleId="46">
    <w:name w:val="图例"/>
    <w:basedOn w:val="1"/>
    <w:qFormat/>
    <w:uiPriority w:val="0"/>
    <w:pPr>
      <w:spacing w:before="120" w:after="120" w:line="360" w:lineRule="auto"/>
      <w:jc w:val="center"/>
    </w:pPr>
    <w:rPr>
      <w:rFonts w:eastAsia="仿宋_GB2312"/>
      <w:b/>
    </w:rPr>
  </w:style>
  <w:style w:type="paragraph" w:customStyle="1" w:styleId="47">
    <w:name w:val="WPS Plain"/>
    <w:qFormat/>
    <w:uiPriority w:val="0"/>
    <w:rPr>
      <w:rFonts w:ascii="Times New Roman" w:hAnsi="Times New Roman" w:eastAsia="宋体" w:cs="Times New Roman"/>
      <w:lang w:val="en-US" w:eastAsia="zh-CN" w:bidi="ar-SA"/>
    </w:rPr>
  </w:style>
  <w:style w:type="paragraph" w:customStyle="1" w:styleId="48">
    <w:name w:val="样式 左侧:  0 厘米 悬挂缩进: 2.5 字符"/>
    <w:basedOn w:val="1"/>
    <w:qFormat/>
    <w:uiPriority w:val="0"/>
    <w:pPr>
      <w:ind w:left="525" w:hanging="525" w:hangingChars="250"/>
    </w:pPr>
    <w:rPr>
      <w:szCs w:val="20"/>
    </w:rPr>
  </w:style>
  <w:style w:type="character" w:customStyle="1" w:styleId="49">
    <w:name w:val="font11"/>
    <w:basedOn w:val="27"/>
    <w:qFormat/>
    <w:uiPriority w:val="0"/>
    <w:rPr>
      <w:rFonts w:ascii="Calibri" w:hAnsi="Calibri" w:cs="Calibri"/>
      <w:color w:val="000000"/>
      <w:sz w:val="20"/>
      <w:szCs w:val="20"/>
      <w:u w:val="none"/>
    </w:rPr>
  </w:style>
  <w:style w:type="paragraph" w:styleId="50">
    <w:name w:val="List Paragraph"/>
    <w:basedOn w:val="1"/>
    <w:qFormat/>
    <w:uiPriority w:val="0"/>
    <w:pPr>
      <w:widowControl/>
      <w:ind w:firstLine="420" w:firstLineChars="200"/>
    </w:pPr>
  </w:style>
  <w:style w:type="paragraph" w:customStyle="1" w:styleId="51">
    <w:name w:val="列出段落1"/>
    <w:basedOn w:val="1"/>
    <w:qFormat/>
    <w:uiPriority w:val="34"/>
    <w:pPr>
      <w:ind w:firstLine="420" w:firstLineChars="200"/>
    </w:pPr>
  </w:style>
  <w:style w:type="table" w:customStyle="1" w:styleId="52">
    <w:name w:val="Table Normal"/>
    <w:semiHidden/>
    <w:unhideWhenUsed/>
    <w:qFormat/>
    <w:uiPriority w:val="0"/>
    <w:tblPr>
      <w:tblCellMar>
        <w:top w:w="0" w:type="dxa"/>
        <w:left w:w="0" w:type="dxa"/>
        <w:bottom w:w="0" w:type="dxa"/>
        <w:right w:w="0" w:type="dxa"/>
      </w:tblCellMar>
    </w:tblPr>
  </w:style>
  <w:style w:type="paragraph" w:customStyle="1" w:styleId="53">
    <w:name w:val="p15"/>
    <w:basedOn w:val="1"/>
    <w:qFormat/>
    <w:uiPriority w:val="0"/>
    <w:pPr>
      <w:snapToGrid/>
      <w:spacing w:after="0"/>
    </w:pPr>
    <w:rPr>
      <w:rFonts w:ascii="Arial Unicode MS" w:hAnsi="Arial Unicode MS" w:eastAsia="宋体" w:cs="宋体"/>
      <w:color w:val="000000"/>
      <w:sz w:val="24"/>
      <w:szCs w:val="24"/>
    </w:rPr>
  </w:style>
  <w:style w:type="paragraph" w:customStyle="1" w:styleId="54">
    <w:name w:val="Body text|4"/>
    <w:basedOn w:val="1"/>
    <w:qFormat/>
    <w:uiPriority w:val="0"/>
    <w:pPr>
      <w:spacing w:after="580"/>
    </w:pPr>
    <w:rPr>
      <w:rFonts w:ascii="MingLiU" w:hAnsi="MingLiU" w:eastAsia="MingLiU" w:cs="MingLiU"/>
      <w:color w:val="00005D"/>
      <w:sz w:val="56"/>
      <w:szCs w:val="56"/>
      <w:lang w:val="zh-TW" w:eastAsia="zh-TW" w:bidi="zh-TW"/>
    </w:rPr>
  </w:style>
  <w:style w:type="character" w:customStyle="1" w:styleId="55">
    <w:name w:val="font61"/>
    <w:basedOn w:val="27"/>
    <w:qFormat/>
    <w:uiPriority w:val="0"/>
    <w:rPr>
      <w:rFonts w:hint="default" w:ascii="方正仿宋_GBK" w:hAnsi="方正仿宋_GBK" w:eastAsia="方正仿宋_GBK" w:cs="方正仿宋_GBK"/>
      <w:color w:val="000000"/>
      <w:sz w:val="18"/>
      <w:szCs w:val="18"/>
      <w:u w:val="none"/>
    </w:rPr>
  </w:style>
  <w:style w:type="character" w:customStyle="1" w:styleId="56">
    <w:name w:val="font121"/>
    <w:basedOn w:val="27"/>
    <w:qFormat/>
    <w:uiPriority w:val="0"/>
    <w:rPr>
      <w:rFonts w:hint="eastAsia" w:ascii="宋体" w:hAnsi="宋体" w:eastAsia="宋体" w:cs="宋体"/>
      <w:color w:val="000000"/>
      <w:sz w:val="18"/>
      <w:szCs w:val="18"/>
      <w:u w:val="none"/>
    </w:rPr>
  </w:style>
  <w:style w:type="character" w:customStyle="1" w:styleId="57">
    <w:name w:val="font51"/>
    <w:basedOn w:val="27"/>
    <w:qFormat/>
    <w:uiPriority w:val="0"/>
    <w:rPr>
      <w:rFonts w:hint="default" w:ascii="Arial" w:hAnsi="Arial" w:cs="Arial"/>
      <w:color w:val="000000"/>
      <w:sz w:val="18"/>
      <w:szCs w:val="18"/>
      <w:u w:val="none"/>
    </w:rPr>
  </w:style>
  <w:style w:type="character" w:customStyle="1" w:styleId="58">
    <w:name w:val="font31"/>
    <w:basedOn w:val="27"/>
    <w:qFormat/>
    <w:uiPriority w:val="0"/>
    <w:rPr>
      <w:rFonts w:hint="eastAsia" w:ascii="宋体" w:hAnsi="宋体" w:eastAsia="宋体" w:cs="宋体"/>
      <w:color w:val="000000"/>
      <w:sz w:val="22"/>
      <w:szCs w:val="22"/>
      <w:u w:val="none"/>
    </w:rPr>
  </w:style>
  <w:style w:type="character" w:customStyle="1" w:styleId="59">
    <w:name w:val="font41"/>
    <w:basedOn w:val="27"/>
    <w:qFormat/>
    <w:uiPriority w:val="0"/>
    <w:rPr>
      <w:rFonts w:hint="eastAsia" w:ascii="宋体" w:hAnsi="宋体" w:eastAsia="宋体" w:cs="宋体"/>
      <w:color w:val="000000"/>
      <w:sz w:val="18"/>
      <w:szCs w:val="18"/>
      <w:u w:val="none"/>
    </w:rPr>
  </w:style>
  <w:style w:type="character" w:customStyle="1" w:styleId="60">
    <w:name w:val="font01"/>
    <w:basedOn w:val="27"/>
    <w:qFormat/>
    <w:uiPriority w:val="0"/>
    <w:rPr>
      <w:rFonts w:hint="eastAsia" w:ascii="宋体" w:hAnsi="宋体" w:eastAsia="宋体" w:cs="宋体"/>
      <w:color w:val="000000"/>
      <w:sz w:val="22"/>
      <w:szCs w:val="22"/>
      <w:u w:val="none"/>
    </w:rPr>
  </w:style>
  <w:style w:type="character" w:customStyle="1" w:styleId="61">
    <w:name w:val="font21"/>
    <w:basedOn w:val="27"/>
    <w:qFormat/>
    <w:uiPriority w:val="0"/>
    <w:rPr>
      <w:rFonts w:hint="eastAsia" w:ascii="宋体" w:hAnsi="宋体" w:eastAsia="宋体" w:cs="宋体"/>
      <w:color w:val="00B050"/>
      <w:sz w:val="20"/>
      <w:szCs w:val="20"/>
      <w:u w:val="none"/>
    </w:rPr>
  </w:style>
  <w:style w:type="paragraph" w:customStyle="1" w:styleId="62">
    <w:name w:val="标书正文"/>
    <w:basedOn w:val="1"/>
    <w:qFormat/>
    <w:uiPriority w:val="0"/>
    <w:pPr>
      <w:spacing w:beforeAutospacing="0" w:afterAutospacing="0" w:line="360" w:lineRule="auto"/>
      <w:ind w:firstLine="497" w:firstLineChars="207"/>
    </w:pPr>
    <w:rPr>
      <w:sz w:val="24"/>
      <w:szCs w:val="20"/>
    </w:rPr>
  </w:style>
  <w:style w:type="paragraph" w:customStyle="1" w:styleId="63">
    <w:name w:val="Normal_0"/>
    <w:qFormat/>
    <w:uiPriority w:val="0"/>
    <w:pPr>
      <w:widowControl w:val="0"/>
      <w:jc w:val="both"/>
    </w:pPr>
    <w:rPr>
      <w:rFonts w:ascii="Times New Roman" w:hAnsi="Times New Roman" w:eastAsia="Times New Roman" w:cs="Times New Roman"/>
      <w:lang w:val="en-US" w:eastAsia="zh-CN" w:bidi="ar-SA"/>
    </w:rPr>
  </w:style>
  <w:style w:type="paragraph" w:customStyle="1" w:styleId="64">
    <w:name w:val="缺省文本"/>
    <w:basedOn w:val="1"/>
    <w:qFormat/>
    <w:uiPriority w:val="0"/>
    <w:pPr>
      <w:autoSpaceDE w:val="0"/>
      <w:autoSpaceDN w:val="0"/>
      <w:adjustRightInd w:val="0"/>
      <w:spacing w:before="20" w:beforeLines="0" w:after="20" w:afterLines="0" w:line="400" w:lineRule="exact"/>
      <w:ind w:firstLine="504"/>
      <w:jc w:val="left"/>
    </w:pPr>
    <w:rPr>
      <w:kern w:val="0"/>
      <w:sz w:val="24"/>
    </w:rPr>
  </w:style>
  <w:style w:type="paragraph" w:customStyle="1" w:styleId="65">
    <w:name w:val="正文缩进1"/>
    <w:basedOn w:val="1"/>
    <w:qFormat/>
    <w:uiPriority w:val="0"/>
    <w:pPr>
      <w:autoSpaceDE w:val="0"/>
      <w:autoSpaceDN w:val="0"/>
      <w:adjustRightInd w:val="0"/>
      <w:ind w:firstLine="420"/>
      <w:jc w:val="left"/>
    </w:pPr>
    <w:rPr>
      <w:rFonts w:ascii="宋体"/>
      <w:kern w:val="0"/>
      <w:sz w:val="24"/>
      <w:szCs w:val="20"/>
    </w:rPr>
  </w:style>
  <w:style w:type="paragraph" w:customStyle="1" w:styleId="66">
    <w:name w:val="纯文本1"/>
    <w:basedOn w:val="1"/>
    <w:qFormat/>
    <w:uiPriority w:val="0"/>
    <w:rPr>
      <w:rFonts w:ascii="宋体" w:hAnsi="Courier New"/>
      <w:kern w:val="0"/>
      <w:sz w:val="20"/>
      <w:szCs w:val="20"/>
    </w:rPr>
  </w:style>
  <w:style w:type="paragraph" w:customStyle="1" w:styleId="67">
    <w:name w:val="Normal"/>
    <w:qFormat/>
    <w:uiPriority w:val="0"/>
    <w:rPr>
      <w:rFonts w:ascii="Times New Roman" w:hAnsi="Times New Roman" w:eastAsia="Times New Roman" w:cs="Times New Roman"/>
      <w:sz w:val="24"/>
      <w:szCs w:val="24"/>
      <w:lang w:bidi="ar-SA"/>
    </w:rPr>
  </w:style>
  <w:style w:type="paragraph" w:customStyle="1" w:styleId="68">
    <w:name w:val="首行缩进"/>
    <w:basedOn w:val="1"/>
    <w:qFormat/>
    <w:uiPriority w:val="0"/>
    <w:pPr>
      <w:ind w:firstLine="480" w:firstLineChars="200"/>
    </w:pPr>
    <w:rPr>
      <w:lang w:val="zh-CN"/>
    </w:rPr>
  </w:style>
  <w:style w:type="paragraph" w:customStyle="1" w:styleId="69">
    <w:name w:val="内嵌文档标题1"/>
    <w:next w:val="1"/>
    <w:qFormat/>
    <w:uiPriority w:val="0"/>
    <w:pPr>
      <w:widowControl w:val="0"/>
      <w:spacing w:before="240" w:after="240" w:line="360" w:lineRule="auto"/>
      <w:jc w:val="center"/>
      <w:outlineLvl w:val="0"/>
    </w:pPr>
    <w:rPr>
      <w:rFonts w:ascii="Times New Roman" w:hAnsi="Times New Roman" w:eastAsia="宋体" w:cs="Times New Roman"/>
      <w:b/>
      <w:kern w:val="2"/>
      <w:sz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DoubleOX</Company>
  <Pages>87</Pages>
  <Words>10469</Words>
  <Characters>11607</Characters>
  <Lines>389</Lines>
  <Paragraphs>109</Paragraphs>
  <TotalTime>13</TotalTime>
  <ScaleCrop>false</ScaleCrop>
  <LinksUpToDate>false</LinksUpToDate>
  <CharactersWithSpaces>11904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2021-12-16T05:31:00Z</dcterms:created>
  <dc:creator>梦花雨   甘安莉</dc:creator>
  <cp:lastModifiedBy>然</cp:lastModifiedBy>
  <cp:lastPrinted>2026-03-03T09:09:00Z</cp:lastPrinted>
  <dcterms:modified xsi:type="dcterms:W3CDTF">2026-10-15T01:54:43Z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857040F8B1E74545B00091FFD3B1E415_13</vt:lpwstr>
  </property>
  <property fmtid="{D5CDD505-2E9C-101B-9397-08002B2CF9AE}" pid="4" name="KSOTemplateDocerSaveRecord">
    <vt:lpwstr>eyJoZGlkIjoiOGQ0MGJjMGIyMmRjNDM5ZDY2ZTQwNDllYjc3YzBiYjYiLCJ1c2VySWQiOiI4NTI2MzQ5NDAifQ==</vt:lpwstr>
  </property>
</Properties>
</file>