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51E81">
      <w:pPr>
        <w:shd w:val="clear" w:color="auto" w:fill="auto"/>
        <w:spacing w:after="156" w:afterLines="50"/>
        <w:ind w:right="-625"/>
        <w:jc w:val="both"/>
        <w:rPr>
          <w:rFonts w:hint="eastAsia" w:ascii="新宋体" w:hAnsi="新宋体" w:eastAsia="新宋体" w:cs="Times New Roman"/>
          <w:b/>
          <w:color w:val="auto"/>
          <w:sz w:val="40"/>
          <w:szCs w:val="40"/>
          <w:highlight w:val="none"/>
          <w:u w:val="none"/>
          <w:lang w:eastAsia="zh-CN"/>
        </w:rPr>
      </w:pPr>
    </w:p>
    <w:p w14:paraId="00CC43B2">
      <w:pPr>
        <w:widowControl/>
        <w:autoSpaceDE w:val="0"/>
        <w:autoSpaceDN w:val="0"/>
        <w:ind w:right="-26" w:firstLine="442" w:firstLineChars="100"/>
        <w:jc w:val="center"/>
        <w:textAlignment w:val="bottom"/>
        <w:rPr>
          <w:rFonts w:hint="eastAsia" w:ascii="宋体" w:hAnsi="宋体"/>
          <w:b/>
          <w:sz w:val="44"/>
          <w:szCs w:val="36"/>
          <w:lang w:val="en-US" w:eastAsia="zh-CN"/>
        </w:rPr>
      </w:pPr>
      <w:bookmarkStart w:id="0" w:name="_Toc28359091"/>
      <w:bookmarkStart w:id="1" w:name="_Toc35393800"/>
      <w:bookmarkStart w:id="2" w:name="_Toc28359014"/>
      <w:bookmarkStart w:id="3" w:name="_Toc35393631"/>
      <w:bookmarkStart w:id="4" w:name="_Toc6038"/>
      <w:r>
        <w:rPr>
          <w:rFonts w:hint="eastAsia" w:ascii="宋体" w:hAnsi="宋体"/>
          <w:b/>
          <w:sz w:val="44"/>
          <w:szCs w:val="36"/>
          <w:lang w:val="en-US" w:eastAsia="zh-CN"/>
        </w:rPr>
        <w:t>2026年阿克陶县文旅品牌打造与推广工程-新媒体联盟宣传推广项目（二次）</w:t>
      </w:r>
    </w:p>
    <w:p w14:paraId="3CEDF047">
      <w:pPr>
        <w:widowControl/>
        <w:autoSpaceDE w:val="0"/>
        <w:autoSpaceDN w:val="0"/>
        <w:ind w:right="-26" w:firstLine="442" w:firstLineChars="100"/>
        <w:jc w:val="center"/>
        <w:textAlignment w:val="bottom"/>
        <w:rPr>
          <w:rFonts w:hint="eastAsia" w:ascii="宋体" w:hAnsi="宋体"/>
          <w:b/>
          <w:sz w:val="48"/>
          <w:szCs w:val="40"/>
          <w:lang w:eastAsia="zh-CN"/>
        </w:rPr>
      </w:pPr>
      <w:r>
        <w:rPr>
          <w:rFonts w:hint="eastAsia" w:ascii="宋体" w:hAnsi="宋体"/>
          <w:b/>
          <w:sz w:val="44"/>
          <w:szCs w:val="36"/>
          <w:lang w:eastAsia="zh-CN"/>
        </w:rPr>
        <w:t>（项目编号</w:t>
      </w:r>
      <w:r>
        <w:rPr>
          <w:rFonts w:hint="eastAsia" w:ascii="宋体" w:hAnsi="宋体"/>
          <w:b/>
          <w:sz w:val="44"/>
          <w:szCs w:val="36"/>
          <w:highlight w:val="none"/>
          <w:lang w:eastAsia="zh-CN"/>
        </w:rPr>
        <w:t>：AKTZBCG-2026-086-01）</w:t>
      </w:r>
    </w:p>
    <w:p w14:paraId="100D2967">
      <w:pPr>
        <w:pStyle w:val="41"/>
        <w:rPr>
          <w:rFonts w:hAnsi="宋体"/>
          <w:b/>
          <w:sz w:val="15"/>
          <w:szCs w:val="15"/>
        </w:rPr>
      </w:pPr>
    </w:p>
    <w:p w14:paraId="2BA90E0A">
      <w:pPr>
        <w:pStyle w:val="41"/>
        <w:tabs>
          <w:tab w:val="left" w:pos="8616"/>
        </w:tabs>
        <w:rPr>
          <w:rFonts w:hAnsi="宋体"/>
          <w:b/>
          <w:sz w:val="16"/>
          <w:szCs w:val="16"/>
        </w:rPr>
      </w:pPr>
      <w:r>
        <w:rPr>
          <w:rFonts w:hint="eastAsia" w:hAnsi="宋体"/>
          <w:b/>
          <w:sz w:val="16"/>
          <w:szCs w:val="16"/>
        </w:rPr>
        <w:tab/>
      </w:r>
    </w:p>
    <w:p w14:paraId="5A509EE6">
      <w:pPr>
        <w:widowControl/>
        <w:autoSpaceDE w:val="0"/>
        <w:autoSpaceDN w:val="0"/>
        <w:ind w:right="-26"/>
        <w:jc w:val="both"/>
        <w:textAlignment w:val="bottom"/>
        <w:rPr>
          <w:rFonts w:hint="eastAsia" w:ascii="宋体" w:hAnsi="宋体" w:eastAsia="宋体"/>
          <w:b/>
          <w:sz w:val="72"/>
          <w:szCs w:val="72"/>
          <w:lang w:eastAsia="zh-CN"/>
        </w:rPr>
      </w:pPr>
    </w:p>
    <w:p w14:paraId="58BE9527">
      <w:pPr>
        <w:widowControl/>
        <w:autoSpaceDE w:val="0"/>
        <w:autoSpaceDN w:val="0"/>
        <w:spacing w:line="360" w:lineRule="auto"/>
        <w:ind w:right="-26"/>
        <w:jc w:val="center"/>
        <w:textAlignment w:val="bottom"/>
        <w:rPr>
          <w:rFonts w:hint="eastAsia" w:ascii="宋体" w:hAnsi="宋体"/>
          <w:b/>
          <w:sz w:val="72"/>
          <w:szCs w:val="72"/>
          <w:lang w:eastAsia="zh-CN"/>
        </w:rPr>
      </w:pPr>
      <w:r>
        <w:rPr>
          <w:rFonts w:hint="eastAsia" w:ascii="宋体" w:hAnsi="宋体"/>
          <w:b/>
          <w:sz w:val="72"/>
          <w:szCs w:val="72"/>
          <w:lang w:eastAsia="zh-CN"/>
        </w:rPr>
        <w:t>磋</w:t>
      </w:r>
    </w:p>
    <w:p w14:paraId="160FAF82">
      <w:pPr>
        <w:widowControl/>
        <w:autoSpaceDE w:val="0"/>
        <w:autoSpaceDN w:val="0"/>
        <w:spacing w:line="360" w:lineRule="auto"/>
        <w:ind w:right="-26"/>
        <w:jc w:val="center"/>
        <w:textAlignment w:val="bottom"/>
        <w:rPr>
          <w:rFonts w:hint="eastAsia" w:ascii="宋体" w:hAnsi="宋体" w:eastAsia="宋体"/>
          <w:b/>
          <w:sz w:val="72"/>
          <w:szCs w:val="72"/>
          <w:lang w:eastAsia="zh-CN"/>
        </w:rPr>
      </w:pPr>
      <w:r>
        <w:rPr>
          <w:rFonts w:hint="eastAsia" w:ascii="宋体" w:hAnsi="宋体"/>
          <w:b/>
          <w:sz w:val="72"/>
          <w:szCs w:val="72"/>
          <w:lang w:eastAsia="zh-CN"/>
        </w:rPr>
        <w:t>商</w:t>
      </w:r>
    </w:p>
    <w:p w14:paraId="0627B7B7">
      <w:pPr>
        <w:widowControl/>
        <w:tabs>
          <w:tab w:val="left" w:pos="4502"/>
          <w:tab w:val="center" w:pos="4832"/>
        </w:tabs>
        <w:autoSpaceDE w:val="0"/>
        <w:autoSpaceDN w:val="0"/>
        <w:spacing w:line="360" w:lineRule="auto"/>
        <w:ind w:right="-26"/>
        <w:jc w:val="center"/>
        <w:textAlignment w:val="bottom"/>
        <w:rPr>
          <w:rFonts w:ascii="宋体" w:hAnsi="宋体"/>
          <w:b/>
          <w:sz w:val="72"/>
          <w:szCs w:val="72"/>
        </w:rPr>
      </w:pPr>
      <w:r>
        <w:rPr>
          <w:rFonts w:hint="eastAsia" w:ascii="宋体" w:hAnsi="宋体"/>
          <w:b/>
          <w:sz w:val="72"/>
          <w:szCs w:val="72"/>
        </w:rPr>
        <w:t>文</w:t>
      </w:r>
    </w:p>
    <w:p w14:paraId="5AC23756">
      <w:pPr>
        <w:widowControl/>
        <w:autoSpaceDE w:val="0"/>
        <w:autoSpaceDN w:val="0"/>
        <w:spacing w:line="360" w:lineRule="auto"/>
        <w:ind w:right="-26"/>
        <w:jc w:val="center"/>
        <w:textAlignment w:val="bottom"/>
        <w:rPr>
          <w:rFonts w:ascii="宋体" w:hAnsi="宋体"/>
          <w:b/>
          <w:sz w:val="96"/>
          <w:szCs w:val="96"/>
        </w:rPr>
      </w:pPr>
      <w:r>
        <w:rPr>
          <w:rFonts w:hint="eastAsia" w:ascii="宋体" w:hAnsi="宋体"/>
          <w:b/>
          <w:sz w:val="72"/>
          <w:szCs w:val="72"/>
        </w:rPr>
        <w:t>件</w:t>
      </w:r>
    </w:p>
    <w:p w14:paraId="7DC58D8B">
      <w:pPr>
        <w:widowControl/>
        <w:autoSpaceDE w:val="0"/>
        <w:autoSpaceDN w:val="0"/>
        <w:ind w:right="-26"/>
        <w:textAlignment w:val="bottom"/>
        <w:rPr>
          <w:rFonts w:ascii="宋体" w:hAnsi="宋体"/>
          <w:b/>
          <w:sz w:val="32"/>
        </w:rPr>
      </w:pPr>
    </w:p>
    <w:p w14:paraId="36FCD054">
      <w:pPr>
        <w:widowControl/>
        <w:autoSpaceDE w:val="0"/>
        <w:autoSpaceDN w:val="0"/>
        <w:ind w:right="-26" w:firstLine="321" w:firstLineChars="100"/>
        <w:textAlignment w:val="bottom"/>
        <w:rPr>
          <w:rFonts w:ascii="宋体" w:hAnsi="宋体"/>
          <w:b/>
          <w:sz w:val="32"/>
        </w:rPr>
      </w:pPr>
      <w:r>
        <w:rPr>
          <w:rFonts w:hint="eastAsia" w:ascii="宋体" w:hAnsi="宋体"/>
          <w:b/>
          <w:sz w:val="32"/>
        </w:rPr>
        <w:t>采购单位：</w:t>
      </w:r>
      <w:r>
        <w:rPr>
          <w:rFonts w:hint="eastAsia" w:ascii="宋体" w:hAnsi="宋体"/>
          <w:b/>
          <w:sz w:val="32"/>
          <w:lang w:val="en-US" w:eastAsia="zh-CN"/>
        </w:rPr>
        <w:t>阿克陶县文化体育广播电视和旅游局</w:t>
      </w:r>
      <w:r>
        <w:rPr>
          <w:rFonts w:hint="eastAsia" w:ascii="宋体" w:hAnsi="宋体"/>
          <w:b/>
          <w:sz w:val="32"/>
          <w:lang w:val="zh-CN"/>
        </w:rPr>
        <w:t>（盖章）</w:t>
      </w:r>
    </w:p>
    <w:p w14:paraId="36DE4B96">
      <w:pPr>
        <w:widowControl/>
        <w:tabs>
          <w:tab w:val="left" w:pos="3335"/>
        </w:tabs>
        <w:autoSpaceDE w:val="0"/>
        <w:autoSpaceDN w:val="0"/>
        <w:ind w:right="-26" w:firstLine="630" w:firstLineChars="196"/>
        <w:textAlignment w:val="bottom"/>
        <w:rPr>
          <w:rFonts w:ascii="宋体" w:hAnsi="宋体"/>
          <w:b/>
          <w:sz w:val="32"/>
        </w:rPr>
      </w:pPr>
      <w:r>
        <w:rPr>
          <w:rFonts w:hint="eastAsia" w:ascii="宋体" w:hAnsi="宋体"/>
          <w:b/>
          <w:sz w:val="32"/>
        </w:rPr>
        <w:tab/>
      </w:r>
    </w:p>
    <w:p w14:paraId="2862DBC6">
      <w:pPr>
        <w:widowControl/>
        <w:autoSpaceDE w:val="0"/>
        <w:autoSpaceDN w:val="0"/>
        <w:ind w:right="-26" w:firstLine="321" w:firstLineChars="100"/>
        <w:textAlignment w:val="bottom"/>
        <w:rPr>
          <w:rFonts w:ascii="宋体" w:hAnsi="宋体"/>
          <w:b/>
          <w:sz w:val="32"/>
          <w:u w:val="single"/>
        </w:rPr>
      </w:pPr>
      <w:r>
        <w:rPr>
          <w:rFonts w:hint="eastAsia" w:ascii="宋体" w:hAnsi="宋体"/>
          <w:b/>
          <w:sz w:val="32"/>
        </w:rPr>
        <w:t>代理机构：</w:t>
      </w:r>
      <w:r>
        <w:rPr>
          <w:rFonts w:hint="eastAsia" w:ascii="宋体" w:hAnsi="宋体"/>
          <w:b/>
          <w:sz w:val="32"/>
          <w:lang w:eastAsia="zh-CN"/>
        </w:rPr>
        <w:t>中佳信建设管理集团有限公司</w:t>
      </w:r>
      <w:r>
        <w:rPr>
          <w:rFonts w:hint="eastAsia" w:ascii="宋体" w:hAnsi="宋体"/>
          <w:b/>
          <w:bCs/>
          <w:sz w:val="32"/>
          <w:szCs w:val="32"/>
          <w:lang w:val="zh-CN"/>
        </w:rPr>
        <w:t>（盖章）</w:t>
      </w:r>
    </w:p>
    <w:p w14:paraId="2B2E4400">
      <w:pPr>
        <w:widowControl/>
        <w:autoSpaceDE w:val="0"/>
        <w:autoSpaceDN w:val="0"/>
        <w:ind w:right="893" w:firstLine="630" w:firstLineChars="196"/>
        <w:textAlignment w:val="bottom"/>
        <w:rPr>
          <w:rFonts w:ascii="宋体" w:hAnsi="宋体"/>
          <w:b/>
          <w:sz w:val="32"/>
        </w:rPr>
      </w:pPr>
    </w:p>
    <w:p w14:paraId="05B3538A">
      <w:pPr>
        <w:widowControl/>
        <w:autoSpaceDE w:val="0"/>
        <w:autoSpaceDN w:val="0"/>
        <w:ind w:right="893" w:firstLine="321" w:firstLineChars="100"/>
        <w:textAlignment w:val="bottom"/>
        <w:rPr>
          <w:rFonts w:hint="eastAsia" w:ascii="宋体" w:hAnsi="宋体" w:eastAsia="宋体"/>
          <w:b/>
          <w:sz w:val="32"/>
          <w:u w:val="single"/>
          <w:lang w:eastAsia="zh-CN"/>
        </w:rPr>
      </w:pPr>
      <w:r>
        <w:rPr>
          <w:rFonts w:hint="eastAsia" w:ascii="宋体" w:hAnsi="宋体"/>
          <w:b/>
          <w:sz w:val="32"/>
        </w:rPr>
        <w:t>联 系 人：</w:t>
      </w:r>
      <w:r>
        <w:rPr>
          <w:rFonts w:hint="eastAsia" w:ascii="宋体" w:hAnsi="宋体"/>
          <w:b/>
          <w:sz w:val="32"/>
          <w:lang w:eastAsia="zh-CN"/>
        </w:rPr>
        <w:t>刘女士</w:t>
      </w:r>
    </w:p>
    <w:p w14:paraId="55DA479A">
      <w:pPr>
        <w:widowControl/>
        <w:autoSpaceDE w:val="0"/>
        <w:autoSpaceDN w:val="0"/>
        <w:ind w:right="893" w:firstLine="630" w:firstLineChars="196"/>
        <w:textAlignment w:val="bottom"/>
        <w:rPr>
          <w:rFonts w:ascii="宋体" w:hAnsi="宋体"/>
          <w:b/>
          <w:sz w:val="32"/>
        </w:rPr>
      </w:pPr>
    </w:p>
    <w:p w14:paraId="5A1B76F1">
      <w:pPr>
        <w:widowControl/>
        <w:autoSpaceDE w:val="0"/>
        <w:autoSpaceDN w:val="0"/>
        <w:spacing w:line="480" w:lineRule="auto"/>
        <w:ind w:right="-26" w:firstLine="321" w:firstLineChars="100"/>
        <w:textAlignment w:val="bottom"/>
        <w:rPr>
          <w:rFonts w:hint="eastAsia" w:ascii="宋体" w:hAnsi="宋体" w:eastAsia="宋体"/>
          <w:b/>
          <w:sz w:val="32"/>
          <w:lang w:eastAsia="zh-CN"/>
        </w:rPr>
      </w:pPr>
      <w:r>
        <w:rPr>
          <w:rFonts w:hint="eastAsia" w:ascii="宋体" w:hAnsi="宋体"/>
          <w:b/>
          <w:sz w:val="32"/>
        </w:rPr>
        <w:t>联系电话：</w:t>
      </w:r>
      <w:r>
        <w:rPr>
          <w:rFonts w:hint="eastAsia" w:ascii="宋体" w:hAnsi="宋体"/>
          <w:b/>
          <w:sz w:val="32"/>
          <w:lang w:eastAsia="zh-CN"/>
        </w:rPr>
        <w:t>16668796665</w:t>
      </w:r>
    </w:p>
    <w:p w14:paraId="7316600F">
      <w:pPr>
        <w:widowControl/>
        <w:autoSpaceDE w:val="0"/>
        <w:autoSpaceDN w:val="0"/>
        <w:ind w:right="893" w:firstLine="321" w:firstLineChars="100"/>
        <w:jc w:val="both"/>
        <w:textAlignment w:val="bottom"/>
        <w:rPr>
          <w:rFonts w:hint="eastAsia" w:ascii="宋体" w:hAnsi="宋体"/>
          <w:b/>
          <w:sz w:val="32"/>
        </w:rPr>
      </w:pPr>
      <w:r>
        <w:rPr>
          <w:rFonts w:hint="eastAsia" w:ascii="宋体" w:hAnsi="宋体"/>
          <w:b/>
          <w:sz w:val="32"/>
        </w:rPr>
        <w:t>日    期：202</w:t>
      </w:r>
      <w:r>
        <w:rPr>
          <w:rFonts w:hint="eastAsia" w:ascii="宋体" w:hAnsi="宋体"/>
          <w:b/>
          <w:sz w:val="32"/>
          <w:lang w:val="en-US" w:eastAsia="zh-CN"/>
        </w:rPr>
        <w:t>6</w:t>
      </w:r>
      <w:r>
        <w:rPr>
          <w:rFonts w:hint="eastAsia" w:ascii="宋体" w:hAnsi="宋体"/>
          <w:b/>
          <w:sz w:val="32"/>
        </w:rPr>
        <w:t>年</w:t>
      </w:r>
      <w:r>
        <w:rPr>
          <w:rFonts w:hint="eastAsia" w:ascii="宋体" w:hAnsi="宋体"/>
          <w:b/>
          <w:sz w:val="32"/>
          <w:lang w:val="en-US" w:eastAsia="zh-CN"/>
        </w:rPr>
        <w:t>10</w:t>
      </w:r>
      <w:r>
        <w:rPr>
          <w:rFonts w:hint="eastAsia" w:ascii="宋体" w:hAnsi="宋体"/>
          <w:b/>
          <w:sz w:val="32"/>
        </w:rPr>
        <w:t>月</w:t>
      </w:r>
    </w:p>
    <w:p w14:paraId="22E456CB">
      <w:pPr>
        <w:widowControl/>
        <w:autoSpaceDE w:val="0"/>
        <w:autoSpaceDN w:val="0"/>
        <w:ind w:right="893" w:firstLine="866" w:firstLineChars="196"/>
        <w:jc w:val="center"/>
        <w:textAlignment w:val="bottom"/>
        <w:rPr>
          <w:rFonts w:ascii="宋体" w:hAnsi="宋体"/>
          <w:b/>
          <w:sz w:val="44"/>
          <w:szCs w:val="44"/>
        </w:rPr>
        <w:sectPr>
          <w:headerReference r:id="rId3" w:type="default"/>
          <w:footerReference r:id="rId4" w:type="default"/>
          <w:pgSz w:w="11907" w:h="16840"/>
          <w:pgMar w:top="1304" w:right="1417" w:bottom="1304" w:left="1418" w:header="567" w:footer="737" w:gutter="0"/>
          <w:pgNumType w:start="1"/>
          <w:cols w:space="720" w:num="1"/>
          <w:docGrid w:linePitch="312" w:charSpace="0"/>
        </w:sectPr>
      </w:pPr>
    </w:p>
    <w:p w14:paraId="6585BC08">
      <w:pPr>
        <w:jc w:val="center"/>
        <w:rPr>
          <w:rFonts w:ascii="宋体" w:hAnsi="宋体"/>
          <w:b/>
          <w:color w:val="000000"/>
          <w:sz w:val="28"/>
          <w:szCs w:val="28"/>
        </w:rPr>
      </w:pPr>
      <w:r>
        <w:rPr>
          <w:rFonts w:hint="eastAsia" w:ascii="宋体" w:hAnsi="宋体"/>
          <w:b/>
          <w:sz w:val="36"/>
          <w:szCs w:val="36"/>
        </w:rPr>
        <w:t>招投标监督管理机构备案登记栏</w:t>
      </w:r>
      <w:bookmarkStart w:id="5" w:name="_Hlt10524010"/>
      <w:bookmarkEnd w:id="5"/>
      <w:bookmarkStart w:id="6" w:name="_Hlt42956379"/>
      <w:bookmarkEnd w:id="6"/>
      <w:bookmarkStart w:id="7" w:name="_Hlt42956360"/>
      <w:bookmarkEnd w:id="7"/>
      <w:bookmarkStart w:id="8" w:name="_Hlt10529670"/>
      <w:bookmarkEnd w:id="8"/>
      <w:bookmarkStart w:id="9" w:name="_Hlt10524029"/>
      <w:bookmarkEnd w:id="9"/>
      <w:bookmarkStart w:id="10" w:name="_Hlt10519329"/>
      <w:bookmarkEnd w:id="10"/>
      <w:bookmarkStart w:id="11" w:name="_Hlt10523642"/>
      <w:bookmarkEnd w:id="11"/>
      <w:bookmarkStart w:id="12" w:name="_Hlt10524018"/>
      <w:bookmarkEnd w:id="12"/>
      <w:bookmarkStart w:id="13" w:name="_Hlt10567911"/>
      <w:bookmarkEnd w:id="13"/>
      <w:bookmarkStart w:id="14" w:name="_Hlt10462525"/>
      <w:bookmarkEnd w:id="14"/>
    </w:p>
    <w:tbl>
      <w:tblPr>
        <w:tblStyle w:val="25"/>
        <w:tblpPr w:leftFromText="180" w:rightFromText="180" w:vertAnchor="text" w:horzAnchor="page" w:tblpX="1126" w:tblpY="19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6"/>
      </w:tblGrid>
      <w:tr w14:paraId="4DF6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9" w:hRule="atLeast"/>
        </w:trPr>
        <w:tc>
          <w:tcPr>
            <w:tcW w:w="9996" w:type="dxa"/>
            <w:noWrap w:val="0"/>
            <w:vAlign w:val="top"/>
          </w:tcPr>
          <w:p w14:paraId="64ABF97A">
            <w:pPr>
              <w:spacing w:line="1440" w:lineRule="auto"/>
              <w:rPr>
                <w:rFonts w:hint="eastAsia" w:ascii="宋体" w:hAnsi="宋体"/>
                <w:sz w:val="36"/>
                <w:szCs w:val="32"/>
              </w:rPr>
            </w:pPr>
            <w:r>
              <w:rPr>
                <w:rFonts w:hint="eastAsia" w:ascii="宋体" w:hAnsi="宋体"/>
                <w:sz w:val="36"/>
                <w:szCs w:val="32"/>
              </w:rPr>
              <w:t>采购单位：</w:t>
            </w:r>
            <w:r>
              <w:rPr>
                <w:rFonts w:hint="eastAsia" w:ascii="宋体" w:hAnsi="宋体"/>
                <w:sz w:val="36"/>
                <w:szCs w:val="32"/>
                <w:lang w:val="en-US" w:eastAsia="zh-CN"/>
              </w:rPr>
              <w:t>阿克陶县文化体育广播电视和旅游局</w:t>
            </w:r>
            <w:r>
              <w:rPr>
                <w:rFonts w:hint="eastAsia" w:ascii="宋体" w:hAnsi="宋体"/>
                <w:sz w:val="36"/>
                <w:szCs w:val="32"/>
              </w:rPr>
              <w:t xml:space="preserve"> （盖章）</w:t>
            </w:r>
          </w:p>
          <w:p w14:paraId="2F5F5AF7">
            <w:pPr>
              <w:pStyle w:val="19"/>
              <w:rPr>
                <w:rFonts w:hint="eastAsia"/>
              </w:rPr>
            </w:pPr>
          </w:p>
          <w:p w14:paraId="0FAE3D80">
            <w:pPr>
              <w:pStyle w:val="19"/>
            </w:pPr>
          </w:p>
          <w:p w14:paraId="4B671240">
            <w:pPr>
              <w:spacing w:line="240" w:lineRule="auto"/>
              <w:rPr>
                <w:rFonts w:hint="eastAsia" w:ascii="宋体" w:hAnsi="宋体"/>
                <w:sz w:val="36"/>
                <w:szCs w:val="32"/>
              </w:rPr>
            </w:pPr>
          </w:p>
          <w:p w14:paraId="75AA13BE">
            <w:pPr>
              <w:spacing w:line="240" w:lineRule="auto"/>
              <w:rPr>
                <w:rFonts w:hint="eastAsia" w:ascii="宋体" w:hAnsi="宋体"/>
                <w:sz w:val="36"/>
                <w:szCs w:val="32"/>
              </w:rPr>
            </w:pPr>
          </w:p>
          <w:p w14:paraId="4BF8F7C6">
            <w:pPr>
              <w:spacing w:line="240" w:lineRule="auto"/>
              <w:rPr>
                <w:rFonts w:hint="eastAsia" w:ascii="宋体" w:hAnsi="宋体"/>
                <w:sz w:val="36"/>
                <w:szCs w:val="32"/>
                <w:lang w:eastAsia="zh-CN"/>
              </w:rPr>
            </w:pPr>
            <w:r>
              <w:rPr>
                <w:rFonts w:hint="eastAsia" w:ascii="宋体" w:hAnsi="宋体"/>
                <w:sz w:val="36"/>
                <w:szCs w:val="32"/>
              </w:rPr>
              <w:t>采购项目名称：</w:t>
            </w:r>
            <w:r>
              <w:rPr>
                <w:rFonts w:hint="eastAsia" w:ascii="宋体" w:hAnsi="宋体"/>
                <w:sz w:val="36"/>
                <w:szCs w:val="32"/>
                <w:lang w:val="en-US" w:eastAsia="zh-CN"/>
              </w:rPr>
              <w:t>2026年阿克陶县文旅品牌打造与推广工程-新媒体联盟宣传推广项目（二次）</w:t>
            </w:r>
          </w:p>
          <w:p w14:paraId="7307E9B9">
            <w:pPr>
              <w:spacing w:line="1440" w:lineRule="auto"/>
              <w:rPr>
                <w:rFonts w:hint="eastAsia" w:ascii="宋体" w:hAnsi="宋体"/>
                <w:sz w:val="36"/>
                <w:szCs w:val="32"/>
              </w:rPr>
            </w:pPr>
          </w:p>
          <w:p w14:paraId="66B7BB5D">
            <w:pPr>
              <w:spacing w:line="1440" w:lineRule="auto"/>
              <w:rPr>
                <w:rFonts w:ascii="宋体" w:hAnsi="宋体"/>
                <w:sz w:val="36"/>
                <w:szCs w:val="32"/>
              </w:rPr>
            </w:pPr>
            <w:r>
              <w:rPr>
                <w:rFonts w:hint="eastAsia" w:ascii="宋体" w:hAnsi="宋体"/>
                <w:sz w:val="36"/>
                <w:szCs w:val="32"/>
              </w:rPr>
              <w:t>代理机构：</w:t>
            </w:r>
            <w:r>
              <w:rPr>
                <w:rFonts w:hint="eastAsia" w:ascii="宋体" w:hAnsi="宋体"/>
                <w:sz w:val="36"/>
                <w:szCs w:val="32"/>
                <w:lang w:eastAsia="zh-CN"/>
              </w:rPr>
              <w:t>中佳信建设管理集团有限公司</w:t>
            </w:r>
            <w:r>
              <w:rPr>
                <w:rFonts w:hint="eastAsia" w:ascii="宋体" w:hAnsi="宋体"/>
                <w:sz w:val="36"/>
                <w:szCs w:val="32"/>
              </w:rPr>
              <w:t>（盖章）</w:t>
            </w:r>
          </w:p>
          <w:p w14:paraId="1E8B56CF">
            <w:pPr>
              <w:rPr>
                <w:rFonts w:ascii="宋体" w:hAnsi="宋体"/>
                <w:sz w:val="36"/>
                <w:szCs w:val="32"/>
              </w:rPr>
            </w:pPr>
          </w:p>
          <w:p w14:paraId="1D2EE873">
            <w:pPr>
              <w:pStyle w:val="41"/>
              <w:rPr>
                <w:rFonts w:hAnsi="宋体"/>
              </w:rPr>
            </w:pPr>
          </w:p>
          <w:p w14:paraId="4BE070AA">
            <w:pPr>
              <w:jc w:val="center"/>
              <w:rPr>
                <w:rFonts w:ascii="宋体" w:hAnsi="宋体"/>
                <w:sz w:val="36"/>
                <w:szCs w:val="32"/>
              </w:rPr>
            </w:pPr>
            <w:r>
              <w:rPr>
                <w:rFonts w:hint="eastAsia" w:ascii="宋体" w:hAnsi="宋体"/>
                <w:sz w:val="36"/>
                <w:szCs w:val="32"/>
              </w:rPr>
              <w:t>本采购文件已报备</w:t>
            </w:r>
          </w:p>
          <w:p w14:paraId="7D763046">
            <w:pPr>
              <w:jc w:val="center"/>
              <w:rPr>
                <w:rFonts w:ascii="宋体" w:hAnsi="宋体"/>
                <w:sz w:val="36"/>
                <w:szCs w:val="32"/>
              </w:rPr>
            </w:pPr>
          </w:p>
          <w:p w14:paraId="3B729DB6">
            <w:pPr>
              <w:jc w:val="center"/>
              <w:rPr>
                <w:rFonts w:ascii="宋体" w:hAnsi="宋体"/>
                <w:sz w:val="36"/>
                <w:szCs w:val="32"/>
              </w:rPr>
            </w:pPr>
            <w:r>
              <w:rPr>
                <w:rFonts w:hint="eastAsia" w:ascii="宋体" w:hAnsi="宋体"/>
                <w:sz w:val="36"/>
                <w:szCs w:val="32"/>
              </w:rPr>
              <w:t>202</w:t>
            </w:r>
            <w:r>
              <w:rPr>
                <w:rFonts w:hint="eastAsia" w:ascii="宋体" w:hAnsi="宋体"/>
                <w:sz w:val="36"/>
                <w:szCs w:val="32"/>
                <w:lang w:val="en-US" w:eastAsia="zh-CN"/>
              </w:rPr>
              <w:t>6</w:t>
            </w:r>
            <w:r>
              <w:rPr>
                <w:rFonts w:hint="eastAsia" w:ascii="宋体" w:hAnsi="宋体"/>
                <w:sz w:val="36"/>
                <w:szCs w:val="32"/>
              </w:rPr>
              <w:t>年</w:t>
            </w:r>
            <w:r>
              <w:rPr>
                <w:rFonts w:hint="eastAsia" w:ascii="宋体" w:hAnsi="宋体"/>
                <w:sz w:val="36"/>
                <w:szCs w:val="32"/>
                <w:lang w:val="en-US" w:eastAsia="zh-CN"/>
              </w:rPr>
              <w:t>10</w:t>
            </w:r>
            <w:r>
              <w:rPr>
                <w:rFonts w:hint="eastAsia" w:ascii="宋体" w:hAnsi="宋体"/>
                <w:sz w:val="36"/>
                <w:szCs w:val="32"/>
              </w:rPr>
              <w:t>月</w:t>
            </w:r>
          </w:p>
          <w:p w14:paraId="3AB2974E">
            <w:pPr>
              <w:pStyle w:val="4"/>
              <w:rPr>
                <w:rFonts w:ascii="宋体" w:hAnsi="宋体"/>
              </w:rPr>
            </w:pPr>
          </w:p>
        </w:tc>
      </w:tr>
    </w:tbl>
    <w:p w14:paraId="63E6BE8F"/>
    <w:p w14:paraId="4E667F4E"/>
    <w:p w14:paraId="5616CD10">
      <w:pPr>
        <w:spacing w:line="340" w:lineRule="exact"/>
        <w:ind w:firstLine="150" w:firstLineChars="50"/>
        <w:jc w:val="center"/>
        <w:rPr>
          <w:rFonts w:ascii="宋体" w:hAnsi="宋体"/>
          <w:kern w:val="0"/>
          <w:sz w:val="30"/>
          <w:szCs w:val="30"/>
        </w:rPr>
      </w:pPr>
      <w:r>
        <w:rPr>
          <w:rFonts w:hint="eastAsia" w:ascii="宋体" w:hAnsi="宋体"/>
          <w:b/>
          <w:color w:val="000000"/>
          <w:sz w:val="30"/>
          <w:szCs w:val="30"/>
        </w:rPr>
        <w:t>目  录</w:t>
      </w:r>
    </w:p>
    <w:p w14:paraId="5957C19D">
      <w:pPr>
        <w:spacing w:line="360" w:lineRule="auto"/>
        <w:ind w:firstLine="140" w:firstLineChars="50"/>
        <w:jc w:val="center"/>
        <w:rPr>
          <w:rFonts w:ascii="宋体" w:hAnsi="宋体"/>
          <w:bCs/>
          <w:color w:val="000000"/>
          <w:sz w:val="28"/>
          <w:szCs w:val="28"/>
        </w:rPr>
      </w:pPr>
    </w:p>
    <w:p w14:paraId="4F507EB0">
      <w:pPr>
        <w:spacing w:line="480" w:lineRule="auto"/>
        <w:ind w:firstLine="105" w:firstLineChars="50"/>
        <w:jc w:val="center"/>
        <w:rPr>
          <w:rFonts w:ascii="宋体" w:hAnsi="宋体"/>
          <w:bCs/>
          <w:color w:val="000000"/>
          <w:szCs w:val="21"/>
        </w:rPr>
      </w:pPr>
      <w:r>
        <w:rPr>
          <w:rFonts w:hint="eastAsia" w:ascii="宋体" w:hAnsi="宋体"/>
          <w:bCs/>
          <w:color w:val="000000"/>
          <w:szCs w:val="21"/>
        </w:rPr>
        <w:t>第一部分 招标公告……………………………………………………………………………3</w:t>
      </w:r>
    </w:p>
    <w:p w14:paraId="575C3126">
      <w:pPr>
        <w:spacing w:line="480" w:lineRule="auto"/>
        <w:ind w:firstLine="105" w:firstLineChars="50"/>
        <w:jc w:val="center"/>
        <w:rPr>
          <w:rFonts w:ascii="宋体" w:hAnsi="宋体"/>
          <w:bCs/>
          <w:color w:val="000000"/>
          <w:szCs w:val="21"/>
        </w:rPr>
      </w:pPr>
      <w:r>
        <w:rPr>
          <w:rFonts w:hint="eastAsia" w:ascii="宋体" w:hAnsi="宋体"/>
          <w:bCs/>
          <w:color w:val="000000"/>
          <w:szCs w:val="21"/>
        </w:rPr>
        <w:t>第二部分 投标人须知…………………………………………………………………………6</w:t>
      </w:r>
    </w:p>
    <w:p w14:paraId="228C1AA9">
      <w:pPr>
        <w:spacing w:line="480" w:lineRule="auto"/>
        <w:jc w:val="center"/>
        <w:rPr>
          <w:rFonts w:ascii="宋体" w:hAnsi="宋体"/>
          <w:bCs/>
          <w:color w:val="000000"/>
          <w:szCs w:val="21"/>
        </w:rPr>
      </w:pPr>
      <w:r>
        <w:rPr>
          <w:rFonts w:hint="eastAsia" w:ascii="宋体" w:hAnsi="宋体"/>
          <w:bCs/>
          <w:color w:val="000000"/>
          <w:szCs w:val="21"/>
        </w:rPr>
        <w:t>前附表 …………………………………………………………………………………………6</w:t>
      </w:r>
    </w:p>
    <w:p w14:paraId="12727CF1">
      <w:pPr>
        <w:spacing w:line="480" w:lineRule="auto"/>
        <w:jc w:val="center"/>
        <w:rPr>
          <w:rFonts w:ascii="宋体" w:hAnsi="宋体"/>
          <w:bCs/>
          <w:color w:val="000000"/>
          <w:szCs w:val="21"/>
        </w:rPr>
      </w:pPr>
      <w:r>
        <w:rPr>
          <w:rFonts w:hint="eastAsia" w:ascii="宋体" w:hAnsi="宋体"/>
          <w:bCs/>
          <w:color w:val="000000"/>
          <w:szCs w:val="21"/>
        </w:rPr>
        <w:t>一.总则…………………………………………………………………………………………12</w:t>
      </w:r>
    </w:p>
    <w:p w14:paraId="198B4713">
      <w:pPr>
        <w:spacing w:line="480" w:lineRule="auto"/>
        <w:jc w:val="center"/>
        <w:rPr>
          <w:rFonts w:ascii="宋体" w:hAnsi="宋体"/>
          <w:bCs/>
          <w:color w:val="000000"/>
          <w:szCs w:val="21"/>
        </w:rPr>
      </w:pPr>
      <w:r>
        <w:rPr>
          <w:rFonts w:hint="eastAsia" w:ascii="宋体" w:hAnsi="宋体"/>
          <w:bCs/>
          <w:color w:val="000000"/>
          <w:szCs w:val="21"/>
        </w:rPr>
        <w:t>二.</w:t>
      </w:r>
      <w:r>
        <w:rPr>
          <w:rFonts w:hint="eastAsia" w:ascii="宋体" w:hAnsi="宋体"/>
          <w:bCs/>
          <w:color w:val="000000"/>
          <w:szCs w:val="21"/>
          <w:lang w:val="en-US" w:eastAsia="zh-CN"/>
        </w:rPr>
        <w:t>磋商</w:t>
      </w:r>
      <w:r>
        <w:rPr>
          <w:rFonts w:hint="eastAsia" w:ascii="宋体" w:hAnsi="宋体"/>
          <w:bCs/>
          <w:color w:val="000000"/>
          <w:szCs w:val="21"/>
        </w:rPr>
        <w:t>文件……………………………………………………………………………………15</w:t>
      </w:r>
    </w:p>
    <w:p w14:paraId="1E3ADCE7">
      <w:pPr>
        <w:spacing w:line="480" w:lineRule="auto"/>
        <w:ind w:firstLine="105" w:firstLineChars="50"/>
        <w:jc w:val="center"/>
        <w:rPr>
          <w:rFonts w:ascii="宋体" w:hAnsi="宋体"/>
          <w:bCs/>
          <w:color w:val="000000"/>
          <w:szCs w:val="21"/>
        </w:rPr>
      </w:pPr>
      <w:r>
        <w:rPr>
          <w:rFonts w:hint="eastAsia" w:ascii="宋体" w:hAnsi="宋体"/>
          <w:bCs/>
          <w:color w:val="000000"/>
          <w:szCs w:val="21"/>
        </w:rPr>
        <w:t>三.投标文件的编制……………………………………………………………………………16</w:t>
      </w:r>
    </w:p>
    <w:p w14:paraId="18ACAE0D">
      <w:pPr>
        <w:spacing w:line="480" w:lineRule="auto"/>
        <w:ind w:firstLine="105" w:firstLineChars="50"/>
        <w:jc w:val="center"/>
        <w:rPr>
          <w:rFonts w:ascii="宋体" w:hAnsi="宋体"/>
          <w:bCs/>
          <w:color w:val="000000"/>
          <w:szCs w:val="21"/>
        </w:rPr>
      </w:pPr>
      <w:r>
        <w:rPr>
          <w:rFonts w:hint="eastAsia" w:ascii="宋体" w:hAnsi="宋体"/>
          <w:bCs/>
          <w:color w:val="000000"/>
          <w:szCs w:val="21"/>
        </w:rPr>
        <w:t>四.投标文件的递交……………………………………………………………………………19</w:t>
      </w:r>
    </w:p>
    <w:p w14:paraId="0FC9BD78">
      <w:pPr>
        <w:spacing w:line="480" w:lineRule="auto"/>
        <w:ind w:firstLine="105" w:firstLineChars="50"/>
        <w:jc w:val="center"/>
        <w:rPr>
          <w:rFonts w:ascii="宋体" w:hAnsi="宋体"/>
          <w:bCs/>
          <w:color w:val="000000"/>
          <w:szCs w:val="21"/>
        </w:rPr>
      </w:pPr>
      <w:r>
        <w:rPr>
          <w:rFonts w:hint="eastAsia" w:ascii="宋体" w:hAnsi="宋体"/>
          <w:bCs/>
          <w:color w:val="000000"/>
          <w:szCs w:val="21"/>
        </w:rPr>
        <w:t>五.开 标、评标和定标…………………………………………………………………………20</w:t>
      </w:r>
    </w:p>
    <w:p w14:paraId="0FB30CA9">
      <w:pPr>
        <w:spacing w:line="480" w:lineRule="auto"/>
        <w:ind w:firstLine="105" w:firstLineChars="50"/>
        <w:jc w:val="center"/>
        <w:rPr>
          <w:rFonts w:ascii="宋体" w:hAnsi="宋体"/>
          <w:bCs/>
          <w:color w:val="000000"/>
          <w:szCs w:val="21"/>
        </w:rPr>
      </w:pPr>
      <w:r>
        <w:rPr>
          <w:rFonts w:hint="eastAsia" w:ascii="宋体" w:hAnsi="宋体"/>
          <w:bCs/>
          <w:color w:val="000000"/>
          <w:szCs w:val="21"/>
        </w:rPr>
        <w:t>六.合同的授予…………………………………………………………………………………27</w:t>
      </w:r>
    </w:p>
    <w:p w14:paraId="4F212895">
      <w:pPr>
        <w:adjustRightInd w:val="0"/>
        <w:snapToGrid w:val="0"/>
        <w:spacing w:line="440" w:lineRule="exact"/>
        <w:jc w:val="center"/>
        <w:outlineLvl w:val="2"/>
        <w:rPr>
          <w:rFonts w:ascii="宋体" w:hAnsi="宋体"/>
          <w:bCs/>
          <w:color w:val="000000"/>
          <w:szCs w:val="21"/>
        </w:rPr>
      </w:pPr>
      <w:r>
        <w:rPr>
          <w:rFonts w:hint="eastAsia" w:ascii="宋体" w:hAnsi="宋体"/>
          <w:bCs/>
          <w:color w:val="000000"/>
          <w:szCs w:val="21"/>
        </w:rPr>
        <w:t>七.纪律和监督…………………………………………………………………………………27</w:t>
      </w:r>
    </w:p>
    <w:p w14:paraId="540BF414">
      <w:pPr>
        <w:spacing w:before="162" w:beforeLines="50" w:after="162" w:afterLines="50" w:line="500" w:lineRule="exact"/>
        <w:jc w:val="center"/>
        <w:rPr>
          <w:rFonts w:ascii="宋体" w:hAnsi="宋体"/>
          <w:bCs/>
          <w:color w:val="000000"/>
          <w:szCs w:val="21"/>
        </w:rPr>
      </w:pPr>
      <w:r>
        <w:rPr>
          <w:rFonts w:hint="eastAsia" w:ascii="宋体" w:hAnsi="宋体"/>
          <w:bCs/>
          <w:color w:val="000000"/>
          <w:szCs w:val="21"/>
        </w:rPr>
        <w:t>八.质疑与投诉…………………………………………………………………………………28</w:t>
      </w:r>
    </w:p>
    <w:p w14:paraId="30D73A18">
      <w:pPr>
        <w:spacing w:line="480" w:lineRule="auto"/>
        <w:ind w:firstLine="105" w:firstLineChars="50"/>
        <w:jc w:val="center"/>
        <w:rPr>
          <w:rFonts w:ascii="宋体" w:hAnsi="宋体"/>
          <w:bCs/>
          <w:color w:val="000000"/>
          <w:szCs w:val="21"/>
        </w:rPr>
      </w:pPr>
      <w:r>
        <w:rPr>
          <w:rFonts w:hint="eastAsia" w:ascii="宋体" w:hAnsi="宋体"/>
          <w:bCs/>
          <w:color w:val="000000"/>
          <w:szCs w:val="21"/>
        </w:rPr>
        <w:t>第三部 分评标办法……………………………………………………………………………33</w:t>
      </w:r>
    </w:p>
    <w:p w14:paraId="69A38277">
      <w:pPr>
        <w:spacing w:line="480" w:lineRule="auto"/>
        <w:ind w:firstLine="105" w:firstLineChars="50"/>
        <w:jc w:val="center"/>
        <w:rPr>
          <w:rFonts w:ascii="宋体" w:hAnsi="宋体"/>
          <w:bCs/>
          <w:color w:val="000000"/>
          <w:szCs w:val="21"/>
        </w:rPr>
      </w:pPr>
      <w:r>
        <w:rPr>
          <w:rFonts w:hint="eastAsia" w:ascii="宋体" w:hAnsi="宋体"/>
          <w:bCs/>
          <w:color w:val="000000"/>
          <w:szCs w:val="21"/>
        </w:rPr>
        <w:t>第四部分 采购内容及技术要求………………………………………………………………44</w:t>
      </w:r>
    </w:p>
    <w:p w14:paraId="672C0FF6">
      <w:pPr>
        <w:spacing w:line="480" w:lineRule="auto"/>
        <w:ind w:firstLine="105" w:firstLineChars="50"/>
        <w:jc w:val="center"/>
        <w:rPr>
          <w:rFonts w:ascii="宋体" w:hAnsi="宋体"/>
          <w:bCs/>
          <w:color w:val="000000"/>
          <w:szCs w:val="21"/>
        </w:rPr>
      </w:pPr>
      <w:r>
        <w:rPr>
          <w:rFonts w:hint="eastAsia" w:ascii="宋体" w:hAnsi="宋体"/>
          <w:bCs/>
          <w:color w:val="000000"/>
          <w:szCs w:val="21"/>
        </w:rPr>
        <w:t>第五部分 合同条款及格式……………………………………………………………………61</w:t>
      </w:r>
    </w:p>
    <w:p w14:paraId="2EEA0EF0">
      <w:pPr>
        <w:spacing w:line="480" w:lineRule="auto"/>
        <w:ind w:firstLine="105" w:firstLineChars="50"/>
        <w:jc w:val="center"/>
        <w:rPr>
          <w:rFonts w:ascii="宋体" w:hAnsi="宋体"/>
          <w:bCs/>
          <w:color w:val="000000"/>
          <w:szCs w:val="21"/>
        </w:rPr>
      </w:pPr>
      <w:r>
        <w:rPr>
          <w:rFonts w:hint="eastAsia" w:ascii="宋体" w:hAnsi="宋体"/>
          <w:bCs/>
          <w:color w:val="000000"/>
          <w:szCs w:val="21"/>
        </w:rPr>
        <w:t>第六部分 投标文件格式………………………………………………………………………69</w:t>
      </w:r>
    </w:p>
    <w:p w14:paraId="4CB92A3B">
      <w:pPr>
        <w:jc w:val="left"/>
        <w:rPr>
          <w:rFonts w:ascii="宋体" w:hAnsi="宋体"/>
          <w:b/>
          <w:color w:val="000000"/>
          <w:kern w:val="0"/>
          <w:sz w:val="44"/>
          <w:szCs w:val="44"/>
        </w:rPr>
      </w:pPr>
    </w:p>
    <w:p w14:paraId="0751B424">
      <w:pPr>
        <w:jc w:val="left"/>
        <w:rPr>
          <w:rFonts w:ascii="宋体" w:hAnsi="宋体"/>
          <w:b/>
          <w:color w:val="000000"/>
          <w:kern w:val="0"/>
          <w:sz w:val="44"/>
          <w:szCs w:val="44"/>
        </w:rPr>
      </w:pPr>
    </w:p>
    <w:p w14:paraId="2AC6E51E">
      <w:pPr>
        <w:pStyle w:val="19"/>
      </w:pPr>
    </w:p>
    <w:p w14:paraId="55C3F9ED">
      <w:pPr>
        <w:pStyle w:val="41"/>
      </w:pPr>
    </w:p>
    <w:p w14:paraId="29E9490F">
      <w:pPr>
        <w:pStyle w:val="41"/>
      </w:pPr>
    </w:p>
    <w:p w14:paraId="7C44C565">
      <w:pPr>
        <w:pStyle w:val="41"/>
      </w:pPr>
    </w:p>
    <w:p w14:paraId="0C65CEB0">
      <w:pPr>
        <w:pStyle w:val="41"/>
      </w:pPr>
    </w:p>
    <w:p w14:paraId="7B8948A6">
      <w:pPr>
        <w:pStyle w:val="41"/>
      </w:pPr>
    </w:p>
    <w:p w14:paraId="2FA03ADC">
      <w:pPr>
        <w:pStyle w:val="41"/>
      </w:pPr>
    </w:p>
    <w:p w14:paraId="5BDC1A03">
      <w:pPr>
        <w:pStyle w:val="41"/>
      </w:pPr>
    </w:p>
    <w:p w14:paraId="6BC24BC3">
      <w:pPr>
        <w:widowControl/>
        <w:jc w:val="center"/>
        <w:rPr>
          <w:rFonts w:hint="eastAsia" w:ascii="仿宋" w:hAnsi="仿宋" w:eastAsia="仿宋" w:cs="仿宋"/>
          <w:color w:val="000000"/>
          <w:sz w:val="24"/>
          <w:szCs w:val="24"/>
          <w:lang w:eastAsia="zh-CN"/>
        </w:rPr>
      </w:pPr>
      <w:r>
        <w:rPr>
          <w:rFonts w:hint="eastAsia" w:ascii="宋体" w:hAnsi="宋体"/>
          <w:b/>
          <w:kern w:val="0"/>
          <w:sz w:val="36"/>
          <w:szCs w:val="24"/>
        </w:rPr>
        <w:t>第一部分 招标公告</w:t>
      </w:r>
      <w:r>
        <w:rPr>
          <w:rFonts w:hint="eastAsia" w:ascii="仿宋" w:hAnsi="仿宋" w:eastAsia="仿宋" w:cs="仿宋"/>
          <w:color w:val="000000"/>
          <w:sz w:val="32"/>
          <w:szCs w:val="32"/>
        </w:rPr>
        <w:t xml:space="preserve">    </w:t>
      </w:r>
      <w:r>
        <w:rPr>
          <w:rFonts w:hint="eastAsia" w:ascii="仿宋" w:hAnsi="仿宋" w:eastAsia="仿宋" w:cs="仿宋"/>
          <w:color w:val="000000"/>
          <w:sz w:val="24"/>
          <w:szCs w:val="24"/>
        </w:rPr>
        <w:t xml:space="preserve"> </w:t>
      </w:r>
    </w:p>
    <w:p w14:paraId="31C89387">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ascii="仿宋" w:hAnsi="仿宋" w:eastAsia="仿宋" w:cs="仿宋"/>
          <w:bCs/>
          <w:color w:val="000000"/>
          <w:sz w:val="28"/>
          <w:szCs w:val="28"/>
        </w:rPr>
      </w:pPr>
      <w:r>
        <w:rPr>
          <w:rFonts w:hint="eastAsia" w:ascii="仿宋" w:hAnsi="仿宋" w:eastAsia="仿宋" w:cs="仿宋"/>
          <w:bCs/>
          <w:color w:val="000000"/>
          <w:szCs w:val="32"/>
          <w:lang w:val="en-US" w:eastAsia="zh-CN"/>
        </w:rPr>
        <w:t>2026年阿克陶县文旅品牌打造与推广工程-新媒体联盟宣传推广项目（二次）竞争性磋商</w:t>
      </w:r>
      <w:r>
        <w:rPr>
          <w:rFonts w:hint="eastAsia" w:ascii="仿宋" w:hAnsi="仿宋" w:eastAsia="仿宋" w:cs="仿宋"/>
          <w:bCs/>
          <w:color w:val="000000"/>
          <w:szCs w:val="32"/>
        </w:rPr>
        <w:t>公告</w:t>
      </w:r>
    </w:p>
    <w:tbl>
      <w:tblPr>
        <w:tblStyle w:val="26"/>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0"/>
      </w:tblGrid>
      <w:tr w14:paraId="2EAD0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9740" w:type="dxa"/>
            <w:noWrap w:val="0"/>
            <w:vAlign w:val="top"/>
          </w:tcPr>
          <w:p w14:paraId="00E0F527">
            <w:pPr>
              <w:pStyle w:val="22"/>
              <w:spacing w:before="75" w:beforeAutospacing="0" w:after="75" w:afterAutospacing="0"/>
              <w:rPr>
                <w:rFonts w:ascii="仿宋" w:hAnsi="仿宋" w:eastAsia="仿宋" w:cs="仿宋"/>
                <w:color w:val="000000"/>
              </w:rPr>
            </w:pPr>
            <w:r>
              <w:rPr>
                <w:rFonts w:ascii="仿宋" w:hAnsi="仿宋" w:eastAsia="仿宋" w:cs="仿宋"/>
                <w:color w:val="000000"/>
              </w:rPr>
              <w:t>项目概况</w:t>
            </w:r>
          </w:p>
          <w:p w14:paraId="6CF14CB0">
            <w:pPr>
              <w:pStyle w:val="22"/>
              <w:spacing w:before="75" w:beforeAutospacing="0" w:after="75" w:afterAutospacing="0"/>
            </w:pPr>
            <w:r>
              <w:rPr>
                <w:rFonts w:hint="eastAsia" w:ascii="仿宋" w:hAnsi="仿宋" w:eastAsia="仿宋" w:cs="仿宋"/>
                <w:lang w:val="en-US" w:eastAsia="zh-CN"/>
              </w:rPr>
              <w:t>2026年阿克陶县文旅品牌打造与推广工程-新媒体联盟宣传推广项目（二次）</w:t>
            </w:r>
            <w:r>
              <w:rPr>
                <w:rFonts w:hint="eastAsia" w:ascii="仿宋" w:hAnsi="仿宋" w:eastAsia="仿宋" w:cs="仿宋"/>
              </w:rPr>
              <w:t>的潜在</w:t>
            </w:r>
            <w:r>
              <w:rPr>
                <w:rFonts w:hint="eastAsia" w:ascii="仿宋" w:hAnsi="仿宋" w:eastAsia="仿宋" w:cs="仿宋"/>
                <w:color w:val="000000"/>
              </w:rPr>
              <w:t>投标人应在供应商登陆政采云平台http://www.zcygov.cn/，</w:t>
            </w:r>
            <w:r>
              <w:rPr>
                <w:rFonts w:hint="eastAsia" w:ascii="仿宋" w:hAnsi="仿宋" w:eastAsia="仿宋" w:cs="仿宋"/>
              </w:rPr>
              <w:t>在线申请获取采购文件（登录政府采购云平台 → 项目采购 → 获取采购文件 → 申请，审核通过后可下载</w:t>
            </w:r>
            <w:r>
              <w:rPr>
                <w:rFonts w:hint="eastAsia" w:ascii="仿宋" w:hAnsi="仿宋" w:eastAsia="仿宋" w:cs="仿宋"/>
                <w:lang w:val="en-US" w:eastAsia="zh-CN"/>
              </w:rPr>
              <w:t>磋商</w:t>
            </w:r>
            <w:r>
              <w:rPr>
                <w:rFonts w:hint="eastAsia" w:ascii="仿宋" w:hAnsi="仿宋" w:eastAsia="仿宋" w:cs="仿宋"/>
              </w:rPr>
              <w:t>文件，</w:t>
            </w:r>
            <w:r>
              <w:rPr>
                <w:rFonts w:hint="eastAsia" w:ascii="仿宋" w:hAnsi="仿宋" w:eastAsia="仿宋" w:cs="仿宋"/>
                <w:highlight w:val="none"/>
              </w:rPr>
              <w:t>如有操作性问题，可与政采云在线客服进行咨询，咨询电话：95763）获取</w:t>
            </w:r>
            <w:r>
              <w:rPr>
                <w:rFonts w:hint="eastAsia" w:ascii="仿宋" w:hAnsi="仿宋" w:eastAsia="仿宋" w:cs="仿宋"/>
                <w:highlight w:val="none"/>
                <w:lang w:val="en-US" w:eastAsia="zh-CN"/>
              </w:rPr>
              <w:t>磋商</w:t>
            </w:r>
            <w:r>
              <w:rPr>
                <w:rFonts w:hint="eastAsia" w:ascii="仿宋" w:hAnsi="仿宋" w:eastAsia="仿宋" w:cs="仿宋"/>
                <w:highlight w:val="none"/>
              </w:rPr>
              <w:t>文件，并于</w:t>
            </w:r>
            <w:r>
              <w:rPr>
                <w:rFonts w:hint="eastAsia" w:ascii="仿宋" w:hAnsi="仿宋" w:eastAsia="仿宋" w:cs="仿宋"/>
                <w:highlight w:val="none"/>
                <w:lang w:eastAsia="zh-CN"/>
              </w:rPr>
              <w:t xml:space="preserve"> 2026年11月02日 10:30</w:t>
            </w:r>
            <w:r>
              <w:rPr>
                <w:rFonts w:hint="eastAsia" w:ascii="仿宋" w:hAnsi="仿宋" w:eastAsia="仿宋" w:cs="仿宋"/>
                <w:highlight w:val="none"/>
              </w:rPr>
              <w:t>（北京时间）前（</w:t>
            </w:r>
            <w:r>
              <w:rPr>
                <w:rFonts w:hint="eastAsia" w:ascii="仿宋" w:hAnsi="仿宋" w:eastAsia="仿宋" w:cs="仿宋"/>
              </w:rPr>
              <w:t>上传）电子投标文件。</w:t>
            </w:r>
            <w:r>
              <w:rPr>
                <w:rFonts w:hint="eastAsia" w:ascii="仿宋" w:hAnsi="仿宋" w:eastAsia="仿宋" w:cs="仿宋"/>
                <w:color w:val="0000FF"/>
              </w:rPr>
              <w:t xml:space="preserve">                                     </w:t>
            </w:r>
          </w:p>
        </w:tc>
      </w:tr>
    </w:tbl>
    <w:p w14:paraId="7CE25657">
      <w:pPr>
        <w:pStyle w:val="22"/>
        <w:spacing w:before="255" w:beforeAutospacing="0" w:after="255" w:afterAutospacing="0" w:line="360" w:lineRule="auto"/>
        <w:jc w:val="both"/>
        <w:rPr>
          <w:rFonts w:ascii="黑体" w:eastAsia="黑体" w:cs="黑体"/>
          <w:sz w:val="27"/>
          <w:szCs w:val="27"/>
        </w:rPr>
      </w:pPr>
      <w:r>
        <w:rPr>
          <w:rStyle w:val="28"/>
          <w:rFonts w:ascii="黑体" w:eastAsia="黑体" w:cs="黑体"/>
          <w:color w:val="000000"/>
          <w:sz w:val="27"/>
          <w:szCs w:val="27"/>
        </w:rPr>
        <w:t>一、项目基本情况</w:t>
      </w:r>
    </w:p>
    <w:p w14:paraId="1BB6F67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highlight w:val="none"/>
          <w:lang w:val="en-US" w:eastAsia="zh-CN"/>
        </w:rPr>
      </w:pPr>
      <w:r>
        <w:rPr>
          <w:rFonts w:hint="eastAsia" w:ascii="仿宋" w:hAnsi="仿宋" w:eastAsia="仿宋" w:cs="仿宋"/>
          <w:color w:val="000000"/>
        </w:rPr>
        <w:t>项目编</w:t>
      </w:r>
      <w:r>
        <w:rPr>
          <w:rFonts w:hint="eastAsia" w:ascii="仿宋" w:hAnsi="仿宋" w:eastAsia="仿宋" w:cs="仿宋"/>
          <w:color w:val="000000"/>
          <w:highlight w:val="none"/>
        </w:rPr>
        <w:t>号</w:t>
      </w:r>
      <w:r>
        <w:rPr>
          <w:rFonts w:hint="eastAsia" w:ascii="仿宋" w:hAnsi="仿宋" w:eastAsia="仿宋" w:cs="仿宋"/>
          <w:highlight w:val="none"/>
        </w:rPr>
        <w:t>：</w:t>
      </w:r>
      <w:r>
        <w:rPr>
          <w:rFonts w:hint="eastAsia" w:ascii="仿宋" w:hAnsi="仿宋" w:eastAsia="仿宋" w:cs="仿宋"/>
          <w:highlight w:val="none"/>
          <w:lang w:eastAsia="zh-CN"/>
        </w:rPr>
        <w:t>AKTZBCG-2026-086-01</w:t>
      </w:r>
    </w:p>
    <w:p w14:paraId="286429F8">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eastAsia="zh-CN"/>
        </w:rPr>
      </w:pPr>
      <w:r>
        <w:rPr>
          <w:rFonts w:hint="eastAsia" w:ascii="仿宋" w:hAnsi="仿宋" w:eastAsia="仿宋" w:cs="仿宋"/>
          <w:color w:val="000000"/>
        </w:rPr>
        <w:t>项目名称：</w:t>
      </w:r>
      <w:r>
        <w:rPr>
          <w:rFonts w:hint="eastAsia" w:ascii="仿宋" w:hAnsi="仿宋" w:eastAsia="仿宋" w:cs="仿宋"/>
          <w:color w:val="000000"/>
          <w:lang w:val="en-US" w:eastAsia="zh-CN"/>
        </w:rPr>
        <w:t>2026年阿克陶县文旅品牌打造与推广工程-新媒体联盟宣传推广项目（二次）</w:t>
      </w:r>
    </w:p>
    <w:p w14:paraId="5EC8F80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eastAsia="仿宋"/>
          <w:sz w:val="22"/>
          <w:szCs w:val="22"/>
          <w:lang w:eastAsia="zh-CN"/>
        </w:rPr>
      </w:pPr>
      <w:r>
        <w:rPr>
          <w:rFonts w:hint="eastAsia" w:ascii="仿宋" w:hAnsi="仿宋" w:eastAsia="仿宋" w:cs="仿宋"/>
          <w:color w:val="000000"/>
        </w:rPr>
        <w:t>采购方式：</w:t>
      </w:r>
      <w:r>
        <w:rPr>
          <w:rFonts w:hint="eastAsia" w:ascii="仿宋" w:hAnsi="仿宋" w:eastAsia="仿宋" w:cs="仿宋"/>
          <w:color w:val="000000"/>
          <w:lang w:eastAsia="zh-CN"/>
        </w:rPr>
        <w:t>竞争性磋商</w:t>
      </w:r>
    </w:p>
    <w:p w14:paraId="01853A18">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default" w:ascii="仿宋" w:hAnsi="仿宋" w:eastAsia="仿宋" w:cs="仿宋"/>
          <w:color w:val="000000"/>
          <w:highlight w:val="yellow"/>
          <w:lang w:val="en-US" w:eastAsia="zh-CN"/>
        </w:rPr>
      </w:pPr>
      <w:r>
        <w:rPr>
          <w:rFonts w:hint="eastAsia" w:ascii="仿宋" w:hAnsi="仿宋" w:eastAsia="仿宋" w:cs="仿宋"/>
          <w:color w:val="000000"/>
        </w:rPr>
        <w:t>预算金额（元）：</w:t>
      </w:r>
      <w:r>
        <w:rPr>
          <w:rFonts w:hint="eastAsia" w:ascii="仿宋" w:hAnsi="仿宋" w:eastAsia="仿宋" w:cs="仿宋"/>
          <w:color w:val="000000"/>
          <w:lang w:val="en-US" w:eastAsia="zh-CN"/>
        </w:rPr>
        <w:t>500000</w:t>
      </w:r>
    </w:p>
    <w:p w14:paraId="691754CD">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default" w:ascii="仿宋" w:hAnsi="仿宋" w:eastAsia="仿宋" w:cs="仿宋"/>
          <w:color w:val="000000"/>
          <w:highlight w:val="yellow"/>
          <w:lang w:val="en-US" w:eastAsia="zh-CN"/>
        </w:rPr>
      </w:pPr>
      <w:r>
        <w:rPr>
          <w:rFonts w:hint="eastAsia" w:ascii="仿宋" w:hAnsi="仿宋" w:eastAsia="仿宋" w:cs="仿宋"/>
          <w:color w:val="000000"/>
        </w:rPr>
        <w:t>最高限价（元）：</w:t>
      </w:r>
      <w:r>
        <w:rPr>
          <w:rFonts w:hint="eastAsia" w:ascii="仿宋" w:hAnsi="仿宋" w:eastAsia="仿宋" w:cs="仿宋"/>
          <w:color w:val="000000"/>
          <w:lang w:val="en-US" w:eastAsia="zh-CN"/>
        </w:rPr>
        <w:t>500000</w:t>
      </w:r>
    </w:p>
    <w:p w14:paraId="57F4737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采购需求：</w:t>
      </w:r>
    </w:p>
    <w:p w14:paraId="0AE9B10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eastAsia="zh-CN"/>
        </w:rPr>
      </w:pPr>
      <w:r>
        <w:rPr>
          <w:rFonts w:hint="eastAsia" w:ascii="仿宋" w:hAnsi="仿宋" w:eastAsia="仿宋" w:cs="仿宋"/>
          <w:color w:val="000000"/>
        </w:rPr>
        <w:t>标项名称:</w:t>
      </w:r>
      <w:r>
        <w:rPr>
          <w:rFonts w:hint="eastAsia" w:ascii="仿宋" w:hAnsi="仿宋" w:eastAsia="仿宋" w:cs="仿宋"/>
          <w:color w:val="000000"/>
          <w:highlight w:val="none"/>
          <w:lang w:eastAsia="zh-CN"/>
        </w:rPr>
        <w:t>2026年阿克陶县文旅品牌打造与推广工程-新媒体联盟宣传推广项目（二次）</w:t>
      </w:r>
    </w:p>
    <w:p w14:paraId="629E96B3">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highlight w:val="none"/>
          <w:lang w:eastAsia="zh-CN"/>
        </w:rPr>
        <w:t>采购项目</w:t>
      </w:r>
      <w:r>
        <w:rPr>
          <w:rFonts w:hint="eastAsia" w:ascii="仿宋" w:hAnsi="仿宋" w:eastAsia="仿宋" w:cs="仿宋"/>
          <w:color w:val="000000"/>
        </w:rPr>
        <w:t>数量:</w:t>
      </w:r>
      <w:r>
        <w:rPr>
          <w:rFonts w:hint="eastAsia" w:ascii="仿宋" w:hAnsi="仿宋" w:eastAsia="仿宋" w:cs="仿宋"/>
          <w:color w:val="000000"/>
          <w:lang w:val="en-US" w:eastAsia="zh-CN"/>
        </w:rPr>
        <w:t>1</w:t>
      </w:r>
    </w:p>
    <w:p w14:paraId="05A48544">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单位：项</w:t>
      </w:r>
    </w:p>
    <w:p w14:paraId="6DE152BA">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eastAsia="zh-CN"/>
        </w:rPr>
      </w:pPr>
      <w:r>
        <w:rPr>
          <w:rFonts w:hint="eastAsia" w:ascii="仿宋" w:hAnsi="仿宋" w:eastAsia="仿宋" w:cs="仿宋"/>
          <w:color w:val="000000"/>
        </w:rPr>
        <w:t>简要规格描述或项目基本概况介绍、用途：</w:t>
      </w:r>
      <w:r>
        <w:rPr>
          <w:rFonts w:hint="eastAsia" w:ascii="仿宋" w:hAnsi="仿宋" w:eastAsia="仿宋" w:cs="仿宋"/>
          <w:color w:val="000000"/>
          <w:lang w:eastAsia="zh-CN"/>
        </w:rPr>
        <w:t>组建阿克陶县新媒体协会，打造自有IP《爱上阿克陶》，确定“遇见帕米尔，爱上阿克陶”宣传口号；搭建微信公众号、视频号、抖音、小红书四大差异化运营矩阵；固定“30%原创内容+40%融媒二创+20%达人共创+10%活动纪实”内容生产模式；全年常态化产出推文、短视频、图文笔记，培养本地新媒体运营人才。</w:t>
      </w:r>
      <w:r>
        <w:rPr>
          <w:rFonts w:hint="eastAsia" w:ascii="仿宋" w:hAnsi="仿宋" w:eastAsia="仿宋" w:cs="仿宋"/>
          <w:color w:val="000000"/>
        </w:rPr>
        <w:t>（具体内容详见服务要求）</w:t>
      </w:r>
    </w:p>
    <w:p w14:paraId="440E04F2">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ascii="仿宋" w:hAnsi="仿宋" w:eastAsia="仿宋" w:cs="仿宋"/>
          <w:color w:val="000000"/>
        </w:rPr>
      </w:pPr>
      <w:r>
        <w:rPr>
          <w:rFonts w:hint="eastAsia" w:ascii="仿宋" w:hAnsi="仿宋" w:eastAsia="仿宋" w:cs="仿宋"/>
          <w:color w:val="000000"/>
        </w:rPr>
        <w:t>备注：具体详见参数附件</w:t>
      </w:r>
    </w:p>
    <w:p w14:paraId="6F8805E8">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eastAsia="zh-CN"/>
        </w:rPr>
      </w:pPr>
      <w:r>
        <w:rPr>
          <w:rFonts w:hint="eastAsia" w:ascii="仿宋" w:hAnsi="仿宋" w:eastAsia="仿宋" w:cs="仿宋"/>
          <w:color w:val="000000"/>
        </w:rPr>
        <w:t> </w:t>
      </w:r>
      <w:r>
        <w:rPr>
          <w:rFonts w:hint="eastAsia" w:ascii="仿宋" w:hAnsi="仿宋" w:eastAsia="仿宋" w:cs="仿宋"/>
          <w:color w:val="000000" w:themeColor="text1"/>
          <w14:textFill>
            <w14:solidFill>
              <w14:schemeClr w14:val="tx1"/>
            </w14:solidFill>
          </w14:textFill>
        </w:rPr>
        <w:t>合同履约期限</w:t>
      </w:r>
      <w:r>
        <w:rPr>
          <w:rFonts w:hint="eastAsia" w:ascii="仿宋" w:hAnsi="仿宋" w:eastAsia="仿宋" w:cs="仿宋"/>
          <w:color w:val="000000"/>
        </w:rPr>
        <w:t>：标项 1，</w:t>
      </w:r>
      <w:r>
        <w:rPr>
          <w:rFonts w:hint="eastAsia" w:ascii="仿宋" w:hAnsi="仿宋" w:eastAsia="仿宋" w:cs="仿宋"/>
          <w:color w:val="000000"/>
          <w:lang w:val="en-US" w:eastAsia="zh-CN"/>
        </w:rPr>
        <w:t>服务期1年</w:t>
      </w:r>
      <w:r>
        <w:rPr>
          <w:rFonts w:hint="eastAsia" w:ascii="仿宋" w:hAnsi="仿宋" w:eastAsia="仿宋" w:cs="仿宋"/>
          <w:color w:val="000000"/>
        </w:rPr>
        <w:t>。</w:t>
      </w:r>
      <w:r>
        <w:rPr>
          <w:rFonts w:hint="eastAsia" w:ascii="仿宋" w:hAnsi="仿宋" w:eastAsia="仿宋" w:cs="仿宋"/>
          <w:color w:val="000000"/>
          <w:lang w:eastAsia="zh-CN"/>
        </w:rPr>
        <w:t>（</w:t>
      </w:r>
      <w:r>
        <w:rPr>
          <w:rFonts w:hint="eastAsia" w:ascii="仿宋" w:hAnsi="仿宋" w:eastAsia="仿宋" w:cs="仿宋"/>
          <w:color w:val="000000"/>
          <w:lang w:val="en-US" w:eastAsia="zh-CN"/>
        </w:rPr>
        <w:t>具体以双方合同签订为准</w:t>
      </w:r>
      <w:r>
        <w:rPr>
          <w:rFonts w:hint="eastAsia" w:ascii="仿宋" w:hAnsi="仿宋" w:eastAsia="仿宋" w:cs="仿宋"/>
          <w:color w:val="000000"/>
          <w:lang w:eastAsia="zh-CN"/>
        </w:rPr>
        <w:t>）</w:t>
      </w:r>
    </w:p>
    <w:p w14:paraId="763ADE04">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本项目（否）接受联合体投标。</w:t>
      </w:r>
    </w:p>
    <w:p w14:paraId="7B99C43F">
      <w:pPr>
        <w:pStyle w:val="22"/>
        <w:spacing w:before="75" w:beforeAutospacing="0" w:after="75" w:afterAutospacing="0" w:line="360" w:lineRule="auto"/>
        <w:rPr>
          <w:sz w:val="22"/>
          <w:szCs w:val="22"/>
          <w:highlight w:val="none"/>
        </w:rPr>
      </w:pPr>
      <w:r>
        <w:rPr>
          <w:rStyle w:val="28"/>
          <w:rFonts w:ascii="黑体" w:eastAsia="黑体" w:cs="黑体"/>
          <w:color w:val="000000"/>
        </w:rPr>
        <w:t>二、申请人的资格要求：</w:t>
      </w:r>
    </w:p>
    <w:p w14:paraId="6104A5F6">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0" w:firstLineChars="200"/>
        <w:textAlignment w:val="auto"/>
        <w:rPr>
          <w:rFonts w:hint="eastAsia" w:ascii="仿宋" w:hAnsi="仿宋" w:eastAsia="仿宋" w:cs="仿宋"/>
          <w:color w:val="000000"/>
        </w:rPr>
      </w:pPr>
      <w:r>
        <w:rPr>
          <w:rFonts w:hint="eastAsia" w:ascii="仿宋" w:hAnsi="仿宋" w:eastAsia="仿宋" w:cs="仿宋"/>
          <w:color w:val="000000"/>
        </w:rPr>
        <w:t>1.满足《中华人民共和国政府采购法》第二十二条规定；</w:t>
      </w:r>
    </w:p>
    <w:p w14:paraId="71B96CB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0" w:firstLineChars="200"/>
        <w:textAlignment w:val="auto"/>
        <w:rPr>
          <w:rFonts w:hint="eastAsia" w:ascii="仿宋" w:hAnsi="仿宋" w:eastAsia="仿宋" w:cs="仿宋"/>
          <w:color w:val="000000"/>
          <w:sz w:val="22"/>
          <w:szCs w:val="22"/>
          <w:highlight w:val="none"/>
          <w:lang w:eastAsia="zh-CN" w:bidi="ar"/>
        </w:rPr>
      </w:pPr>
      <w:r>
        <w:rPr>
          <w:rFonts w:hint="eastAsia" w:ascii="仿宋" w:hAnsi="仿宋" w:eastAsia="仿宋" w:cs="仿宋"/>
          <w:color w:val="000000"/>
        </w:rPr>
        <w:t>2.落</w:t>
      </w:r>
      <w:r>
        <w:rPr>
          <w:rFonts w:hint="eastAsia" w:ascii="仿宋" w:hAnsi="仿宋" w:eastAsia="仿宋" w:cs="仿宋"/>
          <w:color w:val="000000"/>
          <w:sz w:val="22"/>
          <w:szCs w:val="22"/>
          <w:highlight w:val="none"/>
          <w:lang w:bidi="ar"/>
        </w:rPr>
        <w:t>实政府采购政策需满足的资格要求：本项目专门面向中小企业。</w:t>
      </w:r>
    </w:p>
    <w:p w14:paraId="5AB7926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0" w:firstLineChars="200"/>
        <w:textAlignment w:val="auto"/>
        <w:rPr>
          <w:rFonts w:hint="eastAsia" w:ascii="仿宋" w:hAnsi="仿宋" w:eastAsia="仿宋" w:cs="仿宋"/>
          <w:color w:val="000000"/>
          <w:highlight w:val="yellow"/>
        </w:rPr>
      </w:pPr>
      <w:r>
        <w:rPr>
          <w:rFonts w:hint="eastAsia" w:ascii="仿宋" w:hAnsi="仿宋" w:eastAsia="仿宋" w:cs="仿宋"/>
          <w:color w:val="000000"/>
          <w:highlight w:val="none"/>
        </w:rPr>
        <w:t>3.本项目的特定资格要求：</w:t>
      </w:r>
    </w:p>
    <w:p w14:paraId="6A736C32">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（1）有效的三证合一营业执照副本；</w:t>
      </w:r>
    </w:p>
    <w:p w14:paraId="42B5AEF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rPr>
      </w:pPr>
      <w:r>
        <w:rPr>
          <w:rFonts w:hint="eastAsia" w:ascii="仿宋" w:hAnsi="仿宋" w:eastAsia="仿宋" w:cs="仿宋"/>
          <w:color w:val="000000"/>
          <w:highlight w:val="none"/>
        </w:rPr>
        <w:t>（2）法定代表人投标需提供法定代表人资格证明书，委托代理人投标需提供法定代表人授权委托书；</w:t>
      </w:r>
    </w:p>
    <w:p w14:paraId="6B17099E">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（3）</w:t>
      </w:r>
      <w:r>
        <w:rPr>
          <w:rFonts w:hint="eastAsia" w:ascii="仿宋" w:hAnsi="仿宋" w:eastAsia="仿宋" w:cs="仿宋"/>
          <w:color w:val="000000"/>
          <w:lang w:eastAsia="zh-CN"/>
        </w:rPr>
        <w:t>投标企业须提供投标人（被授权在职人员）近6个月任意一个月的社保证明</w:t>
      </w:r>
      <w:r>
        <w:rPr>
          <w:rFonts w:hint="eastAsia" w:ascii="仿宋" w:hAnsi="仿宋" w:eastAsia="仿宋" w:cs="仿宋"/>
          <w:color w:val="000000"/>
        </w:rPr>
        <w:t>；</w:t>
      </w:r>
    </w:p>
    <w:p w14:paraId="5426B30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（4）未被“信用中国”（www.creditchina.gov.cn）、中国政府采购网（www.ccgp.gov.cn）列入失信被执行人、重大税收违法案件当事人名单、政府采购严重违法失信行为记录名单；</w:t>
      </w:r>
    </w:p>
    <w:p w14:paraId="0344577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（5）提供反商业贿赂承诺书（自拟）；</w:t>
      </w:r>
    </w:p>
    <w:p w14:paraId="65265A9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w:t>
      </w:r>
      <w:r>
        <w:rPr>
          <w:rFonts w:hint="eastAsia" w:ascii="仿宋" w:hAnsi="仿宋" w:eastAsia="仿宋" w:cs="仿宋"/>
          <w:color w:val="000000"/>
          <w:lang w:val="en-US" w:eastAsia="zh-CN"/>
        </w:rPr>
        <w:t>6</w:t>
      </w:r>
      <w:r>
        <w:rPr>
          <w:rFonts w:hint="eastAsia" w:ascii="仿宋" w:hAnsi="仿宋" w:eastAsia="仿宋" w:cs="仿宋"/>
          <w:color w:val="000000"/>
        </w:rPr>
        <w:t>）本项目不接受联合体投标。</w:t>
      </w:r>
    </w:p>
    <w:p w14:paraId="0D44A3BA">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eastAsia="zh-CN"/>
        </w:rPr>
      </w:pPr>
      <w:r>
        <w:rPr>
          <w:rFonts w:hint="eastAsia" w:ascii="仿宋" w:hAnsi="仿宋" w:eastAsia="仿宋" w:cs="仿宋"/>
          <w:color w:val="000000"/>
        </w:rPr>
        <w:t>三、获取</w:t>
      </w:r>
      <w:bookmarkEnd w:id="0"/>
      <w:bookmarkEnd w:id="1"/>
      <w:bookmarkEnd w:id="2"/>
      <w:bookmarkEnd w:id="3"/>
      <w:r>
        <w:rPr>
          <w:rFonts w:hint="eastAsia" w:ascii="仿宋" w:hAnsi="仿宋" w:eastAsia="仿宋" w:cs="仿宋"/>
          <w:color w:val="000000"/>
          <w:lang w:eastAsia="zh-CN"/>
        </w:rPr>
        <w:t>磋商文件</w:t>
      </w:r>
    </w:p>
    <w:p w14:paraId="7ECB3F6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 1、 时间：2026年10月23日至2026年10月30日，每天上午10:00至14:00，下午16:00至20:00（北京时间，法定节假日除外）。</w:t>
      </w:r>
    </w:p>
    <w:p w14:paraId="11CE5B4A">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2、地点：供应商登陆政采云平台http://www.zcygov.cn/，在线申请获取竞争性磋商文件（登录政府采购云平台 → 项目采购 → 获取竞争性磋商文件→申请，审核通过后可下载竞争性磋商文件，如有操作性问题，可与政采云在线客服进行咨询，咨询电话：400-881-7190）。 </w:t>
      </w:r>
    </w:p>
    <w:p w14:paraId="6450581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3、方式：（1）线上获取（登录政府采购云平台 → 项目采购 → 获取竞争性磋商文件→ 申请，审核通过后可下载竞争性磋商文件）。本次招标不提供纸质版竞争性磋商文件。（2）供应商获取竞争性磋商文件前应注册成为政府采购云平台正式供应商。</w:t>
      </w:r>
    </w:p>
    <w:p w14:paraId="39857641">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4、售价：0元</w:t>
      </w:r>
    </w:p>
    <w:p w14:paraId="2C05E379">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lang w:val="en-US" w:eastAsia="zh-CN"/>
        </w:rPr>
        <w:t>四、</w:t>
      </w:r>
      <w:r>
        <w:rPr>
          <w:rFonts w:hint="eastAsia" w:ascii="仿宋" w:hAnsi="仿宋" w:eastAsia="仿宋" w:cs="仿宋"/>
          <w:color w:val="000000"/>
          <w:highlight w:val="none"/>
          <w:lang w:val="en-US" w:eastAsia="zh-CN"/>
        </w:rPr>
        <w:t>提交投标文件截止时间、开标时间和地点</w:t>
      </w:r>
    </w:p>
    <w:p w14:paraId="741C9B14">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截止时间：2026年11月02日 10:30（北京时间）</w:t>
      </w:r>
    </w:p>
    <w:p w14:paraId="34D7B03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投标地点：政府采购云平台（www.zcygov.cn）</w:t>
      </w:r>
    </w:p>
    <w:p w14:paraId="2B07CEE9">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highlight w:val="none"/>
          <w:lang w:val="en-US" w:eastAsia="zh-CN"/>
        </w:rPr>
        <w:t>开标时间：2026年11月02日 10:30（北京时间）</w:t>
      </w:r>
    </w:p>
    <w:p w14:paraId="642AC155">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highlight w:val="none"/>
          <w:lang w:val="en-US" w:eastAsia="zh-CN"/>
        </w:rPr>
        <w:t>开标地点：在政府采购云平台（ww</w:t>
      </w:r>
      <w:r>
        <w:rPr>
          <w:rFonts w:hint="eastAsia" w:ascii="仿宋" w:hAnsi="仿宋" w:eastAsia="仿宋" w:cs="仿宋"/>
          <w:color w:val="000000"/>
          <w:lang w:val="en-US" w:eastAsia="zh-CN"/>
        </w:rPr>
        <w:t>w.zcygov.cn）上开启投标文件，开标时间后，待采购组织机构发出解密通知后30分钟内，供应商须登录“政采云”平台，用“项目采购-开标评标”功能解密投标文件。</w:t>
      </w:r>
    </w:p>
    <w:p w14:paraId="1F663C8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bookmarkStart w:id="15" w:name="_Toc28359017"/>
      <w:bookmarkStart w:id="16" w:name="_Toc28359094"/>
      <w:bookmarkStart w:id="17" w:name="_Toc35393634"/>
      <w:bookmarkStart w:id="18" w:name="_Toc35393803"/>
      <w:r>
        <w:rPr>
          <w:rFonts w:hint="eastAsia" w:ascii="仿宋" w:hAnsi="仿宋" w:eastAsia="仿宋" w:cs="仿宋"/>
          <w:color w:val="000000"/>
          <w:lang w:val="en-US" w:eastAsia="zh-CN"/>
        </w:rPr>
        <w:t>五</w:t>
      </w:r>
      <w:r>
        <w:rPr>
          <w:rFonts w:hint="eastAsia" w:ascii="仿宋" w:hAnsi="仿宋" w:eastAsia="仿宋" w:cs="仿宋"/>
          <w:color w:val="000000"/>
        </w:rPr>
        <w:t>、公告期限</w:t>
      </w:r>
      <w:bookmarkEnd w:id="15"/>
      <w:bookmarkEnd w:id="16"/>
      <w:bookmarkEnd w:id="17"/>
      <w:bookmarkEnd w:id="18"/>
    </w:p>
    <w:p w14:paraId="193932C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自本公告发布之日起3个工作日。</w:t>
      </w:r>
    </w:p>
    <w:p w14:paraId="32B40D1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bookmarkStart w:id="19" w:name="_Toc35393804"/>
      <w:bookmarkStart w:id="20" w:name="_Toc35393635"/>
      <w:r>
        <w:rPr>
          <w:rFonts w:hint="eastAsia" w:ascii="仿宋" w:hAnsi="仿宋" w:eastAsia="仿宋" w:cs="仿宋"/>
          <w:color w:val="000000"/>
          <w:lang w:val="en-US" w:eastAsia="zh-CN"/>
        </w:rPr>
        <w:t>六</w:t>
      </w:r>
      <w:r>
        <w:rPr>
          <w:rFonts w:hint="eastAsia" w:ascii="仿宋" w:hAnsi="仿宋" w:eastAsia="仿宋" w:cs="仿宋"/>
          <w:color w:val="000000"/>
        </w:rPr>
        <w:t>、其他补充事宜</w:t>
      </w:r>
      <w:bookmarkEnd w:id="19"/>
      <w:bookmarkEnd w:id="20"/>
    </w:p>
    <w:p w14:paraId="61C690B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1.本项目采用全流程不见面电子开评标，投标供应商需要使用CA加密设备，供应商可通过新疆数字证书认证中心官网（https://www.xjca.com.cn/）或下载“新疆政务通”APP自行进行申领。</w:t>
      </w:r>
    </w:p>
    <w:p w14:paraId="0642187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2.本项目实行网上投标，采用加密电子投标文件（供应商须使用CA加密设备通过政采云电子投标客户端制作投标文件）。若供应商参与投标，自行承担投标一切费用。</w:t>
      </w:r>
    </w:p>
    <w:p w14:paraId="1F5A274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3.各供应商在开标前应确保成为新疆维吾尔自治区政府采购网正式注册入库供应商，（已在政采云平台其他省份入驻的供应商无需重复注册），并完成CA数字证书申领。因未注册入库、未办理CA数字证书等原因造成无法投标或投标失败等后果由供应商自行承担。</w:t>
      </w:r>
    </w:p>
    <w:p w14:paraId="1C6AA3CD">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740F5A7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5.供应商在开标时须使用制作加密电子投标文件所使用的CA锁及电脑，电脑须提前配置好浏览器（建议使用谷歌浏览器），以便开标时解锁。</w:t>
      </w:r>
    </w:p>
    <w:p w14:paraId="72812BF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664A878F">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7.为了保证开标顺利进行，政采云线上开标功能完全实现，供应商开标所使用的电脑设备须具有视频及语音功能。</w:t>
      </w:r>
    </w:p>
    <w:p w14:paraId="16E9BD8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rPr>
      </w:pPr>
      <w:r>
        <w:rPr>
          <w:rFonts w:hint="eastAsia" w:ascii="仿宋" w:hAnsi="仿宋" w:eastAsia="仿宋" w:cs="仿宋"/>
          <w:color w:val="000000"/>
        </w:rPr>
        <w:t>特别提示：</w:t>
      </w:r>
    </w:p>
    <w:p w14:paraId="56370DDE">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bookmarkStart w:id="21" w:name="_Toc35393805"/>
      <w:bookmarkStart w:id="22" w:name="_Toc35393636"/>
      <w:bookmarkStart w:id="23" w:name="_Toc28359095"/>
      <w:bookmarkStart w:id="24" w:name="_Toc28359018"/>
      <w:r>
        <w:rPr>
          <w:rFonts w:hint="eastAsia" w:ascii="仿宋" w:hAnsi="仿宋" w:eastAsia="仿宋" w:cs="仿宋"/>
          <w:color w:val="000000"/>
          <w:lang w:val="en-US" w:eastAsia="zh-CN"/>
        </w:rPr>
        <w:t>1、采购限额标准以上，200万元以下的货物和服务采购项目、400万元以下的工程采购项目，适宜由中小企业提供的，采购人应当专门面向中小企业采购。</w:t>
      </w:r>
    </w:p>
    <w:p w14:paraId="5DDB6144">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2、超过200万元的货物和服务采购项目，预留该部分采购项目预算总额的30%以上专门面向中小企业采购，其中预留给小微企业的比例不低于60%。</w:t>
      </w:r>
    </w:p>
    <w:p w14:paraId="76779E69">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3、超过400万元的工程采购项目中适宜由中小企业提供的，预留该部分采购项目预算总额的40%以上专门面向中小企业采购，其中预留给小微企业的比例不低于60%。</w:t>
      </w:r>
    </w:p>
    <w:p w14:paraId="59AD3F88">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735D8B4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 xml:space="preserve">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D1A4E69">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七</w:t>
      </w:r>
      <w:r>
        <w:rPr>
          <w:rFonts w:hint="eastAsia" w:ascii="仿宋" w:hAnsi="仿宋" w:eastAsia="仿宋" w:cs="仿宋"/>
          <w:color w:val="000000"/>
        </w:rPr>
        <w:t>、凡对本次采购提出询问，请按以下方式联系。</w:t>
      </w:r>
      <w:bookmarkEnd w:id="21"/>
      <w:bookmarkEnd w:id="22"/>
      <w:bookmarkEnd w:id="23"/>
      <w:bookmarkEnd w:id="24"/>
    </w:p>
    <w:p w14:paraId="14D219D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1.采购人信息</w:t>
      </w:r>
    </w:p>
    <w:p w14:paraId="4E2F75E2">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bookmarkStart w:id="25" w:name="_Toc2740"/>
      <w:bookmarkStart w:id="26" w:name="_Toc22096"/>
      <w:bookmarkStart w:id="27" w:name="_Toc11682"/>
      <w:r>
        <w:rPr>
          <w:rFonts w:hint="eastAsia" w:ascii="仿宋" w:hAnsi="仿宋" w:eastAsia="仿宋" w:cs="仿宋"/>
          <w:color w:val="000000"/>
          <w:lang w:val="en-US" w:eastAsia="zh-CN"/>
        </w:rPr>
        <w:t xml:space="preserve">名 称：阿克陶县文化体育广播电视和旅游局      </w:t>
      </w:r>
    </w:p>
    <w:p w14:paraId="506B359E">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地 址：阿克陶县人民东路156号（江西大道与慕士塔格路交叉口东100米）</w:t>
      </w:r>
    </w:p>
    <w:p w14:paraId="4E288B9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default" w:ascii="仿宋" w:hAnsi="仿宋" w:eastAsia="仿宋" w:cs="仿宋"/>
          <w:color w:val="000000"/>
          <w:lang w:val="en-US" w:eastAsia="zh-CN"/>
        </w:rPr>
      </w:pPr>
      <w:r>
        <w:rPr>
          <w:rFonts w:hint="eastAsia" w:ascii="仿宋" w:hAnsi="仿宋" w:eastAsia="仿宋" w:cs="仿宋"/>
          <w:color w:val="000000"/>
          <w:lang w:val="en-US" w:eastAsia="zh-CN"/>
        </w:rPr>
        <w:t>联系方式：15276812626</w:t>
      </w:r>
    </w:p>
    <w:p w14:paraId="03C4FB26">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2.采购代理机构信息</w:t>
      </w:r>
    </w:p>
    <w:p w14:paraId="244311EC">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名 称：中佳信建设管理集团有限公司</w:t>
      </w:r>
    </w:p>
    <w:p w14:paraId="2503468B">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地 址：喀什市库木代尔瓦扎街道大十字社区解放南路50号米兰大厦9层901号</w:t>
      </w:r>
    </w:p>
    <w:p w14:paraId="2733CCE5">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联系方式：16668796665</w:t>
      </w:r>
    </w:p>
    <w:p w14:paraId="4CC46845">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仿宋" w:hAnsi="仿宋" w:eastAsia="仿宋" w:cs="仿宋"/>
          <w:color w:val="000000"/>
          <w:lang w:val="en-US" w:eastAsia="zh-CN"/>
        </w:rPr>
      </w:pPr>
      <w:r>
        <w:rPr>
          <w:rFonts w:hint="eastAsia" w:ascii="仿宋" w:hAnsi="仿宋" w:eastAsia="仿宋" w:cs="仿宋"/>
          <w:color w:val="000000"/>
          <w:lang w:val="en-US" w:eastAsia="zh-CN"/>
        </w:rPr>
        <w:t>3.项目联系方式</w:t>
      </w:r>
    </w:p>
    <w:p w14:paraId="18C869D6">
      <w:pPr>
        <w:pStyle w:val="22"/>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b/>
          <w:color w:val="auto"/>
          <w:sz w:val="32"/>
          <w:szCs w:val="32"/>
          <w:highlight w:val="none"/>
        </w:rPr>
      </w:pPr>
      <w:r>
        <w:rPr>
          <w:rFonts w:hint="eastAsia" w:ascii="仿宋" w:hAnsi="仿宋" w:eastAsia="仿宋" w:cs="仿宋"/>
          <w:color w:val="000000"/>
          <w:lang w:val="en-US" w:eastAsia="zh-CN"/>
        </w:rPr>
        <w:t>项目联系人：刘女士  电 话：16668796665</w:t>
      </w:r>
    </w:p>
    <w:p w14:paraId="3F0A4C2D">
      <w:pPr>
        <w:shd w:val="clear" w:color="auto" w:fill="auto"/>
        <w:spacing w:line="500" w:lineRule="exact"/>
        <w:jc w:val="center"/>
        <w:outlineLvl w:val="0"/>
        <w:rPr>
          <w:rFonts w:hint="eastAsia" w:ascii="宋体"/>
          <w:b/>
          <w:color w:val="auto"/>
          <w:sz w:val="32"/>
          <w:szCs w:val="32"/>
          <w:highlight w:val="none"/>
        </w:rPr>
      </w:pPr>
    </w:p>
    <w:p w14:paraId="192E81D4">
      <w:pPr>
        <w:shd w:val="clear" w:color="auto" w:fill="auto"/>
        <w:spacing w:line="500" w:lineRule="exact"/>
        <w:jc w:val="center"/>
        <w:outlineLvl w:val="0"/>
        <w:rPr>
          <w:rFonts w:hint="eastAsia" w:ascii="宋体"/>
          <w:b/>
          <w:color w:val="auto"/>
          <w:sz w:val="32"/>
          <w:szCs w:val="32"/>
          <w:highlight w:val="none"/>
        </w:rPr>
      </w:pPr>
      <w:r>
        <w:rPr>
          <w:rFonts w:hint="eastAsia" w:ascii="宋体"/>
          <w:b/>
          <w:color w:val="auto"/>
          <w:sz w:val="32"/>
          <w:szCs w:val="32"/>
          <w:highlight w:val="none"/>
        </w:rPr>
        <w:t>第二章 投标人须知</w:t>
      </w:r>
      <w:bookmarkEnd w:id="4"/>
      <w:bookmarkEnd w:id="25"/>
      <w:bookmarkEnd w:id="26"/>
      <w:bookmarkEnd w:id="27"/>
    </w:p>
    <w:p w14:paraId="640F37B2">
      <w:pPr>
        <w:shd w:val="clear" w:color="auto" w:fill="auto"/>
        <w:snapToGrid w:val="0"/>
        <w:spacing w:line="500" w:lineRule="exact"/>
        <w:jc w:val="center"/>
        <w:outlineLvl w:val="1"/>
        <w:rPr>
          <w:rFonts w:hint="eastAsia" w:ascii="宋体"/>
          <w:b/>
          <w:color w:val="auto"/>
          <w:sz w:val="28"/>
          <w:szCs w:val="28"/>
          <w:highlight w:val="none"/>
        </w:rPr>
      </w:pPr>
      <w:bookmarkStart w:id="28" w:name="_Toc16586"/>
      <w:bookmarkStart w:id="29" w:name="_Toc3064"/>
      <w:bookmarkStart w:id="30" w:name="_Toc26232"/>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8"/>
      <w:bookmarkEnd w:id="29"/>
      <w:bookmarkEnd w:id="30"/>
    </w:p>
    <w:tbl>
      <w:tblPr>
        <w:tblStyle w:val="25"/>
        <w:tblW w:w="4776"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842"/>
        <w:gridCol w:w="1676"/>
        <w:gridCol w:w="7210"/>
      </w:tblGrid>
      <w:tr w14:paraId="0953DDD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433" w:type="pct"/>
            <w:noWrap w:val="0"/>
            <w:vAlign w:val="center"/>
          </w:tcPr>
          <w:p w14:paraId="7950C57E">
            <w:pPr>
              <w:pStyle w:val="12"/>
              <w:keepNext w:val="0"/>
              <w:keepLines w:val="0"/>
              <w:pageBreakBefore w:val="0"/>
              <w:shd w:val="clear" w:color="auto" w:fill="auto"/>
              <w:kinsoku/>
              <w:wordWrap/>
              <w:overflowPunct/>
              <w:topLinePunct w:val="0"/>
              <w:autoSpaceDE/>
              <w:autoSpaceDN/>
              <w:bidi w:val="0"/>
              <w:adjustRightInd/>
              <w:snapToGrid w:val="0"/>
              <w:spacing w:line="290" w:lineRule="exact"/>
              <w:ind w:left="-94" w:leftChars="-45" w:right="-81" w:rightChars="-39"/>
              <w:jc w:val="center"/>
              <w:textAlignment w:val="auto"/>
              <w:outlineLvl w:val="9"/>
              <w:rPr>
                <w:rFonts w:hint="eastAsia"/>
                <w:b/>
                <w:color w:val="auto"/>
                <w:sz w:val="21"/>
                <w:szCs w:val="21"/>
                <w:highlight w:val="none"/>
                <w:lang w:val="en-US" w:eastAsia="zh-CN"/>
              </w:rPr>
            </w:pPr>
            <w:r>
              <w:rPr>
                <w:rFonts w:hint="eastAsia"/>
                <w:b/>
                <w:color w:val="auto"/>
                <w:sz w:val="21"/>
                <w:szCs w:val="21"/>
                <w:highlight w:val="none"/>
                <w:lang w:val="en-US" w:eastAsia="zh-CN"/>
              </w:rPr>
              <w:t>条款号</w:t>
            </w:r>
          </w:p>
        </w:tc>
        <w:tc>
          <w:tcPr>
            <w:tcW w:w="861" w:type="pct"/>
            <w:noWrap w:val="0"/>
            <w:vAlign w:val="center"/>
          </w:tcPr>
          <w:p w14:paraId="11B6BB4D">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color w:val="auto"/>
                <w:sz w:val="21"/>
                <w:szCs w:val="21"/>
                <w:highlight w:val="none"/>
                <w:lang w:val="en-US" w:eastAsia="zh-CN"/>
              </w:rPr>
            </w:pPr>
            <w:r>
              <w:rPr>
                <w:rFonts w:hint="eastAsia"/>
                <w:b/>
                <w:color w:val="auto"/>
                <w:sz w:val="21"/>
                <w:szCs w:val="21"/>
                <w:highlight w:val="none"/>
                <w:lang w:val="en-US" w:eastAsia="zh-CN"/>
              </w:rPr>
              <w:t>内容</w:t>
            </w:r>
          </w:p>
        </w:tc>
        <w:tc>
          <w:tcPr>
            <w:tcW w:w="3704" w:type="pct"/>
            <w:noWrap w:val="0"/>
            <w:vAlign w:val="center"/>
          </w:tcPr>
          <w:p w14:paraId="7AE80960">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b/>
                <w:color w:val="auto"/>
                <w:sz w:val="21"/>
                <w:szCs w:val="21"/>
                <w:highlight w:val="none"/>
                <w:lang w:val="en-US" w:eastAsia="zh-CN"/>
              </w:rPr>
            </w:pPr>
            <w:r>
              <w:rPr>
                <w:rFonts w:hint="eastAsia"/>
                <w:b/>
                <w:color w:val="auto"/>
                <w:sz w:val="21"/>
                <w:szCs w:val="21"/>
                <w:highlight w:val="none"/>
                <w:lang w:val="en-US" w:eastAsia="zh-CN"/>
              </w:rPr>
              <w:t>说明与要求</w:t>
            </w:r>
          </w:p>
        </w:tc>
      </w:tr>
      <w:tr w14:paraId="1000C63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33" w:type="pct"/>
            <w:noWrap w:val="0"/>
            <w:vAlign w:val="center"/>
          </w:tcPr>
          <w:p w14:paraId="51A967C0">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1</w:t>
            </w:r>
          </w:p>
        </w:tc>
        <w:tc>
          <w:tcPr>
            <w:tcW w:w="861" w:type="pct"/>
            <w:noWrap w:val="0"/>
            <w:vAlign w:val="center"/>
          </w:tcPr>
          <w:p w14:paraId="0B107474">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rPr>
            </w:pPr>
            <w:r>
              <w:rPr>
                <w:rFonts w:hint="eastAsia"/>
              </w:rPr>
              <w:t>项目名称</w:t>
            </w:r>
          </w:p>
          <w:p w14:paraId="20BC73B5">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rPr>
            </w:pPr>
            <w:r>
              <w:rPr>
                <w:rFonts w:hint="eastAsia"/>
              </w:rPr>
              <w:t>项目编号</w:t>
            </w:r>
          </w:p>
          <w:p w14:paraId="2F787711">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rPr>
              <w:t>采购内容</w:t>
            </w:r>
          </w:p>
        </w:tc>
        <w:tc>
          <w:tcPr>
            <w:tcW w:w="3704" w:type="pct"/>
            <w:noWrap w:val="0"/>
            <w:vAlign w:val="center"/>
          </w:tcPr>
          <w:p w14:paraId="39752D05">
            <w:pPr>
              <w:keepNext w:val="0"/>
              <w:keepLines w:val="0"/>
              <w:pageBreakBefore w:val="0"/>
              <w:widowControl/>
              <w:shd w:val="clear" w:color="auto" w:fill="auto"/>
              <w:kinsoku/>
              <w:wordWrap/>
              <w:overflowPunct/>
              <w:topLinePunct w:val="0"/>
              <w:autoSpaceDE/>
              <w:autoSpaceDN/>
              <w:bidi w:val="0"/>
              <w:adjustRightInd/>
              <w:snapToGrid/>
              <w:spacing w:line="240" w:lineRule="auto"/>
              <w:jc w:val="left"/>
              <w:textAlignment w:val="auto"/>
              <w:rPr>
                <w:rFonts w:hint="eastAsia"/>
                <w:lang w:val="en-US" w:eastAsia="zh-CN"/>
              </w:rPr>
            </w:pPr>
            <w:r>
              <w:rPr>
                <w:rFonts w:hint="default"/>
                <w:lang w:val="en-US" w:eastAsia="zh-CN"/>
              </w:rPr>
              <w:t>项目名称：</w:t>
            </w:r>
            <w:r>
              <w:rPr>
                <w:rFonts w:hint="eastAsia"/>
                <w:lang w:val="en-US" w:eastAsia="zh-CN"/>
              </w:rPr>
              <w:t>2026年阿克陶县文旅品牌打造与推广工程-新媒体联盟宣传推广项目（二次）</w:t>
            </w:r>
          </w:p>
          <w:p w14:paraId="313F1AD1">
            <w:pPr>
              <w:keepNext w:val="0"/>
              <w:keepLines w:val="0"/>
              <w:pageBreakBefore w:val="0"/>
              <w:widowControl/>
              <w:shd w:val="clear" w:color="auto" w:fill="auto"/>
              <w:kinsoku/>
              <w:wordWrap/>
              <w:overflowPunct/>
              <w:topLinePunct w:val="0"/>
              <w:autoSpaceDE/>
              <w:autoSpaceDN/>
              <w:bidi w:val="0"/>
              <w:adjustRightInd/>
              <w:snapToGrid/>
              <w:spacing w:line="240" w:lineRule="auto"/>
              <w:jc w:val="left"/>
              <w:textAlignment w:val="auto"/>
              <w:rPr>
                <w:rFonts w:hint="default"/>
                <w:highlight w:val="yellow"/>
                <w:lang w:val="en-US" w:eastAsia="zh-CN"/>
              </w:rPr>
            </w:pPr>
            <w:r>
              <w:rPr>
                <w:rFonts w:hint="default"/>
                <w:lang w:val="en-US" w:eastAsia="zh-CN"/>
              </w:rPr>
              <w:t>项目编</w:t>
            </w:r>
            <w:r>
              <w:rPr>
                <w:rFonts w:hint="default"/>
                <w:highlight w:val="none"/>
                <w:lang w:val="en-US" w:eastAsia="zh-CN"/>
              </w:rPr>
              <w:t>号：</w:t>
            </w:r>
            <w:r>
              <w:rPr>
                <w:rFonts w:hint="eastAsia"/>
                <w:highlight w:val="none"/>
                <w:lang w:val="en-US" w:eastAsia="zh-CN"/>
              </w:rPr>
              <w:t>AKTZBCG-2026-086-01</w:t>
            </w:r>
          </w:p>
          <w:p w14:paraId="14D75182">
            <w:pPr>
              <w:keepNext w:val="0"/>
              <w:keepLines w:val="0"/>
              <w:pageBreakBefore w:val="0"/>
              <w:widowControl/>
              <w:shd w:val="clear" w:color="auto" w:fill="auto"/>
              <w:kinsoku/>
              <w:wordWrap/>
              <w:overflowPunct/>
              <w:topLinePunct w:val="0"/>
              <w:autoSpaceDE/>
              <w:autoSpaceDN/>
              <w:bidi w:val="0"/>
              <w:adjustRightInd/>
              <w:snapToGrid/>
              <w:spacing w:line="240" w:lineRule="auto"/>
              <w:jc w:val="left"/>
              <w:textAlignment w:val="auto"/>
              <w:rPr>
                <w:rFonts w:hint="default"/>
                <w:lang w:val="en-US" w:eastAsia="zh-CN"/>
              </w:rPr>
            </w:pPr>
            <w:r>
              <w:rPr>
                <w:rFonts w:hint="default"/>
                <w:lang w:val="en-US" w:eastAsia="zh-CN"/>
              </w:rPr>
              <w:t>采购内容：</w:t>
            </w:r>
            <w:r>
              <w:rPr>
                <w:rFonts w:hint="eastAsia"/>
                <w:lang w:val="en-US" w:eastAsia="zh-CN"/>
              </w:rPr>
              <w:t>组建阿克陶县新媒体协会，打造自有IP《爱上阿克陶》，确定“遇见帕米尔，爱上阿克陶”宣传口号；搭建微信公众号、视频号、抖音、小红书四大差异化运营矩阵；固定“30%原创内容+40%融媒二创+20%达人共创+10%活动纪实”内容生产模式；全年常态化产出推文、短视频、图文笔记，培养本地新媒体运营人才。</w:t>
            </w:r>
            <w:r>
              <w:rPr>
                <w:rFonts w:hint="default"/>
                <w:lang w:val="en-US" w:eastAsia="zh-CN"/>
              </w:rPr>
              <w:t>（具体内容详见服务要求）</w:t>
            </w:r>
          </w:p>
        </w:tc>
      </w:tr>
      <w:tr w14:paraId="3B58A7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33" w:type="pct"/>
            <w:noWrap w:val="0"/>
            <w:vAlign w:val="center"/>
          </w:tcPr>
          <w:p w14:paraId="543C52A6">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2</w:t>
            </w:r>
          </w:p>
        </w:tc>
        <w:tc>
          <w:tcPr>
            <w:tcW w:w="861" w:type="pct"/>
            <w:noWrap w:val="0"/>
            <w:vAlign w:val="center"/>
          </w:tcPr>
          <w:p w14:paraId="17CF54C9">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lang w:eastAsia="zh-CN"/>
              </w:rPr>
              <w:t>信</w:t>
            </w:r>
            <w:r>
              <w:rPr>
                <w:rFonts w:hint="eastAsia" w:ascii="宋体" w:hAnsi="宋体" w:eastAsia="宋体" w:cs="宋体"/>
                <w:color w:val="auto"/>
                <w:sz w:val="21"/>
                <w:szCs w:val="21"/>
                <w:highlight w:val="none"/>
              </w:rPr>
              <w:t>息</w:t>
            </w:r>
          </w:p>
        </w:tc>
        <w:tc>
          <w:tcPr>
            <w:tcW w:w="3704" w:type="pct"/>
            <w:noWrap w:val="0"/>
            <w:vAlign w:val="center"/>
          </w:tcPr>
          <w:p w14:paraId="1051F7BA">
            <w:pPr>
              <w:widowControl/>
              <w:spacing w:line="240" w:lineRule="auto"/>
              <w:jc w:val="left"/>
              <w:rPr>
                <w:rFonts w:ascii="宋体" w:hAnsi="宋体"/>
                <w:kern w:val="0"/>
                <w:szCs w:val="21"/>
              </w:rPr>
            </w:pPr>
            <w:r>
              <w:rPr>
                <w:rFonts w:hint="eastAsia" w:ascii="宋体" w:hAnsi="宋体"/>
                <w:kern w:val="0"/>
                <w:szCs w:val="21"/>
              </w:rPr>
              <w:t>采购单位：</w:t>
            </w:r>
            <w:r>
              <w:rPr>
                <w:rFonts w:hint="eastAsia" w:ascii="宋体" w:hAnsi="宋体"/>
                <w:kern w:val="0"/>
                <w:szCs w:val="21"/>
                <w:lang w:val="en-US" w:eastAsia="zh-CN"/>
              </w:rPr>
              <w:t>阿克陶县文化体育广播电视和旅游局</w:t>
            </w:r>
            <w:r>
              <w:rPr>
                <w:rFonts w:hint="eastAsia" w:ascii="宋体" w:hAnsi="宋体"/>
                <w:szCs w:val="21"/>
              </w:rPr>
              <w:t xml:space="preserve">        </w:t>
            </w:r>
          </w:p>
          <w:p w14:paraId="362FC3C4">
            <w:pPr>
              <w:widowControl/>
              <w:spacing w:line="240" w:lineRule="auto"/>
              <w:rPr>
                <w:rFonts w:hint="eastAsia" w:ascii="宋体" w:hAnsi="宋体"/>
                <w:szCs w:val="21"/>
                <w:highlight w:val="none"/>
                <w:lang w:eastAsia="zh-CN"/>
              </w:rPr>
            </w:pPr>
            <w:r>
              <w:rPr>
                <w:rFonts w:hint="eastAsia" w:ascii="宋体" w:hAnsi="宋体"/>
                <w:color w:val="000000"/>
                <w:szCs w:val="21"/>
                <w:highlight w:val="none"/>
                <w:shd w:val="clear" w:color="auto" w:fill="FFFFFF"/>
              </w:rPr>
              <w:t>联 系 人：</w:t>
            </w:r>
            <w:r>
              <w:rPr>
                <w:rFonts w:hint="eastAsia" w:ascii="宋体" w:hAnsi="宋体"/>
                <w:color w:val="000000"/>
                <w:szCs w:val="21"/>
                <w:highlight w:val="none"/>
                <w:shd w:val="clear" w:color="auto" w:fill="FFFFFF"/>
                <w:lang w:val="en-US" w:eastAsia="zh-CN"/>
              </w:rPr>
              <w:t>冯女士</w:t>
            </w:r>
          </w:p>
          <w:p w14:paraId="087A1B9F">
            <w:pPr>
              <w:widowControl/>
              <w:spacing w:line="240" w:lineRule="auto"/>
              <w:rPr>
                <w:rFonts w:hint="eastAsia" w:ascii="宋体" w:hAnsi="宋体"/>
                <w:szCs w:val="21"/>
                <w:highlight w:val="none"/>
                <w:lang w:val="en-US" w:eastAsia="zh-CN"/>
              </w:rPr>
            </w:pPr>
            <w:r>
              <w:rPr>
                <w:rFonts w:hint="eastAsia" w:ascii="宋体" w:hAnsi="宋体"/>
                <w:szCs w:val="21"/>
                <w:highlight w:val="none"/>
                <w:lang w:eastAsia="zh-CN"/>
              </w:rPr>
              <w:t>联系电话：</w:t>
            </w:r>
            <w:r>
              <w:rPr>
                <w:rFonts w:hint="eastAsia" w:ascii="宋体" w:hAnsi="宋体"/>
                <w:szCs w:val="21"/>
                <w:highlight w:val="none"/>
                <w:lang w:val="en-US" w:eastAsia="zh-CN"/>
              </w:rPr>
              <w:t>15276812626</w:t>
            </w:r>
          </w:p>
          <w:p w14:paraId="0967D0E7">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auto"/>
                <w:sz w:val="21"/>
                <w:szCs w:val="21"/>
                <w:highlight w:val="none"/>
                <w:lang w:val="en-US" w:eastAsia="zh-CN"/>
              </w:rPr>
            </w:pPr>
            <w:r>
              <w:rPr>
                <w:rFonts w:hint="eastAsia" w:ascii="宋体" w:hAnsi="宋体"/>
                <w:szCs w:val="21"/>
                <w:lang w:val="en-US" w:eastAsia="zh-CN"/>
              </w:rPr>
              <w:t>地址：阿克陶县人民东路156号（江西大道与慕士塔格路交叉口东100米）</w:t>
            </w:r>
          </w:p>
        </w:tc>
      </w:tr>
      <w:tr w14:paraId="2840FB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4" w:hRule="atLeast"/>
          <w:jc w:val="center"/>
        </w:trPr>
        <w:tc>
          <w:tcPr>
            <w:tcW w:w="433" w:type="pct"/>
            <w:noWrap w:val="0"/>
            <w:vAlign w:val="center"/>
          </w:tcPr>
          <w:p w14:paraId="3842AD9A">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3</w:t>
            </w:r>
          </w:p>
        </w:tc>
        <w:tc>
          <w:tcPr>
            <w:tcW w:w="861" w:type="pct"/>
            <w:noWrap w:val="0"/>
            <w:vAlign w:val="center"/>
          </w:tcPr>
          <w:p w14:paraId="4E29C583">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rPr>
              <w:t>采购代理机构</w:t>
            </w:r>
          </w:p>
        </w:tc>
        <w:tc>
          <w:tcPr>
            <w:tcW w:w="3704" w:type="pct"/>
            <w:noWrap w:val="0"/>
            <w:vAlign w:val="center"/>
          </w:tcPr>
          <w:p w14:paraId="214EC8CA">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名  称：</w:t>
            </w:r>
            <w:r>
              <w:rPr>
                <w:rFonts w:hint="eastAsia" w:ascii="宋体" w:hAnsi="宋体" w:cs="宋体"/>
                <w:color w:val="auto"/>
                <w:kern w:val="0"/>
                <w:sz w:val="21"/>
                <w:szCs w:val="21"/>
                <w:highlight w:val="none"/>
                <w:lang w:val="en-US" w:eastAsia="zh-CN"/>
              </w:rPr>
              <w:t>中佳信建设管理集团有限公司</w:t>
            </w:r>
          </w:p>
          <w:p w14:paraId="6EEAEB69">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联</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系</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人：</w:t>
            </w:r>
            <w:r>
              <w:rPr>
                <w:rFonts w:hint="eastAsia" w:ascii="宋体" w:hAnsi="宋体" w:cs="宋体"/>
                <w:color w:val="auto"/>
                <w:kern w:val="0"/>
                <w:sz w:val="21"/>
                <w:szCs w:val="21"/>
                <w:highlight w:val="none"/>
                <w:lang w:val="en-US" w:eastAsia="zh-CN"/>
              </w:rPr>
              <w:t>刘女士</w:t>
            </w:r>
            <w:r>
              <w:rPr>
                <w:rFonts w:hint="eastAsia" w:ascii="宋体" w:hAnsi="宋体" w:eastAsia="宋体" w:cs="宋体"/>
                <w:color w:val="auto"/>
                <w:kern w:val="0"/>
                <w:sz w:val="21"/>
                <w:szCs w:val="21"/>
                <w:highlight w:val="none"/>
                <w:lang w:val="en-US" w:eastAsia="zh-CN"/>
              </w:rPr>
              <w:t xml:space="preserve">   </w:t>
            </w:r>
          </w:p>
          <w:p w14:paraId="27317B32">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联系电话：</w:t>
            </w:r>
            <w:r>
              <w:rPr>
                <w:rFonts w:hint="eastAsia" w:ascii="宋体" w:hAnsi="宋体" w:cs="宋体"/>
                <w:color w:val="auto"/>
                <w:kern w:val="0"/>
                <w:sz w:val="21"/>
                <w:szCs w:val="21"/>
                <w:highlight w:val="none"/>
                <w:lang w:val="en-US" w:eastAsia="zh-CN"/>
              </w:rPr>
              <w:t>16668796665</w:t>
            </w:r>
          </w:p>
          <w:p w14:paraId="13A5535B">
            <w:pPr>
              <w:keepNext w:val="0"/>
              <w:keepLines w:val="0"/>
              <w:pageBreakBefore w:val="0"/>
              <w:widowControl/>
              <w:shd w:val="clear" w:color="auto" w:fill="auto"/>
              <w:kinsoku/>
              <w:wordWrap/>
              <w:overflowPunct/>
              <w:topLinePunct w:val="0"/>
              <w:autoSpaceDE/>
              <w:autoSpaceDN/>
              <w:bidi w:val="0"/>
              <w:adjustRightInd/>
              <w:snapToGrid/>
              <w:spacing w:line="290" w:lineRule="exact"/>
              <w:textAlignment w:val="auto"/>
              <w:rPr>
                <w:rFonts w:hint="default"/>
                <w:color w:val="auto"/>
                <w:sz w:val="21"/>
                <w:szCs w:val="21"/>
                <w:highlight w:val="none"/>
                <w:lang w:val="en-US"/>
              </w:rPr>
            </w:pPr>
            <w:r>
              <w:rPr>
                <w:rFonts w:hint="eastAsia" w:ascii="宋体" w:hAnsi="宋体" w:eastAsia="宋体" w:cs="宋体"/>
                <w:color w:val="auto"/>
                <w:kern w:val="0"/>
                <w:sz w:val="21"/>
                <w:szCs w:val="21"/>
                <w:highlight w:val="none"/>
              </w:rPr>
              <w:t>地  址：</w:t>
            </w:r>
            <w:r>
              <w:rPr>
                <w:rFonts w:hint="eastAsia" w:ascii="宋体" w:hAnsi="宋体" w:cs="宋体"/>
                <w:color w:val="auto"/>
                <w:kern w:val="0"/>
                <w:sz w:val="21"/>
                <w:szCs w:val="21"/>
                <w:highlight w:val="none"/>
                <w:lang w:val="en-US" w:eastAsia="zh-CN"/>
              </w:rPr>
              <w:t>喀什市库木代尔瓦扎街道大十字社区解放南路50号米兰大厦9层901号</w:t>
            </w:r>
          </w:p>
        </w:tc>
      </w:tr>
      <w:tr w14:paraId="17F324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433" w:type="pct"/>
            <w:noWrap w:val="0"/>
            <w:vAlign w:val="center"/>
          </w:tcPr>
          <w:p w14:paraId="60664438">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color w:val="000000"/>
                <w:kern w:val="2"/>
                <w:sz w:val="21"/>
                <w:szCs w:val="21"/>
                <w:highlight w:val="none"/>
                <w:u w:val="none"/>
                <w:lang w:val="en-US" w:eastAsia="zh-CN" w:bidi="ar-SA"/>
              </w:rPr>
            </w:pPr>
            <w:r>
              <w:rPr>
                <w:rFonts w:hint="eastAsia" w:ascii="宋体" w:hAnsi="Times New Roman" w:eastAsia="宋体" w:cs="Times New Roman"/>
                <w:color w:val="000000"/>
                <w:kern w:val="2"/>
                <w:sz w:val="21"/>
                <w:szCs w:val="21"/>
                <w:highlight w:val="none"/>
                <w:u w:val="none"/>
                <w:lang w:val="en-US" w:eastAsia="zh-CN" w:bidi="ar-SA"/>
              </w:rPr>
              <w:t>4</w:t>
            </w:r>
          </w:p>
        </w:tc>
        <w:tc>
          <w:tcPr>
            <w:tcW w:w="861" w:type="pct"/>
            <w:noWrap w:val="0"/>
            <w:vAlign w:val="center"/>
          </w:tcPr>
          <w:p w14:paraId="31CB9E7B">
            <w:pPr>
              <w:keepNext w:val="0"/>
              <w:keepLines w:val="0"/>
              <w:pageBreakBefore w:val="0"/>
              <w:widowControl/>
              <w:shd w:val="clear" w:color="auto" w:fill="auto"/>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Times New Roman" w:eastAsia="宋体" w:cs="Times New Roman"/>
                <w:color w:val="000000"/>
                <w:kern w:val="2"/>
                <w:sz w:val="21"/>
                <w:szCs w:val="21"/>
                <w:highlight w:val="none"/>
                <w:u w:val="none"/>
                <w:lang w:val="en-US" w:eastAsia="zh-CN" w:bidi="ar-SA"/>
              </w:rPr>
            </w:pPr>
            <w:r>
              <w:rPr>
                <w:rFonts w:hint="eastAsia" w:ascii="宋体" w:hAnsi="Times New Roman" w:eastAsia="宋体" w:cs="Times New Roman"/>
                <w:color w:val="000000" w:themeColor="text1"/>
                <w:kern w:val="2"/>
                <w:sz w:val="21"/>
                <w:szCs w:val="21"/>
                <w:highlight w:val="none"/>
                <w:u w:val="none"/>
                <w:lang w:val="en-US" w:eastAsia="zh-CN" w:bidi="ar-SA"/>
                <w14:textFill>
                  <w14:solidFill>
                    <w14:schemeClr w14:val="tx1"/>
                  </w14:solidFill>
                </w14:textFill>
              </w:rPr>
              <w:t>供货（服务）  地点</w:t>
            </w:r>
          </w:p>
        </w:tc>
        <w:tc>
          <w:tcPr>
            <w:tcW w:w="3704" w:type="pct"/>
            <w:noWrap w:val="0"/>
            <w:vAlign w:val="center"/>
          </w:tcPr>
          <w:p w14:paraId="21BA7FCD">
            <w:pPr>
              <w:keepNext w:val="0"/>
              <w:keepLines w:val="0"/>
              <w:pageBreakBefore w:val="0"/>
              <w:widowControl/>
              <w:shd w:val="clear" w:color="auto" w:fill="auto"/>
              <w:kinsoku/>
              <w:wordWrap/>
              <w:overflowPunct/>
              <w:topLinePunct w:val="0"/>
              <w:autoSpaceDE/>
              <w:autoSpaceDN/>
              <w:bidi w:val="0"/>
              <w:adjustRightInd/>
              <w:snapToGrid/>
              <w:spacing w:line="290" w:lineRule="exact"/>
              <w:jc w:val="both"/>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阿克陶县</w:t>
            </w:r>
          </w:p>
        </w:tc>
      </w:tr>
      <w:tr w14:paraId="7CE10EF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41" w:hRule="atLeast"/>
          <w:jc w:val="center"/>
        </w:trPr>
        <w:tc>
          <w:tcPr>
            <w:tcW w:w="433" w:type="pct"/>
            <w:noWrap w:val="0"/>
            <w:vAlign w:val="center"/>
          </w:tcPr>
          <w:p w14:paraId="72C54549">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5</w:t>
            </w:r>
          </w:p>
        </w:tc>
        <w:tc>
          <w:tcPr>
            <w:tcW w:w="861" w:type="pct"/>
            <w:noWrap w:val="0"/>
            <w:vAlign w:val="center"/>
          </w:tcPr>
          <w:p w14:paraId="27778C33">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color w:val="000000"/>
                <w:sz w:val="21"/>
                <w:szCs w:val="21"/>
                <w:highlight w:val="none"/>
                <w:lang w:val="en-US" w:eastAsia="zh-CN"/>
              </w:rPr>
            </w:pPr>
            <w:r>
              <w:rPr>
                <w:rFonts w:hint="eastAsia" w:ascii="宋体" w:hAnsi="宋体" w:eastAsia="宋体" w:cs="宋体"/>
                <w:color w:val="000000"/>
                <w:sz w:val="21"/>
                <w:szCs w:val="21"/>
                <w:highlight w:val="none"/>
              </w:rPr>
              <w:t>付款</w:t>
            </w:r>
            <w:r>
              <w:rPr>
                <w:rFonts w:hint="eastAsia" w:ascii="宋体" w:hAnsi="宋体" w:eastAsia="宋体" w:cs="宋体"/>
                <w:color w:val="000000"/>
                <w:sz w:val="21"/>
                <w:szCs w:val="21"/>
                <w:highlight w:val="none"/>
                <w:lang w:eastAsia="zh-CN"/>
              </w:rPr>
              <w:t>方</w:t>
            </w:r>
            <w:r>
              <w:rPr>
                <w:rFonts w:hint="eastAsia" w:ascii="宋体" w:hAnsi="宋体" w:eastAsia="宋体" w:cs="宋体"/>
                <w:color w:val="000000"/>
                <w:sz w:val="21"/>
                <w:szCs w:val="21"/>
                <w:highlight w:val="none"/>
              </w:rPr>
              <w:t>式</w:t>
            </w:r>
          </w:p>
        </w:tc>
        <w:tc>
          <w:tcPr>
            <w:tcW w:w="3704" w:type="pct"/>
            <w:noWrap w:val="0"/>
            <w:vAlign w:val="center"/>
          </w:tcPr>
          <w:p w14:paraId="06A17F55">
            <w:pPr>
              <w:keepNext w:val="0"/>
              <w:keepLines w:val="0"/>
              <w:pageBreakBefore w:val="0"/>
              <w:widowControl/>
              <w:shd w:val="clear" w:color="auto" w:fill="auto"/>
              <w:kinsoku/>
              <w:wordWrap/>
              <w:overflowPunct/>
              <w:topLinePunct w:val="0"/>
              <w:autoSpaceDE/>
              <w:autoSpaceDN/>
              <w:bidi w:val="0"/>
              <w:adjustRightInd/>
              <w:snapToGrid/>
              <w:spacing w:line="290" w:lineRule="exact"/>
              <w:jc w:val="left"/>
              <w:textAlignment w:val="auto"/>
              <w:outlineLvl w:val="9"/>
              <w:rPr>
                <w:rFonts w:hint="default" w:ascii="宋体" w:hAnsi="宋体" w:eastAsia="宋体" w:cs="宋体"/>
                <w:color w:val="000000"/>
                <w:sz w:val="21"/>
                <w:szCs w:val="21"/>
                <w:highlight w:val="none"/>
                <w:lang w:val="en-US" w:eastAsia="zh-CN"/>
              </w:rPr>
            </w:pPr>
            <w:r>
              <w:rPr>
                <w:rFonts w:hint="eastAsia"/>
                <w:color w:val="000000" w:themeColor="text1"/>
                <w:highlight w:val="none"/>
                <w:lang w:val="en-US" w:eastAsia="zh-CN"/>
                <w14:textFill>
                  <w14:solidFill>
                    <w14:schemeClr w14:val="tx1"/>
                  </w14:solidFill>
                </w14:textFill>
              </w:rPr>
              <w:t>合同签订生效且中标人提交履约担保、开具等额发票后，支付合同总金额70%预付款；服务期满，验收合格并开具剩余款项发票后，支付30%尾款。（具体以合同约定为准。）</w:t>
            </w:r>
          </w:p>
        </w:tc>
      </w:tr>
      <w:tr w14:paraId="7EC1C0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90" w:hRule="atLeast"/>
          <w:jc w:val="center"/>
        </w:trPr>
        <w:tc>
          <w:tcPr>
            <w:tcW w:w="433" w:type="pct"/>
            <w:noWrap w:val="0"/>
            <w:vAlign w:val="center"/>
          </w:tcPr>
          <w:p w14:paraId="0294E2E8">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6</w:t>
            </w:r>
          </w:p>
        </w:tc>
        <w:tc>
          <w:tcPr>
            <w:tcW w:w="861" w:type="pct"/>
            <w:noWrap w:val="0"/>
            <w:vAlign w:val="center"/>
          </w:tcPr>
          <w:p w14:paraId="71C5FC07">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000000"/>
                <w:sz w:val="21"/>
                <w:szCs w:val="21"/>
                <w:highlight w:val="none"/>
                <w:lang w:val="en-US" w:eastAsia="zh-CN"/>
              </w:rPr>
            </w:pPr>
            <w:r>
              <w:rPr>
                <w:rFonts w:hint="eastAsia"/>
                <w:color w:val="000000"/>
                <w:sz w:val="21"/>
                <w:szCs w:val="21"/>
                <w:highlight w:val="none"/>
                <w:lang w:val="en-US" w:eastAsia="zh-CN"/>
              </w:rPr>
              <w:t>服务（交货）时间</w:t>
            </w:r>
          </w:p>
        </w:tc>
        <w:tc>
          <w:tcPr>
            <w:tcW w:w="3704" w:type="pct"/>
            <w:noWrap w:val="0"/>
            <w:vAlign w:val="center"/>
          </w:tcPr>
          <w:p w14:paraId="1A251756">
            <w:pPr>
              <w:keepNext w:val="0"/>
              <w:keepLines w:val="0"/>
              <w:pageBreakBefore w:val="0"/>
              <w:widowControl w:val="0"/>
              <w:shd w:val="clear" w:color="auto" w:fill="auto"/>
              <w:kinsoku/>
              <w:wordWrap/>
              <w:overflowPunct/>
              <w:topLinePunct w:val="0"/>
              <w:autoSpaceDE/>
              <w:autoSpaceDN/>
              <w:bidi w:val="0"/>
              <w:adjustRightInd/>
              <w:snapToGrid/>
              <w:spacing w:line="290" w:lineRule="exact"/>
              <w:jc w:val="left"/>
              <w:textAlignment w:val="auto"/>
              <w:rPr>
                <w:rFonts w:hint="default"/>
                <w:color w:val="000000"/>
                <w:sz w:val="21"/>
                <w:szCs w:val="21"/>
                <w:highlight w:val="none"/>
                <w:lang w:val="en-US" w:eastAsia="zh-CN"/>
              </w:rPr>
            </w:pPr>
            <w:r>
              <w:rPr>
                <w:rFonts w:hint="eastAsia"/>
                <w:color w:val="000000"/>
                <w:sz w:val="21"/>
                <w:szCs w:val="21"/>
                <w:highlight w:val="none"/>
                <w:lang w:val="en-US" w:eastAsia="zh-CN"/>
              </w:rPr>
              <w:t>服务期1年。</w:t>
            </w:r>
            <w:r>
              <w:rPr>
                <w:rFonts w:hint="default"/>
                <w:color w:val="000000"/>
                <w:sz w:val="21"/>
                <w:szCs w:val="21"/>
                <w:highlight w:val="none"/>
                <w:lang w:val="en-US" w:eastAsia="zh-CN"/>
              </w:rPr>
              <w:t>（具体以双方合同签订为准）</w:t>
            </w:r>
          </w:p>
        </w:tc>
      </w:tr>
      <w:tr w14:paraId="319FD4E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81" w:hRule="atLeast"/>
          <w:jc w:val="center"/>
        </w:trPr>
        <w:tc>
          <w:tcPr>
            <w:tcW w:w="433" w:type="pct"/>
            <w:noWrap w:val="0"/>
            <w:vAlign w:val="center"/>
          </w:tcPr>
          <w:p w14:paraId="49A30D50">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7</w:t>
            </w:r>
          </w:p>
        </w:tc>
        <w:tc>
          <w:tcPr>
            <w:tcW w:w="861" w:type="pct"/>
            <w:noWrap w:val="0"/>
            <w:vAlign w:val="center"/>
          </w:tcPr>
          <w:p w14:paraId="39A387D2">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000000"/>
                <w:sz w:val="21"/>
                <w:szCs w:val="21"/>
                <w:highlight w:val="none"/>
                <w:lang w:val="en-US" w:eastAsia="zh-CN"/>
              </w:rPr>
            </w:pPr>
            <w:r>
              <w:rPr>
                <w:rFonts w:hint="eastAsia"/>
                <w:color w:val="000000"/>
                <w:sz w:val="21"/>
                <w:szCs w:val="21"/>
                <w:highlight w:val="none"/>
                <w:lang w:val="en-US" w:eastAsia="zh-CN"/>
              </w:rPr>
              <w:t>资金来源</w:t>
            </w:r>
          </w:p>
        </w:tc>
        <w:tc>
          <w:tcPr>
            <w:tcW w:w="3704" w:type="pct"/>
            <w:noWrap w:val="0"/>
            <w:vAlign w:val="center"/>
          </w:tcPr>
          <w:p w14:paraId="10EDDCDB">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color w:val="000000"/>
                <w:sz w:val="21"/>
                <w:szCs w:val="21"/>
                <w:highlight w:val="none"/>
                <w:lang w:val="en-US" w:eastAsia="zh-CN"/>
              </w:rPr>
            </w:pPr>
            <w:r>
              <w:rPr>
                <w:rFonts w:hint="eastAsia"/>
                <w:color w:val="000000"/>
                <w:sz w:val="21"/>
                <w:szCs w:val="21"/>
                <w:highlight w:val="none"/>
                <w:lang w:val="en-US" w:eastAsia="zh-CN"/>
              </w:rPr>
              <w:t>2026年援疆资金</w:t>
            </w:r>
          </w:p>
        </w:tc>
      </w:tr>
      <w:tr w14:paraId="5CC005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3" w:hRule="atLeast"/>
          <w:jc w:val="center"/>
        </w:trPr>
        <w:tc>
          <w:tcPr>
            <w:tcW w:w="433" w:type="pct"/>
            <w:noWrap w:val="0"/>
            <w:vAlign w:val="center"/>
          </w:tcPr>
          <w:p w14:paraId="2FCD53FF">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8</w:t>
            </w:r>
          </w:p>
        </w:tc>
        <w:tc>
          <w:tcPr>
            <w:tcW w:w="861" w:type="pct"/>
            <w:noWrap w:val="0"/>
            <w:vAlign w:val="center"/>
          </w:tcPr>
          <w:p w14:paraId="5136D2D1">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招标方式</w:t>
            </w:r>
          </w:p>
        </w:tc>
        <w:tc>
          <w:tcPr>
            <w:tcW w:w="3704" w:type="pct"/>
            <w:noWrap w:val="0"/>
            <w:vAlign w:val="center"/>
          </w:tcPr>
          <w:p w14:paraId="314E2E8F">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竞争性磋商</w:t>
            </w:r>
            <w:r>
              <w:rPr>
                <w:rFonts w:hint="eastAsia" w:hAnsi="宋体" w:cs="宋体-18030"/>
                <w:b/>
                <w:color w:val="auto"/>
                <w:sz w:val="21"/>
                <w:szCs w:val="21"/>
                <w:highlight w:val="none"/>
                <w:lang w:val="en-US" w:eastAsia="zh-CN"/>
              </w:rPr>
              <w:t>(本项目采用网上电子招投标)</w:t>
            </w:r>
            <w:r>
              <w:rPr>
                <w:rFonts w:hint="eastAsia"/>
                <w:color w:val="auto"/>
                <w:sz w:val="21"/>
                <w:szCs w:val="21"/>
                <w:highlight w:val="none"/>
                <w:lang w:val="en-US" w:eastAsia="zh-CN"/>
              </w:rPr>
              <w:t xml:space="preserve">             </w:t>
            </w:r>
          </w:p>
        </w:tc>
      </w:tr>
      <w:tr w14:paraId="44CC9F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433" w:type="pct"/>
            <w:noWrap w:val="0"/>
            <w:vAlign w:val="center"/>
          </w:tcPr>
          <w:p w14:paraId="3F8B4E13">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9</w:t>
            </w:r>
          </w:p>
        </w:tc>
        <w:tc>
          <w:tcPr>
            <w:tcW w:w="861" w:type="pct"/>
            <w:noWrap w:val="0"/>
            <w:vAlign w:val="center"/>
          </w:tcPr>
          <w:p w14:paraId="22E4C6D3">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投标人资格条件及其他要求</w:t>
            </w:r>
          </w:p>
        </w:tc>
        <w:tc>
          <w:tcPr>
            <w:tcW w:w="3704" w:type="pct"/>
            <w:noWrap w:val="0"/>
            <w:vAlign w:val="center"/>
          </w:tcPr>
          <w:p w14:paraId="0C76BBCB">
            <w:pPr>
              <w:snapToGrid w:val="0"/>
              <w:rPr>
                <w:rFonts w:hint="eastAsia"/>
              </w:rPr>
            </w:pPr>
            <w:r>
              <w:rPr>
                <w:rFonts w:hint="eastAsia"/>
              </w:rPr>
              <w:t>1.</w:t>
            </w:r>
            <w:r>
              <w:rPr>
                <w:rFonts w:hint="eastAsia"/>
                <w:lang w:val="en-US" w:eastAsia="zh-CN"/>
              </w:rPr>
              <w:t>投标人</w:t>
            </w:r>
            <w:r>
              <w:rPr>
                <w:rFonts w:hint="eastAsia"/>
              </w:rPr>
              <w:t>满足《中华人民共和国政府采购法》第二十二条规定；</w:t>
            </w:r>
          </w:p>
          <w:p w14:paraId="11E1D1FF">
            <w:pPr>
              <w:snapToGrid w:val="0"/>
              <w:rPr>
                <w:rFonts w:hint="eastAsia"/>
                <w:highlight w:val="none"/>
                <w:lang w:eastAsia="zh-CN"/>
              </w:rPr>
            </w:pPr>
            <w:r>
              <w:rPr>
                <w:rFonts w:hint="eastAsia"/>
              </w:rPr>
              <w:t>2.落实政府采购政策需满足的资格要求：</w:t>
            </w:r>
            <w:r>
              <w:rPr>
                <w:rFonts w:hint="eastAsia"/>
                <w:b/>
                <w:bCs/>
                <w:lang w:eastAsia="zh-CN"/>
              </w:rPr>
              <w:t>本项目专门面向中小企业</w:t>
            </w:r>
            <w:r>
              <w:rPr>
                <w:rFonts w:hint="eastAsia"/>
                <w:b w:val="0"/>
                <w:bCs w:val="0"/>
                <w:lang w:eastAsia="zh-CN"/>
              </w:rPr>
              <w:t>。</w:t>
            </w:r>
          </w:p>
          <w:p w14:paraId="7F9C2417">
            <w:pPr>
              <w:snapToGrid w:val="0"/>
              <w:rPr>
                <w:highlight w:val="none"/>
              </w:rPr>
            </w:pPr>
            <w:r>
              <w:rPr>
                <w:rFonts w:hint="eastAsia"/>
                <w:highlight w:val="none"/>
              </w:rPr>
              <w:t>3.本项目的特定资格要求：</w:t>
            </w:r>
          </w:p>
          <w:p w14:paraId="47B8745D">
            <w:pPr>
              <w:snapToGrid w:val="0"/>
            </w:pPr>
            <w:r>
              <w:rPr>
                <w:rFonts w:hint="eastAsia"/>
              </w:rPr>
              <w:t>（1）有效的三证合一营业执照副本；</w:t>
            </w:r>
          </w:p>
          <w:p w14:paraId="3190FA41">
            <w:pPr>
              <w:snapToGrid w:val="0"/>
            </w:pPr>
            <w:r>
              <w:rPr>
                <w:rFonts w:hint="eastAsia"/>
              </w:rPr>
              <w:t>（2）法定代表人投标需提供法定代表人资格证明书，委托代理人投标需提供法定代表人授权委托书；</w:t>
            </w:r>
          </w:p>
          <w:p w14:paraId="42EF4265">
            <w:pPr>
              <w:snapToGrid w:val="0"/>
            </w:pPr>
            <w:r>
              <w:rPr>
                <w:rFonts w:hint="eastAsia"/>
              </w:rPr>
              <w:t>（3）</w:t>
            </w:r>
            <w:r>
              <w:rPr>
                <w:rFonts w:hint="eastAsia"/>
                <w:lang w:eastAsia="zh-CN"/>
              </w:rPr>
              <w:t>投标企业须提供投标人（被授权在职人员）近6个月任意一个月的社保证明</w:t>
            </w:r>
            <w:r>
              <w:rPr>
                <w:rFonts w:hint="eastAsia"/>
              </w:rPr>
              <w:t>；</w:t>
            </w:r>
          </w:p>
          <w:p w14:paraId="65CD0DDF">
            <w:pPr>
              <w:snapToGrid w:val="0"/>
            </w:pPr>
            <w:r>
              <w:rPr>
                <w:rFonts w:hint="eastAsia"/>
              </w:rPr>
              <w:t>（4）</w:t>
            </w:r>
            <w:r>
              <w:rPr>
                <w:rFonts w:hint="eastAsia" w:ascii="Times New Roman" w:hAnsi="Times New Roman" w:cs="Times New Roman"/>
              </w:rPr>
              <w:t>未被“信用中国”（www.creditchina.gov.cn）、中国政府采购网（www.ccgp.gov.cn）列入失信被执行人、重大税收违法案件当事人名单、政府采购严重违法失信行为记录名单</w:t>
            </w:r>
            <w:r>
              <w:rPr>
                <w:rFonts w:hint="eastAsia"/>
              </w:rPr>
              <w:t>；</w:t>
            </w:r>
          </w:p>
          <w:p w14:paraId="4A82A7DE">
            <w:pPr>
              <w:pStyle w:val="22"/>
              <w:spacing w:before="75" w:beforeAutospacing="0" w:after="75" w:afterAutospacing="0"/>
              <w:rPr>
                <w:rFonts w:hint="eastAsia" w:ascii="Times New Roman" w:hAnsi="Times New Roman" w:cs="Times New Roman"/>
                <w:kern w:val="2"/>
                <w:sz w:val="21"/>
              </w:rPr>
            </w:pPr>
            <w:r>
              <w:rPr>
                <w:rFonts w:hint="eastAsia" w:ascii="Times New Roman" w:hAnsi="Times New Roman" w:cs="Times New Roman"/>
                <w:kern w:val="2"/>
                <w:sz w:val="21"/>
              </w:rPr>
              <w:t>（5）提供反商业贿赂承诺书（自拟）；</w:t>
            </w:r>
          </w:p>
          <w:p w14:paraId="279FAA8F">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rPr>
            </w:pPr>
            <w:r>
              <w:rPr>
                <w:rFonts w:hint="eastAsia"/>
                <w:kern w:val="2"/>
                <w:sz w:val="21"/>
                <w:szCs w:val="21"/>
              </w:rPr>
              <w:t>本项目不接受联合体投标；</w:t>
            </w:r>
          </w:p>
        </w:tc>
      </w:tr>
      <w:tr w14:paraId="434258D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433" w:type="pct"/>
            <w:noWrap w:val="0"/>
            <w:vAlign w:val="center"/>
          </w:tcPr>
          <w:p w14:paraId="330097DD">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10</w:t>
            </w:r>
          </w:p>
        </w:tc>
        <w:tc>
          <w:tcPr>
            <w:tcW w:w="861" w:type="pct"/>
            <w:noWrap w:val="0"/>
            <w:vAlign w:val="center"/>
          </w:tcPr>
          <w:p w14:paraId="5EBB1F69">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供应商信用</w:t>
            </w:r>
          </w:p>
          <w:p w14:paraId="1CD49AFE">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查询</w:t>
            </w:r>
          </w:p>
        </w:tc>
        <w:tc>
          <w:tcPr>
            <w:tcW w:w="3704" w:type="pct"/>
            <w:noWrap w:val="0"/>
            <w:vAlign w:val="center"/>
          </w:tcPr>
          <w:p w14:paraId="74DD9CEF">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1、查询渠道：信用中国（网址：http://www.creditchina.gov.cn）、中国政府采购网(网址：http://www.ccgp.gov.cn）。</w:t>
            </w:r>
          </w:p>
          <w:p w14:paraId="78E90F16">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2、截止时点：开标后评标前。</w:t>
            </w:r>
          </w:p>
          <w:p w14:paraId="5233BE35">
            <w:pPr>
              <w:pStyle w:val="12"/>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3、信用信息查询记录和证据留存的具体方式：由采购组织机构在规定查询时间内打印信用信息查询记录并归入项目档案。</w:t>
            </w:r>
          </w:p>
          <w:p w14:paraId="23581CF0">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4E3D0A8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3" w:hRule="atLeast"/>
          <w:jc w:val="center"/>
        </w:trPr>
        <w:tc>
          <w:tcPr>
            <w:tcW w:w="433" w:type="pct"/>
            <w:noWrap w:val="0"/>
            <w:vAlign w:val="center"/>
          </w:tcPr>
          <w:p w14:paraId="65686A11">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11</w:t>
            </w:r>
          </w:p>
        </w:tc>
        <w:tc>
          <w:tcPr>
            <w:tcW w:w="861" w:type="pct"/>
            <w:noWrap w:val="0"/>
            <w:vAlign w:val="center"/>
          </w:tcPr>
          <w:p w14:paraId="4AE78894">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color w:val="auto"/>
                <w:sz w:val="21"/>
                <w:szCs w:val="21"/>
                <w:highlight w:val="none"/>
                <w:lang w:val="en-US" w:eastAsia="zh-CN"/>
              </w:rPr>
            </w:pPr>
            <w:r>
              <w:rPr>
                <w:rFonts w:hint="eastAsia"/>
                <w:color w:val="auto"/>
                <w:sz w:val="21"/>
                <w:szCs w:val="21"/>
                <w:highlight w:val="none"/>
                <w:lang w:val="en-US" w:eastAsia="zh-CN"/>
              </w:rPr>
              <w:t>踏勘现场</w:t>
            </w:r>
          </w:p>
        </w:tc>
        <w:tc>
          <w:tcPr>
            <w:tcW w:w="3704" w:type="pct"/>
            <w:noWrap w:val="0"/>
            <w:vAlign w:val="center"/>
          </w:tcPr>
          <w:p w14:paraId="275D293E">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不组织,投标人自行组织踏勘现场。</w:t>
            </w:r>
          </w:p>
        </w:tc>
      </w:tr>
      <w:tr w14:paraId="1BCEF4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433" w:type="pct"/>
            <w:noWrap w:val="0"/>
            <w:vAlign w:val="center"/>
          </w:tcPr>
          <w:p w14:paraId="0005268C">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12</w:t>
            </w:r>
          </w:p>
        </w:tc>
        <w:tc>
          <w:tcPr>
            <w:tcW w:w="861" w:type="pct"/>
            <w:noWrap w:val="0"/>
            <w:vAlign w:val="center"/>
          </w:tcPr>
          <w:p w14:paraId="72E08150">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投标预备会</w:t>
            </w:r>
          </w:p>
        </w:tc>
        <w:tc>
          <w:tcPr>
            <w:tcW w:w="3704" w:type="pct"/>
            <w:noWrap w:val="0"/>
            <w:vAlign w:val="center"/>
          </w:tcPr>
          <w:p w14:paraId="56DF7370">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不召开</w:t>
            </w:r>
          </w:p>
        </w:tc>
      </w:tr>
      <w:tr w14:paraId="413C7D5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433" w:type="pct"/>
            <w:noWrap w:val="0"/>
            <w:vAlign w:val="center"/>
          </w:tcPr>
          <w:p w14:paraId="680B68F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13</w:t>
            </w:r>
          </w:p>
        </w:tc>
        <w:tc>
          <w:tcPr>
            <w:tcW w:w="861" w:type="pct"/>
            <w:noWrap w:val="0"/>
            <w:vAlign w:val="center"/>
          </w:tcPr>
          <w:p w14:paraId="40AFFED5">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联合体投标</w:t>
            </w:r>
          </w:p>
        </w:tc>
        <w:tc>
          <w:tcPr>
            <w:tcW w:w="3704" w:type="pct"/>
            <w:noWrap w:val="0"/>
            <w:vAlign w:val="center"/>
          </w:tcPr>
          <w:p w14:paraId="3ACDBE66">
            <w:pPr>
              <w:keepNext w:val="0"/>
              <w:keepLines w:val="0"/>
              <w:pageBreakBefore w:val="0"/>
              <w:shd w:val="clear" w:color="auto" w:fill="auto"/>
              <w:kinsoku/>
              <w:wordWrap/>
              <w:overflowPunct/>
              <w:topLinePunct w:val="0"/>
              <w:autoSpaceDE/>
              <w:autoSpaceDN/>
              <w:bidi w:val="0"/>
              <w:adjustRightInd/>
              <w:spacing w:line="290" w:lineRule="exact"/>
              <w:textAlignment w:val="auto"/>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不接受</w:t>
            </w:r>
          </w:p>
          <w:p w14:paraId="501D7880">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接受，联合体投标的须在投标文件中提供联合体协议书，联合体所有成员不得超过2家，联合体的任何一方均不得再与其他投标单位联合。</w:t>
            </w:r>
          </w:p>
        </w:tc>
      </w:tr>
      <w:tr w14:paraId="0977A1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433" w:type="pct"/>
            <w:noWrap w:val="0"/>
            <w:vAlign w:val="center"/>
          </w:tcPr>
          <w:p w14:paraId="3CB1B52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14</w:t>
            </w:r>
          </w:p>
        </w:tc>
        <w:tc>
          <w:tcPr>
            <w:tcW w:w="861" w:type="pct"/>
            <w:noWrap w:val="0"/>
            <w:vAlign w:val="center"/>
          </w:tcPr>
          <w:p w14:paraId="242A8EF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招标代理费</w:t>
            </w:r>
          </w:p>
        </w:tc>
        <w:tc>
          <w:tcPr>
            <w:tcW w:w="3704" w:type="pct"/>
            <w:noWrap w:val="0"/>
            <w:vAlign w:val="center"/>
          </w:tcPr>
          <w:p w14:paraId="2C67817B">
            <w:pPr>
              <w:snapToGrid w:val="0"/>
              <w:rPr>
                <w:rFonts w:hint="eastAsia" w:ascii="宋体" w:hAnsi="宋体"/>
                <w:color w:val="auto"/>
                <w:sz w:val="21"/>
                <w:szCs w:val="21"/>
                <w:highlight w:val="none"/>
              </w:rPr>
            </w:pPr>
            <w:r>
              <w:rPr>
                <w:rFonts w:hint="eastAsia" w:ascii="宋体" w:hAnsi="宋体"/>
                <w:b/>
                <w:bCs/>
                <w:snapToGrid w:val="0"/>
                <w:sz w:val="20"/>
                <w:szCs w:val="20"/>
                <w:lang w:eastAsia="zh-CN"/>
              </w:rPr>
              <w:t>成交</w:t>
            </w:r>
            <w:r>
              <w:rPr>
                <w:rFonts w:hint="eastAsia" w:ascii="宋体" w:hAnsi="宋体"/>
                <w:b/>
                <w:bCs/>
                <w:snapToGrid w:val="0"/>
                <w:sz w:val="20"/>
                <w:szCs w:val="20"/>
              </w:rPr>
              <w:t>单位在领取本项目</w:t>
            </w:r>
            <w:r>
              <w:rPr>
                <w:rFonts w:hint="eastAsia" w:ascii="宋体" w:hAnsi="宋体"/>
                <w:b/>
                <w:bCs/>
                <w:snapToGrid w:val="0"/>
                <w:sz w:val="20"/>
                <w:szCs w:val="20"/>
                <w:lang w:eastAsia="zh-CN"/>
              </w:rPr>
              <w:t>成交</w:t>
            </w:r>
            <w:r>
              <w:rPr>
                <w:rFonts w:hint="eastAsia" w:ascii="宋体" w:hAnsi="宋体"/>
                <w:b/>
                <w:bCs/>
                <w:snapToGrid w:val="0"/>
                <w:sz w:val="20"/>
                <w:szCs w:val="20"/>
              </w:rPr>
              <w:t>通知书时，</w:t>
            </w:r>
            <w:r>
              <w:rPr>
                <w:rFonts w:hint="eastAsia" w:ascii="宋体" w:hAnsi="宋体"/>
                <w:b/>
                <w:bCs/>
                <w:snapToGrid w:val="0"/>
                <w:sz w:val="20"/>
                <w:szCs w:val="20"/>
                <w:lang w:eastAsia="zh-CN"/>
              </w:rPr>
              <w:t>招标代理费依据《关于进一步放开建设项目专业服务价格的通知》（发改价格[2015]299 号）、《新疆维吾尔自治区招标代理服务收费指导意见》的规定，</w:t>
            </w:r>
            <w:r>
              <w:rPr>
                <w:rFonts w:hint="eastAsia" w:ascii="宋体" w:hAnsi="宋体" w:eastAsia="宋体" w:cs="Times New Roman"/>
                <w:b/>
                <w:bCs/>
                <w:snapToGrid w:val="0"/>
                <w:sz w:val="20"/>
                <w:szCs w:val="20"/>
              </w:rPr>
              <w:t>招标代理服务收费按差额定率累进法计算。</w:t>
            </w:r>
            <w:r>
              <w:rPr>
                <w:rFonts w:hint="eastAsia" w:ascii="宋体" w:hAnsi="宋体"/>
                <w:b/>
                <w:bCs/>
                <w:snapToGrid w:val="0"/>
                <w:sz w:val="20"/>
                <w:szCs w:val="20"/>
                <w:lang w:eastAsia="zh-CN"/>
              </w:rPr>
              <w:t>按中标价计算后收取。由中标人支付。</w:t>
            </w:r>
          </w:p>
        </w:tc>
      </w:tr>
      <w:tr w14:paraId="61DEA0F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433" w:type="pct"/>
            <w:noWrap w:val="0"/>
            <w:vAlign w:val="center"/>
          </w:tcPr>
          <w:p w14:paraId="639256F0">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color w:val="auto"/>
                <w:sz w:val="21"/>
                <w:szCs w:val="21"/>
                <w:highlight w:val="none"/>
                <w:lang w:val="en-US" w:eastAsia="zh-CN"/>
              </w:rPr>
              <w:t>15</w:t>
            </w:r>
          </w:p>
        </w:tc>
        <w:tc>
          <w:tcPr>
            <w:tcW w:w="861" w:type="pct"/>
            <w:noWrap w:val="0"/>
            <w:vAlign w:val="center"/>
          </w:tcPr>
          <w:p w14:paraId="425B2E58">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最高投标限价</w:t>
            </w:r>
          </w:p>
        </w:tc>
        <w:tc>
          <w:tcPr>
            <w:tcW w:w="3704" w:type="pct"/>
            <w:noWrap w:val="0"/>
            <w:vAlign w:val="center"/>
          </w:tcPr>
          <w:p w14:paraId="5B70646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olor w:val="auto"/>
                <w:sz w:val="21"/>
                <w:szCs w:val="21"/>
                <w:highlight w:val="none"/>
              </w:rPr>
            </w:pPr>
            <w:r>
              <w:rPr>
                <w:rFonts w:hint="eastAsia" w:ascii="宋体" w:hAnsi="宋体" w:eastAsia="宋体" w:cs="宋体"/>
                <w:snapToGrid w:val="0"/>
                <w:color w:val="auto"/>
                <w:sz w:val="21"/>
                <w:szCs w:val="21"/>
                <w:highlight w:val="none"/>
                <w:lang w:val="en-US" w:eastAsia="zh-CN"/>
              </w:rPr>
              <w:t>本次招标预算价：</w:t>
            </w:r>
            <w:r>
              <w:rPr>
                <w:rFonts w:hint="eastAsia" w:ascii="宋体" w:hAnsi="宋体" w:eastAsia="宋体" w:cs="宋体"/>
                <w:snapToGrid w:val="0"/>
                <w:color w:val="auto"/>
                <w:sz w:val="21"/>
                <w:szCs w:val="21"/>
                <w:highlight w:val="none"/>
                <w:u w:val="single"/>
                <w:lang w:val="en-US" w:eastAsia="zh-CN"/>
              </w:rPr>
              <w:t>500000.00</w:t>
            </w:r>
            <w:r>
              <w:rPr>
                <w:rFonts w:hint="eastAsia" w:ascii="宋体" w:hAnsi="宋体" w:eastAsia="宋体" w:cs="宋体"/>
                <w:snapToGrid w:val="0"/>
                <w:color w:val="auto"/>
                <w:sz w:val="21"/>
                <w:szCs w:val="21"/>
                <w:highlight w:val="none"/>
                <w:lang w:val="en-US" w:eastAsia="zh-CN"/>
              </w:rPr>
              <w:t>元（投标报价超过采购预算价的按废标处理）</w:t>
            </w:r>
            <w:r>
              <w:rPr>
                <w:rFonts w:hint="eastAsia" w:ascii="宋体" w:hAnsi="Times New Roman" w:eastAsia="宋体" w:cs="Times New Roman"/>
                <w:color w:val="auto"/>
                <w:kern w:val="2"/>
                <w:sz w:val="21"/>
                <w:szCs w:val="21"/>
                <w:highlight w:val="none"/>
                <w:u w:val="none" w:color="000000"/>
                <w:lang w:val="en-US" w:eastAsia="zh-CN" w:bidi="ar-SA"/>
              </w:rPr>
              <w:t>。</w:t>
            </w:r>
          </w:p>
        </w:tc>
      </w:tr>
      <w:tr w14:paraId="664EA3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33" w:type="pct"/>
            <w:noWrap w:val="0"/>
            <w:vAlign w:val="center"/>
          </w:tcPr>
          <w:p w14:paraId="5FA3DF6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16</w:t>
            </w:r>
          </w:p>
        </w:tc>
        <w:tc>
          <w:tcPr>
            <w:tcW w:w="861" w:type="pct"/>
            <w:noWrap w:val="0"/>
            <w:vAlign w:val="center"/>
          </w:tcPr>
          <w:p w14:paraId="0646ABF2">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color w:val="auto"/>
                <w:sz w:val="21"/>
                <w:szCs w:val="21"/>
                <w:highlight w:val="none"/>
                <w:lang w:val="en-US" w:eastAsia="zh-CN"/>
              </w:rPr>
              <w:t>投标有效期</w:t>
            </w:r>
          </w:p>
        </w:tc>
        <w:tc>
          <w:tcPr>
            <w:tcW w:w="3704" w:type="pct"/>
            <w:noWrap w:val="0"/>
            <w:vAlign w:val="center"/>
          </w:tcPr>
          <w:p w14:paraId="063AB0BB">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ascii="宋体" w:hAnsi="宋体" w:eastAsia="宋体" w:cs="宋体"/>
                <w:snapToGrid w:val="0"/>
                <w:color w:val="auto"/>
                <w:kern w:val="2"/>
                <w:sz w:val="21"/>
                <w:szCs w:val="21"/>
                <w:highlight w:val="none"/>
                <w:u w:val="none"/>
                <w:lang w:val="en-US" w:eastAsia="zh-CN" w:bidi="ar-SA"/>
              </w:rPr>
              <w:t xml:space="preserve">投标有效期为 </w:t>
            </w:r>
            <w:r>
              <w:rPr>
                <w:rFonts w:hint="eastAsia" w:ascii="宋体" w:hAnsi="宋体" w:eastAsia="宋体" w:cs="宋体"/>
                <w:snapToGrid w:val="0"/>
                <w:color w:val="000000" w:themeColor="text1"/>
                <w:kern w:val="2"/>
                <w:sz w:val="21"/>
                <w:szCs w:val="21"/>
                <w:highlight w:val="none"/>
                <w:u w:val="none"/>
                <w:lang w:val="en-US" w:eastAsia="zh-CN" w:bidi="ar-SA"/>
                <w14:textFill>
                  <w14:solidFill>
                    <w14:schemeClr w14:val="tx1"/>
                  </w14:solidFill>
                </w14:textFill>
              </w:rPr>
              <w:t>60 日历天</w:t>
            </w:r>
            <w:r>
              <w:rPr>
                <w:rFonts w:hint="eastAsia" w:ascii="宋体" w:hAnsi="宋体" w:eastAsia="宋体" w:cs="宋体"/>
                <w:snapToGrid w:val="0"/>
                <w:color w:val="auto"/>
                <w:kern w:val="2"/>
                <w:sz w:val="21"/>
                <w:szCs w:val="21"/>
                <w:highlight w:val="none"/>
                <w:u w:val="none"/>
                <w:lang w:val="en-US" w:eastAsia="zh-CN" w:bidi="ar-SA"/>
              </w:rPr>
              <w:t>（从投标截止之日算起）。在此期限内，凡符合本竞争性磋商文件要求的投标文件均保持有效。</w:t>
            </w:r>
          </w:p>
        </w:tc>
      </w:tr>
      <w:tr w14:paraId="50AF8D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5" w:hRule="atLeast"/>
          <w:jc w:val="center"/>
        </w:trPr>
        <w:tc>
          <w:tcPr>
            <w:tcW w:w="433" w:type="pct"/>
            <w:vMerge w:val="restart"/>
            <w:noWrap w:val="0"/>
            <w:vAlign w:val="center"/>
          </w:tcPr>
          <w:p w14:paraId="40EF359D">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eastAsia="宋体" w:cs="宋体"/>
                <w:color w:val="auto"/>
                <w:sz w:val="21"/>
                <w:szCs w:val="21"/>
                <w:highlight w:val="none"/>
                <w:lang w:val="en-US" w:eastAsia="zh-CN"/>
              </w:rPr>
            </w:pPr>
            <w:r>
              <w:rPr>
                <w:rFonts w:hint="eastAsia"/>
                <w:color w:val="auto"/>
                <w:sz w:val="21"/>
                <w:szCs w:val="21"/>
                <w:highlight w:val="none"/>
                <w:lang w:val="en-US" w:eastAsia="zh-CN"/>
              </w:rPr>
              <w:t>17</w:t>
            </w:r>
          </w:p>
        </w:tc>
        <w:tc>
          <w:tcPr>
            <w:tcW w:w="861" w:type="pct"/>
            <w:tcBorders>
              <w:bottom w:val="single" w:color="auto" w:sz="4" w:space="0"/>
            </w:tcBorders>
            <w:noWrap w:val="0"/>
            <w:vAlign w:val="center"/>
          </w:tcPr>
          <w:p w14:paraId="0ED8119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000000"/>
                <w:sz w:val="21"/>
                <w:szCs w:val="21"/>
                <w:highlight w:val="none"/>
              </w:rPr>
            </w:pPr>
            <w:r>
              <w:rPr>
                <w:rFonts w:hint="eastAsia" w:ascii="宋体"/>
                <w:color w:val="000000"/>
                <w:sz w:val="21"/>
                <w:szCs w:val="21"/>
                <w:highlight w:val="none"/>
              </w:rPr>
              <w:t>投标保证金</w:t>
            </w:r>
          </w:p>
        </w:tc>
        <w:tc>
          <w:tcPr>
            <w:tcW w:w="3704" w:type="pct"/>
            <w:tcBorders>
              <w:bottom w:val="single" w:color="auto" w:sz="4" w:space="0"/>
            </w:tcBorders>
            <w:noWrap w:val="0"/>
            <w:vAlign w:val="top"/>
          </w:tcPr>
          <w:p w14:paraId="6D50963B">
            <w:pPr>
              <w:shd w:val="clear" w:color="auto" w:fill="auto"/>
              <w:spacing w:line="360" w:lineRule="auto"/>
              <w:jc w:val="left"/>
              <w:outlineLvl w:val="9"/>
              <w:rPr>
                <w:rFonts w:hint="eastAsia" w:ascii="宋体" w:hAnsi="宋体" w:eastAsia="宋体" w:cs="宋体"/>
                <w:snapToGrid w:val="0"/>
                <w:color w:val="000000"/>
                <w:kern w:val="2"/>
                <w:sz w:val="21"/>
                <w:szCs w:val="21"/>
                <w:highlight w:val="none"/>
                <w:u w:val="none" w:color="000000"/>
                <w:lang w:val="en-US" w:eastAsia="zh-CN" w:bidi="ar-SA"/>
              </w:rPr>
            </w:pPr>
            <w:r>
              <w:rPr>
                <w:rFonts w:hint="eastAsia" w:ascii="宋体" w:hAnsi="宋体" w:eastAsia="宋体" w:cs="宋体"/>
                <w:b/>
                <w:bCs/>
                <w:snapToGrid w:val="0"/>
                <w:color w:val="000000"/>
                <w:kern w:val="2"/>
                <w:sz w:val="21"/>
                <w:szCs w:val="21"/>
                <w:highlight w:val="none"/>
                <w:u w:val="none" w:color="000000"/>
                <w:lang w:val="en-US" w:eastAsia="zh-CN" w:bidi="ar-SA"/>
              </w:rPr>
              <w:t>投标保证金交纳方式</w:t>
            </w:r>
            <w:r>
              <w:rPr>
                <w:rFonts w:hint="eastAsia" w:ascii="宋体" w:hAnsi="宋体" w:eastAsia="宋体" w:cs="宋体"/>
                <w:snapToGrid w:val="0"/>
                <w:color w:val="000000"/>
                <w:kern w:val="2"/>
                <w:sz w:val="21"/>
                <w:szCs w:val="21"/>
                <w:highlight w:val="none"/>
                <w:u w:val="none" w:color="000000"/>
                <w:lang w:val="en-US" w:eastAsia="zh-CN" w:bidi="ar-SA"/>
              </w:rPr>
              <w:t>：投标保证金应当以支票、汇票、本票、网上银行支付或者金融机构、担保机构出具的保函等非现金形式交纳。</w:t>
            </w:r>
          </w:p>
          <w:p w14:paraId="45FFB1E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18030"/>
                <w:color w:val="000000"/>
                <w:sz w:val="21"/>
                <w:szCs w:val="21"/>
                <w:highlight w:val="none"/>
              </w:rPr>
            </w:pPr>
            <w:r>
              <w:rPr>
                <w:rFonts w:hint="eastAsia" w:ascii="宋体" w:hAnsi="宋体" w:cs="宋体-18030"/>
                <w:b/>
                <w:bCs/>
                <w:color w:val="000000"/>
                <w:sz w:val="21"/>
                <w:szCs w:val="21"/>
                <w:highlight w:val="none"/>
              </w:rPr>
              <w:t>投标保证金的金额：</w:t>
            </w:r>
            <w:r>
              <w:rPr>
                <w:rFonts w:hint="eastAsia" w:ascii="宋体" w:hAnsi="宋体" w:cs="宋体-18030"/>
                <w:b/>
                <w:bCs/>
                <w:color w:val="000000"/>
                <w:sz w:val="21"/>
                <w:szCs w:val="21"/>
                <w:highlight w:val="none"/>
                <w:lang w:val="en-US" w:eastAsia="zh-CN"/>
              </w:rPr>
              <w:t>6000</w:t>
            </w:r>
            <w:r>
              <w:rPr>
                <w:rFonts w:hint="eastAsia" w:ascii="宋体" w:hAnsi="宋体" w:cs="宋体-18030"/>
                <w:b/>
                <w:bCs/>
                <w:color w:val="000000"/>
                <w:sz w:val="21"/>
                <w:szCs w:val="21"/>
                <w:highlight w:val="none"/>
              </w:rPr>
              <w:t>元（</w:t>
            </w:r>
            <w:r>
              <w:rPr>
                <w:rFonts w:hint="eastAsia" w:ascii="宋体" w:hAnsi="宋体" w:cs="宋体-18030"/>
                <w:b/>
                <w:bCs/>
                <w:color w:val="000000"/>
                <w:sz w:val="21"/>
                <w:szCs w:val="21"/>
                <w:highlight w:val="none"/>
                <w:lang w:val="en-US" w:eastAsia="zh-CN"/>
              </w:rPr>
              <w:t>陆仟元整</w:t>
            </w:r>
            <w:r>
              <w:rPr>
                <w:rFonts w:hint="eastAsia" w:ascii="宋体" w:hAnsi="宋体" w:cs="宋体-18030"/>
                <w:b/>
                <w:bCs/>
                <w:color w:val="000000"/>
                <w:sz w:val="21"/>
                <w:szCs w:val="21"/>
                <w:highlight w:val="none"/>
              </w:rPr>
              <w:t>）</w:t>
            </w:r>
          </w:p>
        </w:tc>
      </w:tr>
      <w:tr w14:paraId="3DE618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33" w:type="pct"/>
            <w:vMerge w:val="continue"/>
            <w:noWrap w:val="0"/>
            <w:vAlign w:val="center"/>
          </w:tcPr>
          <w:p w14:paraId="77C7F93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s="宋体"/>
                <w:color w:val="auto"/>
                <w:sz w:val="21"/>
                <w:szCs w:val="21"/>
                <w:highlight w:val="none"/>
              </w:rPr>
            </w:pPr>
          </w:p>
        </w:tc>
        <w:tc>
          <w:tcPr>
            <w:tcW w:w="4566" w:type="pct"/>
            <w:gridSpan w:val="2"/>
            <w:tcBorders>
              <w:top w:val="single" w:color="auto" w:sz="4" w:space="0"/>
            </w:tcBorders>
            <w:noWrap w:val="0"/>
            <w:vAlign w:val="center"/>
          </w:tcPr>
          <w:p w14:paraId="171BE44B">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开户名称：中佳信建设管理集团有限公司喀什分公司</w:t>
            </w:r>
          </w:p>
          <w:p w14:paraId="20F9EBE2">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开户银行：中国建设银行股份有限公司喀什地区分行营业部</w:t>
            </w:r>
          </w:p>
          <w:p w14:paraId="559450D0">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帐 号：65050174608600002977</w:t>
            </w:r>
          </w:p>
          <w:p w14:paraId="4DF6DB16">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行 号：J8940006053901</w:t>
            </w:r>
          </w:p>
          <w:p w14:paraId="11DA3272">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投标保证金交纳要求：</w:t>
            </w:r>
          </w:p>
          <w:p w14:paraId="7A266FD4">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1、投标保证金以电汇、网银等转账形式提交的，应在投标截止时间</w:t>
            </w:r>
            <w:r>
              <w:rPr>
                <w:rFonts w:hint="eastAsia" w:ascii="新宋体" w:hAnsi="新宋体" w:eastAsia="新宋体" w:cs="新宋体"/>
                <w:b/>
                <w:bCs/>
                <w:color w:val="auto"/>
                <w:sz w:val="21"/>
                <w:szCs w:val="21"/>
                <w:highlight w:val="none"/>
                <w:lang w:eastAsia="zh-CN"/>
              </w:rPr>
              <w:t>2026年11月02日 10:30</w:t>
            </w:r>
            <w:r>
              <w:rPr>
                <w:rFonts w:hint="eastAsia" w:ascii="新宋体" w:hAnsi="新宋体" w:eastAsia="新宋体" w:cs="新宋体"/>
                <w:b/>
                <w:bCs/>
                <w:color w:val="auto"/>
                <w:sz w:val="21"/>
                <w:szCs w:val="21"/>
                <w:highlight w:val="none"/>
              </w:rPr>
              <w:t>（北京时间）前以总公司的基本账户一次性汇入指定账户（以到账时间为准），不接受现金及任何个人汇款。投标保证金付款凭证制作在投标文件中。</w:t>
            </w:r>
          </w:p>
          <w:p w14:paraId="45EC8DF2">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2、电汇或转账时请在汇款备注栏：标段名称+标项号+投标保证金；如填写字数有要求可简写标段名称但必须体现标段信息。</w:t>
            </w:r>
          </w:p>
          <w:p w14:paraId="759886DB">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3、若采用支票、汇票、本票、银行保函或者金融机构、担保机构出具的保函等形式，应将扫描件制作在投标文件中。</w:t>
            </w:r>
          </w:p>
          <w:p w14:paraId="3FB2A64E">
            <w:pPr>
              <w:shd w:val="clear" w:color="auto" w:fill="auto"/>
              <w:spacing w:line="360" w:lineRule="auto"/>
              <w:jc w:val="left"/>
              <w:outlineLvl w:val="9"/>
              <w:rPr>
                <w:rFonts w:hint="eastAsia" w:ascii="新宋体" w:hAnsi="新宋体" w:eastAsia="新宋体" w:cs="新宋体"/>
                <w:b/>
                <w:bCs/>
                <w:color w:val="auto"/>
                <w:sz w:val="21"/>
                <w:szCs w:val="21"/>
                <w:highlight w:val="none"/>
              </w:rPr>
            </w:pPr>
            <w:r>
              <w:rPr>
                <w:rFonts w:hint="eastAsia" w:ascii="新宋体" w:hAnsi="新宋体" w:eastAsia="新宋体" w:cs="新宋体"/>
                <w:b/>
                <w:bCs/>
                <w:color w:val="auto"/>
                <w:sz w:val="21"/>
                <w:szCs w:val="21"/>
                <w:highlight w:val="none"/>
              </w:rPr>
              <w:t>4、保证金的退还：根据中华人民共和国财政部令第87号《政府采购货物和服务招标投标管理办法》第38条：投标保证金应当自中标通知书发出之日起5个工作日内退还未中标人的投标保证金，采购人自采购合同签订之日起5个工作日内退还中标人的投标保证金。</w:t>
            </w:r>
          </w:p>
          <w:p w14:paraId="53957435">
            <w:pPr>
              <w:shd w:val="clear" w:color="auto" w:fill="auto"/>
              <w:spacing w:line="360" w:lineRule="auto"/>
              <w:jc w:val="left"/>
              <w:outlineLvl w:val="9"/>
              <w:rPr>
                <w:rFonts w:hint="eastAsia" w:ascii="宋体" w:hAnsi="宋体"/>
                <w:color w:val="000000"/>
                <w:sz w:val="21"/>
                <w:szCs w:val="21"/>
                <w:highlight w:val="none"/>
              </w:rPr>
            </w:pPr>
            <w:r>
              <w:rPr>
                <w:rFonts w:hint="eastAsia" w:ascii="新宋体" w:hAnsi="新宋体" w:eastAsia="新宋体" w:cs="新宋体"/>
                <w:b/>
                <w:bCs/>
                <w:color w:val="auto"/>
                <w:sz w:val="21"/>
                <w:szCs w:val="21"/>
                <w:highlight w:val="none"/>
              </w:rPr>
              <w:t>注：投标人未按招标文件规定缴纳投标保证金的,投标文件将被拒绝评审。</w:t>
            </w:r>
          </w:p>
        </w:tc>
      </w:tr>
      <w:tr w14:paraId="4ECDD58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433" w:type="pct"/>
            <w:noWrap w:val="0"/>
            <w:vAlign w:val="center"/>
          </w:tcPr>
          <w:p w14:paraId="597DDA0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ascii="宋体" w:cs="宋体"/>
                <w:color w:val="auto"/>
                <w:sz w:val="21"/>
                <w:szCs w:val="21"/>
                <w:highlight w:val="none"/>
                <w:lang w:val="en-US" w:eastAsia="zh-CN"/>
              </w:rPr>
              <w:t>18</w:t>
            </w:r>
          </w:p>
        </w:tc>
        <w:tc>
          <w:tcPr>
            <w:tcW w:w="861" w:type="pct"/>
            <w:noWrap w:val="0"/>
            <w:vAlign w:val="center"/>
          </w:tcPr>
          <w:p w14:paraId="42E862AA">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投标文件形式</w:t>
            </w:r>
          </w:p>
        </w:tc>
        <w:tc>
          <w:tcPr>
            <w:tcW w:w="3704" w:type="pct"/>
            <w:noWrap w:val="0"/>
            <w:vAlign w:val="center"/>
          </w:tcPr>
          <w:p w14:paraId="4C25FEEC">
            <w:pPr>
              <w:pStyle w:val="12"/>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ascii="宋体" w:hAnsi="宋体" w:eastAsia="宋体" w:cs="宋体-18030"/>
                <w:b w:val="0"/>
                <w:bCs w:val="0"/>
                <w:color w:val="auto"/>
                <w:kern w:val="2"/>
                <w:sz w:val="21"/>
                <w:szCs w:val="21"/>
                <w:highlight w:val="none"/>
                <w:u w:val="none"/>
                <w:lang w:val="en-US" w:eastAsia="zh-CN" w:bidi="ar-SA"/>
              </w:rPr>
            </w:pPr>
            <w:r>
              <w:rPr>
                <w:rFonts w:hint="eastAsia" w:ascii="宋体" w:hAnsi="宋体" w:eastAsia="宋体" w:cs="宋体-18030"/>
                <w:b w:val="0"/>
                <w:bCs w:val="0"/>
                <w:color w:val="auto"/>
                <w:kern w:val="2"/>
                <w:sz w:val="21"/>
                <w:szCs w:val="21"/>
                <w:highlight w:val="none"/>
                <w:u w:val="none"/>
                <w:lang w:val="en-US" w:eastAsia="zh-CN" w:bidi="ar-SA"/>
              </w:rPr>
              <w:t>电子投标文件包括“电子加密投标文件”和“备份投标文件”，在投标文件编制完成后同时生成。</w:t>
            </w:r>
          </w:p>
          <w:p w14:paraId="71470763">
            <w:pPr>
              <w:pStyle w:val="12"/>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ascii="宋体" w:hAnsi="宋体" w:eastAsia="宋体" w:cs="宋体-18030"/>
                <w:b w:val="0"/>
                <w:bCs w:val="0"/>
                <w:color w:val="auto"/>
                <w:kern w:val="2"/>
                <w:sz w:val="21"/>
                <w:szCs w:val="21"/>
                <w:highlight w:val="none"/>
                <w:u w:val="none"/>
                <w:lang w:val="en-US" w:eastAsia="zh-CN" w:bidi="ar-SA"/>
              </w:rPr>
              <w:t>“电子加密投标文件”是指通过“政采云电子交易客户端”完成投标文件编制后生成并加密的数据电文形式的投标文件。</w:t>
            </w:r>
          </w:p>
        </w:tc>
      </w:tr>
      <w:tr w14:paraId="0326B9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33" w:type="pct"/>
            <w:noWrap w:val="0"/>
            <w:vAlign w:val="center"/>
          </w:tcPr>
          <w:p w14:paraId="2DC19255">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19</w:t>
            </w:r>
          </w:p>
        </w:tc>
        <w:tc>
          <w:tcPr>
            <w:tcW w:w="861" w:type="pct"/>
            <w:noWrap w:val="0"/>
            <w:vAlign w:val="center"/>
          </w:tcPr>
          <w:p w14:paraId="6EC24755">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b/>
                <w:bCs/>
                <w:color w:val="auto"/>
                <w:sz w:val="21"/>
                <w:szCs w:val="21"/>
                <w:highlight w:val="none"/>
                <w:lang w:val="en-US" w:eastAsia="zh-CN"/>
              </w:rPr>
              <w:t>投标文件份数及要求</w:t>
            </w:r>
          </w:p>
        </w:tc>
        <w:tc>
          <w:tcPr>
            <w:tcW w:w="3704" w:type="pct"/>
            <w:noWrap w:val="0"/>
            <w:vAlign w:val="center"/>
          </w:tcPr>
          <w:p w14:paraId="0D4B3216">
            <w:pPr>
              <w:pStyle w:val="12"/>
              <w:keepNext w:val="0"/>
              <w:keepLines w:val="0"/>
              <w:pageBreakBefore w:val="0"/>
              <w:numPr>
                <w:ilvl w:val="0"/>
                <w:numId w:val="3"/>
              </w:numPr>
              <w:shd w:val="clear" w:color="auto" w:fill="auto"/>
              <w:kinsoku/>
              <w:wordWrap/>
              <w:overflowPunct/>
              <w:topLinePunct w:val="0"/>
              <w:autoSpaceDE/>
              <w:autoSpaceDN/>
              <w:bidi w:val="0"/>
              <w:adjustRightInd/>
              <w:snapToGrid w:val="0"/>
              <w:spacing w:line="290" w:lineRule="exact"/>
              <w:textAlignment w:val="auto"/>
              <w:outlineLvl w:val="9"/>
              <w:rPr>
                <w:rFonts w:hint="eastAsia"/>
                <w:b/>
                <w:bCs/>
                <w:color w:val="auto"/>
                <w:sz w:val="21"/>
                <w:szCs w:val="21"/>
                <w:highlight w:val="none"/>
                <w:lang w:val="en-US" w:eastAsia="zh-CN"/>
              </w:rPr>
            </w:pPr>
            <w:r>
              <w:rPr>
                <w:rFonts w:hint="eastAsia"/>
                <w:b/>
                <w:bCs/>
                <w:color w:val="auto"/>
                <w:sz w:val="21"/>
                <w:szCs w:val="21"/>
                <w:highlight w:val="none"/>
                <w:lang w:val="en-US" w:eastAsia="zh-CN"/>
              </w:rPr>
              <w:t>一份电子加密标书（“.jmbs”格式）。</w:t>
            </w:r>
          </w:p>
          <w:p w14:paraId="77325037">
            <w:pPr>
              <w:pStyle w:val="12"/>
              <w:keepNext w:val="0"/>
              <w:keepLines w:val="0"/>
              <w:pageBreakBefore w:val="0"/>
              <w:numPr>
                <w:ilvl w:val="0"/>
                <w:numId w:val="0"/>
              </w:numPr>
              <w:shd w:val="clear" w:color="auto" w:fill="auto"/>
              <w:kinsoku/>
              <w:wordWrap/>
              <w:overflowPunct/>
              <w:topLinePunct w:val="0"/>
              <w:autoSpaceDE/>
              <w:autoSpaceDN/>
              <w:bidi w:val="0"/>
              <w:adjustRightInd/>
              <w:snapToGrid w:val="0"/>
              <w:spacing w:line="290" w:lineRule="exact"/>
              <w:textAlignment w:val="auto"/>
              <w:outlineLvl w:val="9"/>
              <w:rPr>
                <w:rFonts w:hint="eastAsia" w:eastAsia="宋体"/>
                <w:b/>
                <w:bCs/>
                <w:color w:val="auto"/>
                <w:sz w:val="21"/>
                <w:szCs w:val="21"/>
                <w:highlight w:val="red"/>
                <w:lang w:val="en-US" w:eastAsia="zh-CN"/>
              </w:rPr>
            </w:pPr>
            <w:r>
              <w:rPr>
                <w:rFonts w:hint="eastAsia"/>
                <w:b/>
                <w:bCs/>
                <w:color w:val="auto"/>
                <w:sz w:val="21"/>
                <w:szCs w:val="21"/>
                <w:highlight w:val="none"/>
                <w:lang w:val="en-US" w:eastAsia="zh-CN"/>
              </w:rPr>
              <w:t>2、每份电子投标文件应包括</w:t>
            </w:r>
            <w:r>
              <w:rPr>
                <w:rFonts w:hint="eastAsia" w:ascii="宋体" w:hAnsi="宋体"/>
                <w:b/>
                <w:bCs/>
                <w:color w:val="auto"/>
                <w:szCs w:val="21"/>
                <w:highlight w:val="none"/>
              </w:rPr>
              <w:t>资格证明文件和商务及技术文件两部分</w:t>
            </w:r>
            <w:r>
              <w:rPr>
                <w:rFonts w:hint="eastAsia" w:ascii="宋体" w:hAnsi="宋体"/>
                <w:b/>
                <w:bCs/>
                <w:color w:val="auto"/>
                <w:szCs w:val="21"/>
                <w:highlight w:val="none"/>
                <w:lang w:eastAsia="zh-CN"/>
              </w:rPr>
              <w:t>。</w:t>
            </w:r>
          </w:p>
          <w:p w14:paraId="407E7E7C">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p>
        </w:tc>
      </w:tr>
      <w:tr w14:paraId="749B414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433" w:type="pct"/>
            <w:vMerge w:val="restart"/>
            <w:noWrap w:val="0"/>
            <w:vAlign w:val="center"/>
          </w:tcPr>
          <w:p w14:paraId="44C073BC">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20</w:t>
            </w:r>
          </w:p>
        </w:tc>
        <w:tc>
          <w:tcPr>
            <w:tcW w:w="861" w:type="pct"/>
            <w:vMerge w:val="restart"/>
            <w:noWrap w:val="0"/>
            <w:vAlign w:val="center"/>
          </w:tcPr>
          <w:p w14:paraId="4E56B47E">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lang w:bidi="zh-CN"/>
              </w:rPr>
              <w:t>投标文件的上传和递交</w:t>
            </w:r>
          </w:p>
        </w:tc>
        <w:tc>
          <w:tcPr>
            <w:tcW w:w="3704" w:type="pct"/>
            <w:noWrap w:val="0"/>
            <w:vAlign w:val="center"/>
          </w:tcPr>
          <w:p w14:paraId="3597F6CC">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u w:val="single" w:color="auto"/>
                <w:lang w:val="en-US" w:eastAsia="zh-CN"/>
              </w:rPr>
            </w:pPr>
            <w:r>
              <w:rPr>
                <w:rFonts w:hint="eastAsia"/>
                <w:color w:val="auto"/>
                <w:sz w:val="21"/>
                <w:szCs w:val="21"/>
                <w:highlight w:val="none"/>
                <w:lang w:val="en-US" w:eastAsia="zh-CN"/>
              </w:rPr>
              <w:t>1.电子加密投标文件：投标文件制作完成并生成加密标书，在投标截止时间前，供应商需将加密的投标文件上传至政采云平台，</w:t>
            </w:r>
            <w:r>
              <w:rPr>
                <w:rFonts w:hint="eastAsia"/>
                <w:b/>
                <w:bCs/>
                <w:color w:val="auto"/>
                <w:sz w:val="21"/>
                <w:szCs w:val="21"/>
                <w:highlight w:val="none"/>
                <w:u w:val="single" w:color="auto"/>
                <w:lang w:val="en-US" w:eastAsia="zh-CN"/>
              </w:rPr>
              <w:t>在开标时间开始后，待采购组织机构发出解密通知后30分钟内解密投标文件。</w:t>
            </w:r>
          </w:p>
          <w:p w14:paraId="01951354">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a.供应商未能在投标截止时间前成功上传电子加密投标文件的投标无效。</w:t>
            </w:r>
          </w:p>
          <w:p w14:paraId="76B5C10F">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b.供应商成功上传电子加密投标文件后，可自行打印投标文件接收回执。</w:t>
            </w:r>
          </w:p>
        </w:tc>
      </w:tr>
      <w:tr w14:paraId="29BCD07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433" w:type="pct"/>
            <w:vMerge w:val="continue"/>
            <w:noWrap w:val="0"/>
            <w:vAlign w:val="center"/>
          </w:tcPr>
          <w:p w14:paraId="0509627A">
            <w:pPr>
              <w:keepNext w:val="0"/>
              <w:keepLines w:val="0"/>
              <w:pageBreakBefore w:val="0"/>
              <w:widowControl/>
              <w:shd w:val="clear" w:color="auto" w:fill="auto"/>
              <w:kinsoku/>
              <w:wordWrap/>
              <w:overflowPunct/>
              <w:topLinePunct w:val="0"/>
              <w:autoSpaceDE/>
              <w:autoSpaceDN/>
              <w:bidi w:val="0"/>
              <w:adjustRightInd/>
              <w:snapToGrid w:val="0"/>
              <w:spacing w:line="290" w:lineRule="exact"/>
              <w:ind w:firstLine="88" w:firstLineChars="42"/>
              <w:jc w:val="left"/>
              <w:textAlignment w:val="auto"/>
              <w:outlineLvl w:val="9"/>
              <w:rPr>
                <w:color w:val="auto"/>
                <w:sz w:val="21"/>
                <w:szCs w:val="21"/>
                <w:highlight w:val="none"/>
              </w:rPr>
            </w:pPr>
          </w:p>
        </w:tc>
        <w:tc>
          <w:tcPr>
            <w:tcW w:w="861" w:type="pct"/>
            <w:vMerge w:val="continue"/>
            <w:noWrap w:val="0"/>
            <w:vAlign w:val="center"/>
          </w:tcPr>
          <w:p w14:paraId="4F3DF612">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rPr>
            </w:pPr>
          </w:p>
        </w:tc>
        <w:tc>
          <w:tcPr>
            <w:tcW w:w="3704" w:type="pct"/>
            <w:noWrap w:val="0"/>
            <w:vAlign w:val="center"/>
          </w:tcPr>
          <w:p w14:paraId="65969ED5">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p>
        </w:tc>
      </w:tr>
      <w:tr w14:paraId="708328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433" w:type="pct"/>
            <w:noWrap w:val="0"/>
            <w:vAlign w:val="center"/>
          </w:tcPr>
          <w:p w14:paraId="0AE3EFAD">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21</w:t>
            </w:r>
          </w:p>
        </w:tc>
        <w:tc>
          <w:tcPr>
            <w:tcW w:w="861" w:type="pct"/>
            <w:noWrap w:val="0"/>
            <w:vAlign w:val="center"/>
          </w:tcPr>
          <w:p w14:paraId="13EF646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lang w:eastAsia="zh-CN"/>
              </w:rPr>
              <w:t>投标截止</w:t>
            </w:r>
            <w:r>
              <w:rPr>
                <w:rFonts w:hint="eastAsia" w:ascii="宋体"/>
                <w:color w:val="auto"/>
                <w:sz w:val="21"/>
                <w:szCs w:val="21"/>
                <w:highlight w:val="none"/>
              </w:rPr>
              <w:t>时间及地点</w:t>
            </w:r>
          </w:p>
        </w:tc>
        <w:tc>
          <w:tcPr>
            <w:tcW w:w="3704" w:type="pct"/>
            <w:noWrap w:val="0"/>
            <w:vAlign w:val="center"/>
          </w:tcPr>
          <w:p w14:paraId="481D4EB0">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b/>
                <w:bCs/>
                <w:color w:val="auto"/>
                <w:sz w:val="21"/>
                <w:szCs w:val="21"/>
                <w:highlight w:val="none"/>
              </w:rPr>
            </w:pPr>
            <w:r>
              <w:rPr>
                <w:rFonts w:hint="eastAsia" w:ascii="宋体"/>
                <w:b/>
                <w:bCs/>
                <w:color w:val="auto"/>
                <w:sz w:val="21"/>
                <w:szCs w:val="21"/>
                <w:highlight w:val="none"/>
                <w:lang w:eastAsia="zh-CN"/>
              </w:rPr>
              <w:t>投标截止</w:t>
            </w:r>
            <w:r>
              <w:rPr>
                <w:rFonts w:hint="eastAsia" w:ascii="宋体"/>
                <w:b/>
                <w:bCs/>
                <w:color w:val="auto"/>
                <w:sz w:val="21"/>
                <w:szCs w:val="21"/>
                <w:highlight w:val="none"/>
              </w:rPr>
              <w:t>时间</w:t>
            </w:r>
            <w:r>
              <w:rPr>
                <w:rFonts w:hint="eastAsia"/>
                <w:b/>
                <w:bCs/>
                <w:color w:val="auto"/>
                <w:sz w:val="21"/>
                <w:szCs w:val="21"/>
                <w:highlight w:val="none"/>
              </w:rPr>
              <w:t>：</w:t>
            </w:r>
            <w:r>
              <w:rPr>
                <w:rFonts w:hint="eastAsia"/>
                <w:b/>
                <w:bCs/>
                <w:color w:val="auto"/>
                <w:sz w:val="21"/>
                <w:szCs w:val="21"/>
                <w:highlight w:val="none"/>
                <w:lang w:eastAsia="zh-CN"/>
              </w:rPr>
              <w:t>2026年11月02日 10:30</w:t>
            </w:r>
            <w:r>
              <w:rPr>
                <w:rFonts w:hint="eastAsia"/>
                <w:b/>
                <w:bCs/>
                <w:color w:val="auto"/>
                <w:sz w:val="21"/>
                <w:szCs w:val="21"/>
                <w:highlight w:val="none"/>
              </w:rPr>
              <w:t>（北京时间）</w:t>
            </w:r>
          </w:p>
          <w:p w14:paraId="48AE7D52">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color w:val="auto"/>
                <w:sz w:val="21"/>
                <w:szCs w:val="21"/>
                <w:highlight w:val="none"/>
              </w:rPr>
            </w:pPr>
            <w:r>
              <w:rPr>
                <w:rFonts w:hint="eastAsia"/>
                <w:b/>
                <w:bCs/>
                <w:color w:val="auto"/>
                <w:sz w:val="21"/>
                <w:szCs w:val="21"/>
                <w:highlight w:val="none"/>
                <w:lang w:eastAsia="zh-CN"/>
              </w:rPr>
              <w:t>投标</w:t>
            </w:r>
            <w:r>
              <w:rPr>
                <w:rFonts w:hint="eastAsia"/>
                <w:b/>
                <w:bCs/>
                <w:color w:val="auto"/>
                <w:sz w:val="21"/>
                <w:szCs w:val="21"/>
                <w:highlight w:val="none"/>
              </w:rPr>
              <w:t>地点：</w:t>
            </w:r>
            <w:r>
              <w:rPr>
                <w:rFonts w:hint="eastAsia"/>
                <w:b/>
                <w:bCs/>
                <w:color w:val="auto"/>
                <w:sz w:val="21"/>
                <w:szCs w:val="21"/>
                <w:highlight w:val="none"/>
                <w:lang w:eastAsia="zh-CN"/>
              </w:rPr>
              <w:t>新疆</w:t>
            </w:r>
            <w:r>
              <w:rPr>
                <w:rFonts w:hint="eastAsia"/>
                <w:b/>
                <w:bCs/>
                <w:color w:val="auto"/>
                <w:sz w:val="21"/>
                <w:szCs w:val="21"/>
                <w:highlight w:val="none"/>
              </w:rPr>
              <w:t>政府采购云平台（www.zcygov.cn）</w:t>
            </w:r>
          </w:p>
        </w:tc>
      </w:tr>
      <w:tr w14:paraId="377453D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433" w:type="pct"/>
            <w:noWrap w:val="0"/>
            <w:vAlign w:val="center"/>
          </w:tcPr>
          <w:p w14:paraId="25F75875">
            <w:pPr>
              <w:pStyle w:val="12"/>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ascii="宋体" w:eastAsia="宋体" w:cs="宋体"/>
                <w:color w:val="auto"/>
                <w:sz w:val="21"/>
                <w:szCs w:val="21"/>
                <w:highlight w:val="none"/>
                <w:lang w:val="en-US" w:eastAsia="zh-CN"/>
              </w:rPr>
            </w:pPr>
            <w:r>
              <w:rPr>
                <w:rFonts w:hint="eastAsia"/>
                <w:color w:val="auto"/>
                <w:sz w:val="21"/>
                <w:szCs w:val="21"/>
                <w:highlight w:val="none"/>
                <w:lang w:val="en-US" w:eastAsia="zh-CN"/>
              </w:rPr>
              <w:t>22</w:t>
            </w:r>
          </w:p>
        </w:tc>
        <w:tc>
          <w:tcPr>
            <w:tcW w:w="861" w:type="pct"/>
            <w:noWrap w:val="0"/>
            <w:vAlign w:val="center"/>
          </w:tcPr>
          <w:p w14:paraId="5B1C7F1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开标时间及地点</w:t>
            </w:r>
          </w:p>
        </w:tc>
        <w:tc>
          <w:tcPr>
            <w:tcW w:w="3704" w:type="pct"/>
            <w:noWrap w:val="0"/>
            <w:vAlign w:val="center"/>
          </w:tcPr>
          <w:p w14:paraId="1B98015F">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b/>
                <w:bCs/>
                <w:color w:val="auto"/>
                <w:sz w:val="21"/>
                <w:szCs w:val="21"/>
                <w:highlight w:val="none"/>
              </w:rPr>
            </w:pPr>
            <w:r>
              <w:rPr>
                <w:rFonts w:hint="eastAsia"/>
                <w:b/>
                <w:bCs/>
                <w:color w:val="auto"/>
                <w:sz w:val="21"/>
                <w:szCs w:val="21"/>
                <w:highlight w:val="none"/>
              </w:rPr>
              <w:t>开标时间：同投标截止时间</w:t>
            </w:r>
          </w:p>
          <w:p w14:paraId="351DF75D">
            <w:pPr>
              <w:keepNext w:val="0"/>
              <w:keepLines w:val="0"/>
              <w:pageBreakBefore w:val="0"/>
              <w:shd w:val="clear" w:color="auto" w:fill="auto"/>
              <w:kinsoku/>
              <w:wordWrap/>
              <w:overflowPunct/>
              <w:topLinePunct w:val="0"/>
              <w:autoSpaceDE/>
              <w:autoSpaceDN/>
              <w:bidi w:val="0"/>
              <w:adjustRightInd/>
              <w:snapToGrid w:val="0"/>
              <w:spacing w:line="290" w:lineRule="exact"/>
              <w:ind w:firstLine="18" w:firstLineChars="9"/>
              <w:textAlignment w:val="auto"/>
              <w:outlineLvl w:val="9"/>
              <w:rPr>
                <w:rFonts w:hint="eastAsia"/>
                <w:color w:val="auto"/>
                <w:sz w:val="21"/>
                <w:szCs w:val="21"/>
                <w:highlight w:val="none"/>
              </w:rPr>
            </w:pPr>
            <w:r>
              <w:rPr>
                <w:rFonts w:hint="eastAsia"/>
                <w:b/>
                <w:bCs/>
                <w:color w:val="auto"/>
                <w:sz w:val="21"/>
                <w:szCs w:val="21"/>
                <w:highlight w:val="none"/>
              </w:rPr>
              <w:t>开标地点：在</w:t>
            </w:r>
            <w:r>
              <w:rPr>
                <w:rFonts w:hint="eastAsia"/>
                <w:b/>
                <w:bCs/>
                <w:color w:val="auto"/>
                <w:sz w:val="21"/>
                <w:szCs w:val="21"/>
                <w:highlight w:val="none"/>
                <w:lang w:eastAsia="zh-CN"/>
              </w:rPr>
              <w:t>新疆</w:t>
            </w:r>
            <w:r>
              <w:rPr>
                <w:rFonts w:hint="eastAsia"/>
                <w:b/>
                <w:bCs/>
                <w:color w:val="auto"/>
                <w:sz w:val="21"/>
                <w:szCs w:val="21"/>
                <w:highlight w:val="none"/>
              </w:rPr>
              <w:t>政府采购云平台（www.zcygov.cn）上开启投标文件</w:t>
            </w:r>
          </w:p>
        </w:tc>
      </w:tr>
      <w:tr w14:paraId="68ED8BD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433" w:type="pct"/>
            <w:noWrap w:val="0"/>
            <w:vAlign w:val="center"/>
          </w:tcPr>
          <w:p w14:paraId="567E76AA">
            <w:pPr>
              <w:pStyle w:val="12"/>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23</w:t>
            </w:r>
          </w:p>
        </w:tc>
        <w:tc>
          <w:tcPr>
            <w:tcW w:w="861" w:type="pct"/>
            <w:noWrap w:val="0"/>
            <w:vAlign w:val="center"/>
          </w:tcPr>
          <w:p w14:paraId="2D3487FB">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评标委员会的组建</w:t>
            </w:r>
          </w:p>
        </w:tc>
        <w:tc>
          <w:tcPr>
            <w:tcW w:w="3704" w:type="pct"/>
            <w:noWrap w:val="0"/>
            <w:vAlign w:val="top"/>
          </w:tcPr>
          <w:p w14:paraId="4FE3032A">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评标委员会由招标人依法组建；本项目评标委员会共计3人，其中采购人代表</w:t>
            </w:r>
            <w:r>
              <w:rPr>
                <w:rFonts w:hint="eastAsia"/>
                <w:color w:val="0000FF"/>
                <w:sz w:val="21"/>
                <w:szCs w:val="21"/>
                <w:highlight w:val="none"/>
                <w:lang w:val="en-US" w:eastAsia="zh-CN"/>
              </w:rPr>
              <w:t>0</w:t>
            </w:r>
            <w:r>
              <w:rPr>
                <w:rFonts w:hint="eastAsia"/>
                <w:color w:val="auto"/>
                <w:sz w:val="21"/>
                <w:szCs w:val="21"/>
                <w:highlight w:val="none"/>
                <w:lang w:val="en-US" w:eastAsia="zh-CN"/>
              </w:rPr>
              <w:t>人，评标专家3人。</w:t>
            </w:r>
          </w:p>
          <w:p w14:paraId="4CCDD018">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评标专家确定方式：从政采云专家库中随机抽取。</w:t>
            </w:r>
          </w:p>
        </w:tc>
      </w:tr>
      <w:tr w14:paraId="20969F6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433" w:type="pct"/>
            <w:noWrap w:val="0"/>
            <w:vAlign w:val="center"/>
          </w:tcPr>
          <w:p w14:paraId="7723C16B">
            <w:pPr>
              <w:pStyle w:val="12"/>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24</w:t>
            </w:r>
          </w:p>
        </w:tc>
        <w:tc>
          <w:tcPr>
            <w:tcW w:w="861" w:type="pct"/>
            <w:noWrap w:val="0"/>
            <w:vAlign w:val="center"/>
          </w:tcPr>
          <w:p w14:paraId="000B36B4">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是否授权评标委员会确定成交候选人</w:t>
            </w:r>
          </w:p>
        </w:tc>
        <w:tc>
          <w:tcPr>
            <w:tcW w:w="3704" w:type="pct"/>
            <w:noWrap w:val="0"/>
            <w:vAlign w:val="center"/>
          </w:tcPr>
          <w:p w14:paraId="01B44F27">
            <w:pPr>
              <w:pStyle w:val="12"/>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hAnsi="宋体"/>
                <w:color w:val="auto"/>
                <w:sz w:val="21"/>
                <w:szCs w:val="21"/>
                <w:highlight w:val="none"/>
                <w:lang w:val="en-US" w:eastAsia="zh-CN"/>
              </w:rPr>
              <w:t>是，评标委员会推荐3名中标（成交）候选人。</w:t>
            </w:r>
          </w:p>
        </w:tc>
      </w:tr>
      <w:tr w14:paraId="0B3DAEA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433" w:type="pct"/>
            <w:noWrap w:val="0"/>
            <w:vAlign w:val="center"/>
          </w:tcPr>
          <w:p w14:paraId="75A2FB32">
            <w:pPr>
              <w:keepNext w:val="0"/>
              <w:keepLines w:val="0"/>
              <w:pageBreakBefore w:val="0"/>
              <w:shd w:val="clear" w:color="auto" w:fill="auto"/>
              <w:kinsoku/>
              <w:wordWrap/>
              <w:overflowPunct/>
              <w:topLinePunct w:val="0"/>
              <w:autoSpaceDE/>
              <w:autoSpaceDN/>
              <w:bidi w:val="0"/>
              <w:adjustRightInd/>
              <w:snapToGrid w:val="0"/>
              <w:spacing w:line="290" w:lineRule="exact"/>
              <w:ind w:left="-77" w:leftChars="-37" w:right="-94" w:rightChars="-45"/>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25</w:t>
            </w:r>
          </w:p>
        </w:tc>
        <w:tc>
          <w:tcPr>
            <w:tcW w:w="861" w:type="pct"/>
            <w:noWrap w:val="0"/>
            <w:vAlign w:val="center"/>
          </w:tcPr>
          <w:p w14:paraId="4A7C3416">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成交候选人公示媒介</w:t>
            </w:r>
          </w:p>
        </w:tc>
        <w:tc>
          <w:tcPr>
            <w:tcW w:w="3704" w:type="pct"/>
            <w:noWrap w:val="0"/>
            <w:vAlign w:val="center"/>
          </w:tcPr>
          <w:p w14:paraId="2AD54E54">
            <w:pPr>
              <w:pStyle w:val="12"/>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u w:val="none"/>
                <w:lang w:val="en-US" w:eastAsia="zh-CN" w:bidi="ar-SA"/>
              </w:rPr>
              <w:t>克州公共资源交易中心网、新疆政府采购网，公示期为一个工作日。</w:t>
            </w:r>
          </w:p>
        </w:tc>
      </w:tr>
      <w:tr w14:paraId="08B0387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50" w:hRule="atLeast"/>
          <w:jc w:val="center"/>
        </w:trPr>
        <w:tc>
          <w:tcPr>
            <w:tcW w:w="433" w:type="pct"/>
            <w:noWrap w:val="0"/>
            <w:vAlign w:val="center"/>
          </w:tcPr>
          <w:p w14:paraId="7E46E4A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861" w:type="pct"/>
            <w:noWrap w:val="0"/>
            <w:vAlign w:val="center"/>
          </w:tcPr>
          <w:p w14:paraId="4FECE81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履约担保</w:t>
            </w:r>
          </w:p>
        </w:tc>
        <w:tc>
          <w:tcPr>
            <w:tcW w:w="3704" w:type="pct"/>
            <w:noWrap w:val="0"/>
            <w:vAlign w:val="top"/>
          </w:tcPr>
          <w:p w14:paraId="5709D10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eastAsia="宋体"/>
                <w:color w:val="auto"/>
                <w:sz w:val="21"/>
                <w:szCs w:val="21"/>
                <w:highlight w:val="none"/>
                <w:lang w:val="en-US" w:eastAsia="zh-CN"/>
              </w:rPr>
            </w:pPr>
            <w:r>
              <w:rPr>
                <w:rFonts w:hint="eastAsia" w:ascii="Times New Roman" w:hAnsi="Times New Roman" w:eastAsia="宋体" w:cs="Times New Roman"/>
                <w:color w:val="000000" w:themeColor="text1"/>
                <w:kern w:val="2"/>
                <w:sz w:val="21"/>
                <w:szCs w:val="21"/>
                <w:highlight w:val="none"/>
                <w:u w:val="none" w:color="000000"/>
                <w:lang w:val="en-US" w:eastAsia="zh-CN" w:bidi="ar-SA"/>
                <w14:textFill>
                  <w14:solidFill>
                    <w14:schemeClr w14:val="tx1"/>
                  </w14:solidFill>
                </w14:textFill>
              </w:rPr>
              <w:t>中标人应当在合同签订后5个工作日内，向采购人交纳相当于中标价</w:t>
            </w:r>
            <w:r>
              <w:rPr>
                <w:rFonts w:hint="eastAsia" w:cs="Times New Roman"/>
                <w:color w:val="000000" w:themeColor="text1"/>
                <w:kern w:val="2"/>
                <w:sz w:val="21"/>
                <w:szCs w:val="21"/>
                <w:highlight w:val="none"/>
                <w:u w:val="none" w:color="000000"/>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1"/>
                <w:szCs w:val="21"/>
                <w:highlight w:val="none"/>
                <w:u w:val="none" w:color="000000"/>
                <w:lang w:val="en-US" w:eastAsia="zh-CN" w:bidi="ar-SA"/>
                <w14:textFill>
                  <w14:solidFill>
                    <w14:schemeClr w14:val="tx1"/>
                  </w14:solidFill>
                </w14:textFill>
              </w:rPr>
              <w:t>%的履约保证金。本项目接受中标人以支票、汇票、本票，金融机构或担保机构出具的保函，以及电汇、银行转账等非现金形式提交履约保证金。若中标人在供货期内不存在应付未付金额或违约行为，采购人将在项目验收合格后或合同提前终止后，全额无息退还履约保证金或保函自动失效，具体规则以甲乙双方签订的合同为准。</w:t>
            </w:r>
          </w:p>
        </w:tc>
      </w:tr>
      <w:tr w14:paraId="0EA521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433" w:type="pct"/>
            <w:noWrap w:val="0"/>
            <w:vAlign w:val="center"/>
          </w:tcPr>
          <w:p w14:paraId="084D05F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861" w:type="pct"/>
            <w:noWrap w:val="0"/>
            <w:vAlign w:val="center"/>
          </w:tcPr>
          <w:p w14:paraId="0726B6EF">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磋商文件</w:t>
            </w:r>
            <w:r>
              <w:rPr>
                <w:rFonts w:hint="eastAsia" w:ascii="宋体" w:hAnsi="宋体" w:cs="宋体"/>
                <w:color w:val="auto"/>
                <w:sz w:val="21"/>
                <w:szCs w:val="21"/>
                <w:highlight w:val="none"/>
              </w:rPr>
              <w:t>领取</w:t>
            </w:r>
          </w:p>
        </w:tc>
        <w:tc>
          <w:tcPr>
            <w:tcW w:w="3704" w:type="pct"/>
            <w:noWrap w:val="0"/>
            <w:vAlign w:val="top"/>
          </w:tcPr>
          <w:p w14:paraId="6FCD4CDF">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
                <w:color w:val="0909B7"/>
                <w:sz w:val="21"/>
                <w:szCs w:val="21"/>
                <w:highlight w:val="none"/>
              </w:rPr>
            </w:pPr>
            <w:r>
              <w:rPr>
                <w:rFonts w:hint="eastAsia" w:ascii="Times New Roman" w:hAnsi="Times New Roman" w:eastAsia="宋体" w:cs="Times New Roman"/>
                <w:color w:val="auto"/>
                <w:kern w:val="2"/>
                <w:sz w:val="21"/>
                <w:szCs w:val="21"/>
                <w:highlight w:val="none"/>
                <w:u w:val="none" w:color="000000"/>
                <w:lang w:val="en-US" w:eastAsia="zh-CN" w:bidi="ar-SA"/>
              </w:rPr>
              <w:t>时间：2026年</w:t>
            </w:r>
            <w:r>
              <w:rPr>
                <w:rFonts w:hint="eastAsia" w:cs="Times New Roman"/>
                <w:color w:val="auto"/>
                <w:kern w:val="2"/>
                <w:sz w:val="21"/>
                <w:szCs w:val="21"/>
                <w:highlight w:val="none"/>
                <w:u w:val="none" w:color="000000"/>
                <w:lang w:val="en-US" w:eastAsia="zh-CN" w:bidi="ar-SA"/>
              </w:rPr>
              <w:t>10</w:t>
            </w:r>
            <w:r>
              <w:rPr>
                <w:rFonts w:hint="eastAsia" w:ascii="Times New Roman" w:hAnsi="Times New Roman" w:eastAsia="宋体" w:cs="Times New Roman"/>
                <w:color w:val="auto"/>
                <w:kern w:val="2"/>
                <w:sz w:val="21"/>
                <w:szCs w:val="21"/>
                <w:highlight w:val="none"/>
                <w:u w:val="none" w:color="000000"/>
                <w:lang w:val="en-US" w:eastAsia="zh-CN" w:bidi="ar-SA"/>
              </w:rPr>
              <w:t>月</w:t>
            </w:r>
            <w:r>
              <w:rPr>
                <w:rFonts w:hint="eastAsia" w:cs="Times New Roman"/>
                <w:color w:val="auto"/>
                <w:kern w:val="2"/>
                <w:sz w:val="21"/>
                <w:szCs w:val="21"/>
                <w:highlight w:val="none"/>
                <w:u w:val="none" w:color="000000"/>
                <w:lang w:val="en-US" w:eastAsia="zh-CN" w:bidi="ar-SA"/>
              </w:rPr>
              <w:t xml:space="preserve"> 23</w:t>
            </w:r>
            <w:r>
              <w:rPr>
                <w:rFonts w:hint="eastAsia" w:ascii="Times New Roman" w:hAnsi="Times New Roman" w:eastAsia="宋体" w:cs="Times New Roman"/>
                <w:color w:val="auto"/>
                <w:kern w:val="2"/>
                <w:sz w:val="21"/>
                <w:szCs w:val="21"/>
                <w:highlight w:val="none"/>
                <w:u w:val="none" w:color="000000"/>
                <w:lang w:val="en-US" w:eastAsia="zh-CN" w:bidi="ar-SA"/>
              </w:rPr>
              <w:t>日至2026年</w:t>
            </w:r>
            <w:r>
              <w:rPr>
                <w:rFonts w:hint="eastAsia" w:cs="Times New Roman"/>
                <w:color w:val="auto"/>
                <w:kern w:val="2"/>
                <w:sz w:val="21"/>
                <w:szCs w:val="21"/>
                <w:highlight w:val="none"/>
                <w:u w:val="none" w:color="000000"/>
                <w:lang w:val="en-US" w:eastAsia="zh-CN" w:bidi="ar-SA"/>
              </w:rPr>
              <w:t xml:space="preserve">10 </w:t>
            </w:r>
            <w:r>
              <w:rPr>
                <w:rFonts w:hint="eastAsia" w:ascii="Times New Roman" w:hAnsi="Times New Roman" w:eastAsia="宋体" w:cs="Times New Roman"/>
                <w:color w:val="auto"/>
                <w:kern w:val="2"/>
                <w:sz w:val="21"/>
                <w:szCs w:val="21"/>
                <w:highlight w:val="none"/>
                <w:u w:val="none" w:color="000000"/>
                <w:lang w:val="en-US" w:eastAsia="zh-CN" w:bidi="ar-SA"/>
              </w:rPr>
              <w:t>月</w:t>
            </w:r>
            <w:r>
              <w:rPr>
                <w:rFonts w:hint="eastAsia" w:cs="Times New Roman"/>
                <w:color w:val="auto"/>
                <w:kern w:val="2"/>
                <w:sz w:val="21"/>
                <w:szCs w:val="21"/>
                <w:highlight w:val="none"/>
                <w:u w:val="none" w:color="000000"/>
                <w:lang w:val="en-US" w:eastAsia="zh-CN" w:bidi="ar-SA"/>
              </w:rPr>
              <w:t>30</w:t>
            </w:r>
            <w:r>
              <w:rPr>
                <w:rFonts w:hint="eastAsia" w:ascii="Times New Roman" w:hAnsi="Times New Roman" w:eastAsia="宋体" w:cs="Times New Roman"/>
                <w:color w:val="auto"/>
                <w:kern w:val="2"/>
                <w:sz w:val="21"/>
                <w:szCs w:val="21"/>
                <w:highlight w:val="none"/>
                <w:u w:val="none" w:color="000000"/>
                <w:lang w:val="en-US" w:eastAsia="zh-CN" w:bidi="ar-SA"/>
              </w:rPr>
              <w:t>日，每天上午10:00至14:00，下午16:00至</w:t>
            </w:r>
            <w:r>
              <w:rPr>
                <w:rFonts w:hint="eastAsia" w:cs="Times New Roman"/>
                <w:color w:val="auto"/>
                <w:kern w:val="2"/>
                <w:sz w:val="21"/>
                <w:szCs w:val="21"/>
                <w:highlight w:val="none"/>
                <w:u w:val="none" w:color="000000"/>
                <w:lang w:val="en-US" w:eastAsia="zh-CN" w:bidi="ar-SA"/>
              </w:rPr>
              <w:t>20</w:t>
            </w:r>
            <w:r>
              <w:rPr>
                <w:rFonts w:hint="eastAsia" w:ascii="Times New Roman" w:hAnsi="Times New Roman" w:eastAsia="宋体" w:cs="Times New Roman"/>
                <w:color w:val="auto"/>
                <w:kern w:val="2"/>
                <w:sz w:val="21"/>
                <w:szCs w:val="21"/>
                <w:highlight w:val="none"/>
                <w:u w:val="none" w:color="000000"/>
                <w:lang w:val="en-US" w:eastAsia="zh-CN" w:bidi="ar-SA"/>
              </w:rPr>
              <w:t>：</w:t>
            </w:r>
            <w:r>
              <w:rPr>
                <w:rFonts w:hint="eastAsia" w:cs="Times New Roman"/>
                <w:color w:val="auto"/>
                <w:kern w:val="2"/>
                <w:sz w:val="21"/>
                <w:szCs w:val="21"/>
                <w:highlight w:val="none"/>
                <w:u w:val="none" w:color="000000"/>
                <w:lang w:val="en-US" w:eastAsia="zh-CN" w:bidi="ar-SA"/>
              </w:rPr>
              <w:t>0</w:t>
            </w:r>
            <w:r>
              <w:rPr>
                <w:rFonts w:hint="eastAsia" w:ascii="Times New Roman" w:hAnsi="Times New Roman" w:eastAsia="宋体" w:cs="Times New Roman"/>
                <w:color w:val="auto"/>
                <w:kern w:val="2"/>
                <w:sz w:val="21"/>
                <w:szCs w:val="21"/>
                <w:highlight w:val="none"/>
                <w:u w:val="none" w:color="000000"/>
                <w:lang w:val="en-US" w:eastAsia="zh-CN" w:bidi="ar-SA"/>
              </w:rPr>
              <w:t>0（北京时间</w:t>
            </w:r>
            <w:r>
              <w:rPr>
                <w:rFonts w:hint="eastAsia" w:ascii="宋体" w:hAnsi="宋体" w:cs="宋体"/>
                <w:color w:val="0909B7"/>
                <w:sz w:val="21"/>
                <w:szCs w:val="21"/>
                <w:highlight w:val="none"/>
              </w:rPr>
              <w:t>）</w:t>
            </w:r>
          </w:p>
          <w:p w14:paraId="6781A3E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地点：供应商登陆政采云平台http://www.zcygov.cn/，在线申请获取竞争性磋商文件（登录政府采购云平台 → 项目采购 → 获取竞争性磋商文件→申请，审核通过后可下载竞争性磋商文件，如有操作性问题，可与政采云在线客服进行咨询，咨询电话：95763）。</w:t>
            </w:r>
          </w:p>
          <w:p w14:paraId="3EA48D5A">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方式：（1）线上获取（登录政府采购云平台 → 项目采购 → 获取竞争性磋商文件→ 申请，审核通过后可下载竞争性磋商文件）。本次招标不提供纸质版竞争性磋商文件。</w:t>
            </w:r>
          </w:p>
          <w:p w14:paraId="36A0647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
                <w:color w:val="auto"/>
                <w:sz w:val="21"/>
                <w:szCs w:val="21"/>
                <w:highlight w:val="none"/>
              </w:rPr>
            </w:pPr>
            <w:r>
              <w:rPr>
                <w:rFonts w:hint="eastAsia" w:ascii="Times New Roman" w:hAnsi="Times New Roman" w:eastAsia="宋体" w:cs="Times New Roman"/>
                <w:color w:val="auto"/>
                <w:kern w:val="2"/>
                <w:sz w:val="21"/>
                <w:szCs w:val="21"/>
                <w:highlight w:val="none"/>
                <w:u w:val="none" w:color="000000"/>
                <w:lang w:val="en-US" w:eastAsia="zh-CN" w:bidi="ar-SA"/>
              </w:rPr>
              <w:t>（2）供应商获取竞争性磋商文件前应注册成为政府采购云平台正式供应商。</w:t>
            </w:r>
          </w:p>
        </w:tc>
      </w:tr>
      <w:tr w14:paraId="5763B81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33" w:type="pct"/>
            <w:vMerge w:val="restart"/>
            <w:noWrap w:val="0"/>
            <w:vAlign w:val="center"/>
          </w:tcPr>
          <w:p w14:paraId="0390130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861" w:type="pct"/>
            <w:vMerge w:val="restart"/>
            <w:noWrap w:val="0"/>
            <w:vAlign w:val="center"/>
          </w:tcPr>
          <w:p w14:paraId="0D12439D">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重要说明</w:t>
            </w:r>
          </w:p>
        </w:tc>
        <w:tc>
          <w:tcPr>
            <w:tcW w:w="3704" w:type="pct"/>
            <w:noWrap w:val="0"/>
            <w:vAlign w:val="top"/>
          </w:tcPr>
          <w:p w14:paraId="529741C5">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仿宋" w:hAnsi="仿宋" w:eastAsia="仿宋" w:cs="仿宋"/>
                <w:b w:val="0"/>
                <w:bCs w:val="0"/>
                <w:color w:val="auto"/>
                <w:sz w:val="24"/>
                <w:szCs w:val="24"/>
                <w:highlight w:val="none"/>
                <w:lang w:val="en-US" w:eastAsia="zh-CN"/>
              </w:rPr>
              <w:t>1</w:t>
            </w:r>
            <w:r>
              <w:rPr>
                <w:rFonts w:hint="eastAsia" w:ascii="宋体" w:hAnsi="宋体" w:eastAsia="宋体" w:cs="宋体"/>
                <w:color w:val="auto"/>
                <w:sz w:val="21"/>
                <w:szCs w:val="21"/>
                <w:highlight w:val="none"/>
                <w:lang w:val="en-US" w:eastAsia="zh-CN"/>
              </w:rPr>
              <w:t>.本项目采用全流程不见面电子开评标，投标供应商需要使用CA加密设备，供应商可通过新疆数字证书认证中心官网（https://www.xjca.com.cn/）或下载“新疆政务通”APP自行进行申领。</w:t>
            </w:r>
          </w:p>
          <w:p w14:paraId="1A6D897A">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2.本项目实行网上投标，采用加密电子投标文件(供应商须使用CA加密设备通过政采云电子投标客户端制作投标文件)。若供应商参与投标，自行承担投标一切费用。</w:t>
            </w:r>
          </w:p>
          <w:p w14:paraId="70035954">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7526ED35">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76F6D32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5.供应商在开标时须使用制作加密电子投标文件所使用的CA锁及电脑，电脑须提前配置好浏览器（建议使用谷歌浏览器），以便开标时解锁。</w:t>
            </w:r>
          </w:p>
          <w:p w14:paraId="524B4DB8">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val="en-US" w:eastAsia="zh-CN"/>
              </w:rPr>
              <w:t>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7.为了保证开评标顺利进行，政采云线上开标功能完全实现，供应商开标所使用的电脑设备须具有视频及语音功能</w:t>
            </w:r>
          </w:p>
        </w:tc>
      </w:tr>
      <w:tr w14:paraId="2CA6A9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433" w:type="pct"/>
            <w:vMerge w:val="continue"/>
            <w:noWrap w:val="0"/>
            <w:vAlign w:val="center"/>
          </w:tcPr>
          <w:p w14:paraId="48750A80">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b/>
                <w:color w:val="auto"/>
                <w:sz w:val="21"/>
                <w:szCs w:val="21"/>
                <w:highlight w:val="none"/>
                <w:lang w:eastAsia="zh-CN"/>
              </w:rPr>
            </w:pPr>
          </w:p>
        </w:tc>
        <w:tc>
          <w:tcPr>
            <w:tcW w:w="861" w:type="pct"/>
            <w:vMerge w:val="continue"/>
            <w:noWrap w:val="0"/>
            <w:vAlign w:val="center"/>
          </w:tcPr>
          <w:p w14:paraId="121989CB">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b/>
                <w:color w:val="auto"/>
                <w:sz w:val="21"/>
                <w:szCs w:val="21"/>
                <w:highlight w:val="none"/>
                <w:lang w:eastAsia="zh-CN"/>
              </w:rPr>
            </w:pPr>
          </w:p>
        </w:tc>
        <w:tc>
          <w:tcPr>
            <w:tcW w:w="3704" w:type="pct"/>
            <w:noWrap w:val="0"/>
            <w:vAlign w:val="top"/>
          </w:tcPr>
          <w:p w14:paraId="68BD767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1、电子招投标情况说明：</w:t>
            </w:r>
          </w:p>
          <w:p w14:paraId="610DE007">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1）电子招投标：本项目以数据电文形式，依托“政府采购云平台（www.zcygov.cn）”进行招投标活动。</w:t>
            </w:r>
          </w:p>
          <w:p w14:paraId="37728B59">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D5E7DCF">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（3）磋商文件的获取：使用账号登录或者短信验证码或者使用CA登录政采云平台；进入“项目采购”应用，在获取磋商文件 菜单中选择项目，获取磋商文件 。</w:t>
            </w:r>
          </w:p>
          <w:p w14:paraId="2A492C4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（4）投标文件的制作：在“政采云电子交易客户端”中完成“填写基本信息”、“导入投标文件”、“标书关联”、“标书检查”、“电子签名”、“生成电子标书”等操作。</w:t>
            </w:r>
          </w:p>
          <w:p w14:paraId="556D537D">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（5）具体操作指南：详见政采云平台“服务中心-帮助文档-项目采购-操作流程-电子招投标-政府采购项目电子交易管理操作指南-供应商”。</w:t>
            </w:r>
          </w:p>
          <w:p w14:paraId="4CA051AF">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仿宋" w:hAnsi="仿宋" w:eastAsia="仿宋" w:cs="仿宋"/>
                <w:color w:val="auto"/>
                <w:sz w:val="24"/>
                <w:szCs w:val="24"/>
                <w:highlight w:val="none"/>
              </w:rPr>
            </w:pPr>
            <w:r>
              <w:rPr>
                <w:rFonts w:hint="eastAsia" w:ascii="宋体" w:hAnsi="宋体" w:eastAsia="宋体" w:cs="宋体"/>
                <w:color w:val="auto"/>
                <w:sz w:val="21"/>
                <w:szCs w:val="21"/>
                <w:highlight w:val="none"/>
                <w:lang w:val="en-US" w:eastAsia="zh-CN"/>
              </w:rPr>
              <w:t>（6）供应商在进行上述操作时，如遇技术问题可登录政采云（https://www.zcygov.cn/），点击右侧咨询小采，获取采小蜜智能服务管家帮助，或拨打政采云服务热线 95763 获取热线服务帮助。</w:t>
            </w:r>
          </w:p>
          <w:p w14:paraId="162402F5">
            <w:pPr>
              <w:pStyle w:val="6"/>
              <w:keepNext w:val="0"/>
              <w:keepLines w:val="0"/>
              <w:pageBreakBefore w:val="0"/>
              <w:kinsoku/>
              <w:wordWrap/>
              <w:overflowPunct/>
              <w:topLinePunct w:val="0"/>
              <w:autoSpaceDE/>
              <w:autoSpaceDN/>
              <w:bidi w:val="0"/>
              <w:adjustRightInd/>
              <w:snapToGrid w:val="0"/>
              <w:spacing w:line="360" w:lineRule="auto"/>
              <w:ind w:firstLine="420" w:firstLineChars="20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温馨提醒：供应商应提前上传，以便在上传时遇到技术问题，有充足的时间请教平台的技术人员。温馨提醒：供应商应提前上传，以便在上传时遇到技术问题，有充足的时间请教平台的技术人员。</w:t>
            </w:r>
          </w:p>
          <w:p w14:paraId="20BFA1B5">
            <w:pPr>
              <w:keepNext w:val="0"/>
              <w:keepLines w:val="0"/>
              <w:pageBreakBefore w:val="0"/>
              <w:widowControl w:val="0"/>
              <w:shd w:val="clear" w:color="auto" w:fill="auto"/>
              <w:kinsoku/>
              <w:wordWrap/>
              <w:overflowPunct/>
              <w:topLinePunct w:val="0"/>
              <w:autoSpaceDE/>
              <w:autoSpaceDN/>
              <w:bidi w:val="0"/>
              <w:adjustRightInd/>
              <w:snapToGrid w:val="0"/>
              <w:spacing w:line="290" w:lineRule="exact"/>
              <w:ind w:firstLine="403"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供应商认为竞争性磋商文件使自己的权益受到损害的，可以自收到竞争性磋商文件之日（竞争性磋商文件公告期限届满之前收到竞争性磋商文件的，以完成获取竞争性磋商文件申请后下载竞争性磋商文件的时间为准）或者竞争性磋商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中国政府采购网下载专区下载。未按规定获取竞争性磋商文件或逾期提出的不予受理、答复。</w:t>
            </w:r>
          </w:p>
        </w:tc>
      </w:tr>
      <w:tr w14:paraId="4ADCF8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90" w:hRule="atLeast"/>
          <w:jc w:val="center"/>
        </w:trPr>
        <w:tc>
          <w:tcPr>
            <w:tcW w:w="433" w:type="pct"/>
            <w:tcBorders>
              <w:right w:val="single" w:color="auto" w:sz="4" w:space="0"/>
            </w:tcBorders>
            <w:noWrap w:val="0"/>
            <w:vAlign w:val="center"/>
          </w:tcPr>
          <w:p w14:paraId="4834C456">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b w:val="0"/>
                <w:bCs/>
                <w:color w:val="0909B7"/>
                <w:sz w:val="21"/>
                <w:szCs w:val="21"/>
                <w:highlight w:val="none"/>
                <w:lang w:val="en-US" w:eastAsia="zh-CN"/>
              </w:rPr>
            </w:pPr>
          </w:p>
        </w:tc>
        <w:tc>
          <w:tcPr>
            <w:tcW w:w="4566" w:type="pct"/>
            <w:gridSpan w:val="2"/>
            <w:tcBorders>
              <w:left w:val="single" w:color="auto" w:sz="4" w:space="0"/>
            </w:tcBorders>
            <w:noWrap w:val="0"/>
            <w:vAlign w:val="center"/>
          </w:tcPr>
          <w:p w14:paraId="02DD788B">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0909B7"/>
                <w:sz w:val="21"/>
                <w:szCs w:val="21"/>
                <w:highlight w:val="none"/>
                <w:lang w:val="en-US" w:eastAsia="zh-CN"/>
              </w:rPr>
            </w:pPr>
            <w:r>
              <w:rPr>
                <w:rFonts w:hint="eastAsia" w:ascii="宋体" w:hAnsi="宋体" w:cs="宋体"/>
                <w:color w:val="auto"/>
                <w:kern w:val="0"/>
                <w:szCs w:val="21"/>
                <w:lang w:eastAsia="zh-CN"/>
              </w:rPr>
              <w:t>注：</w:t>
            </w:r>
            <w:r>
              <w:rPr>
                <w:rFonts w:hint="eastAsia" w:ascii="宋体" w:hAnsi="宋体" w:cs="宋体"/>
                <w:color w:val="auto"/>
                <w:kern w:val="0"/>
                <w:szCs w:val="21"/>
              </w:rPr>
              <w:t>磋商响应文件中的报价为一次报价，各投标单位进行二次报价（磋商），投标报价评审以二次报价为准，成交价以最终报价为准。一次报价不得高于总</w:t>
            </w:r>
            <w:r>
              <w:rPr>
                <w:rFonts w:hint="eastAsia" w:ascii="宋体" w:hAnsi="宋体" w:cs="宋体"/>
                <w:color w:val="auto"/>
                <w:kern w:val="0"/>
                <w:szCs w:val="21"/>
                <w:lang w:val="en-US" w:eastAsia="zh-CN"/>
              </w:rPr>
              <w:t>预算</w:t>
            </w:r>
            <w:r>
              <w:rPr>
                <w:rFonts w:hint="eastAsia" w:ascii="宋体" w:hAnsi="宋体" w:cs="宋体"/>
                <w:color w:val="auto"/>
                <w:kern w:val="0"/>
                <w:szCs w:val="21"/>
              </w:rPr>
              <w:t>，二次报价不得高于一次报价。</w:t>
            </w:r>
          </w:p>
        </w:tc>
      </w:tr>
      <w:tr w14:paraId="2DDB7C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530" w:hRule="atLeast"/>
          <w:jc w:val="center"/>
        </w:trPr>
        <w:tc>
          <w:tcPr>
            <w:tcW w:w="433" w:type="pct"/>
            <w:vMerge w:val="restart"/>
            <w:tcBorders>
              <w:right w:val="single" w:color="auto" w:sz="4" w:space="0"/>
            </w:tcBorders>
            <w:noWrap w:val="0"/>
            <w:vAlign w:val="center"/>
          </w:tcPr>
          <w:p w14:paraId="7036A2B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中小微企业政策文件</w:t>
            </w:r>
          </w:p>
        </w:tc>
        <w:tc>
          <w:tcPr>
            <w:tcW w:w="4566" w:type="pct"/>
            <w:gridSpan w:val="2"/>
            <w:tcBorders>
              <w:left w:val="single" w:color="auto" w:sz="4" w:space="0"/>
            </w:tcBorders>
            <w:noWrap w:val="0"/>
            <w:vAlign w:val="center"/>
          </w:tcPr>
          <w:p w14:paraId="7846D29D">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1）根据财政部、工业和信息化部关于印发《政府采购促进中小企业发展管理办法》的通知（财库[2020]46号），投标人及其所投产品的制造商均属于《工业和信息化部、国家统计局、国家发展和改革委员会、财政部关于印发中小企业划型标准规定的通知》（工信部联企业[2011]300号）中规定的小型、微型企业标准的，按磋商文件格式提供《中小企业声明函》。</w:t>
            </w:r>
          </w:p>
        </w:tc>
      </w:tr>
      <w:tr w14:paraId="10249E1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99" w:hRule="atLeast"/>
          <w:jc w:val="center"/>
        </w:trPr>
        <w:tc>
          <w:tcPr>
            <w:tcW w:w="433" w:type="pct"/>
            <w:vMerge w:val="continue"/>
            <w:tcBorders>
              <w:right w:val="single" w:color="auto" w:sz="4" w:space="0"/>
            </w:tcBorders>
            <w:noWrap w:val="0"/>
            <w:vAlign w:val="center"/>
          </w:tcPr>
          <w:p w14:paraId="22EBA30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color w:val="auto"/>
                <w:sz w:val="21"/>
                <w:szCs w:val="21"/>
                <w:highlight w:val="none"/>
                <w:lang w:val="en-US" w:eastAsia="zh-CN"/>
              </w:rPr>
            </w:pPr>
          </w:p>
        </w:tc>
        <w:tc>
          <w:tcPr>
            <w:tcW w:w="4566" w:type="pct"/>
            <w:gridSpan w:val="2"/>
            <w:tcBorders>
              <w:left w:val="single" w:color="auto" w:sz="4" w:space="0"/>
            </w:tcBorders>
            <w:noWrap w:val="0"/>
            <w:vAlign w:val="center"/>
          </w:tcPr>
          <w:p w14:paraId="396891C9">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2）根据财政部、司法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44CCCE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16" w:hRule="atLeast"/>
          <w:jc w:val="center"/>
        </w:trPr>
        <w:tc>
          <w:tcPr>
            <w:tcW w:w="433" w:type="pct"/>
            <w:vMerge w:val="continue"/>
            <w:tcBorders>
              <w:right w:val="single" w:color="auto" w:sz="4" w:space="0"/>
            </w:tcBorders>
            <w:noWrap w:val="0"/>
            <w:vAlign w:val="center"/>
          </w:tcPr>
          <w:p w14:paraId="7F3008F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color w:val="auto"/>
                <w:sz w:val="21"/>
                <w:szCs w:val="21"/>
                <w:highlight w:val="none"/>
                <w:lang w:val="en-US" w:eastAsia="zh-CN"/>
              </w:rPr>
            </w:pPr>
          </w:p>
        </w:tc>
        <w:tc>
          <w:tcPr>
            <w:tcW w:w="4566" w:type="pct"/>
            <w:gridSpan w:val="2"/>
            <w:tcBorders>
              <w:left w:val="single" w:color="auto" w:sz="4" w:space="0"/>
            </w:tcBorders>
            <w:noWrap w:val="0"/>
            <w:vAlign w:val="center"/>
          </w:tcPr>
          <w:p w14:paraId="161C3E5E">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磋商文件格式提供残疾人福利性单位声明函。</w:t>
            </w:r>
          </w:p>
        </w:tc>
      </w:tr>
      <w:tr w14:paraId="3C7FD2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81" w:hRule="atLeast"/>
          <w:jc w:val="center"/>
        </w:trPr>
        <w:tc>
          <w:tcPr>
            <w:tcW w:w="433" w:type="pct"/>
            <w:tcBorders>
              <w:right w:val="single" w:color="auto" w:sz="4" w:space="0"/>
            </w:tcBorders>
            <w:noWrap w:val="0"/>
            <w:vAlign w:val="center"/>
          </w:tcPr>
          <w:p w14:paraId="7736D79D">
            <w:pPr>
              <w:snapToGrid w:val="0"/>
              <w:spacing w:line="360" w:lineRule="auto"/>
              <w:jc w:val="left"/>
              <w:rPr>
                <w:rFonts w:hint="eastAsia" w:ascii="宋体" w:hAnsi="宋体" w:eastAsia="宋体" w:cs="宋体"/>
                <w:b w:val="0"/>
                <w:bCs/>
                <w:color w:val="auto"/>
                <w:sz w:val="21"/>
                <w:szCs w:val="21"/>
                <w:highlight w:val="none"/>
                <w:lang w:val="en-US" w:eastAsia="zh-CN"/>
              </w:rPr>
            </w:pPr>
            <w:r>
              <w:rPr>
                <w:rFonts w:hint="eastAsia" w:ascii="宋体" w:hAnsi="宋体"/>
                <w:color w:val="000000"/>
                <w:szCs w:val="21"/>
                <w:highlight w:val="none"/>
              </w:rPr>
              <w:t>政策文件说明</w:t>
            </w:r>
          </w:p>
        </w:tc>
        <w:tc>
          <w:tcPr>
            <w:tcW w:w="4566" w:type="pct"/>
            <w:gridSpan w:val="2"/>
            <w:tcBorders>
              <w:left w:val="single" w:color="auto" w:sz="4" w:space="0"/>
            </w:tcBorders>
            <w:noWrap w:val="0"/>
            <w:vAlign w:val="top"/>
          </w:tcPr>
          <w:p w14:paraId="5A7DAB08">
            <w:pPr>
              <w:numPr>
                <w:ilvl w:val="0"/>
                <w:numId w:val="4"/>
              </w:numPr>
              <w:snapToGrid w:val="0"/>
              <w:spacing w:line="360" w:lineRule="auto"/>
              <w:jc w:val="left"/>
            </w:pPr>
            <w:r>
              <w:rPr>
                <w:rFonts w:hint="eastAsia"/>
                <w:b/>
                <w:bCs/>
              </w:rPr>
              <w:t>本项目为专门面向中小企业</w:t>
            </w:r>
            <w:r>
              <w:rPr>
                <w:rFonts w:hint="eastAsia" w:ascii="宋体" w:hAnsi="宋体"/>
                <w:color w:val="000000"/>
                <w:szCs w:val="21"/>
              </w:rPr>
              <w:t>（含中型</w:t>
            </w:r>
            <w:r>
              <w:rPr>
                <w:rFonts w:hint="eastAsia"/>
              </w:rPr>
              <w:t>、小型、微型企业）采购项目。</w:t>
            </w:r>
          </w:p>
          <w:p w14:paraId="5135F00A">
            <w:pPr>
              <w:numPr>
                <w:ilvl w:val="0"/>
                <w:numId w:val="4"/>
              </w:numPr>
              <w:snapToGrid w:val="0"/>
              <w:spacing w:line="360" w:lineRule="auto"/>
              <w:jc w:val="left"/>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本采购项目中小企业划分标准所属行业为:</w:t>
            </w:r>
            <w:r>
              <w:rPr>
                <w:rFonts w:hint="eastAsia" w:ascii="宋体" w:hAnsi="宋体" w:cs="宋体"/>
                <w:b/>
                <w:bCs w:val="0"/>
                <w:color w:val="auto"/>
                <w:sz w:val="21"/>
                <w:szCs w:val="21"/>
                <w:highlight w:val="none"/>
                <w:u w:val="single"/>
                <w:lang w:val="en-US" w:eastAsia="zh-CN"/>
              </w:rPr>
              <w:t>其他未列明行业。</w:t>
            </w:r>
          </w:p>
          <w:p w14:paraId="5474AD0E">
            <w:pPr>
              <w:numPr>
                <w:ilvl w:val="0"/>
                <w:numId w:val="0"/>
              </w:numPr>
              <w:snapToGrid w:val="0"/>
              <w:spacing w:line="360" w:lineRule="auto"/>
              <w:jc w:val="left"/>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3）绿色发展政策：《国务院办公厅关于建立政府强制采购节能产品制度的通知》（国办发[2007]51号）；《财政部、国家发展改革委关于印发&lt;节能产品政府采购实施意见&gt;的通知》（财库[2004]185号）；《财政部、国家环保总局关于环境标志产品政府采购实施的意见》（财库[2006]90号）；《财政部、国家发展改革委、生态环境部、市场监管总局关于调整优化节能产品、环境标志产品政府采购执行机制的通知》（财库[2019]9号）；《商品包装政府采购需求标准（试行）》和《快递包装政府采购需求标准（试行）》（财办库[2020]123号）。</w:t>
            </w:r>
          </w:p>
          <w:p w14:paraId="552E8EF3">
            <w:pPr>
              <w:numPr>
                <w:ilvl w:val="0"/>
                <w:numId w:val="0"/>
              </w:numPr>
              <w:snapToGrid w:val="0"/>
              <w:spacing w:line="360" w:lineRule="auto"/>
              <w:jc w:val="left"/>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4）支持本国产业政策：《财政部关于印发&lt;进口产品管理办法&gt;的通知》（财库[2007]119号）；《财政部办公厅关于政府采购进口产品管理有关问题的通知》（财办库[2008]248号）；《国务院办公厅关于在政府采购中实施本国产品标准及相关政策的通知》（国办发〔2025〕34号）的相关规定。</w:t>
            </w:r>
          </w:p>
        </w:tc>
      </w:tr>
      <w:tr w14:paraId="1FB181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433" w:type="pct"/>
            <w:tcBorders>
              <w:right w:val="single" w:color="auto" w:sz="4" w:space="0"/>
            </w:tcBorders>
            <w:noWrap w:val="0"/>
            <w:vAlign w:val="center"/>
          </w:tcPr>
          <w:p w14:paraId="42179CF0">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both"/>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评 标办 法</w:t>
            </w:r>
          </w:p>
        </w:tc>
        <w:tc>
          <w:tcPr>
            <w:tcW w:w="4566" w:type="pct"/>
            <w:gridSpan w:val="2"/>
            <w:tcBorders>
              <w:left w:val="single" w:color="auto" w:sz="4" w:space="0"/>
            </w:tcBorders>
            <w:noWrap w:val="0"/>
            <w:vAlign w:val="center"/>
          </w:tcPr>
          <w:p w14:paraId="5113B81E">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本项目采用综合评分法</w:t>
            </w:r>
          </w:p>
        </w:tc>
      </w:tr>
      <w:tr w14:paraId="504178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208" w:hRule="atLeast"/>
          <w:jc w:val="center"/>
        </w:trPr>
        <w:tc>
          <w:tcPr>
            <w:tcW w:w="433" w:type="pct"/>
            <w:tcBorders>
              <w:right w:val="single" w:color="auto" w:sz="4" w:space="0"/>
            </w:tcBorders>
            <w:noWrap w:val="0"/>
            <w:vAlign w:val="center"/>
          </w:tcPr>
          <w:p w14:paraId="6612549E">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低于成本价不正当竞争预防措施</w:t>
            </w:r>
          </w:p>
        </w:tc>
        <w:tc>
          <w:tcPr>
            <w:tcW w:w="4566" w:type="pct"/>
            <w:gridSpan w:val="2"/>
            <w:tcBorders>
              <w:left w:val="single" w:color="auto" w:sz="4" w:space="0"/>
            </w:tcBorders>
            <w:noWrap w:val="0"/>
            <w:vAlign w:val="center"/>
          </w:tcPr>
          <w:p w14:paraId="1277995A">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1.根据【财库〔2026〕2号】关于推动解决政府采购异常低价问题的通知，第一条  采购人应当在采购文件中明确，政府采购评审中出现下列情形之一的，评审委员会应当启动异常低价投标（响应）审查程序：</w:t>
            </w:r>
          </w:p>
          <w:p w14:paraId="5425D721">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1.投标（响应）报价低于全部通过符合性审查供应商投标（响应）报价平均值50%的，即投标（响应）报价&lt;全部通过符合性审查供应商投标（响应）报价平均值×50%；</w:t>
            </w:r>
          </w:p>
          <w:p w14:paraId="2BE67AE0">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2.投标（响应）报价低于通过符合性审查的次低报价供应商投标（响应）报价50%的，即投标（响应）报价&lt;通过符合性审查的次低报价供应商投标（响应）报价×50%；</w:t>
            </w:r>
          </w:p>
          <w:p w14:paraId="7B503DC7">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3.投标（响应）报价低于采购项目最高限价45%的，即投标（响应）报价&lt;采购项目最高限价×45%；</w:t>
            </w:r>
          </w:p>
          <w:p w14:paraId="1E0C508F">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4.评审委员会基于专业判断，认为供应商报价过低，有可能影响产品</w:t>
            </w:r>
            <w:r>
              <w:rPr>
                <w:rFonts w:hint="eastAsia" w:ascii="宋体" w:hAnsi="宋体" w:cs="宋体"/>
                <w:b w:val="0"/>
                <w:bCs/>
                <w:color w:val="auto"/>
                <w:sz w:val="21"/>
                <w:szCs w:val="21"/>
                <w:highlight w:val="none"/>
                <w:lang w:val="en-US" w:eastAsia="zh-CN"/>
              </w:rPr>
              <w:t>质量</w:t>
            </w:r>
            <w:r>
              <w:rPr>
                <w:rFonts w:hint="eastAsia" w:ascii="宋体" w:hAnsi="宋体" w:eastAsia="宋体" w:cs="宋体"/>
                <w:b w:val="0"/>
                <w:bCs/>
                <w:color w:val="auto"/>
                <w:sz w:val="21"/>
                <w:szCs w:val="21"/>
                <w:highlight w:val="none"/>
                <w:lang w:val="en-US" w:eastAsia="zh-CN"/>
              </w:rPr>
              <w:t>或者不能诚信履约的其他情形。</w:t>
            </w:r>
          </w:p>
          <w:p w14:paraId="2CBE4D62">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在评审过程中，评审小组应当要求其在开标现场合理的时间内提供书面说明，并提交相关证明材料，投标人不能证明其报价合理性的，评审小组应当将其作为无效处理。</w:t>
            </w:r>
          </w:p>
          <w:p w14:paraId="1E01F7B6">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007CB1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433" w:type="pct"/>
            <w:vMerge w:val="restart"/>
            <w:noWrap w:val="0"/>
            <w:vAlign w:val="center"/>
          </w:tcPr>
          <w:p w14:paraId="4AB43655">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center"/>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备注</w:t>
            </w:r>
          </w:p>
        </w:tc>
        <w:tc>
          <w:tcPr>
            <w:tcW w:w="4566" w:type="pct"/>
            <w:gridSpan w:val="2"/>
            <w:vMerge w:val="restart"/>
            <w:noWrap w:val="0"/>
            <w:vAlign w:val="center"/>
          </w:tcPr>
          <w:p w14:paraId="49C9ED2C">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1、着重提醒各投标人注意，并认真查看磋商文件中的每一个条款及要求，因误读磋商文件而造成的后果，招标人概不负责。</w:t>
            </w:r>
          </w:p>
          <w:p w14:paraId="7EA3C250">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2、投标人使用相同IP地址的，一经发现，相关部门将进一步核实，查实后按串通投标处理。</w:t>
            </w:r>
          </w:p>
          <w:p w14:paraId="1EB35BE5">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3、为保证本项目质量，良好的售后服务，最低报价不作为成交的唯一依据。</w:t>
            </w:r>
          </w:p>
          <w:p w14:paraId="166BFBAF">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1B0467B6">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5、其它：</w:t>
            </w:r>
          </w:p>
          <w:p w14:paraId="4E1A1A50">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（1）投标企业严格遵守国家的法律法规及招标纪律，无违法违纪及商业贿赂行为。</w:t>
            </w:r>
          </w:p>
          <w:p w14:paraId="5746B0BA">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（2）不管投标结果如何，供应商均应自行承担投标所需一切费用。</w:t>
            </w:r>
          </w:p>
          <w:p w14:paraId="47A11DFE">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（3）供应商应以书面形式保证成交后由本公司组织实施，不得以任何理由将项目转包给其他机构。</w:t>
            </w:r>
          </w:p>
          <w:p w14:paraId="4D405319">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（4）磋商文件中如出现前后不一致情况，均以前附表内容为准。</w:t>
            </w:r>
          </w:p>
        </w:tc>
      </w:tr>
      <w:tr w14:paraId="746118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433" w:type="pct"/>
            <w:vMerge w:val="continue"/>
            <w:noWrap w:val="0"/>
            <w:vAlign w:val="center"/>
          </w:tcPr>
          <w:p w14:paraId="2F9EF3BC">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b/>
                <w:bCs w:val="0"/>
                <w:color w:val="auto"/>
                <w:sz w:val="21"/>
                <w:szCs w:val="21"/>
                <w:highlight w:val="none"/>
              </w:rPr>
            </w:pPr>
            <w:bookmarkStart w:id="31" w:name="_Toc30705"/>
            <w:bookmarkStart w:id="32" w:name="_Toc21505"/>
            <w:bookmarkStart w:id="33" w:name="_Toc5498"/>
          </w:p>
        </w:tc>
        <w:tc>
          <w:tcPr>
            <w:tcW w:w="4566" w:type="pct"/>
            <w:gridSpan w:val="2"/>
            <w:vMerge w:val="continue"/>
            <w:noWrap w:val="0"/>
            <w:vAlign w:val="center"/>
          </w:tcPr>
          <w:p w14:paraId="67631BC8">
            <w:pPr>
              <w:keepNext w:val="0"/>
              <w:keepLines w:val="0"/>
              <w:pageBreakBefore w:val="0"/>
              <w:shd w:val="clear" w:color="auto" w:fill="auto"/>
              <w:kinsoku/>
              <w:wordWrap/>
              <w:overflowPunct/>
              <w:topLinePunct w:val="0"/>
              <w:autoSpaceDE/>
              <w:autoSpaceDN/>
              <w:bidi w:val="0"/>
              <w:adjustRightInd/>
              <w:snapToGrid w:val="0"/>
              <w:spacing w:line="290" w:lineRule="exact"/>
              <w:jc w:val="left"/>
              <w:textAlignment w:val="auto"/>
              <w:outlineLvl w:val="9"/>
              <w:rPr>
                <w:rFonts w:hint="eastAsia"/>
                <w:b/>
                <w:bCs w:val="0"/>
                <w:color w:val="auto"/>
                <w:sz w:val="21"/>
                <w:szCs w:val="21"/>
                <w:highlight w:val="none"/>
              </w:rPr>
            </w:pPr>
          </w:p>
        </w:tc>
      </w:tr>
    </w:tbl>
    <w:p w14:paraId="4BA243EB">
      <w:pPr>
        <w:pageBreakBefore/>
        <w:shd w:val="clear" w:color="auto" w:fill="auto"/>
        <w:spacing w:before="312" w:beforeLines="100" w:after="312" w:afterLines="100" w:line="440" w:lineRule="exact"/>
        <w:jc w:val="center"/>
        <w:outlineLvl w:val="1"/>
        <w:rPr>
          <w:rFonts w:hint="eastAsia" w:ascii="宋体"/>
          <w:b/>
          <w:color w:val="auto"/>
          <w:sz w:val="28"/>
          <w:szCs w:val="32"/>
          <w:highlight w:val="none"/>
        </w:rPr>
      </w:pPr>
      <w:r>
        <w:rPr>
          <w:rFonts w:hint="eastAsia" w:ascii="宋体"/>
          <w:b/>
          <w:color w:val="auto"/>
          <w:sz w:val="28"/>
          <w:szCs w:val="28"/>
          <w:highlight w:val="none"/>
        </w:rPr>
        <w:t>二、投标人须知</w:t>
      </w:r>
      <w:bookmarkEnd w:id="31"/>
      <w:bookmarkEnd w:id="32"/>
      <w:bookmarkEnd w:id="33"/>
    </w:p>
    <w:p w14:paraId="3377F935">
      <w:pPr>
        <w:shd w:val="clear" w:color="auto" w:fill="auto"/>
        <w:spacing w:line="440" w:lineRule="exact"/>
        <w:jc w:val="center"/>
        <w:outlineLvl w:val="2"/>
        <w:rPr>
          <w:rFonts w:hint="eastAsia" w:ascii="宋体"/>
          <w:color w:val="auto"/>
          <w:sz w:val="28"/>
          <w:szCs w:val="28"/>
          <w:highlight w:val="none"/>
        </w:rPr>
      </w:pPr>
      <w:bookmarkStart w:id="34" w:name="_Toc11973"/>
      <w:bookmarkStart w:id="35" w:name="_Toc5267"/>
      <w:bookmarkStart w:id="36" w:name="_Toc25428"/>
      <w:bookmarkStart w:id="37" w:name="_Toc469495724"/>
      <w:r>
        <w:rPr>
          <w:rFonts w:hint="eastAsia" w:ascii="宋体"/>
          <w:b/>
          <w:color w:val="auto"/>
          <w:sz w:val="28"/>
          <w:szCs w:val="28"/>
          <w:highlight w:val="none"/>
        </w:rPr>
        <w:t>（一）</w:t>
      </w:r>
      <w:r>
        <w:rPr>
          <w:rFonts w:hint="eastAsia" w:ascii="宋体"/>
          <w:b/>
          <w:color w:val="auto"/>
          <w:sz w:val="28"/>
          <w:szCs w:val="32"/>
          <w:highlight w:val="none"/>
        </w:rPr>
        <w:t>总  则</w:t>
      </w:r>
      <w:bookmarkEnd w:id="34"/>
      <w:bookmarkEnd w:id="35"/>
      <w:bookmarkEnd w:id="36"/>
      <w:bookmarkEnd w:id="37"/>
    </w:p>
    <w:p w14:paraId="31B35E1A">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1.项目概况</w:t>
      </w:r>
    </w:p>
    <w:p w14:paraId="671903DA">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1.1本次招标采购项目名称：见投标人须知前附表。</w:t>
      </w:r>
    </w:p>
    <w:p w14:paraId="1C267275">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 xml:space="preserve">               项目编号：见投标人须知前附表。</w:t>
      </w:r>
    </w:p>
    <w:p w14:paraId="1D47D5AF">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 xml:space="preserve">                 招标人：见投标人须知前附表。</w:t>
      </w:r>
    </w:p>
    <w:p w14:paraId="431B3482">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 xml:space="preserve">      供货期（服务周期）：见投标人须知前附表。</w:t>
      </w:r>
    </w:p>
    <w:p w14:paraId="2FF30765">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 xml:space="preserve">        供货</w:t>
      </w:r>
      <w:r>
        <w:rPr>
          <w:rFonts w:hint="eastAsia" w:ascii="宋体"/>
          <w:color w:val="auto"/>
          <w:szCs w:val="21"/>
          <w:highlight w:val="none"/>
          <w:lang w:eastAsia="zh-CN"/>
        </w:rPr>
        <w:t>（服务）</w:t>
      </w:r>
      <w:r>
        <w:rPr>
          <w:rFonts w:hint="eastAsia" w:ascii="宋体"/>
          <w:color w:val="auto"/>
          <w:szCs w:val="21"/>
          <w:highlight w:val="none"/>
        </w:rPr>
        <w:t>地点：见投标人须知前附表。</w:t>
      </w:r>
    </w:p>
    <w:p w14:paraId="37D1535D">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1.2招标人及联系人: 见投标人须知前附表。</w:t>
      </w:r>
    </w:p>
    <w:p w14:paraId="7A914B8B">
      <w:pPr>
        <w:shd w:val="clear" w:color="auto" w:fill="auto"/>
        <w:snapToGrid w:val="0"/>
        <w:spacing w:line="440" w:lineRule="exact"/>
        <w:ind w:firstLine="735" w:firstLineChars="350"/>
        <w:rPr>
          <w:rFonts w:hint="eastAsia" w:ascii="宋体"/>
          <w:color w:val="auto"/>
          <w:szCs w:val="21"/>
          <w:highlight w:val="none"/>
          <w:u w:val="single"/>
        </w:rPr>
      </w:pPr>
      <w:r>
        <w:rPr>
          <w:rFonts w:hint="eastAsia" w:ascii="宋体"/>
          <w:color w:val="auto"/>
          <w:szCs w:val="21"/>
          <w:highlight w:val="none"/>
        </w:rPr>
        <w:t>代理机构及联系人: 见投标人须知前附表。</w:t>
      </w:r>
    </w:p>
    <w:p w14:paraId="3B8E1805">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1.3资金来源：见投标人须知前附表。</w:t>
      </w:r>
    </w:p>
    <w:p w14:paraId="32B24455">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1.4本项目预算：见投标人须知前附表。</w:t>
      </w:r>
    </w:p>
    <w:p w14:paraId="74DADF48">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1.5本项目控制价：见投标人须知前附表。</w:t>
      </w:r>
    </w:p>
    <w:p w14:paraId="7BA6AD5F">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2.招标范围：</w:t>
      </w:r>
    </w:p>
    <w:p w14:paraId="1495953E">
      <w:pPr>
        <w:shd w:val="clear" w:color="auto" w:fill="auto"/>
        <w:snapToGrid w:val="0"/>
        <w:spacing w:line="440" w:lineRule="exact"/>
        <w:ind w:firstLine="420" w:firstLineChars="200"/>
        <w:rPr>
          <w:rFonts w:hint="eastAsia" w:ascii="宋体"/>
          <w:color w:val="auto"/>
          <w:szCs w:val="21"/>
          <w:highlight w:val="none"/>
          <w:u w:val="single"/>
        </w:rPr>
      </w:pPr>
      <w:r>
        <w:rPr>
          <w:rFonts w:hint="eastAsia" w:ascii="宋体"/>
          <w:color w:val="auto"/>
          <w:szCs w:val="21"/>
          <w:highlight w:val="none"/>
        </w:rPr>
        <w:t>2.1 采购内容：见投标人须知前附表。</w:t>
      </w:r>
    </w:p>
    <w:p w14:paraId="077A5924">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2.2 技术要求：详见</w:t>
      </w:r>
      <w:r>
        <w:rPr>
          <w:rFonts w:hint="eastAsia" w:ascii="宋体"/>
          <w:color w:val="auto"/>
          <w:szCs w:val="21"/>
          <w:highlight w:val="none"/>
          <w:lang w:eastAsia="zh-CN"/>
        </w:rPr>
        <w:t>采购文件</w:t>
      </w:r>
      <w:r>
        <w:rPr>
          <w:rFonts w:hint="eastAsia" w:ascii="宋体"/>
          <w:color w:val="auto"/>
          <w:szCs w:val="21"/>
          <w:highlight w:val="none"/>
        </w:rPr>
        <w:t>第四章采购内容及技术要求。</w:t>
      </w:r>
    </w:p>
    <w:p w14:paraId="0649D1AD">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3.标包划分：</w:t>
      </w:r>
    </w:p>
    <w:p w14:paraId="1A008E61">
      <w:pPr>
        <w:shd w:val="clear" w:color="auto" w:fill="auto"/>
        <w:snapToGrid w:val="0"/>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3.1本项目划分：</w:t>
      </w:r>
      <w:r>
        <w:rPr>
          <w:rFonts w:hint="eastAsia" w:ascii="宋体"/>
          <w:color w:val="auto"/>
          <w:szCs w:val="21"/>
          <w:highlight w:val="none"/>
          <w:u w:val="single"/>
        </w:rPr>
        <w:t xml:space="preserve"> </w:t>
      </w:r>
      <w:r>
        <w:rPr>
          <w:rFonts w:hint="eastAsia" w:ascii="宋体"/>
          <w:color w:val="auto"/>
          <w:szCs w:val="21"/>
          <w:highlight w:val="none"/>
          <w:u w:val="single"/>
          <w:lang w:val="en-US" w:eastAsia="zh-CN"/>
        </w:rPr>
        <w:t>1</w:t>
      </w:r>
      <w:r>
        <w:rPr>
          <w:rFonts w:hint="eastAsia" w:ascii="宋体"/>
          <w:color w:val="auto"/>
          <w:szCs w:val="21"/>
          <w:highlight w:val="none"/>
          <w:u w:val="single"/>
        </w:rPr>
        <w:t xml:space="preserve"> </w:t>
      </w:r>
      <w:r>
        <w:rPr>
          <w:rFonts w:hint="eastAsia" w:ascii="宋体"/>
          <w:color w:val="auto"/>
          <w:szCs w:val="21"/>
          <w:highlight w:val="none"/>
        </w:rPr>
        <w:t xml:space="preserve"> </w:t>
      </w:r>
      <w:r>
        <w:rPr>
          <w:rFonts w:hint="eastAsia"/>
          <w:color w:val="auto"/>
          <w:szCs w:val="21"/>
          <w:highlight w:val="none"/>
        </w:rPr>
        <w:t>个标包</w:t>
      </w:r>
      <w:r>
        <w:rPr>
          <w:rFonts w:hint="eastAsia" w:ascii="宋体" w:hAnsi="宋体" w:cs="宋体"/>
          <w:color w:val="auto"/>
          <w:kern w:val="0"/>
          <w:szCs w:val="21"/>
          <w:highlight w:val="none"/>
        </w:rPr>
        <w:t>。</w:t>
      </w:r>
    </w:p>
    <w:p w14:paraId="197E48C2">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4.招标方式：</w:t>
      </w:r>
    </w:p>
    <w:p w14:paraId="0781EA40">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4.1本项目招标方式：见投标人须知前附表。</w:t>
      </w:r>
    </w:p>
    <w:p w14:paraId="143F3B23">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5.计价方式：</w:t>
      </w:r>
    </w:p>
    <w:p w14:paraId="22C6AD80">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5.1本次招标项目合同采用</w:t>
      </w:r>
      <w:r>
        <w:rPr>
          <w:rFonts w:hint="eastAsia" w:ascii="宋体"/>
          <w:color w:val="auto"/>
          <w:szCs w:val="21"/>
          <w:highlight w:val="none"/>
          <w:u w:val="single"/>
        </w:rPr>
        <w:t xml:space="preserve">   固定</w:t>
      </w:r>
      <w:r>
        <w:rPr>
          <w:rFonts w:hint="eastAsia" w:ascii="宋体"/>
          <w:color w:val="auto"/>
          <w:szCs w:val="21"/>
          <w:highlight w:val="none"/>
          <w:u w:val="single"/>
          <w:lang w:val="en-US" w:eastAsia="zh-CN"/>
        </w:rPr>
        <w:t>总价</w:t>
      </w:r>
      <w:r>
        <w:rPr>
          <w:rFonts w:hint="eastAsia" w:ascii="宋体"/>
          <w:color w:val="auto"/>
          <w:szCs w:val="21"/>
          <w:highlight w:val="none"/>
          <w:u w:val="single"/>
        </w:rPr>
        <w:t xml:space="preserve"> 。</w:t>
      </w:r>
    </w:p>
    <w:p w14:paraId="56C83693">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6.评标办法：</w:t>
      </w:r>
    </w:p>
    <w:p w14:paraId="069F345C">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6.1本次招标评标采用</w:t>
      </w:r>
      <w:r>
        <w:rPr>
          <w:rFonts w:hint="eastAsia" w:ascii="宋体"/>
          <w:color w:val="auto"/>
          <w:szCs w:val="21"/>
          <w:highlight w:val="none"/>
          <w:u w:val="single"/>
        </w:rPr>
        <w:t xml:space="preserve">  符合</w:t>
      </w:r>
      <w:r>
        <w:rPr>
          <w:rFonts w:hint="eastAsia" w:ascii="宋体"/>
          <w:color w:val="auto"/>
          <w:szCs w:val="21"/>
          <w:highlight w:val="none"/>
          <w:u w:val="single"/>
          <w:lang w:eastAsia="zh-CN"/>
        </w:rPr>
        <w:t>磋商</w:t>
      </w:r>
      <w:r>
        <w:rPr>
          <w:rFonts w:hint="eastAsia" w:ascii="宋体" w:hAnsi="Times New Roman" w:eastAsia="宋体" w:cs="Times New Roman"/>
          <w:color w:val="auto"/>
          <w:szCs w:val="21"/>
          <w:highlight w:val="none"/>
          <w:u w:val="single"/>
          <w:lang w:eastAsia="zh-CN"/>
        </w:rPr>
        <w:t>文件</w:t>
      </w:r>
      <w:r>
        <w:rPr>
          <w:rFonts w:hint="eastAsia" w:ascii="宋体" w:hAnsi="Times New Roman" w:eastAsia="宋体" w:cs="Times New Roman"/>
          <w:color w:val="auto"/>
          <w:szCs w:val="21"/>
          <w:highlight w:val="none"/>
          <w:u w:val="single"/>
        </w:rPr>
        <w:t>的综合评分法</w:t>
      </w:r>
      <w:r>
        <w:rPr>
          <w:rFonts w:hint="eastAsia" w:ascii="宋体" w:hAnsi="Times New Roman" w:eastAsia="宋体" w:cs="Times New Roman"/>
          <w:color w:val="auto"/>
          <w:szCs w:val="21"/>
          <w:highlight w:val="none"/>
        </w:rPr>
        <w:t xml:space="preserve"> （详</w:t>
      </w:r>
      <w:r>
        <w:rPr>
          <w:rFonts w:hint="eastAsia" w:ascii="宋体"/>
          <w:color w:val="auto"/>
          <w:szCs w:val="21"/>
          <w:highlight w:val="none"/>
        </w:rPr>
        <w:t>见第三章评标办法）</w:t>
      </w:r>
    </w:p>
    <w:p w14:paraId="150314B2">
      <w:pPr>
        <w:shd w:val="clear" w:color="auto" w:fill="auto"/>
        <w:snapToGrid w:val="0"/>
        <w:spacing w:line="440" w:lineRule="exact"/>
        <w:ind w:firstLine="420" w:firstLineChars="200"/>
        <w:rPr>
          <w:rFonts w:hint="eastAsia" w:ascii="宋体"/>
          <w:b/>
          <w:color w:val="auto"/>
          <w:szCs w:val="21"/>
          <w:highlight w:val="none"/>
        </w:rPr>
      </w:pPr>
      <w:r>
        <w:rPr>
          <w:rFonts w:hint="eastAsia" w:ascii="宋体"/>
          <w:b/>
          <w:color w:val="auto"/>
          <w:szCs w:val="21"/>
          <w:highlight w:val="none"/>
        </w:rPr>
        <w:t>7.投标人资格：</w:t>
      </w:r>
    </w:p>
    <w:p w14:paraId="0A88F90C">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7.1参与采购活动的投标人必须是满足《中华人民共和国政府采购法》规定条件的法人、其他组织或者自然人：</w:t>
      </w:r>
    </w:p>
    <w:p w14:paraId="3495A124">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7.2由于政府采购项目的差异性，投标人在参与具体政府采购项目活动时，应仔细阅读该项目的资质要求,具体见投标人须知前附表。</w:t>
      </w:r>
    </w:p>
    <w:p w14:paraId="5F18BC79">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09EE0F86">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7.4投标人必须确保自己在信息库中注册的信息真实、准确，并保证投标文件中的有关信息与库中的信息相一致。否则，投标人因此蒙受损失，招标人概不负责。</w:t>
      </w:r>
    </w:p>
    <w:p w14:paraId="0BB36EAF">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8. 投标费用</w:t>
      </w:r>
    </w:p>
    <w:p w14:paraId="6AF082FA">
      <w:pPr>
        <w:shd w:val="clear" w:color="auto" w:fill="auto"/>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8.1投标人准备和参加投标活动发生的费用自理。</w:t>
      </w:r>
    </w:p>
    <w:p w14:paraId="1DE3F5CD">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9.</w:t>
      </w:r>
      <w:bookmarkStart w:id="38" w:name="_Toc247527563"/>
      <w:bookmarkStart w:id="39" w:name="_Toc247592876"/>
      <w:bookmarkStart w:id="40" w:name="_Toc144974507"/>
      <w:bookmarkStart w:id="41" w:name="_Toc152045539"/>
      <w:bookmarkStart w:id="42" w:name="_Toc152042315"/>
      <w:bookmarkStart w:id="43" w:name="_Toc296602429"/>
      <w:bookmarkStart w:id="44" w:name="_Toc247513962"/>
      <w:r>
        <w:rPr>
          <w:rFonts w:hint="eastAsia"/>
          <w:b/>
          <w:color w:val="auto"/>
          <w:szCs w:val="21"/>
          <w:highlight w:val="none"/>
        </w:rPr>
        <w:t xml:space="preserve"> 踏勘现场</w:t>
      </w:r>
      <w:bookmarkEnd w:id="38"/>
      <w:bookmarkEnd w:id="39"/>
      <w:bookmarkEnd w:id="40"/>
      <w:bookmarkEnd w:id="41"/>
      <w:bookmarkEnd w:id="42"/>
      <w:bookmarkEnd w:id="43"/>
      <w:bookmarkEnd w:id="44"/>
    </w:p>
    <w:p w14:paraId="2A862695">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9.1 投标人须知前附表规定组织踏勘现场的，招标人按投标人须知前附表规定的时间、地点组织投标人踏勘项目现场。</w:t>
      </w:r>
      <w:r>
        <w:rPr>
          <w:rFonts w:hint="eastAsia" w:ascii="宋体"/>
          <w:color w:val="auto"/>
          <w:szCs w:val="21"/>
          <w:highlight w:val="none"/>
          <w:lang w:eastAsia="zh-CN"/>
        </w:rPr>
        <w:t>如需踏勘现场，</w:t>
      </w:r>
      <w:r>
        <w:rPr>
          <w:rFonts w:hint="eastAsia"/>
          <w:color w:val="auto"/>
          <w:highlight w:val="none"/>
          <w:lang w:eastAsia="zh-CN"/>
        </w:rPr>
        <w:t>投标人自行踏勘现场的，可咨询本项目采购人或采购代理机构联系人。</w:t>
      </w:r>
      <w:r>
        <w:rPr>
          <w:rFonts w:hint="eastAsia"/>
          <w:b/>
          <w:bCs/>
          <w:color w:val="auto"/>
          <w:highlight w:val="none"/>
          <w:lang w:eastAsia="zh-CN"/>
        </w:rPr>
        <w:t>投标人自行踏勘现场的，可咨询本项目采购人或采购代理机构联系人。</w:t>
      </w:r>
      <w:r>
        <w:rPr>
          <w:rFonts w:hint="eastAsia" w:ascii="宋体"/>
          <w:b/>
          <w:bCs/>
          <w:color w:val="auto"/>
          <w:szCs w:val="21"/>
          <w:highlight w:val="none"/>
        </w:rPr>
        <w:t xml:space="preserve"> </w:t>
      </w:r>
    </w:p>
    <w:p w14:paraId="6B006881">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9.2 投标人踏勘现场发生的费用自理。</w:t>
      </w:r>
    </w:p>
    <w:p w14:paraId="423320E9">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9.3 除招标人的原因外，投标人自行负责在踏勘现场中所发生的人员伤亡和财产损失。</w:t>
      </w:r>
    </w:p>
    <w:p w14:paraId="398F3992">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9.4 招标人在踏勘现场中介绍的场地和相关的周边环境情况，供投标人在编制投标文件时参考，招标人不对投标人据此作出的判断和决策负责。</w:t>
      </w:r>
      <w:bookmarkStart w:id="45" w:name="_Toc152045540"/>
      <w:bookmarkStart w:id="46" w:name="_Toc152042316"/>
      <w:bookmarkStart w:id="47" w:name="_Toc144974508"/>
      <w:bookmarkStart w:id="48" w:name="_Toc247592877"/>
      <w:bookmarkStart w:id="49" w:name="_Toc247513963"/>
      <w:bookmarkStart w:id="50" w:name="_Toc247527564"/>
      <w:bookmarkStart w:id="51" w:name="_Toc296602430"/>
    </w:p>
    <w:p w14:paraId="65F4799A">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10. 投标预备会</w:t>
      </w:r>
      <w:bookmarkEnd w:id="45"/>
      <w:bookmarkEnd w:id="46"/>
      <w:bookmarkEnd w:id="47"/>
      <w:bookmarkEnd w:id="48"/>
      <w:bookmarkEnd w:id="49"/>
      <w:bookmarkEnd w:id="50"/>
      <w:bookmarkEnd w:id="51"/>
    </w:p>
    <w:p w14:paraId="0113E39D">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10.1投标人须知前附表规定召开投标预备会的，招标人按投标人须知前附表规定的时间和地点召开投标预备会，澄清投标人提出的问题。</w:t>
      </w:r>
    </w:p>
    <w:p w14:paraId="0BDC4844">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10.2投标人应在投标人须知前附表规定的时间前，将提出的问题送达招标人，以便招标人澄清。</w:t>
      </w:r>
    </w:p>
    <w:p w14:paraId="2BD804EA">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10.3招标人在投标人须知前附表规定的时间，将对投标人所提的问题进行澄清。该澄清内容为</w:t>
      </w:r>
      <w:r>
        <w:rPr>
          <w:rFonts w:hint="eastAsia" w:ascii="宋体"/>
          <w:color w:val="auto"/>
          <w:szCs w:val="21"/>
          <w:highlight w:val="none"/>
          <w:lang w:eastAsia="zh-CN"/>
        </w:rPr>
        <w:t>采购文件</w:t>
      </w:r>
      <w:r>
        <w:rPr>
          <w:rFonts w:hint="eastAsia" w:ascii="宋体"/>
          <w:color w:val="auto"/>
          <w:szCs w:val="21"/>
          <w:highlight w:val="none"/>
        </w:rPr>
        <w:t>的组成部分。</w:t>
      </w:r>
    </w:p>
    <w:p w14:paraId="4CFBB1D0">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11. 联合投标</w:t>
      </w:r>
    </w:p>
    <w:p w14:paraId="57B947D2">
      <w:pPr>
        <w:shd w:val="clear" w:color="auto" w:fill="auto"/>
        <w:spacing w:line="440" w:lineRule="exact"/>
        <w:ind w:firstLine="409" w:firstLineChars="195"/>
        <w:rPr>
          <w:rFonts w:hint="eastAsia" w:ascii="宋体"/>
          <w:color w:val="auto"/>
          <w:szCs w:val="21"/>
          <w:highlight w:val="none"/>
        </w:rPr>
      </w:pPr>
      <w:r>
        <w:rPr>
          <w:rFonts w:hint="eastAsia" w:ascii="宋体"/>
          <w:color w:val="auto"/>
          <w:szCs w:val="21"/>
          <w:highlight w:val="none"/>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106487DA">
      <w:pPr>
        <w:shd w:val="clear" w:color="auto" w:fill="auto"/>
        <w:spacing w:line="400" w:lineRule="exact"/>
        <w:ind w:firstLine="409" w:firstLineChars="195"/>
        <w:rPr>
          <w:rFonts w:hint="eastAsia" w:ascii="宋体"/>
          <w:color w:val="auto"/>
          <w:szCs w:val="21"/>
          <w:highlight w:val="none"/>
        </w:rPr>
      </w:pPr>
      <w:r>
        <w:rPr>
          <w:rFonts w:hint="eastAsia" w:ascii="宋体"/>
          <w:color w:val="auto"/>
          <w:szCs w:val="21"/>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507435A4">
      <w:pPr>
        <w:shd w:val="clear" w:color="auto" w:fill="auto"/>
        <w:spacing w:line="400" w:lineRule="exact"/>
        <w:ind w:firstLine="411" w:firstLineChars="196"/>
        <w:rPr>
          <w:rFonts w:ascii="宋体"/>
          <w:color w:val="auto"/>
          <w:szCs w:val="21"/>
          <w:highlight w:val="none"/>
        </w:rPr>
      </w:pPr>
      <w:r>
        <w:rPr>
          <w:rFonts w:hint="eastAsia" w:ascii="宋体"/>
          <w:color w:val="auto"/>
          <w:szCs w:val="21"/>
          <w:highlight w:val="none"/>
        </w:rPr>
        <w:t>11</w:t>
      </w:r>
      <w:r>
        <w:rPr>
          <w:rFonts w:ascii="宋体"/>
          <w:color w:val="auto"/>
          <w:szCs w:val="21"/>
          <w:highlight w:val="none"/>
        </w:rPr>
        <w:t>.</w:t>
      </w:r>
      <w:r>
        <w:rPr>
          <w:rFonts w:hint="eastAsia" w:ascii="宋体"/>
          <w:color w:val="auto"/>
          <w:szCs w:val="21"/>
          <w:highlight w:val="none"/>
        </w:rPr>
        <w:t>3 联合体应当确定其中一个单位为投标的全权代表，负责参加投标的一切事务，并承担投标及履约中应承担的全部责任与义务。</w:t>
      </w:r>
    </w:p>
    <w:p w14:paraId="66C26AE4">
      <w:pPr>
        <w:pStyle w:val="10"/>
        <w:shd w:val="clear" w:color="auto" w:fill="auto"/>
        <w:spacing w:after="0" w:line="400" w:lineRule="exact"/>
        <w:ind w:left="0" w:leftChars="0" w:firstLine="424" w:firstLineChars="202"/>
        <w:rPr>
          <w:rFonts w:hint="eastAsia" w:ascii="宋体"/>
          <w:color w:val="auto"/>
          <w:szCs w:val="21"/>
          <w:highlight w:val="none"/>
        </w:rPr>
      </w:pPr>
      <w:r>
        <w:rPr>
          <w:rFonts w:hint="eastAsia" w:ascii="宋体"/>
          <w:color w:val="auto"/>
          <w:szCs w:val="21"/>
          <w:highlight w:val="none"/>
        </w:rPr>
        <w:t>11</w:t>
      </w:r>
      <w:r>
        <w:rPr>
          <w:rFonts w:ascii="宋体"/>
          <w:color w:val="auto"/>
          <w:szCs w:val="21"/>
          <w:highlight w:val="none"/>
        </w:rPr>
        <w:t>.</w:t>
      </w:r>
      <w:r>
        <w:rPr>
          <w:rFonts w:hint="eastAsia" w:ascii="宋体"/>
          <w:color w:val="auto"/>
          <w:szCs w:val="21"/>
          <w:highlight w:val="none"/>
        </w:rPr>
        <w:t>4 联合体各方应当共同与招标人签订采购合同，就采购合同约定的事项对招标人承担连带责任。</w:t>
      </w:r>
    </w:p>
    <w:p w14:paraId="2825FD9E">
      <w:pPr>
        <w:shd w:val="clear" w:color="auto" w:fill="auto"/>
        <w:spacing w:line="440" w:lineRule="exact"/>
        <w:ind w:firstLine="411" w:firstLineChars="196"/>
        <w:jc w:val="left"/>
        <w:rPr>
          <w:rFonts w:hint="eastAsia" w:ascii="宋体"/>
          <w:b/>
          <w:color w:val="auto"/>
          <w:szCs w:val="21"/>
          <w:highlight w:val="none"/>
        </w:rPr>
      </w:pPr>
      <w:r>
        <w:rPr>
          <w:rFonts w:hint="eastAsia" w:ascii="宋体"/>
          <w:b/>
          <w:color w:val="auto"/>
          <w:szCs w:val="21"/>
          <w:highlight w:val="none"/>
        </w:rPr>
        <w:t>12.招标代理费</w:t>
      </w:r>
    </w:p>
    <w:p w14:paraId="6EF7DE78">
      <w:pPr>
        <w:spacing w:line="440" w:lineRule="exact"/>
        <w:ind w:firstLine="420" w:firstLineChars="200"/>
        <w:rPr>
          <w:rFonts w:ascii="宋体"/>
          <w:bCs/>
          <w:szCs w:val="21"/>
        </w:rPr>
      </w:pPr>
      <w:r>
        <w:rPr>
          <w:rFonts w:hint="eastAsia" w:ascii="宋体"/>
          <w:bCs/>
          <w:szCs w:val="21"/>
        </w:rPr>
        <w:t>12.1成交单位在领取本项目成交通知书时，招标代理费依据《关于进一步放开建设项目专业服务价格的通知》（发改价格[2015]299 号）、《新疆维吾尔自治区招标代理服务收费指导意见》的规定，招标代理服务收费按差额定率累进法计算。按中标价计算后收取。由中标人支付。</w:t>
      </w:r>
    </w:p>
    <w:p w14:paraId="1C05DA21">
      <w:pPr>
        <w:spacing w:line="440" w:lineRule="exact"/>
        <w:ind w:firstLine="420" w:firstLineChars="200"/>
        <w:rPr>
          <w:rFonts w:hint="eastAsia" w:ascii="宋体"/>
          <w:bCs/>
          <w:szCs w:val="21"/>
        </w:rPr>
      </w:pPr>
    </w:p>
    <w:p w14:paraId="669150B3">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收费标准如下：</w:t>
      </w:r>
    </w:p>
    <w:p w14:paraId="13171B6A">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招标代理服务收费标准</w:t>
      </w:r>
    </w:p>
    <w:tbl>
      <w:tblPr>
        <w:tblStyle w:val="25"/>
        <w:tblW w:w="70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546"/>
        <w:gridCol w:w="1907"/>
        <w:gridCol w:w="1292"/>
      </w:tblGrid>
      <w:tr w14:paraId="7918D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2263" w:type="dxa"/>
            <w:noWrap w:val="0"/>
            <w:vAlign w:val="top"/>
          </w:tcPr>
          <w:p w14:paraId="642D1391">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中标金额（万元）</w:t>
            </w:r>
          </w:p>
        </w:tc>
        <w:tc>
          <w:tcPr>
            <w:tcW w:w="1546" w:type="dxa"/>
            <w:noWrap w:val="0"/>
            <w:vAlign w:val="top"/>
          </w:tcPr>
          <w:p w14:paraId="0C373A5D">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货物招标</w:t>
            </w:r>
          </w:p>
        </w:tc>
        <w:tc>
          <w:tcPr>
            <w:tcW w:w="1907" w:type="dxa"/>
            <w:noWrap w:val="0"/>
            <w:vAlign w:val="top"/>
          </w:tcPr>
          <w:p w14:paraId="2654240D">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服务招标</w:t>
            </w:r>
          </w:p>
        </w:tc>
        <w:tc>
          <w:tcPr>
            <w:tcW w:w="1292" w:type="dxa"/>
            <w:noWrap w:val="0"/>
            <w:vAlign w:val="top"/>
          </w:tcPr>
          <w:p w14:paraId="176FDE08">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备注</w:t>
            </w:r>
          </w:p>
        </w:tc>
      </w:tr>
      <w:tr w14:paraId="13A5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263" w:type="dxa"/>
            <w:noWrap w:val="0"/>
            <w:vAlign w:val="center"/>
          </w:tcPr>
          <w:p w14:paraId="50BC1B4A">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100以下</w:t>
            </w:r>
          </w:p>
        </w:tc>
        <w:tc>
          <w:tcPr>
            <w:tcW w:w="1546" w:type="dxa"/>
            <w:noWrap w:val="0"/>
            <w:vAlign w:val="center"/>
          </w:tcPr>
          <w:p w14:paraId="47043B07">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1.5</w:t>
            </w:r>
            <w:r>
              <w:rPr>
                <w:rFonts w:hint="eastAsia" w:ascii="宋体" w:hAnsi="Times New Roman" w:eastAsia="宋体" w:cs="Times New Roman"/>
                <w:bCs/>
                <w:szCs w:val="21"/>
                <w:lang w:val="en-US" w:eastAsia="zh-CN"/>
              </w:rPr>
              <w:t>8</w:t>
            </w:r>
            <w:r>
              <w:rPr>
                <w:rFonts w:hint="eastAsia" w:ascii="宋体" w:hAnsi="Times New Roman" w:eastAsia="宋体" w:cs="Times New Roman"/>
                <w:bCs/>
                <w:szCs w:val="21"/>
                <w:lang w:eastAsia="zh-CN"/>
              </w:rPr>
              <w:t>%</w:t>
            </w:r>
          </w:p>
        </w:tc>
        <w:tc>
          <w:tcPr>
            <w:tcW w:w="1907" w:type="dxa"/>
            <w:noWrap w:val="0"/>
            <w:vAlign w:val="center"/>
          </w:tcPr>
          <w:p w14:paraId="673F0F48">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1.5</w:t>
            </w:r>
            <w:r>
              <w:rPr>
                <w:rFonts w:hint="eastAsia" w:ascii="宋体" w:hAnsi="Times New Roman" w:eastAsia="宋体" w:cs="Times New Roman"/>
                <w:bCs/>
                <w:szCs w:val="21"/>
                <w:lang w:val="en-US" w:eastAsia="zh-CN"/>
              </w:rPr>
              <w:t>8</w:t>
            </w:r>
            <w:r>
              <w:rPr>
                <w:rFonts w:hint="eastAsia" w:ascii="宋体" w:hAnsi="Times New Roman" w:eastAsia="宋体" w:cs="Times New Roman"/>
                <w:bCs/>
                <w:szCs w:val="21"/>
                <w:lang w:eastAsia="zh-CN"/>
              </w:rPr>
              <w:t>%</w:t>
            </w:r>
          </w:p>
        </w:tc>
        <w:tc>
          <w:tcPr>
            <w:tcW w:w="1292" w:type="dxa"/>
            <w:noWrap w:val="0"/>
            <w:vAlign w:val="top"/>
          </w:tcPr>
          <w:p w14:paraId="501423F4">
            <w:pPr>
              <w:spacing w:line="440" w:lineRule="exact"/>
              <w:ind w:firstLine="420" w:firstLineChars="200"/>
              <w:rPr>
                <w:rFonts w:hint="eastAsia" w:ascii="宋体" w:hAnsi="Times New Roman" w:eastAsia="宋体" w:cs="Times New Roman"/>
                <w:bCs/>
                <w:szCs w:val="21"/>
                <w:lang w:eastAsia="zh-CN"/>
              </w:rPr>
            </w:pPr>
          </w:p>
        </w:tc>
      </w:tr>
      <w:tr w14:paraId="491D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263" w:type="dxa"/>
            <w:noWrap w:val="0"/>
            <w:vAlign w:val="center"/>
          </w:tcPr>
          <w:p w14:paraId="2D94D7D7">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100-500</w:t>
            </w:r>
          </w:p>
        </w:tc>
        <w:tc>
          <w:tcPr>
            <w:tcW w:w="1546" w:type="dxa"/>
            <w:noWrap w:val="0"/>
            <w:vAlign w:val="center"/>
          </w:tcPr>
          <w:p w14:paraId="64A3E5E4">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1.1</w:t>
            </w:r>
            <w:r>
              <w:rPr>
                <w:rFonts w:hint="eastAsia" w:ascii="宋体" w:hAnsi="Times New Roman" w:eastAsia="宋体" w:cs="Times New Roman"/>
                <w:bCs/>
                <w:szCs w:val="21"/>
                <w:lang w:val="en-US" w:eastAsia="zh-CN"/>
              </w:rPr>
              <w:t>6</w:t>
            </w:r>
            <w:r>
              <w:rPr>
                <w:rFonts w:hint="eastAsia" w:ascii="宋体" w:hAnsi="Times New Roman" w:eastAsia="宋体" w:cs="Times New Roman"/>
                <w:bCs/>
                <w:szCs w:val="21"/>
                <w:lang w:eastAsia="zh-CN"/>
              </w:rPr>
              <w:t>%</w:t>
            </w:r>
          </w:p>
        </w:tc>
        <w:tc>
          <w:tcPr>
            <w:tcW w:w="1907" w:type="dxa"/>
            <w:noWrap w:val="0"/>
            <w:vAlign w:val="center"/>
          </w:tcPr>
          <w:p w14:paraId="3BE89779">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0.8</w:t>
            </w:r>
            <w:r>
              <w:rPr>
                <w:rFonts w:hint="eastAsia" w:ascii="宋体" w:hAnsi="Times New Roman" w:eastAsia="宋体" w:cs="Times New Roman"/>
                <w:bCs/>
                <w:szCs w:val="21"/>
                <w:lang w:val="en-US" w:eastAsia="zh-CN"/>
              </w:rPr>
              <w:t>4</w:t>
            </w:r>
            <w:r>
              <w:rPr>
                <w:rFonts w:hint="eastAsia" w:ascii="宋体" w:hAnsi="Times New Roman" w:eastAsia="宋体" w:cs="Times New Roman"/>
                <w:bCs/>
                <w:szCs w:val="21"/>
                <w:lang w:eastAsia="zh-CN"/>
              </w:rPr>
              <w:t>%</w:t>
            </w:r>
          </w:p>
        </w:tc>
        <w:tc>
          <w:tcPr>
            <w:tcW w:w="1292" w:type="dxa"/>
            <w:noWrap w:val="0"/>
            <w:vAlign w:val="top"/>
          </w:tcPr>
          <w:p w14:paraId="0BF9316F">
            <w:pPr>
              <w:spacing w:line="440" w:lineRule="exact"/>
              <w:ind w:firstLine="420" w:firstLineChars="200"/>
              <w:rPr>
                <w:rFonts w:hint="eastAsia" w:ascii="宋体" w:hAnsi="Times New Roman" w:eastAsia="宋体" w:cs="Times New Roman"/>
                <w:bCs/>
                <w:szCs w:val="21"/>
                <w:lang w:eastAsia="zh-CN"/>
              </w:rPr>
            </w:pPr>
          </w:p>
        </w:tc>
      </w:tr>
      <w:tr w14:paraId="1F76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2263" w:type="dxa"/>
            <w:noWrap w:val="0"/>
            <w:vAlign w:val="center"/>
          </w:tcPr>
          <w:p w14:paraId="0E6D1E09">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500-1000</w:t>
            </w:r>
          </w:p>
        </w:tc>
        <w:tc>
          <w:tcPr>
            <w:tcW w:w="1546" w:type="dxa"/>
            <w:noWrap w:val="0"/>
            <w:vAlign w:val="center"/>
          </w:tcPr>
          <w:p w14:paraId="6B5CD50C">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0.</w:t>
            </w:r>
            <w:r>
              <w:rPr>
                <w:rFonts w:hint="eastAsia" w:ascii="宋体" w:hAnsi="Times New Roman" w:eastAsia="宋体" w:cs="Times New Roman"/>
                <w:bCs/>
                <w:szCs w:val="21"/>
                <w:lang w:val="en-US" w:eastAsia="zh-CN"/>
              </w:rPr>
              <w:t>93</w:t>
            </w:r>
            <w:r>
              <w:rPr>
                <w:rFonts w:hint="eastAsia" w:ascii="宋体" w:hAnsi="Times New Roman" w:eastAsia="宋体" w:cs="Times New Roman"/>
                <w:bCs/>
                <w:szCs w:val="21"/>
                <w:lang w:eastAsia="zh-CN"/>
              </w:rPr>
              <w:t>%</w:t>
            </w:r>
          </w:p>
        </w:tc>
        <w:tc>
          <w:tcPr>
            <w:tcW w:w="1907" w:type="dxa"/>
            <w:noWrap w:val="0"/>
            <w:vAlign w:val="center"/>
          </w:tcPr>
          <w:p w14:paraId="548F8A9B">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0.</w:t>
            </w:r>
            <w:r>
              <w:rPr>
                <w:rFonts w:hint="eastAsia" w:ascii="宋体" w:hAnsi="Times New Roman" w:eastAsia="宋体" w:cs="Times New Roman"/>
                <w:bCs/>
                <w:szCs w:val="21"/>
                <w:lang w:val="en-US" w:eastAsia="zh-CN"/>
              </w:rPr>
              <w:t>62</w:t>
            </w:r>
            <w:r>
              <w:rPr>
                <w:rFonts w:hint="eastAsia" w:ascii="宋体" w:hAnsi="Times New Roman" w:eastAsia="宋体" w:cs="Times New Roman"/>
                <w:bCs/>
                <w:szCs w:val="21"/>
                <w:lang w:eastAsia="zh-CN"/>
              </w:rPr>
              <w:t>%</w:t>
            </w:r>
          </w:p>
        </w:tc>
        <w:tc>
          <w:tcPr>
            <w:tcW w:w="1292" w:type="dxa"/>
            <w:noWrap w:val="0"/>
            <w:vAlign w:val="top"/>
          </w:tcPr>
          <w:p w14:paraId="6B38797D">
            <w:pPr>
              <w:spacing w:line="440" w:lineRule="exact"/>
              <w:ind w:firstLine="420" w:firstLineChars="200"/>
              <w:rPr>
                <w:rFonts w:hint="eastAsia" w:ascii="宋体" w:hAnsi="Times New Roman" w:eastAsia="宋体" w:cs="Times New Roman"/>
                <w:bCs/>
                <w:szCs w:val="21"/>
                <w:lang w:eastAsia="zh-CN"/>
              </w:rPr>
            </w:pPr>
          </w:p>
        </w:tc>
      </w:tr>
      <w:tr w14:paraId="1A39F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263" w:type="dxa"/>
            <w:noWrap w:val="0"/>
            <w:vAlign w:val="center"/>
          </w:tcPr>
          <w:p w14:paraId="47DA8012">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1000-5000</w:t>
            </w:r>
          </w:p>
        </w:tc>
        <w:tc>
          <w:tcPr>
            <w:tcW w:w="1546" w:type="dxa"/>
            <w:noWrap w:val="0"/>
            <w:vAlign w:val="center"/>
          </w:tcPr>
          <w:p w14:paraId="7D95879D">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0.</w:t>
            </w:r>
            <w:r>
              <w:rPr>
                <w:rFonts w:hint="eastAsia" w:ascii="宋体" w:hAnsi="Times New Roman" w:eastAsia="宋体" w:cs="Times New Roman"/>
                <w:bCs/>
                <w:szCs w:val="21"/>
                <w:lang w:val="en-US" w:eastAsia="zh-CN"/>
              </w:rPr>
              <w:t>61</w:t>
            </w:r>
            <w:r>
              <w:rPr>
                <w:rFonts w:hint="eastAsia" w:ascii="宋体" w:hAnsi="Times New Roman" w:eastAsia="宋体" w:cs="Times New Roman"/>
                <w:bCs/>
                <w:szCs w:val="21"/>
                <w:lang w:eastAsia="zh-CN"/>
              </w:rPr>
              <w:t>%</w:t>
            </w:r>
          </w:p>
        </w:tc>
        <w:tc>
          <w:tcPr>
            <w:tcW w:w="1907" w:type="dxa"/>
            <w:noWrap w:val="0"/>
            <w:vAlign w:val="center"/>
          </w:tcPr>
          <w:p w14:paraId="06E876C2">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0.</w:t>
            </w:r>
            <w:r>
              <w:rPr>
                <w:rFonts w:hint="eastAsia" w:ascii="宋体" w:hAnsi="Times New Roman" w:eastAsia="宋体" w:cs="Times New Roman"/>
                <w:bCs/>
                <w:szCs w:val="21"/>
                <w:lang w:val="en-US" w:eastAsia="zh-CN"/>
              </w:rPr>
              <w:t>35</w:t>
            </w:r>
            <w:r>
              <w:rPr>
                <w:rFonts w:hint="eastAsia" w:ascii="宋体" w:hAnsi="Times New Roman" w:eastAsia="宋体" w:cs="Times New Roman"/>
                <w:bCs/>
                <w:szCs w:val="21"/>
                <w:lang w:eastAsia="zh-CN"/>
              </w:rPr>
              <w:t>%</w:t>
            </w:r>
          </w:p>
        </w:tc>
        <w:tc>
          <w:tcPr>
            <w:tcW w:w="1292" w:type="dxa"/>
            <w:noWrap w:val="0"/>
            <w:vAlign w:val="top"/>
          </w:tcPr>
          <w:p w14:paraId="6F7E2702">
            <w:pPr>
              <w:spacing w:line="440" w:lineRule="exact"/>
              <w:ind w:firstLine="420" w:firstLineChars="200"/>
              <w:rPr>
                <w:rFonts w:hint="eastAsia" w:ascii="宋体" w:hAnsi="Times New Roman" w:eastAsia="宋体" w:cs="Times New Roman"/>
                <w:bCs/>
                <w:szCs w:val="21"/>
                <w:lang w:eastAsia="zh-CN"/>
              </w:rPr>
            </w:pPr>
          </w:p>
        </w:tc>
      </w:tr>
    </w:tbl>
    <w:p w14:paraId="09DB87B2">
      <w:pPr>
        <w:spacing w:line="440" w:lineRule="exact"/>
        <w:ind w:firstLine="420" w:firstLineChars="200"/>
        <w:rPr>
          <w:rFonts w:hint="eastAsia" w:ascii="宋体" w:hAnsi="Times New Roman" w:eastAsia="宋体" w:cs="Times New Roman"/>
          <w:bCs/>
          <w:szCs w:val="21"/>
          <w:lang w:eastAsia="zh-CN"/>
        </w:rPr>
      </w:pPr>
      <w:r>
        <w:rPr>
          <w:rFonts w:hint="eastAsia" w:ascii="宋体" w:hAnsi="Times New Roman" w:eastAsia="宋体" w:cs="Times New Roman"/>
          <w:bCs/>
          <w:szCs w:val="21"/>
          <w:lang w:eastAsia="zh-CN"/>
        </w:rPr>
        <w:t>招标代理服务收费按差额定率累进法计算。招标代理服务收费按差额定率累进法计算。</w:t>
      </w:r>
    </w:p>
    <w:p w14:paraId="492A95EE">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13.投标人应注意的事项</w:t>
      </w:r>
    </w:p>
    <w:p w14:paraId="0E1F455A">
      <w:pPr>
        <w:shd w:val="clear" w:color="auto" w:fill="auto"/>
        <w:spacing w:line="440" w:lineRule="exact"/>
        <w:ind w:firstLine="420" w:firstLineChars="200"/>
        <w:rPr>
          <w:rFonts w:hint="eastAsia" w:ascii="宋体"/>
          <w:bCs/>
          <w:color w:val="auto"/>
          <w:szCs w:val="21"/>
          <w:highlight w:val="none"/>
        </w:rPr>
      </w:pPr>
      <w:r>
        <w:rPr>
          <w:rFonts w:hint="eastAsia" w:ascii="宋体" w:hAnsi="宋体"/>
          <w:color w:val="auto"/>
          <w:szCs w:val="21"/>
          <w:highlight w:val="none"/>
        </w:rPr>
        <w:t>13.1投标人一旦按规定缴纳了投标保证金并参加投标，即被认为接受了本</w:t>
      </w:r>
      <w:r>
        <w:rPr>
          <w:rFonts w:hint="eastAsia" w:ascii="宋体" w:hAnsi="宋体"/>
          <w:color w:val="auto"/>
          <w:szCs w:val="21"/>
          <w:highlight w:val="none"/>
          <w:lang w:eastAsia="zh-CN"/>
        </w:rPr>
        <w:t>采购</w:t>
      </w:r>
      <w:r>
        <w:rPr>
          <w:rFonts w:hint="eastAsia" w:ascii="宋体" w:hAnsi="宋体"/>
          <w:color w:val="auto"/>
          <w:szCs w:val="21"/>
          <w:highlight w:val="none"/>
        </w:rPr>
        <w:t>文件中的所有条件和规定。投标人必须严格按</w:t>
      </w:r>
      <w:r>
        <w:rPr>
          <w:rFonts w:hint="eastAsia" w:ascii="宋体" w:hAnsi="宋体"/>
          <w:color w:val="auto"/>
          <w:szCs w:val="21"/>
          <w:highlight w:val="none"/>
          <w:lang w:eastAsia="zh-CN"/>
        </w:rPr>
        <w:t>采购文件</w:t>
      </w:r>
      <w:r>
        <w:rPr>
          <w:rFonts w:hint="eastAsia" w:ascii="宋体" w:hAnsi="宋体"/>
          <w:color w:val="auto"/>
          <w:szCs w:val="21"/>
          <w:highlight w:val="none"/>
        </w:rPr>
        <w:t>的要求编制投标文件，投标文件宜编制页码和目录，以便评委审核。否则，由此产生的一切后果由投标人承担。</w:t>
      </w:r>
    </w:p>
    <w:p w14:paraId="6EBDDDAB">
      <w:pPr>
        <w:shd w:val="clear" w:color="auto" w:fill="auto"/>
        <w:spacing w:line="440" w:lineRule="exact"/>
        <w:ind w:firstLine="420" w:firstLineChars="200"/>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2</w:t>
      </w:r>
      <w:r>
        <w:rPr>
          <w:rFonts w:hint="eastAsia" w:ascii="宋体"/>
          <w:bCs/>
          <w:color w:val="auto"/>
          <w:szCs w:val="21"/>
          <w:highlight w:val="none"/>
        </w:rPr>
        <w:t xml:space="preserve"> 投标人对采购内容中规定的技术参数、规格等要求必须完全响应或优于</w:t>
      </w:r>
      <w:r>
        <w:rPr>
          <w:rFonts w:hint="eastAsia" w:ascii="宋体"/>
          <w:bCs/>
          <w:color w:val="auto"/>
          <w:szCs w:val="21"/>
          <w:highlight w:val="none"/>
          <w:lang w:eastAsia="zh-CN"/>
        </w:rPr>
        <w:t>采购文件</w:t>
      </w:r>
      <w:r>
        <w:rPr>
          <w:rFonts w:hint="eastAsia" w:ascii="宋体"/>
          <w:bCs/>
          <w:color w:val="auto"/>
          <w:szCs w:val="21"/>
          <w:highlight w:val="none"/>
        </w:rPr>
        <w:t>中的要求。</w:t>
      </w:r>
    </w:p>
    <w:p w14:paraId="535E06CA">
      <w:pPr>
        <w:shd w:val="clear" w:color="auto" w:fill="auto"/>
        <w:spacing w:line="440" w:lineRule="exact"/>
        <w:ind w:firstLine="411" w:firstLineChars="196"/>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3</w:t>
      </w:r>
      <w:r>
        <w:rPr>
          <w:rFonts w:hint="eastAsia" w:ascii="宋体"/>
          <w:bCs/>
          <w:color w:val="auto"/>
          <w:szCs w:val="21"/>
          <w:highlight w:val="none"/>
        </w:rPr>
        <w:t>所有投标人的投标保证金都应在</w:t>
      </w:r>
      <w:r>
        <w:rPr>
          <w:rFonts w:hint="eastAsia" w:ascii="宋体"/>
          <w:bCs/>
          <w:color w:val="auto"/>
          <w:szCs w:val="21"/>
          <w:highlight w:val="none"/>
          <w:lang w:eastAsia="zh-CN"/>
        </w:rPr>
        <w:t>采购文件</w:t>
      </w:r>
      <w:r>
        <w:rPr>
          <w:rFonts w:hint="eastAsia" w:ascii="宋体"/>
          <w:bCs/>
          <w:color w:val="auto"/>
          <w:szCs w:val="21"/>
          <w:highlight w:val="none"/>
        </w:rPr>
        <w:t>规定的投标保证金缴纳截止日期前缴纳。</w:t>
      </w:r>
    </w:p>
    <w:p w14:paraId="4EFB21EF">
      <w:pPr>
        <w:shd w:val="clear" w:color="auto" w:fill="auto"/>
        <w:spacing w:line="440" w:lineRule="exact"/>
        <w:ind w:firstLine="411" w:firstLineChars="196"/>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4</w:t>
      </w:r>
      <w:r>
        <w:rPr>
          <w:rFonts w:ascii="宋体"/>
          <w:bCs/>
          <w:color w:val="auto"/>
          <w:szCs w:val="21"/>
          <w:highlight w:val="none"/>
        </w:rPr>
        <w:t>单位</w:t>
      </w:r>
      <w:r>
        <w:rPr>
          <w:rFonts w:hint="eastAsia" w:ascii="宋体"/>
          <w:bCs/>
          <w:color w:val="auto"/>
          <w:szCs w:val="21"/>
          <w:highlight w:val="none"/>
          <w:lang w:eastAsia="zh-CN"/>
        </w:rPr>
        <w:t>法定代表人</w:t>
      </w:r>
      <w:r>
        <w:rPr>
          <w:rFonts w:ascii="宋体"/>
          <w:bCs/>
          <w:color w:val="auto"/>
          <w:szCs w:val="21"/>
          <w:highlight w:val="none"/>
        </w:rPr>
        <w:t>为同一人或者存在直接控股、管理关系的不同供应商，不得参加同一合同项下的政府采购活动。</w:t>
      </w:r>
      <w:r>
        <w:rPr>
          <w:rFonts w:ascii="宋体" w:hAnsi="宋体" w:cs="宋体"/>
          <w:color w:val="auto"/>
          <w:szCs w:val="21"/>
          <w:highlight w:val="none"/>
        </w:rPr>
        <w:t>为采购项目提供整体设计、规范编制或者项目管理、监理、检测等服务的供应商，不得再参加该采购项目的其他采购活动。</w:t>
      </w:r>
    </w:p>
    <w:p w14:paraId="5CC38DCE">
      <w:pPr>
        <w:shd w:val="clear" w:color="auto" w:fill="auto"/>
        <w:snapToGrid w:val="0"/>
        <w:spacing w:line="440" w:lineRule="exact"/>
        <w:ind w:firstLine="420" w:firstLineChars="200"/>
        <w:rPr>
          <w:rFonts w:hint="eastAsia" w:ascii="宋体"/>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5</w:t>
      </w:r>
      <w:r>
        <w:rPr>
          <w:rFonts w:hint="eastAsia" w:ascii="宋体"/>
          <w:bCs/>
          <w:color w:val="auto"/>
          <w:szCs w:val="21"/>
          <w:highlight w:val="none"/>
        </w:rPr>
        <w:t>本项目只接受</w:t>
      </w:r>
      <w:r>
        <w:rPr>
          <w:rFonts w:hint="eastAsia" w:ascii="宋体"/>
          <w:color w:val="auto"/>
          <w:szCs w:val="21"/>
          <w:highlight w:val="none"/>
        </w:rPr>
        <w:t>成为新疆维吾尔自治区政府采购网正式注册入库并完成CA数字证书申领供应商</w:t>
      </w:r>
      <w:r>
        <w:rPr>
          <w:rFonts w:hint="eastAsia" w:ascii="宋体"/>
          <w:color w:val="auto"/>
          <w:szCs w:val="21"/>
          <w:highlight w:val="none"/>
          <w:lang w:eastAsia="zh-CN"/>
        </w:rPr>
        <w:t>参与投标</w:t>
      </w:r>
      <w:r>
        <w:rPr>
          <w:rFonts w:hint="eastAsia" w:ascii="宋体"/>
          <w:color w:val="auto"/>
          <w:szCs w:val="21"/>
          <w:highlight w:val="none"/>
        </w:rPr>
        <w:t>。因未注册入库、未办理CA数字证书等原因造成无法投标或投标失败等后果由供应商自行承担。</w:t>
      </w:r>
    </w:p>
    <w:p w14:paraId="3400904F">
      <w:pPr>
        <w:shd w:val="clear" w:color="auto" w:fill="auto"/>
        <w:spacing w:line="400" w:lineRule="exact"/>
        <w:ind w:firstLine="420" w:firstLineChars="200"/>
        <w:rPr>
          <w:rFonts w:hint="eastAsia" w:ascii="宋体"/>
          <w:bCs/>
          <w:color w:val="auto"/>
          <w:szCs w:val="21"/>
          <w:highlight w:val="none"/>
        </w:rPr>
      </w:pPr>
      <w:r>
        <w:rPr>
          <w:rFonts w:hint="eastAsia" w:ascii="宋体"/>
          <w:bCs/>
          <w:color w:val="auto"/>
          <w:szCs w:val="21"/>
          <w:highlight w:val="none"/>
        </w:rPr>
        <w:t>13.</w:t>
      </w:r>
      <w:r>
        <w:rPr>
          <w:rFonts w:hint="eastAsia" w:ascii="宋体"/>
          <w:bCs/>
          <w:color w:val="auto"/>
          <w:szCs w:val="21"/>
          <w:highlight w:val="none"/>
          <w:lang w:val="en-US" w:eastAsia="zh-CN"/>
        </w:rPr>
        <w:t>6</w:t>
      </w:r>
      <w:r>
        <w:rPr>
          <w:rFonts w:hint="eastAsia" w:ascii="宋体"/>
          <w:bCs/>
          <w:color w:val="auto"/>
          <w:szCs w:val="21"/>
          <w:highlight w:val="none"/>
        </w:rPr>
        <w:t xml:space="preserve"> 投标人被视为已充分了解项目所在地与履行本服务合同相关的各类政策、环境条件，包括但不限于：</w:t>
      </w:r>
    </w:p>
    <w:p w14:paraId="39BD9217">
      <w:pPr>
        <w:shd w:val="clear" w:color="auto" w:fill="auto"/>
        <w:spacing w:line="400" w:lineRule="exact"/>
        <w:ind w:firstLine="315" w:firstLineChars="150"/>
        <w:rPr>
          <w:rFonts w:hint="eastAsia" w:ascii="宋体"/>
          <w:bCs/>
          <w:color w:val="auto"/>
          <w:szCs w:val="21"/>
          <w:highlight w:val="none"/>
        </w:rPr>
      </w:pPr>
      <w:r>
        <w:rPr>
          <w:rFonts w:hint="eastAsia" w:ascii="宋体"/>
          <w:bCs/>
          <w:color w:val="auto"/>
          <w:szCs w:val="21"/>
          <w:highlight w:val="none"/>
        </w:rPr>
        <w:t>（1）国家及自治区关于文旅宣传推广活动执行、内容审核、活动组织、验收等相关法律、法规、行业管理规范；</w:t>
      </w:r>
    </w:p>
    <w:p w14:paraId="40A58BA4">
      <w:pPr>
        <w:shd w:val="clear" w:color="auto" w:fill="auto"/>
        <w:spacing w:line="400" w:lineRule="exact"/>
        <w:ind w:firstLine="315" w:firstLineChars="150"/>
        <w:rPr>
          <w:rFonts w:hint="eastAsia" w:ascii="宋体"/>
          <w:bCs/>
          <w:color w:val="auto"/>
          <w:szCs w:val="21"/>
          <w:highlight w:val="none"/>
        </w:rPr>
      </w:pPr>
      <w:r>
        <w:rPr>
          <w:rFonts w:hint="eastAsia" w:ascii="宋体"/>
          <w:bCs/>
          <w:color w:val="auto"/>
          <w:szCs w:val="21"/>
          <w:highlight w:val="none"/>
        </w:rPr>
        <w:t>（2）项目所在地各行政主管部门相关管理规定；</w:t>
      </w:r>
    </w:p>
    <w:p w14:paraId="758D9A10">
      <w:pPr>
        <w:shd w:val="clear" w:color="auto" w:fill="auto"/>
        <w:spacing w:line="400" w:lineRule="exact"/>
        <w:ind w:firstLine="315" w:firstLineChars="150"/>
        <w:rPr>
          <w:rFonts w:hint="eastAsia" w:ascii="宋体"/>
          <w:bCs/>
          <w:color w:val="auto"/>
          <w:szCs w:val="21"/>
          <w:highlight w:val="none"/>
        </w:rPr>
      </w:pPr>
      <w:r>
        <w:rPr>
          <w:rFonts w:hint="eastAsia" w:ascii="宋体"/>
          <w:bCs/>
          <w:color w:val="auto"/>
          <w:szCs w:val="21"/>
          <w:highlight w:val="none"/>
        </w:rPr>
        <w:t>（3）项目开展涉及的市场环境、文旅资源情况。</w:t>
      </w:r>
    </w:p>
    <w:p w14:paraId="7B135080">
      <w:pPr>
        <w:shd w:val="clear" w:color="auto" w:fill="auto"/>
        <w:spacing w:line="400" w:lineRule="exact"/>
        <w:ind w:firstLine="315" w:firstLineChars="150"/>
        <w:rPr>
          <w:rFonts w:hint="eastAsia"/>
        </w:rPr>
      </w:pPr>
      <w:r>
        <w:rPr>
          <w:rFonts w:hint="eastAsia" w:ascii="宋体"/>
          <w:bCs/>
          <w:color w:val="auto"/>
          <w:szCs w:val="21"/>
          <w:highlight w:val="none"/>
        </w:rPr>
        <w:t>本采购文件不再对上述情况另行描述，投标人应结合采购文件要求自行研判，充分考虑全部履约风险。</w:t>
      </w:r>
      <w:bookmarkStart w:id="52" w:name="_Toc469495725"/>
    </w:p>
    <w:p w14:paraId="6B1AE25D">
      <w:pPr>
        <w:shd w:val="clear" w:color="auto" w:fill="auto"/>
        <w:spacing w:before="312" w:beforeLines="100" w:after="312" w:afterLines="100" w:line="440" w:lineRule="exact"/>
        <w:jc w:val="center"/>
        <w:outlineLvl w:val="9"/>
        <w:rPr>
          <w:rFonts w:hint="eastAsia" w:ascii="宋体"/>
          <w:b/>
          <w:color w:val="auto"/>
          <w:sz w:val="28"/>
          <w:szCs w:val="28"/>
          <w:highlight w:val="none"/>
        </w:rPr>
      </w:pPr>
    </w:p>
    <w:p w14:paraId="064329F3">
      <w:pPr>
        <w:shd w:val="clear" w:color="auto" w:fill="auto"/>
        <w:spacing w:before="312" w:beforeLines="100" w:after="312" w:afterLines="100" w:line="440" w:lineRule="exact"/>
        <w:jc w:val="center"/>
        <w:outlineLvl w:val="2"/>
        <w:rPr>
          <w:rFonts w:hint="eastAsia" w:ascii="宋体"/>
          <w:b/>
          <w:color w:val="auto"/>
          <w:sz w:val="28"/>
          <w:szCs w:val="28"/>
          <w:highlight w:val="none"/>
        </w:rPr>
      </w:pPr>
      <w:bookmarkStart w:id="53" w:name="_Toc19912"/>
      <w:bookmarkStart w:id="54" w:name="_Toc13107"/>
      <w:bookmarkStart w:id="55" w:name="_Toc26689"/>
    </w:p>
    <w:p w14:paraId="0F1276F7">
      <w:pPr>
        <w:shd w:val="clear" w:color="auto" w:fill="auto"/>
        <w:spacing w:before="312" w:beforeLines="100" w:after="312" w:afterLines="100" w:line="440" w:lineRule="exact"/>
        <w:jc w:val="center"/>
        <w:outlineLvl w:val="2"/>
        <w:rPr>
          <w:rFonts w:hint="eastAsia" w:ascii="宋体"/>
          <w:b/>
          <w:color w:val="auto"/>
          <w:sz w:val="28"/>
          <w:szCs w:val="28"/>
          <w:highlight w:val="none"/>
        </w:rPr>
      </w:pPr>
    </w:p>
    <w:p w14:paraId="2BD01E43">
      <w:pPr>
        <w:shd w:val="clear" w:color="auto" w:fill="auto"/>
        <w:spacing w:before="312" w:beforeLines="100" w:after="312" w:afterLines="100" w:line="440" w:lineRule="exact"/>
        <w:jc w:val="center"/>
        <w:outlineLvl w:val="2"/>
        <w:rPr>
          <w:rFonts w:hint="eastAsia" w:ascii="宋体" w:eastAsia="宋体"/>
          <w:b/>
          <w:color w:val="auto"/>
          <w:sz w:val="28"/>
          <w:szCs w:val="28"/>
          <w:highlight w:val="none"/>
          <w:lang w:eastAsia="zh-CN"/>
        </w:rPr>
      </w:pPr>
      <w:r>
        <w:rPr>
          <w:rFonts w:hint="eastAsia" w:ascii="宋体"/>
          <w:b/>
          <w:color w:val="auto"/>
          <w:sz w:val="28"/>
          <w:szCs w:val="28"/>
          <w:highlight w:val="none"/>
        </w:rPr>
        <w:br w:type="page"/>
      </w:r>
      <w:r>
        <w:rPr>
          <w:rFonts w:hint="eastAsia" w:ascii="宋体"/>
          <w:b/>
          <w:color w:val="auto"/>
          <w:sz w:val="28"/>
          <w:szCs w:val="28"/>
          <w:highlight w:val="none"/>
        </w:rPr>
        <w:t>（二）</w:t>
      </w:r>
      <w:bookmarkEnd w:id="52"/>
      <w:r>
        <w:rPr>
          <w:rFonts w:hint="eastAsia" w:ascii="宋体"/>
          <w:b/>
          <w:color w:val="auto"/>
          <w:sz w:val="28"/>
          <w:szCs w:val="28"/>
          <w:highlight w:val="none"/>
          <w:lang w:eastAsia="zh-CN"/>
        </w:rPr>
        <w:t>磋商文件</w:t>
      </w:r>
      <w:bookmarkEnd w:id="53"/>
      <w:bookmarkEnd w:id="54"/>
      <w:bookmarkEnd w:id="55"/>
    </w:p>
    <w:p w14:paraId="13B98E7E">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 xml:space="preserve">15. </w:t>
      </w:r>
      <w:r>
        <w:rPr>
          <w:rFonts w:hint="eastAsia"/>
          <w:b/>
          <w:color w:val="auto"/>
          <w:szCs w:val="21"/>
          <w:highlight w:val="none"/>
          <w:lang w:eastAsia="zh-CN"/>
        </w:rPr>
        <w:t>采购文件</w:t>
      </w:r>
      <w:r>
        <w:rPr>
          <w:rFonts w:hint="eastAsia"/>
          <w:b/>
          <w:color w:val="auto"/>
          <w:szCs w:val="21"/>
          <w:highlight w:val="none"/>
        </w:rPr>
        <w:t>的编制依据</w:t>
      </w:r>
    </w:p>
    <w:p w14:paraId="36B66077">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根据《中华人民共和国政府采购法》、《政府采购货物和服务招标投标管理办法》和《中华人民共和国</w:t>
      </w:r>
      <w:r>
        <w:rPr>
          <w:rFonts w:hint="eastAsia" w:ascii="宋体"/>
          <w:color w:val="auto"/>
          <w:szCs w:val="21"/>
          <w:highlight w:val="none"/>
          <w:lang w:val="en-US" w:eastAsia="zh-CN"/>
        </w:rPr>
        <w:t>民法典</w:t>
      </w:r>
      <w:r>
        <w:rPr>
          <w:rFonts w:hint="eastAsia" w:ascii="宋体"/>
          <w:color w:val="auto"/>
          <w:szCs w:val="21"/>
          <w:highlight w:val="none"/>
        </w:rPr>
        <w:t>》</w:t>
      </w:r>
      <w:r>
        <w:rPr>
          <w:rFonts w:hint="eastAsia" w:ascii="宋体"/>
          <w:color w:val="auto"/>
          <w:spacing w:val="-2"/>
          <w:szCs w:val="21"/>
          <w:highlight w:val="none"/>
        </w:rPr>
        <w:t>等相关法律法规和规章及部、省、市级规范性文件的规定，编制本</w:t>
      </w:r>
      <w:r>
        <w:rPr>
          <w:rFonts w:hint="eastAsia" w:ascii="宋体"/>
          <w:color w:val="auto"/>
          <w:spacing w:val="-2"/>
          <w:szCs w:val="21"/>
          <w:highlight w:val="none"/>
          <w:lang w:eastAsia="zh-CN"/>
        </w:rPr>
        <w:t>采购文件</w:t>
      </w:r>
      <w:r>
        <w:rPr>
          <w:rFonts w:hint="eastAsia" w:ascii="宋体"/>
          <w:color w:val="auto"/>
          <w:spacing w:val="-2"/>
          <w:szCs w:val="21"/>
          <w:highlight w:val="none"/>
        </w:rPr>
        <w:t>。</w:t>
      </w:r>
    </w:p>
    <w:p w14:paraId="4FD3335F">
      <w:pPr>
        <w:shd w:val="clear" w:color="auto" w:fill="auto"/>
        <w:spacing w:line="440" w:lineRule="exact"/>
        <w:ind w:firstLine="420" w:firstLineChars="200"/>
        <w:rPr>
          <w:rFonts w:hint="eastAsia"/>
          <w:b/>
          <w:color w:val="auto"/>
          <w:szCs w:val="21"/>
          <w:highlight w:val="none"/>
        </w:rPr>
      </w:pPr>
      <w:r>
        <w:rPr>
          <w:rFonts w:hint="eastAsia"/>
          <w:b/>
          <w:color w:val="auto"/>
          <w:szCs w:val="21"/>
          <w:highlight w:val="none"/>
        </w:rPr>
        <w:t xml:space="preserve">16. </w:t>
      </w:r>
      <w:r>
        <w:rPr>
          <w:rFonts w:hint="eastAsia"/>
          <w:b/>
          <w:color w:val="auto"/>
          <w:szCs w:val="21"/>
          <w:highlight w:val="none"/>
          <w:lang w:eastAsia="zh-CN"/>
        </w:rPr>
        <w:t>磋商文件</w:t>
      </w:r>
      <w:r>
        <w:rPr>
          <w:rFonts w:hint="eastAsia"/>
          <w:b/>
          <w:color w:val="auto"/>
          <w:szCs w:val="21"/>
          <w:highlight w:val="none"/>
        </w:rPr>
        <w:t>的组成</w:t>
      </w:r>
    </w:p>
    <w:p w14:paraId="735C2864">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16.1 </w:t>
      </w:r>
      <w:r>
        <w:rPr>
          <w:rFonts w:hint="eastAsia" w:ascii="宋体"/>
          <w:color w:val="auto"/>
          <w:szCs w:val="21"/>
          <w:highlight w:val="none"/>
          <w:lang w:eastAsia="zh-CN"/>
        </w:rPr>
        <w:t>磋商文件</w:t>
      </w:r>
      <w:r>
        <w:rPr>
          <w:rFonts w:hint="eastAsia" w:ascii="宋体"/>
          <w:color w:val="auto"/>
          <w:szCs w:val="21"/>
          <w:highlight w:val="none"/>
        </w:rPr>
        <w:t>包括内容：</w:t>
      </w:r>
    </w:p>
    <w:p w14:paraId="453F3AB9">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 xml:space="preserve">第一章  </w:t>
      </w:r>
      <w:r>
        <w:rPr>
          <w:rFonts w:hint="eastAsia"/>
          <w:b w:val="0"/>
          <w:bCs/>
          <w:color w:val="auto"/>
          <w:szCs w:val="21"/>
          <w:highlight w:val="none"/>
          <w:lang w:eastAsia="zh-CN"/>
        </w:rPr>
        <w:t>磋商</w:t>
      </w:r>
      <w:r>
        <w:rPr>
          <w:rFonts w:hint="eastAsia" w:ascii="宋体"/>
          <w:color w:val="auto"/>
          <w:szCs w:val="21"/>
          <w:highlight w:val="none"/>
        </w:rPr>
        <w:t>公告</w:t>
      </w:r>
    </w:p>
    <w:p w14:paraId="45384C4B">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第二章  投标须知</w:t>
      </w:r>
    </w:p>
    <w:p w14:paraId="2407674D">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第三章  评标办法</w:t>
      </w:r>
    </w:p>
    <w:p w14:paraId="60CBB013">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第四章  采购内容及技术要求</w:t>
      </w:r>
    </w:p>
    <w:p w14:paraId="1902B4E7">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第五章  合同条款及格式</w:t>
      </w:r>
    </w:p>
    <w:p w14:paraId="3648A89B">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第六章  投标文件格式文本</w:t>
      </w:r>
    </w:p>
    <w:p w14:paraId="207DC93E">
      <w:pPr>
        <w:shd w:val="clear" w:color="auto" w:fill="auto"/>
        <w:spacing w:line="440" w:lineRule="exact"/>
        <w:ind w:firstLine="1470" w:firstLineChars="700"/>
        <w:rPr>
          <w:rFonts w:hint="eastAsia" w:ascii="宋体"/>
          <w:color w:val="auto"/>
          <w:szCs w:val="21"/>
          <w:highlight w:val="none"/>
        </w:rPr>
      </w:pPr>
      <w:r>
        <w:rPr>
          <w:rFonts w:hint="eastAsia" w:ascii="宋体"/>
          <w:color w:val="auto"/>
          <w:szCs w:val="21"/>
          <w:highlight w:val="none"/>
        </w:rPr>
        <w:t>第七章  招标单位、招标代理机构对本文件的确认</w:t>
      </w:r>
    </w:p>
    <w:p w14:paraId="2B8073BD">
      <w:pPr>
        <w:shd w:val="clear" w:color="auto" w:fill="auto"/>
        <w:spacing w:line="440" w:lineRule="exact"/>
        <w:rPr>
          <w:rFonts w:hint="eastAsia" w:ascii="宋体"/>
          <w:color w:val="auto"/>
          <w:szCs w:val="21"/>
          <w:highlight w:val="none"/>
        </w:rPr>
      </w:pPr>
      <w:r>
        <w:rPr>
          <w:rFonts w:hint="eastAsia" w:ascii="宋体"/>
          <w:color w:val="auto"/>
          <w:szCs w:val="21"/>
          <w:highlight w:val="none"/>
        </w:rPr>
        <w:t xml:space="preserve">   16.2 除16.1内容外，招标答疑亦为</w:t>
      </w:r>
      <w:r>
        <w:rPr>
          <w:rFonts w:hint="eastAsia" w:ascii="宋体"/>
          <w:color w:val="auto"/>
          <w:szCs w:val="21"/>
          <w:highlight w:val="none"/>
          <w:lang w:eastAsia="zh-CN"/>
        </w:rPr>
        <w:t>采购文件</w:t>
      </w:r>
      <w:r>
        <w:rPr>
          <w:rFonts w:hint="eastAsia" w:ascii="宋体"/>
          <w:color w:val="auto"/>
          <w:szCs w:val="21"/>
          <w:highlight w:val="none"/>
        </w:rPr>
        <w:t>的组成部分，对招标人和投标人起约束作用。</w:t>
      </w:r>
    </w:p>
    <w:p w14:paraId="6AC0B32D">
      <w:pPr>
        <w:pStyle w:val="12"/>
        <w:shd w:val="clear" w:color="auto" w:fill="auto"/>
        <w:wordWrap w:val="0"/>
        <w:spacing w:line="400" w:lineRule="exact"/>
        <w:rPr>
          <w:rFonts w:hint="eastAsia"/>
          <w:color w:val="auto"/>
          <w:szCs w:val="21"/>
          <w:highlight w:val="none"/>
          <w:lang w:val="en-US"/>
        </w:rPr>
      </w:pPr>
      <w:r>
        <w:rPr>
          <w:rFonts w:hint="eastAsia"/>
          <w:color w:val="auto"/>
          <w:szCs w:val="21"/>
          <w:highlight w:val="none"/>
        </w:rPr>
        <w:t xml:space="preserve">   16.3</w:t>
      </w:r>
      <w:r>
        <w:rPr>
          <w:rFonts w:hint="eastAsia"/>
          <w:color w:val="auto"/>
          <w:szCs w:val="21"/>
          <w:highlight w:val="none"/>
          <w:u w:val="none" w:color="auto"/>
        </w:rPr>
        <w:t>投标人应仔细阅读和检查</w:t>
      </w:r>
      <w:r>
        <w:rPr>
          <w:rFonts w:hint="eastAsia"/>
          <w:color w:val="auto"/>
          <w:szCs w:val="21"/>
          <w:highlight w:val="none"/>
          <w:u w:val="none" w:color="auto"/>
          <w:lang w:eastAsia="zh-CN"/>
        </w:rPr>
        <w:t>采购文件</w:t>
      </w:r>
      <w:r>
        <w:rPr>
          <w:rFonts w:hint="eastAsia"/>
          <w:color w:val="auto"/>
          <w:szCs w:val="21"/>
          <w:highlight w:val="none"/>
          <w:u w:val="none" w:color="auto"/>
        </w:rPr>
        <w:t>的全部内容。如发现缺页或附件不全，应及时向招标人提出，以便补齐。如有疑问，投标人应在</w:t>
      </w:r>
      <w:r>
        <w:rPr>
          <w:rFonts w:hint="eastAsia" w:ascii="宋体"/>
          <w:color w:val="auto"/>
          <w:szCs w:val="21"/>
          <w:highlight w:val="none"/>
        </w:rPr>
        <w:t>以书面形式一次性向采购人和采购代理机构提出同一环节的质疑</w:t>
      </w:r>
      <w:r>
        <w:rPr>
          <w:rFonts w:hint="eastAsia"/>
          <w:color w:val="auto"/>
          <w:szCs w:val="21"/>
          <w:highlight w:val="none"/>
          <w:u w:val="none" w:color="auto"/>
        </w:rPr>
        <w:t>。</w:t>
      </w:r>
    </w:p>
    <w:p w14:paraId="18EDC85D">
      <w:pPr>
        <w:shd w:val="clear" w:color="auto" w:fill="auto"/>
        <w:wordWrap w:val="0"/>
        <w:spacing w:line="440" w:lineRule="exact"/>
        <w:rPr>
          <w:rFonts w:hint="eastAsia" w:ascii="宋体"/>
          <w:color w:val="auto"/>
          <w:szCs w:val="21"/>
          <w:highlight w:val="none"/>
        </w:rPr>
      </w:pPr>
      <w:r>
        <w:rPr>
          <w:rFonts w:hint="eastAsia" w:ascii="宋体"/>
          <w:color w:val="auto"/>
          <w:szCs w:val="21"/>
          <w:highlight w:val="none"/>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color w:val="auto"/>
          <w:szCs w:val="21"/>
          <w:highlight w:val="none"/>
          <w:lang w:val="en-US" w:eastAsia="zh-CN"/>
        </w:rPr>
        <w:t>新疆</w:t>
      </w:r>
      <w:r>
        <w:rPr>
          <w:rFonts w:hint="eastAsia" w:ascii="宋体"/>
          <w:color w:val="auto"/>
          <w:szCs w:val="21"/>
          <w:highlight w:val="none"/>
        </w:rPr>
        <w:t>政府采购网下载专区下载。</w:t>
      </w:r>
      <w:r>
        <w:rPr>
          <w:rFonts w:hint="eastAsia" w:ascii="宋体"/>
          <w:color w:val="auto"/>
          <w:szCs w:val="21"/>
          <w:highlight w:val="none"/>
          <w:lang w:eastAsia="zh-CN"/>
        </w:rPr>
        <w:t>采购文件</w:t>
      </w:r>
      <w:r>
        <w:rPr>
          <w:rFonts w:hint="eastAsia" w:ascii="宋体"/>
          <w:color w:val="auto"/>
          <w:szCs w:val="21"/>
          <w:highlight w:val="none"/>
        </w:rPr>
        <w:t>的澄清将在</w:t>
      </w:r>
      <w:r>
        <w:rPr>
          <w:rFonts w:hint="eastAsia" w:ascii="宋体"/>
          <w:color w:val="auto"/>
          <w:szCs w:val="21"/>
          <w:highlight w:val="none"/>
          <w:lang w:eastAsia="zh-CN"/>
        </w:rPr>
        <w:t>政采云平台“更正公告”栏目予以公告</w:t>
      </w:r>
      <w:r>
        <w:rPr>
          <w:rFonts w:hint="eastAsia" w:ascii="宋体"/>
          <w:color w:val="auto"/>
          <w:szCs w:val="21"/>
          <w:highlight w:val="none"/>
        </w:rPr>
        <w:t>，但不指明澄清问题的来源。如果澄清内容影响投标文件编制的，将相应延长投标截止时间。</w:t>
      </w:r>
    </w:p>
    <w:p w14:paraId="7708E8C2">
      <w:pPr>
        <w:shd w:val="clear" w:color="auto" w:fill="auto"/>
        <w:spacing w:line="440" w:lineRule="exact"/>
        <w:ind w:firstLine="420" w:firstLineChars="200"/>
        <w:rPr>
          <w:rFonts w:hint="eastAsia" w:ascii="宋体"/>
          <w:b/>
          <w:bCs/>
          <w:color w:val="auto"/>
          <w:szCs w:val="21"/>
          <w:highlight w:val="none"/>
        </w:rPr>
      </w:pPr>
      <w:r>
        <w:rPr>
          <w:rFonts w:hint="eastAsia" w:ascii="宋体"/>
          <w:b/>
          <w:bCs/>
          <w:color w:val="auto"/>
          <w:szCs w:val="21"/>
          <w:highlight w:val="none"/>
        </w:rPr>
        <w:t xml:space="preserve">17. </w:t>
      </w:r>
      <w:r>
        <w:rPr>
          <w:rFonts w:hint="eastAsia" w:ascii="宋体"/>
          <w:b/>
          <w:bCs/>
          <w:color w:val="auto"/>
          <w:szCs w:val="21"/>
          <w:highlight w:val="none"/>
          <w:lang w:eastAsia="zh-CN"/>
        </w:rPr>
        <w:t>磋商文件</w:t>
      </w:r>
      <w:r>
        <w:rPr>
          <w:rFonts w:hint="eastAsia" w:ascii="宋体"/>
          <w:b/>
          <w:bCs/>
          <w:color w:val="auto"/>
          <w:szCs w:val="21"/>
          <w:highlight w:val="none"/>
        </w:rPr>
        <w:t>的修改、补充、解释</w:t>
      </w:r>
    </w:p>
    <w:p w14:paraId="45F09A26">
      <w:pPr>
        <w:shd w:val="clear" w:color="auto" w:fill="auto"/>
        <w:wordWrap w:val="0"/>
        <w:spacing w:line="400" w:lineRule="exact"/>
        <w:ind w:firstLine="315" w:firstLineChars="150"/>
        <w:rPr>
          <w:rFonts w:hint="eastAsia" w:ascii="宋体" w:hAnsi="宋体"/>
          <w:color w:val="auto"/>
          <w:szCs w:val="21"/>
          <w:highlight w:val="none"/>
        </w:rPr>
      </w:pPr>
      <w:r>
        <w:rPr>
          <w:rFonts w:hint="eastAsia" w:ascii="宋体" w:hAnsi="宋体"/>
          <w:color w:val="auto"/>
          <w:szCs w:val="21"/>
          <w:highlight w:val="none"/>
        </w:rPr>
        <w:t>17.1</w:t>
      </w:r>
      <w:r>
        <w:rPr>
          <w:rFonts w:hint="eastAsia" w:ascii="宋体" w:hAnsi="宋体"/>
          <w:color w:val="auto"/>
          <w:szCs w:val="21"/>
          <w:highlight w:val="none"/>
          <w:lang w:eastAsia="zh-CN"/>
        </w:rPr>
        <w:t>磋商文件</w:t>
      </w:r>
      <w:r>
        <w:rPr>
          <w:rFonts w:hint="eastAsia" w:ascii="宋体" w:hAnsi="宋体"/>
          <w:color w:val="auto"/>
          <w:szCs w:val="21"/>
          <w:highlight w:val="none"/>
        </w:rPr>
        <w:t>发出后，招标人在规定的投标截止时间前可对</w:t>
      </w:r>
      <w:r>
        <w:rPr>
          <w:rFonts w:hint="eastAsia" w:ascii="宋体" w:hAnsi="宋体"/>
          <w:color w:val="auto"/>
          <w:szCs w:val="21"/>
          <w:highlight w:val="none"/>
          <w:lang w:eastAsia="zh-CN"/>
        </w:rPr>
        <w:t>采购文件</w:t>
      </w:r>
      <w:r>
        <w:rPr>
          <w:rFonts w:hint="eastAsia" w:ascii="宋体" w:hAnsi="宋体"/>
          <w:color w:val="auto"/>
          <w:szCs w:val="21"/>
          <w:highlight w:val="none"/>
        </w:rPr>
        <w:t>进行必要的修改和补充，并以</w:t>
      </w:r>
      <w:r>
        <w:rPr>
          <w:rFonts w:hint="eastAsia" w:ascii="宋体" w:hAnsi="宋体"/>
          <w:color w:val="auto"/>
          <w:szCs w:val="21"/>
          <w:highlight w:val="none"/>
          <w:lang w:eastAsia="zh-CN"/>
        </w:rPr>
        <w:t>更正</w:t>
      </w:r>
      <w:r>
        <w:rPr>
          <w:rFonts w:hint="eastAsia" w:ascii="宋体" w:hAnsi="宋体"/>
          <w:color w:val="auto"/>
          <w:szCs w:val="21"/>
          <w:highlight w:val="none"/>
        </w:rPr>
        <w:t>公告形式在</w:t>
      </w:r>
      <w:r>
        <w:rPr>
          <w:rFonts w:hint="eastAsia" w:ascii="宋体" w:hAnsi="宋体"/>
          <w:color w:val="auto"/>
          <w:szCs w:val="21"/>
          <w:highlight w:val="none"/>
          <w:lang w:eastAsia="zh-CN"/>
        </w:rPr>
        <w:t>政采云平台</w:t>
      </w:r>
      <w:r>
        <w:rPr>
          <w:rFonts w:hint="eastAsia" w:ascii="宋体" w:hAnsi="宋体"/>
          <w:color w:val="auto"/>
          <w:szCs w:val="21"/>
          <w:highlight w:val="none"/>
        </w:rPr>
        <w:t xml:space="preserve"> “</w:t>
      </w:r>
      <w:r>
        <w:rPr>
          <w:rFonts w:hint="eastAsia" w:ascii="宋体" w:hAnsi="宋体"/>
          <w:color w:val="auto"/>
          <w:szCs w:val="21"/>
          <w:highlight w:val="none"/>
          <w:lang w:eastAsia="zh-CN"/>
        </w:rPr>
        <w:t>更正公告</w:t>
      </w:r>
      <w:r>
        <w:rPr>
          <w:rFonts w:hint="eastAsia" w:ascii="宋体" w:hAnsi="宋体"/>
          <w:color w:val="auto"/>
          <w:szCs w:val="21"/>
          <w:highlight w:val="none"/>
        </w:rPr>
        <w:t>”栏目予以公告，请各位投标人注意查看有关澄清内容，如不及时查看造成后果由投标人自负。</w:t>
      </w:r>
      <w:r>
        <w:rPr>
          <w:rFonts w:hint="eastAsia" w:ascii="宋体" w:hAnsi="宋体"/>
          <w:color w:val="auto"/>
          <w:szCs w:val="21"/>
          <w:highlight w:val="none"/>
          <w:lang w:eastAsia="zh-CN"/>
        </w:rPr>
        <w:t>采购文件</w:t>
      </w:r>
      <w:r>
        <w:rPr>
          <w:rFonts w:hint="eastAsia" w:ascii="宋体" w:hAnsi="宋体"/>
          <w:color w:val="auto"/>
          <w:szCs w:val="21"/>
          <w:highlight w:val="none"/>
        </w:rPr>
        <w:t>的修改、补充等内容作为</w:t>
      </w:r>
      <w:r>
        <w:rPr>
          <w:rFonts w:hint="eastAsia" w:ascii="宋体" w:hAnsi="宋体"/>
          <w:color w:val="auto"/>
          <w:szCs w:val="21"/>
          <w:highlight w:val="none"/>
          <w:lang w:eastAsia="zh-CN"/>
        </w:rPr>
        <w:t>采购文件</w:t>
      </w:r>
      <w:r>
        <w:rPr>
          <w:rFonts w:hint="eastAsia" w:ascii="宋体" w:hAnsi="宋体"/>
          <w:color w:val="auto"/>
          <w:szCs w:val="21"/>
          <w:highlight w:val="none"/>
        </w:rPr>
        <w:t>的组成部分，具有约束作用。</w:t>
      </w:r>
    </w:p>
    <w:p w14:paraId="45C62A85">
      <w:pPr>
        <w:shd w:val="clear" w:color="auto" w:fill="auto"/>
        <w:wordWrap w:val="0"/>
        <w:spacing w:line="400" w:lineRule="exact"/>
        <w:ind w:firstLine="315" w:firstLineChars="150"/>
        <w:rPr>
          <w:rFonts w:ascii="宋体" w:hAnsi="宋体"/>
          <w:color w:val="auto"/>
          <w:szCs w:val="21"/>
          <w:highlight w:val="none"/>
        </w:rPr>
      </w:pPr>
      <w:r>
        <w:rPr>
          <w:rFonts w:hint="eastAsia" w:ascii="宋体" w:hAnsi="宋体"/>
          <w:color w:val="auto"/>
          <w:szCs w:val="21"/>
          <w:highlight w:val="none"/>
        </w:rPr>
        <w:t>17.2 采购代理机构可视采购具体情况对已发出的采购文件进行必要的澄清、修改或者补充。澄清、修改或者补充的内容可能影响投标文件编制的，应当在投标截止时间至少</w:t>
      </w:r>
      <w:r>
        <w:rPr>
          <w:rFonts w:hint="eastAsia" w:ascii="宋体" w:hAnsi="宋体"/>
          <w:color w:val="auto"/>
          <w:szCs w:val="21"/>
          <w:highlight w:val="none"/>
          <w:lang w:val="en-US" w:eastAsia="zh-CN"/>
        </w:rPr>
        <w:t>5</w:t>
      </w:r>
      <w:r>
        <w:rPr>
          <w:rFonts w:hint="eastAsia" w:ascii="宋体" w:hAnsi="宋体"/>
          <w:color w:val="auto"/>
          <w:szCs w:val="21"/>
          <w:highlight w:val="none"/>
        </w:rPr>
        <w:t>日前，在原公告发布媒体上发布澄清公告，澄清或者修改的内容为采购文件的组成部分；不足</w:t>
      </w:r>
      <w:r>
        <w:rPr>
          <w:rFonts w:hint="eastAsia" w:ascii="宋体" w:hAnsi="宋体"/>
          <w:color w:val="auto"/>
          <w:szCs w:val="21"/>
          <w:highlight w:val="none"/>
          <w:lang w:val="en-US" w:eastAsia="zh-CN"/>
        </w:rPr>
        <w:t>5</w:t>
      </w:r>
      <w:r>
        <w:rPr>
          <w:rFonts w:hint="eastAsia" w:ascii="宋体" w:hAnsi="宋体"/>
          <w:color w:val="auto"/>
          <w:szCs w:val="21"/>
          <w:highlight w:val="none"/>
        </w:rPr>
        <w:t>日的，应当顺延提交投标文件的截止时间。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bCs/>
          <w:color w:val="auto"/>
          <w:szCs w:val="21"/>
          <w:highlight w:val="none"/>
        </w:rPr>
        <w:t>17.</w:t>
      </w:r>
      <w:r>
        <w:rPr>
          <w:rFonts w:hint="eastAsia" w:ascii="宋体" w:hAnsi="宋体"/>
          <w:bCs/>
          <w:color w:val="auto"/>
          <w:szCs w:val="21"/>
          <w:highlight w:val="none"/>
          <w:lang w:val="en-US" w:eastAsia="zh-CN"/>
        </w:rPr>
        <w:t>3</w:t>
      </w:r>
      <w:r>
        <w:rPr>
          <w:rFonts w:hint="eastAsia" w:ascii="宋体" w:hAnsi="宋体"/>
          <w:bCs/>
          <w:color w:val="auto"/>
          <w:szCs w:val="21"/>
          <w:highlight w:val="none"/>
        </w:rPr>
        <w:t xml:space="preserve"> </w:t>
      </w:r>
      <w:r>
        <w:rPr>
          <w:rFonts w:hint="eastAsia" w:ascii="宋体" w:hAnsi="宋体"/>
          <w:color w:val="auto"/>
          <w:szCs w:val="21"/>
          <w:highlight w:val="none"/>
        </w:rPr>
        <w:t>供应商在规定的时间内未对采购文件提出疑问、质疑或要求澄清的，将视其为无异议。</w:t>
      </w:r>
    </w:p>
    <w:p w14:paraId="75B42F01">
      <w:pPr>
        <w:shd w:val="clear" w:color="auto" w:fill="auto"/>
        <w:spacing w:line="400" w:lineRule="exact"/>
        <w:ind w:firstLine="420" w:firstLineChars="200"/>
        <w:rPr>
          <w:rFonts w:hint="eastAsia" w:ascii="宋体" w:hAnsi="宋体" w:eastAsia="宋体"/>
          <w:bCs/>
          <w:color w:val="auto"/>
          <w:szCs w:val="21"/>
          <w:highlight w:val="none"/>
          <w:lang w:val="en-US" w:eastAsia="zh-CN"/>
        </w:rPr>
      </w:pPr>
      <w:r>
        <w:rPr>
          <w:rFonts w:hint="eastAsia" w:ascii="宋体" w:hAnsi="宋体"/>
          <w:bCs/>
          <w:color w:val="auto"/>
          <w:szCs w:val="21"/>
          <w:highlight w:val="none"/>
        </w:rPr>
        <w:t>17.</w:t>
      </w:r>
      <w:r>
        <w:rPr>
          <w:rFonts w:hint="eastAsia" w:ascii="宋体" w:hAnsi="宋体"/>
          <w:bCs/>
          <w:color w:val="auto"/>
          <w:szCs w:val="21"/>
          <w:highlight w:val="none"/>
          <w:lang w:val="en-US" w:eastAsia="zh-CN"/>
        </w:rPr>
        <w:t>4</w:t>
      </w:r>
      <w:r>
        <w:rPr>
          <w:rFonts w:hint="eastAsia" w:ascii="宋体" w:hAnsi="宋体"/>
          <w:bCs/>
          <w:color w:val="auto"/>
          <w:szCs w:val="21"/>
          <w:highlight w:val="none"/>
        </w:rPr>
        <w:t xml:space="preserve"> </w:t>
      </w:r>
      <w:r>
        <w:rPr>
          <w:rFonts w:hint="eastAsia" w:ascii="宋体" w:hAnsi="宋体"/>
          <w:bCs/>
          <w:color w:val="auto"/>
          <w:szCs w:val="21"/>
          <w:highlight w:val="none"/>
          <w:lang w:eastAsia="zh-CN"/>
        </w:rPr>
        <w:t>磋商文件</w:t>
      </w:r>
      <w:r>
        <w:rPr>
          <w:rFonts w:hint="eastAsia" w:ascii="宋体" w:hAnsi="宋体"/>
          <w:bCs/>
          <w:color w:val="auto"/>
          <w:szCs w:val="21"/>
          <w:highlight w:val="none"/>
        </w:rPr>
        <w:t>的解释</w:t>
      </w:r>
      <w:r>
        <w:rPr>
          <w:rFonts w:hint="eastAsia" w:ascii="宋体" w:hAnsi="宋体"/>
          <w:bCs/>
          <w:color w:val="auto"/>
          <w:szCs w:val="21"/>
          <w:highlight w:val="none"/>
          <w:lang w:val="en-US" w:eastAsia="zh-CN"/>
        </w:rPr>
        <w:t xml:space="preserve"> </w:t>
      </w:r>
    </w:p>
    <w:p w14:paraId="716DB8F7">
      <w:pPr>
        <w:shd w:val="clear" w:color="auto" w:fill="auto"/>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w:t>
      </w:r>
      <w:r>
        <w:rPr>
          <w:rFonts w:hint="eastAsia" w:ascii="宋体" w:hAnsi="宋体"/>
          <w:color w:val="auto"/>
          <w:szCs w:val="21"/>
          <w:highlight w:val="none"/>
          <w:lang w:eastAsia="zh-CN"/>
        </w:rPr>
        <w:t>磋商文件</w:t>
      </w:r>
      <w:r>
        <w:rPr>
          <w:rFonts w:hint="eastAsia" w:ascii="宋体" w:hAnsi="宋体"/>
          <w:color w:val="auto"/>
          <w:szCs w:val="21"/>
          <w:highlight w:val="none"/>
        </w:rPr>
        <w:t>由招标人（或其委托的招标代理机构）负责解释。</w:t>
      </w:r>
    </w:p>
    <w:p w14:paraId="2545A6B3">
      <w:pPr>
        <w:shd w:val="clear" w:color="auto" w:fill="auto"/>
        <w:spacing w:line="400" w:lineRule="exact"/>
        <w:rPr>
          <w:rFonts w:ascii="宋体" w:hAnsi="宋体"/>
          <w:b/>
          <w:color w:val="auto"/>
          <w:szCs w:val="21"/>
          <w:highlight w:val="none"/>
        </w:rPr>
      </w:pPr>
      <w:r>
        <w:rPr>
          <w:rFonts w:hint="eastAsia" w:ascii="宋体" w:hAnsi="宋体" w:cs="宋体"/>
          <w:b/>
          <w:color w:val="auto"/>
          <w:szCs w:val="21"/>
          <w:highlight w:val="none"/>
        </w:rPr>
        <w:t xml:space="preserve">   </w:t>
      </w:r>
      <w:r>
        <w:rPr>
          <w:rFonts w:hint="eastAsia"/>
          <w:b/>
          <w:color w:val="auto"/>
          <w:szCs w:val="21"/>
          <w:highlight w:val="none"/>
        </w:rPr>
        <w:t xml:space="preserve">18. </w:t>
      </w:r>
      <w:r>
        <w:rPr>
          <w:rFonts w:hint="eastAsia" w:ascii="宋体" w:hAnsi="宋体"/>
          <w:b/>
          <w:color w:val="auto"/>
          <w:szCs w:val="21"/>
          <w:highlight w:val="none"/>
          <w:lang w:eastAsia="zh-CN"/>
        </w:rPr>
        <w:t>磋商文件</w:t>
      </w:r>
      <w:r>
        <w:rPr>
          <w:rFonts w:hint="eastAsia" w:ascii="宋体" w:hAnsi="宋体"/>
          <w:b/>
          <w:color w:val="auto"/>
          <w:szCs w:val="21"/>
          <w:highlight w:val="none"/>
        </w:rPr>
        <w:t>的发出</w:t>
      </w:r>
    </w:p>
    <w:p w14:paraId="37FEC16E">
      <w:pPr>
        <w:shd w:val="clear" w:color="auto" w:fill="auto"/>
        <w:spacing w:line="400" w:lineRule="exact"/>
        <w:ind w:firstLine="315" w:firstLineChars="150"/>
        <w:rPr>
          <w:rFonts w:ascii="宋体" w:hAnsi="宋体"/>
          <w:color w:val="auto"/>
          <w:szCs w:val="21"/>
          <w:highlight w:val="green"/>
        </w:rPr>
      </w:pPr>
      <w:r>
        <w:rPr>
          <w:rFonts w:hint="eastAsia" w:ascii="宋体" w:hAnsi="宋体"/>
          <w:color w:val="auto"/>
          <w:szCs w:val="21"/>
          <w:highlight w:val="none"/>
        </w:rPr>
        <w:t xml:space="preserve">18.1  </w:t>
      </w:r>
      <w:r>
        <w:rPr>
          <w:rFonts w:hint="eastAsia" w:ascii="宋体" w:hAnsi="宋体"/>
          <w:color w:val="auto"/>
          <w:szCs w:val="21"/>
          <w:highlight w:val="none"/>
          <w:lang w:eastAsia="zh-CN"/>
        </w:rPr>
        <w:t>磋商文件</w:t>
      </w:r>
      <w:r>
        <w:rPr>
          <w:rFonts w:hint="eastAsia" w:ascii="宋体" w:hAnsi="宋体"/>
          <w:color w:val="auto"/>
          <w:szCs w:val="21"/>
          <w:highlight w:val="none"/>
        </w:rPr>
        <w:t>、</w:t>
      </w:r>
      <w:r>
        <w:rPr>
          <w:rFonts w:hint="eastAsia" w:ascii="宋体" w:hAnsi="宋体"/>
          <w:color w:val="auto"/>
          <w:szCs w:val="21"/>
          <w:highlight w:val="none"/>
          <w:lang w:eastAsia="zh-CN"/>
        </w:rPr>
        <w:t>磋商文件</w:t>
      </w:r>
      <w:r>
        <w:rPr>
          <w:rFonts w:hint="eastAsia" w:ascii="宋体" w:hAnsi="宋体"/>
          <w:color w:val="auto"/>
          <w:szCs w:val="21"/>
          <w:highlight w:val="none"/>
        </w:rPr>
        <w:t>的澄清、修改、补充及招标答疑等均应报</w:t>
      </w:r>
      <w:r>
        <w:rPr>
          <w:rFonts w:hint="eastAsia" w:ascii="宋体" w:hAnsi="宋体"/>
          <w:color w:val="auto"/>
          <w:szCs w:val="21"/>
          <w:highlight w:val="none"/>
          <w:lang w:eastAsia="zh-CN"/>
        </w:rPr>
        <w:t>相关部门</w:t>
      </w:r>
      <w:r>
        <w:rPr>
          <w:rFonts w:hint="eastAsia" w:ascii="宋体" w:hAnsi="宋体"/>
          <w:color w:val="auto"/>
          <w:szCs w:val="21"/>
          <w:highlight w:val="none"/>
        </w:rPr>
        <w:t>备案后，方可发出。</w:t>
      </w:r>
    </w:p>
    <w:p w14:paraId="37C9881C">
      <w:pPr>
        <w:shd w:val="clear" w:color="auto" w:fill="auto"/>
        <w:spacing w:line="440" w:lineRule="exact"/>
        <w:ind w:firstLine="279" w:firstLineChars="133"/>
        <w:rPr>
          <w:rFonts w:hint="eastAsia" w:ascii="宋体"/>
          <w:color w:val="auto"/>
          <w:szCs w:val="21"/>
          <w:highlight w:val="none"/>
        </w:rPr>
      </w:pPr>
      <w:bookmarkStart w:id="56" w:name="_Toc469495726"/>
      <w:r>
        <w:rPr>
          <w:rFonts w:hint="eastAsia"/>
          <w:b/>
          <w:color w:val="auto"/>
          <w:szCs w:val="21"/>
          <w:highlight w:val="none"/>
        </w:rPr>
        <w:t xml:space="preserve">19. </w:t>
      </w:r>
      <w:r>
        <w:rPr>
          <w:rFonts w:hint="eastAsia" w:ascii="宋体"/>
          <w:color w:val="auto"/>
          <w:szCs w:val="21"/>
          <w:highlight w:val="none"/>
        </w:rPr>
        <w:t>凡需要设置样品情形时，必须明确是否需要随样品提交检测报告，并明确检测机构的要求、检测内容、</w:t>
      </w:r>
      <w:r>
        <w:rPr>
          <w:rFonts w:hint="eastAsia" w:ascii="宋体"/>
          <w:b w:val="0"/>
          <w:bCs w:val="0"/>
          <w:color w:val="auto"/>
          <w:szCs w:val="21"/>
          <w:highlight w:val="none"/>
          <w:lang w:eastAsia="zh-CN"/>
        </w:rPr>
        <w:t>成交</w:t>
      </w:r>
      <w:r>
        <w:rPr>
          <w:rFonts w:hint="eastAsia" w:ascii="宋体"/>
          <w:b w:val="0"/>
          <w:bCs w:val="0"/>
          <w:color w:val="auto"/>
          <w:szCs w:val="21"/>
          <w:highlight w:val="none"/>
        </w:rPr>
        <w:t>样品封存</w:t>
      </w:r>
      <w:r>
        <w:rPr>
          <w:rFonts w:hint="eastAsia" w:ascii="宋体"/>
          <w:color w:val="auto"/>
          <w:szCs w:val="21"/>
          <w:highlight w:val="none"/>
        </w:rPr>
        <w:t>等事项。（评标委员会无法判断样品是否合格且样品需要提供给第三方权威检测机构检测的,在投标人提供招标人认可的第三方权威检测机构检测报告后，评标委员会推荐的</w:t>
      </w:r>
      <w:r>
        <w:rPr>
          <w:rFonts w:hint="eastAsia" w:ascii="宋体"/>
          <w:color w:val="auto"/>
          <w:szCs w:val="21"/>
          <w:highlight w:val="none"/>
          <w:lang w:eastAsia="zh-CN"/>
        </w:rPr>
        <w:t>成交</w:t>
      </w:r>
      <w:r>
        <w:rPr>
          <w:rFonts w:hint="eastAsia" w:ascii="宋体"/>
          <w:color w:val="auto"/>
          <w:szCs w:val="21"/>
          <w:highlight w:val="none"/>
        </w:rPr>
        <w:t>候选人方可生效，采购人或代理机构发布中标（成交）结果公告。</w:t>
      </w:r>
    </w:p>
    <w:p w14:paraId="2FBA2D42">
      <w:pPr>
        <w:shd w:val="clear" w:color="auto" w:fill="auto"/>
        <w:spacing w:line="400" w:lineRule="exact"/>
        <w:ind w:firstLine="420"/>
        <w:rPr>
          <w:rFonts w:hint="eastAsia" w:ascii="宋体"/>
          <w:color w:val="auto"/>
          <w:szCs w:val="21"/>
          <w:highlight w:val="none"/>
        </w:rPr>
      </w:pPr>
      <w:r>
        <w:rPr>
          <w:rFonts w:hint="eastAsia" w:ascii="宋体"/>
          <w:color w:val="auto"/>
          <w:szCs w:val="21"/>
          <w:highlight w:val="none"/>
          <w:lang w:eastAsia="zh-CN"/>
        </w:rPr>
        <w:t>采购文件</w:t>
      </w:r>
      <w:r>
        <w:rPr>
          <w:rFonts w:hint="eastAsia" w:ascii="宋体"/>
          <w:color w:val="auto"/>
          <w:szCs w:val="21"/>
          <w:highlight w:val="none"/>
        </w:rPr>
        <w:t>中应明确样品送检方式、检测费用支付方法、投标人在规定时间内无法提供第三方权威检测机构检测报告的处理方式。（</w:t>
      </w:r>
      <w:r>
        <w:rPr>
          <w:rFonts w:hint="eastAsia" w:ascii="宋体"/>
          <w:color w:val="auto"/>
          <w:szCs w:val="21"/>
          <w:highlight w:val="none"/>
          <w:lang w:eastAsia="zh-CN"/>
        </w:rPr>
        <w:t>采购人</w:t>
      </w:r>
      <w:r>
        <w:rPr>
          <w:rFonts w:hint="eastAsia" w:ascii="宋体"/>
          <w:color w:val="auto"/>
          <w:szCs w:val="21"/>
          <w:highlight w:val="none"/>
        </w:rPr>
        <w:t>根据项目需求按上述要求自行描述）</w:t>
      </w:r>
    </w:p>
    <w:p w14:paraId="34488BC7">
      <w:pPr>
        <w:shd w:val="clear" w:color="auto" w:fill="auto"/>
        <w:spacing w:before="312" w:beforeLines="100" w:after="312" w:afterLines="100" w:line="440" w:lineRule="exact"/>
        <w:jc w:val="center"/>
        <w:outlineLvl w:val="2"/>
        <w:rPr>
          <w:rFonts w:hint="eastAsia" w:ascii="宋体"/>
          <w:b/>
          <w:color w:val="auto"/>
          <w:sz w:val="28"/>
          <w:szCs w:val="28"/>
          <w:highlight w:val="none"/>
        </w:rPr>
      </w:pPr>
      <w:bookmarkStart w:id="57" w:name="_Toc31024"/>
      <w:bookmarkStart w:id="58" w:name="_Toc2409"/>
      <w:bookmarkStart w:id="59" w:name="_Toc8857"/>
      <w:r>
        <w:rPr>
          <w:rFonts w:hint="eastAsia" w:ascii="宋体"/>
          <w:b/>
          <w:color w:val="auto"/>
          <w:sz w:val="28"/>
          <w:szCs w:val="28"/>
          <w:highlight w:val="none"/>
        </w:rPr>
        <w:t>（三）响应文件的编制</w:t>
      </w:r>
      <w:bookmarkEnd w:id="56"/>
      <w:bookmarkEnd w:id="57"/>
      <w:bookmarkEnd w:id="58"/>
      <w:bookmarkEnd w:id="59"/>
    </w:p>
    <w:p w14:paraId="57EA68DF">
      <w:pPr>
        <w:shd w:val="clear" w:color="auto" w:fill="auto"/>
        <w:spacing w:line="440" w:lineRule="exact"/>
        <w:ind w:firstLine="304" w:firstLineChars="145"/>
        <w:rPr>
          <w:rFonts w:hint="eastAsia" w:ascii="宋体" w:cs="宋体"/>
          <w:b/>
          <w:color w:val="auto"/>
          <w:szCs w:val="21"/>
          <w:highlight w:val="none"/>
        </w:rPr>
      </w:pPr>
      <w:r>
        <w:rPr>
          <w:rFonts w:hint="eastAsia"/>
          <w:b/>
          <w:color w:val="auto"/>
          <w:szCs w:val="21"/>
          <w:highlight w:val="none"/>
        </w:rPr>
        <w:t xml:space="preserve">20. </w:t>
      </w:r>
      <w:r>
        <w:rPr>
          <w:rFonts w:hint="eastAsia" w:ascii="宋体" w:cs="宋体"/>
          <w:b/>
          <w:color w:val="auto"/>
          <w:szCs w:val="21"/>
          <w:highlight w:val="none"/>
        </w:rPr>
        <w:t>投标的语言及度量衡单位</w:t>
      </w:r>
    </w:p>
    <w:p w14:paraId="66995ED6">
      <w:pPr>
        <w:shd w:val="clear" w:color="auto" w:fill="auto"/>
        <w:spacing w:line="440" w:lineRule="exact"/>
        <w:ind w:firstLine="283" w:firstLineChars="135"/>
        <w:rPr>
          <w:rFonts w:hint="eastAsia" w:ascii="宋体"/>
          <w:color w:val="auto"/>
          <w:szCs w:val="21"/>
          <w:highlight w:val="none"/>
        </w:rPr>
      </w:pPr>
      <w:r>
        <w:rPr>
          <w:rFonts w:hint="eastAsia" w:ascii="宋体"/>
          <w:color w:val="auto"/>
          <w:szCs w:val="21"/>
          <w:highlight w:val="none"/>
        </w:rPr>
        <w:t>20.1</w:t>
      </w:r>
      <w:r>
        <w:rPr>
          <w:rFonts w:ascii="宋体" w:hAnsi="宋体"/>
          <w:color w:val="auto"/>
          <w:szCs w:val="21"/>
          <w:highlight w:val="none"/>
        </w:rPr>
        <w:t>投标人</w:t>
      </w:r>
      <w:r>
        <w:rPr>
          <w:rFonts w:hint="eastAsia" w:ascii="宋体" w:hAnsi="宋体"/>
          <w:color w:val="auto"/>
          <w:szCs w:val="21"/>
          <w:highlight w:val="none"/>
        </w:rPr>
        <w:t>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3EEB286F">
      <w:pPr>
        <w:shd w:val="clear" w:color="auto" w:fill="auto"/>
        <w:spacing w:line="440" w:lineRule="exact"/>
        <w:ind w:firstLine="283" w:firstLineChars="135"/>
        <w:rPr>
          <w:rFonts w:hint="eastAsia" w:ascii="宋体"/>
          <w:color w:val="auto"/>
          <w:szCs w:val="21"/>
          <w:highlight w:val="none"/>
        </w:rPr>
      </w:pPr>
      <w:r>
        <w:rPr>
          <w:rFonts w:hint="eastAsia" w:ascii="宋体"/>
          <w:color w:val="auto"/>
          <w:szCs w:val="21"/>
          <w:highlight w:val="none"/>
        </w:rPr>
        <w:t xml:space="preserve"> 20.2除</w:t>
      </w:r>
      <w:r>
        <w:rPr>
          <w:rFonts w:hint="eastAsia" w:ascii="宋体"/>
          <w:color w:val="auto"/>
          <w:szCs w:val="21"/>
          <w:highlight w:val="none"/>
          <w:lang w:eastAsia="zh-CN"/>
        </w:rPr>
        <w:t>采购文件</w:t>
      </w:r>
      <w:r>
        <w:rPr>
          <w:rFonts w:hint="eastAsia" w:ascii="宋体"/>
          <w:color w:val="auto"/>
          <w:szCs w:val="21"/>
          <w:highlight w:val="none"/>
        </w:rPr>
        <w:t>中另有规定外，投标书所使用的度量衡均须采用法定计量单位。</w:t>
      </w:r>
    </w:p>
    <w:p w14:paraId="48A53D23">
      <w:pPr>
        <w:shd w:val="clear" w:color="auto" w:fill="auto"/>
        <w:spacing w:line="400" w:lineRule="exact"/>
        <w:ind w:firstLine="205" w:firstLineChars="98"/>
        <w:rPr>
          <w:rFonts w:hint="eastAsia" w:ascii="宋体" w:hAnsi="宋体"/>
          <w:b/>
          <w:color w:val="auto"/>
          <w:szCs w:val="21"/>
          <w:highlight w:val="none"/>
        </w:rPr>
      </w:pPr>
      <w:r>
        <w:rPr>
          <w:rFonts w:hint="eastAsia"/>
          <w:b/>
          <w:color w:val="auto"/>
          <w:szCs w:val="21"/>
          <w:highlight w:val="none"/>
        </w:rPr>
        <w:t>21. 响应</w:t>
      </w:r>
      <w:r>
        <w:rPr>
          <w:rFonts w:hint="eastAsia" w:ascii="宋体" w:hAnsi="宋体"/>
          <w:b/>
          <w:color w:val="auto"/>
          <w:szCs w:val="21"/>
          <w:highlight w:val="none"/>
        </w:rPr>
        <w:t>文件的组成</w:t>
      </w:r>
    </w:p>
    <w:p w14:paraId="400792F4">
      <w:pPr>
        <w:shd w:val="clear" w:color="auto" w:fill="auto"/>
        <w:spacing w:line="400" w:lineRule="exact"/>
        <w:ind w:firstLine="420" w:firstLineChars="200"/>
        <w:rPr>
          <w:rFonts w:hint="eastAsia" w:ascii="宋体"/>
          <w:color w:val="auto"/>
          <w:szCs w:val="21"/>
          <w:highlight w:val="none"/>
        </w:rPr>
      </w:pPr>
      <w:r>
        <w:rPr>
          <w:rFonts w:hint="eastAsia" w:ascii="宋体" w:hAnsi="宋体"/>
          <w:color w:val="auto"/>
          <w:szCs w:val="21"/>
          <w:highlight w:val="none"/>
        </w:rPr>
        <w:t>资格证明文件和商务及技术文件两部分。</w:t>
      </w:r>
    </w:p>
    <w:p w14:paraId="4271262F">
      <w:pPr>
        <w:shd w:val="clear" w:color="auto" w:fill="auto"/>
        <w:spacing w:line="440" w:lineRule="exact"/>
        <w:ind w:firstLine="308" w:firstLineChars="147"/>
        <w:rPr>
          <w:rFonts w:hint="eastAsia" w:ascii="宋体" w:eastAsia="宋体"/>
          <w:b/>
          <w:color w:val="auto"/>
          <w:szCs w:val="21"/>
          <w:highlight w:val="none"/>
          <w:lang w:eastAsia="zh-CN"/>
        </w:rPr>
      </w:pPr>
      <w:r>
        <w:rPr>
          <w:rFonts w:hint="eastAsia" w:ascii="宋体"/>
          <w:b/>
          <w:color w:val="auto"/>
          <w:szCs w:val="21"/>
          <w:highlight w:val="none"/>
        </w:rPr>
        <w:t>21.1资格证明文件</w:t>
      </w:r>
      <w:r>
        <w:rPr>
          <w:rFonts w:hint="eastAsia" w:ascii="宋体"/>
          <w:b/>
          <w:color w:val="auto"/>
          <w:szCs w:val="21"/>
          <w:highlight w:val="none"/>
          <w:lang w:eastAsia="zh-CN"/>
        </w:rPr>
        <w:t>（包括但不限于）</w:t>
      </w:r>
    </w:p>
    <w:p w14:paraId="62C13D08">
      <w:pPr>
        <w:shd w:val="clear" w:color="auto" w:fill="auto"/>
        <w:spacing w:line="440" w:lineRule="exact"/>
        <w:ind w:firstLine="308" w:firstLineChars="147"/>
        <w:rPr>
          <w:rFonts w:hint="eastAsia"/>
        </w:rPr>
      </w:pPr>
      <w:r>
        <w:rPr>
          <w:rFonts w:hint="eastAsia" w:hAnsi="宋体"/>
          <w:color w:val="000000"/>
          <w:szCs w:val="21"/>
          <w:highlight w:val="none"/>
        </w:rPr>
        <w:t>资格证明</w:t>
      </w:r>
      <w:r>
        <w:rPr>
          <w:rFonts w:hint="eastAsia" w:hAnsi="宋体"/>
          <w:color w:val="000000"/>
          <w:szCs w:val="21"/>
          <w:highlight w:val="none"/>
          <w:lang w:eastAsia="zh-CN"/>
        </w:rPr>
        <w:t>文件</w:t>
      </w:r>
      <w:r>
        <w:rPr>
          <w:rFonts w:hint="eastAsia" w:hAnsi="宋体"/>
          <w:color w:val="000000"/>
          <w:szCs w:val="21"/>
          <w:highlight w:val="none"/>
        </w:rPr>
        <w:t>是证明投标人有资格参加投标和</w:t>
      </w:r>
      <w:r>
        <w:rPr>
          <w:rFonts w:hint="eastAsia" w:hAnsi="宋体"/>
          <w:color w:val="000000"/>
          <w:szCs w:val="21"/>
          <w:highlight w:val="none"/>
          <w:lang w:eastAsia="zh-CN"/>
        </w:rPr>
        <w:t>成交</w:t>
      </w:r>
      <w:r>
        <w:rPr>
          <w:rFonts w:hint="eastAsia" w:hAnsi="宋体"/>
          <w:color w:val="000000"/>
          <w:szCs w:val="21"/>
          <w:highlight w:val="none"/>
        </w:rPr>
        <w:t>后有能力履行合同的文件，这些文件应能满足招标的要求，否则作无效投标处理。</w:t>
      </w:r>
    </w:p>
    <w:p w14:paraId="7CD3E0A2">
      <w:pPr>
        <w:spacing w:line="440" w:lineRule="exact"/>
        <w:ind w:firstLine="308" w:firstLineChars="147"/>
        <w:rPr>
          <w:rFonts w:hAnsi="宋体"/>
          <w:szCs w:val="21"/>
        </w:rPr>
      </w:pPr>
      <w:r>
        <w:rPr>
          <w:rFonts w:hint="eastAsia" w:hAnsi="宋体"/>
          <w:szCs w:val="21"/>
        </w:rPr>
        <w:t>资格证明文件是证明投标人有资格参加投标和中标后有能力履行合同的文件，这些文件应能满足招标的要求，否则作无效投标处理。</w:t>
      </w:r>
    </w:p>
    <w:p w14:paraId="46DE4BBC">
      <w:pPr>
        <w:spacing w:line="400" w:lineRule="exact"/>
        <w:ind w:firstLine="210" w:firstLineChars="100"/>
        <w:rPr>
          <w:rFonts w:ascii="宋体" w:hAnsi="宋体" w:cs="Times New Roman"/>
          <w:szCs w:val="21"/>
        </w:rPr>
      </w:pPr>
      <w:r>
        <w:rPr>
          <w:rFonts w:hint="eastAsia" w:ascii="宋体" w:hAnsi="宋体" w:cs="Times New Roman"/>
          <w:szCs w:val="21"/>
        </w:rPr>
        <w:t xml:space="preserve">  （1）开标一览表（见投标文件格式一）;</w:t>
      </w:r>
    </w:p>
    <w:p w14:paraId="5627505F">
      <w:pPr>
        <w:spacing w:line="400" w:lineRule="exact"/>
        <w:ind w:firstLine="417" w:firstLineChars="199"/>
        <w:rPr>
          <w:rFonts w:ascii="宋体" w:hAnsi="宋体" w:cs="Times New Roman"/>
          <w:szCs w:val="21"/>
        </w:rPr>
      </w:pPr>
      <w:r>
        <w:rPr>
          <w:rFonts w:hint="eastAsia" w:ascii="宋体" w:hAnsi="宋体" w:cs="Times New Roman"/>
          <w:szCs w:val="21"/>
        </w:rPr>
        <w:t>（2）有效的三证合一营业执照副本（三证合一）</w:t>
      </w:r>
    </w:p>
    <w:p w14:paraId="54654D25">
      <w:pPr>
        <w:spacing w:line="400" w:lineRule="exact"/>
        <w:ind w:firstLine="420" w:firstLineChars="200"/>
        <w:rPr>
          <w:rFonts w:ascii="宋体" w:hAnsi="宋体" w:cs="Times New Roman"/>
          <w:szCs w:val="21"/>
        </w:rPr>
      </w:pPr>
      <w:r>
        <w:rPr>
          <w:rFonts w:hint="eastAsia" w:ascii="宋体" w:hAnsi="宋体" w:cs="Times New Roman"/>
          <w:szCs w:val="21"/>
        </w:rPr>
        <w:t>（3）法定代表人资格证明书（见投标文件格式二）；</w:t>
      </w:r>
    </w:p>
    <w:p w14:paraId="3E8BB0AD">
      <w:pPr>
        <w:spacing w:line="400" w:lineRule="exact"/>
        <w:ind w:firstLine="420" w:firstLineChars="200"/>
        <w:rPr>
          <w:rFonts w:ascii="宋体" w:hAnsi="宋体" w:cs="Times New Roman"/>
          <w:szCs w:val="21"/>
        </w:rPr>
      </w:pPr>
      <w:r>
        <w:rPr>
          <w:rFonts w:hint="eastAsia" w:ascii="宋体" w:hAnsi="宋体" w:cs="Times New Roman"/>
          <w:szCs w:val="21"/>
        </w:rPr>
        <w:t>（4）法定代表人授权委托书（见投标文件格式三）；</w:t>
      </w:r>
    </w:p>
    <w:p w14:paraId="6123D5A3">
      <w:pPr>
        <w:spacing w:line="400" w:lineRule="exact"/>
        <w:ind w:firstLine="417" w:firstLineChars="199"/>
        <w:rPr>
          <w:rFonts w:ascii="宋体" w:hAnsi="宋体" w:cs="Times New Roman"/>
          <w:szCs w:val="21"/>
        </w:rPr>
      </w:pPr>
      <w:r>
        <w:rPr>
          <w:rFonts w:hint="eastAsia" w:ascii="宋体" w:hAnsi="宋体" w:cs="Times New Roman"/>
          <w:szCs w:val="21"/>
        </w:rPr>
        <w:t>（5）投标保证金缴纳凭证或投标担保函；</w:t>
      </w:r>
    </w:p>
    <w:p w14:paraId="3F415008">
      <w:pPr>
        <w:spacing w:line="400" w:lineRule="exact"/>
        <w:ind w:firstLine="417" w:firstLineChars="199"/>
        <w:rPr>
          <w:rFonts w:ascii="宋体" w:hAnsi="宋体" w:cs="Times New Roman"/>
          <w:szCs w:val="21"/>
        </w:rPr>
      </w:pPr>
      <w:r>
        <w:rPr>
          <w:rFonts w:hint="eastAsia" w:ascii="宋体" w:hAnsi="宋体" w:cs="Times New Roman"/>
          <w:szCs w:val="21"/>
        </w:rPr>
        <w:t>（6）</w:t>
      </w:r>
      <w:r>
        <w:rPr>
          <w:rFonts w:hint="eastAsia" w:ascii="宋体" w:hAnsi="宋体" w:cs="Times New Roman"/>
          <w:szCs w:val="21"/>
          <w:lang w:eastAsia="zh-CN"/>
        </w:rPr>
        <w:t>投标企业须提供投标人（被授权在职人员）近6个月任意一个月的社保证明</w:t>
      </w:r>
      <w:r>
        <w:rPr>
          <w:rFonts w:hint="eastAsia" w:ascii="宋体" w:hAnsi="宋体" w:cs="Times New Roman"/>
          <w:szCs w:val="21"/>
        </w:rPr>
        <w:t>；</w:t>
      </w:r>
    </w:p>
    <w:p w14:paraId="44E9F1F0">
      <w:pPr>
        <w:spacing w:line="400" w:lineRule="exact"/>
        <w:ind w:firstLine="417" w:firstLineChars="199"/>
        <w:rPr>
          <w:rFonts w:ascii="宋体" w:hAnsi="宋体" w:cs="Times New Roman"/>
          <w:szCs w:val="21"/>
        </w:rPr>
      </w:pPr>
      <w:r>
        <w:rPr>
          <w:rFonts w:hint="eastAsia" w:ascii="宋体" w:hAnsi="宋体" w:cs="Times New Roman"/>
          <w:szCs w:val="21"/>
        </w:rPr>
        <w:t>（7）未被“信用中国”（www.creditchina.gov.cn）、中国政府采购网（www.ccgp.gov.cn）列入失信被执行人、重大税收违法案件当事人名单、政府采购严重违法失信行为记录名单；</w:t>
      </w:r>
    </w:p>
    <w:p w14:paraId="65E0A25B">
      <w:pPr>
        <w:pStyle w:val="22"/>
        <w:spacing w:before="75" w:beforeAutospacing="0" w:after="75" w:afterAutospacing="0" w:line="320" w:lineRule="exact"/>
        <w:ind w:firstLine="420" w:firstLineChars="200"/>
        <w:rPr>
          <w:rFonts w:hint="eastAsia" w:cs="Times New Roman"/>
          <w:kern w:val="2"/>
          <w:sz w:val="21"/>
          <w:szCs w:val="21"/>
        </w:rPr>
      </w:pPr>
      <w:r>
        <w:rPr>
          <w:rFonts w:hint="eastAsia" w:ascii="宋体" w:hAnsi="宋体" w:eastAsia="宋体" w:cs="Times New Roman"/>
          <w:kern w:val="2"/>
          <w:sz w:val="21"/>
          <w:szCs w:val="21"/>
          <w:lang w:val="en-US" w:eastAsia="zh-CN" w:bidi="ar-SA"/>
        </w:rPr>
        <w:t>（8）提供反商业贿赂承</w:t>
      </w:r>
      <w:r>
        <w:rPr>
          <w:rFonts w:hint="eastAsia" w:cs="Times New Roman"/>
          <w:kern w:val="2"/>
          <w:sz w:val="21"/>
          <w:szCs w:val="21"/>
        </w:rPr>
        <w:t>诺书（自拟）；</w:t>
      </w:r>
    </w:p>
    <w:p w14:paraId="0533B24E">
      <w:pPr>
        <w:spacing w:line="400" w:lineRule="exact"/>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w:t>
      </w:r>
      <w:r>
        <w:rPr>
          <w:rFonts w:hint="eastAsia" w:ascii="宋体" w:hAnsi="宋体" w:eastAsia="宋体" w:cs="Times New Roman"/>
          <w:szCs w:val="21"/>
          <w:lang w:val="en-US" w:eastAsia="zh-CN"/>
        </w:rPr>
        <w:t>9</w:t>
      </w:r>
      <w:r>
        <w:rPr>
          <w:rFonts w:hint="eastAsia" w:ascii="宋体" w:hAnsi="宋体" w:eastAsia="宋体" w:cs="Times New Roman"/>
          <w:szCs w:val="21"/>
        </w:rPr>
        <w:t>）投标人须知资料表要求的其他资格证明文件</w:t>
      </w:r>
      <w:r>
        <w:rPr>
          <w:rFonts w:hint="eastAsia" w:ascii="宋体" w:hAnsi="宋体" w:eastAsia="宋体" w:cs="Times New Roman"/>
          <w:szCs w:val="21"/>
          <w:lang w:eastAsia="zh-CN"/>
        </w:rPr>
        <w:t>。</w:t>
      </w:r>
    </w:p>
    <w:p w14:paraId="368A7489">
      <w:pPr>
        <w:shd w:val="clear" w:color="auto" w:fill="auto"/>
        <w:spacing w:line="440" w:lineRule="exact"/>
        <w:rPr>
          <w:rFonts w:hint="eastAsia" w:ascii="Times New Roman" w:hAnsi="宋体" w:eastAsia="宋体" w:cs="Times New Roman"/>
          <w:color w:val="auto"/>
          <w:szCs w:val="21"/>
          <w:highlight w:val="none"/>
        </w:rPr>
      </w:pPr>
      <w:r>
        <w:rPr>
          <w:rFonts w:hint="eastAsia" w:ascii="宋体" w:hAnsi="宋体" w:cs="宋体"/>
          <w:b/>
          <w:color w:val="auto"/>
          <w:szCs w:val="21"/>
          <w:highlight w:val="none"/>
        </w:rPr>
        <w:t>21.2</w:t>
      </w:r>
      <w:r>
        <w:rPr>
          <w:rFonts w:hint="eastAsia" w:ascii="宋体" w:hAnsi="宋体" w:cs="宋体"/>
          <w:b/>
          <w:color w:val="auto"/>
          <w:szCs w:val="21"/>
          <w:highlight w:val="none"/>
          <w:lang w:val="en-US" w:eastAsia="zh-CN"/>
        </w:rPr>
        <w:t xml:space="preserve"> 商务及技术文件</w:t>
      </w:r>
      <w:r>
        <w:rPr>
          <w:rFonts w:hint="eastAsia" w:ascii="宋体"/>
          <w:b/>
          <w:color w:val="auto"/>
          <w:szCs w:val="21"/>
          <w:highlight w:val="none"/>
          <w:lang w:eastAsia="zh-CN"/>
        </w:rPr>
        <w:t>（包括但不限于）</w:t>
      </w:r>
    </w:p>
    <w:p w14:paraId="5D1F2FE6">
      <w:pPr>
        <w:spacing w:line="400" w:lineRule="exact"/>
        <w:ind w:firstLine="417" w:firstLineChars="199"/>
        <w:rPr>
          <w:rFonts w:ascii="宋体" w:hAnsi="宋体" w:cs="Times New Roman"/>
          <w:szCs w:val="21"/>
        </w:rPr>
      </w:pPr>
      <w:r>
        <w:rPr>
          <w:rFonts w:hint="eastAsia" w:ascii="宋体" w:hAnsi="宋体" w:cs="Times New Roman"/>
          <w:szCs w:val="21"/>
        </w:rPr>
        <w:t>（1）投标书（投标文件格式四）</w:t>
      </w:r>
    </w:p>
    <w:p w14:paraId="19194A4D">
      <w:pPr>
        <w:spacing w:line="400" w:lineRule="exact"/>
        <w:ind w:firstLine="417" w:firstLineChars="199"/>
        <w:rPr>
          <w:rFonts w:ascii="宋体" w:hAnsi="宋体" w:cs="Times New Roman"/>
          <w:szCs w:val="21"/>
        </w:rPr>
      </w:pPr>
      <w:r>
        <w:rPr>
          <w:rFonts w:hint="eastAsia" w:ascii="宋体" w:hAnsi="宋体" w:cs="Times New Roman"/>
          <w:szCs w:val="21"/>
        </w:rPr>
        <w:t>（2）投标分项报价表（投标文件格式五）</w:t>
      </w:r>
    </w:p>
    <w:p w14:paraId="6B20A03F">
      <w:pPr>
        <w:spacing w:line="400" w:lineRule="exact"/>
        <w:ind w:firstLine="417" w:firstLineChars="199"/>
        <w:rPr>
          <w:rFonts w:ascii="宋体" w:hAnsi="宋体" w:cs="Times New Roman"/>
          <w:szCs w:val="21"/>
        </w:rPr>
      </w:pPr>
      <w:r>
        <w:rPr>
          <w:rFonts w:hint="eastAsia" w:ascii="宋体" w:hAnsi="宋体" w:cs="Times New Roman"/>
          <w:szCs w:val="21"/>
        </w:rPr>
        <w:t>（3）货物（服务）说明一览表（投标文件格式六）</w:t>
      </w:r>
    </w:p>
    <w:p w14:paraId="5B2C6E8D">
      <w:pPr>
        <w:spacing w:line="400" w:lineRule="exact"/>
        <w:ind w:firstLine="417" w:firstLineChars="199"/>
        <w:rPr>
          <w:rFonts w:ascii="宋体" w:hAnsi="宋体" w:cs="Times New Roman"/>
          <w:szCs w:val="21"/>
        </w:rPr>
      </w:pPr>
      <w:r>
        <w:rPr>
          <w:rFonts w:hint="eastAsia" w:ascii="宋体" w:hAnsi="宋体" w:cs="Times New Roman"/>
          <w:szCs w:val="21"/>
        </w:rPr>
        <w:t>（4）技术规格偏离表（投标文件格式七）</w:t>
      </w:r>
    </w:p>
    <w:p w14:paraId="47571738">
      <w:pPr>
        <w:spacing w:line="400" w:lineRule="exact"/>
        <w:ind w:firstLine="417" w:firstLineChars="199"/>
        <w:rPr>
          <w:rFonts w:ascii="宋体" w:hAnsi="宋体" w:cs="Times New Roman"/>
          <w:szCs w:val="21"/>
        </w:rPr>
      </w:pPr>
      <w:r>
        <w:rPr>
          <w:rFonts w:hint="eastAsia" w:ascii="宋体" w:hAnsi="宋体" w:cs="Times New Roman"/>
          <w:szCs w:val="21"/>
        </w:rPr>
        <w:t>（5）商务条款偏离表（投标文件格式八）</w:t>
      </w:r>
    </w:p>
    <w:p w14:paraId="6AF88D2C">
      <w:pPr>
        <w:spacing w:line="400" w:lineRule="exact"/>
        <w:ind w:firstLine="417" w:firstLineChars="199"/>
        <w:rPr>
          <w:rFonts w:ascii="宋体" w:hAnsi="宋体" w:cs="Times New Roman"/>
          <w:szCs w:val="21"/>
        </w:rPr>
      </w:pPr>
      <w:r>
        <w:rPr>
          <w:rFonts w:hint="eastAsia" w:ascii="宋体" w:hAnsi="宋体" w:cs="Times New Roman"/>
          <w:szCs w:val="21"/>
        </w:rPr>
        <w:t>（6）符合《政府采购促进中小企业发展管理办法》、《关于政府采购支持监狱企业发展有关问题的通知》和《三部门联合发布关于促进残疾人就业政府采购政策的通知》条件的投标人提交）</w:t>
      </w:r>
    </w:p>
    <w:p w14:paraId="0448A41B">
      <w:pPr>
        <w:spacing w:line="400" w:lineRule="exact"/>
        <w:ind w:firstLine="417" w:firstLineChars="199"/>
        <w:rPr>
          <w:rFonts w:ascii="宋体" w:hAnsi="宋体" w:cs="Times New Roman"/>
          <w:szCs w:val="21"/>
        </w:rPr>
      </w:pPr>
      <w:r>
        <w:rPr>
          <w:rFonts w:hint="eastAsia" w:ascii="宋体" w:hAnsi="宋体" w:cs="Times New Roman"/>
          <w:szCs w:val="21"/>
        </w:rPr>
        <w:t>6-1《投标人企业（单位）类型声明函》（投标文件格式九）</w:t>
      </w:r>
    </w:p>
    <w:p w14:paraId="70A92567">
      <w:pPr>
        <w:spacing w:line="400" w:lineRule="exact"/>
        <w:ind w:firstLine="417" w:firstLineChars="199"/>
        <w:rPr>
          <w:rFonts w:ascii="宋体" w:hAnsi="宋体" w:cs="Times New Roman"/>
          <w:szCs w:val="21"/>
        </w:rPr>
      </w:pPr>
      <w:r>
        <w:rPr>
          <w:rFonts w:hint="eastAsia" w:ascii="宋体" w:hAnsi="宋体" w:cs="Times New Roman"/>
          <w:szCs w:val="21"/>
        </w:rPr>
        <w:t>6-2《残疾人福利性单位声明函》（投标文件格式十）</w:t>
      </w:r>
    </w:p>
    <w:p w14:paraId="76359A8D">
      <w:pPr>
        <w:spacing w:line="400" w:lineRule="exact"/>
        <w:ind w:firstLine="417" w:firstLineChars="199"/>
        <w:rPr>
          <w:rFonts w:ascii="宋体" w:hAnsi="宋体" w:cs="Times New Roman"/>
          <w:szCs w:val="21"/>
        </w:rPr>
      </w:pPr>
      <w:r>
        <w:rPr>
          <w:rFonts w:hint="eastAsia" w:ascii="宋体" w:hAnsi="宋体" w:cs="Times New Roman"/>
          <w:szCs w:val="21"/>
        </w:rPr>
        <w:t>（7）投标人关联单位的说明（格式自拟）</w:t>
      </w:r>
    </w:p>
    <w:p w14:paraId="3A088169">
      <w:pPr>
        <w:spacing w:line="400" w:lineRule="exact"/>
        <w:ind w:firstLine="417" w:firstLineChars="199"/>
        <w:rPr>
          <w:rFonts w:ascii="宋体" w:hAnsi="宋体" w:cs="Times New Roman"/>
          <w:szCs w:val="21"/>
        </w:rPr>
      </w:pPr>
      <w:r>
        <w:rPr>
          <w:rFonts w:hint="eastAsia" w:ascii="宋体" w:hAnsi="宋体" w:cs="Times New Roman"/>
          <w:szCs w:val="21"/>
        </w:rPr>
        <w:t>（8）评分标准和细则中技术部分证明材料（格式自拟）</w:t>
      </w:r>
    </w:p>
    <w:p w14:paraId="61385728">
      <w:pPr>
        <w:spacing w:line="400" w:lineRule="exact"/>
        <w:ind w:firstLine="424" w:firstLineChars="202"/>
        <w:rPr>
          <w:rFonts w:ascii="宋体"/>
          <w:szCs w:val="21"/>
        </w:rPr>
      </w:pPr>
      <w:r>
        <w:rPr>
          <w:rFonts w:hint="eastAsia" w:ascii="宋体"/>
          <w:szCs w:val="21"/>
        </w:rPr>
        <w:t>（9）</w:t>
      </w:r>
      <w:r>
        <w:rPr>
          <w:rFonts w:hint="eastAsia" w:ascii="宋体" w:hAnsi="宋体" w:cs="Times New Roman"/>
          <w:szCs w:val="21"/>
        </w:rPr>
        <w:t>评分标准和细则中商务部分证明材料（格式自拟）</w:t>
      </w:r>
    </w:p>
    <w:p w14:paraId="0449779A">
      <w:pPr>
        <w:spacing w:line="400" w:lineRule="exact"/>
        <w:ind w:firstLine="424" w:firstLineChars="202"/>
        <w:rPr>
          <w:rFonts w:ascii="宋体"/>
          <w:szCs w:val="21"/>
        </w:rPr>
      </w:pPr>
      <w:r>
        <w:rPr>
          <w:rFonts w:hint="eastAsia" w:ascii="宋体"/>
          <w:szCs w:val="21"/>
        </w:rPr>
        <w:t>（10）投标人认为有必要提供的其他证明材料（格式自拟）</w:t>
      </w:r>
    </w:p>
    <w:p w14:paraId="36B5EB10">
      <w:pPr>
        <w:spacing w:line="400" w:lineRule="exact"/>
        <w:ind w:firstLine="417" w:firstLineChars="199"/>
        <w:rPr>
          <w:rFonts w:ascii="宋体"/>
          <w:szCs w:val="21"/>
        </w:rPr>
      </w:pPr>
      <w:r>
        <w:rPr>
          <w:rFonts w:hint="eastAsia" w:ascii="宋体" w:hAnsi="宋体"/>
          <w:b/>
          <w:kern w:val="0"/>
          <w:szCs w:val="21"/>
          <w:u w:val="single"/>
        </w:rPr>
        <w:t>注：以上材料须逐页加盖单位公章。</w:t>
      </w:r>
    </w:p>
    <w:p w14:paraId="117431A3">
      <w:pPr>
        <w:shd w:val="clear" w:color="auto" w:fill="auto"/>
        <w:spacing w:line="400" w:lineRule="exact"/>
        <w:ind w:firstLine="417" w:firstLineChars="199"/>
        <w:rPr>
          <w:rFonts w:hint="eastAsia" w:ascii="宋体" w:hAnsi="宋体" w:eastAsia="宋体" w:cs="Times New Roman"/>
          <w:color w:val="auto"/>
          <w:szCs w:val="21"/>
          <w:highlight w:val="none"/>
          <w:lang w:eastAsia="zh-CN"/>
        </w:rPr>
      </w:pPr>
      <w:r>
        <w:rPr>
          <w:rFonts w:hint="eastAsia" w:ascii="宋体"/>
          <w:color w:val="auto"/>
          <w:szCs w:val="21"/>
          <w:highlight w:val="none"/>
        </w:rPr>
        <w:t>21.</w:t>
      </w:r>
      <w:r>
        <w:rPr>
          <w:rFonts w:hint="eastAsia" w:ascii="宋体"/>
          <w:color w:val="auto"/>
          <w:szCs w:val="21"/>
          <w:highlight w:val="none"/>
          <w:lang w:val="en-US" w:eastAsia="zh-CN"/>
        </w:rPr>
        <w:t>3</w:t>
      </w:r>
      <w:r>
        <w:rPr>
          <w:rFonts w:hint="eastAsia" w:ascii="宋体" w:hAnsi="宋体" w:eastAsia="宋体" w:cs="Times New Roman"/>
          <w:color w:val="auto"/>
          <w:szCs w:val="21"/>
          <w:highlight w:val="none"/>
          <w:lang w:eastAsia="zh-CN"/>
        </w:rPr>
        <w:t>投标文件的要求</w:t>
      </w:r>
    </w:p>
    <w:p w14:paraId="2E1F55A0">
      <w:pPr>
        <w:shd w:val="clear" w:color="auto" w:fill="auto"/>
        <w:spacing w:line="400" w:lineRule="exact"/>
        <w:ind w:firstLine="417"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56361B36">
      <w:pPr>
        <w:shd w:val="clear" w:color="auto" w:fill="auto"/>
        <w:spacing w:line="400" w:lineRule="exact"/>
        <w:ind w:firstLine="417"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）投标文件格式应按本采购文件第六章格式要求编制，不得对采购文件格式进行增删更改，否则按无效标处理。</w:t>
      </w:r>
    </w:p>
    <w:p w14:paraId="3633DB0A">
      <w:pPr>
        <w:shd w:val="clear" w:color="auto" w:fill="auto"/>
        <w:spacing w:line="400" w:lineRule="exact"/>
        <w:ind w:firstLine="417"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006B4B1A">
      <w:pPr>
        <w:shd w:val="clear" w:color="auto" w:fill="auto"/>
        <w:spacing w:line="400" w:lineRule="exact"/>
        <w:ind w:firstLine="417" w:firstLineChars="199"/>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lang w:eastAsia="zh-CN"/>
        </w:rPr>
        <w:t>）投标文件为电子投标文件，电子投标文件按“政采云供应商项目采购-电子招投标操作指南”及本采购文件要求制作、加密传输。</w:t>
      </w:r>
    </w:p>
    <w:p w14:paraId="426CBE6B">
      <w:pPr>
        <w:shd w:val="clear" w:color="auto" w:fill="auto"/>
        <w:spacing w:line="400" w:lineRule="exact"/>
        <w:ind w:firstLine="417" w:firstLineChars="199"/>
        <w:rPr>
          <w:rFonts w:hint="eastAsia" w:ascii="宋体"/>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）投标文件未在投标截止时间前完成传输的，视为投标文件撤回；投标文件未按时解密也未提供备份投标文件的，亦视为投标文件撤回。</w:t>
      </w:r>
    </w:p>
    <w:p w14:paraId="1047B22D">
      <w:pPr>
        <w:shd w:val="clear" w:color="auto" w:fill="auto"/>
        <w:spacing w:line="440" w:lineRule="exact"/>
        <w:ind w:firstLine="420" w:firstLineChars="200"/>
        <w:rPr>
          <w:rFonts w:hint="eastAsia" w:ascii="宋体"/>
          <w:color w:val="auto"/>
          <w:szCs w:val="21"/>
          <w:highlight w:val="none"/>
        </w:rPr>
      </w:pPr>
      <w:r>
        <w:rPr>
          <w:rFonts w:hint="eastAsia" w:ascii="宋体"/>
          <w:b/>
          <w:color w:val="auto"/>
          <w:szCs w:val="21"/>
          <w:highlight w:val="none"/>
        </w:rPr>
        <w:t>22</w:t>
      </w:r>
      <w:r>
        <w:rPr>
          <w:rFonts w:hint="eastAsia" w:ascii="宋体"/>
          <w:color w:val="auto"/>
          <w:szCs w:val="21"/>
          <w:highlight w:val="none"/>
        </w:rPr>
        <w:t>.</w:t>
      </w:r>
      <w:r>
        <w:rPr>
          <w:rFonts w:hint="eastAsia" w:ascii="宋体"/>
          <w:b/>
          <w:color w:val="auto"/>
          <w:szCs w:val="21"/>
          <w:highlight w:val="none"/>
          <w:lang w:eastAsia="zh-CN"/>
        </w:rPr>
        <w:t>磋商</w:t>
      </w:r>
      <w:r>
        <w:rPr>
          <w:rFonts w:hint="eastAsia" w:ascii="宋体"/>
          <w:b/>
          <w:color w:val="auto"/>
          <w:szCs w:val="21"/>
          <w:highlight w:val="none"/>
        </w:rPr>
        <w:t>报价</w:t>
      </w:r>
    </w:p>
    <w:p w14:paraId="39DCF874">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22.1投标报价文件中的单价和总价全部采用人民币表示。</w:t>
      </w:r>
    </w:p>
    <w:p w14:paraId="7D7C91D2">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22.2投标报价表上应清楚地标明投标人拟提供</w:t>
      </w:r>
      <w:r>
        <w:rPr>
          <w:rFonts w:hint="eastAsia" w:ascii="宋体"/>
          <w:color w:val="auto"/>
          <w:szCs w:val="21"/>
          <w:highlight w:val="none"/>
          <w:lang w:eastAsia="zh-CN"/>
        </w:rPr>
        <w:t>服务</w:t>
      </w:r>
      <w:r>
        <w:rPr>
          <w:rFonts w:hint="eastAsia" w:ascii="宋体"/>
          <w:color w:val="auto"/>
          <w:szCs w:val="21"/>
          <w:highlight w:val="none"/>
        </w:rPr>
        <w:t>的名称、数量、单价和总价。</w:t>
      </w:r>
    </w:p>
    <w:p w14:paraId="3C508720">
      <w:pPr>
        <w:shd w:val="clear" w:color="auto" w:fill="auto"/>
        <w:spacing w:line="440" w:lineRule="exact"/>
        <w:ind w:firstLine="420" w:firstLineChars="200"/>
        <w:rPr>
          <w:rFonts w:hint="eastAsia" w:ascii="宋体" w:eastAsia="宋体"/>
          <w:color w:val="auto"/>
          <w:szCs w:val="21"/>
          <w:highlight w:val="none"/>
          <w:lang w:eastAsia="zh-CN"/>
        </w:rPr>
      </w:pPr>
      <w:r>
        <w:rPr>
          <w:rFonts w:hint="eastAsia" w:ascii="宋体"/>
          <w:color w:val="auto"/>
          <w:szCs w:val="21"/>
          <w:highlight w:val="none"/>
        </w:rPr>
        <w:t>22.3本项目报价为分次报价，供应商响应文件中的报价作为第一次报价；以最终磋商报价作为评审价</w:t>
      </w:r>
      <w:r>
        <w:rPr>
          <w:rFonts w:hint="eastAsia" w:ascii="宋体"/>
          <w:color w:val="auto"/>
          <w:szCs w:val="21"/>
          <w:highlight w:val="none"/>
          <w:lang w:eastAsia="zh-CN"/>
        </w:rPr>
        <w:t>。</w:t>
      </w:r>
    </w:p>
    <w:p w14:paraId="18C06D91">
      <w:pPr>
        <w:shd w:val="clear" w:color="auto" w:fill="auto"/>
        <w:spacing w:line="440" w:lineRule="exact"/>
        <w:ind w:firstLine="420" w:firstLineChars="200"/>
        <w:rPr>
          <w:rFonts w:hint="eastAsia" w:ascii="宋体" w:eastAsia="宋体"/>
          <w:color w:val="auto"/>
          <w:szCs w:val="21"/>
          <w:highlight w:val="none"/>
          <w:lang w:eastAsia="zh-CN"/>
        </w:rPr>
      </w:pPr>
      <w:r>
        <w:rPr>
          <w:rFonts w:hint="eastAsia" w:ascii="宋体"/>
          <w:color w:val="auto"/>
          <w:szCs w:val="21"/>
          <w:highlight w:val="none"/>
        </w:rPr>
        <w:t>22.4磋商报价应包含完成本项目全部服务所产生的全部费用，包含但不限于：服务实施费、人员费、宣传物料制作费、活动组织费、平台发布及推广费、保险费、差旅费、税费、培训费、资料费、后勤保障费、验收完成前以及服务期内发生的一切相关费用、应当提供的伴随服务及售后服务等全部费用。</w:t>
      </w:r>
    </w:p>
    <w:p w14:paraId="62A64714">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22.5投标报价的价格是货物</w:t>
      </w:r>
      <w:r>
        <w:rPr>
          <w:rFonts w:hint="eastAsia" w:ascii="宋体"/>
          <w:color w:val="auto"/>
          <w:szCs w:val="21"/>
          <w:highlight w:val="none"/>
          <w:lang w:val="en-US" w:eastAsia="zh-CN"/>
        </w:rPr>
        <w:t>(服务)</w:t>
      </w:r>
      <w:r>
        <w:rPr>
          <w:rFonts w:hint="eastAsia" w:ascii="宋体"/>
          <w:color w:val="auto"/>
          <w:szCs w:val="21"/>
          <w:highlight w:val="none"/>
        </w:rPr>
        <w:t>交货地验收价格，其总价即为履行合同的固定总价。</w:t>
      </w:r>
    </w:p>
    <w:p w14:paraId="62764585">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22.6</w:t>
      </w:r>
      <w:r>
        <w:rPr>
          <w:rFonts w:hint="eastAsia" w:ascii="宋体"/>
          <w:color w:val="auto"/>
          <w:szCs w:val="21"/>
          <w:highlight w:val="none"/>
          <w:lang w:val="en-US" w:eastAsia="zh-CN"/>
        </w:rPr>
        <w:t>本项目全部服务相关的所有</w:t>
      </w:r>
      <w:r>
        <w:rPr>
          <w:rFonts w:hint="eastAsia" w:ascii="宋体"/>
          <w:color w:val="auto"/>
          <w:szCs w:val="21"/>
          <w:highlight w:val="none"/>
        </w:rPr>
        <w:t>费用应包括在投标价格中。投标文件报价为含税价，招标人不再为此次招标支付任何费用。</w:t>
      </w:r>
    </w:p>
    <w:p w14:paraId="0EB983AF">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22.7投标报价应由</w:t>
      </w:r>
      <w:r>
        <w:rPr>
          <w:rFonts w:hint="eastAsia" w:ascii="宋体"/>
          <w:color w:val="auto"/>
          <w:szCs w:val="21"/>
          <w:highlight w:val="none"/>
          <w:lang w:eastAsia="zh-CN"/>
        </w:rPr>
        <w:t>法定代表人</w:t>
      </w:r>
      <w:r>
        <w:rPr>
          <w:rFonts w:hint="eastAsia" w:ascii="宋体"/>
          <w:color w:val="auto"/>
          <w:szCs w:val="21"/>
          <w:highlight w:val="none"/>
        </w:rPr>
        <w:t>或被授权人签署。</w:t>
      </w:r>
    </w:p>
    <w:p w14:paraId="758E2437">
      <w:pPr>
        <w:shd w:val="clear" w:color="auto" w:fill="auto"/>
        <w:spacing w:line="440" w:lineRule="exact"/>
        <w:ind w:firstLine="420" w:firstLineChars="200"/>
        <w:rPr>
          <w:rFonts w:hint="eastAsia" w:ascii="宋体"/>
          <w:bCs/>
          <w:color w:val="auto"/>
          <w:szCs w:val="21"/>
          <w:highlight w:val="none"/>
        </w:rPr>
      </w:pPr>
      <w:r>
        <w:rPr>
          <w:rFonts w:hint="eastAsia" w:ascii="宋体"/>
          <w:bCs/>
          <w:color w:val="auto"/>
          <w:szCs w:val="21"/>
          <w:highlight w:val="none"/>
        </w:rPr>
        <w:t>22.8</w:t>
      </w:r>
      <w:r>
        <w:rPr>
          <w:rFonts w:hint="eastAsia" w:ascii="宋体" w:hAnsi="宋体"/>
          <w:b/>
          <w:color w:val="auto"/>
          <w:szCs w:val="21"/>
          <w:highlight w:val="none"/>
        </w:rPr>
        <w:t>投标人投标总报价，不得高于本次招标设置的最高限价，</w:t>
      </w:r>
      <w:r>
        <w:rPr>
          <w:rFonts w:hint="eastAsia" w:ascii="宋体" w:hAnsi="宋体"/>
          <w:b/>
          <w:bCs/>
          <w:color w:val="auto"/>
          <w:szCs w:val="21"/>
          <w:highlight w:val="none"/>
        </w:rPr>
        <w:t>否则将作为无效投标处理。</w:t>
      </w:r>
    </w:p>
    <w:p w14:paraId="392616F6">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22.9如投标文件中未列明全面实现投标货物功能而必须配置的配套或辅助设施及相应技术措施的费用，这些费用将被视为已包含在总投标价中。</w:t>
      </w:r>
    </w:p>
    <w:p w14:paraId="0095C74C">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22.10总投标价中不得包含</w:t>
      </w:r>
      <w:r>
        <w:rPr>
          <w:rFonts w:hint="eastAsia" w:ascii="宋体"/>
          <w:color w:val="auto"/>
          <w:szCs w:val="21"/>
          <w:highlight w:val="none"/>
          <w:lang w:eastAsia="zh-CN"/>
        </w:rPr>
        <w:t>采购文件</w:t>
      </w:r>
      <w:r>
        <w:rPr>
          <w:rFonts w:hint="eastAsia" w:ascii="宋体"/>
          <w:color w:val="auto"/>
          <w:szCs w:val="21"/>
          <w:highlight w:val="none"/>
        </w:rPr>
        <w:t>要求以外的内容，否则，在评标时不予核减，但在授予合同时，招标人有权将这部分价格从其</w:t>
      </w:r>
      <w:r>
        <w:rPr>
          <w:rFonts w:hint="eastAsia" w:ascii="宋体"/>
          <w:color w:val="auto"/>
          <w:szCs w:val="21"/>
          <w:highlight w:val="none"/>
          <w:lang w:eastAsia="zh-CN"/>
        </w:rPr>
        <w:t>成交</w:t>
      </w:r>
      <w:r>
        <w:rPr>
          <w:rFonts w:hint="eastAsia" w:ascii="宋体"/>
          <w:color w:val="auto"/>
          <w:szCs w:val="21"/>
          <w:highlight w:val="none"/>
        </w:rPr>
        <w:t>价格中扣除。</w:t>
      </w:r>
    </w:p>
    <w:p w14:paraId="51D15460">
      <w:pPr>
        <w:shd w:val="clear" w:color="auto" w:fill="auto"/>
        <w:spacing w:line="440" w:lineRule="exact"/>
        <w:ind w:firstLine="403" w:firstLineChars="192"/>
        <w:rPr>
          <w:rFonts w:hint="default" w:ascii="宋体" w:eastAsia="宋体"/>
          <w:color w:val="auto"/>
          <w:szCs w:val="21"/>
          <w:highlight w:val="none"/>
          <w:lang w:val="en-US" w:eastAsia="zh-CN"/>
        </w:rPr>
      </w:pPr>
      <w:r>
        <w:rPr>
          <w:rFonts w:hint="eastAsia" w:ascii="宋体"/>
          <w:color w:val="auto"/>
          <w:szCs w:val="21"/>
          <w:highlight w:val="none"/>
        </w:rPr>
        <w:t>22.11总投标价中不得缺漏</w:t>
      </w:r>
      <w:r>
        <w:rPr>
          <w:rFonts w:hint="eastAsia" w:ascii="宋体"/>
          <w:color w:val="auto"/>
          <w:szCs w:val="21"/>
          <w:highlight w:val="none"/>
          <w:lang w:eastAsia="zh-CN"/>
        </w:rPr>
        <w:t>采购文件</w:t>
      </w:r>
      <w:r>
        <w:rPr>
          <w:rFonts w:hint="eastAsia" w:ascii="宋体"/>
          <w:color w:val="auto"/>
          <w:szCs w:val="21"/>
          <w:highlight w:val="none"/>
        </w:rPr>
        <w:t>所要求的内容，否则，评标时将有效投标中该项内容的最高价计入其评标总价，但在授予合同时，缺漏项目的报价视作已含在其他项目的报价中，这些项目将作为免费赠送而包含在合同内。</w:t>
      </w:r>
      <w:r>
        <w:rPr>
          <w:rFonts w:hint="eastAsia" w:ascii="宋体"/>
          <w:color w:val="auto"/>
          <w:szCs w:val="21"/>
          <w:highlight w:val="none"/>
          <w:lang w:val="en-US" w:eastAsia="zh-CN"/>
        </w:rPr>
        <w:t xml:space="preserve">    </w:t>
      </w:r>
    </w:p>
    <w:p w14:paraId="3F069FAB">
      <w:pPr>
        <w:shd w:val="clear" w:color="auto" w:fill="auto"/>
        <w:spacing w:line="440" w:lineRule="exact"/>
        <w:ind w:firstLine="403" w:firstLineChars="192"/>
        <w:rPr>
          <w:rFonts w:hint="eastAsia" w:ascii="宋体"/>
          <w:color w:val="auto"/>
          <w:szCs w:val="21"/>
          <w:highlight w:val="none"/>
        </w:rPr>
      </w:pPr>
      <w:r>
        <w:rPr>
          <w:rFonts w:hint="eastAsia" w:ascii="宋体"/>
          <w:color w:val="auto"/>
          <w:szCs w:val="21"/>
          <w:highlight w:val="none"/>
        </w:rPr>
        <w:t>22.12投标人不得对从第三方采购货物的随机备品、备件另行收费，否则在计算评标价时这部分费用将不予扣除，在授予合同时将从</w:t>
      </w:r>
      <w:r>
        <w:rPr>
          <w:rFonts w:hint="eastAsia" w:ascii="宋体"/>
          <w:color w:val="auto"/>
          <w:szCs w:val="21"/>
          <w:highlight w:val="none"/>
          <w:lang w:eastAsia="zh-CN"/>
        </w:rPr>
        <w:t>成交</w:t>
      </w:r>
      <w:r>
        <w:rPr>
          <w:rFonts w:hint="eastAsia" w:ascii="宋体"/>
          <w:color w:val="auto"/>
          <w:szCs w:val="21"/>
          <w:highlight w:val="none"/>
        </w:rPr>
        <w:t>价格中扣除该部分费用。</w:t>
      </w:r>
    </w:p>
    <w:p w14:paraId="058B92DB">
      <w:pPr>
        <w:shd w:val="clear" w:color="auto" w:fill="auto"/>
        <w:spacing w:line="440" w:lineRule="exact"/>
        <w:ind w:firstLine="403" w:firstLineChars="192"/>
        <w:rPr>
          <w:rFonts w:hint="eastAsia" w:ascii="宋体"/>
          <w:color w:val="auto"/>
          <w:szCs w:val="21"/>
          <w:highlight w:val="none"/>
        </w:rPr>
      </w:pPr>
      <w:r>
        <w:rPr>
          <w:rFonts w:hint="eastAsia" w:ascii="宋体"/>
          <w:color w:val="auto"/>
          <w:szCs w:val="21"/>
          <w:highlight w:val="none"/>
        </w:rPr>
        <w:t>22.13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3F967644">
      <w:pPr>
        <w:shd w:val="clear" w:color="auto" w:fill="auto"/>
        <w:spacing w:line="440" w:lineRule="exact"/>
        <w:ind w:firstLine="420" w:firstLineChars="200"/>
        <w:rPr>
          <w:rFonts w:hint="eastAsia" w:ascii="宋体"/>
          <w:b/>
          <w:color w:val="auto"/>
          <w:szCs w:val="21"/>
          <w:highlight w:val="none"/>
        </w:rPr>
      </w:pPr>
      <w:r>
        <w:rPr>
          <w:rFonts w:hint="eastAsia" w:ascii="宋体"/>
          <w:b/>
          <w:color w:val="auto"/>
          <w:szCs w:val="21"/>
          <w:highlight w:val="none"/>
        </w:rPr>
        <w:t>23. 投标有效期</w:t>
      </w:r>
    </w:p>
    <w:p w14:paraId="6E8FE42F">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23.1 除投标人须知前附表另有规定外，投标有效期为60天。</w:t>
      </w:r>
    </w:p>
    <w:p w14:paraId="3635D540">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23.2在投标有效期内，投标人撤销或修改其投标文件的，应承担</w:t>
      </w:r>
      <w:r>
        <w:rPr>
          <w:rFonts w:hint="eastAsia" w:ascii="宋体"/>
          <w:color w:val="auto"/>
          <w:szCs w:val="21"/>
          <w:highlight w:val="none"/>
          <w:lang w:eastAsia="zh-CN"/>
        </w:rPr>
        <w:t>采购文件</w:t>
      </w:r>
      <w:r>
        <w:rPr>
          <w:rFonts w:hint="eastAsia" w:ascii="宋体"/>
          <w:color w:val="auto"/>
          <w:szCs w:val="21"/>
          <w:highlight w:val="none"/>
        </w:rPr>
        <w:t>和法律规定的责任。</w:t>
      </w:r>
    </w:p>
    <w:p w14:paraId="2A040120">
      <w:pPr>
        <w:shd w:val="clear" w:color="auto" w:fill="auto"/>
        <w:spacing w:line="440" w:lineRule="exact"/>
        <w:ind w:firstLine="420" w:firstLineChars="200"/>
        <w:rPr>
          <w:rFonts w:hint="eastAsia" w:ascii="宋体"/>
          <w:color w:val="auto"/>
          <w:szCs w:val="21"/>
          <w:highlight w:val="none"/>
        </w:rPr>
      </w:pPr>
      <w:r>
        <w:rPr>
          <w:rFonts w:hint="eastAsia" w:ascii="宋体"/>
          <w:color w:val="auto"/>
          <w:szCs w:val="21"/>
          <w:highlight w:val="none"/>
        </w:rPr>
        <w:t>23.3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9596EA7">
      <w:pPr>
        <w:shd w:val="clear" w:color="auto" w:fill="auto"/>
        <w:spacing w:line="440" w:lineRule="exact"/>
        <w:ind w:firstLine="403" w:firstLineChars="192"/>
        <w:rPr>
          <w:rFonts w:hint="eastAsia" w:ascii="宋体"/>
          <w:b/>
          <w:color w:val="auto"/>
          <w:szCs w:val="21"/>
          <w:highlight w:val="none"/>
        </w:rPr>
      </w:pPr>
      <w:r>
        <w:rPr>
          <w:rFonts w:hint="eastAsia" w:ascii="宋体"/>
          <w:b/>
          <w:color w:val="auto"/>
          <w:szCs w:val="21"/>
          <w:highlight w:val="none"/>
        </w:rPr>
        <w:t>24. 投标保证金</w:t>
      </w:r>
    </w:p>
    <w:p w14:paraId="71D1B2E0">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24.1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2FB543BC">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24.2自</w:t>
      </w:r>
      <w:r>
        <w:rPr>
          <w:rFonts w:hint="eastAsia" w:ascii="宋体"/>
          <w:color w:val="auto"/>
          <w:szCs w:val="21"/>
          <w:highlight w:val="none"/>
          <w:lang w:eastAsia="zh-CN"/>
        </w:rPr>
        <w:t>成交</w:t>
      </w:r>
      <w:r>
        <w:rPr>
          <w:rFonts w:hint="eastAsia" w:ascii="宋体"/>
          <w:color w:val="auto"/>
          <w:szCs w:val="21"/>
          <w:highlight w:val="none"/>
        </w:rPr>
        <w:t>通知书发出之日起5个工作日内退还未</w:t>
      </w:r>
      <w:r>
        <w:rPr>
          <w:rFonts w:hint="eastAsia" w:ascii="宋体"/>
          <w:color w:val="auto"/>
          <w:szCs w:val="21"/>
          <w:highlight w:val="none"/>
          <w:lang w:eastAsia="zh-CN"/>
        </w:rPr>
        <w:t>成交</w:t>
      </w:r>
      <w:r>
        <w:rPr>
          <w:rFonts w:hint="eastAsia" w:ascii="宋体"/>
          <w:color w:val="auto"/>
          <w:szCs w:val="21"/>
          <w:highlight w:val="none"/>
        </w:rPr>
        <w:t>投标人的投标保证金，自政府采购合同签订之日起5个工作日内退还</w:t>
      </w:r>
      <w:r>
        <w:rPr>
          <w:rFonts w:hint="eastAsia" w:ascii="宋体"/>
          <w:color w:val="auto"/>
          <w:szCs w:val="21"/>
          <w:highlight w:val="none"/>
          <w:lang w:eastAsia="zh-CN"/>
        </w:rPr>
        <w:t>成交</w:t>
      </w:r>
      <w:r>
        <w:rPr>
          <w:rFonts w:hint="eastAsia" w:ascii="宋体"/>
          <w:color w:val="auto"/>
          <w:szCs w:val="21"/>
          <w:highlight w:val="none"/>
        </w:rPr>
        <w:t>人的投标保证金。</w:t>
      </w:r>
    </w:p>
    <w:p w14:paraId="147DC7B1">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 xml:space="preserve">24.3有下列情形之一的，投标保证金将不予退还： </w:t>
      </w:r>
    </w:p>
    <w:p w14:paraId="204F81DC">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（1）投标人在规定的投标有效期内撤回或修改其投标文件；</w:t>
      </w:r>
    </w:p>
    <w:p w14:paraId="5D3D8EF0">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eastAsia="zh-CN"/>
        </w:rPr>
        <w:t>成交</w:t>
      </w:r>
      <w:r>
        <w:rPr>
          <w:rFonts w:hint="eastAsia" w:ascii="宋体"/>
          <w:color w:val="auto"/>
          <w:szCs w:val="21"/>
          <w:highlight w:val="none"/>
        </w:rPr>
        <w:t>通知书发出后三十天内，</w:t>
      </w:r>
      <w:r>
        <w:rPr>
          <w:rFonts w:hint="eastAsia" w:ascii="宋体"/>
          <w:color w:val="auto"/>
          <w:szCs w:val="21"/>
          <w:highlight w:val="none"/>
          <w:lang w:eastAsia="zh-CN"/>
        </w:rPr>
        <w:t>成交</w:t>
      </w:r>
      <w:r>
        <w:rPr>
          <w:rFonts w:hint="eastAsia" w:ascii="宋体"/>
          <w:color w:val="auto"/>
          <w:szCs w:val="21"/>
          <w:highlight w:val="none"/>
        </w:rPr>
        <w:t>人无正当理由拒签合同协议书或未按</w:t>
      </w:r>
      <w:r>
        <w:rPr>
          <w:rFonts w:hint="eastAsia" w:ascii="宋体"/>
          <w:color w:val="auto"/>
          <w:szCs w:val="21"/>
          <w:highlight w:val="none"/>
          <w:lang w:eastAsia="zh-CN"/>
        </w:rPr>
        <w:t>采购文件</w:t>
      </w:r>
      <w:r>
        <w:rPr>
          <w:rFonts w:hint="eastAsia" w:ascii="宋体"/>
          <w:color w:val="auto"/>
          <w:szCs w:val="21"/>
          <w:highlight w:val="none"/>
        </w:rPr>
        <w:t>规定提交履约担保。</w:t>
      </w:r>
    </w:p>
    <w:p w14:paraId="151677E9">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（3）提供虚假材料谋取</w:t>
      </w:r>
      <w:r>
        <w:rPr>
          <w:rFonts w:hint="eastAsia" w:ascii="宋体"/>
          <w:color w:val="auto"/>
          <w:szCs w:val="21"/>
          <w:highlight w:val="none"/>
          <w:lang w:eastAsia="zh-CN"/>
        </w:rPr>
        <w:t>成交</w:t>
      </w:r>
      <w:r>
        <w:rPr>
          <w:rFonts w:hint="eastAsia" w:ascii="宋体"/>
          <w:color w:val="auto"/>
          <w:szCs w:val="21"/>
          <w:highlight w:val="none"/>
        </w:rPr>
        <w:t>的；</w:t>
      </w:r>
    </w:p>
    <w:p w14:paraId="1F05D265">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（4）经查实属于陪标、串通投标的等。</w:t>
      </w:r>
    </w:p>
    <w:p w14:paraId="5100CC99">
      <w:pPr>
        <w:shd w:val="clear" w:color="auto" w:fill="auto"/>
        <w:spacing w:line="400" w:lineRule="exact"/>
        <w:ind w:firstLine="420" w:firstLineChars="200"/>
        <w:rPr>
          <w:rFonts w:hint="eastAsia" w:ascii="宋体"/>
          <w:color w:val="auto"/>
          <w:szCs w:val="21"/>
          <w:highlight w:val="none"/>
        </w:rPr>
      </w:pPr>
      <w:bookmarkStart w:id="60" w:name="_Toc469495727"/>
      <w:r>
        <w:rPr>
          <w:rFonts w:hint="eastAsia" w:ascii="宋体"/>
          <w:color w:val="auto"/>
          <w:szCs w:val="21"/>
          <w:highlight w:val="none"/>
        </w:rPr>
        <w:t>24.4投标保证金按</w:t>
      </w:r>
      <w:r>
        <w:rPr>
          <w:rFonts w:hint="eastAsia" w:ascii="宋体"/>
          <w:color w:val="auto"/>
          <w:szCs w:val="21"/>
          <w:highlight w:val="none"/>
          <w:lang w:eastAsia="zh-CN"/>
        </w:rPr>
        <w:t>投标人须知前附表第</w:t>
      </w:r>
      <w:r>
        <w:rPr>
          <w:rFonts w:hint="eastAsia" w:ascii="宋体"/>
          <w:color w:val="auto"/>
          <w:szCs w:val="21"/>
          <w:highlight w:val="none"/>
          <w:lang w:val="en-US" w:eastAsia="zh-CN"/>
        </w:rPr>
        <w:t>24条</w:t>
      </w:r>
      <w:r>
        <w:rPr>
          <w:rFonts w:hint="eastAsia" w:ascii="宋体"/>
          <w:color w:val="auto"/>
          <w:szCs w:val="21"/>
          <w:highlight w:val="none"/>
        </w:rPr>
        <w:t>规定执行。</w:t>
      </w:r>
    </w:p>
    <w:p w14:paraId="2DE4048B">
      <w:pPr>
        <w:pStyle w:val="2"/>
        <w:shd w:val="clear" w:color="auto" w:fill="auto"/>
        <w:bidi w:val="0"/>
        <w:jc w:val="center"/>
        <w:rPr>
          <w:rFonts w:hint="eastAsia"/>
          <w:color w:val="auto"/>
          <w:sz w:val="28"/>
          <w:szCs w:val="28"/>
          <w:highlight w:val="none"/>
        </w:rPr>
      </w:pPr>
      <w:bookmarkStart w:id="61" w:name="_Toc2481"/>
      <w:bookmarkStart w:id="62" w:name="_Toc25611"/>
      <w:bookmarkStart w:id="63" w:name="_Toc3910"/>
      <w:bookmarkStart w:id="64" w:name="_Toc859"/>
      <w:r>
        <w:rPr>
          <w:rFonts w:hint="eastAsia"/>
          <w:color w:val="auto"/>
          <w:sz w:val="28"/>
          <w:szCs w:val="28"/>
          <w:highlight w:val="none"/>
        </w:rPr>
        <w:t>（四）</w:t>
      </w:r>
      <w:bookmarkEnd w:id="60"/>
      <w:r>
        <w:rPr>
          <w:rFonts w:hint="eastAsia"/>
          <w:color w:val="auto"/>
          <w:sz w:val="28"/>
          <w:szCs w:val="28"/>
          <w:highlight w:val="none"/>
        </w:rPr>
        <w:t>投标文件的制作、上传及递交要求</w:t>
      </w:r>
      <w:bookmarkEnd w:id="61"/>
      <w:bookmarkEnd w:id="62"/>
      <w:bookmarkEnd w:id="63"/>
      <w:bookmarkEnd w:id="64"/>
    </w:p>
    <w:p w14:paraId="00DAE494">
      <w:pPr>
        <w:shd w:val="clear" w:color="auto" w:fill="auto"/>
        <w:snapToGrid w:val="0"/>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投标文件的制作要求</w:t>
      </w:r>
    </w:p>
    <w:p w14:paraId="68779B1C">
      <w:pPr>
        <w:pStyle w:val="6"/>
        <w:shd w:val="clear" w:color="auto" w:fill="auto"/>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b w:val="0"/>
          <w:bCs/>
          <w:color w:val="auto"/>
          <w:sz w:val="21"/>
          <w:szCs w:val="21"/>
          <w:highlight w:val="none"/>
        </w:rPr>
        <w:t>（1）供应商应按照投标文件组成内容及项目招标需求和</w:t>
      </w:r>
      <w:r>
        <w:rPr>
          <w:rFonts w:hint="eastAsia" w:ascii="宋体" w:hAnsi="宋体" w:eastAsia="宋体" w:cs="宋体"/>
          <w:b w:val="0"/>
          <w:bCs/>
          <w:color w:val="auto"/>
          <w:sz w:val="21"/>
          <w:szCs w:val="21"/>
          <w:highlight w:val="none"/>
          <w:lang w:eastAsia="zh-CN"/>
        </w:rPr>
        <w:t>新疆</w:t>
      </w:r>
      <w:r>
        <w:rPr>
          <w:rFonts w:hint="eastAsia" w:ascii="宋体" w:hAnsi="宋体" w:eastAsia="宋体" w:cs="宋体"/>
          <w:b w:val="0"/>
          <w:bCs/>
          <w:color w:val="auto"/>
          <w:sz w:val="21"/>
          <w:szCs w:val="21"/>
          <w:highlight w:val="none"/>
        </w:rPr>
        <w:t>政府采购云平台要求制作投标文件，不按采购文件和</w:t>
      </w:r>
      <w:r>
        <w:rPr>
          <w:rFonts w:hint="eastAsia" w:ascii="宋体" w:hAnsi="宋体" w:eastAsia="宋体" w:cs="宋体"/>
          <w:b w:val="0"/>
          <w:bCs/>
          <w:color w:val="auto"/>
          <w:sz w:val="21"/>
          <w:szCs w:val="21"/>
          <w:highlight w:val="none"/>
          <w:lang w:eastAsia="zh-CN"/>
        </w:rPr>
        <w:t>新疆</w:t>
      </w:r>
      <w:r>
        <w:rPr>
          <w:rFonts w:hint="eastAsia" w:ascii="宋体" w:hAnsi="宋体" w:eastAsia="宋体" w:cs="宋体"/>
          <w:b w:val="0"/>
          <w:bCs/>
          <w:color w:val="auto"/>
          <w:sz w:val="21"/>
          <w:szCs w:val="21"/>
          <w:highlight w:val="none"/>
        </w:rPr>
        <w:t>政府采购云平台要求制作投标文件的将视情况处理（拒收等），由此产生的责任由供应商自行承担。</w:t>
      </w:r>
    </w:p>
    <w:p w14:paraId="78894ECF">
      <w:pPr>
        <w:pStyle w:val="6"/>
        <w:shd w:val="clear" w:color="auto" w:fill="auto"/>
        <w:snapToGrid w:val="0"/>
        <w:spacing w:line="36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Cs/>
          <w:color w:val="auto"/>
          <w:sz w:val="21"/>
          <w:szCs w:val="21"/>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7672D61C">
      <w:pPr>
        <w:pStyle w:val="6"/>
        <w:shd w:val="clear" w:color="auto" w:fill="auto"/>
        <w:snapToGrid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备份电子投标文件：通过“政采云”平台电子投标工具制作投标文件所产生的备份文件。</w:t>
      </w:r>
    </w:p>
    <w:p w14:paraId="11366FD5">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（2）供应商应对所提供的全部资料的真实性、有效性承担法律责任，电子投标文件中所须加盖公章部分均采用CA签章。</w:t>
      </w:r>
    </w:p>
    <w:p w14:paraId="52CF82AF">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（3）投标文件以及供应商与采购组织机构就有关投标事宜的所有来往函电，均应以中文汉语书写。除签字、盖章、专用名称等特殊情形外，以中文汉语以外的文字表述的投标文件视同未提供。</w:t>
      </w:r>
    </w:p>
    <w:p w14:paraId="1DF22B91">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（4）投标计量单位，采购文件已有明确规定的，使用采购文件规定的计量单位；采购文件没有规定的，应采用中华人民共和国法定计量单位（货币单位：人民币元）。</w:t>
      </w:r>
    </w:p>
    <w:p w14:paraId="60835846">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（5）若供应商不按采购文件的要求提供资格审查材料，其风险由供应商自行承担。</w:t>
      </w:r>
    </w:p>
    <w:p w14:paraId="105022D2">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（6）与本次投标无关的内容请不要制作在内，确保投标文件有针对性、简洁明了。</w:t>
      </w:r>
    </w:p>
    <w:p w14:paraId="5567DBC4">
      <w:pPr>
        <w:shd w:val="clear" w:color="auto" w:fill="auto"/>
        <w:snapToGrid w:val="0"/>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26.</w:t>
      </w:r>
      <w:r>
        <w:rPr>
          <w:rFonts w:hint="eastAsia" w:ascii="宋体" w:hAnsi="宋体" w:eastAsia="宋体" w:cs="宋体"/>
          <w:b/>
          <w:bCs/>
          <w:color w:val="auto"/>
          <w:sz w:val="21"/>
          <w:szCs w:val="21"/>
          <w:highlight w:val="none"/>
        </w:rPr>
        <w:t>投标文件的上传</w:t>
      </w:r>
    </w:p>
    <w:p w14:paraId="114D48EA">
      <w:pPr>
        <w:pStyle w:val="6"/>
        <w:shd w:val="clear" w:color="auto" w:fill="auto"/>
        <w:snapToGrid w:val="0"/>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bidi="zh-CN"/>
        </w:rPr>
        <w:t>电子加密投标文件（“.jmbs”格式）</w:t>
      </w:r>
      <w:r>
        <w:rPr>
          <w:rFonts w:hint="eastAsia" w:ascii="宋体" w:hAnsi="宋体" w:eastAsia="宋体" w:cs="宋体"/>
          <w:b/>
          <w:bCs/>
          <w:color w:val="auto"/>
          <w:sz w:val="21"/>
          <w:szCs w:val="21"/>
          <w:highlight w:val="none"/>
        </w:rPr>
        <w:t>：</w:t>
      </w:r>
    </w:p>
    <w:p w14:paraId="6474AD7D">
      <w:pPr>
        <w:pStyle w:val="6"/>
        <w:shd w:val="clear" w:color="auto" w:fill="auto"/>
        <w:snapToGrid w:val="0"/>
        <w:spacing w:line="360" w:lineRule="auto"/>
        <w:ind w:firstLine="525" w:firstLineChars="250"/>
        <w:rPr>
          <w:rFonts w:hint="eastAsia" w:ascii="宋体" w:hAnsi="宋体" w:eastAsia="宋体" w:cs="宋体"/>
          <w:b w:val="0"/>
          <w:bCs/>
          <w:color w:val="auto"/>
          <w:sz w:val="21"/>
          <w:szCs w:val="21"/>
          <w:highlight w:val="none"/>
          <w:lang w:bidi="zh-CN"/>
        </w:rPr>
      </w:pPr>
      <w:r>
        <w:rPr>
          <w:rFonts w:hint="eastAsia" w:ascii="宋体" w:hAnsi="宋体" w:eastAsia="宋体" w:cs="宋体"/>
          <w:b w:val="0"/>
          <w:bCs/>
          <w:color w:val="auto"/>
          <w:sz w:val="21"/>
          <w:szCs w:val="21"/>
          <w:highlight w:val="none"/>
          <w:lang w:bidi="zh-CN"/>
        </w:rPr>
        <w:t>a.</w:t>
      </w:r>
      <w:r>
        <w:rPr>
          <w:rFonts w:hint="eastAsia" w:ascii="宋体" w:hAnsi="宋体" w:eastAsia="宋体" w:cs="宋体"/>
          <w:b w:val="0"/>
          <w:bCs/>
          <w:color w:val="auto"/>
          <w:kern w:val="0"/>
          <w:sz w:val="21"/>
          <w:szCs w:val="21"/>
          <w:highlight w:val="none"/>
        </w:rPr>
        <w:t xml:space="preserve"> </w:t>
      </w:r>
      <w:r>
        <w:rPr>
          <w:rFonts w:hint="eastAsia" w:ascii="宋体" w:hAnsi="宋体" w:eastAsia="宋体" w:cs="宋体"/>
          <w:b w:val="0"/>
          <w:bCs/>
          <w:color w:val="auto"/>
          <w:sz w:val="21"/>
          <w:szCs w:val="21"/>
          <w:highlight w:val="none"/>
          <w:lang w:bidi="zh-CN"/>
        </w:rPr>
        <w:t>供应商应在投标截止时间前将电子加密投标文件成功上传递交至新疆政府采购云平台，否则投标无效；</w:t>
      </w:r>
    </w:p>
    <w:p w14:paraId="370C8436">
      <w:pPr>
        <w:pStyle w:val="6"/>
        <w:shd w:val="clear" w:color="auto" w:fill="auto"/>
        <w:snapToGrid w:val="0"/>
        <w:spacing w:line="360" w:lineRule="auto"/>
        <w:ind w:firstLine="525" w:firstLineChars="25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bidi="zh-CN"/>
        </w:rPr>
        <w:t>b.供应商成功上传电子加密投标文件后，可自行打印投标文件接收回执。</w:t>
      </w:r>
    </w:p>
    <w:p w14:paraId="23863D0A">
      <w:pPr>
        <w:shd w:val="clear" w:color="auto" w:fill="auto"/>
        <w:snapToGrid w:val="0"/>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27.</w:t>
      </w:r>
      <w:r>
        <w:rPr>
          <w:rFonts w:hint="eastAsia" w:ascii="宋体" w:hAnsi="宋体" w:eastAsia="宋体" w:cs="宋体"/>
          <w:b/>
          <w:color w:val="auto"/>
          <w:sz w:val="21"/>
          <w:szCs w:val="21"/>
          <w:highlight w:val="none"/>
        </w:rPr>
        <w:t>投标文件的递交要求</w:t>
      </w:r>
    </w:p>
    <w:p w14:paraId="6B722DC5">
      <w:pPr>
        <w:shd w:val="clear" w:color="auto" w:fill="auto"/>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（1）供应商须按照采购文件和政采云平台的要求编制并加密投标文件。在投标文件递交截止时间以前完成投标文件的传输递交，截止时间后递交的投标文件，将被拒收。</w:t>
      </w:r>
    </w:p>
    <w:p w14:paraId="6F9D7BF1">
      <w:pPr>
        <w:shd w:val="clear" w:color="auto" w:fill="auto"/>
        <w:tabs>
          <w:tab w:val="left" w:pos="1418"/>
        </w:tabs>
        <w:autoSpaceDE w:val="0"/>
        <w:autoSpaceDN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（2）备份电子投标文件必须在投标截止时间前送达指定的投标地点。备份电子投标文件在截止时间后提交，采购组织机构将拒绝接收。</w:t>
      </w:r>
    </w:p>
    <w:p w14:paraId="3F190E63">
      <w:pPr>
        <w:shd w:val="clear" w:color="auto" w:fill="auto"/>
        <w:tabs>
          <w:tab w:val="left" w:pos="1418"/>
        </w:tabs>
        <w:autoSpaceDE w:val="0"/>
        <w:autoSpaceDN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eastAsia="宋体" w:cs="宋体"/>
          <w:color w:val="auto"/>
          <w:sz w:val="21"/>
          <w:szCs w:val="21"/>
          <w:highlight w:val="none"/>
        </w:rPr>
        <w:t>（3）如有特殊情况，采购组织机构延长截止时间和开标时间，采购组织机构和供应商的权利和义务将受到新的截止时间和开标时间的约束。</w:t>
      </w:r>
    </w:p>
    <w:p w14:paraId="120936E5">
      <w:pPr>
        <w:shd w:val="clear" w:color="auto" w:fill="auto"/>
        <w:snapToGrid w:val="0"/>
        <w:spacing w:line="360" w:lineRule="auto"/>
        <w:ind w:firstLine="420"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28．投标文件的补充、修改与撤回</w:t>
      </w:r>
    </w:p>
    <w:p w14:paraId="39003D55">
      <w:pPr>
        <w:shd w:val="clear" w:color="auto" w:fill="auto"/>
        <w:tabs>
          <w:tab w:val="left" w:pos="960"/>
          <w:tab w:val="left" w:pos="1418"/>
        </w:tabs>
        <w:autoSpaceDE w:val="0"/>
        <w:autoSpaceDN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6E45A6F1">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黑体" w:eastAsia="黑体"/>
          <w:color w:val="auto"/>
          <w:sz w:val="28"/>
          <w:szCs w:val="28"/>
          <w:highlight w:val="none"/>
        </w:rPr>
      </w:pPr>
      <w:bookmarkStart w:id="65" w:name="_Toc25866"/>
      <w:bookmarkStart w:id="66" w:name="_Toc6569"/>
      <w:bookmarkStart w:id="67" w:name="_Toc469495728"/>
      <w:bookmarkStart w:id="68" w:name="_Toc657"/>
      <w:r>
        <w:rPr>
          <w:rFonts w:hint="eastAsia" w:ascii="黑体" w:eastAsia="黑体"/>
          <w:color w:val="auto"/>
          <w:sz w:val="28"/>
          <w:szCs w:val="28"/>
          <w:highlight w:val="none"/>
        </w:rPr>
        <w:t>（五）开 标、评标和定标</w:t>
      </w:r>
      <w:bookmarkEnd w:id="65"/>
      <w:bookmarkEnd w:id="66"/>
      <w:bookmarkEnd w:id="67"/>
      <w:bookmarkEnd w:id="68"/>
    </w:p>
    <w:p w14:paraId="7BC8DD16">
      <w:pPr>
        <w:shd w:val="clear" w:color="auto" w:fill="auto"/>
        <w:snapToGrid w:val="0"/>
        <w:spacing w:line="360" w:lineRule="auto"/>
        <w:ind w:firstLine="420"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29. 开标</w:t>
      </w:r>
    </w:p>
    <w:p w14:paraId="1D9AF375">
      <w:pPr>
        <w:shd w:val="clear" w:color="auto" w:fill="auto"/>
        <w:snapToGrid w:val="0"/>
        <w:spacing w:line="360" w:lineRule="auto"/>
        <w:ind w:firstLine="420" w:firstLineChars="200"/>
        <w:rPr>
          <w:rFonts w:hint="eastAsia" w:ascii="宋体" w:hAnsi="宋体" w:eastAsia="宋体" w:cs="宋体"/>
          <w:b/>
          <w:bCs/>
          <w:color w:val="auto"/>
          <w:sz w:val="21"/>
          <w:szCs w:val="21"/>
          <w:highlight w:val="none"/>
          <w:lang w:val="en-US" w:eastAsia="zh-CN"/>
        </w:rPr>
      </w:pPr>
      <w:bookmarkStart w:id="69" w:name="_Toc73975822"/>
      <w:r>
        <w:rPr>
          <w:rFonts w:hint="eastAsia" w:ascii="宋体" w:hAnsi="宋体" w:eastAsia="宋体" w:cs="宋体"/>
          <w:b/>
          <w:bCs/>
          <w:color w:val="auto"/>
          <w:sz w:val="21"/>
          <w:szCs w:val="21"/>
          <w:highlight w:val="none"/>
          <w:lang w:val="en-US" w:eastAsia="zh-CN"/>
        </w:rPr>
        <w:t>29.1开标邀请</w:t>
      </w:r>
      <w:bookmarkEnd w:id="69"/>
    </w:p>
    <w:p w14:paraId="7E57446C">
      <w:pPr>
        <w:pStyle w:val="12"/>
        <w:shd w:val="clear" w:color="auto" w:fill="auto"/>
        <w:snapToGrid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开标准备：本项目开标的准备工作由采购组织机构负责落实，开标过程由采购组织机构负责记录；</w:t>
      </w:r>
    </w:p>
    <w:p w14:paraId="28CE290E">
      <w:pPr>
        <w:pStyle w:val="12"/>
        <w:shd w:val="clear" w:color="auto" w:fill="auto"/>
        <w:snapToGrid w:val="0"/>
        <w:spacing w:line="36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开标主持：本项目开标由采购人或者采购代理机构主持；</w:t>
      </w:r>
    </w:p>
    <w:p w14:paraId="237AF166">
      <w:pPr>
        <w:pStyle w:val="12"/>
        <w:shd w:val="clear" w:color="auto" w:fill="auto"/>
        <w:snapToGrid w:val="0"/>
        <w:spacing w:line="36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lang w:val="en-US" w:eastAsia="zh-CN"/>
        </w:rPr>
        <w:t>3</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开标邀请：本项目采用电子交易，采购组织机构将按照采购文件规定的时间通过“</w:t>
      </w:r>
      <w:r>
        <w:rPr>
          <w:rFonts w:hint="eastAsia" w:ascii="宋体" w:hAnsi="宋体" w:eastAsia="宋体" w:cs="宋体"/>
          <w:b w:val="0"/>
          <w:color w:val="auto"/>
          <w:sz w:val="21"/>
          <w:szCs w:val="21"/>
          <w:highlight w:val="none"/>
          <w:lang w:eastAsia="zh-CN"/>
        </w:rPr>
        <w:t>新疆</w:t>
      </w:r>
      <w:r>
        <w:rPr>
          <w:rFonts w:hint="eastAsia" w:ascii="宋体" w:hAnsi="宋体" w:eastAsia="宋体" w:cs="宋体"/>
          <w:b w:val="0"/>
          <w:color w:val="auto"/>
          <w:sz w:val="21"/>
          <w:szCs w:val="21"/>
          <w:highlight w:val="none"/>
        </w:rPr>
        <w:t>政府采购云平台，网址：</w:t>
      </w:r>
      <w:r>
        <w:rPr>
          <w:rFonts w:hint="eastAsia" w:ascii="宋体" w:hAnsi="宋体" w:eastAsia="宋体" w:cs="宋体"/>
          <w:b w:val="0"/>
          <w:color w:val="auto"/>
          <w:sz w:val="21"/>
          <w:szCs w:val="21"/>
          <w:highlight w:val="none"/>
        </w:rPr>
        <w:fldChar w:fldCharType="begin"/>
      </w:r>
      <w:r>
        <w:rPr>
          <w:rFonts w:hint="eastAsia" w:ascii="宋体" w:hAnsi="宋体" w:eastAsia="宋体" w:cs="宋体"/>
          <w:b w:val="0"/>
          <w:color w:val="auto"/>
          <w:sz w:val="21"/>
          <w:szCs w:val="21"/>
          <w:highlight w:val="none"/>
        </w:rPr>
        <w:instrText xml:space="preserve">HYPERLINK "http://www.zcygov.cn"</w:instrText>
      </w:r>
      <w:r>
        <w:rPr>
          <w:rFonts w:hint="eastAsia" w:ascii="宋体" w:hAnsi="宋体" w:eastAsia="宋体" w:cs="宋体"/>
          <w:b w:val="0"/>
          <w:color w:val="auto"/>
          <w:sz w:val="21"/>
          <w:szCs w:val="21"/>
          <w:highlight w:val="none"/>
        </w:rPr>
        <w:fldChar w:fldCharType="separate"/>
      </w:r>
      <w:r>
        <w:rPr>
          <w:rStyle w:val="31"/>
          <w:rFonts w:hint="eastAsia" w:ascii="宋体" w:hAnsi="宋体" w:eastAsia="宋体" w:cs="宋体"/>
          <w:b w:val="0"/>
          <w:color w:val="auto"/>
          <w:sz w:val="21"/>
          <w:szCs w:val="21"/>
          <w:highlight w:val="none"/>
          <w:u w:val="none"/>
        </w:rPr>
        <w:t>www.zcygov.cn</w:t>
      </w:r>
      <w:r>
        <w:rPr>
          <w:rFonts w:hint="eastAsia" w:ascii="宋体" w:hAnsi="宋体" w:eastAsia="宋体" w:cs="宋体"/>
          <w:color w:val="auto"/>
          <w:sz w:val="21"/>
          <w:szCs w:val="21"/>
          <w:highlight w:val="none"/>
        </w:rPr>
        <w:fldChar w:fldCharType="end"/>
      </w:r>
      <w:r>
        <w:rPr>
          <w:rFonts w:hint="eastAsia" w:ascii="宋体" w:hAnsi="宋体" w:eastAsia="宋体" w:cs="宋体"/>
          <w:b w:val="0"/>
          <w:color w:val="auto"/>
          <w:sz w:val="21"/>
          <w:szCs w:val="21"/>
          <w:highlight w:val="none"/>
        </w:rPr>
        <w:t>”组织开标、开启投标响应文件，所有供应商均应当准时在线参加。</w:t>
      </w:r>
    </w:p>
    <w:p w14:paraId="13D1D7F1">
      <w:pPr>
        <w:pStyle w:val="12"/>
        <w:shd w:val="clear" w:color="auto" w:fill="auto"/>
        <w:snapToGrid w:val="0"/>
        <w:spacing w:line="36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lang w:val="en-US" w:eastAsia="zh-CN"/>
        </w:rPr>
        <w:t>4</w:t>
      </w:r>
      <w:r>
        <w:rPr>
          <w:rFonts w:hint="eastAsia" w:ascii="宋体" w:hAnsi="宋体" w:eastAsia="宋体" w:cs="宋体"/>
          <w:b w:val="0"/>
          <w:color w:val="auto"/>
          <w:sz w:val="21"/>
          <w:szCs w:val="21"/>
          <w:highlight w:val="none"/>
          <w:lang w:eastAsia="zh-CN"/>
        </w:rPr>
        <w:t>）</w:t>
      </w:r>
      <w:r>
        <w:rPr>
          <w:rFonts w:hint="eastAsia" w:ascii="宋体" w:hAnsi="宋体" w:eastAsia="宋体" w:cs="宋体"/>
          <w:b w:val="0"/>
          <w:color w:val="auto"/>
          <w:sz w:val="21"/>
          <w:szCs w:val="21"/>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57DE9B10">
      <w:pPr>
        <w:shd w:val="clear" w:color="auto" w:fill="auto"/>
        <w:snapToGrid w:val="0"/>
        <w:spacing w:line="360" w:lineRule="auto"/>
        <w:ind w:firstLine="420" w:firstLineChars="200"/>
        <w:outlineLvl w:val="2"/>
        <w:rPr>
          <w:rFonts w:hint="eastAsia" w:ascii="宋体" w:hAnsi="宋体" w:eastAsia="宋体" w:cs="宋体"/>
          <w:b/>
          <w:color w:val="auto"/>
          <w:sz w:val="21"/>
          <w:szCs w:val="21"/>
          <w:highlight w:val="none"/>
        </w:rPr>
      </w:pPr>
      <w:bookmarkStart w:id="70" w:name="_Toc3533"/>
      <w:bookmarkStart w:id="71" w:name="_Toc73975823"/>
      <w:bookmarkStart w:id="72" w:name="_Toc19622"/>
      <w:bookmarkStart w:id="73" w:name="_Toc7364"/>
      <w:r>
        <w:rPr>
          <w:rFonts w:hint="eastAsia" w:ascii="宋体" w:hAnsi="宋体" w:eastAsia="宋体" w:cs="宋体"/>
          <w:b/>
          <w:color w:val="auto"/>
          <w:sz w:val="21"/>
          <w:szCs w:val="21"/>
          <w:highlight w:val="none"/>
          <w:lang w:val="en-US" w:eastAsia="zh-CN"/>
        </w:rPr>
        <w:t>29.2</w:t>
      </w:r>
      <w:r>
        <w:rPr>
          <w:rFonts w:hint="eastAsia" w:ascii="宋体" w:hAnsi="宋体" w:eastAsia="宋体" w:cs="宋体"/>
          <w:b/>
          <w:bCs/>
          <w:color w:val="auto"/>
          <w:sz w:val="21"/>
          <w:szCs w:val="21"/>
          <w:highlight w:val="none"/>
        </w:rPr>
        <w:t>开标程序</w:t>
      </w:r>
      <w:bookmarkEnd w:id="70"/>
      <w:bookmarkEnd w:id="71"/>
      <w:bookmarkEnd w:id="72"/>
      <w:bookmarkEnd w:id="73"/>
    </w:p>
    <w:p w14:paraId="1B3245C0">
      <w:pPr>
        <w:shd w:val="clear" w:color="auto" w:fill="auto"/>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开标时间到后，主持人宣布开标会议开始。</w:t>
      </w:r>
    </w:p>
    <w:p w14:paraId="4DBD2144">
      <w:pPr>
        <w:shd w:val="clear" w:color="auto" w:fill="auto"/>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投标文件解密（</w:t>
      </w:r>
      <w:r>
        <w:rPr>
          <w:rFonts w:hint="eastAsia" w:ascii="宋体" w:hAnsi="宋体" w:eastAsia="宋体" w:cs="宋体"/>
          <w:b/>
          <w:color w:val="auto"/>
          <w:kern w:val="0"/>
          <w:sz w:val="21"/>
          <w:szCs w:val="21"/>
          <w:highlight w:val="none"/>
        </w:rPr>
        <w:t>解密规定见《供应商须知前附表》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w:t>
      </w:r>
    </w:p>
    <w:p w14:paraId="345370D8">
      <w:pPr>
        <w:shd w:val="clear" w:color="auto" w:fill="auto"/>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投标文件解密异常情况处理（</w:t>
      </w:r>
      <w:r>
        <w:rPr>
          <w:rFonts w:hint="eastAsia" w:ascii="宋体" w:hAnsi="宋体" w:eastAsia="宋体" w:cs="宋体"/>
          <w:b/>
          <w:color w:val="auto"/>
          <w:kern w:val="0"/>
          <w:sz w:val="21"/>
          <w:szCs w:val="21"/>
          <w:highlight w:val="none"/>
        </w:rPr>
        <w:t>处理办法见《供应商须知前附表》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w:t>
      </w:r>
    </w:p>
    <w:p w14:paraId="47D6B3E3">
      <w:pPr>
        <w:shd w:val="clear" w:color="auto" w:fill="auto"/>
        <w:snapToGrid w:val="0"/>
        <w:spacing w:line="360" w:lineRule="auto"/>
        <w:ind w:firstLine="420" w:firstLineChars="200"/>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公布投标文件解密情况（投标文件成功解密的供应商名单等信息）</w:t>
      </w:r>
      <w:r>
        <w:rPr>
          <w:rFonts w:hint="eastAsia" w:ascii="宋体" w:hAnsi="宋体" w:eastAsia="宋体" w:cs="宋体"/>
          <w:color w:val="auto"/>
          <w:kern w:val="0"/>
          <w:sz w:val="21"/>
          <w:szCs w:val="21"/>
          <w:highlight w:val="none"/>
          <w:lang w:eastAsia="zh-CN"/>
        </w:rPr>
        <w:t>。</w:t>
      </w:r>
    </w:p>
    <w:p w14:paraId="4522A08C">
      <w:pPr>
        <w:shd w:val="clear" w:color="auto" w:fill="auto"/>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开启标书信息。标书信息开启后，首先由采购人或采购代理机构依法对投标供应商的资格</w:t>
      </w:r>
      <w:r>
        <w:rPr>
          <w:rFonts w:hint="eastAsia" w:ascii="宋体" w:hAnsi="宋体" w:eastAsia="宋体" w:cs="宋体"/>
          <w:color w:val="auto"/>
          <w:kern w:val="0"/>
          <w:sz w:val="21"/>
          <w:szCs w:val="21"/>
          <w:highlight w:val="none"/>
          <w:lang w:eastAsia="zh-CN"/>
        </w:rPr>
        <w:t>证明</w:t>
      </w:r>
      <w:r>
        <w:rPr>
          <w:rFonts w:hint="eastAsia" w:ascii="宋体" w:hAnsi="宋体" w:eastAsia="宋体" w:cs="宋体"/>
          <w:color w:val="auto"/>
          <w:kern w:val="0"/>
          <w:sz w:val="21"/>
          <w:szCs w:val="21"/>
          <w:highlight w:val="none"/>
        </w:rPr>
        <w:t>文件进行审查， 审查结束公布投标供应商的资格符合情况。资格审查未获通过的供应商，其商务技术文件及报价文件不再进入评审。</w:t>
      </w:r>
    </w:p>
    <w:p w14:paraId="2303C7F4">
      <w:pPr>
        <w:shd w:val="clear" w:color="auto" w:fill="auto"/>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商务技术评审结束后，主持人公布商务技术评审无效投标供应商名单和商务技术评审有效投标供应商名单及其商务技术得分情况</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商务技术评审无效的供应商，其报价不再进入评审。</w:t>
      </w:r>
    </w:p>
    <w:p w14:paraId="2A68ECCE">
      <w:pPr>
        <w:shd w:val="clear" w:color="auto" w:fill="auto"/>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开启有效投标供应商的报价，公布开标一览表有关内容，开标结束后，由评标委员会对报价的合理性、准确性等进行审查核实</w:t>
      </w:r>
      <w:r>
        <w:rPr>
          <w:rFonts w:hint="eastAsia" w:ascii="宋体" w:hAnsi="宋体" w:eastAsia="宋体" w:cs="宋体"/>
          <w:color w:val="auto"/>
          <w:sz w:val="21"/>
          <w:szCs w:val="21"/>
          <w:highlight w:val="none"/>
        </w:rPr>
        <w:t>。</w:t>
      </w:r>
    </w:p>
    <w:p w14:paraId="0D9B8ABD">
      <w:pPr>
        <w:shd w:val="clear" w:color="auto" w:fill="auto"/>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评审结束后，采购代理机构在系统上公布评审结果。</w:t>
      </w:r>
    </w:p>
    <w:p w14:paraId="187BE64F">
      <w:pPr>
        <w:shd w:val="clear" w:color="auto" w:fill="auto"/>
        <w:snapToGrid w:val="0"/>
        <w:spacing w:line="360" w:lineRule="auto"/>
        <w:ind w:left="48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特别情况说明：</w:t>
      </w:r>
    </w:p>
    <w:p w14:paraId="7612FB41">
      <w:pPr>
        <w:shd w:val="clear" w:color="auto" w:fill="auto"/>
        <w:snapToGrid w:val="0"/>
        <w:spacing w:line="360" w:lineRule="auto"/>
        <w:ind w:firstLine="371" w:firstLineChars="177"/>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（1）本项目采用电子交易，如遇“</w:t>
      </w:r>
      <w:r>
        <w:rPr>
          <w:rFonts w:hint="eastAsia" w:ascii="宋体" w:hAnsi="宋体" w:eastAsia="宋体" w:cs="宋体"/>
          <w:b/>
          <w:color w:val="auto"/>
          <w:kern w:val="0"/>
          <w:sz w:val="21"/>
          <w:szCs w:val="21"/>
          <w:highlight w:val="none"/>
          <w:lang w:eastAsia="zh-CN"/>
        </w:rPr>
        <w:t>新疆</w:t>
      </w:r>
      <w:r>
        <w:rPr>
          <w:rFonts w:hint="eastAsia" w:ascii="宋体" w:hAnsi="宋体" w:eastAsia="宋体" w:cs="宋体"/>
          <w:b/>
          <w:color w:val="auto"/>
          <w:kern w:val="0"/>
          <w:sz w:val="21"/>
          <w:szCs w:val="21"/>
          <w:highlight w:val="none"/>
        </w:rPr>
        <w:t>政府采购云平台”电子化开标或评审程序调整的，按调整后程序执行。</w:t>
      </w:r>
    </w:p>
    <w:p w14:paraId="6CD18691">
      <w:pPr>
        <w:shd w:val="clear" w:color="auto" w:fill="auto"/>
        <w:snapToGrid w:val="0"/>
        <w:spacing w:line="360" w:lineRule="auto"/>
        <w:ind w:firstLine="371" w:firstLineChars="177"/>
        <w:jc w:val="left"/>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宋体" w:hAnsi="宋体" w:eastAsia="宋体" w:cs="宋体"/>
          <w:b/>
          <w:color w:val="auto"/>
          <w:kern w:val="0"/>
          <w:sz w:val="21"/>
          <w:szCs w:val="21"/>
          <w:highlight w:val="none"/>
          <w:u w:val="single"/>
        </w:rPr>
        <w:t>请供应商保证办理投标事宜人员电话畅通、网络在线，签字或盖章确认的时间为20分钟。如未及时签字或盖章确认的，视为无异议</w:t>
      </w:r>
      <w:r>
        <w:rPr>
          <w:rFonts w:hint="eastAsia" w:ascii="宋体" w:hAnsi="宋体" w:eastAsia="宋体" w:cs="宋体"/>
          <w:b/>
          <w:color w:val="auto"/>
          <w:kern w:val="0"/>
          <w:sz w:val="21"/>
          <w:szCs w:val="21"/>
          <w:highlight w:val="none"/>
        </w:rPr>
        <w:t>。</w:t>
      </w:r>
    </w:p>
    <w:p w14:paraId="49D01FE8">
      <w:pPr>
        <w:shd w:val="clear" w:color="auto" w:fill="auto"/>
        <w:snapToGrid w:val="0"/>
        <w:spacing w:line="360" w:lineRule="auto"/>
        <w:ind w:firstLine="420"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lang w:val="en-US" w:eastAsia="zh-CN"/>
        </w:rPr>
        <w:t>29.3</w:t>
      </w:r>
      <w:r>
        <w:rPr>
          <w:rFonts w:hint="eastAsia" w:ascii="宋体" w:hAnsi="宋体" w:eastAsia="宋体" w:cs="宋体"/>
          <w:b/>
          <w:color w:val="auto"/>
          <w:kern w:val="0"/>
          <w:sz w:val="21"/>
          <w:szCs w:val="21"/>
          <w:highlight w:val="none"/>
        </w:rPr>
        <w:t xml:space="preserve"> 投标供应商资格审查：</w:t>
      </w:r>
    </w:p>
    <w:p w14:paraId="673B9D0E">
      <w:pPr>
        <w:shd w:val="clear" w:color="auto" w:fill="auto"/>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Cs/>
          <w:color w:val="auto"/>
          <w:kern w:val="0"/>
          <w:sz w:val="21"/>
          <w:szCs w:val="21"/>
          <w:highlight w:val="none"/>
        </w:rPr>
        <w:t>开标（标书信息开启）后，采购人或采购代理机构</w:t>
      </w:r>
      <w:r>
        <w:rPr>
          <w:rFonts w:hint="eastAsia" w:ascii="宋体" w:hAnsi="宋体" w:eastAsia="宋体" w:cs="宋体"/>
          <w:bCs/>
          <w:color w:val="auto"/>
          <w:kern w:val="0"/>
          <w:sz w:val="21"/>
          <w:szCs w:val="21"/>
          <w:highlight w:val="none"/>
          <w:lang w:eastAsia="zh-CN"/>
        </w:rPr>
        <w:t>或</w:t>
      </w:r>
      <w:r>
        <w:rPr>
          <w:rFonts w:hint="eastAsia" w:ascii="宋体" w:hAnsi="宋体" w:eastAsia="宋体" w:cs="宋体"/>
          <w:color w:val="auto"/>
          <w:kern w:val="0"/>
          <w:sz w:val="21"/>
          <w:szCs w:val="21"/>
          <w:highlight w:val="none"/>
          <w:lang w:eastAsia="zh-CN"/>
        </w:rPr>
        <w:t>评审小组</w:t>
      </w:r>
      <w:r>
        <w:rPr>
          <w:rFonts w:hint="eastAsia" w:ascii="宋体" w:hAnsi="宋体" w:eastAsia="宋体" w:cs="宋体"/>
          <w:bCs/>
          <w:color w:val="auto"/>
          <w:kern w:val="0"/>
          <w:sz w:val="21"/>
          <w:szCs w:val="21"/>
          <w:highlight w:val="none"/>
        </w:rPr>
        <w:t>首先依法对投标供应商的资格文件进行审查，审查各投标供应商的资格符合情况。</w:t>
      </w:r>
      <w:r>
        <w:rPr>
          <w:rFonts w:hint="eastAsia" w:ascii="宋体" w:hAnsi="宋体" w:eastAsia="宋体" w:cs="宋体"/>
          <w:color w:val="auto"/>
          <w:sz w:val="21"/>
          <w:szCs w:val="21"/>
          <w:highlight w:val="none"/>
        </w:rPr>
        <w:t>采购人或采购代理机构</w:t>
      </w:r>
      <w:r>
        <w:rPr>
          <w:rFonts w:hint="eastAsia" w:ascii="宋体" w:hAnsi="宋体" w:eastAsia="宋体" w:cs="宋体"/>
          <w:bCs/>
          <w:color w:val="auto"/>
          <w:kern w:val="0"/>
          <w:sz w:val="21"/>
          <w:szCs w:val="21"/>
          <w:highlight w:val="none"/>
          <w:lang w:eastAsia="zh-CN"/>
        </w:rPr>
        <w:t>或</w:t>
      </w:r>
      <w:r>
        <w:rPr>
          <w:rFonts w:hint="eastAsia" w:ascii="宋体" w:hAnsi="宋体" w:eastAsia="宋体" w:cs="宋体"/>
          <w:color w:val="auto"/>
          <w:kern w:val="0"/>
          <w:sz w:val="21"/>
          <w:szCs w:val="21"/>
          <w:highlight w:val="none"/>
          <w:lang w:eastAsia="zh-CN"/>
        </w:rPr>
        <w:t>评审小组</w:t>
      </w:r>
      <w:r>
        <w:rPr>
          <w:rFonts w:hint="eastAsia" w:ascii="宋体" w:hAnsi="宋体" w:eastAsia="宋体" w:cs="宋体"/>
          <w:color w:val="auto"/>
          <w:sz w:val="21"/>
          <w:szCs w:val="21"/>
          <w:highlight w:val="none"/>
        </w:rPr>
        <w:t>对投标供应商所提交的资格证明材料仅负审核的责任。如发现投标供应商所提交的资格证明材料不合法或与事实不符，采购人可取消其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资格并追究投标供应商的法律责任。</w:t>
      </w:r>
    </w:p>
    <w:p w14:paraId="1367CC1B">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50FE1854">
      <w:pPr>
        <w:pStyle w:val="6"/>
        <w:shd w:val="clear" w:color="auto" w:fill="auto"/>
        <w:snapToGrid w:val="0"/>
        <w:spacing w:line="360" w:lineRule="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w:t>
      </w:r>
      <w:r>
        <w:rPr>
          <w:rFonts w:hint="eastAsia" w:ascii="宋体" w:hAnsi="宋体" w:eastAsia="宋体" w:cs="宋体"/>
          <w:b w:val="0"/>
          <w:bCs/>
          <w:color w:val="auto"/>
          <w:kern w:val="0"/>
          <w:sz w:val="21"/>
          <w:szCs w:val="21"/>
          <w:highlight w:val="none"/>
        </w:rPr>
        <w:t>供应商</w:t>
      </w:r>
      <w:r>
        <w:rPr>
          <w:rFonts w:hint="eastAsia" w:ascii="宋体" w:hAnsi="宋体" w:eastAsia="宋体" w:cs="宋体"/>
          <w:b w:val="0"/>
          <w:bCs/>
          <w:color w:val="auto"/>
          <w:sz w:val="21"/>
          <w:szCs w:val="21"/>
          <w:highlight w:val="none"/>
        </w:rPr>
        <w:t>信用记录查询与使用：</w:t>
      </w:r>
      <w:r>
        <w:rPr>
          <w:rFonts w:hint="eastAsia" w:ascii="宋体" w:hAnsi="宋体" w:eastAsia="宋体" w:cs="宋体"/>
          <w:b w:val="0"/>
          <w:bCs/>
          <w:color w:val="auto"/>
          <w:kern w:val="0"/>
          <w:sz w:val="21"/>
          <w:szCs w:val="21"/>
          <w:highlight w:val="none"/>
        </w:rPr>
        <w:t>见《供应商须知前附表》。</w:t>
      </w:r>
    </w:p>
    <w:p w14:paraId="53B3C8BB">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30.</w:t>
      </w:r>
      <w:r>
        <w:rPr>
          <w:rFonts w:hint="eastAsia" w:ascii="宋体"/>
          <w:color w:val="auto"/>
          <w:szCs w:val="21"/>
          <w:highlight w:val="none"/>
        </w:rPr>
        <w:t>评审工作的组织</w:t>
      </w:r>
    </w:p>
    <w:p w14:paraId="19E31422">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采购人或采购代理机构负责组织本项目的评审工作，并依据《政府采购货物和服务招标投标管理办法（财政部第87号令）》第四十五条的相关规定履行职责。</w:t>
      </w:r>
    </w:p>
    <w:p w14:paraId="41F82179">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 评标委员会的组建</w:t>
      </w:r>
    </w:p>
    <w:p w14:paraId="2C51B12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.1评标委员会由采购人或采购代理机构依法组建，成员由评审专家组成，成员人数为</w:t>
      </w:r>
      <w:r>
        <w:rPr>
          <w:rFonts w:hint="eastAsia" w:ascii="宋体"/>
          <w:color w:val="auto"/>
          <w:szCs w:val="21"/>
          <w:highlight w:val="none"/>
          <w:lang w:val="en-US" w:eastAsia="zh-CN"/>
        </w:rPr>
        <w:t>3</w:t>
      </w:r>
      <w:r>
        <w:rPr>
          <w:rFonts w:hint="eastAsia" w:ascii="宋体"/>
          <w:color w:val="auto"/>
          <w:szCs w:val="21"/>
          <w:highlight w:val="none"/>
        </w:rPr>
        <w:t>人或以上单数，其中评审专家不少于成员总数的三分之二。</w:t>
      </w:r>
    </w:p>
    <w:p w14:paraId="27CC8B05">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31</w:t>
      </w:r>
      <w:r>
        <w:rPr>
          <w:rFonts w:hint="eastAsia" w:ascii="宋体"/>
          <w:color w:val="auto"/>
          <w:szCs w:val="21"/>
          <w:highlight w:val="none"/>
        </w:rPr>
        <w:t>.2评审专家从</w:t>
      </w:r>
      <w:r>
        <w:rPr>
          <w:rFonts w:hint="eastAsia" w:ascii="宋体"/>
          <w:color w:val="auto"/>
          <w:szCs w:val="21"/>
          <w:highlight w:val="none"/>
          <w:lang w:eastAsia="zh-CN"/>
        </w:rPr>
        <w:t>新疆</w:t>
      </w:r>
      <w:r>
        <w:rPr>
          <w:rFonts w:hint="eastAsia" w:ascii="宋体"/>
          <w:color w:val="auto"/>
          <w:szCs w:val="21"/>
          <w:highlight w:val="none"/>
        </w:rPr>
        <w:t>政府采购云平台专家库中通过随机方式抽取产生。评标委员会成员名单在采购结果公告前保密。</w:t>
      </w:r>
    </w:p>
    <w:p w14:paraId="60CA790A">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.评标委员会的职责</w:t>
      </w:r>
    </w:p>
    <w:p w14:paraId="68ED6EDA">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.1审查、评价投标文件是否符合采购文件的商务、技术等实质性要求。</w:t>
      </w:r>
    </w:p>
    <w:p w14:paraId="5DA24330">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.2要求供应商对投标文件有关事项作出澄清或者说明。</w:t>
      </w:r>
    </w:p>
    <w:p w14:paraId="2C6025C3">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.3对投标文件进行比较和评价。</w:t>
      </w:r>
    </w:p>
    <w:p w14:paraId="521E6F8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.4确定</w:t>
      </w:r>
      <w:r>
        <w:rPr>
          <w:rFonts w:hint="eastAsia" w:ascii="宋体"/>
          <w:color w:val="auto"/>
          <w:szCs w:val="21"/>
          <w:highlight w:val="none"/>
          <w:lang w:eastAsia="zh-CN"/>
        </w:rPr>
        <w:t>成交</w:t>
      </w:r>
      <w:r>
        <w:rPr>
          <w:rFonts w:hint="eastAsia" w:ascii="宋体"/>
          <w:color w:val="auto"/>
          <w:szCs w:val="21"/>
          <w:highlight w:val="none"/>
        </w:rPr>
        <w:t>候选人名单，以及根据采购人委托直接确定</w:t>
      </w:r>
      <w:r>
        <w:rPr>
          <w:rFonts w:hint="eastAsia" w:ascii="宋体"/>
          <w:color w:val="auto"/>
          <w:szCs w:val="21"/>
          <w:highlight w:val="none"/>
          <w:lang w:eastAsia="zh-CN"/>
        </w:rPr>
        <w:t>成交</w:t>
      </w:r>
      <w:r>
        <w:rPr>
          <w:rFonts w:hint="eastAsia" w:ascii="宋体"/>
          <w:color w:val="auto"/>
          <w:szCs w:val="21"/>
          <w:highlight w:val="none"/>
        </w:rPr>
        <w:t>人。</w:t>
      </w:r>
    </w:p>
    <w:p w14:paraId="51DDB8B4">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32</w:t>
      </w:r>
      <w:r>
        <w:rPr>
          <w:rFonts w:hint="eastAsia" w:ascii="宋体"/>
          <w:color w:val="auto"/>
          <w:szCs w:val="21"/>
          <w:highlight w:val="none"/>
        </w:rPr>
        <w:t>.5向采购人、采购代理机构或者有关部门报告评审中发现的违法行为。</w:t>
      </w:r>
    </w:p>
    <w:p w14:paraId="23CE57B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33</w:t>
      </w:r>
      <w:r>
        <w:rPr>
          <w:rFonts w:hint="eastAsia" w:ascii="宋体"/>
          <w:color w:val="auto"/>
          <w:szCs w:val="21"/>
          <w:highlight w:val="none"/>
        </w:rPr>
        <w:t>. 评标原则</w:t>
      </w:r>
    </w:p>
    <w:p w14:paraId="54F02351">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33</w:t>
      </w:r>
      <w:r>
        <w:rPr>
          <w:rFonts w:hint="eastAsia" w:ascii="宋体"/>
          <w:color w:val="auto"/>
          <w:szCs w:val="21"/>
          <w:highlight w:val="none"/>
        </w:rPr>
        <w:t>.1评标委员会将遵循公平、公正、科学的原则，对供应商提交的投标文件进行综合评审，评标委员会按照采购文件规定的评标细则进行评分。</w:t>
      </w:r>
    </w:p>
    <w:p w14:paraId="40A6EBF7">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33</w:t>
      </w:r>
      <w:r>
        <w:rPr>
          <w:rFonts w:hint="eastAsia" w:ascii="宋体"/>
          <w:color w:val="auto"/>
          <w:szCs w:val="21"/>
          <w:highlight w:val="none"/>
        </w:rPr>
        <w:t xml:space="preserve">.2客观公正对待所有供应商，对所有投标评价均采用相同的程序和标准。 </w:t>
      </w:r>
    </w:p>
    <w:p w14:paraId="08582396">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33</w:t>
      </w:r>
      <w:r>
        <w:rPr>
          <w:rFonts w:hint="eastAsia" w:ascii="宋体"/>
          <w:color w:val="auto"/>
          <w:szCs w:val="21"/>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6CB48053">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33</w:t>
      </w:r>
      <w:r>
        <w:rPr>
          <w:rFonts w:hint="eastAsia" w:ascii="宋体"/>
          <w:color w:val="auto"/>
          <w:szCs w:val="21"/>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w:t>
      </w:r>
      <w:r>
        <w:rPr>
          <w:rFonts w:hint="eastAsia" w:ascii="宋体"/>
          <w:color w:val="auto"/>
          <w:szCs w:val="21"/>
          <w:highlight w:val="none"/>
          <w:lang w:eastAsia="zh-CN"/>
        </w:rPr>
        <w:t>成交</w:t>
      </w:r>
      <w:r>
        <w:rPr>
          <w:rFonts w:hint="eastAsia" w:ascii="宋体"/>
          <w:color w:val="auto"/>
          <w:szCs w:val="21"/>
          <w:highlight w:val="none"/>
        </w:rPr>
        <w:t>人推荐资格；评审得分相同的，由采购人或者采购人委托评标委员会按照采购文件规定的方式确定一个供应商获得</w:t>
      </w:r>
      <w:r>
        <w:rPr>
          <w:rFonts w:hint="eastAsia" w:ascii="宋体"/>
          <w:color w:val="auto"/>
          <w:szCs w:val="21"/>
          <w:highlight w:val="none"/>
          <w:lang w:eastAsia="zh-CN"/>
        </w:rPr>
        <w:t>成交</w:t>
      </w:r>
      <w:r>
        <w:rPr>
          <w:rFonts w:hint="eastAsia" w:ascii="宋体"/>
          <w:color w:val="auto"/>
          <w:szCs w:val="21"/>
          <w:highlight w:val="none"/>
        </w:rPr>
        <w:t>人推荐资格，采购文件未规定的采取随机抽取方式确定，其他同品牌供应商不作为</w:t>
      </w:r>
      <w:r>
        <w:rPr>
          <w:rFonts w:hint="eastAsia" w:ascii="宋体"/>
          <w:color w:val="auto"/>
          <w:szCs w:val="21"/>
          <w:highlight w:val="none"/>
          <w:lang w:eastAsia="zh-CN"/>
        </w:rPr>
        <w:t>成交</w:t>
      </w:r>
      <w:r>
        <w:rPr>
          <w:rFonts w:hint="eastAsia" w:ascii="宋体"/>
          <w:color w:val="auto"/>
          <w:szCs w:val="21"/>
          <w:highlight w:val="none"/>
        </w:rPr>
        <w:t>候选人。</w:t>
      </w:r>
    </w:p>
    <w:p w14:paraId="260A7E6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 xml:space="preserve">非单一产品采购项目，采购人应当根据采购项目技术构成、产品价格比重等合理确定核心产品，并在采购文件中载明。多家供应商提供的核心产品品牌相同的，按前款规定处理。      </w:t>
      </w:r>
    </w:p>
    <w:p w14:paraId="4E3F6469">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34</w:t>
      </w:r>
      <w:r>
        <w:rPr>
          <w:rFonts w:hint="eastAsia" w:ascii="宋体"/>
          <w:color w:val="auto"/>
          <w:szCs w:val="21"/>
          <w:highlight w:val="none"/>
        </w:rPr>
        <w:t>. 评委纪律</w:t>
      </w:r>
    </w:p>
    <w:p w14:paraId="3DBF197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评标委员会成员必须严格遵守保密规定，不得泄露评审的有关情况，任何单位和个人不得干扰、影响评标的正常进行，评标委员会成员不得私下与投标供应商接触，不得出现</w:t>
      </w:r>
      <w:r>
        <w:rPr>
          <w:rFonts w:hint="eastAsia" w:ascii="宋体"/>
          <w:color w:val="auto"/>
          <w:szCs w:val="21"/>
          <w:highlight w:val="none"/>
          <w:lang w:val="en-US" w:eastAsia="zh-CN"/>
        </w:rPr>
        <w:t>新疆</w:t>
      </w:r>
      <w:r>
        <w:rPr>
          <w:rFonts w:hint="eastAsia" w:ascii="宋体"/>
          <w:color w:val="auto"/>
          <w:szCs w:val="21"/>
          <w:highlight w:val="none"/>
        </w:rPr>
        <w:t>政府采购活动现场组织管理办法中规定的其他禁止行为。</w:t>
      </w:r>
    </w:p>
    <w:p w14:paraId="5E3F62B0">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评标程序</w:t>
      </w:r>
    </w:p>
    <w:p w14:paraId="7A5C2304">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1 在评审专家中推选评标委员会组长，采购人代表不得担任评标委员会组长。</w:t>
      </w:r>
    </w:p>
    <w:p w14:paraId="0C4DCB70">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0632D8AB">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3 评审人员对符合资格的供应商的投标文件的有效性、符合性、完整性和响应程度进行审查，确定是否对采购文件作出实质性响应。</w:t>
      </w:r>
    </w:p>
    <w:p w14:paraId="369ECB6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4 评审人员按采购文件规定的评审方法和评审标准，依法独立对供应商投标文件进行评估、比较，并给予评价或打分，不受任何单位和个人的干预。</w:t>
      </w:r>
    </w:p>
    <w:p w14:paraId="6019B762">
      <w:pPr>
        <w:adjustRightInd w:val="0"/>
        <w:spacing w:line="360" w:lineRule="auto"/>
        <w:ind w:firstLine="411" w:firstLineChars="196"/>
        <w:rPr>
          <w:rFonts w:hint="eastAsia" w:ascii="仿宋" w:hAnsi="仿宋" w:eastAsia="仿宋" w:cs="仿宋"/>
          <w:color w:val="auto"/>
          <w:kern w:val="0"/>
          <w:sz w:val="24"/>
          <w:highlight w:val="none"/>
        </w:rPr>
      </w:pPr>
      <w:r>
        <w:rPr>
          <w:rFonts w:hint="eastAsia" w:ascii="宋体" w:hAnsi="Times New Roman" w:eastAsia="宋体" w:cs="Times New Roman"/>
          <w:color w:val="auto"/>
          <w:szCs w:val="21"/>
          <w:highlight w:val="none"/>
          <w:lang w:val="en-US" w:eastAsia="zh-CN"/>
        </w:rPr>
        <w:t>35.5</w:t>
      </w:r>
      <w:r>
        <w:rPr>
          <w:rFonts w:hint="eastAsia" w:ascii="宋体" w:hAnsi="Times New Roman" w:eastAsia="宋体" w:cs="Times New Roman"/>
          <w:color w:val="auto"/>
          <w:szCs w:val="21"/>
          <w:highlight w:val="none"/>
        </w:rPr>
        <w:t>符合性审查</w:t>
      </w:r>
      <w:r>
        <w:rPr>
          <w:rFonts w:hint="eastAsia" w:ascii="宋体" w:hAnsi="Times New Roman" w:eastAsia="宋体" w:cs="Times New Roman"/>
          <w:color w:val="auto"/>
          <w:szCs w:val="21"/>
          <w:highlight w:val="none"/>
          <w:lang w:eastAsia="zh-CN"/>
        </w:rPr>
        <w:t>。</w:t>
      </w:r>
      <w:r>
        <w:rPr>
          <w:rFonts w:hint="eastAsia" w:ascii="宋体" w:hAnsi="宋体" w:eastAsia="宋体" w:cs="宋体"/>
          <w:color w:val="auto"/>
          <w:kern w:val="0"/>
          <w:szCs w:val="21"/>
          <w:highlight w:val="none"/>
          <w:lang w:val="en-US" w:eastAsia="zh-CN"/>
        </w:rPr>
        <w:t>磋商小组应当对符合资格的磋商供应商的磋商响应文件进行符合性审查，以确定其是否满足采购文件的实质性要求。不满足采购文件的实质性要求的，投标无效。</w:t>
      </w:r>
    </w:p>
    <w:p w14:paraId="341D13E3">
      <w:pPr>
        <w:adjustRightInd w:val="0"/>
        <w:spacing w:line="360" w:lineRule="auto"/>
        <w:ind w:firstLine="411" w:firstLineChars="196"/>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35.6</w:t>
      </w:r>
      <w:r>
        <w:rPr>
          <w:rFonts w:hint="eastAsia" w:ascii="宋体" w:hAnsi="Times New Roman" w:eastAsia="宋体" w:cs="Times New Roman"/>
          <w:color w:val="auto"/>
          <w:szCs w:val="21"/>
          <w:highlight w:val="none"/>
        </w:rPr>
        <w:t>与各磋商响应方进行磋商。</w:t>
      </w:r>
    </w:p>
    <w:p w14:paraId="5F891D80">
      <w:pPr>
        <w:adjustRightInd w:val="0"/>
        <w:spacing w:line="360" w:lineRule="auto"/>
        <w:ind w:firstLine="411" w:firstLineChars="196"/>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小组与符合要求的供应商进行磋商。磋商小组所有成员按照响应文件递交签到次序集中与单一供应商分别进行磋商，并给予所有参加磋商的供应商平等的磋商机会。磋商过程中，磋商小组可以根据磋商情况调整轮次。</w:t>
      </w:r>
    </w:p>
    <w:p w14:paraId="69717672">
      <w:pPr>
        <w:adjustRightInd w:val="0"/>
        <w:spacing w:line="360" w:lineRule="auto"/>
        <w:ind w:firstLine="411" w:firstLineChars="196"/>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2.经磋商确定采购文件的变动情况。对采购文件作出的实质性变动是采购文件的有效组成部分，磋商小组应当及时以书面形式同时通知所有参加磋商的供应商。</w:t>
      </w:r>
    </w:p>
    <w:p w14:paraId="44D8759E">
      <w:pPr>
        <w:adjustRightInd w:val="0"/>
        <w:spacing w:line="360" w:lineRule="auto"/>
        <w:ind w:firstLine="411" w:firstLineChars="196"/>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3.磋商小组应当按照采购文件中规定的评标方法和标准，对符合性审查合格的响应文件进行商务和技术评估，综合比较与评价。磋商小组各成员应当独立对每个磋商响应方的商务和技术文件进行评价，并汇总商务技术得分情况。</w:t>
      </w:r>
    </w:p>
    <w:p w14:paraId="36EBCC03">
      <w:pPr>
        <w:adjustRightInd w:val="0"/>
        <w:spacing w:line="360" w:lineRule="auto"/>
        <w:ind w:firstLine="411" w:firstLineChars="196"/>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4.各磋商响应方在本项目全部磋商结束后在规定时间内进行最后报价（供应商需在30分钟内线上提交最终报价）。</w:t>
      </w:r>
    </w:p>
    <w:p w14:paraId="1DE6D16B">
      <w:pPr>
        <w:adjustRightInd w:val="0"/>
        <w:spacing w:line="360" w:lineRule="auto"/>
        <w:ind w:firstLine="411" w:firstLineChars="196"/>
        <w:rPr>
          <w:rFonts w:hint="eastAsia" w:ascii="仿宋" w:hAnsi="仿宋" w:eastAsia="仿宋" w:cs="仿宋"/>
          <w:color w:val="auto"/>
          <w:kern w:val="0"/>
          <w:sz w:val="24"/>
          <w:highlight w:val="none"/>
        </w:rPr>
      </w:pPr>
      <w:r>
        <w:rPr>
          <w:rFonts w:hint="eastAsia" w:ascii="宋体" w:hAnsi="Times New Roman" w:eastAsia="宋体" w:cs="Times New Roman"/>
          <w:color w:val="auto"/>
          <w:szCs w:val="21"/>
          <w:highlight w:val="none"/>
          <w:lang w:val="en-US" w:eastAsia="zh-CN"/>
        </w:rPr>
        <w:t>35.7汇总商务技术得分。</w:t>
      </w:r>
      <w:r>
        <w:rPr>
          <w:rFonts w:hint="eastAsia" w:ascii="宋体" w:hAnsi="宋体" w:eastAsia="宋体" w:cs="宋体"/>
          <w:color w:val="auto"/>
          <w:kern w:val="0"/>
          <w:szCs w:val="21"/>
          <w:highlight w:val="none"/>
          <w:lang w:val="en-US" w:eastAsia="zh-CN"/>
        </w:rPr>
        <w:t>磋商小组各成员应当独立对每个磋商供应商的商务和技术文件进行评价，并汇总商务技术得分情况。</w:t>
      </w:r>
    </w:p>
    <w:p w14:paraId="648195E9">
      <w:pPr>
        <w:adjustRightInd w:val="0"/>
        <w:spacing w:line="360" w:lineRule="auto"/>
        <w:ind w:firstLine="411" w:firstLineChars="196"/>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val="en-US" w:eastAsia="zh-CN"/>
        </w:rPr>
        <w:t>35.8报价评审。</w:t>
      </w:r>
    </w:p>
    <w:p w14:paraId="5B14FC4B">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rPr>
        <w:t>磋商响应文件报价出现前后不一致的，按照下列规定修正：</w:t>
      </w:r>
    </w:p>
    <w:p w14:paraId="2577FD43">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磋商响应文件中开标一览表(报价表)内容与磋商响应文件中相应内容不一致的，以开标一览表(报价表)为准;</w:t>
      </w:r>
    </w:p>
    <w:p w14:paraId="4C8F8450">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大写金额和小写金额不一致的，以大写金额为准;</w:t>
      </w:r>
    </w:p>
    <w:p w14:paraId="1E3FCD4D">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单价金额小数点或者百分比有明显错位的，以开标一览表的总价为准，并修改单价;</w:t>
      </w:r>
    </w:p>
    <w:p w14:paraId="32E9EDAC">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总价金额与按单价汇总金额不一致的，以单价金额计算结果为准。</w:t>
      </w:r>
    </w:p>
    <w:p w14:paraId="182353E1">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同时出现两种以上不一致的，按照规定的顺序修正。</w:t>
      </w:r>
    </w:p>
    <w:p w14:paraId="36C47F5F">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磋商响应文件出现不是唯一的、有选择性投标报价的，投标无效。</w:t>
      </w:r>
    </w:p>
    <w:p w14:paraId="0E7447DD">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8.</w:t>
      </w:r>
      <w:r>
        <w:rPr>
          <w:rFonts w:hint="eastAsia" w:ascii="宋体" w:hAnsi="宋体" w:eastAsia="宋体" w:cs="宋体"/>
          <w:color w:val="auto"/>
          <w:kern w:val="0"/>
          <w:szCs w:val="21"/>
          <w:highlight w:val="none"/>
        </w:rPr>
        <w:t>投标报价超过采购文件中规定的预算金额或者最高限价的，投标无效。</w:t>
      </w:r>
    </w:p>
    <w:p w14:paraId="1FA96E7F">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9.</w:t>
      </w:r>
      <w:r>
        <w:rPr>
          <w:rFonts w:hint="eastAsia" w:ascii="宋体" w:hAnsi="宋体" w:eastAsia="宋体" w:cs="宋体"/>
          <w:color w:val="auto"/>
          <w:kern w:val="0"/>
          <w:szCs w:val="21"/>
          <w:highlight w:val="none"/>
        </w:rPr>
        <w:t>磋商小组认为磋商供应商的报价明显低于其他通过符合性审查磋商供应商的报价，有可能影响产品质量或者不能诚信履约的，应当要求其在合理的时间内提供书面说明，必要时提交相关证明材料;磋商供应商不能证明其报价合理性的，磋商小组应当将其作为无效投标处理。</w:t>
      </w:r>
    </w:p>
    <w:p w14:paraId="59ABB673">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Times New Roman" w:eastAsia="宋体" w:cs="Times New Roman"/>
          <w:color w:val="auto"/>
          <w:szCs w:val="21"/>
          <w:highlight w:val="none"/>
          <w:lang w:val="en-US" w:eastAsia="zh-CN"/>
        </w:rPr>
        <w:t>35.9排序与推荐。</w:t>
      </w:r>
      <w:r>
        <w:rPr>
          <w:rFonts w:hint="eastAsia" w:ascii="宋体" w:hAnsi="宋体" w:eastAsia="宋体" w:cs="宋体"/>
          <w:color w:val="auto"/>
          <w:kern w:val="0"/>
          <w:szCs w:val="21"/>
          <w:highlight w:val="none"/>
        </w:rPr>
        <w:t>采用综合评分法的，评标结果按评审后得分由高到低顺序排列。得分相同的，按投标报价由低到高顺序排列。得分且投标报价相同的并列。</w:t>
      </w:r>
      <w:r>
        <w:rPr>
          <w:rFonts w:hint="eastAsia" w:ascii="宋体" w:hAnsi="宋体" w:eastAsia="宋体" w:cs="宋体"/>
          <w:color w:val="auto"/>
          <w:kern w:val="0"/>
          <w:szCs w:val="21"/>
          <w:highlight w:val="none"/>
          <w:lang w:val="en-US" w:eastAsia="zh-CN"/>
        </w:rPr>
        <w:t>响应</w:t>
      </w:r>
      <w:r>
        <w:rPr>
          <w:rFonts w:hint="eastAsia" w:ascii="宋体" w:hAnsi="宋体" w:eastAsia="宋体" w:cs="宋体"/>
          <w:color w:val="auto"/>
          <w:kern w:val="0"/>
          <w:szCs w:val="21"/>
          <w:highlight w:val="none"/>
        </w:rPr>
        <w:t>文件满足</w:t>
      </w:r>
      <w:r>
        <w:rPr>
          <w:rFonts w:hint="eastAsia" w:ascii="宋体" w:hAnsi="宋体" w:eastAsia="宋体" w:cs="宋体"/>
          <w:color w:val="auto"/>
          <w:kern w:val="0"/>
          <w:szCs w:val="21"/>
          <w:highlight w:val="none"/>
          <w:lang w:eastAsia="zh-CN"/>
        </w:rPr>
        <w:t>磋商文件</w:t>
      </w:r>
      <w:r>
        <w:rPr>
          <w:rFonts w:hint="eastAsia" w:ascii="宋体" w:hAnsi="宋体" w:eastAsia="宋体" w:cs="宋体"/>
          <w:color w:val="auto"/>
          <w:kern w:val="0"/>
          <w:szCs w:val="21"/>
          <w:highlight w:val="none"/>
        </w:rPr>
        <w:t>全部实质性要求，且按照评审因素的量化指标评审得分最高的投标人为排名第一的</w:t>
      </w:r>
      <w:r>
        <w:rPr>
          <w:rFonts w:hint="eastAsia" w:ascii="宋体" w:hAnsi="宋体" w:eastAsia="宋体" w:cs="宋体"/>
          <w:color w:val="auto"/>
          <w:kern w:val="0"/>
          <w:szCs w:val="21"/>
          <w:highlight w:val="none"/>
          <w:lang w:eastAsia="zh-CN"/>
        </w:rPr>
        <w:t>成交</w:t>
      </w:r>
      <w:r>
        <w:rPr>
          <w:rFonts w:hint="eastAsia" w:ascii="宋体" w:hAnsi="宋体" w:eastAsia="宋体" w:cs="宋体"/>
          <w:color w:val="auto"/>
          <w:kern w:val="0"/>
          <w:szCs w:val="21"/>
          <w:highlight w:val="none"/>
        </w:rPr>
        <w:t>候选人。</w:t>
      </w:r>
    </w:p>
    <w:p w14:paraId="163851C5">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w:t>
      </w:r>
      <w:r>
        <w:rPr>
          <w:rFonts w:hint="eastAsia" w:ascii="宋体" w:hAnsi="宋体" w:eastAsia="宋体" w:cs="宋体"/>
          <w:color w:val="auto"/>
          <w:kern w:val="0"/>
          <w:szCs w:val="21"/>
          <w:highlight w:val="none"/>
          <w:lang w:eastAsia="zh-CN"/>
        </w:rPr>
        <w:t>成交</w:t>
      </w:r>
      <w:r>
        <w:rPr>
          <w:rFonts w:hint="eastAsia" w:ascii="宋体" w:hAnsi="宋体" w:eastAsia="宋体" w:cs="宋体"/>
          <w:color w:val="auto"/>
          <w:kern w:val="0"/>
          <w:szCs w:val="21"/>
          <w:highlight w:val="none"/>
        </w:rPr>
        <w:t>人推荐资格；评审得分相同的，采取随机抽取方式确定，其他同品牌投标人不作为</w:t>
      </w:r>
      <w:r>
        <w:rPr>
          <w:rFonts w:hint="eastAsia" w:ascii="宋体" w:hAnsi="宋体" w:eastAsia="宋体" w:cs="宋体"/>
          <w:color w:val="auto"/>
          <w:kern w:val="0"/>
          <w:szCs w:val="21"/>
          <w:highlight w:val="none"/>
          <w:lang w:eastAsia="zh-CN"/>
        </w:rPr>
        <w:t>成交</w:t>
      </w:r>
      <w:r>
        <w:rPr>
          <w:rFonts w:hint="eastAsia" w:ascii="宋体" w:hAnsi="宋体" w:eastAsia="宋体" w:cs="宋体"/>
          <w:color w:val="auto"/>
          <w:kern w:val="0"/>
          <w:szCs w:val="21"/>
          <w:highlight w:val="none"/>
        </w:rPr>
        <w:t>候选人。</w:t>
      </w:r>
    </w:p>
    <w:p w14:paraId="438A1D32">
      <w:pPr>
        <w:rPr>
          <w:rFonts w:hint="eastAsia"/>
          <w:color w:val="auto"/>
        </w:rPr>
      </w:pPr>
    </w:p>
    <w:p w14:paraId="5C5CDD68">
      <w:pPr>
        <w:widowControl/>
        <w:shd w:val="clear" w:color="auto" w:fill="auto"/>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031DBD"/>
          <w:kern w:val="0"/>
          <w:szCs w:val="21"/>
          <w:highlight w:val="none"/>
        </w:rPr>
        <w:t>综合评分法</w:t>
      </w:r>
      <w:r>
        <w:rPr>
          <w:rFonts w:hint="eastAsia" w:ascii="宋体" w:hAnsi="宋体" w:eastAsia="宋体" w:cs="宋体"/>
          <w:color w:val="031DBD"/>
          <w:kern w:val="0"/>
          <w:szCs w:val="21"/>
          <w:highlight w:val="none"/>
          <w:lang w:val="en-US" w:eastAsia="zh-CN"/>
        </w:rPr>
        <w:t>服务</w:t>
      </w:r>
      <w:r>
        <w:rPr>
          <w:rFonts w:hint="eastAsia" w:ascii="宋体" w:hAnsi="宋体" w:eastAsia="宋体" w:cs="宋体"/>
          <w:color w:val="031DBD"/>
          <w:kern w:val="0"/>
          <w:szCs w:val="21"/>
          <w:highlight w:val="none"/>
        </w:rPr>
        <w:t>项目的价格分值占总分值的比重(即权值)为</w:t>
      </w:r>
      <w:r>
        <w:rPr>
          <w:rFonts w:hint="eastAsia" w:ascii="宋体" w:hAnsi="宋体" w:eastAsia="宋体" w:cs="宋体"/>
          <w:color w:val="031DBD"/>
          <w:kern w:val="0"/>
          <w:szCs w:val="21"/>
          <w:highlight w:val="none"/>
          <w:lang w:val="en-US" w:eastAsia="zh-CN"/>
        </w:rPr>
        <w:t>10％</w:t>
      </w:r>
      <w:r>
        <w:rPr>
          <w:rFonts w:hint="eastAsia" w:ascii="宋体" w:hAnsi="宋体" w:eastAsia="宋体" w:cs="宋体"/>
          <w:color w:val="auto"/>
          <w:kern w:val="0"/>
          <w:szCs w:val="21"/>
          <w:highlight w:val="none"/>
        </w:rPr>
        <w:t>，采购项目中含不同采购对象的，以占项目资金比例最高的采购对象确定其项目属性。其价格不列为评分因素，有特殊情况需要在上述规定范围外设定价格分权重的。</w:t>
      </w:r>
    </w:p>
    <w:p w14:paraId="031A6B67">
      <w:pPr>
        <w:widowControl/>
        <w:shd w:val="clear" w:color="auto" w:fill="auto"/>
        <w:spacing w:line="440" w:lineRule="exac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综合评分法中的价格分统一采用低价优先法计算，即满足</w:t>
      </w:r>
      <w:r>
        <w:rPr>
          <w:rFonts w:hint="eastAsia" w:ascii="宋体" w:hAnsi="宋体" w:eastAsia="宋体" w:cs="宋体"/>
          <w:color w:val="auto"/>
          <w:kern w:val="0"/>
          <w:szCs w:val="21"/>
          <w:highlight w:val="none"/>
          <w:lang w:eastAsia="zh-CN"/>
        </w:rPr>
        <w:t>磋商文件</w:t>
      </w:r>
      <w:r>
        <w:rPr>
          <w:rFonts w:hint="eastAsia" w:ascii="宋体" w:hAnsi="宋体" w:eastAsia="宋体" w:cs="宋体"/>
          <w:color w:val="auto"/>
          <w:kern w:val="0"/>
          <w:szCs w:val="21"/>
          <w:highlight w:val="none"/>
        </w:rPr>
        <w:t>要求且最后报价最低的供应商的价格为</w:t>
      </w:r>
      <w:r>
        <w:rPr>
          <w:rFonts w:hint="eastAsia" w:ascii="宋体" w:hAnsi="宋体" w:eastAsia="宋体" w:cs="宋体"/>
          <w:color w:val="auto"/>
          <w:kern w:val="0"/>
          <w:szCs w:val="21"/>
          <w:highlight w:val="none"/>
          <w:lang w:eastAsia="zh-CN"/>
        </w:rPr>
        <w:t>招标</w:t>
      </w:r>
      <w:r>
        <w:rPr>
          <w:rFonts w:hint="eastAsia" w:ascii="宋体" w:hAnsi="宋体" w:eastAsia="宋体" w:cs="宋体"/>
          <w:color w:val="auto"/>
          <w:kern w:val="0"/>
          <w:szCs w:val="21"/>
          <w:highlight w:val="none"/>
        </w:rPr>
        <w:t>基准价，其价格分为满分。其他供应商的价格分统一按照下列公式计算：</w:t>
      </w:r>
    </w:p>
    <w:p w14:paraId="1B28E187">
      <w:pPr>
        <w:widowControl/>
        <w:shd w:val="clear" w:color="auto" w:fill="auto"/>
        <w:spacing w:line="440" w:lineRule="exac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报价得分=（基准价/</w:t>
      </w:r>
      <w:r>
        <w:rPr>
          <w:rFonts w:hint="eastAsia" w:ascii="宋体" w:hAnsi="宋体" w:eastAsia="宋体" w:cs="宋体"/>
          <w:color w:val="auto"/>
          <w:kern w:val="0"/>
          <w:szCs w:val="21"/>
          <w:highlight w:val="none"/>
          <w:lang w:eastAsia="zh-CN"/>
        </w:rPr>
        <w:t>投标</w:t>
      </w:r>
      <w:r>
        <w:rPr>
          <w:rFonts w:hint="eastAsia" w:ascii="宋体" w:hAnsi="宋体" w:eastAsia="宋体" w:cs="宋体"/>
          <w:color w:val="auto"/>
          <w:kern w:val="0"/>
          <w:szCs w:val="21"/>
          <w:highlight w:val="none"/>
        </w:rPr>
        <w:t>报价）×价格权值×100</w:t>
      </w:r>
    </w:p>
    <w:p w14:paraId="378C51A8">
      <w:pPr>
        <w:widowControl/>
        <w:shd w:val="clear" w:color="auto" w:fill="auto"/>
        <w:spacing w:line="440" w:lineRule="exact"/>
        <w:ind w:firstLine="480"/>
        <w:rPr>
          <w:rFonts w:hint="eastAsia" w:ascii="宋体"/>
          <w:color w:val="auto"/>
          <w:szCs w:val="21"/>
          <w:highlight w:val="none"/>
          <w:lang w:val="en-US" w:eastAsia="zh-CN"/>
        </w:rPr>
      </w:pPr>
      <w:r>
        <w:rPr>
          <w:rFonts w:hint="eastAsia" w:ascii="宋体" w:hAnsi="宋体" w:eastAsia="宋体" w:cs="宋体"/>
          <w:color w:val="auto"/>
          <w:kern w:val="0"/>
          <w:szCs w:val="21"/>
          <w:highlight w:val="none"/>
        </w:rPr>
        <w:t>项目评审过程中，不得去掉最后报价中的最高报价和最低报价。</w:t>
      </w:r>
    </w:p>
    <w:p w14:paraId="334042B3">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2AE30C44">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w:t>
      </w:r>
      <w:r>
        <w:rPr>
          <w:rFonts w:hint="eastAsia" w:ascii="宋体"/>
          <w:color w:val="0000FF"/>
          <w:szCs w:val="21"/>
          <w:highlight w:val="none"/>
        </w:rPr>
        <w:t>均分</w:t>
      </w:r>
      <w:r>
        <w:rPr>
          <w:rFonts w:hint="eastAsia" w:ascii="宋体"/>
          <w:color w:val="0000FF"/>
          <w:szCs w:val="21"/>
          <w:highlight w:val="none"/>
          <w:lang w:val="en-US" w:eastAsia="zh-CN"/>
        </w:rPr>
        <w:t>10</w:t>
      </w:r>
      <w:r>
        <w:rPr>
          <w:rFonts w:hint="eastAsia" w:ascii="宋体"/>
          <w:color w:val="0000FF"/>
          <w:szCs w:val="21"/>
          <w:highlight w:val="none"/>
        </w:rPr>
        <w:t>%以上的</w:t>
      </w:r>
      <w:r>
        <w:rPr>
          <w:rFonts w:hint="eastAsia" w:ascii="宋体"/>
          <w:color w:val="auto"/>
          <w:szCs w:val="21"/>
          <w:highlight w:val="none"/>
        </w:rPr>
        <w:t>）情形的，应由相关人员当场改正或作出书面说明；拒不改正又不作书面说明的，由现场监督员如实记载后存入项目档案资料。</w:t>
      </w:r>
    </w:p>
    <w:p w14:paraId="21F7A76A">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7 评标委员会根据评审汇总情况和采购文件规定确定</w:t>
      </w:r>
      <w:r>
        <w:rPr>
          <w:rFonts w:hint="eastAsia" w:ascii="宋体"/>
          <w:color w:val="auto"/>
          <w:szCs w:val="21"/>
          <w:highlight w:val="none"/>
          <w:lang w:eastAsia="zh-CN"/>
        </w:rPr>
        <w:t>成交</w:t>
      </w:r>
      <w:r>
        <w:rPr>
          <w:rFonts w:hint="eastAsia" w:ascii="宋体"/>
          <w:color w:val="auto"/>
          <w:szCs w:val="21"/>
          <w:highlight w:val="none"/>
        </w:rPr>
        <w:t>候选供应商排序名单。</w:t>
      </w:r>
    </w:p>
    <w:p w14:paraId="75064CCB">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 xml:space="preserve">8 起草评审报告，所有评审人员须在评审报告上签字确认，对自己的评审意见承担法律责任。 </w:t>
      </w:r>
    </w:p>
    <w:p w14:paraId="32A639ED">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9 采购组织机构对评标委员会评审专家进行评价。</w:t>
      </w:r>
    </w:p>
    <w:p w14:paraId="4665D104">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lang w:val="en-US" w:eastAsia="zh-CN"/>
        </w:rPr>
        <w:t>35.</w:t>
      </w:r>
      <w:r>
        <w:rPr>
          <w:rFonts w:hint="eastAsia" w:ascii="宋体"/>
          <w:color w:val="auto"/>
          <w:szCs w:val="21"/>
          <w:highlight w:val="none"/>
        </w:rPr>
        <w:t>10 修改评审结果</w:t>
      </w:r>
    </w:p>
    <w:p w14:paraId="1250AB24">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评标结果汇总完成后，除下列情形外，任何人不得修改评标结果：</w:t>
      </w:r>
    </w:p>
    <w:p w14:paraId="6AAB60A4">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（1）分值汇总计算错误的；</w:t>
      </w:r>
    </w:p>
    <w:p w14:paraId="58F632DA">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（2）分项评分超出评分标准范围的；</w:t>
      </w:r>
    </w:p>
    <w:p w14:paraId="29AF0FB0">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（3）评标委员会成员对客观评审因素评分不一致的；</w:t>
      </w:r>
    </w:p>
    <w:p w14:paraId="6BFF072E">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（4）经评标委员会认定评分畸高、畸低的。</w:t>
      </w:r>
    </w:p>
    <w:p w14:paraId="61825DE0">
      <w:pPr>
        <w:widowControl/>
        <w:shd w:val="clear" w:color="auto" w:fill="auto"/>
        <w:spacing w:line="440" w:lineRule="exact"/>
        <w:ind w:firstLine="210" w:firstLineChars="100"/>
        <w:rPr>
          <w:rFonts w:hint="eastAsia" w:ascii="宋体"/>
          <w:color w:val="auto"/>
          <w:szCs w:val="21"/>
          <w:highlight w:val="none"/>
        </w:rPr>
      </w:pPr>
      <w:r>
        <w:rPr>
          <w:rFonts w:hint="eastAsia" w:ascii="宋体"/>
          <w:color w:val="auto"/>
          <w:szCs w:val="21"/>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7D914EE">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36．澄清、说明或补正的形式</w:t>
      </w:r>
    </w:p>
    <w:p w14:paraId="5E018477">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宋体"/>
          <w:b/>
          <w:bCs/>
          <w:color w:val="auto"/>
          <w:szCs w:val="21"/>
          <w:highlight w:val="none"/>
          <w:lang w:val="en-US" w:eastAsia="zh-CN"/>
        </w:rPr>
        <w:t>投标供应商澄清、说明或补正时间为30分钟</w:t>
      </w:r>
      <w:r>
        <w:rPr>
          <w:rFonts w:hint="eastAsia" w:ascii="宋体"/>
          <w:b w:val="0"/>
          <w:bCs w:val="0"/>
          <w:color w:val="auto"/>
          <w:szCs w:val="21"/>
          <w:highlight w:val="none"/>
          <w:lang w:val="en-US" w:eastAsia="zh-CN"/>
        </w:rPr>
        <w:t>。</w:t>
      </w:r>
    </w:p>
    <w:p w14:paraId="69C4EE3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36.2投标供应商的澄清、说明或者补正应当通过“政府采购云平台”在线答复的方式提交，并加盖公章（电子印章），或者由法定代表人或其授权的代表签字。投标供应商的澄清、说明或者补正不得超出投标文件的范围或者改变投标文件的实质性内容，不接受投标供应商主动对投标文件的澄清、说明或者补正。</w:t>
      </w:r>
    </w:p>
    <w:p w14:paraId="5B0163D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6973DFB">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37．错误修正的原则</w:t>
      </w:r>
    </w:p>
    <w:p w14:paraId="78822A5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79B51FBE">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投标文件报价出现前后不一致的，除采购文件另有规定外，按照下列规定修正：</w:t>
      </w:r>
    </w:p>
    <w:p w14:paraId="3F9E0C7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37.1 投标函中表述的内容与报价表中不一致的，以报价表为准；报价表中的内容与报价明细表不一致的，以报价表为准；</w:t>
      </w:r>
    </w:p>
    <w:p w14:paraId="4AC28F7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37.2 投标文件中的大写金额和小写金额不一致的，以大写金额为准；</w:t>
      </w:r>
    </w:p>
    <w:p w14:paraId="5A2E2B09">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37.3 单价金额小数点或者百分比有明显错位的，以开标一览表的总价为准，并修改单价；</w:t>
      </w:r>
    </w:p>
    <w:p w14:paraId="56F03F4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37.4 总价金额与按单价汇总金额不一致的，以单价金额计算结果为准；</w:t>
      </w:r>
    </w:p>
    <w:p w14:paraId="0732767B">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37.5 若用文字表示的数值与用数字表示的数值不一致，以文字表示的数值为准；</w:t>
      </w:r>
    </w:p>
    <w:p w14:paraId="0FE02EDB">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37.6 如有多报（指数量超出采购文件需求）、重报（指同一货物重复报价），其投标总价在评标过程中不予调整，如其成交，其合同价按其投标单价予以调整；</w:t>
      </w:r>
    </w:p>
    <w:p w14:paraId="5ED1D7D2">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37.7 对不同文字文本投标文件的解释发生异议的，以中文文本为准；</w:t>
      </w:r>
    </w:p>
    <w:p w14:paraId="500D1607">
      <w:pPr>
        <w:shd w:val="clear" w:color="auto" w:fill="auto"/>
        <w:spacing w:line="440" w:lineRule="exact"/>
        <w:ind w:firstLine="210" w:firstLineChars="100"/>
        <w:jc w:val="left"/>
        <w:rPr>
          <w:rFonts w:hint="eastAsia" w:ascii="宋体"/>
          <w:b/>
          <w:bCs/>
          <w:color w:val="auto"/>
          <w:szCs w:val="21"/>
          <w:highlight w:val="none"/>
          <w:lang w:val="en-US" w:eastAsia="zh-CN"/>
        </w:rPr>
      </w:pPr>
      <w:r>
        <w:rPr>
          <w:rFonts w:hint="eastAsia" w:ascii="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宋体"/>
          <w:b/>
          <w:bCs/>
          <w:color w:val="auto"/>
          <w:szCs w:val="21"/>
          <w:highlight w:val="none"/>
          <w:lang w:val="en-US" w:eastAsia="zh-CN"/>
        </w:rPr>
        <w:t>修正应当采用电子询标的形式，并加盖公章（电子印章）。</w:t>
      </w:r>
    </w:p>
    <w:p w14:paraId="2809846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38．无效投标文件</w:t>
      </w:r>
    </w:p>
    <w:p w14:paraId="58E4B5D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有下列情形之一的，投标文件按无效标处理：</w:t>
      </w:r>
    </w:p>
    <w:p w14:paraId="578757AB">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 报名的投标人与参加投标的投标人发生实质性变更的且未提供有效证明的；</w:t>
      </w:r>
    </w:p>
    <w:p w14:paraId="479621B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38.2投标人提交两份或两份以上内容不同的投标文件，未声明哪一份有效的；</w:t>
      </w:r>
    </w:p>
    <w:p w14:paraId="55518350">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38.3 投标文件非投标人法定代表人签署的，未提供或提供无效的法定代表人授权书；</w:t>
      </w:r>
    </w:p>
    <w:p w14:paraId="18626EB9">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38.4 未按磋商文件规定装订；</w:t>
      </w:r>
    </w:p>
    <w:p w14:paraId="167A7779">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38.5 投标文件内容未按磋商文件规定签字或盖章的；</w:t>
      </w:r>
    </w:p>
    <w:p w14:paraId="1146A2E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38.6 投标文件组成漏项或未按规定的格式编制或投标文件正、副本份数不足或内容不全或内容字迹模糊辨认不清的等而导致评标活动无法正常进行；</w:t>
      </w:r>
    </w:p>
    <w:p w14:paraId="0570390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38.7 投标人未按磋商文件变更通知更改投标文件的；</w:t>
      </w:r>
    </w:p>
    <w:p w14:paraId="2C24173F">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38.8 《开标一览表</w:t>
      </w:r>
      <w:r>
        <w:rPr>
          <w:rFonts w:hint="eastAsia" w:ascii="宋体" w:hAnsi="Times New Roman" w:eastAsia="宋体" w:cs="Times New Roman"/>
          <w:b w:val="0"/>
          <w:bCs w:val="0"/>
          <w:color w:val="auto"/>
          <w:szCs w:val="21"/>
          <w:highlight w:val="none"/>
          <w:lang w:val="en-US" w:eastAsia="zh-CN"/>
        </w:rPr>
        <w:t>》和《投标分项报价表》内容不完</w:t>
      </w:r>
      <w:r>
        <w:rPr>
          <w:rFonts w:hint="eastAsia" w:ascii="宋体"/>
          <w:b w:val="0"/>
          <w:bCs w:val="0"/>
          <w:color w:val="auto"/>
          <w:szCs w:val="21"/>
          <w:highlight w:val="none"/>
          <w:lang w:val="en-US" w:eastAsia="zh-CN"/>
        </w:rPr>
        <w:t>整且不接受修正意见或字迹不能辨认的或未提供；</w:t>
      </w:r>
    </w:p>
    <w:p w14:paraId="3F93E711">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38.9 标项投标报价超过磋商文件规定的预算金额或最高限价；</w:t>
      </w:r>
    </w:p>
    <w:p w14:paraId="426846AD">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38.10 因投标人原因编制错误造成经评标委员会修正后的报价达到或超过投标报价的0.5%；</w:t>
      </w:r>
    </w:p>
    <w:p w14:paraId="4EB76CC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38.11 投标人的报价明显低于其他通过符合性审查投标人的报价，有可能影响产品质量或者不能诚信履约的，且在规定时间内不能合理说明原因并提供证明材料的；</w:t>
      </w:r>
    </w:p>
    <w:p w14:paraId="5D990B3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38.12 未实质性响应磋商文件中条款要求的投标文件；</w:t>
      </w:r>
    </w:p>
    <w:p w14:paraId="5D47303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38.13 不符合招标范围、技术规格、技术标准的要求无法满足采购人使用要求；</w:t>
      </w:r>
    </w:p>
    <w:p w14:paraId="20DB9232">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38.14 投标文件附有采购人不能接受的条款；</w:t>
      </w:r>
    </w:p>
    <w:p w14:paraId="54F71F5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38.15 投标文件中提供了赠品或者与本项目采购无关的其他商品、服务；</w:t>
      </w:r>
    </w:p>
    <w:p w14:paraId="6926378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38.16 投标文件中承诺的投标有效期少于磋商文件中载明的投标有效期；</w:t>
      </w:r>
    </w:p>
    <w:p w14:paraId="09E1EF4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38.17投标人串通投标，妨碍其他投标人的竞争行为，损害采购人或者其他投标人的合法权益；</w:t>
      </w:r>
    </w:p>
    <w:p w14:paraId="17DCEDB5">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38.18违反国家及政府部门相关法律、法规、文件规定或经评标委员会认定的其他属于重大偏离；</w:t>
      </w:r>
    </w:p>
    <w:p w14:paraId="325F5289">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39．废标</w:t>
      </w:r>
    </w:p>
    <w:p w14:paraId="45CEAE1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39.1 符合磋商文件规定废标情形的；</w:t>
      </w:r>
    </w:p>
    <w:p w14:paraId="26478C01">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39.2 出现影响采购公正的违法、违规行为的；</w:t>
      </w:r>
    </w:p>
    <w:p w14:paraId="6411D39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39.3 供应商的报价均超过了采购预算（或最高限价），采购人不能支付的；</w:t>
      </w:r>
    </w:p>
    <w:p w14:paraId="36141A52">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39.4 因重大变故，采购任务取消的。</w:t>
      </w:r>
    </w:p>
    <w:p w14:paraId="0C17531D">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40．突发情况处理</w:t>
      </w:r>
    </w:p>
    <w:p w14:paraId="6F2CF6C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40.1 采购过程中出现以下情形，导致电子交易平台无法正常运行，或者无法保证电子交易的公平、公正和安全时，采购组织机构可中止电子交易活动：</w:t>
      </w:r>
    </w:p>
    <w:p w14:paraId="41EEDEE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（1）电子交易平台发生故障而无法登录访问的； </w:t>
      </w:r>
    </w:p>
    <w:p w14:paraId="11038D9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（2）电子交易平台应用或数据库出现错误，不能进行正常操作的；</w:t>
      </w:r>
    </w:p>
    <w:p w14:paraId="268B6B6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（3）电子交易平台发现严重安全漏洞，有潜在泄密危险的；</w:t>
      </w:r>
    </w:p>
    <w:p w14:paraId="634040D7">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（4）病毒发作导致不能进行正常操作的； </w:t>
      </w:r>
    </w:p>
    <w:p w14:paraId="514B23FD">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（5）其他无法保证电子交易的公平、公正和安全的情况。</w:t>
      </w:r>
    </w:p>
    <w:p w14:paraId="2C883EDB">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74EB745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40.2 采购代理机构或评审小组因不可抗力（不可抗力包括但不限于自然灾害、断电、传播疫病等）原因造成电子交易活动无法正常运行的，将采取以下措施：</w:t>
      </w:r>
    </w:p>
    <w:p w14:paraId="47ABC3C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（1）短时间内能消除不可抗力因素的，采购代理机构或评审小组在消除不可抗力因素后继续组织电子交易活动； </w:t>
      </w:r>
    </w:p>
    <w:p w14:paraId="3BBA21F7">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（2）长时间内无法消除不可抗力因素的，采购代理机构或评审小组将中止电子交易活动。中止电子交易活动的，采购人应当重新组织政府采购活动。</w:t>
      </w:r>
    </w:p>
    <w:p w14:paraId="5CE33D81">
      <w:pPr>
        <w:shd w:val="clear" w:color="auto" w:fill="auto"/>
        <w:snapToGrid w:val="0"/>
        <w:spacing w:line="360" w:lineRule="exact"/>
        <w:ind w:firstLine="421"/>
        <w:rPr>
          <w:rFonts w:hint="eastAsia" w:ascii="宋体"/>
          <w:b/>
          <w:color w:val="auto"/>
          <w:szCs w:val="21"/>
          <w:highlight w:val="none"/>
        </w:rPr>
      </w:pPr>
      <w:r>
        <w:rPr>
          <w:rFonts w:hint="eastAsia" w:ascii="宋体"/>
          <w:b/>
          <w:color w:val="auto"/>
          <w:szCs w:val="21"/>
          <w:highlight w:val="none"/>
          <w:lang w:val="en-US" w:eastAsia="zh-CN"/>
        </w:rPr>
        <w:t>41</w:t>
      </w:r>
      <w:r>
        <w:rPr>
          <w:rFonts w:hint="eastAsia" w:ascii="宋体"/>
          <w:b/>
          <w:color w:val="auto"/>
          <w:szCs w:val="21"/>
          <w:highlight w:val="none"/>
        </w:rPr>
        <w:t>. 定标</w:t>
      </w:r>
    </w:p>
    <w:p w14:paraId="3D4C86F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color w:val="auto"/>
          <w:szCs w:val="21"/>
          <w:highlight w:val="none"/>
        </w:rPr>
        <w:t xml:space="preserve">   </w:t>
      </w:r>
      <w:r>
        <w:rPr>
          <w:rFonts w:hint="eastAsia" w:ascii="宋体"/>
          <w:b w:val="0"/>
          <w:bCs w:val="0"/>
          <w:color w:val="auto"/>
          <w:szCs w:val="21"/>
          <w:highlight w:val="none"/>
          <w:lang w:val="en-US" w:eastAsia="zh-CN"/>
        </w:rPr>
        <w:t xml:space="preserve"> </w:t>
      </w:r>
      <w:bookmarkStart w:id="74" w:name="_Toc469495729"/>
      <w:r>
        <w:rPr>
          <w:rFonts w:hint="eastAsia" w:ascii="宋体"/>
          <w:b w:val="0"/>
          <w:bCs w:val="0"/>
          <w:color w:val="auto"/>
          <w:szCs w:val="21"/>
          <w:highlight w:val="none"/>
          <w:lang w:val="en-US" w:eastAsia="zh-CN"/>
        </w:rPr>
        <w:t>41.1采购结果确认（确定成交供应商）</w:t>
      </w:r>
    </w:p>
    <w:p w14:paraId="1AE9D16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采购结果确认（确定成交供应商）：本项目由采购人根据评标委员会提交的《评审报告》，通过“政府采购云平台”依法确认采购结果、确定成交供应商。具体流程如下：</w:t>
      </w:r>
    </w:p>
    <w:p w14:paraId="34DBDEAF">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（1）采购代理机构将在评审结束后2个工作日内将评审报告送采购人。</w:t>
      </w:r>
    </w:p>
    <w:p w14:paraId="780F6647">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 xml:space="preserve">（2）采购人将在收到评审报告之日起5个工作日内，在评审报告推荐的中标候选供应商名单中按顺序确定中标供应商，并将确认意见以书面形式回复采购代理机构。 </w:t>
      </w:r>
    </w:p>
    <w:p w14:paraId="7E4211E0">
      <w:pPr>
        <w:shd w:val="clear" w:color="auto" w:fill="auto"/>
        <w:spacing w:line="440" w:lineRule="exact"/>
        <w:ind w:firstLine="210" w:firstLineChars="100"/>
        <w:jc w:val="left"/>
        <w:rPr>
          <w:rFonts w:hint="eastAsia" w:ascii="宋体"/>
          <w:b/>
          <w:bCs/>
          <w:color w:val="auto"/>
          <w:szCs w:val="21"/>
          <w:highlight w:val="none"/>
          <w:lang w:val="en-US" w:eastAsia="zh-CN"/>
        </w:rPr>
      </w:pPr>
      <w:r>
        <w:rPr>
          <w:rFonts w:hint="eastAsia" w:ascii="宋体"/>
          <w:b w:val="0"/>
          <w:bCs w:val="0"/>
          <w:color w:val="auto"/>
          <w:szCs w:val="21"/>
          <w:highlight w:val="none"/>
          <w:lang w:val="en-US" w:eastAsia="zh-CN"/>
        </w:rPr>
        <w:t>41.2采购结果经采购人确认后2个工作日内，采购代理机构将在</w:t>
      </w:r>
      <w:r>
        <w:rPr>
          <w:rFonts w:hint="eastAsia" w:ascii="宋体"/>
          <w:b/>
          <w:bCs/>
          <w:color w:val="auto"/>
          <w:szCs w:val="21"/>
          <w:highlight w:val="none"/>
          <w:lang w:val="en-US" w:eastAsia="zh-CN"/>
        </w:rPr>
        <w:t>克州公共资源交易中心网、新疆政府采购网（http://www.ccgp-xinjiang.gov.cn）上公告采购结果，成交公告期限为1个工作日。</w:t>
      </w:r>
    </w:p>
    <w:p w14:paraId="4D17C56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 成交通知书</w:t>
      </w:r>
    </w:p>
    <w:p w14:paraId="402B771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42.1</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通知书发出前，招标人将</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侯选人的情况在</w:t>
      </w:r>
      <w:r>
        <w:rPr>
          <w:rFonts w:hint="eastAsia" w:ascii="宋体" w:hAnsi="宋体" w:eastAsia="宋体" w:cs="宋体"/>
          <w:color w:val="auto"/>
          <w:szCs w:val="21"/>
          <w:highlight w:val="none"/>
          <w:lang w:val="en-US" w:eastAsia="zh-CN"/>
        </w:rPr>
        <w:t>克州公共资源交易中心网、</w:t>
      </w:r>
      <w:r>
        <w:rPr>
          <w:rFonts w:hint="eastAsia" w:ascii="宋体" w:hAnsi="宋体" w:eastAsia="宋体" w:cs="宋体"/>
          <w:color w:val="auto"/>
          <w:szCs w:val="21"/>
          <w:highlight w:val="none"/>
          <w:lang w:eastAsia="zh-CN"/>
        </w:rPr>
        <w:t>新疆政府采购网</w:t>
      </w:r>
      <w:r>
        <w:rPr>
          <w:rFonts w:hint="eastAsia" w:ascii="宋体" w:hAnsi="宋体" w:eastAsia="宋体" w:cs="宋体"/>
          <w:color w:val="auto"/>
          <w:szCs w:val="21"/>
          <w:highlight w:val="none"/>
        </w:rPr>
        <w:t>予以公示，</w:t>
      </w:r>
      <w:r>
        <w:rPr>
          <w:rFonts w:hint="eastAsia" w:ascii="宋体" w:hAnsi="宋体" w:eastAsia="宋体" w:cs="宋体"/>
          <w:b/>
          <w:bCs/>
          <w:color w:val="auto"/>
          <w:szCs w:val="21"/>
          <w:highlight w:val="none"/>
        </w:rPr>
        <w:t>公示期为</w:t>
      </w:r>
      <w:r>
        <w:rPr>
          <w:rFonts w:hint="eastAsia" w:ascii="宋体" w:hAnsi="宋体" w:eastAsia="宋体" w:cs="宋体"/>
          <w:b/>
          <w:bCs/>
          <w:color w:val="auto"/>
          <w:szCs w:val="21"/>
          <w:highlight w:val="none"/>
          <w:lang w:eastAsia="zh-CN"/>
        </w:rPr>
        <w:t>一</w:t>
      </w:r>
      <w:r>
        <w:rPr>
          <w:rFonts w:hint="eastAsia" w:ascii="宋体" w:hAnsi="宋体" w:eastAsia="宋体" w:cs="宋体"/>
          <w:b/>
          <w:bCs/>
          <w:color w:val="auto"/>
          <w:szCs w:val="21"/>
          <w:highlight w:val="none"/>
        </w:rPr>
        <w:t>个工作日。</w:t>
      </w:r>
      <w:r>
        <w:rPr>
          <w:rFonts w:hint="eastAsia" w:ascii="宋体" w:hAnsi="宋体" w:eastAsia="宋体" w:cs="宋体"/>
          <w:b/>
          <w:bCs/>
          <w:color w:val="auto"/>
          <w:szCs w:val="21"/>
          <w:highlight w:val="none"/>
          <w:lang w:eastAsia="zh-CN"/>
        </w:rPr>
        <w:t>待公示期结束后，</w:t>
      </w:r>
      <w:r>
        <w:rPr>
          <w:rFonts w:hint="eastAsia" w:ascii="宋体"/>
          <w:b w:val="0"/>
          <w:bCs w:val="0"/>
          <w:color w:val="auto"/>
          <w:szCs w:val="21"/>
          <w:highlight w:val="none"/>
          <w:lang w:val="en-US" w:eastAsia="zh-CN"/>
        </w:rPr>
        <w:t>采购组织机构向成交人发出成交通知书。</w:t>
      </w:r>
    </w:p>
    <w:p w14:paraId="5DB2824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2A9D5834">
      <w:pPr>
        <w:shd w:val="clear" w:color="auto" w:fill="auto"/>
        <w:spacing w:before="156" w:beforeLines="50" w:line="440" w:lineRule="exact"/>
        <w:jc w:val="center"/>
        <w:outlineLvl w:val="2"/>
        <w:rPr>
          <w:rFonts w:hint="eastAsia" w:ascii="黑体" w:eastAsia="黑体"/>
          <w:color w:val="auto"/>
          <w:sz w:val="24"/>
          <w:highlight w:val="none"/>
        </w:rPr>
      </w:pPr>
      <w:bookmarkStart w:id="75" w:name="_Toc21524"/>
      <w:bookmarkStart w:id="76" w:name="_Toc21172"/>
      <w:bookmarkStart w:id="77" w:name="_Toc13550"/>
      <w:r>
        <w:rPr>
          <w:rFonts w:hint="eastAsia" w:ascii="黑体" w:eastAsia="黑体"/>
          <w:color w:val="auto"/>
          <w:sz w:val="28"/>
          <w:szCs w:val="28"/>
          <w:highlight w:val="none"/>
        </w:rPr>
        <w:t>（六）合同的授予</w:t>
      </w:r>
      <w:bookmarkEnd w:id="74"/>
      <w:bookmarkEnd w:id="75"/>
      <w:bookmarkEnd w:id="76"/>
      <w:bookmarkEnd w:id="77"/>
    </w:p>
    <w:p w14:paraId="3758BCEC">
      <w:pPr>
        <w:shd w:val="clear" w:color="auto" w:fill="auto"/>
        <w:spacing w:line="440" w:lineRule="exact"/>
        <w:ind w:firstLine="210" w:firstLineChars="100"/>
        <w:jc w:val="left"/>
        <w:rPr>
          <w:rFonts w:hint="eastAsia" w:ascii="宋体"/>
          <w:b w:val="0"/>
          <w:bCs w:val="0"/>
          <w:color w:val="000000"/>
          <w:szCs w:val="21"/>
          <w:highlight w:val="none"/>
          <w:lang w:val="en-US" w:eastAsia="zh-CN"/>
        </w:rPr>
      </w:pPr>
      <w:bookmarkStart w:id="78" w:name="_Toc73975842"/>
      <w:bookmarkStart w:id="79" w:name="_Toc469495730"/>
      <w:r>
        <w:rPr>
          <w:rFonts w:hint="eastAsia" w:ascii="宋体"/>
          <w:b w:val="0"/>
          <w:bCs w:val="0"/>
          <w:color w:val="000000"/>
          <w:szCs w:val="21"/>
          <w:highlight w:val="none"/>
          <w:lang w:val="en-US" w:eastAsia="zh-CN"/>
        </w:rPr>
        <w:t>43．履约保证金</w:t>
      </w:r>
      <w:bookmarkEnd w:id="78"/>
    </w:p>
    <w:p w14:paraId="6E57372C">
      <w:pPr>
        <w:shd w:val="clear" w:color="auto" w:fill="auto"/>
        <w:spacing w:line="440" w:lineRule="exact"/>
        <w:ind w:firstLine="210" w:firstLineChars="100"/>
        <w:jc w:val="left"/>
        <w:rPr>
          <w:rFonts w:hint="eastAsia" w:ascii="宋体"/>
          <w:b w:val="0"/>
          <w:bCs w:val="0"/>
          <w:color w:val="000000"/>
          <w:szCs w:val="21"/>
          <w:highlight w:val="none"/>
          <w:lang w:val="en-US" w:eastAsia="zh-CN"/>
        </w:rPr>
      </w:pPr>
      <w:r>
        <w:rPr>
          <w:rFonts w:hint="eastAsia" w:ascii="宋体"/>
          <w:b w:val="0"/>
          <w:bCs w:val="0"/>
          <w:color w:val="000000"/>
          <w:szCs w:val="21"/>
          <w:highlight w:val="none"/>
          <w:lang w:val="en-US" w:eastAsia="zh-CN"/>
        </w:rPr>
        <w:t>43.1 成交供应商</w:t>
      </w:r>
      <w:r>
        <w:rPr>
          <w:rFonts w:hint="eastAsia" w:ascii="Times New Roman" w:hAnsi="Times New Roman" w:eastAsia="宋体" w:cs="Times New Roman"/>
          <w:color w:val="000000" w:themeColor="text1"/>
          <w:kern w:val="2"/>
          <w:sz w:val="21"/>
          <w:szCs w:val="21"/>
          <w:highlight w:val="none"/>
          <w:u w:val="none" w:color="000000"/>
          <w:lang w:val="en-US" w:eastAsia="zh-CN" w:bidi="ar-SA"/>
          <w14:textFill>
            <w14:solidFill>
              <w14:schemeClr w14:val="tx1"/>
            </w14:solidFill>
          </w14:textFill>
        </w:rPr>
        <w:t>应当在合同签订后5个工作日内，向采购人交纳相当于中标价</w:t>
      </w:r>
      <w:r>
        <w:rPr>
          <w:rFonts w:hint="eastAsia" w:cs="Times New Roman"/>
          <w:color w:val="000000" w:themeColor="text1"/>
          <w:kern w:val="2"/>
          <w:sz w:val="21"/>
          <w:szCs w:val="21"/>
          <w:highlight w:val="none"/>
          <w:u w:val="none" w:color="000000"/>
          <w:lang w:val="en-US" w:eastAsia="zh-CN" w:bidi="ar-SA"/>
          <w14:textFill>
            <w14:solidFill>
              <w14:schemeClr w14:val="tx1"/>
            </w14:solidFill>
          </w14:textFill>
        </w:rPr>
        <w:t>3</w:t>
      </w:r>
      <w:r>
        <w:rPr>
          <w:rFonts w:hint="eastAsia" w:ascii="Times New Roman" w:hAnsi="Times New Roman" w:eastAsia="宋体" w:cs="Times New Roman"/>
          <w:color w:val="000000" w:themeColor="text1"/>
          <w:kern w:val="2"/>
          <w:sz w:val="21"/>
          <w:szCs w:val="21"/>
          <w:highlight w:val="none"/>
          <w:u w:val="none" w:color="000000"/>
          <w:lang w:val="en-US" w:eastAsia="zh-CN" w:bidi="ar-SA"/>
          <w14:textFill>
            <w14:solidFill>
              <w14:schemeClr w14:val="tx1"/>
            </w14:solidFill>
          </w14:textFill>
        </w:rPr>
        <w:t>%的履约保证金。本项目接受中标人以支票、汇票、本票，金融机构或担保机构出具的保函，以及电汇、银行转账等非现金形式提交履约保证金。若中标人在供货期内不存在应付未付金额或违约行为，采购人将在项目验收合格后或合同提前终止后，全额无息退还履约保证金或保函自动失效，具体规则以甲乙双方签订的合同为准。</w:t>
      </w:r>
    </w:p>
    <w:p w14:paraId="0E2FDF0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43.2 签订合同后，如成交供应商不按合同约定履约的，履约保证金不予退还，履约保证金不足以赔偿损失的，按实际损失赔偿。</w:t>
      </w:r>
    </w:p>
    <w:p w14:paraId="1AD025F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43.3 如果成交供应商在建设期内没有涉及采购人的应付而未付金额或违约行为，采购人在项目验收合格后或提前终止合同后全额无息退还履约保证金。</w:t>
      </w:r>
    </w:p>
    <w:p w14:paraId="5482BA37">
      <w:pPr>
        <w:shd w:val="clear" w:color="auto" w:fill="auto"/>
        <w:spacing w:line="440" w:lineRule="exact"/>
        <w:ind w:firstLine="210" w:firstLineChars="100"/>
        <w:jc w:val="left"/>
        <w:rPr>
          <w:rFonts w:hint="eastAsia" w:ascii="宋体"/>
          <w:b w:val="0"/>
          <w:bCs w:val="0"/>
          <w:color w:val="auto"/>
          <w:szCs w:val="21"/>
          <w:highlight w:val="none"/>
          <w:lang w:val="en-US" w:eastAsia="zh-CN"/>
        </w:rPr>
      </w:pPr>
      <w:bookmarkStart w:id="80" w:name="_Toc73975843"/>
      <w:r>
        <w:rPr>
          <w:rFonts w:hint="eastAsia" w:ascii="宋体"/>
          <w:b w:val="0"/>
          <w:bCs w:val="0"/>
          <w:color w:val="auto"/>
          <w:szCs w:val="21"/>
          <w:highlight w:val="none"/>
          <w:lang w:val="en-US" w:eastAsia="zh-CN"/>
        </w:rPr>
        <w:t>44．签订合同及公告</w:t>
      </w:r>
      <w:bookmarkEnd w:id="80"/>
    </w:p>
    <w:p w14:paraId="2D67EEE5">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44.1采购人在成交通知书发出之日起30日内与成交供应商签订合同。</w:t>
      </w:r>
    </w:p>
    <w:p w14:paraId="6937792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44.2成交供应商拖延、拒签合同的,取消成交资格。</w:t>
      </w:r>
    </w:p>
    <w:p w14:paraId="784E404F">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44.3 采购文件、成交供应商的投标文件及评标过程中有关澄清文件等均作为签订合同的依据。所签订的合同不得对采购文件和成交供应商的投标文件的内容作实质性修改。</w:t>
      </w:r>
    </w:p>
    <w:p w14:paraId="42226DA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44.4采购人应当自政府采购合同签订之日起2个工作日内，在省级以上财政部门指定的政府采购信息发布媒体及相关网站上公告。</w:t>
      </w:r>
    </w:p>
    <w:p w14:paraId="5CE51129">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44.5采购人应当自政府采购合同签订之日起7个工作日内，将政府采购合同副本报同级人民政府财政部门备案以及采购代理机构存档。</w:t>
      </w:r>
    </w:p>
    <w:p w14:paraId="3A4D8783">
      <w:pPr>
        <w:shd w:val="clear" w:color="auto" w:fill="auto"/>
        <w:adjustRightInd w:val="0"/>
        <w:snapToGrid w:val="0"/>
        <w:spacing w:line="440" w:lineRule="exact"/>
        <w:jc w:val="center"/>
        <w:outlineLvl w:val="2"/>
        <w:rPr>
          <w:rFonts w:hint="eastAsia" w:ascii="黑体" w:eastAsia="黑体"/>
          <w:color w:val="auto"/>
          <w:sz w:val="28"/>
          <w:szCs w:val="28"/>
          <w:highlight w:val="none"/>
        </w:rPr>
      </w:pPr>
      <w:bookmarkStart w:id="81" w:name="_Toc29743"/>
      <w:bookmarkStart w:id="82" w:name="_Toc11576"/>
      <w:bookmarkStart w:id="83" w:name="_Toc25363"/>
      <w:r>
        <w:rPr>
          <w:rFonts w:hint="eastAsia" w:ascii="黑体" w:eastAsia="黑体"/>
          <w:color w:val="auto"/>
          <w:sz w:val="28"/>
          <w:szCs w:val="28"/>
          <w:highlight w:val="none"/>
        </w:rPr>
        <w:t>（七）纪律和监督</w:t>
      </w:r>
      <w:bookmarkEnd w:id="79"/>
      <w:bookmarkEnd w:id="81"/>
      <w:bookmarkEnd w:id="82"/>
      <w:bookmarkEnd w:id="83"/>
    </w:p>
    <w:p w14:paraId="7BDFC128">
      <w:pPr>
        <w:shd w:val="clear" w:color="auto" w:fill="auto"/>
        <w:spacing w:line="440" w:lineRule="exact"/>
        <w:ind w:firstLine="308" w:firstLineChars="147"/>
        <w:jc w:val="left"/>
        <w:rPr>
          <w:rFonts w:hint="eastAsia" w:ascii="宋体"/>
          <w:b/>
          <w:color w:val="auto"/>
          <w:szCs w:val="21"/>
          <w:highlight w:val="none"/>
        </w:rPr>
      </w:pPr>
      <w:r>
        <w:rPr>
          <w:rFonts w:hint="eastAsia" w:ascii="宋体"/>
          <w:b/>
          <w:color w:val="auto"/>
          <w:szCs w:val="21"/>
          <w:highlight w:val="none"/>
          <w:lang w:val="en-US" w:eastAsia="zh-CN"/>
        </w:rPr>
        <w:t>45</w:t>
      </w:r>
      <w:r>
        <w:rPr>
          <w:rFonts w:hint="eastAsia" w:ascii="宋体"/>
          <w:b/>
          <w:color w:val="auto"/>
          <w:szCs w:val="21"/>
          <w:highlight w:val="none"/>
        </w:rPr>
        <w:t xml:space="preserve">. 对招标人的纪律要求 </w:t>
      </w:r>
    </w:p>
    <w:p w14:paraId="6CD64BD2">
      <w:pPr>
        <w:shd w:val="clear" w:color="auto" w:fill="auto"/>
        <w:adjustRightInd w:val="0"/>
        <w:snapToGrid w:val="0"/>
        <w:spacing w:line="440" w:lineRule="exact"/>
        <w:ind w:firstLine="315" w:firstLineChars="150"/>
        <w:rPr>
          <w:rFonts w:hint="eastAsia" w:ascii="宋体"/>
          <w:color w:val="auto"/>
          <w:kern w:val="10"/>
          <w:szCs w:val="21"/>
          <w:highlight w:val="none"/>
        </w:rPr>
      </w:pPr>
      <w:r>
        <w:rPr>
          <w:rFonts w:hint="eastAsia" w:ascii="宋体"/>
          <w:color w:val="auto"/>
          <w:kern w:val="10"/>
          <w:szCs w:val="21"/>
          <w:highlight w:val="none"/>
          <w:lang w:val="en-US" w:eastAsia="zh-CN"/>
        </w:rPr>
        <w:t>45</w:t>
      </w:r>
      <w:r>
        <w:rPr>
          <w:rFonts w:hint="eastAsia" w:ascii="宋体"/>
          <w:color w:val="auto"/>
          <w:kern w:val="10"/>
          <w:szCs w:val="21"/>
          <w:highlight w:val="none"/>
        </w:rPr>
        <w:t xml:space="preserve">.1招标人不得泄漏招标投标活动中应当保密的情况和资料，不得与投标人串通损害国家利益，社会公共利益或者他人合法权益。 </w:t>
      </w:r>
    </w:p>
    <w:p w14:paraId="0240DF33">
      <w:pPr>
        <w:shd w:val="clear" w:color="auto" w:fill="auto"/>
        <w:spacing w:line="440" w:lineRule="exact"/>
        <w:ind w:firstLine="308" w:firstLineChars="147"/>
        <w:jc w:val="left"/>
        <w:rPr>
          <w:rFonts w:hint="eastAsia" w:ascii="宋体"/>
          <w:b/>
          <w:color w:val="auto"/>
          <w:szCs w:val="21"/>
          <w:highlight w:val="none"/>
        </w:rPr>
      </w:pPr>
      <w:r>
        <w:rPr>
          <w:rFonts w:hint="eastAsia" w:ascii="宋体"/>
          <w:b/>
          <w:color w:val="auto"/>
          <w:szCs w:val="21"/>
          <w:highlight w:val="none"/>
          <w:lang w:val="en-US" w:eastAsia="zh-CN"/>
        </w:rPr>
        <w:t>46</w:t>
      </w:r>
      <w:r>
        <w:rPr>
          <w:rFonts w:hint="eastAsia" w:ascii="宋体"/>
          <w:b/>
          <w:color w:val="auto"/>
          <w:szCs w:val="21"/>
          <w:highlight w:val="none"/>
        </w:rPr>
        <w:t xml:space="preserve">. 对投标人的纪律要求 </w:t>
      </w:r>
    </w:p>
    <w:p w14:paraId="2EB2FCDB">
      <w:pPr>
        <w:shd w:val="clear" w:color="auto" w:fill="auto"/>
        <w:adjustRightInd w:val="0"/>
        <w:snapToGrid w:val="0"/>
        <w:spacing w:line="440" w:lineRule="exact"/>
        <w:ind w:firstLine="315" w:firstLineChars="150"/>
        <w:rPr>
          <w:rFonts w:hint="eastAsia" w:ascii="宋体"/>
          <w:color w:val="auto"/>
          <w:kern w:val="10"/>
          <w:szCs w:val="21"/>
          <w:highlight w:val="none"/>
        </w:rPr>
      </w:pPr>
      <w:r>
        <w:rPr>
          <w:rFonts w:hint="eastAsia" w:ascii="宋体"/>
          <w:color w:val="auto"/>
          <w:kern w:val="10"/>
          <w:szCs w:val="21"/>
          <w:highlight w:val="none"/>
          <w:lang w:val="en-US" w:eastAsia="zh-CN"/>
        </w:rPr>
        <w:t>46</w:t>
      </w:r>
      <w:r>
        <w:rPr>
          <w:rFonts w:hint="eastAsia" w:ascii="宋体"/>
          <w:color w:val="auto"/>
          <w:kern w:val="10"/>
          <w:szCs w:val="21"/>
          <w:highlight w:val="none"/>
        </w:rPr>
        <w:t>.1投标人不得相互串通投标或者与招标人串通投标，不得向招标人或者评标委员会成员行贿谋取</w:t>
      </w:r>
      <w:r>
        <w:rPr>
          <w:rFonts w:hint="eastAsia" w:ascii="宋体"/>
          <w:color w:val="auto"/>
          <w:kern w:val="10"/>
          <w:szCs w:val="21"/>
          <w:highlight w:val="none"/>
          <w:lang w:eastAsia="zh-CN"/>
        </w:rPr>
        <w:t>成交</w:t>
      </w:r>
      <w:r>
        <w:rPr>
          <w:rFonts w:hint="eastAsia" w:ascii="宋体"/>
          <w:color w:val="auto"/>
          <w:kern w:val="10"/>
          <w:szCs w:val="21"/>
          <w:highlight w:val="none"/>
        </w:rPr>
        <w:t>，不得以他人名义投标或者以其他方式弄虚作假骗取中标；投标人不得以任何方式干扰、影响评标工作。</w:t>
      </w:r>
    </w:p>
    <w:p w14:paraId="44B26A1A">
      <w:pPr>
        <w:shd w:val="clear" w:color="auto" w:fill="auto"/>
        <w:spacing w:line="440" w:lineRule="exact"/>
        <w:ind w:firstLine="308" w:firstLineChars="147"/>
        <w:jc w:val="left"/>
        <w:rPr>
          <w:rFonts w:hint="eastAsia" w:ascii="宋体"/>
          <w:b/>
          <w:color w:val="auto"/>
          <w:szCs w:val="21"/>
          <w:highlight w:val="none"/>
        </w:rPr>
      </w:pPr>
      <w:r>
        <w:rPr>
          <w:rFonts w:hint="eastAsia" w:ascii="宋体"/>
          <w:b/>
          <w:color w:val="auto"/>
          <w:szCs w:val="21"/>
          <w:highlight w:val="none"/>
          <w:lang w:val="en-US" w:eastAsia="zh-CN"/>
        </w:rPr>
        <w:t>47</w:t>
      </w:r>
      <w:r>
        <w:rPr>
          <w:rFonts w:hint="eastAsia" w:ascii="宋体"/>
          <w:b/>
          <w:color w:val="auto"/>
          <w:szCs w:val="21"/>
          <w:highlight w:val="none"/>
        </w:rPr>
        <w:t xml:space="preserve">. 对评标委员会成员的纪律要求 </w:t>
      </w:r>
    </w:p>
    <w:p w14:paraId="32A6FBD2">
      <w:pPr>
        <w:shd w:val="clear" w:color="auto" w:fill="auto"/>
        <w:adjustRightInd w:val="0"/>
        <w:snapToGrid w:val="0"/>
        <w:spacing w:line="440" w:lineRule="exact"/>
        <w:ind w:firstLine="315" w:firstLineChars="150"/>
        <w:rPr>
          <w:rFonts w:hint="eastAsia" w:ascii="宋体"/>
          <w:color w:val="auto"/>
          <w:kern w:val="10"/>
          <w:szCs w:val="21"/>
          <w:highlight w:val="none"/>
        </w:rPr>
      </w:pPr>
      <w:r>
        <w:rPr>
          <w:rFonts w:hint="eastAsia" w:ascii="宋体"/>
          <w:color w:val="auto"/>
          <w:kern w:val="10"/>
          <w:szCs w:val="21"/>
          <w:highlight w:val="none"/>
          <w:lang w:val="en-US" w:eastAsia="zh-CN"/>
        </w:rPr>
        <w:t>47</w:t>
      </w:r>
      <w:r>
        <w:rPr>
          <w:rFonts w:hint="eastAsia" w:ascii="宋体"/>
          <w:color w:val="auto"/>
          <w:kern w:val="10"/>
          <w:szCs w:val="21"/>
          <w:highlight w:val="none"/>
        </w:rPr>
        <w:t>.1评标委员会成员不得收受他人的财物或者其他好处，不得向他人透漏对投标文件的评审和比较、中标候选人的推荐情况以及评标有关的其他情况。</w:t>
      </w:r>
    </w:p>
    <w:p w14:paraId="313E51C9">
      <w:pPr>
        <w:shd w:val="clear" w:color="auto" w:fill="auto"/>
        <w:adjustRightInd w:val="0"/>
        <w:snapToGrid w:val="0"/>
        <w:spacing w:line="440" w:lineRule="exact"/>
        <w:ind w:firstLine="315" w:firstLineChars="150"/>
        <w:rPr>
          <w:rFonts w:hint="eastAsia" w:ascii="宋体"/>
          <w:color w:val="auto"/>
          <w:kern w:val="10"/>
          <w:szCs w:val="21"/>
          <w:highlight w:val="none"/>
        </w:rPr>
      </w:pPr>
      <w:r>
        <w:rPr>
          <w:rFonts w:hint="eastAsia" w:ascii="宋体"/>
          <w:color w:val="auto"/>
          <w:kern w:val="10"/>
          <w:szCs w:val="21"/>
          <w:highlight w:val="none"/>
          <w:lang w:val="en-US" w:eastAsia="zh-CN"/>
        </w:rPr>
        <w:t>47</w:t>
      </w:r>
      <w:r>
        <w:rPr>
          <w:rFonts w:hint="eastAsia" w:ascii="宋体"/>
          <w:color w:val="auto"/>
          <w:kern w:val="10"/>
          <w:szCs w:val="21"/>
          <w:highlight w:val="none"/>
        </w:rPr>
        <w:t xml:space="preserve">.2在评标活动中，评标委员会成员不得擅离职守，影响评标程序正常进行，不得使用第三章“评标办法”没有规定的评审因素和标准进行评标。 </w:t>
      </w:r>
    </w:p>
    <w:p w14:paraId="7427C153">
      <w:pPr>
        <w:shd w:val="clear" w:color="auto" w:fill="auto"/>
        <w:spacing w:line="440" w:lineRule="exact"/>
        <w:ind w:firstLine="308" w:firstLineChars="147"/>
        <w:jc w:val="left"/>
        <w:rPr>
          <w:rFonts w:hint="eastAsia" w:ascii="宋体"/>
          <w:b/>
          <w:color w:val="auto"/>
          <w:szCs w:val="21"/>
          <w:highlight w:val="none"/>
        </w:rPr>
      </w:pPr>
      <w:r>
        <w:rPr>
          <w:rFonts w:hint="eastAsia" w:ascii="宋体"/>
          <w:b/>
          <w:color w:val="auto"/>
          <w:szCs w:val="21"/>
          <w:highlight w:val="none"/>
          <w:lang w:val="en-US" w:eastAsia="zh-CN"/>
        </w:rPr>
        <w:t>48</w:t>
      </w:r>
      <w:r>
        <w:rPr>
          <w:rFonts w:hint="eastAsia" w:ascii="宋体"/>
          <w:b/>
          <w:color w:val="auto"/>
          <w:szCs w:val="21"/>
          <w:highlight w:val="none"/>
        </w:rPr>
        <w:t xml:space="preserve">. 对与评标活动有关的工作人员的纪律要求 </w:t>
      </w:r>
    </w:p>
    <w:p w14:paraId="7C5CD3B3">
      <w:pPr>
        <w:shd w:val="clear" w:color="auto" w:fill="auto"/>
        <w:adjustRightInd w:val="0"/>
        <w:snapToGrid w:val="0"/>
        <w:spacing w:line="440" w:lineRule="exact"/>
        <w:ind w:firstLine="315" w:firstLineChars="150"/>
        <w:rPr>
          <w:rFonts w:hint="eastAsia" w:ascii="宋体"/>
          <w:color w:val="auto"/>
          <w:kern w:val="10"/>
          <w:szCs w:val="21"/>
          <w:highlight w:val="none"/>
        </w:rPr>
      </w:pPr>
      <w:r>
        <w:rPr>
          <w:rFonts w:hint="eastAsia" w:ascii="宋体"/>
          <w:color w:val="auto"/>
          <w:kern w:val="10"/>
          <w:szCs w:val="21"/>
          <w:highlight w:val="none"/>
        </w:rPr>
        <w:t>4</w:t>
      </w:r>
      <w:r>
        <w:rPr>
          <w:rFonts w:hint="eastAsia" w:ascii="宋体"/>
          <w:color w:val="auto"/>
          <w:kern w:val="10"/>
          <w:szCs w:val="21"/>
          <w:highlight w:val="none"/>
          <w:lang w:val="en-US" w:eastAsia="zh-CN"/>
        </w:rPr>
        <w:t>8</w:t>
      </w:r>
      <w:r>
        <w:rPr>
          <w:rFonts w:hint="eastAsia" w:ascii="宋体"/>
          <w:color w:val="auto"/>
          <w:kern w:val="10"/>
          <w:szCs w:val="21"/>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3801E15">
      <w:pPr>
        <w:shd w:val="clear" w:color="auto" w:fill="auto"/>
        <w:spacing w:before="156" w:beforeLines="50" w:after="156" w:afterLines="50" w:line="500" w:lineRule="exact"/>
        <w:jc w:val="center"/>
        <w:rPr>
          <w:rFonts w:hint="eastAsia" w:ascii="黑体" w:hAnsi="宋体" w:eastAsia="黑体"/>
          <w:color w:val="auto"/>
          <w:sz w:val="28"/>
          <w:szCs w:val="28"/>
          <w:highlight w:val="none"/>
        </w:rPr>
      </w:pPr>
      <w:r>
        <w:rPr>
          <w:rFonts w:hint="eastAsia" w:ascii="黑体" w:eastAsia="黑体"/>
          <w:color w:val="auto"/>
          <w:sz w:val="28"/>
          <w:szCs w:val="28"/>
          <w:highlight w:val="none"/>
        </w:rPr>
        <w:t>（八）</w:t>
      </w:r>
      <w:r>
        <w:rPr>
          <w:rFonts w:hint="eastAsia" w:ascii="黑体" w:hAnsi="宋体" w:eastAsia="黑体"/>
          <w:color w:val="auto"/>
          <w:sz w:val="28"/>
          <w:szCs w:val="28"/>
          <w:highlight w:val="none"/>
        </w:rPr>
        <w:t>质疑与投诉</w:t>
      </w:r>
    </w:p>
    <w:p w14:paraId="3D185F8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49．质疑和投诉</w:t>
      </w:r>
    </w:p>
    <w:p w14:paraId="5CF12A5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6E88C7F5">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（一）对可以质疑的采购文件提出质疑的，为收到采购文件之日或者采购文件公告期限届满之日；</w:t>
      </w:r>
    </w:p>
    <w:p w14:paraId="2D7811D9">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（二）对采购过程提出质疑的，为各采购程序环节结束之日；</w:t>
      </w:r>
    </w:p>
    <w:p w14:paraId="057317AE">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（三）对中标或者成交结果提出质疑的，为中标或者成交结果公告期限届满之日。</w:t>
      </w:r>
    </w:p>
    <w:p w14:paraId="4A4C7F4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46E978F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供应商为自然人的，应当由本人签字；供应商为法人或者其他组织的，应当由法定代表人、主要法定代表人，或者其授权代表签字或者盖章，并加盖公章。</w:t>
      </w:r>
    </w:p>
    <w:p w14:paraId="566D0F30">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4320EA92">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181941E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49.5供应商有下列情形之一的，将其列入不良行为记录名单：</w:t>
      </w:r>
    </w:p>
    <w:p w14:paraId="3FFD8011">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（一）一年内三次以上质疑均查无实据的；</w:t>
      </w:r>
    </w:p>
    <w:p w14:paraId="5684D71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（二）捏造事实或者提供虚假质疑材料的。</w:t>
      </w:r>
    </w:p>
    <w:p w14:paraId="0513B4E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（三）以非法手段取得证明材料。证据来源的合法性存在明显疑问，质疑人无法证明其取得方式合法的，视为以非法手段取得证明材料。</w:t>
      </w:r>
    </w:p>
    <w:p w14:paraId="735A1EB1">
      <w:pPr>
        <w:shd w:val="clear" w:color="auto" w:fill="auto"/>
        <w:jc w:val="lef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br w:type="page"/>
      </w:r>
    </w:p>
    <w:p w14:paraId="2F39EF47">
      <w:pPr>
        <w:shd w:val="clear" w:color="auto" w:fill="auto"/>
        <w:jc w:val="left"/>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21"/>
          <w:szCs w:val="21"/>
          <w:highlight w:val="none"/>
          <w:lang w:eastAsia="zh-CN"/>
        </w:rPr>
        <w:t>附件：</w:t>
      </w:r>
    </w:p>
    <w:p w14:paraId="3DD8B223">
      <w:pPr>
        <w:pStyle w:val="3"/>
        <w:numPr>
          <w:ilvl w:val="0"/>
          <w:numId w:val="0"/>
        </w:numPr>
        <w:bidi w:val="0"/>
        <w:spacing w:line="240" w:lineRule="auto"/>
        <w:ind w:left="431" w:leftChars="0"/>
        <w:jc w:val="center"/>
        <w:rPr>
          <w:rFonts w:hint="eastAsia" w:eastAsia="方正小标宋_GBK"/>
          <w:b/>
          <w:bCs/>
          <w:sz w:val="32"/>
          <w:szCs w:val="20"/>
          <w:highlight w:val="none"/>
          <w:lang w:eastAsia="zh-CN"/>
        </w:rPr>
      </w:pPr>
      <w:bookmarkStart w:id="84" w:name="_Toc29624"/>
      <w:bookmarkStart w:id="85" w:name="_Toc13447"/>
      <w:bookmarkStart w:id="86" w:name="_Toc27114"/>
      <w:bookmarkStart w:id="87" w:name="_Toc17515"/>
      <w:r>
        <w:rPr>
          <w:rFonts w:hint="eastAsia"/>
          <w:b/>
          <w:bCs/>
          <w:sz w:val="32"/>
          <w:szCs w:val="20"/>
          <w:highlight w:val="none"/>
        </w:rPr>
        <w:t>投 诉 书</w:t>
      </w:r>
      <w:bookmarkEnd w:id="84"/>
      <w:bookmarkEnd w:id="85"/>
    </w:p>
    <w:p w14:paraId="5373EC1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outlineLvl w:val="0"/>
        <w:rPr>
          <w:rFonts w:hint="eastAsia" w:ascii="黑体" w:hAnsi="黑体" w:eastAsia="黑体" w:cs="黑体"/>
          <w:kern w:val="0"/>
          <w:sz w:val="24"/>
          <w:szCs w:val="24"/>
          <w:highlight w:val="none"/>
          <w:lang w:eastAsia="zh-CN"/>
        </w:rPr>
      </w:pPr>
      <w:bookmarkStart w:id="88" w:name="_Toc22042"/>
      <w:bookmarkStart w:id="89" w:name="_Toc4730"/>
      <w:bookmarkStart w:id="90" w:name="_Toc30403"/>
      <w:bookmarkStart w:id="91" w:name="_Toc18623"/>
      <w:bookmarkStart w:id="92" w:name="_Toc21897"/>
      <w:r>
        <w:rPr>
          <w:rFonts w:hint="eastAsia" w:ascii="黑体" w:hAnsi="黑体" w:eastAsia="黑体" w:cs="黑体"/>
          <w:kern w:val="0"/>
          <w:sz w:val="24"/>
          <w:szCs w:val="24"/>
          <w:highlight w:val="none"/>
          <w:lang w:eastAsia="zh-CN"/>
        </w:rPr>
        <w:t>一、投诉相关主体基本情况</w:t>
      </w:r>
      <w:bookmarkEnd w:id="88"/>
      <w:bookmarkEnd w:id="89"/>
      <w:bookmarkEnd w:id="90"/>
      <w:bookmarkEnd w:id="91"/>
      <w:bookmarkEnd w:id="92"/>
    </w:p>
    <w:p w14:paraId="35D13B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楷体_GB2312" w:hAnsi="宋体" w:eastAsia="楷体_GB2312" w:cs="宋体"/>
          <w:kern w:val="0"/>
          <w:sz w:val="24"/>
          <w:szCs w:val="24"/>
          <w:highlight w:val="none"/>
        </w:rPr>
      </w:pPr>
      <w:r>
        <w:rPr>
          <w:rFonts w:hint="eastAsia" w:ascii="仿宋_GB2312" w:hAnsi="宋体" w:eastAsia="仿宋_GB2312" w:cs="宋体"/>
          <w:kern w:val="0"/>
          <w:sz w:val="24"/>
          <w:szCs w:val="24"/>
          <w:highlight w:val="none"/>
        </w:rPr>
        <w:t>投诉人：</w:t>
      </w:r>
      <w:r>
        <w:rPr>
          <w:rFonts w:hint="eastAsia" w:ascii="楷体_GB2312" w:hAnsi="宋体" w:eastAsia="楷体_GB2312" w:cs="宋体"/>
          <w:kern w:val="0"/>
          <w:sz w:val="24"/>
          <w:szCs w:val="24"/>
          <w:highlight w:val="none"/>
          <w:u w:val="single"/>
          <w:lang w:val="en-US" w:eastAsia="zh-CN"/>
        </w:rPr>
        <w:t xml:space="preserve">                         </w:t>
      </w:r>
      <w:r>
        <w:rPr>
          <w:rFonts w:hint="eastAsia" w:ascii="楷体_GB2312" w:hAnsi="宋体" w:eastAsia="楷体_GB2312" w:cs="宋体"/>
          <w:kern w:val="0"/>
          <w:sz w:val="24"/>
          <w:szCs w:val="24"/>
          <w:highlight w:val="none"/>
        </w:rPr>
        <w:t xml:space="preserve">  </w:t>
      </w:r>
    </w:p>
    <w:p w14:paraId="0537EC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p>
    <w:p w14:paraId="451E2F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default" w:ascii="仿宋_GB2312" w:hAnsi="宋体" w:eastAsia="仿宋_GB2312" w:cs="宋体"/>
          <w:kern w:val="0"/>
          <w:sz w:val="24"/>
          <w:szCs w:val="24"/>
          <w:highlight w:val="none"/>
          <w:u w:val="none"/>
          <w:lang w:val="en-US" w:eastAsia="zh-CN"/>
        </w:rPr>
      </w:pPr>
      <w:r>
        <w:rPr>
          <w:rFonts w:hint="eastAsia" w:ascii="仿宋_GB2312" w:hAnsi="宋体" w:eastAsia="仿宋_GB2312" w:cs="宋体"/>
          <w:kern w:val="0"/>
          <w:sz w:val="24"/>
          <w:szCs w:val="24"/>
          <w:highlight w:val="none"/>
          <w:u w:val="none"/>
          <w:lang w:val="en-US" w:eastAsia="zh-CN"/>
        </w:rPr>
        <w:t>法定代表人/主要法定代表人：</w:t>
      </w:r>
      <w:r>
        <w:rPr>
          <w:rFonts w:hint="eastAsia" w:ascii="仿宋_GB2312" w:hAnsi="宋体" w:eastAsia="仿宋_GB2312" w:cs="宋体"/>
          <w:kern w:val="0"/>
          <w:sz w:val="24"/>
          <w:szCs w:val="24"/>
          <w:highlight w:val="none"/>
          <w:u w:val="single"/>
          <w:lang w:val="en-US" w:eastAsia="zh-CN"/>
        </w:rPr>
        <w:t xml:space="preserve">                             </w:t>
      </w:r>
    </w:p>
    <w:p w14:paraId="527175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2E434F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p>
    <w:p w14:paraId="3B74E0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楷体_GB2312" w:hAnsi="宋体" w:eastAsia="楷体_GB2312" w:cs="宋体"/>
          <w:kern w:val="0"/>
          <w:sz w:val="24"/>
          <w:szCs w:val="24"/>
          <w:highlight w:val="none"/>
          <w:u w:val="single"/>
          <w:lang w:val="en-US" w:eastAsia="zh-CN"/>
        </w:rPr>
      </w:pPr>
      <w:r>
        <w:rPr>
          <w:rFonts w:hint="eastAsia" w:ascii="仿宋_GB2312" w:hAnsi="宋体" w:eastAsia="仿宋_GB2312" w:cs="宋体"/>
          <w:kern w:val="0"/>
          <w:sz w:val="24"/>
          <w:szCs w:val="24"/>
          <w:highlight w:val="none"/>
          <w:u w:val="none"/>
          <w:lang w:eastAsia="zh-CN"/>
        </w:rPr>
        <w:t>授权代表（如有）：</w:t>
      </w:r>
      <w:r>
        <w:rPr>
          <w:rFonts w:hint="eastAsia" w:ascii="楷体_GB2312" w:hAnsi="宋体" w:eastAsia="楷体_GB2312" w:cs="宋体"/>
          <w:kern w:val="0"/>
          <w:sz w:val="24"/>
          <w:szCs w:val="24"/>
          <w:highlight w:val="none"/>
          <w:u w:val="single"/>
          <w:lang w:val="en-US" w:eastAsia="zh-CN"/>
        </w:rPr>
        <w:t xml:space="preserve">                         </w:t>
      </w:r>
    </w:p>
    <w:p w14:paraId="75D908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lang w:val="en-US" w:eastAsia="zh-CN"/>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44582E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 xml:space="preserve">         </w:t>
      </w:r>
    </w:p>
    <w:p w14:paraId="50EEBA2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u w:val="none"/>
          <w:lang w:eastAsia="zh-CN"/>
        </w:rPr>
        <w:t>被投诉人</w:t>
      </w:r>
      <w:r>
        <w:rPr>
          <w:rFonts w:hint="eastAsia" w:ascii="仿宋_GB2312" w:hAnsi="宋体" w:eastAsia="仿宋_GB2312" w:cs="宋体"/>
          <w:kern w:val="0"/>
          <w:sz w:val="24"/>
          <w:szCs w:val="24"/>
          <w:highlight w:val="none"/>
          <w:u w:val="none"/>
          <w:lang w:val="en-US" w:eastAsia="zh-CN"/>
        </w:rPr>
        <w:t>1：</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编：</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lang w:eastAsia="zh-CN"/>
        </w:rPr>
        <w:t>联系人：</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3F6CE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u w:val="single"/>
          <w:lang w:val="en-US" w:eastAsia="zh-CN"/>
        </w:rPr>
      </w:pPr>
      <w:r>
        <w:rPr>
          <w:rFonts w:hint="eastAsia" w:ascii="仿宋_GB2312" w:hAnsi="宋体" w:eastAsia="仿宋_GB2312" w:cs="宋体"/>
          <w:kern w:val="0"/>
          <w:sz w:val="24"/>
          <w:szCs w:val="24"/>
          <w:highlight w:val="none"/>
          <w:u w:val="none"/>
          <w:lang w:eastAsia="zh-CN"/>
        </w:rPr>
        <w:t>被投诉人</w:t>
      </w:r>
      <w:r>
        <w:rPr>
          <w:rFonts w:hint="eastAsia" w:ascii="仿宋_GB2312" w:hAnsi="宋体" w:eastAsia="仿宋_GB2312" w:cs="宋体"/>
          <w:kern w:val="0"/>
          <w:sz w:val="24"/>
          <w:szCs w:val="24"/>
          <w:highlight w:val="none"/>
          <w:u w:val="none"/>
          <w:lang w:val="en-US" w:eastAsia="zh-CN"/>
        </w:rPr>
        <w:t>2：</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4DD37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38" w:leftChars="304" w:firstLine="0" w:firstLineChars="0"/>
        <w:jc w:val="left"/>
        <w:rPr>
          <w:rFonts w:hint="eastAsia"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u w:val="none"/>
          <w:lang w:val="en-US" w:eastAsia="zh-CN"/>
        </w:rPr>
        <w:t>相关供应商</w:t>
      </w:r>
      <w:r>
        <w:rPr>
          <w:rFonts w:hint="eastAsia" w:ascii="仿宋_GB2312" w:hAnsi="宋体" w:eastAsia="仿宋_GB2312" w:cs="宋体"/>
          <w:kern w:val="0"/>
          <w:sz w:val="24"/>
          <w:szCs w:val="24"/>
          <w:highlight w:val="none"/>
          <w:u w:val="none"/>
          <w:lang w:eastAsia="zh-CN"/>
        </w:rPr>
        <w:t>（如有）</w:t>
      </w:r>
      <w:r>
        <w:rPr>
          <w:rFonts w:hint="eastAsia" w:ascii="仿宋_GB2312" w:hAnsi="宋体" w:eastAsia="仿宋_GB2312" w:cs="宋体"/>
          <w:kern w:val="0"/>
          <w:sz w:val="24"/>
          <w:szCs w:val="24"/>
          <w:highlight w:val="none"/>
          <w:u w:val="none"/>
          <w:lang w:val="en-US" w:eastAsia="zh-CN"/>
        </w:rPr>
        <w:t>：</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地</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址：</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邮编：</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37051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ascii="仿宋_GB2312" w:hAnsi="宋体" w:eastAsia="仿宋_GB2312" w:cs="宋体"/>
          <w:kern w:val="0"/>
          <w:sz w:val="24"/>
          <w:szCs w:val="24"/>
          <w:highlight w:val="none"/>
          <w:u w:val="single"/>
        </w:rPr>
      </w:pPr>
      <w:r>
        <w:rPr>
          <w:rFonts w:hint="eastAsia" w:ascii="仿宋_GB2312" w:hAnsi="宋体" w:eastAsia="仿宋_GB2312" w:cs="宋体"/>
          <w:kern w:val="0"/>
          <w:sz w:val="24"/>
          <w:szCs w:val="24"/>
          <w:highlight w:val="none"/>
        </w:rPr>
        <w:t>联系人：</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rPr>
        <w:t>联系电话：</w:t>
      </w:r>
      <w:r>
        <w:rPr>
          <w:rFonts w:hint="eastAsia" w:ascii="仿宋_GB2312" w:hAnsi="宋体" w:eastAsia="仿宋_GB2312" w:cs="宋体"/>
          <w:kern w:val="0"/>
          <w:sz w:val="24"/>
          <w:szCs w:val="24"/>
          <w:highlight w:val="none"/>
          <w:u w:val="single"/>
        </w:rPr>
        <w:t xml:space="preserve">         </w:t>
      </w:r>
      <w:r>
        <w:rPr>
          <w:rFonts w:hint="eastAsia" w:ascii="仿宋_GB2312" w:hAnsi="宋体" w:eastAsia="仿宋_GB2312" w:cs="宋体"/>
          <w:kern w:val="0"/>
          <w:sz w:val="24"/>
          <w:szCs w:val="24"/>
          <w:highlight w:val="none"/>
          <w:u w:val="single"/>
          <w:lang w:val="en-US" w:eastAsia="zh-CN"/>
        </w:rPr>
        <w:t xml:space="preserve">  </w:t>
      </w:r>
      <w:r>
        <w:rPr>
          <w:rFonts w:hint="eastAsia" w:ascii="仿宋_GB2312" w:hAnsi="宋体" w:eastAsia="仿宋_GB2312" w:cs="宋体"/>
          <w:kern w:val="0"/>
          <w:sz w:val="24"/>
          <w:szCs w:val="24"/>
          <w:highlight w:val="none"/>
          <w:u w:val="single"/>
        </w:rPr>
        <w:t xml:space="preserve">    </w:t>
      </w:r>
    </w:p>
    <w:p w14:paraId="42724C9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outlineLvl w:val="0"/>
        <w:rPr>
          <w:rFonts w:hint="eastAsia" w:ascii="黑体" w:hAnsi="黑体" w:eastAsia="黑体" w:cs="黑体"/>
          <w:kern w:val="0"/>
          <w:sz w:val="24"/>
          <w:szCs w:val="24"/>
          <w:highlight w:val="none"/>
          <w:lang w:eastAsia="zh-CN"/>
        </w:rPr>
      </w:pPr>
      <w:bookmarkStart w:id="93" w:name="_Toc17048"/>
      <w:bookmarkStart w:id="94" w:name="_Toc18283"/>
      <w:bookmarkStart w:id="95" w:name="_Toc25214"/>
      <w:bookmarkStart w:id="96" w:name="_Toc7437"/>
      <w:bookmarkStart w:id="97" w:name="_Toc10853"/>
      <w:r>
        <w:rPr>
          <w:rFonts w:hint="eastAsia" w:ascii="黑体" w:hAnsi="黑体" w:eastAsia="黑体" w:cs="黑体"/>
          <w:kern w:val="0"/>
          <w:sz w:val="24"/>
          <w:szCs w:val="24"/>
          <w:highlight w:val="none"/>
          <w:lang w:eastAsia="zh-CN"/>
        </w:rPr>
        <w:t>二、投诉项目基本情况</w:t>
      </w:r>
      <w:bookmarkEnd w:id="93"/>
      <w:bookmarkEnd w:id="94"/>
      <w:bookmarkEnd w:id="95"/>
      <w:bookmarkEnd w:id="96"/>
      <w:bookmarkEnd w:id="97"/>
    </w:p>
    <w:p w14:paraId="6F131D2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lang w:eastAsia="zh-CN"/>
        </w:rPr>
        <w:t>采购项目名称：</w:t>
      </w:r>
    </w:p>
    <w:p w14:paraId="2F0951E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eastAsia="zh-CN"/>
        </w:rPr>
        <w:t>采购项目编号：</w:t>
      </w:r>
      <w:r>
        <w:rPr>
          <w:rFonts w:hint="eastAsia" w:ascii="仿宋_GB2312" w:hAnsi="宋体" w:eastAsia="仿宋_GB2312" w:cs="宋体"/>
          <w:kern w:val="0"/>
          <w:sz w:val="24"/>
          <w:szCs w:val="24"/>
          <w:highlight w:val="none"/>
          <w:lang w:val="en-US" w:eastAsia="zh-CN"/>
        </w:rPr>
        <w:t xml:space="preserve">        包号：</w:t>
      </w:r>
    </w:p>
    <w:p w14:paraId="53E1374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采购人名称：</w:t>
      </w:r>
    </w:p>
    <w:p w14:paraId="53A109B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代理机构名称：</w:t>
      </w:r>
    </w:p>
    <w:p w14:paraId="043D022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采购文件公告：是/否 公告期限：</w:t>
      </w:r>
    </w:p>
    <w:p w14:paraId="1FF5852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val="en-US" w:eastAsia="zh-CN"/>
        </w:rPr>
        <w:t>采购结果公告：是/否 公告期限：</w:t>
      </w:r>
    </w:p>
    <w:p w14:paraId="6108626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outlineLvl w:val="0"/>
        <w:rPr>
          <w:rFonts w:hint="eastAsia" w:ascii="黑体" w:hAnsi="黑体" w:eastAsia="黑体" w:cs="黑体"/>
          <w:kern w:val="0"/>
          <w:sz w:val="24"/>
          <w:szCs w:val="24"/>
          <w:highlight w:val="none"/>
          <w:lang w:val="en-US" w:eastAsia="zh-CN"/>
        </w:rPr>
      </w:pPr>
      <w:bookmarkStart w:id="98" w:name="_Toc2182"/>
      <w:bookmarkStart w:id="99" w:name="_Toc13183"/>
      <w:bookmarkStart w:id="100" w:name="_Toc25877"/>
      <w:bookmarkStart w:id="101" w:name="_Toc13582"/>
      <w:bookmarkStart w:id="102" w:name="_Toc14152"/>
      <w:r>
        <w:rPr>
          <w:rFonts w:hint="eastAsia" w:ascii="黑体" w:hAnsi="黑体" w:eastAsia="黑体" w:cs="黑体"/>
          <w:kern w:val="0"/>
          <w:sz w:val="24"/>
          <w:szCs w:val="24"/>
          <w:highlight w:val="none"/>
          <w:lang w:val="en-US" w:eastAsia="zh-CN"/>
        </w:rPr>
        <w:t>三、质疑基本情况</w:t>
      </w:r>
      <w:bookmarkEnd w:id="98"/>
      <w:bookmarkEnd w:id="99"/>
      <w:bookmarkEnd w:id="100"/>
      <w:bookmarkEnd w:id="101"/>
      <w:bookmarkEnd w:id="102"/>
    </w:p>
    <w:p w14:paraId="02B0718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投诉人于    年  月  日，向       提出质疑，</w:t>
      </w:r>
    </w:p>
    <w:p w14:paraId="5D3313A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质疑事项为：</w:t>
      </w:r>
    </w:p>
    <w:p w14:paraId="3A9FABC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采购人/代理机构于    年  月  日，就质疑事项做出了答复/没有在法定期限内做出答复。</w:t>
      </w:r>
    </w:p>
    <w:p w14:paraId="641D56B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outlineLvl w:val="0"/>
        <w:rPr>
          <w:rFonts w:hint="default" w:ascii="黑体" w:hAnsi="黑体" w:eastAsia="黑体" w:cs="黑体"/>
          <w:kern w:val="0"/>
          <w:sz w:val="24"/>
          <w:szCs w:val="24"/>
          <w:highlight w:val="none"/>
          <w:lang w:val="en-US" w:eastAsia="zh-CN"/>
        </w:rPr>
      </w:pPr>
      <w:bookmarkStart w:id="103" w:name="_Toc3347"/>
      <w:bookmarkStart w:id="104" w:name="_Toc17256"/>
      <w:bookmarkStart w:id="105" w:name="_Toc15203"/>
      <w:bookmarkStart w:id="106" w:name="_Toc26083"/>
      <w:bookmarkStart w:id="107" w:name="_Toc23110"/>
      <w:r>
        <w:rPr>
          <w:rFonts w:hint="eastAsia" w:ascii="黑体" w:hAnsi="黑体" w:eastAsia="黑体" w:cs="黑体"/>
          <w:kern w:val="0"/>
          <w:sz w:val="24"/>
          <w:szCs w:val="24"/>
          <w:highlight w:val="none"/>
          <w:lang w:val="en-US" w:eastAsia="zh-CN"/>
        </w:rPr>
        <w:t>四、投诉事项具体内容</w:t>
      </w:r>
      <w:bookmarkEnd w:id="103"/>
      <w:bookmarkEnd w:id="104"/>
      <w:bookmarkEnd w:id="105"/>
      <w:bookmarkEnd w:id="106"/>
      <w:bookmarkEnd w:id="107"/>
    </w:p>
    <w:p w14:paraId="384F0A3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投诉事项1：</w:t>
      </w:r>
    </w:p>
    <w:p w14:paraId="4BAA1A0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事实依据：</w:t>
      </w:r>
    </w:p>
    <w:p w14:paraId="5962E86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法律依据1：</w:t>
      </w:r>
    </w:p>
    <w:p w14:paraId="21AD84A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法律依据2：</w:t>
      </w:r>
    </w:p>
    <w:p w14:paraId="1215EF6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p>
    <w:p w14:paraId="10B8DDB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投诉事项2：</w:t>
      </w:r>
    </w:p>
    <w:p w14:paraId="20CACE18">
      <w:pPr>
        <w:spacing w:line="240" w:lineRule="auto"/>
        <w:ind w:firstLine="480" w:firstLineChars="200"/>
        <w:rPr>
          <w:rFonts w:hint="eastAsia" w:ascii="仿宋_GB2312" w:hAnsi="宋体" w:eastAsia="仿宋_GB2312" w:cs="宋体"/>
          <w:kern w:val="0"/>
          <w:sz w:val="24"/>
          <w:szCs w:val="24"/>
          <w:highlight w:val="none"/>
          <w:u w:val="single"/>
          <w:lang w:val="en-US" w:eastAsia="zh-CN"/>
        </w:rPr>
      </w:pPr>
      <w:r>
        <w:rPr>
          <w:rFonts w:hint="eastAsia" w:ascii="仿宋_GB2312" w:eastAsia="仿宋_GB2312"/>
          <w:sz w:val="24"/>
          <w:szCs w:val="24"/>
          <w:highlight w:val="none"/>
        </w:rPr>
        <w:t>……</w:t>
      </w:r>
    </w:p>
    <w:p w14:paraId="166B69E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outlineLvl w:val="0"/>
        <w:rPr>
          <w:rFonts w:hint="eastAsia" w:ascii="黑体" w:hAnsi="黑体" w:eastAsia="黑体" w:cs="黑体"/>
          <w:kern w:val="0"/>
          <w:sz w:val="24"/>
          <w:szCs w:val="24"/>
          <w:highlight w:val="none"/>
          <w:lang w:eastAsia="zh-CN"/>
        </w:rPr>
      </w:pPr>
      <w:bookmarkStart w:id="108" w:name="_Toc16036"/>
      <w:bookmarkStart w:id="109" w:name="_Toc13424"/>
      <w:bookmarkStart w:id="110" w:name="_Toc16741"/>
      <w:bookmarkStart w:id="111" w:name="_Toc32324"/>
      <w:bookmarkStart w:id="112" w:name="_Toc31495"/>
      <w:r>
        <w:rPr>
          <w:rFonts w:hint="eastAsia" w:ascii="黑体" w:hAnsi="黑体" w:eastAsia="黑体" w:cs="黑体"/>
          <w:kern w:val="0"/>
          <w:sz w:val="24"/>
          <w:szCs w:val="24"/>
          <w:highlight w:val="none"/>
          <w:lang w:eastAsia="zh-CN"/>
        </w:rPr>
        <w:t>五、与投诉事项相关的投诉请求</w:t>
      </w:r>
      <w:bookmarkEnd w:id="108"/>
      <w:bookmarkEnd w:id="109"/>
      <w:bookmarkEnd w:id="110"/>
      <w:bookmarkEnd w:id="111"/>
      <w:bookmarkEnd w:id="112"/>
    </w:p>
    <w:p w14:paraId="5AC4E83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Chars="0" w:firstLine="480" w:firstLineChars="200"/>
        <w:jc w:val="left"/>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eastAsia="zh-CN"/>
        </w:rPr>
        <w:t>请求：</w:t>
      </w:r>
    </w:p>
    <w:p w14:paraId="1AEB2C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rPr>
      </w:pPr>
    </w:p>
    <w:p w14:paraId="18DB90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val="en-US" w:eastAsia="zh-CN"/>
        </w:rPr>
      </w:pPr>
      <w:r>
        <w:rPr>
          <w:rFonts w:hint="eastAsia" w:ascii="仿宋_GB2312" w:hAnsi="宋体" w:eastAsia="仿宋_GB2312" w:cs="宋体"/>
          <w:kern w:val="0"/>
          <w:sz w:val="24"/>
          <w:szCs w:val="24"/>
          <w:highlight w:val="none"/>
          <w:lang w:eastAsia="zh-CN"/>
        </w:rPr>
        <w:t>签字（签章）</w:t>
      </w:r>
      <w:r>
        <w:rPr>
          <w:rFonts w:hint="eastAsia" w:ascii="楷体" w:hAnsi="楷体" w:eastAsia="楷体" w:cs="楷体"/>
          <w:kern w:val="0"/>
          <w:sz w:val="22"/>
          <w:szCs w:val="22"/>
          <w:highlight w:val="none"/>
          <w:lang w:eastAsia="zh-CN"/>
        </w:rPr>
        <w:t>（法人代表或法定代表人、代理人）</w:t>
      </w:r>
      <w:r>
        <w:rPr>
          <w:rFonts w:hint="eastAsia" w:ascii="仿宋_GB2312" w:hAnsi="宋体" w:eastAsia="仿宋_GB2312" w:cs="宋体"/>
          <w:kern w:val="0"/>
          <w:sz w:val="24"/>
          <w:szCs w:val="24"/>
          <w:highlight w:val="none"/>
          <w:lang w:eastAsia="zh-CN"/>
        </w:rPr>
        <w:t>：</w:t>
      </w:r>
      <w:r>
        <w:rPr>
          <w:rFonts w:hint="eastAsia" w:ascii="仿宋_GB2312" w:hAnsi="宋体" w:eastAsia="仿宋_GB2312" w:cs="宋体"/>
          <w:kern w:val="0"/>
          <w:sz w:val="24"/>
          <w:szCs w:val="24"/>
          <w:highlight w:val="none"/>
          <w:lang w:val="en-US" w:eastAsia="zh-CN"/>
        </w:rPr>
        <w:t xml:space="preserve">       </w:t>
      </w:r>
    </w:p>
    <w:p w14:paraId="2E0FA1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rPr>
      </w:pPr>
      <w:r>
        <w:rPr>
          <w:rFonts w:hint="eastAsia" w:ascii="仿宋_GB2312" w:hAnsi="宋体" w:eastAsia="仿宋_GB2312" w:cs="宋体"/>
          <w:kern w:val="0"/>
          <w:sz w:val="24"/>
          <w:szCs w:val="24"/>
          <w:highlight w:val="none"/>
          <w:lang w:eastAsia="zh-CN"/>
        </w:rPr>
        <w:t>公章</w:t>
      </w:r>
      <w:r>
        <w:rPr>
          <w:rFonts w:hint="eastAsia" w:ascii="楷体" w:hAnsi="楷体" w:eastAsia="楷体" w:cs="楷体"/>
          <w:kern w:val="0"/>
          <w:sz w:val="22"/>
          <w:szCs w:val="22"/>
          <w:highlight w:val="none"/>
          <w:lang w:eastAsia="zh-CN"/>
        </w:rPr>
        <w:t>（单位）</w:t>
      </w:r>
      <w:r>
        <w:rPr>
          <w:rFonts w:hint="eastAsia" w:ascii="仿宋_GB2312" w:hAnsi="宋体" w:eastAsia="仿宋_GB2312" w:cs="宋体"/>
          <w:kern w:val="0"/>
          <w:sz w:val="24"/>
          <w:szCs w:val="24"/>
          <w:highlight w:val="none"/>
          <w:lang w:eastAsia="zh-CN"/>
        </w:rPr>
        <w:t>：</w:t>
      </w:r>
      <w:r>
        <w:rPr>
          <w:rFonts w:hint="eastAsia" w:ascii="仿宋_GB2312" w:hAnsi="宋体" w:eastAsia="仿宋_GB2312" w:cs="宋体"/>
          <w:kern w:val="0"/>
          <w:sz w:val="24"/>
          <w:szCs w:val="24"/>
          <w:highlight w:val="none"/>
        </w:rPr>
        <w:t xml:space="preserve">            </w:t>
      </w:r>
      <w:r>
        <w:rPr>
          <w:rFonts w:hint="eastAsia" w:ascii="仿宋_GB2312" w:hAnsi="宋体" w:eastAsia="仿宋_GB2312" w:cs="宋体"/>
          <w:kern w:val="0"/>
          <w:sz w:val="24"/>
          <w:szCs w:val="24"/>
          <w:highlight w:val="none"/>
          <w:lang w:val="en-US" w:eastAsia="zh-CN"/>
        </w:rPr>
        <w:t xml:space="preserve"> </w:t>
      </w:r>
      <w:r>
        <w:rPr>
          <w:rFonts w:hint="eastAsia" w:ascii="仿宋_GB2312" w:hAnsi="宋体" w:eastAsia="仿宋_GB2312" w:cs="宋体"/>
          <w:kern w:val="0"/>
          <w:sz w:val="24"/>
          <w:szCs w:val="24"/>
          <w:highlight w:val="none"/>
        </w:rPr>
        <w:t xml:space="preserve">  </w:t>
      </w:r>
    </w:p>
    <w:p w14:paraId="30B5C01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lang w:eastAsia="zh-CN"/>
        </w:rPr>
        <w:t>日期：</w:t>
      </w:r>
    </w:p>
    <w:p w14:paraId="41F9B8F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hint="eastAsia" w:ascii="仿宋_GB2312" w:hAnsi="宋体" w:eastAsia="仿宋_GB2312" w:cs="宋体"/>
          <w:kern w:val="0"/>
          <w:sz w:val="24"/>
          <w:szCs w:val="24"/>
          <w:highlight w:val="none"/>
          <w:lang w:eastAsia="zh-CN"/>
        </w:rPr>
      </w:pPr>
    </w:p>
    <w:p w14:paraId="5C1C25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bookmarkStart w:id="113" w:name="_Toc7988"/>
    </w:p>
    <w:p w14:paraId="3F5005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p>
    <w:p w14:paraId="2AD90E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80" w:firstLineChars="200"/>
        <w:jc w:val="left"/>
        <w:rPr>
          <w:rFonts w:hint="eastAsia" w:ascii="仿宋_GB2312" w:hAnsi="宋体" w:eastAsia="仿宋_GB2312" w:cs="宋体"/>
          <w:kern w:val="0"/>
          <w:sz w:val="24"/>
          <w:szCs w:val="24"/>
          <w:highlight w:val="none"/>
          <w:lang w:eastAsia="zh-CN"/>
        </w:rPr>
      </w:pPr>
      <w:r>
        <w:rPr>
          <w:rFonts w:hint="eastAsia" w:ascii="仿宋_GB2312" w:hAnsi="宋体" w:eastAsia="仿宋_GB2312" w:cs="宋体"/>
          <w:kern w:val="0"/>
          <w:sz w:val="24"/>
          <w:szCs w:val="24"/>
          <w:highlight w:val="none"/>
          <w:lang w:eastAsia="zh-CN"/>
        </w:rPr>
        <w:t>附件：质疑及答复材料</w:t>
      </w:r>
    </w:p>
    <w:p w14:paraId="48CC04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outlineLvl w:val="0"/>
        <w:rPr>
          <w:rFonts w:hint="eastAsia" w:ascii="仿宋_GB2312" w:hAnsi="宋体" w:eastAsia="仿宋_GB2312" w:cs="宋体"/>
          <w:b/>
          <w:bCs/>
          <w:kern w:val="0"/>
          <w:sz w:val="24"/>
          <w:szCs w:val="24"/>
          <w:highlight w:val="none"/>
          <w:lang w:eastAsia="zh-CN"/>
        </w:rPr>
      </w:pPr>
      <w:bookmarkStart w:id="114" w:name="_Toc29658"/>
      <w:bookmarkStart w:id="115" w:name="_Toc31452"/>
      <w:bookmarkStart w:id="116" w:name="_Toc5781"/>
      <w:bookmarkStart w:id="117" w:name="_Toc20349"/>
      <w:r>
        <w:rPr>
          <w:rFonts w:hint="eastAsia" w:ascii="仿宋_GB2312" w:hAnsi="宋体" w:eastAsia="仿宋_GB2312" w:cs="宋体"/>
          <w:b/>
          <w:bCs/>
          <w:kern w:val="0"/>
          <w:sz w:val="24"/>
          <w:szCs w:val="24"/>
          <w:highlight w:val="none"/>
          <w:lang w:eastAsia="zh-CN"/>
        </w:rPr>
        <w:t>投诉书制作说明：</w:t>
      </w:r>
      <w:bookmarkEnd w:id="114"/>
      <w:bookmarkEnd w:id="115"/>
      <w:bookmarkEnd w:id="116"/>
    </w:p>
    <w:p w14:paraId="4A25E88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default"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1.投诉人应当按照</w:t>
      </w:r>
      <w:r>
        <w:rPr>
          <w:rFonts w:hint="default" w:ascii="楷体" w:hAnsi="楷体" w:eastAsia="楷体" w:cs="楷体"/>
          <w:kern w:val="0"/>
          <w:sz w:val="24"/>
          <w:szCs w:val="24"/>
          <w:highlight w:val="none"/>
          <w:lang w:val="en-US" w:eastAsia="zh-CN"/>
        </w:rPr>
        <w:t>《政府采购质疑和投诉办法》</w:t>
      </w:r>
      <w:r>
        <w:rPr>
          <w:rFonts w:hint="eastAsia" w:ascii="楷体" w:hAnsi="楷体" w:eastAsia="楷体" w:cs="楷体"/>
          <w:kern w:val="0"/>
          <w:sz w:val="24"/>
          <w:szCs w:val="24"/>
          <w:highlight w:val="none"/>
          <w:lang w:val="en-US" w:eastAsia="zh-CN"/>
        </w:rPr>
        <w:t>（财政部令第94号）规定提起投诉。</w:t>
      </w:r>
    </w:p>
    <w:p w14:paraId="3088E43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2.投诉人提起投诉时，应当提交投诉书和必要的证明材料，并按照被投诉人和与投诉事项有关的供应商数量提供投诉书副本。</w:t>
      </w:r>
    </w:p>
    <w:p w14:paraId="255353B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3E6778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4.投诉人若对项目的某一分包进行投诉，投诉书应列明具体分包号。</w:t>
      </w:r>
    </w:p>
    <w:p w14:paraId="701545B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5.投诉书应简要列明质疑事项，质疑函、质疑答复等作为附件材料提供。</w:t>
      </w:r>
    </w:p>
    <w:p w14:paraId="24A4DBA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6.投诉书的投诉事项应具体、明确，并由必要的事实依据和法律依据。</w:t>
      </w:r>
    </w:p>
    <w:p w14:paraId="505DAAB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7.投诉书的投诉请求应与投诉事项相关。</w:t>
      </w:r>
    </w:p>
    <w:p w14:paraId="68065EA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42" w:leftChars="0"/>
        <w:jc w:val="left"/>
        <w:rPr>
          <w:rFonts w:hint="eastAsia" w:ascii="楷体" w:hAnsi="楷体" w:eastAsia="楷体" w:cs="楷体"/>
          <w:kern w:val="0"/>
          <w:sz w:val="24"/>
          <w:szCs w:val="24"/>
          <w:highlight w:val="none"/>
          <w:lang w:val="en-US" w:eastAsia="zh-CN"/>
        </w:rPr>
      </w:pPr>
      <w:r>
        <w:rPr>
          <w:rFonts w:hint="eastAsia" w:ascii="楷体" w:hAnsi="楷体" w:eastAsia="楷体" w:cs="楷体"/>
          <w:kern w:val="0"/>
          <w:sz w:val="24"/>
          <w:szCs w:val="24"/>
          <w:highlight w:val="none"/>
          <w:lang w:val="en-US" w:eastAsia="zh-CN"/>
        </w:rPr>
        <w:t>8.投诉人为自然人的，投诉书应当由本人签字；投诉书应当由法定代表人、主要法定代表人，或者其授权代表签字或者盖章，并加盖公章。</w:t>
      </w:r>
    </w:p>
    <w:bookmarkEnd w:id="113"/>
    <w:bookmarkEnd w:id="117"/>
    <w:p w14:paraId="054BBBDB">
      <w:pPr>
        <w:jc w:val="both"/>
        <w:outlineLvl w:val="0"/>
        <w:rPr>
          <w:rFonts w:ascii="宋体" w:hAnsi="宋体"/>
          <w:b/>
          <w:bCs/>
          <w:sz w:val="32"/>
          <w:szCs w:val="32"/>
        </w:rPr>
      </w:pPr>
    </w:p>
    <w:p w14:paraId="475BB9D9">
      <w:pPr>
        <w:shd w:val="clear" w:color="auto" w:fill="auto"/>
        <w:ind w:left="7951" w:hanging="5760" w:hangingChars="1800"/>
        <w:jc w:val="center"/>
        <w:outlineLvl w:val="0"/>
        <w:rPr>
          <w:rFonts w:hint="eastAsia" w:ascii="宋体" w:hAnsi="宋体" w:eastAsia="宋体" w:cs="宋体"/>
          <w:color w:val="auto"/>
          <w:sz w:val="32"/>
          <w:szCs w:val="32"/>
          <w:highlight w:val="none"/>
        </w:rPr>
      </w:pPr>
      <w:bookmarkStart w:id="118" w:name="_Toc7180"/>
      <w:bookmarkStart w:id="119" w:name="_Toc8685"/>
      <w:bookmarkStart w:id="120" w:name="_Toc17797"/>
      <w:r>
        <w:rPr>
          <w:rFonts w:hint="eastAsia" w:ascii="宋体" w:hAnsi="宋体" w:eastAsia="宋体" w:cs="宋体"/>
          <w:b/>
          <w:bCs/>
          <w:color w:val="auto"/>
          <w:sz w:val="32"/>
          <w:szCs w:val="32"/>
          <w:highlight w:val="none"/>
        </w:rPr>
        <w:t>投诉相关说明</w:t>
      </w:r>
      <w:bookmarkEnd w:id="86"/>
      <w:bookmarkEnd w:id="87"/>
      <w:bookmarkEnd w:id="118"/>
      <w:bookmarkEnd w:id="119"/>
      <w:bookmarkEnd w:id="120"/>
    </w:p>
    <w:p w14:paraId="38F0768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投诉人应当满足《政府采购法》、《政府采购法实施条例》和《政府采购供应商投诉处理办法》的相关规定。</w:t>
      </w:r>
    </w:p>
    <w:p w14:paraId="1040144C">
      <w:pPr>
        <w:keepNext w:val="0"/>
        <w:keepLines w:val="0"/>
        <w:pageBreakBefore w:val="0"/>
        <w:numPr>
          <w:ilvl w:val="0"/>
          <w:numId w:val="5"/>
        </w:numPr>
        <w:shd w:val="clear" w:color="auto" w:fill="auto"/>
        <w:kinsoku/>
        <w:wordWrap/>
        <w:overflowPunct/>
        <w:topLinePunct w:val="0"/>
        <w:autoSpaceDE/>
        <w:autoSpaceDN/>
        <w:bidi w:val="0"/>
        <w:adjustRightInd/>
        <w:snapToGrid/>
        <w:spacing w:line="400" w:lineRule="exact"/>
        <w:ind w:left="3998" w:leftChars="304" w:hanging="3360" w:hangingChars="1600"/>
        <w:textAlignment w:val="auto"/>
        <w:outlineLvl w:val="0"/>
        <w:rPr>
          <w:rFonts w:hint="eastAsia" w:ascii="宋体" w:hAnsi="宋体" w:eastAsia="宋体" w:cs="宋体"/>
          <w:b/>
          <w:bCs/>
          <w:color w:val="auto"/>
          <w:sz w:val="21"/>
          <w:szCs w:val="21"/>
          <w:highlight w:val="none"/>
        </w:rPr>
      </w:pPr>
      <w:bookmarkStart w:id="121" w:name="_Toc11499"/>
      <w:bookmarkStart w:id="122" w:name="_Toc23186"/>
      <w:bookmarkStart w:id="123" w:name="_Toc19974"/>
      <w:bookmarkStart w:id="124" w:name="_Toc32209"/>
      <w:bookmarkStart w:id="125" w:name="_Toc24366"/>
      <w:r>
        <w:rPr>
          <w:rFonts w:hint="eastAsia" w:ascii="宋体" w:hAnsi="宋体" w:eastAsia="宋体" w:cs="宋体"/>
          <w:b/>
          <w:bCs/>
          <w:color w:val="auto"/>
          <w:sz w:val="21"/>
          <w:szCs w:val="21"/>
          <w:highlight w:val="none"/>
        </w:rPr>
        <w:t>质疑前置及时间要求</w:t>
      </w:r>
      <w:bookmarkEnd w:id="121"/>
      <w:bookmarkEnd w:id="122"/>
      <w:bookmarkEnd w:id="123"/>
      <w:bookmarkEnd w:id="124"/>
      <w:bookmarkEnd w:id="125"/>
    </w:p>
    <w:p w14:paraId="1FCD885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sz w:val="21"/>
          <w:szCs w:val="21"/>
          <w:highlight w:val="none"/>
        </w:rPr>
        <w:t>《中华人民共和国政府采购法》</w:t>
      </w:r>
      <w:r>
        <w:rPr>
          <w:rFonts w:hint="eastAsia" w:ascii="宋体" w:hAnsi="宋体" w:eastAsia="宋体" w:cs="宋体"/>
          <w:color w:val="auto"/>
          <w:kern w:val="0"/>
          <w:sz w:val="21"/>
          <w:szCs w:val="21"/>
          <w:highlight w:val="none"/>
          <w:shd w:val="clear" w:color="auto" w:fill="FFFFFF"/>
        </w:rPr>
        <w:t>第五十一条：供应商对政府采购活动事项有疑问的，可以向采购人提出询问，采购人应当及时作出答复，但答复的内容不得涉及商业秘密。</w:t>
      </w:r>
    </w:p>
    <w:p w14:paraId="3BAB2D3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shd w:val="clear" w:color="auto" w:fill="FFFFFF"/>
        </w:rPr>
        <w:t xml:space="preserve"> 第五十二条：供应商认为采购文件、采购过程和</w:t>
      </w:r>
      <w:r>
        <w:rPr>
          <w:rFonts w:hint="eastAsia" w:ascii="宋体" w:hAnsi="宋体" w:eastAsia="宋体" w:cs="宋体"/>
          <w:color w:val="auto"/>
          <w:kern w:val="0"/>
          <w:sz w:val="21"/>
          <w:szCs w:val="21"/>
          <w:highlight w:val="none"/>
          <w:shd w:val="clear" w:color="auto" w:fill="FFFFFF"/>
          <w:lang w:eastAsia="zh-CN"/>
        </w:rPr>
        <w:t>成交</w:t>
      </w:r>
      <w:r>
        <w:rPr>
          <w:rFonts w:hint="eastAsia" w:ascii="宋体" w:hAnsi="宋体" w:eastAsia="宋体" w:cs="宋体"/>
          <w:color w:val="auto"/>
          <w:kern w:val="0"/>
          <w:sz w:val="21"/>
          <w:szCs w:val="21"/>
          <w:highlight w:val="none"/>
          <w:shd w:val="clear" w:color="auto" w:fill="FFFFFF"/>
        </w:rPr>
        <w:t>、</w:t>
      </w:r>
      <w:r>
        <w:rPr>
          <w:rFonts w:hint="eastAsia" w:ascii="宋体" w:hAnsi="宋体" w:eastAsia="宋体" w:cs="宋体"/>
          <w:color w:val="auto"/>
          <w:kern w:val="0"/>
          <w:sz w:val="21"/>
          <w:szCs w:val="21"/>
          <w:highlight w:val="none"/>
          <w:shd w:val="clear" w:color="auto" w:fill="FFFFFF"/>
          <w:lang w:eastAsia="zh-CN"/>
        </w:rPr>
        <w:t>成交</w:t>
      </w:r>
      <w:r>
        <w:rPr>
          <w:rFonts w:hint="eastAsia" w:ascii="宋体" w:hAnsi="宋体" w:eastAsia="宋体" w:cs="宋体"/>
          <w:color w:val="auto"/>
          <w:kern w:val="0"/>
          <w:sz w:val="21"/>
          <w:szCs w:val="21"/>
          <w:highlight w:val="none"/>
          <w:shd w:val="clear" w:color="auto" w:fill="FFFFFF"/>
        </w:rPr>
        <w:t>结果使自己的权益受到损害的，可以在知道或者应知其权益受到损害之日起七个工作日内，以书面形式向采购人提出质疑。</w:t>
      </w:r>
    </w:p>
    <w:p w14:paraId="79596FB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7A64FE44">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532693C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shd w:val="clear" w:color="auto" w:fill="FFFFFF"/>
        </w:rPr>
        <w:t xml:space="preserve">  《政府采购实施条例》第五十五条：供应商质疑、投诉应当有明确的请求和必要的证明材料。供应商投诉的事项不得超出质疑事项的范围。</w:t>
      </w:r>
    </w:p>
    <w:p w14:paraId="318BEB3F">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 xml:space="preserve">   </w:t>
      </w:r>
      <w:bookmarkStart w:id="126" w:name="_Toc13508"/>
      <w:bookmarkStart w:id="127" w:name="_Toc15224"/>
      <w:bookmarkStart w:id="128" w:name="_Toc13308"/>
      <w:bookmarkStart w:id="129" w:name="_Toc4520"/>
      <w:bookmarkStart w:id="130" w:name="_Toc7489"/>
      <w:r>
        <w:rPr>
          <w:rFonts w:hint="eastAsia" w:ascii="宋体" w:hAnsi="宋体" w:eastAsia="宋体" w:cs="宋体"/>
          <w:b/>
          <w:bCs/>
          <w:color w:val="auto"/>
          <w:sz w:val="21"/>
          <w:szCs w:val="21"/>
          <w:highlight w:val="none"/>
        </w:rPr>
        <w:t>二、书面方式</w:t>
      </w:r>
      <w:bookmarkEnd w:id="126"/>
      <w:bookmarkEnd w:id="127"/>
      <w:bookmarkEnd w:id="128"/>
      <w:bookmarkEnd w:id="129"/>
      <w:bookmarkEnd w:id="130"/>
    </w:p>
    <w:p w14:paraId="3E372745">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《政府采购供应商投诉处理办法》第八条：投诉人投诉</w:t>
      </w:r>
    </w:p>
    <w:p w14:paraId="43E8975F">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时，应当提交投诉书，并按照被投诉人以及与投诉事项有关的供应商数量提供投诉书的副本。</w:t>
      </w:r>
    </w:p>
    <w:p w14:paraId="50C1F75E">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投诉书应当包括下列主要内容：</w:t>
      </w:r>
    </w:p>
    <w:p w14:paraId="7CBADDD5">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投诉人和被投诉人的名称、地址、电话等；</w:t>
      </w:r>
    </w:p>
    <w:p w14:paraId="783CE22B">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具体的投诉事项及事实依据；</w:t>
      </w:r>
    </w:p>
    <w:p w14:paraId="1C511E1D">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质疑和质疑答复情况及相关证明材料；</w:t>
      </w:r>
    </w:p>
    <w:p w14:paraId="09A2C18C">
      <w:pPr>
        <w:keepNext w:val="0"/>
        <w:keepLines w:val="0"/>
        <w:pageBreakBefore w:val="0"/>
        <w:numPr>
          <w:ilvl w:val="0"/>
          <w:numId w:val="6"/>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提起投诉的日期。</w:t>
      </w:r>
    </w:p>
    <w:p w14:paraId="69900CCC">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投诉书应当署名。投诉人为自然人，应当由本人签字；投诉人为法人或者其他组织的，应当由</w:t>
      </w:r>
      <w:r>
        <w:rPr>
          <w:rFonts w:hint="eastAsia" w:ascii="宋体" w:hAnsi="宋体" w:eastAsia="宋体" w:cs="宋体"/>
          <w:color w:val="auto"/>
          <w:sz w:val="21"/>
          <w:szCs w:val="21"/>
          <w:highlight w:val="none"/>
          <w:lang w:eastAsia="zh-CN"/>
        </w:rPr>
        <w:t>法定代表人</w:t>
      </w:r>
      <w:r>
        <w:rPr>
          <w:rFonts w:hint="eastAsia" w:ascii="宋体" w:hAnsi="宋体" w:eastAsia="宋体" w:cs="宋体"/>
          <w:color w:val="auto"/>
          <w:sz w:val="21"/>
          <w:szCs w:val="21"/>
          <w:highlight w:val="none"/>
        </w:rPr>
        <w:t>或者主要</w:t>
      </w:r>
      <w:r>
        <w:rPr>
          <w:rFonts w:hint="eastAsia" w:ascii="宋体" w:hAnsi="宋体" w:eastAsia="宋体" w:cs="宋体"/>
          <w:color w:val="auto"/>
          <w:sz w:val="21"/>
          <w:szCs w:val="21"/>
          <w:highlight w:val="none"/>
          <w:lang w:eastAsia="zh-CN"/>
        </w:rPr>
        <w:t>法定代表人</w:t>
      </w:r>
      <w:r>
        <w:rPr>
          <w:rFonts w:hint="eastAsia" w:ascii="宋体" w:hAnsi="宋体" w:eastAsia="宋体" w:cs="宋体"/>
          <w:color w:val="auto"/>
          <w:sz w:val="21"/>
          <w:szCs w:val="21"/>
          <w:highlight w:val="none"/>
        </w:rPr>
        <w:t>签字并加盖公章。</w:t>
      </w:r>
    </w:p>
    <w:p w14:paraId="21D4E891">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FDB900B">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《政府采购供应商投诉处理办法》第十条：投诉人提起投诉应当符合下列条件：</w:t>
      </w:r>
    </w:p>
    <w:p w14:paraId="01B49063">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投诉人是参与所投诉政府采购活动的供应商；</w:t>
      </w:r>
    </w:p>
    <w:p w14:paraId="180A6F34">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提起投诉诉前已依法进行质疑；</w:t>
      </w:r>
    </w:p>
    <w:p w14:paraId="5002B219">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投诉书内容符合本办法的规定；</w:t>
      </w:r>
    </w:p>
    <w:p w14:paraId="29CFAB66">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在投诉有效期内提起投诉；</w:t>
      </w:r>
    </w:p>
    <w:p w14:paraId="518C5CEE">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属于本级财政部门管辖；</w:t>
      </w:r>
    </w:p>
    <w:p w14:paraId="794E892A">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同一投诉事项未经财政部门投诉处理；</w:t>
      </w:r>
    </w:p>
    <w:p w14:paraId="1BC69BA7">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国务院财政部门规定的其他条件。</w:t>
      </w:r>
    </w:p>
    <w:p w14:paraId="21EF546A">
      <w:pPr>
        <w:keepNext w:val="0"/>
        <w:keepLines w:val="0"/>
        <w:pageBreakBefore w:val="0"/>
        <w:shd w:val="clear" w:color="auto" w:fill="auto"/>
        <w:kinsoku/>
        <w:wordWrap/>
        <w:overflowPunct/>
        <w:topLinePunct w:val="0"/>
        <w:autoSpaceDE/>
        <w:autoSpaceDN/>
        <w:bidi w:val="0"/>
        <w:adjustRightInd/>
        <w:snapToGrid/>
        <w:spacing w:line="400" w:lineRule="exact"/>
        <w:ind w:left="5760" w:hanging="3780" w:hangingChars="18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BB7E7E0">
      <w:pPr>
        <w:shd w:val="clear" w:color="auto" w:fill="auto"/>
        <w:outlineLvl w:val="0"/>
        <w:rPr>
          <w:rFonts w:hint="eastAsia"/>
          <w:color w:val="auto"/>
          <w:sz w:val="21"/>
          <w:szCs w:val="21"/>
          <w:highlight w:val="none"/>
        </w:rPr>
      </w:pPr>
      <w:r>
        <w:rPr>
          <w:rFonts w:hint="eastAsia"/>
          <w:color w:val="auto"/>
          <w:sz w:val="21"/>
          <w:szCs w:val="21"/>
          <w:highlight w:val="none"/>
        </w:rPr>
        <w:t xml:space="preserve"> </w:t>
      </w:r>
      <w:r>
        <w:rPr>
          <w:rFonts w:hint="eastAsia" w:ascii="宋体" w:hAnsi="宋体" w:eastAsia="宋体" w:cs="宋体"/>
          <w:b/>
          <w:bCs/>
          <w:color w:val="auto"/>
          <w:sz w:val="21"/>
          <w:szCs w:val="21"/>
          <w:highlight w:val="none"/>
        </w:rPr>
        <w:t xml:space="preserve">   </w:t>
      </w:r>
      <w:bookmarkStart w:id="131" w:name="_Toc10437"/>
      <w:bookmarkStart w:id="132" w:name="_Toc15521"/>
      <w:bookmarkStart w:id="133" w:name="_Toc19745"/>
      <w:bookmarkStart w:id="134" w:name="_Toc29839"/>
      <w:bookmarkStart w:id="135" w:name="_Toc5978"/>
      <w:r>
        <w:rPr>
          <w:rFonts w:hint="eastAsia" w:ascii="宋体" w:hAnsi="宋体" w:eastAsia="宋体" w:cs="宋体"/>
          <w:b/>
          <w:bCs/>
          <w:color w:val="auto"/>
          <w:sz w:val="21"/>
          <w:szCs w:val="21"/>
          <w:highlight w:val="none"/>
        </w:rPr>
        <w:t>三、虚假、恶意投诉法律责任</w:t>
      </w:r>
      <w:bookmarkEnd w:id="131"/>
      <w:bookmarkEnd w:id="132"/>
      <w:bookmarkEnd w:id="133"/>
      <w:bookmarkEnd w:id="134"/>
      <w:bookmarkEnd w:id="135"/>
    </w:p>
    <w:p w14:paraId="33E66874">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第七十三条：供应商捏造实施、提供虚假材料或者以非法手段取得证明材料进行投诉的，由财政部门列入不良行为记录名单，禁止其1至3年内参加政府采购活动。</w:t>
      </w:r>
    </w:p>
    <w:p w14:paraId="6F440790">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《政府采购供应商投诉处理办法》第二十六条：投诉人有下列情形之一的，属于虚假、恶意投诉，财政部门应当驳回投诉，将其列入不良行为记录名单，并依法予以处罚：</w:t>
      </w:r>
    </w:p>
    <w:p w14:paraId="32118340">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（一）1年内3次以上投诉均查无实据的；</w:t>
      </w:r>
    </w:p>
    <w:p w14:paraId="480297B4">
      <w:pPr>
        <w:keepNext w:val="0"/>
        <w:keepLines w:val="0"/>
        <w:pageBreakBefore w:val="0"/>
        <w:shd w:val="clear" w:color="auto" w:fill="auto"/>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（二）捏造事实或者提供虚假投诉材料的。</w:t>
      </w:r>
    </w:p>
    <w:p w14:paraId="4847CB26">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p w14:paraId="6350877C">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p>
    <w:p w14:paraId="6A2A80AF">
      <w:pPr>
        <w:shd w:val="clear" w:color="auto" w:fill="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递交投诉书地址：</w:t>
      </w:r>
      <w:r>
        <w:rPr>
          <w:rFonts w:hint="eastAsia" w:ascii="宋体" w:hAnsi="宋体" w:eastAsia="宋体" w:cs="宋体"/>
          <w:color w:val="auto"/>
          <w:sz w:val="21"/>
          <w:szCs w:val="21"/>
          <w:highlight w:val="none"/>
          <w:lang w:val="en-US" w:eastAsia="zh-CN"/>
        </w:rPr>
        <w:t>阿克陶县财政局政府采购办</w:t>
      </w:r>
      <w:r>
        <w:rPr>
          <w:rFonts w:hint="eastAsia" w:ascii="宋体" w:hAnsi="宋体" w:eastAsia="宋体" w:cs="宋体"/>
          <w:color w:val="auto"/>
          <w:sz w:val="21"/>
          <w:szCs w:val="21"/>
          <w:highlight w:val="none"/>
        </w:rPr>
        <w:t>监管办公室</w:t>
      </w:r>
    </w:p>
    <w:p w14:paraId="1BB40B7A">
      <w:pPr>
        <w:shd w:val="clear" w:color="auto" w:fill="auto"/>
        <w:jc w:val="right"/>
        <w:rPr>
          <w:rFonts w:hint="eastAsia" w:ascii="宋体" w:hAnsi="宋体" w:eastAsia="宋体" w:cs="宋体"/>
          <w:color w:val="auto"/>
          <w:sz w:val="32"/>
          <w:szCs w:val="32"/>
          <w:highlight w:val="none"/>
        </w:rPr>
      </w:pPr>
    </w:p>
    <w:p w14:paraId="5A1680E7">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2432D8FD">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626E4410">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251396ED">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宋体" w:hAnsi="宋体" w:eastAsia="宋体" w:cs="宋体"/>
          <w:b/>
          <w:bCs/>
          <w:color w:val="auto"/>
          <w:sz w:val="44"/>
          <w:szCs w:val="44"/>
          <w:highlight w:val="none"/>
        </w:rPr>
      </w:pPr>
    </w:p>
    <w:p w14:paraId="79A2DEC6">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32"/>
          <w:szCs w:val="32"/>
          <w:highlight w:val="none"/>
        </w:rPr>
      </w:pPr>
      <w:bookmarkStart w:id="136" w:name="_Toc1697"/>
    </w:p>
    <w:p w14:paraId="0F109427">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32"/>
          <w:szCs w:val="32"/>
          <w:highlight w:val="none"/>
        </w:rPr>
      </w:pPr>
    </w:p>
    <w:p w14:paraId="1826EE3C">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32"/>
          <w:szCs w:val="32"/>
          <w:highlight w:val="none"/>
        </w:rPr>
      </w:pPr>
    </w:p>
    <w:p w14:paraId="0FCF7A23">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宋体" w:hAnsi="宋体" w:eastAsia="宋体" w:cs="宋体"/>
          <w:b/>
          <w:bCs/>
          <w:color w:val="auto"/>
          <w:sz w:val="32"/>
          <w:szCs w:val="32"/>
          <w:highlight w:val="none"/>
        </w:rPr>
      </w:pPr>
    </w:p>
    <w:p w14:paraId="0240AA42">
      <w:pPr>
        <w:pStyle w:val="9"/>
        <w:rPr>
          <w:rFonts w:hint="eastAsia"/>
        </w:rPr>
      </w:pPr>
      <w:bookmarkStart w:id="137" w:name="_Toc30496"/>
    </w:p>
    <w:p w14:paraId="4736777E">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宋体" w:hAnsi="宋体" w:eastAsia="宋体" w:cs="宋体"/>
          <w:b/>
          <w:bCs/>
          <w:color w:val="auto"/>
          <w:sz w:val="32"/>
          <w:szCs w:val="32"/>
          <w:highlight w:val="none"/>
        </w:rPr>
      </w:pPr>
      <w:bookmarkStart w:id="138" w:name="_Toc8556"/>
      <w:bookmarkStart w:id="139" w:name="_Toc3689"/>
      <w:bookmarkStart w:id="140" w:name="_Toc2004"/>
      <w:r>
        <w:rPr>
          <w:rFonts w:hint="eastAsia" w:ascii="宋体" w:hAnsi="宋体" w:eastAsia="宋体" w:cs="宋体"/>
          <w:b/>
          <w:bCs/>
          <w:color w:val="auto"/>
          <w:sz w:val="32"/>
          <w:szCs w:val="32"/>
          <w:highlight w:val="none"/>
        </w:rPr>
        <w:t>质疑函范本</w:t>
      </w:r>
      <w:bookmarkEnd w:id="136"/>
      <w:bookmarkEnd w:id="137"/>
      <w:bookmarkEnd w:id="138"/>
      <w:bookmarkEnd w:id="139"/>
      <w:bookmarkEnd w:id="140"/>
    </w:p>
    <w:p w14:paraId="5BDAE7FF">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420" w:firstLineChars="200"/>
        <w:textAlignment w:val="auto"/>
        <w:outlineLvl w:val="0"/>
        <w:rPr>
          <w:rFonts w:hint="eastAsia" w:ascii="宋体" w:hAnsi="宋体" w:eastAsia="宋体" w:cs="宋体"/>
          <w:bCs/>
          <w:color w:val="auto"/>
          <w:sz w:val="21"/>
          <w:szCs w:val="21"/>
          <w:highlight w:val="none"/>
        </w:rPr>
      </w:pPr>
      <w:bookmarkStart w:id="141" w:name="_Toc22846"/>
      <w:bookmarkStart w:id="142" w:name="_Toc9571"/>
      <w:bookmarkStart w:id="143" w:name="_Toc32442"/>
      <w:bookmarkStart w:id="144" w:name="_Toc25524"/>
      <w:bookmarkStart w:id="145" w:name="_Toc9061"/>
      <w:r>
        <w:rPr>
          <w:rFonts w:hint="eastAsia" w:ascii="宋体" w:hAnsi="宋体" w:eastAsia="宋体" w:cs="宋体"/>
          <w:bCs/>
          <w:color w:val="auto"/>
          <w:sz w:val="21"/>
          <w:szCs w:val="21"/>
          <w:highlight w:val="none"/>
        </w:rPr>
        <w:t>一、质疑供应商基本信息</w:t>
      </w:r>
      <w:bookmarkEnd w:id="141"/>
      <w:bookmarkEnd w:id="142"/>
      <w:bookmarkEnd w:id="143"/>
      <w:bookmarkEnd w:id="144"/>
      <w:bookmarkEnd w:id="145"/>
    </w:p>
    <w:p w14:paraId="448EDEA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质疑供应商：</w:t>
      </w:r>
      <w:r>
        <w:rPr>
          <w:rFonts w:hint="eastAsia" w:ascii="宋体" w:hAnsi="宋体" w:eastAsia="宋体" w:cs="宋体"/>
          <w:color w:val="auto"/>
          <w:sz w:val="21"/>
          <w:szCs w:val="21"/>
          <w:highlight w:val="none"/>
          <w:u w:val="dotted"/>
        </w:rPr>
        <w:t xml:space="preserve">                         </w:t>
      </w:r>
    </w:p>
    <w:p w14:paraId="0FC65E2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38FB064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7A5A41D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授权代表：</w:t>
      </w:r>
      <w:r>
        <w:rPr>
          <w:rFonts w:hint="eastAsia" w:ascii="宋体" w:hAnsi="宋体" w:eastAsia="宋体" w:cs="宋体"/>
          <w:color w:val="auto"/>
          <w:sz w:val="21"/>
          <w:szCs w:val="21"/>
          <w:highlight w:val="none"/>
          <w:u w:val="dotted"/>
        </w:rPr>
        <w:t xml:space="preserve">                                          </w:t>
      </w:r>
    </w:p>
    <w:p w14:paraId="2AD46FC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dotted"/>
        </w:rPr>
        <w:t xml:space="preserve">                                          </w:t>
      </w:r>
    </w:p>
    <w:p w14:paraId="2776166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地址： </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dotted"/>
        </w:rPr>
        <w:t xml:space="preserve">               </w:t>
      </w:r>
    </w:p>
    <w:p w14:paraId="3073C2B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宋体" w:hAnsi="宋体" w:eastAsia="宋体" w:cs="宋体"/>
          <w:bCs/>
          <w:color w:val="auto"/>
          <w:sz w:val="21"/>
          <w:szCs w:val="21"/>
          <w:highlight w:val="none"/>
        </w:rPr>
      </w:pPr>
      <w:bookmarkStart w:id="146" w:name="_Toc15938"/>
      <w:bookmarkStart w:id="147" w:name="_Toc28209"/>
      <w:bookmarkStart w:id="148" w:name="_Toc25793"/>
      <w:bookmarkStart w:id="149" w:name="_Toc19533"/>
      <w:bookmarkStart w:id="150" w:name="_Toc1644"/>
      <w:r>
        <w:rPr>
          <w:rFonts w:hint="eastAsia" w:ascii="宋体" w:hAnsi="宋体" w:eastAsia="宋体" w:cs="宋体"/>
          <w:bCs/>
          <w:color w:val="auto"/>
          <w:sz w:val="21"/>
          <w:szCs w:val="21"/>
          <w:highlight w:val="none"/>
        </w:rPr>
        <w:t>二、质疑项目基本情况</w:t>
      </w:r>
      <w:bookmarkEnd w:id="146"/>
      <w:bookmarkEnd w:id="147"/>
      <w:bookmarkEnd w:id="148"/>
      <w:bookmarkEnd w:id="149"/>
      <w:bookmarkEnd w:id="150"/>
    </w:p>
    <w:p w14:paraId="7005B0B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质疑项目的名称：</w:t>
      </w:r>
      <w:r>
        <w:rPr>
          <w:rFonts w:hint="eastAsia" w:ascii="宋体" w:hAnsi="宋体" w:eastAsia="宋体" w:cs="宋体"/>
          <w:color w:val="auto"/>
          <w:sz w:val="21"/>
          <w:szCs w:val="21"/>
          <w:highlight w:val="none"/>
          <w:u w:val="dotted"/>
        </w:rPr>
        <w:t xml:space="preserve">                                     </w:t>
      </w:r>
    </w:p>
    <w:p w14:paraId="42180D31">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质疑项目的编号：</w:t>
      </w:r>
      <w:r>
        <w:rPr>
          <w:rFonts w:hint="eastAsia" w:ascii="宋体" w:hAnsi="宋体" w:eastAsia="宋体" w:cs="宋体"/>
          <w:color w:val="auto"/>
          <w:sz w:val="21"/>
          <w:szCs w:val="21"/>
          <w:highlight w:val="none"/>
          <w:u w:val="dotted"/>
        </w:rPr>
        <w:t xml:space="preserve">               </w:t>
      </w:r>
      <w:r>
        <w:rPr>
          <w:rFonts w:hint="eastAsia" w:ascii="宋体" w:hAnsi="宋体" w:eastAsia="宋体" w:cs="宋体"/>
          <w:color w:val="auto"/>
          <w:sz w:val="21"/>
          <w:szCs w:val="21"/>
          <w:highlight w:val="none"/>
        </w:rPr>
        <w:t>包号：</w:t>
      </w:r>
      <w:r>
        <w:rPr>
          <w:rFonts w:hint="eastAsia" w:ascii="宋体" w:hAnsi="宋体" w:eastAsia="宋体" w:cs="宋体"/>
          <w:color w:val="auto"/>
          <w:sz w:val="21"/>
          <w:szCs w:val="21"/>
          <w:highlight w:val="none"/>
          <w:u w:val="dotted"/>
        </w:rPr>
        <w:t xml:space="preserve">                </w:t>
      </w:r>
    </w:p>
    <w:p w14:paraId="2361C9F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采购人名称：</w:t>
      </w:r>
      <w:r>
        <w:rPr>
          <w:rFonts w:hint="eastAsia" w:ascii="宋体" w:hAnsi="宋体" w:eastAsia="宋体" w:cs="宋体"/>
          <w:color w:val="auto"/>
          <w:sz w:val="21"/>
          <w:szCs w:val="21"/>
          <w:highlight w:val="none"/>
          <w:u w:val="dotted"/>
        </w:rPr>
        <w:t xml:space="preserve">                                         </w:t>
      </w:r>
    </w:p>
    <w:p w14:paraId="4802FA6C">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采购文件获取日期：</w:t>
      </w:r>
      <w:r>
        <w:rPr>
          <w:rFonts w:hint="eastAsia" w:ascii="宋体" w:hAnsi="宋体" w:eastAsia="宋体" w:cs="宋体"/>
          <w:color w:val="auto"/>
          <w:sz w:val="21"/>
          <w:szCs w:val="21"/>
          <w:highlight w:val="none"/>
          <w:u w:val="dotted"/>
        </w:rPr>
        <w:t xml:space="preserve">                                   </w:t>
      </w:r>
    </w:p>
    <w:p w14:paraId="5D59D74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宋体" w:hAnsi="宋体" w:eastAsia="宋体" w:cs="宋体"/>
          <w:bCs/>
          <w:color w:val="auto"/>
          <w:sz w:val="21"/>
          <w:szCs w:val="21"/>
          <w:highlight w:val="none"/>
        </w:rPr>
      </w:pPr>
      <w:bookmarkStart w:id="151" w:name="_Toc7840"/>
      <w:bookmarkStart w:id="152" w:name="_Toc18271"/>
      <w:bookmarkStart w:id="153" w:name="_Toc25298"/>
      <w:bookmarkStart w:id="154" w:name="_Toc2159"/>
      <w:bookmarkStart w:id="155" w:name="_Toc20487"/>
      <w:r>
        <w:rPr>
          <w:rFonts w:hint="eastAsia" w:ascii="宋体" w:hAnsi="宋体" w:eastAsia="宋体" w:cs="宋体"/>
          <w:bCs/>
          <w:color w:val="auto"/>
          <w:sz w:val="21"/>
          <w:szCs w:val="21"/>
          <w:highlight w:val="none"/>
        </w:rPr>
        <w:t>三、质疑事项具体内容</w:t>
      </w:r>
      <w:bookmarkEnd w:id="151"/>
      <w:bookmarkEnd w:id="152"/>
      <w:bookmarkEnd w:id="153"/>
      <w:bookmarkEnd w:id="154"/>
      <w:bookmarkEnd w:id="155"/>
    </w:p>
    <w:p w14:paraId="67707C8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质疑事项1：</w:t>
      </w:r>
      <w:r>
        <w:rPr>
          <w:rFonts w:hint="eastAsia" w:ascii="宋体" w:hAnsi="宋体" w:eastAsia="宋体" w:cs="宋体"/>
          <w:color w:val="auto"/>
          <w:sz w:val="21"/>
          <w:szCs w:val="21"/>
          <w:highlight w:val="none"/>
          <w:u w:val="dotted"/>
        </w:rPr>
        <w:t xml:space="preserve">                                         </w:t>
      </w:r>
    </w:p>
    <w:p w14:paraId="61F7B55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事实依据：</w:t>
      </w:r>
      <w:r>
        <w:rPr>
          <w:rFonts w:hint="eastAsia" w:ascii="宋体" w:hAnsi="宋体" w:eastAsia="宋体" w:cs="宋体"/>
          <w:color w:val="auto"/>
          <w:sz w:val="21"/>
          <w:szCs w:val="21"/>
          <w:highlight w:val="none"/>
          <w:u w:val="dotted"/>
        </w:rPr>
        <w:t xml:space="preserve">                                           </w:t>
      </w:r>
    </w:p>
    <w:p w14:paraId="62E0238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dotted"/>
        </w:rPr>
        <w:t xml:space="preserve">                                           </w:t>
      </w:r>
    </w:p>
    <w:p w14:paraId="418733A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质疑事项2</w:t>
      </w:r>
    </w:p>
    <w:p w14:paraId="54D5A0E2">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61D95BD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outlineLvl w:val="0"/>
        <w:rPr>
          <w:rFonts w:hint="eastAsia" w:ascii="宋体" w:hAnsi="宋体" w:eastAsia="宋体" w:cs="宋体"/>
          <w:bCs/>
          <w:color w:val="auto"/>
          <w:sz w:val="21"/>
          <w:szCs w:val="21"/>
          <w:highlight w:val="none"/>
        </w:rPr>
      </w:pPr>
      <w:bookmarkStart w:id="156" w:name="_Toc20488"/>
      <w:bookmarkStart w:id="157" w:name="_Toc2240"/>
      <w:bookmarkStart w:id="158" w:name="_Toc1395"/>
      <w:bookmarkStart w:id="159" w:name="_Toc3919"/>
      <w:bookmarkStart w:id="160" w:name="_Toc22365"/>
      <w:r>
        <w:rPr>
          <w:rFonts w:hint="eastAsia" w:ascii="宋体" w:hAnsi="宋体" w:eastAsia="宋体" w:cs="宋体"/>
          <w:bCs/>
          <w:color w:val="auto"/>
          <w:sz w:val="21"/>
          <w:szCs w:val="21"/>
          <w:highlight w:val="none"/>
        </w:rPr>
        <w:t>四、与质疑事项相关的质疑请求</w:t>
      </w:r>
      <w:bookmarkEnd w:id="156"/>
      <w:bookmarkEnd w:id="157"/>
      <w:bookmarkEnd w:id="158"/>
      <w:bookmarkEnd w:id="159"/>
      <w:bookmarkEnd w:id="160"/>
    </w:p>
    <w:p w14:paraId="0A44122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420" w:firstLineChars="200"/>
        <w:textAlignment w:val="auto"/>
        <w:rPr>
          <w:rFonts w:hint="eastAsia" w:ascii="宋体" w:hAnsi="宋体" w:eastAsia="宋体" w:cs="宋体"/>
          <w:color w:val="auto"/>
          <w:sz w:val="21"/>
          <w:szCs w:val="21"/>
          <w:highlight w:val="none"/>
          <w:u w:val="dotted"/>
        </w:rPr>
      </w:pPr>
      <w:r>
        <w:rPr>
          <w:rFonts w:hint="eastAsia" w:ascii="宋体" w:hAnsi="宋体" w:eastAsia="宋体" w:cs="宋体"/>
          <w:color w:val="auto"/>
          <w:sz w:val="21"/>
          <w:szCs w:val="21"/>
          <w:highlight w:val="none"/>
        </w:rPr>
        <w:t>请求：</w:t>
      </w:r>
      <w:r>
        <w:rPr>
          <w:rFonts w:hint="eastAsia" w:ascii="宋体" w:hAnsi="宋体" w:eastAsia="宋体" w:cs="宋体"/>
          <w:color w:val="auto"/>
          <w:sz w:val="21"/>
          <w:szCs w:val="21"/>
          <w:highlight w:val="none"/>
          <w:u w:val="dotted"/>
        </w:rPr>
        <w:t xml:space="preserve">                                               </w:t>
      </w:r>
    </w:p>
    <w:p w14:paraId="1A358FD6">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签字(签章)：                   公章：                      </w:t>
      </w:r>
    </w:p>
    <w:p w14:paraId="6590477B">
      <w:pPr>
        <w:keepNext w:val="0"/>
        <w:keepLines w:val="0"/>
        <w:pageBreakBefore w:val="0"/>
        <w:widowControl w:val="0"/>
        <w:shd w:val="clear" w:color="auto" w:fill="auto"/>
        <w:kinsoku/>
        <w:wordWrap/>
        <w:overflowPunct/>
        <w:topLinePunct w:val="0"/>
        <w:autoSpaceDE/>
        <w:autoSpaceDN/>
        <w:bidi w:val="0"/>
        <w:spacing w:line="540" w:lineRule="exac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 xml:space="preserve">日期：    </w:t>
      </w:r>
    </w:p>
    <w:p w14:paraId="59716856">
      <w:pPr>
        <w:pageBreakBefore/>
        <w:shd w:val="clear" w:color="auto" w:fill="auto"/>
        <w:spacing w:line="440" w:lineRule="exact"/>
        <w:jc w:val="center"/>
        <w:outlineLvl w:val="0"/>
        <w:rPr>
          <w:rFonts w:hint="eastAsia" w:ascii="黑体" w:eastAsia="黑体"/>
          <w:color w:val="auto"/>
          <w:sz w:val="30"/>
          <w:szCs w:val="30"/>
          <w:highlight w:val="none"/>
        </w:rPr>
      </w:pPr>
      <w:bookmarkStart w:id="161" w:name="_Toc2922"/>
      <w:bookmarkStart w:id="162" w:name="_Toc7619"/>
      <w:bookmarkStart w:id="163" w:name="_Toc15450"/>
      <w:bookmarkStart w:id="164" w:name="_Toc25938"/>
      <w:r>
        <w:rPr>
          <w:rFonts w:hint="eastAsia" w:ascii="黑体" w:eastAsia="黑体"/>
          <w:color w:val="auto"/>
          <w:sz w:val="30"/>
          <w:szCs w:val="30"/>
          <w:highlight w:val="none"/>
        </w:rPr>
        <w:t>第三章  评标办法</w:t>
      </w:r>
      <w:bookmarkEnd w:id="161"/>
      <w:bookmarkEnd w:id="162"/>
      <w:bookmarkEnd w:id="163"/>
      <w:bookmarkEnd w:id="164"/>
    </w:p>
    <w:p w14:paraId="395449F4">
      <w:pPr>
        <w:shd w:val="clear" w:color="auto" w:fill="auto"/>
        <w:jc w:val="center"/>
        <w:outlineLvl w:val="1"/>
        <w:rPr>
          <w:rFonts w:hint="eastAsia" w:ascii="宋体" w:hAnsi="Times New Roman" w:eastAsia="宋体" w:cs="Times New Roman"/>
          <w:b/>
          <w:color w:val="auto"/>
          <w:sz w:val="28"/>
          <w:szCs w:val="28"/>
          <w:highlight w:val="none"/>
        </w:rPr>
      </w:pPr>
      <w:bookmarkStart w:id="165" w:name="_Toc32407"/>
      <w:bookmarkStart w:id="166" w:name="_Toc15723"/>
      <w:bookmarkStart w:id="167" w:name="_Toc21121"/>
      <w:bookmarkStart w:id="168" w:name="_Toc362983802"/>
      <w:bookmarkStart w:id="169" w:name="_Toc267320058"/>
      <w:bookmarkStart w:id="170" w:name="_Toc363135205"/>
      <w:r>
        <w:rPr>
          <w:rFonts w:hint="eastAsia" w:ascii="宋体" w:hAnsi="Times New Roman" w:eastAsia="宋体" w:cs="Times New Roman"/>
          <w:b/>
          <w:color w:val="auto"/>
          <w:sz w:val="28"/>
          <w:szCs w:val="28"/>
          <w:highlight w:val="none"/>
        </w:rPr>
        <w:t>一</w:t>
      </w:r>
      <w:r>
        <w:rPr>
          <w:rFonts w:hint="eastAsia" w:ascii="宋体" w:hAnsi="Times New Roman" w:eastAsia="宋体" w:cs="Times New Roman"/>
          <w:b/>
          <w:color w:val="auto"/>
          <w:sz w:val="28"/>
          <w:szCs w:val="28"/>
          <w:highlight w:val="none"/>
          <w:lang w:val="en-US" w:eastAsia="zh-CN"/>
        </w:rPr>
        <w:t xml:space="preserve">  </w:t>
      </w:r>
      <w:r>
        <w:rPr>
          <w:rFonts w:hint="eastAsia" w:ascii="宋体" w:hAnsi="Times New Roman" w:eastAsia="宋体" w:cs="Times New Roman"/>
          <w:b/>
          <w:color w:val="auto"/>
          <w:sz w:val="28"/>
          <w:szCs w:val="28"/>
          <w:highlight w:val="none"/>
        </w:rPr>
        <w:t>总  则</w:t>
      </w:r>
      <w:bookmarkEnd w:id="165"/>
      <w:bookmarkEnd w:id="166"/>
      <w:bookmarkEnd w:id="167"/>
    </w:p>
    <w:p w14:paraId="4583F17E">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1、一般规定</w:t>
      </w:r>
    </w:p>
    <w:p w14:paraId="3484E1C7">
      <w:pPr>
        <w:spacing w:line="440" w:lineRule="exact"/>
        <w:ind w:firstLine="535" w:firstLineChars="255"/>
        <w:rPr>
          <w:rFonts w:hint="eastAsia" w:ascii="宋体" w:hAnsi="宋体" w:cs="宋体"/>
          <w:szCs w:val="21"/>
        </w:rPr>
      </w:pPr>
      <w:r>
        <w:rPr>
          <w:rFonts w:hint="eastAsia" w:ascii="宋体" w:hAnsi="宋体" w:cs="宋体"/>
          <w:szCs w:val="21"/>
        </w:rPr>
        <w:t>1.1本项目的招标按照《中华人民共和国政府采购法》、《政府采购服务和服务招标磋商管理办法》、《政府采购竞争性磋商采购方式管理暂行办法》及政府采购的有关规定进行。</w:t>
      </w:r>
    </w:p>
    <w:p w14:paraId="6C07CFFD">
      <w:pPr>
        <w:spacing w:line="440" w:lineRule="exact"/>
        <w:ind w:firstLine="535" w:firstLineChars="255"/>
        <w:rPr>
          <w:rFonts w:hint="eastAsia" w:ascii="宋体" w:hAnsi="宋体" w:cs="宋体"/>
          <w:szCs w:val="21"/>
        </w:rPr>
      </w:pPr>
      <w:r>
        <w:rPr>
          <w:rFonts w:hint="eastAsia" w:ascii="宋体" w:hAnsi="宋体" w:cs="宋体"/>
          <w:szCs w:val="21"/>
        </w:rPr>
        <w:t>1.2评标必须遵循公开、公平、公正、诚实信用的原则。</w:t>
      </w:r>
    </w:p>
    <w:p w14:paraId="073AAC23">
      <w:pPr>
        <w:spacing w:line="440" w:lineRule="exact"/>
        <w:ind w:firstLine="535" w:firstLineChars="255"/>
        <w:rPr>
          <w:rFonts w:hint="eastAsia" w:ascii="宋体" w:hAnsi="宋体" w:cs="宋体"/>
          <w:szCs w:val="21"/>
        </w:rPr>
      </w:pPr>
      <w:r>
        <w:rPr>
          <w:rFonts w:hint="eastAsia" w:ascii="宋体" w:hAnsi="宋体" w:cs="宋体"/>
          <w:szCs w:val="21"/>
        </w:rPr>
        <w:t>1.3招标代理机构组织招标、开标、评标工作，全过程接受政府采购有关部门的监督、管理和指导。</w:t>
      </w:r>
    </w:p>
    <w:p w14:paraId="3FDFF984">
      <w:pPr>
        <w:spacing w:line="440" w:lineRule="exact"/>
        <w:ind w:firstLine="535" w:firstLineChars="255"/>
        <w:rPr>
          <w:rFonts w:hint="eastAsia" w:ascii="宋体" w:hAnsi="宋体" w:cs="宋体"/>
          <w:szCs w:val="21"/>
        </w:rPr>
      </w:pPr>
      <w:r>
        <w:rPr>
          <w:rFonts w:hint="eastAsia" w:ascii="宋体" w:hAnsi="宋体" w:cs="宋体"/>
          <w:szCs w:val="21"/>
        </w:rPr>
        <w:t>1.4评标按照磋商文件规定的内容进行，采取综合比较和分项打分相结合的评标方法（综合评分法），避免纯技术或纯经济的倾向。</w:t>
      </w:r>
    </w:p>
    <w:p w14:paraId="0E89BC2C">
      <w:pPr>
        <w:spacing w:line="440" w:lineRule="exact"/>
        <w:ind w:firstLine="535" w:firstLineChars="255"/>
        <w:rPr>
          <w:rFonts w:hint="eastAsia" w:ascii="宋体" w:hAnsi="宋体" w:cs="宋体"/>
          <w:szCs w:val="21"/>
        </w:rPr>
      </w:pPr>
      <w:r>
        <w:rPr>
          <w:rFonts w:hint="eastAsia" w:ascii="宋体" w:hAnsi="宋体" w:cs="宋体"/>
          <w:szCs w:val="21"/>
        </w:rPr>
        <w:t>1.5本办法的评标对象是指供应商按照磋商文件要求提供的有效响应文件，包括供应商应磋商小组要求对原响应文件作出的正式书面澄清文件。</w:t>
      </w:r>
    </w:p>
    <w:p w14:paraId="7E8F0314">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2、磋商组织机构的组成</w:t>
      </w:r>
    </w:p>
    <w:p w14:paraId="77FBD966">
      <w:pPr>
        <w:tabs>
          <w:tab w:val="left" w:pos="567"/>
          <w:tab w:val="left" w:pos="1145"/>
        </w:tabs>
        <w:spacing w:line="440" w:lineRule="exact"/>
        <w:ind w:firstLine="535" w:firstLineChars="255"/>
        <w:rPr>
          <w:rFonts w:hint="eastAsia" w:ascii="宋体" w:hAnsi="宋体" w:cs="宋体"/>
          <w:szCs w:val="21"/>
        </w:rPr>
      </w:pPr>
      <w:r>
        <w:rPr>
          <w:rFonts w:hint="eastAsia" w:ascii="宋体" w:hAnsi="宋体" w:cs="宋体"/>
          <w:szCs w:val="21"/>
        </w:rPr>
        <w:t>2.1磋商小组成员评标委员会由采购人或采购代理机构依法组建，成员由采购人代表和评审专家组成，成员人数为</w:t>
      </w:r>
      <w:r>
        <w:rPr>
          <w:rFonts w:hint="eastAsia" w:ascii="宋体" w:hAnsi="宋体" w:cs="宋体"/>
          <w:szCs w:val="21"/>
          <w:lang w:val="en-US" w:eastAsia="zh-CN"/>
        </w:rPr>
        <w:t>3</w:t>
      </w:r>
      <w:r>
        <w:rPr>
          <w:rFonts w:hint="eastAsia" w:ascii="宋体" w:hAnsi="宋体" w:cs="宋体"/>
          <w:szCs w:val="21"/>
        </w:rPr>
        <w:t>人或以上单数，其中评审专家不少于成员总数的三分之二。专家从当地专家库中随机抽取产生。</w:t>
      </w:r>
    </w:p>
    <w:p w14:paraId="368B93A4">
      <w:pPr>
        <w:tabs>
          <w:tab w:val="left" w:pos="567"/>
          <w:tab w:val="left" w:pos="1145"/>
        </w:tabs>
        <w:spacing w:line="440" w:lineRule="exact"/>
        <w:ind w:firstLine="535" w:firstLineChars="255"/>
        <w:rPr>
          <w:rFonts w:hint="eastAsia" w:ascii="宋体" w:hAnsi="宋体" w:cs="宋体"/>
          <w:szCs w:val="21"/>
        </w:rPr>
      </w:pPr>
      <w:r>
        <w:rPr>
          <w:rFonts w:hint="eastAsia" w:ascii="宋体" w:hAnsi="宋体" w:cs="宋体"/>
          <w:szCs w:val="21"/>
        </w:rPr>
        <w:t>2.2评标工作组由招标人及有关专家组成，由磋商小组确认，并接受其领导。</w:t>
      </w:r>
    </w:p>
    <w:p w14:paraId="3917C28F">
      <w:pPr>
        <w:tabs>
          <w:tab w:val="left" w:pos="567"/>
          <w:tab w:val="left" w:pos="1145"/>
        </w:tabs>
        <w:spacing w:line="440" w:lineRule="exact"/>
        <w:ind w:firstLine="535" w:firstLineChars="255"/>
        <w:rPr>
          <w:rFonts w:hint="eastAsia" w:ascii="宋体" w:hAnsi="宋体" w:cs="宋体"/>
          <w:szCs w:val="21"/>
        </w:rPr>
      </w:pPr>
      <w:r>
        <w:rPr>
          <w:rFonts w:hint="eastAsia" w:ascii="宋体" w:hAnsi="宋体" w:cs="宋体"/>
          <w:szCs w:val="21"/>
        </w:rPr>
        <w:t>2.3磋商小组应相对独立工作，负责评标、撰写技术、商务评标报告。采购代理机构负责评标过程中资料的保管、发放、回收，整理、汇总评标资料。</w:t>
      </w:r>
    </w:p>
    <w:p w14:paraId="48231D38">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3、磋商小组职责</w:t>
      </w:r>
    </w:p>
    <w:p w14:paraId="07B7AF99">
      <w:pPr>
        <w:pStyle w:val="60"/>
        <w:spacing w:before="0" w:beforeAutospacing="0" w:after="0" w:afterAutospacing="0" w:line="440" w:lineRule="exact"/>
        <w:ind w:firstLine="535" w:firstLineChars="255"/>
        <w:rPr>
          <w:rFonts w:hint="eastAsia" w:ascii="宋体" w:hAnsi="宋体" w:cs="宋体"/>
          <w:color w:val="auto"/>
          <w:sz w:val="21"/>
          <w:szCs w:val="21"/>
        </w:rPr>
      </w:pPr>
      <w:r>
        <w:rPr>
          <w:rFonts w:hint="eastAsia" w:ascii="宋体" w:hAnsi="宋体" w:cs="宋体"/>
          <w:color w:val="auto"/>
          <w:sz w:val="21"/>
          <w:szCs w:val="21"/>
        </w:rPr>
        <w:t>3.1审查磋商文件是否符合磋商文件要求，并作出评价；</w:t>
      </w:r>
    </w:p>
    <w:p w14:paraId="039C6D4C">
      <w:pPr>
        <w:pStyle w:val="60"/>
        <w:spacing w:before="0" w:beforeAutospacing="0" w:after="0" w:afterAutospacing="0" w:line="440" w:lineRule="exact"/>
        <w:ind w:firstLine="535" w:firstLineChars="255"/>
        <w:rPr>
          <w:rFonts w:hint="eastAsia" w:ascii="宋体" w:hAnsi="宋体" w:cs="宋体"/>
          <w:color w:val="auto"/>
          <w:sz w:val="21"/>
          <w:szCs w:val="21"/>
        </w:rPr>
      </w:pPr>
      <w:r>
        <w:rPr>
          <w:rFonts w:hint="eastAsia" w:ascii="宋体" w:hAnsi="宋体" w:cs="宋体"/>
          <w:color w:val="auto"/>
          <w:sz w:val="21"/>
          <w:szCs w:val="21"/>
        </w:rPr>
        <w:t>3.2要求供应商对磋商文件有关事项作出解释或者澄清；</w:t>
      </w:r>
    </w:p>
    <w:p w14:paraId="2F6F2A81">
      <w:pPr>
        <w:pStyle w:val="60"/>
        <w:spacing w:before="0" w:beforeAutospacing="0" w:after="0" w:afterAutospacing="0" w:line="440" w:lineRule="exact"/>
        <w:ind w:firstLine="535" w:firstLineChars="255"/>
        <w:rPr>
          <w:rFonts w:hint="eastAsia" w:ascii="宋体" w:hAnsi="宋体" w:cs="宋体"/>
          <w:color w:val="auto"/>
          <w:sz w:val="21"/>
          <w:szCs w:val="21"/>
        </w:rPr>
      </w:pPr>
      <w:r>
        <w:rPr>
          <w:rFonts w:hint="eastAsia" w:ascii="宋体" w:hAnsi="宋体" w:cs="宋体"/>
          <w:color w:val="auto"/>
          <w:sz w:val="21"/>
          <w:szCs w:val="21"/>
        </w:rPr>
        <w:t>3.3推荐成交候选人名单；</w:t>
      </w:r>
    </w:p>
    <w:p w14:paraId="5DBCBEB4">
      <w:pPr>
        <w:pStyle w:val="60"/>
        <w:spacing w:before="0" w:beforeAutospacing="0" w:after="0" w:afterAutospacing="0" w:line="440" w:lineRule="exact"/>
        <w:ind w:firstLine="535" w:firstLineChars="255"/>
        <w:rPr>
          <w:rFonts w:hint="eastAsia" w:ascii="宋体" w:hAnsi="宋体" w:cs="宋体"/>
          <w:color w:val="auto"/>
          <w:sz w:val="21"/>
          <w:szCs w:val="21"/>
        </w:rPr>
      </w:pPr>
      <w:r>
        <w:rPr>
          <w:rFonts w:hint="eastAsia" w:ascii="宋体" w:hAnsi="宋体" w:cs="宋体"/>
          <w:color w:val="auto"/>
          <w:sz w:val="21"/>
          <w:szCs w:val="21"/>
        </w:rPr>
        <w:t>3.4向招标人、招标代理机构或者有关部门报告非法干预评标工作的行为。</w:t>
      </w:r>
    </w:p>
    <w:p w14:paraId="5F1F8021">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4、磋商小组义务</w:t>
      </w:r>
    </w:p>
    <w:p w14:paraId="5FB1359F">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4.1遵纪守法，客观、公正、廉洁地履行职责；</w:t>
      </w:r>
    </w:p>
    <w:p w14:paraId="237B70C5">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4.2按照磋商文件规定的评标方法和评标标准进行评标，对评审意见承担个人责任；</w:t>
      </w:r>
    </w:p>
    <w:p w14:paraId="555590E9">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4.3对评标过程和结果，以及供应商的商业秘密保密；</w:t>
      </w:r>
    </w:p>
    <w:p w14:paraId="6C5FA586">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4.4参与评标报告的起草；</w:t>
      </w:r>
    </w:p>
    <w:p w14:paraId="0C3645A1">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4.5配合有关部门的投诉处理工作；</w:t>
      </w:r>
    </w:p>
    <w:p w14:paraId="564C3BF9">
      <w:pPr>
        <w:tabs>
          <w:tab w:val="left" w:pos="567"/>
          <w:tab w:val="left" w:pos="600"/>
        </w:tabs>
        <w:spacing w:line="440" w:lineRule="exact"/>
        <w:ind w:firstLine="535" w:firstLineChars="255"/>
        <w:rPr>
          <w:rFonts w:hint="eastAsia" w:ascii="宋体" w:hAnsi="宋体" w:cs="宋体"/>
          <w:szCs w:val="21"/>
        </w:rPr>
      </w:pPr>
      <w:r>
        <w:rPr>
          <w:rFonts w:hint="eastAsia" w:ascii="宋体" w:hAnsi="宋体" w:cs="宋体"/>
          <w:szCs w:val="21"/>
        </w:rPr>
        <w:t>4.6配合招标人、招标代理机构答复磋商供应商提出的质疑。</w:t>
      </w:r>
    </w:p>
    <w:p w14:paraId="47C77E11">
      <w:pPr>
        <w:tabs>
          <w:tab w:val="left" w:pos="1547"/>
        </w:tabs>
        <w:spacing w:line="440" w:lineRule="exact"/>
        <w:ind w:firstLine="535" w:firstLineChars="255"/>
        <w:rPr>
          <w:rFonts w:hint="eastAsia" w:ascii="宋体" w:hAnsi="宋体" w:cs="宋体"/>
          <w:szCs w:val="21"/>
        </w:rPr>
      </w:pPr>
      <w:r>
        <w:rPr>
          <w:rFonts w:hint="eastAsia" w:ascii="宋体" w:hAnsi="宋体" w:cs="宋体"/>
          <w:szCs w:val="21"/>
        </w:rPr>
        <w:t>5、 评标程序</w:t>
      </w:r>
    </w:p>
    <w:p w14:paraId="7658151A">
      <w:pPr>
        <w:pStyle w:val="21"/>
        <w:tabs>
          <w:tab w:val="left" w:pos="720"/>
          <w:tab w:val="clear" w:pos="0"/>
        </w:tabs>
        <w:spacing w:line="440" w:lineRule="exact"/>
        <w:ind w:firstLine="535" w:firstLineChars="255"/>
        <w:rPr>
          <w:rFonts w:hint="eastAsia" w:ascii="宋体" w:hAnsi="宋体" w:cs="宋体"/>
          <w:bCs/>
          <w:color w:val="auto"/>
          <w:szCs w:val="21"/>
        </w:rPr>
      </w:pPr>
      <w:r>
        <w:rPr>
          <w:rFonts w:hint="eastAsia" w:ascii="宋体" w:hAnsi="宋体" w:cs="宋体"/>
          <w:bCs/>
          <w:color w:val="auto"/>
          <w:szCs w:val="21"/>
        </w:rPr>
        <w:t>5.1本次评标首先由磋商小组对供应商的响应文件进行初审，对未能通过初审的响应文件作废标处理；</w:t>
      </w:r>
    </w:p>
    <w:p w14:paraId="14535C16">
      <w:pPr>
        <w:tabs>
          <w:tab w:val="left" w:pos="720"/>
        </w:tabs>
        <w:spacing w:line="440" w:lineRule="exact"/>
        <w:ind w:firstLine="535" w:firstLineChars="255"/>
        <w:rPr>
          <w:rFonts w:hint="eastAsia" w:ascii="宋体" w:hAnsi="宋体" w:cs="宋体"/>
          <w:szCs w:val="21"/>
        </w:rPr>
      </w:pPr>
      <w:r>
        <w:rPr>
          <w:rFonts w:hint="eastAsia" w:ascii="宋体" w:hAnsi="宋体" w:cs="宋体"/>
          <w:szCs w:val="21"/>
        </w:rPr>
        <w:t>5.2对通过初审的供应商的响应文件进行详细的比较和评价。如需要，进行必要的澄清工作；</w:t>
      </w:r>
    </w:p>
    <w:p w14:paraId="7C1C9EBC">
      <w:pPr>
        <w:spacing w:line="360" w:lineRule="auto"/>
        <w:rPr>
          <w:rFonts w:hint="eastAsia" w:ascii="宋体"/>
          <w:color w:val="000000"/>
          <w:szCs w:val="21"/>
        </w:rPr>
      </w:pPr>
      <w:r>
        <w:rPr>
          <w:rFonts w:hint="eastAsia" w:ascii="宋体" w:hAnsi="宋体" w:cs="宋体"/>
          <w:szCs w:val="21"/>
        </w:rPr>
        <w:t xml:space="preserve">     5.3</w:t>
      </w:r>
      <w:r>
        <w:rPr>
          <w:rFonts w:hint="eastAsia" w:ascii="宋体"/>
          <w:color w:val="000000"/>
          <w:szCs w:val="21"/>
        </w:rPr>
        <w:t>评标报告与推荐成交候选人</w:t>
      </w:r>
    </w:p>
    <w:p w14:paraId="667B4835">
      <w:pPr>
        <w:widowControl/>
        <w:spacing w:line="440" w:lineRule="exact"/>
        <w:ind w:firstLine="480"/>
        <w:rPr>
          <w:rFonts w:hint="eastAsia" w:ascii="宋体" w:hAnsi="宋体" w:cs="宋体"/>
          <w:kern w:val="0"/>
          <w:szCs w:val="21"/>
        </w:rPr>
      </w:pPr>
      <w:r>
        <w:rPr>
          <w:rFonts w:hint="eastAsia" w:ascii="宋体" w:hAnsi="宋体" w:cs="宋体"/>
          <w:szCs w:val="21"/>
        </w:rPr>
        <w:t>5.3</w:t>
      </w:r>
      <w:r>
        <w:rPr>
          <w:rFonts w:hint="eastAsia" w:ascii="宋体" w:hAnsi="宋体" w:cs="宋体"/>
          <w:kern w:val="0"/>
          <w:szCs w:val="21"/>
        </w:rPr>
        <w:t>磋商小组各成员应当独立对每个有效响应的文件进行评价、打分，然后汇总每个供应商每项评分因素的得分。</w:t>
      </w:r>
    </w:p>
    <w:p w14:paraId="5CDA3905">
      <w:pPr>
        <w:widowControl/>
        <w:spacing w:line="440" w:lineRule="exact"/>
        <w:ind w:firstLine="480"/>
        <w:rPr>
          <w:rFonts w:hint="eastAsia" w:ascii="宋体" w:hAnsi="宋体" w:cs="宋体"/>
          <w:kern w:val="0"/>
          <w:szCs w:val="21"/>
        </w:rPr>
      </w:pPr>
      <w:r>
        <w:rPr>
          <w:rFonts w:hint="eastAsia" w:ascii="宋体" w:hAnsi="宋体" w:cs="宋体"/>
          <w:kern w:val="0"/>
          <w:szCs w:val="21"/>
        </w:rPr>
        <w:t>　综合评分法服务项目的价格分值占总分值</w:t>
      </w:r>
      <w:r>
        <w:rPr>
          <w:rFonts w:hint="eastAsia" w:ascii="宋体" w:hAnsi="宋体" w:cs="宋体"/>
          <w:color w:val="031DBD"/>
          <w:kern w:val="0"/>
          <w:szCs w:val="21"/>
          <w:highlight w:val="none"/>
        </w:rPr>
        <w:t>的比重(即权值)为</w:t>
      </w:r>
      <w:r>
        <w:rPr>
          <w:rFonts w:hint="eastAsia" w:ascii="宋体" w:hAnsi="宋体" w:cs="宋体"/>
          <w:color w:val="031DBD"/>
          <w:kern w:val="0"/>
          <w:szCs w:val="21"/>
          <w:highlight w:val="none"/>
          <w:lang w:val="en-US" w:eastAsia="zh-CN"/>
        </w:rPr>
        <w:t>10％</w:t>
      </w:r>
      <w:r>
        <w:rPr>
          <w:rFonts w:hint="eastAsia" w:ascii="宋体" w:hAnsi="宋体" w:cs="宋体"/>
          <w:color w:val="0000FF"/>
          <w:kern w:val="0"/>
          <w:szCs w:val="21"/>
        </w:rPr>
        <w:t>，</w:t>
      </w:r>
      <w:r>
        <w:rPr>
          <w:rFonts w:hint="eastAsia" w:ascii="宋体" w:hAnsi="宋体" w:cs="宋体"/>
          <w:kern w:val="0"/>
          <w:szCs w:val="21"/>
        </w:rPr>
        <w:t>采购项目中含不同采购对象的，以占项目资金比例最高的采购对象确定其项目属性。其价格不列为评分因素，有特殊情况需要在上述规定范围外设定价格分权重的。</w:t>
      </w:r>
    </w:p>
    <w:p w14:paraId="592D1616">
      <w:pPr>
        <w:widowControl/>
        <w:spacing w:line="440" w:lineRule="exact"/>
        <w:ind w:firstLine="480"/>
        <w:rPr>
          <w:rFonts w:hint="eastAsia" w:ascii="宋体" w:hAnsi="宋体" w:cs="宋体"/>
          <w:kern w:val="0"/>
          <w:szCs w:val="21"/>
        </w:rPr>
      </w:pPr>
      <w:r>
        <w:rPr>
          <w:rFonts w:hint="eastAsia" w:ascii="宋体" w:hAnsi="宋体" w:cs="宋体"/>
          <w:kern w:val="0"/>
          <w:szCs w:val="21"/>
        </w:rPr>
        <w:t>　综合评分法中的价格分统一采用低价优先法计算，即满足磋商文件要求且最后报价最低的供应商的价格为磋商基准价，其价格分为满分。其他供应商的价格分统一按照下列公式计算：</w:t>
      </w:r>
    </w:p>
    <w:p w14:paraId="56974DF1">
      <w:pPr>
        <w:widowControl/>
        <w:spacing w:line="440" w:lineRule="exact"/>
        <w:ind w:firstLine="480"/>
        <w:rPr>
          <w:rFonts w:hint="eastAsia" w:ascii="宋体" w:hAnsi="宋体" w:cs="宋体"/>
          <w:kern w:val="0"/>
          <w:szCs w:val="21"/>
        </w:rPr>
      </w:pPr>
      <w:r>
        <w:rPr>
          <w:rFonts w:hint="eastAsia" w:ascii="宋体" w:hAnsi="宋体" w:cs="宋体"/>
          <w:kern w:val="0"/>
          <w:szCs w:val="21"/>
        </w:rPr>
        <w:t>　磋商报价得分=（磋商基准价/最后磋商报价）×价格权值×100</w:t>
      </w:r>
    </w:p>
    <w:p w14:paraId="0F6D0652">
      <w:pPr>
        <w:widowControl/>
        <w:spacing w:line="440" w:lineRule="exact"/>
        <w:ind w:firstLine="480"/>
        <w:rPr>
          <w:rFonts w:hint="eastAsia" w:ascii="宋体" w:hAnsi="宋体" w:cs="宋体"/>
          <w:kern w:val="0"/>
          <w:szCs w:val="21"/>
        </w:rPr>
      </w:pPr>
      <w:r>
        <w:rPr>
          <w:rFonts w:hint="eastAsia" w:ascii="宋体" w:hAnsi="宋体" w:cs="宋体"/>
          <w:kern w:val="0"/>
          <w:szCs w:val="21"/>
        </w:rPr>
        <w:t>　项目评审过程中，不得去掉最后报价中的最高报价和最低报价。</w:t>
      </w:r>
    </w:p>
    <w:p w14:paraId="3D005989">
      <w:pPr>
        <w:shd w:val="clear" w:color="auto" w:fill="auto"/>
        <w:spacing w:line="360" w:lineRule="auto"/>
        <w:jc w:val="left"/>
        <w:outlineLvl w:val="1"/>
        <w:rPr>
          <w:rFonts w:hint="eastAsia" w:ascii="宋体" w:hAnsi="宋体" w:cs="宋体"/>
          <w:kern w:val="0"/>
          <w:szCs w:val="21"/>
        </w:rPr>
      </w:pPr>
      <w:bookmarkStart w:id="171" w:name="_Toc10523"/>
      <w:bookmarkStart w:id="172" w:name="_Toc32001"/>
      <w:bookmarkStart w:id="173" w:name="_Toc24959"/>
      <w:r>
        <w:rPr>
          <w:rFonts w:hint="eastAsia" w:ascii="宋体" w:hAnsi="宋体" w:eastAsia="宋体" w:cs="宋体"/>
          <w:kern w:val="0"/>
          <w:szCs w:val="21"/>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r>
        <w:rPr>
          <w:rFonts w:hint="eastAsia" w:ascii="宋体" w:hAnsi="宋体" w:cs="宋体"/>
          <w:kern w:val="0"/>
          <w:szCs w:val="21"/>
        </w:rPr>
        <w:t>。</w:t>
      </w:r>
      <w:bookmarkEnd w:id="171"/>
      <w:bookmarkEnd w:id="172"/>
      <w:bookmarkEnd w:id="173"/>
    </w:p>
    <w:p w14:paraId="54208E5F">
      <w:pPr>
        <w:shd w:val="clear" w:color="auto" w:fill="auto"/>
        <w:jc w:val="left"/>
        <w:outlineLvl w:val="9"/>
        <w:rPr>
          <w:rFonts w:hint="eastAsia" w:ascii="宋体"/>
          <w:b/>
          <w:color w:val="auto"/>
          <w:sz w:val="28"/>
          <w:szCs w:val="28"/>
          <w:highlight w:val="none"/>
        </w:rPr>
      </w:pPr>
    </w:p>
    <w:p w14:paraId="500881A2">
      <w:pPr>
        <w:shd w:val="clear" w:color="auto" w:fill="auto"/>
        <w:jc w:val="center"/>
        <w:outlineLvl w:val="9"/>
        <w:rPr>
          <w:rFonts w:hint="eastAsia" w:ascii="宋体"/>
          <w:b/>
          <w:color w:val="auto"/>
          <w:sz w:val="28"/>
          <w:szCs w:val="28"/>
          <w:highlight w:val="none"/>
        </w:rPr>
      </w:pPr>
    </w:p>
    <w:p w14:paraId="6EA15B2D">
      <w:pPr>
        <w:shd w:val="clear" w:color="auto" w:fill="auto"/>
        <w:jc w:val="center"/>
        <w:outlineLvl w:val="9"/>
        <w:rPr>
          <w:rFonts w:hint="eastAsia" w:ascii="宋体"/>
          <w:b/>
          <w:color w:val="auto"/>
          <w:sz w:val="28"/>
          <w:szCs w:val="28"/>
          <w:highlight w:val="none"/>
        </w:rPr>
      </w:pPr>
    </w:p>
    <w:p w14:paraId="6D7F0DA0">
      <w:pPr>
        <w:shd w:val="clear" w:color="auto" w:fill="auto"/>
        <w:jc w:val="center"/>
        <w:outlineLvl w:val="9"/>
        <w:rPr>
          <w:rFonts w:hint="eastAsia" w:ascii="宋体"/>
          <w:b/>
          <w:color w:val="auto"/>
          <w:sz w:val="28"/>
          <w:szCs w:val="28"/>
          <w:highlight w:val="none"/>
        </w:rPr>
      </w:pPr>
    </w:p>
    <w:p w14:paraId="2A12AF91">
      <w:pPr>
        <w:shd w:val="clear" w:color="auto" w:fill="auto"/>
        <w:jc w:val="center"/>
        <w:outlineLvl w:val="9"/>
        <w:rPr>
          <w:rFonts w:hint="eastAsia" w:ascii="宋体"/>
          <w:b/>
          <w:color w:val="auto"/>
          <w:sz w:val="28"/>
          <w:szCs w:val="28"/>
          <w:highlight w:val="none"/>
        </w:rPr>
      </w:pPr>
    </w:p>
    <w:p w14:paraId="1A345286">
      <w:pPr>
        <w:shd w:val="clear" w:color="auto" w:fill="auto"/>
        <w:jc w:val="center"/>
        <w:outlineLvl w:val="9"/>
        <w:rPr>
          <w:rFonts w:hint="eastAsia" w:ascii="宋体"/>
          <w:b/>
          <w:color w:val="auto"/>
          <w:sz w:val="28"/>
          <w:szCs w:val="28"/>
          <w:highlight w:val="none"/>
        </w:rPr>
      </w:pPr>
    </w:p>
    <w:p w14:paraId="286EDC06">
      <w:pPr>
        <w:shd w:val="clear" w:color="auto" w:fill="auto"/>
        <w:jc w:val="center"/>
        <w:outlineLvl w:val="9"/>
        <w:rPr>
          <w:rFonts w:hint="eastAsia" w:ascii="宋体"/>
          <w:b/>
          <w:color w:val="auto"/>
          <w:sz w:val="28"/>
          <w:szCs w:val="28"/>
          <w:highlight w:val="none"/>
        </w:rPr>
      </w:pPr>
    </w:p>
    <w:p w14:paraId="679BE856">
      <w:pPr>
        <w:shd w:val="clear" w:color="auto" w:fill="auto"/>
        <w:jc w:val="center"/>
        <w:outlineLvl w:val="9"/>
        <w:rPr>
          <w:rFonts w:hint="eastAsia" w:ascii="宋体"/>
          <w:b/>
          <w:color w:val="auto"/>
          <w:sz w:val="28"/>
          <w:szCs w:val="28"/>
          <w:highlight w:val="none"/>
        </w:rPr>
      </w:pPr>
    </w:p>
    <w:p w14:paraId="64380B3D">
      <w:pPr>
        <w:shd w:val="clear" w:color="auto" w:fill="auto"/>
        <w:jc w:val="center"/>
        <w:outlineLvl w:val="9"/>
        <w:rPr>
          <w:rFonts w:hint="eastAsia" w:ascii="宋体"/>
          <w:b/>
          <w:color w:val="auto"/>
          <w:sz w:val="28"/>
          <w:szCs w:val="28"/>
          <w:highlight w:val="none"/>
        </w:rPr>
      </w:pPr>
    </w:p>
    <w:p w14:paraId="2EDC7221">
      <w:pPr>
        <w:shd w:val="clear" w:color="auto" w:fill="auto"/>
        <w:jc w:val="center"/>
        <w:outlineLvl w:val="9"/>
        <w:rPr>
          <w:rFonts w:hint="eastAsia" w:ascii="宋体"/>
          <w:b/>
          <w:color w:val="auto"/>
          <w:sz w:val="28"/>
          <w:szCs w:val="28"/>
          <w:highlight w:val="none"/>
        </w:rPr>
      </w:pPr>
    </w:p>
    <w:p w14:paraId="38685CC2">
      <w:pPr>
        <w:shd w:val="clear" w:color="auto" w:fill="auto"/>
        <w:jc w:val="center"/>
        <w:outlineLvl w:val="9"/>
        <w:rPr>
          <w:rFonts w:hint="eastAsia" w:ascii="宋体"/>
          <w:b/>
          <w:color w:val="auto"/>
          <w:sz w:val="28"/>
          <w:szCs w:val="28"/>
          <w:highlight w:val="none"/>
        </w:rPr>
      </w:pPr>
    </w:p>
    <w:p w14:paraId="1E58EB3D">
      <w:pPr>
        <w:shd w:val="clear" w:color="auto" w:fill="auto"/>
        <w:jc w:val="center"/>
        <w:outlineLvl w:val="9"/>
        <w:rPr>
          <w:rFonts w:hint="eastAsia" w:ascii="宋体"/>
          <w:b/>
          <w:color w:val="auto"/>
          <w:sz w:val="28"/>
          <w:szCs w:val="28"/>
          <w:highlight w:val="none"/>
        </w:rPr>
      </w:pPr>
    </w:p>
    <w:p w14:paraId="201ECE2B">
      <w:pPr>
        <w:shd w:val="clear" w:color="auto" w:fill="auto"/>
        <w:jc w:val="center"/>
        <w:outlineLvl w:val="1"/>
        <w:rPr>
          <w:rFonts w:hint="eastAsia" w:ascii="宋体"/>
          <w:b/>
          <w:color w:val="auto"/>
          <w:sz w:val="28"/>
          <w:szCs w:val="28"/>
          <w:highlight w:val="none"/>
        </w:rPr>
      </w:pPr>
      <w:bookmarkStart w:id="174" w:name="_Toc7688"/>
      <w:bookmarkStart w:id="175" w:name="_Toc5760"/>
      <w:bookmarkStart w:id="176" w:name="_Toc27304"/>
      <w:r>
        <w:rPr>
          <w:rFonts w:hint="eastAsia" w:ascii="宋体"/>
          <w:b/>
          <w:color w:val="auto"/>
          <w:sz w:val="28"/>
          <w:szCs w:val="28"/>
          <w:highlight w:val="none"/>
        </w:rPr>
        <w:t>二  投标文件初审</w:t>
      </w:r>
      <w:bookmarkEnd w:id="168"/>
      <w:bookmarkEnd w:id="174"/>
      <w:bookmarkEnd w:id="175"/>
      <w:bookmarkEnd w:id="176"/>
    </w:p>
    <w:p w14:paraId="65A1D645">
      <w:pPr>
        <w:shd w:val="clear" w:color="auto" w:fill="auto"/>
        <w:spacing w:line="400" w:lineRule="exact"/>
        <w:ind w:firstLine="308" w:firstLineChars="147"/>
        <w:rPr>
          <w:rFonts w:hint="eastAsia" w:ascii="宋体"/>
          <w:b/>
          <w:color w:val="auto"/>
          <w:szCs w:val="21"/>
          <w:highlight w:val="none"/>
        </w:rPr>
      </w:pPr>
      <w:r>
        <w:rPr>
          <w:rFonts w:hint="eastAsia" w:ascii="宋体"/>
          <w:b/>
          <w:color w:val="auto"/>
          <w:szCs w:val="21"/>
          <w:highlight w:val="none"/>
          <w:lang w:val="en-US" w:eastAsia="zh-CN"/>
        </w:rPr>
        <w:t>6</w:t>
      </w:r>
      <w:r>
        <w:rPr>
          <w:rFonts w:hint="eastAsia" w:ascii="宋体"/>
          <w:b/>
          <w:color w:val="auto"/>
          <w:szCs w:val="21"/>
          <w:highlight w:val="none"/>
        </w:rPr>
        <w:t>.资格性审查:</w:t>
      </w:r>
    </w:p>
    <w:p w14:paraId="2F6B64F6">
      <w:pPr>
        <w:shd w:val="clear" w:color="auto" w:fill="auto"/>
        <w:spacing w:line="400" w:lineRule="exact"/>
        <w:ind w:firstLine="308" w:firstLineChars="147"/>
        <w:rPr>
          <w:rFonts w:hint="eastAsia"/>
          <w:color w:val="auto"/>
          <w:szCs w:val="21"/>
          <w:highlight w:val="none"/>
        </w:rPr>
      </w:pPr>
      <w:r>
        <w:rPr>
          <w:rFonts w:hint="eastAsia" w:ascii="宋体"/>
          <w:color w:val="auto"/>
          <w:szCs w:val="21"/>
          <w:highlight w:val="none"/>
          <w:lang w:val="en-US" w:eastAsia="zh-CN"/>
        </w:rPr>
        <w:t>6</w:t>
      </w:r>
      <w:r>
        <w:rPr>
          <w:rFonts w:hint="eastAsia" w:ascii="宋体"/>
          <w:color w:val="auto"/>
          <w:szCs w:val="21"/>
          <w:highlight w:val="none"/>
        </w:rPr>
        <w:t>.1</w:t>
      </w:r>
      <w:r>
        <w:rPr>
          <w:rFonts w:hint="eastAsia"/>
          <w:color w:val="auto"/>
          <w:szCs w:val="21"/>
          <w:highlight w:val="none"/>
        </w:rPr>
        <w:t>评审细则</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519"/>
        <w:gridCol w:w="6874"/>
        <w:gridCol w:w="644"/>
        <w:gridCol w:w="605"/>
      </w:tblGrid>
      <w:tr w14:paraId="55BC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56" w:type="dxa"/>
            <w:vMerge w:val="restart"/>
            <w:noWrap w:val="0"/>
            <w:vAlign w:val="center"/>
          </w:tcPr>
          <w:p w14:paraId="1DB27224">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w:t>
            </w:r>
          </w:p>
        </w:tc>
        <w:tc>
          <w:tcPr>
            <w:tcW w:w="7393" w:type="dxa"/>
            <w:gridSpan w:val="2"/>
            <w:vMerge w:val="restart"/>
            <w:noWrap w:val="0"/>
            <w:vAlign w:val="center"/>
          </w:tcPr>
          <w:p w14:paraId="2510DA1D">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评审内容</w:t>
            </w:r>
          </w:p>
        </w:tc>
        <w:tc>
          <w:tcPr>
            <w:tcW w:w="1249" w:type="dxa"/>
            <w:gridSpan w:val="2"/>
            <w:noWrap w:val="0"/>
            <w:vAlign w:val="center"/>
          </w:tcPr>
          <w:p w14:paraId="7CEA0B3A">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评审意见</w:t>
            </w:r>
          </w:p>
        </w:tc>
      </w:tr>
      <w:tr w14:paraId="3D3B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56" w:type="dxa"/>
            <w:vMerge w:val="continue"/>
            <w:noWrap w:val="0"/>
            <w:vAlign w:val="center"/>
          </w:tcPr>
          <w:p w14:paraId="1CE15D9C">
            <w:pPr>
              <w:shd w:val="clear" w:color="auto" w:fill="auto"/>
              <w:rPr>
                <w:rFonts w:hint="eastAsia" w:ascii="宋体" w:hAnsi="宋体" w:eastAsia="宋体" w:cs="宋体"/>
                <w:color w:val="auto"/>
                <w:sz w:val="18"/>
                <w:szCs w:val="21"/>
                <w:highlight w:val="none"/>
              </w:rPr>
            </w:pPr>
          </w:p>
        </w:tc>
        <w:tc>
          <w:tcPr>
            <w:tcW w:w="7393" w:type="dxa"/>
            <w:gridSpan w:val="2"/>
            <w:vMerge w:val="continue"/>
            <w:noWrap w:val="0"/>
            <w:vAlign w:val="top"/>
          </w:tcPr>
          <w:p w14:paraId="1CC95DEE">
            <w:pPr>
              <w:shd w:val="clear" w:color="auto" w:fill="auto"/>
              <w:rPr>
                <w:rFonts w:hint="eastAsia" w:ascii="宋体" w:hAnsi="宋体" w:eastAsia="宋体" w:cs="宋体"/>
                <w:color w:val="auto"/>
                <w:sz w:val="18"/>
                <w:szCs w:val="21"/>
                <w:highlight w:val="none"/>
              </w:rPr>
            </w:pPr>
          </w:p>
        </w:tc>
        <w:tc>
          <w:tcPr>
            <w:tcW w:w="644" w:type="dxa"/>
            <w:noWrap w:val="0"/>
            <w:vAlign w:val="center"/>
          </w:tcPr>
          <w:p w14:paraId="21D02A49">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是</w:t>
            </w:r>
          </w:p>
        </w:tc>
        <w:tc>
          <w:tcPr>
            <w:tcW w:w="605" w:type="dxa"/>
            <w:noWrap w:val="0"/>
            <w:vAlign w:val="center"/>
          </w:tcPr>
          <w:p w14:paraId="4FB80C43">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否</w:t>
            </w:r>
          </w:p>
        </w:tc>
      </w:tr>
      <w:tr w14:paraId="6301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56" w:type="dxa"/>
            <w:vMerge w:val="restart"/>
            <w:noWrap w:val="0"/>
            <w:vAlign w:val="center"/>
          </w:tcPr>
          <w:p w14:paraId="74D96E01">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审</w:t>
            </w:r>
          </w:p>
          <w:p w14:paraId="5BD9DC99">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查</w:t>
            </w:r>
          </w:p>
          <w:p w14:paraId="01883703">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标</w:t>
            </w:r>
          </w:p>
          <w:p w14:paraId="5C5D0AE0">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准</w:t>
            </w:r>
          </w:p>
          <w:p w14:paraId="4F6CB512">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(适</w:t>
            </w:r>
          </w:p>
          <w:p w14:paraId="03A0606C">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用</w:t>
            </w:r>
          </w:p>
          <w:p w14:paraId="4D8765B5">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于</w:t>
            </w:r>
          </w:p>
          <w:p w14:paraId="3CBE7C75">
            <w:pPr>
              <w:shd w:val="clear" w:color="auto" w:fill="auto"/>
              <w:ind w:firstLine="210" w:firstLineChars="1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资</w:t>
            </w:r>
          </w:p>
          <w:p w14:paraId="41D92AF3">
            <w:pPr>
              <w:shd w:val="clear" w:color="auto" w:fill="auto"/>
              <w:ind w:firstLine="210" w:firstLineChars="1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格</w:t>
            </w:r>
          </w:p>
          <w:p w14:paraId="70C2A5CA">
            <w:pPr>
              <w:shd w:val="clear" w:color="auto" w:fill="auto"/>
              <w:ind w:left="210" w:leftChars="10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后</w:t>
            </w:r>
          </w:p>
          <w:p w14:paraId="62A72041">
            <w:pPr>
              <w:shd w:val="clear" w:color="auto" w:fill="auto"/>
              <w:ind w:left="210" w:leftChars="10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审)</w:t>
            </w:r>
          </w:p>
        </w:tc>
        <w:tc>
          <w:tcPr>
            <w:tcW w:w="519" w:type="dxa"/>
            <w:noWrap w:val="0"/>
            <w:vAlign w:val="center"/>
          </w:tcPr>
          <w:p w14:paraId="30A81E98">
            <w:pPr>
              <w:jc w:val="center"/>
              <w:rPr>
                <w:rFonts w:hint="eastAsia" w:ascii="宋体" w:hAnsi="宋体" w:eastAsia="宋体" w:cs="宋体"/>
                <w:kern w:val="2"/>
                <w:sz w:val="21"/>
                <w:szCs w:val="21"/>
                <w:highlight w:val="none"/>
                <w:lang w:val="en-US" w:eastAsia="zh-CN" w:bidi="ar-SA"/>
              </w:rPr>
            </w:pPr>
            <w:r>
              <w:rPr>
                <w:rFonts w:hint="eastAsia" w:ascii="宋体" w:hAnsi="宋体"/>
                <w:sz w:val="24"/>
              </w:rPr>
              <w:t>1</w:t>
            </w:r>
          </w:p>
        </w:tc>
        <w:tc>
          <w:tcPr>
            <w:tcW w:w="6874" w:type="dxa"/>
            <w:noWrap w:val="0"/>
            <w:vAlign w:val="center"/>
          </w:tcPr>
          <w:p w14:paraId="22270C79">
            <w:pPr>
              <w:widowControl/>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kern w:val="0"/>
                <w:sz w:val="22"/>
                <w:szCs w:val="22"/>
              </w:rPr>
              <w:t>有效的三证合一营业执照</w:t>
            </w:r>
            <w:r>
              <w:rPr>
                <w:rFonts w:hint="eastAsia" w:cs="Times New Roman"/>
                <w:kern w:val="2"/>
                <w:sz w:val="21"/>
                <w:szCs w:val="21"/>
              </w:rPr>
              <w:t>；</w:t>
            </w:r>
          </w:p>
        </w:tc>
        <w:tc>
          <w:tcPr>
            <w:tcW w:w="644" w:type="dxa"/>
            <w:noWrap w:val="0"/>
            <w:vAlign w:val="top"/>
          </w:tcPr>
          <w:p w14:paraId="5F7CC221">
            <w:pPr>
              <w:shd w:val="clear" w:color="auto" w:fill="auto"/>
              <w:rPr>
                <w:rFonts w:hint="eastAsia" w:ascii="宋体" w:hAnsi="宋体" w:eastAsia="宋体" w:cs="宋体"/>
                <w:color w:val="auto"/>
                <w:szCs w:val="21"/>
                <w:highlight w:val="none"/>
              </w:rPr>
            </w:pPr>
          </w:p>
        </w:tc>
        <w:tc>
          <w:tcPr>
            <w:tcW w:w="605" w:type="dxa"/>
            <w:noWrap w:val="0"/>
            <w:vAlign w:val="top"/>
          </w:tcPr>
          <w:p w14:paraId="36A3003E">
            <w:pPr>
              <w:shd w:val="clear" w:color="auto" w:fill="auto"/>
              <w:rPr>
                <w:rFonts w:hint="eastAsia" w:ascii="宋体" w:hAnsi="宋体" w:eastAsia="宋体" w:cs="宋体"/>
                <w:color w:val="auto"/>
                <w:szCs w:val="21"/>
                <w:highlight w:val="none"/>
              </w:rPr>
            </w:pPr>
          </w:p>
        </w:tc>
      </w:tr>
      <w:tr w14:paraId="6C90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956" w:type="dxa"/>
            <w:vMerge w:val="continue"/>
            <w:noWrap w:val="0"/>
            <w:vAlign w:val="center"/>
          </w:tcPr>
          <w:p w14:paraId="481036CC">
            <w:pPr>
              <w:shd w:val="clear" w:color="auto" w:fill="auto"/>
              <w:rPr>
                <w:rFonts w:hint="eastAsia" w:ascii="宋体" w:hAnsi="宋体" w:eastAsia="宋体" w:cs="宋体"/>
                <w:kern w:val="2"/>
                <w:sz w:val="21"/>
                <w:szCs w:val="21"/>
                <w:highlight w:val="none"/>
                <w:lang w:val="en-US" w:eastAsia="zh-CN" w:bidi="ar-SA"/>
              </w:rPr>
            </w:pPr>
          </w:p>
        </w:tc>
        <w:tc>
          <w:tcPr>
            <w:tcW w:w="519" w:type="dxa"/>
            <w:noWrap w:val="0"/>
            <w:vAlign w:val="center"/>
          </w:tcPr>
          <w:p w14:paraId="0AC26672">
            <w:pPr>
              <w:jc w:val="center"/>
              <w:rPr>
                <w:rFonts w:hint="eastAsia" w:ascii="宋体" w:hAnsi="宋体" w:eastAsia="宋体" w:cs="宋体"/>
                <w:kern w:val="2"/>
                <w:sz w:val="21"/>
                <w:szCs w:val="21"/>
                <w:highlight w:val="none"/>
                <w:lang w:val="en-US" w:eastAsia="zh-CN" w:bidi="ar-SA"/>
              </w:rPr>
            </w:pPr>
            <w:r>
              <w:rPr>
                <w:rFonts w:hint="eastAsia" w:ascii="宋体" w:hAnsi="宋体"/>
                <w:sz w:val="24"/>
              </w:rPr>
              <w:t>2</w:t>
            </w:r>
          </w:p>
        </w:tc>
        <w:tc>
          <w:tcPr>
            <w:tcW w:w="6874" w:type="dxa"/>
            <w:noWrap w:val="0"/>
            <w:vAlign w:val="center"/>
          </w:tcPr>
          <w:p w14:paraId="10E6F216">
            <w:pPr>
              <w:widowControl/>
              <w:jc w:val="left"/>
              <w:textAlignment w:val="center"/>
              <w:rPr>
                <w:rFonts w:hint="eastAsia" w:ascii="宋体" w:hAnsi="宋体" w:eastAsia="宋体" w:cs="宋体"/>
                <w:kern w:val="2"/>
                <w:sz w:val="21"/>
                <w:szCs w:val="21"/>
                <w:highlight w:val="none"/>
                <w:lang w:val="en-US" w:eastAsia="zh-CN" w:bidi="ar-SA"/>
              </w:rPr>
            </w:pPr>
            <w:r>
              <w:rPr>
                <w:rFonts w:hint="eastAsia" w:cs="Times New Roman"/>
                <w:kern w:val="2"/>
                <w:sz w:val="21"/>
                <w:szCs w:val="21"/>
              </w:rPr>
              <w:t>投标保证金缴纳凭证或投标担保函；</w:t>
            </w:r>
          </w:p>
        </w:tc>
        <w:tc>
          <w:tcPr>
            <w:tcW w:w="644" w:type="dxa"/>
            <w:noWrap w:val="0"/>
            <w:vAlign w:val="top"/>
          </w:tcPr>
          <w:p w14:paraId="0BC6DAB2">
            <w:pPr>
              <w:shd w:val="clear" w:color="auto" w:fill="auto"/>
              <w:rPr>
                <w:rFonts w:hint="eastAsia" w:ascii="宋体" w:hAnsi="宋体" w:eastAsia="宋体" w:cs="宋体"/>
                <w:color w:val="auto"/>
                <w:szCs w:val="21"/>
                <w:highlight w:val="none"/>
              </w:rPr>
            </w:pPr>
          </w:p>
        </w:tc>
        <w:tc>
          <w:tcPr>
            <w:tcW w:w="605" w:type="dxa"/>
            <w:noWrap w:val="0"/>
            <w:vAlign w:val="top"/>
          </w:tcPr>
          <w:p w14:paraId="40DBC739">
            <w:pPr>
              <w:shd w:val="clear" w:color="auto" w:fill="auto"/>
              <w:rPr>
                <w:rFonts w:hint="eastAsia" w:ascii="宋体" w:hAnsi="宋体" w:eastAsia="宋体" w:cs="宋体"/>
                <w:color w:val="auto"/>
                <w:szCs w:val="21"/>
                <w:highlight w:val="none"/>
              </w:rPr>
            </w:pPr>
          </w:p>
        </w:tc>
      </w:tr>
      <w:tr w14:paraId="03E8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956" w:type="dxa"/>
            <w:vMerge w:val="continue"/>
            <w:noWrap w:val="0"/>
            <w:vAlign w:val="center"/>
          </w:tcPr>
          <w:p w14:paraId="7C271B4B">
            <w:pPr>
              <w:shd w:val="clear" w:color="auto" w:fill="auto"/>
              <w:rPr>
                <w:rFonts w:hint="eastAsia" w:ascii="宋体" w:hAnsi="宋体" w:eastAsia="宋体" w:cs="宋体"/>
                <w:kern w:val="2"/>
                <w:sz w:val="21"/>
                <w:szCs w:val="21"/>
                <w:highlight w:val="none"/>
                <w:lang w:val="en-US" w:eastAsia="zh-CN" w:bidi="ar-SA"/>
              </w:rPr>
            </w:pPr>
          </w:p>
        </w:tc>
        <w:tc>
          <w:tcPr>
            <w:tcW w:w="519" w:type="dxa"/>
            <w:noWrap w:val="0"/>
            <w:vAlign w:val="center"/>
          </w:tcPr>
          <w:p w14:paraId="4B860B9E">
            <w:pPr>
              <w:jc w:val="center"/>
              <w:rPr>
                <w:rFonts w:hint="eastAsia" w:ascii="宋体" w:hAnsi="宋体" w:eastAsia="宋体" w:cs="宋体"/>
                <w:kern w:val="2"/>
                <w:sz w:val="21"/>
                <w:szCs w:val="21"/>
                <w:highlight w:val="none"/>
                <w:lang w:val="en-US" w:eastAsia="zh-CN" w:bidi="ar-SA"/>
              </w:rPr>
            </w:pPr>
            <w:r>
              <w:rPr>
                <w:rFonts w:hint="eastAsia" w:ascii="宋体" w:hAnsi="宋体"/>
                <w:sz w:val="24"/>
              </w:rPr>
              <w:t>3</w:t>
            </w:r>
          </w:p>
        </w:tc>
        <w:tc>
          <w:tcPr>
            <w:tcW w:w="6874" w:type="dxa"/>
            <w:noWrap w:val="0"/>
            <w:vAlign w:val="center"/>
          </w:tcPr>
          <w:p w14:paraId="4A4AF266">
            <w:pPr>
              <w:widowControl/>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kern w:val="0"/>
                <w:sz w:val="22"/>
                <w:szCs w:val="22"/>
              </w:rPr>
              <w:t>法定代表人投标需提供法定代表人资格证明书，委托代理人投标需提供法定代表人授权委托书</w:t>
            </w:r>
            <w:r>
              <w:rPr>
                <w:rFonts w:hint="eastAsia" w:cs="Times New Roman"/>
                <w:kern w:val="2"/>
                <w:sz w:val="21"/>
                <w:szCs w:val="21"/>
              </w:rPr>
              <w:t>；</w:t>
            </w:r>
          </w:p>
        </w:tc>
        <w:tc>
          <w:tcPr>
            <w:tcW w:w="644" w:type="dxa"/>
            <w:noWrap w:val="0"/>
            <w:vAlign w:val="top"/>
          </w:tcPr>
          <w:p w14:paraId="325DBD5D">
            <w:pPr>
              <w:shd w:val="clear" w:color="auto" w:fill="auto"/>
              <w:rPr>
                <w:rFonts w:hint="eastAsia" w:ascii="宋体" w:hAnsi="宋体" w:eastAsia="宋体" w:cs="宋体"/>
                <w:color w:val="auto"/>
                <w:szCs w:val="21"/>
                <w:highlight w:val="none"/>
              </w:rPr>
            </w:pPr>
          </w:p>
        </w:tc>
        <w:tc>
          <w:tcPr>
            <w:tcW w:w="605" w:type="dxa"/>
            <w:noWrap w:val="0"/>
            <w:vAlign w:val="top"/>
          </w:tcPr>
          <w:p w14:paraId="41BCF53C">
            <w:pPr>
              <w:shd w:val="clear" w:color="auto" w:fill="auto"/>
              <w:rPr>
                <w:rFonts w:hint="eastAsia" w:ascii="宋体" w:hAnsi="宋体" w:eastAsia="宋体" w:cs="宋体"/>
                <w:color w:val="auto"/>
                <w:szCs w:val="21"/>
                <w:highlight w:val="none"/>
              </w:rPr>
            </w:pPr>
          </w:p>
        </w:tc>
      </w:tr>
      <w:tr w14:paraId="3B53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956" w:type="dxa"/>
            <w:vMerge w:val="continue"/>
            <w:noWrap w:val="0"/>
            <w:vAlign w:val="center"/>
          </w:tcPr>
          <w:p w14:paraId="394A029A">
            <w:pPr>
              <w:shd w:val="clear" w:color="auto" w:fill="auto"/>
              <w:jc w:val="center"/>
              <w:rPr>
                <w:rFonts w:hint="eastAsia" w:ascii="宋体" w:hAnsi="宋体" w:eastAsia="宋体" w:cs="宋体"/>
                <w:color w:val="auto"/>
                <w:szCs w:val="21"/>
                <w:highlight w:val="none"/>
              </w:rPr>
            </w:pPr>
          </w:p>
        </w:tc>
        <w:tc>
          <w:tcPr>
            <w:tcW w:w="519" w:type="dxa"/>
            <w:noWrap w:val="0"/>
            <w:vAlign w:val="center"/>
          </w:tcPr>
          <w:p w14:paraId="49933F30">
            <w:pPr>
              <w:jc w:val="center"/>
              <w:rPr>
                <w:rFonts w:hint="eastAsia" w:ascii="宋体" w:hAnsi="宋体" w:eastAsia="宋体" w:cs="宋体"/>
                <w:color w:val="auto"/>
                <w:szCs w:val="21"/>
                <w:highlight w:val="none"/>
                <w:lang w:val="en-US" w:eastAsia="zh-CN"/>
              </w:rPr>
            </w:pPr>
            <w:r>
              <w:rPr>
                <w:rFonts w:hint="eastAsia" w:ascii="宋体" w:hAnsi="宋体"/>
                <w:sz w:val="24"/>
              </w:rPr>
              <w:t>4</w:t>
            </w:r>
          </w:p>
        </w:tc>
        <w:tc>
          <w:tcPr>
            <w:tcW w:w="6874" w:type="dxa"/>
            <w:noWrap w:val="0"/>
            <w:vAlign w:val="center"/>
          </w:tcPr>
          <w:p w14:paraId="3F6D9597">
            <w:pPr>
              <w:widowControl/>
              <w:jc w:val="left"/>
              <w:textAlignment w:val="center"/>
              <w:rPr>
                <w:rFonts w:hint="eastAsia" w:ascii="宋体" w:hAnsi="宋体" w:eastAsia="宋体" w:cs="宋体"/>
                <w:color w:val="auto"/>
                <w:sz w:val="20"/>
                <w:szCs w:val="22"/>
                <w:highlight w:val="none"/>
              </w:rPr>
            </w:pPr>
            <w:r>
              <w:rPr>
                <w:rFonts w:hint="eastAsia" w:ascii="宋体" w:hAnsi="宋体"/>
                <w:kern w:val="0"/>
                <w:sz w:val="22"/>
                <w:szCs w:val="22"/>
                <w:lang w:eastAsia="zh-CN"/>
              </w:rPr>
              <w:t>投标企业须提供投标人（被授权在职人员）近6个月任意一个月的社保证明</w:t>
            </w:r>
            <w:r>
              <w:rPr>
                <w:rFonts w:hint="eastAsia" w:cs="Times New Roman"/>
                <w:kern w:val="2"/>
                <w:sz w:val="21"/>
                <w:szCs w:val="21"/>
              </w:rPr>
              <w:t>；</w:t>
            </w:r>
          </w:p>
        </w:tc>
        <w:tc>
          <w:tcPr>
            <w:tcW w:w="644" w:type="dxa"/>
            <w:noWrap w:val="0"/>
            <w:vAlign w:val="top"/>
          </w:tcPr>
          <w:p w14:paraId="45F9D748">
            <w:pPr>
              <w:shd w:val="clear" w:color="auto" w:fill="auto"/>
              <w:rPr>
                <w:rFonts w:hint="eastAsia" w:ascii="宋体" w:hAnsi="宋体" w:eastAsia="宋体" w:cs="宋体"/>
                <w:color w:val="auto"/>
                <w:szCs w:val="21"/>
                <w:highlight w:val="none"/>
              </w:rPr>
            </w:pPr>
          </w:p>
        </w:tc>
        <w:tc>
          <w:tcPr>
            <w:tcW w:w="605" w:type="dxa"/>
            <w:noWrap w:val="0"/>
            <w:vAlign w:val="top"/>
          </w:tcPr>
          <w:p w14:paraId="0AD83BC1">
            <w:pPr>
              <w:shd w:val="clear" w:color="auto" w:fill="auto"/>
              <w:rPr>
                <w:rFonts w:hint="eastAsia" w:ascii="宋体" w:hAnsi="宋体" w:eastAsia="宋体" w:cs="宋体"/>
                <w:color w:val="auto"/>
                <w:szCs w:val="21"/>
                <w:highlight w:val="none"/>
              </w:rPr>
            </w:pPr>
          </w:p>
        </w:tc>
      </w:tr>
      <w:tr w14:paraId="1F46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956" w:type="dxa"/>
            <w:vMerge w:val="continue"/>
            <w:noWrap w:val="0"/>
            <w:vAlign w:val="center"/>
          </w:tcPr>
          <w:p w14:paraId="3BED1A2B">
            <w:pPr>
              <w:shd w:val="clear" w:color="auto" w:fill="auto"/>
              <w:jc w:val="center"/>
              <w:rPr>
                <w:rFonts w:hint="eastAsia" w:ascii="宋体" w:hAnsi="宋体" w:eastAsia="宋体" w:cs="宋体"/>
                <w:color w:val="auto"/>
                <w:szCs w:val="21"/>
                <w:highlight w:val="none"/>
              </w:rPr>
            </w:pPr>
          </w:p>
        </w:tc>
        <w:tc>
          <w:tcPr>
            <w:tcW w:w="519" w:type="dxa"/>
            <w:noWrap w:val="0"/>
            <w:vAlign w:val="center"/>
          </w:tcPr>
          <w:p w14:paraId="17F52BF7">
            <w:pPr>
              <w:jc w:val="center"/>
              <w:rPr>
                <w:rFonts w:hint="eastAsia" w:ascii="宋体" w:hAnsi="宋体" w:eastAsia="宋体" w:cs="宋体"/>
                <w:color w:val="auto"/>
                <w:szCs w:val="21"/>
                <w:highlight w:val="none"/>
                <w:lang w:val="en-US" w:eastAsia="zh-CN"/>
              </w:rPr>
            </w:pPr>
            <w:r>
              <w:rPr>
                <w:rFonts w:hint="eastAsia" w:ascii="宋体" w:hAnsi="宋体"/>
                <w:sz w:val="24"/>
              </w:rPr>
              <w:t>5</w:t>
            </w:r>
          </w:p>
        </w:tc>
        <w:tc>
          <w:tcPr>
            <w:tcW w:w="6874" w:type="dxa"/>
            <w:noWrap w:val="0"/>
            <w:vAlign w:val="center"/>
          </w:tcPr>
          <w:p w14:paraId="5FCD54D2">
            <w:pPr>
              <w:widowControl/>
              <w:jc w:val="left"/>
              <w:textAlignment w:val="center"/>
              <w:rPr>
                <w:rFonts w:hint="eastAsia" w:ascii="宋体" w:hAnsi="宋体" w:eastAsia="宋体" w:cs="宋体"/>
                <w:color w:val="auto"/>
                <w:sz w:val="20"/>
                <w:szCs w:val="20"/>
                <w:highlight w:val="none"/>
              </w:rPr>
            </w:pPr>
            <w:r>
              <w:rPr>
                <w:rFonts w:hint="eastAsia" w:ascii="宋体" w:hAnsi="宋体"/>
                <w:kern w:val="0"/>
                <w:sz w:val="22"/>
                <w:szCs w:val="22"/>
              </w:rPr>
              <w:t>未被“信用中国”（www.creditchina.gov.cn）、中国政府采购网（www.ccgp.gov.cn）列入失信被执行人、重大税收违法案件当事人名单、政府采购严重违法失信行为记录名单；</w:t>
            </w:r>
          </w:p>
        </w:tc>
        <w:tc>
          <w:tcPr>
            <w:tcW w:w="644" w:type="dxa"/>
            <w:noWrap w:val="0"/>
            <w:vAlign w:val="top"/>
          </w:tcPr>
          <w:p w14:paraId="29ED012F">
            <w:pPr>
              <w:shd w:val="clear" w:color="auto" w:fill="auto"/>
              <w:rPr>
                <w:rFonts w:hint="eastAsia" w:ascii="宋体" w:hAnsi="宋体" w:eastAsia="宋体" w:cs="宋体"/>
                <w:color w:val="auto"/>
                <w:szCs w:val="21"/>
                <w:highlight w:val="none"/>
              </w:rPr>
            </w:pPr>
          </w:p>
        </w:tc>
        <w:tc>
          <w:tcPr>
            <w:tcW w:w="605" w:type="dxa"/>
            <w:noWrap w:val="0"/>
            <w:vAlign w:val="top"/>
          </w:tcPr>
          <w:p w14:paraId="4DB71D26">
            <w:pPr>
              <w:shd w:val="clear" w:color="auto" w:fill="auto"/>
              <w:rPr>
                <w:rFonts w:hint="eastAsia" w:ascii="宋体" w:hAnsi="宋体" w:eastAsia="宋体" w:cs="宋体"/>
                <w:color w:val="auto"/>
                <w:szCs w:val="21"/>
                <w:highlight w:val="none"/>
              </w:rPr>
            </w:pPr>
          </w:p>
        </w:tc>
      </w:tr>
      <w:tr w14:paraId="32A6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956" w:type="dxa"/>
            <w:vMerge w:val="continue"/>
            <w:noWrap w:val="0"/>
            <w:vAlign w:val="center"/>
          </w:tcPr>
          <w:p w14:paraId="58C6C430">
            <w:pPr>
              <w:shd w:val="clear" w:color="auto" w:fill="auto"/>
              <w:jc w:val="center"/>
              <w:rPr>
                <w:rFonts w:hint="eastAsia" w:ascii="宋体" w:hAnsi="宋体" w:eastAsia="宋体" w:cs="宋体"/>
                <w:color w:val="auto"/>
                <w:szCs w:val="21"/>
                <w:highlight w:val="none"/>
              </w:rPr>
            </w:pPr>
          </w:p>
        </w:tc>
        <w:tc>
          <w:tcPr>
            <w:tcW w:w="519" w:type="dxa"/>
            <w:noWrap w:val="0"/>
            <w:vAlign w:val="center"/>
          </w:tcPr>
          <w:p w14:paraId="12D069DA">
            <w:pPr>
              <w:jc w:val="center"/>
              <w:rPr>
                <w:rFonts w:hint="default" w:ascii="宋体" w:hAnsi="宋体" w:eastAsia="宋体" w:cs="宋体"/>
                <w:color w:val="auto"/>
                <w:szCs w:val="21"/>
                <w:highlight w:val="none"/>
                <w:lang w:val="en-US" w:eastAsia="zh-CN"/>
              </w:rPr>
            </w:pPr>
            <w:r>
              <w:rPr>
                <w:rFonts w:hint="eastAsia" w:ascii="宋体" w:hAnsi="宋体"/>
                <w:sz w:val="24"/>
              </w:rPr>
              <w:t>6</w:t>
            </w:r>
          </w:p>
        </w:tc>
        <w:tc>
          <w:tcPr>
            <w:tcW w:w="6874" w:type="dxa"/>
            <w:noWrap w:val="0"/>
            <w:vAlign w:val="center"/>
          </w:tcPr>
          <w:p w14:paraId="541F99E9">
            <w:pPr>
              <w:pStyle w:val="22"/>
              <w:spacing w:before="75" w:beforeAutospacing="0" w:after="75" w:afterAutospacing="0" w:line="320" w:lineRule="exact"/>
              <w:rPr>
                <w:rFonts w:hint="eastAsia" w:ascii="宋体" w:hAnsi="宋体" w:eastAsia="宋体" w:cs="宋体"/>
                <w:kern w:val="2"/>
                <w:sz w:val="21"/>
                <w:szCs w:val="21"/>
                <w:highlight w:val="none"/>
                <w:lang w:val="en-US" w:eastAsia="zh-CN" w:bidi="ar-SA"/>
              </w:rPr>
            </w:pPr>
            <w:r>
              <w:rPr>
                <w:rFonts w:hint="eastAsia" w:cs="Times New Roman"/>
                <w:kern w:val="2"/>
                <w:sz w:val="21"/>
                <w:szCs w:val="21"/>
              </w:rPr>
              <w:t>提供反商业贿赂承诺书（自拟）；</w:t>
            </w:r>
          </w:p>
        </w:tc>
        <w:tc>
          <w:tcPr>
            <w:tcW w:w="644" w:type="dxa"/>
            <w:noWrap w:val="0"/>
            <w:vAlign w:val="top"/>
          </w:tcPr>
          <w:p w14:paraId="6C5A2334">
            <w:pPr>
              <w:shd w:val="clear" w:color="auto" w:fill="auto"/>
              <w:rPr>
                <w:rFonts w:hint="eastAsia" w:ascii="宋体" w:hAnsi="宋体" w:eastAsia="宋体" w:cs="宋体"/>
                <w:color w:val="auto"/>
                <w:szCs w:val="21"/>
                <w:highlight w:val="yellow"/>
              </w:rPr>
            </w:pPr>
          </w:p>
        </w:tc>
        <w:tc>
          <w:tcPr>
            <w:tcW w:w="605" w:type="dxa"/>
            <w:noWrap w:val="0"/>
            <w:vAlign w:val="top"/>
          </w:tcPr>
          <w:p w14:paraId="6A00F01C">
            <w:pPr>
              <w:shd w:val="clear" w:color="auto" w:fill="auto"/>
              <w:rPr>
                <w:rFonts w:hint="eastAsia" w:ascii="宋体" w:hAnsi="宋体" w:eastAsia="宋体" w:cs="宋体"/>
                <w:color w:val="auto"/>
                <w:szCs w:val="21"/>
                <w:highlight w:val="yellow"/>
              </w:rPr>
            </w:pPr>
          </w:p>
        </w:tc>
      </w:tr>
      <w:tr w14:paraId="4AFC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956" w:type="dxa"/>
            <w:vMerge w:val="continue"/>
            <w:noWrap w:val="0"/>
            <w:vAlign w:val="center"/>
          </w:tcPr>
          <w:p w14:paraId="3759EE9B">
            <w:pPr>
              <w:shd w:val="clear" w:color="auto" w:fill="auto"/>
              <w:jc w:val="center"/>
              <w:rPr>
                <w:rFonts w:hint="eastAsia" w:ascii="宋体" w:hAnsi="宋体" w:eastAsia="宋体" w:cs="宋体"/>
                <w:color w:val="auto"/>
                <w:szCs w:val="21"/>
                <w:highlight w:val="none"/>
              </w:rPr>
            </w:pPr>
          </w:p>
        </w:tc>
        <w:tc>
          <w:tcPr>
            <w:tcW w:w="519" w:type="dxa"/>
            <w:noWrap w:val="0"/>
            <w:vAlign w:val="center"/>
          </w:tcPr>
          <w:p w14:paraId="6A158EDE">
            <w:pPr>
              <w:jc w:val="center"/>
              <w:rPr>
                <w:rFonts w:hint="eastAsia" w:ascii="宋体" w:hAnsi="宋体" w:eastAsia="宋体"/>
                <w:sz w:val="24"/>
                <w:lang w:val="en-US" w:eastAsia="zh-CN"/>
              </w:rPr>
            </w:pPr>
            <w:r>
              <w:rPr>
                <w:rFonts w:hint="eastAsia" w:ascii="宋体" w:hAnsi="宋体"/>
                <w:sz w:val="24"/>
                <w:lang w:val="en-US" w:eastAsia="zh-CN"/>
              </w:rPr>
              <w:t>7</w:t>
            </w:r>
          </w:p>
        </w:tc>
        <w:tc>
          <w:tcPr>
            <w:tcW w:w="6874" w:type="dxa"/>
            <w:noWrap w:val="0"/>
            <w:vAlign w:val="center"/>
          </w:tcPr>
          <w:p w14:paraId="45379F76">
            <w:pPr>
              <w:pStyle w:val="22"/>
              <w:spacing w:before="75" w:beforeAutospacing="0" w:after="75" w:afterAutospacing="0" w:line="320" w:lineRule="exact"/>
              <w:rPr>
                <w:rFonts w:hint="eastAsia" w:eastAsia="宋体" w:cs="Times New Roman"/>
                <w:kern w:val="2"/>
                <w:sz w:val="21"/>
                <w:szCs w:val="21"/>
                <w:lang w:eastAsia="zh-CN"/>
              </w:rPr>
            </w:pPr>
            <w:r>
              <w:rPr>
                <w:rFonts w:hint="eastAsia" w:ascii="Times New Roman" w:hAnsi="Times New Roman" w:cs="Times New Roman"/>
                <w:kern w:val="2"/>
                <w:sz w:val="21"/>
                <w:lang w:val="en-US" w:eastAsia="zh-CN"/>
              </w:rPr>
              <w:t>按磋商文件格式提供</w:t>
            </w:r>
            <w:r>
              <w:rPr>
                <w:rFonts w:hint="eastAsia" w:ascii="Times New Roman" w:hAnsi="Times New Roman" w:cs="Times New Roman"/>
                <w:kern w:val="2"/>
                <w:sz w:val="21"/>
              </w:rPr>
              <w:t>《</w:t>
            </w:r>
            <w:r>
              <w:rPr>
                <w:rFonts w:hint="eastAsia" w:ascii="Times New Roman" w:hAnsi="Times New Roman" w:cs="Times New Roman"/>
                <w:kern w:val="2"/>
                <w:sz w:val="21"/>
                <w:lang w:val="en-US" w:eastAsia="zh-CN"/>
              </w:rPr>
              <w:t>中小企业声明函</w:t>
            </w:r>
            <w:r>
              <w:rPr>
                <w:rFonts w:hint="eastAsia" w:ascii="Times New Roman" w:hAnsi="Times New Roman" w:cs="Times New Roman"/>
                <w:kern w:val="2"/>
                <w:sz w:val="21"/>
              </w:rPr>
              <w:t>》</w:t>
            </w:r>
            <w:r>
              <w:rPr>
                <w:rFonts w:hint="eastAsia" w:ascii="Times New Roman" w:hAnsi="Times New Roman" w:cs="Times New Roman"/>
                <w:kern w:val="2"/>
                <w:sz w:val="21"/>
                <w:lang w:eastAsia="zh-CN"/>
              </w:rPr>
              <w:t>；</w:t>
            </w:r>
          </w:p>
        </w:tc>
        <w:tc>
          <w:tcPr>
            <w:tcW w:w="644" w:type="dxa"/>
            <w:noWrap w:val="0"/>
            <w:vAlign w:val="top"/>
          </w:tcPr>
          <w:p w14:paraId="755204EA">
            <w:pPr>
              <w:shd w:val="clear" w:color="auto" w:fill="auto"/>
              <w:rPr>
                <w:rFonts w:hint="eastAsia" w:ascii="宋体" w:hAnsi="宋体" w:eastAsia="宋体" w:cs="宋体"/>
                <w:color w:val="auto"/>
                <w:szCs w:val="21"/>
                <w:highlight w:val="yellow"/>
              </w:rPr>
            </w:pPr>
          </w:p>
        </w:tc>
        <w:tc>
          <w:tcPr>
            <w:tcW w:w="605" w:type="dxa"/>
            <w:noWrap w:val="0"/>
            <w:vAlign w:val="top"/>
          </w:tcPr>
          <w:p w14:paraId="4B0B7690">
            <w:pPr>
              <w:shd w:val="clear" w:color="auto" w:fill="auto"/>
              <w:rPr>
                <w:rFonts w:hint="eastAsia" w:ascii="宋体" w:hAnsi="宋体" w:eastAsia="宋体" w:cs="宋体"/>
                <w:color w:val="auto"/>
                <w:szCs w:val="21"/>
                <w:highlight w:val="yellow"/>
              </w:rPr>
            </w:pPr>
          </w:p>
        </w:tc>
      </w:tr>
      <w:tr w14:paraId="1594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956" w:type="dxa"/>
            <w:vMerge w:val="continue"/>
            <w:noWrap w:val="0"/>
            <w:vAlign w:val="center"/>
          </w:tcPr>
          <w:p w14:paraId="013228C5">
            <w:pPr>
              <w:shd w:val="clear" w:color="auto" w:fill="auto"/>
              <w:jc w:val="center"/>
              <w:rPr>
                <w:rFonts w:hint="eastAsia" w:ascii="宋体" w:hAnsi="宋体" w:eastAsia="宋体" w:cs="宋体"/>
                <w:color w:val="auto"/>
                <w:szCs w:val="21"/>
                <w:highlight w:val="none"/>
              </w:rPr>
            </w:pPr>
          </w:p>
        </w:tc>
        <w:tc>
          <w:tcPr>
            <w:tcW w:w="519" w:type="dxa"/>
            <w:noWrap w:val="0"/>
            <w:vAlign w:val="center"/>
          </w:tcPr>
          <w:p w14:paraId="78EFBE60">
            <w:pPr>
              <w:jc w:val="center"/>
              <w:rPr>
                <w:rFonts w:hint="eastAsia" w:ascii="宋体" w:hAnsi="宋体" w:eastAsia="宋体" w:cs="宋体"/>
                <w:color w:val="auto"/>
                <w:szCs w:val="21"/>
                <w:highlight w:val="none"/>
                <w:lang w:val="en-US" w:eastAsia="zh-CN"/>
              </w:rPr>
            </w:pPr>
          </w:p>
        </w:tc>
        <w:tc>
          <w:tcPr>
            <w:tcW w:w="6874" w:type="dxa"/>
            <w:noWrap w:val="0"/>
            <w:vAlign w:val="center"/>
          </w:tcPr>
          <w:p w14:paraId="3EECD3AC">
            <w:pPr>
              <w:rPr>
                <w:rFonts w:ascii="宋体" w:hAnsi="宋体"/>
                <w:sz w:val="22"/>
                <w:szCs w:val="22"/>
              </w:rPr>
            </w:pPr>
            <w:r>
              <w:rPr>
                <w:rFonts w:hint="eastAsia" w:ascii="宋体" w:hAnsi="宋体"/>
                <w:sz w:val="22"/>
                <w:szCs w:val="22"/>
              </w:rPr>
              <w:t>结论：是否通过评审（须填写通过或不通过）</w:t>
            </w:r>
          </w:p>
          <w:p w14:paraId="4C4C3827">
            <w:pPr>
              <w:widowControl/>
              <w:jc w:val="left"/>
              <w:textAlignment w:val="center"/>
              <w:rPr>
                <w:rFonts w:hint="eastAsia" w:ascii="宋体" w:hAnsi="宋体" w:eastAsia="宋体" w:cs="宋体"/>
                <w:color w:val="auto"/>
                <w:sz w:val="20"/>
                <w:szCs w:val="20"/>
                <w:highlight w:val="none"/>
              </w:rPr>
            </w:pPr>
            <w:r>
              <w:rPr>
                <w:rFonts w:hint="eastAsia" w:ascii="宋体" w:hAnsi="宋体"/>
                <w:sz w:val="22"/>
                <w:szCs w:val="22"/>
              </w:rPr>
              <w:t>注：如有一项不合格，作废标处理。</w:t>
            </w:r>
          </w:p>
        </w:tc>
        <w:tc>
          <w:tcPr>
            <w:tcW w:w="1249" w:type="dxa"/>
            <w:gridSpan w:val="2"/>
            <w:noWrap w:val="0"/>
            <w:vAlign w:val="top"/>
          </w:tcPr>
          <w:p w14:paraId="7A96545C">
            <w:pPr>
              <w:shd w:val="clear" w:color="auto" w:fill="auto"/>
              <w:rPr>
                <w:rFonts w:hint="eastAsia" w:ascii="宋体" w:hAnsi="宋体" w:eastAsia="宋体" w:cs="宋体"/>
                <w:color w:val="auto"/>
                <w:szCs w:val="21"/>
                <w:highlight w:val="none"/>
              </w:rPr>
            </w:pPr>
          </w:p>
        </w:tc>
      </w:tr>
    </w:tbl>
    <w:p w14:paraId="5CB771E5">
      <w:pPr>
        <w:shd w:val="clear" w:color="auto" w:fill="auto"/>
        <w:spacing w:line="400" w:lineRule="exact"/>
        <w:rPr>
          <w:rFonts w:hint="eastAsia" w:ascii="宋体" w:hAnsi="宋体"/>
          <w:b/>
          <w:color w:val="auto"/>
          <w:szCs w:val="21"/>
          <w:highlight w:val="none"/>
        </w:rPr>
      </w:pPr>
      <w:r>
        <w:rPr>
          <w:rFonts w:hint="eastAsia" w:ascii="宋体" w:hAnsi="宋体"/>
          <w:b/>
          <w:color w:val="auto"/>
          <w:szCs w:val="21"/>
          <w:highlight w:val="none"/>
          <w:lang w:val="en-US" w:eastAsia="zh-CN"/>
        </w:rPr>
        <w:t>6</w:t>
      </w:r>
      <w:r>
        <w:rPr>
          <w:rFonts w:hint="eastAsia" w:ascii="宋体" w:hAnsi="宋体"/>
          <w:b/>
          <w:color w:val="auto"/>
          <w:szCs w:val="21"/>
          <w:highlight w:val="none"/>
        </w:rPr>
        <w:t>.2如评标专家在检验电子标书过程中，如果由于投标人自身原因导致评标专家无法查看并检验电子标书中以上相关资料的，否决其投标。即使投标单位将原件携带至现场的，同样按无效投标处理。</w:t>
      </w:r>
    </w:p>
    <w:p w14:paraId="4FCF2658">
      <w:pPr>
        <w:shd w:val="clear" w:color="auto" w:fill="auto"/>
        <w:spacing w:line="400" w:lineRule="exact"/>
        <w:rPr>
          <w:rFonts w:hint="eastAsia" w:ascii="宋体"/>
          <w:b/>
          <w:color w:val="0000C7"/>
          <w:szCs w:val="21"/>
          <w:highlight w:val="none"/>
          <w:lang w:val="en-US" w:eastAsia="zh-CN"/>
        </w:rPr>
      </w:pPr>
    </w:p>
    <w:p w14:paraId="332DCF0A">
      <w:pPr>
        <w:shd w:val="clear" w:color="auto" w:fill="auto"/>
        <w:spacing w:line="400" w:lineRule="exact"/>
        <w:rPr>
          <w:rFonts w:hint="eastAsia" w:ascii="宋体"/>
          <w:b/>
          <w:color w:val="0000C7"/>
          <w:szCs w:val="21"/>
          <w:highlight w:val="none"/>
          <w:lang w:val="en-US" w:eastAsia="zh-CN"/>
        </w:rPr>
      </w:pPr>
    </w:p>
    <w:p w14:paraId="4219A148">
      <w:pPr>
        <w:shd w:val="clear" w:color="auto" w:fill="auto"/>
        <w:spacing w:line="400" w:lineRule="exact"/>
        <w:rPr>
          <w:rFonts w:hint="eastAsia" w:ascii="宋体"/>
          <w:b/>
          <w:color w:val="0000C7"/>
          <w:szCs w:val="21"/>
          <w:highlight w:val="none"/>
          <w:lang w:val="en-US" w:eastAsia="zh-CN"/>
        </w:rPr>
      </w:pPr>
    </w:p>
    <w:p w14:paraId="17765079">
      <w:pPr>
        <w:shd w:val="clear" w:color="auto" w:fill="auto"/>
        <w:spacing w:line="400" w:lineRule="exact"/>
        <w:rPr>
          <w:rFonts w:hint="eastAsia" w:ascii="宋体"/>
          <w:b/>
          <w:color w:val="0000C7"/>
          <w:szCs w:val="21"/>
          <w:highlight w:val="none"/>
          <w:lang w:val="en-US" w:eastAsia="zh-CN"/>
        </w:rPr>
      </w:pPr>
    </w:p>
    <w:p w14:paraId="30EC727C">
      <w:pPr>
        <w:shd w:val="clear" w:color="auto" w:fill="auto"/>
        <w:spacing w:line="400" w:lineRule="exact"/>
        <w:rPr>
          <w:rFonts w:hint="eastAsia" w:ascii="宋体"/>
          <w:b/>
          <w:color w:val="0000C7"/>
          <w:szCs w:val="21"/>
          <w:highlight w:val="none"/>
          <w:lang w:val="en-US" w:eastAsia="zh-CN"/>
        </w:rPr>
      </w:pPr>
    </w:p>
    <w:p w14:paraId="0CCAF288">
      <w:pPr>
        <w:shd w:val="clear" w:color="auto" w:fill="auto"/>
        <w:spacing w:line="400" w:lineRule="exact"/>
        <w:rPr>
          <w:rFonts w:hint="eastAsia" w:ascii="宋体"/>
          <w:b/>
          <w:color w:val="0000C7"/>
          <w:szCs w:val="21"/>
          <w:highlight w:val="none"/>
          <w:lang w:val="en-US" w:eastAsia="zh-CN"/>
        </w:rPr>
      </w:pPr>
    </w:p>
    <w:p w14:paraId="70BCCE20">
      <w:pPr>
        <w:shd w:val="clear" w:color="auto" w:fill="auto"/>
        <w:spacing w:line="400" w:lineRule="exact"/>
        <w:rPr>
          <w:rFonts w:hint="eastAsia" w:ascii="宋体"/>
          <w:b/>
          <w:color w:val="0000C7"/>
          <w:szCs w:val="21"/>
          <w:highlight w:val="none"/>
          <w:lang w:val="en-US" w:eastAsia="zh-CN"/>
        </w:rPr>
      </w:pPr>
    </w:p>
    <w:p w14:paraId="1D0D4628">
      <w:pPr>
        <w:shd w:val="clear" w:color="auto" w:fill="auto"/>
        <w:spacing w:line="400" w:lineRule="exact"/>
        <w:rPr>
          <w:rFonts w:hint="eastAsia" w:ascii="宋体"/>
          <w:b/>
          <w:color w:val="0000C7"/>
          <w:szCs w:val="21"/>
          <w:highlight w:val="none"/>
          <w:lang w:val="en-US" w:eastAsia="zh-CN"/>
        </w:rPr>
      </w:pPr>
    </w:p>
    <w:p w14:paraId="46CFCC29">
      <w:pPr>
        <w:shd w:val="clear" w:color="auto" w:fill="auto"/>
        <w:spacing w:line="400" w:lineRule="exact"/>
        <w:rPr>
          <w:rFonts w:hint="eastAsia" w:ascii="宋体"/>
          <w:b/>
          <w:color w:val="auto"/>
          <w:szCs w:val="21"/>
          <w:highlight w:val="none"/>
        </w:rPr>
      </w:pPr>
      <w:r>
        <w:rPr>
          <w:rFonts w:hint="eastAsia" w:ascii="宋体"/>
          <w:b/>
          <w:color w:val="auto"/>
          <w:szCs w:val="21"/>
          <w:highlight w:val="none"/>
          <w:lang w:val="en-US" w:eastAsia="zh-CN"/>
        </w:rPr>
        <w:t>7</w:t>
      </w:r>
      <w:r>
        <w:rPr>
          <w:rFonts w:hint="eastAsia" w:ascii="宋体"/>
          <w:b/>
          <w:color w:val="auto"/>
          <w:szCs w:val="21"/>
          <w:highlight w:val="none"/>
        </w:rPr>
        <w:t>.符合性审查</w:t>
      </w:r>
    </w:p>
    <w:tbl>
      <w:tblPr>
        <w:tblStyle w:val="25"/>
        <w:tblpPr w:leftFromText="180" w:rightFromText="180" w:vertAnchor="text" w:horzAnchor="page" w:tblpX="1365" w:tblpY="42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37"/>
        <w:gridCol w:w="454"/>
        <w:gridCol w:w="6667"/>
        <w:gridCol w:w="583"/>
        <w:gridCol w:w="497"/>
      </w:tblGrid>
      <w:tr w14:paraId="3DCBD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1237" w:type="dxa"/>
            <w:tcBorders>
              <w:top w:val="single" w:color="auto" w:sz="4" w:space="0"/>
              <w:left w:val="single" w:color="auto" w:sz="4" w:space="0"/>
            </w:tcBorders>
            <w:noWrap w:val="0"/>
            <w:vAlign w:val="center"/>
          </w:tcPr>
          <w:p w14:paraId="536760D7">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w:t>
            </w:r>
          </w:p>
        </w:tc>
        <w:tc>
          <w:tcPr>
            <w:tcW w:w="7121" w:type="dxa"/>
            <w:gridSpan w:val="2"/>
            <w:tcBorders>
              <w:top w:val="single" w:color="auto" w:sz="4" w:space="0"/>
            </w:tcBorders>
            <w:noWrap w:val="0"/>
            <w:vAlign w:val="center"/>
          </w:tcPr>
          <w:p w14:paraId="49EC5F69">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评审内容</w:t>
            </w:r>
          </w:p>
        </w:tc>
        <w:tc>
          <w:tcPr>
            <w:tcW w:w="1080" w:type="dxa"/>
            <w:gridSpan w:val="2"/>
            <w:tcBorders>
              <w:top w:val="single" w:color="auto" w:sz="4" w:space="0"/>
              <w:right w:val="single" w:color="auto" w:sz="4" w:space="0"/>
            </w:tcBorders>
            <w:noWrap w:val="0"/>
            <w:vAlign w:val="center"/>
          </w:tcPr>
          <w:p w14:paraId="0347FAEB">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评审意见</w:t>
            </w:r>
          </w:p>
        </w:tc>
      </w:tr>
      <w:tr w14:paraId="427A29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tcBorders>
              <w:left w:val="single" w:color="auto" w:sz="4" w:space="0"/>
              <w:bottom w:val="single" w:color="auto" w:sz="4" w:space="0"/>
            </w:tcBorders>
            <w:noWrap w:val="0"/>
            <w:vAlign w:val="center"/>
          </w:tcPr>
          <w:p w14:paraId="4D0E08D3">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7121" w:type="dxa"/>
            <w:gridSpan w:val="2"/>
            <w:tcBorders>
              <w:bottom w:val="single" w:color="auto" w:sz="4" w:space="0"/>
            </w:tcBorders>
            <w:noWrap w:val="0"/>
            <w:vAlign w:val="top"/>
          </w:tcPr>
          <w:p w14:paraId="024979DA">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583" w:type="dxa"/>
            <w:noWrap w:val="0"/>
            <w:vAlign w:val="center"/>
          </w:tcPr>
          <w:p w14:paraId="1989A446">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是</w:t>
            </w:r>
          </w:p>
        </w:tc>
        <w:tc>
          <w:tcPr>
            <w:tcW w:w="497" w:type="dxa"/>
            <w:tcBorders>
              <w:right w:val="single" w:color="auto" w:sz="4" w:space="0"/>
            </w:tcBorders>
            <w:noWrap w:val="0"/>
            <w:vAlign w:val="center"/>
          </w:tcPr>
          <w:p w14:paraId="60C7F1F7">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否</w:t>
            </w:r>
          </w:p>
        </w:tc>
      </w:tr>
      <w:tr w14:paraId="116751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restart"/>
            <w:tcBorders>
              <w:top w:val="single" w:color="auto" w:sz="4" w:space="0"/>
              <w:left w:val="single" w:color="auto" w:sz="4" w:space="0"/>
              <w:right w:val="single" w:color="auto" w:sz="4" w:space="0"/>
            </w:tcBorders>
            <w:noWrap w:val="0"/>
            <w:vAlign w:val="center"/>
          </w:tcPr>
          <w:p w14:paraId="4BD7F436">
            <w:pPr>
              <w:widowControl/>
              <w:shd w:val="clear" w:color="auto" w:fill="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审</w:t>
            </w:r>
          </w:p>
          <w:p w14:paraId="3ADC3AD4">
            <w:pPr>
              <w:widowControl/>
              <w:shd w:val="clear" w:color="auto" w:fill="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查</w:t>
            </w:r>
          </w:p>
          <w:p w14:paraId="5CFC61CA">
            <w:pPr>
              <w:widowControl/>
              <w:shd w:val="clear" w:color="auto" w:fill="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标</w:t>
            </w:r>
          </w:p>
          <w:p w14:paraId="3E1EBF0B">
            <w:pPr>
              <w:widowControl/>
              <w:shd w:val="clear" w:color="auto" w:fill="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准</w:t>
            </w:r>
          </w:p>
        </w:tc>
        <w:tc>
          <w:tcPr>
            <w:tcW w:w="454" w:type="dxa"/>
            <w:tcBorders>
              <w:top w:val="single" w:color="auto" w:sz="4" w:space="0"/>
              <w:left w:val="single" w:color="auto" w:sz="4" w:space="0"/>
              <w:right w:val="single" w:color="auto" w:sz="4" w:space="0"/>
            </w:tcBorders>
            <w:noWrap w:val="0"/>
            <w:vAlign w:val="center"/>
          </w:tcPr>
          <w:p w14:paraId="63C93EFA">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6667" w:type="dxa"/>
            <w:tcBorders>
              <w:top w:val="single" w:color="auto" w:sz="4" w:space="0"/>
              <w:left w:val="single" w:color="auto" w:sz="4" w:space="0"/>
              <w:right w:val="single" w:color="auto" w:sz="4" w:space="0"/>
            </w:tcBorders>
            <w:noWrap w:val="0"/>
            <w:vAlign w:val="center"/>
          </w:tcPr>
          <w:p w14:paraId="1B3B2BF8">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由政府立项核准、审批的采购项目, 报价高于设定的采购预算价的；</w:t>
            </w:r>
          </w:p>
        </w:tc>
        <w:tc>
          <w:tcPr>
            <w:tcW w:w="583" w:type="dxa"/>
            <w:tcBorders>
              <w:left w:val="single" w:color="auto" w:sz="4" w:space="0"/>
              <w:right w:val="single" w:color="auto" w:sz="4" w:space="0"/>
            </w:tcBorders>
            <w:noWrap w:val="0"/>
            <w:vAlign w:val="top"/>
          </w:tcPr>
          <w:p w14:paraId="4C158362">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left w:val="single" w:color="auto" w:sz="4" w:space="0"/>
              <w:right w:val="single" w:color="auto" w:sz="4" w:space="0"/>
            </w:tcBorders>
            <w:noWrap w:val="0"/>
            <w:vAlign w:val="top"/>
          </w:tcPr>
          <w:p w14:paraId="4A2D3165">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66AF8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trPr>
        <w:tc>
          <w:tcPr>
            <w:tcW w:w="1237" w:type="dxa"/>
            <w:vMerge w:val="continue"/>
            <w:tcBorders>
              <w:left w:val="single" w:color="auto" w:sz="4" w:space="0"/>
              <w:right w:val="single" w:color="auto" w:sz="4" w:space="0"/>
            </w:tcBorders>
            <w:noWrap w:val="0"/>
            <w:vAlign w:val="center"/>
          </w:tcPr>
          <w:p w14:paraId="0536B217">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4668654B">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6667" w:type="dxa"/>
            <w:tcBorders>
              <w:top w:val="single" w:color="auto" w:sz="4" w:space="0"/>
              <w:left w:val="single" w:color="auto" w:sz="4" w:space="0"/>
              <w:bottom w:val="single" w:color="auto" w:sz="4" w:space="0"/>
              <w:right w:val="single" w:color="auto" w:sz="4" w:space="0"/>
            </w:tcBorders>
            <w:noWrap w:val="0"/>
            <w:vAlign w:val="center"/>
          </w:tcPr>
          <w:p w14:paraId="35A78ED3">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法定代表人身份证明及授权委托书有效，且符合磋商文件规定的格式。</w:t>
            </w:r>
          </w:p>
        </w:tc>
        <w:tc>
          <w:tcPr>
            <w:tcW w:w="583" w:type="dxa"/>
            <w:tcBorders>
              <w:left w:val="single" w:color="auto" w:sz="4" w:space="0"/>
            </w:tcBorders>
            <w:noWrap w:val="0"/>
            <w:vAlign w:val="top"/>
          </w:tcPr>
          <w:p w14:paraId="315E3F64">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right w:val="single" w:color="auto" w:sz="4" w:space="0"/>
            </w:tcBorders>
            <w:noWrap w:val="0"/>
            <w:vAlign w:val="top"/>
          </w:tcPr>
          <w:p w14:paraId="337EA630">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376A1B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73CC567E">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top w:val="single" w:color="auto" w:sz="4" w:space="0"/>
              <w:left w:val="single" w:color="auto" w:sz="4" w:space="0"/>
              <w:right w:val="single" w:color="auto" w:sz="4" w:space="0"/>
            </w:tcBorders>
            <w:noWrap w:val="0"/>
            <w:vAlign w:val="center"/>
          </w:tcPr>
          <w:p w14:paraId="37A2B238">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6667" w:type="dxa"/>
            <w:tcBorders>
              <w:top w:val="single" w:color="auto" w:sz="4" w:space="0"/>
              <w:left w:val="single" w:color="auto" w:sz="4" w:space="0"/>
              <w:right w:val="single" w:color="auto" w:sz="4" w:space="0"/>
            </w:tcBorders>
            <w:noWrap w:val="0"/>
            <w:vAlign w:val="center"/>
          </w:tcPr>
          <w:p w14:paraId="4ADC5A50">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只有一个方案投标。</w:t>
            </w:r>
          </w:p>
        </w:tc>
        <w:tc>
          <w:tcPr>
            <w:tcW w:w="583" w:type="dxa"/>
            <w:tcBorders>
              <w:left w:val="single" w:color="auto" w:sz="4" w:space="0"/>
            </w:tcBorders>
            <w:noWrap w:val="0"/>
            <w:vAlign w:val="top"/>
          </w:tcPr>
          <w:p w14:paraId="38C55AFB">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right w:val="single" w:color="auto" w:sz="4" w:space="0"/>
            </w:tcBorders>
            <w:noWrap w:val="0"/>
            <w:vAlign w:val="top"/>
          </w:tcPr>
          <w:p w14:paraId="59C76114">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651708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346F3A1E">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left w:val="single" w:color="auto" w:sz="4" w:space="0"/>
            </w:tcBorders>
            <w:noWrap w:val="0"/>
            <w:vAlign w:val="center"/>
          </w:tcPr>
          <w:p w14:paraId="3AB3E41E">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6667" w:type="dxa"/>
            <w:tcBorders>
              <w:right w:val="single" w:color="auto" w:sz="4" w:space="0"/>
            </w:tcBorders>
            <w:noWrap w:val="0"/>
            <w:vAlign w:val="center"/>
          </w:tcPr>
          <w:p w14:paraId="4F0FB81F">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投标文件内容齐全、无遗漏。</w:t>
            </w:r>
          </w:p>
        </w:tc>
        <w:tc>
          <w:tcPr>
            <w:tcW w:w="583" w:type="dxa"/>
            <w:tcBorders>
              <w:left w:val="single" w:color="auto" w:sz="4" w:space="0"/>
            </w:tcBorders>
            <w:noWrap w:val="0"/>
            <w:vAlign w:val="top"/>
          </w:tcPr>
          <w:p w14:paraId="6F4FBE3A">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right w:val="single" w:color="auto" w:sz="4" w:space="0"/>
            </w:tcBorders>
            <w:noWrap w:val="0"/>
            <w:vAlign w:val="top"/>
          </w:tcPr>
          <w:p w14:paraId="5BD2959A">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5952B4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25758DD3">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left w:val="single" w:color="auto" w:sz="4" w:space="0"/>
              <w:bottom w:val="single" w:color="auto" w:sz="4" w:space="0"/>
            </w:tcBorders>
            <w:noWrap w:val="0"/>
            <w:vAlign w:val="center"/>
          </w:tcPr>
          <w:p w14:paraId="435FD76D">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6667" w:type="dxa"/>
            <w:tcBorders>
              <w:bottom w:val="single" w:color="auto" w:sz="4" w:space="0"/>
              <w:right w:val="single" w:color="auto" w:sz="4" w:space="0"/>
            </w:tcBorders>
            <w:noWrap w:val="0"/>
            <w:vAlign w:val="center"/>
          </w:tcPr>
          <w:p w14:paraId="2BCCFBFF">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对磋商文件规定的招标内容全部作出响应。</w:t>
            </w:r>
          </w:p>
        </w:tc>
        <w:tc>
          <w:tcPr>
            <w:tcW w:w="583" w:type="dxa"/>
            <w:tcBorders>
              <w:left w:val="single" w:color="auto" w:sz="4" w:space="0"/>
              <w:bottom w:val="single" w:color="auto" w:sz="4" w:space="0"/>
            </w:tcBorders>
            <w:noWrap w:val="0"/>
            <w:vAlign w:val="top"/>
          </w:tcPr>
          <w:p w14:paraId="706E97D7">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bottom w:val="single" w:color="auto" w:sz="4" w:space="0"/>
              <w:right w:val="single" w:color="auto" w:sz="4" w:space="0"/>
            </w:tcBorders>
            <w:noWrap w:val="0"/>
            <w:vAlign w:val="top"/>
          </w:tcPr>
          <w:p w14:paraId="755742A6">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7FE155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53097BE6">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top w:val="single" w:color="auto" w:sz="4" w:space="0"/>
              <w:left w:val="single" w:color="auto" w:sz="4" w:space="0"/>
              <w:bottom w:val="single" w:color="auto" w:sz="4" w:space="0"/>
              <w:right w:val="single" w:color="auto" w:sz="4" w:space="0"/>
            </w:tcBorders>
            <w:noWrap w:val="0"/>
            <w:vAlign w:val="center"/>
          </w:tcPr>
          <w:p w14:paraId="779FC795">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6667" w:type="dxa"/>
            <w:tcBorders>
              <w:top w:val="single" w:color="auto" w:sz="4" w:space="0"/>
              <w:left w:val="single" w:color="auto" w:sz="4" w:space="0"/>
              <w:bottom w:val="single" w:color="auto" w:sz="4" w:space="0"/>
              <w:right w:val="single" w:color="auto" w:sz="4" w:space="0"/>
            </w:tcBorders>
            <w:noWrap w:val="0"/>
            <w:vAlign w:val="center"/>
          </w:tcPr>
          <w:p w14:paraId="3510A00C">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满足磋商文件提出的技术和质量要求。</w:t>
            </w:r>
          </w:p>
        </w:tc>
        <w:tc>
          <w:tcPr>
            <w:tcW w:w="583" w:type="dxa"/>
            <w:tcBorders>
              <w:top w:val="single" w:color="auto" w:sz="4" w:space="0"/>
              <w:left w:val="single" w:color="auto" w:sz="4" w:space="0"/>
              <w:bottom w:val="single" w:color="auto" w:sz="4" w:space="0"/>
              <w:right w:val="single" w:color="auto" w:sz="4" w:space="0"/>
            </w:tcBorders>
            <w:noWrap w:val="0"/>
            <w:vAlign w:val="top"/>
          </w:tcPr>
          <w:p w14:paraId="7F0C09CE">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top w:val="single" w:color="auto" w:sz="4" w:space="0"/>
              <w:left w:val="single" w:color="auto" w:sz="4" w:space="0"/>
              <w:bottom w:val="single" w:color="auto" w:sz="4" w:space="0"/>
              <w:right w:val="single" w:color="auto" w:sz="4" w:space="0"/>
            </w:tcBorders>
            <w:noWrap w:val="0"/>
            <w:vAlign w:val="top"/>
          </w:tcPr>
          <w:p w14:paraId="6DD97DAD">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7AC0B2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4C7933EE">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top w:val="single" w:color="auto" w:sz="4" w:space="0"/>
              <w:left w:val="single" w:color="auto" w:sz="4" w:space="0"/>
            </w:tcBorders>
            <w:noWrap w:val="0"/>
            <w:vAlign w:val="center"/>
          </w:tcPr>
          <w:p w14:paraId="46CB822E">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w:t>
            </w:r>
          </w:p>
        </w:tc>
        <w:tc>
          <w:tcPr>
            <w:tcW w:w="6667" w:type="dxa"/>
            <w:tcBorders>
              <w:top w:val="single" w:color="auto" w:sz="4" w:space="0"/>
              <w:right w:val="single" w:color="auto" w:sz="4" w:space="0"/>
            </w:tcBorders>
            <w:noWrap w:val="0"/>
            <w:vAlign w:val="center"/>
          </w:tcPr>
          <w:p w14:paraId="6EBBB0B2">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完成期限满足磋商文件要求。</w:t>
            </w:r>
          </w:p>
        </w:tc>
        <w:tc>
          <w:tcPr>
            <w:tcW w:w="583" w:type="dxa"/>
            <w:tcBorders>
              <w:top w:val="single" w:color="auto" w:sz="4" w:space="0"/>
              <w:left w:val="single" w:color="auto" w:sz="4" w:space="0"/>
            </w:tcBorders>
            <w:noWrap w:val="0"/>
            <w:vAlign w:val="top"/>
          </w:tcPr>
          <w:p w14:paraId="2D0E380C">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top w:val="single" w:color="auto" w:sz="4" w:space="0"/>
              <w:right w:val="single" w:color="auto" w:sz="4" w:space="0"/>
            </w:tcBorders>
            <w:noWrap w:val="0"/>
            <w:vAlign w:val="top"/>
          </w:tcPr>
          <w:p w14:paraId="72799184">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60BBF2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78954E0E">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top w:val="single" w:color="auto" w:sz="4" w:space="0"/>
              <w:left w:val="single" w:color="auto" w:sz="4" w:space="0"/>
            </w:tcBorders>
            <w:noWrap w:val="0"/>
            <w:vAlign w:val="center"/>
          </w:tcPr>
          <w:p w14:paraId="34982F9C">
            <w:pPr>
              <w:widowControl/>
              <w:shd w:val="clear" w:color="auto" w:fill="auto"/>
              <w:jc w:val="left"/>
              <w:textAlignment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8</w:t>
            </w:r>
          </w:p>
        </w:tc>
        <w:tc>
          <w:tcPr>
            <w:tcW w:w="6667" w:type="dxa"/>
            <w:tcBorders>
              <w:top w:val="single" w:color="auto" w:sz="4" w:space="0"/>
              <w:right w:val="single" w:color="auto" w:sz="4" w:space="0"/>
            </w:tcBorders>
            <w:noWrap w:val="0"/>
            <w:vAlign w:val="center"/>
          </w:tcPr>
          <w:p w14:paraId="32A961E4">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售后服务满足磋商文件要求</w:t>
            </w:r>
          </w:p>
        </w:tc>
        <w:tc>
          <w:tcPr>
            <w:tcW w:w="583" w:type="dxa"/>
            <w:tcBorders>
              <w:top w:val="single" w:color="auto" w:sz="4" w:space="0"/>
              <w:left w:val="single" w:color="auto" w:sz="4" w:space="0"/>
            </w:tcBorders>
            <w:noWrap w:val="0"/>
            <w:vAlign w:val="top"/>
          </w:tcPr>
          <w:p w14:paraId="6FCD6EEC">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top w:val="single" w:color="auto" w:sz="4" w:space="0"/>
              <w:right w:val="single" w:color="auto" w:sz="4" w:space="0"/>
            </w:tcBorders>
            <w:noWrap w:val="0"/>
            <w:vAlign w:val="top"/>
          </w:tcPr>
          <w:p w14:paraId="60066E31">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6E8F58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1E38B853">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left w:val="single" w:color="auto" w:sz="4" w:space="0"/>
            </w:tcBorders>
            <w:noWrap w:val="0"/>
            <w:vAlign w:val="center"/>
          </w:tcPr>
          <w:p w14:paraId="140C67D4">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9</w:t>
            </w:r>
          </w:p>
        </w:tc>
        <w:tc>
          <w:tcPr>
            <w:tcW w:w="6667" w:type="dxa"/>
            <w:tcBorders>
              <w:right w:val="single" w:color="auto" w:sz="4" w:space="0"/>
            </w:tcBorders>
            <w:noWrap w:val="0"/>
            <w:vAlign w:val="center"/>
          </w:tcPr>
          <w:p w14:paraId="2F4AD573">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投标有效期满足磋商文件要求。</w:t>
            </w:r>
          </w:p>
        </w:tc>
        <w:tc>
          <w:tcPr>
            <w:tcW w:w="583" w:type="dxa"/>
            <w:tcBorders>
              <w:left w:val="single" w:color="auto" w:sz="4" w:space="0"/>
            </w:tcBorders>
            <w:noWrap w:val="0"/>
            <w:vAlign w:val="top"/>
          </w:tcPr>
          <w:p w14:paraId="1532AF3F">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right w:val="single" w:color="auto" w:sz="4" w:space="0"/>
            </w:tcBorders>
            <w:noWrap w:val="0"/>
            <w:vAlign w:val="top"/>
          </w:tcPr>
          <w:p w14:paraId="6B5BCC9D">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07807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1237" w:type="dxa"/>
            <w:vMerge w:val="continue"/>
            <w:tcBorders>
              <w:left w:val="single" w:color="auto" w:sz="4" w:space="0"/>
              <w:right w:val="single" w:color="auto" w:sz="4" w:space="0"/>
            </w:tcBorders>
            <w:noWrap w:val="0"/>
            <w:vAlign w:val="center"/>
          </w:tcPr>
          <w:p w14:paraId="28DF07A6">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54" w:type="dxa"/>
            <w:tcBorders>
              <w:left w:val="single" w:color="auto" w:sz="4" w:space="0"/>
            </w:tcBorders>
            <w:noWrap w:val="0"/>
            <w:vAlign w:val="center"/>
          </w:tcPr>
          <w:p w14:paraId="32E83CA0">
            <w:pPr>
              <w:widowControl/>
              <w:shd w:val="clear" w:color="auto" w:fill="auto"/>
              <w:jc w:val="left"/>
              <w:textAlignment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10</w:t>
            </w:r>
          </w:p>
        </w:tc>
        <w:tc>
          <w:tcPr>
            <w:tcW w:w="6667" w:type="dxa"/>
            <w:tcBorders>
              <w:right w:val="single" w:color="auto" w:sz="4" w:space="0"/>
            </w:tcBorders>
            <w:noWrap w:val="0"/>
            <w:vAlign w:val="center"/>
          </w:tcPr>
          <w:p w14:paraId="7AF96F43">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投标人详细地址、联系人、电话</w:t>
            </w:r>
            <w:r>
              <w:rPr>
                <w:rFonts w:hint="eastAsia" w:ascii="宋体" w:hAnsi="宋体" w:cs="宋体"/>
                <w:sz w:val="21"/>
                <w:szCs w:val="21"/>
                <w:highlight w:val="none"/>
                <w:lang w:val="en-US" w:eastAsia="zh-CN"/>
              </w:rPr>
              <w:t>。</w:t>
            </w:r>
          </w:p>
        </w:tc>
        <w:tc>
          <w:tcPr>
            <w:tcW w:w="583" w:type="dxa"/>
            <w:tcBorders>
              <w:left w:val="single" w:color="auto" w:sz="4" w:space="0"/>
            </w:tcBorders>
            <w:noWrap w:val="0"/>
            <w:vAlign w:val="top"/>
          </w:tcPr>
          <w:p w14:paraId="5DB95300">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497" w:type="dxa"/>
            <w:tcBorders>
              <w:right w:val="single" w:color="auto" w:sz="4" w:space="0"/>
            </w:tcBorders>
            <w:noWrap w:val="0"/>
            <w:vAlign w:val="top"/>
          </w:tcPr>
          <w:p w14:paraId="3A450113">
            <w:pPr>
              <w:widowControl/>
              <w:shd w:val="clear" w:color="auto" w:fill="auto"/>
              <w:jc w:val="left"/>
              <w:textAlignment w:val="center"/>
              <w:rPr>
                <w:rFonts w:hint="eastAsia" w:ascii="宋体" w:hAnsi="宋体" w:eastAsia="宋体" w:cs="宋体"/>
                <w:sz w:val="21"/>
                <w:szCs w:val="21"/>
                <w:highlight w:val="none"/>
                <w:lang w:val="en-US" w:eastAsia="zh-CN"/>
              </w:rPr>
            </w:pPr>
          </w:p>
        </w:tc>
      </w:tr>
      <w:tr w14:paraId="37EB38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6" w:hRule="atLeast"/>
        </w:trPr>
        <w:tc>
          <w:tcPr>
            <w:tcW w:w="1237" w:type="dxa"/>
            <w:tcBorders>
              <w:left w:val="single" w:color="auto" w:sz="4" w:space="0"/>
              <w:bottom w:val="single" w:color="auto" w:sz="4" w:space="0"/>
              <w:right w:val="single" w:color="auto" w:sz="4" w:space="0"/>
            </w:tcBorders>
            <w:noWrap w:val="0"/>
            <w:vAlign w:val="center"/>
          </w:tcPr>
          <w:p w14:paraId="0205F664">
            <w:pPr>
              <w:widowControl/>
              <w:shd w:val="clear" w:color="auto" w:fill="auto"/>
              <w:jc w:val="left"/>
              <w:textAlignment w:val="center"/>
              <w:rPr>
                <w:rFonts w:hint="eastAsia" w:ascii="宋体" w:hAnsi="宋体" w:eastAsia="宋体" w:cs="宋体"/>
                <w:sz w:val="21"/>
                <w:szCs w:val="21"/>
                <w:highlight w:val="none"/>
                <w:lang w:val="en-US" w:eastAsia="zh-CN"/>
              </w:rPr>
            </w:pPr>
          </w:p>
        </w:tc>
        <w:tc>
          <w:tcPr>
            <w:tcW w:w="7121" w:type="dxa"/>
            <w:gridSpan w:val="2"/>
            <w:tcBorders>
              <w:left w:val="single" w:color="auto" w:sz="4" w:space="0"/>
              <w:bottom w:val="single" w:color="auto" w:sz="4" w:space="0"/>
              <w:right w:val="single" w:color="auto" w:sz="4" w:space="0"/>
            </w:tcBorders>
            <w:noWrap w:val="0"/>
            <w:vAlign w:val="top"/>
          </w:tcPr>
          <w:p w14:paraId="55109FB1">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结论：是否通过评审（须填写通过或不通过）</w:t>
            </w:r>
          </w:p>
          <w:p w14:paraId="079793F2">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注：如有一项不合格，作废标处理。</w:t>
            </w:r>
          </w:p>
        </w:tc>
        <w:tc>
          <w:tcPr>
            <w:tcW w:w="1080" w:type="dxa"/>
            <w:gridSpan w:val="2"/>
            <w:tcBorders>
              <w:left w:val="single" w:color="auto" w:sz="4" w:space="0"/>
              <w:bottom w:val="single" w:color="auto" w:sz="4" w:space="0"/>
              <w:right w:val="single" w:color="auto" w:sz="4" w:space="0"/>
            </w:tcBorders>
            <w:noWrap w:val="0"/>
            <w:vAlign w:val="top"/>
          </w:tcPr>
          <w:p w14:paraId="65F209FD">
            <w:pPr>
              <w:widowControl/>
              <w:shd w:val="clear" w:color="auto" w:fill="auto"/>
              <w:jc w:val="left"/>
              <w:textAlignment w:val="center"/>
              <w:rPr>
                <w:rFonts w:hint="eastAsia" w:ascii="宋体" w:hAnsi="宋体" w:eastAsia="宋体" w:cs="宋体"/>
                <w:sz w:val="21"/>
                <w:szCs w:val="21"/>
                <w:highlight w:val="none"/>
                <w:lang w:val="en-US" w:eastAsia="zh-CN"/>
              </w:rPr>
            </w:pPr>
          </w:p>
        </w:tc>
      </w:tr>
    </w:tbl>
    <w:p w14:paraId="75EE844C">
      <w:pPr>
        <w:widowControl/>
        <w:shd w:val="clear" w:color="auto" w:fill="auto"/>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7．1评审细则</w:t>
      </w:r>
    </w:p>
    <w:p w14:paraId="7F096964">
      <w:pPr>
        <w:widowControl/>
        <w:shd w:val="clear" w:color="auto" w:fill="auto"/>
        <w:jc w:val="left"/>
        <w:textAlignment w:val="center"/>
        <w:rPr>
          <w:rFonts w:hint="eastAsia" w:ascii="宋体" w:hAnsi="宋体" w:eastAsia="宋体" w:cs="宋体"/>
          <w:sz w:val="21"/>
          <w:szCs w:val="21"/>
          <w:highlight w:val="none"/>
          <w:lang w:val="en-US" w:eastAsia="zh-CN"/>
        </w:rPr>
      </w:pPr>
    </w:p>
    <w:p w14:paraId="75719E6B">
      <w:pPr>
        <w:widowControl/>
        <w:shd w:val="clear" w:color="auto" w:fill="auto"/>
        <w:ind w:firstLine="420" w:firstLineChars="200"/>
        <w:jc w:val="left"/>
        <w:textAlignment w:val="center"/>
        <w:rPr>
          <w:rFonts w:hint="eastAsia" w:ascii="宋体"/>
          <w:color w:val="auto"/>
          <w:szCs w:val="21"/>
          <w:highlight w:val="none"/>
        </w:rPr>
      </w:pPr>
      <w:r>
        <w:rPr>
          <w:rFonts w:hint="eastAsia" w:ascii="宋体" w:hAnsi="宋体" w:eastAsia="宋体" w:cs="宋体"/>
          <w:sz w:val="21"/>
          <w:szCs w:val="21"/>
          <w:highlight w:val="none"/>
          <w:lang w:val="en-US" w:eastAsia="zh-CN"/>
        </w:rPr>
        <w:t>7.2评委会判定投标文件的响应性只根据投标文件本身的内容，而不寻求外部的证据，</w:t>
      </w:r>
      <w:r>
        <w:rPr>
          <w:rFonts w:hint="eastAsia" w:ascii="宋体"/>
          <w:color w:val="auto"/>
          <w:szCs w:val="21"/>
          <w:highlight w:val="none"/>
        </w:rPr>
        <w:t>但投标有不真实不正确的内容时除外。</w:t>
      </w:r>
    </w:p>
    <w:p w14:paraId="4412D902">
      <w:pPr>
        <w:shd w:val="clear" w:color="auto" w:fill="auto"/>
        <w:spacing w:line="400" w:lineRule="exact"/>
        <w:ind w:firstLine="506" w:firstLineChars="241"/>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.3如果投标文件实质上没有响应</w:t>
      </w:r>
      <w:r>
        <w:rPr>
          <w:rFonts w:hint="eastAsia" w:ascii="宋体"/>
          <w:color w:val="auto"/>
          <w:szCs w:val="21"/>
          <w:highlight w:val="none"/>
          <w:lang w:eastAsia="zh-CN"/>
        </w:rPr>
        <w:t>采购文件</w:t>
      </w:r>
      <w:r>
        <w:rPr>
          <w:rFonts w:hint="eastAsia" w:ascii="宋体"/>
          <w:color w:val="auto"/>
          <w:szCs w:val="21"/>
          <w:highlight w:val="none"/>
        </w:rPr>
        <w:t>的要求，评委会将予以拒绝，投标人不得通过修正或撤销不符合要求的偏离或保留，而使其投标成为实质上响应的投标。</w:t>
      </w:r>
    </w:p>
    <w:p w14:paraId="70B3A90E">
      <w:pPr>
        <w:shd w:val="clear" w:color="auto" w:fill="auto"/>
        <w:spacing w:line="400" w:lineRule="exact"/>
        <w:ind w:firstLine="420" w:firstLineChars="200"/>
        <w:rPr>
          <w:rFonts w:hint="eastAsia" w:ascii="宋体"/>
          <w:color w:val="auto"/>
          <w:szCs w:val="21"/>
          <w:highlight w:val="none"/>
        </w:rPr>
      </w:pPr>
      <w:r>
        <w:rPr>
          <w:rFonts w:hint="eastAsia" w:ascii="宋体"/>
          <w:color w:val="auto"/>
          <w:szCs w:val="21"/>
          <w:highlight w:val="none"/>
        </w:rPr>
        <w:t xml:space="preserve"> </w:t>
      </w:r>
      <w:r>
        <w:rPr>
          <w:rFonts w:hint="eastAsia" w:ascii="宋体"/>
          <w:color w:val="auto"/>
          <w:szCs w:val="21"/>
          <w:highlight w:val="none"/>
          <w:lang w:val="en-US" w:eastAsia="zh-CN"/>
        </w:rPr>
        <w:t>7</w:t>
      </w:r>
      <w:r>
        <w:rPr>
          <w:rFonts w:hint="eastAsia" w:ascii="宋体"/>
          <w:color w:val="auto"/>
          <w:szCs w:val="21"/>
          <w:highlight w:val="none"/>
        </w:rPr>
        <w:t>.4投标人可在现场20分钟内对评标委员会的评审结论提出异议，评标委员会根据</w:t>
      </w:r>
      <w:r>
        <w:rPr>
          <w:rFonts w:hint="eastAsia" w:ascii="宋体"/>
          <w:color w:val="auto"/>
          <w:szCs w:val="21"/>
          <w:highlight w:val="none"/>
          <w:lang w:eastAsia="zh-CN"/>
        </w:rPr>
        <w:t>采购文件</w:t>
      </w:r>
      <w:r>
        <w:rPr>
          <w:rFonts w:hint="eastAsia" w:ascii="宋体"/>
          <w:color w:val="auto"/>
          <w:szCs w:val="21"/>
          <w:highlight w:val="none"/>
        </w:rPr>
        <w:t>及有关规定对投标人的异议进行复议</w:t>
      </w:r>
    </w:p>
    <w:p w14:paraId="5F8D349C">
      <w:pPr>
        <w:shd w:val="clear" w:color="auto" w:fill="auto"/>
        <w:spacing w:line="400" w:lineRule="exact"/>
        <w:ind w:firstLine="525" w:firstLineChars="250"/>
        <w:rPr>
          <w:rFonts w:hint="eastAsia" w:ascii="宋体"/>
          <w:color w:val="auto"/>
          <w:szCs w:val="21"/>
          <w:highlight w:val="none"/>
        </w:rPr>
      </w:pPr>
      <w:r>
        <w:rPr>
          <w:rFonts w:hint="eastAsia" w:ascii="宋体"/>
          <w:color w:val="auto"/>
          <w:szCs w:val="21"/>
          <w:highlight w:val="none"/>
          <w:lang w:val="en-US" w:eastAsia="zh-CN"/>
        </w:rPr>
        <w:t>7</w:t>
      </w:r>
      <w:r>
        <w:rPr>
          <w:rFonts w:hint="eastAsia" w:ascii="宋体"/>
          <w:color w:val="auto"/>
          <w:szCs w:val="21"/>
          <w:highlight w:val="none"/>
        </w:rPr>
        <w:t>.5只有通过初审的投标人才能进入下一步评标程序。</w:t>
      </w:r>
    </w:p>
    <w:p w14:paraId="7FDC690A">
      <w:pPr>
        <w:shd w:val="clear" w:color="auto" w:fill="auto"/>
        <w:spacing w:line="400" w:lineRule="exact"/>
        <w:ind w:firstLine="420" w:firstLineChars="200"/>
        <w:rPr>
          <w:rFonts w:hint="eastAsia" w:ascii="宋体"/>
          <w:color w:val="auto"/>
          <w:szCs w:val="21"/>
          <w:highlight w:val="none"/>
        </w:rPr>
      </w:pPr>
      <w:r>
        <w:rPr>
          <w:rFonts w:hint="eastAsia" w:ascii="宋体" w:hAnsi="宋体"/>
          <w:b/>
          <w:color w:val="auto"/>
          <w:szCs w:val="21"/>
          <w:highlight w:val="none"/>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1F74C057">
      <w:pPr>
        <w:shd w:val="clear" w:color="auto" w:fill="auto"/>
        <w:spacing w:before="156" w:beforeLines="50" w:line="400" w:lineRule="exact"/>
        <w:jc w:val="center"/>
        <w:outlineLvl w:val="1"/>
        <w:rPr>
          <w:rFonts w:hint="eastAsia" w:ascii="宋体" w:hAnsi="Times New Roman" w:eastAsia="宋体" w:cs="Times New Roman"/>
          <w:b/>
          <w:color w:val="auto"/>
          <w:sz w:val="24"/>
          <w:highlight w:val="none"/>
        </w:rPr>
      </w:pPr>
      <w:bookmarkStart w:id="177" w:name="_Toc17407"/>
      <w:bookmarkStart w:id="178" w:name="_Toc13647"/>
      <w:bookmarkStart w:id="179" w:name="_Toc19366"/>
      <w:bookmarkStart w:id="180" w:name="_Toc362983803"/>
    </w:p>
    <w:p w14:paraId="3FA90C82">
      <w:pPr>
        <w:shd w:val="clear" w:color="auto" w:fill="auto"/>
        <w:spacing w:before="156" w:beforeLines="50" w:line="400" w:lineRule="exact"/>
        <w:jc w:val="center"/>
        <w:outlineLvl w:val="1"/>
        <w:rPr>
          <w:rFonts w:hint="eastAsia" w:ascii="宋体" w:hAnsi="Times New Roman" w:eastAsia="宋体" w:cs="Times New Roman"/>
          <w:b/>
          <w:color w:val="auto"/>
          <w:sz w:val="24"/>
          <w:highlight w:val="none"/>
        </w:rPr>
      </w:pPr>
    </w:p>
    <w:p w14:paraId="7FC8A80B">
      <w:pPr>
        <w:shd w:val="clear" w:color="auto" w:fill="auto"/>
        <w:spacing w:before="156" w:beforeLines="50" w:line="400" w:lineRule="exact"/>
        <w:jc w:val="center"/>
        <w:outlineLvl w:val="1"/>
        <w:rPr>
          <w:rFonts w:hint="eastAsia" w:ascii="宋体" w:hAnsi="Times New Roman" w:eastAsia="宋体" w:cs="Times New Roman"/>
          <w:b/>
          <w:color w:val="auto"/>
          <w:sz w:val="24"/>
          <w:highlight w:val="none"/>
        </w:rPr>
      </w:pPr>
    </w:p>
    <w:p w14:paraId="2E45A58E">
      <w:pPr>
        <w:shd w:val="clear" w:color="auto" w:fill="auto"/>
        <w:spacing w:before="156" w:beforeLines="50" w:line="400" w:lineRule="exact"/>
        <w:jc w:val="center"/>
        <w:outlineLvl w:val="1"/>
        <w:rPr>
          <w:rFonts w:hint="eastAsia" w:ascii="宋体" w:hAnsi="Times New Roman" w:eastAsia="宋体" w:cs="Times New Roman"/>
          <w:b/>
          <w:color w:val="auto"/>
          <w:sz w:val="24"/>
          <w:highlight w:val="none"/>
        </w:rPr>
      </w:pPr>
    </w:p>
    <w:p w14:paraId="12FCC211">
      <w:pPr>
        <w:shd w:val="clear" w:color="auto" w:fill="auto"/>
        <w:spacing w:before="156" w:beforeLines="50" w:line="400" w:lineRule="exact"/>
        <w:jc w:val="center"/>
        <w:outlineLvl w:val="1"/>
        <w:rPr>
          <w:rFonts w:hint="eastAsia" w:ascii="宋体"/>
          <w:b/>
          <w:color w:val="auto"/>
          <w:sz w:val="24"/>
          <w:highlight w:val="none"/>
        </w:rPr>
      </w:pPr>
      <w:r>
        <w:rPr>
          <w:rFonts w:hint="eastAsia" w:ascii="宋体" w:hAnsi="Times New Roman" w:eastAsia="宋体" w:cs="Times New Roman"/>
          <w:b/>
          <w:color w:val="auto"/>
          <w:sz w:val="24"/>
          <w:highlight w:val="none"/>
        </w:rPr>
        <w:t>三  投标文件的澄清和补正</w:t>
      </w:r>
      <w:bookmarkEnd w:id="177"/>
      <w:bookmarkEnd w:id="178"/>
      <w:bookmarkEnd w:id="179"/>
      <w:bookmarkEnd w:id="180"/>
    </w:p>
    <w:p w14:paraId="16A330AC">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8．澄清、说明或补正的形式</w:t>
      </w:r>
    </w:p>
    <w:p w14:paraId="490CCF8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41CFF16A">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8.2投标供应商的澄清、说明或者补正应当通过“政府采购云平台”在线答复的方式提交，并加盖公章（电子印章），或者由法定代表人（法定代表人）或其授权的代表签字。投标供应商的澄清、说明或者补正不得超出投标文件的范围或者改变投标文件的实质性内容，不接受投标供应商主动对投标文件的澄清、说明或者补正。</w:t>
      </w:r>
    </w:p>
    <w:p w14:paraId="4A34085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60106F08">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9．错误修正的原则</w:t>
      </w:r>
    </w:p>
    <w:p w14:paraId="0D240D14">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电子交易平台客户端里开标一览表录入的投标报价或优惠率与扫描上传的报价文件信息不一致的，以扫描上传的报价文件信息为准进行修正。</w:t>
      </w:r>
    </w:p>
    <w:p w14:paraId="1F159B7F">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投标文件报价出现前后不一致的，除采购文件另有规定外，按照下列规定修正：</w:t>
      </w:r>
    </w:p>
    <w:p w14:paraId="37FDB893">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9.1 投标函中表述的内容与报价表中不一致的，以报价表为准；报价表中的内容与报价明细表不一致的，以报价表为准；</w:t>
      </w:r>
    </w:p>
    <w:p w14:paraId="7BD7FA5E">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9.2 投标文件中的大写金额和小写金额不一致的，以大写金额为准；</w:t>
      </w:r>
    </w:p>
    <w:p w14:paraId="3571B44E">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9.3 单价金额小数点或者百分比有明显错位的，以开标一览表的总价为准，并修改单价；</w:t>
      </w:r>
    </w:p>
    <w:p w14:paraId="3ECC77E7">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9.4 总价金额与按单价汇总金额不一致的，以单价金额计算结果为准；</w:t>
      </w:r>
    </w:p>
    <w:p w14:paraId="0C6209DD">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9.5 若用文字表示的数值与用数字表示的数值不一致，以文字表示的数值为准；</w:t>
      </w:r>
    </w:p>
    <w:p w14:paraId="2F4F5186">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9.6 如有多报（指数量超出采购文件需求）、重报（指同一服务重复报价），其投标总价在评标过程中不予调整，如其成交，其合同价按其投标单价予以调整；</w:t>
      </w:r>
    </w:p>
    <w:p w14:paraId="7C2D30AB">
      <w:pPr>
        <w:shd w:val="clear" w:color="auto" w:fill="auto"/>
        <w:spacing w:line="440" w:lineRule="exact"/>
        <w:ind w:firstLine="210" w:firstLineChars="100"/>
        <w:jc w:val="left"/>
        <w:rPr>
          <w:rFonts w:hint="eastAsia" w:ascii="宋体"/>
          <w:b w:val="0"/>
          <w:bCs w:val="0"/>
          <w:color w:val="auto"/>
          <w:szCs w:val="21"/>
          <w:highlight w:val="none"/>
          <w:lang w:val="en-US" w:eastAsia="zh-CN"/>
        </w:rPr>
      </w:pPr>
      <w:r>
        <w:rPr>
          <w:rFonts w:hint="eastAsia" w:ascii="宋体"/>
          <w:b w:val="0"/>
          <w:bCs w:val="0"/>
          <w:color w:val="auto"/>
          <w:szCs w:val="21"/>
          <w:highlight w:val="none"/>
          <w:lang w:val="en-US" w:eastAsia="zh-CN"/>
        </w:rPr>
        <w:t>9.7 对不同文字文本投标文件的解释发生异议的，以中文文本为准；</w:t>
      </w:r>
    </w:p>
    <w:p w14:paraId="13904959">
      <w:pPr>
        <w:shd w:val="clear" w:color="auto" w:fill="auto"/>
        <w:spacing w:line="440" w:lineRule="exact"/>
        <w:ind w:firstLine="210" w:firstLineChars="100"/>
        <w:jc w:val="left"/>
        <w:rPr>
          <w:rFonts w:hint="eastAsia" w:ascii="宋体"/>
          <w:color w:val="auto"/>
          <w:szCs w:val="21"/>
          <w:highlight w:val="none"/>
        </w:rPr>
      </w:pPr>
      <w:r>
        <w:rPr>
          <w:rFonts w:hint="eastAsia" w:ascii="宋体"/>
          <w:b w:val="0"/>
          <w:bCs w:val="0"/>
          <w:color w:val="auto"/>
          <w:szCs w:val="21"/>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24701175">
      <w:pPr>
        <w:shd w:val="clear" w:color="auto" w:fill="auto"/>
        <w:spacing w:line="400" w:lineRule="exact"/>
        <w:jc w:val="center"/>
        <w:outlineLvl w:val="1"/>
        <w:rPr>
          <w:rFonts w:hint="eastAsia" w:ascii="宋体"/>
          <w:b/>
          <w:color w:val="auto"/>
          <w:sz w:val="24"/>
          <w:highlight w:val="none"/>
        </w:rPr>
      </w:pPr>
      <w:bookmarkStart w:id="181" w:name="_Toc31287"/>
      <w:bookmarkStart w:id="182" w:name="_Toc11411"/>
      <w:bookmarkStart w:id="183" w:name="_Toc18469"/>
      <w:r>
        <w:rPr>
          <w:rFonts w:hint="eastAsia" w:ascii="宋体"/>
          <w:b/>
          <w:color w:val="auto"/>
          <w:sz w:val="24"/>
          <w:highlight w:val="none"/>
        </w:rPr>
        <w:t>四 比较与评价</w:t>
      </w:r>
      <w:bookmarkEnd w:id="181"/>
      <w:bookmarkEnd w:id="182"/>
      <w:bookmarkEnd w:id="183"/>
    </w:p>
    <w:p w14:paraId="773B3C66">
      <w:pPr>
        <w:shd w:val="clear" w:color="auto" w:fill="auto"/>
        <w:tabs>
          <w:tab w:val="left" w:pos="720"/>
        </w:tabs>
        <w:spacing w:line="440" w:lineRule="exact"/>
        <w:ind w:firstLine="535" w:firstLineChars="255"/>
        <w:rPr>
          <w:rFonts w:hint="eastAsia" w:ascii="宋体" w:hAnsi="宋体" w:eastAsia="宋体" w:cs="宋体"/>
          <w:color w:val="auto"/>
          <w:szCs w:val="21"/>
          <w:highlight w:val="none"/>
          <w:lang w:bidi="ar-SA"/>
        </w:rPr>
      </w:pPr>
      <w:bookmarkStart w:id="184" w:name="_Toc362983805"/>
      <w:r>
        <w:rPr>
          <w:rFonts w:hint="eastAsia" w:ascii="宋体" w:hAnsi="宋体" w:eastAsia="宋体" w:cs="宋体"/>
          <w:color w:val="auto"/>
          <w:szCs w:val="21"/>
          <w:highlight w:val="none"/>
          <w:lang w:val="en-US" w:eastAsia="zh-CN" w:bidi="ar-SA"/>
        </w:rPr>
        <w:t>10.1</w:t>
      </w:r>
      <w:r>
        <w:rPr>
          <w:rFonts w:hint="eastAsia" w:ascii="宋体" w:hAnsi="宋体" w:eastAsia="宋体" w:cs="宋体"/>
          <w:color w:val="auto"/>
          <w:szCs w:val="21"/>
          <w:highlight w:val="none"/>
          <w:lang w:bidi="ar-SA"/>
        </w:rPr>
        <w:t>评标委员会按</w:t>
      </w:r>
      <w:r>
        <w:rPr>
          <w:rFonts w:hint="eastAsia" w:ascii="宋体" w:hAnsi="宋体" w:eastAsia="宋体" w:cs="宋体"/>
          <w:color w:val="auto"/>
          <w:szCs w:val="21"/>
          <w:highlight w:val="none"/>
          <w:lang w:eastAsia="zh-CN" w:bidi="ar-SA"/>
        </w:rPr>
        <w:t>磋商</w:t>
      </w:r>
      <w:r>
        <w:rPr>
          <w:rFonts w:hint="eastAsia" w:ascii="宋体" w:hAnsi="宋体" w:eastAsia="宋体" w:cs="宋体"/>
          <w:color w:val="auto"/>
          <w:szCs w:val="21"/>
          <w:highlight w:val="none"/>
          <w:lang w:bidi="ar-SA"/>
        </w:rPr>
        <w:t>文件中规定的评标方法和标准，对资格性检查和符合性检查合格的投标文件进行商务和技术评估、综合比较与评价。</w:t>
      </w:r>
    </w:p>
    <w:p w14:paraId="3B4D95A2">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val="en-US" w:eastAsia="zh-CN" w:bidi="ar-SA"/>
        </w:rPr>
        <w:t>10.2</w:t>
      </w:r>
      <w:r>
        <w:rPr>
          <w:rFonts w:hint="eastAsia" w:ascii="宋体" w:hAnsi="宋体" w:eastAsia="宋体" w:cs="宋体"/>
          <w:color w:val="auto"/>
          <w:szCs w:val="21"/>
          <w:highlight w:val="none"/>
          <w:lang w:bidi="ar-SA"/>
        </w:rPr>
        <w:t>评标委员会根据商务和技术评估的结果，采用综合评分法，分别对投标文件的商务、技术、价格等内容进行打分。其中，商务评估、技术评估、价格评估的评分权值（详见附件1）。</w:t>
      </w:r>
    </w:p>
    <w:p w14:paraId="5C3A1308">
      <w:pPr>
        <w:shd w:val="clear" w:color="auto" w:fill="auto"/>
        <w:spacing w:line="440" w:lineRule="exact"/>
        <w:ind w:firstLine="539" w:firstLineChars="257"/>
        <w:rPr>
          <w:rFonts w:hint="eastAsia" w:ascii="宋体" w:hAnsi="宋体" w:eastAsia="宋体" w:cs="宋体"/>
          <w:bCs/>
          <w:color w:val="auto"/>
          <w:szCs w:val="21"/>
          <w:highlight w:val="none"/>
          <w:lang w:bidi="ar-SA"/>
        </w:rPr>
      </w:pPr>
      <w:r>
        <w:rPr>
          <w:rFonts w:hint="eastAsia" w:ascii="宋体" w:hAnsi="宋体" w:eastAsia="宋体" w:cs="宋体"/>
          <w:color w:val="auto"/>
          <w:szCs w:val="21"/>
          <w:highlight w:val="none"/>
          <w:lang w:val="en-US" w:eastAsia="zh-CN" w:bidi="ar-SA"/>
        </w:rPr>
        <w:t>10.</w:t>
      </w:r>
      <w:r>
        <w:rPr>
          <w:rFonts w:hint="eastAsia" w:ascii="宋体" w:hAnsi="宋体" w:eastAsia="宋体" w:cs="宋体"/>
          <w:bCs/>
          <w:color w:val="auto"/>
          <w:szCs w:val="21"/>
          <w:highlight w:val="none"/>
          <w:lang w:val="en-US" w:eastAsia="zh-CN" w:bidi="ar-SA"/>
        </w:rPr>
        <w:t>2.1</w:t>
      </w:r>
      <w:r>
        <w:rPr>
          <w:rFonts w:hint="eastAsia" w:ascii="宋体" w:hAnsi="宋体" w:eastAsia="宋体" w:cs="宋体"/>
          <w:bCs/>
          <w:color w:val="auto"/>
          <w:szCs w:val="21"/>
          <w:highlight w:val="none"/>
          <w:lang w:bidi="ar-SA"/>
        </w:rPr>
        <w:t>评委打分办法</w:t>
      </w:r>
    </w:p>
    <w:p w14:paraId="7F5CA85E">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bCs/>
          <w:color w:val="auto"/>
          <w:szCs w:val="21"/>
          <w:highlight w:val="none"/>
          <w:lang w:bidi="ar-SA"/>
        </w:rPr>
        <w:t>（1）</w:t>
      </w:r>
      <w:r>
        <w:rPr>
          <w:rFonts w:hint="eastAsia" w:ascii="宋体" w:hAnsi="宋体" w:eastAsia="宋体" w:cs="宋体"/>
          <w:color w:val="auto"/>
          <w:szCs w:val="21"/>
          <w:highlight w:val="none"/>
          <w:lang w:bidi="ar-SA"/>
        </w:rPr>
        <w:t>参加评分的评委应尽力体现客观、实事求是，避免学派偏见和个人偏好。</w:t>
      </w:r>
    </w:p>
    <w:p w14:paraId="734FD0ED">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（2）衡量、对比的依据，应以</w:t>
      </w:r>
      <w:r>
        <w:rPr>
          <w:rFonts w:hint="eastAsia" w:ascii="宋体" w:hAnsi="宋体" w:eastAsia="宋体" w:cs="宋体"/>
          <w:color w:val="auto"/>
          <w:szCs w:val="21"/>
          <w:highlight w:val="none"/>
          <w:lang w:eastAsia="zh-CN" w:bidi="ar-SA"/>
        </w:rPr>
        <w:t>磋商文件</w:t>
      </w:r>
      <w:r>
        <w:rPr>
          <w:rFonts w:hint="eastAsia" w:ascii="宋体" w:hAnsi="宋体" w:eastAsia="宋体" w:cs="宋体"/>
          <w:color w:val="auto"/>
          <w:szCs w:val="21"/>
          <w:highlight w:val="none"/>
          <w:lang w:bidi="ar-SA"/>
        </w:rPr>
        <w:t>、投标文件、提供的正式试验数据、质询澄清中的文字为准，口头回答和收集的资料只作为参考。</w:t>
      </w:r>
    </w:p>
    <w:p w14:paraId="194F3186">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（3）评分主要是为比较各投标人的价格、商务和技术综合排序。</w:t>
      </w:r>
    </w:p>
    <w:p w14:paraId="4BD1D8A3">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（4）评委打分采取记名形式。</w:t>
      </w:r>
    </w:p>
    <w:p w14:paraId="4B5256E4">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（5）各评委根据提供的技术打分表独立自主打分，任何人不得要求评委统一打分或统一确定等次顺序。</w:t>
      </w:r>
    </w:p>
    <w:p w14:paraId="135F0C2E">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（6）对打分表中的每项条款，各评委应根据投标文件、澄清材料、</w:t>
      </w:r>
      <w:r>
        <w:rPr>
          <w:rFonts w:hint="eastAsia" w:ascii="宋体" w:hAnsi="宋体" w:eastAsia="宋体" w:cs="宋体"/>
          <w:color w:val="auto"/>
          <w:szCs w:val="21"/>
          <w:highlight w:val="none"/>
          <w:lang w:eastAsia="zh-CN" w:bidi="ar-SA"/>
        </w:rPr>
        <w:t>磋商文件</w:t>
      </w:r>
      <w:r>
        <w:rPr>
          <w:rFonts w:hint="eastAsia" w:ascii="宋体" w:hAnsi="宋体" w:eastAsia="宋体" w:cs="宋体"/>
          <w:color w:val="auto"/>
          <w:szCs w:val="21"/>
          <w:highlight w:val="none"/>
          <w:lang w:bidi="ar-SA"/>
        </w:rPr>
        <w:t>要求，按满足的程度给投标人打分。</w:t>
      </w:r>
    </w:p>
    <w:p w14:paraId="49F210B2">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（7）评分程序</w:t>
      </w:r>
    </w:p>
    <w:p w14:paraId="7A8D67E7">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1)就投标人的投标文件对照整理出商务、技术评标因素对比表、偏差表，并在经过校核的基础上逐项打分。</w:t>
      </w:r>
    </w:p>
    <w:p w14:paraId="0288E497">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2)各评委独立完成打分后，将评分表交给代理机构，由代理机构组织进行分数统计。</w:t>
      </w:r>
    </w:p>
    <w:p w14:paraId="6F039018">
      <w:pPr>
        <w:shd w:val="clear" w:color="auto" w:fill="auto"/>
        <w:spacing w:line="440" w:lineRule="exact"/>
        <w:ind w:firstLine="539" w:firstLineChars="257"/>
        <w:rPr>
          <w:rFonts w:hint="eastAsia" w:ascii="宋体" w:hAnsi="宋体" w:eastAsia="宋体" w:cs="宋体"/>
          <w:color w:val="auto"/>
          <w:szCs w:val="21"/>
          <w:highlight w:val="none"/>
          <w:lang w:bidi="ar-SA"/>
        </w:rPr>
      </w:pPr>
      <w:r>
        <w:rPr>
          <w:rFonts w:hint="eastAsia" w:ascii="宋体" w:hAnsi="宋体" w:eastAsia="宋体" w:cs="宋体"/>
          <w:color w:val="auto"/>
          <w:szCs w:val="21"/>
          <w:highlight w:val="none"/>
          <w:lang w:bidi="ar-SA"/>
        </w:rPr>
        <w:t>3)最终汇总表中各投标人得分应为评委打分的算术平均值。</w:t>
      </w:r>
    </w:p>
    <w:p w14:paraId="32CFE3DA">
      <w:pPr>
        <w:pStyle w:val="41"/>
        <w:rPr>
          <w:rFonts w:hint="eastAsia"/>
        </w:rPr>
      </w:pPr>
    </w:p>
    <w:p w14:paraId="6FFD7FC2">
      <w:pPr>
        <w:rPr>
          <w:rFonts w:hint="eastAsia"/>
        </w:rPr>
      </w:pPr>
      <w:r>
        <w:rPr>
          <w:rFonts w:hint="eastAsia"/>
        </w:rPr>
        <w:br w:type="page"/>
      </w:r>
    </w:p>
    <w:p w14:paraId="7C9A675D">
      <w:pPr>
        <w:pStyle w:val="41"/>
        <w:rPr>
          <w:rFonts w:hint="eastAsia"/>
        </w:rPr>
      </w:pPr>
    </w:p>
    <w:p w14:paraId="56D78160">
      <w:pPr>
        <w:numPr>
          <w:ilvl w:val="0"/>
          <w:numId w:val="8"/>
        </w:numPr>
        <w:shd w:val="clear" w:color="auto" w:fill="auto"/>
        <w:spacing w:line="500" w:lineRule="exact"/>
        <w:jc w:val="left"/>
        <w:rPr>
          <w:rFonts w:hint="eastAsia" w:ascii="宋体" w:hAnsi="宋体" w:eastAsia="宋体" w:cs="宋体"/>
          <w:b/>
          <w:bCs/>
          <w:color w:val="000000"/>
          <w:sz w:val="21"/>
          <w:szCs w:val="21"/>
          <w:highlight w:val="none"/>
          <w:lang w:bidi="ar-SA"/>
        </w:rPr>
      </w:pPr>
      <w:r>
        <w:rPr>
          <w:rFonts w:hint="eastAsia" w:ascii="宋体" w:hAnsi="宋体" w:eastAsia="宋体" w:cs="宋体"/>
          <w:b/>
          <w:bCs/>
          <w:color w:val="000000"/>
          <w:sz w:val="21"/>
          <w:szCs w:val="21"/>
          <w:highlight w:val="none"/>
          <w:lang w:bidi="ar-SA"/>
        </w:rPr>
        <w:t>评分标准和细则（综合评分法评分标准）</w:t>
      </w:r>
    </w:p>
    <w:tbl>
      <w:tblPr>
        <w:tblStyle w:val="25"/>
        <w:tblW w:w="9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
        <w:gridCol w:w="650"/>
        <w:gridCol w:w="1117"/>
        <w:gridCol w:w="507"/>
        <w:gridCol w:w="6646"/>
        <w:gridCol w:w="550"/>
      </w:tblGrid>
      <w:tr w14:paraId="0B03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36" w:type="dxa"/>
            <w:noWrap w:val="0"/>
            <w:vAlign w:val="center"/>
          </w:tcPr>
          <w:p w14:paraId="5F19274B">
            <w:pPr>
              <w:ind w:firstLine="28"/>
              <w:jc w:val="center"/>
              <w:rPr>
                <w:rFonts w:ascii="宋体" w:hAnsi="宋体"/>
                <w:b/>
                <w:szCs w:val="21"/>
                <w:highlight w:val="none"/>
              </w:rPr>
            </w:pPr>
            <w:r>
              <w:rPr>
                <w:rFonts w:hint="eastAsia" w:ascii="宋体" w:hAnsi="宋体"/>
                <w:b/>
                <w:szCs w:val="21"/>
                <w:highlight w:val="none"/>
              </w:rPr>
              <w:t>序号</w:t>
            </w:r>
          </w:p>
        </w:tc>
        <w:tc>
          <w:tcPr>
            <w:tcW w:w="1767" w:type="dxa"/>
            <w:gridSpan w:val="2"/>
            <w:noWrap w:val="0"/>
            <w:vAlign w:val="center"/>
          </w:tcPr>
          <w:p w14:paraId="6AC31080">
            <w:pPr>
              <w:ind w:firstLine="28"/>
              <w:jc w:val="center"/>
              <w:rPr>
                <w:rFonts w:ascii="宋体" w:hAnsi="宋体"/>
                <w:b/>
                <w:szCs w:val="21"/>
                <w:highlight w:val="none"/>
              </w:rPr>
            </w:pPr>
            <w:r>
              <w:rPr>
                <w:rFonts w:hint="eastAsia" w:ascii="宋体" w:hAnsi="宋体"/>
                <w:b/>
                <w:szCs w:val="21"/>
                <w:highlight w:val="none"/>
              </w:rPr>
              <w:t>评分因素</w:t>
            </w:r>
          </w:p>
          <w:p w14:paraId="699CD58F">
            <w:pPr>
              <w:ind w:firstLine="28"/>
              <w:jc w:val="center"/>
              <w:rPr>
                <w:rFonts w:ascii="宋体" w:hAnsi="宋体"/>
                <w:b/>
                <w:szCs w:val="21"/>
                <w:highlight w:val="none"/>
              </w:rPr>
            </w:pPr>
            <w:r>
              <w:rPr>
                <w:rFonts w:hint="eastAsia" w:ascii="宋体" w:hAnsi="宋体"/>
                <w:b/>
                <w:szCs w:val="21"/>
                <w:highlight w:val="none"/>
              </w:rPr>
              <w:t>及权重</w:t>
            </w:r>
          </w:p>
        </w:tc>
        <w:tc>
          <w:tcPr>
            <w:tcW w:w="507" w:type="dxa"/>
            <w:noWrap w:val="0"/>
            <w:vAlign w:val="center"/>
          </w:tcPr>
          <w:p w14:paraId="17FFBD61">
            <w:pPr>
              <w:jc w:val="center"/>
              <w:rPr>
                <w:rFonts w:ascii="宋体" w:hAnsi="宋体"/>
                <w:b/>
                <w:szCs w:val="21"/>
                <w:highlight w:val="none"/>
              </w:rPr>
            </w:pPr>
            <w:r>
              <w:rPr>
                <w:rFonts w:hint="eastAsia" w:ascii="宋体" w:hAnsi="宋体"/>
                <w:b/>
                <w:szCs w:val="21"/>
                <w:highlight w:val="none"/>
              </w:rPr>
              <w:t>分值</w:t>
            </w:r>
          </w:p>
        </w:tc>
        <w:tc>
          <w:tcPr>
            <w:tcW w:w="6646" w:type="dxa"/>
            <w:noWrap w:val="0"/>
            <w:vAlign w:val="center"/>
          </w:tcPr>
          <w:p w14:paraId="5FE9ABB4">
            <w:pPr>
              <w:ind w:firstLine="28"/>
              <w:jc w:val="center"/>
              <w:rPr>
                <w:rFonts w:ascii="宋体" w:hAnsi="宋体"/>
                <w:b/>
                <w:szCs w:val="21"/>
                <w:highlight w:val="none"/>
              </w:rPr>
            </w:pPr>
            <w:r>
              <w:rPr>
                <w:rFonts w:hint="eastAsia" w:ascii="宋体" w:hAnsi="宋体"/>
                <w:b/>
                <w:szCs w:val="21"/>
                <w:highlight w:val="none"/>
              </w:rPr>
              <w:t>评分标准</w:t>
            </w:r>
          </w:p>
        </w:tc>
        <w:tc>
          <w:tcPr>
            <w:tcW w:w="550" w:type="dxa"/>
            <w:noWrap w:val="0"/>
            <w:vAlign w:val="center"/>
          </w:tcPr>
          <w:p w14:paraId="040DDCB1">
            <w:pPr>
              <w:pStyle w:val="58"/>
              <w:spacing w:before="0" w:after="0" w:line="240" w:lineRule="auto"/>
              <w:rPr>
                <w:rFonts w:ascii="宋体" w:hAnsi="宋体" w:eastAsia="宋体"/>
                <w:sz w:val="21"/>
                <w:szCs w:val="21"/>
                <w:highlight w:val="none"/>
              </w:rPr>
            </w:pPr>
            <w:r>
              <w:rPr>
                <w:rFonts w:hint="eastAsia" w:ascii="宋体" w:hAnsi="宋体" w:eastAsia="宋体"/>
                <w:sz w:val="21"/>
                <w:szCs w:val="21"/>
                <w:highlight w:val="none"/>
              </w:rPr>
              <w:t>说明</w:t>
            </w:r>
          </w:p>
        </w:tc>
      </w:tr>
      <w:tr w14:paraId="6392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436" w:type="dxa"/>
            <w:noWrap w:val="0"/>
            <w:vAlign w:val="center"/>
          </w:tcPr>
          <w:p w14:paraId="5A93A4AF">
            <w:pPr>
              <w:ind w:firstLine="28"/>
              <w:jc w:val="center"/>
              <w:rPr>
                <w:rFonts w:ascii="宋体" w:hAnsi="宋体"/>
                <w:szCs w:val="21"/>
                <w:highlight w:val="none"/>
              </w:rPr>
            </w:pPr>
            <w:r>
              <w:rPr>
                <w:rFonts w:hint="eastAsia" w:ascii="宋体" w:hAnsi="宋体"/>
                <w:szCs w:val="21"/>
                <w:highlight w:val="none"/>
              </w:rPr>
              <w:t>1</w:t>
            </w:r>
          </w:p>
        </w:tc>
        <w:tc>
          <w:tcPr>
            <w:tcW w:w="1767" w:type="dxa"/>
            <w:gridSpan w:val="2"/>
            <w:noWrap w:val="0"/>
            <w:vAlign w:val="center"/>
          </w:tcPr>
          <w:p w14:paraId="206B5641">
            <w:pPr>
              <w:ind w:firstLine="28"/>
              <w:jc w:val="center"/>
              <w:rPr>
                <w:rFonts w:ascii="宋体" w:hAnsi="宋体"/>
                <w:szCs w:val="21"/>
                <w:highlight w:val="none"/>
              </w:rPr>
            </w:pPr>
            <w:r>
              <w:rPr>
                <w:rFonts w:hint="eastAsia" w:ascii="宋体" w:hAnsi="宋体"/>
                <w:szCs w:val="21"/>
                <w:highlight w:val="none"/>
              </w:rPr>
              <w:t>投标报价</w:t>
            </w:r>
          </w:p>
          <w:p w14:paraId="27BD79C8">
            <w:pPr>
              <w:pStyle w:val="18"/>
              <w:ind w:left="360" w:hanging="360"/>
              <w:jc w:val="center"/>
              <w:rPr>
                <w:rFonts w:hint="default" w:hAnsi="宋体"/>
                <w:sz w:val="21"/>
                <w:szCs w:val="21"/>
                <w:highlight w:val="none"/>
              </w:rPr>
            </w:pPr>
            <w:r>
              <w:rPr>
                <w:rFonts w:hAnsi="宋体"/>
                <w:sz w:val="21"/>
                <w:szCs w:val="21"/>
                <w:highlight w:val="none"/>
              </w:rPr>
              <w:t>10分</w:t>
            </w:r>
          </w:p>
        </w:tc>
        <w:tc>
          <w:tcPr>
            <w:tcW w:w="507" w:type="dxa"/>
            <w:noWrap w:val="0"/>
            <w:vAlign w:val="center"/>
          </w:tcPr>
          <w:p w14:paraId="6A47D16F">
            <w:pPr>
              <w:ind w:firstLine="28"/>
              <w:jc w:val="center"/>
              <w:rPr>
                <w:rFonts w:ascii="宋体" w:hAnsi="宋体"/>
                <w:szCs w:val="21"/>
                <w:highlight w:val="none"/>
              </w:rPr>
            </w:pPr>
            <w:r>
              <w:rPr>
                <w:rFonts w:hint="eastAsia" w:ascii="宋体" w:hAnsi="宋体"/>
                <w:sz w:val="20"/>
                <w:szCs w:val="20"/>
                <w:highlight w:val="none"/>
              </w:rPr>
              <w:t>10分</w:t>
            </w:r>
          </w:p>
        </w:tc>
        <w:tc>
          <w:tcPr>
            <w:tcW w:w="6646" w:type="dxa"/>
            <w:noWrap w:val="0"/>
            <w:vAlign w:val="center"/>
          </w:tcPr>
          <w:p w14:paraId="013530FE">
            <w:pPr>
              <w:rPr>
                <w:rFonts w:ascii="宋体" w:hAnsi="宋体"/>
                <w:sz w:val="20"/>
                <w:szCs w:val="20"/>
                <w:highlight w:val="none"/>
              </w:rPr>
            </w:pPr>
            <w:r>
              <w:rPr>
                <w:rFonts w:hint="eastAsia" w:ascii="宋体" w:hAnsi="宋体"/>
                <w:sz w:val="20"/>
                <w:szCs w:val="20"/>
                <w:highlight w:val="none"/>
              </w:rPr>
              <w:t>综合评分法中的价格分统一采用低价优先法计算，即满足</w:t>
            </w:r>
            <w:r>
              <w:rPr>
                <w:rFonts w:hint="eastAsia" w:ascii="宋体" w:hAnsi="宋体"/>
                <w:sz w:val="20"/>
                <w:szCs w:val="20"/>
                <w:highlight w:val="none"/>
                <w:lang w:val="en-US" w:eastAsia="zh-CN"/>
              </w:rPr>
              <w:t>磋商</w:t>
            </w:r>
            <w:r>
              <w:rPr>
                <w:rFonts w:hint="eastAsia" w:ascii="宋体" w:hAnsi="宋体"/>
                <w:sz w:val="20"/>
                <w:szCs w:val="20"/>
                <w:highlight w:val="none"/>
              </w:rPr>
              <w:t>文件要求且投标价格最低的投标报价为评标基准价，其价格分为满分。其他投标人的价格分按照下列公式计算：价格得分=(评标基准价／投标报价)×10％×100。</w:t>
            </w:r>
          </w:p>
          <w:p w14:paraId="2AE1D73D">
            <w:pPr>
              <w:rPr>
                <w:rFonts w:ascii="宋体" w:hAnsi="宋体"/>
                <w:sz w:val="20"/>
                <w:szCs w:val="20"/>
                <w:highlight w:val="none"/>
              </w:rPr>
            </w:pPr>
            <w:r>
              <w:rPr>
                <w:rFonts w:hint="eastAsia" w:ascii="宋体" w:hAnsi="宋体"/>
                <w:b/>
                <w:bCs/>
                <w:sz w:val="20"/>
                <w:szCs w:val="20"/>
                <w:highlight w:val="none"/>
              </w:rPr>
              <w:t>注：投标报价超过采购预算价的按废标处理</w:t>
            </w:r>
          </w:p>
        </w:tc>
        <w:tc>
          <w:tcPr>
            <w:tcW w:w="550" w:type="dxa"/>
            <w:noWrap w:val="0"/>
            <w:vAlign w:val="center"/>
          </w:tcPr>
          <w:p w14:paraId="6931C8B3">
            <w:pPr>
              <w:rPr>
                <w:rFonts w:ascii="宋体" w:hAnsi="宋体"/>
                <w:szCs w:val="21"/>
                <w:highlight w:val="none"/>
              </w:rPr>
            </w:pPr>
          </w:p>
        </w:tc>
      </w:tr>
      <w:tr w14:paraId="1576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436" w:type="dxa"/>
            <w:noWrap w:val="0"/>
            <w:vAlign w:val="center"/>
          </w:tcPr>
          <w:p w14:paraId="34AA4671">
            <w:pPr>
              <w:ind w:firstLine="28"/>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2</w:t>
            </w:r>
          </w:p>
        </w:tc>
        <w:tc>
          <w:tcPr>
            <w:tcW w:w="650" w:type="dxa"/>
            <w:vMerge w:val="restart"/>
            <w:noWrap w:val="0"/>
            <w:vAlign w:val="center"/>
          </w:tcPr>
          <w:p w14:paraId="188C080E">
            <w:pPr>
              <w:rPr>
                <w:rFonts w:hint="eastAsia" w:ascii="宋体" w:hAnsi="宋体"/>
                <w:sz w:val="20"/>
                <w:szCs w:val="20"/>
                <w:highlight w:val="none"/>
                <w:lang w:eastAsia="zh-CN"/>
              </w:rPr>
            </w:pPr>
            <w:r>
              <w:rPr>
                <w:rFonts w:hint="eastAsia" w:ascii="宋体" w:hAnsi="宋体"/>
                <w:sz w:val="20"/>
                <w:szCs w:val="20"/>
                <w:highlight w:val="none"/>
                <w:lang w:val="en-US" w:eastAsia="zh-CN"/>
              </w:rPr>
              <w:t>商务</w:t>
            </w:r>
          </w:p>
          <w:p w14:paraId="2B2F05C2">
            <w:pPr>
              <w:rPr>
                <w:rFonts w:hint="eastAsia" w:ascii="宋体" w:hAnsi="宋体"/>
                <w:sz w:val="20"/>
                <w:szCs w:val="20"/>
                <w:highlight w:val="none"/>
              </w:rPr>
            </w:pPr>
            <w:r>
              <w:rPr>
                <w:rFonts w:hint="eastAsia" w:ascii="宋体" w:hAnsi="宋体"/>
                <w:sz w:val="20"/>
                <w:szCs w:val="20"/>
                <w:highlight w:val="none"/>
              </w:rPr>
              <w:t>部</w:t>
            </w:r>
          </w:p>
          <w:p w14:paraId="2BC411D9">
            <w:pPr>
              <w:rPr>
                <w:rFonts w:hint="eastAsia" w:ascii="宋体" w:hAnsi="宋体"/>
                <w:sz w:val="20"/>
                <w:szCs w:val="20"/>
                <w:highlight w:val="none"/>
              </w:rPr>
            </w:pPr>
            <w:r>
              <w:rPr>
                <w:rFonts w:hint="eastAsia" w:ascii="宋体" w:hAnsi="宋体"/>
                <w:sz w:val="20"/>
                <w:szCs w:val="20"/>
                <w:highlight w:val="none"/>
              </w:rPr>
              <w:t>分</w:t>
            </w:r>
            <w:r>
              <w:rPr>
                <w:rFonts w:hint="eastAsia" w:ascii="宋体" w:hAnsi="宋体"/>
                <w:sz w:val="20"/>
                <w:szCs w:val="20"/>
                <w:highlight w:val="none"/>
                <w:lang w:eastAsia="zh-CN"/>
              </w:rPr>
              <w:t>（</w:t>
            </w:r>
            <w:r>
              <w:rPr>
                <w:rFonts w:hint="eastAsia" w:ascii="宋体" w:hAnsi="宋体"/>
                <w:sz w:val="20"/>
                <w:szCs w:val="20"/>
                <w:highlight w:val="none"/>
                <w:lang w:val="en-US" w:eastAsia="zh-CN"/>
              </w:rPr>
              <w:t>10</w:t>
            </w:r>
            <w:r>
              <w:rPr>
                <w:rFonts w:hint="eastAsia" w:ascii="宋体" w:hAnsi="宋体"/>
                <w:sz w:val="20"/>
                <w:szCs w:val="20"/>
                <w:highlight w:val="none"/>
              </w:rPr>
              <w:t>分</w:t>
            </w:r>
            <w:r>
              <w:rPr>
                <w:rFonts w:hint="eastAsia" w:ascii="宋体" w:hAnsi="宋体"/>
                <w:sz w:val="20"/>
                <w:szCs w:val="20"/>
                <w:highlight w:val="none"/>
                <w:lang w:eastAsia="zh-CN"/>
              </w:rPr>
              <w:t>）</w:t>
            </w:r>
          </w:p>
          <w:p w14:paraId="15A80468">
            <w:pPr>
              <w:rPr>
                <w:rFonts w:hint="eastAsia" w:ascii="宋体" w:hAnsi="宋体"/>
                <w:sz w:val="20"/>
                <w:szCs w:val="20"/>
                <w:highlight w:val="none"/>
              </w:rPr>
            </w:pPr>
          </w:p>
        </w:tc>
        <w:tc>
          <w:tcPr>
            <w:tcW w:w="1117" w:type="dxa"/>
            <w:noWrap w:val="0"/>
            <w:vAlign w:val="center"/>
          </w:tcPr>
          <w:p w14:paraId="5E3EA6EB">
            <w:pPr>
              <w:rPr>
                <w:rFonts w:hint="default" w:ascii="宋体" w:hAnsi="宋体"/>
                <w:sz w:val="20"/>
                <w:szCs w:val="20"/>
                <w:highlight w:val="none"/>
                <w:lang w:val="en-US" w:eastAsia="zh-CN"/>
              </w:rPr>
            </w:pPr>
            <w:r>
              <w:rPr>
                <w:rFonts w:hint="eastAsia" w:ascii="宋体" w:hAnsi="宋体"/>
                <w:sz w:val="20"/>
                <w:szCs w:val="20"/>
                <w:highlight w:val="none"/>
                <w:lang w:val="en-US" w:eastAsia="zh-CN"/>
              </w:rPr>
              <w:t>企业资质</w:t>
            </w:r>
          </w:p>
        </w:tc>
        <w:tc>
          <w:tcPr>
            <w:tcW w:w="507" w:type="dxa"/>
            <w:noWrap w:val="0"/>
            <w:vAlign w:val="center"/>
          </w:tcPr>
          <w:p w14:paraId="012C568B">
            <w:pPr>
              <w:rPr>
                <w:rFonts w:hint="default" w:ascii="宋体" w:hAnsi="宋体"/>
                <w:sz w:val="20"/>
                <w:szCs w:val="20"/>
                <w:highlight w:val="none"/>
                <w:lang w:val="en-US" w:eastAsia="zh-CN"/>
              </w:rPr>
            </w:pPr>
            <w:r>
              <w:rPr>
                <w:rFonts w:hint="eastAsia" w:ascii="宋体" w:hAnsi="宋体"/>
                <w:sz w:val="20"/>
                <w:szCs w:val="20"/>
                <w:highlight w:val="none"/>
                <w:lang w:val="en-US" w:eastAsia="zh-CN"/>
              </w:rPr>
              <w:t>4分</w:t>
            </w:r>
          </w:p>
        </w:tc>
        <w:tc>
          <w:tcPr>
            <w:tcW w:w="6646" w:type="dxa"/>
            <w:noWrap w:val="0"/>
            <w:vAlign w:val="center"/>
          </w:tcPr>
          <w:p w14:paraId="20D0FED4">
            <w:pPr>
              <w:rPr>
                <w:rFonts w:hint="eastAsia" w:ascii="宋体" w:hAnsi="宋体"/>
                <w:sz w:val="20"/>
                <w:szCs w:val="20"/>
                <w:highlight w:val="none"/>
                <w:lang w:val="en-US" w:eastAsia="zh-CN"/>
              </w:rPr>
            </w:pPr>
            <w:r>
              <w:rPr>
                <w:rFonts w:hint="eastAsia" w:ascii="宋体" w:hAnsi="宋体"/>
                <w:sz w:val="20"/>
                <w:szCs w:val="20"/>
                <w:highlight w:val="none"/>
                <w:lang w:val="en-US" w:eastAsia="zh-CN"/>
              </w:rPr>
              <w:t>供应商具备有效的《广播电视节目制作经营许可证》得 4 分，无不得分；需提供证书复印件加盖公章，证书不在有效期内不予得分。</w:t>
            </w:r>
          </w:p>
        </w:tc>
        <w:tc>
          <w:tcPr>
            <w:tcW w:w="550" w:type="dxa"/>
            <w:noWrap w:val="0"/>
            <w:vAlign w:val="center"/>
          </w:tcPr>
          <w:p w14:paraId="13C1FCFF">
            <w:pPr>
              <w:rPr>
                <w:rFonts w:ascii="宋体" w:hAnsi="宋体"/>
                <w:szCs w:val="21"/>
                <w:highlight w:val="none"/>
              </w:rPr>
            </w:pPr>
          </w:p>
        </w:tc>
      </w:tr>
      <w:tr w14:paraId="0083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436" w:type="dxa"/>
            <w:noWrap w:val="0"/>
            <w:vAlign w:val="center"/>
          </w:tcPr>
          <w:p w14:paraId="603F2BAB">
            <w:pPr>
              <w:ind w:firstLine="28"/>
              <w:jc w:val="center"/>
              <w:rPr>
                <w:rFonts w:hint="eastAsia" w:ascii="宋体" w:hAnsi="宋体" w:eastAsia="宋体"/>
                <w:szCs w:val="21"/>
                <w:highlight w:val="none"/>
                <w:lang w:eastAsia="zh-CN"/>
              </w:rPr>
            </w:pPr>
            <w:r>
              <w:rPr>
                <w:rFonts w:hint="eastAsia" w:ascii="宋体" w:hAnsi="宋体"/>
                <w:szCs w:val="21"/>
                <w:highlight w:val="none"/>
                <w:lang w:val="en-US" w:eastAsia="zh-CN"/>
              </w:rPr>
              <w:t>3</w:t>
            </w:r>
          </w:p>
        </w:tc>
        <w:tc>
          <w:tcPr>
            <w:tcW w:w="650" w:type="dxa"/>
            <w:vMerge w:val="continue"/>
            <w:noWrap w:val="0"/>
            <w:vAlign w:val="center"/>
          </w:tcPr>
          <w:p w14:paraId="0A1E4A4C">
            <w:pPr>
              <w:pStyle w:val="4"/>
              <w:numPr>
                <w:ilvl w:val="2"/>
                <w:numId w:val="0"/>
              </w:numPr>
              <w:spacing w:line="240" w:lineRule="auto"/>
              <w:jc w:val="cente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noWrap w:val="0"/>
            <w:vAlign w:val="center"/>
          </w:tcPr>
          <w:p w14:paraId="04D019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企业类似业绩</w:t>
            </w:r>
          </w:p>
        </w:tc>
        <w:tc>
          <w:tcPr>
            <w:tcW w:w="507" w:type="dxa"/>
            <w:noWrap w:val="0"/>
            <w:vAlign w:val="center"/>
          </w:tcPr>
          <w:p w14:paraId="2CF11EC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6分</w:t>
            </w:r>
          </w:p>
        </w:tc>
        <w:tc>
          <w:tcPr>
            <w:tcW w:w="6646" w:type="dxa"/>
            <w:noWrap w:val="0"/>
            <w:vAlign w:val="center"/>
          </w:tcPr>
          <w:p w14:paraId="3ECF28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供应商近三年（2023年09月 至今）新媒体代运营、文旅 IP 打造、短视频宣传推广项目业绩，每提供 1 项得 3 分，满分 6 分。须提供合同或成交通知书，含首页、金额页、服务内容页、签字盖章页；材料不全、模糊不清不得分。</w:t>
            </w:r>
          </w:p>
        </w:tc>
        <w:tc>
          <w:tcPr>
            <w:tcW w:w="550" w:type="dxa"/>
            <w:noWrap w:val="0"/>
            <w:vAlign w:val="center"/>
          </w:tcPr>
          <w:p w14:paraId="40A5C7B5">
            <w:pPr>
              <w:rPr>
                <w:rFonts w:ascii="宋体" w:hAnsi="宋体"/>
                <w:szCs w:val="21"/>
                <w:highlight w:val="none"/>
              </w:rPr>
            </w:pPr>
          </w:p>
        </w:tc>
      </w:tr>
      <w:tr w14:paraId="1B79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436" w:type="dxa"/>
            <w:noWrap w:val="0"/>
            <w:vAlign w:val="center"/>
          </w:tcPr>
          <w:p w14:paraId="0FD78D5A">
            <w:pPr>
              <w:ind w:firstLine="28"/>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5</w:t>
            </w:r>
          </w:p>
        </w:tc>
        <w:tc>
          <w:tcPr>
            <w:tcW w:w="650" w:type="dxa"/>
            <w:vMerge w:val="restart"/>
            <w:noWrap w:val="0"/>
            <w:vAlign w:val="center"/>
          </w:tcPr>
          <w:p w14:paraId="2151910F">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技术部分（80分）</w:t>
            </w:r>
          </w:p>
          <w:p w14:paraId="35FE1CC5">
            <w:pP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noWrap w:val="0"/>
            <w:vAlign w:val="center"/>
          </w:tcPr>
          <w:p w14:paraId="1AB62C7A">
            <w:pPr>
              <w:rPr>
                <w:rFonts w:hint="default"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项目团队配置</w:t>
            </w:r>
          </w:p>
        </w:tc>
        <w:tc>
          <w:tcPr>
            <w:tcW w:w="507" w:type="dxa"/>
            <w:noWrap w:val="0"/>
            <w:vAlign w:val="center"/>
          </w:tcPr>
          <w:p w14:paraId="25AD2284">
            <w:pPr>
              <w:rPr>
                <w:rFonts w:hint="default"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12分</w:t>
            </w:r>
          </w:p>
        </w:tc>
        <w:tc>
          <w:tcPr>
            <w:tcW w:w="6646" w:type="dxa"/>
            <w:noWrap w:val="0"/>
            <w:vAlign w:val="top"/>
          </w:tcPr>
          <w:p w14:paraId="5B7D85BE">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本项目配置完整组织架构，岗位包含：项目负责人、驻场运营、内容策划、摄像剪辑、达人资源对接、线上内容</w:t>
            </w:r>
            <w:r>
              <w:rPr>
                <w:rFonts w:hint="eastAsia" w:ascii="宋体" w:hAnsi="宋体" w:cs="Times New Roman"/>
                <w:b w:val="0"/>
                <w:bCs w:val="0"/>
                <w:color w:val="auto"/>
                <w:kern w:val="2"/>
                <w:sz w:val="20"/>
                <w:szCs w:val="20"/>
                <w:highlight w:val="none"/>
                <w:u w:val="none"/>
                <w:lang w:val="en-US" w:eastAsia="zh-CN" w:bidi="ar-SA"/>
              </w:rPr>
              <w:t>审核</w:t>
            </w:r>
            <w:r>
              <w:rPr>
                <w:rFonts w:hint="eastAsia" w:ascii="宋体" w:hAnsi="宋体" w:eastAsia="宋体" w:cs="Times New Roman"/>
                <w:b w:val="0"/>
                <w:bCs w:val="0"/>
                <w:color w:val="auto"/>
                <w:kern w:val="2"/>
                <w:sz w:val="20"/>
                <w:szCs w:val="20"/>
                <w:highlight w:val="none"/>
                <w:u w:val="none"/>
                <w:lang w:val="en-US" w:eastAsia="zh-CN" w:bidi="ar-SA"/>
              </w:rPr>
              <w:t>专员，全部岗位齐全得 12 分，每缺少一类岗位扣 2 分，扣完为止。注：须提供人员身份证 + 劳动合同或投标截止日前连续 3 个月社保缴纳证明，任意人员材料缺失本项不得分。</w:t>
            </w:r>
          </w:p>
        </w:tc>
        <w:tc>
          <w:tcPr>
            <w:tcW w:w="550" w:type="dxa"/>
            <w:noWrap w:val="0"/>
            <w:vAlign w:val="center"/>
          </w:tcPr>
          <w:p w14:paraId="3B4734B7">
            <w:pPr>
              <w:rPr>
                <w:rFonts w:ascii="宋体" w:hAnsi="宋体"/>
                <w:szCs w:val="21"/>
                <w:highlight w:val="none"/>
              </w:rPr>
            </w:pPr>
          </w:p>
        </w:tc>
      </w:tr>
      <w:tr w14:paraId="301B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436" w:type="dxa"/>
            <w:noWrap w:val="0"/>
            <w:vAlign w:val="center"/>
          </w:tcPr>
          <w:p w14:paraId="6BF5CA0C">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6</w:t>
            </w:r>
          </w:p>
        </w:tc>
        <w:tc>
          <w:tcPr>
            <w:tcW w:w="650" w:type="dxa"/>
            <w:vMerge w:val="continue"/>
            <w:shd w:val="clear" w:color="auto" w:fill="auto"/>
            <w:noWrap w:val="0"/>
            <w:vAlign w:val="center"/>
          </w:tcPr>
          <w:p w14:paraId="35038F2A">
            <w:pP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shd w:val="clear" w:color="auto" w:fill="auto"/>
            <w:noWrap w:val="0"/>
            <w:vAlign w:val="center"/>
          </w:tcPr>
          <w:p w14:paraId="0F840965">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项目理解与认识</w:t>
            </w:r>
          </w:p>
        </w:tc>
        <w:tc>
          <w:tcPr>
            <w:tcW w:w="507" w:type="dxa"/>
            <w:shd w:val="clear" w:color="auto" w:fill="auto"/>
            <w:noWrap w:val="0"/>
            <w:vAlign w:val="center"/>
          </w:tcPr>
          <w:p w14:paraId="5AE9DBB1">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9分</w:t>
            </w:r>
          </w:p>
        </w:tc>
        <w:tc>
          <w:tcPr>
            <w:tcW w:w="6646" w:type="dxa"/>
            <w:shd w:val="clear" w:color="auto" w:fill="auto"/>
            <w:noWrap w:val="0"/>
            <w:vAlign w:val="center"/>
          </w:tcPr>
          <w:p w14:paraId="47CB69B9">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对本项目理解认识，包含：①项目背景；②需求分析；③实施目标；须结合《爱上阿克陶》IP、“遇见帕米尔，爱上阿克陶” 定位、四大账号矩阵进行阐述。全部要素完整符合需求得 9 分，缺 1 个要素扣 3 分，每处内容缺陷扣 1 分，扣完为止。</w:t>
            </w:r>
          </w:p>
        </w:tc>
        <w:tc>
          <w:tcPr>
            <w:tcW w:w="550" w:type="dxa"/>
            <w:noWrap w:val="0"/>
            <w:vAlign w:val="center"/>
          </w:tcPr>
          <w:p w14:paraId="605FBA1E">
            <w:pPr>
              <w:rPr>
                <w:rFonts w:ascii="宋体" w:hAnsi="宋体"/>
                <w:szCs w:val="21"/>
                <w:highlight w:val="none"/>
              </w:rPr>
            </w:pPr>
          </w:p>
        </w:tc>
      </w:tr>
      <w:tr w14:paraId="5418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dxa"/>
            <w:noWrap w:val="0"/>
            <w:vAlign w:val="center"/>
          </w:tcPr>
          <w:p w14:paraId="1A801F4B">
            <w:pPr>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7</w:t>
            </w:r>
          </w:p>
        </w:tc>
        <w:tc>
          <w:tcPr>
            <w:tcW w:w="650" w:type="dxa"/>
            <w:vMerge w:val="continue"/>
            <w:shd w:val="clear" w:color="auto" w:fill="auto"/>
            <w:noWrap w:val="0"/>
            <w:vAlign w:val="center"/>
          </w:tcPr>
          <w:p w14:paraId="5763D14A">
            <w:pP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shd w:val="clear" w:color="auto" w:fill="auto"/>
            <w:noWrap w:val="0"/>
            <w:vAlign w:val="center"/>
          </w:tcPr>
          <w:p w14:paraId="3ED41189">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新媒体整体运营实施方案</w:t>
            </w:r>
          </w:p>
        </w:tc>
        <w:tc>
          <w:tcPr>
            <w:tcW w:w="507" w:type="dxa"/>
            <w:shd w:val="clear" w:color="auto" w:fill="auto"/>
            <w:noWrap w:val="0"/>
            <w:vAlign w:val="center"/>
          </w:tcPr>
          <w:p w14:paraId="052520BE">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24分</w:t>
            </w:r>
          </w:p>
        </w:tc>
        <w:tc>
          <w:tcPr>
            <w:tcW w:w="6646" w:type="dxa"/>
            <w:shd w:val="clear" w:color="auto" w:fill="auto"/>
            <w:noWrap w:val="0"/>
            <w:vAlign w:val="center"/>
          </w:tcPr>
          <w:p w14:paraId="3C126F1C">
            <w:pPr>
              <w:rPr>
                <w:rFonts w:hint="default" w:ascii="宋体" w:hAnsi="宋体" w:eastAsia="宋体" w:cs="Times New Roman"/>
                <w:b w:val="0"/>
                <w:bCs w:val="0"/>
                <w:color w:val="auto"/>
                <w:kern w:val="2"/>
                <w:sz w:val="20"/>
                <w:szCs w:val="20"/>
                <w:highlight w:val="none"/>
                <w:u w:val="none"/>
                <w:lang w:val="en-US" w:eastAsia="zh-CN" w:bidi="ar-SA"/>
              </w:rPr>
            </w:pPr>
            <w:r>
              <w:rPr>
                <w:rFonts w:hint="default" w:ascii="宋体" w:hAnsi="宋体" w:eastAsia="宋体" w:cs="Times New Roman"/>
                <w:b w:val="0"/>
                <w:bCs w:val="0"/>
                <w:color w:val="auto"/>
                <w:kern w:val="2"/>
                <w:sz w:val="20"/>
                <w:szCs w:val="20"/>
                <w:highlight w:val="none"/>
                <w:u w:val="none"/>
                <w:lang w:val="en-US" w:eastAsia="zh-CN" w:bidi="ar-SA"/>
              </w:rPr>
              <w:t xml:space="preserve">制定完整新媒体整体运营实施方案，内容包括：①年度整体内容策略规划；②四大平台差异化矩阵运营实施方案；③非遗、文旅精品系列短视频生产方案；④短视频、公众号推文产出保障方案；⑤每月阿克陶实地集中拍摄执行方案；⑥四季文旅专题落地实施思路。全部要素齐全且满足项目要求得 </w:t>
            </w:r>
            <w:r>
              <w:rPr>
                <w:rFonts w:hint="eastAsia" w:ascii="宋体" w:hAnsi="宋体" w:eastAsia="宋体" w:cs="Times New Roman"/>
                <w:b w:val="0"/>
                <w:bCs w:val="0"/>
                <w:color w:val="auto"/>
                <w:kern w:val="2"/>
                <w:sz w:val="20"/>
                <w:szCs w:val="20"/>
                <w:highlight w:val="none"/>
                <w:u w:val="none"/>
                <w:lang w:val="en-US" w:eastAsia="zh-CN" w:bidi="ar-SA"/>
              </w:rPr>
              <w:t>24</w:t>
            </w:r>
            <w:r>
              <w:rPr>
                <w:rFonts w:hint="default" w:ascii="宋体" w:hAnsi="宋体" w:eastAsia="宋体" w:cs="Times New Roman"/>
                <w:b w:val="0"/>
                <w:bCs w:val="0"/>
                <w:color w:val="auto"/>
                <w:kern w:val="2"/>
                <w:sz w:val="20"/>
                <w:szCs w:val="20"/>
                <w:highlight w:val="none"/>
                <w:u w:val="none"/>
                <w:lang w:val="en-US" w:eastAsia="zh-CN" w:bidi="ar-SA"/>
              </w:rPr>
              <w:t xml:space="preserve">分，缺 1 项扣 </w:t>
            </w:r>
            <w:r>
              <w:rPr>
                <w:rFonts w:hint="eastAsia" w:ascii="宋体" w:hAnsi="宋体" w:eastAsia="宋体" w:cs="Times New Roman"/>
                <w:b w:val="0"/>
                <w:bCs w:val="0"/>
                <w:color w:val="auto"/>
                <w:kern w:val="2"/>
                <w:sz w:val="20"/>
                <w:szCs w:val="20"/>
                <w:highlight w:val="none"/>
                <w:u w:val="none"/>
                <w:lang w:val="en-US" w:eastAsia="zh-CN" w:bidi="ar-SA"/>
              </w:rPr>
              <w:t>4</w:t>
            </w:r>
            <w:r>
              <w:rPr>
                <w:rFonts w:hint="default" w:ascii="宋体" w:hAnsi="宋体" w:eastAsia="宋体" w:cs="Times New Roman"/>
                <w:b w:val="0"/>
                <w:bCs w:val="0"/>
                <w:color w:val="auto"/>
                <w:kern w:val="2"/>
                <w:sz w:val="20"/>
                <w:szCs w:val="20"/>
                <w:highlight w:val="none"/>
                <w:u w:val="none"/>
                <w:lang w:val="en-US" w:eastAsia="zh-CN" w:bidi="ar-SA"/>
              </w:rPr>
              <w:t>分，每处内容缺陷扣 2 分，扣完为止。</w:t>
            </w:r>
          </w:p>
        </w:tc>
        <w:tc>
          <w:tcPr>
            <w:tcW w:w="550" w:type="dxa"/>
            <w:noWrap w:val="0"/>
            <w:vAlign w:val="center"/>
          </w:tcPr>
          <w:p w14:paraId="0D082F5C">
            <w:pPr>
              <w:rPr>
                <w:rFonts w:ascii="宋体" w:hAnsi="宋体"/>
                <w:szCs w:val="21"/>
                <w:highlight w:val="none"/>
              </w:rPr>
            </w:pPr>
          </w:p>
        </w:tc>
      </w:tr>
      <w:tr w14:paraId="0873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436" w:type="dxa"/>
            <w:noWrap w:val="0"/>
            <w:vAlign w:val="center"/>
          </w:tcPr>
          <w:p w14:paraId="3D01A306">
            <w:pPr>
              <w:jc w:val="center"/>
              <w:rPr>
                <w:rFonts w:hint="default" w:ascii="宋体" w:hAnsi="宋体"/>
                <w:szCs w:val="21"/>
                <w:highlight w:val="none"/>
                <w:lang w:val="en-US" w:eastAsia="zh-CN"/>
              </w:rPr>
            </w:pPr>
            <w:r>
              <w:rPr>
                <w:rFonts w:hint="eastAsia" w:ascii="宋体" w:hAnsi="宋体"/>
                <w:szCs w:val="21"/>
                <w:highlight w:val="none"/>
                <w:lang w:val="en-US" w:eastAsia="zh-CN"/>
              </w:rPr>
              <w:t>8</w:t>
            </w:r>
          </w:p>
        </w:tc>
        <w:tc>
          <w:tcPr>
            <w:tcW w:w="650" w:type="dxa"/>
            <w:vMerge w:val="continue"/>
            <w:noWrap w:val="0"/>
            <w:vAlign w:val="center"/>
          </w:tcPr>
          <w:p w14:paraId="360650F7">
            <w:pP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noWrap w:val="0"/>
            <w:vAlign w:val="center"/>
          </w:tcPr>
          <w:p w14:paraId="7CE7D61C">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新媒体资源联动及宣传推广方案</w:t>
            </w:r>
          </w:p>
        </w:tc>
        <w:tc>
          <w:tcPr>
            <w:tcW w:w="507" w:type="dxa"/>
            <w:noWrap w:val="0"/>
            <w:vAlign w:val="center"/>
          </w:tcPr>
          <w:p w14:paraId="27C5EC63">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5分</w:t>
            </w:r>
          </w:p>
        </w:tc>
        <w:tc>
          <w:tcPr>
            <w:tcW w:w="6646" w:type="dxa"/>
            <w:noWrap w:val="0"/>
            <w:vAlign w:val="center"/>
          </w:tcPr>
          <w:p w14:paraId="50530EB1">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方案包含：①本地新媒体协会日常联络、外部资源对接运营方案；②《爱上阿克陶》IP 统一视觉包装实施方案；全部要素齐全得 5 分，缺 1 项扣 2.5 分，每处内容缺陷扣 1 分，扣完为止。</w:t>
            </w:r>
          </w:p>
        </w:tc>
        <w:tc>
          <w:tcPr>
            <w:tcW w:w="550" w:type="dxa"/>
            <w:noWrap w:val="0"/>
            <w:vAlign w:val="center"/>
          </w:tcPr>
          <w:p w14:paraId="17A87825">
            <w:pPr>
              <w:rPr>
                <w:rFonts w:ascii="宋体" w:hAnsi="宋体"/>
                <w:szCs w:val="21"/>
                <w:highlight w:val="none"/>
              </w:rPr>
            </w:pPr>
          </w:p>
        </w:tc>
      </w:tr>
      <w:tr w14:paraId="3DD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dxa"/>
            <w:noWrap w:val="0"/>
            <w:vAlign w:val="center"/>
          </w:tcPr>
          <w:p w14:paraId="7F257E58">
            <w:pPr>
              <w:jc w:val="center"/>
              <w:rPr>
                <w:rFonts w:hint="eastAsia" w:ascii="宋体" w:hAnsi="宋体" w:eastAsia="宋体"/>
                <w:szCs w:val="21"/>
                <w:highlight w:val="none"/>
                <w:lang w:eastAsia="zh-CN"/>
              </w:rPr>
            </w:pPr>
            <w:r>
              <w:rPr>
                <w:rFonts w:hint="eastAsia" w:ascii="宋体" w:hAnsi="宋体"/>
                <w:szCs w:val="21"/>
                <w:highlight w:val="none"/>
                <w:lang w:val="en-US" w:eastAsia="zh-CN"/>
              </w:rPr>
              <w:t>9</w:t>
            </w:r>
          </w:p>
        </w:tc>
        <w:tc>
          <w:tcPr>
            <w:tcW w:w="650" w:type="dxa"/>
            <w:vMerge w:val="continue"/>
            <w:noWrap w:val="0"/>
            <w:vAlign w:val="center"/>
          </w:tcPr>
          <w:p w14:paraId="061963DC">
            <w:pP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noWrap w:val="0"/>
            <w:vAlign w:val="center"/>
          </w:tcPr>
          <w:p w14:paraId="2598CA65">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安全及风险应急预案</w:t>
            </w:r>
          </w:p>
        </w:tc>
        <w:tc>
          <w:tcPr>
            <w:tcW w:w="507" w:type="dxa"/>
            <w:noWrap w:val="0"/>
            <w:vAlign w:val="center"/>
          </w:tcPr>
          <w:p w14:paraId="20A5C00B">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12分</w:t>
            </w:r>
          </w:p>
        </w:tc>
        <w:tc>
          <w:tcPr>
            <w:tcW w:w="6646" w:type="dxa"/>
            <w:noWrap w:val="0"/>
            <w:vAlign w:val="center"/>
          </w:tcPr>
          <w:p w14:paraId="65484C7A">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包含：①驻场人员人身安全保障；②网络信息监测与风险处置预案；③边境题材、少数民族民俗内容风险防控预案；④账号、素材工程源文件、原始拍摄素材、业务数据安全及保密管理。全部要素齐全得 12 分，缺 1 项扣 3 分，每处内容缺陷扣 1 分，扣完为止。</w:t>
            </w:r>
          </w:p>
        </w:tc>
        <w:tc>
          <w:tcPr>
            <w:tcW w:w="550" w:type="dxa"/>
            <w:noWrap w:val="0"/>
            <w:vAlign w:val="center"/>
          </w:tcPr>
          <w:p w14:paraId="1A71471F">
            <w:pPr>
              <w:rPr>
                <w:rFonts w:ascii="宋体" w:hAnsi="宋体"/>
                <w:szCs w:val="21"/>
                <w:highlight w:val="none"/>
              </w:rPr>
            </w:pPr>
          </w:p>
        </w:tc>
      </w:tr>
      <w:tr w14:paraId="1D88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6" w:type="dxa"/>
            <w:noWrap w:val="0"/>
            <w:vAlign w:val="center"/>
          </w:tcPr>
          <w:p w14:paraId="5BAE25CB">
            <w:pPr>
              <w:jc w:val="center"/>
              <w:rPr>
                <w:rFonts w:hint="default" w:ascii="宋体" w:hAnsi="宋体"/>
                <w:szCs w:val="21"/>
                <w:highlight w:val="none"/>
                <w:lang w:val="en-US" w:eastAsia="zh-CN"/>
              </w:rPr>
            </w:pPr>
            <w:r>
              <w:rPr>
                <w:rFonts w:hint="eastAsia" w:ascii="宋体" w:hAnsi="宋体"/>
                <w:szCs w:val="21"/>
                <w:highlight w:val="none"/>
                <w:lang w:val="en-US" w:eastAsia="zh-CN"/>
              </w:rPr>
              <w:t>10</w:t>
            </w:r>
          </w:p>
        </w:tc>
        <w:tc>
          <w:tcPr>
            <w:tcW w:w="650" w:type="dxa"/>
            <w:vMerge w:val="continue"/>
            <w:noWrap w:val="0"/>
            <w:vAlign w:val="center"/>
          </w:tcPr>
          <w:p w14:paraId="0392A012">
            <w:pPr>
              <w:rPr>
                <w:rFonts w:hint="eastAsia" w:ascii="宋体" w:hAnsi="宋体" w:eastAsia="宋体" w:cs="Times New Roman"/>
                <w:b w:val="0"/>
                <w:bCs w:val="0"/>
                <w:color w:val="auto"/>
                <w:kern w:val="2"/>
                <w:sz w:val="20"/>
                <w:szCs w:val="20"/>
                <w:highlight w:val="none"/>
                <w:u w:val="none"/>
                <w:lang w:val="en-US" w:eastAsia="zh-CN" w:bidi="ar-SA"/>
              </w:rPr>
            </w:pPr>
          </w:p>
        </w:tc>
        <w:tc>
          <w:tcPr>
            <w:tcW w:w="1117" w:type="dxa"/>
            <w:noWrap w:val="0"/>
            <w:vAlign w:val="center"/>
          </w:tcPr>
          <w:p w14:paraId="7A8D06CA">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质量保障措施</w:t>
            </w:r>
          </w:p>
        </w:tc>
        <w:tc>
          <w:tcPr>
            <w:tcW w:w="507" w:type="dxa"/>
            <w:noWrap w:val="0"/>
            <w:vAlign w:val="center"/>
          </w:tcPr>
          <w:p w14:paraId="37769D37">
            <w:pPr>
              <w:rPr>
                <w:rFonts w:hint="default"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18分</w:t>
            </w:r>
          </w:p>
        </w:tc>
        <w:tc>
          <w:tcPr>
            <w:tcW w:w="6646" w:type="dxa"/>
            <w:noWrap w:val="0"/>
            <w:vAlign w:val="center"/>
          </w:tcPr>
          <w:p w14:paraId="70877B76">
            <w:pPr>
              <w:rPr>
                <w:rFonts w:hint="eastAsia" w:ascii="宋体" w:hAnsi="宋体" w:eastAsia="宋体" w:cs="Times New Roman"/>
                <w:b w:val="0"/>
                <w:bCs w:val="0"/>
                <w:color w:val="auto"/>
                <w:kern w:val="2"/>
                <w:sz w:val="20"/>
                <w:szCs w:val="20"/>
                <w:highlight w:val="none"/>
                <w:u w:val="none"/>
                <w:lang w:val="en-US" w:eastAsia="zh-CN" w:bidi="ar-SA"/>
              </w:rPr>
            </w:pPr>
            <w:r>
              <w:rPr>
                <w:rFonts w:hint="eastAsia" w:ascii="宋体" w:hAnsi="宋体" w:eastAsia="宋体" w:cs="Times New Roman"/>
                <w:b w:val="0"/>
                <w:bCs w:val="0"/>
                <w:color w:val="auto"/>
                <w:kern w:val="2"/>
                <w:sz w:val="20"/>
                <w:szCs w:val="20"/>
                <w:highlight w:val="none"/>
                <w:u w:val="none"/>
                <w:lang w:val="en-US" w:eastAsia="zh-CN" w:bidi="ar-SA"/>
              </w:rPr>
              <w:t>包含：①内容产出交付保障；②三级审核质量管控措施；③版权风险管控措施；④月度报表、数据台账、粉丝互动运维保障；</w:t>
            </w:r>
            <w:r>
              <w:rPr>
                <w:rFonts w:hint="default" w:ascii="宋体" w:hAnsi="宋体" w:eastAsia="宋体" w:cs="Times New Roman"/>
                <w:b w:val="0"/>
                <w:bCs w:val="0"/>
                <w:color w:val="auto"/>
                <w:kern w:val="2"/>
                <w:sz w:val="20"/>
                <w:szCs w:val="20"/>
                <w:highlight w:val="none"/>
                <w:u w:val="none"/>
                <w:lang w:val="en-US" w:eastAsia="zh-CN" w:bidi="ar-SA"/>
              </w:rPr>
              <w:t>⑤</w:t>
            </w:r>
            <w:r>
              <w:rPr>
                <w:rFonts w:hint="eastAsia" w:ascii="宋体" w:hAnsi="宋体" w:eastAsia="宋体" w:cs="Times New Roman"/>
                <w:b w:val="0"/>
                <w:bCs w:val="0"/>
                <w:color w:val="auto"/>
                <w:kern w:val="2"/>
                <w:sz w:val="20"/>
                <w:szCs w:val="20"/>
                <w:highlight w:val="none"/>
                <w:u w:val="none"/>
                <w:lang w:val="en-US" w:eastAsia="zh-CN" w:bidi="ar-SA"/>
              </w:rPr>
              <w:t>新媒体专项培训组织实施保障（含签到、课件、考核、培训成果归档）；</w:t>
            </w:r>
            <w:r>
              <w:rPr>
                <w:rFonts w:hint="default" w:ascii="宋体" w:hAnsi="宋体" w:eastAsia="宋体" w:cs="Times New Roman"/>
                <w:b w:val="0"/>
                <w:bCs w:val="0"/>
                <w:color w:val="auto"/>
                <w:kern w:val="2"/>
                <w:sz w:val="20"/>
                <w:szCs w:val="20"/>
                <w:highlight w:val="none"/>
                <w:u w:val="none"/>
                <w:lang w:val="en-US" w:eastAsia="zh-CN" w:bidi="ar-SA"/>
              </w:rPr>
              <w:t>⑥</w:t>
            </w:r>
            <w:r>
              <w:rPr>
                <w:rFonts w:hint="eastAsia" w:ascii="宋体" w:hAnsi="宋体" w:eastAsia="宋体" w:cs="Times New Roman"/>
                <w:b w:val="0"/>
                <w:bCs w:val="0"/>
                <w:color w:val="auto"/>
                <w:kern w:val="2"/>
                <w:sz w:val="20"/>
                <w:szCs w:val="20"/>
                <w:highlight w:val="none"/>
                <w:u w:val="none"/>
                <w:lang w:val="en-US" w:eastAsia="zh-CN" w:bidi="ar-SA"/>
              </w:rPr>
              <w:t>月度过程自查整改机制。全部要素齐全得 18 分，缺 1 项扣 3 分，每处内容缺陷扣 1 分，扣完为止。</w:t>
            </w:r>
          </w:p>
        </w:tc>
        <w:tc>
          <w:tcPr>
            <w:tcW w:w="550" w:type="dxa"/>
            <w:noWrap w:val="0"/>
            <w:vAlign w:val="center"/>
          </w:tcPr>
          <w:p w14:paraId="00DC7E5A">
            <w:pPr>
              <w:rPr>
                <w:rFonts w:ascii="宋体" w:hAnsi="宋体"/>
                <w:szCs w:val="21"/>
                <w:highlight w:val="none"/>
              </w:rPr>
            </w:pPr>
          </w:p>
        </w:tc>
      </w:tr>
      <w:tr w14:paraId="58EA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10" w:type="dxa"/>
            <w:gridSpan w:val="4"/>
            <w:noWrap w:val="0"/>
            <w:vAlign w:val="center"/>
          </w:tcPr>
          <w:p w14:paraId="0C5FEF29">
            <w:pPr>
              <w:rPr>
                <w:rFonts w:hint="default" w:ascii="宋体" w:hAnsi="宋体" w:eastAsia="宋体" w:cs="Times New Roman"/>
                <w:b w:val="0"/>
                <w:bCs w:val="0"/>
                <w:color w:val="auto"/>
                <w:kern w:val="2"/>
                <w:sz w:val="20"/>
                <w:szCs w:val="20"/>
                <w:highlight w:val="none"/>
                <w:u w:val="none"/>
                <w:lang w:val="en-US" w:eastAsia="zh-CN" w:bidi="ar-SA"/>
              </w:rPr>
            </w:pPr>
            <w:r>
              <w:rPr>
                <w:rFonts w:hint="eastAsia" w:ascii="宋体" w:hAnsi="宋体" w:cs="Times New Roman"/>
                <w:b w:val="0"/>
                <w:bCs w:val="0"/>
                <w:color w:val="auto"/>
                <w:kern w:val="2"/>
                <w:sz w:val="20"/>
                <w:szCs w:val="20"/>
                <w:highlight w:val="none"/>
                <w:u w:val="none"/>
                <w:lang w:val="en-US" w:eastAsia="zh-CN" w:bidi="ar-SA"/>
              </w:rPr>
              <w:t>总分</w:t>
            </w:r>
          </w:p>
        </w:tc>
        <w:tc>
          <w:tcPr>
            <w:tcW w:w="6646" w:type="dxa"/>
            <w:noWrap w:val="0"/>
            <w:vAlign w:val="center"/>
          </w:tcPr>
          <w:p w14:paraId="73238855">
            <w:pPr>
              <w:rPr>
                <w:rFonts w:hint="default" w:ascii="宋体" w:hAnsi="宋体" w:eastAsia="宋体" w:cs="Times New Roman"/>
                <w:b w:val="0"/>
                <w:bCs w:val="0"/>
                <w:color w:val="auto"/>
                <w:kern w:val="2"/>
                <w:sz w:val="20"/>
                <w:szCs w:val="20"/>
                <w:highlight w:val="none"/>
                <w:u w:val="none"/>
                <w:lang w:val="en-US" w:eastAsia="zh-CN" w:bidi="ar-SA"/>
              </w:rPr>
            </w:pPr>
            <w:r>
              <w:rPr>
                <w:rFonts w:hint="eastAsia" w:ascii="宋体" w:hAnsi="宋体" w:cs="Times New Roman"/>
                <w:b w:val="0"/>
                <w:bCs w:val="0"/>
                <w:color w:val="auto"/>
                <w:kern w:val="2"/>
                <w:sz w:val="20"/>
                <w:szCs w:val="20"/>
                <w:highlight w:val="none"/>
                <w:u w:val="none"/>
                <w:lang w:val="en-US" w:eastAsia="zh-CN" w:bidi="ar-SA"/>
              </w:rPr>
              <w:t>100分</w:t>
            </w:r>
          </w:p>
        </w:tc>
        <w:tc>
          <w:tcPr>
            <w:tcW w:w="550" w:type="dxa"/>
            <w:noWrap w:val="0"/>
            <w:vAlign w:val="center"/>
          </w:tcPr>
          <w:p w14:paraId="7EA732CF">
            <w:pPr>
              <w:rPr>
                <w:rFonts w:ascii="宋体" w:hAnsi="宋体"/>
                <w:szCs w:val="21"/>
                <w:highlight w:val="none"/>
              </w:rPr>
            </w:pPr>
          </w:p>
        </w:tc>
      </w:tr>
    </w:tbl>
    <w:p w14:paraId="7FD58BAE">
      <w:pPr>
        <w:shd w:val="clear" w:color="auto" w:fill="auto"/>
        <w:spacing w:line="440" w:lineRule="exact"/>
        <w:rPr>
          <w:rFonts w:hint="eastAsia" w:ascii="宋体" w:hAnsi="宋体" w:eastAsia="宋体" w:cs="宋体"/>
          <w:b/>
          <w:bCs/>
          <w:color w:val="auto"/>
          <w:szCs w:val="21"/>
          <w:highlight w:val="none"/>
          <w:lang w:val="en-US" w:eastAsia="zh-CN" w:bidi="ar-SA"/>
        </w:rPr>
      </w:pPr>
      <w:r>
        <w:rPr>
          <w:rFonts w:hint="eastAsia" w:ascii="宋体" w:hAnsi="宋体" w:eastAsia="宋体" w:cs="宋体"/>
          <w:b/>
          <w:bCs/>
          <w:color w:val="auto"/>
          <w:szCs w:val="21"/>
          <w:highlight w:val="none"/>
          <w:lang w:val="en-US" w:eastAsia="zh-CN" w:bidi="ar-SA"/>
        </w:rPr>
        <w:t>说明：</w:t>
      </w:r>
    </w:p>
    <w:p w14:paraId="540E63FA">
      <w:pPr>
        <w:shd w:val="clear" w:color="auto" w:fill="auto"/>
        <w:spacing w:line="440" w:lineRule="exact"/>
        <w:rPr>
          <w:rFonts w:hint="eastAsia" w:ascii="宋体" w:hAnsi="宋体" w:eastAsia="宋体" w:cs="宋体"/>
          <w:b/>
          <w:bCs/>
          <w:color w:val="auto"/>
          <w:szCs w:val="21"/>
          <w:highlight w:val="none"/>
          <w:lang w:val="en-US" w:eastAsia="zh-CN" w:bidi="ar-SA"/>
        </w:rPr>
      </w:pPr>
      <w:r>
        <w:rPr>
          <w:rFonts w:hint="eastAsia" w:ascii="宋体" w:hAnsi="宋体" w:eastAsia="宋体" w:cs="宋体"/>
          <w:b/>
          <w:bCs/>
          <w:color w:val="auto"/>
          <w:szCs w:val="21"/>
          <w:highlight w:val="none"/>
          <w:lang w:val="en-US" w:eastAsia="zh-CN" w:bidi="ar-SA"/>
        </w:rPr>
        <w:t>1、本评审内容中“完全满足项目要求”是指：①内容与项目技术服务需求吻合、层次细化，有具体详细的阐述；②阐述从实际出发，切合项目背景、项目需求情况发现问题并提出合理化专业技术建议或者解决方案；③内容符合国家、地方、行业标准、行业惯例以及项目特点、能有效落地执行和操作，保障项目高质量履约，实现采购目标。④内容清楚明了、表述规范、含义准确。</w:t>
      </w:r>
    </w:p>
    <w:p w14:paraId="29452E40">
      <w:pPr>
        <w:shd w:val="clear" w:color="auto" w:fill="auto"/>
        <w:spacing w:line="440" w:lineRule="exact"/>
        <w:rPr>
          <w:rFonts w:hint="eastAsia" w:ascii="宋体" w:hAnsi="宋体" w:eastAsia="宋体" w:cs="宋体"/>
          <w:b/>
          <w:bCs/>
          <w:color w:val="auto"/>
          <w:szCs w:val="21"/>
          <w:highlight w:val="none"/>
          <w:lang w:val="en-US" w:eastAsia="zh-CN" w:bidi="ar-SA"/>
        </w:rPr>
      </w:pPr>
      <w:r>
        <w:rPr>
          <w:rFonts w:hint="eastAsia" w:ascii="宋体" w:hAnsi="宋体" w:eastAsia="宋体" w:cs="宋体"/>
          <w:b/>
          <w:bCs/>
          <w:color w:val="auto"/>
          <w:szCs w:val="21"/>
          <w:highlight w:val="none"/>
          <w:lang w:val="en-US" w:eastAsia="zh-CN" w:bidi="ar-SA"/>
        </w:rPr>
        <w:t>2、本评审内容中“内容缺陷”“不足”是指：1.内容与实际情况不匹配、2.不符合项目特点、3.内容不完整或缺少关键节点、4.未按采购需求针对描述、5.存在描述内容过于简略、6.缺失不全、该项内容阐述的方式方法明显不符合本项目实际情况7.前后矛盾，，该项内容引用的规定、规范错误、8.表述不清晰、9.凭空编造、10.逻辑混淆错误、11.涉及的规范及标准错误不可能实现的情形等任意一种情形。</w:t>
      </w:r>
    </w:p>
    <w:p w14:paraId="4F9FECEF">
      <w:pPr>
        <w:shd w:val="clear" w:color="auto" w:fill="auto"/>
        <w:spacing w:line="440" w:lineRule="exact"/>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备注:1、根据《政府采购服务和服务招投标管理办法》第87号令第六十条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B56C0BB">
      <w:pPr>
        <w:shd w:val="clear" w:color="auto" w:fill="auto"/>
        <w:spacing w:line="440" w:lineRule="exact"/>
        <w:ind w:firstLine="539" w:firstLineChars="257"/>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2、供应商在评标过程中，所进行的力图影响评标结果的不符合招标规则的活动，可能导致其被取消成交资格。</w:t>
      </w:r>
    </w:p>
    <w:p w14:paraId="3FF72315">
      <w:pPr>
        <w:shd w:val="clear" w:color="auto" w:fill="auto"/>
        <w:spacing w:line="440" w:lineRule="exact"/>
        <w:ind w:firstLine="539" w:firstLineChars="257"/>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3、与磋商文件有重大偏离的投标文件将被拒绝。</w:t>
      </w:r>
    </w:p>
    <w:p w14:paraId="36EA11EA">
      <w:pPr>
        <w:shd w:val="clear" w:color="auto" w:fill="auto"/>
        <w:spacing w:line="440" w:lineRule="exact"/>
        <w:ind w:firstLine="539" w:firstLineChars="257"/>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附：对于商务部分（投标报价）的评分，按以下方法进行：价格分统一采用低价优先法计算，即满足磋商文件要求且评标价格最低的报价为评标基准价，其价格分为满分。其他投标人的价格分统一按照下列公式计算：报价得分=(评标基准价／评标价格)×10%×100</w:t>
      </w:r>
    </w:p>
    <w:bookmarkEnd w:id="184"/>
    <w:p w14:paraId="21492B21">
      <w:pPr>
        <w:shd w:val="clear" w:color="auto" w:fill="auto"/>
        <w:spacing w:line="440" w:lineRule="exact"/>
        <w:ind w:firstLine="539" w:firstLineChars="257"/>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成交候选人。</w:t>
      </w:r>
    </w:p>
    <w:p w14:paraId="113D7D3C">
      <w:pPr>
        <w:shd w:val="clear" w:color="auto" w:fill="auto"/>
        <w:spacing w:line="440" w:lineRule="exact"/>
        <w:ind w:firstLine="539" w:firstLineChars="257"/>
        <w:rPr>
          <w:rFonts w:hint="eastAsia" w:ascii="宋体" w:hAnsi="宋体" w:eastAsia="宋体" w:cs="宋体"/>
          <w:color w:val="auto"/>
          <w:szCs w:val="21"/>
          <w:highlight w:val="none"/>
          <w:lang w:val="en-US" w:eastAsia="zh-CN" w:bidi="ar-SA"/>
        </w:rPr>
      </w:pPr>
      <w:r>
        <w:rPr>
          <w:rFonts w:hint="eastAsia" w:ascii="宋体" w:hAnsi="宋体" w:eastAsia="宋体" w:cs="宋体"/>
          <w:color w:val="auto"/>
          <w:szCs w:val="21"/>
          <w:highlight w:val="none"/>
          <w:lang w:val="en-US" w:eastAsia="zh-CN" w:bidi="ar-SA"/>
        </w:rPr>
        <w:t>5、最低报价不作为评标的唯一依据。采购人不承诺将合同授予报价最低的投标人。</w:t>
      </w:r>
    </w:p>
    <w:p w14:paraId="6946630A">
      <w:pPr>
        <w:shd w:val="clear" w:color="auto" w:fill="auto"/>
        <w:spacing w:line="440" w:lineRule="exact"/>
        <w:ind w:firstLine="539" w:firstLineChars="257"/>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bidi="ar-SA"/>
        </w:rPr>
        <w:t>6、经评标委员会评议，认为投标报价过高、超出采购人预算的项目，可以不确立中标人，做为废标处理。</w:t>
      </w:r>
    </w:p>
    <w:bookmarkEnd w:id="169"/>
    <w:p w14:paraId="591AB7CA">
      <w:pPr>
        <w:shd w:val="clear" w:color="auto" w:fill="auto"/>
        <w:snapToGrid w:val="0"/>
        <w:spacing w:line="400" w:lineRule="exact"/>
        <w:ind w:firstLine="420" w:firstLineChars="200"/>
        <w:rPr>
          <w:rFonts w:hint="eastAsia" w:ascii="宋体" w:hAnsi="宋体"/>
          <w:b/>
          <w:color w:val="auto"/>
          <w:szCs w:val="21"/>
          <w:highlight w:val="none"/>
        </w:rPr>
      </w:pPr>
      <w:r>
        <w:rPr>
          <w:rFonts w:hint="eastAsia" w:ascii="宋体" w:hAnsi="宋体"/>
          <w:b/>
          <w:color w:val="auto"/>
          <w:szCs w:val="21"/>
          <w:highlight w:val="none"/>
          <w:lang w:val="en-US" w:eastAsia="zh-CN"/>
        </w:rPr>
        <w:t>12.</w:t>
      </w:r>
      <w:r>
        <w:rPr>
          <w:rFonts w:hint="eastAsia" w:ascii="宋体" w:hAnsi="宋体"/>
          <w:b/>
          <w:color w:val="auto"/>
          <w:szCs w:val="21"/>
          <w:highlight w:val="none"/>
        </w:rPr>
        <w:t>无效投标条款</w:t>
      </w:r>
    </w:p>
    <w:p w14:paraId="56CD381E">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.1投标文件有下列情形之一的,其投标文件拒收:</w:t>
      </w:r>
    </w:p>
    <w:p w14:paraId="04F3DA07">
      <w:pPr>
        <w:shd w:val="clear" w:color="auto" w:fill="auto"/>
        <w:snapToGrid w:val="0"/>
        <w:spacing w:line="400" w:lineRule="exact"/>
        <w:rPr>
          <w:rFonts w:hint="eastAsia" w:ascii="宋体" w:hAnsi="宋体" w:cs="宋体"/>
          <w:b/>
          <w:bCs/>
          <w:color w:val="auto"/>
          <w:szCs w:val="21"/>
          <w:highlight w:val="none"/>
        </w:rPr>
      </w:pPr>
      <w:r>
        <w:rPr>
          <w:rFonts w:hint="eastAsia" w:ascii="宋体" w:hAnsi="宋体" w:cs="宋体"/>
          <w:color w:val="auto"/>
          <w:szCs w:val="21"/>
          <w:highlight w:val="none"/>
        </w:rPr>
        <w:t xml:space="preserve">   </w:t>
      </w:r>
      <w:r>
        <w:rPr>
          <w:rFonts w:hint="eastAsia" w:ascii="宋体" w:hAnsi="宋体" w:cs="宋体"/>
          <w:b/>
          <w:bCs/>
          <w:color w:val="auto"/>
          <w:szCs w:val="21"/>
          <w:highlight w:val="none"/>
        </w:rPr>
        <w:t xml:space="preserve"> (1) 未在开标截止时间前通过网上招标投标系统递交有效电子投标文件的，开标系统不予接收。</w:t>
      </w:r>
    </w:p>
    <w:p w14:paraId="291BB955">
      <w:pPr>
        <w:shd w:val="clear" w:color="auto" w:fill="auto"/>
        <w:snapToGrid w:val="0"/>
        <w:spacing w:line="400" w:lineRule="exact"/>
        <w:ind w:firstLine="420"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b/>
          <w:color w:val="auto"/>
          <w:szCs w:val="21"/>
          <w:highlight w:val="none"/>
        </w:rPr>
        <w:t>所有投标人应在规定时间里完成投标文件的解密工作</w:t>
      </w:r>
      <w:r>
        <w:rPr>
          <w:rFonts w:hint="eastAsia" w:ascii="宋体" w:hAnsi="宋体"/>
          <w:b/>
          <w:bCs/>
          <w:color w:val="auto"/>
          <w:szCs w:val="21"/>
          <w:highlight w:val="none"/>
        </w:rPr>
        <w:t>【投标人</w:t>
      </w:r>
      <w:r>
        <w:rPr>
          <w:rFonts w:hint="eastAsia" w:ascii="宋体" w:hAnsi="宋体"/>
          <w:b/>
          <w:bCs/>
          <w:color w:val="auto"/>
          <w:szCs w:val="21"/>
          <w:highlight w:val="none"/>
          <w:lang w:eastAsia="zh-CN"/>
        </w:rPr>
        <w:t>使用</w:t>
      </w:r>
      <w:r>
        <w:rPr>
          <w:rFonts w:hint="eastAsia" w:ascii="宋体" w:hAnsi="宋体"/>
          <w:b/>
          <w:bCs/>
          <w:color w:val="auto"/>
          <w:szCs w:val="21"/>
          <w:highlight w:val="none"/>
        </w:rPr>
        <w:t>其有效加密锁（CA锁）</w:t>
      </w:r>
      <w:r>
        <w:rPr>
          <w:rFonts w:hint="eastAsia" w:ascii="宋体" w:hAnsi="宋体"/>
          <w:b/>
          <w:bCs/>
          <w:color w:val="auto"/>
          <w:szCs w:val="21"/>
          <w:highlight w:val="none"/>
          <w:lang w:eastAsia="zh-CN"/>
        </w:rPr>
        <w:t>进行</w:t>
      </w:r>
      <w:r>
        <w:rPr>
          <w:rFonts w:hint="eastAsia" w:ascii="宋体" w:hAnsi="宋体"/>
          <w:b/>
          <w:bCs/>
          <w:color w:val="auto"/>
          <w:szCs w:val="21"/>
          <w:highlight w:val="none"/>
        </w:rPr>
        <w:t>解密（因投标人原因未能提供有效CA锁对其投标文件进行解密的，其投标文件按无效标处理），以网上招投标系统解密倒计时为准】</w:t>
      </w:r>
      <w:r>
        <w:rPr>
          <w:rFonts w:hint="eastAsia" w:ascii="宋体" w:hAnsi="宋体"/>
          <w:b/>
          <w:color w:val="auto"/>
          <w:szCs w:val="21"/>
          <w:highlight w:val="none"/>
        </w:rPr>
        <w:t>，因系统原因未能成功解密的投标文件，可导入</w:t>
      </w:r>
      <w:r>
        <w:rPr>
          <w:rFonts w:hint="eastAsia" w:ascii="宋体" w:hAnsi="宋体"/>
          <w:b/>
          <w:color w:val="auto"/>
          <w:szCs w:val="21"/>
          <w:highlight w:val="none"/>
          <w:lang w:eastAsia="zh-CN"/>
        </w:rPr>
        <w:t>备份投标文件</w:t>
      </w:r>
      <w:r>
        <w:rPr>
          <w:rFonts w:hint="eastAsia" w:ascii="宋体" w:hAnsi="宋体"/>
          <w:b/>
          <w:color w:val="auto"/>
          <w:szCs w:val="21"/>
          <w:highlight w:val="none"/>
        </w:rPr>
        <w:t>。</w:t>
      </w:r>
      <w:r>
        <w:rPr>
          <w:rFonts w:hint="eastAsia" w:ascii="宋体" w:hAnsi="宋体"/>
          <w:b/>
          <w:color w:val="auto"/>
          <w:szCs w:val="21"/>
          <w:highlight w:val="none"/>
          <w:lang w:eastAsia="zh-CN"/>
        </w:rPr>
        <w:t>备份投标文件</w:t>
      </w:r>
      <w:r>
        <w:rPr>
          <w:rFonts w:hint="eastAsia" w:ascii="宋体" w:hAnsi="宋体"/>
          <w:b/>
          <w:color w:val="auto"/>
          <w:szCs w:val="21"/>
          <w:highlight w:val="none"/>
        </w:rPr>
        <w:t>也无法导入的，则投标文件被否决。</w:t>
      </w:r>
    </w:p>
    <w:p w14:paraId="41EEFABF">
      <w:pPr>
        <w:shd w:val="clear" w:color="auto" w:fill="auto"/>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.2投标人有下列情形之一的,资格审查后其投标作无效投标处理：</w:t>
      </w:r>
    </w:p>
    <w:p w14:paraId="2F764925">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法定代表人</w:t>
      </w:r>
      <w:r>
        <w:rPr>
          <w:rFonts w:hint="eastAsia" w:ascii="宋体" w:hAnsi="宋体" w:cs="宋体"/>
          <w:color w:val="auto"/>
          <w:szCs w:val="21"/>
          <w:highlight w:val="none"/>
        </w:rPr>
        <w:t>参加开标会议未携带有效的</w:t>
      </w:r>
      <w:r>
        <w:rPr>
          <w:rFonts w:hint="eastAsia" w:ascii="宋体" w:hAnsi="宋体" w:cs="宋体"/>
          <w:color w:val="auto"/>
          <w:szCs w:val="21"/>
          <w:highlight w:val="none"/>
          <w:lang w:eastAsia="zh-CN"/>
        </w:rPr>
        <w:t>法定代表人</w:t>
      </w:r>
      <w:r>
        <w:rPr>
          <w:rFonts w:hint="eastAsia" w:ascii="宋体" w:hAnsi="宋体" w:cs="宋体"/>
          <w:color w:val="auto"/>
          <w:szCs w:val="21"/>
          <w:highlight w:val="none"/>
        </w:rPr>
        <w:t>身份证明原件和本人身份证的；委托代理人参加开标会议未携带有效的</w:t>
      </w:r>
      <w:r>
        <w:rPr>
          <w:rFonts w:hint="eastAsia" w:ascii="宋体" w:hAnsi="宋体" w:cs="宋体"/>
          <w:color w:val="auto"/>
          <w:szCs w:val="21"/>
          <w:highlight w:val="none"/>
          <w:lang w:eastAsia="zh-CN"/>
        </w:rPr>
        <w:t>法定代表人</w:t>
      </w:r>
      <w:r>
        <w:rPr>
          <w:rFonts w:hint="eastAsia" w:ascii="宋体" w:hAnsi="宋体" w:cs="宋体"/>
          <w:color w:val="auto"/>
          <w:szCs w:val="21"/>
          <w:highlight w:val="none"/>
        </w:rPr>
        <w:t>授权书和本人身份证；</w:t>
      </w:r>
    </w:p>
    <w:p w14:paraId="4D6B0845">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(2)投标人为本项目提供招标代理服务的；</w:t>
      </w:r>
    </w:p>
    <w:p w14:paraId="5750CB96">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(3)投标人与在本项目代理机构存在相互任职或工作的；</w:t>
      </w:r>
    </w:p>
    <w:p w14:paraId="242DE9C8">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(4)投标保证金未按规定要求缴纳的；</w:t>
      </w:r>
    </w:p>
    <w:p w14:paraId="0D122342">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b/>
          <w:bCs/>
          <w:color w:val="auto"/>
          <w:szCs w:val="21"/>
          <w:highlight w:val="none"/>
        </w:rPr>
        <w:t>评标专家无法查看并检验电子标书中相关资料的；</w:t>
      </w:r>
    </w:p>
    <w:p w14:paraId="517F8FA8">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)联合体投标未提交联合体协议的；</w:t>
      </w:r>
    </w:p>
    <w:p w14:paraId="0D336834">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)被暂停营业的；</w:t>
      </w:r>
    </w:p>
    <w:p w14:paraId="014E1090">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)被暂停或取消投标资格的；</w:t>
      </w:r>
    </w:p>
    <w:p w14:paraId="20583210">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)财产被接管或冻结的；</w:t>
      </w:r>
    </w:p>
    <w:p w14:paraId="7B87FDE9">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)投标人单位</w:t>
      </w:r>
      <w:r>
        <w:rPr>
          <w:rFonts w:hint="eastAsia" w:ascii="宋体" w:hAnsi="宋体" w:cs="宋体"/>
          <w:color w:val="auto"/>
          <w:szCs w:val="21"/>
          <w:highlight w:val="none"/>
          <w:lang w:eastAsia="zh-CN"/>
        </w:rPr>
        <w:t>法定代表人</w:t>
      </w:r>
      <w:r>
        <w:rPr>
          <w:rFonts w:hint="eastAsia" w:ascii="宋体" w:hAnsi="宋体" w:cs="宋体"/>
          <w:color w:val="auto"/>
          <w:szCs w:val="21"/>
          <w:highlight w:val="none"/>
        </w:rPr>
        <w:t>为同一人或者存在控股、管理关系的不同单位的；</w:t>
      </w:r>
    </w:p>
    <w:p w14:paraId="1B266A79">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）投标人基本资格条件和特定资格条件中有一项及以上不符合要求的；</w:t>
      </w:r>
    </w:p>
    <w:p w14:paraId="5A18E61B">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）投标人使用相同的MAC地址进行报名的；</w:t>
      </w:r>
    </w:p>
    <w:p w14:paraId="5CDE9EE5">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）其它情形，经评标委员会委提出按无效投标处理，并经公共资源交易监督部门核准的；</w:t>
      </w:r>
    </w:p>
    <w:p w14:paraId="61663FC2">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）投标人使用相同IP地址报名的，一经发现，监管部门将进一步核实，查实后按串通投标处理；</w:t>
      </w:r>
    </w:p>
    <w:p w14:paraId="744991FC">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规定的其它无效投标情形。</w:t>
      </w:r>
    </w:p>
    <w:p w14:paraId="6E89A1FD">
      <w:pPr>
        <w:shd w:val="clear" w:color="auto" w:fill="auto"/>
        <w:snapToGrid w:val="0"/>
        <w:spacing w:line="40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.3 投标人有下列情形之一的,符合性审查后其投标按无效投标处理：</w:t>
      </w:r>
    </w:p>
    <w:p w14:paraId="3F46EDD6">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eastAsia="宋体" w:cs="宋体"/>
          <w:color w:val="auto"/>
          <w:szCs w:val="21"/>
          <w:highlight w:val="none"/>
        </w:rPr>
        <w:t xml:space="preserve">(1) </w:t>
      </w:r>
      <w:r>
        <w:rPr>
          <w:rFonts w:hint="eastAsia" w:ascii="宋体" w:hAnsi="宋体" w:cs="宋体"/>
          <w:color w:val="auto"/>
          <w:szCs w:val="21"/>
          <w:highlight w:val="none"/>
        </w:rPr>
        <w:t>投标文件签字、盖章不全，经评标委员会一致认定对开评标内容有实质性影响并经监督部门核准的；</w:t>
      </w:r>
    </w:p>
    <w:p w14:paraId="5A13DE89">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)未按规定的格式填写，实质性内容不全或关键字迹模糊、无法辨认; 经监督部门核准的；</w:t>
      </w:r>
    </w:p>
    <w:p w14:paraId="206E0DD3">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(4)同一投标人提交两个以上不同的投标文件或者投标报价，但</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规定提交备选方案的除外；</w:t>
      </w:r>
    </w:p>
    <w:p w14:paraId="62B468FD">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)投标文件没有对</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的实质性要求和条件作出响应;</w:t>
      </w:r>
    </w:p>
    <w:p w14:paraId="47181C1A">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)投标报价超出规定的投标限价或公布的采购预算的；注：投标人的投标报价各项单价均不得高于</w:t>
      </w:r>
      <w:r>
        <w:rPr>
          <w:rFonts w:hint="eastAsia" w:ascii="宋体" w:hAnsi="宋体" w:cs="宋体"/>
          <w:color w:val="auto"/>
          <w:szCs w:val="21"/>
          <w:highlight w:val="none"/>
          <w:lang w:eastAsia="zh-CN"/>
        </w:rPr>
        <w:t>磋商文件</w:t>
      </w:r>
      <w:r>
        <w:rPr>
          <w:rFonts w:hint="eastAsia" w:ascii="宋体" w:hAnsi="宋体" w:cs="宋体"/>
          <w:color w:val="auto"/>
          <w:szCs w:val="21"/>
          <w:highlight w:val="none"/>
        </w:rPr>
        <w:t>给定的单价最高限价，否则，其投标文件将按无效投标处理。</w:t>
      </w:r>
    </w:p>
    <w:p w14:paraId="35259578">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)不按评标委员会要求澄清、说明或补正的，或者评标委员会根据</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的规定对</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的计算错误进行修正后，投标人不接受修正的投标报价的。</w:t>
      </w:r>
    </w:p>
    <w:p w14:paraId="10A14C9F">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）其它情形，经评标委员会委提出按无效投标处理，并经公共资源交易监督部门核准的；</w:t>
      </w:r>
    </w:p>
    <w:p w14:paraId="36362422">
      <w:pPr>
        <w:widowControl/>
        <w:shd w:val="clear" w:color="auto" w:fill="auto"/>
        <w:spacing w:line="500" w:lineRule="exact"/>
        <w:ind w:firstLine="420" w:firstLineChars="200"/>
        <w:jc w:val="left"/>
        <w:rPr>
          <w:rFonts w:ascii="Tahoma" w:hAnsi="Tahoma" w:eastAsia="Tahoma" w:cs="Tahoma"/>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w:t>
      </w:r>
      <w:r>
        <w:rPr>
          <w:rFonts w:ascii="Tahoma" w:hAnsi="Tahoma" w:eastAsia="Tahoma" w:cs="Tahoma"/>
          <w:color w:val="auto"/>
          <w:kern w:val="0"/>
          <w:szCs w:val="21"/>
          <w:highlight w:val="none"/>
          <w:shd w:val="clear" w:color="auto" w:fill="FFFFFF"/>
          <w:lang w:bidi="ar"/>
        </w:rPr>
        <w:t>未按照</w:t>
      </w:r>
      <w:r>
        <w:rPr>
          <w:rFonts w:hint="eastAsia" w:ascii="Tahoma" w:hAnsi="Tahoma" w:eastAsia="宋体" w:cs="Tahoma"/>
          <w:color w:val="auto"/>
          <w:kern w:val="0"/>
          <w:szCs w:val="21"/>
          <w:highlight w:val="none"/>
          <w:shd w:val="clear" w:color="auto" w:fill="FFFFFF"/>
          <w:lang w:eastAsia="zh-CN" w:bidi="ar"/>
        </w:rPr>
        <w:t>磋商文件</w:t>
      </w:r>
      <w:r>
        <w:rPr>
          <w:rFonts w:ascii="Tahoma" w:hAnsi="Tahoma" w:eastAsia="Tahoma" w:cs="Tahoma"/>
          <w:color w:val="auto"/>
          <w:kern w:val="0"/>
          <w:szCs w:val="21"/>
          <w:highlight w:val="none"/>
          <w:shd w:val="clear" w:color="auto" w:fill="FFFFFF"/>
          <w:lang w:bidi="ar"/>
        </w:rPr>
        <w:t>的规定提交投标保证金的；</w:t>
      </w:r>
    </w:p>
    <w:p w14:paraId="25561D51">
      <w:pPr>
        <w:widowControl/>
        <w:shd w:val="clear" w:color="auto" w:fill="auto"/>
        <w:spacing w:line="500" w:lineRule="exact"/>
        <w:ind w:firstLine="420" w:firstLineChars="200"/>
        <w:jc w:val="left"/>
        <w:rPr>
          <w:rFonts w:ascii="Tahoma" w:hAnsi="Tahoma" w:eastAsia="Tahoma" w:cs="Tahoma"/>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w:t>
      </w:r>
      <w:r>
        <w:rPr>
          <w:rFonts w:ascii="Tahoma" w:hAnsi="Tahoma" w:eastAsia="Tahoma" w:cs="Tahoma"/>
          <w:color w:val="auto"/>
          <w:kern w:val="0"/>
          <w:szCs w:val="21"/>
          <w:highlight w:val="none"/>
          <w:shd w:val="clear" w:color="auto" w:fill="FFFFFF"/>
          <w:lang w:bidi="ar"/>
        </w:rPr>
        <w:t>投标文件含有采购人不能接受的附加条件的;</w:t>
      </w:r>
    </w:p>
    <w:p w14:paraId="34314687">
      <w:pPr>
        <w:shd w:val="clear" w:color="auto" w:fill="auto"/>
        <w:tabs>
          <w:tab w:val="left" w:pos="1123"/>
        </w:tabs>
        <w:snapToGrid w:val="0"/>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规定的其它无效投标情形。</w:t>
      </w:r>
    </w:p>
    <w:p w14:paraId="04F5BECC">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.4 投标人有下列情形之一的, 详细评审后其投标按无效投标处理：</w:t>
      </w:r>
    </w:p>
    <w:p w14:paraId="17C5CBE3">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48CAA0BA">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296F03B2">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(3)投标文件含有违反国家法律、法规的内容，或附有招标人不能接受的条件的；</w:t>
      </w:r>
    </w:p>
    <w:p w14:paraId="496C0951">
      <w:pPr>
        <w:shd w:val="clear" w:color="auto" w:fill="auto"/>
        <w:spacing w:line="360" w:lineRule="auto"/>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（4）在同一项目（或同一标段）中有多个投标人有效投标报价接近最高限价，且评标委员会认为报价出现异常的，可以宣布其投标无效；</w:t>
      </w:r>
    </w:p>
    <w:p w14:paraId="6A4C2FE8">
      <w:pPr>
        <w:shd w:val="clear" w:color="auto" w:fill="auto"/>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报价明显低于其他投标人，且不能证明报价合理性的投标无效</w:t>
      </w:r>
      <w:r>
        <w:rPr>
          <w:rFonts w:hint="eastAsia" w:ascii="宋体" w:hAnsi="宋体" w:cs="宋体"/>
          <w:color w:val="auto"/>
          <w:szCs w:val="21"/>
          <w:highlight w:val="none"/>
        </w:rPr>
        <w:t>；</w:t>
      </w:r>
    </w:p>
    <w:p w14:paraId="5FB51510">
      <w:pPr>
        <w:shd w:val="clear" w:color="auto" w:fill="auto"/>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拒不确认评标委员会评审修正的投标无效</w:t>
      </w:r>
      <w:r>
        <w:rPr>
          <w:rFonts w:hint="eastAsia" w:ascii="宋体" w:hAnsi="宋体" w:cs="宋体"/>
          <w:color w:val="auto"/>
          <w:szCs w:val="21"/>
          <w:highlight w:val="none"/>
        </w:rPr>
        <w:t>；</w:t>
      </w:r>
    </w:p>
    <w:p w14:paraId="42BB931F">
      <w:pPr>
        <w:shd w:val="clear" w:color="auto" w:fill="auto"/>
        <w:snapToGrid w:val="0"/>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（7）其它情形，经评标委员会委提出按无效投标处理，并经公共资源交易监督部门核准的；</w:t>
      </w:r>
    </w:p>
    <w:p w14:paraId="6290F838">
      <w:pPr>
        <w:shd w:val="clear" w:color="auto" w:fill="auto"/>
        <w:snapToGrid w:val="0"/>
        <w:spacing w:line="400" w:lineRule="exact"/>
        <w:ind w:firstLine="420" w:firstLineChars="200"/>
        <w:rPr>
          <w:rFonts w:hint="eastAsia" w:ascii="宋体"/>
          <w:color w:val="auto"/>
          <w:szCs w:val="21"/>
          <w:highlight w:val="none"/>
        </w:rPr>
      </w:pPr>
      <w:r>
        <w:rPr>
          <w:rFonts w:hint="eastAsia" w:ascii="宋体" w:hAnsi="宋体" w:cs="宋体"/>
          <w:color w:val="auto"/>
          <w:szCs w:val="21"/>
          <w:highlight w:val="none"/>
        </w:rPr>
        <w:t>（8）</w:t>
      </w: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规定的其它无效投标情形。</w:t>
      </w:r>
    </w:p>
    <w:p w14:paraId="630AB6C5">
      <w:pPr>
        <w:pageBreakBefore/>
        <w:shd w:val="clear" w:color="auto" w:fill="auto"/>
        <w:spacing w:line="360" w:lineRule="auto"/>
        <w:jc w:val="center"/>
        <w:outlineLvl w:val="9"/>
        <w:rPr>
          <w:rFonts w:hint="eastAsia" w:ascii="宋体"/>
          <w:b/>
          <w:color w:val="auto"/>
          <w:sz w:val="32"/>
          <w:szCs w:val="32"/>
          <w:highlight w:val="none"/>
        </w:rPr>
        <w:sectPr>
          <w:headerReference r:id="rId5" w:type="default"/>
          <w:footerReference r:id="rId6" w:type="default"/>
          <w:pgSz w:w="11906" w:h="16838"/>
          <w:pgMar w:top="1157" w:right="969" w:bottom="1157" w:left="969" w:header="851" w:footer="992" w:gutter="0"/>
          <w:pgNumType w:fmt="decimal"/>
          <w:cols w:space="720" w:num="1"/>
          <w:rtlGutter w:val="0"/>
          <w:docGrid w:type="linesAndChars" w:linePitch="312" w:charSpace="0"/>
        </w:sectPr>
      </w:pPr>
      <w:bookmarkStart w:id="185" w:name="OLE_LINK4"/>
    </w:p>
    <w:bookmarkEnd w:id="170"/>
    <w:bookmarkEnd w:id="185"/>
    <w:p w14:paraId="420BC171">
      <w:pPr>
        <w:jc w:val="center"/>
        <w:rPr>
          <w:rFonts w:hint="eastAsia" w:ascii="宋体" w:hAnsi="Times New Roman" w:eastAsia="宋体" w:cs="Times New Roman"/>
          <w:color w:val="auto"/>
          <w:sz w:val="30"/>
          <w:szCs w:val="30"/>
          <w:highlight w:val="none"/>
        </w:rPr>
      </w:pPr>
      <w:bookmarkStart w:id="186" w:name="_Toc15393"/>
      <w:bookmarkStart w:id="187" w:name="_Toc28946"/>
      <w:bookmarkStart w:id="188" w:name="_Toc29107"/>
      <w:r>
        <w:rPr>
          <w:rFonts w:hint="eastAsia" w:ascii="宋体"/>
          <w:b/>
          <w:color w:val="auto"/>
          <w:sz w:val="30"/>
          <w:szCs w:val="30"/>
          <w:highlight w:val="none"/>
          <w:lang w:val="en-US" w:eastAsia="zh-CN"/>
        </w:rPr>
        <w:t>第四章</w:t>
      </w:r>
      <w:r>
        <w:rPr>
          <w:rFonts w:hint="eastAsia" w:ascii="宋体" w:hAnsi="Times New Roman" w:eastAsia="宋体" w:cs="Times New Roman"/>
          <w:color w:val="auto"/>
          <w:sz w:val="30"/>
          <w:szCs w:val="30"/>
          <w:highlight w:val="none"/>
        </w:rPr>
        <w:t xml:space="preserve"> </w:t>
      </w:r>
      <w:r>
        <w:rPr>
          <w:rFonts w:hint="eastAsia" w:ascii="宋体" w:cs="Times New Roman"/>
          <w:b/>
          <w:bCs/>
          <w:color w:val="000000" w:themeColor="text1"/>
          <w:sz w:val="30"/>
          <w:szCs w:val="30"/>
          <w:highlight w:val="none"/>
          <w:lang w:val="en-US" w:eastAsia="zh-CN"/>
          <w14:textFill>
            <w14:solidFill>
              <w14:schemeClr w14:val="tx1"/>
            </w14:solidFill>
          </w14:textFill>
        </w:rPr>
        <w:t>采购需求</w:t>
      </w:r>
    </w:p>
    <w:p w14:paraId="54082A4D">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000000" w:themeColor="text1"/>
          <w:szCs w:val="21"/>
          <w:highlight w:val="none"/>
          <w14:textFill>
            <w14:solidFill>
              <w14:schemeClr w14:val="tx1"/>
            </w14:solidFill>
          </w14:textFill>
        </w:rPr>
        <w:t>一、项目背景</w:t>
      </w:r>
    </w:p>
    <w:p w14:paraId="21EF1BA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当前新媒体传播格局快速发展，短视频、种草平台已成为县域文旅引流、城市形象宣传主阵地，传统单一渠道宣传模式传播覆盖面有限、传播形式较为固化。为进一步拓宽宣传传播渠道，整合新媒体平台资源，构建联动协作的新媒体宣传联盟，形成资源共享、内容共推、流量互促的宣传合力。围绕阿克陶拥有的帕米尔风光、《玛纳斯》非遗、高原美食、边境自驾线路等优质文旅资源，构建微信、抖音、小红书多平台协同传播矩阵。通过实施新媒体联盟宣传推广项目，补齐本地网络对外宣传短板，丰富宣传载体，提升网络舆论引导能力，吸引网民关注，助力文旅引流、品牌塑造，推动地方对外宣传工作提质增效，持续提升阿克陶文旅知名度。</w:t>
      </w:r>
    </w:p>
    <w:p w14:paraId="0E3B5AA4">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服务周期：12个月</w:t>
      </w:r>
    </w:p>
    <w:p w14:paraId="5F4F368D">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服务地点：阿克陶县</w:t>
      </w:r>
      <w:bookmarkStart w:id="316" w:name="_GoBack"/>
      <w:bookmarkEnd w:id="316"/>
    </w:p>
    <w:p w14:paraId="31B94937">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项目预算金额：50万元</w:t>
      </w:r>
    </w:p>
    <w:p w14:paraId="292A92CD">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000000" w:themeColor="text1"/>
          <w:szCs w:val="21"/>
          <w:highlight w:val="none"/>
          <w:lang w:val="en-US" w:eastAsia="zh-CN"/>
          <w14:textFill>
            <w14:solidFill>
              <w14:schemeClr w14:val="tx1"/>
            </w14:solidFill>
          </w14:textFill>
        </w:rPr>
        <w:t>二、项目服务内容及工作要求</w:t>
      </w:r>
    </w:p>
    <w:p w14:paraId="567C947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一</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、新媒体协会/联盟服务</w:t>
      </w:r>
    </w:p>
    <w:p w14:paraId="14CE7AE3">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投标人须派驻人员协助阿克陶县新媒体协会开展日常联络、外部资源对接与协调等相关工作，保障协会日常工作运转。</w:t>
      </w:r>
    </w:p>
    <w:p w14:paraId="5BD2D1FD">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二</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、四大平台账号矩阵搭建及运营</w:t>
      </w:r>
    </w:p>
    <w:p w14:paraId="0F020AA0">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投标人须完成4个平台账号搭建及运营，平台包含：微信公众号、微信视频号、抖音、小红书。</w:t>
      </w:r>
    </w:p>
    <w:p w14:paraId="289D1A2A">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 完成账号从0到1搭建或包装、平台认证，完成账号视觉体系统一、菜单栏配置、自动回复设置、原创保护开通等全部账号基础配置工作。</w:t>
      </w:r>
    </w:p>
    <w:p w14:paraId="3552EB74">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 完成自有IP《爱上阿克陶》全套视觉包装设计，包含但不限于账号头像、内容封面、视频片头片尾、视频字幕、专属水印等，全平台视觉风格保持统一。</w:t>
      </w:r>
    </w:p>
    <w:p w14:paraId="19A38B93">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★4. 账号认证费、蓝V认证费、平台工具使用费、项目所需基础流量投放费用等全部相关费用均包含在本项目总报价内，采购人不再另行支付任何费用。</w:t>
      </w:r>
    </w:p>
    <w:p w14:paraId="62CF4E60">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三</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、《爱上阿克陶》账号品牌运营及基础流量投放要求</w:t>
      </w:r>
    </w:p>
    <w:p w14:paraId="0FF25EE8">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1、年度内容整体策略规划1套：含品牌定位、受众画像、四大平台差异化策略、全年内容排期。</w:t>
      </w:r>
    </w:p>
    <w:p w14:paraId="3C13A63C">
      <w:pPr>
        <w:shd w:val="clear" w:color="auto" w:fill="auto"/>
        <w:snapToGrid w:val="0"/>
        <w:spacing w:line="400" w:lineRule="exact"/>
        <w:ind w:firstLine="426"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2、年度整体传播量≥100万</w:t>
      </w:r>
      <w:r>
        <w:rPr>
          <w:rFonts w:hint="eastAsia" w:ascii="宋体" w:hAnsi="宋体" w:cs="宋体"/>
          <w:color w:val="auto"/>
          <w:szCs w:val="21"/>
          <w:highlight w:val="none"/>
          <w:lang w:eastAsia="zh-CN"/>
        </w:rPr>
        <w:t>。</w:t>
      </w:r>
    </w:p>
    <w:p w14:paraId="1D124599">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rPr>
        <w:t>（四）内容生产与发布指标</w:t>
      </w:r>
    </w:p>
    <w:p w14:paraId="6F34B85E">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（1）微信视频号</w:t>
      </w:r>
    </w:p>
    <w:p w14:paraId="4A324CE3">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全年发布≥100条，每周1-3条（其中：原创策划 1条/周；二创达人内容1–2条/周），全年阅读量突破1万人次。</w:t>
      </w:r>
    </w:p>
    <w:p w14:paraId="2E3A6BE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（2）抖音</w:t>
      </w:r>
    </w:p>
    <w:p w14:paraId="3C618674">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全年发布≥100条，每周1-3条（其中：原创策划 1条/周；二创达人内容1-2条/周），全年阅读量突破1万人次。</w:t>
      </w:r>
    </w:p>
    <w:p w14:paraId="2D163C06">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（3）小红书</w:t>
      </w:r>
    </w:p>
    <w:p w14:paraId="4E462651">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全年发布≥60条，每周1-2条（其中：原创策划 1条/周；二创1条/周），全年阅读量突破5000人次。</w:t>
      </w:r>
    </w:p>
    <w:p w14:paraId="133A6B4D">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（4）微信公众号</w:t>
      </w:r>
    </w:p>
    <w:p w14:paraId="243EA403">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全年发布≥80条，每周1-2条，全年阅读量突破1万人次。</w:t>
      </w:r>
    </w:p>
    <w:p w14:paraId="69E27410">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 内容统计口径：同一条视频分发至多平台，在对应各平台发布数量分别计数；</w:t>
      </w:r>
    </w:p>
    <w:p w14:paraId="090BA7C9">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视频输出：分辨率≥1920×1080，帧率≥30fps，H.264及以上编码，MP4封装；音频AAC，采样率≥44.1kHz；按平台适配9:16竖版/16:9横版；无第三方水印，可在不低于本指标基础上优化参数。</w:t>
      </w:r>
    </w:p>
    <w:p w14:paraId="2BD7DEC3">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rPr>
        <w:t>（五）重点活动与节点</w:t>
      </w:r>
    </w:p>
    <w:p w14:paraId="593A7B01">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每月不少于1次赴阿克陶集中拍摄，全年不少于12次，后方拍摄团队每次集中拍摄人数不少于2—4人，每次不少于3天。</w:t>
      </w:r>
    </w:p>
    <w:p w14:paraId="7D92C42F">
      <w:pPr>
        <w:shd w:val="clear" w:color="auto" w:fill="auto"/>
        <w:snapToGrid w:val="0"/>
        <w:spacing w:line="400" w:lineRule="exact"/>
        <w:ind w:firstLine="426"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 分四季推出文旅专题</w:t>
      </w:r>
      <w:r>
        <w:rPr>
          <w:rFonts w:hint="eastAsia" w:ascii="宋体" w:hAnsi="宋体" w:cs="宋体"/>
          <w:color w:val="auto"/>
          <w:szCs w:val="21"/>
          <w:highlight w:val="none"/>
          <w:lang w:eastAsia="zh-CN"/>
        </w:rPr>
        <w:t>；</w:t>
      </w:r>
    </w:p>
    <w:p w14:paraId="3E4028AF">
      <w:pPr>
        <w:shd w:val="clear" w:color="auto" w:fill="auto"/>
        <w:snapToGrid w:val="0"/>
        <w:spacing w:line="400" w:lineRule="exact"/>
        <w:ind w:firstLine="426"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 重大节庆活动产出宣传物料</w:t>
      </w:r>
      <w:r>
        <w:rPr>
          <w:rFonts w:hint="eastAsia" w:ascii="宋体" w:hAnsi="宋体" w:cs="宋体"/>
          <w:color w:val="auto"/>
          <w:szCs w:val="21"/>
          <w:highlight w:val="none"/>
          <w:lang w:eastAsia="zh-CN"/>
        </w:rPr>
        <w:t>。</w:t>
      </w:r>
    </w:p>
    <w:p w14:paraId="10954C33">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六</w:t>
      </w:r>
      <w:r>
        <w:rPr>
          <w:rFonts w:hint="eastAsia" w:ascii="宋体" w:hAnsi="宋体" w:cs="宋体"/>
          <w:b/>
          <w:bCs/>
          <w:color w:val="auto"/>
          <w:szCs w:val="21"/>
          <w:highlight w:val="none"/>
        </w:rPr>
        <w:t>）运营、数据与报表</w:t>
      </w:r>
    </w:p>
    <w:p w14:paraId="1BA7CF6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日常发布、评论回复、粉丝互动、私信回复、话题优化、关键词优化、达人联动、社群联动。</w:t>
      </w:r>
    </w:p>
    <w:p w14:paraId="67DE66F6">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 数据监测与分析，每月运营报表、选题清单、数据台账。</w:t>
      </w:r>
    </w:p>
    <w:p w14:paraId="735AB6FF">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 舆情监测与评论管理，落实网络舆论引导。</w:t>
      </w:r>
    </w:p>
    <w:p w14:paraId="0E982F5E">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lang w:val="en-US" w:eastAsia="zh-CN"/>
          <w14:textFill>
            <w14:solidFill>
              <w14:schemeClr w14:val="tx1"/>
            </w14:solidFill>
          </w14:textFill>
        </w:rPr>
        <w:t>七</w:t>
      </w:r>
      <w:r>
        <w:rPr>
          <w:rFonts w:hint="eastAsia" w:ascii="宋体" w:hAnsi="宋体" w:cs="宋体"/>
          <w:b/>
          <w:bCs/>
          <w:color w:val="000000" w:themeColor="text1"/>
          <w:szCs w:val="21"/>
          <w:highlight w:val="none"/>
          <w14:textFill>
            <w14:solidFill>
              <w14:schemeClr w14:val="tx1"/>
            </w14:solidFill>
          </w14:textFill>
        </w:rPr>
        <w:t>）驻场与团队</w:t>
      </w:r>
    </w:p>
    <w:p w14:paraId="6194FA2A">
      <w:pPr>
        <w:shd w:val="clear" w:color="auto" w:fill="auto"/>
        <w:snapToGrid w:val="0"/>
        <w:spacing w:line="400" w:lineRule="exact"/>
        <w:ind w:firstLine="426"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 驻场运营人员：配置不少于1名人员全年常驻阿克陶；负责素材采集、活动跟拍、协会联络、本地资源协调。</w:t>
      </w:r>
      <w:r>
        <w:rPr>
          <w:rFonts w:hint="eastAsia" w:ascii="宋体" w:hAnsi="宋体" w:cs="宋体"/>
          <w:color w:val="auto"/>
          <w:szCs w:val="21"/>
          <w:highlight w:val="none"/>
          <w:lang w:eastAsia="zh-CN"/>
        </w:rPr>
        <w:t>（</w:t>
      </w:r>
      <w:r>
        <w:rPr>
          <w:rFonts w:hint="eastAsia" w:ascii="宋体" w:hAnsi="宋体" w:cs="宋体"/>
          <w:color w:val="auto"/>
          <w:szCs w:val="21"/>
          <w:highlight w:val="none"/>
        </w:rPr>
        <w:t>如更换驻场人员需提前与甲方协商</w:t>
      </w:r>
      <w:r>
        <w:rPr>
          <w:rFonts w:hint="eastAsia" w:ascii="宋体" w:hAnsi="宋体" w:cs="宋体"/>
          <w:color w:val="auto"/>
          <w:szCs w:val="21"/>
          <w:highlight w:val="none"/>
          <w:lang w:eastAsia="zh-CN"/>
        </w:rPr>
        <w:t>）</w:t>
      </w:r>
    </w:p>
    <w:p w14:paraId="58134E08">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 驻场人员明确考勤、职责、更换机制。</w:t>
      </w:r>
    </w:p>
    <w:p w14:paraId="05ABAFC7">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 后方拍摄团队每次集中拍摄配置2—4人，每月集中拍摄不少于1次，每次不少于3天。</w:t>
      </w:r>
    </w:p>
    <w:p w14:paraId="46FAACD1">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★4. 本项目含驻场办公、便携拍摄设备、移动存储、办公耗材、网络通讯等全部相关费用。</w:t>
      </w:r>
    </w:p>
    <w:p w14:paraId="26E7D60C">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八</w:t>
      </w:r>
      <w:r>
        <w:rPr>
          <w:rFonts w:hint="eastAsia" w:ascii="宋体" w:hAnsi="宋体" w:cs="宋体"/>
          <w:b/>
          <w:bCs/>
          <w:color w:val="auto"/>
          <w:szCs w:val="21"/>
          <w:highlight w:val="none"/>
        </w:rPr>
        <w:t>）培训服务</w:t>
      </w:r>
    </w:p>
    <w:p w14:paraId="0F615ADF">
      <w:pPr>
        <w:shd w:val="clear" w:color="auto" w:fill="auto"/>
        <w:snapToGrid w:val="0"/>
        <w:spacing w:line="400" w:lineRule="exact"/>
        <w:ind w:firstLine="426"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全年2次新媒体专项培训，培训自媒体人数≥30人。含讲师劳务、差旅接待、场地物料、签到、课件、考核资料</w:t>
      </w:r>
      <w:r>
        <w:rPr>
          <w:rFonts w:hint="eastAsia" w:ascii="宋体" w:hAnsi="宋体" w:cs="宋体"/>
          <w:color w:val="auto"/>
          <w:szCs w:val="21"/>
          <w:highlight w:val="none"/>
          <w:lang w:eastAsia="zh-CN"/>
        </w:rPr>
        <w:t>。</w:t>
      </w:r>
    </w:p>
    <w:p w14:paraId="7E17C13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九</w:t>
      </w:r>
      <w:r>
        <w:rPr>
          <w:rFonts w:hint="eastAsia" w:ascii="宋体" w:hAnsi="宋体" w:cs="宋体"/>
          <w:b/>
          <w:bCs/>
          <w:color w:val="auto"/>
          <w:szCs w:val="21"/>
          <w:highlight w:val="none"/>
        </w:rPr>
        <w:t>）审核、版权与资产归属</w:t>
      </w:r>
    </w:p>
    <w:p w14:paraId="40D0E394">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三级审核：服务商初审、融媒体复审、文旅局终审。边境、少数民族民俗相关内容重点审核。</w:t>
      </w:r>
    </w:p>
    <w:p w14:paraId="11AF11D6">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 所有账号、成片、数据成果归甲方所有，服务期满移交。</w:t>
      </w:r>
    </w:p>
    <w:p w14:paraId="67D708B7">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 服务商保证无版权风险，侵权责任由服务商承担。</w:t>
      </w:r>
    </w:p>
    <w:p w14:paraId="31054EDA">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★4. 明确保密、数据安全、舆情相关责任。</w:t>
      </w:r>
    </w:p>
    <w:p w14:paraId="06628AE1">
      <w:pPr>
        <w:shd w:val="clear" w:color="auto" w:fill="auto"/>
        <w:snapToGrid w:val="0"/>
        <w:spacing w:line="400" w:lineRule="exact"/>
        <w:ind w:firstLine="426"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备注：1.标注★的条款为本项目实质性要求，供应商必须全部完全响应，任意一项负偏离将造成响应无效；</w:t>
      </w:r>
    </w:p>
    <w:p w14:paraId="5CBF00CA">
      <w:pPr>
        <w:shd w:val="clear" w:color="auto" w:fill="auto"/>
        <w:snapToGrid w:val="0"/>
        <w:spacing w:line="400" w:lineRule="exact"/>
        <w:ind w:firstLine="426" w:firstLineChars="200"/>
        <w:rPr>
          <w:rFonts w:hint="eastAsia" w:ascii="宋体" w:hAnsi="宋体" w:eastAsia="宋体" w:cs="宋体"/>
          <w:b/>
          <w:bCs/>
          <w:color w:val="auto"/>
          <w:szCs w:val="21"/>
          <w:highlight w:val="none"/>
          <w:lang w:eastAsia="zh-CN"/>
        </w:rPr>
      </w:pPr>
      <w:r>
        <w:rPr>
          <w:rFonts w:hint="eastAsia" w:ascii="宋体" w:hAnsi="宋体" w:cs="宋体"/>
          <w:b/>
          <w:bCs/>
          <w:color w:val="auto"/>
          <w:szCs w:val="21"/>
          <w:highlight w:val="none"/>
        </w:rPr>
        <w:t>2.本采购需求中未带★的产出数量、培训、拍摄频次等为履约验收考核指标，不作为评标废标条件，未达标按照合同约定整改、扣减款项</w:t>
      </w:r>
      <w:r>
        <w:rPr>
          <w:rFonts w:hint="eastAsia" w:ascii="宋体" w:hAnsi="宋体" w:cs="宋体"/>
          <w:b/>
          <w:bCs/>
          <w:color w:val="auto"/>
          <w:szCs w:val="21"/>
          <w:highlight w:val="none"/>
          <w:lang w:eastAsia="zh-CN"/>
        </w:rPr>
        <w:t>。</w:t>
      </w:r>
    </w:p>
    <w:p w14:paraId="63F87A4F">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、项目验收要求</w:t>
      </w:r>
    </w:p>
    <w:p w14:paraId="57FE197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验收依据</w:t>
      </w:r>
    </w:p>
    <w:p w14:paraId="2ACC37D9">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招标文件、投标文件、采购合同、本项目技术规格要求、每月提交运营台账报表、素材成果、流量投放记录、培训档案等全部项目资料。</w:t>
      </w:r>
    </w:p>
    <w:p w14:paraId="1CF89B32">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 验收组织</w:t>
      </w:r>
    </w:p>
    <w:p w14:paraId="207302BD">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由采购人组织相关人员开展项目验收工作，服务商配合提供全部验收材料。本项目实行月度过程核查+项目完成最终竣工验收模式。</w:t>
      </w:r>
    </w:p>
    <w:p w14:paraId="4B13036A">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月度过程核查：采购人每月对项目开展情况进行核查，核查内容包括人员驻场情况、内容产出数量、拍摄开展情况、账号运营、流量投放台账、舆情处置、月报提交情况。核查发现问题服务商应按采购人要求限期完成整改。</w:t>
      </w:r>
    </w:p>
    <w:p w14:paraId="5E2C54D6">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最终竣工验收：服务周期12个月全部结束后开展竣工验收，服务商提交全套完整项目成果资料，包含全部成片、原始素材、账号后台数据截图、流量投放完整台账、培训全套档案、运营全周期报表、账号移交清单等。</w:t>
      </w:r>
    </w:p>
    <w:p w14:paraId="67B26C7B">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 验收内容</w:t>
      </w:r>
    </w:p>
    <w:p w14:paraId="79755C77">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（1）实质性★条款全部核查，若存在实质性条款不满足，项目验收不合格。</w:t>
      </w:r>
    </w:p>
    <w:p w14:paraId="5560D144">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（2）考核指标核查：账号发布数量、阅读播放指标、集中拍摄次数、四季专题产出、培训场次及参训人数、整体传播量、流量投放执行情况、人才培养工作落实情况；</w:t>
      </w:r>
    </w:p>
    <w:p w14:paraId="6E703800">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（3）核查三级审核落实情况、版权合规情况、舆情处置记录；</w:t>
      </w:r>
    </w:p>
    <w:p w14:paraId="32D7FCE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（4）核查人员驻场、团队配置、设备配置情况；</w:t>
      </w:r>
    </w:p>
    <w:p w14:paraId="4B62D1E7">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（5）核查全部账号、素材、台账资料完整移交。</w:t>
      </w:r>
    </w:p>
    <w:p w14:paraId="2430B865">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4. 验收不合格处置</w:t>
      </w:r>
    </w:p>
    <w:p w14:paraId="784605E0">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1）月度核查发现非实质性考核指标未达标的，服务商需在采购人规定时限内完成整改；逾期未完成整改，按照合同约定扣减对应合同款项。</w:t>
      </w:r>
    </w:p>
    <w:p w14:paraId="541FC2AE">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2）竣工验收不合格，服务商限期整改，整改后仍达不到合同及招标文件要求，采购人有权按照合同追究违约责任。</w:t>
      </w:r>
    </w:p>
    <w:p w14:paraId="4DB989E6">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5. 资料归档</w:t>
      </w:r>
    </w:p>
    <w:p w14:paraId="56A05C7A">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验收通过后，服务商需要将全部电子、纸质资料移交采购人归档。</w:t>
      </w:r>
    </w:p>
    <w:p w14:paraId="71E92D77">
      <w:pPr>
        <w:spacing w:line="240" w:lineRule="auto"/>
        <w:ind w:firstLine="426" w:firstLineChars="200"/>
        <w:jc w:val="left"/>
        <w:rPr>
          <w:rFonts w:ascii="宋体" w:hAnsi="Times New Roman" w:cs="Times New Roman"/>
          <w:szCs w:val="21"/>
        </w:rPr>
      </w:pPr>
      <w:r>
        <w:rPr>
          <w:rFonts w:hint="eastAsia" w:ascii="宋体" w:cs="Times New Roman"/>
          <w:szCs w:val="21"/>
          <w:lang w:val="en-US" w:eastAsia="zh-CN"/>
        </w:rPr>
        <w:t>四</w:t>
      </w:r>
      <w:r>
        <w:rPr>
          <w:rFonts w:hint="eastAsia" w:ascii="宋体" w:hAnsi="Times New Roman" w:cs="Times New Roman"/>
          <w:szCs w:val="21"/>
          <w:lang w:eastAsia="zh-CN"/>
        </w:rPr>
        <w:t>、</w:t>
      </w:r>
      <w:r>
        <w:rPr>
          <w:rFonts w:hint="eastAsia" w:ascii="宋体" w:hAnsi="Times New Roman" w:cs="Times New Roman"/>
          <w:szCs w:val="21"/>
        </w:rPr>
        <w:t>报价要求</w:t>
      </w:r>
    </w:p>
    <w:p w14:paraId="2440C0DC">
      <w:pPr>
        <w:shd w:val="clear" w:color="auto" w:fill="auto"/>
        <w:snapToGrid w:val="0"/>
        <w:spacing w:line="400" w:lineRule="exact"/>
        <w:ind w:firstLine="426" w:firstLineChars="200"/>
        <w:rPr>
          <w:rFonts w:hint="eastAsia" w:ascii="宋体" w:hAnsi="Times New Roman" w:cs="Times New Roman"/>
          <w:szCs w:val="21"/>
          <w:lang w:val="en-US" w:eastAsia="zh-CN"/>
        </w:rPr>
      </w:pPr>
      <w:r>
        <w:rPr>
          <w:rFonts w:hint="eastAsia" w:ascii="宋体" w:hAnsi="Times New Roman" w:cs="Times New Roman"/>
          <w:szCs w:val="21"/>
        </w:rPr>
        <w:t>本次报价为人民币报价，投标报价应包括：</w:t>
      </w:r>
      <w:r>
        <w:rPr>
          <w:rFonts w:hint="eastAsia" w:ascii="宋体" w:hAnsi="Times New Roman" w:cs="Times New Roman"/>
          <w:szCs w:val="21"/>
          <w:lang w:val="en-US" w:eastAsia="zh-CN"/>
        </w:rPr>
        <w:t>人员、设备、流量投放、培训、差旅、税费、版权、平台认证等全部工作，实施过程中采购人不再支付任何其他费用。</w:t>
      </w:r>
    </w:p>
    <w:p w14:paraId="0FBBB4AE">
      <w:pPr>
        <w:spacing w:line="240" w:lineRule="auto"/>
        <w:ind w:firstLine="426" w:firstLineChars="200"/>
        <w:jc w:val="left"/>
        <w:rPr>
          <w:rFonts w:ascii="宋体" w:hAnsi="Times New Roman" w:cs="Times New Roman"/>
          <w:szCs w:val="21"/>
        </w:rPr>
      </w:pPr>
      <w:bookmarkStart w:id="189" w:name="_Toc340225294"/>
      <w:bookmarkStart w:id="190" w:name="_Toc267320052"/>
      <w:r>
        <w:rPr>
          <w:rFonts w:hint="eastAsia" w:ascii="宋体" w:cs="Times New Roman"/>
          <w:szCs w:val="21"/>
          <w:lang w:val="en-US" w:eastAsia="zh-CN"/>
        </w:rPr>
        <w:t>五、</w:t>
      </w:r>
      <w:r>
        <w:rPr>
          <w:rFonts w:hint="eastAsia" w:ascii="宋体" w:hAnsi="Times New Roman" w:cs="Times New Roman"/>
          <w:szCs w:val="21"/>
        </w:rPr>
        <w:t>知识产权</w:t>
      </w:r>
      <w:bookmarkEnd w:id="189"/>
      <w:bookmarkEnd w:id="190"/>
    </w:p>
    <w:p w14:paraId="32996CD3">
      <w:pPr>
        <w:spacing w:line="240" w:lineRule="auto"/>
        <w:ind w:firstLine="213" w:firstLineChars="100"/>
        <w:jc w:val="left"/>
        <w:rPr>
          <w:rFonts w:hint="eastAsia" w:ascii="宋体" w:hAnsi="Times New Roman" w:eastAsia="宋体" w:cs="Times New Roman"/>
          <w:szCs w:val="21"/>
          <w:lang w:val="en-US" w:eastAsia="zh-CN"/>
        </w:rPr>
      </w:pPr>
      <w:r>
        <w:rPr>
          <w:rFonts w:hint="eastAsia" w:ascii="宋体" w:hAnsi="Times New Roman" w:cs="Times New Roman"/>
          <w:szCs w:val="21"/>
        </w:rPr>
        <w:t>采购人在中华人民共和国境内使用投标人提供的货物及服务时免受第三方提出的侵犯其专利权或其它知识产权的起诉。如果第三方提出侵权指控，中标人应承担由此而引起的一切法律责任和费用。</w:t>
      </w:r>
    </w:p>
    <w:p w14:paraId="1FFDAB5C">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、其他要求</w:t>
      </w:r>
    </w:p>
    <w:p w14:paraId="7A6AD11E">
      <w:pPr>
        <w:shd w:val="clear" w:color="auto" w:fill="auto"/>
        <w:snapToGrid w:val="0"/>
        <w:spacing w:line="400" w:lineRule="exact"/>
        <w:ind w:firstLine="426" w:firstLineChars="200"/>
        <w:rPr>
          <w:rFonts w:hint="eastAsia" w:ascii="宋体" w:hAnsi="宋体" w:cs="宋体"/>
          <w:color w:val="auto"/>
          <w:szCs w:val="21"/>
          <w:highlight w:val="none"/>
        </w:rPr>
      </w:pPr>
      <w:r>
        <w:rPr>
          <w:rFonts w:hint="eastAsia" w:ascii="宋体" w:hAnsi="宋体" w:cs="宋体"/>
          <w:color w:val="auto"/>
          <w:szCs w:val="21"/>
          <w:highlight w:val="none"/>
        </w:rPr>
        <w:t>1. 本项目不允许转包、违法分包。</w:t>
      </w:r>
    </w:p>
    <w:p w14:paraId="5D256B4B">
      <w:pPr>
        <w:spacing w:line="240" w:lineRule="auto"/>
        <w:ind w:firstLine="426" w:firstLineChars="200"/>
        <w:jc w:val="left"/>
        <w:rPr>
          <w:rFonts w:hint="eastAsia" w:ascii="宋体" w:hAnsi="宋体" w:cs="宋体"/>
          <w:color w:val="auto"/>
          <w:szCs w:val="21"/>
          <w:highlight w:val="none"/>
        </w:rPr>
      </w:pPr>
      <w:r>
        <w:rPr>
          <w:rFonts w:hint="eastAsia" w:ascii="宋体" w:hAnsi="宋体" w:cs="宋体"/>
          <w:color w:val="auto"/>
          <w:szCs w:val="21"/>
          <w:highlight w:val="none"/>
        </w:rPr>
        <w:t>2. 项目全部工作内容、流量投放宣传内容须满足国家、自治区及当地网络宣传、意识形态相关管理规定。</w:t>
      </w:r>
    </w:p>
    <w:p w14:paraId="1373C3C4">
      <w:pPr>
        <w:spacing w:line="240" w:lineRule="auto"/>
        <w:ind w:firstLine="426" w:firstLineChars="200"/>
        <w:jc w:val="left"/>
        <w:rPr>
          <w:rFonts w:ascii="宋体" w:hAnsi="Times New Roman" w:cs="Times New Roman"/>
          <w:szCs w:val="21"/>
        </w:rPr>
      </w:pPr>
      <w:r>
        <w:rPr>
          <w:rFonts w:hint="eastAsia" w:ascii="宋体" w:hAnsi="Times New Roman" w:cs="Times New Roman"/>
          <w:szCs w:val="21"/>
          <w:lang w:val="en-US" w:eastAsia="zh-CN"/>
        </w:rPr>
        <w:t>3</w:t>
      </w:r>
      <w:r>
        <w:rPr>
          <w:rFonts w:hint="eastAsia" w:ascii="宋体" w:hAnsi="Times New Roman" w:cs="Times New Roman"/>
          <w:szCs w:val="21"/>
        </w:rPr>
        <w:t>、投标人必须在投标文件中对以上条款和服务承诺明确列出，承诺内容必须达到本篇及</w:t>
      </w:r>
      <w:r>
        <w:rPr>
          <w:rFonts w:hint="eastAsia" w:ascii="宋体" w:hAnsi="Times New Roman" w:cs="Times New Roman"/>
          <w:szCs w:val="21"/>
          <w:lang w:val="en-US" w:eastAsia="zh-CN"/>
        </w:rPr>
        <w:t>磋商</w:t>
      </w:r>
      <w:r>
        <w:rPr>
          <w:rFonts w:hint="eastAsia" w:ascii="宋体" w:hAnsi="Times New Roman" w:cs="Times New Roman"/>
          <w:szCs w:val="21"/>
        </w:rPr>
        <w:t>文件其他条款的要求。</w:t>
      </w:r>
    </w:p>
    <w:p w14:paraId="78D26742">
      <w:pPr>
        <w:spacing w:line="240" w:lineRule="auto"/>
        <w:ind w:firstLine="426" w:firstLineChars="200"/>
        <w:jc w:val="left"/>
        <w:rPr>
          <w:rFonts w:ascii="宋体" w:hAnsi="Times New Roman" w:cs="Times New Roman"/>
          <w:szCs w:val="21"/>
        </w:rPr>
        <w:sectPr>
          <w:headerReference r:id="rId7" w:type="default"/>
          <w:footerReference r:id="rId8" w:type="default"/>
          <w:pgSz w:w="11905" w:h="16838"/>
          <w:pgMar w:top="1134" w:right="1304" w:bottom="1134" w:left="1304" w:header="850" w:footer="992" w:gutter="0"/>
          <w:cols w:space="720" w:num="1"/>
          <w:docGrid w:type="linesAndChars" w:linePitch="325" w:charSpace="635"/>
        </w:sectPr>
      </w:pPr>
      <w:r>
        <w:rPr>
          <w:rFonts w:hint="eastAsia" w:ascii="宋体" w:hAnsi="Times New Roman" w:cs="Times New Roman"/>
          <w:szCs w:val="21"/>
          <w:lang w:val="en-US" w:eastAsia="zh-CN"/>
        </w:rPr>
        <w:t>4</w:t>
      </w:r>
      <w:r>
        <w:rPr>
          <w:rFonts w:hint="eastAsia" w:ascii="宋体" w:hAnsi="Times New Roman" w:cs="Times New Roman"/>
          <w:szCs w:val="21"/>
        </w:rPr>
        <w:t>、其他未尽事宜由供需双方在采购合同中详细约定。</w:t>
      </w:r>
    </w:p>
    <w:p w14:paraId="534C4850">
      <w:pPr>
        <w:shd w:val="clear" w:color="auto" w:fill="auto"/>
        <w:snapToGrid w:val="0"/>
        <w:spacing w:line="400" w:lineRule="exact"/>
        <w:ind w:firstLine="446" w:firstLineChars="200"/>
        <w:rPr>
          <w:sz w:val="22"/>
          <w:szCs w:val="22"/>
        </w:rPr>
      </w:pPr>
    </w:p>
    <w:p w14:paraId="3C446210">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0"/>
        <w:rPr>
          <w:rFonts w:hint="eastAsia" w:ascii="宋体"/>
          <w:b/>
          <w:color w:val="auto"/>
          <w:sz w:val="30"/>
          <w:szCs w:val="30"/>
          <w:highlight w:val="none"/>
        </w:rPr>
      </w:pPr>
      <w:r>
        <w:rPr>
          <w:rFonts w:hint="eastAsia" w:ascii="宋体"/>
          <w:b/>
          <w:color w:val="auto"/>
          <w:sz w:val="30"/>
          <w:szCs w:val="30"/>
          <w:highlight w:val="none"/>
          <w:lang w:val="en-US" w:eastAsia="zh-CN"/>
        </w:rPr>
        <w:t>第五章</w:t>
      </w:r>
      <w:r>
        <w:rPr>
          <w:rFonts w:hint="eastAsia" w:ascii="宋体"/>
          <w:b/>
          <w:color w:val="auto"/>
          <w:sz w:val="30"/>
          <w:szCs w:val="30"/>
          <w:highlight w:val="none"/>
        </w:rPr>
        <w:t xml:space="preserve"> </w:t>
      </w:r>
      <w:bookmarkStart w:id="191" w:name="_Toc29918"/>
      <w:r>
        <w:rPr>
          <w:rFonts w:hint="eastAsia" w:ascii="宋体"/>
          <w:b/>
          <w:color w:val="auto"/>
          <w:sz w:val="30"/>
          <w:szCs w:val="30"/>
          <w:highlight w:val="none"/>
        </w:rPr>
        <w:t>合同条款及格式</w:t>
      </w:r>
      <w:bookmarkEnd w:id="186"/>
      <w:bookmarkEnd w:id="187"/>
      <w:bookmarkEnd w:id="188"/>
      <w:bookmarkEnd w:id="191"/>
      <w:bookmarkStart w:id="192" w:name="_Toc20669"/>
    </w:p>
    <w:p w14:paraId="1E05CED9">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宋体" w:hAnsi="宋体" w:eastAsia="宋体" w:cs="宋体"/>
          <w:color w:val="auto"/>
          <w:szCs w:val="21"/>
          <w:highlight w:val="none"/>
        </w:rPr>
      </w:pPr>
      <w:bookmarkStart w:id="193" w:name="_Toc5272"/>
      <w:bookmarkStart w:id="194" w:name="_Toc23978"/>
      <w:bookmarkStart w:id="195" w:name="_Toc4590"/>
      <w:r>
        <w:rPr>
          <w:rFonts w:hint="eastAsia" w:ascii="宋体" w:hAnsi="宋体" w:eastAsia="宋体" w:cs="宋体"/>
          <w:color w:val="auto"/>
          <w:szCs w:val="21"/>
          <w:highlight w:val="none"/>
        </w:rPr>
        <w:t>（本合同为合同样稿，最终稿由供需双方协商后确定）</w:t>
      </w:r>
      <w:bookmarkEnd w:id="192"/>
      <w:bookmarkEnd w:id="193"/>
      <w:bookmarkEnd w:id="194"/>
      <w:bookmarkEnd w:id="195"/>
    </w:p>
    <w:p w14:paraId="172D69BF">
      <w:pPr>
        <w:spacing w:before="126" w:line="231" w:lineRule="auto"/>
        <w:ind w:left="5"/>
      </w:pPr>
      <w:bookmarkStart w:id="196" w:name="_Toc30694"/>
      <w:bookmarkStart w:id="197" w:name="_Toc247085768"/>
      <w:bookmarkStart w:id="198" w:name="_Toc24225"/>
      <w:bookmarkStart w:id="199" w:name="_Toc17151"/>
      <w:bookmarkStart w:id="200" w:name="_Toc179632628"/>
      <w:bookmarkStart w:id="201" w:name="_Toc152042388"/>
      <w:bookmarkStart w:id="202" w:name="_Toc152045610"/>
      <w:bookmarkStart w:id="203" w:name="_Toc246996253"/>
      <w:bookmarkStart w:id="204" w:name="_Toc296602498"/>
      <w:bookmarkStart w:id="205" w:name="_Toc144974578"/>
      <w:bookmarkStart w:id="206" w:name="_Toc246996996"/>
      <w:r>
        <w:rPr>
          <w:rFonts w:ascii="楷体" w:hAnsi="楷体" w:eastAsia="楷体" w:cs="楷体"/>
          <w:b/>
          <w:bCs/>
          <w:spacing w:val="0"/>
          <w:sz w:val="23"/>
          <w:szCs w:val="23"/>
        </w:rPr>
        <w:t>合同编号：</w:t>
      </w:r>
      <w:r>
        <w:rPr>
          <w:rFonts w:ascii="楷体" w:hAnsi="楷体" w:eastAsia="楷体" w:cs="楷体"/>
          <w:spacing w:val="-25"/>
          <w:sz w:val="23"/>
          <w:szCs w:val="23"/>
        </w:rPr>
        <w:t xml:space="preserve"> </w:t>
      </w:r>
      <w:r>
        <w:rPr>
          <w:rFonts w:ascii="楷体" w:hAnsi="楷体" w:eastAsia="楷体" w:cs="楷体"/>
          <w:sz w:val="23"/>
          <w:szCs w:val="23"/>
          <w:u w:val="single" w:color="auto"/>
        </w:rPr>
        <w:t xml:space="preserve">             </w:t>
      </w:r>
    </w:p>
    <w:p w14:paraId="47B8CBE4">
      <w:pPr>
        <w:pStyle w:val="9"/>
        <w:spacing w:line="262" w:lineRule="auto"/>
      </w:pPr>
    </w:p>
    <w:p w14:paraId="3A2353F1">
      <w:pPr>
        <w:spacing w:before="137" w:line="228" w:lineRule="auto"/>
        <w:ind w:left="2425"/>
        <w:rPr>
          <w:rFonts w:ascii="楷体" w:hAnsi="楷体" w:eastAsia="楷体" w:cs="楷体"/>
          <w:sz w:val="42"/>
          <w:szCs w:val="42"/>
        </w:rPr>
      </w:pPr>
      <w:bookmarkStart w:id="207" w:name="bookmark20"/>
      <w:bookmarkEnd w:id="207"/>
      <w:r>
        <w:rPr>
          <w:rFonts w:ascii="楷体" w:hAnsi="楷体" w:eastAsia="楷体" w:cs="楷体"/>
          <w:b/>
          <w:bCs/>
          <w:spacing w:val="32"/>
          <w:sz w:val="42"/>
          <w:szCs w:val="42"/>
        </w:rPr>
        <w:t>政府采购合同参考范本</w:t>
      </w:r>
    </w:p>
    <w:p w14:paraId="39E35AFE">
      <w:pPr>
        <w:pStyle w:val="9"/>
        <w:spacing w:line="271" w:lineRule="auto"/>
      </w:pPr>
    </w:p>
    <w:p w14:paraId="32004596">
      <w:pPr>
        <w:pStyle w:val="9"/>
        <w:spacing w:line="271" w:lineRule="auto"/>
      </w:pPr>
    </w:p>
    <w:p w14:paraId="4D961AC3">
      <w:pPr>
        <w:spacing w:before="75" w:line="233" w:lineRule="auto"/>
        <w:ind w:left="4233"/>
        <w:rPr>
          <w:rFonts w:ascii="楷体" w:hAnsi="楷体" w:eastAsia="楷体" w:cs="楷体"/>
          <w:sz w:val="23"/>
          <w:szCs w:val="23"/>
        </w:rPr>
      </w:pPr>
      <w:r>
        <w:rPr>
          <w:rFonts w:ascii="楷体" w:hAnsi="楷体" w:eastAsia="楷体" w:cs="楷体"/>
          <w:b/>
          <w:bCs/>
          <w:spacing w:val="5"/>
          <w:sz w:val="23"/>
          <w:szCs w:val="23"/>
        </w:rPr>
        <w:t>(服务类)</w:t>
      </w:r>
    </w:p>
    <w:p w14:paraId="1A428F28">
      <w:pPr>
        <w:pStyle w:val="9"/>
        <w:spacing w:line="247" w:lineRule="auto"/>
      </w:pPr>
    </w:p>
    <w:p w14:paraId="3E19EDDB">
      <w:pPr>
        <w:spacing w:before="75" w:line="231" w:lineRule="auto"/>
        <w:ind w:left="3771"/>
        <w:rPr>
          <w:rFonts w:ascii="楷体" w:hAnsi="楷体" w:eastAsia="楷体" w:cs="楷体"/>
          <w:sz w:val="23"/>
          <w:szCs w:val="23"/>
        </w:rPr>
      </w:pPr>
      <w:r>
        <w:rPr>
          <w:rFonts w:ascii="楷体" w:hAnsi="楷体" w:eastAsia="楷体" w:cs="楷体"/>
          <w:b/>
          <w:bCs/>
          <w:spacing w:val="37"/>
          <w:sz w:val="23"/>
          <w:szCs w:val="23"/>
        </w:rPr>
        <w:t>第一部分合同书</w:t>
      </w:r>
    </w:p>
    <w:p w14:paraId="32FD66EE">
      <w:pPr>
        <w:pStyle w:val="9"/>
        <w:spacing w:line="292" w:lineRule="auto"/>
      </w:pPr>
    </w:p>
    <w:p w14:paraId="5A85937C">
      <w:pPr>
        <w:pStyle w:val="9"/>
        <w:spacing w:line="292" w:lineRule="auto"/>
      </w:pPr>
    </w:p>
    <w:p w14:paraId="2D15CD32">
      <w:pPr>
        <w:pStyle w:val="9"/>
        <w:spacing w:line="292" w:lineRule="auto"/>
      </w:pPr>
    </w:p>
    <w:p w14:paraId="62D15B4C">
      <w:pPr>
        <w:pStyle w:val="9"/>
        <w:spacing w:line="292" w:lineRule="auto"/>
      </w:pPr>
    </w:p>
    <w:p w14:paraId="300E8A81">
      <w:pPr>
        <w:widowControl/>
        <w:kinsoku w:val="0"/>
        <w:autoSpaceDE w:val="0"/>
        <w:autoSpaceDN w:val="0"/>
        <w:adjustRightInd w:val="0"/>
        <w:snapToGrid w:val="0"/>
        <w:spacing w:before="75" w:line="228" w:lineRule="auto"/>
        <w:ind w:left="978"/>
        <w:jc w:val="left"/>
        <w:textAlignment w:val="baseline"/>
      </w:pPr>
    </w:p>
    <w:p w14:paraId="0BC53616">
      <w:pPr>
        <w:keepNext w:val="0"/>
        <w:keepLines w:val="0"/>
        <w:pageBreakBefore w:val="0"/>
        <w:widowControl w:val="0"/>
        <w:kinsoku/>
        <w:wordWrap/>
        <w:overflowPunct/>
        <w:topLinePunct w:val="0"/>
        <w:autoSpaceDE/>
        <w:autoSpaceDN/>
        <w:bidi w:val="0"/>
        <w:adjustRightInd/>
        <w:snapToGrid/>
        <w:spacing w:before="75" w:line="200" w:lineRule="atLeast"/>
        <w:ind w:left="978"/>
        <w:textAlignment w:val="auto"/>
        <w:rPr>
          <w:rFonts w:ascii="宋体" w:hAnsi="宋体" w:eastAsia="宋体" w:cs="宋体"/>
          <w:sz w:val="23"/>
          <w:szCs w:val="23"/>
        </w:rPr>
      </w:pPr>
      <w:r>
        <w:rPr>
          <w:rFonts w:ascii="宋体" w:hAnsi="宋体" w:eastAsia="宋体" w:cs="宋体"/>
          <w:spacing w:val="14"/>
          <w:sz w:val="23"/>
          <w:szCs w:val="23"/>
        </w:rPr>
        <w:t>项目名称：</w:t>
      </w:r>
      <w:r>
        <w:rPr>
          <w:rFonts w:ascii="宋体" w:hAnsi="宋体" w:eastAsia="宋体" w:cs="宋体"/>
          <w:spacing w:val="-37"/>
          <w:sz w:val="23"/>
          <w:szCs w:val="23"/>
        </w:rPr>
        <w:t xml:space="preserve">  </w:t>
      </w:r>
      <w:r>
        <w:rPr>
          <w:rFonts w:ascii="宋体" w:hAnsi="宋体" w:eastAsia="宋体" w:cs="宋体"/>
          <w:sz w:val="23"/>
          <w:szCs w:val="23"/>
          <w:u w:val="single" w:color="auto"/>
        </w:rPr>
        <w:t xml:space="preserve">                                       </w:t>
      </w:r>
    </w:p>
    <w:p w14:paraId="53FA0574">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7278E04D">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3985DAFB">
      <w:pPr>
        <w:keepNext w:val="0"/>
        <w:keepLines w:val="0"/>
        <w:pageBreakBefore w:val="0"/>
        <w:widowControl w:val="0"/>
        <w:kinsoku/>
        <w:wordWrap/>
        <w:overflowPunct/>
        <w:topLinePunct w:val="0"/>
        <w:autoSpaceDE/>
        <w:autoSpaceDN/>
        <w:bidi w:val="0"/>
        <w:adjustRightInd/>
        <w:snapToGrid/>
        <w:spacing w:before="75" w:line="200" w:lineRule="atLeast"/>
        <w:ind w:left="1005"/>
        <w:textAlignment w:val="auto"/>
        <w:rPr>
          <w:rFonts w:ascii="宋体" w:hAnsi="宋体" w:eastAsia="宋体" w:cs="宋体"/>
          <w:sz w:val="23"/>
          <w:szCs w:val="23"/>
        </w:rPr>
      </w:pPr>
      <w:r>
        <w:rPr>
          <w:rFonts w:ascii="宋体" w:hAnsi="宋体" w:eastAsia="宋体" w:cs="宋体"/>
          <w:spacing w:val="14"/>
          <w:sz w:val="23"/>
          <w:szCs w:val="23"/>
          <w:u w:val="none" w:color="auto"/>
        </w:rPr>
        <w:t>甲方：</w:t>
      </w:r>
      <w:r>
        <w:rPr>
          <w:rFonts w:ascii="宋体" w:hAnsi="宋体" w:eastAsia="宋体" w:cs="宋体"/>
          <w:spacing w:val="9"/>
          <w:sz w:val="23"/>
          <w:szCs w:val="23"/>
        </w:rPr>
        <w:t xml:space="preserve"> </w:t>
      </w:r>
      <w:r>
        <w:rPr>
          <w:rFonts w:ascii="宋体" w:hAnsi="宋体" w:eastAsia="宋体" w:cs="宋体"/>
          <w:sz w:val="23"/>
          <w:szCs w:val="23"/>
          <w:u w:val="single" w:color="auto"/>
        </w:rPr>
        <w:t xml:space="preserve">                                           </w:t>
      </w:r>
    </w:p>
    <w:p w14:paraId="2ED6015F">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00A7709F">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6239FDBA">
      <w:pPr>
        <w:keepNext w:val="0"/>
        <w:keepLines w:val="0"/>
        <w:pageBreakBefore w:val="0"/>
        <w:widowControl w:val="0"/>
        <w:kinsoku/>
        <w:wordWrap/>
        <w:overflowPunct/>
        <w:topLinePunct w:val="0"/>
        <w:autoSpaceDE/>
        <w:autoSpaceDN/>
        <w:bidi w:val="0"/>
        <w:adjustRightInd/>
        <w:snapToGrid/>
        <w:spacing w:before="75" w:line="200" w:lineRule="atLeast"/>
        <w:ind w:left="998"/>
        <w:textAlignment w:val="auto"/>
        <w:rPr>
          <w:rFonts w:ascii="宋体" w:hAnsi="宋体" w:eastAsia="宋体" w:cs="宋体"/>
          <w:sz w:val="23"/>
          <w:szCs w:val="23"/>
        </w:rPr>
      </w:pPr>
      <w:r>
        <w:rPr>
          <w:rFonts w:ascii="宋体" w:hAnsi="宋体" w:eastAsia="宋体" w:cs="宋体"/>
          <w:spacing w:val="14"/>
          <w:sz w:val="23"/>
          <w:szCs w:val="23"/>
          <w:u w:val="none" w:color="auto"/>
        </w:rPr>
        <w:t>乙方</w:t>
      </w:r>
      <w:r>
        <w:rPr>
          <w:rFonts w:ascii="宋体" w:hAnsi="宋体" w:eastAsia="宋体" w:cs="宋体"/>
          <w:spacing w:val="46"/>
          <w:sz w:val="23"/>
          <w:szCs w:val="23"/>
          <w:u w:val="single" w:color="auto"/>
        </w:rPr>
        <w:t xml:space="preserve">： </w:t>
      </w:r>
      <w:r>
        <w:rPr>
          <w:rFonts w:ascii="宋体" w:hAnsi="宋体" w:eastAsia="宋体" w:cs="宋体"/>
          <w:sz w:val="23"/>
          <w:szCs w:val="23"/>
          <w:u w:val="single" w:color="auto"/>
        </w:rPr>
        <w:t xml:space="preserve">                                           </w:t>
      </w:r>
    </w:p>
    <w:p w14:paraId="630338AE">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385C785F">
      <w:pPr>
        <w:pStyle w:val="9"/>
        <w:keepNext w:val="0"/>
        <w:keepLines w:val="0"/>
        <w:pageBreakBefore w:val="0"/>
        <w:widowControl w:val="0"/>
        <w:kinsoku/>
        <w:wordWrap/>
        <w:overflowPunct/>
        <w:topLinePunct w:val="0"/>
        <w:autoSpaceDE/>
        <w:autoSpaceDN/>
        <w:bidi w:val="0"/>
        <w:adjustRightInd/>
        <w:snapToGrid/>
        <w:spacing w:line="200" w:lineRule="atLeast"/>
        <w:textAlignment w:val="auto"/>
        <w:rPr>
          <w:rFonts w:ascii="宋体" w:hAnsi="宋体" w:eastAsia="宋体" w:cs="宋体"/>
          <w:spacing w:val="14"/>
          <w:kern w:val="2"/>
          <w:sz w:val="23"/>
          <w:szCs w:val="23"/>
          <w:u w:val="none" w:color="auto"/>
          <w:lang w:val="en-US" w:eastAsia="zh-CN" w:bidi="ar-SA"/>
        </w:rPr>
      </w:pPr>
    </w:p>
    <w:p w14:paraId="3EDC8FFC">
      <w:pPr>
        <w:keepNext w:val="0"/>
        <w:keepLines w:val="0"/>
        <w:pageBreakBefore w:val="0"/>
        <w:widowControl w:val="0"/>
        <w:kinsoku/>
        <w:wordWrap/>
        <w:overflowPunct/>
        <w:topLinePunct w:val="0"/>
        <w:autoSpaceDE/>
        <w:autoSpaceDN/>
        <w:bidi w:val="0"/>
        <w:adjustRightInd/>
        <w:snapToGrid/>
        <w:spacing w:before="75" w:line="200" w:lineRule="atLeast"/>
        <w:ind w:left="974"/>
        <w:textAlignment w:val="auto"/>
        <w:rPr>
          <w:rFonts w:ascii="宋体" w:hAnsi="宋体" w:eastAsia="宋体" w:cs="宋体"/>
          <w:sz w:val="23"/>
          <w:szCs w:val="23"/>
        </w:rPr>
      </w:pPr>
      <w:r>
        <w:rPr>
          <w:rFonts w:ascii="宋体" w:hAnsi="宋体" w:eastAsia="宋体" w:cs="宋体"/>
          <w:spacing w:val="14"/>
          <w:kern w:val="2"/>
          <w:sz w:val="23"/>
          <w:szCs w:val="23"/>
          <w:u w:val="none" w:color="auto"/>
          <w:lang w:val="en-US" w:eastAsia="zh-CN" w:bidi="ar-SA"/>
        </w:rPr>
        <w:t>签订地：</w:t>
      </w:r>
      <w:r>
        <w:rPr>
          <w:rFonts w:ascii="宋体" w:hAnsi="宋体" w:eastAsia="宋体" w:cs="宋体"/>
          <w:spacing w:val="43"/>
          <w:sz w:val="23"/>
          <w:szCs w:val="23"/>
        </w:rPr>
        <w:t xml:space="preserve"> </w:t>
      </w:r>
      <w:r>
        <w:rPr>
          <w:rFonts w:ascii="宋体" w:hAnsi="宋体" w:eastAsia="宋体" w:cs="宋体"/>
          <w:sz w:val="23"/>
          <w:szCs w:val="23"/>
          <w:u w:val="single" w:color="auto"/>
        </w:rPr>
        <w:t xml:space="preserve">                                         </w:t>
      </w:r>
    </w:p>
    <w:p w14:paraId="4CC5F9AB">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6EAA15E8">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137F3862">
      <w:pPr>
        <w:keepNext w:val="0"/>
        <w:keepLines w:val="0"/>
        <w:pageBreakBefore w:val="0"/>
        <w:widowControl w:val="0"/>
        <w:kinsoku/>
        <w:wordWrap/>
        <w:overflowPunct/>
        <w:topLinePunct w:val="0"/>
        <w:autoSpaceDE/>
        <w:autoSpaceDN/>
        <w:bidi w:val="0"/>
        <w:adjustRightInd/>
        <w:snapToGrid/>
        <w:spacing w:before="76" w:line="200" w:lineRule="atLeast"/>
        <w:ind w:left="974"/>
        <w:textAlignment w:val="auto"/>
        <w:rPr>
          <w:rFonts w:ascii="宋体" w:hAnsi="宋体" w:eastAsia="宋体" w:cs="宋体"/>
          <w:sz w:val="23"/>
          <w:szCs w:val="23"/>
        </w:rPr>
      </w:pPr>
      <w:r>
        <w:rPr>
          <w:rFonts w:ascii="宋体" w:hAnsi="宋体" w:eastAsia="宋体" w:cs="宋体"/>
          <w:spacing w:val="14"/>
          <w:kern w:val="2"/>
          <w:sz w:val="23"/>
          <w:szCs w:val="23"/>
          <w:u w:val="none" w:color="auto"/>
          <w:lang w:val="en-US" w:eastAsia="zh-CN" w:bidi="ar-SA"/>
        </w:rPr>
        <w:t>签订日期</w:t>
      </w:r>
      <w:r>
        <w:rPr>
          <w:rFonts w:ascii="宋体" w:hAnsi="宋体" w:eastAsia="宋体" w:cs="宋体"/>
          <w:spacing w:val="-12"/>
          <w:sz w:val="23"/>
          <w:szCs w:val="23"/>
        </w:rPr>
        <w:t>：</w:t>
      </w:r>
      <w:r>
        <w:rPr>
          <w:rFonts w:ascii="宋体" w:hAnsi="宋体" w:eastAsia="宋体" w:cs="宋体"/>
          <w:spacing w:val="28"/>
          <w:sz w:val="23"/>
          <w:szCs w:val="23"/>
        </w:rPr>
        <w:t xml:space="preserve">  </w:t>
      </w:r>
      <w:r>
        <w:rPr>
          <w:rFonts w:ascii="宋体" w:hAnsi="宋体" w:eastAsia="宋体" w:cs="宋体"/>
          <w:spacing w:val="5"/>
          <w:sz w:val="23"/>
          <w:szCs w:val="23"/>
          <w:u w:val="single" w:color="auto"/>
        </w:rPr>
        <w:t xml:space="preserve">                </w:t>
      </w:r>
      <w:r>
        <w:rPr>
          <w:rFonts w:ascii="宋体" w:hAnsi="宋体" w:eastAsia="宋体" w:cs="宋体"/>
          <w:spacing w:val="-105"/>
          <w:sz w:val="23"/>
          <w:szCs w:val="23"/>
        </w:rPr>
        <w:t xml:space="preserve"> </w:t>
      </w:r>
      <w:r>
        <w:rPr>
          <w:rFonts w:ascii="宋体" w:hAnsi="宋体" w:eastAsia="宋体" w:cs="宋体"/>
          <w:spacing w:val="-12"/>
          <w:sz w:val="23"/>
          <w:szCs w:val="23"/>
        </w:rPr>
        <w:t>年</w:t>
      </w:r>
      <w:r>
        <w:rPr>
          <w:rFonts w:ascii="宋体" w:hAnsi="宋体" w:eastAsia="宋体" w:cs="宋体"/>
          <w:spacing w:val="-12"/>
          <w:sz w:val="23"/>
          <w:szCs w:val="23"/>
          <w:u w:val="single" w:color="auto"/>
        </w:rPr>
        <w:t xml:space="preserve">        </w:t>
      </w:r>
      <w:r>
        <w:rPr>
          <w:rFonts w:ascii="宋体" w:hAnsi="宋体" w:eastAsia="宋体" w:cs="宋体"/>
          <w:spacing w:val="-99"/>
          <w:sz w:val="23"/>
          <w:szCs w:val="23"/>
        </w:rPr>
        <w:t xml:space="preserve"> </w:t>
      </w:r>
      <w:r>
        <w:rPr>
          <w:rFonts w:ascii="宋体" w:hAnsi="宋体" w:eastAsia="宋体" w:cs="宋体"/>
          <w:spacing w:val="-12"/>
          <w:sz w:val="23"/>
          <w:szCs w:val="23"/>
        </w:rPr>
        <w:t>月</w:t>
      </w:r>
      <w:r>
        <w:rPr>
          <w:rFonts w:ascii="宋体" w:hAnsi="宋体" w:eastAsia="宋体" w:cs="宋体"/>
          <w:spacing w:val="-12"/>
          <w:sz w:val="23"/>
          <w:szCs w:val="23"/>
          <w:u w:val="single" w:color="auto"/>
        </w:rPr>
        <w:t xml:space="preserve">        </w:t>
      </w:r>
      <w:r>
        <w:rPr>
          <w:rFonts w:ascii="宋体" w:hAnsi="宋体" w:eastAsia="宋体" w:cs="宋体"/>
          <w:spacing w:val="-65"/>
          <w:sz w:val="23"/>
          <w:szCs w:val="23"/>
        </w:rPr>
        <w:t xml:space="preserve"> </w:t>
      </w:r>
      <w:r>
        <w:rPr>
          <w:rFonts w:ascii="宋体" w:hAnsi="宋体" w:eastAsia="宋体" w:cs="宋体"/>
          <w:spacing w:val="-12"/>
          <w:sz w:val="23"/>
          <w:szCs w:val="23"/>
        </w:rPr>
        <w:t>日</w:t>
      </w:r>
    </w:p>
    <w:p w14:paraId="31EC4BF6">
      <w:pPr>
        <w:pStyle w:val="9"/>
        <w:keepNext w:val="0"/>
        <w:keepLines w:val="0"/>
        <w:pageBreakBefore w:val="0"/>
        <w:widowControl w:val="0"/>
        <w:kinsoku/>
        <w:wordWrap/>
        <w:overflowPunct/>
        <w:topLinePunct w:val="0"/>
        <w:autoSpaceDE/>
        <w:autoSpaceDN/>
        <w:bidi w:val="0"/>
        <w:adjustRightInd/>
        <w:snapToGrid/>
        <w:spacing w:line="200" w:lineRule="atLeast"/>
        <w:textAlignment w:val="auto"/>
      </w:pPr>
    </w:p>
    <w:p w14:paraId="44D1B2D7">
      <w:pPr>
        <w:pStyle w:val="9"/>
        <w:spacing w:line="262" w:lineRule="auto"/>
      </w:pPr>
    </w:p>
    <w:p w14:paraId="60E2C27B">
      <w:pPr>
        <w:tabs>
          <w:tab w:val="left" w:pos="868"/>
        </w:tabs>
        <w:spacing w:line="240" w:lineRule="auto"/>
        <w:ind w:right="0" w:firstLine="0" w:firstLineChars="0"/>
        <w:jc w:val="left"/>
        <w:rPr>
          <w:rFonts w:ascii="宋体" w:hAnsi="宋体" w:eastAsia="宋体" w:cs="宋体"/>
          <w:sz w:val="23"/>
          <w:szCs w:val="23"/>
          <w:u w:val="single" w:color="auto"/>
        </w:rPr>
      </w:pPr>
    </w:p>
    <w:p w14:paraId="58AD2A41">
      <w:pPr>
        <w:keepNext w:val="0"/>
        <w:keepLines w:val="0"/>
        <w:pageBreakBefore w:val="0"/>
        <w:widowControl w:val="0"/>
        <w:tabs>
          <w:tab w:val="left" w:pos="868"/>
        </w:tabs>
        <w:kinsoku/>
        <w:wordWrap/>
        <w:overflowPunct/>
        <w:topLinePunct w:val="0"/>
        <w:autoSpaceDE/>
        <w:autoSpaceDN/>
        <w:bidi w:val="0"/>
        <w:adjustRightInd/>
        <w:snapToGrid/>
        <w:spacing w:line="240" w:lineRule="auto"/>
        <w:ind w:left="0" w:right="0" w:firstLine="0" w:firstLineChars="0"/>
        <w:jc w:val="left"/>
        <w:textAlignment w:val="auto"/>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103"/>
          <w:sz w:val="23"/>
          <w:szCs w:val="23"/>
        </w:rPr>
        <w:t xml:space="preserve"> </w:t>
      </w:r>
      <w:r>
        <w:rPr>
          <w:rFonts w:ascii="宋体" w:hAnsi="宋体" w:eastAsia="宋体" w:cs="宋体"/>
          <w:spacing w:val="-3"/>
          <w:sz w:val="23"/>
          <w:szCs w:val="23"/>
        </w:rPr>
        <w:t>年</w:t>
      </w:r>
      <w:r>
        <w:rPr>
          <w:rFonts w:ascii="宋体" w:hAnsi="宋体" w:eastAsia="宋体" w:cs="宋体"/>
          <w:spacing w:val="-108"/>
          <w:sz w:val="23"/>
          <w:szCs w:val="23"/>
        </w:rPr>
        <w:t xml:space="preserve"> </w:t>
      </w:r>
      <w:r>
        <w:rPr>
          <w:rFonts w:ascii="宋体" w:hAnsi="宋体" w:eastAsia="宋体" w:cs="宋体"/>
          <w:spacing w:val="10"/>
          <w:sz w:val="23"/>
          <w:szCs w:val="23"/>
          <w:u w:val="single" w:color="auto"/>
        </w:rPr>
        <w:t xml:space="preserve">     </w:t>
      </w:r>
      <w:r>
        <w:rPr>
          <w:rFonts w:ascii="宋体" w:hAnsi="宋体" w:eastAsia="宋体" w:cs="宋体"/>
          <w:spacing w:val="-96"/>
          <w:sz w:val="23"/>
          <w:szCs w:val="23"/>
        </w:rPr>
        <w:t xml:space="preserve"> </w:t>
      </w:r>
      <w:r>
        <w:rPr>
          <w:rFonts w:ascii="宋体" w:hAnsi="宋体" w:eastAsia="宋体" w:cs="宋体"/>
          <w:spacing w:val="-3"/>
          <w:sz w:val="23"/>
          <w:szCs w:val="23"/>
        </w:rPr>
        <w:t xml:space="preserve">月 </w:t>
      </w:r>
      <w:r>
        <w:rPr>
          <w:rFonts w:ascii="宋体" w:hAnsi="宋体" w:eastAsia="宋体" w:cs="宋体"/>
          <w:spacing w:val="11"/>
          <w:sz w:val="23"/>
          <w:szCs w:val="23"/>
          <w:u w:val="single" w:color="auto"/>
        </w:rPr>
        <w:t xml:space="preserve">     </w:t>
      </w:r>
      <w:r>
        <w:rPr>
          <w:rFonts w:ascii="宋体" w:hAnsi="宋体" w:eastAsia="宋体" w:cs="宋体"/>
          <w:spacing w:val="-63"/>
          <w:sz w:val="23"/>
          <w:szCs w:val="23"/>
        </w:rPr>
        <w:t xml:space="preserve"> </w:t>
      </w:r>
      <w:r>
        <w:rPr>
          <w:rFonts w:ascii="宋体" w:hAnsi="宋体" w:eastAsia="宋体" w:cs="宋体"/>
          <w:spacing w:val="-3"/>
          <w:sz w:val="23"/>
          <w:szCs w:val="23"/>
        </w:rPr>
        <w:t>日，</w:t>
      </w:r>
      <w:r>
        <w:rPr>
          <w:rFonts w:ascii="宋体" w:hAnsi="宋体" w:eastAsia="宋体" w:cs="宋体"/>
          <w:spacing w:val="-58"/>
          <w:sz w:val="23"/>
          <w:szCs w:val="23"/>
        </w:rPr>
        <w:t xml:space="preserve"> </w:t>
      </w:r>
      <w:r>
        <w:rPr>
          <w:rFonts w:ascii="宋体" w:hAnsi="宋体" w:eastAsia="宋体" w:cs="宋体"/>
          <w:spacing w:val="65"/>
          <w:sz w:val="23"/>
          <w:szCs w:val="23"/>
          <w:u w:val="single" w:color="auto"/>
        </w:rPr>
        <w:t xml:space="preserve"> </w:t>
      </w:r>
      <w:r>
        <w:rPr>
          <w:rFonts w:ascii="宋体" w:hAnsi="宋体" w:eastAsia="宋体" w:cs="宋体"/>
          <w:spacing w:val="-3"/>
          <w:sz w:val="23"/>
          <w:szCs w:val="23"/>
          <w:u w:val="single" w:color="auto"/>
        </w:rPr>
        <w:t>( 采</w:t>
      </w:r>
      <w:r>
        <w:rPr>
          <w:rFonts w:ascii="宋体" w:hAnsi="宋体" w:eastAsia="宋体" w:cs="宋体"/>
          <w:spacing w:val="24"/>
          <w:sz w:val="23"/>
          <w:szCs w:val="23"/>
          <w:u w:val="single" w:color="auto"/>
        </w:rPr>
        <w:t xml:space="preserve"> </w:t>
      </w:r>
      <w:r>
        <w:rPr>
          <w:rFonts w:ascii="宋体" w:hAnsi="宋体" w:eastAsia="宋体" w:cs="宋体"/>
          <w:spacing w:val="-3"/>
          <w:sz w:val="23"/>
          <w:szCs w:val="23"/>
          <w:u w:val="single" w:color="auto"/>
        </w:rPr>
        <w:t>购</w:t>
      </w:r>
      <w:r>
        <w:rPr>
          <w:rFonts w:ascii="宋体" w:hAnsi="宋体" w:eastAsia="宋体" w:cs="宋体"/>
          <w:spacing w:val="29"/>
          <w:sz w:val="23"/>
          <w:szCs w:val="23"/>
          <w:u w:val="single" w:color="auto"/>
        </w:rPr>
        <w:t xml:space="preserve"> </w:t>
      </w:r>
      <w:r>
        <w:rPr>
          <w:rFonts w:ascii="宋体" w:hAnsi="宋体" w:eastAsia="宋体" w:cs="宋体"/>
          <w:spacing w:val="-3"/>
          <w:sz w:val="23"/>
          <w:szCs w:val="23"/>
          <w:u w:val="single" w:color="auto"/>
        </w:rPr>
        <w:t>人</w:t>
      </w:r>
      <w:r>
        <w:rPr>
          <w:rFonts w:ascii="宋体" w:hAnsi="宋体" w:eastAsia="宋体" w:cs="宋体"/>
          <w:spacing w:val="29"/>
          <w:sz w:val="23"/>
          <w:szCs w:val="23"/>
          <w:u w:val="single" w:color="auto"/>
        </w:rPr>
        <w:t xml:space="preserve"> </w:t>
      </w:r>
      <w:r>
        <w:rPr>
          <w:rFonts w:ascii="宋体" w:hAnsi="宋体" w:eastAsia="宋体" w:cs="宋体"/>
          <w:spacing w:val="-3"/>
          <w:sz w:val="23"/>
          <w:szCs w:val="23"/>
          <w:u w:val="single" w:color="auto"/>
        </w:rPr>
        <w:t>名</w:t>
      </w:r>
      <w:r>
        <w:rPr>
          <w:rFonts w:ascii="宋体" w:hAnsi="宋体" w:eastAsia="宋体" w:cs="宋体"/>
          <w:spacing w:val="25"/>
          <w:sz w:val="23"/>
          <w:szCs w:val="23"/>
          <w:u w:val="single" w:color="auto"/>
        </w:rPr>
        <w:t xml:space="preserve"> </w:t>
      </w:r>
      <w:r>
        <w:rPr>
          <w:rFonts w:ascii="宋体" w:hAnsi="宋体" w:eastAsia="宋体" w:cs="宋体"/>
          <w:spacing w:val="-3"/>
          <w:sz w:val="23"/>
          <w:szCs w:val="23"/>
          <w:u w:val="single" w:color="auto"/>
        </w:rPr>
        <w:t>称</w:t>
      </w:r>
      <w:r>
        <w:rPr>
          <w:rFonts w:ascii="宋体" w:hAnsi="宋体" w:eastAsia="宋体" w:cs="宋体"/>
          <w:spacing w:val="28"/>
          <w:sz w:val="23"/>
          <w:szCs w:val="23"/>
          <w:u w:val="single" w:color="auto"/>
        </w:rPr>
        <w:t xml:space="preserve"> </w:t>
      </w:r>
      <w:r>
        <w:rPr>
          <w:rFonts w:ascii="宋体" w:hAnsi="宋体" w:eastAsia="宋体" w:cs="宋体"/>
          <w:spacing w:val="-3"/>
          <w:sz w:val="23"/>
          <w:szCs w:val="23"/>
          <w:u w:val="single" w:color="auto"/>
        </w:rPr>
        <w:t>)</w:t>
      </w:r>
      <w:r>
        <w:rPr>
          <w:rFonts w:ascii="宋体" w:hAnsi="宋体" w:eastAsia="宋体" w:cs="宋体"/>
          <w:spacing w:val="51"/>
          <w:sz w:val="23"/>
          <w:szCs w:val="23"/>
        </w:rPr>
        <w:t xml:space="preserve"> </w:t>
      </w:r>
      <w:r>
        <w:rPr>
          <w:rFonts w:ascii="宋体" w:hAnsi="宋体" w:eastAsia="宋体" w:cs="宋体"/>
          <w:spacing w:val="-3"/>
          <w:sz w:val="23"/>
          <w:szCs w:val="23"/>
        </w:rPr>
        <w:t>以</w:t>
      </w:r>
      <w:r>
        <w:rPr>
          <w:rFonts w:ascii="宋体" w:hAnsi="宋体" w:eastAsia="宋体" w:cs="宋体"/>
          <w:spacing w:val="14"/>
          <w:sz w:val="23"/>
          <w:szCs w:val="23"/>
        </w:rPr>
        <w:t xml:space="preserve">  </w:t>
      </w:r>
      <w:r>
        <w:rPr>
          <w:rFonts w:ascii="宋体" w:hAnsi="宋体" w:eastAsia="宋体" w:cs="宋体"/>
          <w:spacing w:val="-62"/>
          <w:sz w:val="23"/>
          <w:szCs w:val="23"/>
          <w:u w:val="single" w:color="auto"/>
        </w:rPr>
        <w:t xml:space="preserve"> </w:t>
      </w:r>
      <w:r>
        <w:rPr>
          <w:rFonts w:ascii="宋体" w:hAnsi="宋体" w:eastAsia="宋体" w:cs="宋体"/>
          <w:spacing w:val="-3"/>
          <w:sz w:val="23"/>
          <w:szCs w:val="23"/>
          <w:u w:val="single" w:color="auto"/>
        </w:rPr>
        <w:t>(政府采购方式)</w:t>
      </w:r>
      <w:r>
        <w:rPr>
          <w:rFonts w:ascii="宋体" w:hAnsi="宋体" w:eastAsia="宋体" w:cs="宋体"/>
          <w:spacing w:val="23"/>
          <w:sz w:val="23"/>
          <w:szCs w:val="23"/>
        </w:rPr>
        <w:t xml:space="preserve"> </w:t>
      </w:r>
      <w:r>
        <w:rPr>
          <w:rFonts w:ascii="宋体" w:hAnsi="宋体" w:eastAsia="宋体" w:cs="宋体"/>
          <w:spacing w:val="-3"/>
          <w:sz w:val="23"/>
          <w:szCs w:val="23"/>
        </w:rPr>
        <w:t>对</w:t>
      </w:r>
      <w:r>
        <w:rPr>
          <w:rFonts w:ascii="宋体" w:hAnsi="宋体" w:eastAsia="宋体" w:cs="宋体"/>
          <w:spacing w:val="13"/>
          <w:sz w:val="23"/>
          <w:szCs w:val="23"/>
        </w:rPr>
        <w:t xml:space="preserve">  </w:t>
      </w:r>
      <w:r>
        <w:rPr>
          <w:rFonts w:ascii="宋体" w:hAnsi="宋体" w:eastAsia="宋体" w:cs="宋体"/>
          <w:spacing w:val="-64"/>
          <w:sz w:val="23"/>
          <w:szCs w:val="23"/>
          <w:u w:val="single" w:color="auto"/>
        </w:rPr>
        <w:t xml:space="preserve"> </w:t>
      </w:r>
      <w:r>
        <w:rPr>
          <w:rFonts w:ascii="宋体" w:hAnsi="宋体" w:eastAsia="宋体" w:cs="宋体"/>
          <w:spacing w:val="-3"/>
          <w:sz w:val="23"/>
          <w:szCs w:val="23"/>
          <w:u w:val="single" w:color="auto"/>
        </w:rPr>
        <w:t>(</w:t>
      </w:r>
      <w:r>
        <w:rPr>
          <w:rFonts w:ascii="宋体" w:hAnsi="宋体" w:eastAsia="宋体" w:cs="宋体"/>
          <w:spacing w:val="45"/>
          <w:sz w:val="23"/>
          <w:szCs w:val="23"/>
          <w:u w:val="single" w:color="auto"/>
        </w:rPr>
        <w:t xml:space="preserve"> </w:t>
      </w:r>
      <w:r>
        <w:rPr>
          <w:rFonts w:ascii="宋体" w:hAnsi="宋体" w:eastAsia="宋体" w:cs="宋体"/>
          <w:spacing w:val="-3"/>
          <w:sz w:val="23"/>
          <w:szCs w:val="23"/>
          <w:u w:val="single" w:color="auto"/>
        </w:rPr>
        <w:t>同前页</w:t>
      </w:r>
      <w:r>
        <w:rPr>
          <w:rFonts w:ascii="宋体" w:hAnsi="宋体" w:eastAsia="宋体" w:cs="宋体"/>
          <w:spacing w:val="-4"/>
          <w:sz w:val="23"/>
          <w:szCs w:val="23"/>
          <w:u w:val="single" w:color="auto"/>
        </w:rPr>
        <w:t>项目名称</w:t>
      </w:r>
      <w:r>
        <w:rPr>
          <w:rFonts w:ascii="宋体" w:hAnsi="宋体" w:eastAsia="宋体" w:cs="宋体"/>
          <w:spacing w:val="28"/>
          <w:sz w:val="23"/>
          <w:szCs w:val="23"/>
          <w:u w:val="single" w:color="auto"/>
        </w:rPr>
        <w:t xml:space="preserve"> </w:t>
      </w:r>
      <w:r>
        <w:rPr>
          <w:rFonts w:ascii="宋体" w:hAnsi="宋体" w:eastAsia="宋体" w:cs="宋体"/>
          <w:spacing w:val="-4"/>
          <w:sz w:val="23"/>
          <w:szCs w:val="23"/>
          <w:u w:val="single" w:color="auto"/>
        </w:rPr>
        <w:t>)</w:t>
      </w:r>
      <w:r>
        <w:rPr>
          <w:rFonts w:ascii="宋体" w:hAnsi="宋体" w:eastAsia="宋体" w:cs="宋体"/>
          <w:spacing w:val="-4"/>
          <w:sz w:val="23"/>
          <w:szCs w:val="23"/>
        </w:rPr>
        <w:t xml:space="preserve"> 项目进行了采购。经</w:t>
      </w:r>
      <w:r>
        <w:rPr>
          <w:rFonts w:ascii="宋体" w:hAnsi="宋体" w:eastAsia="宋体" w:cs="宋体"/>
          <w:spacing w:val="14"/>
          <w:sz w:val="23"/>
          <w:szCs w:val="23"/>
        </w:rPr>
        <w:t xml:space="preserve"> </w:t>
      </w:r>
      <w:r>
        <w:rPr>
          <w:rFonts w:ascii="宋体" w:hAnsi="宋体" w:eastAsia="宋体" w:cs="宋体"/>
          <w:spacing w:val="-4"/>
          <w:sz w:val="23"/>
          <w:szCs w:val="23"/>
          <w:u w:val="single" w:color="auto"/>
        </w:rPr>
        <w:t>(相关评定主体名称)</w:t>
      </w:r>
      <w:r>
        <w:rPr>
          <w:rFonts w:ascii="宋体" w:hAnsi="宋体" w:eastAsia="宋体" w:cs="宋体"/>
          <w:spacing w:val="23"/>
          <w:sz w:val="23"/>
          <w:szCs w:val="23"/>
          <w:u w:val="single" w:color="auto"/>
        </w:rPr>
        <w:t xml:space="preserve"> </w:t>
      </w:r>
      <w:r>
        <w:rPr>
          <w:rFonts w:ascii="宋体" w:hAnsi="宋体" w:eastAsia="宋体" w:cs="宋体"/>
          <w:spacing w:val="-4"/>
          <w:sz w:val="23"/>
          <w:szCs w:val="23"/>
        </w:rPr>
        <w:t>评定</w:t>
      </w:r>
      <w:r>
        <w:rPr>
          <w:rFonts w:ascii="宋体" w:hAnsi="宋体" w:eastAsia="宋体" w:cs="宋体"/>
          <w:spacing w:val="46"/>
          <w:sz w:val="23"/>
          <w:szCs w:val="23"/>
        </w:rPr>
        <w:t xml:space="preserve"> </w:t>
      </w:r>
      <w:r>
        <w:rPr>
          <w:rFonts w:ascii="宋体" w:hAnsi="宋体" w:eastAsia="宋体" w:cs="宋体"/>
          <w:spacing w:val="-4"/>
          <w:sz w:val="23"/>
          <w:szCs w:val="23"/>
        </w:rPr>
        <w:t>，</w:t>
      </w:r>
      <w:r>
        <w:rPr>
          <w:rFonts w:ascii="宋体" w:hAnsi="宋体" w:eastAsia="宋体" w:cs="宋体"/>
          <w:spacing w:val="61"/>
          <w:sz w:val="23"/>
          <w:szCs w:val="23"/>
          <w:u w:val="single" w:color="auto"/>
        </w:rPr>
        <w:t xml:space="preserve"> </w:t>
      </w:r>
      <w:r>
        <w:rPr>
          <w:rFonts w:ascii="宋体" w:hAnsi="宋体" w:eastAsia="宋体" w:cs="宋体"/>
          <w:spacing w:val="-20"/>
          <w:sz w:val="23"/>
          <w:szCs w:val="23"/>
          <w:u w:val="single" w:color="auto"/>
        </w:rPr>
        <w:t>( 中 标</w:t>
      </w:r>
      <w:r>
        <w:rPr>
          <w:rFonts w:ascii="宋体" w:hAnsi="宋体" w:eastAsia="宋体" w:cs="宋体"/>
          <w:spacing w:val="-20"/>
          <w:sz w:val="23"/>
          <w:szCs w:val="23"/>
        </w:rPr>
        <w:t xml:space="preserve"> </w:t>
      </w:r>
      <w:r>
        <w:rPr>
          <w:rFonts w:ascii="宋体" w:hAnsi="宋体" w:eastAsia="宋体" w:cs="宋体"/>
          <w:spacing w:val="-20"/>
          <w:sz w:val="23"/>
          <w:szCs w:val="23"/>
          <w:u w:val="single" w:color="auto"/>
        </w:rPr>
        <w:t>供 应 商 名 称 )</w:t>
      </w:r>
      <w:r>
        <w:rPr>
          <w:rFonts w:ascii="宋体" w:hAnsi="宋体" w:eastAsia="宋体" w:cs="宋体"/>
          <w:spacing w:val="14"/>
          <w:sz w:val="23"/>
          <w:szCs w:val="23"/>
        </w:rPr>
        <w:t>为该项目中标供应商。现于中标通知书发出之日起三十日内，按照采购文</w:t>
      </w:r>
      <w:r>
        <w:rPr>
          <w:rFonts w:ascii="宋体" w:hAnsi="宋体" w:eastAsia="宋体" w:cs="宋体"/>
          <w:spacing w:val="13"/>
          <w:sz w:val="23"/>
          <w:szCs w:val="23"/>
        </w:rPr>
        <w:t>件确定的事项签订本合同。</w:t>
      </w:r>
    </w:p>
    <w:p w14:paraId="07D4E9DB">
      <w:pPr>
        <w:keepNext w:val="0"/>
        <w:keepLines w:val="0"/>
        <w:pageBreakBefore w:val="0"/>
        <w:widowControl w:val="0"/>
        <w:kinsoku/>
        <w:wordWrap/>
        <w:overflowPunct/>
        <w:topLinePunct w:val="0"/>
        <w:autoSpaceDE/>
        <w:autoSpaceDN/>
        <w:bidi w:val="0"/>
        <w:adjustRightInd/>
        <w:snapToGrid/>
        <w:spacing w:line="240" w:lineRule="auto"/>
        <w:ind w:left="0" w:right="0" w:firstLine="522" w:firstLineChars="200"/>
        <w:textAlignment w:val="auto"/>
        <w:rPr>
          <w:rFonts w:ascii="宋体" w:hAnsi="宋体" w:eastAsia="宋体" w:cs="宋体"/>
          <w:b/>
          <w:bCs/>
          <w:spacing w:val="11"/>
          <w:sz w:val="23"/>
          <w:szCs w:val="23"/>
        </w:rPr>
      </w:pPr>
      <w:r>
        <w:rPr>
          <w:rFonts w:ascii="宋体" w:hAnsi="宋体" w:eastAsia="宋体" w:cs="宋体"/>
          <w:spacing w:val="14"/>
          <w:sz w:val="23"/>
          <w:szCs w:val="23"/>
        </w:rPr>
        <w:t>根据《中华人民共和国</w:t>
      </w:r>
      <w:r>
        <w:rPr>
          <w:rFonts w:hint="eastAsia" w:ascii="宋体" w:hAnsi="宋体" w:eastAsia="宋体" w:cs="宋体"/>
          <w:spacing w:val="14"/>
          <w:sz w:val="23"/>
          <w:szCs w:val="23"/>
          <w:lang w:val="en-US" w:eastAsia="zh-CN"/>
        </w:rPr>
        <w:t>民法典</w:t>
      </w:r>
      <w:r>
        <w:rPr>
          <w:rFonts w:ascii="宋体" w:hAnsi="宋体" w:eastAsia="宋体" w:cs="宋体"/>
          <w:spacing w:val="14"/>
          <w:sz w:val="23"/>
          <w:szCs w:val="23"/>
        </w:rPr>
        <w:t>》、《中华人民共和国政府采购法》等相关法律法规之规定，按照平等、自愿、公平和诚实信用的原则，经</w:t>
      </w:r>
      <w:r>
        <w:rPr>
          <w:rFonts w:ascii="宋体" w:hAnsi="宋体" w:eastAsia="宋体" w:cs="宋体"/>
          <w:spacing w:val="12"/>
          <w:sz w:val="23"/>
          <w:szCs w:val="23"/>
          <w:u w:val="single" w:color="auto"/>
        </w:rPr>
        <w:t xml:space="preserve">(采购人名称)  </w:t>
      </w:r>
      <w:r>
        <w:rPr>
          <w:rFonts w:ascii="宋体" w:hAnsi="宋体" w:eastAsia="宋体" w:cs="宋体"/>
          <w:spacing w:val="12"/>
          <w:sz w:val="23"/>
          <w:szCs w:val="23"/>
        </w:rPr>
        <w:t>(以下简称：</w:t>
      </w:r>
      <w:r>
        <w:rPr>
          <w:rFonts w:ascii="宋体" w:hAnsi="宋体" w:eastAsia="宋体" w:cs="宋体"/>
          <w:sz w:val="23"/>
          <w:szCs w:val="23"/>
        </w:rPr>
        <w:t xml:space="preserve"> </w:t>
      </w:r>
      <w:r>
        <w:rPr>
          <w:rFonts w:ascii="宋体" w:hAnsi="宋体" w:eastAsia="宋体" w:cs="宋体"/>
          <w:spacing w:val="6"/>
          <w:sz w:val="23"/>
          <w:szCs w:val="23"/>
        </w:rPr>
        <w:t xml:space="preserve">甲方)和 </w:t>
      </w:r>
      <w:r>
        <w:rPr>
          <w:rFonts w:ascii="宋体" w:hAnsi="宋体" w:eastAsia="宋体" w:cs="宋体"/>
          <w:spacing w:val="-52"/>
          <w:sz w:val="23"/>
          <w:szCs w:val="23"/>
          <w:u w:val="single" w:color="auto"/>
        </w:rPr>
        <w:t xml:space="preserve"> </w:t>
      </w:r>
      <w:r>
        <w:rPr>
          <w:rFonts w:ascii="宋体" w:hAnsi="宋体" w:eastAsia="宋体" w:cs="宋体"/>
          <w:spacing w:val="-20"/>
          <w:sz w:val="23"/>
          <w:szCs w:val="23"/>
          <w:u w:val="single" w:color="auto"/>
        </w:rPr>
        <w:t>( 中 标 供 应 商 名 称 )</w:t>
      </w:r>
      <w:r>
        <w:rPr>
          <w:rFonts w:ascii="宋体" w:hAnsi="宋体" w:eastAsia="宋体" w:cs="宋体"/>
          <w:spacing w:val="-20"/>
          <w:sz w:val="23"/>
          <w:szCs w:val="23"/>
        </w:rPr>
        <w:t xml:space="preserve"> </w:t>
      </w:r>
      <w:r>
        <w:rPr>
          <w:rFonts w:ascii="宋体" w:hAnsi="宋体" w:eastAsia="宋体" w:cs="宋体"/>
          <w:spacing w:val="6"/>
          <w:sz w:val="23"/>
          <w:szCs w:val="23"/>
        </w:rPr>
        <w:t xml:space="preserve"> </w:t>
      </w:r>
      <w:r>
        <w:rPr>
          <w:rFonts w:ascii="宋体" w:hAnsi="宋体" w:eastAsia="宋体" w:cs="宋体"/>
          <w:spacing w:val="14"/>
          <w:sz w:val="23"/>
          <w:szCs w:val="23"/>
        </w:rPr>
        <w:t>(以下简称：乙方)协商一致，约定以下合同条款，以兹共同遵守、全面履行。</w:t>
      </w:r>
    </w:p>
    <w:p w14:paraId="472FC3EF">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outlineLvl w:val="0"/>
        <w:rPr>
          <w:rFonts w:ascii="宋体" w:hAnsi="宋体" w:eastAsia="宋体" w:cs="宋体"/>
          <w:spacing w:val="17"/>
          <w:sz w:val="23"/>
          <w:szCs w:val="23"/>
        </w:rPr>
      </w:pPr>
      <w:r>
        <w:rPr>
          <w:rFonts w:ascii="宋体" w:hAnsi="宋体" w:eastAsia="宋体" w:cs="宋体"/>
          <w:b/>
          <w:bCs/>
          <w:spacing w:val="17"/>
          <w:sz w:val="23"/>
          <w:szCs w:val="23"/>
        </w:rPr>
        <w:t>1.</w:t>
      </w:r>
      <w:r>
        <w:rPr>
          <w:rFonts w:ascii="宋体" w:hAnsi="宋体" w:eastAsia="宋体" w:cs="宋体"/>
          <w:spacing w:val="17"/>
          <w:sz w:val="23"/>
          <w:szCs w:val="23"/>
        </w:rPr>
        <w:t xml:space="preserve"> </w:t>
      </w:r>
      <w:r>
        <w:rPr>
          <w:rFonts w:ascii="宋体" w:hAnsi="宋体" w:eastAsia="宋体" w:cs="宋体"/>
          <w:b/>
          <w:bCs/>
          <w:spacing w:val="17"/>
          <w:sz w:val="23"/>
          <w:szCs w:val="23"/>
        </w:rPr>
        <w:t>1</w:t>
      </w:r>
      <w:r>
        <w:rPr>
          <w:rFonts w:ascii="宋体" w:hAnsi="宋体" w:eastAsia="宋体" w:cs="宋体"/>
          <w:spacing w:val="17"/>
          <w:sz w:val="23"/>
          <w:szCs w:val="23"/>
        </w:rPr>
        <w:t xml:space="preserve"> </w:t>
      </w:r>
      <w:r>
        <w:rPr>
          <w:rFonts w:ascii="宋体" w:hAnsi="宋体" w:eastAsia="宋体" w:cs="宋体"/>
          <w:b/>
          <w:bCs/>
          <w:spacing w:val="17"/>
          <w:sz w:val="23"/>
          <w:szCs w:val="23"/>
        </w:rPr>
        <w:t>合同组成部分</w:t>
      </w:r>
    </w:p>
    <w:p w14:paraId="3EE4F4C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ascii="宋体" w:hAnsi="宋体" w:eastAsia="宋体" w:cs="宋体"/>
          <w:spacing w:val="0"/>
          <w:sz w:val="23"/>
          <w:szCs w:val="23"/>
        </w:rPr>
      </w:pPr>
      <w:r>
        <w:rPr>
          <w:rFonts w:ascii="宋体" w:hAnsi="宋体" w:eastAsia="宋体" w:cs="宋体"/>
          <w:spacing w:val="0"/>
          <w:sz w:val="23"/>
          <w:szCs w:val="23"/>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BF02E25">
      <w:pPr>
        <w:spacing w:before="26" w:line="228" w:lineRule="auto"/>
        <w:ind w:left="26"/>
        <w:rPr>
          <w:rFonts w:ascii="宋体" w:hAnsi="宋体" w:eastAsia="宋体" w:cs="宋体"/>
          <w:spacing w:val="13"/>
          <w:sz w:val="23"/>
          <w:szCs w:val="23"/>
          <w:lang w:val="en-US" w:eastAsia="zh-CN"/>
        </w:rPr>
      </w:pPr>
      <w:r>
        <w:rPr>
          <w:rFonts w:ascii="宋体" w:hAnsi="宋体" w:eastAsia="宋体" w:cs="宋体"/>
          <w:spacing w:val="0"/>
          <w:sz w:val="23"/>
          <w:szCs w:val="23"/>
        </w:rPr>
        <w:t>1</w:t>
      </w:r>
      <w:r>
        <w:rPr>
          <w:rFonts w:ascii="宋体" w:hAnsi="宋体" w:eastAsia="宋体" w:cs="宋体"/>
          <w:spacing w:val="13"/>
          <w:sz w:val="23"/>
          <w:szCs w:val="23"/>
        </w:rPr>
        <w:t>.1.1 本合同及其补充合同、变更协议；</w:t>
      </w:r>
    </w:p>
    <w:p w14:paraId="03768818">
      <w:pPr>
        <w:spacing w:before="26" w:line="228" w:lineRule="auto"/>
        <w:ind w:left="26"/>
        <w:rPr>
          <w:rFonts w:ascii="宋体" w:hAnsi="宋体" w:eastAsia="宋体" w:cs="宋体"/>
          <w:spacing w:val="13"/>
          <w:sz w:val="23"/>
          <w:szCs w:val="23"/>
        </w:rPr>
      </w:pPr>
      <w:r>
        <w:rPr>
          <w:rFonts w:ascii="宋体" w:hAnsi="宋体" w:eastAsia="宋体" w:cs="宋体"/>
          <w:spacing w:val="13"/>
          <w:sz w:val="23"/>
          <w:szCs w:val="23"/>
        </w:rPr>
        <w:t>1.1.2 成交通知书；</w:t>
      </w:r>
    </w:p>
    <w:p w14:paraId="2A777CA3">
      <w:pPr>
        <w:spacing w:before="26" w:line="228" w:lineRule="auto"/>
        <w:ind w:left="26"/>
        <w:rPr>
          <w:rFonts w:ascii="宋体" w:hAnsi="宋体" w:eastAsia="宋体" w:cs="宋体"/>
          <w:spacing w:val="13"/>
          <w:sz w:val="23"/>
          <w:szCs w:val="23"/>
        </w:rPr>
      </w:pPr>
      <w:r>
        <w:rPr>
          <w:rFonts w:ascii="宋体" w:hAnsi="宋体" w:eastAsia="宋体" w:cs="宋体"/>
          <w:spacing w:val="13"/>
          <w:sz w:val="23"/>
          <w:szCs w:val="23"/>
        </w:rPr>
        <w:t xml:space="preserve">1.1.3 响应文件(含澄清或者说明件); </w:t>
      </w:r>
    </w:p>
    <w:p w14:paraId="44BD1611">
      <w:pPr>
        <w:spacing w:before="26" w:line="228" w:lineRule="auto"/>
        <w:ind w:left="26"/>
        <w:rPr>
          <w:rFonts w:ascii="宋体" w:hAnsi="宋体" w:eastAsia="宋体" w:cs="宋体"/>
          <w:spacing w:val="13"/>
          <w:sz w:val="23"/>
          <w:szCs w:val="23"/>
        </w:rPr>
      </w:pPr>
      <w:r>
        <w:rPr>
          <w:rFonts w:ascii="宋体" w:hAnsi="宋体" w:eastAsia="宋体" w:cs="宋体"/>
          <w:spacing w:val="13"/>
          <w:sz w:val="23"/>
          <w:szCs w:val="23"/>
        </w:rPr>
        <w:t>1.1.4 磋商文件(含澄清或者修文件);</w:t>
      </w:r>
    </w:p>
    <w:p w14:paraId="102D74B6">
      <w:pPr>
        <w:spacing w:before="26" w:line="228" w:lineRule="auto"/>
        <w:ind w:left="26"/>
        <w:rPr>
          <w:rFonts w:ascii="宋体" w:hAnsi="宋体" w:eastAsia="宋体" w:cs="宋体"/>
          <w:spacing w:val="0"/>
          <w:sz w:val="23"/>
          <w:szCs w:val="23"/>
        </w:rPr>
      </w:pPr>
      <w:r>
        <w:rPr>
          <w:rFonts w:ascii="宋体" w:hAnsi="宋体" w:eastAsia="宋体" w:cs="宋体"/>
          <w:spacing w:val="13"/>
          <w:sz w:val="23"/>
          <w:szCs w:val="23"/>
        </w:rPr>
        <w:t>1.1.5 其他相关采购文件。</w:t>
      </w:r>
    </w:p>
    <w:p w14:paraId="6EFE88D4">
      <w:pPr>
        <w:spacing w:before="75" w:line="228" w:lineRule="auto"/>
        <w:ind w:left="27"/>
        <w:outlineLvl w:val="0"/>
        <w:rPr>
          <w:rFonts w:ascii="宋体" w:hAnsi="宋体" w:eastAsia="宋体" w:cs="宋体"/>
          <w:spacing w:val="17"/>
          <w:sz w:val="23"/>
          <w:szCs w:val="23"/>
        </w:rPr>
      </w:pPr>
      <w:r>
        <w:rPr>
          <w:rFonts w:ascii="宋体" w:hAnsi="宋体" w:eastAsia="宋体" w:cs="宋体"/>
          <w:b/>
          <w:bCs/>
          <w:spacing w:val="17"/>
          <w:sz w:val="23"/>
          <w:szCs w:val="23"/>
        </w:rPr>
        <w:t>1</w:t>
      </w:r>
      <w:r>
        <w:rPr>
          <w:rFonts w:ascii="宋体" w:hAnsi="宋体" w:eastAsia="宋体" w:cs="宋体"/>
          <w:spacing w:val="17"/>
          <w:sz w:val="23"/>
          <w:szCs w:val="23"/>
        </w:rPr>
        <w:t xml:space="preserve"> </w:t>
      </w:r>
      <w:r>
        <w:rPr>
          <w:rFonts w:ascii="宋体" w:hAnsi="宋体" w:eastAsia="宋体" w:cs="宋体"/>
          <w:b/>
          <w:bCs/>
          <w:spacing w:val="17"/>
          <w:sz w:val="23"/>
          <w:szCs w:val="23"/>
        </w:rPr>
        <w:t>.</w:t>
      </w:r>
      <w:r>
        <w:rPr>
          <w:rFonts w:ascii="宋体" w:hAnsi="宋体" w:eastAsia="宋体" w:cs="宋体"/>
          <w:spacing w:val="17"/>
          <w:sz w:val="23"/>
          <w:szCs w:val="23"/>
        </w:rPr>
        <w:t xml:space="preserve"> </w:t>
      </w:r>
      <w:r>
        <w:rPr>
          <w:rFonts w:ascii="宋体" w:hAnsi="宋体" w:eastAsia="宋体" w:cs="宋体"/>
          <w:b/>
          <w:bCs/>
          <w:spacing w:val="17"/>
          <w:sz w:val="23"/>
          <w:szCs w:val="23"/>
        </w:rPr>
        <w:t>2</w:t>
      </w:r>
      <w:r>
        <w:rPr>
          <w:rFonts w:ascii="宋体" w:hAnsi="宋体" w:eastAsia="宋体" w:cs="宋体"/>
          <w:spacing w:val="17"/>
          <w:sz w:val="23"/>
          <w:szCs w:val="23"/>
        </w:rPr>
        <w:t xml:space="preserve"> </w:t>
      </w:r>
      <w:r>
        <w:rPr>
          <w:rFonts w:ascii="宋体" w:hAnsi="宋体" w:eastAsia="宋体" w:cs="宋体"/>
          <w:b/>
          <w:bCs/>
          <w:spacing w:val="17"/>
          <w:sz w:val="23"/>
          <w:szCs w:val="23"/>
        </w:rPr>
        <w:t>标的</w:t>
      </w:r>
    </w:p>
    <w:p w14:paraId="35DA2170">
      <w:pPr>
        <w:tabs>
          <w:tab w:val="left" w:pos="6677"/>
          <w:tab w:val="left" w:pos="6745"/>
        </w:tabs>
        <w:spacing w:before="20" w:line="243" w:lineRule="auto"/>
        <w:ind w:left="519" w:right="3103"/>
        <w:jc w:val="both"/>
        <w:rPr>
          <w:rFonts w:ascii="宋体" w:hAnsi="宋体" w:eastAsia="宋体" w:cs="宋体"/>
          <w:sz w:val="23"/>
          <w:szCs w:val="23"/>
        </w:rPr>
      </w:pPr>
      <w:r>
        <w:rPr>
          <w:rFonts w:ascii="宋体" w:hAnsi="宋体" w:eastAsia="宋体" w:cs="宋体"/>
          <w:spacing w:val="13"/>
          <w:sz w:val="23"/>
          <w:szCs w:val="23"/>
        </w:rPr>
        <w:t>1.2.1 标的名称</w:t>
      </w:r>
      <w:r>
        <w:rPr>
          <w:rFonts w:ascii="宋体" w:hAnsi="宋体" w:eastAsia="宋体" w:cs="宋体"/>
          <w:spacing w:val="2"/>
          <w:sz w:val="23"/>
          <w:szCs w:val="23"/>
        </w:rPr>
        <w:t>：</w:t>
      </w:r>
      <w:r>
        <w:rPr>
          <w:rFonts w:ascii="宋体" w:hAnsi="宋体" w:eastAsia="宋体" w:cs="宋体"/>
          <w:spacing w:val="-93"/>
          <w:sz w:val="23"/>
          <w:szCs w:val="23"/>
        </w:rPr>
        <w:t xml:space="preserve"> </w:t>
      </w:r>
      <w:r>
        <w:rPr>
          <w:rFonts w:ascii="宋体" w:hAnsi="宋体" w:eastAsia="宋体" w:cs="宋体"/>
          <w:sz w:val="23"/>
          <w:szCs w:val="23"/>
          <w:u w:val="single" w:color="auto"/>
        </w:rPr>
        <w:tab/>
      </w:r>
      <w:r>
        <w:rPr>
          <w:rFonts w:ascii="宋体" w:hAnsi="宋体" w:eastAsia="宋体" w:cs="宋体"/>
          <w:sz w:val="23"/>
          <w:szCs w:val="23"/>
        </w:rPr>
        <w:t xml:space="preserve"> </w:t>
      </w:r>
    </w:p>
    <w:p w14:paraId="204F18D5">
      <w:pPr>
        <w:tabs>
          <w:tab w:val="left" w:pos="6677"/>
          <w:tab w:val="left" w:pos="6745"/>
        </w:tabs>
        <w:spacing w:before="20" w:line="243" w:lineRule="auto"/>
        <w:ind w:left="519" w:right="3103"/>
        <w:jc w:val="both"/>
        <w:rPr>
          <w:rFonts w:ascii="宋体" w:hAnsi="宋体" w:eastAsia="宋体" w:cs="宋体"/>
          <w:sz w:val="23"/>
          <w:szCs w:val="23"/>
          <w:u w:val="single" w:color="auto"/>
        </w:rPr>
      </w:pPr>
      <w:r>
        <w:rPr>
          <w:rFonts w:ascii="宋体" w:hAnsi="宋体" w:eastAsia="宋体" w:cs="宋体"/>
          <w:spacing w:val="13"/>
          <w:sz w:val="23"/>
          <w:szCs w:val="23"/>
        </w:rPr>
        <w:t>1.2.2</w:t>
      </w:r>
      <w:r>
        <w:rPr>
          <w:rFonts w:hint="eastAsia" w:ascii="宋体" w:hAnsi="宋体" w:eastAsia="宋体" w:cs="宋体"/>
          <w:spacing w:val="13"/>
          <w:sz w:val="23"/>
          <w:szCs w:val="23"/>
          <w:lang w:val="en-US" w:eastAsia="zh-CN"/>
        </w:rPr>
        <w:t xml:space="preserve"> </w:t>
      </w:r>
      <w:r>
        <w:rPr>
          <w:rFonts w:ascii="宋体" w:hAnsi="宋体" w:eastAsia="宋体" w:cs="宋体"/>
          <w:spacing w:val="13"/>
          <w:sz w:val="23"/>
          <w:szCs w:val="23"/>
        </w:rPr>
        <w:t>标的数量</w:t>
      </w:r>
      <w:r>
        <w:rPr>
          <w:rFonts w:ascii="宋体" w:hAnsi="宋体" w:eastAsia="宋体" w:cs="宋体"/>
          <w:spacing w:val="5"/>
          <w:sz w:val="23"/>
          <w:szCs w:val="23"/>
        </w:rPr>
        <w:t>；</w:t>
      </w:r>
      <w:r>
        <w:rPr>
          <w:rFonts w:ascii="宋体" w:hAnsi="宋体" w:eastAsia="宋体" w:cs="宋体"/>
          <w:spacing w:val="-90"/>
          <w:sz w:val="23"/>
          <w:szCs w:val="23"/>
        </w:rPr>
        <w:t xml:space="preserve"> </w:t>
      </w:r>
      <w:r>
        <w:rPr>
          <w:rFonts w:ascii="宋体" w:hAnsi="宋体" w:eastAsia="宋体" w:cs="宋体"/>
          <w:sz w:val="23"/>
          <w:szCs w:val="23"/>
          <w:u w:val="single" w:color="auto"/>
        </w:rPr>
        <w:tab/>
      </w:r>
      <w:r>
        <w:rPr>
          <w:rFonts w:ascii="宋体" w:hAnsi="宋体" w:eastAsia="宋体" w:cs="宋体"/>
          <w:sz w:val="23"/>
          <w:szCs w:val="23"/>
          <w:u w:val="single" w:color="auto"/>
        </w:rPr>
        <w:tab/>
      </w:r>
    </w:p>
    <w:p w14:paraId="496707A2">
      <w:pPr>
        <w:tabs>
          <w:tab w:val="left" w:pos="6677"/>
          <w:tab w:val="left" w:pos="6745"/>
        </w:tabs>
        <w:spacing w:line="240" w:lineRule="auto"/>
        <w:ind w:right="0" w:firstLine="0" w:firstLineChars="0"/>
        <w:jc w:val="both"/>
        <w:rPr>
          <w:rFonts w:ascii="宋体" w:hAnsi="宋体" w:eastAsia="宋体" w:cs="宋体"/>
          <w:sz w:val="23"/>
          <w:szCs w:val="23"/>
        </w:rPr>
      </w:pPr>
      <w:r>
        <w:rPr>
          <w:rFonts w:hint="eastAsia" w:ascii="宋体" w:hAnsi="宋体" w:eastAsia="宋体" w:cs="宋体"/>
          <w:spacing w:val="5"/>
          <w:sz w:val="23"/>
          <w:szCs w:val="23"/>
          <w:lang w:val="en-US" w:eastAsia="zh-CN"/>
        </w:rPr>
        <w:t xml:space="preserve">   </w:t>
      </w:r>
      <w:r>
        <w:rPr>
          <w:rFonts w:hint="eastAsia" w:ascii="宋体" w:hAnsi="宋体" w:eastAsia="宋体" w:cs="宋体"/>
          <w:spacing w:val="13"/>
          <w:sz w:val="23"/>
          <w:szCs w:val="23"/>
          <w:lang w:val="en-US" w:eastAsia="zh-CN"/>
        </w:rPr>
        <w:t xml:space="preserve"> </w:t>
      </w:r>
      <w:r>
        <w:rPr>
          <w:rFonts w:ascii="宋体" w:hAnsi="宋体" w:eastAsia="宋体" w:cs="宋体"/>
          <w:spacing w:val="13"/>
          <w:sz w:val="23"/>
          <w:szCs w:val="23"/>
        </w:rPr>
        <w:t>1.2.3</w:t>
      </w:r>
      <w:r>
        <w:rPr>
          <w:rFonts w:hint="eastAsia" w:ascii="宋体" w:hAnsi="宋体" w:eastAsia="宋体" w:cs="宋体"/>
          <w:spacing w:val="13"/>
          <w:sz w:val="23"/>
          <w:szCs w:val="23"/>
          <w:lang w:val="en-US" w:eastAsia="zh-CN"/>
        </w:rPr>
        <w:t xml:space="preserve"> </w:t>
      </w:r>
      <w:r>
        <w:rPr>
          <w:rFonts w:ascii="宋体" w:hAnsi="宋体" w:eastAsia="宋体" w:cs="宋体"/>
          <w:spacing w:val="13"/>
          <w:sz w:val="23"/>
          <w:szCs w:val="23"/>
        </w:rPr>
        <w:t>标的质量</w:t>
      </w:r>
      <w:r>
        <w:rPr>
          <w:rFonts w:ascii="宋体" w:hAnsi="宋体" w:eastAsia="宋体" w:cs="宋体"/>
          <w:spacing w:val="5"/>
          <w:sz w:val="23"/>
          <w:szCs w:val="23"/>
        </w:rPr>
        <w:t>；</w:t>
      </w:r>
      <w:r>
        <w:rPr>
          <w:rFonts w:ascii="宋体" w:hAnsi="宋体" w:eastAsia="宋体" w:cs="宋体"/>
          <w:sz w:val="23"/>
          <w:szCs w:val="23"/>
          <w:u w:val="single" w:color="auto"/>
        </w:rPr>
        <w:t xml:space="preserve">                               </w:t>
      </w:r>
    </w:p>
    <w:p w14:paraId="23E88AF0">
      <w:pPr>
        <w:spacing w:line="240" w:lineRule="auto"/>
        <w:ind w:left="0" w:right="0" w:firstLine="454" w:firstLineChars="200"/>
        <w:jc w:val="both"/>
        <w:rPr>
          <w:rFonts w:ascii="宋体" w:hAnsi="宋体" w:eastAsia="宋体" w:cs="宋体"/>
          <w:sz w:val="23"/>
          <w:szCs w:val="23"/>
        </w:rPr>
      </w:pPr>
      <w:r>
        <w:rPr>
          <w:rFonts w:ascii="宋体" w:hAnsi="宋体" w:eastAsia="宋体" w:cs="宋体"/>
          <w:spacing w:val="-3"/>
          <w:sz w:val="23"/>
          <w:szCs w:val="23"/>
        </w:rPr>
        <w:t>本合</w:t>
      </w:r>
      <w:r>
        <w:rPr>
          <w:rFonts w:ascii="宋体" w:hAnsi="宋体" w:eastAsia="宋体" w:cs="宋体"/>
          <w:spacing w:val="-52"/>
          <w:sz w:val="23"/>
          <w:szCs w:val="23"/>
        </w:rPr>
        <w:t xml:space="preserve"> </w:t>
      </w:r>
      <w:r>
        <w:rPr>
          <w:rFonts w:ascii="宋体" w:hAnsi="宋体" w:eastAsia="宋体" w:cs="宋体"/>
          <w:spacing w:val="-3"/>
          <w:sz w:val="23"/>
          <w:szCs w:val="23"/>
        </w:rPr>
        <w:t>同总价为</w:t>
      </w:r>
      <w:r>
        <w:rPr>
          <w:rFonts w:ascii="宋体" w:hAnsi="宋体" w:eastAsia="宋体" w:cs="宋体"/>
          <w:spacing w:val="-60"/>
          <w:sz w:val="23"/>
          <w:szCs w:val="23"/>
        </w:rPr>
        <w:t xml:space="preserve"> </w:t>
      </w:r>
      <w:r>
        <w:rPr>
          <w:rFonts w:ascii="宋体" w:hAnsi="宋体" w:eastAsia="宋体" w:cs="宋体"/>
          <w:spacing w:val="-3"/>
          <w:sz w:val="23"/>
          <w:szCs w:val="23"/>
        </w:rPr>
        <w:t>：</w:t>
      </w:r>
      <w:r>
        <w:rPr>
          <w:rFonts w:ascii="宋体" w:hAnsi="宋体" w:eastAsia="宋体" w:cs="宋体"/>
          <w:spacing w:val="-79"/>
          <w:sz w:val="23"/>
          <w:szCs w:val="23"/>
        </w:rPr>
        <w:t xml:space="preserve"> </w:t>
      </w:r>
      <w:r>
        <w:rPr>
          <w:rFonts w:ascii="宋体" w:hAnsi="宋体" w:eastAsia="宋体" w:cs="宋体"/>
          <w:spacing w:val="-3"/>
          <w:sz w:val="23"/>
          <w:szCs w:val="23"/>
        </w:rPr>
        <w:t>¥</w:t>
      </w:r>
      <w:r>
        <w:rPr>
          <w:rFonts w:ascii="宋体" w:hAnsi="宋体" w:eastAsia="宋体" w:cs="宋体"/>
          <w:spacing w:val="-103"/>
          <w:sz w:val="23"/>
          <w:szCs w:val="23"/>
        </w:rPr>
        <w:t xml:space="preserve"> </w:t>
      </w:r>
      <w:r>
        <w:rPr>
          <w:rFonts w:ascii="宋体" w:hAnsi="宋体" w:eastAsia="宋体" w:cs="宋体"/>
          <w:spacing w:val="2"/>
          <w:sz w:val="23"/>
          <w:szCs w:val="23"/>
          <w:u w:val="single" w:color="auto"/>
        </w:rPr>
        <w:t xml:space="preserve">            </w:t>
      </w:r>
      <w:r>
        <w:rPr>
          <w:rFonts w:ascii="宋体" w:hAnsi="宋体" w:eastAsia="宋体" w:cs="宋体"/>
          <w:spacing w:val="-59"/>
          <w:sz w:val="23"/>
          <w:szCs w:val="23"/>
        </w:rPr>
        <w:t xml:space="preserve"> </w:t>
      </w:r>
      <w:r>
        <w:rPr>
          <w:rFonts w:ascii="宋体" w:hAnsi="宋体" w:eastAsia="宋体" w:cs="宋体"/>
          <w:spacing w:val="-3"/>
          <w:sz w:val="23"/>
          <w:szCs w:val="23"/>
        </w:rPr>
        <w:t>(</w:t>
      </w:r>
      <w:r>
        <w:rPr>
          <w:rFonts w:ascii="宋体" w:hAnsi="宋体" w:eastAsia="宋体" w:cs="宋体"/>
          <w:spacing w:val="-26"/>
          <w:sz w:val="23"/>
          <w:szCs w:val="23"/>
        </w:rPr>
        <w:t xml:space="preserve"> </w:t>
      </w:r>
      <w:r>
        <w:rPr>
          <w:rFonts w:ascii="宋体" w:hAnsi="宋体" w:eastAsia="宋体" w:cs="宋体"/>
          <w:spacing w:val="-3"/>
          <w:sz w:val="23"/>
          <w:szCs w:val="23"/>
        </w:rPr>
        <w:t>大写</w:t>
      </w:r>
      <w:r>
        <w:rPr>
          <w:rFonts w:ascii="宋体" w:hAnsi="宋体" w:eastAsia="宋体" w:cs="宋体"/>
          <w:spacing w:val="-29"/>
          <w:sz w:val="23"/>
          <w:szCs w:val="23"/>
        </w:rPr>
        <w:t xml:space="preserve"> </w:t>
      </w:r>
      <w:r>
        <w:rPr>
          <w:rFonts w:ascii="宋体" w:hAnsi="宋体" w:eastAsia="宋体" w:cs="宋体"/>
          <w:spacing w:val="-3"/>
          <w:sz w:val="23"/>
          <w:szCs w:val="23"/>
        </w:rPr>
        <w:t>：</w:t>
      </w:r>
      <w:r>
        <w:rPr>
          <w:rFonts w:ascii="宋体" w:hAnsi="宋体" w:eastAsia="宋体" w:cs="宋体"/>
          <w:spacing w:val="-85"/>
          <w:sz w:val="23"/>
          <w:szCs w:val="23"/>
        </w:rPr>
        <w:t xml:space="preserve"> </w:t>
      </w:r>
      <w:r>
        <w:rPr>
          <w:rFonts w:ascii="宋体" w:hAnsi="宋体" w:eastAsia="宋体" w:cs="宋体"/>
          <w:spacing w:val="1"/>
          <w:sz w:val="23"/>
          <w:szCs w:val="23"/>
          <w:u w:val="single" w:color="auto"/>
        </w:rPr>
        <w:t xml:space="preserve">                   </w:t>
      </w:r>
      <w:r>
        <w:rPr>
          <w:rFonts w:ascii="宋体" w:hAnsi="宋体" w:eastAsia="宋体" w:cs="宋体"/>
          <w:spacing w:val="-97"/>
          <w:sz w:val="23"/>
          <w:szCs w:val="23"/>
        </w:rPr>
        <w:t xml:space="preserve"> </w:t>
      </w:r>
      <w:r>
        <w:rPr>
          <w:rFonts w:ascii="宋体" w:hAnsi="宋体" w:eastAsia="宋体" w:cs="宋体"/>
          <w:spacing w:val="-3"/>
          <w:sz w:val="23"/>
          <w:szCs w:val="23"/>
        </w:rPr>
        <w:t>人</w:t>
      </w:r>
      <w:r>
        <w:rPr>
          <w:rFonts w:ascii="宋体" w:hAnsi="宋体" w:eastAsia="宋体" w:cs="宋体"/>
          <w:spacing w:val="-58"/>
          <w:sz w:val="23"/>
          <w:szCs w:val="23"/>
        </w:rPr>
        <w:t xml:space="preserve"> </w:t>
      </w:r>
      <w:r>
        <w:rPr>
          <w:rFonts w:hint="eastAsia" w:ascii="宋体" w:hAnsi="宋体" w:eastAsia="宋体" w:cs="宋体"/>
          <w:spacing w:val="-58"/>
          <w:sz w:val="23"/>
          <w:szCs w:val="23"/>
          <w:lang w:eastAsia="zh-CN"/>
        </w:rPr>
        <w:t>民</w:t>
      </w:r>
      <w:r>
        <w:rPr>
          <w:rFonts w:hint="eastAsia" w:ascii="宋体" w:hAnsi="宋体" w:eastAsia="宋体" w:cs="宋体"/>
          <w:spacing w:val="-3"/>
          <w:sz w:val="23"/>
          <w:szCs w:val="23"/>
          <w:lang w:val="en-US" w:eastAsia="zh-CN"/>
        </w:rPr>
        <w:t xml:space="preserve"> 币</w:t>
      </w:r>
      <w:r>
        <w:rPr>
          <w:rFonts w:ascii="宋体" w:hAnsi="宋体" w:eastAsia="宋体" w:cs="宋体"/>
          <w:spacing w:val="-3"/>
          <w:sz w:val="23"/>
          <w:szCs w:val="23"/>
        </w:rPr>
        <w:t>)。</w:t>
      </w:r>
      <w:r>
        <w:rPr>
          <w:rFonts w:ascii="宋体" w:hAnsi="宋体" w:eastAsia="宋体" w:cs="宋体"/>
          <w:sz w:val="23"/>
          <w:szCs w:val="23"/>
        </w:rPr>
        <w:t xml:space="preserve"> </w:t>
      </w:r>
    </w:p>
    <w:p w14:paraId="30A1E8E6">
      <w:pPr>
        <w:spacing w:before="313" w:line="240" w:lineRule="auto"/>
        <w:ind w:left="501" w:right="1552" w:hanging="1"/>
        <w:jc w:val="both"/>
        <w:rPr>
          <w:rFonts w:ascii="宋体" w:hAnsi="宋体" w:eastAsia="宋体" w:cs="宋体"/>
          <w:sz w:val="23"/>
          <w:szCs w:val="23"/>
        </w:rPr>
      </w:pPr>
      <w:r>
        <w:rPr>
          <w:rFonts w:ascii="宋体" w:hAnsi="宋体" w:eastAsia="宋体" w:cs="宋体"/>
          <w:spacing w:val="-1"/>
          <w:sz w:val="23"/>
          <w:szCs w:val="23"/>
        </w:rPr>
        <w:t>分项价格：</w:t>
      </w:r>
    </w:p>
    <w:tbl>
      <w:tblPr>
        <w:tblStyle w:val="74"/>
        <w:tblW w:w="8319" w:type="dxa"/>
        <w:tblInd w:w="9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3"/>
        <w:gridCol w:w="3948"/>
        <w:gridCol w:w="2978"/>
      </w:tblGrid>
      <w:tr w14:paraId="21C22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393" w:type="dxa"/>
            <w:noWrap w:val="0"/>
            <w:vAlign w:val="top"/>
          </w:tcPr>
          <w:p w14:paraId="3BBBA7AE">
            <w:pPr>
              <w:spacing w:before="197" w:line="228" w:lineRule="auto"/>
              <w:ind w:left="378"/>
              <w:rPr>
                <w:rFonts w:ascii="宋体" w:hAnsi="宋体" w:eastAsia="宋体" w:cs="宋体"/>
                <w:sz w:val="24"/>
                <w:szCs w:val="24"/>
              </w:rPr>
            </w:pPr>
            <w:r>
              <w:rPr>
                <w:rFonts w:ascii="宋体" w:hAnsi="宋体" w:eastAsia="宋体" w:cs="宋体"/>
                <w:spacing w:val="12"/>
                <w:sz w:val="24"/>
                <w:szCs w:val="24"/>
              </w:rPr>
              <w:t>序号</w:t>
            </w:r>
          </w:p>
        </w:tc>
        <w:tc>
          <w:tcPr>
            <w:tcW w:w="3948" w:type="dxa"/>
            <w:noWrap w:val="0"/>
            <w:vAlign w:val="top"/>
          </w:tcPr>
          <w:p w14:paraId="4E1894E5">
            <w:pPr>
              <w:spacing w:before="196" w:line="228" w:lineRule="auto"/>
              <w:ind w:left="1273"/>
              <w:rPr>
                <w:rFonts w:ascii="宋体" w:hAnsi="宋体" w:eastAsia="宋体" w:cs="宋体"/>
                <w:sz w:val="24"/>
                <w:szCs w:val="24"/>
              </w:rPr>
            </w:pPr>
            <w:r>
              <w:rPr>
                <w:rFonts w:ascii="宋体" w:hAnsi="宋体" w:eastAsia="宋体" w:cs="宋体"/>
                <w:spacing w:val="11"/>
                <w:sz w:val="24"/>
                <w:szCs w:val="24"/>
              </w:rPr>
              <w:t>分项名称</w:t>
            </w:r>
          </w:p>
        </w:tc>
        <w:tc>
          <w:tcPr>
            <w:tcW w:w="2978" w:type="dxa"/>
            <w:noWrap w:val="0"/>
            <w:vAlign w:val="top"/>
          </w:tcPr>
          <w:p w14:paraId="1595D155">
            <w:pPr>
              <w:spacing w:before="191" w:line="226" w:lineRule="auto"/>
              <w:jc w:val="center"/>
              <w:rPr>
                <w:rFonts w:ascii="宋体" w:hAnsi="宋体" w:eastAsia="宋体" w:cs="宋体"/>
                <w:sz w:val="24"/>
                <w:szCs w:val="24"/>
              </w:rPr>
            </w:pPr>
            <w:r>
              <w:rPr>
                <w:rFonts w:hint="eastAsia" w:ascii="宋体" w:hAnsi="宋体" w:eastAsia="宋体" w:cs="宋体"/>
                <w:spacing w:val="11"/>
                <w:sz w:val="24"/>
                <w:szCs w:val="24"/>
              </w:rPr>
              <w:t>分项价格（</w:t>
            </w:r>
            <w:r>
              <w:rPr>
                <w:rFonts w:hint="eastAsia" w:ascii="宋体" w:hAnsi="宋体" w:eastAsia="宋体" w:cs="宋体"/>
                <w:spacing w:val="11"/>
                <w:sz w:val="24"/>
                <w:szCs w:val="24"/>
                <w:lang w:val="en-US" w:eastAsia="zh-CN"/>
              </w:rPr>
              <w:t>市价下浮</w:t>
            </w:r>
            <w:r>
              <w:rPr>
                <w:rFonts w:hint="eastAsia" w:ascii="宋体" w:hAnsi="宋体" w:eastAsia="宋体" w:cs="宋体"/>
                <w:spacing w:val="11"/>
                <w:sz w:val="24"/>
                <w:szCs w:val="24"/>
              </w:rPr>
              <w:t>）</w:t>
            </w:r>
          </w:p>
        </w:tc>
      </w:tr>
      <w:tr w14:paraId="45F93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393" w:type="dxa"/>
            <w:noWrap w:val="0"/>
            <w:vAlign w:val="top"/>
          </w:tcPr>
          <w:p w14:paraId="698F02BB">
            <w:pPr>
              <w:pStyle w:val="73"/>
            </w:pPr>
          </w:p>
        </w:tc>
        <w:tc>
          <w:tcPr>
            <w:tcW w:w="3948" w:type="dxa"/>
            <w:noWrap w:val="0"/>
            <w:vAlign w:val="top"/>
          </w:tcPr>
          <w:p w14:paraId="1D90907D">
            <w:pPr>
              <w:pStyle w:val="73"/>
            </w:pPr>
          </w:p>
        </w:tc>
        <w:tc>
          <w:tcPr>
            <w:tcW w:w="2978" w:type="dxa"/>
            <w:noWrap w:val="0"/>
            <w:vAlign w:val="top"/>
          </w:tcPr>
          <w:p w14:paraId="017D1999">
            <w:pPr>
              <w:pStyle w:val="73"/>
            </w:pPr>
          </w:p>
        </w:tc>
      </w:tr>
      <w:tr w14:paraId="1C3D1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393" w:type="dxa"/>
            <w:noWrap w:val="0"/>
            <w:vAlign w:val="top"/>
          </w:tcPr>
          <w:p w14:paraId="68FF5834">
            <w:pPr>
              <w:pStyle w:val="73"/>
            </w:pPr>
          </w:p>
        </w:tc>
        <w:tc>
          <w:tcPr>
            <w:tcW w:w="3948" w:type="dxa"/>
            <w:noWrap w:val="0"/>
            <w:vAlign w:val="top"/>
          </w:tcPr>
          <w:p w14:paraId="16CFE9F7">
            <w:pPr>
              <w:pStyle w:val="73"/>
            </w:pPr>
          </w:p>
        </w:tc>
        <w:tc>
          <w:tcPr>
            <w:tcW w:w="2978" w:type="dxa"/>
            <w:noWrap w:val="0"/>
            <w:vAlign w:val="top"/>
          </w:tcPr>
          <w:p w14:paraId="1C6EF3D8">
            <w:pPr>
              <w:pStyle w:val="73"/>
            </w:pPr>
          </w:p>
        </w:tc>
      </w:tr>
      <w:tr w14:paraId="6467D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1393" w:type="dxa"/>
            <w:noWrap w:val="0"/>
            <w:vAlign w:val="top"/>
          </w:tcPr>
          <w:p w14:paraId="4C6B9BA4">
            <w:pPr>
              <w:pStyle w:val="73"/>
            </w:pPr>
          </w:p>
        </w:tc>
        <w:tc>
          <w:tcPr>
            <w:tcW w:w="3948" w:type="dxa"/>
            <w:noWrap w:val="0"/>
            <w:vAlign w:val="top"/>
          </w:tcPr>
          <w:p w14:paraId="4B6ED2BB">
            <w:pPr>
              <w:pStyle w:val="73"/>
            </w:pPr>
          </w:p>
        </w:tc>
        <w:tc>
          <w:tcPr>
            <w:tcW w:w="2978" w:type="dxa"/>
            <w:noWrap w:val="0"/>
            <w:vAlign w:val="top"/>
          </w:tcPr>
          <w:p w14:paraId="41130F1A">
            <w:pPr>
              <w:pStyle w:val="73"/>
            </w:pPr>
          </w:p>
        </w:tc>
      </w:tr>
      <w:tr w14:paraId="663B5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393" w:type="dxa"/>
            <w:noWrap w:val="0"/>
            <w:vAlign w:val="top"/>
          </w:tcPr>
          <w:p w14:paraId="5CDFC467">
            <w:pPr>
              <w:pStyle w:val="73"/>
            </w:pPr>
          </w:p>
        </w:tc>
        <w:tc>
          <w:tcPr>
            <w:tcW w:w="3948" w:type="dxa"/>
            <w:noWrap w:val="0"/>
            <w:vAlign w:val="top"/>
          </w:tcPr>
          <w:p w14:paraId="1258DA2B">
            <w:pPr>
              <w:pStyle w:val="73"/>
            </w:pPr>
          </w:p>
        </w:tc>
        <w:tc>
          <w:tcPr>
            <w:tcW w:w="2978" w:type="dxa"/>
            <w:noWrap w:val="0"/>
            <w:vAlign w:val="top"/>
          </w:tcPr>
          <w:p w14:paraId="0C0830C1">
            <w:pPr>
              <w:pStyle w:val="73"/>
            </w:pPr>
          </w:p>
        </w:tc>
      </w:tr>
      <w:tr w14:paraId="748FA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341" w:type="dxa"/>
            <w:gridSpan w:val="2"/>
            <w:noWrap w:val="0"/>
            <w:vAlign w:val="top"/>
          </w:tcPr>
          <w:p w14:paraId="28C40079">
            <w:pPr>
              <w:spacing w:before="263" w:line="226" w:lineRule="auto"/>
              <w:ind w:left="2155"/>
              <w:rPr>
                <w:rFonts w:ascii="宋体" w:hAnsi="宋体" w:eastAsia="宋体" w:cs="宋体"/>
                <w:sz w:val="24"/>
                <w:szCs w:val="24"/>
              </w:rPr>
            </w:pPr>
            <w:r>
              <w:rPr>
                <w:rFonts w:ascii="宋体" w:hAnsi="宋体" w:eastAsia="宋体" w:cs="宋体"/>
                <w:spacing w:val="6"/>
                <w:sz w:val="24"/>
                <w:szCs w:val="24"/>
              </w:rPr>
              <w:t>总价</w:t>
            </w:r>
          </w:p>
        </w:tc>
        <w:tc>
          <w:tcPr>
            <w:tcW w:w="2978" w:type="dxa"/>
            <w:noWrap w:val="0"/>
            <w:vAlign w:val="top"/>
          </w:tcPr>
          <w:p w14:paraId="50B837D5">
            <w:pPr>
              <w:pStyle w:val="73"/>
            </w:pPr>
          </w:p>
        </w:tc>
      </w:tr>
    </w:tbl>
    <w:p w14:paraId="5C31DD37">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outlineLvl w:val="0"/>
        <w:rPr>
          <w:rFonts w:ascii="宋体" w:hAnsi="宋体" w:eastAsia="宋体" w:cs="宋体"/>
          <w:b/>
          <w:bCs/>
          <w:spacing w:val="-15"/>
          <w:sz w:val="23"/>
          <w:szCs w:val="23"/>
        </w:rPr>
      </w:pPr>
    </w:p>
    <w:p w14:paraId="051EB82C">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outlineLvl w:val="0"/>
        <w:rPr>
          <w:rFonts w:ascii="宋体" w:hAnsi="宋体" w:eastAsia="宋体" w:cs="宋体"/>
          <w:b/>
          <w:bCs/>
          <w:spacing w:val="-15"/>
          <w:sz w:val="23"/>
          <w:szCs w:val="23"/>
        </w:rPr>
      </w:pPr>
      <w:r>
        <w:rPr>
          <w:rFonts w:ascii="宋体" w:hAnsi="宋体" w:eastAsia="宋体" w:cs="宋体"/>
          <w:b/>
          <w:bCs/>
          <w:spacing w:val="-15"/>
          <w:sz w:val="23"/>
          <w:szCs w:val="23"/>
        </w:rPr>
        <w:t>1.4 付 款 方 式 和 发 票 开 具 方 式</w:t>
      </w:r>
    </w:p>
    <w:p w14:paraId="3955C93F">
      <w:pPr>
        <w:keepNext w:val="0"/>
        <w:keepLines w:val="0"/>
        <w:pageBreakBefore w:val="0"/>
        <w:widowControl w:val="0"/>
        <w:tabs>
          <w:tab w:val="left" w:pos="868"/>
        </w:tabs>
        <w:kinsoku/>
        <w:wordWrap/>
        <w:overflowPunct/>
        <w:topLinePunct w:val="0"/>
        <w:autoSpaceDE/>
        <w:autoSpaceDN/>
        <w:bidi w:val="0"/>
        <w:adjustRightInd/>
        <w:snapToGrid/>
        <w:spacing w:line="240" w:lineRule="auto"/>
        <w:ind w:left="0" w:right="0" w:firstLine="0" w:firstLineChars="0"/>
        <w:jc w:val="left"/>
        <w:textAlignment w:val="auto"/>
        <w:rPr>
          <w:rFonts w:ascii="宋体" w:hAnsi="宋体" w:eastAsia="宋体" w:cs="宋体"/>
          <w:spacing w:val="13"/>
          <w:sz w:val="23"/>
          <w:szCs w:val="23"/>
        </w:rPr>
      </w:pPr>
      <w:r>
        <w:rPr>
          <w:rFonts w:ascii="宋体" w:hAnsi="宋体" w:eastAsia="宋体" w:cs="宋体"/>
          <w:spacing w:val="13"/>
          <w:sz w:val="23"/>
          <w:szCs w:val="23"/>
        </w:rPr>
        <w:t>1.4.</w:t>
      </w:r>
      <w:r>
        <w:rPr>
          <w:rFonts w:hint="eastAsia" w:ascii="宋体" w:hAnsi="宋体" w:eastAsia="宋体" w:cs="宋体"/>
          <w:spacing w:val="13"/>
          <w:sz w:val="23"/>
          <w:szCs w:val="23"/>
          <w:lang w:val="en-US" w:eastAsia="zh-CN"/>
        </w:rPr>
        <w:t>1</w:t>
      </w:r>
      <w:r>
        <w:rPr>
          <w:rFonts w:ascii="宋体" w:hAnsi="宋体" w:eastAsia="宋体" w:cs="宋体"/>
          <w:spacing w:val="13"/>
          <w:sz w:val="23"/>
          <w:szCs w:val="23"/>
        </w:rPr>
        <w:t xml:space="preserve"> 付款方式：最终以签订的合同为准</w:t>
      </w:r>
    </w:p>
    <w:p w14:paraId="5691EEAE">
      <w:pPr>
        <w:spacing w:before="26" w:line="228" w:lineRule="auto"/>
        <w:ind w:left="26"/>
        <w:rPr>
          <w:rFonts w:ascii="宋体" w:hAnsi="宋体" w:eastAsia="宋体" w:cs="宋体"/>
          <w:b/>
          <w:bCs/>
          <w:spacing w:val="-15"/>
          <w:sz w:val="23"/>
          <w:szCs w:val="23"/>
        </w:rPr>
      </w:pPr>
      <w:r>
        <w:rPr>
          <w:rFonts w:ascii="宋体" w:hAnsi="宋体" w:eastAsia="宋体" w:cs="宋体"/>
          <w:spacing w:val="14"/>
          <w:sz w:val="23"/>
          <w:szCs w:val="23"/>
        </w:rPr>
        <w:t>1.4.2 发票开具方式：</w:t>
      </w:r>
      <w:r>
        <w:rPr>
          <w:rFonts w:ascii="宋体" w:hAnsi="宋体" w:eastAsia="宋体" w:cs="宋体"/>
          <w:spacing w:val="2"/>
          <w:sz w:val="22"/>
          <w:szCs w:val="22"/>
          <w:u w:val="single" w:color="auto"/>
        </w:rPr>
        <w:t xml:space="preserve">                                                 </w:t>
      </w:r>
      <w:r>
        <w:rPr>
          <w:rFonts w:ascii="宋体" w:hAnsi="宋体" w:eastAsia="宋体" w:cs="宋体"/>
          <w:sz w:val="22"/>
          <w:szCs w:val="22"/>
        </w:rPr>
        <w:t>。</w:t>
      </w:r>
    </w:p>
    <w:p w14:paraId="216ED38C">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outlineLvl w:val="0"/>
        <w:rPr>
          <w:rFonts w:ascii="宋体" w:hAnsi="宋体" w:eastAsia="宋体" w:cs="宋体"/>
          <w:b/>
          <w:bCs/>
          <w:spacing w:val="-15"/>
          <w:sz w:val="23"/>
          <w:szCs w:val="23"/>
        </w:rPr>
      </w:pPr>
      <w:r>
        <w:rPr>
          <w:rFonts w:ascii="宋体" w:hAnsi="宋体" w:eastAsia="宋体" w:cs="宋体"/>
          <w:b/>
          <w:bCs/>
          <w:spacing w:val="-15"/>
          <w:sz w:val="23"/>
          <w:szCs w:val="23"/>
        </w:rPr>
        <w:t xml:space="preserve">1.5 </w:t>
      </w:r>
      <w:r>
        <w:rPr>
          <w:rFonts w:ascii="宋体" w:hAnsi="宋体" w:eastAsia="宋体" w:cs="宋体"/>
          <w:b/>
          <w:bCs/>
          <w:spacing w:val="17"/>
          <w:sz w:val="23"/>
          <w:szCs w:val="23"/>
        </w:rPr>
        <w:t xml:space="preserve"> 履行期限、地点和方式</w:t>
      </w:r>
    </w:p>
    <w:p w14:paraId="2FC71802">
      <w:pPr>
        <w:spacing w:before="26" w:line="228" w:lineRule="auto"/>
        <w:ind w:left="26"/>
        <w:rPr>
          <w:rFonts w:ascii="宋体" w:hAnsi="宋体" w:eastAsia="宋体" w:cs="宋体"/>
          <w:sz w:val="22"/>
          <w:szCs w:val="22"/>
        </w:rPr>
      </w:pPr>
      <w:r>
        <w:rPr>
          <w:rFonts w:ascii="宋体" w:hAnsi="宋体" w:eastAsia="宋体" w:cs="宋体"/>
          <w:spacing w:val="13"/>
          <w:sz w:val="23"/>
          <w:szCs w:val="23"/>
        </w:rPr>
        <w:t>1.5.1 履行期限：</w:t>
      </w:r>
      <w:r>
        <w:rPr>
          <w:rFonts w:ascii="宋体" w:hAnsi="宋体" w:eastAsia="宋体" w:cs="宋体"/>
          <w:sz w:val="22"/>
          <w:szCs w:val="22"/>
        </w:rPr>
        <w:t xml:space="preserve">                                              ;</w:t>
      </w:r>
    </w:p>
    <w:p w14:paraId="3244BACB">
      <w:pPr>
        <w:spacing w:before="26" w:line="228" w:lineRule="auto"/>
        <w:ind w:left="26"/>
        <w:rPr>
          <w:rFonts w:ascii="宋体" w:hAnsi="宋体" w:eastAsia="宋体" w:cs="宋体"/>
          <w:b/>
          <w:bCs/>
          <w:spacing w:val="-15"/>
          <w:sz w:val="23"/>
          <w:szCs w:val="23"/>
        </w:rPr>
      </w:pPr>
      <w:r>
        <w:rPr>
          <w:rFonts w:ascii="宋体" w:hAnsi="宋体" w:eastAsia="宋体" w:cs="宋体"/>
          <w:spacing w:val="13"/>
          <w:sz w:val="23"/>
          <w:szCs w:val="23"/>
        </w:rPr>
        <w:t>1.5.2</w:t>
      </w:r>
      <w:r>
        <w:rPr>
          <w:rFonts w:hint="eastAsia" w:ascii="宋体" w:hAnsi="宋体" w:eastAsia="宋体" w:cs="宋体"/>
          <w:spacing w:val="13"/>
          <w:sz w:val="23"/>
          <w:szCs w:val="23"/>
          <w:lang w:val="en-US" w:eastAsia="zh-CN"/>
        </w:rPr>
        <w:t xml:space="preserve"> </w:t>
      </w:r>
      <w:r>
        <w:rPr>
          <w:rFonts w:ascii="宋体" w:hAnsi="宋体" w:eastAsia="宋体" w:cs="宋体"/>
          <w:spacing w:val="13"/>
          <w:sz w:val="23"/>
          <w:szCs w:val="23"/>
        </w:rPr>
        <w:t xml:space="preserve">履行地点； </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2"/>
          <w:sz w:val="20"/>
          <w:szCs w:val="20"/>
        </w:rPr>
        <w:t>;</w:t>
      </w:r>
    </w:p>
    <w:p w14:paraId="76DB57AB">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outlineLvl w:val="0"/>
        <w:rPr>
          <w:rFonts w:hint="eastAsia" w:ascii="宋体" w:hAnsi="宋体" w:eastAsia="宋体" w:cs="宋体"/>
          <w:b/>
          <w:bCs/>
          <w:spacing w:val="-15"/>
          <w:sz w:val="23"/>
          <w:szCs w:val="23"/>
          <w:lang w:eastAsia="zh-CN"/>
        </w:rPr>
      </w:pPr>
      <w:r>
        <w:rPr>
          <w:rFonts w:ascii="宋体" w:hAnsi="宋体" w:eastAsia="宋体" w:cs="宋体"/>
          <w:b/>
          <w:bCs/>
          <w:spacing w:val="-15"/>
          <w:sz w:val="23"/>
          <w:szCs w:val="23"/>
        </w:rPr>
        <w:t xml:space="preserve">1 . 6 </w:t>
      </w:r>
      <w:r>
        <w:rPr>
          <w:rFonts w:ascii="宋体" w:hAnsi="宋体" w:eastAsia="宋体" w:cs="宋体"/>
          <w:b/>
          <w:bCs/>
          <w:spacing w:val="17"/>
          <w:sz w:val="23"/>
          <w:szCs w:val="23"/>
        </w:rPr>
        <w:t>违约责任</w:t>
      </w:r>
      <w:r>
        <w:rPr>
          <w:rFonts w:hint="eastAsia" w:ascii="宋体" w:hAnsi="宋体" w:eastAsia="宋体" w:cs="宋体"/>
          <w:b/>
          <w:bCs/>
          <w:spacing w:val="-15"/>
          <w:sz w:val="23"/>
          <w:szCs w:val="23"/>
          <w:lang w:eastAsia="zh-CN"/>
        </w:rPr>
        <w:t>：</w:t>
      </w:r>
    </w:p>
    <w:p w14:paraId="3FE9C8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jc w:val="left"/>
        <w:textAlignment w:val="auto"/>
        <w:rPr>
          <w:rFonts w:ascii="宋体" w:hAnsi="宋体" w:eastAsia="宋体" w:cs="宋体"/>
          <w:spacing w:val="-28"/>
          <w:sz w:val="23"/>
          <w:szCs w:val="23"/>
        </w:rPr>
      </w:pPr>
      <w:r>
        <w:rPr>
          <w:rFonts w:ascii="宋体" w:hAnsi="宋体" w:eastAsia="宋体" w:cs="宋体"/>
          <w:spacing w:val="11"/>
          <w:sz w:val="23"/>
          <w:szCs w:val="23"/>
        </w:rPr>
        <w:t>1.6.1 除不可抗力外 ，</w:t>
      </w:r>
      <w:r>
        <w:rPr>
          <w:rFonts w:ascii="宋体" w:hAnsi="宋体" w:eastAsia="宋体" w:cs="宋体"/>
          <w:spacing w:val="0"/>
          <w:sz w:val="23"/>
          <w:szCs w:val="23"/>
        </w:rPr>
        <w:t>如果乙方没有按照本合同约</w:t>
      </w:r>
      <w:r>
        <w:rPr>
          <w:rFonts w:ascii="宋体" w:hAnsi="宋体" w:eastAsia="宋体" w:cs="宋体"/>
          <w:spacing w:val="-34"/>
          <w:sz w:val="23"/>
          <w:szCs w:val="23"/>
        </w:rPr>
        <w:t xml:space="preserve">定 </w:t>
      </w:r>
      <w:r>
        <w:rPr>
          <w:rFonts w:ascii="宋体" w:hAnsi="宋体" w:eastAsia="宋体" w:cs="宋体"/>
          <w:spacing w:val="-23"/>
          <w:sz w:val="23"/>
          <w:szCs w:val="23"/>
        </w:rPr>
        <w:t>的期 限</w:t>
      </w:r>
      <w:r>
        <w:rPr>
          <w:rFonts w:ascii="宋体" w:hAnsi="宋体" w:eastAsia="宋体" w:cs="宋体"/>
          <w:spacing w:val="0"/>
          <w:sz w:val="23"/>
          <w:szCs w:val="23"/>
        </w:rPr>
        <w:t xml:space="preserve">、地点和方式履行 ，甲方可要求乙方支付违约金 ， </w:t>
      </w:r>
      <w:r>
        <w:rPr>
          <w:rFonts w:ascii="宋体" w:hAnsi="宋体" w:eastAsia="宋体" w:cs="宋体"/>
          <w:spacing w:val="-28"/>
          <w:sz w:val="23"/>
          <w:szCs w:val="23"/>
        </w:rPr>
        <w:t>违 约 金 按 每 迟 延 履 行 一日的应提 供 而 未 提 供 服 务 价 格的</w:t>
      </w:r>
      <w:r>
        <w:rPr>
          <w:rFonts w:ascii="宋体" w:hAnsi="宋体" w:eastAsia="宋体" w:cs="宋体"/>
          <w:spacing w:val="-28"/>
          <w:sz w:val="23"/>
          <w:szCs w:val="23"/>
          <w:u w:val="single"/>
        </w:rPr>
        <w:t xml:space="preserve">        </w:t>
      </w:r>
      <w:r>
        <w:rPr>
          <w:rFonts w:ascii="宋体" w:hAnsi="宋体" w:eastAsia="宋体" w:cs="宋体"/>
          <w:spacing w:val="-28"/>
          <w:sz w:val="23"/>
          <w:szCs w:val="23"/>
        </w:rPr>
        <w:t>%计 算 ，最 高 限 额 为 本 合 同 总 价 的</w:t>
      </w:r>
      <w:r>
        <w:rPr>
          <w:rFonts w:ascii="宋体" w:hAnsi="宋体" w:eastAsia="宋体" w:cs="宋体"/>
          <w:spacing w:val="-28"/>
          <w:sz w:val="23"/>
          <w:szCs w:val="23"/>
          <w:u w:val="single"/>
        </w:rPr>
        <w:t xml:space="preserve">        </w:t>
      </w:r>
      <w:r>
        <w:rPr>
          <w:rFonts w:ascii="宋体" w:hAnsi="宋体" w:eastAsia="宋体" w:cs="宋体"/>
          <w:spacing w:val="-28"/>
          <w:sz w:val="23"/>
          <w:szCs w:val="23"/>
        </w:rPr>
        <w:t>%;迟 延 履 行 的 违 约 金 计 算 数 额 达 到 前述 最 高 限 额之日 起 ， 甲 方 有 权在 要 求 乙 方 支 付违 约 金 的 同 时 ， 书面 通 知 乙 方 解 除 本合 同；</w:t>
      </w:r>
    </w:p>
    <w:p w14:paraId="74A4AF01">
      <w:pPr>
        <w:keepNext w:val="0"/>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ascii="宋体" w:hAnsi="宋体" w:eastAsia="宋体" w:cs="宋体"/>
          <w:spacing w:val="11"/>
          <w:sz w:val="23"/>
          <w:szCs w:val="23"/>
        </w:rPr>
      </w:pPr>
      <w:r>
        <w:rPr>
          <w:rFonts w:ascii="宋体" w:hAnsi="宋体" w:eastAsia="宋体" w:cs="宋体"/>
          <w:spacing w:val="-28"/>
          <w:sz w:val="23"/>
          <w:szCs w:val="23"/>
        </w:rPr>
        <w:t>1.6.2  除不可抗力外 ，</w:t>
      </w:r>
      <w:r>
        <w:rPr>
          <w:rFonts w:ascii="宋体" w:hAnsi="宋体" w:eastAsia="宋体" w:cs="宋体"/>
          <w:spacing w:val="-23"/>
          <w:sz w:val="23"/>
          <w:szCs w:val="23"/>
        </w:rPr>
        <w:t xml:space="preserve">如果甲方没有按 照本合同约定的付款方式付款 </w:t>
      </w:r>
      <w:r>
        <w:rPr>
          <w:rFonts w:ascii="宋体" w:hAnsi="宋体" w:eastAsia="宋体" w:cs="宋体"/>
          <w:spacing w:val="-28"/>
          <w:sz w:val="23"/>
          <w:szCs w:val="23"/>
        </w:rPr>
        <w:t xml:space="preserve">，那么 乙方可要 求甲 方 支 付违 约 金 ，违 约 金 按每 迟 延 付 款 一 日 的 应付而 未付款 的 </w:t>
      </w:r>
      <w:r>
        <w:rPr>
          <w:rFonts w:ascii="宋体" w:hAnsi="宋体" w:eastAsia="宋体" w:cs="宋体"/>
          <w:spacing w:val="-28"/>
          <w:sz w:val="23"/>
          <w:szCs w:val="23"/>
          <w:u w:val="single"/>
        </w:rPr>
        <w:t xml:space="preserve">   </w:t>
      </w:r>
      <w:r>
        <w:rPr>
          <w:rFonts w:hint="eastAsia" w:ascii="宋体" w:hAnsi="宋体" w:eastAsia="宋体" w:cs="宋体"/>
          <w:spacing w:val="-28"/>
          <w:sz w:val="23"/>
          <w:szCs w:val="23"/>
          <w:u w:val="single"/>
          <w:lang w:val="en-US" w:eastAsia="zh-CN"/>
        </w:rPr>
        <w:t xml:space="preserve"> </w:t>
      </w:r>
      <w:r>
        <w:rPr>
          <w:rFonts w:ascii="宋体" w:hAnsi="宋体" w:eastAsia="宋体" w:cs="宋体"/>
          <w:spacing w:val="-28"/>
          <w:sz w:val="23"/>
          <w:szCs w:val="23"/>
          <w:u w:val="single"/>
        </w:rPr>
        <w:t xml:space="preserve">   </w:t>
      </w:r>
      <w:r>
        <w:rPr>
          <w:rFonts w:ascii="宋体" w:hAnsi="宋体" w:eastAsia="宋体" w:cs="宋体"/>
          <w:spacing w:val="-28"/>
          <w:sz w:val="23"/>
          <w:szCs w:val="23"/>
        </w:rPr>
        <w:t xml:space="preserve">%计 算 ，最 高 限额为 本 合 同 总 价 的  </w:t>
      </w:r>
      <w:r>
        <w:rPr>
          <w:rFonts w:ascii="宋体" w:hAnsi="宋体" w:eastAsia="宋体" w:cs="宋体"/>
          <w:spacing w:val="-28"/>
          <w:sz w:val="23"/>
          <w:szCs w:val="23"/>
          <w:u w:val="single"/>
        </w:rPr>
        <w:t xml:space="preserve">    </w:t>
      </w:r>
      <w:r>
        <w:rPr>
          <w:rFonts w:ascii="宋体" w:hAnsi="宋体" w:eastAsia="宋体" w:cs="宋体"/>
          <w:spacing w:val="-28"/>
          <w:sz w:val="23"/>
          <w:szCs w:val="23"/>
        </w:rPr>
        <w:t xml:space="preserve">  %;迟 延 付 款 的 违 约 金 计 算 数 额 达 到 前 述 最 高 限 额 之 日 起 ，乙 方有权在甲方支付违约金的同时 ，</w:t>
      </w:r>
      <w:r>
        <w:rPr>
          <w:rFonts w:ascii="宋体" w:hAnsi="宋体" w:eastAsia="宋体" w:cs="宋体"/>
          <w:spacing w:val="-17"/>
          <w:sz w:val="23"/>
          <w:szCs w:val="23"/>
        </w:rPr>
        <w:t>书面通知甲方解除本合同</w:t>
      </w:r>
      <w:r>
        <w:rPr>
          <w:rFonts w:ascii="宋体" w:hAnsi="宋体" w:eastAsia="宋体" w:cs="宋体"/>
          <w:spacing w:val="-28"/>
          <w:sz w:val="23"/>
          <w:szCs w:val="23"/>
        </w:rPr>
        <w:t>；</w:t>
      </w:r>
    </w:p>
    <w:p w14:paraId="5282A129">
      <w:pPr>
        <w:keepNext w:val="0"/>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ascii="宋体" w:hAnsi="宋体" w:eastAsia="宋体" w:cs="宋体"/>
          <w:spacing w:val="-11"/>
          <w:sz w:val="23"/>
          <w:szCs w:val="23"/>
        </w:rPr>
      </w:pPr>
      <w:r>
        <w:rPr>
          <w:rFonts w:ascii="宋体" w:hAnsi="宋体" w:eastAsia="宋体" w:cs="宋体"/>
          <w:spacing w:val="11"/>
          <w:sz w:val="23"/>
          <w:szCs w:val="23"/>
        </w:rPr>
        <w:t>1.6.3</w:t>
      </w:r>
      <w:r>
        <w:rPr>
          <w:rFonts w:ascii="宋体" w:hAnsi="宋体" w:eastAsia="宋体" w:cs="宋体"/>
          <w:spacing w:val="-11"/>
          <w:sz w:val="23"/>
          <w:szCs w:val="23"/>
        </w:rPr>
        <w:t xml:space="preserve"> 除不可抗力外 ，任何一方未能履行本合同约定的其他主要义务 ，经催告后在合理期限内仍未履行的 ， 或者任何一方有其他违约行为致使不能实现合 同 目 的 的 ，或者任何一方有腐败行为(即：提供或给予或接受或索取任何财物或其他好处或者采取其他不正 当手段来影 响对方当事人在合同签订、履行过程中 的行为)或者欺诈行为 (即：以谎报事 实或 隐 瞒真相 的方法来影 响对方 当事人在合同签订、履行过程中的行为)的 ，对方当事人可以书面通知违约方解除本合同；</w:t>
      </w:r>
    </w:p>
    <w:p w14:paraId="67777AEB">
      <w:pPr>
        <w:spacing w:line="240" w:lineRule="auto"/>
        <w:ind w:left="0" w:right="0" w:firstLine="0"/>
        <w:jc w:val="left"/>
        <w:rPr>
          <w:rFonts w:ascii="宋体" w:hAnsi="宋体" w:eastAsia="宋体" w:cs="宋体"/>
          <w:spacing w:val="-11"/>
          <w:sz w:val="23"/>
          <w:szCs w:val="23"/>
        </w:rPr>
      </w:pPr>
      <w:r>
        <w:rPr>
          <w:rFonts w:ascii="宋体" w:hAnsi="宋体" w:eastAsia="宋体" w:cs="宋体"/>
          <w:spacing w:val="20"/>
          <w:sz w:val="23"/>
          <w:szCs w:val="23"/>
        </w:rPr>
        <w:t>1.6.4</w:t>
      </w:r>
      <w:r>
        <w:rPr>
          <w:rFonts w:ascii="宋体" w:hAnsi="宋体" w:eastAsia="宋体" w:cs="宋体"/>
          <w:spacing w:val="-11"/>
          <w:sz w:val="23"/>
          <w:szCs w:val="23"/>
        </w:rPr>
        <w:t>任何一方按照前述约定要求违约方支付违约金的同时，仍有权要求违约方继续履行合同、采取补救措施，并有权按照己方实际损失情况要求违约方赔偿损失 ；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5C4606F">
      <w:pPr>
        <w:spacing w:line="240" w:lineRule="auto"/>
        <w:ind w:left="0" w:right="0" w:firstLine="0"/>
        <w:jc w:val="left"/>
        <w:rPr>
          <w:rFonts w:ascii="宋体" w:hAnsi="宋体" w:eastAsia="宋体" w:cs="宋体"/>
          <w:spacing w:val="-11"/>
          <w:sz w:val="23"/>
          <w:szCs w:val="23"/>
        </w:rPr>
      </w:pPr>
      <w:r>
        <w:rPr>
          <w:rFonts w:ascii="宋体" w:hAnsi="宋体" w:eastAsia="宋体" w:cs="宋体"/>
          <w:spacing w:val="14"/>
          <w:sz w:val="23"/>
          <w:szCs w:val="23"/>
        </w:rPr>
        <w:t>1.6.5</w:t>
      </w:r>
      <w:r>
        <w:rPr>
          <w:rFonts w:ascii="宋体" w:hAnsi="宋体" w:eastAsia="宋体" w:cs="宋体"/>
          <w:spacing w:val="-20"/>
          <w:sz w:val="23"/>
          <w:szCs w:val="23"/>
        </w:rPr>
        <w:t xml:space="preserve"> </w:t>
      </w:r>
      <w:r>
        <w:rPr>
          <w:rFonts w:hint="eastAsia" w:ascii="宋体" w:hAnsi="宋体" w:eastAsia="宋体" w:cs="宋体"/>
          <w:spacing w:val="11"/>
          <w:sz w:val="23"/>
          <w:szCs w:val="23"/>
          <w:lang w:val="en-US" w:eastAsia="zh-CN"/>
        </w:rPr>
        <w:t xml:space="preserve"> </w:t>
      </w:r>
      <w:r>
        <w:rPr>
          <w:rFonts w:ascii="宋体" w:hAnsi="宋体" w:eastAsia="宋体" w:cs="宋体"/>
          <w:spacing w:val="-11"/>
          <w:sz w:val="23"/>
          <w:szCs w:val="23"/>
        </w:rPr>
        <w:t>除前述约定外，除不可抗力外，任何一方未能履行本合同约定的义务，对方当事人均有权要求继续履行、采取补救措施或者赔偿损失等，且对方当事人行使的任何权利救济方式 均不视为其放弃了其他法定或者约定的权利救济方式；</w:t>
      </w:r>
    </w:p>
    <w:p w14:paraId="5D165CEC">
      <w:pPr>
        <w:spacing w:line="240" w:lineRule="auto"/>
        <w:ind w:left="0" w:right="0" w:firstLine="0"/>
        <w:jc w:val="left"/>
        <w:rPr>
          <w:rFonts w:ascii="宋体" w:hAnsi="宋体" w:eastAsia="宋体" w:cs="宋体"/>
          <w:b/>
          <w:bCs/>
          <w:spacing w:val="4"/>
          <w:sz w:val="23"/>
          <w:szCs w:val="23"/>
        </w:rPr>
      </w:pPr>
      <w:r>
        <w:rPr>
          <w:rFonts w:ascii="宋体" w:hAnsi="宋体" w:eastAsia="宋体" w:cs="宋体"/>
          <w:spacing w:val="-11"/>
          <w:sz w:val="23"/>
          <w:szCs w:val="23"/>
        </w:rPr>
        <w:t>1.6.6 如果出现政府采购监督管理部门在处理投诉事项期间，书面通知甲方暂停采购活动的情形，或者询问或质疑事项可能影响中标结果的，导致甲方中止履行合同的情形，均不视为甲方违约。</w:t>
      </w:r>
    </w:p>
    <w:p w14:paraId="28CD5ED8">
      <w:pPr>
        <w:spacing w:line="240" w:lineRule="auto"/>
        <w:ind w:left="0" w:right="0" w:firstLine="0"/>
        <w:outlineLvl w:val="0"/>
        <w:rPr>
          <w:rFonts w:ascii="宋体" w:hAnsi="宋体" w:eastAsia="宋体" w:cs="宋体"/>
          <w:sz w:val="23"/>
          <w:szCs w:val="23"/>
        </w:rPr>
      </w:pPr>
      <w:r>
        <w:rPr>
          <w:rFonts w:ascii="宋体" w:hAnsi="宋体" w:eastAsia="宋体" w:cs="宋体"/>
          <w:b/>
          <w:bCs/>
          <w:spacing w:val="4"/>
          <w:sz w:val="23"/>
          <w:szCs w:val="23"/>
        </w:rPr>
        <w:t>1.7</w:t>
      </w:r>
      <w:r>
        <w:rPr>
          <w:rFonts w:ascii="宋体" w:hAnsi="宋体" w:eastAsia="宋体" w:cs="宋体"/>
          <w:spacing w:val="72"/>
          <w:sz w:val="23"/>
          <w:szCs w:val="23"/>
        </w:rPr>
        <w:t xml:space="preserve"> </w:t>
      </w:r>
      <w:r>
        <w:rPr>
          <w:rFonts w:ascii="宋体" w:hAnsi="宋体" w:eastAsia="宋体" w:cs="宋体"/>
          <w:b/>
          <w:bCs/>
          <w:spacing w:val="4"/>
          <w:sz w:val="23"/>
          <w:szCs w:val="23"/>
        </w:rPr>
        <w:t>合同争议的解决</w:t>
      </w:r>
    </w:p>
    <w:p w14:paraId="7E570F57">
      <w:pPr>
        <w:spacing w:line="240" w:lineRule="auto"/>
        <w:ind w:left="0" w:right="0" w:firstLine="0"/>
        <w:jc w:val="left"/>
        <w:rPr>
          <w:rFonts w:ascii="宋体" w:hAnsi="宋体" w:eastAsia="宋体" w:cs="宋体"/>
          <w:spacing w:val="-11"/>
          <w:sz w:val="23"/>
          <w:szCs w:val="23"/>
        </w:rPr>
      </w:pPr>
      <w:r>
        <w:rPr>
          <w:rFonts w:ascii="宋体" w:hAnsi="宋体" w:eastAsia="宋体" w:cs="宋体"/>
          <w:spacing w:val="-11"/>
          <w:sz w:val="23"/>
          <w:szCs w:val="23"/>
        </w:rPr>
        <w:t>本合同履行过程中发生的任何争议，双方当事人均可通过和解或者调解解决；不愿和解、调 解或者和解、调解不成的，可以选择下列第</w:t>
      </w:r>
      <w:r>
        <w:rPr>
          <w:rFonts w:ascii="宋体" w:hAnsi="宋体" w:eastAsia="宋体" w:cs="宋体"/>
          <w:spacing w:val="-11"/>
          <w:sz w:val="23"/>
          <w:szCs w:val="23"/>
          <w:u w:val="single"/>
        </w:rPr>
        <w:t xml:space="preserve">      </w:t>
      </w:r>
      <w:r>
        <w:rPr>
          <w:rFonts w:ascii="宋体" w:hAnsi="宋体" w:eastAsia="宋体" w:cs="宋体"/>
          <w:spacing w:val="-11"/>
          <w:sz w:val="23"/>
          <w:szCs w:val="23"/>
        </w:rPr>
        <w:t>种方式解决：</w:t>
      </w:r>
    </w:p>
    <w:p w14:paraId="1C05437F">
      <w:pPr>
        <w:spacing w:line="240" w:lineRule="auto"/>
        <w:ind w:left="0" w:right="0" w:firstLine="0"/>
        <w:jc w:val="left"/>
        <w:rPr>
          <w:rFonts w:ascii="宋体" w:hAnsi="宋体" w:eastAsia="宋体" w:cs="宋体"/>
          <w:spacing w:val="-11"/>
          <w:sz w:val="23"/>
          <w:szCs w:val="23"/>
        </w:rPr>
      </w:pPr>
      <w:r>
        <w:rPr>
          <w:rFonts w:ascii="宋体" w:hAnsi="宋体" w:eastAsia="宋体" w:cs="宋体"/>
          <w:spacing w:val="-11"/>
          <w:sz w:val="23"/>
          <w:szCs w:val="23"/>
        </w:rPr>
        <w:t>1.7.1</w:t>
      </w:r>
      <w:r>
        <w:rPr>
          <w:rFonts w:hint="eastAsia" w:ascii="宋体" w:hAnsi="宋体" w:eastAsia="宋体" w:cs="宋体"/>
          <w:spacing w:val="-11"/>
          <w:sz w:val="23"/>
          <w:szCs w:val="23"/>
          <w:lang w:val="en-US" w:eastAsia="zh-CN"/>
        </w:rPr>
        <w:t xml:space="preserve"> </w:t>
      </w:r>
      <w:r>
        <w:rPr>
          <w:rFonts w:ascii="宋体" w:hAnsi="宋体" w:eastAsia="宋体" w:cs="宋体"/>
          <w:spacing w:val="-11"/>
          <w:sz w:val="23"/>
          <w:szCs w:val="23"/>
        </w:rPr>
        <w:t xml:space="preserve"> 将争议提交</w:t>
      </w:r>
      <w:r>
        <w:rPr>
          <w:rFonts w:ascii="宋体" w:hAnsi="宋体" w:eastAsia="宋体" w:cs="宋体"/>
          <w:spacing w:val="-11"/>
          <w:sz w:val="23"/>
          <w:szCs w:val="23"/>
          <w:u w:val="single"/>
        </w:rPr>
        <w:t xml:space="preserve">                 </w:t>
      </w:r>
      <w:r>
        <w:rPr>
          <w:rFonts w:ascii="宋体" w:hAnsi="宋体" w:eastAsia="宋体" w:cs="宋体"/>
          <w:spacing w:val="-11"/>
          <w:sz w:val="23"/>
          <w:szCs w:val="23"/>
        </w:rPr>
        <w:t>仲裁委员会依申请仲裁时其现行有效的仲裁规则裁决；</w:t>
      </w:r>
    </w:p>
    <w:p w14:paraId="7244E0C2">
      <w:pPr>
        <w:spacing w:line="240" w:lineRule="auto"/>
        <w:ind w:left="0" w:right="0" w:firstLine="0"/>
        <w:jc w:val="left"/>
        <w:rPr>
          <w:rFonts w:ascii="宋体" w:hAnsi="宋体" w:eastAsia="宋体" w:cs="宋体"/>
          <w:b/>
          <w:bCs/>
          <w:spacing w:val="-2"/>
          <w:sz w:val="23"/>
          <w:szCs w:val="23"/>
        </w:rPr>
      </w:pPr>
      <w:r>
        <w:rPr>
          <w:rFonts w:ascii="宋体" w:hAnsi="宋体" w:eastAsia="宋体" w:cs="宋体"/>
          <w:spacing w:val="-11"/>
          <w:sz w:val="23"/>
          <w:szCs w:val="23"/>
        </w:rPr>
        <w:t>1.7.2 向(被告住所地、合同履行地、合同签订地、原告住所地、标的物所在地等与争议有实际联系的地点中选出的人民法院名称)人民法院起诉</w:t>
      </w:r>
      <w:r>
        <w:rPr>
          <w:rFonts w:ascii="宋体" w:hAnsi="宋体" w:eastAsia="宋体" w:cs="宋体"/>
          <w:spacing w:val="13"/>
          <w:sz w:val="23"/>
          <w:szCs w:val="23"/>
        </w:rPr>
        <w:t>。</w:t>
      </w:r>
    </w:p>
    <w:p w14:paraId="44E00EA9">
      <w:pPr>
        <w:spacing w:line="240" w:lineRule="auto"/>
        <w:ind w:left="0" w:right="0" w:firstLine="0"/>
        <w:outlineLvl w:val="0"/>
        <w:rPr>
          <w:rFonts w:ascii="宋体" w:hAnsi="宋体" w:eastAsia="宋体" w:cs="宋体"/>
          <w:sz w:val="23"/>
          <w:szCs w:val="23"/>
        </w:rPr>
      </w:pPr>
      <w:r>
        <w:rPr>
          <w:rFonts w:ascii="宋体" w:hAnsi="宋体" w:eastAsia="宋体" w:cs="宋体"/>
          <w:b/>
          <w:bCs/>
          <w:spacing w:val="-2"/>
          <w:sz w:val="23"/>
          <w:szCs w:val="23"/>
        </w:rPr>
        <w:t>1.8</w:t>
      </w:r>
      <w:r>
        <w:rPr>
          <w:rFonts w:ascii="宋体" w:hAnsi="宋体" w:eastAsia="宋体" w:cs="宋体"/>
          <w:spacing w:val="70"/>
          <w:sz w:val="23"/>
          <w:szCs w:val="23"/>
        </w:rPr>
        <w:t xml:space="preserve"> </w:t>
      </w:r>
      <w:r>
        <w:rPr>
          <w:rFonts w:ascii="宋体" w:hAnsi="宋体" w:eastAsia="宋体" w:cs="宋体"/>
          <w:b/>
          <w:bCs/>
          <w:spacing w:val="-2"/>
          <w:sz w:val="23"/>
          <w:szCs w:val="23"/>
        </w:rPr>
        <w:t>合同生效</w:t>
      </w:r>
    </w:p>
    <w:p w14:paraId="146098DC">
      <w:pPr>
        <w:spacing w:line="240" w:lineRule="auto"/>
        <w:ind w:left="0"/>
        <w:rPr>
          <w:rFonts w:ascii="宋体" w:hAnsi="宋体" w:eastAsia="宋体" w:cs="宋体"/>
          <w:sz w:val="23"/>
          <w:szCs w:val="23"/>
        </w:rPr>
      </w:pPr>
      <w:r>
        <w:rPr>
          <w:rFonts w:ascii="宋体" w:hAnsi="宋体" w:eastAsia="宋体" w:cs="宋体"/>
          <w:spacing w:val="17"/>
          <w:sz w:val="23"/>
          <w:szCs w:val="23"/>
        </w:rPr>
        <w:t>本合同自双方当事人盖章或者签字时生效。</w:t>
      </w:r>
    </w:p>
    <w:p w14:paraId="5C261D7F">
      <w:pPr>
        <w:pStyle w:val="9"/>
        <w:spacing w:after="0" w:line="240" w:lineRule="auto"/>
        <w:ind w:left="0"/>
      </w:pPr>
    </w:p>
    <w:p w14:paraId="62AA694B">
      <w:pPr>
        <w:spacing w:line="240" w:lineRule="auto"/>
        <w:ind w:left="0"/>
        <w:rPr>
          <w:rFonts w:ascii="宋体" w:hAnsi="宋体" w:eastAsia="宋体" w:cs="宋体"/>
          <w:sz w:val="23"/>
          <w:szCs w:val="23"/>
        </w:rPr>
      </w:pPr>
      <w:r>
        <w:rPr>
          <w:rFonts w:ascii="宋体" w:hAnsi="宋体" w:eastAsia="宋体" w:cs="宋体"/>
          <w:spacing w:val="-3"/>
          <w:sz w:val="23"/>
          <w:szCs w:val="23"/>
        </w:rPr>
        <w:t>甲方</w:t>
      </w:r>
      <w:r>
        <w:rPr>
          <w:rFonts w:ascii="宋体" w:hAnsi="宋体" w:eastAsia="宋体" w:cs="宋体"/>
          <w:spacing w:val="-2"/>
          <w:sz w:val="23"/>
          <w:szCs w:val="23"/>
        </w:rPr>
        <w:t>：</w:t>
      </w:r>
      <w:r>
        <w:rPr>
          <w:rFonts w:ascii="宋体" w:hAnsi="宋体" w:eastAsia="宋体" w:cs="宋体"/>
          <w:spacing w:val="1"/>
          <w:sz w:val="23"/>
          <w:szCs w:val="23"/>
        </w:rPr>
        <w:t xml:space="preserve">                         </w:t>
      </w:r>
      <w:r>
        <w:rPr>
          <w:rFonts w:ascii="宋体" w:hAnsi="宋体" w:eastAsia="宋体" w:cs="宋体"/>
          <w:spacing w:val="-2"/>
          <w:sz w:val="23"/>
          <w:szCs w:val="23"/>
        </w:rPr>
        <w:t>（</w:t>
      </w:r>
      <w:r>
        <w:rPr>
          <w:rFonts w:ascii="宋体" w:hAnsi="宋体" w:eastAsia="宋体" w:cs="宋体"/>
          <w:spacing w:val="-3"/>
          <w:sz w:val="23"/>
          <w:szCs w:val="23"/>
        </w:rPr>
        <w:t>盖章）</w:t>
      </w:r>
    </w:p>
    <w:p w14:paraId="23D3EA31">
      <w:pPr>
        <w:spacing w:line="240" w:lineRule="auto"/>
        <w:ind w:left="0"/>
        <w:outlineLvl w:val="1"/>
        <w:rPr>
          <w:rFonts w:ascii="宋体" w:hAnsi="宋体" w:eastAsia="宋体" w:cs="宋体"/>
          <w:sz w:val="23"/>
          <w:szCs w:val="23"/>
        </w:rPr>
      </w:pPr>
      <w:r>
        <w:rPr>
          <w:rFonts w:ascii="宋体" w:hAnsi="宋体" w:eastAsia="宋体" w:cs="宋体"/>
          <w:sz w:val="23"/>
          <w:szCs w:val="23"/>
        </w:rPr>
        <w:t>法定代表人或有效授权人签字：                          年   月    日</w:t>
      </w:r>
    </w:p>
    <w:p w14:paraId="64E84F82">
      <w:pPr>
        <w:pStyle w:val="9"/>
        <w:spacing w:after="0" w:line="240" w:lineRule="auto"/>
        <w:ind w:left="0"/>
      </w:pPr>
    </w:p>
    <w:p w14:paraId="391B42ED">
      <w:pPr>
        <w:spacing w:line="240" w:lineRule="auto"/>
        <w:ind w:left="0"/>
        <w:rPr>
          <w:rFonts w:ascii="宋体" w:hAnsi="宋体" w:eastAsia="宋体" w:cs="宋体"/>
          <w:sz w:val="23"/>
          <w:szCs w:val="23"/>
        </w:rPr>
      </w:pPr>
      <w:r>
        <w:rPr>
          <w:rFonts w:ascii="宋体" w:hAnsi="宋体" w:eastAsia="宋体" w:cs="宋体"/>
          <w:spacing w:val="-2"/>
          <w:sz w:val="23"/>
          <w:szCs w:val="23"/>
        </w:rPr>
        <w:t>乙方</w:t>
      </w:r>
      <w:r>
        <w:rPr>
          <w:rFonts w:ascii="宋体" w:hAnsi="宋体" w:eastAsia="宋体" w:cs="宋体"/>
          <w:spacing w:val="-1"/>
          <w:sz w:val="23"/>
          <w:szCs w:val="23"/>
        </w:rPr>
        <w:t>：</w:t>
      </w:r>
      <w:r>
        <w:rPr>
          <w:rFonts w:ascii="宋体" w:hAnsi="宋体" w:eastAsia="宋体" w:cs="宋体"/>
          <w:spacing w:val="1"/>
          <w:sz w:val="23"/>
          <w:szCs w:val="23"/>
        </w:rPr>
        <w:t xml:space="preserve">                         </w:t>
      </w:r>
      <w:r>
        <w:rPr>
          <w:rFonts w:ascii="宋体" w:hAnsi="宋体" w:eastAsia="宋体" w:cs="宋体"/>
          <w:spacing w:val="-1"/>
          <w:sz w:val="23"/>
          <w:szCs w:val="23"/>
        </w:rPr>
        <w:t>（</w:t>
      </w:r>
      <w:r>
        <w:rPr>
          <w:rFonts w:ascii="宋体" w:hAnsi="宋体" w:eastAsia="宋体" w:cs="宋体"/>
          <w:spacing w:val="-2"/>
          <w:sz w:val="23"/>
          <w:szCs w:val="23"/>
        </w:rPr>
        <w:t>盖章）</w:t>
      </w:r>
    </w:p>
    <w:p w14:paraId="1677321A">
      <w:pPr>
        <w:pStyle w:val="9"/>
        <w:spacing w:after="0" w:line="240" w:lineRule="auto"/>
        <w:ind w:left="0"/>
      </w:pPr>
    </w:p>
    <w:p w14:paraId="245CAD48">
      <w:pPr>
        <w:spacing w:line="240" w:lineRule="auto"/>
        <w:ind w:left="0"/>
        <w:jc w:val="both"/>
        <w:outlineLvl w:val="1"/>
        <w:rPr>
          <w:rFonts w:hint="eastAsia" w:ascii="宋体" w:hAnsi="宋体" w:eastAsia="宋体" w:cs="宋体"/>
          <w:sz w:val="23"/>
          <w:szCs w:val="23"/>
          <w:lang w:val="en-US" w:eastAsia="zh-CN"/>
        </w:rPr>
      </w:pPr>
      <w:r>
        <w:rPr>
          <w:rFonts w:ascii="宋体" w:hAnsi="宋体" w:eastAsia="宋体" w:cs="宋体"/>
          <w:sz w:val="23"/>
          <w:szCs w:val="23"/>
        </w:rPr>
        <w:t xml:space="preserve">法定代表人或有效授权人签字：    </w:t>
      </w:r>
      <w:r>
        <w:rPr>
          <w:rFonts w:hint="eastAsia" w:ascii="宋体" w:hAnsi="宋体" w:eastAsia="宋体" w:cs="宋体"/>
          <w:sz w:val="23"/>
          <w:szCs w:val="23"/>
          <w:lang w:val="en-US" w:eastAsia="zh-CN"/>
        </w:rPr>
        <w:t xml:space="preserve">                     </w:t>
      </w:r>
      <w:r>
        <w:rPr>
          <w:rFonts w:ascii="宋体" w:hAnsi="宋体" w:eastAsia="宋体" w:cs="宋体"/>
          <w:sz w:val="23"/>
          <w:szCs w:val="23"/>
        </w:rPr>
        <w:t xml:space="preserve"> 年   月    日             </w:t>
      </w:r>
    </w:p>
    <w:p w14:paraId="15C2E222">
      <w:pPr>
        <w:spacing w:line="600" w:lineRule="exact"/>
        <w:jc w:val="center"/>
        <w:outlineLvl w:val="1"/>
        <w:rPr>
          <w:rFonts w:hint="eastAsia" w:ascii="黑体" w:eastAsia="黑体"/>
          <w:b/>
          <w:sz w:val="30"/>
          <w:szCs w:val="30"/>
        </w:rPr>
      </w:pPr>
      <w:r>
        <w:rPr>
          <w:rFonts w:hint="eastAsia" w:ascii="黑体" w:eastAsia="黑体"/>
          <w:b/>
          <w:sz w:val="30"/>
          <w:szCs w:val="30"/>
        </w:rPr>
        <w:t>二  合同条款</w:t>
      </w:r>
    </w:p>
    <w:p w14:paraId="587EC5C0">
      <w:pPr>
        <w:spacing w:line="440" w:lineRule="exact"/>
        <w:rPr>
          <w:rFonts w:hint="eastAsia" w:ascii="宋体" w:cs="宋体"/>
          <w:b/>
          <w:color w:val="auto"/>
          <w:szCs w:val="21"/>
        </w:rPr>
      </w:pPr>
      <w:r>
        <w:rPr>
          <w:rFonts w:hint="eastAsia" w:ascii="宋体" w:cs="宋体"/>
          <w:b/>
          <w:color w:val="auto"/>
          <w:szCs w:val="21"/>
        </w:rPr>
        <w:t>一.  合同文件</w:t>
      </w:r>
    </w:p>
    <w:p w14:paraId="71088878">
      <w:pPr>
        <w:spacing w:line="440" w:lineRule="exact"/>
        <w:rPr>
          <w:rFonts w:hint="eastAsia" w:ascii="宋体" w:cs="宋体"/>
          <w:color w:val="auto"/>
          <w:szCs w:val="21"/>
        </w:rPr>
      </w:pPr>
      <w:r>
        <w:rPr>
          <w:rFonts w:hint="eastAsia" w:ascii="宋体" w:cs="宋体"/>
          <w:color w:val="auto"/>
          <w:szCs w:val="21"/>
        </w:rPr>
        <w:t>1、合同文件适用法律</w:t>
      </w:r>
    </w:p>
    <w:p w14:paraId="57E0D6D2">
      <w:pPr>
        <w:spacing w:line="440" w:lineRule="exact"/>
        <w:ind w:firstLine="639" w:firstLineChars="300"/>
        <w:rPr>
          <w:rFonts w:hint="eastAsia" w:ascii="宋体" w:cs="宋体"/>
          <w:color w:val="auto"/>
          <w:szCs w:val="21"/>
        </w:rPr>
      </w:pPr>
      <w:r>
        <w:rPr>
          <w:rFonts w:hint="eastAsia" w:ascii="宋体" w:cs="宋体"/>
          <w:color w:val="auto"/>
          <w:szCs w:val="21"/>
        </w:rPr>
        <w:t>适用于合同文件的法律是中华人民共和国现行法律、法规及招标人所在地的地方性法规。</w:t>
      </w:r>
    </w:p>
    <w:p w14:paraId="06847F05">
      <w:pPr>
        <w:spacing w:line="440" w:lineRule="exact"/>
        <w:rPr>
          <w:rFonts w:hint="eastAsia" w:ascii="宋体" w:cs="宋体"/>
          <w:color w:val="auto"/>
          <w:szCs w:val="21"/>
        </w:rPr>
      </w:pPr>
      <w:r>
        <w:rPr>
          <w:rFonts w:hint="eastAsia" w:ascii="宋体" w:cs="宋体"/>
          <w:color w:val="auto"/>
          <w:szCs w:val="21"/>
        </w:rPr>
        <w:t>2、合同文件组成和解释顺序</w:t>
      </w:r>
    </w:p>
    <w:p w14:paraId="54AA80E5">
      <w:pPr>
        <w:spacing w:line="440" w:lineRule="exact"/>
        <w:ind w:firstLine="532" w:firstLineChars="250"/>
        <w:rPr>
          <w:rFonts w:hint="eastAsia" w:ascii="宋体" w:cs="宋体"/>
          <w:color w:val="auto"/>
          <w:szCs w:val="21"/>
        </w:rPr>
      </w:pPr>
      <w:r>
        <w:rPr>
          <w:rFonts w:hint="eastAsia" w:ascii="宋体" w:cs="宋体"/>
          <w:color w:val="auto"/>
          <w:szCs w:val="21"/>
        </w:rPr>
        <w:t>(1)合同文件的组成和解释顺序如下：</w:t>
      </w:r>
    </w:p>
    <w:p w14:paraId="19EAD23C">
      <w:pPr>
        <w:spacing w:line="440" w:lineRule="exact"/>
        <w:ind w:firstLine="532" w:firstLineChars="250"/>
        <w:rPr>
          <w:rFonts w:hint="eastAsia" w:ascii="宋体" w:cs="宋体"/>
          <w:color w:val="auto"/>
          <w:szCs w:val="21"/>
        </w:rPr>
      </w:pPr>
      <w:r>
        <w:rPr>
          <w:rFonts w:hint="eastAsia" w:ascii="宋体" w:cs="宋体"/>
          <w:color w:val="auto"/>
          <w:szCs w:val="21"/>
        </w:rPr>
        <w:t>&lt;1&gt;合同的主要条款；</w:t>
      </w:r>
    </w:p>
    <w:p w14:paraId="221CD992">
      <w:pPr>
        <w:spacing w:line="440" w:lineRule="exact"/>
        <w:ind w:firstLine="532" w:firstLineChars="250"/>
        <w:rPr>
          <w:rFonts w:hint="eastAsia" w:ascii="宋体" w:cs="宋体"/>
          <w:color w:val="auto"/>
          <w:szCs w:val="21"/>
        </w:rPr>
      </w:pPr>
      <w:r>
        <w:rPr>
          <w:rFonts w:hint="eastAsia" w:ascii="宋体" w:cs="宋体"/>
          <w:color w:val="auto"/>
          <w:szCs w:val="21"/>
        </w:rPr>
        <w:t>&lt;2&gt;合同的一般性条款；</w:t>
      </w:r>
    </w:p>
    <w:p w14:paraId="2B776B80">
      <w:pPr>
        <w:spacing w:line="440" w:lineRule="exact"/>
        <w:ind w:firstLine="532" w:firstLineChars="250"/>
        <w:rPr>
          <w:rFonts w:hint="eastAsia" w:ascii="宋体" w:cs="宋体"/>
          <w:color w:val="auto"/>
          <w:szCs w:val="21"/>
        </w:rPr>
      </w:pPr>
      <w:r>
        <w:rPr>
          <w:rFonts w:hint="eastAsia" w:ascii="宋体" w:cs="宋体"/>
          <w:color w:val="auto"/>
          <w:szCs w:val="21"/>
        </w:rPr>
        <w:t>&lt;3&gt;洽商、变更等明确双方权利义务的纪要、协议；</w:t>
      </w:r>
    </w:p>
    <w:p w14:paraId="3192B491">
      <w:pPr>
        <w:spacing w:line="440" w:lineRule="exact"/>
        <w:ind w:firstLine="532" w:firstLineChars="250"/>
        <w:rPr>
          <w:rFonts w:hint="eastAsia" w:ascii="宋体" w:cs="宋体"/>
          <w:color w:val="auto"/>
          <w:szCs w:val="21"/>
        </w:rPr>
      </w:pPr>
      <w:r>
        <w:rPr>
          <w:rFonts w:hint="eastAsia" w:ascii="宋体" w:cs="宋体"/>
          <w:color w:val="auto"/>
          <w:szCs w:val="21"/>
        </w:rPr>
        <w:t>&lt;4&gt;中标通知书、投标文件和采购文件；</w:t>
      </w:r>
    </w:p>
    <w:p w14:paraId="16CE4CDB">
      <w:pPr>
        <w:spacing w:line="440" w:lineRule="exact"/>
        <w:ind w:firstLine="532" w:firstLineChars="250"/>
        <w:rPr>
          <w:rFonts w:hint="eastAsia" w:ascii="宋体" w:cs="宋体"/>
          <w:color w:val="auto"/>
          <w:szCs w:val="21"/>
        </w:rPr>
      </w:pPr>
      <w:r>
        <w:rPr>
          <w:rFonts w:hint="eastAsia" w:ascii="宋体" w:cs="宋体"/>
          <w:color w:val="auto"/>
          <w:szCs w:val="21"/>
        </w:rPr>
        <w:t>&lt;5&gt;有关图纸、标准、规范和其它有关技术资料、技术要求。</w:t>
      </w:r>
    </w:p>
    <w:p w14:paraId="5EC2507B">
      <w:pPr>
        <w:spacing w:line="440" w:lineRule="exact"/>
        <w:ind w:firstLine="532" w:firstLineChars="250"/>
        <w:rPr>
          <w:rFonts w:hint="eastAsia" w:ascii="宋体" w:cs="宋体"/>
          <w:color w:val="auto"/>
          <w:szCs w:val="21"/>
        </w:rPr>
      </w:pPr>
      <w:r>
        <w:rPr>
          <w:rFonts w:hint="eastAsia" w:ascii="宋体" w:cs="宋体"/>
          <w:color w:val="auto"/>
          <w:szCs w:val="21"/>
        </w:rPr>
        <w:t>&lt;6&gt;合同的主要条款的效力优于合同的一般性条款的效力。</w:t>
      </w:r>
    </w:p>
    <w:p w14:paraId="00186577">
      <w:pPr>
        <w:spacing w:line="440" w:lineRule="exact"/>
        <w:rPr>
          <w:rFonts w:hint="eastAsia" w:ascii="宋体" w:cs="宋体"/>
          <w:color w:val="auto"/>
          <w:szCs w:val="21"/>
        </w:rPr>
      </w:pPr>
      <w:r>
        <w:rPr>
          <w:rFonts w:hint="eastAsia" w:ascii="宋体" w:cs="宋体"/>
          <w:color w:val="auto"/>
          <w:szCs w:val="21"/>
        </w:rPr>
        <w:t>3、合同文件使用文字</w:t>
      </w:r>
    </w:p>
    <w:p w14:paraId="774320EB">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(1)合同文件使用中文书写、解释和说明。</w:t>
      </w:r>
    </w:p>
    <w:p w14:paraId="7C52C90B">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 xml:space="preserve">(2)合同文件使用技术性条款约定的为国家标准和规范；国家没有相应标准、规范时，可使用行业标准、规范。非标货物应按约定的技术性条款的标准和规范。 </w:t>
      </w:r>
    </w:p>
    <w:p w14:paraId="3CB309E2">
      <w:pPr>
        <w:spacing w:line="440" w:lineRule="exact"/>
        <w:rPr>
          <w:rFonts w:hint="eastAsia" w:ascii="宋体" w:cs="宋体"/>
          <w:b/>
          <w:color w:val="auto"/>
          <w:szCs w:val="21"/>
        </w:rPr>
      </w:pPr>
      <w:r>
        <w:rPr>
          <w:rFonts w:hint="eastAsia" w:ascii="宋体" w:cs="宋体"/>
          <w:b/>
          <w:color w:val="auto"/>
          <w:szCs w:val="21"/>
        </w:rPr>
        <w:t>二.  标的物的一般条款</w:t>
      </w:r>
    </w:p>
    <w:p w14:paraId="7192AF43">
      <w:pPr>
        <w:spacing w:line="440" w:lineRule="exact"/>
        <w:rPr>
          <w:rFonts w:hint="eastAsia" w:ascii="宋体" w:cs="宋体"/>
          <w:color w:val="auto"/>
          <w:szCs w:val="21"/>
        </w:rPr>
      </w:pPr>
      <w:r>
        <w:rPr>
          <w:rFonts w:hint="eastAsia" w:ascii="宋体" w:cs="宋体"/>
          <w:color w:val="auto"/>
          <w:szCs w:val="21"/>
        </w:rPr>
        <w:t>4、完整物权</w:t>
      </w:r>
    </w:p>
    <w:p w14:paraId="14178952">
      <w:pPr>
        <w:tabs>
          <w:tab w:val="left" w:pos="660"/>
        </w:tabs>
        <w:spacing w:line="440" w:lineRule="exact"/>
        <w:rPr>
          <w:rFonts w:hint="eastAsia" w:ascii="宋体" w:cs="宋体"/>
          <w:color w:val="auto"/>
          <w:szCs w:val="21"/>
        </w:rPr>
      </w:pPr>
      <w:r>
        <w:rPr>
          <w:rFonts w:hint="eastAsia" w:ascii="宋体" w:cs="宋体"/>
          <w:color w:val="auto"/>
          <w:szCs w:val="21"/>
        </w:rPr>
        <w:t xml:space="preserve"> </w:t>
      </w:r>
      <w:r>
        <w:rPr>
          <w:rFonts w:hint="eastAsia" w:ascii="宋体" w:cs="宋体"/>
          <w:color w:val="auto"/>
          <w:szCs w:val="21"/>
        </w:rPr>
        <w:tab/>
      </w:r>
      <w:r>
        <w:rPr>
          <w:rFonts w:hint="eastAsia" w:ascii="宋体" w:cs="宋体"/>
          <w:color w:val="auto"/>
          <w:szCs w:val="21"/>
        </w:rPr>
        <w:t>对于出卖的标的物，卖方应当拥有完整物权，并且卖方负有保证第三人不得向买方主张任何权利（包括知识产权）的义务。</w:t>
      </w:r>
    </w:p>
    <w:p w14:paraId="46FC6D57">
      <w:pPr>
        <w:spacing w:line="440" w:lineRule="exact"/>
        <w:rPr>
          <w:rFonts w:hint="eastAsia" w:ascii="宋体" w:cs="宋体"/>
          <w:color w:val="auto"/>
          <w:szCs w:val="21"/>
        </w:rPr>
      </w:pPr>
      <w:r>
        <w:rPr>
          <w:rFonts w:hint="eastAsia" w:ascii="宋体" w:cs="宋体"/>
          <w:color w:val="auto"/>
          <w:szCs w:val="21"/>
        </w:rPr>
        <w:t>5、质量保证</w:t>
      </w:r>
    </w:p>
    <w:p w14:paraId="3D242FE3">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5C94579C">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57BCAB07">
      <w:pPr>
        <w:pStyle w:val="6"/>
        <w:tabs>
          <w:tab w:val="left" w:pos="900"/>
        </w:tabs>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6AC59752">
      <w:pPr>
        <w:spacing w:line="440" w:lineRule="exact"/>
        <w:rPr>
          <w:rFonts w:hint="eastAsia" w:ascii="宋体" w:cs="宋体"/>
          <w:color w:val="auto"/>
          <w:szCs w:val="21"/>
        </w:rPr>
      </w:pPr>
      <w:r>
        <w:rPr>
          <w:rFonts w:hint="eastAsia" w:ascii="宋体" w:cs="宋体"/>
          <w:color w:val="auto"/>
          <w:szCs w:val="21"/>
        </w:rPr>
        <w:t>6、包装</w:t>
      </w:r>
    </w:p>
    <w:p w14:paraId="0F8680F3">
      <w:pPr>
        <w:pStyle w:val="6"/>
        <w:tabs>
          <w:tab w:val="left" w:pos="900"/>
        </w:tabs>
        <w:spacing w:line="440" w:lineRule="exact"/>
        <w:ind w:firstLine="478" w:firstLineChars="225"/>
        <w:rPr>
          <w:rFonts w:hint="eastAsia" w:ascii="宋体" w:cs="宋体"/>
          <w:color w:val="auto"/>
          <w:sz w:val="21"/>
          <w:szCs w:val="21"/>
          <w:u w:val="none" w:color="000000"/>
        </w:rPr>
      </w:pPr>
      <w:r>
        <w:rPr>
          <w:rFonts w:hint="eastAsia" w:ascii="宋体" w:cs="宋体"/>
          <w:color w:val="auto"/>
          <w:sz w:val="21"/>
          <w:szCs w:val="21"/>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14F1C06F">
      <w:pPr>
        <w:spacing w:line="440" w:lineRule="exact"/>
        <w:rPr>
          <w:rFonts w:hint="eastAsia" w:ascii="宋体" w:cs="宋体"/>
          <w:color w:val="auto"/>
          <w:szCs w:val="21"/>
        </w:rPr>
      </w:pPr>
      <w:r>
        <w:rPr>
          <w:rFonts w:hint="eastAsia" w:ascii="宋体" w:cs="宋体"/>
          <w:color w:val="auto"/>
          <w:szCs w:val="21"/>
        </w:rPr>
        <w:t>7、伴随服务</w:t>
      </w:r>
    </w:p>
    <w:p w14:paraId="10D3F487">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(1)卖方除应履行按期按量交付合格标的物的义务之外，还应提供下列服务：</w:t>
      </w:r>
    </w:p>
    <w:p w14:paraId="45BE2268">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&lt;1&gt;标的物的现场安装或指导安装、启动、调试、监督（如果必须安装、调试的话）；</w:t>
      </w:r>
    </w:p>
    <w:p w14:paraId="1242CE03">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&lt;2&gt;提供标的物组装和一般维修所必须的工具；</w:t>
      </w:r>
    </w:p>
    <w:p w14:paraId="6A0C0BF4">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&lt;3&gt;在合同规定的期限内对所提供标的物实行运行监督、维修服务的前提条件是该服务并不能免除卖方在质量保证期内所承担的义务；</w:t>
      </w:r>
    </w:p>
    <w:p w14:paraId="452E4980">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&lt;4&gt;对买方技术人员的技术指导或培训。</w:t>
      </w:r>
    </w:p>
    <w:p w14:paraId="58BF92E9">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(2)除合同另有规定之外，伴随服务的费用均已含在合同价款中，买方不再另行进行支付。</w:t>
      </w:r>
    </w:p>
    <w:p w14:paraId="4D871F8F">
      <w:pPr>
        <w:spacing w:line="440" w:lineRule="exact"/>
        <w:rPr>
          <w:rFonts w:hint="eastAsia" w:ascii="宋体" w:cs="宋体"/>
          <w:b/>
          <w:color w:val="auto"/>
          <w:szCs w:val="21"/>
        </w:rPr>
      </w:pPr>
      <w:r>
        <w:rPr>
          <w:rFonts w:hint="eastAsia" w:ascii="宋体" w:cs="宋体"/>
          <w:b/>
          <w:color w:val="auto"/>
          <w:szCs w:val="21"/>
        </w:rPr>
        <w:t>三.  标的物的交付、检验和验收</w:t>
      </w:r>
    </w:p>
    <w:p w14:paraId="635C4EFD">
      <w:pPr>
        <w:spacing w:line="440" w:lineRule="exact"/>
        <w:rPr>
          <w:rFonts w:hint="eastAsia" w:ascii="宋体" w:cs="宋体"/>
          <w:color w:val="auto"/>
          <w:szCs w:val="21"/>
        </w:rPr>
      </w:pPr>
      <w:r>
        <w:rPr>
          <w:rFonts w:hint="eastAsia" w:ascii="宋体" w:cs="宋体"/>
          <w:color w:val="auto"/>
          <w:szCs w:val="21"/>
        </w:rPr>
        <w:t>8、标的物的交付</w:t>
      </w:r>
    </w:p>
    <w:p w14:paraId="301770FC">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(1)标的物的所有权自标的物交付时转移。</w:t>
      </w:r>
    </w:p>
    <w:p w14:paraId="2780A5D5">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(2)卖方应当按照约定的期限和约定的地点交付符合采购文件要求的标的物。</w:t>
      </w:r>
    </w:p>
    <w:p w14:paraId="65880DDC">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(3)卖方应当按照约定或者交易习惯向招标人交付提取标的物单证以外的有关单证和资料。</w:t>
      </w:r>
    </w:p>
    <w:p w14:paraId="732F4DC7">
      <w:pPr>
        <w:spacing w:line="440" w:lineRule="exact"/>
        <w:rPr>
          <w:rFonts w:hint="eastAsia" w:ascii="宋体" w:cs="宋体"/>
          <w:color w:val="auto"/>
          <w:szCs w:val="21"/>
        </w:rPr>
      </w:pPr>
      <w:r>
        <w:rPr>
          <w:rFonts w:hint="eastAsia" w:ascii="宋体" w:cs="宋体"/>
          <w:color w:val="auto"/>
          <w:szCs w:val="21"/>
        </w:rPr>
        <w:t>9、检验和验收</w:t>
      </w:r>
    </w:p>
    <w:p w14:paraId="5C20E365">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59FF69FE">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(2)买方根据合同规定的内容和验收标准进行验收，经检验无误后出具验收合格证明，该证明作为最终付款所需文件的组成部分。</w:t>
      </w:r>
    </w:p>
    <w:p w14:paraId="6834DDF6">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(3)验收期限自标的物交付之日起三十天内。特殊情况需延长的，双方应在合同条款中约定。</w:t>
      </w:r>
    </w:p>
    <w:p w14:paraId="1B0E7043">
      <w:pPr>
        <w:spacing w:line="440" w:lineRule="exact"/>
        <w:rPr>
          <w:rFonts w:hint="eastAsia" w:ascii="宋体" w:cs="宋体"/>
          <w:b/>
          <w:color w:val="auto"/>
          <w:szCs w:val="21"/>
        </w:rPr>
      </w:pPr>
      <w:r>
        <w:rPr>
          <w:rFonts w:hint="eastAsia" w:ascii="宋体" w:cs="宋体"/>
          <w:b/>
          <w:color w:val="auto"/>
          <w:szCs w:val="21"/>
        </w:rPr>
        <w:t>四. 对标的物提出异议的时间和办法</w:t>
      </w:r>
    </w:p>
    <w:p w14:paraId="6C781368">
      <w:pPr>
        <w:spacing w:line="440" w:lineRule="exact"/>
        <w:rPr>
          <w:rFonts w:hint="eastAsia" w:ascii="宋体" w:cs="宋体"/>
          <w:color w:val="auto"/>
          <w:szCs w:val="21"/>
        </w:rPr>
      </w:pPr>
      <w:r>
        <w:rPr>
          <w:rFonts w:hint="eastAsia" w:ascii="宋体" w:cs="宋体"/>
          <w:color w:val="auto"/>
          <w:szCs w:val="21"/>
        </w:rPr>
        <w:t xml:space="preserve">10、对标的物提出异议的时间和办法 </w:t>
      </w:r>
    </w:p>
    <w:p w14:paraId="330453EC">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(1)买方在验收过程中，应当于双方约定的检验期间内将标的物的数量或质量不符合约定的情形及处理方式以书面形式通知卖方。</w:t>
      </w:r>
    </w:p>
    <w:p w14:paraId="4B248806">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(2)如买方在验收期满后既不出具验收合格证明又未提出书面异议的视为卖方所交标的物符合合同规定。</w:t>
      </w:r>
    </w:p>
    <w:p w14:paraId="368FAA4D">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(3)卖方应在收到买方书面异议后七天内负责处理问题，否则将视为默认买方提出的异议和处理意见。</w:t>
      </w:r>
    </w:p>
    <w:p w14:paraId="1AE2A7B3">
      <w:pPr>
        <w:spacing w:line="440" w:lineRule="exact"/>
        <w:rPr>
          <w:rFonts w:hint="eastAsia" w:ascii="宋体" w:cs="宋体"/>
          <w:b/>
          <w:color w:val="auto"/>
          <w:szCs w:val="21"/>
        </w:rPr>
      </w:pPr>
      <w:r>
        <w:rPr>
          <w:rFonts w:hint="eastAsia" w:ascii="宋体" w:cs="宋体"/>
          <w:b/>
          <w:color w:val="auto"/>
          <w:szCs w:val="21"/>
        </w:rPr>
        <w:t>五. 合同价款和支付</w:t>
      </w:r>
    </w:p>
    <w:p w14:paraId="034887A0">
      <w:pPr>
        <w:spacing w:line="440" w:lineRule="exact"/>
        <w:rPr>
          <w:rFonts w:hint="eastAsia" w:ascii="宋体" w:cs="宋体"/>
          <w:color w:val="auto"/>
          <w:szCs w:val="21"/>
        </w:rPr>
      </w:pPr>
      <w:r>
        <w:rPr>
          <w:rFonts w:hint="eastAsia" w:ascii="宋体" w:cs="宋体"/>
          <w:color w:val="auto"/>
          <w:szCs w:val="21"/>
        </w:rPr>
        <w:t>11、合同价款和支付</w:t>
      </w:r>
    </w:p>
    <w:p w14:paraId="5483498D">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(1)本合同的结算货币为人民币，单位元。</w:t>
      </w:r>
    </w:p>
    <w:p w14:paraId="067FD075">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(2)卖方应按照双方签订的合同规定交货并在合同主要条款规定的期限内持下列单据结算货款：</w:t>
      </w:r>
    </w:p>
    <w:p w14:paraId="30985EF6">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&lt;1&gt;合格的销售发票；</w:t>
      </w:r>
    </w:p>
    <w:p w14:paraId="32A17702">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&lt;2&gt;买方盖章签收后的送货回单和验收合格证明。</w:t>
      </w:r>
    </w:p>
    <w:p w14:paraId="3DCC33EA">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(3)买方应按合同主要条款规定的期限和方式付款。</w:t>
      </w:r>
    </w:p>
    <w:p w14:paraId="6720BC58">
      <w:pPr>
        <w:pStyle w:val="6"/>
        <w:tabs>
          <w:tab w:val="left" w:pos="540"/>
        </w:tabs>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(4)根据现行税法对买方征收的与本合同有关的一切税费均由买方承担；根据现行税法对卖方征收的与本合同有关的一切税费均由卖方承担。</w:t>
      </w:r>
    </w:p>
    <w:p w14:paraId="1DE1D945">
      <w:pPr>
        <w:spacing w:line="440" w:lineRule="exact"/>
        <w:rPr>
          <w:rFonts w:hint="eastAsia" w:ascii="宋体" w:cs="宋体"/>
          <w:b/>
          <w:color w:val="auto"/>
          <w:szCs w:val="21"/>
        </w:rPr>
      </w:pPr>
      <w:r>
        <w:rPr>
          <w:rFonts w:hint="eastAsia" w:ascii="宋体" w:cs="宋体"/>
          <w:b/>
          <w:color w:val="auto"/>
          <w:szCs w:val="21"/>
        </w:rPr>
        <w:t>六. 违约责任</w:t>
      </w:r>
    </w:p>
    <w:p w14:paraId="0ABE18EB">
      <w:pPr>
        <w:spacing w:line="440" w:lineRule="exact"/>
        <w:rPr>
          <w:rFonts w:hint="eastAsia" w:ascii="宋体" w:cs="宋体"/>
          <w:color w:val="auto"/>
          <w:szCs w:val="21"/>
        </w:rPr>
      </w:pPr>
      <w:r>
        <w:rPr>
          <w:rFonts w:hint="eastAsia" w:ascii="宋体" w:cs="宋体"/>
          <w:color w:val="auto"/>
          <w:szCs w:val="21"/>
        </w:rPr>
        <w:t>12、违约责任</w:t>
      </w:r>
    </w:p>
    <w:p w14:paraId="3F8838D0">
      <w:pPr>
        <w:pStyle w:val="6"/>
        <w:spacing w:line="440" w:lineRule="exact"/>
        <w:ind w:firstLine="478" w:firstLineChars="225"/>
        <w:rPr>
          <w:rFonts w:hint="eastAsia" w:ascii="宋体" w:cs="宋体"/>
          <w:color w:val="auto"/>
          <w:sz w:val="21"/>
          <w:szCs w:val="21"/>
          <w:u w:val="none" w:color="000000"/>
        </w:rPr>
      </w:pPr>
      <w:r>
        <w:rPr>
          <w:rFonts w:hint="eastAsia" w:ascii="宋体" w:cs="宋体"/>
          <w:color w:val="auto"/>
          <w:sz w:val="21"/>
          <w:szCs w:val="21"/>
          <w:u w:val="none" w:color="000000"/>
        </w:rPr>
        <w:t>合同一方不履行合同义务或者履行合同义务不符合约定的，应当承担继续履行、采取补救措施或者赔偿损失等违约责任。</w:t>
      </w:r>
    </w:p>
    <w:p w14:paraId="2002992C">
      <w:pPr>
        <w:spacing w:line="440" w:lineRule="exact"/>
        <w:rPr>
          <w:rFonts w:hint="eastAsia" w:ascii="宋体" w:cs="宋体"/>
          <w:color w:val="auto"/>
          <w:szCs w:val="21"/>
        </w:rPr>
      </w:pPr>
      <w:r>
        <w:rPr>
          <w:rFonts w:hint="eastAsia" w:ascii="宋体" w:cs="宋体"/>
          <w:color w:val="auto"/>
          <w:szCs w:val="21"/>
        </w:rPr>
        <w:t>13、买方违约责任</w:t>
      </w:r>
    </w:p>
    <w:p w14:paraId="6992FBDE">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(1)在合同生效后，买方要求退货的，应向卖方偿付合同总价款的5%，作为违约金，违约金不足以补偿损失的，卖方有权要求甲方补足。</w:t>
      </w:r>
    </w:p>
    <w:p w14:paraId="1927E9B3">
      <w:pPr>
        <w:pStyle w:val="6"/>
        <w:overflowPunct w:val="0"/>
        <w:spacing w:line="440" w:lineRule="exact"/>
        <w:ind w:right="-338" w:rightChars="-159"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(2)买方逾期付款的应按照逾期付款金额的每天万分之四支付逾期付款违约金。</w:t>
      </w:r>
    </w:p>
    <w:p w14:paraId="12FF65E6">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(3)买方违反合同规定，拒绝接收卖方交付的符合采购文件要求的合格标的物，应当承担卖方由此造成的损失。</w:t>
      </w:r>
    </w:p>
    <w:p w14:paraId="495EC379">
      <w:pPr>
        <w:spacing w:line="440" w:lineRule="exact"/>
        <w:rPr>
          <w:rFonts w:hint="eastAsia" w:ascii="宋体" w:cs="宋体"/>
          <w:color w:val="auto"/>
          <w:szCs w:val="21"/>
        </w:rPr>
      </w:pPr>
      <w:r>
        <w:rPr>
          <w:rFonts w:hint="eastAsia" w:ascii="宋体" w:cs="宋体"/>
          <w:color w:val="auto"/>
          <w:szCs w:val="21"/>
        </w:rPr>
        <w:t>14、卖方违约责任</w:t>
      </w:r>
    </w:p>
    <w:p w14:paraId="50E52F17">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(1)卖方不能交货（逾期超过五天视为不能交货），或交货不合格从而影响买方按期正常使用的，应向买方偿付合同总价款5%的违约金，违约金不足以补偿损失的，买方有权要求卖方补足。</w:t>
      </w:r>
    </w:p>
    <w:p w14:paraId="153364A0">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1148E73E">
      <w:pPr>
        <w:spacing w:line="440" w:lineRule="exact"/>
        <w:rPr>
          <w:rFonts w:hint="eastAsia" w:ascii="宋体" w:cs="宋体"/>
          <w:color w:val="auto"/>
          <w:szCs w:val="21"/>
        </w:rPr>
      </w:pPr>
      <w:r>
        <w:rPr>
          <w:rFonts w:hint="eastAsia" w:ascii="宋体" w:cs="宋体"/>
          <w:color w:val="auto"/>
          <w:szCs w:val="21"/>
        </w:rPr>
        <w:t>15、不可抗力</w:t>
      </w:r>
    </w:p>
    <w:p w14:paraId="22CC80F6">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(1)因水灾、火灾、地震、战争等不可抗力不能履行合同的，根据不可抗力的影响，部分或者全部免除责任。但合同一方迟延履行后发生不可抗力的，不能免除责任。</w:t>
      </w:r>
    </w:p>
    <w:p w14:paraId="012F33D7">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(2)合同一方因不可抗力不能履行合同的，应当及时通知对方，以减轻可能给对方造成的损失，并应当在合理期限内提供证明。</w:t>
      </w:r>
    </w:p>
    <w:p w14:paraId="64A123CC">
      <w:pPr>
        <w:spacing w:line="440" w:lineRule="exact"/>
        <w:rPr>
          <w:rFonts w:hint="eastAsia" w:ascii="宋体" w:cs="宋体"/>
          <w:b/>
          <w:color w:val="auto"/>
          <w:szCs w:val="21"/>
        </w:rPr>
      </w:pPr>
      <w:r>
        <w:rPr>
          <w:rFonts w:hint="eastAsia" w:ascii="宋体" w:cs="宋体"/>
          <w:b/>
          <w:color w:val="auto"/>
          <w:szCs w:val="21"/>
        </w:rPr>
        <w:t>七. 索赔</w:t>
      </w:r>
    </w:p>
    <w:p w14:paraId="12497BCE">
      <w:pPr>
        <w:spacing w:line="440" w:lineRule="exact"/>
        <w:rPr>
          <w:rFonts w:hint="eastAsia" w:ascii="宋体" w:cs="宋体"/>
          <w:color w:val="auto"/>
          <w:szCs w:val="21"/>
        </w:rPr>
      </w:pPr>
      <w:r>
        <w:rPr>
          <w:rFonts w:hint="eastAsia" w:ascii="宋体" w:cs="宋体"/>
          <w:color w:val="auto"/>
          <w:szCs w:val="21"/>
        </w:rPr>
        <w:t>16、索赔</w:t>
      </w:r>
    </w:p>
    <w:p w14:paraId="4FFC42BB">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(1)买方有权根据当地产品质量检验机构或其它有权威部门出具的检验证书向卖方提出索赔。</w:t>
      </w:r>
    </w:p>
    <w:p w14:paraId="2E162DDD">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(2)在本合同规定的检验期和质量保证期内，如果卖方对买方提出的索赔或差异有责任，则卖方应按买方同意的下列一种或多种方式解决索赔事宜：</w:t>
      </w:r>
    </w:p>
    <w:p w14:paraId="1FD23E61">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2D6E2975">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&lt;2&gt;根据标的物的低劣程度、损坏程度以及甲方遭受损失的数额，经双方协商确定降低标的物的价格；</w:t>
      </w:r>
    </w:p>
    <w:p w14:paraId="6B1A3E49">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76FA9192">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45ECC633">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(4)买方提出索赔的书面材料应报当地政府采购管理部门备案。卖方同意的索赔方案应报当地政府采购管理部门审核。</w:t>
      </w:r>
    </w:p>
    <w:p w14:paraId="5210436A">
      <w:pPr>
        <w:spacing w:line="440" w:lineRule="exact"/>
        <w:rPr>
          <w:rFonts w:hint="eastAsia" w:ascii="宋体" w:cs="宋体"/>
          <w:b/>
          <w:color w:val="auto"/>
          <w:szCs w:val="21"/>
        </w:rPr>
      </w:pPr>
      <w:r>
        <w:rPr>
          <w:rFonts w:hint="eastAsia" w:ascii="宋体" w:cs="宋体"/>
          <w:b/>
          <w:color w:val="auto"/>
          <w:szCs w:val="21"/>
        </w:rPr>
        <w:t>八. 履约保证金</w:t>
      </w:r>
    </w:p>
    <w:p w14:paraId="36802EDF">
      <w:pPr>
        <w:spacing w:line="440" w:lineRule="exact"/>
        <w:rPr>
          <w:rFonts w:hint="eastAsia" w:ascii="宋体" w:cs="宋体"/>
          <w:color w:val="auto"/>
          <w:szCs w:val="21"/>
        </w:rPr>
      </w:pPr>
      <w:r>
        <w:rPr>
          <w:rFonts w:hint="eastAsia" w:ascii="宋体" w:cs="宋体"/>
          <w:color w:val="auto"/>
          <w:szCs w:val="21"/>
        </w:rPr>
        <w:t>17、履约保证金</w:t>
      </w:r>
    </w:p>
    <w:p w14:paraId="364ADE87">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(1)卖方应在本合同签订时，按采购文件的约定提供相应的履约保证金，保证金的有效期应不低于合同有效期。</w:t>
      </w:r>
    </w:p>
    <w:p w14:paraId="11534674">
      <w:pPr>
        <w:pStyle w:val="6"/>
        <w:overflowPunct w:val="0"/>
        <w:spacing w:line="440" w:lineRule="exact"/>
        <w:ind w:right="-338" w:rightChars="-159"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(2)如果卖方未能履行合同规定的任何义务，买方有权从履约保证金中取得补偿。</w:t>
      </w:r>
    </w:p>
    <w:p w14:paraId="665E4416">
      <w:pPr>
        <w:pStyle w:val="6"/>
        <w:overflowPunct w:val="0"/>
        <w:spacing w:line="440" w:lineRule="exact"/>
        <w:ind w:right="-886" w:rightChars="-416"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(3)履约保证金（无息）将在卖方履行完合同义务，买方支付合同价款的五天内</w:t>
      </w:r>
    </w:p>
    <w:p w14:paraId="4729C1B8">
      <w:pPr>
        <w:pStyle w:val="6"/>
        <w:overflowPunct w:val="0"/>
        <w:spacing w:line="440" w:lineRule="exact"/>
        <w:ind w:right="-886" w:rightChars="-416" w:firstLine="0"/>
        <w:rPr>
          <w:rFonts w:hint="eastAsia" w:ascii="宋体" w:cs="宋体"/>
          <w:color w:val="auto"/>
          <w:sz w:val="21"/>
          <w:szCs w:val="21"/>
          <w:u w:val="none" w:color="000000"/>
        </w:rPr>
      </w:pPr>
      <w:r>
        <w:rPr>
          <w:rFonts w:hint="eastAsia" w:ascii="宋体" w:cs="宋体"/>
          <w:color w:val="auto"/>
          <w:sz w:val="21"/>
          <w:szCs w:val="21"/>
          <w:u w:val="none" w:color="000000"/>
        </w:rPr>
        <w:t>退回。</w:t>
      </w:r>
    </w:p>
    <w:p w14:paraId="01E88184">
      <w:pPr>
        <w:spacing w:line="440" w:lineRule="exact"/>
        <w:rPr>
          <w:rFonts w:hint="eastAsia" w:ascii="宋体" w:cs="宋体"/>
          <w:b/>
          <w:color w:val="auto"/>
          <w:szCs w:val="21"/>
        </w:rPr>
      </w:pPr>
      <w:r>
        <w:rPr>
          <w:rFonts w:hint="eastAsia" w:ascii="宋体" w:cs="宋体"/>
          <w:b/>
          <w:color w:val="auto"/>
          <w:szCs w:val="21"/>
        </w:rPr>
        <w:t>九.  合同的解除和转让</w:t>
      </w:r>
    </w:p>
    <w:p w14:paraId="1264AE0D">
      <w:pPr>
        <w:spacing w:line="440" w:lineRule="exact"/>
        <w:rPr>
          <w:rFonts w:hint="eastAsia" w:ascii="宋体" w:cs="宋体"/>
          <w:color w:val="auto"/>
          <w:szCs w:val="21"/>
        </w:rPr>
      </w:pPr>
      <w:r>
        <w:rPr>
          <w:rFonts w:hint="eastAsia" w:ascii="宋体" w:cs="宋体"/>
          <w:color w:val="auto"/>
          <w:szCs w:val="21"/>
        </w:rPr>
        <w:t>18、合同的解除</w:t>
      </w:r>
    </w:p>
    <w:p w14:paraId="402117C1">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(1)买方和卖方协商一致，可以解除合同。</w:t>
      </w:r>
    </w:p>
    <w:p w14:paraId="0DB44642">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(2)有下列情形之一，合同一方可以解除合同：</w:t>
      </w:r>
    </w:p>
    <w:p w14:paraId="6B2DF5E0">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&lt;1&gt;因不可抗力致使不能实现合同目的，未受不可抗力影响的一方有权解除合同；</w:t>
      </w:r>
    </w:p>
    <w:p w14:paraId="735AD925">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&lt;2&gt;因合同一方违约导致合同不能履行，另一方有权解除合同。</w:t>
      </w:r>
    </w:p>
    <w:p w14:paraId="3CC7E5D0">
      <w:pPr>
        <w:pStyle w:val="6"/>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(3)有权解除合同的一方，应当在违约事实或不可抗力发生之后三十天内书面通知对方以主张解除合同，合同在书面通知到达对方时解除。</w:t>
      </w:r>
    </w:p>
    <w:p w14:paraId="338607FC">
      <w:pPr>
        <w:spacing w:line="440" w:lineRule="exact"/>
        <w:rPr>
          <w:rFonts w:hint="eastAsia" w:ascii="宋体" w:cs="宋体"/>
          <w:color w:val="auto"/>
          <w:szCs w:val="21"/>
        </w:rPr>
      </w:pPr>
      <w:r>
        <w:rPr>
          <w:rFonts w:hint="eastAsia" w:ascii="宋体" w:cs="宋体"/>
          <w:color w:val="auto"/>
          <w:szCs w:val="21"/>
        </w:rPr>
        <w:t>19、合同的转让</w:t>
      </w:r>
    </w:p>
    <w:p w14:paraId="6EE0D47B">
      <w:pPr>
        <w:spacing w:line="440" w:lineRule="exact"/>
        <w:rPr>
          <w:rFonts w:hint="eastAsia" w:ascii="宋体" w:cs="宋体"/>
          <w:color w:val="auto"/>
          <w:szCs w:val="21"/>
        </w:rPr>
      </w:pPr>
      <w:r>
        <w:rPr>
          <w:rFonts w:hint="eastAsia" w:ascii="宋体" w:cs="宋体"/>
          <w:color w:val="auto"/>
          <w:szCs w:val="21"/>
        </w:rPr>
        <w:t xml:space="preserve">      合同的部分和全部都不得转让。</w:t>
      </w:r>
    </w:p>
    <w:p w14:paraId="73D09D19">
      <w:pPr>
        <w:spacing w:line="440" w:lineRule="exact"/>
        <w:rPr>
          <w:rFonts w:hint="eastAsia" w:ascii="宋体" w:cs="宋体"/>
          <w:b/>
          <w:color w:val="auto"/>
          <w:szCs w:val="21"/>
        </w:rPr>
      </w:pPr>
      <w:r>
        <w:rPr>
          <w:rFonts w:hint="eastAsia" w:ascii="宋体" w:cs="宋体"/>
          <w:b/>
          <w:color w:val="auto"/>
          <w:szCs w:val="21"/>
        </w:rPr>
        <w:t>十. 合同的生效</w:t>
      </w:r>
    </w:p>
    <w:p w14:paraId="2B1BAB51">
      <w:pPr>
        <w:spacing w:line="440" w:lineRule="exact"/>
        <w:rPr>
          <w:rFonts w:hint="eastAsia" w:ascii="宋体" w:cs="宋体"/>
          <w:color w:val="auto"/>
          <w:szCs w:val="21"/>
        </w:rPr>
      </w:pPr>
      <w:r>
        <w:rPr>
          <w:rFonts w:hint="eastAsia" w:ascii="宋体" w:cs="宋体"/>
          <w:color w:val="auto"/>
          <w:szCs w:val="21"/>
        </w:rPr>
        <w:t>20、合同的生效</w:t>
      </w:r>
    </w:p>
    <w:p w14:paraId="220BB426">
      <w:pPr>
        <w:spacing w:line="440" w:lineRule="exact"/>
        <w:ind w:firstLine="589" w:firstLineChars="277"/>
        <w:rPr>
          <w:rFonts w:hint="eastAsia" w:ascii="宋体" w:cs="宋体"/>
          <w:color w:val="auto"/>
          <w:szCs w:val="21"/>
        </w:rPr>
      </w:pPr>
      <w:r>
        <w:rPr>
          <w:rFonts w:hint="eastAsia" w:ascii="宋体" w:cs="宋体"/>
          <w:color w:val="auto"/>
          <w:szCs w:val="21"/>
        </w:rPr>
        <w:t>本合同在双方签字盖章并在招标人收到中标人提交的履约保证金后，经招标采购管理部门备案后生效。</w:t>
      </w:r>
    </w:p>
    <w:p w14:paraId="6D563D32">
      <w:pPr>
        <w:spacing w:line="440" w:lineRule="exact"/>
        <w:rPr>
          <w:rFonts w:hint="eastAsia" w:ascii="宋体" w:cs="宋体"/>
          <w:b/>
          <w:color w:val="auto"/>
          <w:szCs w:val="21"/>
        </w:rPr>
      </w:pPr>
      <w:r>
        <w:rPr>
          <w:rFonts w:hint="eastAsia" w:ascii="宋体" w:cs="宋体"/>
          <w:b/>
          <w:color w:val="auto"/>
          <w:szCs w:val="21"/>
        </w:rPr>
        <w:t>十一. 争议解决</w:t>
      </w:r>
    </w:p>
    <w:p w14:paraId="0E7787CB">
      <w:pPr>
        <w:spacing w:line="440" w:lineRule="exact"/>
        <w:ind w:firstLine="213" w:firstLineChars="100"/>
        <w:rPr>
          <w:rFonts w:hint="eastAsia" w:ascii="宋体" w:cs="宋体"/>
          <w:color w:val="auto"/>
          <w:szCs w:val="21"/>
        </w:rPr>
      </w:pPr>
      <w:r>
        <w:rPr>
          <w:rFonts w:hint="eastAsia" w:ascii="宋体" w:cs="宋体"/>
          <w:color w:val="auto"/>
          <w:szCs w:val="21"/>
        </w:rPr>
        <w:t>21、争议解决</w:t>
      </w:r>
    </w:p>
    <w:p w14:paraId="3496F732">
      <w:pPr>
        <w:pStyle w:val="6"/>
        <w:overflowPunct w:val="0"/>
        <w:spacing w:line="440" w:lineRule="exact"/>
        <w:rPr>
          <w:rFonts w:hint="eastAsia" w:ascii="宋体" w:cs="宋体"/>
          <w:color w:val="auto"/>
          <w:sz w:val="21"/>
          <w:szCs w:val="21"/>
          <w:u w:val="none" w:color="000000"/>
        </w:rPr>
      </w:pPr>
      <w:r>
        <w:rPr>
          <w:rFonts w:hint="eastAsia" w:ascii="宋体" w:cs="宋体"/>
          <w:color w:val="auto"/>
          <w:sz w:val="21"/>
          <w:szCs w:val="21"/>
          <w:u w:val="none" w:color="000000"/>
        </w:rPr>
        <w:t xml:space="preserve"> 买卖双方因合同发生争议，进行调解，协商不成，可选择：</w:t>
      </w:r>
    </w:p>
    <w:p w14:paraId="5427A4E2">
      <w:pPr>
        <w:pStyle w:val="6"/>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(1)双方同时申请仲裁；</w:t>
      </w:r>
    </w:p>
    <w:p w14:paraId="133AA838">
      <w:pPr>
        <w:pStyle w:val="6"/>
        <w:tabs>
          <w:tab w:val="left" w:pos="900"/>
        </w:tabs>
        <w:overflowPunct w:val="0"/>
        <w:spacing w:line="440" w:lineRule="exact"/>
        <w:ind w:firstLine="532" w:firstLineChars="250"/>
        <w:rPr>
          <w:rFonts w:hint="eastAsia" w:ascii="宋体" w:cs="宋体"/>
          <w:color w:val="auto"/>
          <w:sz w:val="21"/>
          <w:szCs w:val="21"/>
          <w:u w:val="none" w:color="000000"/>
        </w:rPr>
      </w:pPr>
      <w:r>
        <w:rPr>
          <w:rFonts w:hint="eastAsia" w:ascii="宋体" w:cs="宋体"/>
          <w:color w:val="auto"/>
          <w:sz w:val="21"/>
          <w:szCs w:val="21"/>
          <w:u w:val="none" w:color="000000"/>
        </w:rPr>
        <w:t>(2)向买方所在地人民法院提起诉讼。</w:t>
      </w:r>
    </w:p>
    <w:p w14:paraId="4C4947D7">
      <w:pPr>
        <w:spacing w:line="440" w:lineRule="exact"/>
        <w:rPr>
          <w:rFonts w:hint="eastAsia" w:ascii="宋体" w:cs="宋体"/>
          <w:b/>
          <w:color w:val="auto"/>
          <w:szCs w:val="21"/>
        </w:rPr>
      </w:pPr>
      <w:r>
        <w:rPr>
          <w:rFonts w:hint="eastAsia" w:ascii="宋体" w:cs="宋体"/>
          <w:b/>
          <w:color w:val="auto"/>
          <w:szCs w:val="21"/>
        </w:rPr>
        <w:t>十二 .附则</w:t>
      </w:r>
    </w:p>
    <w:p w14:paraId="0137279D">
      <w:pPr>
        <w:spacing w:line="440" w:lineRule="exact"/>
        <w:ind w:firstLine="213" w:firstLineChars="100"/>
        <w:rPr>
          <w:rFonts w:hint="eastAsia" w:ascii="宋体" w:cs="宋体"/>
          <w:color w:val="auto"/>
          <w:szCs w:val="21"/>
        </w:rPr>
      </w:pPr>
      <w:r>
        <w:rPr>
          <w:rFonts w:hint="eastAsia" w:ascii="宋体" w:cs="宋体"/>
          <w:color w:val="auto"/>
          <w:szCs w:val="21"/>
        </w:rPr>
        <w:t>22、合同份数。</w:t>
      </w:r>
    </w:p>
    <w:p w14:paraId="5698CD30">
      <w:pPr>
        <w:spacing w:line="440" w:lineRule="exact"/>
        <w:rPr>
          <w:rFonts w:hint="eastAsia" w:ascii="宋体" w:cs="宋体"/>
          <w:color w:val="auto"/>
          <w:szCs w:val="21"/>
        </w:rPr>
      </w:pPr>
      <w:r>
        <w:rPr>
          <w:rFonts w:hint="eastAsia" w:ascii="宋体" w:cs="宋体"/>
          <w:color w:val="auto"/>
          <w:szCs w:val="21"/>
        </w:rPr>
        <w:t xml:space="preserve"> </w:t>
      </w:r>
      <w:r>
        <w:rPr>
          <w:rFonts w:hint="eastAsia" w:ascii="宋体" w:cs="宋体"/>
          <w:color w:val="auto"/>
          <w:szCs w:val="21"/>
        </w:rPr>
        <w:tab/>
      </w:r>
      <w:r>
        <w:rPr>
          <w:rFonts w:hint="eastAsia" w:ascii="宋体" w:cs="宋体"/>
          <w:color w:val="auto"/>
          <w:szCs w:val="21"/>
        </w:rPr>
        <w:t xml:space="preserve">  本合同一式</w:t>
      </w:r>
      <w:r>
        <w:rPr>
          <w:rFonts w:hint="eastAsia" w:ascii="宋体" w:cs="宋体"/>
          <w:color w:val="auto"/>
          <w:szCs w:val="21"/>
          <w:lang w:val="en-US" w:eastAsia="zh-CN"/>
        </w:rPr>
        <w:t>肆</w:t>
      </w:r>
      <w:r>
        <w:rPr>
          <w:rFonts w:hint="eastAsia" w:ascii="宋体" w:cs="宋体"/>
          <w:color w:val="auto"/>
          <w:szCs w:val="21"/>
        </w:rPr>
        <w:t>份，买卖双方各执二份。</w:t>
      </w:r>
    </w:p>
    <w:p w14:paraId="73061A4D">
      <w:pPr>
        <w:spacing w:line="440" w:lineRule="exact"/>
        <w:ind w:firstLine="213" w:firstLineChars="100"/>
        <w:rPr>
          <w:rFonts w:hint="eastAsia" w:ascii="宋体" w:cs="宋体"/>
          <w:color w:val="auto"/>
          <w:szCs w:val="21"/>
        </w:rPr>
      </w:pPr>
      <w:r>
        <w:rPr>
          <w:rFonts w:hint="eastAsia" w:ascii="宋体" w:cs="宋体"/>
          <w:color w:val="auto"/>
          <w:szCs w:val="21"/>
        </w:rPr>
        <w:t>23、未尽事宜</w:t>
      </w:r>
    </w:p>
    <w:p w14:paraId="43C834D4">
      <w:pPr>
        <w:spacing w:line="440" w:lineRule="exact"/>
        <w:rPr>
          <w:rFonts w:hint="eastAsia" w:ascii="宋体" w:hAnsi="宋体" w:eastAsia="宋体" w:cs="宋体"/>
          <w:spacing w:val="-1"/>
          <w:sz w:val="23"/>
          <w:szCs w:val="23"/>
          <w:lang w:val="en-US" w:eastAsia="zh-CN"/>
        </w:rPr>
      </w:pPr>
      <w:r>
        <w:rPr>
          <w:rFonts w:hint="eastAsia" w:ascii="宋体" w:cs="宋体"/>
          <w:color w:val="auto"/>
          <w:szCs w:val="21"/>
        </w:rPr>
        <w:t>本合同未尽事宜应按《中华人民共和国政府采购法》、《中华人民共和国民法典》之规定解释。</w:t>
      </w:r>
      <w:r>
        <w:rPr>
          <w:rFonts w:hint="eastAsia" w:ascii="宋体" w:hAnsi="宋体" w:eastAsia="宋体" w:cs="宋体"/>
          <w:spacing w:val="-1"/>
          <w:sz w:val="23"/>
          <w:szCs w:val="23"/>
          <w:lang w:val="en-US" w:eastAsia="zh-CN"/>
        </w:rPr>
        <w:t xml:space="preserve"> </w:t>
      </w:r>
    </w:p>
    <w:bookmarkEnd w:id="196"/>
    <w:bookmarkEnd w:id="197"/>
    <w:bookmarkEnd w:id="198"/>
    <w:bookmarkEnd w:id="199"/>
    <w:bookmarkEnd w:id="200"/>
    <w:bookmarkEnd w:id="201"/>
    <w:bookmarkEnd w:id="202"/>
    <w:bookmarkEnd w:id="203"/>
    <w:bookmarkEnd w:id="204"/>
    <w:bookmarkEnd w:id="205"/>
    <w:bookmarkEnd w:id="206"/>
    <w:p w14:paraId="63F449E1">
      <w:pPr>
        <w:pageBreakBefore/>
        <w:shd w:val="clear" w:color="auto" w:fill="auto"/>
        <w:jc w:val="center"/>
        <w:outlineLvl w:val="0"/>
        <w:rPr>
          <w:rFonts w:hint="eastAsia" w:ascii="宋体"/>
          <w:b/>
          <w:color w:val="auto"/>
          <w:sz w:val="30"/>
          <w:szCs w:val="30"/>
          <w:highlight w:val="none"/>
        </w:rPr>
      </w:pPr>
      <w:bookmarkStart w:id="208" w:name="_Toc2637"/>
      <w:bookmarkStart w:id="209" w:name="_Toc19130"/>
      <w:bookmarkStart w:id="210" w:name="_Toc30079"/>
      <w:bookmarkStart w:id="211" w:name="_Toc7538"/>
      <w:r>
        <w:rPr>
          <w:rFonts w:hint="eastAsia" w:ascii="宋体"/>
          <w:b/>
          <w:color w:val="auto"/>
          <w:sz w:val="30"/>
          <w:szCs w:val="30"/>
          <w:highlight w:val="none"/>
        </w:rPr>
        <w:t>第六章  投标文件格式</w:t>
      </w:r>
      <w:bookmarkEnd w:id="208"/>
      <w:bookmarkEnd w:id="209"/>
      <w:bookmarkEnd w:id="210"/>
      <w:bookmarkEnd w:id="211"/>
    </w:p>
    <w:p w14:paraId="5251018B">
      <w:pPr>
        <w:shd w:val="clear" w:color="auto" w:fill="auto"/>
        <w:spacing w:line="240" w:lineRule="atLeast"/>
        <w:ind w:left="745" w:leftChars="350" w:firstLine="121" w:firstLineChars="50"/>
        <w:rPr>
          <w:rFonts w:hint="eastAsia" w:ascii="仿宋" w:hAnsi="仿宋" w:eastAsia="仿宋" w:cs="仿宋"/>
          <w:color w:val="auto"/>
          <w:sz w:val="24"/>
          <w:highlight w:val="none"/>
        </w:rPr>
      </w:pPr>
    </w:p>
    <w:p w14:paraId="4C4375DE">
      <w:pPr>
        <w:pStyle w:val="44"/>
        <w:ind w:left="0" w:leftChars="0" w:firstLine="0" w:firstLineChars="0"/>
        <w:jc w:val="both"/>
        <w:rPr>
          <w:rFonts w:hint="eastAsia" w:ascii="宋体" w:hAnsi="宋体" w:eastAsia="宋体" w:cs="宋体"/>
          <w:b/>
          <w:bCs/>
          <w:color w:val="auto"/>
          <w:sz w:val="24"/>
          <w:highlight w:val="none"/>
        </w:rPr>
      </w:pPr>
      <w:bookmarkStart w:id="212" w:name="_Toc16568"/>
      <w:bookmarkStart w:id="213" w:name="_Toc32612"/>
      <w:bookmarkStart w:id="214" w:name="_Toc19050"/>
      <w:bookmarkStart w:id="215" w:name="_Toc31782"/>
      <w:bookmarkStart w:id="216" w:name="_Toc515647804"/>
      <w:bookmarkStart w:id="217" w:name="_Toc10883"/>
      <w:bookmarkStart w:id="218" w:name="_Toc30524"/>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开标一览表</w:t>
      </w:r>
      <w:bookmarkEnd w:id="212"/>
      <w:bookmarkEnd w:id="213"/>
      <w:bookmarkEnd w:id="214"/>
      <w:bookmarkEnd w:id="215"/>
      <w:bookmarkEnd w:id="216"/>
      <w:bookmarkEnd w:id="217"/>
      <w:bookmarkEnd w:id="218"/>
    </w:p>
    <w:p w14:paraId="46D01DB6">
      <w:pPr>
        <w:pStyle w:val="12"/>
        <w:shd w:val="clear" w:color="auto" w:fill="auto"/>
        <w:tabs>
          <w:tab w:val="left" w:pos="5580"/>
        </w:tabs>
        <w:spacing w:line="240" w:lineRule="atLeast"/>
        <w:ind w:left="272" w:leftChars="128"/>
        <w:rPr>
          <w:rFonts w:hint="eastAsia" w:ascii="宋体" w:hAnsi="宋体" w:eastAsia="宋体" w:cs="宋体"/>
          <w:color w:val="auto"/>
          <w:sz w:val="24"/>
          <w:highlight w:val="none"/>
        </w:rPr>
      </w:pPr>
    </w:p>
    <w:p w14:paraId="531A8279">
      <w:pPr>
        <w:pStyle w:val="6"/>
        <w:shd w:val="clear" w:color="auto" w:fill="auto"/>
        <w:tabs>
          <w:tab w:val="left" w:pos="5580"/>
        </w:tabs>
        <w:spacing w:line="240" w:lineRule="atLeast"/>
        <w:ind w:firstLine="3364" w:firstLineChars="927"/>
        <w:jc w:val="both"/>
        <w:rPr>
          <w:rFonts w:hint="eastAsia" w:ascii="宋体" w:hAnsi="宋体" w:eastAsia="宋体" w:cs="宋体"/>
          <w:color w:val="auto"/>
          <w:szCs w:val="21"/>
          <w:highlight w:val="none"/>
          <w:u w:val="single"/>
        </w:rPr>
      </w:pPr>
      <w:bookmarkStart w:id="219" w:name="_Hlt520356241"/>
      <w:bookmarkEnd w:id="219"/>
      <w:bookmarkStart w:id="220" w:name="_Toc494296984"/>
      <w:bookmarkStart w:id="221" w:name="_Ref467988698"/>
      <w:bookmarkStart w:id="222" w:name="_Toc480942349"/>
      <w:bookmarkStart w:id="223" w:name="_Toc216582813"/>
      <w:bookmarkStart w:id="224" w:name="_Toc520356217"/>
      <w:r>
        <w:rPr>
          <w:rFonts w:hint="eastAsia" w:ascii="宋体" w:hAnsi="宋体" w:eastAsia="宋体" w:cs="宋体"/>
          <w:b/>
          <w:color w:val="auto"/>
          <w:sz w:val="36"/>
          <w:szCs w:val="24"/>
          <w:highlight w:val="none"/>
        </w:rPr>
        <w:t>开标一览表</w:t>
      </w:r>
      <w:bookmarkEnd w:id="220"/>
      <w:r>
        <w:rPr>
          <w:rFonts w:hint="eastAsia" w:ascii="宋体" w:hAnsi="宋体" w:eastAsia="宋体" w:cs="宋体"/>
          <w:b/>
          <w:color w:val="auto"/>
          <w:sz w:val="36"/>
          <w:szCs w:val="24"/>
          <w:highlight w:val="none"/>
        </w:rPr>
        <w:cr/>
      </w:r>
      <w:r>
        <w:rPr>
          <w:rFonts w:hint="eastAsia" w:ascii="宋体" w:hAnsi="宋体" w:eastAsia="宋体" w:cs="宋体"/>
          <w:color w:val="auto"/>
          <w:kern w:val="2"/>
          <w:sz w:val="21"/>
          <w:szCs w:val="21"/>
          <w:highlight w:val="none"/>
          <w:lang w:val="en-US" w:eastAsia="zh-CN" w:bidi="ar-SA"/>
        </w:rPr>
        <w:t>招标项目名称：</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u w:val="single"/>
        </w:rPr>
        <w:t xml:space="preserve">                     </w:t>
      </w:r>
    </w:p>
    <w:p w14:paraId="47421B96">
      <w:pPr>
        <w:shd w:val="clear" w:color="auto" w:fill="auto"/>
        <w:adjustRightInd w:val="0"/>
        <w:snapToGrid w:val="0"/>
        <w:spacing w:line="500" w:lineRule="exact"/>
        <w:rPr>
          <w:rFonts w:hint="eastAsia" w:ascii="宋体" w:hAnsi="宋体" w:eastAsia="宋体" w:cs="宋体"/>
          <w:i/>
          <w:iCs/>
          <w:color w:val="auto"/>
          <w:szCs w:val="21"/>
          <w:highlight w:val="none"/>
        </w:rPr>
      </w:pPr>
      <w:r>
        <w:rPr>
          <w:rFonts w:hint="eastAsia" w:ascii="宋体" w:hAnsi="宋体" w:eastAsia="宋体" w:cs="宋体"/>
          <w:color w:val="auto"/>
          <w:szCs w:val="21"/>
          <w:highlight w:val="none"/>
        </w:rPr>
        <w:t>招标项目编号：</w:t>
      </w:r>
      <w:r>
        <w:rPr>
          <w:rFonts w:hint="eastAsia" w:ascii="宋体" w:hAnsi="宋体" w:eastAsia="宋体" w:cs="宋体"/>
          <w:i/>
          <w:iCs/>
          <w:color w:val="auto"/>
          <w:szCs w:val="21"/>
          <w:highlight w:val="none"/>
        </w:rPr>
        <w:t xml:space="preserve"> </w:t>
      </w:r>
      <w:r>
        <w:rPr>
          <w:rFonts w:hint="eastAsia" w:ascii="宋体" w:hAnsi="宋体" w:eastAsia="宋体" w:cs="宋体"/>
          <w:color w:val="auto"/>
          <w:szCs w:val="21"/>
          <w:highlight w:val="none"/>
          <w:u w:val="single"/>
        </w:rPr>
        <w:t xml:space="preserve">                         </w:t>
      </w:r>
    </w:p>
    <w:p w14:paraId="6A43E029">
      <w:pPr>
        <w:shd w:val="clear" w:color="auto" w:fill="auto"/>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单位：元（人民币）</w:t>
      </w:r>
    </w:p>
    <w:tbl>
      <w:tblPr>
        <w:tblStyle w:val="25"/>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6147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noWrap w:val="0"/>
            <w:vAlign w:val="center"/>
          </w:tcPr>
          <w:p w14:paraId="0FCCE4AD">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投标项目名称</w:t>
            </w:r>
          </w:p>
        </w:tc>
        <w:tc>
          <w:tcPr>
            <w:tcW w:w="6185" w:type="dxa"/>
            <w:noWrap w:val="0"/>
            <w:vAlign w:val="center"/>
          </w:tcPr>
          <w:p w14:paraId="2BC496EB">
            <w:pPr>
              <w:shd w:val="clear" w:color="auto" w:fill="auto"/>
              <w:rPr>
                <w:rFonts w:hint="eastAsia" w:ascii="宋体" w:hAnsi="宋体" w:eastAsia="宋体" w:cs="宋体"/>
                <w:color w:val="auto"/>
                <w:szCs w:val="21"/>
                <w:highlight w:val="none"/>
              </w:rPr>
            </w:pPr>
          </w:p>
        </w:tc>
      </w:tr>
      <w:tr w14:paraId="2C6E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noWrap w:val="0"/>
            <w:vAlign w:val="center"/>
          </w:tcPr>
          <w:p w14:paraId="0A0BC431">
            <w:pPr>
              <w:shd w:val="clear" w:color="auto" w:fill="auto"/>
              <w:jc w:val="center"/>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服 务 期</w:t>
            </w:r>
          </w:p>
        </w:tc>
        <w:tc>
          <w:tcPr>
            <w:tcW w:w="6185" w:type="dxa"/>
            <w:noWrap w:val="0"/>
            <w:vAlign w:val="center"/>
          </w:tcPr>
          <w:p w14:paraId="45C5C23C">
            <w:pPr>
              <w:shd w:val="clear" w:color="auto" w:fill="auto"/>
              <w:jc w:val="center"/>
              <w:rPr>
                <w:rFonts w:hint="default" w:ascii="宋体" w:hAnsi="宋体" w:eastAsia="宋体" w:cs="宋体"/>
                <w:color w:val="auto"/>
                <w:szCs w:val="21"/>
                <w:highlight w:val="none"/>
                <w:lang w:val="en-US" w:eastAsia="zh-CN"/>
              </w:rPr>
            </w:pPr>
          </w:p>
        </w:tc>
      </w:tr>
      <w:tr w14:paraId="7921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noWrap w:val="0"/>
            <w:vAlign w:val="center"/>
          </w:tcPr>
          <w:p w14:paraId="579B4836">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投标有效期</w:t>
            </w:r>
          </w:p>
        </w:tc>
        <w:tc>
          <w:tcPr>
            <w:tcW w:w="6185" w:type="dxa"/>
            <w:noWrap w:val="0"/>
            <w:vAlign w:val="center"/>
          </w:tcPr>
          <w:p w14:paraId="54504F71">
            <w:pPr>
              <w:shd w:val="clear" w:color="auto" w:fill="auto"/>
              <w:jc w:val="center"/>
              <w:rPr>
                <w:rFonts w:hint="eastAsia" w:ascii="宋体" w:hAnsi="宋体" w:eastAsia="宋体" w:cs="宋体"/>
                <w:color w:val="auto"/>
                <w:szCs w:val="21"/>
                <w:highlight w:val="none"/>
              </w:rPr>
            </w:pPr>
          </w:p>
        </w:tc>
      </w:tr>
      <w:tr w14:paraId="2EA8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noWrap w:val="0"/>
            <w:vAlign w:val="center"/>
          </w:tcPr>
          <w:p w14:paraId="4FADDDA0">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w:t>
            </w:r>
          </w:p>
          <w:p w14:paraId="32D407C8">
            <w:pPr>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（人民币）</w:t>
            </w:r>
          </w:p>
        </w:tc>
        <w:tc>
          <w:tcPr>
            <w:tcW w:w="974" w:type="dxa"/>
            <w:tcBorders>
              <w:top w:val="single" w:color="auto" w:sz="4" w:space="0"/>
              <w:bottom w:val="single" w:color="auto" w:sz="4" w:space="0"/>
            </w:tcBorders>
            <w:noWrap w:val="0"/>
            <w:vAlign w:val="center"/>
          </w:tcPr>
          <w:p w14:paraId="445A2C01">
            <w:pPr>
              <w:widowControl/>
              <w:shd w:val="clear" w:color="auto" w:fill="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小写</w:t>
            </w:r>
          </w:p>
        </w:tc>
        <w:tc>
          <w:tcPr>
            <w:tcW w:w="6185" w:type="dxa"/>
            <w:noWrap w:val="0"/>
            <w:vAlign w:val="center"/>
          </w:tcPr>
          <w:p w14:paraId="6D46AF7C">
            <w:pPr>
              <w:shd w:val="clear" w:color="auto" w:fill="auto"/>
              <w:jc w:val="center"/>
              <w:rPr>
                <w:rFonts w:hint="eastAsia" w:ascii="宋体" w:hAnsi="宋体" w:eastAsia="宋体" w:cs="宋体"/>
                <w:color w:val="auto"/>
                <w:szCs w:val="21"/>
                <w:highlight w:val="none"/>
              </w:rPr>
            </w:pPr>
          </w:p>
        </w:tc>
      </w:tr>
      <w:tr w14:paraId="7D6C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noWrap w:val="0"/>
            <w:vAlign w:val="center"/>
          </w:tcPr>
          <w:p w14:paraId="6F894480">
            <w:pPr>
              <w:shd w:val="clear" w:color="auto" w:fill="auto"/>
              <w:jc w:val="center"/>
              <w:rPr>
                <w:rFonts w:hint="eastAsia" w:ascii="宋体" w:hAnsi="宋体" w:eastAsia="宋体" w:cs="宋体"/>
                <w:color w:val="auto"/>
                <w:szCs w:val="21"/>
                <w:highlight w:val="none"/>
              </w:rPr>
            </w:pPr>
          </w:p>
        </w:tc>
        <w:tc>
          <w:tcPr>
            <w:tcW w:w="974" w:type="dxa"/>
            <w:tcBorders>
              <w:top w:val="single" w:color="auto" w:sz="4" w:space="0"/>
              <w:bottom w:val="single" w:color="auto" w:sz="4" w:space="0"/>
            </w:tcBorders>
            <w:noWrap w:val="0"/>
            <w:vAlign w:val="center"/>
          </w:tcPr>
          <w:p w14:paraId="39C3D31A">
            <w:pPr>
              <w:widowControl/>
              <w:shd w:val="clear" w:color="auto" w:fill="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大写</w:t>
            </w:r>
          </w:p>
        </w:tc>
        <w:tc>
          <w:tcPr>
            <w:tcW w:w="6185" w:type="dxa"/>
            <w:noWrap w:val="0"/>
            <w:vAlign w:val="center"/>
          </w:tcPr>
          <w:p w14:paraId="0F178FEB">
            <w:pPr>
              <w:shd w:val="clear" w:color="auto" w:fill="auto"/>
              <w:jc w:val="center"/>
              <w:rPr>
                <w:rFonts w:hint="eastAsia" w:ascii="宋体" w:hAnsi="宋体" w:eastAsia="宋体" w:cs="宋体"/>
                <w:color w:val="auto"/>
                <w:szCs w:val="21"/>
                <w:highlight w:val="none"/>
              </w:rPr>
            </w:pPr>
          </w:p>
        </w:tc>
      </w:tr>
    </w:tbl>
    <w:p w14:paraId="572E5550">
      <w:pPr>
        <w:shd w:val="clear" w:color="auto" w:fill="auto"/>
        <w:spacing w:line="500" w:lineRule="exact"/>
        <w:ind w:firstLine="416"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填写说明：</w:t>
      </w:r>
    </w:p>
    <w:p w14:paraId="3FE45681">
      <w:pPr>
        <w:shd w:val="clear" w:color="auto" w:fill="auto"/>
        <w:spacing w:line="500" w:lineRule="exact"/>
        <w:ind w:firstLine="416" w:firstLineChars="196"/>
        <w:rPr>
          <w:rFonts w:hint="eastAsia" w:ascii="宋体" w:hAnsi="宋体" w:eastAsia="宋体" w:cs="宋体"/>
          <w:color w:val="auto"/>
          <w:szCs w:val="21"/>
          <w:highlight w:val="none"/>
        </w:rPr>
      </w:pPr>
      <w:r>
        <w:rPr>
          <w:rFonts w:hint="eastAsia" w:ascii="宋体" w:hAnsi="宋体" w:eastAsia="宋体" w:cs="宋体"/>
          <w:color w:val="auto"/>
          <w:szCs w:val="21"/>
          <w:highlight w:val="none"/>
        </w:rPr>
        <w:t>1.开标时，本表中的内容与投标文件中的投标函、货物</w:t>
      </w:r>
      <w:r>
        <w:rPr>
          <w:rFonts w:hint="eastAsia" w:ascii="宋体" w:hAnsi="宋体" w:eastAsia="宋体" w:cs="宋体"/>
          <w:color w:val="auto"/>
          <w:szCs w:val="21"/>
          <w:highlight w:val="none"/>
          <w:lang w:eastAsia="zh-CN"/>
        </w:rPr>
        <w:t>（服务）</w:t>
      </w:r>
      <w:r>
        <w:rPr>
          <w:rFonts w:hint="eastAsia" w:ascii="宋体" w:hAnsi="宋体" w:eastAsia="宋体" w:cs="宋体"/>
          <w:color w:val="auto"/>
          <w:szCs w:val="21"/>
          <w:highlight w:val="none"/>
        </w:rPr>
        <w:t>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0259F887">
      <w:pPr>
        <w:shd w:val="clear" w:color="auto" w:fill="auto"/>
        <w:spacing w:line="500" w:lineRule="exact"/>
        <w:ind w:firstLine="426"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.投标总价为招标范围所列全部招标项目的报价总和，并应与投标报价明细表及分项价格表保持一致。</w:t>
      </w:r>
    </w:p>
    <w:p w14:paraId="404C8DD4">
      <w:pPr>
        <w:shd w:val="clear" w:color="auto" w:fill="auto"/>
        <w:spacing w:line="500" w:lineRule="exact"/>
        <w:ind w:firstLine="426"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.投标报价不得填报选择性报价。</w:t>
      </w:r>
    </w:p>
    <w:p w14:paraId="6F34547D">
      <w:pPr>
        <w:shd w:val="clear" w:color="auto" w:fill="auto"/>
        <w:spacing w:line="500" w:lineRule="exact"/>
        <w:ind w:firstLine="426"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r>
        <w:rPr>
          <w:rFonts w:hint="eastAsia" w:ascii="宋体" w:hAnsi="宋体" w:eastAsia="宋体" w:cs="宋体"/>
          <w:color w:val="auto"/>
          <w:szCs w:val="21"/>
          <w:highlight w:val="none"/>
          <w:u w:val="single"/>
        </w:rPr>
        <w:t xml:space="preserve">    （加盖公章）     </w:t>
      </w:r>
      <w:r>
        <w:rPr>
          <w:rFonts w:hint="eastAsia" w:ascii="宋体" w:hAnsi="宋体" w:eastAsia="宋体" w:cs="宋体"/>
          <w:color w:val="auto"/>
          <w:szCs w:val="21"/>
          <w:highlight w:val="none"/>
        </w:rPr>
        <w:t xml:space="preserve">       </w:t>
      </w:r>
    </w:p>
    <w:p w14:paraId="74397760">
      <w:pPr>
        <w:shd w:val="clear" w:color="auto" w:fill="auto"/>
        <w:spacing w:line="500" w:lineRule="exact"/>
        <w:ind w:firstLine="426"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法定代表人</w:t>
      </w:r>
      <w:r>
        <w:rPr>
          <w:rFonts w:hint="eastAsia" w:ascii="宋体" w:hAnsi="宋体" w:eastAsia="宋体" w:cs="宋体"/>
          <w:color w:val="auto"/>
          <w:szCs w:val="21"/>
          <w:highlight w:val="none"/>
        </w:rPr>
        <w:t>签字或盖章：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041AFE0C">
      <w:pPr>
        <w:shd w:val="clear" w:color="auto" w:fill="auto"/>
        <w:spacing w:line="500" w:lineRule="exact"/>
        <w:ind w:firstLine="426"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授权代表签字或盖章：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8B8EB7B">
      <w:pPr>
        <w:shd w:val="clear" w:color="auto" w:fill="auto"/>
        <w:spacing w:line="500" w:lineRule="exact"/>
        <w:ind w:firstLine="426"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签署日期：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1B99D46">
      <w:pPr>
        <w:rPr>
          <w:rFonts w:hint="eastAsia" w:ascii="宋体" w:hAnsi="宋体" w:eastAsia="宋体" w:cs="宋体"/>
          <w:b/>
          <w:bCs/>
          <w:color w:val="auto"/>
          <w:sz w:val="24"/>
          <w:highlight w:val="none"/>
          <w:lang w:val="en-US" w:eastAsia="zh-CN"/>
        </w:rPr>
      </w:pPr>
      <w:bookmarkStart w:id="225" w:name="_Toc515647805"/>
      <w:bookmarkStart w:id="226" w:name="_Toc24555"/>
      <w:bookmarkStart w:id="227" w:name="_Toc10321"/>
      <w:bookmarkStart w:id="228" w:name="_Toc17577"/>
      <w:bookmarkStart w:id="229" w:name="_Toc29899"/>
      <w:bookmarkStart w:id="230" w:name="_Toc17199"/>
      <w:bookmarkStart w:id="231" w:name="_Toc4844"/>
    </w:p>
    <w:p w14:paraId="115A7DD2">
      <w:pPr>
        <w:pStyle w:val="33"/>
        <w:rPr>
          <w:rFonts w:hint="eastAsia" w:ascii="宋体" w:hAnsi="宋体" w:eastAsia="宋体" w:cs="宋体"/>
          <w:b/>
          <w:bCs/>
          <w:color w:val="auto"/>
          <w:sz w:val="24"/>
          <w:highlight w:val="none"/>
          <w:lang w:val="en-US" w:eastAsia="zh-CN"/>
        </w:rPr>
      </w:pPr>
    </w:p>
    <w:p w14:paraId="59F02A07">
      <w:pPr>
        <w:pStyle w:val="33"/>
        <w:rPr>
          <w:rFonts w:hint="eastAsia" w:ascii="宋体" w:hAnsi="宋体" w:eastAsia="宋体" w:cs="宋体"/>
          <w:b/>
          <w:bCs/>
          <w:color w:val="auto"/>
          <w:sz w:val="24"/>
          <w:highlight w:val="none"/>
          <w:lang w:val="en-US" w:eastAsia="zh-CN"/>
        </w:rPr>
      </w:pPr>
    </w:p>
    <w:p w14:paraId="24CF03BE">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jc w:val="both"/>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2、</w:t>
      </w:r>
      <w:bookmarkEnd w:id="225"/>
      <w:bookmarkEnd w:id="226"/>
      <w:bookmarkEnd w:id="227"/>
      <w:bookmarkEnd w:id="228"/>
      <w:bookmarkEnd w:id="229"/>
      <w:bookmarkEnd w:id="230"/>
      <w:bookmarkEnd w:id="231"/>
      <w:r>
        <w:rPr>
          <w:rFonts w:hint="eastAsia" w:ascii="宋体" w:hAnsi="宋体" w:eastAsia="宋体" w:cs="宋体"/>
          <w:b/>
          <w:bCs/>
          <w:color w:val="auto"/>
          <w:sz w:val="24"/>
          <w:highlight w:val="none"/>
          <w:lang w:val="en-US" w:eastAsia="zh-CN"/>
        </w:rPr>
        <w:t>具备三证合一营业执照副本；</w:t>
      </w:r>
    </w:p>
    <w:p w14:paraId="08EE20BA">
      <w:pPr>
        <w:pStyle w:val="12"/>
        <w:pageBreakBefore w:val="0"/>
        <w:widowControl w:val="0"/>
        <w:shd w:val="clear" w:color="auto" w:fill="auto"/>
        <w:tabs>
          <w:tab w:val="left" w:pos="5580"/>
        </w:tabs>
        <w:kinsoku/>
        <w:wordWrap/>
        <w:overflowPunct/>
        <w:topLinePunct w:val="0"/>
        <w:autoSpaceDE/>
        <w:autoSpaceDN/>
        <w:bidi w:val="0"/>
        <w:snapToGrid/>
        <w:spacing w:line="400" w:lineRule="exact"/>
        <w:rPr>
          <w:rFonts w:hint="eastAsia" w:ascii="宋体" w:hAnsi="宋体" w:eastAsia="宋体" w:cs="宋体"/>
          <w:b/>
          <w:color w:val="auto"/>
          <w:sz w:val="24"/>
          <w:highlight w:val="none"/>
        </w:rPr>
      </w:pPr>
    </w:p>
    <w:p w14:paraId="2B2417CC">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说明：1.提供有效的</w:t>
      </w:r>
      <w:r>
        <w:rPr>
          <w:rFonts w:hint="eastAsia" w:ascii="宋体" w:hAnsi="宋体" w:eastAsia="宋体" w:cs="宋体"/>
          <w:color w:val="auto"/>
          <w:sz w:val="24"/>
          <w:highlight w:val="none"/>
          <w:lang w:val="en-US" w:eastAsia="zh-CN"/>
        </w:rPr>
        <w:t>三证合一营业执照副本</w:t>
      </w:r>
      <w:r>
        <w:rPr>
          <w:rFonts w:hint="eastAsia" w:ascii="宋体" w:hAnsi="宋体" w:eastAsia="宋体" w:cs="宋体"/>
          <w:color w:val="auto"/>
          <w:sz w:val="24"/>
          <w:highlight w:val="none"/>
        </w:rPr>
        <w:t>加盖本单位章。</w:t>
      </w:r>
    </w:p>
    <w:p w14:paraId="26132A2E">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2. 投标人为自然人的，应提供身份证明的复印件。</w:t>
      </w:r>
    </w:p>
    <w:p w14:paraId="31666248">
      <w:pPr>
        <w:pStyle w:val="12"/>
        <w:pageBreakBefore w:val="0"/>
        <w:widowControl w:val="0"/>
        <w:shd w:val="clear" w:color="auto" w:fill="auto"/>
        <w:tabs>
          <w:tab w:val="left" w:pos="5580"/>
        </w:tabs>
        <w:kinsoku/>
        <w:wordWrap/>
        <w:overflowPunct/>
        <w:topLinePunct w:val="0"/>
        <w:autoSpaceDE/>
        <w:autoSpaceDN/>
        <w:bidi w:val="0"/>
        <w:snapToGrid/>
        <w:spacing w:line="400" w:lineRule="exac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3.</w:t>
      </w:r>
      <w:r>
        <w:rPr>
          <w:rFonts w:hint="eastAsia" w:hAnsi="宋体" w:eastAsia="宋体" w:cs="宋体"/>
          <w:color w:val="auto"/>
          <w:sz w:val="24"/>
          <w:highlight w:val="none"/>
          <w:lang w:val="en-US" w:eastAsia="zh-CN"/>
        </w:rPr>
        <w:t>如</w:t>
      </w:r>
      <w:r>
        <w:rPr>
          <w:rFonts w:hint="eastAsia" w:ascii="宋体" w:hAnsi="宋体" w:eastAsia="宋体" w:cs="宋体"/>
          <w:color w:val="auto"/>
          <w:sz w:val="24"/>
          <w:highlight w:val="none"/>
        </w:rPr>
        <w:t>联合体投标应提供联合体各方满足以上要求的证明文件。</w:t>
      </w:r>
    </w:p>
    <w:p w14:paraId="75BC41C3">
      <w:pPr>
        <w:rPr>
          <w:rFonts w:hint="eastAsia" w:ascii="宋体" w:hAnsi="宋体" w:eastAsia="宋体" w:cs="宋体"/>
          <w:b/>
          <w:bCs/>
          <w:color w:val="auto"/>
          <w:sz w:val="24"/>
          <w:highlight w:val="none"/>
          <w:lang w:val="en-US" w:eastAsia="zh-CN"/>
        </w:rPr>
      </w:pPr>
    </w:p>
    <w:p w14:paraId="4342A079">
      <w:pPr>
        <w:ind w:firstLine="486"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 、法定代表人资格证明书（见投标文件格式二）</w:t>
      </w:r>
    </w:p>
    <w:p w14:paraId="1ADE79F8">
      <w:pPr>
        <w:adjustRightInd w:val="0"/>
        <w:snapToGrid w:val="0"/>
        <w:spacing w:before="325" w:beforeLines="100" w:after="325" w:afterLines="100" w:line="500" w:lineRule="exact"/>
        <w:rPr>
          <w:rFonts w:ascii="宋体" w:hAnsi="宋体"/>
          <w:sz w:val="24"/>
        </w:rPr>
      </w:pPr>
      <w:r>
        <w:rPr>
          <w:rFonts w:hint="eastAsia" w:ascii="宋体" w:hAnsi="宋体"/>
          <w:sz w:val="24"/>
        </w:rPr>
        <w:t>致：</w:t>
      </w:r>
    </w:p>
    <w:p w14:paraId="6789073C">
      <w:pPr>
        <w:spacing w:line="500" w:lineRule="exact"/>
        <w:rPr>
          <w:rFonts w:ascii="宋体" w:hAnsi="宋体"/>
          <w:sz w:val="24"/>
        </w:rPr>
      </w:pP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同志，现任我单位</w:t>
      </w:r>
      <w:r>
        <w:rPr>
          <w:rFonts w:hint="eastAsia" w:ascii="宋体" w:hAnsi="宋体"/>
          <w:sz w:val="24"/>
          <w:u w:val="single"/>
        </w:rPr>
        <w:t xml:space="preserve">          </w:t>
      </w:r>
      <w:r>
        <w:rPr>
          <w:rFonts w:hint="eastAsia" w:ascii="宋体" w:hAnsi="宋体"/>
          <w:sz w:val="24"/>
        </w:rPr>
        <w:t>职务，为法定代表人，特此证明。</w:t>
      </w:r>
    </w:p>
    <w:p w14:paraId="7CE63D64">
      <w:pPr>
        <w:spacing w:line="500" w:lineRule="exact"/>
        <w:ind w:firstLine="243" w:firstLineChars="100"/>
        <w:rPr>
          <w:rFonts w:ascii="宋体" w:hAnsi="宋体"/>
          <w:sz w:val="24"/>
        </w:rPr>
      </w:pPr>
      <w:r>
        <w:rPr>
          <w:rFonts w:hint="eastAsia" w:ascii="宋体" w:hAnsi="宋体"/>
          <w:sz w:val="24"/>
        </w:rPr>
        <w:t xml:space="preserve">单位：           </w:t>
      </w:r>
    </w:p>
    <w:p w14:paraId="40A50CD7">
      <w:pPr>
        <w:spacing w:line="500" w:lineRule="exact"/>
        <w:ind w:firstLine="243" w:firstLineChars="100"/>
        <w:rPr>
          <w:rFonts w:ascii="宋体" w:hAnsi="宋体"/>
          <w:sz w:val="24"/>
        </w:rPr>
      </w:pPr>
      <w:r>
        <w:rPr>
          <w:rFonts w:hint="eastAsia" w:ascii="宋体" w:hAnsi="宋体"/>
          <w:sz w:val="24"/>
        </w:rPr>
        <w:t>附：代表人性别：            年龄：           身份证号码：</w:t>
      </w:r>
    </w:p>
    <w:p w14:paraId="717D8AE7">
      <w:pPr>
        <w:spacing w:line="500" w:lineRule="exact"/>
        <w:ind w:firstLine="243" w:firstLineChars="100"/>
        <w:rPr>
          <w:rFonts w:ascii="宋体" w:hAnsi="宋体"/>
          <w:sz w:val="24"/>
        </w:rPr>
      </w:pPr>
      <w:r>
        <w:rPr>
          <w:rFonts w:hint="eastAsia" w:ascii="宋体" w:hAnsi="宋体"/>
          <w:sz w:val="24"/>
        </w:rPr>
        <w:t>联系电话：</w:t>
      </w:r>
    </w:p>
    <w:p w14:paraId="29157F85">
      <w:pPr>
        <w:spacing w:line="500" w:lineRule="exact"/>
        <w:ind w:firstLine="243" w:firstLineChars="100"/>
        <w:rPr>
          <w:rFonts w:ascii="宋体" w:hAnsi="宋体"/>
          <w:sz w:val="24"/>
        </w:rPr>
      </w:pPr>
      <w:r>
        <w:rPr>
          <w:rFonts w:hint="eastAsia" w:ascii="宋体" w:hAnsi="宋体"/>
          <w:sz w:val="24"/>
        </w:rPr>
        <w:t>营业执照号码：              经济性质：</w:t>
      </w:r>
    </w:p>
    <w:p w14:paraId="70C1C403">
      <w:pPr>
        <w:spacing w:line="500" w:lineRule="exact"/>
        <w:rPr>
          <w:rFonts w:ascii="宋体" w:hAnsi="宋体"/>
          <w:sz w:val="24"/>
        </w:rPr>
      </w:pPr>
      <w:r>
        <w:rPr>
          <w:rFonts w:hint="eastAsia" w:ascii="宋体" w:hAnsi="宋体"/>
          <w:sz w:val="24"/>
        </w:rPr>
        <w:t>说明：</w:t>
      </w:r>
    </w:p>
    <w:p w14:paraId="6D5A3907">
      <w:pPr>
        <w:spacing w:line="500" w:lineRule="exact"/>
        <w:ind w:firstLine="243" w:firstLineChars="100"/>
        <w:rPr>
          <w:rFonts w:ascii="宋体" w:hAnsi="宋体"/>
          <w:sz w:val="24"/>
        </w:rPr>
      </w:pPr>
      <w:r>
        <w:rPr>
          <w:rFonts w:hint="eastAsia" w:ascii="宋体" w:hAnsi="宋体"/>
          <w:sz w:val="24"/>
        </w:rPr>
        <w:t>1、法定代表人为企业事业单位、国家机关、社会团体的主要行政</w:t>
      </w:r>
      <w:r>
        <w:rPr>
          <w:rFonts w:hint="eastAsia" w:ascii="宋体" w:hAnsi="宋体"/>
          <w:sz w:val="24"/>
          <w:lang w:eastAsia="zh-CN"/>
        </w:rPr>
        <w:t>法定代表人</w:t>
      </w:r>
      <w:r>
        <w:rPr>
          <w:rFonts w:hint="eastAsia" w:ascii="宋体" w:hAnsi="宋体"/>
          <w:sz w:val="24"/>
        </w:rPr>
        <w:t>。</w:t>
      </w:r>
    </w:p>
    <w:p w14:paraId="79DF6A20">
      <w:pPr>
        <w:spacing w:line="500" w:lineRule="exact"/>
        <w:rPr>
          <w:rFonts w:ascii="宋体" w:hAnsi="宋体"/>
          <w:sz w:val="24"/>
        </w:rPr>
      </w:pPr>
      <w:r>
        <w:rPr>
          <w:rFonts w:hint="eastAsia" w:ascii="宋体" w:hAnsi="宋体"/>
          <w:sz w:val="24"/>
        </w:rPr>
        <w:t xml:space="preserve">  2、内容必须填写真实、清楚、涂改无效，不得转让。</w:t>
      </w:r>
    </w:p>
    <w:p w14:paraId="162E57D9">
      <w:pPr>
        <w:spacing w:line="500" w:lineRule="exact"/>
        <w:rPr>
          <w:rFonts w:ascii="宋体" w:hAnsi="宋体"/>
          <w:sz w:val="24"/>
        </w:rPr>
      </w:pPr>
    </w:p>
    <w:p w14:paraId="03D1AEDD">
      <w:pPr>
        <w:spacing w:line="500" w:lineRule="exact"/>
        <w:rPr>
          <w:rFonts w:ascii="宋体" w:hAnsi="宋体"/>
          <w:sz w:val="24"/>
        </w:rPr>
      </w:pPr>
      <w:r>
        <w:rPr>
          <w:rFonts w:hint="eastAsia" w:ascii="宋体" w:hAnsi="宋体"/>
          <w:sz w:val="24"/>
        </w:rPr>
        <mc:AlternateContent>
          <mc:Choice Requires="wps">
            <w:drawing>
              <wp:anchor distT="0" distB="0" distL="0" distR="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026" name="流程图: 可选过程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3A31150">
                            <w:pPr>
                              <w:jc w:val="center"/>
                              <w:rPr>
                                <w:rFonts w:hAnsi="宋体"/>
                                <w:szCs w:val="21"/>
                              </w:rPr>
                            </w:pPr>
                          </w:p>
                          <w:p w14:paraId="680CD57A">
                            <w:pPr>
                              <w:jc w:val="center"/>
                              <w:rPr>
                                <w:rFonts w:hAnsi="宋体"/>
                                <w:szCs w:val="21"/>
                              </w:rPr>
                            </w:pPr>
                          </w:p>
                          <w:p w14:paraId="7339CBAD">
                            <w:pPr>
                              <w:jc w:val="center"/>
                              <w:rPr>
                                <w:rFonts w:hAnsi="宋体"/>
                                <w:szCs w:val="21"/>
                              </w:rPr>
                            </w:pPr>
                          </w:p>
                          <w:p w14:paraId="5A4A65B7">
                            <w:pPr>
                              <w:jc w:val="center"/>
                              <w:rPr>
                                <w:szCs w:val="21"/>
                              </w:rPr>
                            </w:pPr>
                            <w:r>
                              <w:rPr>
                                <w:rFonts w:hint="eastAsia" w:hAnsi="宋体"/>
                                <w:szCs w:val="21"/>
                              </w:rPr>
                              <w:t>法定代表人身份证复印件</w:t>
                            </w:r>
                          </w:p>
                        </w:txbxContent>
                      </wps:txbx>
                      <wps:bodyPr vert="horz" wrap="square" anchor="t" anchorCtr="0" upright="1"/>
                    </wps:wsp>
                  </a:graphicData>
                </a:graphic>
              </wp:anchor>
            </w:drawing>
          </mc:Choice>
          <mc:Fallback>
            <w:pict>
              <v:shape id="流程图: 可选过程 9"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FwXx41gAAAAgBAAAPAAAAAAAA&#10;AAEAIAAAACIAAABkcnMvZG93bnJldi54bWxQSwECFAAUAAAACACHTuJA120qMU0CAACUBAAADgAA&#10;AAAAAAABACAAAAAlAQAAZHJzL2Uyb0RvYy54bWxQSwUGAAAAAAYABgBZAQAA5AUAAAAA&#10;">
                <v:fill on="t" focussize="0,0"/>
                <v:stroke color="#000000" joinstyle="miter"/>
                <v:imagedata o:title=""/>
                <o:lock v:ext="edit" aspectratio="f"/>
                <v:textbox>
                  <w:txbxContent>
                    <w:p w14:paraId="13A31150">
                      <w:pPr>
                        <w:jc w:val="center"/>
                        <w:rPr>
                          <w:rFonts w:hAnsi="宋体"/>
                          <w:szCs w:val="21"/>
                        </w:rPr>
                      </w:pPr>
                    </w:p>
                    <w:p w14:paraId="680CD57A">
                      <w:pPr>
                        <w:jc w:val="center"/>
                        <w:rPr>
                          <w:rFonts w:hAnsi="宋体"/>
                          <w:szCs w:val="21"/>
                        </w:rPr>
                      </w:pPr>
                    </w:p>
                    <w:p w14:paraId="7339CBAD">
                      <w:pPr>
                        <w:jc w:val="center"/>
                        <w:rPr>
                          <w:rFonts w:hAnsi="宋体"/>
                          <w:szCs w:val="21"/>
                        </w:rPr>
                      </w:pPr>
                    </w:p>
                    <w:p w14:paraId="5A4A65B7">
                      <w:pPr>
                        <w:jc w:val="center"/>
                        <w:rPr>
                          <w:szCs w:val="21"/>
                        </w:rPr>
                      </w:pPr>
                      <w:r>
                        <w:rPr>
                          <w:rFonts w:hint="eastAsia" w:hAnsi="宋体"/>
                          <w:szCs w:val="21"/>
                        </w:rPr>
                        <w:t>法定代表人身份证复印件</w:t>
                      </w:r>
                    </w:p>
                  </w:txbxContent>
                </v:textbox>
              </v:shape>
            </w:pict>
          </mc:Fallback>
        </mc:AlternateContent>
      </w:r>
      <w:r>
        <w:rPr>
          <w:rFonts w:hint="eastAsia" w:ascii="宋体" w:hAnsi="宋体"/>
          <w:sz w:val="24"/>
        </w:rPr>
        <mc:AlternateContent>
          <mc:Choice Requires="wps">
            <w:drawing>
              <wp:anchor distT="0" distB="0" distL="0" distR="0" simplePos="0" relativeHeight="251660288"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027" name="流程图: 可选过程 11"/>
                <wp:cNvGraphicFramePr/>
                <a:graphic xmlns:a="http://schemas.openxmlformats.org/drawingml/2006/main">
                  <a:graphicData uri="http://schemas.microsoft.com/office/word/2010/wordprocessingShape">
                    <wps:wsp>
                      <wps:cNvSpPr/>
                      <wps:spPr>
                        <a:xfrm>
                          <a:off x="0" y="0"/>
                          <a:ext cx="2333624"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A04BD73">
                            <w:pPr>
                              <w:jc w:val="center"/>
                              <w:rPr>
                                <w:rFonts w:hAnsi="宋体"/>
                                <w:szCs w:val="21"/>
                              </w:rPr>
                            </w:pPr>
                          </w:p>
                          <w:p w14:paraId="07399265">
                            <w:pPr>
                              <w:jc w:val="center"/>
                              <w:rPr>
                                <w:rFonts w:hAnsi="宋体"/>
                                <w:szCs w:val="21"/>
                              </w:rPr>
                            </w:pPr>
                          </w:p>
                          <w:p w14:paraId="1975FDDE">
                            <w:pPr>
                              <w:jc w:val="center"/>
                              <w:rPr>
                                <w:rFonts w:hAnsi="宋体"/>
                                <w:szCs w:val="21"/>
                              </w:rPr>
                            </w:pPr>
                          </w:p>
                          <w:p w14:paraId="6933A8F6">
                            <w:pPr>
                              <w:jc w:val="center"/>
                              <w:rPr>
                                <w:szCs w:val="21"/>
                              </w:rPr>
                            </w:pPr>
                            <w:r>
                              <w:rPr>
                                <w:rFonts w:hint="eastAsia" w:hAnsi="宋体"/>
                                <w:szCs w:val="21"/>
                              </w:rPr>
                              <w:t>法定代表人身份证复印件</w:t>
                            </w:r>
                          </w:p>
                        </w:txbxContent>
                      </wps:txbx>
                      <wps:bodyPr vert="horz" wrap="square" anchor="t" anchorCtr="0" upright="1"/>
                    </wps:wsp>
                  </a:graphicData>
                </a:graphic>
              </wp:anchor>
            </w:drawing>
          </mc:Choice>
          <mc:Fallback>
            <w:pict>
              <v:shape id="流程图: 可选过程 11" o:spid="_x0000_s1026" o:spt="176" type="#_x0000_t176" style="position:absolute;left:0pt;margin-left:254.05pt;margin-top:2.7pt;height:124.75pt;width:183.75pt;z-index:251660288;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oTxGHYAAAACQEAAA8A&#10;AAAAAAAAAQAgAAAAIgAAAGRycy9kb3ducmV2LnhtbFBLAQIUABQAAAAIAIdO4kDRHjbBUAIAAJUE&#10;AAAOAAAAAAAAAAEAIAAAACcBAABkcnMvZTJvRG9jLnhtbFBLBQYAAAAABgAGAFkBAADpBQAAAAA=&#10;">
                <v:fill on="t" focussize="0,0"/>
                <v:stroke color="#000000" joinstyle="miter"/>
                <v:imagedata o:title=""/>
                <o:lock v:ext="edit" aspectratio="f"/>
                <v:textbox>
                  <w:txbxContent>
                    <w:p w14:paraId="3A04BD73">
                      <w:pPr>
                        <w:jc w:val="center"/>
                        <w:rPr>
                          <w:rFonts w:hAnsi="宋体"/>
                          <w:szCs w:val="21"/>
                        </w:rPr>
                      </w:pPr>
                    </w:p>
                    <w:p w14:paraId="07399265">
                      <w:pPr>
                        <w:jc w:val="center"/>
                        <w:rPr>
                          <w:rFonts w:hAnsi="宋体"/>
                          <w:szCs w:val="21"/>
                        </w:rPr>
                      </w:pPr>
                    </w:p>
                    <w:p w14:paraId="1975FDDE">
                      <w:pPr>
                        <w:jc w:val="center"/>
                        <w:rPr>
                          <w:rFonts w:hAnsi="宋体"/>
                          <w:szCs w:val="21"/>
                        </w:rPr>
                      </w:pPr>
                    </w:p>
                    <w:p w14:paraId="6933A8F6">
                      <w:pPr>
                        <w:jc w:val="center"/>
                        <w:rPr>
                          <w:szCs w:val="21"/>
                        </w:rPr>
                      </w:pPr>
                      <w:r>
                        <w:rPr>
                          <w:rFonts w:hint="eastAsia" w:hAnsi="宋体"/>
                          <w:szCs w:val="21"/>
                        </w:rPr>
                        <w:t>法定代表人身份证复印件</w:t>
                      </w:r>
                    </w:p>
                  </w:txbxContent>
                </v:textbox>
              </v:shape>
            </w:pict>
          </mc:Fallback>
        </mc:AlternateContent>
      </w:r>
    </w:p>
    <w:p w14:paraId="435E619C">
      <w:pPr>
        <w:spacing w:line="500" w:lineRule="exact"/>
        <w:rPr>
          <w:rFonts w:ascii="宋体" w:hAnsi="宋体"/>
          <w:sz w:val="24"/>
        </w:rPr>
      </w:pPr>
    </w:p>
    <w:p w14:paraId="44856B65">
      <w:pPr>
        <w:spacing w:line="500" w:lineRule="exact"/>
        <w:rPr>
          <w:rFonts w:ascii="宋体" w:hAnsi="宋体"/>
          <w:sz w:val="24"/>
        </w:rPr>
      </w:pPr>
    </w:p>
    <w:p w14:paraId="22774DD3">
      <w:pPr>
        <w:tabs>
          <w:tab w:val="left" w:pos="654"/>
          <w:tab w:val="left" w:pos="1734"/>
          <w:tab w:val="left" w:pos="2814"/>
          <w:tab w:val="left" w:pos="3894"/>
          <w:tab w:val="left" w:pos="5334"/>
          <w:tab w:val="left" w:pos="6414"/>
          <w:tab w:val="left" w:pos="7254"/>
          <w:tab w:val="left" w:pos="8574"/>
          <w:tab w:val="left" w:pos="9654"/>
        </w:tabs>
        <w:spacing w:line="500" w:lineRule="exact"/>
        <w:rPr>
          <w:rFonts w:ascii="宋体" w:hAnsi="宋体"/>
          <w:sz w:val="24"/>
        </w:rPr>
      </w:pPr>
    </w:p>
    <w:p w14:paraId="0C10364B">
      <w:pPr>
        <w:spacing w:line="500" w:lineRule="exact"/>
        <w:jc w:val="center"/>
        <w:rPr>
          <w:rFonts w:ascii="宋体" w:hAnsi="宋体"/>
          <w:sz w:val="24"/>
        </w:rPr>
      </w:pPr>
    </w:p>
    <w:p w14:paraId="486D4C2F">
      <w:pPr>
        <w:autoSpaceDE w:val="0"/>
        <w:autoSpaceDN w:val="0"/>
        <w:adjustRightInd w:val="0"/>
        <w:spacing w:line="500" w:lineRule="exact"/>
        <w:ind w:right="246" w:firstLine="793" w:firstLineChars="327"/>
        <w:rPr>
          <w:rFonts w:ascii="宋体" w:hAnsi="宋体"/>
          <w:kern w:val="0"/>
          <w:sz w:val="24"/>
        </w:rPr>
      </w:pPr>
    </w:p>
    <w:p w14:paraId="5C133B5D">
      <w:pPr>
        <w:pStyle w:val="12"/>
        <w:tabs>
          <w:tab w:val="left" w:pos="5580"/>
        </w:tabs>
        <w:spacing w:line="360" w:lineRule="auto"/>
        <w:ind w:firstLine="486" w:firstLineChars="200"/>
        <w:rPr>
          <w:rFonts w:hAnsi="宋体"/>
          <w:sz w:val="24"/>
          <w:u w:val="single"/>
        </w:rPr>
      </w:pPr>
      <w:r>
        <w:rPr>
          <w:rFonts w:hint="eastAsia" w:hAnsi="宋体"/>
          <w:sz w:val="24"/>
        </w:rPr>
        <w:t>投标人（盖单位章）;</w:t>
      </w:r>
      <w:r>
        <w:rPr>
          <w:rFonts w:hint="eastAsia" w:hAnsi="宋体"/>
          <w:sz w:val="24"/>
          <w:u w:val="single"/>
        </w:rPr>
        <w:t xml:space="preserve">                           </w:t>
      </w:r>
    </w:p>
    <w:p w14:paraId="317B2860">
      <w:pPr>
        <w:pStyle w:val="12"/>
        <w:tabs>
          <w:tab w:val="left" w:pos="5580"/>
        </w:tabs>
        <w:spacing w:line="360" w:lineRule="auto"/>
        <w:ind w:firstLine="486" w:firstLineChars="200"/>
        <w:rPr>
          <w:rFonts w:hAnsi="宋体"/>
          <w:sz w:val="24"/>
        </w:rPr>
      </w:pPr>
      <w:r>
        <w:rPr>
          <w:rFonts w:hint="eastAsia" w:hAnsi="宋体"/>
          <w:sz w:val="24"/>
        </w:rPr>
        <w:t>法定代表人（签字或签章）：</w:t>
      </w:r>
      <w:r>
        <w:rPr>
          <w:rFonts w:hint="eastAsia" w:hAnsi="宋体"/>
          <w:sz w:val="24"/>
          <w:u w:val="single"/>
        </w:rPr>
        <w:t xml:space="preserve">                     </w:t>
      </w:r>
    </w:p>
    <w:p w14:paraId="17BAF822">
      <w:pPr>
        <w:spacing w:line="360" w:lineRule="auto"/>
        <w:ind w:firstLine="486" w:firstLineChars="200"/>
        <w:jc w:val="left"/>
        <w:rPr>
          <w:rFonts w:hint="eastAsia" w:ascii="宋体" w:hAnsi="宋体"/>
          <w:sz w:val="24"/>
          <w:szCs w:val="20"/>
        </w:rPr>
      </w:pPr>
      <w:r>
        <w:rPr>
          <w:rFonts w:hint="eastAsia" w:ascii="宋体" w:hAnsi="宋体"/>
          <w:sz w:val="24"/>
          <w:szCs w:val="20"/>
        </w:rPr>
        <w:t xml:space="preserve">年   月   日 </w:t>
      </w:r>
    </w:p>
    <w:p w14:paraId="4DD9FD96">
      <w:pPr>
        <w:spacing w:line="360" w:lineRule="auto"/>
        <w:ind w:firstLine="486" w:firstLineChars="200"/>
        <w:jc w:val="left"/>
        <w:rPr>
          <w:rFonts w:hint="eastAsia" w:ascii="宋体" w:hAnsi="宋体"/>
          <w:sz w:val="24"/>
          <w:szCs w:val="20"/>
        </w:rPr>
      </w:pPr>
    </w:p>
    <w:p w14:paraId="42BE698C">
      <w:pPr>
        <w:pStyle w:val="3"/>
        <w:numPr>
          <w:ilvl w:val="0"/>
          <w:numId w:val="0"/>
        </w:numPr>
        <w:spacing w:before="0" w:line="240" w:lineRule="atLeast"/>
        <w:ind w:left="431" w:leftChars="0"/>
        <w:rPr>
          <w:rFonts w:hint="eastAsia" w:ascii="宋体" w:hAnsi="宋体" w:eastAsia="宋体" w:cs="宋体"/>
          <w:b/>
          <w:bCs/>
          <w:color w:val="auto"/>
          <w:kern w:val="2"/>
          <w:sz w:val="24"/>
          <w:szCs w:val="24"/>
          <w:highlight w:val="none"/>
          <w:lang w:val="en-US" w:eastAsia="zh-CN" w:bidi="ar-SA"/>
        </w:rPr>
      </w:pPr>
    </w:p>
    <w:p w14:paraId="4BEEA3BC">
      <w:pPr>
        <w:pStyle w:val="3"/>
        <w:numPr>
          <w:ilvl w:val="0"/>
          <w:numId w:val="0"/>
        </w:numPr>
        <w:spacing w:before="0" w:line="240" w:lineRule="atLeast"/>
        <w:ind w:left="431" w:leftChars="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4 、法定代表人授权委托书(投标文件格式三)</w:t>
      </w:r>
    </w:p>
    <w:p w14:paraId="15757744">
      <w:pPr>
        <w:pStyle w:val="12"/>
        <w:spacing w:line="240" w:lineRule="atLeast"/>
        <w:ind w:left="1087" w:leftChars="257" w:hanging="540"/>
        <w:rPr>
          <w:rFonts w:hAnsi="宋体"/>
          <w:sz w:val="24"/>
        </w:rPr>
      </w:pPr>
      <w:r>
        <w:rPr>
          <w:rFonts w:hint="eastAsia" w:hAnsi="宋体"/>
          <w:sz w:val="24"/>
          <w:u w:val="single"/>
        </w:rPr>
        <w:cr/>
      </w:r>
    </w:p>
    <w:p w14:paraId="1FBC62A1">
      <w:pPr>
        <w:pStyle w:val="12"/>
        <w:tabs>
          <w:tab w:val="left" w:pos="5580"/>
        </w:tabs>
        <w:spacing w:line="360" w:lineRule="auto"/>
        <w:rPr>
          <w:rFonts w:hAnsi="宋体"/>
          <w:sz w:val="24"/>
        </w:rPr>
      </w:pPr>
      <w:r>
        <w:rPr>
          <w:rFonts w:hint="eastAsia" w:hAnsi="宋体"/>
          <w:sz w:val="24"/>
        </w:rPr>
        <w:t xml:space="preserve">    本授权书声明：注册于</w:t>
      </w:r>
      <w:r>
        <w:rPr>
          <w:rFonts w:hint="eastAsia" w:hAnsi="宋体"/>
          <w:sz w:val="24"/>
          <w:u w:val="single"/>
        </w:rPr>
        <w:t>（国家或地区的名称）</w:t>
      </w:r>
      <w:r>
        <w:rPr>
          <w:rFonts w:hint="eastAsia" w:hAnsi="宋体"/>
          <w:sz w:val="24"/>
        </w:rPr>
        <w:t>的（</w:t>
      </w:r>
      <w:r>
        <w:rPr>
          <w:rFonts w:hint="eastAsia" w:hAnsi="宋体"/>
          <w:i/>
          <w:sz w:val="24"/>
          <w:u w:val="single"/>
        </w:rPr>
        <w:t>投标人</w:t>
      </w:r>
      <w:r>
        <w:rPr>
          <w:rFonts w:hint="eastAsia" w:hAnsi="宋体"/>
          <w:sz w:val="24"/>
        </w:rPr>
        <w:t>）的在下面签字的（</w:t>
      </w:r>
      <w:r>
        <w:rPr>
          <w:rFonts w:hint="eastAsia" w:hAnsi="宋体"/>
          <w:i/>
          <w:sz w:val="24"/>
          <w:u w:val="single"/>
        </w:rPr>
        <w:t>法人代表姓名、职务</w:t>
      </w:r>
      <w:r>
        <w:rPr>
          <w:rFonts w:hint="eastAsia" w:hAnsi="宋体"/>
          <w:sz w:val="24"/>
        </w:rPr>
        <w:t>）代表我单位授权（</w:t>
      </w:r>
      <w:r>
        <w:rPr>
          <w:rFonts w:hint="eastAsia" w:hAnsi="宋体"/>
          <w:i/>
          <w:sz w:val="24"/>
          <w:u w:val="single"/>
        </w:rPr>
        <w:t>单位名称</w:t>
      </w:r>
      <w:r>
        <w:rPr>
          <w:rFonts w:hint="eastAsia" w:hAnsi="宋体"/>
          <w:sz w:val="24"/>
        </w:rPr>
        <w:t>）的在下面签字的（</w:t>
      </w:r>
      <w:r>
        <w:rPr>
          <w:rFonts w:hint="eastAsia" w:hAnsi="宋体"/>
          <w:i/>
          <w:sz w:val="24"/>
          <w:u w:val="single"/>
        </w:rPr>
        <w:t>被授权人的姓名、职务</w:t>
      </w:r>
      <w:r>
        <w:rPr>
          <w:rFonts w:hint="eastAsia" w:hAnsi="宋体"/>
          <w:sz w:val="24"/>
        </w:rPr>
        <w:t>）为我单位的合法代理人，就（</w:t>
      </w:r>
      <w:r>
        <w:rPr>
          <w:rFonts w:hint="eastAsia" w:hAnsi="宋体"/>
          <w:i/>
          <w:sz w:val="24"/>
          <w:u w:val="single"/>
        </w:rPr>
        <w:t>项目名称</w:t>
      </w:r>
      <w:r>
        <w:rPr>
          <w:rFonts w:hint="eastAsia" w:hAnsi="宋体"/>
          <w:sz w:val="24"/>
        </w:rPr>
        <w:t>）投标，以我单位名义处理一切与之有关的事务。</w:t>
      </w:r>
      <w:r>
        <w:rPr>
          <w:rFonts w:hint="eastAsia" w:hAnsi="宋体"/>
          <w:sz w:val="24"/>
        </w:rPr>
        <w:cr/>
      </w:r>
      <w:r>
        <w:rPr>
          <w:rFonts w:hint="eastAsia" w:hAnsi="宋体"/>
          <w:sz w:val="24"/>
        </w:rPr>
        <w:t>　　本授权书于</w:t>
      </w:r>
      <w:r>
        <w:rPr>
          <w:rFonts w:hint="eastAsia" w:hAnsi="宋体"/>
          <w:sz w:val="24"/>
          <w:u w:val="single"/>
        </w:rPr>
        <w:t xml:space="preserve">           </w:t>
      </w:r>
      <w:r>
        <w:rPr>
          <w:rFonts w:hint="eastAsia" w:hAnsi="宋体"/>
          <w:sz w:val="24"/>
        </w:rPr>
        <w:t>年</w:t>
      </w:r>
      <w:r>
        <w:rPr>
          <w:rFonts w:hint="eastAsia" w:hAnsi="宋体"/>
          <w:sz w:val="24"/>
          <w:u w:val="single"/>
        </w:rPr>
        <w:t xml:space="preserve">     </w:t>
      </w:r>
      <w:r>
        <w:rPr>
          <w:rFonts w:hint="eastAsia" w:hAnsi="宋体"/>
          <w:sz w:val="24"/>
        </w:rPr>
        <w:t>月</w:t>
      </w:r>
      <w:r>
        <w:rPr>
          <w:rFonts w:hint="eastAsia" w:hAnsi="宋体"/>
          <w:sz w:val="24"/>
          <w:u w:val="single"/>
        </w:rPr>
        <w:t xml:space="preserve">     </w:t>
      </w:r>
      <w:r>
        <w:rPr>
          <w:rFonts w:hint="eastAsia" w:hAnsi="宋体"/>
          <w:sz w:val="24"/>
        </w:rPr>
        <w:t>日签字生效,特此声明。</w:t>
      </w:r>
      <w:r>
        <w:rPr>
          <w:rFonts w:hint="eastAsia" w:hAnsi="宋体"/>
          <w:sz w:val="24"/>
        </w:rPr>
        <w:cr/>
      </w:r>
    </w:p>
    <w:p w14:paraId="40552073">
      <w:pPr>
        <w:pStyle w:val="12"/>
        <w:tabs>
          <w:tab w:val="left" w:pos="5580"/>
        </w:tabs>
        <w:spacing w:line="240" w:lineRule="atLeast"/>
        <w:ind w:left="-547" w:leftChars="-257" w:firstLine="911" w:firstLineChars="375"/>
        <w:rPr>
          <w:rFonts w:hAnsi="宋体"/>
          <w:sz w:val="24"/>
        </w:rPr>
      </w:pPr>
      <w:r>
        <w:rPr>
          <w:rFonts w:hint="eastAsia" w:hAnsi="宋体"/>
          <w:sz w:val="24"/>
        </w:rPr>
        <mc:AlternateContent>
          <mc:Choice Requires="wps">
            <w:drawing>
              <wp:anchor distT="0" distB="0" distL="0" distR="0" simplePos="0" relativeHeight="251661312"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1028" name="圆角矩形 5"/>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a:effectLst/>
                      </wps:spPr>
                      <wps:txbx>
                        <w:txbxContent>
                          <w:p w14:paraId="02C60B9D">
                            <w:pPr>
                              <w:rPr>
                                <w:rFonts w:hAnsi="宋体"/>
                              </w:rPr>
                            </w:pPr>
                          </w:p>
                          <w:p w14:paraId="7BA4D435">
                            <w:pPr>
                              <w:rPr>
                                <w:rFonts w:hAnsi="宋体"/>
                              </w:rPr>
                            </w:pPr>
                          </w:p>
                          <w:p w14:paraId="6D7EBAAD">
                            <w:pPr>
                              <w:rPr>
                                <w:rFonts w:hAnsi="宋体"/>
                              </w:rPr>
                            </w:pPr>
                          </w:p>
                          <w:p w14:paraId="540843E3">
                            <w:r>
                              <w:rPr>
                                <w:rFonts w:hint="eastAsia" w:hAnsi="宋体"/>
                              </w:rPr>
                              <w:t>授权委托人身份证复印件</w:t>
                            </w:r>
                          </w:p>
                          <w:p w14:paraId="3B837B6C"/>
                        </w:txbxContent>
                      </wps:txbx>
                      <wps:bodyPr vert="horz" wrap="square" anchor="t" anchorCtr="0" upright="1"/>
                    </wps:wsp>
                  </a:graphicData>
                </a:graphic>
              </wp:anchor>
            </w:drawing>
          </mc:Choice>
          <mc:Fallback>
            <w:pict>
              <v:roundrect id="圆角矩形 5" o:spid="_x0000_s1026" o:spt="2" style="position:absolute;left:0pt;margin-left:239.3pt;margin-top:13.2pt;height:88.6pt;width:195.15pt;z-index:251661312;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aFySLbAAAACgEA&#10;AA8AAAAAAAAAAQAgAAAAIgAAAGRycy9kb3ducmV2LnhtbFBLAQIUABQAAAAIAIdO4kDLED+jUAIA&#10;AKYEAAAOAAAAAAAAAAEAIAAAACoBAABkcnMvZTJvRG9jLnhtbFBLBQYAAAAABgAGAFkBAADsBQAA&#10;AAA=&#10;">
                <v:fill on="t" focussize="0,0"/>
                <v:stroke weight="1.25pt" color="#808080" joinstyle="round"/>
                <v:imagedata o:title=""/>
                <o:lock v:ext="edit" aspectratio="f"/>
                <v:textbox>
                  <w:txbxContent>
                    <w:p w14:paraId="02C60B9D">
                      <w:pPr>
                        <w:rPr>
                          <w:rFonts w:hAnsi="宋体"/>
                        </w:rPr>
                      </w:pPr>
                    </w:p>
                    <w:p w14:paraId="7BA4D435">
                      <w:pPr>
                        <w:rPr>
                          <w:rFonts w:hAnsi="宋体"/>
                        </w:rPr>
                      </w:pPr>
                    </w:p>
                    <w:p w14:paraId="6D7EBAAD">
                      <w:pPr>
                        <w:rPr>
                          <w:rFonts w:hAnsi="宋体"/>
                        </w:rPr>
                      </w:pPr>
                    </w:p>
                    <w:p w14:paraId="540843E3">
                      <w:r>
                        <w:rPr>
                          <w:rFonts w:hint="eastAsia" w:hAnsi="宋体"/>
                        </w:rPr>
                        <w:t>授权委托人身份证复印件</w:t>
                      </w:r>
                    </w:p>
                    <w:p w14:paraId="3B837B6C"/>
                  </w:txbxContent>
                </v:textbox>
              </v:roundrect>
            </w:pict>
          </mc:Fallback>
        </mc:AlternateContent>
      </w:r>
      <w:r>
        <w:rPr>
          <w:rFonts w:hint="eastAsia" w:hAnsi="宋体"/>
          <w:sz w:val="24"/>
        </w:rPr>
        <mc:AlternateContent>
          <mc:Choice Requires="wps">
            <w:drawing>
              <wp:anchor distT="0" distB="0" distL="0" distR="0" simplePos="0" relativeHeight="251662336"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1029"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C35A973">
                            <w:pPr>
                              <w:jc w:val="center"/>
                              <w:rPr>
                                <w:rFonts w:hAnsi="宋体"/>
                              </w:rPr>
                            </w:pPr>
                          </w:p>
                          <w:p w14:paraId="5DCB8CEB">
                            <w:pPr>
                              <w:jc w:val="center"/>
                              <w:rPr>
                                <w:rFonts w:hAnsi="宋体"/>
                              </w:rPr>
                            </w:pPr>
                          </w:p>
                          <w:p w14:paraId="19059B16">
                            <w:pPr>
                              <w:jc w:val="center"/>
                              <w:rPr>
                                <w:rFonts w:hAnsi="宋体"/>
                              </w:rPr>
                            </w:pPr>
                          </w:p>
                          <w:p w14:paraId="25411CD1">
                            <w:pPr>
                              <w:jc w:val="center"/>
                            </w:pPr>
                            <w:r>
                              <w:rPr>
                                <w:rFonts w:hint="eastAsia" w:hAnsi="宋体"/>
                              </w:rPr>
                              <w:t>授权委托人身份证复印件</w:t>
                            </w:r>
                          </w:p>
                        </w:txbxContent>
                      </wps:txbx>
                      <wps:bodyPr vert="horz" wrap="square" anchor="t" anchorCtr="0" upright="1"/>
                    </wps:wsp>
                  </a:graphicData>
                </a:graphic>
              </wp:anchor>
            </w:drawing>
          </mc:Choice>
          <mc:Fallback>
            <w:pict>
              <v:shape id="流程图: 可选过程 6" o:spid="_x0000_s1026" o:spt="176" type="#_x0000_t176" style="position:absolute;left:0pt;margin-left:1.65pt;margin-top:10.7pt;height:90pt;width:197.45pt;z-index:251662336;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BIyMNYAAAAIAQAADwAA&#10;AAAAAAABACAAAAAiAAAAZHJzL2Rvd25yZXYueG1sUEsBAhQAFAAAAAgAh07iQLIEfu9RAgAAlAQA&#10;AA4AAAAAAAAAAQAgAAAAJQEAAGRycy9lMm9Eb2MueG1sUEsFBgAAAAAGAAYAWQEAAOgFAAAAAA==&#10;">
                <v:fill on="t" focussize="0,0"/>
                <v:stroke color="#000000" joinstyle="miter"/>
                <v:imagedata o:title=""/>
                <o:lock v:ext="edit" aspectratio="f"/>
                <v:textbox>
                  <w:txbxContent>
                    <w:p w14:paraId="3C35A973">
                      <w:pPr>
                        <w:jc w:val="center"/>
                        <w:rPr>
                          <w:rFonts w:hAnsi="宋体"/>
                        </w:rPr>
                      </w:pPr>
                    </w:p>
                    <w:p w14:paraId="5DCB8CEB">
                      <w:pPr>
                        <w:jc w:val="center"/>
                        <w:rPr>
                          <w:rFonts w:hAnsi="宋体"/>
                        </w:rPr>
                      </w:pPr>
                    </w:p>
                    <w:p w14:paraId="19059B16">
                      <w:pPr>
                        <w:jc w:val="center"/>
                        <w:rPr>
                          <w:rFonts w:hAnsi="宋体"/>
                        </w:rPr>
                      </w:pPr>
                    </w:p>
                    <w:p w14:paraId="25411CD1">
                      <w:pPr>
                        <w:jc w:val="center"/>
                      </w:pPr>
                      <w:r>
                        <w:rPr>
                          <w:rFonts w:hint="eastAsia" w:hAnsi="宋体"/>
                        </w:rPr>
                        <w:t>授权委托人身份证复印件</w:t>
                      </w:r>
                    </w:p>
                  </w:txbxContent>
                </v:textbox>
              </v:shape>
            </w:pict>
          </mc:Fallback>
        </mc:AlternateContent>
      </w:r>
    </w:p>
    <w:p w14:paraId="3B770936">
      <w:pPr>
        <w:spacing w:line="360" w:lineRule="auto"/>
        <w:ind w:firstLine="243" w:firstLineChars="100"/>
        <w:rPr>
          <w:rFonts w:ascii="宋体" w:hAnsi="宋体"/>
          <w:sz w:val="24"/>
        </w:rPr>
      </w:pPr>
    </w:p>
    <w:p w14:paraId="28AE4BB2">
      <w:pPr>
        <w:spacing w:line="360" w:lineRule="auto"/>
        <w:ind w:firstLine="243" w:firstLineChars="100"/>
        <w:rPr>
          <w:rFonts w:ascii="宋体" w:hAnsi="宋体"/>
          <w:sz w:val="24"/>
        </w:rPr>
      </w:pPr>
    </w:p>
    <w:p w14:paraId="22522B02">
      <w:pPr>
        <w:spacing w:line="360" w:lineRule="auto"/>
        <w:ind w:firstLine="243" w:firstLineChars="100"/>
        <w:rPr>
          <w:rFonts w:ascii="宋体" w:hAnsi="宋体"/>
          <w:sz w:val="24"/>
        </w:rPr>
      </w:pPr>
    </w:p>
    <w:p w14:paraId="3274292E">
      <w:pPr>
        <w:spacing w:line="360" w:lineRule="auto"/>
        <w:ind w:firstLine="243" w:firstLineChars="100"/>
        <w:rPr>
          <w:rFonts w:ascii="宋体" w:hAnsi="宋体"/>
          <w:sz w:val="24"/>
        </w:rPr>
      </w:pPr>
    </w:p>
    <w:p w14:paraId="76B288FB">
      <w:pPr>
        <w:spacing w:line="360" w:lineRule="auto"/>
        <w:ind w:firstLine="243" w:firstLineChars="100"/>
        <w:rPr>
          <w:rFonts w:ascii="宋体" w:hAnsi="宋体"/>
          <w:sz w:val="24"/>
        </w:rPr>
      </w:pPr>
      <w:r>
        <w:rPr>
          <w:rFonts w:hint="eastAsia" w:ascii="宋体" w:hAnsi="宋体"/>
          <w:sz w:val="24"/>
        </w:rPr>
        <mc:AlternateContent>
          <mc:Choice Requires="wps">
            <w:drawing>
              <wp:anchor distT="0" distB="0" distL="0" distR="0" simplePos="0" relativeHeight="251663360"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1030" name="圆角矩形 7"/>
                <wp:cNvGraphicFramePr/>
                <a:graphic xmlns:a="http://schemas.openxmlformats.org/drawingml/2006/main">
                  <a:graphicData uri="http://schemas.microsoft.com/office/word/2010/wordprocessingShape">
                    <wps:wsp>
                      <wps:cNvSpPr/>
                      <wps:spPr>
                        <a:xfrm>
                          <a:off x="0" y="0"/>
                          <a:ext cx="2535555" cy="1029334"/>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a:effectLst/>
                      </wps:spPr>
                      <wps:txbx>
                        <w:txbxContent>
                          <w:p w14:paraId="683B99D3">
                            <w:pPr>
                              <w:jc w:val="center"/>
                              <w:rPr>
                                <w:rFonts w:hAnsi="宋体"/>
                              </w:rPr>
                            </w:pPr>
                            <w:r>
                              <w:rPr>
                                <w:rFonts w:hint="eastAsia" w:hAnsi="宋体"/>
                              </w:rPr>
                              <w:t xml:space="preserve">  </w:t>
                            </w:r>
                          </w:p>
                          <w:p w14:paraId="038C4F14">
                            <w:pPr>
                              <w:jc w:val="center"/>
                              <w:rPr>
                                <w:rFonts w:hAnsi="宋体"/>
                              </w:rPr>
                            </w:pPr>
                          </w:p>
                          <w:p w14:paraId="2D0A94D6">
                            <w:pPr>
                              <w:jc w:val="center"/>
                              <w:rPr>
                                <w:rFonts w:hAnsi="宋体"/>
                              </w:rPr>
                            </w:pPr>
                          </w:p>
                          <w:p w14:paraId="1C6CF3CF">
                            <w:pPr>
                              <w:jc w:val="center"/>
                            </w:pPr>
                            <w:r>
                              <w:rPr>
                                <w:rFonts w:hint="eastAsia" w:hAnsi="宋体"/>
                              </w:rPr>
                              <w:t>法人身份证复印件</w:t>
                            </w:r>
                          </w:p>
                          <w:p w14:paraId="2076FEDD"/>
                        </w:txbxContent>
                      </wps:txbx>
                      <wps:bodyPr vert="horz" wrap="square" anchor="t" anchorCtr="0" upright="1"/>
                    </wps:wsp>
                  </a:graphicData>
                </a:graphic>
              </wp:anchor>
            </w:drawing>
          </mc:Choice>
          <mc:Fallback>
            <w:pict>
              <v:roundrect id="圆角矩形 7" o:spid="_x0000_s1026" o:spt="2" style="position:absolute;left:0pt;margin-left:237.65pt;margin-top:4.25pt;height:81.05pt;width:199.65pt;z-index:251663360;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UHNIL2gAAAAkBAAAP&#10;AAAAAAAAAAEAIAAAACIAAABkcnMvZG93bnJldi54bWxQSwECFAAUAAAACACHTuJAxe3cFE8CAACm&#10;BAAADgAAAAAAAAABACAAAAApAQAAZHJzL2Uyb0RvYy54bWxQSwUGAAAAAAYABgBZAQAA6gUAAAAA&#10;">
                <v:fill on="t" focussize="0,0"/>
                <v:stroke weight="1.25pt" color="#808080" joinstyle="round"/>
                <v:imagedata o:title=""/>
                <o:lock v:ext="edit" aspectratio="f"/>
                <v:textbox>
                  <w:txbxContent>
                    <w:p w14:paraId="683B99D3">
                      <w:pPr>
                        <w:jc w:val="center"/>
                        <w:rPr>
                          <w:rFonts w:hAnsi="宋体"/>
                        </w:rPr>
                      </w:pPr>
                      <w:r>
                        <w:rPr>
                          <w:rFonts w:hint="eastAsia" w:hAnsi="宋体"/>
                        </w:rPr>
                        <w:t xml:space="preserve">  </w:t>
                      </w:r>
                    </w:p>
                    <w:p w14:paraId="038C4F14">
                      <w:pPr>
                        <w:jc w:val="center"/>
                        <w:rPr>
                          <w:rFonts w:hAnsi="宋体"/>
                        </w:rPr>
                      </w:pPr>
                    </w:p>
                    <w:p w14:paraId="2D0A94D6">
                      <w:pPr>
                        <w:jc w:val="center"/>
                        <w:rPr>
                          <w:rFonts w:hAnsi="宋体"/>
                        </w:rPr>
                      </w:pPr>
                    </w:p>
                    <w:p w14:paraId="1C6CF3CF">
                      <w:pPr>
                        <w:jc w:val="center"/>
                      </w:pPr>
                      <w:r>
                        <w:rPr>
                          <w:rFonts w:hint="eastAsia" w:hAnsi="宋体"/>
                        </w:rPr>
                        <w:t>法人身份证复印件</w:t>
                      </w:r>
                    </w:p>
                    <w:p w14:paraId="2076FEDD"/>
                  </w:txbxContent>
                </v:textbox>
              </v:roundrect>
            </w:pict>
          </mc:Fallback>
        </mc:AlternateContent>
      </w:r>
      <w:r>
        <w:rPr>
          <w:rFonts w:hint="eastAsia" w:ascii="宋体" w:hAnsi="宋体"/>
          <w:sz w:val="24"/>
        </w:rPr>
        <mc:AlternateContent>
          <mc:Choice Requires="wps">
            <w:drawing>
              <wp:anchor distT="0" distB="0" distL="0" distR="0" simplePos="0" relativeHeight="251664384"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1031" name="圆角矩形 8"/>
                <wp:cNvGraphicFramePr/>
                <a:graphic xmlns:a="http://schemas.openxmlformats.org/drawingml/2006/main">
                  <a:graphicData uri="http://schemas.microsoft.com/office/word/2010/wordprocessingShape">
                    <wps:wsp>
                      <wps:cNvSpPr/>
                      <wps:spPr>
                        <a:xfrm>
                          <a:off x="0" y="0"/>
                          <a:ext cx="2555240" cy="1024889"/>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a:effectLst/>
                      </wps:spPr>
                      <wps:txbx>
                        <w:txbxContent>
                          <w:p w14:paraId="2523BA0B">
                            <w:pPr>
                              <w:jc w:val="center"/>
                              <w:rPr>
                                <w:rFonts w:hAnsi="宋体"/>
                              </w:rPr>
                            </w:pPr>
                          </w:p>
                          <w:p w14:paraId="61A81B54">
                            <w:pPr>
                              <w:jc w:val="center"/>
                              <w:rPr>
                                <w:rFonts w:hAnsi="宋体"/>
                              </w:rPr>
                            </w:pPr>
                          </w:p>
                          <w:p w14:paraId="51222B40">
                            <w:pPr>
                              <w:jc w:val="center"/>
                              <w:rPr>
                                <w:rFonts w:hAnsi="宋体"/>
                              </w:rPr>
                            </w:pPr>
                          </w:p>
                          <w:p w14:paraId="43FF6B87">
                            <w:pPr>
                              <w:jc w:val="center"/>
                            </w:pPr>
                            <w:r>
                              <w:rPr>
                                <w:rFonts w:hint="eastAsia" w:hAnsi="宋体"/>
                              </w:rPr>
                              <w:t>法人身份证复印件</w:t>
                            </w:r>
                          </w:p>
                          <w:p w14:paraId="66985013"/>
                        </w:txbxContent>
                      </wps:txbx>
                      <wps:bodyPr vert="horz" wrap="square" anchor="t" anchorCtr="0" upright="1"/>
                    </wps:wsp>
                  </a:graphicData>
                </a:graphic>
              </wp:anchor>
            </w:drawing>
          </mc:Choice>
          <mc:Fallback>
            <w:pict>
              <v:roundrect id="圆角矩形 8" o:spid="_x0000_s1026" o:spt="2" style="position:absolute;left:0pt;margin-left:-0.85pt;margin-top:2.35pt;height:80.7pt;width:201.2pt;z-index:251664384;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Tvgt72AAAAAgBAAAP&#10;AAAAAAAAAAEAIAAAACIAAABkcnMvZG93bnJldi54bWxQSwECFAAUAAAACACHTuJAmLUwDVECAACm&#10;BAAADgAAAAAAAAABACAAAAAnAQAAZHJzL2Uyb0RvYy54bWxQSwUGAAAAAAYABgBZAQAA6gUAAAAA&#10;">
                <v:fill on="t" focussize="0,0"/>
                <v:stroke weight="1.25pt" color="#808080" joinstyle="round"/>
                <v:imagedata o:title=""/>
                <o:lock v:ext="edit" aspectratio="f"/>
                <v:textbox>
                  <w:txbxContent>
                    <w:p w14:paraId="2523BA0B">
                      <w:pPr>
                        <w:jc w:val="center"/>
                        <w:rPr>
                          <w:rFonts w:hAnsi="宋体"/>
                        </w:rPr>
                      </w:pPr>
                    </w:p>
                    <w:p w14:paraId="61A81B54">
                      <w:pPr>
                        <w:jc w:val="center"/>
                        <w:rPr>
                          <w:rFonts w:hAnsi="宋体"/>
                        </w:rPr>
                      </w:pPr>
                    </w:p>
                    <w:p w14:paraId="51222B40">
                      <w:pPr>
                        <w:jc w:val="center"/>
                        <w:rPr>
                          <w:rFonts w:hAnsi="宋体"/>
                        </w:rPr>
                      </w:pPr>
                    </w:p>
                    <w:p w14:paraId="43FF6B87">
                      <w:pPr>
                        <w:jc w:val="center"/>
                      </w:pPr>
                      <w:r>
                        <w:rPr>
                          <w:rFonts w:hint="eastAsia" w:hAnsi="宋体"/>
                        </w:rPr>
                        <w:t>法人身份证复印件</w:t>
                      </w:r>
                    </w:p>
                    <w:p w14:paraId="66985013"/>
                  </w:txbxContent>
                </v:textbox>
              </v:roundrect>
            </w:pict>
          </mc:Fallback>
        </mc:AlternateContent>
      </w:r>
    </w:p>
    <w:p w14:paraId="529CACFC">
      <w:pPr>
        <w:spacing w:line="360" w:lineRule="auto"/>
        <w:ind w:firstLine="243" w:firstLineChars="100"/>
        <w:rPr>
          <w:rFonts w:ascii="宋体" w:hAnsi="宋体"/>
          <w:sz w:val="24"/>
        </w:rPr>
      </w:pPr>
    </w:p>
    <w:p w14:paraId="6EF9B0BE">
      <w:pPr>
        <w:spacing w:line="360" w:lineRule="auto"/>
        <w:ind w:firstLine="243" w:firstLineChars="100"/>
        <w:rPr>
          <w:rFonts w:ascii="宋体" w:hAnsi="宋体"/>
          <w:sz w:val="24"/>
        </w:rPr>
      </w:pPr>
    </w:p>
    <w:p w14:paraId="144488C5">
      <w:pPr>
        <w:spacing w:line="360" w:lineRule="auto"/>
        <w:ind w:firstLine="243" w:firstLineChars="100"/>
        <w:rPr>
          <w:rFonts w:ascii="宋体" w:hAnsi="宋体"/>
          <w:sz w:val="24"/>
        </w:rPr>
      </w:pPr>
    </w:p>
    <w:p w14:paraId="4F925102">
      <w:pPr>
        <w:spacing w:line="360" w:lineRule="auto"/>
        <w:ind w:firstLine="243" w:firstLineChars="100"/>
        <w:rPr>
          <w:rFonts w:ascii="宋体" w:hAnsi="宋体"/>
          <w:sz w:val="24"/>
        </w:rPr>
      </w:pPr>
    </w:p>
    <w:p w14:paraId="740AE439">
      <w:pPr>
        <w:pStyle w:val="12"/>
        <w:tabs>
          <w:tab w:val="left" w:pos="5580"/>
        </w:tabs>
        <w:spacing w:line="240" w:lineRule="atLeast"/>
        <w:ind w:left="-547" w:leftChars="-257" w:firstLine="911" w:firstLineChars="375"/>
        <w:rPr>
          <w:rFonts w:hAnsi="宋体"/>
          <w:sz w:val="24"/>
        </w:rPr>
      </w:pPr>
    </w:p>
    <w:p w14:paraId="112A9799">
      <w:pPr>
        <w:pStyle w:val="12"/>
        <w:tabs>
          <w:tab w:val="left" w:pos="5580"/>
        </w:tabs>
        <w:spacing w:line="240" w:lineRule="atLeast"/>
        <w:ind w:left="-547" w:leftChars="-257" w:firstLine="911" w:firstLineChars="375"/>
        <w:rPr>
          <w:rFonts w:hAnsi="宋体"/>
          <w:sz w:val="24"/>
        </w:rPr>
      </w:pPr>
    </w:p>
    <w:p w14:paraId="15E69651">
      <w:pPr>
        <w:pStyle w:val="12"/>
        <w:tabs>
          <w:tab w:val="left" w:pos="5580"/>
        </w:tabs>
        <w:spacing w:line="240" w:lineRule="atLeast"/>
        <w:ind w:firstLine="486" w:firstLineChars="200"/>
        <w:rPr>
          <w:rFonts w:hAnsi="宋体"/>
          <w:sz w:val="24"/>
          <w:u w:val="single"/>
        </w:rPr>
      </w:pPr>
      <w:r>
        <w:rPr>
          <w:rFonts w:hint="eastAsia" w:hAnsi="宋体"/>
          <w:sz w:val="24"/>
        </w:rPr>
        <w:t>投标人（盖单位章）;</w:t>
      </w:r>
      <w:r>
        <w:rPr>
          <w:rFonts w:hint="eastAsia" w:hAnsi="宋体"/>
          <w:sz w:val="24"/>
          <w:u w:val="single"/>
        </w:rPr>
        <w:t xml:space="preserve">                           </w:t>
      </w:r>
    </w:p>
    <w:p w14:paraId="56CDEC05">
      <w:pPr>
        <w:pStyle w:val="12"/>
        <w:tabs>
          <w:tab w:val="left" w:pos="5580"/>
        </w:tabs>
        <w:spacing w:line="240" w:lineRule="atLeast"/>
        <w:ind w:firstLine="486" w:firstLineChars="200"/>
        <w:rPr>
          <w:rFonts w:hAnsi="宋体"/>
          <w:sz w:val="24"/>
        </w:rPr>
      </w:pPr>
      <w:r>
        <w:rPr>
          <w:rFonts w:hint="eastAsia" w:hAnsi="宋体"/>
          <w:sz w:val="24"/>
        </w:rPr>
        <w:t>法定代表人（签字或签章）：</w:t>
      </w:r>
      <w:r>
        <w:rPr>
          <w:rFonts w:hint="eastAsia" w:hAnsi="宋体"/>
          <w:sz w:val="24"/>
          <w:u w:val="single"/>
        </w:rPr>
        <w:t xml:space="preserve">                     </w:t>
      </w:r>
    </w:p>
    <w:p w14:paraId="7685AD6E">
      <w:pPr>
        <w:pStyle w:val="12"/>
        <w:tabs>
          <w:tab w:val="left" w:pos="5580"/>
        </w:tabs>
        <w:spacing w:line="240" w:lineRule="atLeast"/>
        <w:ind w:firstLine="486" w:firstLineChars="200"/>
        <w:rPr>
          <w:rFonts w:hAnsi="宋体"/>
          <w:sz w:val="24"/>
          <w:u w:val="single"/>
        </w:rPr>
      </w:pPr>
      <w:r>
        <w:rPr>
          <w:rFonts w:hint="eastAsia" w:hAnsi="宋体"/>
          <w:sz w:val="24"/>
        </w:rPr>
        <w:t>委托代理人：</w:t>
      </w:r>
      <w:r>
        <w:rPr>
          <w:rFonts w:hint="eastAsia" w:hAnsi="宋体"/>
          <w:sz w:val="24"/>
          <w:u w:val="single"/>
        </w:rPr>
        <w:t xml:space="preserve">                                   </w:t>
      </w:r>
    </w:p>
    <w:p w14:paraId="6FE044FA">
      <w:pPr>
        <w:spacing w:line="360" w:lineRule="auto"/>
        <w:ind w:firstLine="486" w:firstLineChars="200"/>
        <w:jc w:val="left"/>
        <w:rPr>
          <w:rFonts w:ascii="宋体" w:hAnsi="宋体"/>
          <w:sz w:val="24"/>
          <w:szCs w:val="20"/>
        </w:rPr>
      </w:pPr>
      <w:r>
        <w:rPr>
          <w:rFonts w:hint="eastAsia" w:ascii="宋体" w:hAnsi="宋体"/>
          <w:sz w:val="24"/>
          <w:szCs w:val="20"/>
        </w:rPr>
        <w:t xml:space="preserve">年   月   日 </w:t>
      </w:r>
    </w:p>
    <w:p w14:paraId="091883AA">
      <w:pPr>
        <w:pStyle w:val="3"/>
        <w:numPr>
          <w:ilvl w:val="0"/>
          <w:numId w:val="0"/>
        </w:numPr>
        <w:spacing w:before="0" w:line="240" w:lineRule="atLeast"/>
        <w:ind w:left="431" w:leftChars="0"/>
        <w:rPr>
          <w:rFonts w:ascii="宋体" w:hAnsi="宋体" w:eastAsia="宋体"/>
          <w:b/>
          <w:bCs/>
          <w:sz w:val="24"/>
        </w:rPr>
      </w:pPr>
      <w:r>
        <w:rPr>
          <w:rFonts w:hint="eastAsia" w:ascii="宋体" w:hAnsi="宋体" w:eastAsia="宋体"/>
          <w:sz w:val="24"/>
        </w:rPr>
        <w:br w:type="page"/>
      </w:r>
      <w:r>
        <w:rPr>
          <w:rFonts w:hint="eastAsia" w:ascii="宋体" w:hAnsi="宋体" w:eastAsia="宋体"/>
          <w:b/>
          <w:bCs/>
          <w:sz w:val="24"/>
        </w:rPr>
        <w:t>5、</w:t>
      </w:r>
      <w:bookmarkStart w:id="232" w:name="_Toc11047"/>
      <w:bookmarkStart w:id="233" w:name="_Toc28445"/>
      <w:bookmarkStart w:id="234" w:name="_Toc4866"/>
      <w:bookmarkStart w:id="235" w:name="_Toc515647809"/>
      <w:r>
        <w:rPr>
          <w:rFonts w:hint="eastAsia" w:ascii="宋体" w:hAnsi="宋体" w:eastAsia="宋体"/>
          <w:b/>
          <w:bCs/>
          <w:sz w:val="24"/>
        </w:rPr>
        <w:t>投标保证金缴纳凭证或投标担保函</w:t>
      </w:r>
      <w:bookmarkEnd w:id="232"/>
      <w:bookmarkEnd w:id="233"/>
      <w:bookmarkEnd w:id="234"/>
      <w:bookmarkEnd w:id="235"/>
      <w:bookmarkStart w:id="236" w:name="_Toc494296991"/>
      <w:bookmarkStart w:id="237" w:name="_Toc494296665"/>
    </w:p>
    <w:p w14:paraId="6405EC0A">
      <w:pPr>
        <w:ind w:firstLine="486" w:firstLineChars="200"/>
        <w:rPr>
          <w:rFonts w:hint="eastAsia" w:ascii="宋体" w:hAnsi="宋体"/>
          <w:sz w:val="24"/>
        </w:rPr>
      </w:pPr>
    </w:p>
    <w:p w14:paraId="6F7CDC40">
      <w:pPr>
        <w:ind w:firstLine="486" w:firstLineChars="200"/>
        <w:rPr>
          <w:rFonts w:ascii="宋体" w:hAnsi="宋体"/>
        </w:rPr>
      </w:pPr>
      <w:r>
        <w:rPr>
          <w:rFonts w:hint="eastAsia" w:ascii="宋体" w:hAnsi="宋体"/>
          <w:sz w:val="24"/>
        </w:rPr>
        <w:t>投标人可将本项目投标保证金收据或投标担保函</w:t>
      </w:r>
      <w:r>
        <w:rPr>
          <w:rFonts w:hint="eastAsia" w:ascii="宋体" w:hAnsi="宋体"/>
          <w:sz w:val="24"/>
          <w:lang w:eastAsia="zh-CN"/>
        </w:rPr>
        <w:t>票据</w:t>
      </w:r>
      <w:r>
        <w:rPr>
          <w:rFonts w:hint="eastAsia" w:ascii="宋体" w:hAnsi="宋体"/>
          <w:sz w:val="24"/>
        </w:rPr>
        <w:t>的扫描件作为凭证制作在本部分，应加盖本单位章；</w:t>
      </w:r>
      <w:bookmarkEnd w:id="236"/>
      <w:bookmarkEnd w:id="237"/>
    </w:p>
    <w:p w14:paraId="24328AAC">
      <w:pPr>
        <w:pStyle w:val="6"/>
        <w:rPr>
          <w:rFonts w:ascii="宋体" w:hAnsi="宋体"/>
        </w:rPr>
      </w:pPr>
    </w:p>
    <w:p w14:paraId="2C9AE3EE">
      <w:pPr>
        <w:spacing w:line="240" w:lineRule="atLeast"/>
        <w:ind w:left="1087" w:leftChars="257" w:hanging="540"/>
        <w:jc w:val="center"/>
        <w:rPr>
          <w:rFonts w:ascii="宋体" w:hAnsi="宋体"/>
          <w:sz w:val="24"/>
        </w:rPr>
      </w:pPr>
    </w:p>
    <w:tbl>
      <w:tblPr>
        <w:tblStyle w:val="25"/>
        <w:tblpPr w:leftFromText="180" w:rightFromText="180" w:vertAnchor="text" w:horzAnchor="page" w:tblpX="1845" w:tblpY="6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022C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8340" w:type="dxa"/>
            <w:noWrap w:val="0"/>
            <w:vAlign w:val="top"/>
          </w:tcPr>
          <w:p w14:paraId="65653DD1">
            <w:pPr>
              <w:rPr>
                <w:rFonts w:ascii="宋体" w:hAnsi="宋体"/>
                <w:b/>
                <w:bCs/>
                <w:sz w:val="30"/>
                <w:szCs w:val="30"/>
              </w:rPr>
            </w:pPr>
          </w:p>
          <w:p w14:paraId="1C39359C">
            <w:pPr>
              <w:jc w:val="center"/>
              <w:rPr>
                <w:rFonts w:ascii="宋体" w:hAnsi="宋体"/>
                <w:b/>
                <w:bCs/>
                <w:sz w:val="30"/>
                <w:szCs w:val="30"/>
              </w:rPr>
            </w:pPr>
          </w:p>
          <w:p w14:paraId="40DB7CB3">
            <w:pPr>
              <w:jc w:val="center"/>
              <w:rPr>
                <w:rFonts w:ascii="宋体" w:hAnsi="宋体"/>
                <w:b/>
                <w:bCs/>
                <w:sz w:val="30"/>
                <w:szCs w:val="30"/>
              </w:rPr>
            </w:pPr>
          </w:p>
          <w:p w14:paraId="2D1B8A75">
            <w:pPr>
              <w:pStyle w:val="3"/>
              <w:numPr>
                <w:ilvl w:val="0"/>
                <w:numId w:val="0"/>
              </w:numPr>
              <w:spacing w:before="0" w:line="240" w:lineRule="atLeast"/>
              <w:ind w:left="431" w:leftChars="0" w:firstLine="1215" w:firstLineChars="500"/>
              <w:jc w:val="both"/>
              <w:rPr>
                <w:rFonts w:ascii="宋体" w:hAnsi="宋体" w:eastAsia="宋体"/>
                <w:sz w:val="24"/>
              </w:rPr>
            </w:pPr>
            <w:r>
              <w:rPr>
                <w:rFonts w:hint="eastAsia" w:ascii="宋体" w:hAnsi="宋体" w:eastAsia="宋体"/>
                <w:sz w:val="24"/>
                <w:lang w:val="en-US" w:eastAsia="zh-CN"/>
              </w:rPr>
              <w:t>投</w:t>
            </w:r>
            <w:r>
              <w:rPr>
                <w:rFonts w:hint="eastAsia" w:ascii="宋体" w:hAnsi="宋体" w:eastAsia="宋体"/>
                <w:sz w:val="24"/>
              </w:rPr>
              <w:t>标保证金缴纳凭证或投标担保函</w:t>
            </w:r>
          </w:p>
          <w:p w14:paraId="162EDF97">
            <w:pPr>
              <w:jc w:val="center"/>
              <w:rPr>
                <w:rFonts w:ascii="宋体" w:hAnsi="宋体"/>
                <w:b/>
                <w:bCs/>
                <w:sz w:val="30"/>
                <w:szCs w:val="30"/>
              </w:rPr>
            </w:pPr>
          </w:p>
          <w:p w14:paraId="24C9374E">
            <w:pPr>
              <w:jc w:val="center"/>
              <w:rPr>
                <w:rFonts w:ascii="宋体" w:hAnsi="宋体"/>
                <w:b/>
                <w:bCs/>
                <w:sz w:val="30"/>
                <w:szCs w:val="30"/>
              </w:rPr>
            </w:pPr>
          </w:p>
        </w:tc>
      </w:tr>
    </w:tbl>
    <w:p w14:paraId="731D2984">
      <w:pPr>
        <w:rPr>
          <w:rFonts w:ascii="宋体" w:hAnsi="宋体"/>
          <w:sz w:val="28"/>
          <w:szCs w:val="28"/>
        </w:rPr>
      </w:pPr>
    </w:p>
    <w:tbl>
      <w:tblPr>
        <w:tblStyle w:val="25"/>
        <w:tblpPr w:leftFromText="180" w:rightFromText="180" w:vertAnchor="text" w:horzAnchor="page" w:tblpX="1879" w:tblpY="2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0"/>
      </w:tblGrid>
      <w:tr w14:paraId="38C5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8" w:hRule="atLeast"/>
        </w:trPr>
        <w:tc>
          <w:tcPr>
            <w:tcW w:w="8400" w:type="dxa"/>
            <w:noWrap w:val="0"/>
            <w:vAlign w:val="top"/>
          </w:tcPr>
          <w:p w14:paraId="49D53B9F">
            <w:pPr>
              <w:rPr>
                <w:rFonts w:ascii="宋体" w:hAnsi="宋体"/>
                <w:b/>
                <w:bCs/>
                <w:sz w:val="30"/>
                <w:szCs w:val="30"/>
              </w:rPr>
            </w:pPr>
          </w:p>
          <w:p w14:paraId="573EBA96">
            <w:pPr>
              <w:jc w:val="center"/>
              <w:rPr>
                <w:rFonts w:ascii="宋体" w:hAnsi="宋体"/>
                <w:b/>
                <w:bCs/>
                <w:sz w:val="30"/>
                <w:szCs w:val="30"/>
              </w:rPr>
            </w:pPr>
          </w:p>
          <w:p w14:paraId="1D7E80B9">
            <w:pPr>
              <w:jc w:val="center"/>
              <w:rPr>
                <w:rFonts w:ascii="宋体" w:hAnsi="宋体"/>
                <w:b/>
                <w:bCs/>
                <w:sz w:val="30"/>
                <w:szCs w:val="30"/>
              </w:rPr>
            </w:pPr>
          </w:p>
          <w:p w14:paraId="07F6F348">
            <w:pPr>
              <w:jc w:val="center"/>
              <w:rPr>
                <w:rFonts w:ascii="宋体" w:hAnsi="宋体"/>
                <w:b/>
                <w:bCs/>
                <w:sz w:val="30"/>
                <w:szCs w:val="30"/>
              </w:rPr>
            </w:pPr>
          </w:p>
          <w:p w14:paraId="1DCF4C60">
            <w:pPr>
              <w:jc w:val="center"/>
              <w:rPr>
                <w:rFonts w:ascii="宋体" w:hAnsi="宋体"/>
                <w:b/>
                <w:bCs/>
                <w:sz w:val="30"/>
                <w:szCs w:val="30"/>
              </w:rPr>
            </w:pPr>
          </w:p>
        </w:tc>
      </w:tr>
    </w:tbl>
    <w:p w14:paraId="6079784B">
      <w:pPr>
        <w:pStyle w:val="6"/>
        <w:rPr>
          <w:rFonts w:ascii="宋体" w:hAnsi="宋体"/>
        </w:rPr>
      </w:pPr>
    </w:p>
    <w:p w14:paraId="5C88F6BF">
      <w:pPr>
        <w:pStyle w:val="6"/>
        <w:rPr>
          <w:rFonts w:ascii="宋体" w:hAnsi="宋体"/>
        </w:rPr>
      </w:pPr>
    </w:p>
    <w:p w14:paraId="65733374">
      <w:pPr>
        <w:rPr>
          <w:rFonts w:ascii="宋体" w:hAnsi="宋体"/>
          <w:sz w:val="28"/>
          <w:szCs w:val="28"/>
        </w:rPr>
      </w:pPr>
    </w:p>
    <w:p w14:paraId="4C8953C7">
      <w:pPr>
        <w:pStyle w:val="9"/>
        <w:tabs>
          <w:tab w:val="left" w:pos="562"/>
          <w:tab w:val="left" w:pos="3372"/>
          <w:tab w:val="left" w:pos="3653"/>
        </w:tabs>
        <w:rPr>
          <w:rFonts w:ascii="宋体" w:hAnsi="宋体"/>
          <w:sz w:val="28"/>
          <w:szCs w:val="28"/>
        </w:rPr>
      </w:pPr>
    </w:p>
    <w:p w14:paraId="09902277">
      <w:pPr>
        <w:pStyle w:val="9"/>
        <w:tabs>
          <w:tab w:val="left" w:pos="562"/>
          <w:tab w:val="left" w:pos="3372"/>
          <w:tab w:val="left" w:pos="3653"/>
        </w:tabs>
      </w:pPr>
    </w:p>
    <w:p w14:paraId="6CC8699D">
      <w:pPr>
        <w:pStyle w:val="9"/>
        <w:tabs>
          <w:tab w:val="left" w:pos="562"/>
          <w:tab w:val="left" w:pos="3372"/>
          <w:tab w:val="left" w:pos="3653"/>
        </w:tabs>
      </w:pPr>
    </w:p>
    <w:p w14:paraId="69C7BADF">
      <w:pPr>
        <w:pStyle w:val="9"/>
        <w:tabs>
          <w:tab w:val="left" w:pos="562"/>
          <w:tab w:val="left" w:pos="3372"/>
          <w:tab w:val="left" w:pos="3653"/>
        </w:tabs>
      </w:pPr>
    </w:p>
    <w:p w14:paraId="78657AA8">
      <w:pPr>
        <w:jc w:val="left"/>
        <w:rPr>
          <w:rFonts w:hint="eastAsia" w:ascii="宋体" w:hAnsi="宋体"/>
          <w:sz w:val="22"/>
          <w:szCs w:val="28"/>
        </w:rPr>
      </w:pPr>
    </w:p>
    <w:p w14:paraId="50D654CF">
      <w:pPr>
        <w:jc w:val="left"/>
        <w:rPr>
          <w:rFonts w:ascii="宋体" w:hAnsi="宋体"/>
          <w:sz w:val="22"/>
          <w:szCs w:val="28"/>
        </w:rPr>
      </w:pPr>
      <w:r>
        <w:rPr>
          <w:rFonts w:hint="eastAsia" w:ascii="宋体" w:hAnsi="宋体"/>
          <w:sz w:val="22"/>
          <w:szCs w:val="28"/>
        </w:rPr>
        <w:t>政府采购投标担保函 （项目用）            编号：</w:t>
      </w:r>
    </w:p>
    <w:p w14:paraId="15981841">
      <w:pPr>
        <w:rPr>
          <w:rFonts w:ascii="宋体" w:hAnsi="宋体"/>
        </w:rPr>
      </w:pPr>
      <w:r>
        <w:rPr>
          <w:rFonts w:hint="eastAsia" w:ascii="宋体" w:hAnsi="宋体"/>
        </w:rPr>
        <w:t xml:space="preserve"> </w:t>
      </w:r>
      <w:r>
        <w:rPr>
          <w:rFonts w:hint="eastAsia" w:ascii="宋体" w:hAnsi="宋体"/>
          <w:u w:val="single"/>
        </w:rPr>
        <w:t xml:space="preserve">                  </w:t>
      </w:r>
      <w:r>
        <w:rPr>
          <w:rFonts w:hint="eastAsia" w:ascii="宋体" w:hAnsi="宋体"/>
        </w:rPr>
        <w:t>（采购人或采购代理机构）：</w:t>
      </w:r>
    </w:p>
    <w:p w14:paraId="4E47BC5D">
      <w:pPr>
        <w:ind w:firstLine="426" w:firstLineChars="200"/>
        <w:rPr>
          <w:rFonts w:ascii="宋体" w:hAnsi="宋体"/>
        </w:rPr>
      </w:pPr>
      <w:r>
        <w:rPr>
          <w:rFonts w:hint="eastAsia" w:ascii="宋体" w:hAnsi="宋体"/>
        </w:rPr>
        <w:t>鉴于</w:t>
      </w:r>
      <w:r>
        <w:rPr>
          <w:rFonts w:hint="eastAsia" w:ascii="宋体" w:hAnsi="宋体"/>
          <w:u w:val="single"/>
        </w:rPr>
        <w:t xml:space="preserve">               </w:t>
      </w:r>
      <w:r>
        <w:rPr>
          <w:rFonts w:hint="eastAsia" w:ascii="宋体" w:hAnsi="宋体"/>
        </w:rPr>
        <w:t>（以下简称“投标人”）拟参加编号为</w:t>
      </w:r>
      <w:r>
        <w:rPr>
          <w:rFonts w:hint="eastAsia" w:ascii="宋体" w:hAnsi="宋体"/>
          <w:u w:val="single"/>
        </w:rPr>
        <w:t xml:space="preserve">            </w:t>
      </w:r>
      <w:r>
        <w:rPr>
          <w:rFonts w:hint="eastAsia" w:ascii="宋体" w:hAnsi="宋体"/>
        </w:rPr>
        <w:t>的</w:t>
      </w:r>
      <w:r>
        <w:rPr>
          <w:rFonts w:hint="eastAsia" w:ascii="宋体" w:hAnsi="宋体"/>
          <w:u w:val="single"/>
        </w:rPr>
        <w:t xml:space="preserve">           </w:t>
      </w:r>
      <w:r>
        <w:rPr>
          <w:rFonts w:hint="eastAsia" w:ascii="宋体" w:hAnsi="宋体"/>
        </w:rPr>
        <w:t xml:space="preserve">                            </w:t>
      </w:r>
    </w:p>
    <w:p w14:paraId="01515260">
      <w:pPr>
        <w:rPr>
          <w:rFonts w:ascii="宋体" w:hAnsi="宋体"/>
        </w:rPr>
      </w:pPr>
      <w:r>
        <w:rPr>
          <w:rFonts w:hint="eastAsia" w:ascii="宋体" w:hAnsi="宋体"/>
        </w:rPr>
        <w:t>项目（以下简称“本项目”）投标，根据本项目</w:t>
      </w:r>
      <w:r>
        <w:rPr>
          <w:rFonts w:hint="eastAsia" w:ascii="宋体" w:hAnsi="宋体"/>
          <w:lang w:val="en-US" w:eastAsia="zh-CN"/>
        </w:rPr>
        <w:t>磋商</w:t>
      </w:r>
      <w:r>
        <w:rPr>
          <w:rFonts w:hint="eastAsia" w:ascii="宋体" w:hAnsi="宋体"/>
        </w:rPr>
        <w:t>文件，供应商参加投标时应向你方交纳投标保证金，且可以投标担保函的形式交纳投标保证金。应供应商的申请，我方以保证的方式向你方提供如下投标保证金担保：</w:t>
      </w:r>
    </w:p>
    <w:p w14:paraId="30CD0AD5">
      <w:pPr>
        <w:ind w:firstLine="426" w:firstLineChars="200"/>
        <w:rPr>
          <w:rFonts w:ascii="宋体" w:hAnsi="宋体"/>
        </w:rPr>
      </w:pPr>
      <w:r>
        <w:rPr>
          <w:rFonts w:hint="eastAsia" w:ascii="宋体" w:hAnsi="宋体"/>
        </w:rPr>
        <w:t>一、保证责任的情形及保证金额</w:t>
      </w:r>
    </w:p>
    <w:p w14:paraId="7DA81274">
      <w:pPr>
        <w:ind w:firstLine="213" w:firstLineChars="100"/>
        <w:rPr>
          <w:rFonts w:ascii="宋体" w:hAnsi="宋体"/>
        </w:rPr>
      </w:pPr>
      <w:r>
        <w:rPr>
          <w:rFonts w:hint="eastAsia" w:ascii="宋体" w:hAnsi="宋体"/>
        </w:rPr>
        <w:t>（一）在投标人出现下列情形之一时，我方承担保证责任：</w:t>
      </w:r>
    </w:p>
    <w:p w14:paraId="60795BC3">
      <w:pPr>
        <w:ind w:firstLine="426" w:firstLineChars="200"/>
        <w:rPr>
          <w:rFonts w:ascii="宋体" w:hAnsi="宋体"/>
        </w:rPr>
      </w:pPr>
      <w:r>
        <w:rPr>
          <w:rFonts w:hint="eastAsia" w:ascii="宋体" w:hAnsi="宋体"/>
        </w:rPr>
        <w:t>1．中标后投标人无正当理由不与采购人或者采购代理机构签订《政府采购合同》；</w:t>
      </w:r>
    </w:p>
    <w:p w14:paraId="17BBC30B">
      <w:pPr>
        <w:ind w:firstLine="426" w:firstLineChars="200"/>
        <w:rPr>
          <w:rFonts w:ascii="宋体" w:hAnsi="宋体"/>
        </w:rPr>
      </w:pPr>
      <w:r>
        <w:rPr>
          <w:rFonts w:hint="eastAsia" w:ascii="宋体" w:hAnsi="宋体"/>
        </w:rPr>
        <w:t>2．</w:t>
      </w:r>
      <w:r>
        <w:rPr>
          <w:rFonts w:hint="eastAsia" w:ascii="宋体" w:hAnsi="宋体"/>
          <w:lang w:val="en-US" w:eastAsia="zh-CN"/>
        </w:rPr>
        <w:t>磋商</w:t>
      </w:r>
      <w:r>
        <w:rPr>
          <w:rFonts w:hint="eastAsia" w:ascii="宋体" w:hAnsi="宋体"/>
        </w:rPr>
        <w:t>文件规定的投标人应当缴纳保证金的其他情形。</w:t>
      </w:r>
    </w:p>
    <w:p w14:paraId="13EE531A">
      <w:pPr>
        <w:ind w:firstLine="213" w:firstLineChars="100"/>
        <w:rPr>
          <w:rFonts w:ascii="宋体" w:hAnsi="宋体"/>
        </w:rPr>
      </w:pPr>
      <w:r>
        <w:rPr>
          <w:rFonts w:hint="eastAsia" w:ascii="宋体" w:hAnsi="宋体"/>
        </w:rPr>
        <w:t>（二）我方承担保证责任的最高金额为人民币</w:t>
      </w:r>
      <w:r>
        <w:rPr>
          <w:rFonts w:hint="eastAsia" w:ascii="宋体" w:hAnsi="宋体"/>
          <w:u w:val="single"/>
        </w:rPr>
        <w:t xml:space="preserve">      </w:t>
      </w:r>
      <w:r>
        <w:rPr>
          <w:rFonts w:hint="eastAsia" w:ascii="宋体" w:hAnsi="宋体"/>
        </w:rPr>
        <w:t>元（大写</w:t>
      </w:r>
      <w:r>
        <w:rPr>
          <w:rFonts w:hint="eastAsia" w:ascii="宋体" w:hAnsi="宋体"/>
          <w:u w:val="single"/>
        </w:rPr>
        <w:t xml:space="preserve">            </w:t>
      </w:r>
      <w:r>
        <w:rPr>
          <w:rFonts w:hint="eastAsia" w:ascii="宋体" w:hAnsi="宋体"/>
        </w:rPr>
        <w:t>），即本项目的投标保证金金额。</w:t>
      </w:r>
    </w:p>
    <w:p w14:paraId="4F844588">
      <w:pPr>
        <w:ind w:firstLine="426" w:firstLineChars="200"/>
        <w:rPr>
          <w:rFonts w:ascii="宋体" w:hAnsi="宋体"/>
        </w:rPr>
      </w:pPr>
      <w:r>
        <w:rPr>
          <w:rFonts w:hint="eastAsia" w:ascii="宋体" w:hAnsi="宋体"/>
        </w:rPr>
        <w:t>二、保证的方式及保证期间</w:t>
      </w:r>
    </w:p>
    <w:p w14:paraId="07521B3E">
      <w:pPr>
        <w:ind w:firstLine="426" w:firstLineChars="200"/>
        <w:rPr>
          <w:rFonts w:ascii="宋体" w:hAnsi="宋体"/>
        </w:rPr>
      </w:pPr>
      <w:r>
        <w:rPr>
          <w:rFonts w:hint="eastAsia" w:ascii="宋体" w:hAnsi="宋体"/>
        </w:rPr>
        <w:t>我方保证的方式为：连带责任保证。</w:t>
      </w:r>
    </w:p>
    <w:p w14:paraId="2E11360A">
      <w:pPr>
        <w:ind w:firstLine="426" w:firstLineChars="200"/>
        <w:rPr>
          <w:rFonts w:ascii="宋体" w:hAnsi="宋体"/>
        </w:rPr>
      </w:pPr>
      <w:r>
        <w:rPr>
          <w:rFonts w:hint="eastAsia" w:ascii="宋体" w:hAnsi="宋体"/>
        </w:rPr>
        <w:t>我方的保证期间为：自本保函生效之日起</w:t>
      </w:r>
      <w:r>
        <w:rPr>
          <w:rFonts w:hint="eastAsia" w:ascii="宋体" w:hAnsi="宋体"/>
          <w:u w:val="single"/>
        </w:rPr>
        <w:t xml:space="preserve">    </w:t>
      </w:r>
      <w:r>
        <w:rPr>
          <w:rFonts w:hint="eastAsia" w:ascii="宋体" w:hAnsi="宋体"/>
        </w:rPr>
        <w:t>个月止。</w:t>
      </w:r>
    </w:p>
    <w:p w14:paraId="07ACEEAF">
      <w:pPr>
        <w:ind w:firstLine="426" w:firstLineChars="200"/>
        <w:rPr>
          <w:rFonts w:ascii="宋体" w:hAnsi="宋体"/>
        </w:rPr>
      </w:pPr>
      <w:r>
        <w:rPr>
          <w:rFonts w:hint="eastAsia" w:ascii="宋体" w:hAnsi="宋体"/>
        </w:rPr>
        <w:t>三、承担保证责任的程序</w:t>
      </w:r>
    </w:p>
    <w:p w14:paraId="131376B9">
      <w:pPr>
        <w:ind w:firstLine="426" w:firstLineChars="200"/>
        <w:rPr>
          <w:rFonts w:ascii="宋体" w:hAnsi="宋体"/>
        </w:rPr>
      </w:pPr>
      <w:r>
        <w:rPr>
          <w:rFonts w:hint="eastAsia" w:ascii="宋体" w:hAnsi="宋体"/>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4564FB76">
      <w:pPr>
        <w:ind w:firstLine="426" w:firstLineChars="200"/>
        <w:rPr>
          <w:rFonts w:ascii="宋体" w:hAnsi="宋体"/>
        </w:rPr>
      </w:pPr>
      <w:r>
        <w:rPr>
          <w:rFonts w:hint="eastAsia" w:ascii="宋体" w:hAnsi="宋体"/>
        </w:rPr>
        <w:t>2．我方在收到索赔通知及相关证明材料后，在</w:t>
      </w:r>
      <w:r>
        <w:rPr>
          <w:rFonts w:hint="eastAsia" w:ascii="宋体" w:hAnsi="宋体"/>
          <w:u w:val="single"/>
        </w:rPr>
        <w:t>　　　</w:t>
      </w:r>
      <w:r>
        <w:rPr>
          <w:rFonts w:hint="eastAsia" w:ascii="宋体" w:hAnsi="宋体"/>
        </w:rPr>
        <w:t>个工作日内进行审查，符合应承担保证责任情形的，我方应按照你方的要求代投标人向你方支付投标保证金。</w:t>
      </w:r>
    </w:p>
    <w:p w14:paraId="634E19C3">
      <w:pPr>
        <w:ind w:firstLine="426" w:firstLineChars="200"/>
        <w:rPr>
          <w:rFonts w:ascii="宋体" w:hAnsi="宋体"/>
        </w:rPr>
      </w:pPr>
      <w:r>
        <w:rPr>
          <w:rFonts w:hint="eastAsia" w:ascii="宋体" w:hAnsi="宋体"/>
        </w:rPr>
        <w:t>四、保证责任的终止</w:t>
      </w:r>
    </w:p>
    <w:p w14:paraId="6123C02A">
      <w:pPr>
        <w:ind w:firstLine="426" w:firstLineChars="200"/>
        <w:rPr>
          <w:rFonts w:ascii="宋体" w:hAnsi="宋体"/>
        </w:rPr>
      </w:pPr>
      <w:r>
        <w:rPr>
          <w:rFonts w:hint="eastAsia" w:ascii="宋体" w:hAnsi="宋体"/>
        </w:rPr>
        <w:t>1．保证期间届满你方未向我方书面主张保证责任的，自保证期间届满次日起，我方保证责任自动终止。</w:t>
      </w:r>
    </w:p>
    <w:p w14:paraId="656A7678">
      <w:pPr>
        <w:ind w:firstLine="426" w:firstLineChars="200"/>
        <w:rPr>
          <w:rFonts w:ascii="宋体" w:hAnsi="宋体"/>
        </w:rPr>
      </w:pPr>
      <w:r>
        <w:rPr>
          <w:rFonts w:hint="eastAsia" w:ascii="宋体" w:hAnsi="宋体"/>
        </w:rPr>
        <w:t>2．我方按照本保函向你贵方履行了保证责任后，自我方向你贵方支付款项（支付款项从我方账户划出）之日起，保证责任终止。</w:t>
      </w:r>
    </w:p>
    <w:p w14:paraId="433F9A22">
      <w:pPr>
        <w:ind w:firstLine="426" w:firstLineChars="200"/>
        <w:rPr>
          <w:rFonts w:ascii="宋体" w:hAnsi="宋体"/>
        </w:rPr>
      </w:pPr>
      <w:r>
        <w:rPr>
          <w:rFonts w:hint="eastAsia" w:ascii="宋体" w:hAnsi="宋体"/>
        </w:rPr>
        <w:t>3．按照法律法规的规定或出现我方保证责任终止的其它情形的，我方在本保函项下的保证责任亦终止。</w:t>
      </w:r>
    </w:p>
    <w:p w14:paraId="01F1FFB7">
      <w:pPr>
        <w:ind w:firstLine="426" w:firstLineChars="200"/>
        <w:rPr>
          <w:rFonts w:ascii="宋体" w:hAnsi="宋体"/>
        </w:rPr>
      </w:pPr>
      <w:r>
        <w:rPr>
          <w:rFonts w:hint="eastAsia" w:ascii="宋体" w:hAnsi="宋体"/>
        </w:rPr>
        <w:t>五、免责条款</w:t>
      </w:r>
    </w:p>
    <w:p w14:paraId="1199A4F1">
      <w:pPr>
        <w:ind w:firstLine="426" w:firstLineChars="200"/>
        <w:rPr>
          <w:rFonts w:ascii="宋体" w:hAnsi="宋体"/>
        </w:rPr>
      </w:pPr>
      <w:r>
        <w:rPr>
          <w:rFonts w:hint="eastAsia" w:ascii="宋体" w:hAnsi="宋体"/>
        </w:rPr>
        <w:t>1．依照法律规定或你方与投标人的另行约定，全部或者部分免除投标人投标保证金义务时，我方亦免除相应的保证责任。</w:t>
      </w:r>
    </w:p>
    <w:p w14:paraId="4DC2B299">
      <w:pPr>
        <w:ind w:firstLine="426" w:firstLineChars="200"/>
        <w:rPr>
          <w:rFonts w:ascii="宋体" w:hAnsi="宋体"/>
        </w:rPr>
      </w:pPr>
      <w:r>
        <w:rPr>
          <w:rFonts w:hint="eastAsia" w:ascii="宋体" w:hAnsi="宋体"/>
        </w:rPr>
        <w:t>2．因你方原因致使投标人发生本保函第一条第（一）款约定情形的，我方不承担保证责任。</w:t>
      </w:r>
    </w:p>
    <w:p w14:paraId="686BDBA3">
      <w:pPr>
        <w:ind w:firstLine="426" w:firstLineChars="200"/>
        <w:rPr>
          <w:rFonts w:ascii="宋体" w:hAnsi="宋体"/>
        </w:rPr>
      </w:pPr>
      <w:r>
        <w:rPr>
          <w:rFonts w:hint="eastAsia" w:ascii="宋体" w:hAnsi="宋体"/>
        </w:rPr>
        <w:t>3．因不可抗力造成投标人发生本保函第一条约定情形的，我方不承担保证责任。</w:t>
      </w:r>
    </w:p>
    <w:p w14:paraId="1134CC4A">
      <w:pPr>
        <w:ind w:firstLine="426" w:firstLineChars="200"/>
        <w:rPr>
          <w:rFonts w:ascii="宋体" w:hAnsi="宋体"/>
        </w:rPr>
      </w:pPr>
      <w:r>
        <w:rPr>
          <w:rFonts w:hint="eastAsia" w:ascii="宋体" w:hAnsi="宋体"/>
        </w:rPr>
        <w:t>4．你方或其他有权机关对</w:t>
      </w:r>
      <w:r>
        <w:rPr>
          <w:rFonts w:hint="eastAsia" w:ascii="宋体" w:hAnsi="宋体"/>
          <w:lang w:val="en-US" w:eastAsia="zh-CN"/>
        </w:rPr>
        <w:t>磋商</w:t>
      </w:r>
      <w:r>
        <w:rPr>
          <w:rFonts w:hint="eastAsia" w:ascii="宋体" w:hAnsi="宋体"/>
        </w:rPr>
        <w:t>文件进行任何澄清或修改，加重我方保证责任的，我方对加重部分不承担保证责任，但该澄清或修改经我方事先书面同意的除外。</w:t>
      </w:r>
    </w:p>
    <w:p w14:paraId="2BBD8289">
      <w:pPr>
        <w:ind w:firstLine="426" w:firstLineChars="200"/>
        <w:rPr>
          <w:rFonts w:ascii="宋体" w:hAnsi="宋体"/>
        </w:rPr>
      </w:pPr>
      <w:r>
        <w:rPr>
          <w:rFonts w:hint="eastAsia" w:ascii="宋体" w:hAnsi="宋体"/>
        </w:rPr>
        <w:t>六、争议的解决</w:t>
      </w:r>
    </w:p>
    <w:p w14:paraId="706D8E68">
      <w:pPr>
        <w:ind w:firstLine="426" w:firstLineChars="200"/>
        <w:rPr>
          <w:rFonts w:ascii="宋体" w:hAnsi="宋体"/>
        </w:rPr>
      </w:pPr>
      <w:r>
        <w:rPr>
          <w:rFonts w:hint="eastAsia" w:ascii="宋体" w:hAnsi="宋体"/>
        </w:rPr>
        <w:t>因本保函发生的纠纷，由你我双方协商解决，协商不成的，通过诉讼程序解决，诉讼管辖地法院为</w:t>
      </w:r>
      <w:r>
        <w:rPr>
          <w:rFonts w:hint="eastAsia" w:ascii="宋体" w:hAnsi="宋体"/>
          <w:u w:val="single"/>
        </w:rPr>
        <w:t xml:space="preserve">          </w:t>
      </w:r>
      <w:r>
        <w:rPr>
          <w:rFonts w:hint="eastAsia" w:ascii="宋体" w:hAnsi="宋体"/>
        </w:rPr>
        <w:t>法院。</w:t>
      </w:r>
    </w:p>
    <w:p w14:paraId="259AEC58">
      <w:pPr>
        <w:ind w:firstLine="426" w:firstLineChars="200"/>
        <w:rPr>
          <w:rFonts w:ascii="宋体" w:hAnsi="宋体"/>
        </w:rPr>
      </w:pPr>
      <w:r>
        <w:rPr>
          <w:rFonts w:hint="eastAsia" w:ascii="宋体" w:hAnsi="宋体"/>
        </w:rPr>
        <w:t>七、保函的生效</w:t>
      </w:r>
    </w:p>
    <w:p w14:paraId="461672BD">
      <w:pPr>
        <w:ind w:firstLine="426" w:firstLineChars="200"/>
        <w:rPr>
          <w:rFonts w:ascii="宋体" w:hAnsi="宋体"/>
        </w:rPr>
      </w:pPr>
      <w:r>
        <w:rPr>
          <w:rFonts w:hint="eastAsia" w:ascii="宋体" w:hAnsi="宋体"/>
        </w:rPr>
        <w:t>本保函自我方加盖公章之日起生效。</w:t>
      </w:r>
    </w:p>
    <w:p w14:paraId="3C0D4EE3">
      <w:pPr>
        <w:ind w:firstLine="213" w:firstLineChars="100"/>
        <w:rPr>
          <w:rFonts w:hint="eastAsia" w:hAnsi="宋体"/>
          <w:b/>
          <w:kern w:val="0"/>
          <w:sz w:val="24"/>
        </w:rPr>
      </w:pPr>
      <w:r>
        <w:rPr>
          <w:rFonts w:hint="eastAsia" w:ascii="宋体" w:hAnsi="宋体"/>
        </w:rPr>
        <w:t xml:space="preserve">保证人：（公章）                                年     月    日   </w:t>
      </w:r>
      <w:bookmarkStart w:id="238" w:name="_Toc515647808"/>
      <w:bookmarkStart w:id="239" w:name="_Toc7039"/>
      <w:bookmarkStart w:id="240" w:name="_Toc32520"/>
      <w:r>
        <w:rPr>
          <w:rFonts w:hint="eastAsia" w:hAnsi="宋体"/>
          <w:b/>
          <w:kern w:val="0"/>
          <w:sz w:val="24"/>
        </w:rPr>
        <w:br w:type="page"/>
      </w:r>
    </w:p>
    <w:p w14:paraId="7B5D70EB">
      <w:pPr>
        <w:pStyle w:val="12"/>
        <w:tabs>
          <w:tab w:val="left" w:pos="5580"/>
        </w:tabs>
        <w:spacing w:line="240" w:lineRule="atLeast"/>
        <w:rPr>
          <w:rFonts w:hAnsi="宋体"/>
          <w:b/>
          <w:sz w:val="24"/>
        </w:rPr>
      </w:pPr>
      <w:r>
        <w:rPr>
          <w:rFonts w:hint="eastAsia" w:hAnsi="宋体"/>
          <w:b/>
          <w:kern w:val="0"/>
          <w:sz w:val="24"/>
        </w:rPr>
        <w:t>6、</w:t>
      </w:r>
      <w:r>
        <w:rPr>
          <w:rFonts w:hint="eastAsia" w:hAnsi="宋体"/>
          <w:b/>
          <w:kern w:val="0"/>
          <w:sz w:val="24"/>
          <w:lang w:eastAsia="zh-CN"/>
        </w:rPr>
        <w:t>投标企业须提供投标人（被授权在职人员）近6个月任意一个月的社保证明</w:t>
      </w:r>
      <w:r>
        <w:rPr>
          <w:rFonts w:hint="eastAsia" w:hAnsi="宋体"/>
          <w:b/>
          <w:kern w:val="0"/>
          <w:sz w:val="24"/>
        </w:rPr>
        <w:t>；</w:t>
      </w:r>
    </w:p>
    <w:p w14:paraId="5D8D64AD">
      <w:pPr>
        <w:pStyle w:val="12"/>
        <w:tabs>
          <w:tab w:val="left" w:pos="5580"/>
        </w:tabs>
        <w:spacing w:line="240" w:lineRule="atLeast"/>
        <w:ind w:left="540"/>
        <w:rPr>
          <w:rFonts w:hAnsi="宋体"/>
          <w:b/>
          <w:sz w:val="24"/>
        </w:rPr>
      </w:pPr>
    </w:p>
    <w:p w14:paraId="3E3856D4">
      <w:pPr>
        <w:pStyle w:val="12"/>
        <w:tabs>
          <w:tab w:val="left" w:pos="5580"/>
        </w:tabs>
        <w:spacing w:line="240" w:lineRule="atLeast"/>
        <w:ind w:left="540"/>
        <w:rPr>
          <w:rFonts w:hAnsi="宋体"/>
          <w:sz w:val="24"/>
        </w:rPr>
      </w:pPr>
      <w:r>
        <w:rPr>
          <w:rFonts w:hint="eastAsia" w:hAnsi="宋体"/>
          <w:sz w:val="24"/>
        </w:rPr>
        <w:t>说明：1.按照</w:t>
      </w:r>
      <w:r>
        <w:rPr>
          <w:rFonts w:hint="eastAsia" w:hAnsi="宋体"/>
          <w:sz w:val="24"/>
          <w:u w:val="single"/>
        </w:rPr>
        <w:t>投标人须知资料表</w:t>
      </w:r>
      <w:r>
        <w:rPr>
          <w:rFonts w:hint="eastAsia" w:hAnsi="宋体"/>
          <w:sz w:val="24"/>
        </w:rPr>
        <w:t>中的规定提供。</w:t>
      </w:r>
    </w:p>
    <w:p w14:paraId="31548C88">
      <w:pPr>
        <w:pStyle w:val="12"/>
        <w:tabs>
          <w:tab w:val="left" w:pos="5580"/>
        </w:tabs>
        <w:spacing w:line="240" w:lineRule="atLeast"/>
        <w:ind w:left="1087" w:leftChars="257" w:hanging="540"/>
        <w:rPr>
          <w:rFonts w:hAnsi="宋体"/>
          <w:sz w:val="24"/>
        </w:rPr>
      </w:pPr>
      <w:r>
        <w:rPr>
          <w:rFonts w:hint="eastAsia" w:hAnsi="宋体"/>
          <w:sz w:val="24"/>
        </w:rPr>
        <w:t xml:space="preserve">      2.应加盖本单位章。</w:t>
      </w:r>
    </w:p>
    <w:p w14:paraId="319B169E">
      <w:pPr>
        <w:tabs>
          <w:tab w:val="left" w:pos="5580"/>
        </w:tabs>
        <w:spacing w:line="240" w:lineRule="atLeast"/>
        <w:ind w:left="1087" w:leftChars="257" w:hanging="540"/>
        <w:rPr>
          <w:rFonts w:hint="eastAsia" w:ascii="宋体" w:hAnsi="宋体"/>
          <w:sz w:val="24"/>
        </w:rPr>
      </w:pPr>
      <w:r>
        <w:rPr>
          <w:rFonts w:hint="eastAsia" w:ascii="宋体" w:hAnsi="宋体"/>
          <w:sz w:val="24"/>
        </w:rPr>
        <w:t xml:space="preserve">      </w:t>
      </w:r>
      <w:r>
        <w:rPr>
          <w:rFonts w:hint="eastAsia" w:ascii="宋体" w:hAnsi="宋体" w:eastAsia="宋体" w:cs="宋体"/>
          <w:kern w:val="2"/>
          <w:sz w:val="24"/>
          <w:szCs w:val="20"/>
          <w:lang w:val="en-US" w:eastAsia="zh-CN" w:bidi="ar-SA"/>
        </w:rPr>
        <w:t>3.（本项目不接受联合体）如果是联合体投标，联合体各方均需提供上述证明</w:t>
      </w:r>
      <w:r>
        <w:rPr>
          <w:rFonts w:hint="eastAsia" w:ascii="宋体" w:hAnsi="宋体"/>
          <w:sz w:val="24"/>
        </w:rPr>
        <w:t>。</w:t>
      </w:r>
      <w:bookmarkStart w:id="241" w:name="_Toc14515"/>
      <w:bookmarkStart w:id="242" w:name="_Toc515647814"/>
      <w:bookmarkStart w:id="243" w:name="_Toc23044"/>
      <w:bookmarkStart w:id="244" w:name="_Toc2502"/>
    </w:p>
    <w:p w14:paraId="2946CA69">
      <w:pPr>
        <w:tabs>
          <w:tab w:val="left" w:pos="5580"/>
        </w:tabs>
        <w:spacing w:line="240" w:lineRule="atLeast"/>
        <w:ind w:left="1087" w:leftChars="257" w:hanging="540"/>
        <w:rPr>
          <w:rFonts w:hint="eastAsia" w:ascii="宋体" w:hAnsi="宋体"/>
          <w:sz w:val="24"/>
        </w:rPr>
      </w:pPr>
    </w:p>
    <w:bookmarkEnd w:id="241"/>
    <w:bookmarkEnd w:id="242"/>
    <w:bookmarkEnd w:id="243"/>
    <w:bookmarkEnd w:id="244"/>
    <w:p w14:paraId="063A3EDC">
      <w:pPr>
        <w:pStyle w:val="3"/>
        <w:numPr>
          <w:ilvl w:val="0"/>
          <w:numId w:val="0"/>
        </w:numPr>
        <w:spacing w:before="0" w:line="240" w:lineRule="atLeast"/>
        <w:rPr>
          <w:rFonts w:ascii="宋体" w:hAnsi="宋体" w:eastAsia="宋体"/>
          <w:b/>
          <w:bCs/>
          <w:sz w:val="24"/>
        </w:rPr>
      </w:pPr>
      <w:r>
        <w:rPr>
          <w:rFonts w:hint="eastAsia" w:ascii="宋体" w:hAnsi="宋体" w:eastAsia="宋体"/>
          <w:b/>
          <w:bCs/>
          <w:sz w:val="24"/>
        </w:rPr>
        <w:t>7、未被“信用中国”（www.creditchina.gov.cn）、中国政府采购网（www.ccgp.gov.cn）列入失信被执行人、重大税收违法案件当事人名单、政府采购严重违法失信行为记录名单；</w:t>
      </w:r>
    </w:p>
    <w:p w14:paraId="4D56340B">
      <w:pPr>
        <w:pStyle w:val="80"/>
        <w:spacing w:line="360" w:lineRule="auto"/>
        <w:ind w:left="0"/>
        <w:jc w:val="both"/>
        <w:rPr>
          <w:rFonts w:hint="eastAsia" w:ascii="宋体" w:hAnsi="宋体"/>
          <w:b/>
          <w:kern w:val="0"/>
          <w:sz w:val="24"/>
          <w:szCs w:val="20"/>
        </w:rPr>
      </w:pPr>
    </w:p>
    <w:p w14:paraId="1D6C4980">
      <w:pPr>
        <w:pStyle w:val="80"/>
        <w:spacing w:line="360" w:lineRule="auto"/>
        <w:ind w:left="0"/>
        <w:jc w:val="both"/>
        <w:rPr>
          <w:rFonts w:hint="eastAsia" w:ascii="宋体" w:hAnsi="宋体"/>
          <w:b/>
          <w:kern w:val="0"/>
          <w:sz w:val="24"/>
          <w:szCs w:val="20"/>
        </w:rPr>
      </w:pPr>
      <w:r>
        <w:rPr>
          <w:rFonts w:hint="eastAsia" w:ascii="宋体" w:hAnsi="宋体"/>
          <w:b/>
          <w:kern w:val="0"/>
          <w:sz w:val="24"/>
          <w:szCs w:val="20"/>
        </w:rPr>
        <w:t>8、提供反商业贿赂承诺书（自拟）；</w:t>
      </w:r>
    </w:p>
    <w:p w14:paraId="7AD1339D">
      <w:pPr>
        <w:rPr>
          <w:rFonts w:hint="eastAsia"/>
          <w:lang w:val="en-US" w:eastAsia="zh-CN"/>
        </w:rPr>
      </w:pPr>
    </w:p>
    <w:p w14:paraId="63E49789">
      <w:pPr>
        <w:pStyle w:val="3"/>
        <w:numPr>
          <w:ilvl w:val="0"/>
          <w:numId w:val="0"/>
        </w:numPr>
        <w:spacing w:before="0" w:line="480" w:lineRule="auto"/>
        <w:rPr>
          <w:rFonts w:hint="eastAsia" w:ascii="宋体" w:hAnsi="宋体" w:eastAsia="宋体" w:cs="宋体"/>
          <w:b/>
          <w:bCs/>
          <w:color w:val="auto"/>
          <w:kern w:val="0"/>
          <w:sz w:val="24"/>
          <w:szCs w:val="20"/>
          <w:highlight w:val="none"/>
          <w:lang w:val="en-US" w:eastAsia="zh-CN" w:bidi="ar-SA"/>
        </w:rPr>
      </w:pPr>
      <w:r>
        <w:rPr>
          <w:rFonts w:hint="eastAsia" w:ascii="宋体" w:hAnsi="宋体" w:eastAsia="宋体"/>
          <w:b/>
          <w:bCs/>
          <w:sz w:val="24"/>
          <w:lang w:val="en-US" w:eastAsia="zh-CN"/>
        </w:rPr>
        <w:t>9</w:t>
      </w:r>
      <w:r>
        <w:rPr>
          <w:rFonts w:hint="eastAsia" w:ascii="宋体" w:hAnsi="宋体" w:eastAsia="宋体"/>
          <w:b/>
          <w:bCs/>
          <w:sz w:val="24"/>
        </w:rPr>
        <w:t>、投标人须知资料表要求的其他资格证明文件;</w:t>
      </w:r>
      <w:bookmarkEnd w:id="238"/>
      <w:bookmarkEnd w:id="239"/>
      <w:bookmarkEnd w:id="240"/>
      <w:bookmarkStart w:id="245" w:name="_Toc9133"/>
      <w:bookmarkStart w:id="246" w:name="_Toc5548"/>
      <w:bookmarkStart w:id="247" w:name="_Toc5626"/>
      <w:bookmarkStart w:id="248" w:name="_Toc515647813"/>
      <w:bookmarkStart w:id="249" w:name="_Toc29703"/>
      <w:bookmarkStart w:id="250" w:name="_Toc17207"/>
      <w:bookmarkStart w:id="251" w:name="_Toc15000"/>
    </w:p>
    <w:p w14:paraId="42AC3DBB">
      <w:pPr>
        <w:shd w:val="clear" w:color="auto" w:fill="auto"/>
        <w:spacing w:line="240" w:lineRule="atLeast"/>
        <w:jc w:val="both"/>
        <w:rPr>
          <w:rFonts w:hint="eastAsia" w:ascii="宋体" w:hAnsi="宋体" w:eastAsia="宋体" w:cs="宋体"/>
          <w:b/>
          <w:bCs/>
          <w:color w:val="auto"/>
          <w:sz w:val="24"/>
          <w:highlight w:val="none"/>
        </w:rPr>
      </w:pPr>
    </w:p>
    <w:p w14:paraId="4B3C612D">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说明：1.应提供</w:t>
      </w:r>
      <w:r>
        <w:rPr>
          <w:rFonts w:hint="eastAsia" w:ascii="宋体" w:hAnsi="宋体" w:eastAsia="宋体" w:cs="宋体"/>
          <w:color w:val="auto"/>
          <w:sz w:val="24"/>
          <w:highlight w:val="none"/>
          <w:u w:val="single"/>
        </w:rPr>
        <w:t>投标人须知资料表</w:t>
      </w:r>
      <w:r>
        <w:rPr>
          <w:rFonts w:hint="eastAsia" w:ascii="宋体" w:hAnsi="宋体" w:eastAsia="宋体" w:cs="宋体"/>
          <w:color w:val="auto"/>
          <w:sz w:val="24"/>
          <w:highlight w:val="none"/>
        </w:rPr>
        <w:t>要求的其他资格证明文件。</w:t>
      </w:r>
    </w:p>
    <w:p w14:paraId="59FBDB09">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2.复印件上应加盖本单位章（自然人投标的无需盖章，需要签字）。</w:t>
      </w:r>
    </w:p>
    <w:p w14:paraId="5896B76D">
      <w:pPr>
        <w:pStyle w:val="12"/>
        <w:shd w:val="clear" w:color="auto" w:fill="auto"/>
        <w:tabs>
          <w:tab w:val="left" w:pos="5580"/>
        </w:tabs>
        <w:spacing w:line="240" w:lineRule="atLeast"/>
        <w:ind w:left="1270" w:leftChars="344" w:hanging="538"/>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3. （本项目不接受联合体）如果是联合体投标，联合体各方需提供的满足</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要求的其他资格证明文件。</w:t>
      </w:r>
    </w:p>
    <w:p w14:paraId="40818ADD">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113B7DAE">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176020B3">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75801E70">
      <w:pPr>
        <w:pStyle w:val="13"/>
        <w:shd w:val="clear" w:color="auto" w:fill="auto"/>
        <w:rPr>
          <w:rFonts w:hint="eastAsia" w:ascii="宋体" w:hAnsi="宋体" w:eastAsia="宋体" w:cs="宋体"/>
          <w:color w:val="auto"/>
          <w:sz w:val="24"/>
          <w:highlight w:val="none"/>
        </w:rPr>
      </w:pPr>
    </w:p>
    <w:p w14:paraId="391263F4">
      <w:pPr>
        <w:rPr>
          <w:rFonts w:hint="eastAsia" w:ascii="宋体" w:hAnsi="宋体" w:eastAsia="宋体" w:cs="宋体"/>
          <w:color w:val="auto"/>
          <w:sz w:val="24"/>
          <w:highlight w:val="none"/>
          <w:lang w:val="en-US" w:eastAsia="zh-CN"/>
        </w:rPr>
      </w:pPr>
    </w:p>
    <w:p w14:paraId="79929E50">
      <w:pPr>
        <w:rPr>
          <w:rFonts w:hint="eastAsia" w:ascii="宋体" w:hAnsi="宋体" w:eastAsia="宋体" w:cs="宋体"/>
          <w:color w:val="auto"/>
          <w:sz w:val="24"/>
          <w:highlight w:val="none"/>
          <w:lang w:val="en-US" w:eastAsia="zh-CN"/>
        </w:rPr>
      </w:pPr>
    </w:p>
    <w:p w14:paraId="389E21D0">
      <w:pPr>
        <w:pStyle w:val="42"/>
        <w:rPr>
          <w:rFonts w:hint="eastAsia" w:ascii="宋体" w:hAnsi="宋体" w:eastAsia="宋体" w:cs="宋体"/>
          <w:color w:val="auto"/>
          <w:sz w:val="24"/>
          <w:highlight w:val="none"/>
          <w:lang w:val="en-US" w:eastAsia="zh-CN"/>
        </w:rPr>
      </w:pPr>
    </w:p>
    <w:p w14:paraId="3ADADA31">
      <w:pPr>
        <w:pStyle w:val="42"/>
        <w:rPr>
          <w:rFonts w:hint="eastAsia" w:ascii="宋体" w:hAnsi="宋体" w:eastAsia="宋体" w:cs="宋体"/>
          <w:color w:val="auto"/>
          <w:sz w:val="24"/>
          <w:highlight w:val="none"/>
          <w:lang w:val="en-US" w:eastAsia="zh-CN"/>
        </w:rPr>
      </w:pPr>
    </w:p>
    <w:p w14:paraId="413F967E">
      <w:pPr>
        <w:pStyle w:val="42"/>
        <w:rPr>
          <w:rFonts w:hint="eastAsia" w:ascii="宋体" w:hAnsi="宋体" w:eastAsia="宋体" w:cs="宋体"/>
          <w:color w:val="auto"/>
          <w:sz w:val="24"/>
          <w:highlight w:val="none"/>
          <w:lang w:val="en-US" w:eastAsia="zh-CN"/>
        </w:rPr>
      </w:pPr>
    </w:p>
    <w:p w14:paraId="625CB44F">
      <w:pPr>
        <w:pStyle w:val="42"/>
        <w:rPr>
          <w:rFonts w:hint="eastAsia" w:ascii="宋体" w:hAnsi="宋体" w:eastAsia="宋体" w:cs="宋体"/>
          <w:color w:val="auto"/>
          <w:sz w:val="24"/>
          <w:highlight w:val="none"/>
          <w:lang w:val="en-US" w:eastAsia="zh-CN"/>
        </w:rPr>
      </w:pPr>
    </w:p>
    <w:p w14:paraId="4709DAE1">
      <w:pPr>
        <w:pStyle w:val="42"/>
        <w:rPr>
          <w:rFonts w:hint="eastAsia" w:ascii="宋体" w:hAnsi="宋体" w:eastAsia="宋体" w:cs="宋体"/>
          <w:color w:val="auto"/>
          <w:sz w:val="24"/>
          <w:highlight w:val="none"/>
          <w:lang w:val="en-US" w:eastAsia="zh-CN"/>
        </w:rPr>
      </w:pPr>
    </w:p>
    <w:p w14:paraId="19662378">
      <w:pPr>
        <w:pStyle w:val="42"/>
        <w:rPr>
          <w:rFonts w:hint="eastAsia" w:ascii="宋体" w:hAnsi="宋体" w:eastAsia="宋体" w:cs="宋体"/>
          <w:color w:val="auto"/>
          <w:sz w:val="24"/>
          <w:highlight w:val="none"/>
          <w:lang w:val="en-US" w:eastAsia="zh-CN"/>
        </w:rPr>
      </w:pPr>
    </w:p>
    <w:p w14:paraId="7B9D5965">
      <w:pPr>
        <w:pStyle w:val="42"/>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br w:type="page"/>
      </w:r>
    </w:p>
    <w:bookmarkEnd w:id="245"/>
    <w:bookmarkEnd w:id="246"/>
    <w:bookmarkEnd w:id="247"/>
    <w:bookmarkEnd w:id="248"/>
    <w:bookmarkEnd w:id="249"/>
    <w:bookmarkEnd w:id="250"/>
    <w:bookmarkEnd w:id="251"/>
    <w:p w14:paraId="0E08ED74">
      <w:pPr>
        <w:pStyle w:val="3"/>
        <w:keepNext/>
        <w:keepLines/>
        <w:pageBreakBefore w:val="0"/>
        <w:widowControl w:val="0"/>
        <w:numPr>
          <w:ilvl w:val="0"/>
          <w:numId w:val="9"/>
        </w:numPr>
        <w:shd w:val="clear" w:color="auto" w:fill="auto"/>
        <w:kinsoku/>
        <w:wordWrap/>
        <w:overflowPunct/>
        <w:topLinePunct w:val="0"/>
        <w:autoSpaceDE/>
        <w:autoSpaceDN/>
        <w:bidi w:val="0"/>
        <w:adjustRightInd/>
        <w:snapToGrid/>
        <w:spacing w:before="40" w:after="40" w:line="579" w:lineRule="auto"/>
        <w:jc w:val="center"/>
        <w:textAlignment w:val="auto"/>
        <w:outlineLvl w:val="1"/>
        <w:rPr>
          <w:rFonts w:hint="eastAsia"/>
          <w:b/>
          <w:bCs/>
        </w:rPr>
      </w:pPr>
      <w:bookmarkStart w:id="252" w:name="_Toc5695"/>
      <w:bookmarkStart w:id="253" w:name="_Toc4288"/>
      <w:bookmarkStart w:id="254" w:name="_Toc515647816"/>
      <w:bookmarkStart w:id="255" w:name="_Toc22967"/>
      <w:bookmarkStart w:id="256" w:name="_Toc29196"/>
      <w:bookmarkStart w:id="257" w:name="_Toc18861"/>
      <w:bookmarkStart w:id="258" w:name="_Toc20133"/>
      <w:bookmarkStart w:id="259" w:name="_Toc11180"/>
      <w:r>
        <w:rPr>
          <w:rFonts w:hint="eastAsia"/>
          <w:b/>
          <w:bCs/>
          <w:color w:val="auto"/>
          <w:sz w:val="24"/>
          <w:szCs w:val="24"/>
          <w:highlight w:val="none"/>
        </w:rPr>
        <w:t>商务及技术文件</w:t>
      </w:r>
      <w:bookmarkEnd w:id="252"/>
      <w:bookmarkEnd w:id="253"/>
      <w:bookmarkEnd w:id="254"/>
      <w:bookmarkEnd w:id="255"/>
      <w:bookmarkEnd w:id="256"/>
      <w:bookmarkEnd w:id="257"/>
      <w:bookmarkEnd w:id="258"/>
      <w:bookmarkEnd w:id="259"/>
    </w:p>
    <w:p w14:paraId="52E3BCB5">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rPr>
      </w:pPr>
      <w:r>
        <w:rPr>
          <w:rFonts w:hint="eastAsia" w:ascii="宋体" w:hAnsi="宋体" w:eastAsia="宋体" w:cs="宋体"/>
          <w:color w:val="auto"/>
          <w:sz w:val="24"/>
          <w:highlight w:val="none"/>
        </w:rPr>
        <w:t>1、投标书</w:t>
      </w:r>
    </w:p>
    <w:p w14:paraId="37649393">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2、投标分项报价表</w:t>
      </w:r>
    </w:p>
    <w:p w14:paraId="6C056CA2">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rPr>
      </w:pPr>
      <w:r>
        <w:rPr>
          <w:rFonts w:hint="eastAsia"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hAnsi="宋体" w:eastAsia="宋体" w:cs="宋体"/>
          <w:color w:val="auto"/>
          <w:sz w:val="24"/>
          <w:highlight w:val="none"/>
          <w:lang w:val="en-US" w:eastAsia="zh-CN"/>
        </w:rPr>
        <w:t>服务</w:t>
      </w:r>
      <w:r>
        <w:rPr>
          <w:rFonts w:hint="eastAsia" w:ascii="宋体" w:hAnsi="宋体" w:eastAsia="宋体" w:cs="宋体"/>
          <w:color w:val="auto"/>
          <w:sz w:val="24"/>
          <w:highlight w:val="none"/>
        </w:rPr>
        <w:t>说明一览表</w:t>
      </w:r>
    </w:p>
    <w:p w14:paraId="2AD00747">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rPr>
      </w:pPr>
      <w:r>
        <w:rPr>
          <w:rFonts w:hint="eastAsia" w:hAnsi="宋体" w:eastAsia="宋体" w:cs="宋体"/>
          <w:color w:val="auto"/>
          <w:sz w:val="24"/>
          <w:highlight w:val="none"/>
          <w:lang w:val="en-US" w:eastAsia="zh-CN"/>
        </w:rPr>
        <w:t>4</w:t>
      </w:r>
      <w:r>
        <w:rPr>
          <w:rFonts w:hint="eastAsia" w:ascii="宋体" w:hAnsi="宋体" w:eastAsia="宋体" w:cs="宋体"/>
          <w:color w:val="auto"/>
          <w:sz w:val="24"/>
          <w:highlight w:val="none"/>
        </w:rPr>
        <w:t>、技术规格偏离表</w:t>
      </w:r>
    </w:p>
    <w:p w14:paraId="5DD77447">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、商务条款偏离表</w:t>
      </w:r>
    </w:p>
    <w:p w14:paraId="1900C882">
      <w:pPr>
        <w:pStyle w:val="12"/>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729" w:firstLineChars="3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6、投标人关联单位的说明（格式自拟）</w:t>
      </w:r>
    </w:p>
    <w:p w14:paraId="5D9525F1">
      <w:pPr>
        <w:keepNext w:val="0"/>
        <w:keepLines w:val="0"/>
        <w:pageBreakBefore w:val="0"/>
        <w:widowControl w:val="0"/>
        <w:kinsoku/>
        <w:wordWrap/>
        <w:overflowPunct/>
        <w:topLinePunct w:val="0"/>
        <w:autoSpaceDE/>
        <w:autoSpaceDN/>
        <w:bidi w:val="0"/>
        <w:adjustRightInd/>
        <w:snapToGrid/>
        <w:spacing w:line="240" w:lineRule="auto"/>
        <w:ind w:firstLine="729" w:firstLineChars="300"/>
        <w:jc w:val="left"/>
        <w:textAlignment w:val="auto"/>
        <w:outlineLvl w:val="9"/>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7、中小企业声明函(服务)（附件1）</w:t>
      </w:r>
    </w:p>
    <w:p w14:paraId="2E61A8B6">
      <w:pPr>
        <w:keepNext w:val="0"/>
        <w:keepLines w:val="0"/>
        <w:pageBreakBefore w:val="0"/>
        <w:widowControl w:val="0"/>
        <w:kinsoku/>
        <w:wordWrap/>
        <w:overflowPunct/>
        <w:topLinePunct w:val="0"/>
        <w:autoSpaceDE/>
        <w:autoSpaceDN/>
        <w:bidi w:val="0"/>
        <w:adjustRightInd/>
        <w:snapToGrid/>
        <w:spacing w:line="240" w:lineRule="auto"/>
        <w:ind w:firstLine="725" w:firstLineChars="299"/>
        <w:textAlignment w:val="auto"/>
        <w:outlineLvl w:val="9"/>
        <w:rPr>
          <w:rFonts w:hint="eastAsia" w:ascii="宋体" w:hAnsi="宋体" w:eastAsia="宋体" w:cs="宋体"/>
          <w:color w:val="auto"/>
          <w:kern w:val="2"/>
          <w:sz w:val="24"/>
          <w:szCs w:val="20"/>
          <w:highlight w:val="none"/>
          <w:u w:val="none" w:color="000000"/>
          <w:lang w:val="en-US" w:eastAsia="zh-CN" w:bidi="ar-SA"/>
        </w:rPr>
      </w:pPr>
      <w:r>
        <w:rPr>
          <w:rFonts w:hint="eastAsia" w:ascii="宋体" w:hAnsi="宋体" w:eastAsia="宋体" w:cs="宋体"/>
          <w:color w:val="auto"/>
          <w:kern w:val="2"/>
          <w:sz w:val="24"/>
          <w:szCs w:val="20"/>
          <w:highlight w:val="none"/>
          <w:u w:val="none" w:color="000000"/>
          <w:lang w:val="en-US" w:eastAsia="zh-CN" w:bidi="ar-SA"/>
        </w:rPr>
        <w:t>8、《残疾人福利性单位声明函》（附件2）</w:t>
      </w:r>
    </w:p>
    <w:p w14:paraId="5630DA68">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lang w:eastAsia="zh-CN"/>
        </w:rPr>
      </w:pPr>
      <w:r>
        <w:rPr>
          <w:rFonts w:hint="eastAsia" w:hAnsi="宋体" w:eastAsia="宋体" w:cs="宋体"/>
          <w:color w:val="auto"/>
          <w:sz w:val="24"/>
          <w:highlight w:val="none"/>
          <w:lang w:val="en-US" w:eastAsia="zh-CN"/>
        </w:rPr>
        <w:t>9</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eastAsia="zh-CN"/>
        </w:rPr>
        <w:t>评分标准和细则中技术部分证明材料（格式自拟）</w:t>
      </w:r>
    </w:p>
    <w:p w14:paraId="682F3365">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lang w:eastAsia="zh-CN"/>
        </w:rPr>
      </w:pPr>
      <w:r>
        <w:rPr>
          <w:rFonts w:hint="eastAsia" w:hAnsi="宋体" w:eastAsia="宋体" w:cs="宋体"/>
          <w:color w:val="auto"/>
          <w:sz w:val="24"/>
          <w:highlight w:val="none"/>
          <w:lang w:val="en-US" w:eastAsia="zh-CN"/>
        </w:rPr>
        <w:t>10</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eastAsia="zh-CN"/>
        </w:rPr>
        <w:t>评分标准和细则中</w:t>
      </w:r>
      <w:r>
        <w:rPr>
          <w:rFonts w:hint="eastAsia" w:hAnsi="宋体" w:eastAsia="宋体" w:cs="宋体"/>
          <w:color w:val="auto"/>
          <w:sz w:val="24"/>
          <w:highlight w:val="none"/>
          <w:lang w:eastAsia="zh-CN"/>
        </w:rPr>
        <w:t>商务</w:t>
      </w:r>
      <w:r>
        <w:rPr>
          <w:rFonts w:hint="eastAsia" w:ascii="宋体" w:hAnsi="宋体" w:eastAsia="宋体" w:cs="宋体"/>
          <w:color w:val="auto"/>
          <w:sz w:val="24"/>
          <w:highlight w:val="none"/>
          <w:lang w:eastAsia="zh-CN"/>
        </w:rPr>
        <w:t>部分证明材料（格式自拟）</w:t>
      </w:r>
    </w:p>
    <w:p w14:paraId="364A4DD6">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729" w:firstLineChars="300"/>
        <w:textAlignment w:val="auto"/>
        <w:rPr>
          <w:rFonts w:hint="eastAsia" w:ascii="宋体" w:hAnsi="宋体" w:eastAsia="宋体" w:cs="宋体"/>
          <w:color w:val="auto"/>
          <w:sz w:val="24"/>
          <w:highlight w:val="none"/>
          <w:lang w:eastAsia="zh-CN"/>
        </w:rPr>
      </w:pPr>
      <w:r>
        <w:rPr>
          <w:rFonts w:hint="eastAsia" w:hAnsi="宋体" w:eastAsia="宋体" w:cs="宋体"/>
          <w:color w:val="auto"/>
          <w:sz w:val="24"/>
          <w:highlight w:val="none"/>
          <w:lang w:val="en-US" w:eastAsia="zh-CN"/>
        </w:rPr>
        <w:t>11</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eastAsia="zh-CN"/>
        </w:rPr>
        <w:t>投标人认为有必要提供的其他证明材料（格式自拟）</w:t>
      </w:r>
    </w:p>
    <w:p w14:paraId="217D57FD">
      <w:pPr>
        <w:pStyle w:val="12"/>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p>
    <w:p w14:paraId="6C6C6117">
      <w:pPr>
        <w:pStyle w:val="13"/>
        <w:rPr>
          <w:rFonts w:hint="eastAsia" w:ascii="宋体" w:hAnsi="宋体" w:eastAsia="宋体" w:cs="宋体"/>
          <w:color w:val="auto"/>
          <w:sz w:val="24"/>
          <w:highlight w:val="none"/>
        </w:rPr>
      </w:pPr>
    </w:p>
    <w:p w14:paraId="43089E66">
      <w:pPr>
        <w:rPr>
          <w:rFonts w:hint="eastAsia" w:ascii="宋体" w:hAnsi="宋体" w:eastAsia="宋体" w:cs="宋体"/>
          <w:color w:val="auto"/>
          <w:sz w:val="24"/>
          <w:highlight w:val="none"/>
        </w:rPr>
      </w:pPr>
    </w:p>
    <w:p w14:paraId="02FE22E2">
      <w:pPr>
        <w:pStyle w:val="24"/>
        <w:rPr>
          <w:rFonts w:hint="eastAsia" w:ascii="宋体" w:hAnsi="宋体" w:eastAsia="宋体" w:cs="宋体"/>
          <w:color w:val="auto"/>
          <w:sz w:val="24"/>
          <w:highlight w:val="none"/>
        </w:rPr>
      </w:pPr>
    </w:p>
    <w:p w14:paraId="3BE9CBC4">
      <w:pPr>
        <w:rPr>
          <w:rFonts w:hint="eastAsia" w:ascii="宋体" w:hAnsi="宋体" w:eastAsia="宋体" w:cs="宋体"/>
          <w:color w:val="auto"/>
          <w:sz w:val="24"/>
          <w:highlight w:val="none"/>
        </w:rPr>
      </w:pPr>
    </w:p>
    <w:p w14:paraId="351DBECA">
      <w:pPr>
        <w:pStyle w:val="24"/>
        <w:rPr>
          <w:rFonts w:hint="eastAsia" w:ascii="宋体" w:hAnsi="宋体" w:eastAsia="宋体" w:cs="宋体"/>
          <w:color w:val="auto"/>
          <w:sz w:val="24"/>
          <w:highlight w:val="none"/>
        </w:rPr>
      </w:pPr>
    </w:p>
    <w:p w14:paraId="3506A47E">
      <w:pPr>
        <w:rPr>
          <w:rFonts w:hint="eastAsia" w:ascii="宋体" w:hAnsi="宋体" w:eastAsia="宋体" w:cs="宋体"/>
          <w:color w:val="auto"/>
          <w:sz w:val="24"/>
          <w:highlight w:val="none"/>
        </w:rPr>
      </w:pPr>
    </w:p>
    <w:p w14:paraId="0F1834BB">
      <w:pPr>
        <w:pStyle w:val="24"/>
        <w:rPr>
          <w:rFonts w:hint="eastAsia" w:ascii="宋体" w:hAnsi="宋体" w:eastAsia="宋体" w:cs="宋体"/>
          <w:color w:val="auto"/>
          <w:sz w:val="24"/>
          <w:highlight w:val="none"/>
        </w:rPr>
      </w:pPr>
    </w:p>
    <w:p w14:paraId="3FDC346E">
      <w:pPr>
        <w:rPr>
          <w:rFonts w:hint="eastAsia" w:ascii="宋体" w:hAnsi="宋体" w:eastAsia="宋体" w:cs="宋体"/>
          <w:color w:val="auto"/>
          <w:sz w:val="24"/>
          <w:highlight w:val="none"/>
        </w:rPr>
      </w:pPr>
    </w:p>
    <w:p w14:paraId="55AE133D">
      <w:pPr>
        <w:pStyle w:val="24"/>
        <w:rPr>
          <w:rFonts w:hint="eastAsia" w:ascii="宋体" w:hAnsi="宋体" w:eastAsia="宋体" w:cs="宋体"/>
          <w:color w:val="auto"/>
          <w:sz w:val="24"/>
          <w:highlight w:val="none"/>
        </w:rPr>
      </w:pPr>
    </w:p>
    <w:p w14:paraId="53B48E39">
      <w:pPr>
        <w:rPr>
          <w:rFonts w:hint="eastAsia" w:ascii="宋体" w:hAnsi="宋体" w:eastAsia="宋体" w:cs="宋体"/>
          <w:color w:val="auto"/>
          <w:sz w:val="24"/>
          <w:highlight w:val="none"/>
        </w:rPr>
      </w:pPr>
    </w:p>
    <w:p w14:paraId="25D103AD">
      <w:pPr>
        <w:pStyle w:val="24"/>
        <w:rPr>
          <w:rFonts w:hint="eastAsia" w:ascii="宋体" w:hAnsi="宋体" w:eastAsia="宋体" w:cs="宋体"/>
          <w:color w:val="auto"/>
          <w:sz w:val="24"/>
          <w:highlight w:val="none"/>
        </w:rPr>
      </w:pPr>
    </w:p>
    <w:p w14:paraId="22AFD8E3">
      <w:pPr>
        <w:rPr>
          <w:rFonts w:hint="eastAsia" w:ascii="宋体" w:hAnsi="宋体" w:eastAsia="宋体" w:cs="宋体"/>
          <w:color w:val="auto"/>
          <w:sz w:val="24"/>
          <w:highlight w:val="none"/>
        </w:rPr>
      </w:pPr>
    </w:p>
    <w:p w14:paraId="2DCF7372">
      <w:pPr>
        <w:pStyle w:val="24"/>
        <w:rPr>
          <w:rFonts w:hint="eastAsia" w:ascii="宋体" w:hAnsi="宋体" w:eastAsia="宋体" w:cs="宋体"/>
          <w:color w:val="auto"/>
          <w:sz w:val="24"/>
          <w:highlight w:val="none"/>
        </w:rPr>
      </w:pPr>
    </w:p>
    <w:p w14:paraId="14C1908B">
      <w:pPr>
        <w:rPr>
          <w:rFonts w:hint="eastAsia" w:ascii="宋体" w:hAnsi="宋体" w:eastAsia="宋体" w:cs="宋体"/>
          <w:color w:val="auto"/>
          <w:sz w:val="24"/>
          <w:highlight w:val="none"/>
        </w:rPr>
      </w:pPr>
    </w:p>
    <w:p w14:paraId="77AE066B">
      <w:pPr>
        <w:pStyle w:val="24"/>
        <w:rPr>
          <w:rFonts w:hint="eastAsia" w:ascii="宋体" w:hAnsi="宋体" w:eastAsia="宋体" w:cs="宋体"/>
          <w:color w:val="auto"/>
          <w:sz w:val="24"/>
          <w:highlight w:val="none"/>
        </w:rPr>
      </w:pPr>
    </w:p>
    <w:p w14:paraId="0868C3EA">
      <w:pPr>
        <w:rPr>
          <w:rFonts w:hint="eastAsia" w:ascii="宋体" w:hAnsi="宋体" w:eastAsia="宋体" w:cs="宋体"/>
          <w:color w:val="auto"/>
          <w:sz w:val="24"/>
          <w:highlight w:val="none"/>
        </w:rPr>
      </w:pPr>
    </w:p>
    <w:p w14:paraId="5EE0E756">
      <w:pPr>
        <w:pStyle w:val="24"/>
        <w:rPr>
          <w:rFonts w:hint="eastAsia" w:ascii="宋体" w:hAnsi="宋体" w:eastAsia="宋体" w:cs="宋体"/>
          <w:color w:val="auto"/>
          <w:sz w:val="24"/>
          <w:highlight w:val="none"/>
        </w:rPr>
      </w:pPr>
    </w:p>
    <w:p w14:paraId="355144B2">
      <w:pPr>
        <w:rPr>
          <w:rFonts w:hint="eastAsia" w:ascii="宋体" w:hAnsi="宋体" w:eastAsia="宋体" w:cs="宋体"/>
          <w:color w:val="auto"/>
          <w:sz w:val="24"/>
          <w:highlight w:val="none"/>
        </w:rPr>
      </w:pPr>
    </w:p>
    <w:p w14:paraId="7E7247D8">
      <w:pPr>
        <w:pStyle w:val="24"/>
        <w:rPr>
          <w:rFonts w:hint="eastAsia" w:ascii="宋体" w:hAnsi="宋体" w:eastAsia="宋体" w:cs="宋体"/>
          <w:color w:val="auto"/>
          <w:sz w:val="24"/>
          <w:highlight w:val="none"/>
        </w:rPr>
      </w:pPr>
    </w:p>
    <w:p w14:paraId="342713D3">
      <w:pPr>
        <w:rPr>
          <w:rFonts w:hint="eastAsia" w:ascii="宋体" w:hAnsi="宋体" w:eastAsia="宋体" w:cs="宋体"/>
          <w:color w:val="auto"/>
          <w:sz w:val="24"/>
          <w:highlight w:val="none"/>
        </w:rPr>
      </w:pPr>
    </w:p>
    <w:p w14:paraId="78908B9A">
      <w:pPr>
        <w:rPr>
          <w:rFonts w:hint="eastAsia"/>
        </w:rPr>
      </w:pPr>
    </w:p>
    <w:p w14:paraId="34976134">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bookmarkStart w:id="260" w:name="_Toc14915"/>
      <w:bookmarkStart w:id="261" w:name="_Toc9747"/>
      <w:bookmarkStart w:id="262" w:name="_Toc6695"/>
      <w:bookmarkStart w:id="263" w:name="_Toc12661"/>
      <w:bookmarkStart w:id="264" w:name="_Toc515647817"/>
      <w:bookmarkStart w:id="265" w:name="_Toc32168"/>
      <w:bookmarkStart w:id="266" w:name="_Toc2041"/>
    </w:p>
    <w:p w14:paraId="3D0F3133">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1 </w:t>
      </w:r>
      <w:bookmarkStart w:id="267" w:name="_Hlt520355504"/>
      <w:bookmarkEnd w:id="267"/>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投标</w:t>
      </w:r>
      <w:bookmarkEnd w:id="221"/>
      <w:bookmarkEnd w:id="222"/>
      <w:r>
        <w:rPr>
          <w:rFonts w:hint="eastAsia" w:ascii="宋体" w:hAnsi="宋体" w:eastAsia="宋体" w:cs="宋体"/>
          <w:b/>
          <w:bCs/>
          <w:color w:val="auto"/>
          <w:sz w:val="24"/>
          <w:highlight w:val="none"/>
        </w:rPr>
        <w:t>书</w:t>
      </w:r>
      <w:bookmarkEnd w:id="223"/>
      <w:bookmarkEnd w:id="224"/>
      <w:bookmarkEnd w:id="260"/>
      <w:bookmarkEnd w:id="261"/>
      <w:bookmarkEnd w:id="262"/>
      <w:bookmarkEnd w:id="263"/>
      <w:bookmarkEnd w:id="264"/>
      <w:bookmarkEnd w:id="265"/>
      <w:bookmarkEnd w:id="266"/>
    </w:p>
    <w:p w14:paraId="43FE4ECC">
      <w:pPr>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1B52E2F6">
      <w:pPr>
        <w:shd w:val="clear" w:color="auto" w:fill="auto"/>
        <w:tabs>
          <w:tab w:val="left" w:pos="5580"/>
        </w:tabs>
        <w:spacing w:line="240" w:lineRule="atLeast"/>
        <w:ind w:left="1080" w:hanging="1080"/>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采购代理机构</w:t>
      </w:r>
    </w:p>
    <w:p w14:paraId="18514DAE">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433C8CC1">
      <w:pPr>
        <w:pStyle w:val="12"/>
        <w:shd w:val="clear" w:color="auto" w:fill="auto"/>
        <w:tabs>
          <w:tab w:val="left" w:pos="5580"/>
        </w:tabs>
        <w:spacing w:line="240" w:lineRule="atLeast"/>
        <w:ind w:left="2" w:leftChars="1" w:firstLine="486"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根据贵方（采购项目名称)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项目的投标邀请(</w:t>
      </w:r>
      <w:r>
        <w:rPr>
          <w:rFonts w:hint="eastAsia" w:ascii="宋体" w:hAnsi="宋体" w:eastAsia="宋体" w:cs="宋体"/>
          <w:color w:val="auto"/>
          <w:sz w:val="24"/>
          <w:highlight w:val="none"/>
          <w:u w:val="single"/>
        </w:rPr>
        <w:t>招标编号</w:t>
      </w:r>
      <w:r>
        <w:rPr>
          <w:rFonts w:hint="eastAsia" w:ascii="宋体" w:hAnsi="宋体" w:eastAsia="宋体" w:cs="宋体"/>
          <w:color w:val="auto"/>
          <w:sz w:val="24"/>
          <w:highlight w:val="none"/>
        </w:rPr>
        <w:t>),签字代表(</w:t>
      </w:r>
      <w:r>
        <w:rPr>
          <w:rFonts w:hint="eastAsia" w:ascii="宋体" w:hAnsi="宋体" w:eastAsia="宋体" w:cs="宋体"/>
          <w:color w:val="auto"/>
          <w:sz w:val="24"/>
          <w:highlight w:val="none"/>
          <w:u w:val="single"/>
        </w:rPr>
        <w:t>姓名、职务)</w:t>
      </w:r>
      <w:r>
        <w:rPr>
          <w:rFonts w:hint="eastAsia" w:ascii="宋体" w:hAnsi="宋体" w:eastAsia="宋体" w:cs="宋体"/>
          <w:color w:val="auto"/>
          <w:sz w:val="24"/>
          <w:highlight w:val="none"/>
        </w:rPr>
        <w:t>经正式授权并代表投标人（</w:t>
      </w:r>
      <w:r>
        <w:rPr>
          <w:rFonts w:hint="eastAsia" w:ascii="宋体" w:hAnsi="宋体" w:eastAsia="宋体" w:cs="宋体"/>
          <w:color w:val="auto"/>
          <w:sz w:val="24"/>
          <w:highlight w:val="none"/>
          <w:u w:val="single"/>
        </w:rPr>
        <w:t>名称、地址</w:t>
      </w:r>
      <w:r>
        <w:rPr>
          <w:rFonts w:hint="eastAsia" w:ascii="宋体" w:hAnsi="宋体" w:eastAsia="宋体" w:cs="宋体"/>
          <w:color w:val="auto"/>
          <w:sz w:val="24"/>
          <w:highlight w:val="none"/>
        </w:rPr>
        <w:t>）提交下述文件正本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份、副本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份及电子文档</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份，并出具的金额为人民币</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元的投标保证金。</w:t>
      </w:r>
    </w:p>
    <w:p w14:paraId="53F95CC0">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据此，签字代表宣布如下：</w:t>
      </w:r>
    </w:p>
    <w:p w14:paraId="2D0AF1FB">
      <w:pPr>
        <w:pStyle w:val="12"/>
        <w:shd w:val="clear" w:color="auto" w:fill="auto"/>
        <w:tabs>
          <w:tab w:val="left" w:pos="720"/>
          <w:tab w:val="left" w:pos="900"/>
        </w:tabs>
        <w:spacing w:line="240" w:lineRule="atLeast"/>
        <w:ind w:left="776" w:leftChars="257" w:hanging="229"/>
        <w:rPr>
          <w:rFonts w:hint="eastAsia" w:ascii="宋体" w:hAnsi="宋体" w:eastAsia="宋体" w:cs="宋体"/>
          <w:color w:val="auto"/>
          <w:sz w:val="24"/>
          <w:highlight w:val="none"/>
        </w:rPr>
      </w:pPr>
      <w:r>
        <w:rPr>
          <w:rFonts w:hint="eastAsia" w:ascii="宋体" w:hAnsi="宋体" w:eastAsia="宋体" w:cs="宋体"/>
          <w:color w:val="auto"/>
          <w:sz w:val="24"/>
          <w:highlight w:val="none"/>
        </w:rPr>
        <w:t>（1）附投标书报价中规定的投标总价详见开标一览表，</w:t>
      </w:r>
      <w:r>
        <w:rPr>
          <w:rFonts w:hint="eastAsia" w:ascii="宋体" w:hAnsi="宋体" w:eastAsia="宋体" w:cs="宋体"/>
          <w:color w:val="auto"/>
          <w:sz w:val="24"/>
          <w:highlight w:val="none"/>
          <w:u w:val="single"/>
        </w:rPr>
        <w:t>其中由小型和</w:t>
      </w:r>
      <w:r>
        <w:rPr>
          <w:rFonts w:hint="eastAsia" w:ascii="宋体" w:hAnsi="宋体" w:eastAsia="宋体" w:cs="宋体"/>
          <w:color w:val="auto"/>
          <w:sz w:val="24"/>
          <w:highlight w:val="none"/>
        </w:rPr>
        <w:t>微型企业</w:t>
      </w:r>
      <w:r>
        <w:rPr>
          <w:rFonts w:hint="eastAsia" w:hAnsi="宋体" w:eastAsia="宋体" w:cs="宋体"/>
          <w:color w:val="auto"/>
          <w:sz w:val="24"/>
          <w:highlight w:val="none"/>
          <w:lang w:val="en-US" w:eastAsia="zh-CN"/>
        </w:rPr>
        <w:t>提供服务</w:t>
      </w:r>
      <w:r>
        <w:rPr>
          <w:rFonts w:hint="eastAsia" w:ascii="宋体" w:hAnsi="宋体" w:eastAsia="宋体" w:cs="宋体"/>
          <w:color w:val="auto"/>
          <w:sz w:val="24"/>
          <w:highlight w:val="none"/>
        </w:rPr>
        <w:t>的价格为</w:t>
      </w:r>
      <w:r>
        <w:rPr>
          <w:rFonts w:hint="eastAsia" w:ascii="宋体" w:hAnsi="宋体" w:eastAsia="宋体" w:cs="宋体"/>
          <w:color w:val="auto"/>
          <w:sz w:val="24"/>
          <w:highlight w:val="none"/>
          <w:u w:val="single"/>
        </w:rPr>
        <w:t>　　  （用文字和数字表示），占投标价的‥</w:t>
      </w:r>
      <w:r>
        <w:rPr>
          <w:rFonts w:hint="eastAsia" w:ascii="宋体" w:hAnsi="宋体" w:eastAsia="宋体" w:cs="宋体"/>
          <w:color w:val="auto"/>
          <w:sz w:val="24"/>
          <w:highlight w:val="none"/>
        </w:rPr>
        <w:t>%</w:t>
      </w:r>
    </w:p>
    <w:p w14:paraId="1DEFE9A0">
      <w:pPr>
        <w:pStyle w:val="12"/>
        <w:shd w:val="clear" w:color="auto" w:fill="auto"/>
        <w:tabs>
          <w:tab w:val="left" w:pos="720"/>
          <w:tab w:val="left" w:pos="900"/>
        </w:tabs>
        <w:spacing w:line="240" w:lineRule="atLeast"/>
        <w:ind w:left="776" w:leftChars="257" w:hanging="22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（2）本投标有效期为投标标截止之日起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个日历日。</w:t>
      </w:r>
    </w:p>
    <w:p w14:paraId="2FB493CB">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（3）联合体中的大中型企业、法人或者非法人组织，与联合体中的小型、微型企业之间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存在、不存在）投资关系（如果是联合体的话）。</w:t>
      </w:r>
    </w:p>
    <w:p w14:paraId="087B7687">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（4）已详细审查全部</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，包括所有补充通知（如果有的话），完全理解并同意放弃对这方面有不明、误解和质疑的权力。</w:t>
      </w:r>
    </w:p>
    <w:p w14:paraId="45F2D6F5">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（5）在规定的开标时间后，遵守</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中有关保证金的规定。</w:t>
      </w:r>
    </w:p>
    <w:p w14:paraId="46063F47">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（6）我方不是为本项目提供整体设计、规范编制或者项目管理、监理、检测等服务的供应商，我方不是采购代理机构的附属机构。</w:t>
      </w:r>
    </w:p>
    <w:p w14:paraId="51B4784D">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（7）在领取</w:t>
      </w:r>
      <w:r>
        <w:rPr>
          <w:rFonts w:hint="eastAsia" w:hAnsi="宋体" w:eastAsia="宋体" w:cs="宋体"/>
          <w:color w:val="auto"/>
          <w:sz w:val="24"/>
          <w:highlight w:val="none"/>
          <w:lang w:eastAsia="zh-CN"/>
        </w:rPr>
        <w:t>成交</w:t>
      </w:r>
      <w:r>
        <w:rPr>
          <w:rFonts w:hint="eastAsia" w:ascii="宋体" w:hAnsi="宋体" w:eastAsia="宋体" w:cs="宋体"/>
          <w:color w:val="auto"/>
          <w:sz w:val="24"/>
          <w:highlight w:val="none"/>
        </w:rPr>
        <w:t>通知书的同时按</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规定的形式，向贵方一次性支付中标服务费。</w:t>
      </w:r>
    </w:p>
    <w:p w14:paraId="041764D5">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（8）按照贵方可能要求，提供与其投标有关的一切数据或资料，完全理解贵方不一定接受最低价的投标或收到的任何投标。</w:t>
      </w:r>
    </w:p>
    <w:p w14:paraId="07BD4B42">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（9）按照</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的规定履行合同责任和义务。</w:t>
      </w:r>
    </w:p>
    <w:p w14:paraId="05A18FAA">
      <w:pPr>
        <w:pStyle w:val="12"/>
        <w:shd w:val="clear" w:color="auto" w:fill="auto"/>
        <w:tabs>
          <w:tab w:val="left" w:pos="5580"/>
        </w:tabs>
        <w:spacing w:line="240" w:lineRule="atLeast"/>
        <w:ind w:left="362" w:leftChars="68" w:hanging="218" w:hangingChars="9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与本投标有关的一切正式往来信函请寄：</w:t>
      </w:r>
    </w:p>
    <w:p w14:paraId="6E3022A3">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传真</w:t>
      </w:r>
      <w:r>
        <w:rPr>
          <w:rFonts w:hint="eastAsia" w:ascii="宋体" w:hAnsi="宋体" w:eastAsia="宋体" w:cs="宋体"/>
          <w:color w:val="auto"/>
          <w:sz w:val="24"/>
          <w:highlight w:val="none"/>
          <w:u w:val="single"/>
        </w:rPr>
        <w:t xml:space="preserve">                             </w:t>
      </w:r>
    </w:p>
    <w:p w14:paraId="40180536">
      <w:pPr>
        <w:pStyle w:val="12"/>
        <w:shd w:val="clear" w:color="auto" w:fill="auto"/>
        <w:tabs>
          <w:tab w:val="left" w:pos="5580"/>
        </w:tabs>
        <w:spacing w:line="240" w:lineRule="atLeast"/>
        <w:ind w:left="1087" w:leftChars="257" w:hanging="540"/>
        <w:rPr>
          <w:rFonts w:hint="eastAsia" w:ascii="宋体" w:hAnsi="宋体" w:eastAsia="宋体" w:cs="宋体"/>
          <w:b/>
          <w:color w:val="auto"/>
          <w:sz w:val="24"/>
          <w:highlight w:val="none"/>
        </w:rPr>
      </w:pPr>
      <w:r>
        <w:rPr>
          <w:rFonts w:hint="eastAsia" w:ascii="宋体" w:hAnsi="宋体" w:eastAsia="宋体" w:cs="宋体"/>
          <w:color w:val="auto"/>
          <w:sz w:val="24"/>
          <w:highlight w:val="none"/>
        </w:rPr>
        <w:t>电话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电子函件</w:t>
      </w:r>
      <w:r>
        <w:rPr>
          <w:rFonts w:hint="eastAsia" w:ascii="宋体" w:hAnsi="宋体" w:eastAsia="宋体" w:cs="宋体"/>
          <w:color w:val="auto"/>
          <w:sz w:val="24"/>
          <w:highlight w:val="none"/>
          <w:u w:val="single"/>
        </w:rPr>
        <w:t xml:space="preserve">                         </w:t>
      </w:r>
    </w:p>
    <w:p w14:paraId="72E08677">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1E71F6A8">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hAnsi="宋体" w:eastAsia="宋体" w:cs="宋体"/>
          <w:color w:val="auto"/>
          <w:sz w:val="24"/>
          <w:highlight w:val="none"/>
          <w:lang w:eastAsia="zh-CN"/>
        </w:rPr>
        <w:t>法定代表人</w:t>
      </w:r>
      <w:r>
        <w:rPr>
          <w:rFonts w:hint="eastAsia" w:ascii="宋体" w:hAnsi="宋体" w:eastAsia="宋体" w:cs="宋体"/>
          <w:color w:val="auto"/>
          <w:sz w:val="24"/>
          <w:highlight w:val="none"/>
        </w:rPr>
        <w:t>或其委托代理人签字-----------------</w:t>
      </w:r>
    </w:p>
    <w:p w14:paraId="0E163156">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投标人名称（全称）-----------------</w:t>
      </w:r>
    </w:p>
    <w:p w14:paraId="603AFFA0">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投标人开户银行（全称）</w:t>
      </w:r>
      <w:r>
        <w:rPr>
          <w:rFonts w:hint="eastAsia" w:ascii="宋体" w:hAnsi="宋体" w:eastAsia="宋体" w:cs="宋体"/>
          <w:color w:val="auto"/>
          <w:sz w:val="24"/>
          <w:highlight w:val="none"/>
          <w:u w:val="single"/>
        </w:rPr>
        <w:t xml:space="preserve">　　　　　　 </w:t>
      </w:r>
    </w:p>
    <w:p w14:paraId="5E927D28">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投标人银行帐号</w:t>
      </w:r>
      <w:r>
        <w:rPr>
          <w:rFonts w:hint="eastAsia" w:ascii="宋体" w:hAnsi="宋体" w:eastAsia="宋体" w:cs="宋体"/>
          <w:color w:val="auto"/>
          <w:sz w:val="24"/>
          <w:highlight w:val="none"/>
          <w:u w:val="single"/>
        </w:rPr>
        <w:t>　　　　　　　　 　　</w:t>
      </w:r>
    </w:p>
    <w:p w14:paraId="3B615A30">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p>
    <w:p w14:paraId="41DE0314">
      <w:pPr>
        <w:pStyle w:val="3"/>
        <w:numPr>
          <w:ilvl w:val="0"/>
          <w:numId w:val="0"/>
        </w:numPr>
        <w:shd w:val="clear" w:color="auto" w:fill="auto"/>
        <w:spacing w:before="0" w:line="240" w:lineRule="atLeast"/>
        <w:outlineLvl w:val="9"/>
        <w:rPr>
          <w:rFonts w:hint="eastAsia" w:ascii="宋体" w:hAnsi="宋体" w:eastAsia="宋体" w:cs="宋体"/>
          <w:color w:val="auto"/>
          <w:sz w:val="24"/>
          <w:highlight w:val="none"/>
        </w:rPr>
      </w:pPr>
      <w:bookmarkStart w:id="268" w:name="_Toc1266"/>
      <w:bookmarkStart w:id="269" w:name="_Toc10107"/>
      <w:bookmarkStart w:id="270" w:name="_Toc23473"/>
    </w:p>
    <w:p w14:paraId="426AB6B6">
      <w:pPr>
        <w:rPr>
          <w:rFonts w:hint="eastAsia" w:ascii="宋体" w:hAnsi="宋体" w:eastAsia="宋体" w:cs="宋体"/>
          <w:color w:val="auto"/>
          <w:sz w:val="24"/>
          <w:highlight w:val="none"/>
        </w:rPr>
      </w:pPr>
    </w:p>
    <w:p w14:paraId="3DBE75C1">
      <w:pPr>
        <w:pStyle w:val="24"/>
        <w:rPr>
          <w:rFonts w:hint="eastAsia" w:ascii="宋体" w:hAnsi="宋体" w:eastAsia="宋体" w:cs="宋体"/>
          <w:color w:val="auto"/>
          <w:sz w:val="24"/>
          <w:highlight w:val="none"/>
        </w:rPr>
      </w:pPr>
    </w:p>
    <w:p w14:paraId="5291A17F">
      <w:pPr>
        <w:rPr>
          <w:rFonts w:hint="eastAsia"/>
        </w:rPr>
      </w:pPr>
    </w:p>
    <w:p w14:paraId="16106074">
      <w:pPr>
        <w:rPr>
          <w:rFonts w:hint="eastAsia"/>
        </w:rPr>
      </w:pPr>
    </w:p>
    <w:p w14:paraId="01501452">
      <w:pPr>
        <w:rPr>
          <w:rFonts w:hint="eastAsia"/>
        </w:rPr>
      </w:pPr>
    </w:p>
    <w:p w14:paraId="49F384FE">
      <w:pPr>
        <w:pStyle w:val="45"/>
        <w:rPr>
          <w:rFonts w:hint="eastAsia"/>
        </w:rPr>
      </w:pPr>
    </w:p>
    <w:p w14:paraId="556B4B71">
      <w:pPr>
        <w:jc w:val="center"/>
        <w:rPr>
          <w:rFonts w:hint="eastAsia" w:ascii="宋体" w:hAnsi="宋体" w:eastAsia="宋体" w:cs="宋体"/>
          <w:b/>
          <w:bCs/>
          <w:color w:val="auto"/>
          <w:sz w:val="24"/>
          <w:highlight w:val="none"/>
        </w:rPr>
      </w:pPr>
      <w:bookmarkStart w:id="271" w:name="_Toc6732"/>
      <w:bookmarkStart w:id="272" w:name="_Toc26580"/>
      <w:bookmarkStart w:id="273" w:name="_Toc19583"/>
      <w:r>
        <w:rPr>
          <w:rFonts w:hint="eastAsia" w:ascii="宋体" w:hAnsi="宋体" w:eastAsia="宋体" w:cs="宋体"/>
          <w:b/>
          <w:bCs/>
          <w:color w:val="auto"/>
          <w:sz w:val="24"/>
          <w:highlight w:val="none"/>
        </w:rPr>
        <w:br w:type="page"/>
      </w:r>
      <w:r>
        <w:rPr>
          <w:rFonts w:hint="eastAsia" w:ascii="宋体" w:hAnsi="宋体" w:eastAsia="宋体" w:cs="宋体"/>
          <w:b/>
          <w:bCs/>
          <w:color w:val="auto"/>
          <w:sz w:val="24"/>
          <w:highlight w:val="none"/>
        </w:rPr>
        <w:t xml:space="preserve">2 </w:t>
      </w:r>
      <w:r>
        <w:rPr>
          <w:rFonts w:hint="eastAsia" w:ascii="宋体" w:hAnsi="宋体" w:eastAsia="宋体" w:cs="宋体"/>
          <w:b/>
          <w:bCs/>
          <w:color w:val="auto"/>
          <w:sz w:val="24"/>
          <w:highlight w:val="none"/>
          <w:lang w:eastAsia="zh-CN"/>
        </w:rPr>
        <w:t>、</w:t>
      </w:r>
      <w:bookmarkEnd w:id="268"/>
      <w:bookmarkEnd w:id="269"/>
      <w:bookmarkEnd w:id="270"/>
      <w:bookmarkStart w:id="274" w:name="_Toc10313"/>
      <w:bookmarkStart w:id="275" w:name="_Toc20897"/>
      <w:bookmarkStart w:id="276" w:name="_Toc216582815"/>
      <w:bookmarkStart w:id="277" w:name="_Toc515647818"/>
      <w:bookmarkStart w:id="278" w:name="_Toc1881"/>
      <w:bookmarkStart w:id="279" w:name="_Toc28959"/>
      <w:bookmarkStart w:id="280" w:name="_Toc22563"/>
      <w:bookmarkStart w:id="281" w:name="_Toc216582817"/>
      <w:bookmarkStart w:id="282" w:name="_Toc515647820"/>
      <w:r>
        <w:rPr>
          <w:rFonts w:hint="eastAsia" w:ascii="宋体" w:hAnsi="宋体" w:eastAsia="宋体" w:cs="宋体"/>
          <w:b/>
          <w:bCs/>
          <w:color w:val="auto"/>
          <w:sz w:val="24"/>
          <w:highlight w:val="none"/>
        </w:rPr>
        <w:t>投标分项报价表</w:t>
      </w:r>
      <w:bookmarkEnd w:id="271"/>
      <w:bookmarkEnd w:id="272"/>
      <w:bookmarkEnd w:id="273"/>
      <w:bookmarkEnd w:id="274"/>
      <w:bookmarkEnd w:id="275"/>
      <w:bookmarkEnd w:id="276"/>
      <w:bookmarkEnd w:id="277"/>
      <w:bookmarkEnd w:id="278"/>
    </w:p>
    <w:p w14:paraId="385F1CEB">
      <w:pPr>
        <w:pStyle w:val="12"/>
        <w:shd w:val="clear" w:color="auto" w:fill="auto"/>
        <w:spacing w:line="240" w:lineRule="atLeast"/>
        <w:ind w:left="1087" w:leftChars="257" w:hanging="540"/>
        <w:rPr>
          <w:rFonts w:hint="eastAsia" w:ascii="宋体" w:hAnsi="宋体" w:eastAsia="宋体" w:cs="宋体"/>
          <w:color w:val="auto"/>
          <w:sz w:val="24"/>
          <w:highlight w:val="none"/>
        </w:rPr>
      </w:pPr>
    </w:p>
    <w:p w14:paraId="1B351D8F">
      <w:pPr>
        <w:pStyle w:val="12"/>
        <w:spacing w:line="240" w:lineRule="atLeast"/>
        <w:ind w:left="1087" w:leftChars="257" w:hanging="540"/>
        <w:rPr>
          <w:rFonts w:hAnsi="宋体"/>
          <w:sz w:val="24"/>
        </w:rPr>
      </w:pPr>
      <w:bookmarkStart w:id="283" w:name="_Toc515647819"/>
      <w:bookmarkStart w:id="284" w:name="_Toc13088"/>
      <w:bookmarkStart w:id="285" w:name="_Toc4012"/>
      <w:bookmarkStart w:id="286" w:name="_Toc31211"/>
      <w:bookmarkStart w:id="287" w:name="_Toc14037"/>
      <w:bookmarkStart w:id="288" w:name="_Toc216582816"/>
      <w:bookmarkStart w:id="289" w:name="_Toc18267"/>
      <w:bookmarkStart w:id="290" w:name="_Toc28266"/>
      <w:r>
        <w:rPr>
          <w:rFonts w:hint="eastAsia" w:hAnsi="宋体"/>
          <w:sz w:val="24"/>
        </w:rPr>
        <w:t xml:space="preserve">项目名称:                      招标编号:                  </w:t>
      </w:r>
    </w:p>
    <w:p w14:paraId="7AAB1BDC">
      <w:pPr>
        <w:pStyle w:val="12"/>
        <w:spacing w:line="240" w:lineRule="atLeast"/>
        <w:ind w:left="1087" w:leftChars="257" w:hanging="540"/>
        <w:jc w:val="center"/>
        <w:rPr>
          <w:rFonts w:hAnsi="宋体"/>
          <w:sz w:val="24"/>
        </w:rPr>
      </w:pPr>
      <w:r>
        <w:rPr>
          <w:rFonts w:hint="eastAsia" w:hAnsi="宋体"/>
          <w:sz w:val="24"/>
        </w:rPr>
        <w:t xml:space="preserve">                                         　报价单位：人民币元</w:t>
      </w:r>
    </w:p>
    <w:tbl>
      <w:tblPr>
        <w:tblStyle w:val="25"/>
        <w:tblW w:w="9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87"/>
        <w:gridCol w:w="1321"/>
        <w:gridCol w:w="1223"/>
        <w:gridCol w:w="1136"/>
        <w:gridCol w:w="1136"/>
        <w:gridCol w:w="1102"/>
        <w:gridCol w:w="1205"/>
      </w:tblGrid>
      <w:tr w14:paraId="2127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jc w:val="center"/>
        </w:trPr>
        <w:tc>
          <w:tcPr>
            <w:tcW w:w="802" w:type="dxa"/>
            <w:noWrap w:val="0"/>
            <w:vAlign w:val="center"/>
          </w:tcPr>
          <w:p w14:paraId="73BED710">
            <w:pPr>
              <w:pStyle w:val="12"/>
              <w:spacing w:line="240" w:lineRule="atLeast"/>
              <w:rPr>
                <w:rFonts w:hAnsi="宋体"/>
                <w:sz w:val="24"/>
              </w:rPr>
            </w:pPr>
            <w:r>
              <w:rPr>
                <w:rFonts w:hint="eastAsia" w:hAnsi="宋体"/>
                <w:sz w:val="24"/>
              </w:rPr>
              <w:t>序号</w:t>
            </w:r>
          </w:p>
        </w:tc>
        <w:tc>
          <w:tcPr>
            <w:tcW w:w="1287" w:type="dxa"/>
            <w:noWrap w:val="0"/>
            <w:vAlign w:val="center"/>
          </w:tcPr>
          <w:p w14:paraId="51A01F0D">
            <w:pPr>
              <w:pStyle w:val="12"/>
              <w:spacing w:line="240" w:lineRule="atLeast"/>
              <w:rPr>
                <w:rFonts w:hAnsi="宋体"/>
                <w:sz w:val="24"/>
              </w:rPr>
            </w:pPr>
            <w:r>
              <w:rPr>
                <w:rFonts w:hint="eastAsia" w:ascii="宋体" w:hAnsi="宋体"/>
                <w:sz w:val="24"/>
                <w:szCs w:val="20"/>
              </w:rPr>
              <w:t>服务名称</w:t>
            </w:r>
          </w:p>
        </w:tc>
        <w:tc>
          <w:tcPr>
            <w:tcW w:w="1321" w:type="dxa"/>
            <w:noWrap w:val="0"/>
            <w:vAlign w:val="center"/>
          </w:tcPr>
          <w:p w14:paraId="22949AF3">
            <w:pPr>
              <w:pStyle w:val="12"/>
              <w:spacing w:line="240" w:lineRule="atLeast"/>
              <w:rPr>
                <w:rFonts w:hAnsi="宋体"/>
                <w:sz w:val="24"/>
              </w:rPr>
            </w:pPr>
            <w:r>
              <w:rPr>
                <w:rFonts w:hint="eastAsia" w:ascii="宋体" w:hAnsi="宋体" w:eastAsia="宋体" w:cs="宋体"/>
                <w:color w:val="000000"/>
                <w:kern w:val="0"/>
                <w:sz w:val="24"/>
                <w:szCs w:val="24"/>
                <w:highlight w:val="none"/>
              </w:rPr>
              <w:t>服务内容</w:t>
            </w:r>
          </w:p>
        </w:tc>
        <w:tc>
          <w:tcPr>
            <w:tcW w:w="1223" w:type="dxa"/>
            <w:noWrap w:val="0"/>
            <w:vAlign w:val="center"/>
          </w:tcPr>
          <w:p w14:paraId="797417BC">
            <w:pPr>
              <w:pStyle w:val="12"/>
              <w:spacing w:line="240" w:lineRule="atLeast"/>
              <w:rPr>
                <w:rFonts w:hint="default" w:hAnsi="宋体" w:eastAsia="宋体"/>
                <w:sz w:val="24"/>
                <w:lang w:val="en-US" w:eastAsia="zh-CN"/>
              </w:rPr>
            </w:pPr>
            <w:r>
              <w:rPr>
                <w:rFonts w:hint="eastAsia" w:hAnsi="宋体"/>
                <w:sz w:val="24"/>
                <w:lang w:val="en-US" w:eastAsia="zh-CN"/>
              </w:rPr>
              <w:t>服务期</w:t>
            </w:r>
          </w:p>
        </w:tc>
        <w:tc>
          <w:tcPr>
            <w:tcW w:w="1136" w:type="dxa"/>
            <w:noWrap w:val="0"/>
            <w:vAlign w:val="center"/>
          </w:tcPr>
          <w:p w14:paraId="38881C81">
            <w:pPr>
              <w:pStyle w:val="12"/>
              <w:spacing w:line="240" w:lineRule="atLeast"/>
              <w:rPr>
                <w:rFonts w:hint="eastAsia" w:hAnsi="宋体"/>
                <w:sz w:val="24"/>
                <w:lang w:val="en-US" w:eastAsia="zh-CN"/>
              </w:rPr>
            </w:pPr>
            <w:r>
              <w:rPr>
                <w:rFonts w:hint="eastAsia" w:hAnsi="宋体"/>
                <w:sz w:val="24"/>
                <w:lang w:val="en-US" w:eastAsia="zh-CN"/>
              </w:rPr>
              <w:t>数量及单位</w:t>
            </w:r>
          </w:p>
        </w:tc>
        <w:tc>
          <w:tcPr>
            <w:tcW w:w="1136" w:type="dxa"/>
            <w:noWrap w:val="0"/>
            <w:vAlign w:val="center"/>
          </w:tcPr>
          <w:p w14:paraId="67F34D5B">
            <w:pPr>
              <w:pStyle w:val="12"/>
              <w:spacing w:line="240" w:lineRule="atLeast"/>
              <w:rPr>
                <w:rFonts w:hAnsi="宋体"/>
                <w:sz w:val="24"/>
              </w:rPr>
            </w:pPr>
            <w:r>
              <w:rPr>
                <w:rFonts w:hint="eastAsia" w:hAnsi="宋体"/>
                <w:sz w:val="24"/>
              </w:rPr>
              <w:t>单价</w:t>
            </w:r>
          </w:p>
        </w:tc>
        <w:tc>
          <w:tcPr>
            <w:tcW w:w="1102" w:type="dxa"/>
            <w:noWrap w:val="0"/>
            <w:vAlign w:val="center"/>
          </w:tcPr>
          <w:p w14:paraId="3916CF5F">
            <w:pPr>
              <w:pStyle w:val="12"/>
              <w:spacing w:line="240" w:lineRule="atLeast"/>
              <w:rPr>
                <w:rFonts w:hAnsi="宋体"/>
                <w:sz w:val="24"/>
              </w:rPr>
            </w:pPr>
            <w:r>
              <w:rPr>
                <w:rFonts w:hint="eastAsia" w:hAnsi="宋体"/>
                <w:sz w:val="24"/>
              </w:rPr>
              <w:t>总价</w:t>
            </w:r>
          </w:p>
        </w:tc>
        <w:tc>
          <w:tcPr>
            <w:tcW w:w="1205" w:type="dxa"/>
            <w:noWrap w:val="0"/>
            <w:vAlign w:val="center"/>
          </w:tcPr>
          <w:p w14:paraId="187EF92E">
            <w:pPr>
              <w:pStyle w:val="12"/>
              <w:spacing w:line="240" w:lineRule="atLeast"/>
              <w:rPr>
                <w:rFonts w:hAnsi="宋体"/>
                <w:sz w:val="24"/>
              </w:rPr>
            </w:pPr>
            <w:r>
              <w:rPr>
                <w:rFonts w:hint="eastAsia" w:hAnsi="宋体"/>
                <w:sz w:val="24"/>
              </w:rPr>
              <w:t>备注</w:t>
            </w:r>
          </w:p>
        </w:tc>
      </w:tr>
      <w:tr w14:paraId="12F1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02" w:type="dxa"/>
            <w:noWrap w:val="0"/>
            <w:vAlign w:val="center"/>
          </w:tcPr>
          <w:p w14:paraId="7E5AA6DA">
            <w:pPr>
              <w:pStyle w:val="12"/>
              <w:spacing w:line="240" w:lineRule="atLeast"/>
              <w:rPr>
                <w:rFonts w:hAnsi="宋体"/>
                <w:sz w:val="24"/>
              </w:rPr>
            </w:pPr>
            <w:r>
              <w:rPr>
                <w:rFonts w:hint="eastAsia" w:hAnsi="宋体"/>
                <w:sz w:val="24"/>
              </w:rPr>
              <w:t>1.</w:t>
            </w:r>
          </w:p>
        </w:tc>
        <w:tc>
          <w:tcPr>
            <w:tcW w:w="1287" w:type="dxa"/>
            <w:noWrap w:val="0"/>
            <w:vAlign w:val="center"/>
          </w:tcPr>
          <w:p w14:paraId="33DE0DD1">
            <w:pPr>
              <w:pStyle w:val="12"/>
              <w:spacing w:line="240" w:lineRule="atLeast"/>
              <w:rPr>
                <w:rFonts w:hAnsi="宋体"/>
                <w:sz w:val="24"/>
              </w:rPr>
            </w:pPr>
          </w:p>
        </w:tc>
        <w:tc>
          <w:tcPr>
            <w:tcW w:w="1321" w:type="dxa"/>
            <w:noWrap w:val="0"/>
            <w:vAlign w:val="center"/>
          </w:tcPr>
          <w:p w14:paraId="102ABCE4">
            <w:pPr>
              <w:pStyle w:val="12"/>
              <w:spacing w:line="240" w:lineRule="atLeast"/>
              <w:ind w:left="1087" w:leftChars="257" w:hanging="540"/>
              <w:rPr>
                <w:rFonts w:hAnsi="宋体"/>
                <w:sz w:val="24"/>
              </w:rPr>
            </w:pPr>
          </w:p>
        </w:tc>
        <w:tc>
          <w:tcPr>
            <w:tcW w:w="1223" w:type="dxa"/>
            <w:noWrap w:val="0"/>
            <w:vAlign w:val="center"/>
          </w:tcPr>
          <w:p w14:paraId="748CCAB0">
            <w:pPr>
              <w:pStyle w:val="12"/>
              <w:spacing w:line="240" w:lineRule="atLeast"/>
              <w:ind w:left="1087" w:leftChars="257" w:hanging="540"/>
              <w:rPr>
                <w:rFonts w:hAnsi="宋体"/>
                <w:sz w:val="24"/>
              </w:rPr>
            </w:pPr>
          </w:p>
        </w:tc>
        <w:tc>
          <w:tcPr>
            <w:tcW w:w="1136" w:type="dxa"/>
            <w:noWrap w:val="0"/>
            <w:vAlign w:val="center"/>
          </w:tcPr>
          <w:p w14:paraId="75182108">
            <w:pPr>
              <w:pStyle w:val="12"/>
              <w:spacing w:line="240" w:lineRule="atLeast"/>
              <w:ind w:left="1087" w:leftChars="257" w:hanging="540"/>
              <w:rPr>
                <w:rFonts w:hAnsi="宋体"/>
                <w:sz w:val="24"/>
              </w:rPr>
            </w:pPr>
          </w:p>
        </w:tc>
        <w:tc>
          <w:tcPr>
            <w:tcW w:w="1136" w:type="dxa"/>
            <w:noWrap w:val="0"/>
            <w:vAlign w:val="center"/>
          </w:tcPr>
          <w:p w14:paraId="2D09EE0F">
            <w:pPr>
              <w:pStyle w:val="12"/>
              <w:spacing w:line="240" w:lineRule="atLeast"/>
              <w:ind w:left="1087" w:leftChars="257" w:hanging="540"/>
              <w:rPr>
                <w:rFonts w:hAnsi="宋体"/>
                <w:sz w:val="24"/>
              </w:rPr>
            </w:pPr>
          </w:p>
        </w:tc>
        <w:tc>
          <w:tcPr>
            <w:tcW w:w="1102" w:type="dxa"/>
            <w:noWrap w:val="0"/>
            <w:vAlign w:val="center"/>
          </w:tcPr>
          <w:p w14:paraId="275E9670">
            <w:pPr>
              <w:pStyle w:val="12"/>
              <w:spacing w:line="240" w:lineRule="atLeast"/>
              <w:ind w:left="1087" w:leftChars="257" w:hanging="540"/>
              <w:rPr>
                <w:rFonts w:hAnsi="宋体"/>
                <w:sz w:val="24"/>
              </w:rPr>
            </w:pPr>
          </w:p>
        </w:tc>
        <w:tc>
          <w:tcPr>
            <w:tcW w:w="1205" w:type="dxa"/>
            <w:noWrap w:val="0"/>
            <w:vAlign w:val="center"/>
          </w:tcPr>
          <w:p w14:paraId="7C5BD05B">
            <w:pPr>
              <w:pStyle w:val="12"/>
              <w:spacing w:line="240" w:lineRule="atLeast"/>
              <w:ind w:left="1087" w:leftChars="257" w:hanging="540"/>
              <w:rPr>
                <w:rFonts w:hAnsi="宋体"/>
                <w:sz w:val="24"/>
              </w:rPr>
            </w:pPr>
          </w:p>
        </w:tc>
      </w:tr>
      <w:tr w14:paraId="0411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802" w:type="dxa"/>
            <w:noWrap w:val="0"/>
            <w:vAlign w:val="center"/>
          </w:tcPr>
          <w:p w14:paraId="081D2841">
            <w:pPr>
              <w:pStyle w:val="12"/>
              <w:spacing w:line="240" w:lineRule="atLeast"/>
              <w:rPr>
                <w:rFonts w:hAnsi="宋体"/>
                <w:sz w:val="24"/>
              </w:rPr>
            </w:pPr>
            <w:r>
              <w:rPr>
                <w:rFonts w:hint="eastAsia" w:hAnsi="宋体"/>
                <w:sz w:val="24"/>
              </w:rPr>
              <w:t>2.</w:t>
            </w:r>
          </w:p>
        </w:tc>
        <w:tc>
          <w:tcPr>
            <w:tcW w:w="1287" w:type="dxa"/>
            <w:noWrap w:val="0"/>
            <w:vAlign w:val="center"/>
          </w:tcPr>
          <w:p w14:paraId="0F59B81C">
            <w:pPr>
              <w:pStyle w:val="12"/>
              <w:spacing w:line="240" w:lineRule="atLeast"/>
              <w:rPr>
                <w:rFonts w:hAnsi="宋体"/>
                <w:sz w:val="24"/>
              </w:rPr>
            </w:pPr>
          </w:p>
        </w:tc>
        <w:tc>
          <w:tcPr>
            <w:tcW w:w="1321" w:type="dxa"/>
            <w:noWrap w:val="0"/>
            <w:vAlign w:val="center"/>
          </w:tcPr>
          <w:p w14:paraId="36BC9466">
            <w:pPr>
              <w:pStyle w:val="12"/>
              <w:spacing w:line="240" w:lineRule="atLeast"/>
              <w:ind w:left="1087" w:leftChars="257" w:hanging="540"/>
              <w:rPr>
                <w:rFonts w:hAnsi="宋体"/>
                <w:sz w:val="24"/>
              </w:rPr>
            </w:pPr>
          </w:p>
        </w:tc>
        <w:tc>
          <w:tcPr>
            <w:tcW w:w="1223" w:type="dxa"/>
            <w:noWrap w:val="0"/>
            <w:vAlign w:val="center"/>
          </w:tcPr>
          <w:p w14:paraId="7AFE79BD">
            <w:pPr>
              <w:pStyle w:val="12"/>
              <w:spacing w:line="240" w:lineRule="atLeast"/>
              <w:ind w:left="1087" w:leftChars="257" w:hanging="540"/>
              <w:rPr>
                <w:rFonts w:hAnsi="宋体"/>
                <w:sz w:val="24"/>
              </w:rPr>
            </w:pPr>
          </w:p>
        </w:tc>
        <w:tc>
          <w:tcPr>
            <w:tcW w:w="1136" w:type="dxa"/>
            <w:noWrap w:val="0"/>
            <w:vAlign w:val="center"/>
          </w:tcPr>
          <w:p w14:paraId="614C3345">
            <w:pPr>
              <w:pStyle w:val="12"/>
              <w:spacing w:line="240" w:lineRule="atLeast"/>
              <w:ind w:left="1087" w:leftChars="257" w:hanging="540"/>
              <w:rPr>
                <w:rFonts w:hAnsi="宋体"/>
                <w:sz w:val="24"/>
              </w:rPr>
            </w:pPr>
          </w:p>
        </w:tc>
        <w:tc>
          <w:tcPr>
            <w:tcW w:w="1136" w:type="dxa"/>
            <w:noWrap w:val="0"/>
            <w:vAlign w:val="center"/>
          </w:tcPr>
          <w:p w14:paraId="1F12D376">
            <w:pPr>
              <w:pStyle w:val="12"/>
              <w:spacing w:line="240" w:lineRule="atLeast"/>
              <w:ind w:left="1087" w:leftChars="257" w:hanging="540"/>
              <w:rPr>
                <w:rFonts w:hAnsi="宋体"/>
                <w:sz w:val="24"/>
              </w:rPr>
            </w:pPr>
          </w:p>
        </w:tc>
        <w:tc>
          <w:tcPr>
            <w:tcW w:w="1102" w:type="dxa"/>
            <w:noWrap w:val="0"/>
            <w:vAlign w:val="center"/>
          </w:tcPr>
          <w:p w14:paraId="59CB3B22">
            <w:pPr>
              <w:pStyle w:val="12"/>
              <w:spacing w:line="240" w:lineRule="atLeast"/>
              <w:ind w:left="1087" w:leftChars="257" w:hanging="540"/>
              <w:rPr>
                <w:rFonts w:hAnsi="宋体"/>
                <w:sz w:val="24"/>
              </w:rPr>
            </w:pPr>
          </w:p>
        </w:tc>
        <w:tc>
          <w:tcPr>
            <w:tcW w:w="1205" w:type="dxa"/>
            <w:noWrap w:val="0"/>
            <w:vAlign w:val="center"/>
          </w:tcPr>
          <w:p w14:paraId="021744A5">
            <w:pPr>
              <w:pStyle w:val="12"/>
              <w:spacing w:line="240" w:lineRule="atLeast"/>
              <w:ind w:left="1087" w:leftChars="257" w:hanging="540"/>
              <w:rPr>
                <w:rFonts w:hAnsi="宋体"/>
                <w:sz w:val="24"/>
              </w:rPr>
            </w:pPr>
          </w:p>
        </w:tc>
      </w:tr>
      <w:tr w14:paraId="6D14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02" w:type="dxa"/>
            <w:noWrap w:val="0"/>
            <w:vAlign w:val="center"/>
          </w:tcPr>
          <w:p w14:paraId="04E63136">
            <w:pPr>
              <w:pStyle w:val="12"/>
              <w:spacing w:line="240" w:lineRule="atLeast"/>
              <w:rPr>
                <w:rFonts w:hAnsi="宋体"/>
                <w:sz w:val="24"/>
              </w:rPr>
            </w:pPr>
            <w:r>
              <w:rPr>
                <w:rFonts w:hint="eastAsia" w:hAnsi="宋体"/>
                <w:sz w:val="24"/>
              </w:rPr>
              <w:t>3.</w:t>
            </w:r>
          </w:p>
        </w:tc>
        <w:tc>
          <w:tcPr>
            <w:tcW w:w="1287" w:type="dxa"/>
            <w:noWrap w:val="0"/>
            <w:vAlign w:val="center"/>
          </w:tcPr>
          <w:p w14:paraId="0078AF08">
            <w:pPr>
              <w:pStyle w:val="12"/>
              <w:spacing w:line="240" w:lineRule="atLeast"/>
              <w:rPr>
                <w:rFonts w:hAnsi="宋体"/>
                <w:sz w:val="24"/>
              </w:rPr>
            </w:pPr>
          </w:p>
        </w:tc>
        <w:tc>
          <w:tcPr>
            <w:tcW w:w="1321" w:type="dxa"/>
            <w:noWrap w:val="0"/>
            <w:vAlign w:val="center"/>
          </w:tcPr>
          <w:p w14:paraId="18FE9D68">
            <w:pPr>
              <w:pStyle w:val="12"/>
              <w:spacing w:line="240" w:lineRule="atLeast"/>
              <w:ind w:left="1087" w:leftChars="257" w:hanging="540"/>
              <w:rPr>
                <w:rFonts w:hAnsi="宋体"/>
                <w:sz w:val="24"/>
              </w:rPr>
            </w:pPr>
          </w:p>
        </w:tc>
        <w:tc>
          <w:tcPr>
            <w:tcW w:w="1223" w:type="dxa"/>
            <w:noWrap w:val="0"/>
            <w:vAlign w:val="center"/>
          </w:tcPr>
          <w:p w14:paraId="7CDC7FB1">
            <w:pPr>
              <w:pStyle w:val="12"/>
              <w:spacing w:line="240" w:lineRule="atLeast"/>
              <w:ind w:left="1087" w:leftChars="257" w:hanging="540"/>
              <w:rPr>
                <w:rFonts w:hAnsi="宋体"/>
                <w:sz w:val="24"/>
              </w:rPr>
            </w:pPr>
          </w:p>
        </w:tc>
        <w:tc>
          <w:tcPr>
            <w:tcW w:w="1136" w:type="dxa"/>
            <w:noWrap w:val="0"/>
            <w:vAlign w:val="center"/>
          </w:tcPr>
          <w:p w14:paraId="5E3E3A6C">
            <w:pPr>
              <w:pStyle w:val="12"/>
              <w:spacing w:line="240" w:lineRule="atLeast"/>
              <w:ind w:left="1087" w:leftChars="257" w:hanging="540"/>
              <w:rPr>
                <w:rFonts w:hAnsi="宋体"/>
                <w:sz w:val="24"/>
              </w:rPr>
            </w:pPr>
          </w:p>
        </w:tc>
        <w:tc>
          <w:tcPr>
            <w:tcW w:w="1136" w:type="dxa"/>
            <w:noWrap w:val="0"/>
            <w:vAlign w:val="center"/>
          </w:tcPr>
          <w:p w14:paraId="378E3370">
            <w:pPr>
              <w:pStyle w:val="12"/>
              <w:spacing w:line="240" w:lineRule="atLeast"/>
              <w:ind w:left="1087" w:leftChars="257" w:hanging="540"/>
              <w:rPr>
                <w:rFonts w:hAnsi="宋体"/>
                <w:sz w:val="24"/>
              </w:rPr>
            </w:pPr>
          </w:p>
        </w:tc>
        <w:tc>
          <w:tcPr>
            <w:tcW w:w="1102" w:type="dxa"/>
            <w:noWrap w:val="0"/>
            <w:vAlign w:val="center"/>
          </w:tcPr>
          <w:p w14:paraId="3B75C105">
            <w:pPr>
              <w:pStyle w:val="12"/>
              <w:spacing w:line="240" w:lineRule="atLeast"/>
              <w:ind w:left="1087" w:leftChars="257" w:hanging="540"/>
              <w:rPr>
                <w:rFonts w:hAnsi="宋体"/>
                <w:sz w:val="24"/>
              </w:rPr>
            </w:pPr>
          </w:p>
        </w:tc>
        <w:tc>
          <w:tcPr>
            <w:tcW w:w="1205" w:type="dxa"/>
            <w:noWrap w:val="0"/>
            <w:vAlign w:val="center"/>
          </w:tcPr>
          <w:p w14:paraId="25523D26">
            <w:pPr>
              <w:pStyle w:val="12"/>
              <w:spacing w:line="240" w:lineRule="atLeast"/>
              <w:ind w:left="1087" w:leftChars="257" w:hanging="540"/>
              <w:rPr>
                <w:rFonts w:hAnsi="宋体"/>
                <w:sz w:val="24"/>
              </w:rPr>
            </w:pPr>
          </w:p>
        </w:tc>
      </w:tr>
      <w:tr w14:paraId="2CCE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02" w:type="dxa"/>
            <w:noWrap w:val="0"/>
            <w:vAlign w:val="center"/>
          </w:tcPr>
          <w:p w14:paraId="1192851A">
            <w:pPr>
              <w:pStyle w:val="12"/>
              <w:spacing w:line="240" w:lineRule="atLeast"/>
              <w:rPr>
                <w:rFonts w:hAnsi="宋体"/>
                <w:sz w:val="24"/>
              </w:rPr>
            </w:pPr>
            <w:r>
              <w:rPr>
                <w:rFonts w:hint="eastAsia" w:hAnsi="宋体"/>
                <w:sz w:val="24"/>
              </w:rPr>
              <w:t>4.</w:t>
            </w:r>
          </w:p>
        </w:tc>
        <w:tc>
          <w:tcPr>
            <w:tcW w:w="1287" w:type="dxa"/>
            <w:noWrap w:val="0"/>
            <w:vAlign w:val="center"/>
          </w:tcPr>
          <w:p w14:paraId="7943145F">
            <w:pPr>
              <w:pStyle w:val="12"/>
              <w:spacing w:line="240" w:lineRule="atLeast"/>
              <w:rPr>
                <w:rFonts w:hAnsi="宋体"/>
                <w:sz w:val="24"/>
              </w:rPr>
            </w:pPr>
          </w:p>
        </w:tc>
        <w:tc>
          <w:tcPr>
            <w:tcW w:w="1321" w:type="dxa"/>
            <w:noWrap w:val="0"/>
            <w:vAlign w:val="center"/>
          </w:tcPr>
          <w:p w14:paraId="27133BEE">
            <w:pPr>
              <w:pStyle w:val="12"/>
              <w:spacing w:line="240" w:lineRule="atLeast"/>
              <w:ind w:left="1087" w:leftChars="257" w:hanging="540"/>
              <w:rPr>
                <w:rFonts w:hAnsi="宋体"/>
                <w:sz w:val="24"/>
              </w:rPr>
            </w:pPr>
          </w:p>
        </w:tc>
        <w:tc>
          <w:tcPr>
            <w:tcW w:w="1223" w:type="dxa"/>
            <w:noWrap w:val="0"/>
            <w:vAlign w:val="center"/>
          </w:tcPr>
          <w:p w14:paraId="64E956FB">
            <w:pPr>
              <w:pStyle w:val="12"/>
              <w:spacing w:line="240" w:lineRule="atLeast"/>
              <w:ind w:left="1087" w:leftChars="257" w:hanging="540"/>
              <w:rPr>
                <w:rFonts w:hAnsi="宋体"/>
                <w:sz w:val="24"/>
              </w:rPr>
            </w:pPr>
          </w:p>
        </w:tc>
        <w:tc>
          <w:tcPr>
            <w:tcW w:w="1136" w:type="dxa"/>
            <w:noWrap w:val="0"/>
            <w:vAlign w:val="center"/>
          </w:tcPr>
          <w:p w14:paraId="4929C904">
            <w:pPr>
              <w:pStyle w:val="12"/>
              <w:spacing w:line="240" w:lineRule="atLeast"/>
              <w:ind w:left="1087" w:leftChars="257" w:hanging="540"/>
              <w:rPr>
                <w:rFonts w:hAnsi="宋体"/>
                <w:sz w:val="24"/>
              </w:rPr>
            </w:pPr>
          </w:p>
        </w:tc>
        <w:tc>
          <w:tcPr>
            <w:tcW w:w="1136" w:type="dxa"/>
            <w:noWrap w:val="0"/>
            <w:vAlign w:val="center"/>
          </w:tcPr>
          <w:p w14:paraId="5BD246A9">
            <w:pPr>
              <w:pStyle w:val="12"/>
              <w:spacing w:line="240" w:lineRule="atLeast"/>
              <w:ind w:left="1087" w:leftChars="257" w:hanging="540"/>
              <w:rPr>
                <w:rFonts w:hAnsi="宋体"/>
                <w:sz w:val="24"/>
              </w:rPr>
            </w:pPr>
          </w:p>
        </w:tc>
        <w:tc>
          <w:tcPr>
            <w:tcW w:w="1102" w:type="dxa"/>
            <w:noWrap w:val="0"/>
            <w:vAlign w:val="center"/>
          </w:tcPr>
          <w:p w14:paraId="745F4E9A">
            <w:pPr>
              <w:pStyle w:val="12"/>
              <w:spacing w:line="240" w:lineRule="atLeast"/>
              <w:ind w:left="1087" w:leftChars="257" w:hanging="540"/>
              <w:rPr>
                <w:rFonts w:hAnsi="宋体"/>
                <w:sz w:val="24"/>
              </w:rPr>
            </w:pPr>
          </w:p>
        </w:tc>
        <w:tc>
          <w:tcPr>
            <w:tcW w:w="1205" w:type="dxa"/>
            <w:noWrap w:val="0"/>
            <w:vAlign w:val="center"/>
          </w:tcPr>
          <w:p w14:paraId="6251DCE0">
            <w:pPr>
              <w:pStyle w:val="12"/>
              <w:spacing w:line="240" w:lineRule="atLeast"/>
              <w:ind w:left="1087" w:leftChars="257" w:hanging="540"/>
              <w:rPr>
                <w:rFonts w:hAnsi="宋体"/>
                <w:sz w:val="24"/>
              </w:rPr>
            </w:pPr>
          </w:p>
        </w:tc>
      </w:tr>
      <w:tr w14:paraId="4652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2" w:type="dxa"/>
            <w:noWrap w:val="0"/>
            <w:vAlign w:val="center"/>
          </w:tcPr>
          <w:p w14:paraId="27A7ECB6">
            <w:pPr>
              <w:pStyle w:val="12"/>
              <w:spacing w:line="240" w:lineRule="atLeast"/>
              <w:rPr>
                <w:rFonts w:hAnsi="宋体"/>
                <w:sz w:val="24"/>
              </w:rPr>
            </w:pPr>
            <w:r>
              <w:rPr>
                <w:rFonts w:hint="eastAsia" w:hAnsi="宋体"/>
                <w:sz w:val="24"/>
              </w:rPr>
              <w:t>5.</w:t>
            </w:r>
          </w:p>
        </w:tc>
        <w:tc>
          <w:tcPr>
            <w:tcW w:w="1287" w:type="dxa"/>
            <w:noWrap w:val="0"/>
            <w:vAlign w:val="center"/>
          </w:tcPr>
          <w:p w14:paraId="6A6A7860">
            <w:pPr>
              <w:pStyle w:val="12"/>
              <w:spacing w:line="240" w:lineRule="atLeast"/>
              <w:rPr>
                <w:rFonts w:hAnsi="宋体"/>
                <w:sz w:val="24"/>
              </w:rPr>
            </w:pPr>
          </w:p>
        </w:tc>
        <w:tc>
          <w:tcPr>
            <w:tcW w:w="1321" w:type="dxa"/>
            <w:noWrap w:val="0"/>
            <w:vAlign w:val="center"/>
          </w:tcPr>
          <w:p w14:paraId="002DAC28">
            <w:pPr>
              <w:pStyle w:val="12"/>
              <w:spacing w:line="240" w:lineRule="atLeast"/>
              <w:ind w:left="1087" w:leftChars="257" w:hanging="540"/>
              <w:rPr>
                <w:rFonts w:hAnsi="宋体"/>
                <w:sz w:val="24"/>
              </w:rPr>
            </w:pPr>
          </w:p>
        </w:tc>
        <w:tc>
          <w:tcPr>
            <w:tcW w:w="1223" w:type="dxa"/>
            <w:noWrap w:val="0"/>
            <w:vAlign w:val="center"/>
          </w:tcPr>
          <w:p w14:paraId="21A0963D">
            <w:pPr>
              <w:pStyle w:val="12"/>
              <w:spacing w:line="240" w:lineRule="atLeast"/>
              <w:ind w:left="1087" w:leftChars="257" w:hanging="540"/>
              <w:rPr>
                <w:rFonts w:hAnsi="宋体"/>
                <w:sz w:val="24"/>
              </w:rPr>
            </w:pPr>
          </w:p>
        </w:tc>
        <w:tc>
          <w:tcPr>
            <w:tcW w:w="1136" w:type="dxa"/>
            <w:noWrap w:val="0"/>
            <w:vAlign w:val="center"/>
          </w:tcPr>
          <w:p w14:paraId="1F727FD6">
            <w:pPr>
              <w:pStyle w:val="12"/>
              <w:spacing w:line="240" w:lineRule="atLeast"/>
              <w:ind w:left="1087" w:leftChars="257" w:hanging="540"/>
              <w:rPr>
                <w:rFonts w:hAnsi="宋体"/>
                <w:sz w:val="24"/>
              </w:rPr>
            </w:pPr>
          </w:p>
        </w:tc>
        <w:tc>
          <w:tcPr>
            <w:tcW w:w="1136" w:type="dxa"/>
            <w:noWrap w:val="0"/>
            <w:vAlign w:val="center"/>
          </w:tcPr>
          <w:p w14:paraId="08A58813">
            <w:pPr>
              <w:pStyle w:val="12"/>
              <w:spacing w:line="240" w:lineRule="atLeast"/>
              <w:ind w:left="1087" w:leftChars="257" w:hanging="540"/>
              <w:rPr>
                <w:rFonts w:hAnsi="宋体"/>
                <w:sz w:val="24"/>
              </w:rPr>
            </w:pPr>
          </w:p>
        </w:tc>
        <w:tc>
          <w:tcPr>
            <w:tcW w:w="1102" w:type="dxa"/>
            <w:noWrap w:val="0"/>
            <w:vAlign w:val="center"/>
          </w:tcPr>
          <w:p w14:paraId="1AE50785">
            <w:pPr>
              <w:pStyle w:val="12"/>
              <w:spacing w:line="240" w:lineRule="atLeast"/>
              <w:ind w:left="1087" w:leftChars="257" w:hanging="540"/>
              <w:rPr>
                <w:rFonts w:hAnsi="宋体"/>
                <w:sz w:val="24"/>
              </w:rPr>
            </w:pPr>
          </w:p>
        </w:tc>
        <w:tc>
          <w:tcPr>
            <w:tcW w:w="1205" w:type="dxa"/>
            <w:noWrap w:val="0"/>
            <w:vAlign w:val="center"/>
          </w:tcPr>
          <w:p w14:paraId="1795602D">
            <w:pPr>
              <w:pStyle w:val="12"/>
              <w:spacing w:line="240" w:lineRule="atLeast"/>
              <w:ind w:left="1087" w:leftChars="257" w:hanging="540"/>
              <w:rPr>
                <w:rFonts w:hAnsi="宋体"/>
                <w:sz w:val="24"/>
              </w:rPr>
            </w:pPr>
          </w:p>
        </w:tc>
      </w:tr>
      <w:tr w14:paraId="2287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905" w:type="dxa"/>
            <w:gridSpan w:val="6"/>
            <w:noWrap w:val="0"/>
            <w:vAlign w:val="center"/>
          </w:tcPr>
          <w:p w14:paraId="1E794943">
            <w:pPr>
              <w:pStyle w:val="12"/>
              <w:spacing w:line="240" w:lineRule="atLeast"/>
              <w:ind w:left="1087" w:leftChars="257" w:hanging="540"/>
              <w:rPr>
                <w:rFonts w:hint="eastAsia" w:hAnsi="宋体" w:eastAsia="宋体"/>
                <w:sz w:val="24"/>
                <w:lang w:val="en-US" w:eastAsia="zh-CN"/>
              </w:rPr>
            </w:pPr>
            <w:r>
              <w:rPr>
                <w:rFonts w:hint="eastAsia" w:hAnsi="宋体"/>
                <w:sz w:val="24"/>
                <w:lang w:val="en-US" w:eastAsia="zh-CN"/>
              </w:rPr>
              <w:t>合计</w:t>
            </w:r>
          </w:p>
        </w:tc>
        <w:tc>
          <w:tcPr>
            <w:tcW w:w="2307" w:type="dxa"/>
            <w:gridSpan w:val="2"/>
            <w:noWrap w:val="0"/>
            <w:vAlign w:val="center"/>
          </w:tcPr>
          <w:p w14:paraId="2958E930">
            <w:pPr>
              <w:pStyle w:val="12"/>
              <w:spacing w:line="240" w:lineRule="atLeast"/>
              <w:ind w:left="1087" w:leftChars="257" w:hanging="540"/>
              <w:rPr>
                <w:rFonts w:hAnsi="宋体"/>
                <w:sz w:val="24"/>
              </w:rPr>
            </w:pPr>
          </w:p>
        </w:tc>
      </w:tr>
    </w:tbl>
    <w:p w14:paraId="6D73D04A">
      <w:pPr>
        <w:pStyle w:val="12"/>
        <w:spacing w:line="240" w:lineRule="atLeast"/>
        <w:ind w:left="1087" w:leftChars="257" w:hanging="540"/>
        <w:rPr>
          <w:rFonts w:hAnsi="宋体"/>
          <w:sz w:val="24"/>
        </w:rPr>
      </w:pPr>
    </w:p>
    <w:p w14:paraId="54EC5806">
      <w:pPr>
        <w:pStyle w:val="12"/>
        <w:spacing w:line="240" w:lineRule="atLeast"/>
        <w:ind w:left="1087" w:leftChars="257" w:hanging="540"/>
        <w:rPr>
          <w:rFonts w:hAnsi="宋体"/>
          <w:sz w:val="24"/>
        </w:rPr>
      </w:pPr>
      <w:r>
        <w:rPr>
          <w:rFonts w:hint="eastAsia" w:hAnsi="宋体"/>
          <w:sz w:val="24"/>
          <w:lang w:eastAsia="zh-CN"/>
        </w:rPr>
        <w:t>法定代表人</w:t>
      </w:r>
      <w:r>
        <w:rPr>
          <w:rFonts w:hint="eastAsia" w:hAnsi="宋体"/>
          <w:sz w:val="24"/>
        </w:rPr>
        <w:t>或其</w:t>
      </w:r>
      <w:r>
        <w:rPr>
          <w:rFonts w:hint="eastAsia" w:hAnsi="宋体"/>
          <w:sz w:val="24"/>
          <w:lang w:eastAsia="zh-CN"/>
        </w:rPr>
        <w:t>授权委托人</w:t>
      </w:r>
      <w:r>
        <w:rPr>
          <w:rFonts w:hint="eastAsia" w:hAnsi="宋体"/>
          <w:sz w:val="24"/>
        </w:rPr>
        <w:t>签字:</w:t>
      </w:r>
      <w:r>
        <w:rPr>
          <w:rFonts w:hint="eastAsia" w:hAnsi="宋体"/>
          <w:sz w:val="24"/>
          <w:u w:val="single"/>
        </w:rPr>
        <w:t xml:space="preserve"> </w:t>
      </w:r>
      <w:r>
        <w:rPr>
          <w:rFonts w:hint="eastAsia" w:hAnsi="宋体"/>
          <w:sz w:val="24"/>
          <w:u w:val="single"/>
        </w:rPr>
        <w:tab/>
      </w:r>
      <w:r>
        <w:rPr>
          <w:rFonts w:hint="eastAsia" w:hAnsi="宋体"/>
          <w:sz w:val="24"/>
          <w:u w:val="single"/>
        </w:rPr>
        <w:t xml:space="preserve">                 </w:t>
      </w:r>
    </w:p>
    <w:p w14:paraId="41346B5A">
      <w:pPr>
        <w:pStyle w:val="12"/>
        <w:tabs>
          <w:tab w:val="left" w:pos="5370"/>
        </w:tabs>
        <w:spacing w:line="240" w:lineRule="atLeast"/>
        <w:ind w:left="1087" w:leftChars="257" w:hanging="540"/>
        <w:rPr>
          <w:rFonts w:hAnsi="宋体"/>
          <w:sz w:val="24"/>
          <w:u w:val="single"/>
        </w:rPr>
      </w:pPr>
      <w:r>
        <w:rPr>
          <w:rFonts w:hint="eastAsia" w:hAnsi="宋体"/>
          <w:sz w:val="24"/>
        </w:rPr>
        <w:t>投标人(盖单位章):</w:t>
      </w:r>
      <w:r>
        <w:rPr>
          <w:rFonts w:hint="eastAsia" w:hAnsi="宋体"/>
          <w:sz w:val="24"/>
          <w:u w:val="single"/>
        </w:rPr>
        <w:tab/>
      </w:r>
    </w:p>
    <w:p w14:paraId="3104C902">
      <w:pPr>
        <w:pStyle w:val="12"/>
        <w:spacing w:line="240" w:lineRule="atLeast"/>
        <w:ind w:left="1087" w:leftChars="257" w:hanging="540"/>
        <w:rPr>
          <w:rFonts w:hAnsi="宋体"/>
          <w:sz w:val="24"/>
        </w:rPr>
      </w:pPr>
    </w:p>
    <w:p w14:paraId="39804745">
      <w:pPr>
        <w:pStyle w:val="12"/>
        <w:spacing w:line="240" w:lineRule="atLeast"/>
        <w:ind w:left="1087" w:leftChars="257" w:hanging="540"/>
        <w:rPr>
          <w:rFonts w:hAnsi="宋体"/>
          <w:sz w:val="24"/>
        </w:rPr>
      </w:pPr>
      <w:r>
        <w:rPr>
          <w:rFonts w:hint="eastAsia" w:hAnsi="宋体"/>
          <w:sz w:val="24"/>
        </w:rPr>
        <w:t>注:1.如果按单价计算的结果与总价不一致,以单价为准修正总价。</w:t>
      </w:r>
    </w:p>
    <w:p w14:paraId="1681F618">
      <w:pPr>
        <w:pStyle w:val="12"/>
        <w:spacing w:line="240" w:lineRule="atLeast"/>
        <w:rPr>
          <w:rFonts w:hAnsi="宋体"/>
          <w:sz w:val="24"/>
        </w:rPr>
      </w:pPr>
    </w:p>
    <w:p w14:paraId="1339B97A">
      <w:pPr>
        <w:pStyle w:val="12"/>
        <w:spacing w:line="240" w:lineRule="atLeast"/>
        <w:ind w:left="1087" w:leftChars="257" w:hanging="540"/>
        <w:rPr>
          <w:rFonts w:hAnsi="宋体"/>
          <w:sz w:val="24"/>
        </w:rPr>
      </w:pPr>
      <w:r>
        <w:rPr>
          <w:rFonts w:hint="eastAsia" w:hAnsi="宋体"/>
          <w:sz w:val="24"/>
        </w:rPr>
        <w:t xml:space="preserve">   2.如果开标一览表（报价表）内容与投标文件中明细表内容不一致的，以开标一览表（报价表）内容为准。</w:t>
      </w:r>
    </w:p>
    <w:p w14:paraId="23DDD5CE">
      <w:pPr>
        <w:rPr>
          <w:rFonts w:hint="eastAsia" w:ascii="宋体" w:hAnsi="宋体" w:eastAsia="宋体" w:cs="宋体"/>
          <w:b/>
          <w:bCs/>
          <w:color w:val="auto"/>
          <w:sz w:val="24"/>
          <w:highlight w:val="none"/>
          <w:lang w:val="en-US" w:eastAsia="zh-CN"/>
        </w:rPr>
      </w:pPr>
      <w:r>
        <w:rPr>
          <w:rFonts w:hint="eastAsia" w:hAnsi="宋体"/>
          <w:sz w:val="24"/>
        </w:rPr>
        <w:br w:type="page"/>
      </w:r>
    </w:p>
    <w:bookmarkEnd w:id="283"/>
    <w:bookmarkEnd w:id="284"/>
    <w:bookmarkEnd w:id="285"/>
    <w:bookmarkEnd w:id="286"/>
    <w:bookmarkEnd w:id="287"/>
    <w:bookmarkEnd w:id="288"/>
    <w:bookmarkEnd w:id="289"/>
    <w:bookmarkEnd w:id="290"/>
    <w:p w14:paraId="53620430">
      <w:pPr>
        <w:pStyle w:val="3"/>
        <w:numPr>
          <w:ilvl w:val="0"/>
          <w:numId w:val="0"/>
        </w:numPr>
        <w:spacing w:line="240" w:lineRule="atLeast"/>
        <w:jc w:val="center"/>
        <w:rPr>
          <w:rFonts w:hint="eastAsia" w:ascii="宋体" w:hAnsi="宋体" w:cs="宋体"/>
          <w:b/>
          <w:bCs/>
        </w:rPr>
      </w:pPr>
      <w:bookmarkStart w:id="291" w:name="_Toc4463"/>
      <w:bookmarkStart w:id="292" w:name="_Toc12170"/>
      <w:bookmarkStart w:id="293" w:name="_Toc26883"/>
      <w:bookmarkStart w:id="294" w:name="_Toc31394"/>
      <w:r>
        <w:rPr>
          <w:rFonts w:hint="eastAsia" w:ascii="宋体" w:hAnsi="宋体" w:cs="宋体"/>
          <w:b/>
          <w:bCs/>
        </w:rPr>
        <w:t>3、货物（服务）说明一览表</w:t>
      </w:r>
    </w:p>
    <w:p w14:paraId="24FECA66">
      <w:pPr>
        <w:pStyle w:val="12"/>
        <w:spacing w:line="240" w:lineRule="atLeast"/>
        <w:ind w:left="1087" w:leftChars="257" w:hanging="540"/>
        <w:rPr>
          <w:rFonts w:hint="eastAsia" w:hAnsi="宋体" w:cs="宋体"/>
          <w:color w:val="auto"/>
          <w:sz w:val="24"/>
        </w:rPr>
      </w:pPr>
    </w:p>
    <w:p w14:paraId="26BB7EB9">
      <w:pPr>
        <w:pStyle w:val="12"/>
        <w:spacing w:line="240" w:lineRule="atLeast"/>
        <w:ind w:left="1087" w:leftChars="257" w:hanging="540"/>
        <w:rPr>
          <w:rFonts w:hAnsi="宋体"/>
          <w:sz w:val="24"/>
        </w:rPr>
      </w:pPr>
    </w:p>
    <w:p w14:paraId="6AD3AA7F">
      <w:pPr>
        <w:pStyle w:val="12"/>
        <w:spacing w:line="240" w:lineRule="atLeast"/>
        <w:ind w:left="1087" w:leftChars="257" w:hanging="540"/>
        <w:rPr>
          <w:rFonts w:hAnsi="宋体"/>
          <w:sz w:val="24"/>
        </w:rPr>
      </w:pPr>
      <w:r>
        <w:rPr>
          <w:rFonts w:hint="eastAsia" w:hAnsi="宋体"/>
          <w:sz w:val="24"/>
        </w:rPr>
        <w:t xml:space="preserve">项目名称:                           </w:t>
      </w:r>
    </w:p>
    <w:p w14:paraId="43FD3E0F">
      <w:pPr>
        <w:pStyle w:val="12"/>
        <w:spacing w:line="240" w:lineRule="atLeast"/>
        <w:ind w:left="1087" w:leftChars="257" w:hanging="540"/>
        <w:rPr>
          <w:rFonts w:hAnsi="宋体"/>
          <w:sz w:val="24"/>
        </w:rPr>
      </w:pPr>
      <w:r>
        <w:rPr>
          <w:rFonts w:hint="eastAsia" w:hAnsi="宋体"/>
          <w:sz w:val="24"/>
        </w:rPr>
        <w:t xml:space="preserve">招标编号:                       包号:                      </w:t>
      </w:r>
    </w:p>
    <w:p w14:paraId="16437257">
      <w:pPr>
        <w:pStyle w:val="12"/>
        <w:spacing w:line="240" w:lineRule="atLeast"/>
        <w:ind w:left="1087" w:leftChars="257" w:hanging="540"/>
        <w:rPr>
          <w:rFonts w:hAnsi="宋体"/>
          <w:sz w:val="24"/>
        </w:rPr>
      </w:pPr>
    </w:p>
    <w:tbl>
      <w:tblPr>
        <w:tblStyle w:val="25"/>
        <w:tblW w:w="8577"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6"/>
        <w:gridCol w:w="1283"/>
        <w:gridCol w:w="1456"/>
        <w:gridCol w:w="1516"/>
        <w:gridCol w:w="1486"/>
        <w:gridCol w:w="2010"/>
      </w:tblGrid>
      <w:tr w14:paraId="1356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826" w:type="dxa"/>
            <w:noWrap w:val="0"/>
            <w:vAlign w:val="top"/>
          </w:tcPr>
          <w:p w14:paraId="5ABEEA53">
            <w:pPr>
              <w:jc w:val="center"/>
              <w:rPr>
                <w:rFonts w:ascii="宋体" w:hAnsi="宋体"/>
                <w:sz w:val="24"/>
                <w:szCs w:val="20"/>
              </w:rPr>
            </w:pPr>
            <w:r>
              <w:rPr>
                <w:rFonts w:hint="eastAsia" w:ascii="宋体" w:hAnsi="宋体"/>
                <w:sz w:val="24"/>
                <w:szCs w:val="20"/>
              </w:rPr>
              <w:t>序号</w:t>
            </w:r>
          </w:p>
        </w:tc>
        <w:tc>
          <w:tcPr>
            <w:tcW w:w="1283" w:type="dxa"/>
            <w:noWrap w:val="0"/>
            <w:vAlign w:val="top"/>
          </w:tcPr>
          <w:p w14:paraId="7B61B6E3">
            <w:pPr>
              <w:jc w:val="center"/>
              <w:rPr>
                <w:rFonts w:ascii="宋体" w:hAnsi="宋体"/>
                <w:sz w:val="24"/>
                <w:szCs w:val="20"/>
              </w:rPr>
            </w:pPr>
            <w:r>
              <w:rPr>
                <w:rFonts w:hint="eastAsia" w:ascii="宋体" w:hAnsi="宋体"/>
                <w:sz w:val="24"/>
                <w:szCs w:val="20"/>
              </w:rPr>
              <w:t>服务名称</w:t>
            </w:r>
          </w:p>
        </w:tc>
        <w:tc>
          <w:tcPr>
            <w:tcW w:w="1456" w:type="dxa"/>
            <w:noWrap w:val="0"/>
            <w:vAlign w:val="top"/>
          </w:tcPr>
          <w:p w14:paraId="26D0DD7D">
            <w:pPr>
              <w:jc w:val="center"/>
              <w:rPr>
                <w:rFonts w:hint="default" w:ascii="宋体" w:hAnsi="宋体" w:eastAsia="宋体"/>
                <w:sz w:val="24"/>
                <w:szCs w:val="20"/>
                <w:lang w:val="en-US" w:eastAsia="zh-CN"/>
              </w:rPr>
            </w:pPr>
            <w:r>
              <w:rPr>
                <w:rFonts w:hint="eastAsia" w:ascii="宋体" w:hAnsi="宋体"/>
                <w:sz w:val="24"/>
                <w:szCs w:val="20"/>
                <w:lang w:val="en-US" w:eastAsia="zh-CN"/>
              </w:rPr>
              <w:t>服务要求</w:t>
            </w:r>
          </w:p>
        </w:tc>
        <w:tc>
          <w:tcPr>
            <w:tcW w:w="1516" w:type="dxa"/>
            <w:noWrap w:val="0"/>
            <w:vAlign w:val="top"/>
          </w:tcPr>
          <w:p w14:paraId="064C853B">
            <w:pPr>
              <w:jc w:val="center"/>
              <w:rPr>
                <w:rFonts w:ascii="宋体" w:hAnsi="宋体"/>
                <w:sz w:val="24"/>
                <w:szCs w:val="20"/>
              </w:rPr>
            </w:pPr>
            <w:r>
              <w:rPr>
                <w:rFonts w:hint="eastAsia" w:ascii="宋体" w:hAnsi="宋体"/>
                <w:sz w:val="24"/>
                <w:szCs w:val="20"/>
                <w:lang w:val="en-US" w:eastAsia="zh-CN"/>
              </w:rPr>
              <w:t>服务</w:t>
            </w:r>
            <w:r>
              <w:rPr>
                <w:rFonts w:hint="eastAsia" w:ascii="宋体" w:hAnsi="宋体"/>
                <w:sz w:val="24"/>
                <w:szCs w:val="20"/>
              </w:rPr>
              <w:t>期</w:t>
            </w:r>
          </w:p>
        </w:tc>
        <w:tc>
          <w:tcPr>
            <w:tcW w:w="1486" w:type="dxa"/>
            <w:noWrap w:val="0"/>
            <w:vAlign w:val="top"/>
          </w:tcPr>
          <w:p w14:paraId="6F9C7D1C">
            <w:pPr>
              <w:jc w:val="center"/>
              <w:rPr>
                <w:rFonts w:ascii="宋体" w:hAnsi="宋体"/>
                <w:sz w:val="24"/>
                <w:szCs w:val="20"/>
              </w:rPr>
            </w:pPr>
            <w:r>
              <w:rPr>
                <w:rFonts w:hint="eastAsia" w:ascii="宋体" w:hAnsi="宋体"/>
                <w:sz w:val="24"/>
                <w:szCs w:val="20"/>
                <w:lang w:val="en-US" w:eastAsia="zh-CN"/>
              </w:rPr>
              <w:t>服务</w:t>
            </w:r>
            <w:r>
              <w:rPr>
                <w:rFonts w:hint="eastAsia" w:ascii="宋体" w:hAnsi="宋体"/>
                <w:sz w:val="24"/>
                <w:szCs w:val="20"/>
              </w:rPr>
              <w:t>地点</w:t>
            </w:r>
          </w:p>
        </w:tc>
        <w:tc>
          <w:tcPr>
            <w:tcW w:w="2010" w:type="dxa"/>
            <w:noWrap w:val="0"/>
            <w:vAlign w:val="top"/>
          </w:tcPr>
          <w:p w14:paraId="519BFA75">
            <w:pPr>
              <w:jc w:val="center"/>
              <w:rPr>
                <w:rFonts w:hint="eastAsia" w:ascii="宋体" w:hAnsi="宋体" w:eastAsia="宋体"/>
                <w:sz w:val="24"/>
                <w:szCs w:val="20"/>
                <w:lang w:eastAsia="zh-CN"/>
              </w:rPr>
            </w:pPr>
            <w:r>
              <w:rPr>
                <w:rFonts w:hint="eastAsia" w:ascii="宋体" w:hAnsi="宋体"/>
                <w:sz w:val="24"/>
                <w:szCs w:val="20"/>
                <w:lang w:val="en-US" w:eastAsia="zh-CN"/>
              </w:rPr>
              <w:t>其它</w:t>
            </w:r>
          </w:p>
        </w:tc>
      </w:tr>
      <w:tr w14:paraId="4587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26" w:type="dxa"/>
            <w:noWrap w:val="0"/>
            <w:vAlign w:val="top"/>
          </w:tcPr>
          <w:p w14:paraId="52F7AC7C">
            <w:pPr>
              <w:pStyle w:val="12"/>
              <w:spacing w:line="240" w:lineRule="atLeast"/>
              <w:ind w:left="1087" w:leftChars="257" w:hanging="540"/>
              <w:rPr>
                <w:rFonts w:hAnsi="宋体"/>
                <w:sz w:val="24"/>
              </w:rPr>
            </w:pPr>
          </w:p>
        </w:tc>
        <w:tc>
          <w:tcPr>
            <w:tcW w:w="1283" w:type="dxa"/>
            <w:noWrap w:val="0"/>
            <w:vAlign w:val="top"/>
          </w:tcPr>
          <w:p w14:paraId="329B6229">
            <w:pPr>
              <w:pStyle w:val="12"/>
              <w:spacing w:line="240" w:lineRule="atLeast"/>
              <w:ind w:left="1087" w:leftChars="257" w:hanging="540"/>
              <w:rPr>
                <w:rFonts w:hAnsi="宋体"/>
                <w:sz w:val="24"/>
              </w:rPr>
            </w:pPr>
          </w:p>
        </w:tc>
        <w:tc>
          <w:tcPr>
            <w:tcW w:w="1456" w:type="dxa"/>
            <w:noWrap w:val="0"/>
            <w:vAlign w:val="top"/>
          </w:tcPr>
          <w:p w14:paraId="39149FCB">
            <w:pPr>
              <w:pStyle w:val="12"/>
              <w:spacing w:line="240" w:lineRule="atLeast"/>
              <w:ind w:left="1087" w:leftChars="257" w:hanging="540"/>
              <w:rPr>
                <w:rFonts w:hAnsi="宋体"/>
                <w:sz w:val="24"/>
              </w:rPr>
            </w:pPr>
          </w:p>
        </w:tc>
        <w:tc>
          <w:tcPr>
            <w:tcW w:w="1516" w:type="dxa"/>
            <w:noWrap w:val="0"/>
            <w:vAlign w:val="top"/>
          </w:tcPr>
          <w:p w14:paraId="0D459301">
            <w:pPr>
              <w:pStyle w:val="12"/>
              <w:spacing w:line="240" w:lineRule="atLeast"/>
              <w:ind w:left="1087" w:leftChars="257" w:hanging="540"/>
              <w:rPr>
                <w:rFonts w:hAnsi="宋体"/>
                <w:sz w:val="24"/>
              </w:rPr>
            </w:pPr>
          </w:p>
        </w:tc>
        <w:tc>
          <w:tcPr>
            <w:tcW w:w="1486" w:type="dxa"/>
            <w:noWrap w:val="0"/>
            <w:vAlign w:val="top"/>
          </w:tcPr>
          <w:p w14:paraId="205B2006">
            <w:pPr>
              <w:pStyle w:val="12"/>
              <w:spacing w:line="240" w:lineRule="atLeast"/>
              <w:ind w:left="1087" w:leftChars="257" w:hanging="540"/>
              <w:rPr>
                <w:rFonts w:hAnsi="宋体"/>
                <w:sz w:val="24"/>
              </w:rPr>
            </w:pPr>
          </w:p>
        </w:tc>
        <w:tc>
          <w:tcPr>
            <w:tcW w:w="2010" w:type="dxa"/>
            <w:noWrap w:val="0"/>
            <w:vAlign w:val="top"/>
          </w:tcPr>
          <w:p w14:paraId="7EDC1272">
            <w:pPr>
              <w:pStyle w:val="12"/>
              <w:spacing w:line="240" w:lineRule="atLeast"/>
              <w:ind w:left="1087" w:leftChars="257" w:hanging="540"/>
              <w:rPr>
                <w:rFonts w:hAnsi="宋体"/>
                <w:sz w:val="24"/>
              </w:rPr>
            </w:pPr>
          </w:p>
        </w:tc>
      </w:tr>
      <w:tr w14:paraId="4858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26" w:type="dxa"/>
            <w:noWrap w:val="0"/>
            <w:vAlign w:val="top"/>
          </w:tcPr>
          <w:p w14:paraId="2BAFB936">
            <w:pPr>
              <w:pStyle w:val="12"/>
              <w:spacing w:line="240" w:lineRule="atLeast"/>
              <w:ind w:left="1087" w:leftChars="257" w:hanging="540"/>
              <w:rPr>
                <w:rFonts w:hAnsi="宋体"/>
                <w:sz w:val="24"/>
              </w:rPr>
            </w:pPr>
          </w:p>
        </w:tc>
        <w:tc>
          <w:tcPr>
            <w:tcW w:w="1283" w:type="dxa"/>
            <w:noWrap w:val="0"/>
            <w:vAlign w:val="top"/>
          </w:tcPr>
          <w:p w14:paraId="609EE3F5">
            <w:pPr>
              <w:pStyle w:val="12"/>
              <w:spacing w:line="240" w:lineRule="atLeast"/>
              <w:ind w:left="1087" w:leftChars="257" w:hanging="540"/>
              <w:rPr>
                <w:rFonts w:hAnsi="宋体"/>
                <w:sz w:val="24"/>
              </w:rPr>
            </w:pPr>
          </w:p>
        </w:tc>
        <w:tc>
          <w:tcPr>
            <w:tcW w:w="1456" w:type="dxa"/>
            <w:noWrap w:val="0"/>
            <w:vAlign w:val="top"/>
          </w:tcPr>
          <w:p w14:paraId="31EEFEBA">
            <w:pPr>
              <w:pStyle w:val="12"/>
              <w:spacing w:line="240" w:lineRule="atLeast"/>
              <w:ind w:left="1087" w:leftChars="257" w:hanging="540"/>
              <w:rPr>
                <w:rFonts w:hAnsi="宋体"/>
                <w:sz w:val="24"/>
              </w:rPr>
            </w:pPr>
          </w:p>
        </w:tc>
        <w:tc>
          <w:tcPr>
            <w:tcW w:w="1516" w:type="dxa"/>
            <w:noWrap w:val="0"/>
            <w:vAlign w:val="top"/>
          </w:tcPr>
          <w:p w14:paraId="5FF8491E">
            <w:pPr>
              <w:pStyle w:val="12"/>
              <w:spacing w:line="240" w:lineRule="atLeast"/>
              <w:ind w:left="1087" w:leftChars="257" w:hanging="540"/>
              <w:rPr>
                <w:rFonts w:hAnsi="宋体"/>
                <w:sz w:val="24"/>
              </w:rPr>
            </w:pPr>
          </w:p>
        </w:tc>
        <w:tc>
          <w:tcPr>
            <w:tcW w:w="1486" w:type="dxa"/>
            <w:noWrap w:val="0"/>
            <w:vAlign w:val="top"/>
          </w:tcPr>
          <w:p w14:paraId="0691A40E">
            <w:pPr>
              <w:pStyle w:val="12"/>
              <w:spacing w:line="240" w:lineRule="atLeast"/>
              <w:ind w:left="1087" w:leftChars="257" w:hanging="540"/>
              <w:rPr>
                <w:rFonts w:hAnsi="宋体"/>
                <w:sz w:val="24"/>
              </w:rPr>
            </w:pPr>
          </w:p>
        </w:tc>
        <w:tc>
          <w:tcPr>
            <w:tcW w:w="2010" w:type="dxa"/>
            <w:noWrap w:val="0"/>
            <w:vAlign w:val="top"/>
          </w:tcPr>
          <w:p w14:paraId="4DA0E78B">
            <w:pPr>
              <w:pStyle w:val="12"/>
              <w:spacing w:line="240" w:lineRule="atLeast"/>
              <w:ind w:left="1087" w:leftChars="257" w:hanging="540"/>
              <w:rPr>
                <w:rFonts w:hAnsi="宋体"/>
                <w:sz w:val="24"/>
              </w:rPr>
            </w:pPr>
          </w:p>
        </w:tc>
      </w:tr>
      <w:tr w14:paraId="00ED8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26" w:type="dxa"/>
            <w:noWrap w:val="0"/>
            <w:vAlign w:val="top"/>
          </w:tcPr>
          <w:p w14:paraId="6C6B012F">
            <w:pPr>
              <w:pStyle w:val="12"/>
              <w:spacing w:line="240" w:lineRule="atLeast"/>
              <w:ind w:left="1087" w:leftChars="257" w:hanging="540"/>
              <w:rPr>
                <w:rFonts w:hAnsi="宋体"/>
                <w:sz w:val="24"/>
              </w:rPr>
            </w:pPr>
          </w:p>
        </w:tc>
        <w:tc>
          <w:tcPr>
            <w:tcW w:w="1283" w:type="dxa"/>
            <w:noWrap w:val="0"/>
            <w:vAlign w:val="top"/>
          </w:tcPr>
          <w:p w14:paraId="5C7E8819">
            <w:pPr>
              <w:pStyle w:val="12"/>
              <w:spacing w:line="240" w:lineRule="atLeast"/>
              <w:ind w:left="1087" w:leftChars="257" w:hanging="540"/>
              <w:rPr>
                <w:rFonts w:hAnsi="宋体"/>
                <w:sz w:val="24"/>
              </w:rPr>
            </w:pPr>
          </w:p>
        </w:tc>
        <w:tc>
          <w:tcPr>
            <w:tcW w:w="1456" w:type="dxa"/>
            <w:noWrap w:val="0"/>
            <w:vAlign w:val="top"/>
          </w:tcPr>
          <w:p w14:paraId="17EE2B66">
            <w:pPr>
              <w:pStyle w:val="12"/>
              <w:spacing w:line="240" w:lineRule="atLeast"/>
              <w:ind w:left="1087" w:leftChars="257" w:hanging="540"/>
              <w:rPr>
                <w:rFonts w:hAnsi="宋体"/>
                <w:sz w:val="24"/>
              </w:rPr>
            </w:pPr>
          </w:p>
        </w:tc>
        <w:tc>
          <w:tcPr>
            <w:tcW w:w="1516" w:type="dxa"/>
            <w:noWrap w:val="0"/>
            <w:vAlign w:val="top"/>
          </w:tcPr>
          <w:p w14:paraId="729A35D4">
            <w:pPr>
              <w:pStyle w:val="12"/>
              <w:spacing w:line="240" w:lineRule="atLeast"/>
              <w:ind w:left="1087" w:leftChars="257" w:hanging="540"/>
              <w:rPr>
                <w:rFonts w:hAnsi="宋体"/>
                <w:sz w:val="24"/>
              </w:rPr>
            </w:pPr>
          </w:p>
        </w:tc>
        <w:tc>
          <w:tcPr>
            <w:tcW w:w="1486" w:type="dxa"/>
            <w:noWrap w:val="0"/>
            <w:vAlign w:val="top"/>
          </w:tcPr>
          <w:p w14:paraId="6FBE2AFD">
            <w:pPr>
              <w:pStyle w:val="12"/>
              <w:spacing w:line="240" w:lineRule="atLeast"/>
              <w:ind w:left="1087" w:leftChars="257" w:hanging="540"/>
              <w:rPr>
                <w:rFonts w:hAnsi="宋体"/>
                <w:sz w:val="24"/>
              </w:rPr>
            </w:pPr>
          </w:p>
        </w:tc>
        <w:tc>
          <w:tcPr>
            <w:tcW w:w="2010" w:type="dxa"/>
            <w:noWrap w:val="0"/>
            <w:vAlign w:val="top"/>
          </w:tcPr>
          <w:p w14:paraId="23A5B819">
            <w:pPr>
              <w:pStyle w:val="12"/>
              <w:spacing w:line="240" w:lineRule="atLeast"/>
              <w:ind w:left="1087" w:leftChars="257" w:hanging="540"/>
              <w:rPr>
                <w:rFonts w:hAnsi="宋体"/>
                <w:sz w:val="24"/>
              </w:rPr>
            </w:pPr>
          </w:p>
        </w:tc>
      </w:tr>
      <w:tr w14:paraId="2A0D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26" w:type="dxa"/>
            <w:noWrap w:val="0"/>
            <w:vAlign w:val="top"/>
          </w:tcPr>
          <w:p w14:paraId="7949D305">
            <w:pPr>
              <w:pStyle w:val="12"/>
              <w:spacing w:line="240" w:lineRule="atLeast"/>
              <w:ind w:left="1087" w:leftChars="257" w:hanging="540"/>
              <w:rPr>
                <w:rFonts w:hAnsi="宋体"/>
                <w:sz w:val="24"/>
              </w:rPr>
            </w:pPr>
          </w:p>
        </w:tc>
        <w:tc>
          <w:tcPr>
            <w:tcW w:w="1283" w:type="dxa"/>
            <w:noWrap w:val="0"/>
            <w:vAlign w:val="top"/>
          </w:tcPr>
          <w:p w14:paraId="066F93A5">
            <w:pPr>
              <w:pStyle w:val="12"/>
              <w:spacing w:line="240" w:lineRule="atLeast"/>
              <w:ind w:left="1087" w:leftChars="257" w:hanging="540"/>
              <w:rPr>
                <w:rFonts w:hAnsi="宋体"/>
                <w:sz w:val="24"/>
              </w:rPr>
            </w:pPr>
          </w:p>
        </w:tc>
        <w:tc>
          <w:tcPr>
            <w:tcW w:w="1456" w:type="dxa"/>
            <w:noWrap w:val="0"/>
            <w:vAlign w:val="top"/>
          </w:tcPr>
          <w:p w14:paraId="18813E94">
            <w:pPr>
              <w:pStyle w:val="12"/>
              <w:spacing w:line="240" w:lineRule="atLeast"/>
              <w:ind w:left="1087" w:leftChars="257" w:hanging="540"/>
              <w:rPr>
                <w:rFonts w:hAnsi="宋体"/>
                <w:sz w:val="24"/>
              </w:rPr>
            </w:pPr>
          </w:p>
        </w:tc>
        <w:tc>
          <w:tcPr>
            <w:tcW w:w="1516" w:type="dxa"/>
            <w:noWrap w:val="0"/>
            <w:vAlign w:val="top"/>
          </w:tcPr>
          <w:p w14:paraId="74645F10">
            <w:pPr>
              <w:pStyle w:val="12"/>
              <w:spacing w:line="240" w:lineRule="atLeast"/>
              <w:ind w:left="1087" w:leftChars="257" w:hanging="540"/>
              <w:rPr>
                <w:rFonts w:hAnsi="宋体"/>
                <w:sz w:val="24"/>
              </w:rPr>
            </w:pPr>
          </w:p>
        </w:tc>
        <w:tc>
          <w:tcPr>
            <w:tcW w:w="1486" w:type="dxa"/>
            <w:noWrap w:val="0"/>
            <w:vAlign w:val="top"/>
          </w:tcPr>
          <w:p w14:paraId="7CA0A24D">
            <w:pPr>
              <w:pStyle w:val="12"/>
              <w:spacing w:line="240" w:lineRule="atLeast"/>
              <w:ind w:left="1087" w:leftChars="257" w:hanging="540"/>
              <w:rPr>
                <w:rFonts w:hAnsi="宋体"/>
                <w:sz w:val="24"/>
              </w:rPr>
            </w:pPr>
          </w:p>
        </w:tc>
        <w:tc>
          <w:tcPr>
            <w:tcW w:w="2010" w:type="dxa"/>
            <w:noWrap w:val="0"/>
            <w:vAlign w:val="top"/>
          </w:tcPr>
          <w:p w14:paraId="589EF474">
            <w:pPr>
              <w:pStyle w:val="12"/>
              <w:spacing w:line="240" w:lineRule="atLeast"/>
              <w:ind w:left="1087" w:leftChars="257" w:hanging="540"/>
              <w:rPr>
                <w:rFonts w:hAnsi="宋体"/>
                <w:sz w:val="24"/>
              </w:rPr>
            </w:pPr>
          </w:p>
        </w:tc>
      </w:tr>
      <w:tr w14:paraId="7392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26" w:type="dxa"/>
            <w:noWrap w:val="0"/>
            <w:vAlign w:val="top"/>
          </w:tcPr>
          <w:p w14:paraId="36694EF5">
            <w:pPr>
              <w:pStyle w:val="12"/>
              <w:spacing w:line="240" w:lineRule="atLeast"/>
              <w:ind w:left="1087" w:leftChars="257" w:hanging="540"/>
              <w:rPr>
                <w:rFonts w:hAnsi="宋体"/>
                <w:sz w:val="24"/>
              </w:rPr>
            </w:pPr>
          </w:p>
        </w:tc>
        <w:tc>
          <w:tcPr>
            <w:tcW w:w="1283" w:type="dxa"/>
            <w:noWrap w:val="0"/>
            <w:vAlign w:val="top"/>
          </w:tcPr>
          <w:p w14:paraId="24E9FEAD">
            <w:pPr>
              <w:pStyle w:val="12"/>
              <w:spacing w:line="240" w:lineRule="atLeast"/>
              <w:ind w:left="1087" w:leftChars="257" w:hanging="540"/>
              <w:rPr>
                <w:rFonts w:hAnsi="宋体"/>
                <w:sz w:val="24"/>
              </w:rPr>
            </w:pPr>
          </w:p>
        </w:tc>
        <w:tc>
          <w:tcPr>
            <w:tcW w:w="1456" w:type="dxa"/>
            <w:noWrap w:val="0"/>
            <w:vAlign w:val="top"/>
          </w:tcPr>
          <w:p w14:paraId="3A582C3C">
            <w:pPr>
              <w:pStyle w:val="12"/>
              <w:spacing w:line="240" w:lineRule="atLeast"/>
              <w:ind w:left="1087" w:leftChars="257" w:hanging="540"/>
              <w:rPr>
                <w:rFonts w:hAnsi="宋体"/>
                <w:sz w:val="24"/>
              </w:rPr>
            </w:pPr>
          </w:p>
        </w:tc>
        <w:tc>
          <w:tcPr>
            <w:tcW w:w="1516" w:type="dxa"/>
            <w:noWrap w:val="0"/>
            <w:vAlign w:val="top"/>
          </w:tcPr>
          <w:p w14:paraId="7D66865C">
            <w:pPr>
              <w:pStyle w:val="12"/>
              <w:spacing w:line="240" w:lineRule="atLeast"/>
              <w:ind w:left="1087" w:leftChars="257" w:hanging="540"/>
              <w:rPr>
                <w:rFonts w:hAnsi="宋体"/>
                <w:sz w:val="24"/>
              </w:rPr>
            </w:pPr>
          </w:p>
        </w:tc>
        <w:tc>
          <w:tcPr>
            <w:tcW w:w="1486" w:type="dxa"/>
            <w:noWrap w:val="0"/>
            <w:vAlign w:val="top"/>
          </w:tcPr>
          <w:p w14:paraId="47319E26">
            <w:pPr>
              <w:pStyle w:val="12"/>
              <w:spacing w:line="240" w:lineRule="atLeast"/>
              <w:ind w:left="1087" w:leftChars="257" w:hanging="540"/>
              <w:rPr>
                <w:rFonts w:hAnsi="宋体"/>
                <w:sz w:val="24"/>
              </w:rPr>
            </w:pPr>
          </w:p>
        </w:tc>
        <w:tc>
          <w:tcPr>
            <w:tcW w:w="2010" w:type="dxa"/>
            <w:noWrap w:val="0"/>
            <w:vAlign w:val="top"/>
          </w:tcPr>
          <w:p w14:paraId="06721AA3">
            <w:pPr>
              <w:pStyle w:val="12"/>
              <w:spacing w:line="240" w:lineRule="atLeast"/>
              <w:ind w:left="1087" w:leftChars="257" w:hanging="540"/>
              <w:rPr>
                <w:rFonts w:hAnsi="宋体"/>
                <w:sz w:val="24"/>
              </w:rPr>
            </w:pPr>
          </w:p>
        </w:tc>
      </w:tr>
      <w:tr w14:paraId="40F7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826" w:type="dxa"/>
            <w:noWrap w:val="0"/>
            <w:vAlign w:val="top"/>
          </w:tcPr>
          <w:p w14:paraId="383ED5AC">
            <w:pPr>
              <w:pStyle w:val="12"/>
              <w:spacing w:line="240" w:lineRule="atLeast"/>
              <w:ind w:left="1087" w:leftChars="257" w:hanging="540"/>
              <w:rPr>
                <w:rFonts w:hAnsi="宋体"/>
                <w:sz w:val="24"/>
              </w:rPr>
            </w:pPr>
          </w:p>
        </w:tc>
        <w:tc>
          <w:tcPr>
            <w:tcW w:w="1283" w:type="dxa"/>
            <w:noWrap w:val="0"/>
            <w:vAlign w:val="top"/>
          </w:tcPr>
          <w:p w14:paraId="1EF3E813">
            <w:pPr>
              <w:pStyle w:val="12"/>
              <w:spacing w:line="240" w:lineRule="atLeast"/>
              <w:ind w:left="1087" w:leftChars="257" w:hanging="540"/>
              <w:rPr>
                <w:rFonts w:hAnsi="宋体"/>
                <w:sz w:val="24"/>
              </w:rPr>
            </w:pPr>
          </w:p>
        </w:tc>
        <w:tc>
          <w:tcPr>
            <w:tcW w:w="1456" w:type="dxa"/>
            <w:noWrap w:val="0"/>
            <w:vAlign w:val="top"/>
          </w:tcPr>
          <w:p w14:paraId="5C91BD45">
            <w:pPr>
              <w:pStyle w:val="12"/>
              <w:spacing w:line="240" w:lineRule="atLeast"/>
              <w:ind w:left="1087" w:leftChars="257" w:hanging="540"/>
              <w:rPr>
                <w:rFonts w:hAnsi="宋体"/>
                <w:sz w:val="24"/>
              </w:rPr>
            </w:pPr>
          </w:p>
        </w:tc>
        <w:tc>
          <w:tcPr>
            <w:tcW w:w="1516" w:type="dxa"/>
            <w:noWrap w:val="0"/>
            <w:vAlign w:val="top"/>
          </w:tcPr>
          <w:p w14:paraId="502BF2B2">
            <w:pPr>
              <w:pStyle w:val="12"/>
              <w:spacing w:line="240" w:lineRule="atLeast"/>
              <w:ind w:left="1087" w:leftChars="257" w:hanging="540"/>
              <w:rPr>
                <w:rFonts w:hAnsi="宋体"/>
                <w:sz w:val="24"/>
              </w:rPr>
            </w:pPr>
          </w:p>
        </w:tc>
        <w:tc>
          <w:tcPr>
            <w:tcW w:w="1486" w:type="dxa"/>
            <w:noWrap w:val="0"/>
            <w:vAlign w:val="top"/>
          </w:tcPr>
          <w:p w14:paraId="02C402CE">
            <w:pPr>
              <w:pStyle w:val="12"/>
              <w:spacing w:line="240" w:lineRule="atLeast"/>
              <w:ind w:left="1087" w:leftChars="257" w:hanging="540"/>
              <w:rPr>
                <w:rFonts w:hAnsi="宋体"/>
                <w:sz w:val="24"/>
              </w:rPr>
            </w:pPr>
          </w:p>
        </w:tc>
        <w:tc>
          <w:tcPr>
            <w:tcW w:w="2010" w:type="dxa"/>
            <w:noWrap w:val="0"/>
            <w:vAlign w:val="top"/>
          </w:tcPr>
          <w:p w14:paraId="004B8DBD">
            <w:pPr>
              <w:pStyle w:val="12"/>
              <w:spacing w:line="240" w:lineRule="atLeast"/>
              <w:ind w:left="1087" w:leftChars="257" w:hanging="540"/>
              <w:rPr>
                <w:rFonts w:hAnsi="宋体"/>
                <w:sz w:val="24"/>
              </w:rPr>
            </w:pPr>
          </w:p>
        </w:tc>
      </w:tr>
      <w:tr w14:paraId="13D4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6" w:type="dxa"/>
            <w:noWrap w:val="0"/>
            <w:vAlign w:val="top"/>
          </w:tcPr>
          <w:p w14:paraId="72E1D1D9">
            <w:pPr>
              <w:pStyle w:val="12"/>
              <w:spacing w:line="240" w:lineRule="atLeast"/>
              <w:ind w:left="1087" w:leftChars="257" w:hanging="540"/>
              <w:rPr>
                <w:rFonts w:hAnsi="宋体"/>
                <w:sz w:val="24"/>
              </w:rPr>
            </w:pPr>
          </w:p>
        </w:tc>
        <w:tc>
          <w:tcPr>
            <w:tcW w:w="1283" w:type="dxa"/>
            <w:noWrap w:val="0"/>
            <w:vAlign w:val="top"/>
          </w:tcPr>
          <w:p w14:paraId="79E14E6E">
            <w:pPr>
              <w:pStyle w:val="12"/>
              <w:spacing w:line="240" w:lineRule="atLeast"/>
              <w:ind w:left="1087" w:leftChars="257" w:hanging="540"/>
              <w:rPr>
                <w:rFonts w:hAnsi="宋体"/>
                <w:sz w:val="24"/>
              </w:rPr>
            </w:pPr>
          </w:p>
        </w:tc>
        <w:tc>
          <w:tcPr>
            <w:tcW w:w="1456" w:type="dxa"/>
            <w:noWrap w:val="0"/>
            <w:vAlign w:val="top"/>
          </w:tcPr>
          <w:p w14:paraId="65EE6622">
            <w:pPr>
              <w:pStyle w:val="12"/>
              <w:spacing w:line="240" w:lineRule="atLeast"/>
              <w:ind w:left="1087" w:leftChars="257" w:hanging="540"/>
              <w:rPr>
                <w:rFonts w:hAnsi="宋体"/>
                <w:sz w:val="24"/>
              </w:rPr>
            </w:pPr>
          </w:p>
        </w:tc>
        <w:tc>
          <w:tcPr>
            <w:tcW w:w="1516" w:type="dxa"/>
            <w:noWrap w:val="0"/>
            <w:vAlign w:val="top"/>
          </w:tcPr>
          <w:p w14:paraId="2E40FCA6">
            <w:pPr>
              <w:pStyle w:val="12"/>
              <w:spacing w:line="240" w:lineRule="atLeast"/>
              <w:ind w:left="1087" w:leftChars="257" w:hanging="540"/>
              <w:rPr>
                <w:rFonts w:hAnsi="宋体"/>
                <w:sz w:val="24"/>
              </w:rPr>
            </w:pPr>
          </w:p>
        </w:tc>
        <w:tc>
          <w:tcPr>
            <w:tcW w:w="1486" w:type="dxa"/>
            <w:noWrap w:val="0"/>
            <w:vAlign w:val="top"/>
          </w:tcPr>
          <w:p w14:paraId="531C4469">
            <w:pPr>
              <w:pStyle w:val="12"/>
              <w:spacing w:line="240" w:lineRule="atLeast"/>
              <w:ind w:left="1087" w:leftChars="257" w:hanging="540"/>
              <w:rPr>
                <w:rFonts w:hAnsi="宋体"/>
                <w:sz w:val="24"/>
              </w:rPr>
            </w:pPr>
          </w:p>
        </w:tc>
        <w:tc>
          <w:tcPr>
            <w:tcW w:w="2010" w:type="dxa"/>
            <w:noWrap w:val="0"/>
            <w:vAlign w:val="top"/>
          </w:tcPr>
          <w:p w14:paraId="16A37907">
            <w:pPr>
              <w:pStyle w:val="12"/>
              <w:spacing w:line="240" w:lineRule="atLeast"/>
              <w:ind w:left="1087" w:leftChars="257" w:hanging="540"/>
              <w:rPr>
                <w:rFonts w:hAnsi="宋体"/>
                <w:sz w:val="24"/>
              </w:rPr>
            </w:pPr>
          </w:p>
        </w:tc>
      </w:tr>
      <w:tr w14:paraId="7C4D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826" w:type="dxa"/>
            <w:noWrap w:val="0"/>
            <w:vAlign w:val="top"/>
          </w:tcPr>
          <w:p w14:paraId="19829650">
            <w:pPr>
              <w:pStyle w:val="12"/>
              <w:spacing w:line="240" w:lineRule="atLeast"/>
              <w:ind w:left="1087" w:leftChars="257" w:hanging="540"/>
              <w:rPr>
                <w:rFonts w:hAnsi="宋体"/>
                <w:sz w:val="24"/>
              </w:rPr>
            </w:pPr>
          </w:p>
        </w:tc>
        <w:tc>
          <w:tcPr>
            <w:tcW w:w="1283" w:type="dxa"/>
            <w:noWrap w:val="0"/>
            <w:vAlign w:val="top"/>
          </w:tcPr>
          <w:p w14:paraId="2533A60D">
            <w:pPr>
              <w:pStyle w:val="12"/>
              <w:spacing w:line="240" w:lineRule="atLeast"/>
              <w:ind w:left="1087" w:leftChars="257" w:hanging="540"/>
              <w:rPr>
                <w:rFonts w:hAnsi="宋体"/>
                <w:sz w:val="24"/>
              </w:rPr>
            </w:pPr>
          </w:p>
        </w:tc>
        <w:tc>
          <w:tcPr>
            <w:tcW w:w="1456" w:type="dxa"/>
            <w:noWrap w:val="0"/>
            <w:vAlign w:val="top"/>
          </w:tcPr>
          <w:p w14:paraId="1BB2FAD8">
            <w:pPr>
              <w:pStyle w:val="12"/>
              <w:spacing w:line="240" w:lineRule="atLeast"/>
              <w:ind w:left="1087" w:leftChars="257" w:hanging="540"/>
              <w:rPr>
                <w:rFonts w:hAnsi="宋体"/>
                <w:sz w:val="24"/>
              </w:rPr>
            </w:pPr>
          </w:p>
        </w:tc>
        <w:tc>
          <w:tcPr>
            <w:tcW w:w="1516" w:type="dxa"/>
            <w:noWrap w:val="0"/>
            <w:vAlign w:val="top"/>
          </w:tcPr>
          <w:p w14:paraId="2476DD7A">
            <w:pPr>
              <w:pStyle w:val="12"/>
              <w:spacing w:line="240" w:lineRule="atLeast"/>
              <w:ind w:left="1087" w:leftChars="257" w:hanging="540"/>
              <w:rPr>
                <w:rFonts w:hAnsi="宋体"/>
                <w:sz w:val="24"/>
              </w:rPr>
            </w:pPr>
          </w:p>
        </w:tc>
        <w:tc>
          <w:tcPr>
            <w:tcW w:w="1486" w:type="dxa"/>
            <w:noWrap w:val="0"/>
            <w:vAlign w:val="top"/>
          </w:tcPr>
          <w:p w14:paraId="145DE444">
            <w:pPr>
              <w:pStyle w:val="12"/>
              <w:spacing w:line="240" w:lineRule="atLeast"/>
              <w:ind w:left="1087" w:leftChars="257" w:hanging="540"/>
              <w:rPr>
                <w:rFonts w:hAnsi="宋体"/>
                <w:sz w:val="24"/>
              </w:rPr>
            </w:pPr>
          </w:p>
        </w:tc>
        <w:tc>
          <w:tcPr>
            <w:tcW w:w="2010" w:type="dxa"/>
            <w:noWrap w:val="0"/>
            <w:vAlign w:val="top"/>
          </w:tcPr>
          <w:p w14:paraId="121094F4">
            <w:pPr>
              <w:pStyle w:val="12"/>
              <w:spacing w:line="240" w:lineRule="atLeast"/>
              <w:ind w:left="1087" w:leftChars="257" w:hanging="540"/>
              <w:rPr>
                <w:rFonts w:hAnsi="宋体"/>
                <w:sz w:val="24"/>
              </w:rPr>
            </w:pPr>
          </w:p>
        </w:tc>
      </w:tr>
    </w:tbl>
    <w:p w14:paraId="621AEF83">
      <w:pPr>
        <w:pStyle w:val="12"/>
        <w:spacing w:line="240" w:lineRule="atLeast"/>
        <w:ind w:left="1087" w:leftChars="257" w:hanging="540"/>
        <w:rPr>
          <w:rFonts w:hAnsi="宋体"/>
          <w:sz w:val="24"/>
        </w:rPr>
      </w:pPr>
    </w:p>
    <w:p w14:paraId="740DAD39">
      <w:pPr>
        <w:pStyle w:val="12"/>
        <w:spacing w:line="240" w:lineRule="atLeast"/>
        <w:ind w:left="1087" w:leftChars="257" w:hanging="540"/>
        <w:rPr>
          <w:rFonts w:hAnsi="宋体"/>
          <w:sz w:val="24"/>
        </w:rPr>
      </w:pPr>
      <w:r>
        <w:rPr>
          <w:rFonts w:hint="eastAsia" w:hAnsi="宋体"/>
          <w:sz w:val="24"/>
          <w:lang w:eastAsia="zh-CN"/>
        </w:rPr>
        <w:t>法定代表人</w:t>
      </w:r>
      <w:r>
        <w:rPr>
          <w:rFonts w:hint="eastAsia" w:hAnsi="宋体"/>
          <w:sz w:val="24"/>
        </w:rPr>
        <w:t>或其</w:t>
      </w:r>
      <w:r>
        <w:rPr>
          <w:rFonts w:hint="eastAsia" w:hAnsi="宋体"/>
          <w:sz w:val="24"/>
          <w:lang w:eastAsia="zh-CN"/>
        </w:rPr>
        <w:t>授权委托人</w:t>
      </w:r>
      <w:r>
        <w:rPr>
          <w:rFonts w:hint="eastAsia" w:hAnsi="宋体"/>
          <w:sz w:val="24"/>
        </w:rPr>
        <w:t>签字:</w:t>
      </w:r>
      <w:r>
        <w:rPr>
          <w:rFonts w:hint="eastAsia" w:hAnsi="宋体"/>
          <w:sz w:val="24"/>
          <w:u w:val="single"/>
        </w:rPr>
        <w:t xml:space="preserve"> </w:t>
      </w:r>
      <w:r>
        <w:rPr>
          <w:rFonts w:hint="eastAsia" w:hAnsi="宋体"/>
          <w:sz w:val="24"/>
          <w:u w:val="single"/>
        </w:rPr>
        <w:tab/>
      </w:r>
      <w:r>
        <w:rPr>
          <w:rFonts w:hint="eastAsia" w:hAnsi="宋体"/>
          <w:sz w:val="24"/>
          <w:u w:val="single"/>
        </w:rPr>
        <w:t xml:space="preserve">                 </w:t>
      </w:r>
    </w:p>
    <w:p w14:paraId="43E59F2E">
      <w:pPr>
        <w:pStyle w:val="12"/>
        <w:tabs>
          <w:tab w:val="left" w:pos="5370"/>
        </w:tabs>
        <w:spacing w:line="240" w:lineRule="atLeast"/>
        <w:ind w:left="1087" w:leftChars="257" w:hanging="540"/>
        <w:rPr>
          <w:rFonts w:hAnsi="宋体"/>
          <w:sz w:val="24"/>
          <w:u w:val="single"/>
        </w:rPr>
      </w:pPr>
      <w:r>
        <w:rPr>
          <w:rFonts w:hint="eastAsia" w:hAnsi="宋体"/>
          <w:sz w:val="24"/>
        </w:rPr>
        <w:t>投标人(盖单位章):</w:t>
      </w:r>
      <w:r>
        <w:rPr>
          <w:rFonts w:hint="eastAsia" w:hAnsi="宋体"/>
          <w:sz w:val="24"/>
          <w:u w:val="single"/>
        </w:rPr>
        <w:tab/>
      </w:r>
    </w:p>
    <w:p w14:paraId="039DED3F">
      <w:pPr>
        <w:pStyle w:val="12"/>
        <w:spacing w:line="240" w:lineRule="atLeast"/>
        <w:ind w:left="1087" w:leftChars="257" w:hanging="540"/>
        <w:rPr>
          <w:rFonts w:hAnsi="宋体"/>
          <w:sz w:val="24"/>
        </w:rPr>
      </w:pPr>
    </w:p>
    <w:p w14:paraId="063BA49A">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5A3ECDC9">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p>
    <w:p w14:paraId="1FA12C1D">
      <w:pPr>
        <w:rPr>
          <w:rFonts w:hint="eastAsia"/>
          <w:lang w:val="en-US" w:eastAsia="zh-CN"/>
        </w:rPr>
      </w:pPr>
    </w:p>
    <w:p w14:paraId="5D9D0D11">
      <w:pPr>
        <w:rPr>
          <w:rFonts w:hint="eastAsia"/>
          <w:lang w:val="en-US" w:eastAsia="zh-CN"/>
        </w:rPr>
      </w:pPr>
    </w:p>
    <w:p w14:paraId="144776D8">
      <w:pPr>
        <w:pStyle w:val="3"/>
        <w:numPr>
          <w:ilvl w:val="0"/>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638824BA">
      <w:pPr>
        <w:rPr>
          <w:rFonts w:hint="eastAsia" w:ascii="宋体" w:hAnsi="宋体" w:eastAsia="宋体" w:cs="宋体"/>
          <w:b/>
          <w:bCs/>
          <w:color w:val="auto"/>
          <w:sz w:val="24"/>
          <w:highlight w:val="none"/>
          <w:lang w:val="en-US" w:eastAsia="zh-CN"/>
        </w:rPr>
      </w:pPr>
    </w:p>
    <w:p w14:paraId="47130E1C">
      <w:pPr>
        <w:rPr>
          <w:rFonts w:hint="eastAsia" w:ascii="宋体" w:hAnsi="宋体" w:eastAsia="宋体" w:cs="宋体"/>
          <w:b/>
          <w:bCs/>
          <w:color w:val="auto"/>
          <w:sz w:val="24"/>
          <w:highlight w:val="none"/>
          <w:lang w:val="en-US" w:eastAsia="zh-CN"/>
        </w:rPr>
      </w:pPr>
    </w:p>
    <w:p w14:paraId="5606F869">
      <w:pPr>
        <w:rPr>
          <w:rFonts w:hint="eastAsia" w:ascii="宋体" w:hAnsi="宋体" w:eastAsia="宋体" w:cs="宋体"/>
          <w:b/>
          <w:bCs/>
          <w:color w:val="auto"/>
          <w:sz w:val="24"/>
          <w:highlight w:val="none"/>
          <w:lang w:val="en-US" w:eastAsia="zh-CN"/>
        </w:rPr>
      </w:pPr>
    </w:p>
    <w:p w14:paraId="19A7FC5C">
      <w:pPr>
        <w:rPr>
          <w:rFonts w:hint="eastAsia" w:ascii="宋体" w:hAnsi="宋体" w:eastAsia="宋体" w:cs="宋体"/>
          <w:b/>
          <w:bCs/>
          <w:color w:val="auto"/>
          <w:sz w:val="24"/>
          <w:highlight w:val="none"/>
          <w:lang w:val="en-US" w:eastAsia="zh-CN"/>
        </w:rPr>
      </w:pPr>
    </w:p>
    <w:p w14:paraId="6C6874E3">
      <w:pPr>
        <w:rPr>
          <w:rFonts w:hint="eastAsia" w:ascii="宋体" w:hAnsi="宋体" w:eastAsia="宋体" w:cs="宋体"/>
          <w:b/>
          <w:bCs/>
          <w:color w:val="auto"/>
          <w:sz w:val="24"/>
          <w:highlight w:val="none"/>
          <w:lang w:val="en-US" w:eastAsia="zh-CN"/>
        </w:rPr>
      </w:pPr>
    </w:p>
    <w:p w14:paraId="435664C8">
      <w:pPr>
        <w:rPr>
          <w:rFonts w:hint="eastAsia" w:ascii="宋体" w:hAnsi="宋体" w:eastAsia="宋体" w:cs="宋体"/>
          <w:b/>
          <w:bCs/>
          <w:color w:val="auto"/>
          <w:sz w:val="24"/>
          <w:highlight w:val="none"/>
          <w:lang w:val="en-US" w:eastAsia="zh-CN"/>
        </w:rPr>
      </w:pPr>
    </w:p>
    <w:p w14:paraId="7C173141">
      <w:pPr>
        <w:rPr>
          <w:rFonts w:hint="eastAsia" w:ascii="宋体" w:hAnsi="宋体" w:eastAsia="宋体" w:cs="宋体"/>
          <w:b/>
          <w:bCs/>
          <w:color w:val="auto"/>
          <w:sz w:val="24"/>
          <w:highlight w:val="none"/>
          <w:lang w:val="en-US" w:eastAsia="zh-CN"/>
        </w:rPr>
      </w:pPr>
    </w:p>
    <w:p w14:paraId="427BC872">
      <w:pPr>
        <w:rPr>
          <w:rFonts w:hint="eastAsia" w:ascii="宋体" w:hAnsi="宋体" w:eastAsia="宋体" w:cs="宋体"/>
          <w:b/>
          <w:bCs/>
          <w:color w:val="auto"/>
          <w:sz w:val="24"/>
          <w:highlight w:val="none"/>
          <w:lang w:val="en-US" w:eastAsia="zh-CN"/>
        </w:rPr>
      </w:pPr>
    </w:p>
    <w:p w14:paraId="3A5DB8BF">
      <w:pPr>
        <w:rPr>
          <w:rFonts w:hint="eastAsia" w:ascii="宋体" w:hAnsi="宋体" w:eastAsia="宋体" w:cs="宋体"/>
          <w:b/>
          <w:bCs/>
          <w:color w:val="auto"/>
          <w:sz w:val="24"/>
          <w:highlight w:val="none"/>
          <w:lang w:val="en-US" w:eastAsia="zh-CN"/>
        </w:rPr>
      </w:pPr>
    </w:p>
    <w:p w14:paraId="3ADBCAAB">
      <w:pPr>
        <w:rPr>
          <w:rFonts w:hint="eastAsia" w:ascii="宋体" w:hAnsi="宋体" w:eastAsia="宋体" w:cs="宋体"/>
          <w:b/>
          <w:bCs/>
          <w:color w:val="auto"/>
          <w:sz w:val="24"/>
          <w:highlight w:val="none"/>
          <w:lang w:val="en-US" w:eastAsia="zh-CN"/>
        </w:rPr>
      </w:pPr>
    </w:p>
    <w:p w14:paraId="1A68EA82">
      <w:pPr>
        <w:rPr>
          <w:rFonts w:hint="eastAsia" w:ascii="宋体" w:hAnsi="宋体" w:eastAsia="宋体" w:cs="宋体"/>
          <w:b/>
          <w:bCs/>
          <w:color w:val="auto"/>
          <w:sz w:val="24"/>
          <w:highlight w:val="none"/>
          <w:lang w:val="en-US" w:eastAsia="zh-CN"/>
        </w:rPr>
      </w:pPr>
    </w:p>
    <w:p w14:paraId="723B8C20">
      <w:pPr>
        <w:rPr>
          <w:rFonts w:hint="eastAsia" w:ascii="宋体" w:hAnsi="宋体" w:eastAsia="宋体" w:cs="宋体"/>
          <w:b/>
          <w:bCs/>
          <w:color w:val="auto"/>
          <w:sz w:val="24"/>
          <w:highlight w:val="none"/>
          <w:lang w:val="en-US" w:eastAsia="zh-CN"/>
        </w:rPr>
      </w:pPr>
    </w:p>
    <w:p w14:paraId="75DA36F1">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br w:type="page"/>
      </w: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rPr>
        <w:t>技术规格偏离表</w:t>
      </w:r>
      <w:bookmarkEnd w:id="279"/>
      <w:bookmarkEnd w:id="280"/>
      <w:bookmarkEnd w:id="281"/>
      <w:bookmarkEnd w:id="282"/>
      <w:bookmarkEnd w:id="291"/>
      <w:bookmarkEnd w:id="292"/>
      <w:bookmarkEnd w:id="293"/>
      <w:bookmarkEnd w:id="294"/>
    </w:p>
    <w:p w14:paraId="3F4F4E8D">
      <w:pPr>
        <w:pStyle w:val="12"/>
        <w:shd w:val="clear" w:color="auto" w:fill="auto"/>
        <w:spacing w:line="240" w:lineRule="atLeast"/>
        <w:ind w:left="1087" w:leftChars="257" w:hanging="540"/>
        <w:rPr>
          <w:rFonts w:hint="eastAsia" w:ascii="宋体" w:hAnsi="宋体" w:eastAsia="宋体" w:cs="宋体"/>
          <w:color w:val="auto"/>
          <w:sz w:val="24"/>
          <w:highlight w:val="none"/>
        </w:rPr>
      </w:pPr>
    </w:p>
    <w:p w14:paraId="7244864A">
      <w:pPr>
        <w:pStyle w:val="12"/>
        <w:shd w:val="clear" w:color="auto" w:fill="auto"/>
        <w:spacing w:line="240" w:lineRule="atLeast"/>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                       招标编号:                 包号:</w:t>
      </w:r>
    </w:p>
    <w:p w14:paraId="53744511">
      <w:pPr>
        <w:pStyle w:val="12"/>
        <w:shd w:val="clear" w:color="auto" w:fill="auto"/>
        <w:spacing w:line="240" w:lineRule="atLeast"/>
        <w:ind w:left="1087" w:leftChars="257" w:hanging="540"/>
        <w:rPr>
          <w:rFonts w:hint="eastAsia" w:ascii="宋体" w:hAnsi="宋体" w:eastAsia="宋体" w:cs="宋体"/>
          <w:color w:val="auto"/>
          <w:sz w:val="24"/>
          <w:highlight w:val="none"/>
        </w:rPr>
      </w:pPr>
    </w:p>
    <w:tbl>
      <w:tblPr>
        <w:tblStyle w:val="25"/>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287"/>
        <w:gridCol w:w="1283"/>
        <w:gridCol w:w="2312"/>
        <w:gridCol w:w="700"/>
      </w:tblGrid>
      <w:tr w14:paraId="7B0E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center"/>
          </w:tcPr>
          <w:p w14:paraId="1E86EC54">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序号</w:t>
            </w:r>
          </w:p>
        </w:tc>
        <w:tc>
          <w:tcPr>
            <w:tcW w:w="1260" w:type="dxa"/>
            <w:noWrap w:val="0"/>
            <w:vAlign w:val="center"/>
          </w:tcPr>
          <w:p w14:paraId="3D6C4B90">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hAnsi="宋体" w:cs="宋体"/>
                <w:color w:val="auto"/>
                <w:sz w:val="24"/>
                <w:highlight w:val="none"/>
                <w:lang w:val="en-US" w:eastAsia="zh-CN"/>
              </w:rPr>
              <w:t>服务</w:t>
            </w:r>
            <w:r>
              <w:rPr>
                <w:rFonts w:hint="eastAsia" w:ascii="宋体" w:hAnsi="宋体" w:eastAsia="宋体" w:cs="宋体"/>
                <w:color w:val="auto"/>
                <w:sz w:val="24"/>
                <w:highlight w:val="none"/>
                <w:lang w:val="en-US" w:eastAsia="zh-CN"/>
              </w:rPr>
              <w:t>名称</w:t>
            </w:r>
          </w:p>
        </w:tc>
        <w:tc>
          <w:tcPr>
            <w:tcW w:w="1640" w:type="dxa"/>
            <w:noWrap w:val="0"/>
            <w:vAlign w:val="center"/>
          </w:tcPr>
          <w:p w14:paraId="3FB2E782">
            <w:pPr>
              <w:pStyle w:val="12"/>
              <w:shd w:val="clear" w:color="auto" w:fill="auto"/>
              <w:spacing w:line="240" w:lineRule="atLeast"/>
              <w:ind w:left="272" w:leftChars="128"/>
              <w:jc w:val="center"/>
              <w:rPr>
                <w:rFonts w:hint="eastAsia" w:ascii="宋体" w:hAnsi="宋体" w:eastAsia="宋体" w:cs="宋体"/>
                <w:color w:val="auto"/>
                <w:sz w:val="24"/>
                <w:highlight w:val="none"/>
                <w:lang w:val="en-US" w:eastAsia="zh-CN"/>
              </w:rPr>
            </w:pPr>
            <w:r>
              <w:rPr>
                <w:rFonts w:hint="eastAsia" w:hAnsi="宋体" w:eastAsia="宋体" w:cs="宋体"/>
                <w:color w:val="auto"/>
                <w:sz w:val="24"/>
                <w:highlight w:val="none"/>
                <w:lang w:val="en-US" w:eastAsia="zh-CN"/>
              </w:rPr>
              <w:t>磋商文件</w:t>
            </w:r>
            <w:r>
              <w:rPr>
                <w:rFonts w:hint="eastAsia" w:ascii="宋体" w:hAnsi="宋体" w:eastAsia="宋体" w:cs="宋体"/>
                <w:color w:val="auto"/>
                <w:sz w:val="24"/>
                <w:highlight w:val="none"/>
                <w:lang w:val="en-US" w:eastAsia="zh-CN"/>
              </w:rPr>
              <w:t>条款号</w:t>
            </w:r>
          </w:p>
        </w:tc>
        <w:tc>
          <w:tcPr>
            <w:tcW w:w="1287" w:type="dxa"/>
            <w:noWrap w:val="0"/>
            <w:vAlign w:val="center"/>
          </w:tcPr>
          <w:p w14:paraId="5A06B4BC">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招标规格</w:t>
            </w:r>
          </w:p>
        </w:tc>
        <w:tc>
          <w:tcPr>
            <w:tcW w:w="1283" w:type="dxa"/>
            <w:noWrap w:val="0"/>
            <w:vAlign w:val="center"/>
          </w:tcPr>
          <w:p w14:paraId="39FECD10">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投标规格</w:t>
            </w:r>
          </w:p>
        </w:tc>
        <w:tc>
          <w:tcPr>
            <w:tcW w:w="2312" w:type="dxa"/>
            <w:noWrap w:val="0"/>
            <w:vAlign w:val="center"/>
          </w:tcPr>
          <w:p w14:paraId="2C9FD16F">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偏离</w:t>
            </w:r>
          </w:p>
        </w:tc>
        <w:tc>
          <w:tcPr>
            <w:tcW w:w="700" w:type="dxa"/>
            <w:noWrap w:val="0"/>
            <w:vAlign w:val="center"/>
          </w:tcPr>
          <w:p w14:paraId="44B68B4B">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说明</w:t>
            </w:r>
          </w:p>
        </w:tc>
      </w:tr>
      <w:tr w14:paraId="6C55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C7FD134">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75C96E3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2ACB3181">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7C86681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3E643A5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center"/>
          </w:tcPr>
          <w:p w14:paraId="2641591C">
            <w:pPr>
              <w:pStyle w:val="12"/>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default" w:ascii="宋体" w:hAnsi="宋体" w:eastAsia="宋体" w:cs="宋体"/>
                <w:color w:val="auto"/>
                <w:sz w:val="24"/>
                <w:highlight w:val="none"/>
                <w:lang w:val="en-US" w:eastAsia="zh-CN"/>
              </w:rPr>
            </w:pPr>
            <w:r>
              <w:rPr>
                <w:rFonts w:hint="eastAsia" w:hAnsi="宋体" w:eastAsia="宋体" w:cs="宋体"/>
                <w:b/>
                <w:bCs/>
                <w:color w:val="auto"/>
                <w:sz w:val="24"/>
                <w:highlight w:val="none"/>
                <w:u w:val="single" w:color="auto"/>
                <w:lang w:val="en-US" w:eastAsia="zh-CN"/>
              </w:rPr>
              <w:t>如有正偏离需提供证明材料，证明材料附后(并注明页码)</w:t>
            </w:r>
          </w:p>
        </w:tc>
        <w:tc>
          <w:tcPr>
            <w:tcW w:w="700" w:type="dxa"/>
            <w:noWrap w:val="0"/>
            <w:vAlign w:val="top"/>
          </w:tcPr>
          <w:p w14:paraId="417646C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6AE6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98F3BB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2F16D90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607E9F8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354E903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3B6E1EE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2A69DDF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6932213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0DD8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43AFE9B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69AE222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0288C89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2AEEECF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70CDBDE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0BF0894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52E5104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016D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35110D1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1B1747F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038BD23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057CB0C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5B83EEC3">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1DB6F3D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4C5A4CE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7702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1741591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5D1B3DD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38905A8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3A9D7BA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55804AD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325BB67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4A4F86A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67A7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7D5A85B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346AE04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256920F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22C1AD9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04F323E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3F371BE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00B6546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14CF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3D2484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2D6AF80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7D5A694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4F4752F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6665A34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5E36750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4CAB6763">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5D4A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2DB766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402356B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14DB189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469F0E2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0B29ABA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6113678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313A7D7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1589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0DC4477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4EAFE6A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72E3B621">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41BF8F4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404295E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69EE779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2D025A4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1B69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D3B489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546940F1">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0003B72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2C48AC8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2416DA0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6D754FE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184FF51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711B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5746B9F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0E96B951">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327589B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70B48F1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10E64E7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782980C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5D4CD3A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0CB2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269B74F1">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01B05585">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70698D7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778CBD8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371B6E3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26091B0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2180CC3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7475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2C664F4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29B5B3B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15EBED0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00613DB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623E1BE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504CB78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43816891">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6F20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648F9B6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2A7D859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6C53BBD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77676AD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07DBCDB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42758CF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6DB55E75">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28BC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153B7A94">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191874B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3E14BEF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3DE9F884">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2037297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06EAFBC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59BE437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22AD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noWrap w:val="0"/>
            <w:vAlign w:val="top"/>
          </w:tcPr>
          <w:p w14:paraId="7E40BDD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6F46499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762284E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328D833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47904548">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6DE63CE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454D49F6">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0B96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noWrap w:val="0"/>
            <w:vAlign w:val="top"/>
          </w:tcPr>
          <w:p w14:paraId="6F12AC0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60" w:type="dxa"/>
            <w:noWrap w:val="0"/>
            <w:vAlign w:val="top"/>
          </w:tcPr>
          <w:p w14:paraId="51A55D4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640" w:type="dxa"/>
            <w:noWrap w:val="0"/>
            <w:vAlign w:val="top"/>
          </w:tcPr>
          <w:p w14:paraId="4A57650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7" w:type="dxa"/>
            <w:noWrap w:val="0"/>
            <w:vAlign w:val="top"/>
          </w:tcPr>
          <w:p w14:paraId="0AE1F8EB">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1283" w:type="dxa"/>
            <w:noWrap w:val="0"/>
            <w:vAlign w:val="top"/>
          </w:tcPr>
          <w:p w14:paraId="43BC324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312" w:type="dxa"/>
            <w:noWrap w:val="0"/>
            <w:vAlign w:val="top"/>
          </w:tcPr>
          <w:p w14:paraId="3BAB5F13">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700" w:type="dxa"/>
            <w:noWrap w:val="0"/>
            <w:vAlign w:val="top"/>
          </w:tcPr>
          <w:p w14:paraId="5B49D1F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bl>
    <w:p w14:paraId="6386BE87">
      <w:pPr>
        <w:pStyle w:val="12"/>
        <w:shd w:val="clear" w:color="auto" w:fill="auto"/>
        <w:spacing w:line="240" w:lineRule="atLeast"/>
        <w:ind w:left="1087" w:leftChars="257" w:hanging="540"/>
        <w:rPr>
          <w:rFonts w:hint="eastAsia" w:ascii="宋体" w:hAnsi="宋体" w:eastAsia="宋体" w:cs="宋体"/>
          <w:color w:val="auto"/>
          <w:sz w:val="24"/>
          <w:highlight w:val="none"/>
        </w:rPr>
      </w:pPr>
    </w:p>
    <w:p w14:paraId="0687A08B">
      <w:pPr>
        <w:pStyle w:val="12"/>
        <w:shd w:val="clear" w:color="auto" w:fill="auto"/>
        <w:spacing w:line="240" w:lineRule="atLeast"/>
        <w:ind w:left="1087" w:leftChars="257" w:hanging="540"/>
        <w:rPr>
          <w:rFonts w:hint="eastAsia" w:ascii="宋体" w:hAnsi="宋体" w:eastAsia="宋体" w:cs="宋体"/>
          <w:color w:val="auto"/>
          <w:sz w:val="24"/>
          <w:highlight w:val="none"/>
          <w:lang w:eastAsia="zh-CN"/>
        </w:rPr>
      </w:pPr>
    </w:p>
    <w:p w14:paraId="042B824F">
      <w:pPr>
        <w:pStyle w:val="12"/>
        <w:shd w:val="clear" w:color="auto" w:fill="auto"/>
        <w:spacing w:line="240" w:lineRule="atLeast"/>
        <w:ind w:left="1087" w:leftChars="257" w:hanging="540"/>
        <w:rPr>
          <w:rFonts w:hint="eastAsia" w:ascii="宋体" w:hAnsi="宋体" w:eastAsia="宋体" w:cs="宋体"/>
          <w:color w:val="auto"/>
          <w:sz w:val="24"/>
          <w:highlight w:val="none"/>
        </w:rPr>
      </w:pPr>
      <w:r>
        <w:rPr>
          <w:rFonts w:hint="eastAsia" w:hAnsi="宋体" w:eastAsia="宋体" w:cs="宋体"/>
          <w:color w:val="auto"/>
          <w:sz w:val="24"/>
          <w:highlight w:val="none"/>
          <w:lang w:eastAsia="zh-CN"/>
        </w:rPr>
        <w:t>法定代表人</w:t>
      </w:r>
      <w:r>
        <w:rPr>
          <w:rFonts w:hint="eastAsia" w:ascii="宋体" w:hAnsi="宋体" w:eastAsia="宋体" w:cs="宋体"/>
          <w:color w:val="auto"/>
          <w:sz w:val="24"/>
          <w:highlight w:val="none"/>
        </w:rPr>
        <w:t>或</w:t>
      </w:r>
      <w:r>
        <w:rPr>
          <w:rFonts w:hint="eastAsia" w:hAnsi="宋体" w:eastAsia="宋体" w:cs="宋体"/>
          <w:color w:val="auto"/>
          <w:sz w:val="24"/>
          <w:highlight w:val="none"/>
          <w:lang w:eastAsia="zh-CN"/>
        </w:rPr>
        <w:t>授权委托人</w:t>
      </w:r>
      <w:r>
        <w:rPr>
          <w:rFonts w:hint="eastAsia" w:ascii="宋体" w:hAnsi="宋体" w:eastAsia="宋体" w:cs="宋体"/>
          <w:color w:val="auto"/>
          <w:sz w:val="24"/>
          <w:highlight w:val="none"/>
        </w:rPr>
        <w:t>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5BCD5EC7">
      <w:pPr>
        <w:pStyle w:val="12"/>
        <w:shd w:val="clear" w:color="auto" w:fill="auto"/>
        <w:tabs>
          <w:tab w:val="left" w:pos="5370"/>
        </w:tabs>
        <w:spacing w:line="240" w:lineRule="atLeast"/>
        <w:ind w:left="1087"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7A0ED902">
      <w:pPr>
        <w:pStyle w:val="12"/>
        <w:shd w:val="clear" w:color="auto" w:fill="auto"/>
        <w:tabs>
          <w:tab w:val="left" w:pos="5580"/>
        </w:tabs>
        <w:spacing w:line="240" w:lineRule="atLeast"/>
        <w:rPr>
          <w:rFonts w:hint="eastAsia" w:ascii="宋体" w:hAnsi="宋体" w:eastAsia="宋体" w:cs="宋体"/>
          <w:color w:val="auto"/>
          <w:sz w:val="24"/>
          <w:highlight w:val="yellow"/>
        </w:rPr>
      </w:pPr>
    </w:p>
    <w:p w14:paraId="76BF0B07">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lang w:val="en-US" w:eastAsia="zh-CN"/>
        </w:rPr>
      </w:pPr>
      <w:bookmarkStart w:id="295" w:name="_Toc515647821"/>
      <w:bookmarkStart w:id="296" w:name="_Toc21406"/>
      <w:bookmarkStart w:id="297" w:name="_Toc1980"/>
      <w:bookmarkStart w:id="298" w:name="_Toc23"/>
      <w:bookmarkStart w:id="299" w:name="_Toc216582818"/>
      <w:bookmarkStart w:id="300" w:name="_Toc9751"/>
      <w:bookmarkStart w:id="301" w:name="_Toc11124"/>
      <w:bookmarkStart w:id="302" w:name="_Toc21391"/>
    </w:p>
    <w:p w14:paraId="3E08A89D">
      <w:pPr>
        <w:pStyle w:val="3"/>
        <w:numPr>
          <w:ilvl w:val="0"/>
          <w:numId w:val="0"/>
        </w:numPr>
        <w:shd w:val="clear" w:color="auto" w:fill="auto"/>
        <w:spacing w:before="0" w:line="240" w:lineRule="atLeast"/>
        <w:jc w:val="center"/>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lang w:eastAsia="zh-CN"/>
        </w:rPr>
        <w:t>、</w:t>
      </w:r>
      <w:r>
        <w:rPr>
          <w:rFonts w:hint="eastAsia" w:ascii="宋体" w:hAnsi="宋体" w:eastAsia="宋体" w:cs="宋体"/>
          <w:b/>
          <w:bCs/>
          <w:color w:val="auto"/>
          <w:sz w:val="24"/>
          <w:highlight w:val="none"/>
        </w:rPr>
        <w:t>商务条款偏离表</w:t>
      </w:r>
      <w:bookmarkEnd w:id="295"/>
      <w:bookmarkEnd w:id="296"/>
      <w:bookmarkEnd w:id="297"/>
      <w:bookmarkEnd w:id="298"/>
      <w:bookmarkEnd w:id="299"/>
      <w:bookmarkEnd w:id="300"/>
      <w:bookmarkEnd w:id="301"/>
      <w:bookmarkEnd w:id="302"/>
    </w:p>
    <w:p w14:paraId="099CD07C">
      <w:pPr>
        <w:pStyle w:val="12"/>
        <w:shd w:val="clear" w:color="auto" w:fill="auto"/>
        <w:spacing w:line="240" w:lineRule="atLeast"/>
        <w:ind w:left="1087" w:leftChars="257" w:hanging="540"/>
        <w:rPr>
          <w:rFonts w:hint="eastAsia" w:ascii="宋体" w:hAnsi="宋体" w:eastAsia="宋体" w:cs="宋体"/>
          <w:color w:val="auto"/>
          <w:sz w:val="24"/>
          <w:highlight w:val="none"/>
        </w:rPr>
      </w:pPr>
    </w:p>
    <w:p w14:paraId="5F9B1F8E">
      <w:pPr>
        <w:pStyle w:val="12"/>
        <w:shd w:val="clear" w:color="auto" w:fill="auto"/>
        <w:spacing w:line="240" w:lineRule="atLeast"/>
        <w:ind w:left="1087" w:leftChars="257" w:hanging="540"/>
        <w:rPr>
          <w:rFonts w:hint="eastAsia" w:ascii="宋体" w:hAnsi="宋体" w:eastAsia="宋体" w:cs="宋体"/>
          <w:color w:val="auto"/>
          <w:sz w:val="24"/>
          <w:highlight w:val="none"/>
        </w:rPr>
      </w:pPr>
    </w:p>
    <w:p w14:paraId="34D37DC2">
      <w:pPr>
        <w:pStyle w:val="12"/>
        <w:shd w:val="clear" w:color="auto" w:fill="auto"/>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项目名称:                      招标编号:    </w:t>
      </w:r>
      <w:r>
        <w:rPr>
          <w:rFonts w:hint="eastAsia"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包号:</w:t>
      </w:r>
    </w:p>
    <w:p w14:paraId="44997798">
      <w:pPr>
        <w:pStyle w:val="12"/>
        <w:shd w:val="clear" w:color="auto" w:fill="auto"/>
        <w:spacing w:line="240" w:lineRule="atLeast"/>
        <w:ind w:left="1087" w:leftChars="257" w:hanging="540"/>
        <w:rPr>
          <w:rFonts w:hint="eastAsia" w:ascii="宋体" w:hAnsi="宋体" w:eastAsia="宋体" w:cs="宋体"/>
          <w:color w:val="auto"/>
          <w:sz w:val="24"/>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3EB9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BDA9994">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序号</w:t>
            </w:r>
          </w:p>
        </w:tc>
        <w:tc>
          <w:tcPr>
            <w:tcW w:w="2040" w:type="dxa"/>
            <w:noWrap w:val="0"/>
            <w:vAlign w:val="top"/>
          </w:tcPr>
          <w:p w14:paraId="5966803F">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hAnsi="宋体" w:eastAsia="宋体" w:cs="宋体"/>
                <w:color w:val="auto"/>
                <w:sz w:val="24"/>
                <w:highlight w:val="none"/>
                <w:lang w:val="en-US" w:eastAsia="zh-CN"/>
              </w:rPr>
              <w:t>磋商文件</w:t>
            </w:r>
            <w:r>
              <w:rPr>
                <w:rFonts w:hint="eastAsia" w:ascii="宋体" w:hAnsi="宋体" w:eastAsia="宋体" w:cs="宋体"/>
                <w:color w:val="auto"/>
                <w:sz w:val="24"/>
                <w:highlight w:val="none"/>
                <w:lang w:val="en-US" w:eastAsia="zh-CN"/>
              </w:rPr>
              <w:t>条款号</w:t>
            </w:r>
          </w:p>
        </w:tc>
        <w:tc>
          <w:tcPr>
            <w:tcW w:w="2520" w:type="dxa"/>
            <w:noWrap w:val="0"/>
            <w:vAlign w:val="top"/>
          </w:tcPr>
          <w:p w14:paraId="465C411A">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hAnsi="宋体" w:eastAsia="宋体" w:cs="宋体"/>
                <w:color w:val="auto"/>
                <w:sz w:val="24"/>
                <w:highlight w:val="none"/>
                <w:lang w:val="en-US" w:eastAsia="zh-CN"/>
              </w:rPr>
              <w:t>磋商文件</w:t>
            </w:r>
            <w:r>
              <w:rPr>
                <w:rFonts w:hint="eastAsia" w:ascii="宋体" w:hAnsi="宋体" w:eastAsia="宋体" w:cs="宋体"/>
                <w:color w:val="auto"/>
                <w:sz w:val="24"/>
                <w:highlight w:val="none"/>
                <w:lang w:val="en-US" w:eastAsia="zh-CN"/>
              </w:rPr>
              <w:t>的商务条款</w:t>
            </w:r>
          </w:p>
        </w:tc>
        <w:tc>
          <w:tcPr>
            <w:tcW w:w="2520" w:type="dxa"/>
            <w:noWrap w:val="0"/>
            <w:vAlign w:val="top"/>
          </w:tcPr>
          <w:p w14:paraId="55A64600">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投标文件的商务条款</w:t>
            </w:r>
          </w:p>
        </w:tc>
        <w:tc>
          <w:tcPr>
            <w:tcW w:w="900" w:type="dxa"/>
            <w:noWrap w:val="0"/>
            <w:vAlign w:val="top"/>
          </w:tcPr>
          <w:p w14:paraId="684C92D8">
            <w:pPr>
              <w:pStyle w:val="12"/>
              <w:shd w:val="clear" w:color="auto" w:fill="auto"/>
              <w:spacing w:line="24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说明</w:t>
            </w:r>
          </w:p>
        </w:tc>
      </w:tr>
      <w:tr w14:paraId="2F63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5CEDF0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040" w:type="dxa"/>
            <w:noWrap w:val="0"/>
            <w:vAlign w:val="top"/>
          </w:tcPr>
          <w:p w14:paraId="1D780C55">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33E5EF33">
            <w:pPr>
              <w:pStyle w:val="12"/>
              <w:shd w:val="clear" w:color="auto" w:fill="auto"/>
              <w:spacing w:line="240" w:lineRule="atLeast"/>
              <w:ind w:left="1087" w:leftChars="257" w:hanging="540"/>
              <w:jc w:val="center"/>
              <w:rPr>
                <w:rFonts w:hint="eastAsia" w:ascii="宋体" w:hAnsi="宋体" w:eastAsia="宋体" w:cs="宋体"/>
                <w:color w:val="auto"/>
                <w:sz w:val="24"/>
                <w:highlight w:val="none"/>
                <w:lang w:val="en-US" w:eastAsia="zh-CN"/>
              </w:rPr>
            </w:pPr>
          </w:p>
        </w:tc>
        <w:tc>
          <w:tcPr>
            <w:tcW w:w="2520" w:type="dxa"/>
            <w:noWrap w:val="0"/>
            <w:vAlign w:val="top"/>
          </w:tcPr>
          <w:p w14:paraId="21E8F231">
            <w:pPr>
              <w:pStyle w:val="12"/>
              <w:shd w:val="clear" w:color="auto" w:fill="auto"/>
              <w:spacing w:line="240" w:lineRule="atLeast"/>
              <w:ind w:left="1087" w:leftChars="257" w:hanging="540"/>
              <w:jc w:val="center"/>
              <w:rPr>
                <w:rFonts w:hint="eastAsia" w:ascii="宋体" w:hAnsi="宋体" w:eastAsia="宋体" w:cs="宋体"/>
                <w:color w:val="auto"/>
                <w:sz w:val="24"/>
                <w:highlight w:val="none"/>
                <w:lang w:val="en-US" w:eastAsia="zh-CN"/>
              </w:rPr>
            </w:pPr>
          </w:p>
        </w:tc>
        <w:tc>
          <w:tcPr>
            <w:tcW w:w="900" w:type="dxa"/>
            <w:noWrap w:val="0"/>
            <w:vAlign w:val="top"/>
          </w:tcPr>
          <w:p w14:paraId="3D49D487">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3B44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183E1F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040" w:type="dxa"/>
            <w:noWrap w:val="0"/>
            <w:vAlign w:val="top"/>
          </w:tcPr>
          <w:p w14:paraId="4BC2A2D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515B5F40">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7E6C7494">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900" w:type="dxa"/>
            <w:noWrap w:val="0"/>
            <w:vAlign w:val="top"/>
          </w:tcPr>
          <w:p w14:paraId="0D9AD872">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676B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F9375F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040" w:type="dxa"/>
            <w:noWrap w:val="0"/>
            <w:vAlign w:val="top"/>
          </w:tcPr>
          <w:p w14:paraId="737F0DD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36E1281D">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6830261E">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900" w:type="dxa"/>
            <w:noWrap w:val="0"/>
            <w:vAlign w:val="top"/>
          </w:tcPr>
          <w:p w14:paraId="6817723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7756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2ED470F">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040" w:type="dxa"/>
            <w:noWrap w:val="0"/>
            <w:vAlign w:val="top"/>
          </w:tcPr>
          <w:p w14:paraId="417B5E69">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0FD64073">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2520" w:type="dxa"/>
            <w:noWrap w:val="0"/>
            <w:vAlign w:val="top"/>
          </w:tcPr>
          <w:p w14:paraId="3AB04A1C">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c>
          <w:tcPr>
            <w:tcW w:w="900" w:type="dxa"/>
            <w:noWrap w:val="0"/>
            <w:vAlign w:val="top"/>
          </w:tcPr>
          <w:p w14:paraId="03B5C42A">
            <w:pPr>
              <w:pStyle w:val="12"/>
              <w:shd w:val="clear" w:color="auto" w:fill="auto"/>
              <w:spacing w:line="240" w:lineRule="atLeast"/>
              <w:ind w:left="1087" w:leftChars="257" w:hanging="540"/>
              <w:rPr>
                <w:rFonts w:hint="eastAsia" w:ascii="宋体" w:hAnsi="宋体" w:eastAsia="宋体" w:cs="宋体"/>
                <w:color w:val="auto"/>
                <w:sz w:val="24"/>
                <w:highlight w:val="none"/>
                <w:lang w:val="en-US" w:eastAsia="zh-CN"/>
              </w:rPr>
            </w:pPr>
          </w:p>
        </w:tc>
      </w:tr>
      <w:tr w14:paraId="5B5C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0A4037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16FC753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7179411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73FE0FA7">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052717F6">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010E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603B140">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555C3EEF">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6E46CC0C">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3B741833">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3A6273B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4EFF9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4DD4898">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5EC6B04C">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520B6A68">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013EC1A3">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725A0F75">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6207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BE8DEBD">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4B50AEC3">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354164CE">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68357CC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40DBCDF9">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1D2A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2AD4FF9">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3D8CA1B4">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4BA25326">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4994F49D">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5AE9B9FC">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1137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2111E29">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12DED097">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4AA1C813">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6265C2D9">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07140164">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49EE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A8F6D26">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10F2DB09">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56058567">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087AFAC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1A76B150">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50B8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38EA85ED">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760090F0">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7A48D8C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7581AE85">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37E9E2F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689A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7E58A41">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192C2D00">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0A183BAF">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1DC24BC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475EC381">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6DBF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E28DDBF">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393E4455">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1891069E">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4C0DCA58">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5C753E3D">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47B2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49DDB493">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5AC857A3">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3677B11F">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3B74FBC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0AD7394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6C9D4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2583BB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19733252">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291B290F">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3378B43B">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787FDAC1">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r w14:paraId="2613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1054E15A">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040" w:type="dxa"/>
            <w:noWrap w:val="0"/>
            <w:vAlign w:val="top"/>
          </w:tcPr>
          <w:p w14:paraId="1446FA26">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04D02B35">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2520" w:type="dxa"/>
            <w:noWrap w:val="0"/>
            <w:vAlign w:val="top"/>
          </w:tcPr>
          <w:p w14:paraId="0DA59815">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c>
          <w:tcPr>
            <w:tcW w:w="900" w:type="dxa"/>
            <w:noWrap w:val="0"/>
            <w:vAlign w:val="top"/>
          </w:tcPr>
          <w:p w14:paraId="7F32C426">
            <w:pPr>
              <w:pStyle w:val="12"/>
              <w:shd w:val="clear" w:color="auto" w:fill="auto"/>
              <w:spacing w:line="240" w:lineRule="atLeast"/>
              <w:ind w:left="1087" w:leftChars="257" w:hanging="540"/>
              <w:rPr>
                <w:rFonts w:hint="eastAsia" w:ascii="宋体" w:hAnsi="宋体" w:eastAsia="宋体" w:cs="宋体"/>
                <w:color w:val="auto"/>
                <w:sz w:val="24"/>
                <w:highlight w:val="yellow"/>
                <w:lang w:val="en-US" w:eastAsia="zh-CN"/>
              </w:rPr>
            </w:pPr>
          </w:p>
        </w:tc>
      </w:tr>
    </w:tbl>
    <w:p w14:paraId="3B9ABD92">
      <w:pPr>
        <w:pStyle w:val="12"/>
        <w:shd w:val="clear" w:color="auto" w:fill="auto"/>
        <w:spacing w:line="240" w:lineRule="atLeast"/>
        <w:ind w:left="1087" w:leftChars="257" w:hanging="540"/>
        <w:rPr>
          <w:rFonts w:hint="eastAsia" w:ascii="宋体" w:hAnsi="宋体" w:eastAsia="宋体" w:cs="宋体"/>
          <w:color w:val="auto"/>
          <w:sz w:val="24"/>
          <w:highlight w:val="yellow"/>
        </w:rPr>
      </w:pPr>
    </w:p>
    <w:p w14:paraId="4597A924">
      <w:pPr>
        <w:pStyle w:val="12"/>
        <w:shd w:val="clear" w:color="auto" w:fill="auto"/>
        <w:spacing w:line="240" w:lineRule="atLeast"/>
        <w:ind w:left="1087" w:leftChars="257" w:hanging="540"/>
        <w:rPr>
          <w:rFonts w:hint="eastAsia" w:ascii="宋体" w:hAnsi="宋体" w:eastAsia="宋体" w:cs="宋体"/>
          <w:color w:val="auto"/>
          <w:sz w:val="24"/>
          <w:highlight w:val="yellow"/>
        </w:rPr>
      </w:pPr>
    </w:p>
    <w:p w14:paraId="2089A8DD">
      <w:pPr>
        <w:pStyle w:val="12"/>
        <w:shd w:val="clear" w:color="auto" w:fill="auto"/>
        <w:spacing w:line="240" w:lineRule="atLeast"/>
        <w:ind w:left="1087" w:leftChars="257" w:hanging="540"/>
        <w:rPr>
          <w:rFonts w:hint="eastAsia" w:ascii="宋体" w:hAnsi="宋体" w:eastAsia="宋体" w:cs="宋体"/>
          <w:color w:val="auto"/>
          <w:sz w:val="24"/>
          <w:highlight w:val="none"/>
        </w:rPr>
      </w:pPr>
      <w:r>
        <w:rPr>
          <w:rFonts w:hint="eastAsia" w:hAnsi="宋体" w:eastAsia="宋体" w:cs="宋体"/>
          <w:color w:val="auto"/>
          <w:sz w:val="24"/>
          <w:highlight w:val="none"/>
          <w:lang w:eastAsia="zh-CN"/>
        </w:rPr>
        <w:t>法定代表人</w:t>
      </w:r>
      <w:r>
        <w:rPr>
          <w:rFonts w:hint="eastAsia" w:ascii="宋体" w:hAnsi="宋体" w:eastAsia="宋体" w:cs="宋体"/>
          <w:color w:val="auto"/>
          <w:sz w:val="24"/>
          <w:highlight w:val="none"/>
        </w:rPr>
        <w:t>或</w:t>
      </w:r>
      <w:r>
        <w:rPr>
          <w:rFonts w:hint="eastAsia" w:hAnsi="宋体" w:eastAsia="宋体" w:cs="宋体"/>
          <w:color w:val="auto"/>
          <w:sz w:val="24"/>
          <w:highlight w:val="none"/>
          <w:lang w:eastAsia="zh-CN"/>
        </w:rPr>
        <w:t>授权委托人</w:t>
      </w:r>
      <w:r>
        <w:rPr>
          <w:rFonts w:hint="eastAsia" w:ascii="宋体" w:hAnsi="宋体" w:eastAsia="宋体" w:cs="宋体"/>
          <w:color w:val="auto"/>
          <w:sz w:val="24"/>
          <w:highlight w:val="none"/>
        </w:rPr>
        <w:t>签字:</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rPr>
        <w:tab/>
      </w:r>
      <w:r>
        <w:rPr>
          <w:rFonts w:hint="eastAsia" w:ascii="宋体" w:hAnsi="宋体" w:eastAsia="宋体" w:cs="宋体"/>
          <w:color w:val="auto"/>
          <w:sz w:val="24"/>
          <w:highlight w:val="none"/>
          <w:u w:val="single"/>
        </w:rPr>
        <w:t xml:space="preserve">                 </w:t>
      </w:r>
    </w:p>
    <w:p w14:paraId="4EBFD393">
      <w:pPr>
        <w:pStyle w:val="12"/>
        <w:shd w:val="clear" w:color="auto" w:fill="auto"/>
        <w:tabs>
          <w:tab w:val="left" w:pos="5370"/>
        </w:tabs>
        <w:spacing w:line="240" w:lineRule="atLeast"/>
        <w:ind w:left="1087" w:leftChars="257" w:hanging="54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投标人(盖单位章):</w:t>
      </w:r>
      <w:r>
        <w:rPr>
          <w:rFonts w:hint="eastAsia" w:ascii="宋体" w:hAnsi="宋体" w:eastAsia="宋体" w:cs="宋体"/>
          <w:color w:val="auto"/>
          <w:sz w:val="24"/>
          <w:highlight w:val="none"/>
          <w:u w:val="single"/>
        </w:rPr>
        <w:tab/>
      </w:r>
    </w:p>
    <w:p w14:paraId="43053B4B">
      <w:pPr>
        <w:pStyle w:val="13"/>
        <w:rPr>
          <w:rFonts w:hint="eastAsia" w:ascii="宋体" w:hAnsi="宋体" w:eastAsia="宋体" w:cs="宋体"/>
          <w:color w:val="auto"/>
          <w:sz w:val="24"/>
          <w:highlight w:val="none"/>
          <w:u w:val="single"/>
        </w:rPr>
      </w:pPr>
    </w:p>
    <w:p w14:paraId="4141C92B">
      <w:pPr>
        <w:rPr>
          <w:rFonts w:hint="eastAsia"/>
        </w:rPr>
      </w:pPr>
    </w:p>
    <w:p w14:paraId="3A44BD69">
      <w:pPr>
        <w:rPr>
          <w:rFonts w:hint="eastAsia" w:ascii="宋体" w:hAnsi="宋体" w:eastAsia="宋体" w:cs="宋体"/>
          <w:color w:val="auto"/>
          <w:sz w:val="24"/>
          <w:highlight w:val="none"/>
          <w:u w:val="single"/>
        </w:rPr>
      </w:pPr>
    </w:p>
    <w:p w14:paraId="5D16DAC9">
      <w:pPr>
        <w:pStyle w:val="57"/>
        <w:shd w:val="clear" w:color="auto" w:fill="auto"/>
        <w:ind w:left="0" w:leftChars="0" w:firstLine="0" w:firstLineChars="0"/>
        <w:rPr>
          <w:rFonts w:hint="eastAsia" w:ascii="宋体" w:hAnsi="宋体" w:eastAsia="宋体" w:cs="宋体"/>
          <w:color w:val="auto"/>
          <w:highlight w:val="none"/>
        </w:rPr>
      </w:pPr>
      <w:bookmarkStart w:id="303" w:name="_Toc17333"/>
      <w:bookmarkStart w:id="304" w:name="_Toc7414"/>
      <w:bookmarkStart w:id="305" w:name="_Toc515647828"/>
    </w:p>
    <w:p w14:paraId="1BE978A5">
      <w:pPr>
        <w:pStyle w:val="57"/>
        <w:shd w:val="clear" w:color="auto" w:fill="auto"/>
        <w:rPr>
          <w:rFonts w:hint="eastAsia" w:ascii="宋体" w:hAnsi="宋体" w:eastAsia="宋体" w:cs="宋体"/>
          <w:color w:val="auto"/>
          <w:highlight w:val="none"/>
        </w:rPr>
      </w:pPr>
    </w:p>
    <w:bookmarkEnd w:id="303"/>
    <w:bookmarkEnd w:id="304"/>
    <w:bookmarkEnd w:id="305"/>
    <w:p w14:paraId="583EEB0D">
      <w:pPr>
        <w:shd w:val="clear" w:color="auto" w:fill="auto"/>
        <w:spacing w:line="360" w:lineRule="auto"/>
        <w:jc w:val="center"/>
        <w:outlineLvl w:val="9"/>
        <w:rPr>
          <w:rFonts w:hint="eastAsia" w:ascii="宋体" w:hAnsi="宋体" w:eastAsia="宋体" w:cs="宋体"/>
          <w:b/>
          <w:bCs/>
          <w:color w:val="auto"/>
          <w:kern w:val="2"/>
          <w:sz w:val="24"/>
          <w:szCs w:val="20"/>
          <w:highlight w:val="none"/>
          <w:u w:val="none" w:color="auto"/>
          <w:lang w:val="en-US" w:eastAsia="zh-CN" w:bidi="ar-SA"/>
        </w:rPr>
      </w:pPr>
      <w:bookmarkStart w:id="306" w:name="_Toc13119"/>
      <w:bookmarkStart w:id="307" w:name="_Toc28129"/>
      <w:bookmarkStart w:id="308" w:name="_Toc27256"/>
      <w:bookmarkStart w:id="309" w:name="_Toc32515"/>
      <w:r>
        <w:rPr>
          <w:rFonts w:hint="eastAsia" w:ascii="宋体" w:hAnsi="宋体" w:eastAsia="宋体" w:cs="宋体"/>
          <w:b/>
          <w:bCs/>
          <w:color w:val="auto"/>
          <w:kern w:val="2"/>
          <w:sz w:val="24"/>
          <w:szCs w:val="20"/>
          <w:highlight w:val="none"/>
          <w:u w:val="none" w:color="auto"/>
          <w:lang w:val="en-US" w:eastAsia="zh-CN" w:bidi="ar-SA"/>
        </w:rPr>
        <w:t>6、投标人关联单位的说明</w:t>
      </w:r>
      <w:bookmarkEnd w:id="306"/>
      <w:r>
        <w:rPr>
          <w:rFonts w:hint="eastAsia" w:ascii="宋体" w:hAnsi="宋体" w:eastAsia="宋体" w:cs="宋体"/>
          <w:b/>
          <w:bCs/>
          <w:color w:val="auto"/>
          <w:kern w:val="2"/>
          <w:sz w:val="24"/>
          <w:szCs w:val="20"/>
          <w:highlight w:val="none"/>
          <w:u w:val="none" w:color="auto"/>
          <w:lang w:val="en-US" w:eastAsia="zh-CN" w:bidi="ar-SA"/>
        </w:rPr>
        <w:t>（格式自拟）</w:t>
      </w:r>
    </w:p>
    <w:p w14:paraId="160E3ACA">
      <w:pPr>
        <w:pStyle w:val="6"/>
        <w:shd w:val="clear" w:color="auto" w:fill="auto"/>
        <w:jc w:val="center"/>
        <w:outlineLvl w:val="9"/>
        <w:rPr>
          <w:rFonts w:hint="eastAsia" w:ascii="宋体" w:hAnsi="宋体" w:eastAsia="宋体" w:cs="宋体"/>
          <w:color w:val="auto"/>
          <w:kern w:val="2"/>
          <w:sz w:val="24"/>
          <w:szCs w:val="20"/>
          <w:highlight w:val="none"/>
          <w:u w:val="none" w:color="auto"/>
          <w:lang w:val="en-US" w:eastAsia="zh-CN" w:bidi="ar-SA"/>
        </w:rPr>
      </w:pPr>
    </w:p>
    <w:p w14:paraId="7BBAD8FA">
      <w:pPr>
        <w:pStyle w:val="6"/>
        <w:shd w:val="clear" w:color="auto" w:fill="auto"/>
        <w:ind w:firstLine="486" w:firstLineChars="200"/>
        <w:outlineLvl w:val="9"/>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说明：投标人应当如实披露与本单位存在下列关联关系的单位名称：</w:t>
      </w:r>
    </w:p>
    <w:p w14:paraId="70A5575C">
      <w:pPr>
        <w:pStyle w:val="6"/>
        <w:shd w:val="clear" w:color="auto" w:fill="auto"/>
        <w:ind w:firstLine="486" w:firstLineChars="200"/>
        <w:outlineLvl w:val="9"/>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（1）与投标人单位法定代表人为同一人的其他单位；</w:t>
      </w:r>
    </w:p>
    <w:p w14:paraId="18EDD1F0">
      <w:pPr>
        <w:pStyle w:val="6"/>
        <w:shd w:val="clear" w:color="auto" w:fill="auto"/>
        <w:ind w:firstLine="486" w:firstLineChars="200"/>
        <w:outlineLvl w:val="9"/>
        <w:rPr>
          <w:rFonts w:hint="eastAsia" w:ascii="宋体" w:hAnsi="宋体" w:eastAsia="宋体" w:cs="宋体"/>
          <w:color w:val="auto"/>
          <w:kern w:val="2"/>
          <w:sz w:val="24"/>
          <w:szCs w:val="20"/>
          <w:highlight w:val="none"/>
          <w:u w:val="none" w:color="auto"/>
          <w:lang w:val="en-US" w:eastAsia="zh-CN" w:bidi="ar-SA"/>
        </w:rPr>
      </w:pPr>
      <w:r>
        <w:rPr>
          <w:rFonts w:hint="eastAsia" w:ascii="宋体" w:hAnsi="宋体" w:eastAsia="宋体" w:cs="宋体"/>
          <w:color w:val="auto"/>
          <w:kern w:val="2"/>
          <w:sz w:val="24"/>
          <w:szCs w:val="20"/>
          <w:highlight w:val="none"/>
          <w:u w:val="none" w:color="auto"/>
          <w:lang w:val="en-US" w:eastAsia="zh-CN" w:bidi="ar-SA"/>
        </w:rPr>
        <w:t>（2）与投标人存在直接控股、管理关系的其他单位。</w:t>
      </w:r>
    </w:p>
    <w:p w14:paraId="132E7BB1">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u w:val="none" w:color="auto"/>
          <w:lang w:val="en-US" w:eastAsia="zh-CN"/>
        </w:rPr>
      </w:pPr>
    </w:p>
    <w:p w14:paraId="2F66921A">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4BC5B2DD">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392B9A10">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66CB7613">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68C1AAA7">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53E76AE0">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7E22C75D">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23F1875F">
      <w:pPr>
        <w:rPr>
          <w:rFonts w:hint="eastAsia" w:ascii="宋体" w:hAnsi="宋体" w:eastAsia="宋体" w:cs="宋体"/>
          <w:b/>
          <w:bCs/>
          <w:color w:val="auto"/>
          <w:sz w:val="24"/>
          <w:highlight w:val="none"/>
          <w:lang w:val="en-US" w:eastAsia="zh-CN"/>
        </w:rPr>
      </w:pPr>
    </w:p>
    <w:p w14:paraId="4DBF0EF2">
      <w:pPr>
        <w:pStyle w:val="24"/>
        <w:rPr>
          <w:rFonts w:hint="eastAsia" w:ascii="宋体" w:hAnsi="宋体" w:eastAsia="宋体" w:cs="宋体"/>
          <w:b/>
          <w:bCs/>
          <w:color w:val="auto"/>
          <w:sz w:val="24"/>
          <w:highlight w:val="none"/>
          <w:lang w:val="en-US" w:eastAsia="zh-CN"/>
        </w:rPr>
      </w:pPr>
    </w:p>
    <w:p w14:paraId="2AD54378">
      <w:pPr>
        <w:rPr>
          <w:rFonts w:hint="eastAsia" w:ascii="宋体" w:hAnsi="宋体" w:eastAsia="宋体" w:cs="宋体"/>
          <w:b/>
          <w:bCs/>
          <w:color w:val="auto"/>
          <w:sz w:val="24"/>
          <w:highlight w:val="none"/>
          <w:lang w:val="en-US" w:eastAsia="zh-CN"/>
        </w:rPr>
      </w:pPr>
    </w:p>
    <w:p w14:paraId="616DB0FB">
      <w:pPr>
        <w:pStyle w:val="24"/>
        <w:rPr>
          <w:rFonts w:hint="eastAsia" w:ascii="宋体" w:hAnsi="宋体" w:eastAsia="宋体" w:cs="宋体"/>
          <w:b/>
          <w:bCs/>
          <w:color w:val="auto"/>
          <w:sz w:val="24"/>
          <w:highlight w:val="none"/>
          <w:lang w:val="en-US" w:eastAsia="zh-CN"/>
        </w:rPr>
      </w:pPr>
    </w:p>
    <w:p w14:paraId="24A6DFB2">
      <w:pPr>
        <w:rPr>
          <w:rFonts w:hint="eastAsia" w:ascii="宋体" w:hAnsi="宋体" w:eastAsia="宋体" w:cs="宋体"/>
          <w:b/>
          <w:bCs/>
          <w:color w:val="auto"/>
          <w:sz w:val="24"/>
          <w:highlight w:val="none"/>
          <w:lang w:val="en-US" w:eastAsia="zh-CN"/>
        </w:rPr>
      </w:pPr>
    </w:p>
    <w:p w14:paraId="24638B63">
      <w:pPr>
        <w:pStyle w:val="24"/>
        <w:rPr>
          <w:rFonts w:hint="eastAsia" w:ascii="宋体" w:hAnsi="宋体" w:eastAsia="宋体" w:cs="宋体"/>
          <w:b/>
          <w:bCs/>
          <w:color w:val="auto"/>
          <w:sz w:val="24"/>
          <w:highlight w:val="none"/>
          <w:lang w:val="en-US" w:eastAsia="zh-CN"/>
        </w:rPr>
      </w:pPr>
    </w:p>
    <w:p w14:paraId="4CC59C58">
      <w:pPr>
        <w:rPr>
          <w:rFonts w:hint="eastAsia" w:ascii="宋体" w:hAnsi="宋体" w:eastAsia="宋体" w:cs="宋体"/>
          <w:b/>
          <w:bCs/>
          <w:color w:val="auto"/>
          <w:sz w:val="24"/>
          <w:highlight w:val="none"/>
          <w:lang w:val="en-US" w:eastAsia="zh-CN"/>
        </w:rPr>
      </w:pPr>
    </w:p>
    <w:p w14:paraId="7DE09435">
      <w:pPr>
        <w:pStyle w:val="24"/>
        <w:rPr>
          <w:rFonts w:hint="eastAsia" w:ascii="宋体" w:hAnsi="宋体" w:eastAsia="宋体" w:cs="宋体"/>
          <w:b/>
          <w:bCs/>
          <w:color w:val="auto"/>
          <w:sz w:val="24"/>
          <w:highlight w:val="none"/>
          <w:lang w:val="en-US" w:eastAsia="zh-CN"/>
        </w:rPr>
      </w:pPr>
    </w:p>
    <w:p w14:paraId="065C9998">
      <w:pPr>
        <w:rPr>
          <w:rFonts w:hint="eastAsia" w:ascii="宋体" w:hAnsi="宋体" w:eastAsia="宋体" w:cs="宋体"/>
          <w:b/>
          <w:bCs/>
          <w:color w:val="auto"/>
          <w:sz w:val="24"/>
          <w:highlight w:val="none"/>
          <w:lang w:val="en-US" w:eastAsia="zh-CN"/>
        </w:rPr>
      </w:pPr>
    </w:p>
    <w:p w14:paraId="693248C9">
      <w:pPr>
        <w:pStyle w:val="24"/>
        <w:rPr>
          <w:rFonts w:hint="eastAsia" w:ascii="宋体" w:hAnsi="宋体" w:eastAsia="宋体" w:cs="宋体"/>
          <w:b/>
          <w:bCs/>
          <w:color w:val="auto"/>
          <w:sz w:val="24"/>
          <w:highlight w:val="none"/>
          <w:lang w:val="en-US" w:eastAsia="zh-CN"/>
        </w:rPr>
      </w:pPr>
    </w:p>
    <w:p w14:paraId="1B644FFF">
      <w:pPr>
        <w:rPr>
          <w:rFonts w:hint="eastAsia" w:ascii="宋体" w:hAnsi="宋体" w:eastAsia="宋体" w:cs="宋体"/>
          <w:b/>
          <w:bCs/>
          <w:color w:val="auto"/>
          <w:sz w:val="24"/>
          <w:highlight w:val="none"/>
          <w:lang w:val="en-US" w:eastAsia="zh-CN"/>
        </w:rPr>
      </w:pPr>
    </w:p>
    <w:p w14:paraId="364E4596">
      <w:pPr>
        <w:pStyle w:val="24"/>
        <w:rPr>
          <w:rFonts w:hint="eastAsia" w:ascii="宋体" w:hAnsi="宋体" w:eastAsia="宋体" w:cs="宋体"/>
          <w:b/>
          <w:bCs/>
          <w:color w:val="auto"/>
          <w:sz w:val="24"/>
          <w:highlight w:val="none"/>
          <w:lang w:val="en-US" w:eastAsia="zh-CN"/>
        </w:rPr>
      </w:pPr>
    </w:p>
    <w:p w14:paraId="6E9306B2">
      <w:pPr>
        <w:rPr>
          <w:rFonts w:hint="eastAsia" w:ascii="宋体" w:hAnsi="宋体" w:eastAsia="宋体" w:cs="宋体"/>
          <w:b/>
          <w:bCs/>
          <w:color w:val="auto"/>
          <w:sz w:val="24"/>
          <w:highlight w:val="none"/>
          <w:lang w:val="en-US" w:eastAsia="zh-CN"/>
        </w:rPr>
      </w:pPr>
    </w:p>
    <w:p w14:paraId="4DBA0CAE">
      <w:pPr>
        <w:pStyle w:val="24"/>
        <w:rPr>
          <w:rFonts w:hint="eastAsia" w:ascii="宋体" w:hAnsi="宋体" w:eastAsia="宋体" w:cs="宋体"/>
          <w:b/>
          <w:bCs/>
          <w:color w:val="auto"/>
          <w:sz w:val="24"/>
          <w:highlight w:val="none"/>
          <w:lang w:val="en-US" w:eastAsia="zh-CN"/>
        </w:rPr>
      </w:pPr>
    </w:p>
    <w:p w14:paraId="7AA5360E">
      <w:pPr>
        <w:rPr>
          <w:rFonts w:hint="eastAsia" w:ascii="宋体" w:hAnsi="宋体" w:eastAsia="宋体" w:cs="宋体"/>
          <w:b/>
          <w:bCs/>
          <w:color w:val="auto"/>
          <w:sz w:val="24"/>
          <w:highlight w:val="none"/>
          <w:lang w:val="en-US" w:eastAsia="zh-CN"/>
        </w:rPr>
      </w:pPr>
    </w:p>
    <w:p w14:paraId="28AF7420">
      <w:pPr>
        <w:pStyle w:val="24"/>
        <w:rPr>
          <w:rFonts w:hint="eastAsia" w:ascii="宋体" w:hAnsi="宋体" w:eastAsia="宋体" w:cs="宋体"/>
          <w:b/>
          <w:bCs/>
          <w:color w:val="auto"/>
          <w:sz w:val="24"/>
          <w:highlight w:val="none"/>
          <w:lang w:val="en-US" w:eastAsia="zh-CN"/>
        </w:rPr>
      </w:pPr>
    </w:p>
    <w:p w14:paraId="7416B312">
      <w:pPr>
        <w:rPr>
          <w:rFonts w:hint="eastAsia" w:ascii="宋体" w:hAnsi="宋体" w:eastAsia="宋体" w:cs="宋体"/>
          <w:b/>
          <w:bCs/>
          <w:color w:val="auto"/>
          <w:sz w:val="24"/>
          <w:highlight w:val="none"/>
          <w:lang w:val="en-US" w:eastAsia="zh-CN"/>
        </w:rPr>
      </w:pPr>
    </w:p>
    <w:p w14:paraId="1B499446">
      <w:pPr>
        <w:pStyle w:val="24"/>
        <w:rPr>
          <w:rFonts w:hint="eastAsia" w:ascii="宋体" w:hAnsi="宋体" w:eastAsia="宋体" w:cs="宋体"/>
          <w:b/>
          <w:bCs/>
          <w:color w:val="auto"/>
          <w:sz w:val="24"/>
          <w:highlight w:val="none"/>
          <w:lang w:val="en-US" w:eastAsia="zh-CN"/>
        </w:rPr>
      </w:pPr>
    </w:p>
    <w:p w14:paraId="780469CC">
      <w:pPr>
        <w:rPr>
          <w:rFonts w:hint="eastAsia" w:ascii="宋体" w:hAnsi="宋体" w:eastAsia="宋体" w:cs="宋体"/>
          <w:b/>
          <w:bCs/>
          <w:color w:val="auto"/>
          <w:sz w:val="24"/>
          <w:highlight w:val="none"/>
          <w:lang w:val="en-US" w:eastAsia="zh-CN"/>
        </w:rPr>
      </w:pPr>
    </w:p>
    <w:p w14:paraId="240FA2BE">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193E155C">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07416B32">
      <w:pPr>
        <w:rPr>
          <w:rFonts w:hint="eastAsia"/>
          <w:lang w:val="en-US" w:eastAsia="zh-CN"/>
        </w:rPr>
      </w:pPr>
    </w:p>
    <w:p w14:paraId="652E403A">
      <w:pPr>
        <w:pStyle w:val="24"/>
        <w:rPr>
          <w:rFonts w:hint="eastAsia"/>
          <w:lang w:val="en-US" w:eastAsia="zh-CN"/>
        </w:rPr>
      </w:pPr>
    </w:p>
    <w:p w14:paraId="3AE205BA">
      <w:pPr>
        <w:rPr>
          <w:rFonts w:hint="eastAsia"/>
          <w:lang w:val="en-US" w:eastAsia="zh-CN"/>
        </w:rPr>
      </w:pPr>
    </w:p>
    <w:p w14:paraId="44F965B9">
      <w:pPr>
        <w:pStyle w:val="24"/>
        <w:rPr>
          <w:rFonts w:hint="eastAsia"/>
          <w:lang w:val="en-US" w:eastAsia="zh-CN"/>
        </w:rPr>
      </w:pPr>
    </w:p>
    <w:p w14:paraId="5E6CECA1">
      <w:pPr>
        <w:pStyle w:val="22"/>
        <w:spacing w:before="75" w:beforeAutospacing="0" w:after="75" w:afterAutospacing="0" w:line="420" w:lineRule="atLeast"/>
        <w:ind w:firstLine="420"/>
        <w:jc w:val="center"/>
      </w:pPr>
      <w:r>
        <w:rPr>
          <w:rStyle w:val="28"/>
          <w:rFonts w:hint="eastAsia"/>
          <w:sz w:val="27"/>
          <w:szCs w:val="27"/>
          <w:lang w:val="en-US" w:eastAsia="zh-CN"/>
        </w:rPr>
        <w:t>7、</w:t>
      </w:r>
      <w:r>
        <w:rPr>
          <w:rStyle w:val="28"/>
          <w:sz w:val="27"/>
          <w:szCs w:val="27"/>
        </w:rPr>
        <w:t>中小企业声明函(服务)</w:t>
      </w:r>
    </w:p>
    <w:p w14:paraId="3CF44F12">
      <w:pPr>
        <w:pStyle w:val="22"/>
        <w:spacing w:before="75" w:beforeAutospacing="0" w:after="75" w:afterAutospacing="0" w:line="420" w:lineRule="atLeast"/>
        <w:ind w:firstLine="420"/>
      </w:pPr>
      <w:r>
        <w:t> </w:t>
      </w:r>
    </w:p>
    <w:p w14:paraId="00AD35E3">
      <w:pPr>
        <w:pStyle w:val="22"/>
        <w:spacing w:before="75" w:beforeAutospacing="0" w:after="75" w:afterAutospacing="0" w:line="420" w:lineRule="atLeast"/>
        <w:ind w:firstLine="420"/>
      </w:pPr>
      <w: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91452BD">
      <w:pPr>
        <w:pStyle w:val="22"/>
        <w:spacing w:before="75" w:beforeAutospacing="0" w:after="75" w:afterAutospacing="0" w:line="420" w:lineRule="atLeast"/>
        <w:ind w:firstLine="420"/>
      </w:pPr>
      <w:r>
        <w:t>1.</w:t>
      </w:r>
      <w:r>
        <w:rPr>
          <w:u w:val="single"/>
        </w:rPr>
        <w:t>（标的名称）</w:t>
      </w:r>
      <w:r>
        <w:t>，属于</w:t>
      </w:r>
      <w:r>
        <w:rPr>
          <w:u w:val="single"/>
        </w:rPr>
        <w:t>（采购文件中明确的所属行业）</w:t>
      </w:r>
      <w:r>
        <w:t>；承建（承接）企业为</w:t>
      </w:r>
      <w:r>
        <w:rPr>
          <w:u w:val="single"/>
        </w:rPr>
        <w:t>（企业名称）</w:t>
      </w:r>
      <w:r>
        <w:t>，从业人员</w:t>
      </w:r>
      <w:r>
        <w:rPr>
          <w:u w:val="single"/>
        </w:rPr>
        <w:t>  人</w:t>
      </w:r>
      <w:r>
        <w:t>，营业收入为</w:t>
      </w:r>
      <w:r>
        <w:rPr>
          <w:u w:val="single"/>
        </w:rPr>
        <w:t>  </w:t>
      </w:r>
      <w:r>
        <w:t>万元，资产总额为</w:t>
      </w:r>
      <w:r>
        <w:rPr>
          <w:u w:val="single"/>
        </w:rPr>
        <w:t>  </w:t>
      </w:r>
      <w:r>
        <w:t>万元，属于（中型企业、小型企业、微型企业）；</w:t>
      </w:r>
    </w:p>
    <w:p w14:paraId="1754D71F">
      <w:pPr>
        <w:pStyle w:val="22"/>
        <w:spacing w:before="75" w:beforeAutospacing="0" w:after="75" w:afterAutospacing="0" w:line="420" w:lineRule="atLeast"/>
        <w:ind w:firstLine="420"/>
      </w:pPr>
      <w:r>
        <w:t xml:space="preserve">2. </w:t>
      </w:r>
      <w:r>
        <w:rPr>
          <w:u w:val="single"/>
        </w:rPr>
        <w:t>（标的名称）</w:t>
      </w:r>
      <w:r>
        <w:t>，属于</w:t>
      </w:r>
      <w:r>
        <w:rPr>
          <w:u w:val="single"/>
        </w:rPr>
        <w:t>（采购文件中明确的所属行业）</w:t>
      </w:r>
      <w:r>
        <w:t>；承建（承接）企业为</w:t>
      </w:r>
      <w:r>
        <w:rPr>
          <w:u w:val="single"/>
        </w:rPr>
        <w:t>（企业名称）</w:t>
      </w:r>
      <w:r>
        <w:t>，从业人员</w:t>
      </w:r>
      <w:r>
        <w:rPr>
          <w:u w:val="single"/>
        </w:rPr>
        <w:t>  </w:t>
      </w:r>
      <w:r>
        <w:t>人，营业收入为</w:t>
      </w:r>
      <w:r>
        <w:rPr>
          <w:u w:val="single"/>
        </w:rPr>
        <w:t>  </w:t>
      </w:r>
      <w:r>
        <w:t>万元，资产总额为</w:t>
      </w:r>
      <w:r>
        <w:rPr>
          <w:u w:val="single"/>
        </w:rPr>
        <w:t>  </w:t>
      </w:r>
      <w:r>
        <w:t>万元，属于（中型企业、小型企业、微型企业）；</w:t>
      </w:r>
    </w:p>
    <w:p w14:paraId="1194FE11">
      <w:pPr>
        <w:pStyle w:val="22"/>
        <w:spacing w:before="75" w:beforeAutospacing="0" w:after="75" w:afterAutospacing="0" w:line="420" w:lineRule="atLeast"/>
        <w:ind w:firstLine="420"/>
      </w:pPr>
      <w:r>
        <w:t>……</w:t>
      </w:r>
    </w:p>
    <w:p w14:paraId="34AE9700">
      <w:pPr>
        <w:pStyle w:val="22"/>
        <w:spacing w:before="75" w:beforeAutospacing="0" w:after="75" w:afterAutospacing="0" w:line="420" w:lineRule="atLeast"/>
        <w:ind w:firstLine="420"/>
      </w:pPr>
      <w:r>
        <w:t>以上企业，不属于大企业的分支机构，不存在控股股东为大企业的情形，也不存在与大企业的</w:t>
      </w:r>
      <w:r>
        <w:rPr>
          <w:rFonts w:hint="eastAsia"/>
          <w:lang w:eastAsia="zh-CN"/>
        </w:rPr>
        <w:t>法定代表人</w:t>
      </w:r>
      <w:r>
        <w:t>为同一人的情形。</w:t>
      </w:r>
    </w:p>
    <w:p w14:paraId="53DF352E">
      <w:pPr>
        <w:pStyle w:val="22"/>
        <w:spacing w:before="75" w:beforeAutospacing="0" w:after="75" w:afterAutospacing="0" w:line="420" w:lineRule="atLeast"/>
        <w:ind w:firstLine="420"/>
      </w:pPr>
      <w:r>
        <w:t>本企业对上述声明内容的真实性负责。如有虚假，将依法承担相应责任。</w:t>
      </w:r>
    </w:p>
    <w:p w14:paraId="3007D164">
      <w:pPr>
        <w:pStyle w:val="22"/>
        <w:spacing w:before="75" w:beforeAutospacing="0" w:after="75" w:afterAutospacing="0" w:line="480" w:lineRule="auto"/>
        <w:ind w:firstLine="420"/>
        <w:jc w:val="both"/>
      </w:pPr>
      <w:r>
        <w:t>                      企业名称（盖章）：</w:t>
      </w:r>
    </w:p>
    <w:p w14:paraId="4E55721F">
      <w:pPr>
        <w:pStyle w:val="22"/>
        <w:spacing w:before="75" w:beforeAutospacing="0" w:after="75" w:afterAutospacing="0" w:line="480" w:lineRule="auto"/>
        <w:ind w:firstLine="6075" w:firstLineChars="2500"/>
      </w:pPr>
      <w:r>
        <w:rPr>
          <w:rFonts w:hint="eastAsia"/>
        </w:rPr>
        <w:t>日期：</w:t>
      </w:r>
    </w:p>
    <w:p w14:paraId="12C09483">
      <w:pPr>
        <w:shd w:val="clear" w:color="auto" w:fill="auto"/>
        <w:spacing w:line="360" w:lineRule="auto"/>
        <w:jc w:val="right"/>
        <w:outlineLvl w:val="9"/>
        <w:rPr>
          <w:rFonts w:hint="eastAsia" w:ascii="宋体" w:hAnsi="宋体" w:eastAsia="宋体" w:cs="宋体"/>
          <w:b w:val="0"/>
          <w:bCs w:val="0"/>
          <w:color w:val="auto"/>
          <w:kern w:val="2"/>
          <w:sz w:val="24"/>
          <w:szCs w:val="20"/>
          <w:highlight w:val="none"/>
          <w:u w:val="none" w:color="auto"/>
          <w:lang w:val="en-US" w:eastAsia="zh-CN" w:bidi="ar-SA"/>
        </w:rPr>
      </w:pPr>
    </w:p>
    <w:p w14:paraId="3C2EAFE0">
      <w:pPr>
        <w:shd w:val="clear" w:color="auto" w:fill="auto"/>
        <w:spacing w:line="360" w:lineRule="auto"/>
        <w:jc w:val="lef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bCs/>
          <w:color w:val="auto"/>
          <w:kern w:val="2"/>
          <w:sz w:val="24"/>
          <w:szCs w:val="20"/>
          <w:highlight w:val="none"/>
          <w:u w:val="none" w:color="auto"/>
          <w:lang w:val="en-US" w:eastAsia="zh-CN" w:bidi="ar-SA"/>
        </w:rPr>
        <w:br w:type="page"/>
      </w:r>
      <w:r>
        <w:rPr>
          <w:rFonts w:hint="eastAsia" w:ascii="宋体" w:hAnsi="宋体" w:eastAsia="宋体" w:cs="宋体"/>
          <w:b w:val="0"/>
          <w:bCs w:val="0"/>
          <w:color w:val="auto"/>
          <w:kern w:val="2"/>
          <w:sz w:val="24"/>
          <w:szCs w:val="20"/>
          <w:highlight w:val="none"/>
          <w:u w:val="none" w:color="auto"/>
          <w:lang w:val="en-US" w:eastAsia="zh-CN" w:bidi="ar-SA"/>
        </w:rPr>
        <w:t>（附件2）</w:t>
      </w:r>
    </w:p>
    <w:p w14:paraId="673CA82B">
      <w:pPr>
        <w:shd w:val="clear" w:color="auto" w:fill="auto"/>
        <w:spacing w:line="360" w:lineRule="auto"/>
        <w:jc w:val="center"/>
        <w:outlineLvl w:val="9"/>
        <w:rPr>
          <w:rFonts w:hint="eastAsia" w:ascii="宋体" w:hAnsi="宋体" w:eastAsia="宋体" w:cs="宋体"/>
          <w:b/>
          <w:bCs/>
          <w:color w:val="auto"/>
          <w:kern w:val="2"/>
          <w:sz w:val="24"/>
          <w:szCs w:val="20"/>
          <w:highlight w:val="none"/>
          <w:u w:val="none" w:color="auto"/>
          <w:lang w:val="en-US" w:eastAsia="zh-CN" w:bidi="ar-SA"/>
        </w:rPr>
      </w:pPr>
      <w:r>
        <w:rPr>
          <w:rFonts w:hint="eastAsia" w:ascii="宋体" w:hAnsi="宋体" w:eastAsia="宋体" w:cs="宋体"/>
          <w:b/>
          <w:bCs/>
          <w:color w:val="auto"/>
          <w:kern w:val="2"/>
          <w:sz w:val="24"/>
          <w:szCs w:val="20"/>
          <w:highlight w:val="none"/>
          <w:u w:val="none" w:color="auto"/>
          <w:lang w:val="en-US" w:eastAsia="zh-CN" w:bidi="ar-SA"/>
        </w:rPr>
        <w:t>8、残疾人福利性单位声明函</w:t>
      </w:r>
    </w:p>
    <w:p w14:paraId="1964A055">
      <w:pPr>
        <w:shd w:val="clear" w:color="auto" w:fill="auto"/>
        <w:spacing w:line="360" w:lineRule="auto"/>
        <w:jc w:val="lef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bCs/>
          <w:color w:val="auto"/>
          <w:kern w:val="2"/>
          <w:sz w:val="24"/>
          <w:szCs w:val="20"/>
          <w:highlight w:val="none"/>
          <w:u w:val="none" w:color="auto"/>
          <w:lang w:val="en-US" w:eastAsia="zh-CN" w:bidi="ar-SA"/>
        </w:rPr>
        <w:t xml:space="preserve">   </w:t>
      </w:r>
      <w:r>
        <w:rPr>
          <w:rFonts w:hint="eastAsia" w:ascii="宋体" w:hAnsi="宋体" w:eastAsia="宋体" w:cs="宋体"/>
          <w:b w:val="0"/>
          <w:bCs w:val="0"/>
          <w:color w:val="auto"/>
          <w:kern w:val="2"/>
          <w:sz w:val="24"/>
          <w:szCs w:val="20"/>
          <w:highlight w:val="none"/>
          <w:u w:val="none" w:color="auto"/>
          <w:lang w:val="en-US" w:eastAsia="zh-CN" w:bidi="ar-S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或服务（由本单位承担工程/提供服务），或者提供其他残疾人福利性单位制造的货物或服务（不包括使用非残疾人福利性单位注册商标的货物或服务）。</w:t>
      </w:r>
    </w:p>
    <w:p w14:paraId="7E6BBB53">
      <w:pPr>
        <w:shd w:val="clear" w:color="auto" w:fill="auto"/>
        <w:spacing w:line="360" w:lineRule="auto"/>
        <w:jc w:val="lef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val="0"/>
          <w:bCs w:val="0"/>
          <w:color w:val="auto"/>
          <w:kern w:val="2"/>
          <w:sz w:val="24"/>
          <w:szCs w:val="20"/>
          <w:highlight w:val="none"/>
          <w:u w:val="none" w:color="auto"/>
          <w:lang w:val="en-US" w:eastAsia="zh-CN" w:bidi="ar-SA"/>
        </w:rPr>
        <w:t xml:space="preserve">   本单位对上述声明的真实性负责。如有虚假，将依法承担相应责任。</w:t>
      </w:r>
    </w:p>
    <w:p w14:paraId="663102D5">
      <w:pPr>
        <w:shd w:val="clear" w:color="auto" w:fill="auto"/>
        <w:spacing w:line="360" w:lineRule="auto"/>
        <w:jc w:val="center"/>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val="0"/>
          <w:bCs w:val="0"/>
          <w:color w:val="auto"/>
          <w:kern w:val="2"/>
          <w:sz w:val="24"/>
          <w:szCs w:val="20"/>
          <w:highlight w:val="none"/>
          <w:u w:val="none" w:color="auto"/>
          <w:lang w:val="en-US" w:eastAsia="zh-CN" w:bidi="ar-SA"/>
        </w:rPr>
        <w:t xml:space="preserve">                                     </w:t>
      </w:r>
    </w:p>
    <w:p w14:paraId="67E1DB9D">
      <w:pPr>
        <w:shd w:val="clear" w:color="auto" w:fill="auto"/>
        <w:spacing w:line="360" w:lineRule="auto"/>
        <w:jc w:val="righ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val="0"/>
          <w:bCs w:val="0"/>
          <w:color w:val="auto"/>
          <w:kern w:val="2"/>
          <w:sz w:val="24"/>
          <w:szCs w:val="20"/>
          <w:highlight w:val="none"/>
          <w:u w:val="none" w:color="auto"/>
          <w:lang w:val="en-US" w:eastAsia="zh-CN" w:bidi="ar-SA"/>
        </w:rPr>
        <w:t>单位名称（盖章）：</w:t>
      </w:r>
    </w:p>
    <w:p w14:paraId="3F5ACCA4">
      <w:pPr>
        <w:shd w:val="clear" w:color="auto" w:fill="auto"/>
        <w:spacing w:line="360" w:lineRule="auto"/>
        <w:jc w:val="righ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val="0"/>
          <w:bCs w:val="0"/>
          <w:color w:val="auto"/>
          <w:kern w:val="2"/>
          <w:sz w:val="24"/>
          <w:szCs w:val="20"/>
          <w:highlight w:val="none"/>
          <w:u w:val="none" w:color="auto"/>
          <w:lang w:val="en-US" w:eastAsia="zh-CN" w:bidi="ar-SA"/>
        </w:rPr>
        <w:t xml:space="preserve">                                      日  期：</w:t>
      </w:r>
    </w:p>
    <w:p w14:paraId="2551E44F">
      <w:pPr>
        <w:shd w:val="clear" w:color="auto" w:fill="auto"/>
        <w:spacing w:line="360" w:lineRule="auto"/>
        <w:jc w:val="center"/>
        <w:outlineLvl w:val="9"/>
        <w:rPr>
          <w:rFonts w:hint="eastAsia" w:ascii="宋体" w:hAnsi="宋体" w:eastAsia="宋体" w:cs="宋体"/>
          <w:b w:val="0"/>
          <w:bCs w:val="0"/>
          <w:color w:val="auto"/>
          <w:kern w:val="2"/>
          <w:sz w:val="24"/>
          <w:szCs w:val="20"/>
          <w:highlight w:val="none"/>
          <w:u w:val="none" w:color="auto"/>
          <w:lang w:val="en-US" w:eastAsia="zh-CN" w:bidi="ar-SA"/>
        </w:rPr>
      </w:pPr>
    </w:p>
    <w:p w14:paraId="7B163C45">
      <w:pPr>
        <w:shd w:val="clear" w:color="auto" w:fill="auto"/>
        <w:spacing w:line="360" w:lineRule="auto"/>
        <w:jc w:val="center"/>
        <w:outlineLvl w:val="9"/>
        <w:rPr>
          <w:rFonts w:hint="eastAsia" w:ascii="宋体" w:hAnsi="宋体" w:eastAsia="宋体" w:cs="宋体"/>
          <w:b w:val="0"/>
          <w:bCs w:val="0"/>
          <w:color w:val="auto"/>
          <w:kern w:val="2"/>
          <w:sz w:val="24"/>
          <w:szCs w:val="20"/>
          <w:highlight w:val="none"/>
          <w:u w:val="none" w:color="auto"/>
          <w:lang w:val="en-US" w:eastAsia="zh-CN" w:bidi="ar-SA"/>
        </w:rPr>
      </w:pPr>
    </w:p>
    <w:p w14:paraId="1452D918">
      <w:pPr>
        <w:shd w:val="clear" w:color="auto" w:fill="auto"/>
        <w:spacing w:line="360" w:lineRule="auto"/>
        <w:jc w:val="center"/>
        <w:outlineLvl w:val="9"/>
        <w:rPr>
          <w:rFonts w:hint="eastAsia" w:ascii="宋体" w:hAnsi="宋体" w:eastAsia="宋体" w:cs="宋体"/>
          <w:b w:val="0"/>
          <w:bCs w:val="0"/>
          <w:color w:val="auto"/>
          <w:kern w:val="2"/>
          <w:sz w:val="24"/>
          <w:szCs w:val="20"/>
          <w:highlight w:val="none"/>
          <w:u w:val="none" w:color="auto"/>
          <w:lang w:val="en-US" w:eastAsia="zh-CN" w:bidi="ar-SA"/>
        </w:rPr>
      </w:pPr>
    </w:p>
    <w:p w14:paraId="7271BFF5">
      <w:pPr>
        <w:shd w:val="clear" w:color="auto" w:fill="auto"/>
        <w:spacing w:line="360" w:lineRule="auto"/>
        <w:jc w:val="righ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val="0"/>
          <w:bCs w:val="0"/>
          <w:color w:val="auto"/>
          <w:kern w:val="2"/>
          <w:sz w:val="24"/>
          <w:szCs w:val="20"/>
          <w:highlight w:val="none"/>
          <w:u w:val="none" w:color="auto"/>
          <w:lang w:val="en-US" w:eastAsia="zh-CN" w:bidi="ar-SA"/>
        </w:rPr>
        <w:t xml:space="preserve"> 残疾人福利性单位名称（盖单位章）：______________</w:t>
      </w:r>
    </w:p>
    <w:p w14:paraId="5E4843B3">
      <w:pPr>
        <w:shd w:val="clear" w:color="auto" w:fill="auto"/>
        <w:spacing w:line="360" w:lineRule="auto"/>
        <w:jc w:val="right"/>
        <w:outlineLvl w:val="9"/>
        <w:rPr>
          <w:rFonts w:hint="eastAsia" w:ascii="宋体" w:hAnsi="宋体" w:eastAsia="宋体" w:cs="宋体"/>
          <w:b w:val="0"/>
          <w:bCs w:val="0"/>
          <w:color w:val="auto"/>
          <w:kern w:val="2"/>
          <w:sz w:val="24"/>
          <w:szCs w:val="20"/>
          <w:highlight w:val="none"/>
          <w:u w:val="none" w:color="auto"/>
          <w:lang w:val="en-US" w:eastAsia="zh-CN" w:bidi="ar-SA"/>
        </w:rPr>
      </w:pPr>
      <w:r>
        <w:rPr>
          <w:rFonts w:hint="eastAsia" w:ascii="宋体" w:hAnsi="宋体" w:eastAsia="宋体" w:cs="宋体"/>
          <w:b w:val="0"/>
          <w:bCs w:val="0"/>
          <w:color w:val="auto"/>
          <w:kern w:val="2"/>
          <w:sz w:val="24"/>
          <w:szCs w:val="20"/>
          <w:highlight w:val="none"/>
          <w:u w:val="none" w:color="auto"/>
          <w:lang w:val="en-US" w:eastAsia="zh-CN" w:bidi="ar-SA"/>
        </w:rPr>
        <w:t xml:space="preserve"> 日  期：______________________________________</w:t>
      </w:r>
    </w:p>
    <w:p w14:paraId="334EBAF2">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49175D72">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33332C7F">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643810E2">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7E7E1ABD">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3159B08F">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12C8CEB4">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10868EAD">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78A3E6D7">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0B64F586">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val="en-US" w:eastAsia="zh-CN"/>
        </w:rPr>
      </w:pPr>
    </w:p>
    <w:p w14:paraId="3DF3276A">
      <w:pPr>
        <w:rPr>
          <w:rFonts w:hint="eastAsia" w:ascii="宋体" w:hAnsi="宋体" w:eastAsia="宋体" w:cs="宋体"/>
          <w:b/>
          <w:bCs/>
          <w:color w:val="auto"/>
          <w:sz w:val="24"/>
          <w:highlight w:val="none"/>
          <w:lang w:val="en-US" w:eastAsia="zh-CN"/>
        </w:rPr>
      </w:pPr>
    </w:p>
    <w:p w14:paraId="558EAA99">
      <w:pPr>
        <w:pStyle w:val="6"/>
        <w:rPr>
          <w:rFonts w:hint="eastAsia"/>
          <w:lang w:val="en-US" w:eastAsia="zh-CN"/>
        </w:rPr>
      </w:pPr>
    </w:p>
    <w:p w14:paraId="334DA522">
      <w:pPr>
        <w:rPr>
          <w:rFonts w:hint="eastAsia" w:ascii="宋体" w:hAnsi="宋体" w:eastAsia="宋体" w:cs="宋体"/>
          <w:b/>
          <w:bCs/>
          <w:color w:val="auto"/>
          <w:sz w:val="24"/>
          <w:highlight w:val="none"/>
          <w:lang w:val="en-US" w:eastAsia="zh-CN"/>
        </w:rPr>
      </w:pPr>
    </w:p>
    <w:p w14:paraId="1AC00733">
      <w:pPr>
        <w:pStyle w:val="24"/>
        <w:rPr>
          <w:rFonts w:hint="eastAsia"/>
          <w:lang w:val="en-US" w:eastAsia="zh-CN"/>
        </w:rPr>
      </w:pPr>
    </w:p>
    <w:p w14:paraId="4A3F2EA0">
      <w:pPr>
        <w:rPr>
          <w:rFonts w:hint="eastAsia"/>
          <w:lang w:val="en-US" w:eastAsia="zh-CN"/>
        </w:rPr>
      </w:pPr>
      <w:r>
        <w:rPr>
          <w:rFonts w:hint="eastAsia"/>
          <w:lang w:val="en-US" w:eastAsia="zh-CN"/>
        </w:rPr>
        <w:br w:type="page"/>
      </w:r>
    </w:p>
    <w:p w14:paraId="677A2667">
      <w:pPr>
        <w:pStyle w:val="3"/>
        <w:numPr>
          <w:ilvl w:val="1"/>
          <w:numId w:val="0"/>
        </w:numPr>
        <w:shd w:val="clear" w:color="auto" w:fill="auto"/>
        <w:spacing w:before="0" w:line="240" w:lineRule="atLeast"/>
        <w:jc w:val="left"/>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9、</w:t>
      </w:r>
      <w:r>
        <w:rPr>
          <w:rFonts w:hint="eastAsia" w:ascii="宋体" w:hAnsi="宋体" w:eastAsia="宋体" w:cs="宋体"/>
          <w:b/>
          <w:bCs/>
          <w:color w:val="auto"/>
          <w:sz w:val="24"/>
          <w:highlight w:val="none"/>
          <w:lang w:eastAsia="zh-CN"/>
        </w:rPr>
        <w:t>评分标准和细则中技术部分证明材料（格式自拟）</w:t>
      </w:r>
    </w:p>
    <w:p w14:paraId="52253EED">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1FA9BB64">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说明：1.应提供</w:t>
      </w:r>
      <w:r>
        <w:rPr>
          <w:rFonts w:hint="eastAsia" w:ascii="宋体" w:hAnsi="宋体" w:eastAsia="宋体" w:cs="宋体"/>
          <w:color w:val="auto"/>
          <w:sz w:val="24"/>
          <w:highlight w:val="none"/>
          <w:u w:val="single" w:color="auto"/>
          <w:lang w:eastAsia="zh-CN"/>
        </w:rPr>
        <w:t>评分标准和细则中技术部分</w:t>
      </w:r>
      <w:r>
        <w:rPr>
          <w:rFonts w:hint="eastAsia" w:ascii="宋体" w:hAnsi="宋体" w:eastAsia="宋体" w:cs="宋体"/>
          <w:color w:val="auto"/>
          <w:sz w:val="24"/>
          <w:highlight w:val="none"/>
        </w:rPr>
        <w:t>要求的其他资格证明文件</w:t>
      </w:r>
      <w:r>
        <w:rPr>
          <w:rFonts w:hint="eastAsia" w:hAnsi="宋体" w:eastAsia="宋体" w:cs="宋体"/>
          <w:color w:val="auto"/>
          <w:sz w:val="24"/>
          <w:highlight w:val="none"/>
          <w:lang w:eastAsia="zh-CN"/>
        </w:rPr>
        <w:t>。</w:t>
      </w:r>
    </w:p>
    <w:p w14:paraId="05093F32">
      <w:pPr>
        <w:pStyle w:val="12"/>
        <w:shd w:val="clear" w:color="auto" w:fill="auto"/>
        <w:tabs>
          <w:tab w:val="left" w:pos="5580"/>
        </w:tabs>
        <w:spacing w:line="240" w:lineRule="atLeast"/>
        <w:ind w:firstLine="1215" w:firstLineChars="500"/>
        <w:rPr>
          <w:rFonts w:hint="eastAsia" w:ascii="宋体" w:hAnsi="宋体" w:eastAsia="宋体" w:cs="宋体"/>
          <w:color w:val="auto"/>
          <w:sz w:val="24"/>
          <w:highlight w:val="none"/>
        </w:rPr>
      </w:pPr>
      <w:r>
        <w:rPr>
          <w:rFonts w:hint="eastAsia" w:ascii="宋体" w:hAnsi="宋体" w:eastAsia="宋体" w:cs="宋体"/>
          <w:color w:val="auto"/>
          <w:sz w:val="24"/>
          <w:highlight w:val="none"/>
        </w:rPr>
        <w:t>2.复印件上应加盖本单位章（自然人投标的无需盖章，需要签字）。</w:t>
      </w:r>
    </w:p>
    <w:p w14:paraId="063886D4">
      <w:pPr>
        <w:pStyle w:val="12"/>
        <w:shd w:val="clear" w:color="auto" w:fill="auto"/>
        <w:tabs>
          <w:tab w:val="left" w:pos="5580"/>
        </w:tabs>
        <w:spacing w:line="240" w:lineRule="atLeast"/>
        <w:ind w:left="1270" w:leftChars="344" w:hanging="538"/>
        <w:rPr>
          <w:rFonts w:hint="eastAsia"/>
          <w:color w:val="auto"/>
          <w:highlight w:val="none"/>
          <w:lang w:val="en-US" w:eastAsia="zh-CN"/>
        </w:rPr>
      </w:pPr>
      <w:r>
        <w:rPr>
          <w:rFonts w:hint="eastAsia" w:ascii="宋体" w:hAnsi="宋体" w:eastAsia="宋体" w:cs="宋体"/>
          <w:color w:val="auto"/>
          <w:sz w:val="24"/>
          <w:highlight w:val="none"/>
        </w:rPr>
        <w:t xml:space="preserve">    3. （本项目不接受联合体）如果是联合体投标，联合体各方需提供的满足</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要求的其他资格证明文件。</w:t>
      </w:r>
    </w:p>
    <w:bookmarkEnd w:id="307"/>
    <w:bookmarkEnd w:id="308"/>
    <w:bookmarkEnd w:id="309"/>
    <w:p w14:paraId="5B7DCC5F">
      <w:pPr>
        <w:pStyle w:val="3"/>
        <w:numPr>
          <w:ilvl w:val="1"/>
          <w:numId w:val="0"/>
        </w:numPr>
        <w:shd w:val="clear" w:color="auto" w:fill="auto"/>
        <w:spacing w:before="0" w:line="240" w:lineRule="atLeast"/>
        <w:ind w:leftChars="257"/>
        <w:jc w:val="center"/>
        <w:outlineLvl w:val="9"/>
        <w:rPr>
          <w:rFonts w:hint="eastAsia" w:ascii="宋体" w:hAnsi="宋体" w:eastAsia="宋体" w:cs="宋体"/>
          <w:color w:val="auto"/>
          <w:sz w:val="24"/>
          <w:highlight w:val="none"/>
          <w:lang w:val="en-US" w:eastAsia="zh-CN"/>
        </w:rPr>
      </w:pPr>
    </w:p>
    <w:p w14:paraId="3A5982DE">
      <w:pPr>
        <w:pStyle w:val="3"/>
        <w:numPr>
          <w:ilvl w:val="1"/>
          <w:numId w:val="0"/>
        </w:numPr>
        <w:shd w:val="clear" w:color="auto" w:fill="auto"/>
        <w:spacing w:before="0" w:line="240" w:lineRule="atLeast"/>
        <w:jc w:val="left"/>
        <w:outlineLvl w:val="9"/>
        <w:rPr>
          <w:rFonts w:hint="eastAsia" w:ascii="宋体" w:hAnsi="宋体" w:eastAsia="宋体" w:cs="宋体"/>
          <w:b/>
          <w:bCs/>
          <w:color w:val="auto"/>
          <w:sz w:val="24"/>
          <w:highlight w:val="none"/>
          <w:lang w:val="en-US" w:eastAsia="zh-CN"/>
        </w:rPr>
      </w:pPr>
      <w:bookmarkStart w:id="310" w:name="_Toc28913"/>
    </w:p>
    <w:p w14:paraId="6713F00C">
      <w:pPr>
        <w:pStyle w:val="3"/>
        <w:numPr>
          <w:ilvl w:val="1"/>
          <w:numId w:val="0"/>
        </w:numPr>
        <w:shd w:val="clear" w:color="auto" w:fill="auto"/>
        <w:spacing w:before="0" w:line="240" w:lineRule="atLeast"/>
        <w:jc w:val="left"/>
        <w:rPr>
          <w:rFonts w:hint="eastAsia" w:ascii="宋体" w:hAnsi="宋体" w:eastAsia="宋体" w:cs="宋体"/>
          <w:b/>
          <w:bCs/>
          <w:color w:val="auto"/>
          <w:sz w:val="24"/>
          <w:highlight w:val="none"/>
          <w:lang w:val="en-US" w:eastAsia="zh-CN"/>
        </w:rPr>
      </w:pPr>
      <w:bookmarkStart w:id="311" w:name="_Toc1938"/>
      <w:bookmarkStart w:id="312" w:name="_Toc14147"/>
    </w:p>
    <w:p w14:paraId="1A7082AD">
      <w:pPr>
        <w:rPr>
          <w:rFonts w:hint="eastAsia"/>
          <w:lang w:val="en-US" w:eastAsia="zh-CN"/>
        </w:rPr>
      </w:pPr>
    </w:p>
    <w:p w14:paraId="03F54234">
      <w:pPr>
        <w:pStyle w:val="3"/>
        <w:numPr>
          <w:ilvl w:val="1"/>
          <w:numId w:val="0"/>
        </w:numPr>
        <w:shd w:val="clear" w:color="auto" w:fill="auto"/>
        <w:spacing w:before="0" w:line="240" w:lineRule="atLeast"/>
        <w:jc w:val="both"/>
        <w:rPr>
          <w:rFonts w:hint="eastAsia" w:ascii="宋体" w:hAnsi="宋体" w:eastAsia="宋体" w:cs="宋体"/>
          <w:b/>
          <w:bCs/>
          <w:color w:val="auto"/>
          <w:sz w:val="24"/>
          <w:highlight w:val="none"/>
          <w:lang w:eastAsia="zh-CN"/>
        </w:rPr>
      </w:pPr>
      <w:r>
        <w:rPr>
          <w:rFonts w:hint="eastAsia" w:ascii="宋体" w:hAnsi="宋体" w:eastAsia="宋体" w:cs="宋体"/>
          <w:b/>
          <w:bCs/>
          <w:color w:val="auto"/>
          <w:sz w:val="24"/>
          <w:highlight w:val="none"/>
          <w:lang w:val="en-US" w:eastAsia="zh-CN"/>
        </w:rPr>
        <w:t>10、</w:t>
      </w:r>
      <w:bookmarkEnd w:id="310"/>
      <w:bookmarkEnd w:id="311"/>
      <w:bookmarkEnd w:id="312"/>
      <w:r>
        <w:rPr>
          <w:rFonts w:hint="eastAsia" w:ascii="宋体" w:hAnsi="宋体" w:eastAsia="宋体" w:cs="宋体"/>
          <w:b/>
          <w:bCs/>
          <w:color w:val="auto"/>
          <w:sz w:val="24"/>
          <w:highlight w:val="none"/>
          <w:lang w:eastAsia="zh-CN"/>
        </w:rPr>
        <w:t>评分标准和细则中商务部分证明材料（格式自拟）</w:t>
      </w:r>
    </w:p>
    <w:p w14:paraId="57EA1CCC">
      <w:pPr>
        <w:pStyle w:val="3"/>
        <w:numPr>
          <w:ilvl w:val="1"/>
          <w:numId w:val="0"/>
        </w:numPr>
        <w:shd w:val="clear" w:color="auto" w:fill="auto"/>
        <w:spacing w:before="0" w:line="240" w:lineRule="atLeast"/>
        <w:ind w:leftChars="257"/>
        <w:jc w:val="center"/>
        <w:outlineLvl w:val="9"/>
        <w:rPr>
          <w:rFonts w:hint="eastAsia" w:ascii="宋体" w:hAnsi="宋体" w:eastAsia="宋体" w:cs="宋体"/>
          <w:color w:val="auto"/>
          <w:sz w:val="24"/>
          <w:highlight w:val="none"/>
          <w:lang w:val="en-US" w:eastAsia="zh-CN"/>
        </w:rPr>
      </w:pPr>
    </w:p>
    <w:p w14:paraId="7BD78499">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说明：1.应提供</w:t>
      </w:r>
      <w:r>
        <w:rPr>
          <w:rFonts w:hint="eastAsia" w:ascii="宋体" w:hAnsi="宋体" w:eastAsia="宋体" w:cs="宋体"/>
          <w:color w:val="auto"/>
          <w:sz w:val="24"/>
          <w:highlight w:val="none"/>
          <w:u w:val="single" w:color="auto"/>
          <w:lang w:eastAsia="zh-CN"/>
        </w:rPr>
        <w:t>评分标准和细则中商务部分</w:t>
      </w:r>
      <w:r>
        <w:rPr>
          <w:rFonts w:hint="eastAsia" w:ascii="宋体" w:hAnsi="宋体" w:eastAsia="宋体" w:cs="宋体"/>
          <w:color w:val="auto"/>
          <w:sz w:val="24"/>
          <w:highlight w:val="none"/>
        </w:rPr>
        <w:t>要求的其他资格证明文件。</w:t>
      </w:r>
    </w:p>
    <w:p w14:paraId="6816D523">
      <w:pPr>
        <w:pStyle w:val="12"/>
        <w:shd w:val="clear" w:color="auto" w:fill="auto"/>
        <w:tabs>
          <w:tab w:val="left" w:pos="5580"/>
        </w:tabs>
        <w:spacing w:line="240" w:lineRule="atLeast"/>
        <w:ind w:firstLine="1215" w:firstLineChars="500"/>
        <w:rPr>
          <w:rFonts w:hint="eastAsia" w:ascii="宋体" w:hAnsi="宋体" w:eastAsia="宋体" w:cs="宋体"/>
          <w:color w:val="auto"/>
          <w:sz w:val="24"/>
          <w:highlight w:val="none"/>
        </w:rPr>
      </w:pPr>
      <w:r>
        <w:rPr>
          <w:rFonts w:hint="eastAsia" w:ascii="宋体" w:hAnsi="宋体" w:eastAsia="宋体" w:cs="宋体"/>
          <w:color w:val="auto"/>
          <w:sz w:val="24"/>
          <w:highlight w:val="none"/>
        </w:rPr>
        <w:t>2.复印件上应加盖本单位章（自然人投标的无需盖章，需要签字）。</w:t>
      </w:r>
    </w:p>
    <w:p w14:paraId="789448A7">
      <w:pPr>
        <w:pStyle w:val="12"/>
        <w:shd w:val="clear" w:color="auto" w:fill="auto"/>
        <w:tabs>
          <w:tab w:val="left" w:pos="5580"/>
        </w:tabs>
        <w:spacing w:line="240" w:lineRule="atLeast"/>
        <w:ind w:left="1270" w:leftChars="344" w:hanging="538"/>
        <w:rPr>
          <w:rFonts w:hint="eastAsia"/>
          <w:color w:val="auto"/>
          <w:highlight w:val="none"/>
          <w:lang w:val="en-US" w:eastAsia="zh-CN"/>
        </w:rPr>
      </w:pPr>
      <w:r>
        <w:rPr>
          <w:rFonts w:hint="eastAsia" w:ascii="宋体" w:hAnsi="宋体" w:eastAsia="宋体" w:cs="宋体"/>
          <w:color w:val="auto"/>
          <w:sz w:val="24"/>
          <w:highlight w:val="none"/>
        </w:rPr>
        <w:t xml:space="preserve">    3. （本项目不接受联合体）如果是联合体投标，联合体各方需提供的满足</w:t>
      </w:r>
      <w:r>
        <w:rPr>
          <w:rFonts w:hint="eastAsia" w:hAnsi="宋体" w:eastAsia="宋体" w:cs="宋体"/>
          <w:color w:val="auto"/>
          <w:sz w:val="24"/>
          <w:highlight w:val="none"/>
          <w:lang w:eastAsia="zh-CN"/>
        </w:rPr>
        <w:t>磋商文件</w:t>
      </w:r>
      <w:r>
        <w:rPr>
          <w:rFonts w:hint="eastAsia" w:ascii="宋体" w:hAnsi="宋体" w:eastAsia="宋体" w:cs="宋体"/>
          <w:color w:val="auto"/>
          <w:sz w:val="24"/>
          <w:highlight w:val="none"/>
        </w:rPr>
        <w:t>要求的其他资格证明文件。</w:t>
      </w:r>
    </w:p>
    <w:p w14:paraId="107D612D">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672088E3">
      <w:pPr>
        <w:pStyle w:val="12"/>
        <w:shd w:val="clear" w:color="auto" w:fill="auto"/>
        <w:tabs>
          <w:tab w:val="left" w:pos="5580"/>
        </w:tabs>
        <w:spacing w:line="240" w:lineRule="atLeast"/>
        <w:ind w:left="1270" w:leftChars="344" w:hanging="538"/>
        <w:rPr>
          <w:rFonts w:hint="eastAsia" w:ascii="宋体" w:hAnsi="宋体" w:eastAsia="宋体" w:cs="宋体"/>
          <w:color w:val="auto"/>
          <w:sz w:val="24"/>
          <w:highlight w:val="none"/>
        </w:rPr>
      </w:pPr>
    </w:p>
    <w:p w14:paraId="2706E2CA">
      <w:pPr>
        <w:pStyle w:val="3"/>
        <w:numPr>
          <w:ilvl w:val="1"/>
          <w:numId w:val="0"/>
        </w:numPr>
        <w:shd w:val="clear" w:color="auto" w:fill="auto"/>
        <w:spacing w:before="0" w:line="240" w:lineRule="atLeast"/>
        <w:ind w:leftChars="257"/>
        <w:jc w:val="center"/>
        <w:outlineLvl w:val="9"/>
        <w:rPr>
          <w:rFonts w:hint="eastAsia" w:ascii="宋体" w:hAnsi="宋体" w:eastAsia="宋体" w:cs="宋体"/>
          <w:color w:val="auto"/>
          <w:sz w:val="24"/>
          <w:highlight w:val="none"/>
          <w:lang w:val="en-US" w:eastAsia="zh-CN"/>
        </w:rPr>
      </w:pPr>
    </w:p>
    <w:p w14:paraId="63D42932">
      <w:pPr>
        <w:pStyle w:val="3"/>
        <w:numPr>
          <w:ilvl w:val="1"/>
          <w:numId w:val="0"/>
        </w:numPr>
        <w:shd w:val="clear" w:color="auto" w:fill="auto"/>
        <w:spacing w:before="0" w:line="240" w:lineRule="atLeast"/>
        <w:jc w:val="left"/>
        <w:rPr>
          <w:rFonts w:hint="eastAsia" w:ascii="宋体" w:hAnsi="宋体" w:eastAsia="宋体" w:cs="宋体"/>
          <w:b/>
          <w:bCs/>
          <w:color w:val="auto"/>
          <w:sz w:val="24"/>
          <w:highlight w:val="none"/>
          <w:lang w:val="en-US" w:eastAsia="zh-CN"/>
        </w:rPr>
      </w:pPr>
      <w:bookmarkStart w:id="313" w:name="_Toc3552"/>
      <w:bookmarkStart w:id="314" w:name="_Toc6979"/>
      <w:bookmarkStart w:id="315" w:name="_Toc24437"/>
    </w:p>
    <w:p w14:paraId="5C58D256">
      <w:pPr>
        <w:rPr>
          <w:rFonts w:hint="eastAsia"/>
          <w:lang w:val="en-US" w:eastAsia="zh-CN"/>
        </w:rPr>
      </w:pPr>
    </w:p>
    <w:p w14:paraId="28221FAA">
      <w:pPr>
        <w:pStyle w:val="3"/>
        <w:numPr>
          <w:ilvl w:val="1"/>
          <w:numId w:val="0"/>
        </w:numPr>
        <w:shd w:val="clear" w:color="auto" w:fill="auto"/>
        <w:spacing w:before="0" w:line="240" w:lineRule="atLeast"/>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11、</w:t>
      </w:r>
      <w:r>
        <w:rPr>
          <w:rFonts w:hint="eastAsia" w:ascii="宋体" w:hAnsi="宋体" w:eastAsia="宋体" w:cs="宋体"/>
          <w:b/>
          <w:bCs/>
          <w:color w:val="auto"/>
          <w:sz w:val="24"/>
          <w:highlight w:val="none"/>
          <w:lang w:eastAsia="zh-CN"/>
        </w:rPr>
        <w:t>投标人认为有必要提供的其他证明材料（格式自拟）</w:t>
      </w:r>
      <w:bookmarkEnd w:id="313"/>
      <w:bookmarkEnd w:id="314"/>
      <w:bookmarkEnd w:id="315"/>
    </w:p>
    <w:p w14:paraId="42D16BA1">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p>
    <w:p w14:paraId="526D06F3">
      <w:pPr>
        <w:pStyle w:val="12"/>
        <w:shd w:val="clear" w:color="auto" w:fill="auto"/>
        <w:tabs>
          <w:tab w:val="left" w:pos="5580"/>
        </w:tabs>
        <w:spacing w:line="240" w:lineRule="atLeast"/>
        <w:ind w:left="1087" w:leftChars="257" w:hanging="54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说明：1.复印件上应加盖本单位章（自然人投标的无需盖章，需要签字）。</w:t>
      </w:r>
    </w:p>
    <w:p w14:paraId="522990B0">
      <w:pPr>
        <w:numPr>
          <w:ilvl w:val="0"/>
          <w:numId w:val="10"/>
        </w:numPr>
        <w:spacing w:before="117" w:line="222" w:lineRule="auto"/>
        <w:ind w:left="3264"/>
        <w:rPr>
          <w:rFonts w:hint="eastAsia" w:ascii="宋体" w:hAnsi="宋体" w:eastAsia="宋体" w:cs="宋体"/>
          <w:b w:val="0"/>
          <w:bCs w:val="0"/>
          <w:color w:val="auto"/>
          <w:kern w:val="2"/>
          <w:sz w:val="24"/>
          <w:szCs w:val="20"/>
          <w:highlight w:val="none"/>
          <w:u w:val="none" w:color="000000"/>
          <w:lang w:val="en-US" w:eastAsia="zh-CN" w:bidi="ar-SA"/>
        </w:rPr>
      </w:pPr>
      <w:r>
        <w:rPr>
          <w:rFonts w:hint="eastAsia" w:ascii="宋体" w:hAnsi="宋体" w:eastAsia="宋体" w:cs="宋体"/>
          <w:color w:val="auto"/>
          <w:sz w:val="24"/>
          <w:highlight w:val="none"/>
          <w:lang w:val="en-US" w:eastAsia="zh-CN"/>
        </w:rPr>
        <w:t>（本项目不接受联合体）如果是联合体投标，联合体各方需提供</w:t>
      </w:r>
      <w:r>
        <w:rPr>
          <w:rFonts w:hint="eastAsia" w:ascii="宋体" w:hAnsi="宋体" w:eastAsia="宋体" w:cs="宋体"/>
          <w:b w:val="0"/>
          <w:bCs w:val="0"/>
          <w:color w:val="auto"/>
          <w:kern w:val="2"/>
          <w:sz w:val="24"/>
          <w:szCs w:val="20"/>
          <w:highlight w:val="none"/>
          <w:u w:val="none" w:color="000000"/>
          <w:lang w:val="en-US" w:eastAsia="zh-CN" w:bidi="ar-SA"/>
        </w:rPr>
        <w:t>的满足</w:t>
      </w:r>
      <w:r>
        <w:rPr>
          <w:rFonts w:hint="eastAsia" w:hAnsi="宋体" w:eastAsia="宋体" w:cs="宋体"/>
          <w:b w:val="0"/>
          <w:bCs w:val="0"/>
          <w:color w:val="auto"/>
          <w:kern w:val="2"/>
          <w:sz w:val="24"/>
          <w:szCs w:val="20"/>
          <w:highlight w:val="none"/>
          <w:u w:val="none" w:color="000000"/>
          <w:lang w:val="en-US" w:eastAsia="zh-CN" w:bidi="ar-SA"/>
        </w:rPr>
        <w:t>磋商文件</w:t>
      </w:r>
      <w:r>
        <w:rPr>
          <w:rFonts w:hint="eastAsia" w:ascii="宋体" w:hAnsi="宋体" w:eastAsia="宋体" w:cs="宋体"/>
          <w:b w:val="0"/>
          <w:bCs w:val="0"/>
          <w:color w:val="auto"/>
          <w:kern w:val="2"/>
          <w:sz w:val="24"/>
          <w:szCs w:val="20"/>
          <w:highlight w:val="none"/>
          <w:u w:val="none" w:color="000000"/>
          <w:lang w:val="en-US" w:eastAsia="zh-CN" w:bidi="ar-SA"/>
        </w:rPr>
        <w:t>要求的其他资格证明文件。</w:t>
      </w:r>
    </w:p>
    <w:p w14:paraId="7210EDB9">
      <w:pPr>
        <w:numPr>
          <w:ilvl w:val="0"/>
          <w:numId w:val="0"/>
        </w:numPr>
        <w:spacing w:before="117" w:line="222" w:lineRule="auto"/>
        <w:rPr>
          <w:rFonts w:ascii="仿宋" w:hAnsi="仿宋" w:eastAsia="仿宋" w:cs="仿宋"/>
          <w:b/>
          <w:bCs/>
          <w:spacing w:val="-7"/>
          <w:sz w:val="24"/>
          <w:szCs w:val="24"/>
          <w:highlight w:val="none"/>
        </w:rPr>
      </w:pPr>
    </w:p>
    <w:p w14:paraId="737DC69F">
      <w:pPr>
        <w:numPr>
          <w:ilvl w:val="0"/>
          <w:numId w:val="0"/>
        </w:numPr>
        <w:spacing w:before="117" w:line="222" w:lineRule="auto"/>
        <w:rPr>
          <w:rFonts w:ascii="仿宋" w:hAnsi="仿宋" w:eastAsia="仿宋" w:cs="仿宋"/>
          <w:b/>
          <w:bCs/>
          <w:spacing w:val="-7"/>
          <w:sz w:val="24"/>
          <w:szCs w:val="24"/>
          <w:highlight w:val="none"/>
        </w:rPr>
      </w:pPr>
    </w:p>
    <w:p w14:paraId="14E463B7">
      <w:pPr>
        <w:numPr>
          <w:ilvl w:val="0"/>
          <w:numId w:val="0"/>
        </w:numPr>
        <w:spacing w:before="117" w:line="222" w:lineRule="auto"/>
        <w:rPr>
          <w:rFonts w:ascii="仿宋" w:hAnsi="仿宋" w:eastAsia="仿宋" w:cs="仿宋"/>
          <w:b/>
          <w:bCs/>
          <w:spacing w:val="-7"/>
          <w:sz w:val="24"/>
          <w:szCs w:val="24"/>
          <w:highlight w:val="none"/>
        </w:rPr>
      </w:pPr>
    </w:p>
    <w:p w14:paraId="4C71F512">
      <w:pPr>
        <w:numPr>
          <w:ilvl w:val="0"/>
          <w:numId w:val="0"/>
        </w:numPr>
        <w:spacing w:before="117" w:line="222" w:lineRule="auto"/>
        <w:rPr>
          <w:rFonts w:ascii="仿宋" w:hAnsi="仿宋" w:eastAsia="仿宋" w:cs="仿宋"/>
          <w:b/>
          <w:bCs/>
          <w:spacing w:val="-7"/>
          <w:sz w:val="24"/>
          <w:szCs w:val="24"/>
          <w:highlight w:val="none"/>
        </w:rPr>
      </w:pPr>
    </w:p>
    <w:p w14:paraId="07D70387">
      <w:pPr>
        <w:numPr>
          <w:ilvl w:val="0"/>
          <w:numId w:val="0"/>
        </w:numPr>
        <w:spacing w:before="117" w:line="222" w:lineRule="auto"/>
        <w:rPr>
          <w:rFonts w:ascii="仿宋" w:hAnsi="仿宋" w:eastAsia="仿宋" w:cs="仿宋"/>
          <w:b/>
          <w:bCs/>
          <w:spacing w:val="-7"/>
          <w:sz w:val="24"/>
          <w:szCs w:val="24"/>
          <w:highlight w:val="none"/>
        </w:rPr>
      </w:pPr>
    </w:p>
    <w:p w14:paraId="77B43714">
      <w:pPr>
        <w:numPr>
          <w:ilvl w:val="0"/>
          <w:numId w:val="0"/>
        </w:numPr>
        <w:spacing w:before="117" w:line="222" w:lineRule="auto"/>
        <w:rPr>
          <w:rFonts w:ascii="仿宋" w:hAnsi="仿宋" w:eastAsia="仿宋" w:cs="仿宋"/>
          <w:b/>
          <w:bCs/>
          <w:spacing w:val="-7"/>
          <w:sz w:val="24"/>
          <w:szCs w:val="24"/>
          <w:highlight w:val="none"/>
        </w:rPr>
      </w:pPr>
    </w:p>
    <w:p w14:paraId="53FEDEF1">
      <w:pPr>
        <w:numPr>
          <w:ilvl w:val="0"/>
          <w:numId w:val="0"/>
        </w:numPr>
        <w:spacing w:before="117" w:line="222" w:lineRule="auto"/>
        <w:rPr>
          <w:rFonts w:ascii="仿宋" w:hAnsi="仿宋" w:eastAsia="仿宋" w:cs="仿宋"/>
          <w:b/>
          <w:bCs/>
          <w:spacing w:val="-7"/>
          <w:sz w:val="24"/>
          <w:szCs w:val="24"/>
          <w:highlight w:val="none"/>
        </w:rPr>
      </w:pPr>
    </w:p>
    <w:p w14:paraId="4AF3370A">
      <w:pPr>
        <w:numPr>
          <w:ilvl w:val="0"/>
          <w:numId w:val="0"/>
        </w:numPr>
        <w:spacing w:before="117" w:line="222" w:lineRule="auto"/>
        <w:rPr>
          <w:rFonts w:ascii="仿宋" w:hAnsi="仿宋" w:eastAsia="仿宋" w:cs="仿宋"/>
          <w:b/>
          <w:bCs/>
          <w:spacing w:val="-7"/>
          <w:sz w:val="24"/>
          <w:szCs w:val="24"/>
          <w:highlight w:val="none"/>
        </w:rPr>
      </w:pPr>
    </w:p>
    <w:p w14:paraId="6C81DBF2">
      <w:pPr>
        <w:numPr>
          <w:ilvl w:val="0"/>
          <w:numId w:val="0"/>
        </w:numPr>
        <w:spacing w:before="117" w:line="222" w:lineRule="auto"/>
        <w:rPr>
          <w:rFonts w:ascii="仿宋" w:hAnsi="仿宋" w:eastAsia="仿宋" w:cs="仿宋"/>
          <w:b/>
          <w:bCs/>
          <w:spacing w:val="-7"/>
          <w:sz w:val="24"/>
          <w:szCs w:val="24"/>
          <w:highlight w:val="none"/>
        </w:rPr>
      </w:pPr>
    </w:p>
    <w:p w14:paraId="04EDEAC9">
      <w:pPr>
        <w:numPr>
          <w:ilvl w:val="0"/>
          <w:numId w:val="0"/>
        </w:numPr>
        <w:spacing w:before="117" w:line="222" w:lineRule="auto"/>
        <w:rPr>
          <w:rFonts w:ascii="仿宋" w:hAnsi="仿宋" w:eastAsia="仿宋" w:cs="仿宋"/>
          <w:b/>
          <w:bCs/>
          <w:spacing w:val="-7"/>
          <w:sz w:val="24"/>
          <w:szCs w:val="24"/>
          <w:highlight w:val="none"/>
        </w:rPr>
      </w:pPr>
    </w:p>
    <w:p w14:paraId="60808980">
      <w:pPr>
        <w:numPr>
          <w:ilvl w:val="0"/>
          <w:numId w:val="0"/>
        </w:numPr>
        <w:spacing w:before="117" w:line="222" w:lineRule="auto"/>
        <w:rPr>
          <w:rFonts w:ascii="仿宋" w:hAnsi="仿宋" w:eastAsia="仿宋" w:cs="仿宋"/>
          <w:b/>
          <w:bCs/>
          <w:spacing w:val="-7"/>
          <w:sz w:val="24"/>
          <w:szCs w:val="24"/>
          <w:highlight w:val="none"/>
        </w:rPr>
      </w:pPr>
    </w:p>
    <w:p w14:paraId="04ADF77E">
      <w:pPr>
        <w:spacing w:before="117" w:line="222" w:lineRule="auto"/>
        <w:ind w:left="3264"/>
        <w:rPr>
          <w:rFonts w:ascii="仿宋" w:hAnsi="仿宋" w:eastAsia="仿宋" w:cs="仿宋"/>
          <w:sz w:val="24"/>
          <w:szCs w:val="24"/>
          <w:highlight w:val="none"/>
        </w:rPr>
      </w:pPr>
      <w:r>
        <w:rPr>
          <w:rFonts w:ascii="仿宋" w:hAnsi="仿宋" w:eastAsia="仿宋" w:cs="仿宋"/>
          <w:b/>
          <w:bCs/>
          <w:spacing w:val="-7"/>
          <w:sz w:val="24"/>
          <w:szCs w:val="24"/>
          <w:highlight w:val="none"/>
        </w:rPr>
        <w:t>中小企业划型标准规定</w:t>
      </w:r>
    </w:p>
    <w:p w14:paraId="20526DBC">
      <w:pPr>
        <w:spacing w:before="112" w:line="307" w:lineRule="auto"/>
        <w:ind w:left="26" w:right="109" w:firstLine="477" w:firstLineChars="205"/>
        <w:rPr>
          <w:rFonts w:ascii="仿宋" w:hAnsi="仿宋" w:eastAsia="仿宋" w:cs="仿宋"/>
          <w:sz w:val="24"/>
          <w:szCs w:val="24"/>
          <w:highlight w:val="none"/>
        </w:rPr>
      </w:pPr>
      <w:r>
        <w:rPr>
          <w:rFonts w:hint="eastAsia" w:ascii="仿宋" w:hAnsi="仿宋" w:eastAsia="仿宋" w:cs="仿宋"/>
          <w:b/>
          <w:bCs/>
          <w:spacing w:val="-5"/>
          <w:sz w:val="24"/>
          <w:szCs w:val="24"/>
          <w:highlight w:val="none"/>
          <w:lang w:val="en-US" w:eastAsia="zh-CN"/>
        </w:rPr>
        <w:t>一</w:t>
      </w:r>
      <w:r>
        <w:rPr>
          <w:rFonts w:ascii="仿宋" w:hAnsi="仿宋" w:eastAsia="仿宋" w:cs="仿宋"/>
          <w:b/>
          <w:bCs/>
          <w:spacing w:val="-5"/>
          <w:sz w:val="24"/>
          <w:szCs w:val="24"/>
          <w:highlight w:val="none"/>
        </w:rPr>
        <w:t>、根据《中华人民共和国中小企业促进法》和《国务院关于进一步促进中小企业发展的</w:t>
      </w:r>
      <w:r>
        <w:rPr>
          <w:rFonts w:ascii="仿宋" w:hAnsi="仿宋" w:eastAsia="仿宋" w:cs="仿宋"/>
          <w:b/>
          <w:bCs/>
          <w:spacing w:val="-6"/>
          <w:sz w:val="24"/>
          <w:szCs w:val="24"/>
          <w:highlight w:val="none"/>
        </w:rPr>
        <w:t>见》</w:t>
      </w:r>
      <w:r>
        <w:rPr>
          <w:rFonts w:ascii="仿宋" w:hAnsi="仿宋" w:eastAsia="仿宋" w:cs="仿宋"/>
          <w:spacing w:val="66"/>
          <w:sz w:val="24"/>
          <w:szCs w:val="24"/>
          <w:highlight w:val="none"/>
        </w:rPr>
        <w:t xml:space="preserve"> </w:t>
      </w:r>
      <w:r>
        <w:rPr>
          <w:rFonts w:ascii="仿宋" w:hAnsi="仿宋" w:eastAsia="仿宋" w:cs="仿宋"/>
          <w:b/>
          <w:bCs/>
          <w:spacing w:val="-6"/>
          <w:sz w:val="24"/>
          <w:szCs w:val="24"/>
          <w:highlight w:val="none"/>
        </w:rPr>
        <w:t>(（国发〔2009〕</w:t>
      </w:r>
      <w:r>
        <w:rPr>
          <w:rFonts w:ascii="仿宋" w:hAnsi="仿宋" w:eastAsia="仿宋" w:cs="仿宋"/>
          <w:spacing w:val="48"/>
          <w:sz w:val="24"/>
          <w:szCs w:val="24"/>
          <w:highlight w:val="none"/>
        </w:rPr>
        <w:t xml:space="preserve"> </w:t>
      </w:r>
      <w:r>
        <w:rPr>
          <w:rFonts w:ascii="仿宋" w:hAnsi="仿宋" w:eastAsia="仿宋" w:cs="仿宋"/>
          <w:b/>
          <w:bCs/>
          <w:spacing w:val="-6"/>
          <w:sz w:val="24"/>
          <w:szCs w:val="24"/>
          <w:highlight w:val="none"/>
        </w:rPr>
        <w:t>[2009]36</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号)，制定本规定。</w:t>
      </w:r>
    </w:p>
    <w:p w14:paraId="4CFD8EA3">
      <w:pPr>
        <w:spacing w:line="308" w:lineRule="auto"/>
        <w:ind w:left="26" w:right="107" w:firstLine="482" w:firstLineChars="207"/>
        <w:rPr>
          <w:rFonts w:ascii="仿宋" w:hAnsi="仿宋" w:eastAsia="仿宋" w:cs="仿宋"/>
          <w:sz w:val="24"/>
          <w:szCs w:val="24"/>
          <w:highlight w:val="none"/>
        </w:rPr>
      </w:pPr>
      <w:r>
        <w:rPr>
          <w:rFonts w:hint="eastAsia" w:ascii="仿宋" w:hAnsi="仿宋" w:eastAsia="仿宋" w:cs="仿宋"/>
          <w:b/>
          <w:bCs/>
          <w:spacing w:val="-5"/>
          <w:sz w:val="24"/>
          <w:szCs w:val="24"/>
          <w:highlight w:val="none"/>
          <w:lang w:val="en-US" w:eastAsia="zh-CN"/>
        </w:rPr>
        <w:t>二</w:t>
      </w:r>
      <w:r>
        <w:rPr>
          <w:rFonts w:ascii="仿宋" w:hAnsi="仿宋" w:eastAsia="仿宋" w:cs="仿宋"/>
          <w:b/>
          <w:bCs/>
          <w:spacing w:val="-3"/>
          <w:sz w:val="24"/>
          <w:szCs w:val="24"/>
          <w:highlight w:val="none"/>
        </w:rPr>
        <w:t>、</w:t>
      </w:r>
      <w:r>
        <w:rPr>
          <w:rFonts w:ascii="仿宋" w:hAnsi="仿宋" w:eastAsia="仿宋" w:cs="仿宋"/>
          <w:spacing w:val="54"/>
          <w:sz w:val="24"/>
          <w:szCs w:val="24"/>
          <w:highlight w:val="none"/>
        </w:rPr>
        <w:t xml:space="preserve"> </w:t>
      </w:r>
      <w:r>
        <w:rPr>
          <w:rFonts w:ascii="仿宋" w:hAnsi="仿宋" w:eastAsia="仿宋" w:cs="仿宋"/>
          <w:b/>
          <w:bCs/>
          <w:spacing w:val="-3"/>
          <w:sz w:val="24"/>
          <w:szCs w:val="24"/>
          <w:highlight w:val="none"/>
        </w:rPr>
        <w:t>中小企业划分为中型、小型、微型三种类型，具体标准根据企业从业人员、营业收产总额等指标，结合行业特点制定。</w:t>
      </w:r>
    </w:p>
    <w:p w14:paraId="298C0FD5">
      <w:pPr>
        <w:spacing w:before="5" w:line="307" w:lineRule="auto"/>
        <w:ind w:left="24" w:right="43" w:firstLine="482" w:firstLineChars="207"/>
        <w:rPr>
          <w:rFonts w:ascii="仿宋" w:hAnsi="仿宋" w:eastAsia="仿宋" w:cs="仿宋"/>
          <w:sz w:val="24"/>
          <w:szCs w:val="24"/>
          <w:highlight w:val="none"/>
        </w:rPr>
      </w:pPr>
      <w:r>
        <w:rPr>
          <w:rFonts w:hint="eastAsia" w:ascii="仿宋" w:hAnsi="仿宋" w:eastAsia="仿宋" w:cs="仿宋"/>
          <w:b/>
          <w:bCs/>
          <w:spacing w:val="-5"/>
          <w:sz w:val="24"/>
          <w:szCs w:val="24"/>
          <w:highlight w:val="none"/>
          <w:lang w:val="en-US" w:eastAsia="zh-CN"/>
        </w:rPr>
        <w:t>三</w:t>
      </w:r>
      <w:r>
        <w:rPr>
          <w:rFonts w:ascii="仿宋" w:hAnsi="仿宋" w:eastAsia="仿宋" w:cs="仿宋"/>
          <w:b/>
          <w:bCs/>
          <w:spacing w:val="-2"/>
          <w:sz w:val="24"/>
          <w:szCs w:val="24"/>
          <w:highlight w:val="none"/>
        </w:rPr>
        <w:t>、本规定适用的行业包括：农、林、牧、渔业，工业（包括采矿业，制造业，</w:t>
      </w:r>
      <w:r>
        <w:rPr>
          <w:rFonts w:ascii="仿宋" w:hAnsi="仿宋" w:eastAsia="仿宋" w:cs="仿宋"/>
          <w:spacing w:val="51"/>
          <w:sz w:val="24"/>
          <w:szCs w:val="24"/>
          <w:highlight w:val="none"/>
        </w:rPr>
        <w:t xml:space="preserve"> </w:t>
      </w:r>
      <w:r>
        <w:rPr>
          <w:rFonts w:ascii="仿宋" w:hAnsi="仿宋" w:eastAsia="仿宋" w:cs="仿宋"/>
          <w:b/>
          <w:bCs/>
          <w:spacing w:val="-2"/>
          <w:sz w:val="24"/>
          <w:szCs w:val="24"/>
          <w:highlight w:val="none"/>
        </w:rPr>
        <w:t>电力、</w:t>
      </w:r>
      <w:r>
        <w:rPr>
          <w:rFonts w:ascii="仿宋" w:hAnsi="仿宋" w:eastAsia="仿宋" w:cs="仿宋"/>
          <w:b/>
          <w:bCs/>
          <w:spacing w:val="-8"/>
          <w:sz w:val="24"/>
          <w:szCs w:val="24"/>
          <w:highlight w:val="none"/>
        </w:rPr>
        <w:t>燃气及水生产和供应业</w:t>
      </w:r>
      <w:r>
        <w:rPr>
          <w:rFonts w:ascii="仿宋" w:hAnsi="仿宋" w:eastAsia="仿宋" w:cs="仿宋"/>
          <w:b/>
          <w:bCs/>
          <w:spacing w:val="-28"/>
          <w:sz w:val="24"/>
          <w:szCs w:val="24"/>
          <w:highlight w:val="none"/>
        </w:rPr>
        <w:t>）</w:t>
      </w:r>
      <w:r>
        <w:rPr>
          <w:rFonts w:ascii="仿宋" w:hAnsi="仿宋" w:eastAsia="仿宋" w:cs="仿宋"/>
          <w:spacing w:val="-60"/>
          <w:sz w:val="24"/>
          <w:szCs w:val="24"/>
          <w:highlight w:val="none"/>
        </w:rPr>
        <w:t xml:space="preserve"> </w:t>
      </w:r>
      <w:r>
        <w:rPr>
          <w:rFonts w:ascii="仿宋" w:hAnsi="仿宋" w:eastAsia="仿宋" w:cs="仿宋"/>
          <w:b/>
          <w:bCs/>
          <w:spacing w:val="-28"/>
          <w:sz w:val="24"/>
          <w:szCs w:val="24"/>
          <w:highlight w:val="none"/>
        </w:rPr>
        <w:t>，</w:t>
      </w:r>
      <w:r>
        <w:rPr>
          <w:rFonts w:ascii="仿宋" w:hAnsi="仿宋" w:eastAsia="仿宋" w:cs="仿宋"/>
          <w:b/>
          <w:bCs/>
          <w:spacing w:val="-8"/>
          <w:sz w:val="24"/>
          <w:szCs w:val="24"/>
          <w:highlight w:val="none"/>
        </w:rPr>
        <w:t>建筑业，批发业，零售业，交通运输</w:t>
      </w:r>
      <w:r>
        <w:rPr>
          <w:rFonts w:ascii="仿宋" w:hAnsi="仿宋" w:eastAsia="仿宋" w:cs="仿宋"/>
          <w:b/>
          <w:bCs/>
          <w:spacing w:val="-9"/>
          <w:sz w:val="24"/>
          <w:szCs w:val="24"/>
          <w:highlight w:val="none"/>
        </w:rPr>
        <w:t>业（不含铁路运输业</w:t>
      </w:r>
      <w:r>
        <w:rPr>
          <w:rFonts w:ascii="仿宋" w:hAnsi="仿宋" w:eastAsia="仿宋" w:cs="仿宋"/>
          <w:b/>
          <w:bCs/>
          <w:spacing w:val="-28"/>
          <w:sz w:val="24"/>
          <w:szCs w:val="24"/>
          <w:highlight w:val="none"/>
        </w:rPr>
        <w:t>），</w:t>
      </w:r>
      <w:r>
        <w:rPr>
          <w:rFonts w:ascii="仿宋" w:hAnsi="仿宋" w:eastAsia="仿宋" w:cs="仿宋"/>
          <w:sz w:val="24"/>
          <w:szCs w:val="24"/>
          <w:highlight w:val="none"/>
        </w:rPr>
        <w:t xml:space="preserve"> </w:t>
      </w:r>
      <w:r>
        <w:rPr>
          <w:rFonts w:ascii="仿宋" w:hAnsi="仿宋" w:eastAsia="仿宋" w:cs="仿宋"/>
          <w:b/>
          <w:bCs/>
          <w:spacing w:val="-4"/>
          <w:sz w:val="24"/>
          <w:szCs w:val="24"/>
          <w:highlight w:val="none"/>
        </w:rPr>
        <w:t>,</w:t>
      </w:r>
      <w:r>
        <w:rPr>
          <w:rFonts w:ascii="仿宋" w:hAnsi="仿宋" w:eastAsia="仿宋" w:cs="仿宋"/>
          <w:spacing w:val="43"/>
          <w:sz w:val="24"/>
          <w:szCs w:val="24"/>
          <w:highlight w:val="none"/>
        </w:rPr>
        <w:t xml:space="preserve">  </w:t>
      </w:r>
      <w:r>
        <w:rPr>
          <w:rFonts w:ascii="仿宋" w:hAnsi="仿宋" w:eastAsia="仿宋" w:cs="仿宋"/>
          <w:b/>
          <w:bCs/>
          <w:spacing w:val="-4"/>
          <w:sz w:val="24"/>
          <w:szCs w:val="24"/>
          <w:highlight w:val="none"/>
        </w:rPr>
        <w:t>邮政业，住宿业，餐饮业，信息传输业（包括电信、互联网和相</w:t>
      </w:r>
      <w:r>
        <w:rPr>
          <w:rFonts w:ascii="仿宋" w:hAnsi="仿宋" w:eastAsia="仿宋" w:cs="仿宋"/>
          <w:b/>
          <w:bCs/>
          <w:spacing w:val="-5"/>
          <w:sz w:val="24"/>
          <w:szCs w:val="24"/>
          <w:highlight w:val="none"/>
        </w:rPr>
        <w:t>关服务</w:t>
      </w:r>
      <w:r>
        <w:rPr>
          <w:rFonts w:ascii="仿宋" w:hAnsi="仿宋" w:eastAsia="仿宋" w:cs="仿宋"/>
          <w:b/>
          <w:bCs/>
          <w:spacing w:val="9"/>
          <w:sz w:val="24"/>
          <w:szCs w:val="24"/>
          <w:highlight w:val="none"/>
        </w:rPr>
        <w:t>），</w:t>
      </w:r>
      <w:r>
        <w:rPr>
          <w:rFonts w:ascii="仿宋" w:hAnsi="仿宋" w:eastAsia="仿宋" w:cs="仿宋"/>
          <w:b/>
          <w:bCs/>
          <w:spacing w:val="-5"/>
          <w:sz w:val="24"/>
          <w:szCs w:val="24"/>
          <w:highlight w:val="none"/>
        </w:rPr>
        <w:t>软件和</w:t>
      </w:r>
      <w:r>
        <w:rPr>
          <w:rFonts w:ascii="仿宋" w:hAnsi="仿宋" w:eastAsia="仿宋" w:cs="仿宋"/>
          <w:b/>
          <w:bCs/>
          <w:spacing w:val="-1"/>
          <w:sz w:val="24"/>
          <w:szCs w:val="24"/>
          <w:highlight w:val="none"/>
        </w:rPr>
        <w:t>术服务业，</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房地产开发经营，物业管理，租赁和商务服务业，其他未列明行业</w:t>
      </w:r>
      <w:r>
        <w:rPr>
          <w:rFonts w:ascii="仿宋" w:hAnsi="仿宋" w:eastAsia="仿宋" w:cs="仿宋"/>
          <w:b/>
          <w:bCs/>
          <w:spacing w:val="-2"/>
          <w:sz w:val="24"/>
          <w:szCs w:val="24"/>
          <w:highlight w:val="none"/>
        </w:rPr>
        <w:t>（包括</w:t>
      </w:r>
      <w:r>
        <w:rPr>
          <w:rFonts w:ascii="仿宋" w:hAnsi="仿宋" w:eastAsia="仿宋" w:cs="仿宋"/>
          <w:b/>
          <w:bCs/>
          <w:spacing w:val="-4"/>
          <w:sz w:val="24"/>
          <w:szCs w:val="24"/>
          <w:highlight w:val="none"/>
        </w:rPr>
        <w:t>究和技术服务业，水利、环境和公共设施管理业，居民服务、</w:t>
      </w:r>
      <w:r>
        <w:rPr>
          <w:rFonts w:ascii="仿宋" w:hAnsi="仿宋" w:eastAsia="仿宋" w:cs="仿宋"/>
          <w:b/>
          <w:bCs/>
          <w:spacing w:val="-5"/>
          <w:sz w:val="24"/>
          <w:szCs w:val="24"/>
          <w:highlight w:val="none"/>
        </w:rPr>
        <w:t>修理和其他服务业，社会</w:t>
      </w:r>
      <w:r>
        <w:rPr>
          <w:rFonts w:ascii="仿宋" w:hAnsi="仿宋" w:eastAsia="仿宋" w:cs="仿宋"/>
          <w:b/>
          <w:bCs/>
          <w:spacing w:val="-4"/>
          <w:sz w:val="24"/>
          <w:szCs w:val="24"/>
          <w:highlight w:val="none"/>
        </w:rPr>
        <w:t>文化、体育和娱乐业等）。</w:t>
      </w:r>
    </w:p>
    <w:p w14:paraId="51C28B56">
      <w:pPr>
        <w:spacing w:before="1" w:line="220" w:lineRule="auto"/>
        <w:ind w:left="40" w:firstLine="466" w:firstLineChars="200"/>
        <w:rPr>
          <w:rFonts w:ascii="仿宋" w:hAnsi="仿宋" w:eastAsia="仿宋" w:cs="仿宋"/>
          <w:sz w:val="24"/>
          <w:szCs w:val="24"/>
          <w:highlight w:val="none"/>
        </w:rPr>
      </w:pPr>
      <w:r>
        <w:rPr>
          <w:rFonts w:hint="eastAsia" w:ascii="仿宋" w:hAnsi="仿宋" w:eastAsia="仿宋" w:cs="仿宋"/>
          <w:b/>
          <w:bCs/>
          <w:spacing w:val="-5"/>
          <w:sz w:val="24"/>
          <w:szCs w:val="24"/>
          <w:highlight w:val="none"/>
          <w:lang w:val="en-US" w:eastAsia="zh-CN"/>
        </w:rPr>
        <w:t>四</w:t>
      </w:r>
      <w:r>
        <w:rPr>
          <w:rFonts w:ascii="仿宋" w:hAnsi="仿宋" w:eastAsia="仿宋" w:cs="仿宋"/>
          <w:b/>
          <w:bCs/>
          <w:spacing w:val="-5"/>
          <w:sz w:val="24"/>
          <w:szCs w:val="24"/>
          <w:highlight w:val="none"/>
        </w:rPr>
        <w:t>、各行业划型标准为：</w:t>
      </w:r>
    </w:p>
    <w:p w14:paraId="7A595D80">
      <w:pPr>
        <w:spacing w:before="111" w:line="280" w:lineRule="auto"/>
        <w:ind w:left="266" w:leftChars="125" w:right="106" w:firstLine="228" w:firstLineChars="95"/>
        <w:rPr>
          <w:rFonts w:ascii="仿宋" w:hAnsi="仿宋" w:eastAsia="仿宋" w:cs="仿宋"/>
          <w:sz w:val="24"/>
          <w:szCs w:val="24"/>
          <w:highlight w:val="none"/>
        </w:rPr>
      </w:pPr>
      <w:r>
        <w:rPr>
          <w:rFonts w:hint="eastAsia" w:ascii="仿宋" w:hAnsi="仿宋" w:eastAsia="仿宋" w:cs="仿宋"/>
          <w:b/>
          <w:bCs/>
          <w:spacing w:val="-1"/>
          <w:sz w:val="24"/>
          <w:szCs w:val="24"/>
          <w:highlight w:val="none"/>
          <w:lang w:eastAsia="zh-CN"/>
        </w:rPr>
        <w:t>（</w:t>
      </w:r>
      <w:r>
        <w:rPr>
          <w:rFonts w:ascii="仿宋" w:hAnsi="仿宋" w:eastAsia="仿宋" w:cs="仿宋"/>
          <w:b/>
          <w:bCs/>
          <w:spacing w:val="-1"/>
          <w:sz w:val="24"/>
          <w:szCs w:val="24"/>
          <w:highlight w:val="none"/>
        </w:rPr>
        <w:t>一）农、林、牧、渔业。营业收入</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20000</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万元以下的为中小微型企业</w:t>
      </w:r>
      <w:r>
        <w:rPr>
          <w:rFonts w:ascii="仿宋" w:hAnsi="仿宋" w:eastAsia="仿宋" w:cs="仿宋"/>
          <w:b/>
          <w:bCs/>
          <w:spacing w:val="-2"/>
          <w:sz w:val="24"/>
          <w:szCs w:val="24"/>
          <w:highlight w:val="none"/>
        </w:rPr>
        <w:t>。其中，营业收</w:t>
      </w:r>
      <w:r>
        <w:rPr>
          <w:rFonts w:ascii="仿宋" w:hAnsi="仿宋" w:eastAsia="仿宋" w:cs="仿宋"/>
          <w:b/>
          <w:bCs/>
          <w:spacing w:val="2"/>
          <w:sz w:val="24"/>
          <w:szCs w:val="24"/>
          <w:highlight w:val="none"/>
        </w:rPr>
        <w:t>万元及以上的为中型企业，营业收入</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50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万元及以</w:t>
      </w:r>
      <w:r>
        <w:rPr>
          <w:rFonts w:ascii="仿宋" w:hAnsi="仿宋" w:eastAsia="仿宋" w:cs="仿宋"/>
          <w:b/>
          <w:bCs/>
          <w:spacing w:val="1"/>
          <w:sz w:val="24"/>
          <w:szCs w:val="24"/>
          <w:highlight w:val="none"/>
        </w:rPr>
        <w:t>上的为小型企业，营业收入</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50</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万</w:t>
      </w:r>
      <w:r>
        <w:rPr>
          <w:rFonts w:ascii="仿宋" w:hAnsi="仿宋" w:eastAsia="仿宋" w:cs="仿宋"/>
          <w:b/>
          <w:bCs/>
          <w:spacing w:val="-7"/>
          <w:sz w:val="24"/>
          <w:szCs w:val="24"/>
          <w:highlight w:val="none"/>
        </w:rPr>
        <w:t>的为微型企业。</w:t>
      </w:r>
    </w:p>
    <w:p w14:paraId="5F25589C">
      <w:pPr>
        <w:spacing w:before="106" w:line="287" w:lineRule="auto"/>
        <w:ind w:left="270" w:leftChars="127" w:right="109" w:firstLine="232" w:firstLineChars="97"/>
        <w:rPr>
          <w:rFonts w:ascii="仿宋" w:hAnsi="仿宋" w:eastAsia="仿宋" w:cs="仿宋"/>
          <w:sz w:val="24"/>
          <w:szCs w:val="24"/>
          <w:highlight w:val="none"/>
        </w:rPr>
      </w:pPr>
      <w:r>
        <w:rPr>
          <w:rFonts w:hint="eastAsia" w:ascii="仿宋" w:hAnsi="仿宋" w:eastAsia="仿宋" w:cs="仿宋"/>
          <w:b/>
          <w:bCs/>
          <w:spacing w:val="-1"/>
          <w:sz w:val="24"/>
          <w:szCs w:val="24"/>
          <w:highlight w:val="none"/>
          <w:lang w:eastAsia="zh-CN"/>
        </w:rPr>
        <w:t>（</w:t>
      </w:r>
      <w:r>
        <w:rPr>
          <w:rFonts w:ascii="仿宋" w:hAnsi="仿宋" w:eastAsia="仿宋" w:cs="仿宋"/>
          <w:b/>
          <w:bCs/>
          <w:spacing w:val="-1"/>
          <w:sz w:val="24"/>
          <w:szCs w:val="24"/>
          <w:highlight w:val="none"/>
        </w:rPr>
        <w:t>二）工业。从业人员</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1000</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人以下或营业收入</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40000</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万元</w:t>
      </w:r>
      <w:r>
        <w:rPr>
          <w:rFonts w:ascii="仿宋" w:hAnsi="仿宋" w:eastAsia="仿宋" w:cs="仿宋"/>
          <w:b/>
          <w:bCs/>
          <w:spacing w:val="-2"/>
          <w:sz w:val="24"/>
          <w:szCs w:val="24"/>
          <w:highlight w:val="none"/>
        </w:rPr>
        <w:t>以下的为中小微型企业。其业人员</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300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人及以上，且营业收入</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2000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万元及以上的为中型企业；从业人员</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20</w:t>
      </w:r>
      <w:r>
        <w:rPr>
          <w:rFonts w:ascii="仿宋" w:hAnsi="仿宋" w:eastAsia="仿宋" w:cs="仿宋"/>
          <w:spacing w:val="28"/>
          <w:sz w:val="24"/>
          <w:szCs w:val="24"/>
          <w:highlight w:val="none"/>
        </w:rPr>
        <w:t xml:space="preserve"> </w:t>
      </w:r>
      <w:r>
        <w:rPr>
          <w:rFonts w:ascii="仿宋" w:hAnsi="仿宋" w:eastAsia="仿宋" w:cs="仿宋"/>
          <w:b/>
          <w:bCs/>
          <w:spacing w:val="-2"/>
          <w:sz w:val="24"/>
          <w:szCs w:val="24"/>
          <w:highlight w:val="none"/>
        </w:rPr>
        <w:t>人</w:t>
      </w:r>
      <w:r>
        <w:rPr>
          <w:rFonts w:ascii="仿宋" w:hAnsi="仿宋" w:eastAsia="仿宋" w:cs="仿宋"/>
          <w:sz w:val="24"/>
          <w:szCs w:val="24"/>
          <w:highlight w:val="none"/>
        </w:rPr>
        <w:t xml:space="preserve"> </w:t>
      </w:r>
      <w:r>
        <w:rPr>
          <w:rFonts w:ascii="仿宋" w:hAnsi="仿宋" w:eastAsia="仿宋" w:cs="仿宋"/>
          <w:b/>
          <w:bCs/>
          <w:spacing w:val="-6"/>
          <w:sz w:val="24"/>
          <w:szCs w:val="24"/>
          <w:highlight w:val="none"/>
        </w:rPr>
        <w:t>,</w:t>
      </w:r>
      <w:r>
        <w:rPr>
          <w:rFonts w:ascii="仿宋" w:hAnsi="仿宋" w:eastAsia="仿宋" w:cs="仿宋"/>
          <w:spacing w:val="44"/>
          <w:sz w:val="24"/>
          <w:szCs w:val="24"/>
          <w:highlight w:val="none"/>
        </w:rPr>
        <w:t xml:space="preserve"> </w:t>
      </w:r>
      <w:r>
        <w:rPr>
          <w:rFonts w:ascii="仿宋" w:hAnsi="仿宋" w:eastAsia="仿宋" w:cs="仿宋"/>
          <w:b/>
          <w:bCs/>
          <w:spacing w:val="-6"/>
          <w:sz w:val="24"/>
          <w:szCs w:val="24"/>
          <w:highlight w:val="none"/>
        </w:rPr>
        <w:t>且营业收入</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300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万元及以上的为小型企业；从业人员</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20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人以下或营业收入</w:t>
      </w:r>
      <w:r>
        <w:rPr>
          <w:rFonts w:ascii="仿宋" w:hAnsi="仿宋" w:eastAsia="仿宋" w:cs="仿宋"/>
          <w:spacing w:val="16"/>
          <w:sz w:val="24"/>
          <w:szCs w:val="24"/>
          <w:highlight w:val="none"/>
        </w:rPr>
        <w:t xml:space="preserve"> </w:t>
      </w:r>
      <w:r>
        <w:rPr>
          <w:rFonts w:ascii="仿宋" w:hAnsi="仿宋" w:eastAsia="仿宋" w:cs="仿宋"/>
          <w:b/>
          <w:bCs/>
          <w:spacing w:val="-6"/>
          <w:sz w:val="24"/>
          <w:szCs w:val="24"/>
          <w:highlight w:val="none"/>
        </w:rPr>
        <w:t>300</w:t>
      </w:r>
      <w:r>
        <w:rPr>
          <w:rFonts w:ascii="仿宋" w:hAnsi="仿宋" w:eastAsia="仿宋" w:cs="仿宋"/>
          <w:spacing w:val="18"/>
          <w:sz w:val="24"/>
          <w:szCs w:val="24"/>
          <w:highlight w:val="none"/>
        </w:rPr>
        <w:t xml:space="preserve"> </w:t>
      </w:r>
      <w:r>
        <w:rPr>
          <w:rFonts w:ascii="仿宋" w:hAnsi="仿宋" w:eastAsia="仿宋" w:cs="仿宋"/>
          <w:b/>
          <w:bCs/>
          <w:spacing w:val="-6"/>
          <w:sz w:val="24"/>
          <w:szCs w:val="24"/>
          <w:highlight w:val="none"/>
        </w:rPr>
        <w:t>万</w:t>
      </w:r>
      <w:r>
        <w:rPr>
          <w:rFonts w:ascii="仿宋" w:hAnsi="仿宋" w:eastAsia="仿宋" w:cs="仿宋"/>
          <w:b/>
          <w:bCs/>
          <w:spacing w:val="-7"/>
          <w:sz w:val="24"/>
          <w:szCs w:val="24"/>
          <w:highlight w:val="none"/>
        </w:rPr>
        <w:t>的为微型企业。</w:t>
      </w:r>
    </w:p>
    <w:p w14:paraId="497133FC">
      <w:pPr>
        <w:spacing w:before="119" w:line="308" w:lineRule="auto"/>
        <w:ind w:left="349" w:leftChars="164" w:right="106" w:firstLine="223" w:firstLineChars="98"/>
        <w:rPr>
          <w:rFonts w:ascii="仿宋" w:hAnsi="仿宋" w:eastAsia="仿宋" w:cs="仿宋"/>
          <w:sz w:val="24"/>
          <w:szCs w:val="24"/>
          <w:highlight w:val="none"/>
        </w:rPr>
      </w:pPr>
      <w:r>
        <w:rPr>
          <w:rFonts w:hint="eastAsia" w:ascii="仿宋" w:hAnsi="仿宋" w:eastAsia="仿宋" w:cs="仿宋"/>
          <w:b/>
          <w:bCs/>
          <w:spacing w:val="-7"/>
          <w:sz w:val="24"/>
          <w:szCs w:val="24"/>
          <w:highlight w:val="none"/>
          <w:lang w:eastAsia="zh-CN"/>
        </w:rPr>
        <w:t>（</w:t>
      </w:r>
      <w:r>
        <w:rPr>
          <w:rFonts w:ascii="仿宋" w:hAnsi="仿宋" w:eastAsia="仿宋" w:cs="仿宋"/>
          <w:b/>
          <w:bCs/>
          <w:spacing w:val="-7"/>
          <w:sz w:val="24"/>
          <w:szCs w:val="24"/>
          <w:highlight w:val="none"/>
        </w:rPr>
        <w:t>三）建筑业。营业收入</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80000</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万元以下或资产总额</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80000</w:t>
      </w:r>
      <w:r>
        <w:rPr>
          <w:rFonts w:ascii="仿宋" w:hAnsi="仿宋" w:eastAsia="仿宋" w:cs="仿宋"/>
          <w:spacing w:val="-7"/>
          <w:sz w:val="24"/>
          <w:szCs w:val="24"/>
          <w:highlight w:val="none"/>
        </w:rPr>
        <w:t xml:space="preserve"> </w:t>
      </w:r>
      <w:r>
        <w:rPr>
          <w:rFonts w:ascii="仿宋" w:hAnsi="仿宋" w:eastAsia="仿宋" w:cs="仿宋"/>
          <w:b/>
          <w:bCs/>
          <w:spacing w:val="-8"/>
          <w:sz w:val="24"/>
          <w:szCs w:val="24"/>
          <w:highlight w:val="none"/>
        </w:rPr>
        <w:t>万元以下的为中小微型企业。</w:t>
      </w:r>
      <w:r>
        <w:rPr>
          <w:rFonts w:ascii="仿宋" w:hAnsi="仿宋" w:eastAsia="仿宋" w:cs="仿宋"/>
          <w:b/>
          <w:bCs/>
          <w:spacing w:val="-1"/>
          <w:sz w:val="24"/>
          <w:szCs w:val="24"/>
          <w:highlight w:val="none"/>
        </w:rPr>
        <w:t>营业收入</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6000</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万元及以上，且资产总额</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5000</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万元及以</w:t>
      </w:r>
      <w:r>
        <w:rPr>
          <w:rFonts w:ascii="仿宋" w:hAnsi="仿宋" w:eastAsia="仿宋" w:cs="仿宋"/>
          <w:b/>
          <w:bCs/>
          <w:spacing w:val="-2"/>
          <w:sz w:val="24"/>
          <w:szCs w:val="24"/>
          <w:highlight w:val="none"/>
        </w:rPr>
        <w:t>上的为中型企业；营业收入300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万元及以上，</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且资产总额</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300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万元及以上的为小型企业；营业收入</w:t>
      </w:r>
      <w:r>
        <w:rPr>
          <w:rFonts w:ascii="仿宋" w:hAnsi="仿宋" w:eastAsia="仿宋" w:cs="仿宋"/>
          <w:spacing w:val="26"/>
          <w:sz w:val="24"/>
          <w:szCs w:val="24"/>
          <w:highlight w:val="none"/>
        </w:rPr>
        <w:t xml:space="preserve"> </w:t>
      </w:r>
      <w:r>
        <w:rPr>
          <w:rFonts w:ascii="仿宋" w:hAnsi="仿宋" w:eastAsia="仿宋" w:cs="仿宋"/>
          <w:b/>
          <w:bCs/>
          <w:spacing w:val="-2"/>
          <w:sz w:val="24"/>
          <w:szCs w:val="24"/>
          <w:highlight w:val="none"/>
        </w:rPr>
        <w:t>300</w:t>
      </w:r>
      <w:r>
        <w:rPr>
          <w:rFonts w:ascii="仿宋" w:hAnsi="仿宋" w:eastAsia="仿宋" w:cs="仿宋"/>
          <w:spacing w:val="20"/>
          <w:sz w:val="24"/>
          <w:szCs w:val="24"/>
          <w:highlight w:val="none"/>
        </w:rPr>
        <w:t xml:space="preserve"> </w:t>
      </w:r>
      <w:r>
        <w:rPr>
          <w:rFonts w:ascii="仿宋" w:hAnsi="仿宋" w:eastAsia="仿宋" w:cs="仿宋"/>
          <w:b/>
          <w:bCs/>
          <w:spacing w:val="-2"/>
          <w:sz w:val="24"/>
          <w:szCs w:val="24"/>
          <w:highlight w:val="none"/>
        </w:rPr>
        <w:t>万元以下或资</w:t>
      </w:r>
      <w:r>
        <w:rPr>
          <w:rFonts w:ascii="仿宋" w:hAnsi="仿宋" w:eastAsia="仿宋" w:cs="仿宋"/>
          <w:b/>
          <w:bCs/>
          <w:spacing w:val="-3"/>
          <w:sz w:val="24"/>
          <w:szCs w:val="24"/>
          <w:highlight w:val="none"/>
        </w:rPr>
        <w:t>产总额</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300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万元以下的为微型企业。</w:t>
      </w:r>
    </w:p>
    <w:p w14:paraId="5711DB1A">
      <w:pPr>
        <w:spacing w:before="1" w:line="286" w:lineRule="auto"/>
        <w:ind w:left="128" w:right="109" w:firstLine="481"/>
        <w:rPr>
          <w:rFonts w:ascii="仿宋" w:hAnsi="仿宋" w:eastAsia="仿宋" w:cs="仿宋"/>
          <w:sz w:val="24"/>
          <w:szCs w:val="24"/>
          <w:highlight w:val="none"/>
        </w:rPr>
      </w:pPr>
      <w:r>
        <w:rPr>
          <w:rFonts w:ascii="仿宋" w:hAnsi="仿宋" w:eastAsia="仿宋" w:cs="仿宋"/>
          <w:b/>
          <w:bCs/>
          <w:spacing w:val="-4"/>
          <w:sz w:val="24"/>
          <w:szCs w:val="24"/>
          <w:highlight w:val="none"/>
        </w:rPr>
        <w:t>（四）批发业。从业人员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200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40000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万元以下的为中小微型企业。其</w:t>
      </w:r>
      <w:r>
        <w:rPr>
          <w:rFonts w:ascii="仿宋" w:hAnsi="仿宋" w:eastAsia="仿宋" w:cs="仿宋"/>
          <w:b/>
          <w:bCs/>
          <w:spacing w:val="-5"/>
          <w:sz w:val="24"/>
          <w:szCs w:val="24"/>
          <w:highlight w:val="none"/>
        </w:rPr>
        <w:t>中，从</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20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5000</w:t>
      </w:r>
      <w:r>
        <w:rPr>
          <w:rFonts w:ascii="仿宋" w:hAnsi="仿宋" w:eastAsia="仿宋" w:cs="仿宋"/>
          <w:spacing w:val="18"/>
          <w:sz w:val="24"/>
          <w:szCs w:val="24"/>
          <w:highlight w:val="none"/>
        </w:rPr>
        <w:t xml:space="preserve"> </w:t>
      </w:r>
      <w:r>
        <w:rPr>
          <w:rFonts w:ascii="仿宋" w:hAnsi="仿宋" w:eastAsia="仿宋" w:cs="仿宋"/>
          <w:b/>
          <w:bCs/>
          <w:spacing w:val="-5"/>
          <w:sz w:val="24"/>
          <w:szCs w:val="24"/>
          <w:highlight w:val="none"/>
        </w:rPr>
        <w:t>万元及以上的为中型企业；从业人员</w:t>
      </w:r>
      <w:r>
        <w:rPr>
          <w:rFonts w:ascii="仿宋" w:hAnsi="仿宋" w:eastAsia="仿宋" w:cs="仿宋"/>
          <w:spacing w:val="15"/>
          <w:sz w:val="24"/>
          <w:szCs w:val="24"/>
          <w:highlight w:val="none"/>
        </w:rPr>
        <w:t xml:space="preserve"> </w:t>
      </w:r>
      <w:r>
        <w:rPr>
          <w:rFonts w:ascii="仿宋" w:hAnsi="仿宋" w:eastAsia="仿宋" w:cs="仿宋"/>
          <w:b/>
          <w:bCs/>
          <w:spacing w:val="-6"/>
          <w:sz w:val="24"/>
          <w:szCs w:val="24"/>
          <w:highlight w:val="none"/>
        </w:rPr>
        <w:t>5</w:t>
      </w:r>
      <w:r>
        <w:rPr>
          <w:rFonts w:ascii="仿宋" w:hAnsi="仿宋" w:eastAsia="仿宋" w:cs="仿宋"/>
          <w:spacing w:val="23"/>
          <w:sz w:val="24"/>
          <w:szCs w:val="24"/>
          <w:highlight w:val="none"/>
        </w:rPr>
        <w:t xml:space="preserve"> </w:t>
      </w:r>
      <w:r>
        <w:rPr>
          <w:rFonts w:ascii="仿宋" w:hAnsi="仿宋" w:eastAsia="仿宋" w:cs="仿宋"/>
          <w:b/>
          <w:bCs/>
          <w:spacing w:val="-6"/>
          <w:sz w:val="24"/>
          <w:szCs w:val="24"/>
          <w:highlight w:val="none"/>
        </w:rPr>
        <w:t>人及</w:t>
      </w:r>
      <w:r>
        <w:rPr>
          <w:rFonts w:ascii="仿宋" w:hAnsi="仿宋" w:eastAsia="仿宋" w:cs="仿宋"/>
          <w:b/>
          <w:bCs/>
          <w:spacing w:val="-3"/>
          <w:sz w:val="24"/>
          <w:szCs w:val="24"/>
          <w:highlight w:val="none"/>
        </w:rPr>
        <w:t>以上，且营业收入</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1000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万元及以上的为小型企业；从业人员</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5</w:t>
      </w:r>
      <w:r>
        <w:rPr>
          <w:rFonts w:ascii="仿宋" w:hAnsi="仿宋" w:eastAsia="仿宋" w:cs="仿宋"/>
          <w:spacing w:val="34"/>
          <w:sz w:val="24"/>
          <w:szCs w:val="24"/>
          <w:highlight w:val="none"/>
        </w:rPr>
        <w:t xml:space="preserve"> </w:t>
      </w:r>
      <w:r>
        <w:rPr>
          <w:rFonts w:ascii="仿宋" w:hAnsi="仿宋" w:eastAsia="仿宋" w:cs="仿宋"/>
          <w:b/>
          <w:bCs/>
          <w:spacing w:val="-3"/>
          <w:sz w:val="24"/>
          <w:szCs w:val="24"/>
          <w:highlight w:val="none"/>
        </w:rPr>
        <w:t>人以下或营业收入</w:t>
      </w:r>
      <w:r>
        <w:rPr>
          <w:rFonts w:ascii="仿宋" w:hAnsi="仿宋" w:eastAsia="仿宋" w:cs="仿宋"/>
          <w:spacing w:val="28"/>
          <w:sz w:val="24"/>
          <w:szCs w:val="24"/>
          <w:highlight w:val="none"/>
        </w:rPr>
        <w:t xml:space="preserve"> </w:t>
      </w:r>
      <w:r>
        <w:rPr>
          <w:rFonts w:ascii="仿宋" w:hAnsi="仿宋" w:eastAsia="仿宋" w:cs="仿宋"/>
          <w:b/>
          <w:bCs/>
          <w:spacing w:val="-3"/>
          <w:sz w:val="24"/>
          <w:szCs w:val="24"/>
          <w:highlight w:val="none"/>
        </w:rPr>
        <w:t>1000</w:t>
      </w:r>
      <w:r>
        <w:rPr>
          <w:rFonts w:ascii="仿宋" w:hAnsi="仿宋" w:eastAsia="仿宋" w:cs="仿宋"/>
          <w:spacing w:val="18"/>
          <w:sz w:val="24"/>
          <w:szCs w:val="24"/>
          <w:highlight w:val="none"/>
        </w:rPr>
        <w:t xml:space="preserve"> </w:t>
      </w:r>
      <w:r>
        <w:rPr>
          <w:rFonts w:ascii="仿宋" w:hAnsi="仿宋" w:eastAsia="仿宋" w:cs="仿宋"/>
          <w:b/>
          <w:bCs/>
          <w:spacing w:val="-3"/>
          <w:sz w:val="24"/>
          <w:szCs w:val="24"/>
          <w:highlight w:val="none"/>
        </w:rPr>
        <w:t>万</w:t>
      </w:r>
      <w:r>
        <w:rPr>
          <w:rFonts w:ascii="仿宋" w:hAnsi="仿宋" w:eastAsia="仿宋" w:cs="仿宋"/>
          <w:b/>
          <w:bCs/>
          <w:spacing w:val="-4"/>
          <w:sz w:val="24"/>
          <w:szCs w:val="24"/>
          <w:highlight w:val="none"/>
        </w:rPr>
        <w:t>元以下的为微型企业。</w:t>
      </w:r>
    </w:p>
    <w:p w14:paraId="74162467">
      <w:pPr>
        <w:spacing w:before="111" w:line="286" w:lineRule="auto"/>
        <w:ind w:left="149" w:right="109" w:firstLine="460"/>
        <w:rPr>
          <w:rFonts w:ascii="仿宋" w:hAnsi="仿宋" w:eastAsia="仿宋" w:cs="仿宋"/>
          <w:sz w:val="24"/>
          <w:szCs w:val="24"/>
          <w:highlight w:val="none"/>
        </w:rPr>
      </w:pPr>
      <w:r>
        <w:rPr>
          <w:rFonts w:ascii="仿宋" w:hAnsi="仿宋" w:eastAsia="仿宋" w:cs="仿宋"/>
          <w:b/>
          <w:bCs/>
          <w:spacing w:val="-4"/>
          <w:sz w:val="24"/>
          <w:szCs w:val="24"/>
          <w:highlight w:val="none"/>
        </w:rPr>
        <w:t>（五）零售业。从业人员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20000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万元以下的为中小微型企业。其</w:t>
      </w:r>
      <w:r>
        <w:rPr>
          <w:rFonts w:ascii="仿宋" w:hAnsi="仿宋" w:eastAsia="仿宋" w:cs="仿宋"/>
          <w:b/>
          <w:bCs/>
          <w:spacing w:val="-6"/>
          <w:sz w:val="24"/>
          <w:szCs w:val="24"/>
          <w:highlight w:val="none"/>
        </w:rPr>
        <w:t>中，从</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业人员</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50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人及以上，且营业收入</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500</w:t>
      </w:r>
      <w:r>
        <w:rPr>
          <w:rFonts w:ascii="仿宋" w:hAnsi="仿宋" w:eastAsia="仿宋" w:cs="仿宋"/>
          <w:spacing w:val="29"/>
          <w:sz w:val="24"/>
          <w:szCs w:val="24"/>
          <w:highlight w:val="none"/>
        </w:rPr>
        <w:t xml:space="preserve"> </w:t>
      </w:r>
      <w:r>
        <w:rPr>
          <w:rFonts w:ascii="仿宋" w:hAnsi="仿宋" w:eastAsia="仿宋" w:cs="仿宋"/>
          <w:b/>
          <w:bCs/>
          <w:spacing w:val="-6"/>
          <w:sz w:val="24"/>
          <w:szCs w:val="24"/>
          <w:highlight w:val="none"/>
        </w:rPr>
        <w:t>万元及以上的为中型企业；从业人员</w:t>
      </w:r>
      <w:r>
        <w:rPr>
          <w:rFonts w:ascii="仿宋" w:hAnsi="仿宋" w:eastAsia="仿宋" w:cs="仿宋"/>
          <w:spacing w:val="28"/>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20"/>
          <w:sz w:val="24"/>
          <w:szCs w:val="24"/>
          <w:highlight w:val="none"/>
        </w:rPr>
        <w:t xml:space="preserve"> </w:t>
      </w:r>
      <w:r>
        <w:rPr>
          <w:rFonts w:ascii="仿宋" w:hAnsi="仿宋" w:eastAsia="仿宋" w:cs="仿宋"/>
          <w:b/>
          <w:bCs/>
          <w:spacing w:val="-6"/>
          <w:sz w:val="24"/>
          <w:szCs w:val="24"/>
          <w:highlight w:val="none"/>
        </w:rPr>
        <w:t>人及以上，且营业收入</w:t>
      </w:r>
      <w:r>
        <w:rPr>
          <w:rFonts w:ascii="仿宋" w:hAnsi="仿宋" w:eastAsia="仿宋" w:cs="仿宋"/>
          <w:spacing w:val="29"/>
          <w:sz w:val="24"/>
          <w:szCs w:val="24"/>
          <w:highlight w:val="none"/>
        </w:rPr>
        <w:t xml:space="preserve"> </w:t>
      </w:r>
      <w:r>
        <w:rPr>
          <w:rFonts w:ascii="仿宋" w:hAnsi="仿宋" w:eastAsia="仿宋" w:cs="仿宋"/>
          <w:b/>
          <w:bCs/>
          <w:spacing w:val="-6"/>
          <w:sz w:val="24"/>
          <w:szCs w:val="24"/>
          <w:highlight w:val="none"/>
        </w:rPr>
        <w:t>100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万元及以上的为小型企业；从业人员</w:t>
      </w:r>
      <w:r>
        <w:rPr>
          <w:rFonts w:ascii="仿宋" w:hAnsi="仿宋" w:eastAsia="仿宋" w:cs="仿宋"/>
          <w:spacing w:val="28"/>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人以下或营业收入</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b/>
          <w:bCs/>
          <w:spacing w:val="-7"/>
          <w:sz w:val="24"/>
          <w:szCs w:val="24"/>
          <w:highlight w:val="none"/>
        </w:rPr>
        <w:t>0</w:t>
      </w:r>
      <w:r>
        <w:rPr>
          <w:rFonts w:ascii="仿宋" w:hAnsi="仿宋" w:eastAsia="仿宋" w:cs="仿宋"/>
          <w:spacing w:val="20"/>
          <w:sz w:val="24"/>
          <w:szCs w:val="24"/>
          <w:highlight w:val="none"/>
        </w:rPr>
        <w:t xml:space="preserve"> </w:t>
      </w:r>
      <w:r>
        <w:rPr>
          <w:rFonts w:ascii="仿宋" w:hAnsi="仿宋" w:eastAsia="仿宋" w:cs="仿宋"/>
          <w:b/>
          <w:bCs/>
          <w:spacing w:val="-7"/>
          <w:sz w:val="24"/>
          <w:szCs w:val="24"/>
          <w:highlight w:val="none"/>
        </w:rPr>
        <w:t>万元以下的为微型企业。</w:t>
      </w:r>
    </w:p>
    <w:p w14:paraId="3FC3EFEB">
      <w:pPr>
        <w:spacing w:before="113" w:line="286" w:lineRule="auto"/>
        <w:ind w:left="120" w:right="109" w:firstLine="489"/>
        <w:rPr>
          <w:rFonts w:ascii="仿宋" w:hAnsi="仿宋" w:eastAsia="仿宋" w:cs="仿宋"/>
          <w:sz w:val="24"/>
          <w:szCs w:val="24"/>
          <w:highlight w:val="none"/>
        </w:rPr>
      </w:pPr>
      <w:r>
        <w:rPr>
          <w:rFonts w:ascii="仿宋" w:hAnsi="仿宋" w:eastAsia="仿宋" w:cs="仿宋"/>
          <w:b/>
          <w:bCs/>
          <w:spacing w:val="-2"/>
          <w:sz w:val="24"/>
          <w:szCs w:val="24"/>
          <w:highlight w:val="none"/>
        </w:rPr>
        <w:t>（六）交通运输业。从业人员</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1000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人以下或营业收入</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30000</w:t>
      </w:r>
      <w:r>
        <w:rPr>
          <w:rFonts w:ascii="仿宋" w:hAnsi="仿宋" w:eastAsia="仿宋" w:cs="仿宋"/>
          <w:spacing w:val="34"/>
          <w:sz w:val="24"/>
          <w:szCs w:val="24"/>
          <w:highlight w:val="none"/>
        </w:rPr>
        <w:t xml:space="preserve"> </w:t>
      </w:r>
      <w:r>
        <w:rPr>
          <w:rFonts w:ascii="仿宋" w:hAnsi="仿宋" w:eastAsia="仿宋" w:cs="仿宋"/>
          <w:b/>
          <w:bCs/>
          <w:spacing w:val="-2"/>
          <w:sz w:val="24"/>
          <w:szCs w:val="24"/>
          <w:highlight w:val="none"/>
        </w:rPr>
        <w:t>万元以下的为中小微型企</w:t>
      </w:r>
      <w:r>
        <w:rPr>
          <w:rFonts w:ascii="仿宋" w:hAnsi="仿宋" w:eastAsia="仿宋" w:cs="仿宋"/>
          <w:b/>
          <w:bCs/>
          <w:spacing w:val="-5"/>
          <w:sz w:val="24"/>
          <w:szCs w:val="24"/>
          <w:highlight w:val="none"/>
        </w:rPr>
        <w:t>业。其</w:t>
      </w:r>
      <w:r>
        <w:rPr>
          <w:rFonts w:ascii="仿宋" w:hAnsi="仿宋" w:eastAsia="仿宋" w:cs="仿宋"/>
          <w:spacing w:val="63"/>
          <w:sz w:val="24"/>
          <w:szCs w:val="24"/>
          <w:highlight w:val="none"/>
        </w:rPr>
        <w:t xml:space="preserve"> </w:t>
      </w:r>
      <w:r>
        <w:rPr>
          <w:rFonts w:ascii="仿宋" w:hAnsi="仿宋" w:eastAsia="仿宋" w:cs="仿宋"/>
          <w:b/>
          <w:bCs/>
          <w:spacing w:val="-5"/>
          <w:sz w:val="24"/>
          <w:szCs w:val="24"/>
          <w:highlight w:val="none"/>
        </w:rPr>
        <w:t>中，从业人员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300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3000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万元及以上的为中型企业；从业人员</w:t>
      </w:r>
      <w:r>
        <w:rPr>
          <w:rFonts w:ascii="仿宋" w:hAnsi="仿宋" w:eastAsia="仿宋" w:cs="仿宋"/>
          <w:b/>
          <w:bCs/>
          <w:spacing w:val="-2"/>
          <w:sz w:val="24"/>
          <w:szCs w:val="24"/>
          <w:highlight w:val="none"/>
        </w:rPr>
        <w:t>20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人及以上，</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且营业收入</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200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万元及以上的为小型企业；从业人员</w:t>
      </w:r>
      <w:r>
        <w:rPr>
          <w:rFonts w:ascii="仿宋" w:hAnsi="仿宋" w:eastAsia="仿宋" w:cs="仿宋"/>
          <w:spacing w:val="26"/>
          <w:sz w:val="24"/>
          <w:szCs w:val="24"/>
          <w:highlight w:val="none"/>
        </w:rPr>
        <w:t xml:space="preserve"> </w:t>
      </w:r>
      <w:r>
        <w:rPr>
          <w:rFonts w:ascii="仿宋" w:hAnsi="仿宋" w:eastAsia="仿宋" w:cs="仿宋"/>
          <w:b/>
          <w:bCs/>
          <w:spacing w:val="-2"/>
          <w:sz w:val="24"/>
          <w:szCs w:val="24"/>
          <w:highlight w:val="none"/>
        </w:rPr>
        <w:t>20</w:t>
      </w:r>
      <w:r>
        <w:rPr>
          <w:rFonts w:ascii="仿宋" w:hAnsi="仿宋" w:eastAsia="仿宋" w:cs="仿宋"/>
          <w:spacing w:val="20"/>
          <w:sz w:val="24"/>
          <w:szCs w:val="24"/>
          <w:highlight w:val="none"/>
        </w:rPr>
        <w:t xml:space="preserve"> </w:t>
      </w:r>
      <w:r>
        <w:rPr>
          <w:rFonts w:ascii="仿宋" w:hAnsi="仿宋" w:eastAsia="仿宋" w:cs="仿宋"/>
          <w:b/>
          <w:bCs/>
          <w:spacing w:val="-2"/>
          <w:sz w:val="24"/>
          <w:szCs w:val="24"/>
          <w:highlight w:val="none"/>
        </w:rPr>
        <w:t>人以下或营业收入</w:t>
      </w:r>
      <w:r>
        <w:rPr>
          <w:rFonts w:ascii="仿宋" w:hAnsi="仿宋" w:eastAsia="仿宋" w:cs="仿宋"/>
          <w:b/>
          <w:bCs/>
          <w:spacing w:val="-3"/>
          <w:sz w:val="24"/>
          <w:szCs w:val="24"/>
          <w:highlight w:val="none"/>
        </w:rPr>
        <w:t>200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万元以下的为微型企业。</w:t>
      </w:r>
    </w:p>
    <w:p w14:paraId="1FEA6465">
      <w:pPr>
        <w:spacing w:before="113" w:line="286" w:lineRule="auto"/>
        <w:ind w:left="127" w:right="109" w:firstLine="482"/>
        <w:rPr>
          <w:rFonts w:ascii="仿宋" w:hAnsi="仿宋" w:eastAsia="仿宋" w:cs="仿宋"/>
          <w:sz w:val="24"/>
          <w:szCs w:val="24"/>
          <w:highlight w:val="none"/>
        </w:rPr>
      </w:pPr>
      <w:r>
        <w:rPr>
          <w:rFonts w:ascii="仿宋" w:hAnsi="仿宋" w:eastAsia="仿宋" w:cs="仿宋"/>
          <w:b/>
          <w:bCs/>
          <w:spacing w:val="-4"/>
          <w:sz w:val="24"/>
          <w:szCs w:val="24"/>
          <w:highlight w:val="none"/>
        </w:rPr>
        <w:t>（七）仓储业。从业人员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200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万元以下的为中小微型企业。其</w:t>
      </w:r>
      <w:r>
        <w:rPr>
          <w:rFonts w:ascii="仿宋" w:hAnsi="仿宋" w:eastAsia="仿宋" w:cs="仿宋"/>
          <w:b/>
          <w:bCs/>
          <w:spacing w:val="-5"/>
          <w:sz w:val="24"/>
          <w:szCs w:val="24"/>
          <w:highlight w:val="none"/>
        </w:rPr>
        <w:t>中，从</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人及以上，且营</w:t>
      </w:r>
      <w:r>
        <w:rPr>
          <w:rFonts w:ascii="仿宋" w:hAnsi="仿宋" w:eastAsia="仿宋" w:cs="仿宋"/>
          <w:b/>
          <w:bCs/>
          <w:spacing w:val="-6"/>
          <w:sz w:val="24"/>
          <w:szCs w:val="24"/>
          <w:highlight w:val="none"/>
        </w:rPr>
        <w:t>业收入</w:t>
      </w:r>
      <w:r>
        <w:rPr>
          <w:rFonts w:ascii="仿宋" w:hAnsi="仿宋" w:eastAsia="仿宋" w:cs="仿宋"/>
          <w:spacing w:val="26"/>
          <w:sz w:val="24"/>
          <w:szCs w:val="24"/>
          <w:highlight w:val="none"/>
        </w:rPr>
        <w:t xml:space="preserve"> </w:t>
      </w:r>
      <w:r>
        <w:rPr>
          <w:rFonts w:ascii="仿宋" w:hAnsi="仿宋" w:eastAsia="仿宋" w:cs="仿宋"/>
          <w:b/>
          <w:bCs/>
          <w:spacing w:val="-6"/>
          <w:sz w:val="24"/>
          <w:szCs w:val="24"/>
          <w:highlight w:val="none"/>
        </w:rPr>
        <w:t>1000</w:t>
      </w:r>
      <w:r>
        <w:rPr>
          <w:rFonts w:ascii="仿宋" w:hAnsi="仿宋" w:eastAsia="仿宋" w:cs="仿宋"/>
          <w:spacing w:val="18"/>
          <w:sz w:val="24"/>
          <w:szCs w:val="24"/>
          <w:highlight w:val="none"/>
        </w:rPr>
        <w:t xml:space="preserve"> </w:t>
      </w:r>
      <w:r>
        <w:rPr>
          <w:rFonts w:ascii="仿宋" w:hAnsi="仿宋" w:eastAsia="仿宋" w:cs="仿宋"/>
          <w:b/>
          <w:bCs/>
          <w:spacing w:val="-6"/>
          <w:sz w:val="24"/>
          <w:szCs w:val="24"/>
          <w:highlight w:val="none"/>
        </w:rPr>
        <w:t>万元及以上的为中型企业；从业人员</w:t>
      </w:r>
      <w:r>
        <w:rPr>
          <w:rFonts w:ascii="仿宋" w:hAnsi="仿宋" w:eastAsia="仿宋" w:cs="仿宋"/>
          <w:spacing w:val="13"/>
          <w:sz w:val="24"/>
          <w:szCs w:val="24"/>
          <w:highlight w:val="none"/>
        </w:rPr>
        <w:t xml:space="preserve"> </w:t>
      </w:r>
      <w:r>
        <w:rPr>
          <w:rFonts w:ascii="仿宋" w:hAnsi="仿宋" w:eastAsia="仿宋" w:cs="仿宋"/>
          <w:b/>
          <w:bCs/>
          <w:spacing w:val="-6"/>
          <w:sz w:val="24"/>
          <w:szCs w:val="24"/>
          <w:highlight w:val="none"/>
        </w:rPr>
        <w:t>20</w:t>
      </w:r>
      <w:r>
        <w:rPr>
          <w:rFonts w:ascii="仿宋" w:hAnsi="仿宋" w:eastAsia="仿宋" w:cs="仿宋"/>
          <w:spacing w:val="20"/>
          <w:sz w:val="24"/>
          <w:szCs w:val="24"/>
          <w:highlight w:val="none"/>
        </w:rPr>
        <w:t xml:space="preserve"> </w:t>
      </w:r>
      <w:r>
        <w:rPr>
          <w:rFonts w:ascii="仿宋" w:hAnsi="仿宋" w:eastAsia="仿宋" w:cs="仿宋"/>
          <w:b/>
          <w:bCs/>
          <w:spacing w:val="-6"/>
          <w:sz w:val="24"/>
          <w:szCs w:val="24"/>
          <w:highlight w:val="none"/>
        </w:rPr>
        <w:t>人</w:t>
      </w:r>
      <w:r>
        <w:rPr>
          <w:rFonts w:ascii="仿宋" w:hAnsi="仿宋" w:eastAsia="仿宋" w:cs="仿宋"/>
          <w:b/>
          <w:bCs/>
          <w:spacing w:val="-5"/>
          <w:sz w:val="24"/>
          <w:szCs w:val="24"/>
          <w:highlight w:val="none"/>
        </w:rPr>
        <w:t>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万元及以上的为小型企业；从业人员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20</w:t>
      </w:r>
      <w:r>
        <w:rPr>
          <w:rFonts w:ascii="仿宋" w:hAnsi="仿宋" w:eastAsia="仿宋" w:cs="仿宋"/>
          <w:spacing w:val="27"/>
          <w:sz w:val="24"/>
          <w:szCs w:val="24"/>
          <w:highlight w:val="none"/>
        </w:rPr>
        <w:t xml:space="preserve"> </w:t>
      </w:r>
      <w:r>
        <w:rPr>
          <w:rFonts w:ascii="仿宋" w:hAnsi="仿宋" w:eastAsia="仿宋" w:cs="仿宋"/>
          <w:b/>
          <w:bCs/>
          <w:spacing w:val="-5"/>
          <w:sz w:val="24"/>
          <w:szCs w:val="24"/>
          <w:highlight w:val="none"/>
        </w:rPr>
        <w:t>人以下或营业收入</w:t>
      </w:r>
      <w:r>
        <w:rPr>
          <w:rFonts w:ascii="仿宋" w:hAnsi="仿宋" w:eastAsia="仿宋" w:cs="仿宋"/>
          <w:spacing w:val="29"/>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w:t>
      </w:r>
      <w:r>
        <w:rPr>
          <w:rFonts w:ascii="仿宋" w:hAnsi="仿宋" w:eastAsia="仿宋" w:cs="仿宋"/>
          <w:b/>
          <w:bCs/>
          <w:spacing w:val="-4"/>
          <w:sz w:val="24"/>
          <w:szCs w:val="24"/>
          <w:highlight w:val="none"/>
        </w:rPr>
        <w:t>元以下的为微型企业。</w:t>
      </w:r>
    </w:p>
    <w:p w14:paraId="3FC12412">
      <w:pPr>
        <w:spacing w:before="111" w:line="286" w:lineRule="auto"/>
        <w:ind w:left="126" w:right="59" w:firstLine="483"/>
        <w:rPr>
          <w:rFonts w:ascii="仿宋" w:hAnsi="仿宋" w:eastAsia="仿宋" w:cs="仿宋"/>
          <w:sz w:val="24"/>
          <w:szCs w:val="24"/>
          <w:highlight w:val="none"/>
        </w:rPr>
      </w:pPr>
      <w:r>
        <w:rPr>
          <w:rFonts w:ascii="仿宋" w:hAnsi="仿宋" w:eastAsia="仿宋" w:cs="仿宋"/>
          <w:b/>
          <w:bCs/>
          <w:spacing w:val="-4"/>
          <w:sz w:val="24"/>
          <w:szCs w:val="24"/>
          <w:highlight w:val="none"/>
        </w:rPr>
        <w:t>（八）</w:t>
      </w:r>
      <w:r>
        <w:rPr>
          <w:rFonts w:ascii="仿宋" w:hAnsi="仿宋" w:eastAsia="仿宋" w:cs="仿宋"/>
          <w:spacing w:val="36"/>
          <w:sz w:val="24"/>
          <w:szCs w:val="24"/>
          <w:highlight w:val="none"/>
        </w:rPr>
        <w:t xml:space="preserve"> </w:t>
      </w:r>
      <w:r>
        <w:rPr>
          <w:rFonts w:ascii="仿宋" w:hAnsi="仿宋" w:eastAsia="仿宋" w:cs="仿宋"/>
          <w:b/>
          <w:bCs/>
          <w:spacing w:val="-4"/>
          <w:sz w:val="24"/>
          <w:szCs w:val="24"/>
          <w:highlight w:val="none"/>
        </w:rPr>
        <w:t>邮政业。从业人员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30000</w:t>
      </w:r>
      <w:r>
        <w:rPr>
          <w:rFonts w:ascii="仿宋" w:hAnsi="仿宋" w:eastAsia="仿宋" w:cs="仿宋"/>
          <w:spacing w:val="18"/>
          <w:sz w:val="24"/>
          <w:szCs w:val="24"/>
          <w:highlight w:val="none"/>
        </w:rPr>
        <w:t xml:space="preserve"> </w:t>
      </w:r>
      <w:r>
        <w:rPr>
          <w:rFonts w:ascii="仿宋" w:hAnsi="仿宋" w:eastAsia="仿宋" w:cs="仿宋"/>
          <w:b/>
          <w:bCs/>
          <w:spacing w:val="-4"/>
          <w:sz w:val="24"/>
          <w:szCs w:val="24"/>
          <w:highlight w:val="none"/>
        </w:rPr>
        <w:t>万元以下的为中小微型企</w:t>
      </w:r>
      <w:r>
        <w:rPr>
          <w:rFonts w:ascii="仿宋" w:hAnsi="仿宋" w:eastAsia="仿宋" w:cs="仿宋"/>
          <w:b/>
          <w:bCs/>
          <w:spacing w:val="-5"/>
          <w:sz w:val="24"/>
          <w:szCs w:val="24"/>
          <w:highlight w:val="none"/>
        </w:rPr>
        <w:t>业。</w:t>
      </w:r>
      <w:r>
        <w:rPr>
          <w:rFonts w:ascii="仿宋" w:hAnsi="仿宋" w:eastAsia="仿宋" w:cs="仿宋"/>
          <w:b/>
          <w:bCs/>
          <w:spacing w:val="-7"/>
          <w:sz w:val="24"/>
          <w:szCs w:val="24"/>
          <w:highlight w:val="none"/>
        </w:rPr>
        <w:t>其中，从业人员</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300</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人及以上，且营业收入</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2000</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万元及以上的为中型企业；从业人员</w:t>
      </w:r>
      <w:r>
        <w:rPr>
          <w:rFonts w:ascii="仿宋" w:hAnsi="仿宋" w:eastAsia="仿宋" w:cs="仿宋"/>
          <w:spacing w:val="14"/>
          <w:sz w:val="24"/>
          <w:szCs w:val="24"/>
          <w:highlight w:val="none"/>
        </w:rPr>
        <w:t xml:space="preserve"> </w:t>
      </w:r>
      <w:r>
        <w:rPr>
          <w:rFonts w:ascii="仿宋" w:hAnsi="仿宋" w:eastAsia="仿宋" w:cs="仿宋"/>
          <w:b/>
          <w:bCs/>
          <w:spacing w:val="-7"/>
          <w:sz w:val="24"/>
          <w:szCs w:val="24"/>
          <w:highlight w:val="none"/>
        </w:rPr>
        <w:t>20</w:t>
      </w:r>
      <w:r>
        <w:rPr>
          <w:rFonts w:ascii="仿宋" w:hAnsi="仿宋" w:eastAsia="仿宋" w:cs="仿宋"/>
          <w:spacing w:val="19"/>
          <w:sz w:val="24"/>
          <w:szCs w:val="24"/>
          <w:highlight w:val="none"/>
        </w:rPr>
        <w:t xml:space="preserve"> </w:t>
      </w:r>
      <w:r>
        <w:rPr>
          <w:rFonts w:ascii="仿宋" w:hAnsi="仿宋" w:eastAsia="仿宋" w:cs="仿宋"/>
          <w:b/>
          <w:bCs/>
          <w:spacing w:val="-7"/>
          <w:sz w:val="24"/>
          <w:szCs w:val="24"/>
          <w:highlight w:val="none"/>
        </w:rPr>
        <w:t>人</w:t>
      </w:r>
      <w:r>
        <w:rPr>
          <w:rFonts w:ascii="仿宋" w:hAnsi="仿宋" w:eastAsia="仿宋" w:cs="仿宋"/>
          <w:b/>
          <w:bCs/>
          <w:spacing w:val="-5"/>
          <w:sz w:val="24"/>
          <w:szCs w:val="24"/>
          <w:highlight w:val="none"/>
        </w:rPr>
        <w:t>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万元及以上的为小型企业；从业人员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20</w:t>
      </w:r>
      <w:r>
        <w:rPr>
          <w:rFonts w:ascii="仿宋" w:hAnsi="仿宋" w:eastAsia="仿宋" w:cs="仿宋"/>
          <w:spacing w:val="28"/>
          <w:sz w:val="24"/>
          <w:szCs w:val="24"/>
          <w:highlight w:val="none"/>
        </w:rPr>
        <w:t xml:space="preserve"> </w:t>
      </w:r>
      <w:r>
        <w:rPr>
          <w:rFonts w:ascii="仿宋" w:hAnsi="仿宋" w:eastAsia="仿宋" w:cs="仿宋"/>
          <w:b/>
          <w:bCs/>
          <w:spacing w:val="-5"/>
          <w:sz w:val="24"/>
          <w:szCs w:val="24"/>
          <w:highlight w:val="none"/>
        </w:rPr>
        <w:t>人以下或营业收入</w:t>
      </w:r>
      <w:r>
        <w:rPr>
          <w:rFonts w:ascii="仿宋" w:hAnsi="仿宋" w:eastAsia="仿宋" w:cs="仿宋"/>
          <w:spacing w:val="29"/>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w:t>
      </w:r>
      <w:r>
        <w:rPr>
          <w:rFonts w:ascii="仿宋" w:hAnsi="仿宋" w:eastAsia="仿宋" w:cs="仿宋"/>
          <w:b/>
          <w:bCs/>
          <w:spacing w:val="-4"/>
          <w:sz w:val="24"/>
          <w:szCs w:val="24"/>
          <w:highlight w:val="none"/>
        </w:rPr>
        <w:t>元以下的为微型企业。</w:t>
      </w:r>
    </w:p>
    <w:p w14:paraId="7D96CEAA">
      <w:pPr>
        <w:spacing w:before="114" w:line="286" w:lineRule="auto"/>
        <w:ind w:left="127" w:right="109" w:firstLine="482"/>
        <w:rPr>
          <w:rFonts w:ascii="仿宋" w:hAnsi="仿宋" w:eastAsia="仿宋" w:cs="仿宋"/>
          <w:sz w:val="24"/>
          <w:szCs w:val="24"/>
          <w:highlight w:val="none"/>
        </w:rPr>
      </w:pPr>
      <w:r>
        <w:rPr>
          <w:rFonts w:ascii="仿宋" w:hAnsi="仿宋" w:eastAsia="仿宋" w:cs="仿宋"/>
          <w:b/>
          <w:bCs/>
          <w:spacing w:val="-4"/>
          <w:sz w:val="24"/>
          <w:szCs w:val="24"/>
          <w:highlight w:val="none"/>
        </w:rPr>
        <w:t>（九）住宿业。从业人员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1000</w:t>
      </w:r>
      <w:r>
        <w:rPr>
          <w:rFonts w:ascii="仿宋" w:hAnsi="仿宋" w:eastAsia="仿宋" w:cs="仿宋"/>
          <w:b/>
          <w:bCs/>
          <w:spacing w:val="-5"/>
          <w:sz w:val="24"/>
          <w:szCs w:val="24"/>
          <w:highlight w:val="none"/>
        </w:rPr>
        <w:t>0</w:t>
      </w:r>
      <w:r>
        <w:rPr>
          <w:rFonts w:ascii="仿宋" w:hAnsi="仿宋" w:eastAsia="仿宋" w:cs="仿宋"/>
          <w:spacing w:val="17"/>
          <w:sz w:val="24"/>
          <w:szCs w:val="24"/>
          <w:highlight w:val="none"/>
        </w:rPr>
        <w:t xml:space="preserve"> </w:t>
      </w:r>
      <w:r>
        <w:rPr>
          <w:rFonts w:ascii="仿宋" w:hAnsi="仿宋" w:eastAsia="仿宋" w:cs="仿宋"/>
          <w:b/>
          <w:bCs/>
          <w:spacing w:val="-5"/>
          <w:sz w:val="24"/>
          <w:szCs w:val="24"/>
          <w:highlight w:val="none"/>
        </w:rPr>
        <w:t>万元以下的为中小微型企业。其中，从</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人及以上，且营</w:t>
      </w:r>
      <w:r>
        <w:rPr>
          <w:rFonts w:ascii="仿宋" w:hAnsi="仿宋" w:eastAsia="仿宋" w:cs="仿宋"/>
          <w:b/>
          <w:bCs/>
          <w:spacing w:val="-6"/>
          <w:sz w:val="24"/>
          <w:szCs w:val="24"/>
          <w:highlight w:val="none"/>
        </w:rPr>
        <w:t>业收入</w:t>
      </w:r>
      <w:r>
        <w:rPr>
          <w:rFonts w:ascii="仿宋" w:hAnsi="仿宋" w:eastAsia="仿宋" w:cs="仿宋"/>
          <w:spacing w:val="11"/>
          <w:sz w:val="24"/>
          <w:szCs w:val="24"/>
          <w:highlight w:val="none"/>
        </w:rPr>
        <w:t xml:space="preserve"> </w:t>
      </w:r>
      <w:r>
        <w:rPr>
          <w:rFonts w:ascii="仿宋" w:hAnsi="仿宋" w:eastAsia="仿宋" w:cs="仿宋"/>
          <w:b/>
          <w:bCs/>
          <w:spacing w:val="-6"/>
          <w:sz w:val="24"/>
          <w:szCs w:val="24"/>
          <w:highlight w:val="none"/>
        </w:rPr>
        <w:t>2000</w:t>
      </w:r>
      <w:r>
        <w:rPr>
          <w:rFonts w:ascii="仿宋" w:hAnsi="仿宋" w:eastAsia="仿宋" w:cs="仿宋"/>
          <w:spacing w:val="18"/>
          <w:sz w:val="24"/>
          <w:szCs w:val="24"/>
          <w:highlight w:val="none"/>
        </w:rPr>
        <w:t xml:space="preserve"> </w:t>
      </w:r>
      <w:r>
        <w:rPr>
          <w:rFonts w:ascii="仿宋" w:hAnsi="仿宋" w:eastAsia="仿宋" w:cs="仿宋"/>
          <w:b/>
          <w:bCs/>
          <w:spacing w:val="-6"/>
          <w:sz w:val="24"/>
          <w:szCs w:val="24"/>
          <w:highlight w:val="none"/>
        </w:rPr>
        <w:t>万元及以上的为中型企业；从业人员</w:t>
      </w:r>
      <w:r>
        <w:rPr>
          <w:rFonts w:ascii="仿宋" w:hAnsi="仿宋" w:eastAsia="仿宋" w:cs="仿宋"/>
          <w:spacing w:val="28"/>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20"/>
          <w:sz w:val="24"/>
          <w:szCs w:val="24"/>
          <w:highlight w:val="none"/>
        </w:rPr>
        <w:t xml:space="preserve"> </w:t>
      </w:r>
      <w:r>
        <w:rPr>
          <w:rFonts w:ascii="仿宋" w:hAnsi="仿宋" w:eastAsia="仿宋" w:cs="仿宋"/>
          <w:b/>
          <w:bCs/>
          <w:spacing w:val="-6"/>
          <w:sz w:val="24"/>
          <w:szCs w:val="24"/>
          <w:highlight w:val="none"/>
        </w:rPr>
        <w:t>人</w:t>
      </w:r>
      <w:r>
        <w:rPr>
          <w:rFonts w:ascii="仿宋" w:hAnsi="仿宋" w:eastAsia="仿宋" w:cs="仿宋"/>
          <w:b/>
          <w:bCs/>
          <w:spacing w:val="-5"/>
          <w:sz w:val="24"/>
          <w:szCs w:val="24"/>
          <w:highlight w:val="none"/>
        </w:rPr>
        <w:t>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万元及以上的为</w:t>
      </w:r>
      <w:r>
        <w:rPr>
          <w:rFonts w:ascii="仿宋" w:hAnsi="仿宋" w:eastAsia="仿宋" w:cs="仿宋"/>
          <w:b/>
          <w:bCs/>
          <w:spacing w:val="-6"/>
          <w:sz w:val="24"/>
          <w:szCs w:val="24"/>
          <w:highlight w:val="none"/>
        </w:rPr>
        <w:t>小型企业；从业人员</w:t>
      </w:r>
      <w:r>
        <w:rPr>
          <w:rFonts w:ascii="仿宋" w:hAnsi="仿宋" w:eastAsia="仿宋" w:cs="仿宋"/>
          <w:spacing w:val="29"/>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人以下或营业收入</w:t>
      </w:r>
      <w:r>
        <w:rPr>
          <w:rFonts w:ascii="仿宋" w:hAnsi="仿宋" w:eastAsia="仿宋" w:cs="仿宋"/>
          <w:spacing w:val="28"/>
          <w:sz w:val="24"/>
          <w:szCs w:val="24"/>
          <w:highlight w:val="none"/>
        </w:rPr>
        <w:t xml:space="preserve"> </w:t>
      </w:r>
      <w:r>
        <w:rPr>
          <w:rFonts w:ascii="仿宋" w:hAnsi="仿宋" w:eastAsia="仿宋" w:cs="仿宋"/>
          <w:b/>
          <w:bCs/>
          <w:spacing w:val="-6"/>
          <w:sz w:val="24"/>
          <w:szCs w:val="24"/>
          <w:highlight w:val="none"/>
        </w:rPr>
        <w:t>100</w:t>
      </w:r>
      <w:r>
        <w:rPr>
          <w:rFonts w:ascii="仿宋" w:hAnsi="仿宋" w:eastAsia="仿宋" w:cs="仿宋"/>
          <w:spacing w:val="18"/>
          <w:sz w:val="24"/>
          <w:szCs w:val="24"/>
          <w:highlight w:val="none"/>
        </w:rPr>
        <w:t xml:space="preserve"> </w:t>
      </w:r>
      <w:r>
        <w:rPr>
          <w:rFonts w:ascii="仿宋" w:hAnsi="仿宋" w:eastAsia="仿宋" w:cs="仿宋"/>
          <w:b/>
          <w:bCs/>
          <w:spacing w:val="-6"/>
          <w:sz w:val="24"/>
          <w:szCs w:val="24"/>
          <w:highlight w:val="none"/>
        </w:rPr>
        <w:t>万</w:t>
      </w:r>
      <w:r>
        <w:rPr>
          <w:rFonts w:ascii="仿宋" w:hAnsi="仿宋" w:eastAsia="仿宋" w:cs="仿宋"/>
          <w:b/>
          <w:bCs/>
          <w:spacing w:val="-4"/>
          <w:sz w:val="24"/>
          <w:szCs w:val="24"/>
          <w:highlight w:val="none"/>
        </w:rPr>
        <w:t>元以下的为微型企业。</w:t>
      </w:r>
    </w:p>
    <w:p w14:paraId="1A905120">
      <w:pPr>
        <w:spacing w:before="114" w:line="286" w:lineRule="auto"/>
        <w:ind w:left="127" w:right="109" w:firstLine="482"/>
        <w:rPr>
          <w:rFonts w:ascii="仿宋" w:hAnsi="仿宋" w:eastAsia="仿宋" w:cs="仿宋"/>
          <w:sz w:val="24"/>
          <w:szCs w:val="24"/>
          <w:highlight w:val="none"/>
        </w:rPr>
      </w:pPr>
      <w:r>
        <w:rPr>
          <w:rFonts w:ascii="仿宋" w:hAnsi="仿宋" w:eastAsia="仿宋" w:cs="仿宋"/>
          <w:b/>
          <w:bCs/>
          <w:spacing w:val="-4"/>
          <w:sz w:val="24"/>
          <w:szCs w:val="24"/>
          <w:highlight w:val="none"/>
        </w:rPr>
        <w:t>（十）餐饮业。从业人员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1000</w:t>
      </w:r>
      <w:r>
        <w:rPr>
          <w:rFonts w:ascii="仿宋" w:hAnsi="仿宋" w:eastAsia="仿宋" w:cs="仿宋"/>
          <w:b/>
          <w:bCs/>
          <w:spacing w:val="-5"/>
          <w:sz w:val="24"/>
          <w:szCs w:val="24"/>
          <w:highlight w:val="none"/>
        </w:rPr>
        <w:t>0</w:t>
      </w:r>
      <w:r>
        <w:rPr>
          <w:rFonts w:ascii="仿宋" w:hAnsi="仿宋" w:eastAsia="仿宋" w:cs="仿宋"/>
          <w:spacing w:val="17"/>
          <w:sz w:val="24"/>
          <w:szCs w:val="24"/>
          <w:highlight w:val="none"/>
        </w:rPr>
        <w:t xml:space="preserve"> </w:t>
      </w:r>
      <w:r>
        <w:rPr>
          <w:rFonts w:ascii="仿宋" w:hAnsi="仿宋" w:eastAsia="仿宋" w:cs="仿宋"/>
          <w:b/>
          <w:bCs/>
          <w:spacing w:val="-5"/>
          <w:sz w:val="24"/>
          <w:szCs w:val="24"/>
          <w:highlight w:val="none"/>
        </w:rPr>
        <w:t>万元以下的为中小微型企业。其中，从</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人及以上，且营</w:t>
      </w:r>
      <w:r>
        <w:rPr>
          <w:rFonts w:ascii="仿宋" w:hAnsi="仿宋" w:eastAsia="仿宋" w:cs="仿宋"/>
          <w:b/>
          <w:bCs/>
          <w:spacing w:val="-6"/>
          <w:sz w:val="24"/>
          <w:szCs w:val="24"/>
          <w:highlight w:val="none"/>
        </w:rPr>
        <w:t>业收入</w:t>
      </w:r>
      <w:r>
        <w:rPr>
          <w:rFonts w:ascii="仿宋" w:hAnsi="仿宋" w:eastAsia="仿宋" w:cs="仿宋"/>
          <w:spacing w:val="11"/>
          <w:sz w:val="24"/>
          <w:szCs w:val="24"/>
          <w:highlight w:val="none"/>
        </w:rPr>
        <w:t xml:space="preserve"> </w:t>
      </w:r>
      <w:r>
        <w:rPr>
          <w:rFonts w:ascii="仿宋" w:hAnsi="仿宋" w:eastAsia="仿宋" w:cs="仿宋"/>
          <w:b/>
          <w:bCs/>
          <w:spacing w:val="-6"/>
          <w:sz w:val="24"/>
          <w:szCs w:val="24"/>
          <w:highlight w:val="none"/>
        </w:rPr>
        <w:t>2000</w:t>
      </w:r>
      <w:r>
        <w:rPr>
          <w:rFonts w:ascii="仿宋" w:hAnsi="仿宋" w:eastAsia="仿宋" w:cs="仿宋"/>
          <w:spacing w:val="18"/>
          <w:sz w:val="24"/>
          <w:szCs w:val="24"/>
          <w:highlight w:val="none"/>
        </w:rPr>
        <w:t xml:space="preserve"> </w:t>
      </w:r>
      <w:r>
        <w:rPr>
          <w:rFonts w:ascii="仿宋" w:hAnsi="仿宋" w:eastAsia="仿宋" w:cs="仿宋"/>
          <w:b/>
          <w:bCs/>
          <w:spacing w:val="-6"/>
          <w:sz w:val="24"/>
          <w:szCs w:val="24"/>
          <w:highlight w:val="none"/>
        </w:rPr>
        <w:t>万元及以上的为中型企业；从业人员</w:t>
      </w:r>
      <w:r>
        <w:rPr>
          <w:rFonts w:ascii="仿宋" w:hAnsi="仿宋" w:eastAsia="仿宋" w:cs="仿宋"/>
          <w:spacing w:val="28"/>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20"/>
          <w:sz w:val="24"/>
          <w:szCs w:val="24"/>
          <w:highlight w:val="none"/>
        </w:rPr>
        <w:t xml:space="preserve"> </w:t>
      </w:r>
      <w:r>
        <w:rPr>
          <w:rFonts w:ascii="仿宋" w:hAnsi="仿宋" w:eastAsia="仿宋" w:cs="仿宋"/>
          <w:b/>
          <w:bCs/>
          <w:spacing w:val="-6"/>
          <w:sz w:val="24"/>
          <w:szCs w:val="24"/>
          <w:highlight w:val="none"/>
        </w:rPr>
        <w:t>人</w:t>
      </w:r>
      <w:r>
        <w:rPr>
          <w:rFonts w:ascii="仿宋" w:hAnsi="仿宋" w:eastAsia="仿宋" w:cs="仿宋"/>
          <w:b/>
          <w:bCs/>
          <w:spacing w:val="-5"/>
          <w:sz w:val="24"/>
          <w:szCs w:val="24"/>
          <w:highlight w:val="none"/>
        </w:rPr>
        <w:t>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万元及以上的为</w:t>
      </w:r>
      <w:r>
        <w:rPr>
          <w:rFonts w:ascii="仿宋" w:hAnsi="仿宋" w:eastAsia="仿宋" w:cs="仿宋"/>
          <w:b/>
          <w:bCs/>
          <w:spacing w:val="-6"/>
          <w:sz w:val="24"/>
          <w:szCs w:val="24"/>
          <w:highlight w:val="none"/>
        </w:rPr>
        <w:t>小型企业；从业人员</w:t>
      </w:r>
      <w:r>
        <w:rPr>
          <w:rFonts w:ascii="仿宋" w:hAnsi="仿宋" w:eastAsia="仿宋" w:cs="仿宋"/>
          <w:spacing w:val="29"/>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6"/>
          <w:sz w:val="24"/>
          <w:szCs w:val="24"/>
          <w:highlight w:val="none"/>
        </w:rPr>
        <w:t xml:space="preserve"> </w:t>
      </w:r>
      <w:r>
        <w:rPr>
          <w:rFonts w:ascii="仿宋" w:hAnsi="仿宋" w:eastAsia="仿宋" w:cs="仿宋"/>
          <w:b/>
          <w:bCs/>
          <w:spacing w:val="-6"/>
          <w:sz w:val="24"/>
          <w:szCs w:val="24"/>
          <w:highlight w:val="none"/>
        </w:rPr>
        <w:t>人以下或营业收入</w:t>
      </w:r>
      <w:r>
        <w:rPr>
          <w:rFonts w:ascii="仿宋" w:hAnsi="仿宋" w:eastAsia="仿宋" w:cs="仿宋"/>
          <w:spacing w:val="28"/>
          <w:sz w:val="24"/>
          <w:szCs w:val="24"/>
          <w:highlight w:val="none"/>
        </w:rPr>
        <w:t xml:space="preserve"> </w:t>
      </w:r>
      <w:r>
        <w:rPr>
          <w:rFonts w:ascii="仿宋" w:hAnsi="仿宋" w:eastAsia="仿宋" w:cs="仿宋"/>
          <w:b/>
          <w:bCs/>
          <w:spacing w:val="-6"/>
          <w:sz w:val="24"/>
          <w:szCs w:val="24"/>
          <w:highlight w:val="none"/>
        </w:rPr>
        <w:t>100</w:t>
      </w:r>
      <w:r>
        <w:rPr>
          <w:rFonts w:ascii="仿宋" w:hAnsi="仿宋" w:eastAsia="仿宋" w:cs="仿宋"/>
          <w:spacing w:val="18"/>
          <w:sz w:val="24"/>
          <w:szCs w:val="24"/>
          <w:highlight w:val="none"/>
        </w:rPr>
        <w:t xml:space="preserve"> </w:t>
      </w:r>
      <w:r>
        <w:rPr>
          <w:rFonts w:ascii="仿宋" w:hAnsi="仿宋" w:eastAsia="仿宋" w:cs="仿宋"/>
          <w:b/>
          <w:bCs/>
          <w:spacing w:val="-6"/>
          <w:sz w:val="24"/>
          <w:szCs w:val="24"/>
          <w:highlight w:val="none"/>
        </w:rPr>
        <w:t>万</w:t>
      </w:r>
      <w:r>
        <w:rPr>
          <w:rFonts w:ascii="仿宋" w:hAnsi="仿宋" w:eastAsia="仿宋" w:cs="仿宋"/>
          <w:b/>
          <w:bCs/>
          <w:spacing w:val="-4"/>
          <w:sz w:val="24"/>
          <w:szCs w:val="24"/>
          <w:highlight w:val="none"/>
        </w:rPr>
        <w:t>元以下的为微型企业。</w:t>
      </w:r>
    </w:p>
    <w:p w14:paraId="31ECC96A">
      <w:pPr>
        <w:spacing w:before="109" w:line="261" w:lineRule="auto"/>
        <w:ind w:left="152" w:right="26" w:hanging="124"/>
        <w:rPr>
          <w:rFonts w:ascii="仿宋" w:hAnsi="仿宋" w:eastAsia="仿宋" w:cs="仿宋"/>
          <w:b/>
          <w:bCs/>
          <w:spacing w:val="-4"/>
          <w:sz w:val="24"/>
          <w:szCs w:val="24"/>
          <w:highlight w:val="none"/>
        </w:rPr>
      </w:pPr>
      <w:r>
        <w:rPr>
          <w:rFonts w:ascii="仿宋" w:hAnsi="仿宋" w:eastAsia="仿宋" w:cs="仿宋"/>
          <w:b/>
          <w:bCs/>
          <w:spacing w:val="-4"/>
          <w:sz w:val="24"/>
          <w:szCs w:val="24"/>
          <w:highlight w:val="none"/>
        </w:rPr>
        <w:t>（十一）信息传输业。从业人员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2000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w:t>
      </w:r>
      <w:r>
        <w:rPr>
          <w:rFonts w:ascii="仿宋" w:hAnsi="仿宋" w:eastAsia="仿宋" w:cs="仿宋"/>
          <w:b/>
          <w:bCs/>
          <w:spacing w:val="-5"/>
          <w:sz w:val="24"/>
          <w:szCs w:val="24"/>
          <w:highlight w:val="none"/>
        </w:rPr>
        <w:t>0000</w:t>
      </w:r>
      <w:r>
        <w:rPr>
          <w:rFonts w:ascii="仿宋" w:hAnsi="仿宋" w:eastAsia="仿宋" w:cs="仿宋"/>
          <w:spacing w:val="20"/>
          <w:sz w:val="24"/>
          <w:szCs w:val="24"/>
          <w:highlight w:val="none"/>
        </w:rPr>
        <w:t xml:space="preserve"> </w:t>
      </w:r>
      <w:r>
        <w:rPr>
          <w:rFonts w:ascii="仿宋" w:hAnsi="仿宋" w:eastAsia="仿宋" w:cs="仿宋"/>
          <w:b/>
          <w:bCs/>
          <w:spacing w:val="-5"/>
          <w:sz w:val="24"/>
          <w:szCs w:val="24"/>
          <w:highlight w:val="none"/>
        </w:rPr>
        <w:t>万元以下的为中小微型</w:t>
      </w:r>
      <w:r>
        <w:rPr>
          <w:rFonts w:ascii="仿宋" w:hAnsi="仿宋" w:eastAsia="仿宋" w:cs="仿宋"/>
          <w:b/>
          <w:bCs/>
          <w:spacing w:val="-4"/>
          <w:sz w:val="24"/>
          <w:szCs w:val="24"/>
          <w:highlight w:val="none"/>
        </w:rPr>
        <w:t>企业。</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其中，从业人员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人及以上，且营业收入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1000</w:t>
      </w:r>
      <w:r>
        <w:rPr>
          <w:rFonts w:ascii="仿宋" w:hAnsi="仿宋" w:eastAsia="仿宋" w:cs="仿宋"/>
          <w:spacing w:val="18"/>
          <w:sz w:val="24"/>
          <w:szCs w:val="24"/>
          <w:highlight w:val="none"/>
        </w:rPr>
        <w:t xml:space="preserve"> </w:t>
      </w:r>
      <w:r>
        <w:rPr>
          <w:rFonts w:ascii="仿宋" w:hAnsi="仿宋" w:eastAsia="仿宋" w:cs="仿宋"/>
          <w:b/>
          <w:bCs/>
          <w:spacing w:val="-4"/>
          <w:sz w:val="24"/>
          <w:szCs w:val="24"/>
          <w:highlight w:val="none"/>
        </w:rPr>
        <w:t>万元及以上的为中型企业；</w:t>
      </w:r>
      <w:r>
        <w:rPr>
          <w:rFonts w:ascii="仿宋" w:hAnsi="仿宋" w:eastAsia="仿宋" w:cs="仿宋"/>
          <w:b/>
          <w:bCs/>
          <w:spacing w:val="-5"/>
          <w:sz w:val="24"/>
          <w:szCs w:val="24"/>
          <w:highlight w:val="none"/>
        </w:rPr>
        <w:t>从业人员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w:t>
      </w:r>
      <w:r>
        <w:rPr>
          <w:rFonts w:ascii="仿宋" w:hAnsi="仿宋" w:eastAsia="仿宋" w:cs="仿宋"/>
          <w:spacing w:val="-15"/>
          <w:sz w:val="24"/>
          <w:szCs w:val="24"/>
          <w:highlight w:val="none"/>
        </w:rPr>
        <w:t xml:space="preserve"> </w:t>
      </w:r>
      <w:r>
        <w:rPr>
          <w:rFonts w:ascii="仿宋" w:hAnsi="仿宋" w:eastAsia="仿宋" w:cs="仿宋"/>
          <w:b/>
          <w:bCs/>
          <w:spacing w:val="-5"/>
          <w:sz w:val="24"/>
          <w:szCs w:val="24"/>
          <w:highlight w:val="none"/>
        </w:rPr>
        <w:t>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spacing w:val="18"/>
          <w:sz w:val="24"/>
          <w:szCs w:val="24"/>
          <w:highlight w:val="none"/>
        </w:rPr>
        <w:t xml:space="preserve"> </w:t>
      </w:r>
      <w:r>
        <w:rPr>
          <w:rFonts w:ascii="仿宋" w:hAnsi="仿宋" w:eastAsia="仿宋" w:cs="仿宋"/>
          <w:b/>
          <w:bCs/>
          <w:spacing w:val="-5"/>
          <w:sz w:val="24"/>
          <w:szCs w:val="24"/>
          <w:highlight w:val="none"/>
        </w:rPr>
        <w:t>万元及以上的为小型企业；从业人员</w:t>
      </w:r>
      <w:r>
        <w:rPr>
          <w:rFonts w:ascii="仿宋" w:hAnsi="仿宋" w:eastAsia="仿宋" w:cs="仿宋"/>
          <w:spacing w:val="29"/>
          <w:sz w:val="24"/>
          <w:szCs w:val="24"/>
          <w:highlight w:val="none"/>
        </w:rPr>
        <w:t xml:space="preserve"> </w:t>
      </w:r>
      <w:r>
        <w:rPr>
          <w:rFonts w:ascii="仿宋" w:hAnsi="仿宋" w:eastAsia="仿宋" w:cs="仿宋"/>
          <w:b/>
          <w:bCs/>
          <w:spacing w:val="-5"/>
          <w:sz w:val="24"/>
          <w:szCs w:val="24"/>
          <w:highlight w:val="none"/>
        </w:rPr>
        <w:t>10</w:t>
      </w:r>
      <w:r>
        <w:rPr>
          <w:rFonts w:ascii="仿宋" w:hAnsi="仿宋" w:eastAsia="仿宋" w:cs="仿宋"/>
          <w:spacing w:val="19"/>
          <w:sz w:val="24"/>
          <w:szCs w:val="24"/>
          <w:highlight w:val="none"/>
        </w:rPr>
        <w:t xml:space="preserve"> </w:t>
      </w:r>
      <w:r>
        <w:rPr>
          <w:rFonts w:ascii="仿宋" w:hAnsi="仿宋" w:eastAsia="仿宋" w:cs="仿宋"/>
          <w:b/>
          <w:bCs/>
          <w:spacing w:val="-5"/>
          <w:sz w:val="24"/>
          <w:szCs w:val="24"/>
          <w:highlight w:val="none"/>
        </w:rPr>
        <w:t>人以下或营业收</w:t>
      </w:r>
      <w:r>
        <w:rPr>
          <w:rFonts w:ascii="仿宋" w:hAnsi="仿宋" w:eastAsia="仿宋" w:cs="仿宋"/>
          <w:b/>
          <w:bCs/>
          <w:spacing w:val="-4"/>
          <w:sz w:val="24"/>
          <w:szCs w:val="24"/>
          <w:highlight w:val="none"/>
        </w:rPr>
        <w:t>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w:t>
      </w:r>
      <w:r>
        <w:rPr>
          <w:rFonts w:ascii="仿宋" w:hAnsi="仿宋" w:eastAsia="仿宋" w:cs="仿宋"/>
          <w:spacing w:val="21"/>
          <w:sz w:val="24"/>
          <w:szCs w:val="24"/>
          <w:highlight w:val="none"/>
        </w:rPr>
        <w:t xml:space="preserve"> </w:t>
      </w:r>
      <w:r>
        <w:rPr>
          <w:rFonts w:ascii="仿宋" w:hAnsi="仿宋" w:eastAsia="仿宋" w:cs="仿宋"/>
          <w:b/>
          <w:bCs/>
          <w:spacing w:val="-4"/>
          <w:sz w:val="24"/>
          <w:szCs w:val="24"/>
          <w:highlight w:val="none"/>
        </w:rPr>
        <w:t>万元以下的为微型企业。</w:t>
      </w:r>
    </w:p>
    <w:p w14:paraId="7CCE4219">
      <w:pPr>
        <w:spacing w:before="120" w:line="286" w:lineRule="auto"/>
        <w:ind w:left="123" w:right="46" w:firstLine="485"/>
        <w:rPr>
          <w:rFonts w:ascii="仿宋" w:hAnsi="仿宋" w:eastAsia="仿宋" w:cs="仿宋"/>
          <w:sz w:val="24"/>
          <w:szCs w:val="24"/>
          <w:highlight w:val="none"/>
        </w:rPr>
      </w:pPr>
      <w:r>
        <w:rPr>
          <w:rFonts w:ascii="仿宋" w:hAnsi="仿宋" w:eastAsia="仿宋" w:cs="仿宋"/>
          <w:b/>
          <w:bCs/>
          <w:spacing w:val="-4"/>
          <w:sz w:val="24"/>
          <w:szCs w:val="24"/>
          <w:highlight w:val="none"/>
        </w:rPr>
        <w:t>（十二）软件和信息技术服务业。从业人员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人以下或营</w:t>
      </w:r>
      <w:r>
        <w:rPr>
          <w:rFonts w:ascii="仿宋" w:hAnsi="仿宋" w:eastAsia="仿宋" w:cs="仿宋"/>
          <w:b/>
          <w:bCs/>
          <w:spacing w:val="-5"/>
          <w:sz w:val="24"/>
          <w:szCs w:val="24"/>
          <w:highlight w:val="none"/>
        </w:rPr>
        <w:t>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10000</w:t>
      </w:r>
      <w:r>
        <w:rPr>
          <w:rFonts w:ascii="仿宋" w:hAnsi="仿宋" w:eastAsia="仿宋" w:cs="仿宋"/>
          <w:spacing w:val="17"/>
          <w:sz w:val="24"/>
          <w:szCs w:val="24"/>
          <w:highlight w:val="none"/>
        </w:rPr>
        <w:t xml:space="preserve"> </w:t>
      </w:r>
      <w:r>
        <w:rPr>
          <w:rFonts w:ascii="仿宋" w:hAnsi="仿宋" w:eastAsia="仿宋" w:cs="仿宋"/>
          <w:b/>
          <w:bCs/>
          <w:spacing w:val="-5"/>
          <w:sz w:val="24"/>
          <w:szCs w:val="24"/>
          <w:highlight w:val="none"/>
        </w:rPr>
        <w:t>万元以下的为</w:t>
      </w:r>
      <w:r>
        <w:rPr>
          <w:rFonts w:ascii="仿宋" w:hAnsi="仿宋" w:eastAsia="仿宋" w:cs="仿宋"/>
          <w:b/>
          <w:bCs/>
          <w:spacing w:val="-9"/>
          <w:sz w:val="24"/>
          <w:szCs w:val="24"/>
          <w:highlight w:val="none"/>
        </w:rPr>
        <w:t>中小微</w:t>
      </w:r>
      <w:r>
        <w:rPr>
          <w:rFonts w:ascii="仿宋" w:hAnsi="仿宋" w:eastAsia="仿宋" w:cs="仿宋"/>
          <w:spacing w:val="27"/>
          <w:sz w:val="24"/>
          <w:szCs w:val="24"/>
          <w:highlight w:val="none"/>
        </w:rPr>
        <w:t xml:space="preserve"> </w:t>
      </w:r>
      <w:r>
        <w:rPr>
          <w:rFonts w:ascii="仿宋" w:hAnsi="仿宋" w:eastAsia="仿宋" w:cs="仿宋"/>
          <w:b/>
          <w:bCs/>
          <w:spacing w:val="-9"/>
          <w:sz w:val="24"/>
          <w:szCs w:val="24"/>
          <w:highlight w:val="none"/>
        </w:rPr>
        <w:t>型企业。其中，从业人员</w:t>
      </w:r>
      <w:r>
        <w:rPr>
          <w:rFonts w:ascii="仿宋" w:hAnsi="仿宋" w:eastAsia="仿宋" w:cs="仿宋"/>
          <w:spacing w:val="26"/>
          <w:sz w:val="24"/>
          <w:szCs w:val="24"/>
          <w:highlight w:val="none"/>
        </w:rPr>
        <w:t xml:space="preserve"> </w:t>
      </w:r>
      <w:r>
        <w:rPr>
          <w:rFonts w:ascii="仿宋" w:hAnsi="仿宋" w:eastAsia="仿宋" w:cs="仿宋"/>
          <w:b/>
          <w:bCs/>
          <w:spacing w:val="-9"/>
          <w:sz w:val="24"/>
          <w:szCs w:val="24"/>
          <w:highlight w:val="none"/>
        </w:rPr>
        <w:t>100</w:t>
      </w:r>
      <w:r>
        <w:rPr>
          <w:rFonts w:ascii="仿宋" w:hAnsi="仿宋" w:eastAsia="仿宋" w:cs="仿宋"/>
          <w:spacing w:val="-9"/>
          <w:sz w:val="24"/>
          <w:szCs w:val="24"/>
          <w:highlight w:val="none"/>
        </w:rPr>
        <w:t xml:space="preserve"> </w:t>
      </w:r>
      <w:r>
        <w:rPr>
          <w:rFonts w:ascii="仿宋" w:hAnsi="仿宋" w:eastAsia="仿宋" w:cs="仿宋"/>
          <w:b/>
          <w:bCs/>
          <w:spacing w:val="-9"/>
          <w:sz w:val="24"/>
          <w:szCs w:val="24"/>
          <w:highlight w:val="none"/>
        </w:rPr>
        <w:t>人及</w:t>
      </w:r>
      <w:r>
        <w:rPr>
          <w:rFonts w:ascii="仿宋" w:hAnsi="仿宋" w:eastAsia="仿宋" w:cs="仿宋"/>
          <w:b/>
          <w:bCs/>
          <w:spacing w:val="-10"/>
          <w:sz w:val="24"/>
          <w:szCs w:val="24"/>
          <w:highlight w:val="none"/>
        </w:rPr>
        <w:t>以上，且营业收入</w:t>
      </w:r>
      <w:r>
        <w:rPr>
          <w:rFonts w:ascii="仿宋" w:hAnsi="仿宋" w:eastAsia="仿宋" w:cs="仿宋"/>
          <w:spacing w:val="26"/>
          <w:sz w:val="24"/>
          <w:szCs w:val="24"/>
          <w:highlight w:val="none"/>
        </w:rPr>
        <w:t xml:space="preserve"> </w:t>
      </w:r>
      <w:r>
        <w:rPr>
          <w:rFonts w:ascii="仿宋" w:hAnsi="仿宋" w:eastAsia="仿宋" w:cs="仿宋"/>
          <w:b/>
          <w:bCs/>
          <w:spacing w:val="-10"/>
          <w:sz w:val="24"/>
          <w:szCs w:val="24"/>
          <w:highlight w:val="none"/>
        </w:rPr>
        <w:t>1000</w:t>
      </w:r>
      <w:r>
        <w:rPr>
          <w:rFonts w:ascii="仿宋" w:hAnsi="仿宋" w:eastAsia="仿宋" w:cs="仿宋"/>
          <w:spacing w:val="-10"/>
          <w:sz w:val="24"/>
          <w:szCs w:val="24"/>
          <w:highlight w:val="none"/>
        </w:rPr>
        <w:t xml:space="preserve"> </w:t>
      </w:r>
      <w:r>
        <w:rPr>
          <w:rFonts w:ascii="仿宋" w:hAnsi="仿宋" w:eastAsia="仿宋" w:cs="仿宋"/>
          <w:b/>
          <w:bCs/>
          <w:spacing w:val="-10"/>
          <w:sz w:val="24"/>
          <w:szCs w:val="24"/>
          <w:highlight w:val="none"/>
        </w:rPr>
        <w:t>万元及以上的为中型企业；</w:t>
      </w:r>
      <w:r>
        <w:rPr>
          <w:rFonts w:ascii="仿宋" w:hAnsi="仿宋" w:eastAsia="仿宋" w:cs="仿宋"/>
          <w:b/>
          <w:bCs/>
          <w:spacing w:val="-5"/>
          <w:sz w:val="24"/>
          <w:szCs w:val="24"/>
          <w:highlight w:val="none"/>
        </w:rPr>
        <w:t>从业人员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人及以上，且营业收入</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50</w:t>
      </w:r>
      <w:r>
        <w:rPr>
          <w:rFonts w:ascii="仿宋" w:hAnsi="仿宋" w:eastAsia="仿宋" w:cs="仿宋"/>
          <w:spacing w:val="18"/>
          <w:sz w:val="24"/>
          <w:szCs w:val="24"/>
          <w:highlight w:val="none"/>
        </w:rPr>
        <w:t xml:space="preserve"> </w:t>
      </w:r>
      <w:r>
        <w:rPr>
          <w:rFonts w:ascii="仿宋" w:hAnsi="仿宋" w:eastAsia="仿宋" w:cs="仿宋"/>
          <w:b/>
          <w:bCs/>
          <w:spacing w:val="-5"/>
          <w:sz w:val="24"/>
          <w:szCs w:val="24"/>
          <w:highlight w:val="none"/>
        </w:rPr>
        <w:t>万元及以上的为小型企业</w:t>
      </w:r>
      <w:r>
        <w:rPr>
          <w:rFonts w:ascii="仿宋" w:hAnsi="仿宋" w:eastAsia="仿宋" w:cs="仿宋"/>
          <w:b/>
          <w:bCs/>
          <w:spacing w:val="-6"/>
          <w:sz w:val="24"/>
          <w:szCs w:val="24"/>
          <w:highlight w:val="none"/>
        </w:rPr>
        <w:t>；从业人员</w:t>
      </w:r>
      <w:r>
        <w:rPr>
          <w:rFonts w:ascii="仿宋" w:hAnsi="仿宋" w:eastAsia="仿宋" w:cs="仿宋"/>
          <w:spacing w:val="26"/>
          <w:sz w:val="24"/>
          <w:szCs w:val="24"/>
          <w:highlight w:val="none"/>
        </w:rPr>
        <w:t xml:space="preserve"> </w:t>
      </w:r>
      <w:r>
        <w:rPr>
          <w:rFonts w:ascii="仿宋" w:hAnsi="仿宋" w:eastAsia="仿宋" w:cs="仿宋"/>
          <w:b/>
          <w:bCs/>
          <w:spacing w:val="-6"/>
          <w:sz w:val="24"/>
          <w:szCs w:val="24"/>
          <w:highlight w:val="none"/>
        </w:rPr>
        <w:t>10</w:t>
      </w:r>
      <w:r>
        <w:rPr>
          <w:rFonts w:ascii="仿宋" w:hAnsi="仿宋" w:eastAsia="仿宋" w:cs="仿宋"/>
          <w:spacing w:val="22"/>
          <w:sz w:val="24"/>
          <w:szCs w:val="24"/>
          <w:highlight w:val="none"/>
        </w:rPr>
        <w:t xml:space="preserve"> </w:t>
      </w:r>
      <w:r>
        <w:rPr>
          <w:rFonts w:ascii="仿宋" w:hAnsi="仿宋" w:eastAsia="仿宋" w:cs="仿宋"/>
          <w:b/>
          <w:bCs/>
          <w:spacing w:val="-6"/>
          <w:sz w:val="24"/>
          <w:szCs w:val="24"/>
          <w:highlight w:val="none"/>
        </w:rPr>
        <w:t>人以下或营</w:t>
      </w:r>
      <w:r>
        <w:rPr>
          <w:rFonts w:ascii="仿宋" w:hAnsi="仿宋" w:eastAsia="仿宋" w:cs="仿宋"/>
          <w:b/>
          <w:bCs/>
          <w:spacing w:val="-3"/>
          <w:sz w:val="24"/>
          <w:szCs w:val="24"/>
          <w:highlight w:val="none"/>
        </w:rPr>
        <w:t>业收入</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50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万元以下的为微型企业。</w:t>
      </w:r>
    </w:p>
    <w:p w14:paraId="7568EB09">
      <w:pPr>
        <w:spacing w:before="113" w:line="286" w:lineRule="auto"/>
        <w:ind w:left="125" w:right="106" w:firstLine="484"/>
        <w:rPr>
          <w:rFonts w:ascii="仿宋" w:hAnsi="仿宋" w:eastAsia="仿宋" w:cs="仿宋"/>
          <w:sz w:val="24"/>
          <w:szCs w:val="24"/>
          <w:highlight w:val="none"/>
        </w:rPr>
      </w:pPr>
      <w:r>
        <w:rPr>
          <w:rFonts w:ascii="仿宋" w:hAnsi="仿宋" w:eastAsia="仿宋" w:cs="仿宋"/>
          <w:b/>
          <w:bCs/>
          <w:spacing w:val="-2"/>
          <w:sz w:val="24"/>
          <w:szCs w:val="24"/>
          <w:highlight w:val="none"/>
        </w:rPr>
        <w:t>（十三）房地产开发经营。营业收入</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200000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万元以下或资产总额</w:t>
      </w:r>
      <w:r>
        <w:rPr>
          <w:rFonts w:ascii="仿宋" w:hAnsi="仿宋" w:eastAsia="仿宋" w:cs="仿宋"/>
          <w:spacing w:val="34"/>
          <w:sz w:val="24"/>
          <w:szCs w:val="24"/>
          <w:highlight w:val="none"/>
        </w:rPr>
        <w:t xml:space="preserve"> </w:t>
      </w:r>
      <w:r>
        <w:rPr>
          <w:rFonts w:ascii="仿宋" w:hAnsi="仿宋" w:eastAsia="仿宋" w:cs="仿宋"/>
          <w:b/>
          <w:bCs/>
          <w:spacing w:val="-2"/>
          <w:sz w:val="24"/>
          <w:szCs w:val="24"/>
          <w:highlight w:val="none"/>
        </w:rPr>
        <w:t>10000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万元以下的为中小微</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型企业。其中，营业收入</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1000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万元及以上，且资产总额</w:t>
      </w:r>
      <w:r>
        <w:rPr>
          <w:rFonts w:ascii="仿宋" w:hAnsi="仿宋" w:eastAsia="仿宋" w:cs="仿宋"/>
          <w:spacing w:val="20"/>
          <w:sz w:val="24"/>
          <w:szCs w:val="24"/>
          <w:highlight w:val="none"/>
        </w:rPr>
        <w:t xml:space="preserve"> </w:t>
      </w:r>
      <w:r>
        <w:rPr>
          <w:rFonts w:ascii="仿宋" w:hAnsi="仿宋" w:eastAsia="仿宋" w:cs="仿宋"/>
          <w:b/>
          <w:bCs/>
          <w:spacing w:val="-2"/>
          <w:sz w:val="24"/>
          <w:szCs w:val="24"/>
          <w:highlight w:val="none"/>
        </w:rPr>
        <w:t>5000</w:t>
      </w:r>
      <w:r>
        <w:rPr>
          <w:rFonts w:ascii="仿宋" w:hAnsi="仿宋" w:eastAsia="仿宋" w:cs="仿宋"/>
          <w:spacing w:val="18"/>
          <w:sz w:val="24"/>
          <w:szCs w:val="24"/>
          <w:highlight w:val="none"/>
        </w:rPr>
        <w:t xml:space="preserve"> </w:t>
      </w:r>
      <w:r>
        <w:rPr>
          <w:rFonts w:ascii="仿宋" w:hAnsi="仿宋" w:eastAsia="仿宋" w:cs="仿宋"/>
          <w:b/>
          <w:bCs/>
          <w:spacing w:val="-2"/>
          <w:sz w:val="24"/>
          <w:szCs w:val="24"/>
          <w:highlight w:val="none"/>
        </w:rPr>
        <w:t>万元及以上的为中型</w:t>
      </w:r>
      <w:r>
        <w:rPr>
          <w:rFonts w:ascii="仿宋" w:hAnsi="仿宋" w:eastAsia="仿宋" w:cs="仿宋"/>
          <w:b/>
          <w:bCs/>
          <w:spacing w:val="-7"/>
          <w:sz w:val="24"/>
          <w:szCs w:val="24"/>
          <w:highlight w:val="none"/>
        </w:rPr>
        <w:t>企业；营业收入</w:t>
      </w:r>
      <w:r>
        <w:rPr>
          <w:rFonts w:ascii="仿宋" w:hAnsi="仿宋" w:eastAsia="仿宋" w:cs="仿宋"/>
          <w:spacing w:val="26"/>
          <w:sz w:val="24"/>
          <w:szCs w:val="24"/>
          <w:highlight w:val="none"/>
        </w:rPr>
        <w:t xml:space="preserve"> </w:t>
      </w:r>
      <w:r>
        <w:rPr>
          <w:rFonts w:ascii="仿宋" w:hAnsi="仿宋" w:eastAsia="仿宋" w:cs="仿宋"/>
          <w:b/>
          <w:bCs/>
          <w:spacing w:val="-7"/>
          <w:sz w:val="24"/>
          <w:szCs w:val="24"/>
          <w:highlight w:val="none"/>
        </w:rPr>
        <w:t>100</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万元及以上，且资产总额</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2</w:t>
      </w:r>
      <w:r>
        <w:rPr>
          <w:rFonts w:ascii="仿宋" w:hAnsi="仿宋" w:eastAsia="仿宋" w:cs="仿宋"/>
          <w:b/>
          <w:bCs/>
          <w:spacing w:val="-8"/>
          <w:sz w:val="24"/>
          <w:szCs w:val="24"/>
          <w:highlight w:val="none"/>
        </w:rPr>
        <w:t>000</w:t>
      </w:r>
      <w:r>
        <w:rPr>
          <w:rFonts w:ascii="仿宋" w:hAnsi="仿宋" w:eastAsia="仿宋" w:cs="仿宋"/>
          <w:spacing w:val="-8"/>
          <w:sz w:val="24"/>
          <w:szCs w:val="24"/>
          <w:highlight w:val="none"/>
        </w:rPr>
        <w:t xml:space="preserve"> </w:t>
      </w:r>
      <w:r>
        <w:rPr>
          <w:rFonts w:ascii="仿宋" w:hAnsi="仿宋" w:eastAsia="仿宋" w:cs="仿宋"/>
          <w:b/>
          <w:bCs/>
          <w:spacing w:val="-8"/>
          <w:sz w:val="24"/>
          <w:szCs w:val="24"/>
          <w:highlight w:val="none"/>
        </w:rPr>
        <w:t>万元及以上的为小型企业；营业收入</w:t>
      </w:r>
      <w:r>
        <w:rPr>
          <w:rFonts w:ascii="仿宋" w:hAnsi="仿宋" w:eastAsia="仿宋" w:cs="仿宋"/>
          <w:spacing w:val="31"/>
          <w:sz w:val="24"/>
          <w:szCs w:val="24"/>
          <w:highlight w:val="none"/>
        </w:rPr>
        <w:t xml:space="preserve"> </w:t>
      </w:r>
      <w:r>
        <w:rPr>
          <w:rFonts w:ascii="仿宋" w:hAnsi="仿宋" w:eastAsia="仿宋" w:cs="仿宋"/>
          <w:b/>
          <w:bCs/>
          <w:spacing w:val="-8"/>
          <w:sz w:val="24"/>
          <w:szCs w:val="24"/>
          <w:highlight w:val="none"/>
        </w:rPr>
        <w:t>100</w:t>
      </w:r>
      <w:r>
        <w:rPr>
          <w:rFonts w:ascii="仿宋" w:hAnsi="仿宋" w:eastAsia="仿宋" w:cs="仿宋"/>
          <w:b/>
          <w:bCs/>
          <w:sz w:val="24"/>
          <w:szCs w:val="24"/>
          <w:highlight w:val="none"/>
        </w:rPr>
        <w:t>万元以下或资产总额2000</w:t>
      </w:r>
      <w:r>
        <w:rPr>
          <w:rFonts w:ascii="仿宋" w:hAnsi="仿宋" w:eastAsia="仿宋" w:cs="仿宋"/>
          <w:sz w:val="24"/>
          <w:szCs w:val="24"/>
          <w:highlight w:val="none"/>
        </w:rPr>
        <w:t xml:space="preserve"> </w:t>
      </w:r>
      <w:r>
        <w:rPr>
          <w:rFonts w:ascii="仿宋" w:hAnsi="仿宋" w:eastAsia="仿宋" w:cs="仿宋"/>
          <w:b/>
          <w:bCs/>
          <w:sz w:val="24"/>
          <w:szCs w:val="24"/>
          <w:highlight w:val="none"/>
        </w:rPr>
        <w:t>万元以下的为微型企业。</w:t>
      </w:r>
    </w:p>
    <w:p w14:paraId="4A6BE517">
      <w:pPr>
        <w:spacing w:before="113" w:line="286" w:lineRule="auto"/>
        <w:ind w:left="122" w:right="26" w:firstLine="487"/>
        <w:rPr>
          <w:rFonts w:ascii="仿宋" w:hAnsi="仿宋" w:eastAsia="仿宋" w:cs="仿宋"/>
          <w:sz w:val="24"/>
          <w:szCs w:val="24"/>
          <w:highlight w:val="none"/>
        </w:rPr>
      </w:pPr>
      <w:r>
        <w:rPr>
          <w:rFonts w:ascii="仿宋" w:hAnsi="仿宋" w:eastAsia="仿宋" w:cs="仿宋"/>
          <w:b/>
          <w:bCs/>
          <w:spacing w:val="-8"/>
          <w:sz w:val="24"/>
          <w:szCs w:val="24"/>
          <w:highlight w:val="none"/>
        </w:rPr>
        <w:t>（十四）物业管理。从业人员</w:t>
      </w:r>
      <w:r>
        <w:rPr>
          <w:rFonts w:ascii="仿宋" w:hAnsi="仿宋" w:eastAsia="仿宋" w:cs="仿宋"/>
          <w:spacing w:val="29"/>
          <w:sz w:val="24"/>
          <w:szCs w:val="24"/>
          <w:highlight w:val="none"/>
        </w:rPr>
        <w:t xml:space="preserve"> </w:t>
      </w:r>
      <w:r>
        <w:rPr>
          <w:rFonts w:ascii="仿宋" w:hAnsi="仿宋" w:eastAsia="仿宋" w:cs="仿宋"/>
          <w:b/>
          <w:bCs/>
          <w:spacing w:val="-8"/>
          <w:sz w:val="24"/>
          <w:szCs w:val="24"/>
          <w:highlight w:val="none"/>
        </w:rPr>
        <w:t>1000</w:t>
      </w:r>
      <w:r>
        <w:rPr>
          <w:rFonts w:ascii="仿宋" w:hAnsi="仿宋" w:eastAsia="仿宋" w:cs="仿宋"/>
          <w:spacing w:val="-8"/>
          <w:sz w:val="24"/>
          <w:szCs w:val="24"/>
          <w:highlight w:val="none"/>
        </w:rPr>
        <w:t xml:space="preserve"> </w:t>
      </w:r>
      <w:r>
        <w:rPr>
          <w:rFonts w:ascii="仿宋" w:hAnsi="仿宋" w:eastAsia="仿宋" w:cs="仿宋"/>
          <w:b/>
          <w:bCs/>
          <w:spacing w:val="-8"/>
          <w:sz w:val="24"/>
          <w:szCs w:val="24"/>
          <w:highlight w:val="none"/>
        </w:rPr>
        <w:t>人以下或营业收入</w:t>
      </w:r>
      <w:r>
        <w:rPr>
          <w:rFonts w:ascii="仿宋" w:hAnsi="仿宋" w:eastAsia="仿宋" w:cs="仿宋"/>
          <w:spacing w:val="-8"/>
          <w:sz w:val="24"/>
          <w:szCs w:val="24"/>
          <w:highlight w:val="none"/>
        </w:rPr>
        <w:t xml:space="preserve"> </w:t>
      </w:r>
      <w:r>
        <w:rPr>
          <w:rFonts w:ascii="仿宋" w:hAnsi="仿宋" w:eastAsia="仿宋" w:cs="仿宋"/>
          <w:b/>
          <w:bCs/>
          <w:spacing w:val="-8"/>
          <w:sz w:val="24"/>
          <w:szCs w:val="24"/>
          <w:highlight w:val="none"/>
        </w:rPr>
        <w:t>5000</w:t>
      </w:r>
      <w:r>
        <w:rPr>
          <w:rFonts w:ascii="仿宋" w:hAnsi="仿宋" w:eastAsia="仿宋" w:cs="仿宋"/>
          <w:spacing w:val="-8"/>
          <w:sz w:val="24"/>
          <w:szCs w:val="24"/>
          <w:highlight w:val="none"/>
        </w:rPr>
        <w:t xml:space="preserve"> </w:t>
      </w:r>
      <w:r>
        <w:rPr>
          <w:rFonts w:ascii="仿宋" w:hAnsi="仿宋" w:eastAsia="仿宋" w:cs="仿宋"/>
          <w:b/>
          <w:bCs/>
          <w:spacing w:val="-8"/>
          <w:sz w:val="24"/>
          <w:szCs w:val="24"/>
          <w:highlight w:val="none"/>
        </w:rPr>
        <w:t>万元以下的为中小微型企</w:t>
      </w:r>
      <w:r>
        <w:rPr>
          <w:rFonts w:ascii="仿宋" w:hAnsi="仿宋" w:eastAsia="仿宋" w:cs="仿宋"/>
          <w:b/>
          <w:bCs/>
          <w:spacing w:val="-9"/>
          <w:sz w:val="24"/>
          <w:szCs w:val="24"/>
          <w:highlight w:val="none"/>
        </w:rPr>
        <w:t>业。</w:t>
      </w:r>
      <w:r>
        <w:rPr>
          <w:rFonts w:ascii="仿宋" w:hAnsi="仿宋" w:eastAsia="仿宋" w:cs="仿宋"/>
          <w:b/>
          <w:bCs/>
          <w:spacing w:val="-4"/>
          <w:sz w:val="24"/>
          <w:szCs w:val="24"/>
          <w:highlight w:val="none"/>
        </w:rPr>
        <w:t>其中，</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300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人及以上，且营业收入</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万元及以上的为中型企业</w:t>
      </w:r>
      <w:r>
        <w:rPr>
          <w:rFonts w:ascii="仿宋" w:hAnsi="仿宋" w:eastAsia="仿宋" w:cs="仿宋"/>
          <w:b/>
          <w:bCs/>
          <w:spacing w:val="-5"/>
          <w:sz w:val="24"/>
          <w:szCs w:val="24"/>
          <w:highlight w:val="none"/>
        </w:rPr>
        <w:t>；从业人员</w:t>
      </w:r>
      <w:r>
        <w:rPr>
          <w:rFonts w:ascii="仿宋" w:hAnsi="仿宋" w:eastAsia="仿宋" w:cs="仿宋"/>
          <w:spacing w:val="31"/>
          <w:sz w:val="24"/>
          <w:szCs w:val="24"/>
          <w:highlight w:val="none"/>
        </w:rPr>
        <w:t xml:space="preserve"> </w:t>
      </w:r>
      <w:r>
        <w:rPr>
          <w:rFonts w:ascii="仿宋" w:hAnsi="仿宋" w:eastAsia="仿宋" w:cs="仿宋"/>
          <w:b/>
          <w:bCs/>
          <w:spacing w:val="-5"/>
          <w:sz w:val="24"/>
          <w:szCs w:val="24"/>
          <w:highlight w:val="none"/>
        </w:rPr>
        <w:t>100</w:t>
      </w:r>
      <w:r>
        <w:rPr>
          <w:rFonts w:ascii="仿宋" w:hAnsi="仿宋" w:eastAsia="仿宋" w:cs="仿宋"/>
          <w:b/>
          <w:bCs/>
          <w:sz w:val="24"/>
          <w:szCs w:val="24"/>
          <w:highlight w:val="none"/>
        </w:rPr>
        <w:t>人及以上，且</w:t>
      </w:r>
      <w:r>
        <w:rPr>
          <w:rFonts w:ascii="仿宋" w:hAnsi="仿宋" w:eastAsia="仿宋" w:cs="仿宋"/>
          <w:sz w:val="24"/>
          <w:szCs w:val="24"/>
          <w:highlight w:val="none"/>
        </w:rPr>
        <w:t xml:space="preserve">  </w:t>
      </w:r>
      <w:r>
        <w:rPr>
          <w:rFonts w:ascii="仿宋" w:hAnsi="仿宋" w:eastAsia="仿宋" w:cs="仿宋"/>
          <w:b/>
          <w:bCs/>
          <w:sz w:val="24"/>
          <w:szCs w:val="24"/>
          <w:highlight w:val="none"/>
        </w:rPr>
        <w:t>营业收入</w:t>
      </w:r>
      <w:r>
        <w:rPr>
          <w:rFonts w:ascii="仿宋" w:hAnsi="仿宋" w:eastAsia="仿宋" w:cs="仿宋"/>
          <w:sz w:val="24"/>
          <w:szCs w:val="24"/>
          <w:highlight w:val="none"/>
        </w:rPr>
        <w:t xml:space="preserve"> </w:t>
      </w:r>
      <w:r>
        <w:rPr>
          <w:rFonts w:ascii="仿宋" w:hAnsi="仿宋" w:eastAsia="仿宋" w:cs="仿宋"/>
          <w:b/>
          <w:bCs/>
          <w:sz w:val="24"/>
          <w:szCs w:val="24"/>
          <w:highlight w:val="none"/>
        </w:rPr>
        <w:t>500</w:t>
      </w:r>
      <w:r>
        <w:rPr>
          <w:rFonts w:ascii="仿宋" w:hAnsi="仿宋" w:eastAsia="仿宋" w:cs="仿宋"/>
          <w:sz w:val="24"/>
          <w:szCs w:val="24"/>
          <w:highlight w:val="none"/>
        </w:rPr>
        <w:t xml:space="preserve"> </w:t>
      </w:r>
      <w:r>
        <w:rPr>
          <w:rFonts w:ascii="仿宋" w:hAnsi="仿宋" w:eastAsia="仿宋" w:cs="仿宋"/>
          <w:b/>
          <w:bCs/>
          <w:sz w:val="24"/>
          <w:szCs w:val="24"/>
          <w:highlight w:val="none"/>
        </w:rPr>
        <w:t>万元及以上的为小型企业；从业人员</w:t>
      </w:r>
      <w:r>
        <w:rPr>
          <w:rFonts w:ascii="仿宋" w:hAnsi="仿宋" w:eastAsia="仿宋" w:cs="仿宋"/>
          <w:spacing w:val="52"/>
          <w:sz w:val="24"/>
          <w:szCs w:val="24"/>
          <w:highlight w:val="none"/>
        </w:rPr>
        <w:t xml:space="preserve"> </w:t>
      </w:r>
      <w:r>
        <w:rPr>
          <w:rFonts w:ascii="仿宋" w:hAnsi="仿宋" w:eastAsia="仿宋" w:cs="仿宋"/>
          <w:b/>
          <w:bCs/>
          <w:sz w:val="24"/>
          <w:szCs w:val="24"/>
          <w:highlight w:val="none"/>
        </w:rPr>
        <w:t>100</w:t>
      </w:r>
      <w:r>
        <w:rPr>
          <w:rFonts w:ascii="仿宋" w:hAnsi="仿宋" w:eastAsia="仿宋" w:cs="仿宋"/>
          <w:spacing w:val="24"/>
          <w:sz w:val="24"/>
          <w:szCs w:val="24"/>
          <w:highlight w:val="none"/>
        </w:rPr>
        <w:t xml:space="preserve"> </w:t>
      </w:r>
      <w:r>
        <w:rPr>
          <w:rFonts w:ascii="仿宋" w:hAnsi="仿宋" w:eastAsia="仿宋" w:cs="仿宋"/>
          <w:b/>
          <w:bCs/>
          <w:sz w:val="24"/>
          <w:szCs w:val="24"/>
          <w:highlight w:val="none"/>
        </w:rPr>
        <w:t>人以下或营业收入</w:t>
      </w:r>
      <w:r>
        <w:rPr>
          <w:rFonts w:ascii="仿宋" w:hAnsi="仿宋" w:eastAsia="仿宋" w:cs="仿宋"/>
          <w:b/>
          <w:bCs/>
          <w:spacing w:val="-3"/>
          <w:sz w:val="24"/>
          <w:szCs w:val="24"/>
          <w:highlight w:val="none"/>
        </w:rPr>
        <w:t>500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万元以下的为微型企业。</w:t>
      </w:r>
    </w:p>
    <w:p w14:paraId="2455DCE0">
      <w:pPr>
        <w:spacing w:before="111" w:line="286" w:lineRule="auto"/>
        <w:ind w:left="123" w:right="80" w:firstLine="485"/>
        <w:rPr>
          <w:rFonts w:ascii="仿宋" w:hAnsi="仿宋" w:eastAsia="仿宋" w:cs="仿宋"/>
          <w:sz w:val="24"/>
          <w:szCs w:val="24"/>
          <w:highlight w:val="none"/>
        </w:rPr>
      </w:pPr>
      <w:r>
        <w:rPr>
          <w:rFonts w:ascii="仿宋" w:hAnsi="仿宋" w:eastAsia="仿宋" w:cs="仿宋"/>
          <w:b/>
          <w:bCs/>
          <w:spacing w:val="-2"/>
          <w:sz w:val="24"/>
          <w:szCs w:val="24"/>
          <w:highlight w:val="none"/>
        </w:rPr>
        <w:t>（十五）租赁和商务服务业。从业人员</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300</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人以下或资产总额</w:t>
      </w:r>
      <w:r>
        <w:rPr>
          <w:rFonts w:ascii="仿宋" w:hAnsi="仿宋" w:eastAsia="仿宋" w:cs="仿宋"/>
          <w:spacing w:val="-2"/>
          <w:sz w:val="24"/>
          <w:szCs w:val="24"/>
          <w:highlight w:val="none"/>
        </w:rPr>
        <w:t xml:space="preserve"> </w:t>
      </w:r>
      <w:r>
        <w:rPr>
          <w:rFonts w:ascii="仿宋" w:hAnsi="仿宋" w:eastAsia="仿宋" w:cs="仿宋"/>
          <w:b/>
          <w:bCs/>
          <w:spacing w:val="-2"/>
          <w:sz w:val="24"/>
          <w:szCs w:val="24"/>
          <w:highlight w:val="none"/>
        </w:rPr>
        <w:t>120000</w:t>
      </w:r>
      <w:r>
        <w:rPr>
          <w:rFonts w:ascii="仿宋" w:hAnsi="仿宋" w:eastAsia="仿宋" w:cs="仿宋"/>
          <w:spacing w:val="34"/>
          <w:sz w:val="24"/>
          <w:szCs w:val="24"/>
          <w:highlight w:val="none"/>
        </w:rPr>
        <w:t xml:space="preserve"> </w:t>
      </w:r>
      <w:r>
        <w:rPr>
          <w:rFonts w:ascii="仿宋" w:hAnsi="仿宋" w:eastAsia="仿宋" w:cs="仿宋"/>
          <w:b/>
          <w:bCs/>
          <w:spacing w:val="-2"/>
          <w:sz w:val="24"/>
          <w:szCs w:val="24"/>
          <w:highlight w:val="none"/>
        </w:rPr>
        <w:t>万元以下的为中</w:t>
      </w:r>
      <w:r>
        <w:rPr>
          <w:rFonts w:ascii="仿宋" w:hAnsi="仿宋" w:eastAsia="仿宋" w:cs="仿宋"/>
          <w:b/>
          <w:bCs/>
          <w:spacing w:val="-3"/>
          <w:sz w:val="24"/>
          <w:szCs w:val="24"/>
          <w:highlight w:val="none"/>
        </w:rPr>
        <w:t>小微型</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企业。其中，从业人员</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100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人及以上，且</w:t>
      </w:r>
      <w:r>
        <w:rPr>
          <w:rFonts w:ascii="仿宋" w:hAnsi="仿宋" w:eastAsia="仿宋" w:cs="仿宋"/>
          <w:b/>
          <w:bCs/>
          <w:spacing w:val="-4"/>
          <w:sz w:val="24"/>
          <w:szCs w:val="24"/>
          <w:highlight w:val="none"/>
        </w:rPr>
        <w:t>资产总额</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8000</w:t>
      </w:r>
      <w:r>
        <w:rPr>
          <w:rFonts w:ascii="仿宋" w:hAnsi="仿宋" w:eastAsia="仿宋" w:cs="仿宋"/>
          <w:spacing w:val="17"/>
          <w:sz w:val="24"/>
          <w:szCs w:val="24"/>
          <w:highlight w:val="none"/>
        </w:rPr>
        <w:t xml:space="preserve"> </w:t>
      </w:r>
      <w:r>
        <w:rPr>
          <w:rFonts w:ascii="仿宋" w:hAnsi="仿宋" w:eastAsia="仿宋" w:cs="仿宋"/>
          <w:b/>
          <w:bCs/>
          <w:spacing w:val="-4"/>
          <w:sz w:val="24"/>
          <w:szCs w:val="24"/>
          <w:highlight w:val="none"/>
        </w:rPr>
        <w:t>万元及以上的为中型企业；</w:t>
      </w:r>
      <w:r>
        <w:rPr>
          <w:rFonts w:ascii="仿宋" w:hAnsi="仿宋" w:eastAsia="仿宋" w:cs="仿宋"/>
          <w:b/>
          <w:bCs/>
          <w:spacing w:val="-3"/>
          <w:sz w:val="24"/>
          <w:szCs w:val="24"/>
          <w:highlight w:val="none"/>
        </w:rPr>
        <w:t>从业人员</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10</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人及以上，且资产总额</w:t>
      </w:r>
      <w:r>
        <w:rPr>
          <w:rFonts w:ascii="仿宋" w:hAnsi="仿宋" w:eastAsia="仿宋" w:cs="仿宋"/>
          <w:spacing w:val="-3"/>
          <w:sz w:val="24"/>
          <w:szCs w:val="24"/>
          <w:highlight w:val="none"/>
        </w:rPr>
        <w:t xml:space="preserve"> </w:t>
      </w:r>
      <w:r>
        <w:rPr>
          <w:rFonts w:ascii="仿宋" w:hAnsi="仿宋" w:eastAsia="仿宋" w:cs="仿宋"/>
          <w:b/>
          <w:bCs/>
          <w:spacing w:val="-3"/>
          <w:sz w:val="24"/>
          <w:szCs w:val="24"/>
          <w:highlight w:val="none"/>
        </w:rPr>
        <w:t>100</w:t>
      </w:r>
      <w:r>
        <w:rPr>
          <w:rFonts w:ascii="仿宋" w:hAnsi="仿宋" w:eastAsia="仿宋" w:cs="仿宋"/>
          <w:spacing w:val="33"/>
          <w:sz w:val="24"/>
          <w:szCs w:val="24"/>
          <w:highlight w:val="none"/>
        </w:rPr>
        <w:t xml:space="preserve"> </w:t>
      </w:r>
      <w:r>
        <w:rPr>
          <w:rFonts w:ascii="仿宋" w:hAnsi="仿宋" w:eastAsia="仿宋" w:cs="仿宋"/>
          <w:b/>
          <w:bCs/>
          <w:spacing w:val="-3"/>
          <w:sz w:val="24"/>
          <w:szCs w:val="24"/>
          <w:highlight w:val="none"/>
        </w:rPr>
        <w:t>万元及以上的为小型企业；从业人员</w:t>
      </w:r>
      <w:r>
        <w:rPr>
          <w:rFonts w:ascii="仿宋" w:hAnsi="仿宋" w:eastAsia="仿宋" w:cs="仿宋"/>
          <w:spacing w:val="31"/>
          <w:sz w:val="24"/>
          <w:szCs w:val="24"/>
          <w:highlight w:val="none"/>
        </w:rPr>
        <w:t xml:space="preserve"> </w:t>
      </w:r>
      <w:r>
        <w:rPr>
          <w:rFonts w:ascii="仿宋" w:hAnsi="仿宋" w:eastAsia="仿宋" w:cs="仿宋"/>
          <w:b/>
          <w:bCs/>
          <w:spacing w:val="-3"/>
          <w:sz w:val="24"/>
          <w:szCs w:val="24"/>
          <w:highlight w:val="none"/>
        </w:rPr>
        <w:t>10</w:t>
      </w:r>
      <w:r>
        <w:rPr>
          <w:rFonts w:ascii="仿宋" w:hAnsi="仿宋" w:eastAsia="仿宋" w:cs="仿宋"/>
          <w:spacing w:val="20"/>
          <w:sz w:val="24"/>
          <w:szCs w:val="24"/>
          <w:highlight w:val="none"/>
        </w:rPr>
        <w:t xml:space="preserve"> </w:t>
      </w:r>
      <w:r>
        <w:rPr>
          <w:rFonts w:ascii="仿宋" w:hAnsi="仿宋" w:eastAsia="仿宋" w:cs="仿宋"/>
          <w:b/>
          <w:bCs/>
          <w:spacing w:val="-3"/>
          <w:sz w:val="24"/>
          <w:szCs w:val="24"/>
          <w:highlight w:val="none"/>
        </w:rPr>
        <w:t>人以下或</w:t>
      </w:r>
      <w:r>
        <w:rPr>
          <w:rFonts w:ascii="仿宋" w:hAnsi="仿宋" w:eastAsia="仿宋" w:cs="仿宋"/>
          <w:b/>
          <w:bCs/>
          <w:spacing w:val="-4"/>
          <w:sz w:val="24"/>
          <w:szCs w:val="24"/>
          <w:highlight w:val="none"/>
        </w:rPr>
        <w:t>资产总额</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100</w:t>
      </w:r>
      <w:r>
        <w:rPr>
          <w:rFonts w:ascii="仿宋" w:hAnsi="仿宋" w:eastAsia="仿宋" w:cs="仿宋"/>
          <w:spacing w:val="28"/>
          <w:sz w:val="24"/>
          <w:szCs w:val="24"/>
          <w:highlight w:val="none"/>
        </w:rPr>
        <w:t xml:space="preserve"> </w:t>
      </w:r>
      <w:r>
        <w:rPr>
          <w:rFonts w:ascii="仿宋" w:hAnsi="仿宋" w:eastAsia="仿宋" w:cs="仿宋"/>
          <w:b/>
          <w:bCs/>
          <w:spacing w:val="-4"/>
          <w:sz w:val="24"/>
          <w:szCs w:val="24"/>
          <w:highlight w:val="none"/>
        </w:rPr>
        <w:t>万元以下的为微型企业。</w:t>
      </w:r>
    </w:p>
    <w:p w14:paraId="72373B85">
      <w:pPr>
        <w:spacing w:before="112" w:line="282" w:lineRule="auto"/>
        <w:ind w:left="125" w:right="106" w:firstLine="484"/>
        <w:rPr>
          <w:rFonts w:ascii="仿宋" w:hAnsi="仿宋" w:eastAsia="仿宋" w:cs="仿宋"/>
          <w:sz w:val="24"/>
          <w:szCs w:val="24"/>
          <w:highlight w:val="none"/>
        </w:rPr>
      </w:pPr>
      <w:r>
        <w:rPr>
          <w:rFonts w:ascii="仿宋" w:hAnsi="仿宋" w:eastAsia="仿宋" w:cs="仿宋"/>
          <w:b/>
          <w:bCs/>
          <w:spacing w:val="-7"/>
          <w:sz w:val="24"/>
          <w:szCs w:val="24"/>
          <w:highlight w:val="none"/>
        </w:rPr>
        <w:t>（十六）其他未列明行业。从业人员</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300</w:t>
      </w:r>
      <w:r>
        <w:rPr>
          <w:rFonts w:ascii="仿宋" w:hAnsi="仿宋" w:eastAsia="仿宋" w:cs="仿宋"/>
          <w:spacing w:val="-7"/>
          <w:sz w:val="24"/>
          <w:szCs w:val="24"/>
          <w:highlight w:val="none"/>
        </w:rPr>
        <w:t xml:space="preserve"> </w:t>
      </w:r>
      <w:r>
        <w:rPr>
          <w:rFonts w:ascii="仿宋" w:hAnsi="仿宋" w:eastAsia="仿宋" w:cs="仿宋"/>
          <w:b/>
          <w:bCs/>
          <w:spacing w:val="-7"/>
          <w:sz w:val="24"/>
          <w:szCs w:val="24"/>
          <w:highlight w:val="none"/>
        </w:rPr>
        <w:t>人</w:t>
      </w:r>
      <w:r>
        <w:rPr>
          <w:rFonts w:ascii="仿宋" w:hAnsi="仿宋" w:eastAsia="仿宋" w:cs="仿宋"/>
          <w:b/>
          <w:bCs/>
          <w:spacing w:val="-8"/>
          <w:sz w:val="24"/>
          <w:szCs w:val="24"/>
          <w:highlight w:val="none"/>
        </w:rPr>
        <w:t>以下的为中小微型企业。其中，从业人员</w:t>
      </w:r>
      <w:r>
        <w:rPr>
          <w:rFonts w:ascii="仿宋" w:hAnsi="仿宋" w:eastAsia="仿宋" w:cs="仿宋"/>
          <w:spacing w:val="31"/>
          <w:sz w:val="24"/>
          <w:szCs w:val="24"/>
          <w:highlight w:val="none"/>
        </w:rPr>
        <w:t xml:space="preserve"> </w:t>
      </w:r>
      <w:r>
        <w:rPr>
          <w:rFonts w:ascii="仿宋" w:hAnsi="仿宋" w:eastAsia="仿宋" w:cs="仿宋"/>
          <w:b/>
          <w:bCs/>
          <w:spacing w:val="-8"/>
          <w:sz w:val="24"/>
          <w:szCs w:val="24"/>
          <w:highlight w:val="none"/>
        </w:rPr>
        <w:t>100</w:t>
      </w:r>
      <w:r>
        <w:rPr>
          <w:rFonts w:ascii="仿宋" w:hAnsi="仿宋" w:eastAsia="仿宋" w:cs="仿宋"/>
          <w:b/>
          <w:bCs/>
          <w:spacing w:val="-4"/>
          <w:sz w:val="24"/>
          <w:szCs w:val="24"/>
          <w:highlight w:val="none"/>
        </w:rPr>
        <w:t>人及以上的为中型企业；从业人员</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10</w:t>
      </w:r>
      <w:r>
        <w:rPr>
          <w:rFonts w:ascii="仿宋" w:hAnsi="仿宋" w:eastAsia="仿宋" w:cs="仿宋"/>
          <w:spacing w:val="-4"/>
          <w:sz w:val="24"/>
          <w:szCs w:val="24"/>
          <w:highlight w:val="none"/>
        </w:rPr>
        <w:t xml:space="preserve"> </w:t>
      </w:r>
      <w:r>
        <w:rPr>
          <w:rFonts w:ascii="仿宋" w:hAnsi="仿宋" w:eastAsia="仿宋" w:cs="仿宋"/>
          <w:b/>
          <w:bCs/>
          <w:spacing w:val="-4"/>
          <w:sz w:val="24"/>
          <w:szCs w:val="24"/>
          <w:highlight w:val="none"/>
        </w:rPr>
        <w:t>人及以上的为小型企业；从</w:t>
      </w:r>
      <w:r>
        <w:rPr>
          <w:rFonts w:ascii="仿宋" w:hAnsi="仿宋" w:eastAsia="仿宋" w:cs="仿宋"/>
          <w:b/>
          <w:bCs/>
          <w:spacing w:val="-5"/>
          <w:sz w:val="24"/>
          <w:szCs w:val="24"/>
          <w:highlight w:val="none"/>
        </w:rPr>
        <w:t>业人员</w:t>
      </w:r>
      <w:r>
        <w:rPr>
          <w:rFonts w:ascii="仿宋" w:hAnsi="仿宋" w:eastAsia="仿宋" w:cs="仿宋"/>
          <w:spacing w:val="-5"/>
          <w:sz w:val="24"/>
          <w:szCs w:val="24"/>
          <w:highlight w:val="none"/>
        </w:rPr>
        <w:t xml:space="preserve"> </w:t>
      </w:r>
      <w:r>
        <w:rPr>
          <w:rFonts w:ascii="仿宋" w:hAnsi="仿宋" w:eastAsia="仿宋" w:cs="仿宋"/>
          <w:b/>
          <w:bCs/>
          <w:spacing w:val="-5"/>
          <w:sz w:val="24"/>
          <w:szCs w:val="24"/>
          <w:highlight w:val="none"/>
        </w:rPr>
        <w:t>10</w:t>
      </w:r>
      <w:r>
        <w:rPr>
          <w:rFonts w:ascii="仿宋" w:hAnsi="仿宋" w:eastAsia="仿宋" w:cs="仿宋"/>
          <w:spacing w:val="19"/>
          <w:sz w:val="24"/>
          <w:szCs w:val="24"/>
          <w:highlight w:val="none"/>
        </w:rPr>
        <w:t xml:space="preserve"> </w:t>
      </w:r>
      <w:r>
        <w:rPr>
          <w:rFonts w:ascii="仿宋" w:hAnsi="仿宋" w:eastAsia="仿宋" w:cs="仿宋"/>
          <w:b/>
          <w:bCs/>
          <w:spacing w:val="-5"/>
          <w:sz w:val="24"/>
          <w:szCs w:val="24"/>
          <w:highlight w:val="none"/>
        </w:rPr>
        <w:t>人以下的为微型</w:t>
      </w:r>
      <w:r>
        <w:rPr>
          <w:rFonts w:ascii="仿宋" w:hAnsi="仿宋" w:eastAsia="仿宋" w:cs="仿宋"/>
          <w:b/>
          <w:bCs/>
          <w:spacing w:val="-9"/>
          <w:sz w:val="24"/>
          <w:szCs w:val="24"/>
          <w:highlight w:val="none"/>
        </w:rPr>
        <w:t>企业。</w:t>
      </w:r>
    </w:p>
    <w:p w14:paraId="5874969A">
      <w:pPr>
        <w:spacing w:before="99" w:line="222" w:lineRule="auto"/>
        <w:ind w:left="608"/>
        <w:rPr>
          <w:rFonts w:ascii="仿宋" w:hAnsi="仿宋" w:eastAsia="仿宋" w:cs="仿宋"/>
          <w:sz w:val="24"/>
          <w:szCs w:val="24"/>
          <w:highlight w:val="none"/>
        </w:rPr>
      </w:pPr>
      <w:r>
        <w:rPr>
          <w:rFonts w:ascii="仿宋" w:hAnsi="仿宋" w:eastAsia="仿宋" w:cs="仿宋"/>
          <w:b/>
          <w:bCs/>
          <w:spacing w:val="-3"/>
          <w:sz w:val="24"/>
          <w:szCs w:val="24"/>
          <w:highlight w:val="none"/>
        </w:rPr>
        <w:t>五、企业类型的划分以统计部门的统计数据为依据。</w:t>
      </w:r>
    </w:p>
    <w:p w14:paraId="7F408E38">
      <w:pPr>
        <w:spacing w:before="112" w:line="264" w:lineRule="auto"/>
        <w:ind w:left="125" w:right="64" w:firstLine="480"/>
        <w:rPr>
          <w:rFonts w:ascii="仿宋" w:hAnsi="仿宋" w:eastAsia="仿宋" w:cs="仿宋"/>
          <w:sz w:val="24"/>
          <w:szCs w:val="24"/>
          <w:highlight w:val="none"/>
        </w:rPr>
      </w:pPr>
      <w:r>
        <w:rPr>
          <w:rFonts w:ascii="仿宋" w:hAnsi="仿宋" w:eastAsia="仿宋" w:cs="仿宋"/>
          <w:b/>
          <w:bCs/>
          <w:spacing w:val="-3"/>
          <w:sz w:val="24"/>
          <w:szCs w:val="24"/>
          <w:highlight w:val="none"/>
        </w:rPr>
        <w:t>六、本规定适用于在中华人民共和国境内依法设立的各类所有制和各种组织形式</w:t>
      </w:r>
      <w:r>
        <w:rPr>
          <w:rFonts w:ascii="仿宋" w:hAnsi="仿宋" w:eastAsia="仿宋" w:cs="仿宋"/>
          <w:b/>
          <w:bCs/>
          <w:spacing w:val="-4"/>
          <w:sz w:val="24"/>
          <w:szCs w:val="24"/>
          <w:highlight w:val="none"/>
        </w:rPr>
        <w:t>的企业。</w:t>
      </w:r>
      <w:r>
        <w:rPr>
          <w:rFonts w:ascii="仿宋" w:hAnsi="仿宋" w:eastAsia="仿宋" w:cs="仿宋"/>
          <w:b/>
          <w:bCs/>
          <w:spacing w:val="-3"/>
          <w:sz w:val="24"/>
          <w:szCs w:val="24"/>
          <w:highlight w:val="none"/>
        </w:rPr>
        <w:t>个体工商户和本规定以外的行业，参照本规定进行划型。</w:t>
      </w:r>
    </w:p>
    <w:p w14:paraId="0E594B4D">
      <w:pPr>
        <w:spacing w:before="113" w:line="279" w:lineRule="auto"/>
        <w:ind w:left="123" w:right="107" w:firstLine="485"/>
        <w:rPr>
          <w:rFonts w:ascii="仿宋" w:hAnsi="仿宋" w:eastAsia="仿宋" w:cs="仿宋"/>
          <w:sz w:val="24"/>
          <w:szCs w:val="24"/>
          <w:highlight w:val="none"/>
        </w:rPr>
      </w:pPr>
      <w:r>
        <w:rPr>
          <w:rFonts w:ascii="仿宋" w:hAnsi="仿宋" w:eastAsia="仿宋" w:cs="仿宋"/>
          <w:b/>
          <w:bCs/>
          <w:spacing w:val="-4"/>
          <w:sz w:val="24"/>
          <w:szCs w:val="24"/>
          <w:highlight w:val="none"/>
        </w:rPr>
        <w:t>七、本规定的中型企业标准上限即为大型企业标准的下限，国</w:t>
      </w:r>
      <w:r>
        <w:rPr>
          <w:rFonts w:ascii="仿宋" w:hAnsi="仿宋" w:eastAsia="仿宋" w:cs="仿宋"/>
          <w:b/>
          <w:bCs/>
          <w:spacing w:val="-5"/>
          <w:sz w:val="24"/>
          <w:szCs w:val="24"/>
          <w:highlight w:val="none"/>
        </w:rPr>
        <w:t>家统计部门据此制定大中小</w:t>
      </w:r>
      <w:r>
        <w:rPr>
          <w:rFonts w:ascii="仿宋" w:hAnsi="仿宋" w:eastAsia="仿宋" w:cs="仿宋"/>
          <w:b/>
          <w:bCs/>
          <w:spacing w:val="-1"/>
          <w:sz w:val="24"/>
          <w:szCs w:val="24"/>
          <w:highlight w:val="none"/>
        </w:rPr>
        <w:t>微型</w:t>
      </w:r>
      <w:r>
        <w:rPr>
          <w:rFonts w:ascii="仿宋" w:hAnsi="仿宋" w:eastAsia="仿宋" w:cs="仿宋"/>
          <w:spacing w:val="-1"/>
          <w:sz w:val="24"/>
          <w:szCs w:val="24"/>
          <w:highlight w:val="none"/>
        </w:rPr>
        <w:t xml:space="preserve"> </w:t>
      </w:r>
      <w:r>
        <w:rPr>
          <w:rFonts w:ascii="仿宋" w:hAnsi="仿宋" w:eastAsia="仿宋" w:cs="仿宋"/>
          <w:b/>
          <w:bCs/>
          <w:spacing w:val="-1"/>
          <w:sz w:val="24"/>
          <w:szCs w:val="24"/>
          <w:highlight w:val="none"/>
        </w:rPr>
        <w:t>企业的统计分类。国务院有关部门据此进行相关数据分析，不得制定与本规定不一</w:t>
      </w:r>
      <w:r>
        <w:rPr>
          <w:rFonts w:ascii="仿宋" w:hAnsi="仿宋" w:eastAsia="仿宋" w:cs="仿宋"/>
          <w:b/>
          <w:bCs/>
          <w:spacing w:val="-2"/>
          <w:sz w:val="24"/>
          <w:szCs w:val="24"/>
          <w:highlight w:val="none"/>
        </w:rPr>
        <w:t>致的</w:t>
      </w:r>
      <w:r>
        <w:rPr>
          <w:rFonts w:ascii="仿宋" w:hAnsi="仿宋" w:eastAsia="仿宋" w:cs="仿宋"/>
          <w:b/>
          <w:bCs/>
          <w:spacing w:val="-4"/>
          <w:sz w:val="24"/>
          <w:szCs w:val="24"/>
          <w:highlight w:val="none"/>
        </w:rPr>
        <w:t>企业划型标准。</w:t>
      </w:r>
    </w:p>
    <w:p w14:paraId="26D65E41">
      <w:pPr>
        <w:spacing w:before="113" w:line="265" w:lineRule="auto"/>
        <w:ind w:left="130" w:right="109" w:firstLine="473"/>
        <w:rPr>
          <w:rFonts w:ascii="仿宋" w:hAnsi="仿宋" w:eastAsia="仿宋" w:cs="仿宋"/>
          <w:sz w:val="24"/>
          <w:szCs w:val="24"/>
          <w:highlight w:val="none"/>
        </w:rPr>
      </w:pPr>
      <w:r>
        <w:rPr>
          <w:rFonts w:ascii="仿宋" w:hAnsi="仿宋" w:eastAsia="仿宋" w:cs="仿宋"/>
          <w:b/>
          <w:bCs/>
          <w:spacing w:val="-4"/>
          <w:sz w:val="24"/>
          <w:szCs w:val="24"/>
          <w:highlight w:val="none"/>
        </w:rPr>
        <w:t>八、本规定由工业和信息化部、国家统计局会同有关部门根据《国民经济</w:t>
      </w:r>
      <w:r>
        <w:rPr>
          <w:rFonts w:ascii="仿宋" w:hAnsi="仿宋" w:eastAsia="仿宋" w:cs="仿宋"/>
          <w:b/>
          <w:bCs/>
          <w:spacing w:val="-5"/>
          <w:sz w:val="24"/>
          <w:szCs w:val="24"/>
          <w:highlight w:val="none"/>
        </w:rPr>
        <w:t>行业分类》修订</w:t>
      </w:r>
      <w:r>
        <w:rPr>
          <w:rFonts w:ascii="仿宋" w:hAnsi="仿宋" w:eastAsia="仿宋" w:cs="仿宋"/>
          <w:b/>
          <w:bCs/>
          <w:spacing w:val="-4"/>
          <w:sz w:val="24"/>
          <w:szCs w:val="24"/>
          <w:highlight w:val="none"/>
        </w:rPr>
        <w:t>情况和企业发展变化情况适时修订。</w:t>
      </w:r>
    </w:p>
    <w:p w14:paraId="44CE6689">
      <w:pPr>
        <w:spacing w:before="109" w:line="222" w:lineRule="auto"/>
        <w:ind w:left="613"/>
        <w:rPr>
          <w:rFonts w:ascii="仿宋" w:hAnsi="仿宋" w:eastAsia="仿宋" w:cs="仿宋"/>
          <w:sz w:val="24"/>
          <w:szCs w:val="24"/>
          <w:highlight w:val="none"/>
        </w:rPr>
      </w:pPr>
      <w:r>
        <w:rPr>
          <w:rFonts w:ascii="仿宋" w:hAnsi="仿宋" w:eastAsia="仿宋" w:cs="仿宋"/>
          <w:b/>
          <w:bCs/>
          <w:spacing w:val="-3"/>
          <w:sz w:val="24"/>
          <w:szCs w:val="24"/>
          <w:highlight w:val="none"/>
        </w:rPr>
        <w:t>九、本规定由工业和信息化部、国家统计局会同有关部门负责解释。</w:t>
      </w:r>
    </w:p>
    <w:p w14:paraId="40819BBD">
      <w:pPr>
        <w:spacing w:before="109" w:line="261" w:lineRule="auto"/>
        <w:ind w:left="251" w:leftChars="118" w:right="26" w:firstLine="312" w:firstLineChars="140"/>
        <w:rPr>
          <w:rFonts w:ascii="仿宋" w:hAnsi="仿宋" w:eastAsia="仿宋" w:cs="仿宋"/>
          <w:b/>
          <w:bCs/>
          <w:spacing w:val="-3"/>
          <w:sz w:val="24"/>
          <w:szCs w:val="24"/>
          <w:highlight w:val="none"/>
        </w:rPr>
      </w:pPr>
      <w:r>
        <w:rPr>
          <w:rFonts w:ascii="仿宋" w:hAnsi="仿宋" w:eastAsia="仿宋" w:cs="仿宋"/>
          <w:b/>
          <w:bCs/>
          <w:spacing w:val="-10"/>
          <w:sz w:val="24"/>
          <w:szCs w:val="24"/>
          <w:highlight w:val="none"/>
        </w:rPr>
        <w:t>十、本规定自发布之日起执行，原国家经贸委、原国家计委、财政部和国家统计局</w:t>
      </w:r>
      <w:r>
        <w:rPr>
          <w:rFonts w:ascii="仿宋" w:hAnsi="仿宋" w:eastAsia="仿宋" w:cs="仿宋"/>
          <w:spacing w:val="-10"/>
          <w:sz w:val="24"/>
          <w:szCs w:val="24"/>
          <w:highlight w:val="none"/>
        </w:rPr>
        <w:t xml:space="preserve"> </w:t>
      </w:r>
      <w:r>
        <w:rPr>
          <w:rFonts w:ascii="仿宋" w:hAnsi="仿宋" w:eastAsia="仿宋" w:cs="仿宋"/>
          <w:b/>
          <w:bCs/>
          <w:spacing w:val="-10"/>
          <w:sz w:val="24"/>
          <w:szCs w:val="24"/>
          <w:highlight w:val="none"/>
        </w:rPr>
        <w:t>2003</w:t>
      </w:r>
      <w:r>
        <w:rPr>
          <w:rFonts w:ascii="仿宋" w:hAnsi="仿宋" w:eastAsia="仿宋" w:cs="仿宋"/>
          <w:spacing w:val="-10"/>
          <w:sz w:val="24"/>
          <w:szCs w:val="24"/>
          <w:highlight w:val="none"/>
        </w:rPr>
        <w:t xml:space="preserve"> </w:t>
      </w:r>
      <w:r>
        <w:rPr>
          <w:rFonts w:ascii="仿宋" w:hAnsi="仿宋" w:eastAsia="仿宋" w:cs="仿宋"/>
          <w:b/>
          <w:bCs/>
          <w:spacing w:val="-10"/>
          <w:sz w:val="24"/>
          <w:szCs w:val="24"/>
          <w:highlight w:val="none"/>
        </w:rPr>
        <w:t>年</w:t>
      </w:r>
      <w:r>
        <w:rPr>
          <w:rFonts w:ascii="仿宋" w:hAnsi="仿宋" w:eastAsia="仿宋" w:cs="仿宋"/>
          <w:b/>
          <w:bCs/>
          <w:spacing w:val="-3"/>
          <w:sz w:val="24"/>
          <w:szCs w:val="24"/>
          <w:highlight w:val="none"/>
        </w:rPr>
        <w:t>颁布的《中小企业标准暂行规定》同时废止。</w:t>
      </w:r>
    </w:p>
    <w:p w14:paraId="09D7381E">
      <w:pPr>
        <w:pStyle w:val="12"/>
        <w:shd w:val="clear" w:color="auto" w:fill="auto"/>
        <w:tabs>
          <w:tab w:val="left" w:pos="5580"/>
        </w:tabs>
        <w:spacing w:line="240" w:lineRule="atLeast"/>
        <w:ind w:firstLine="1065" w:firstLineChars="500"/>
        <w:rPr>
          <w:rFonts w:hint="eastAsia"/>
          <w:color w:val="auto"/>
          <w:highlight w:val="none"/>
        </w:rPr>
      </w:pPr>
    </w:p>
    <w:sectPr>
      <w:headerReference r:id="rId9" w:type="default"/>
      <w:footerReference r:id="rId10" w:type="default"/>
      <w:pgSz w:w="11905" w:h="16838"/>
      <w:pgMar w:top="1440" w:right="1797" w:bottom="1440" w:left="1797" w:header="850" w:footer="992" w:gutter="0"/>
      <w:pgNumType w:fmt="decimal"/>
      <w:cols w:space="720" w:num="1"/>
      <w:rtlGutter w:val="0"/>
      <w:docGrid w:type="linesAndChars" w:linePitch="325" w:charSpace="6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3B3ADF-B463-4131-8A59-F704513D0A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9648149-123E-497B-AD53-85993B6610CD}"/>
  </w:font>
  <w:font w:name="Helvetica">
    <w:altName w:val="Arial"/>
    <w:panose1 w:val="020B0604020202020204"/>
    <w:charset w:val="00"/>
    <w:family w:val="swiss"/>
    <w:pitch w:val="default"/>
    <w:sig w:usb0="00000000" w:usb1="00000000" w:usb2="00000000" w:usb3="00000000" w:csb0="00040001" w:csb1="00000000"/>
  </w:font>
  <w:font w:name="ヒラギノ角ゴ Pro W3">
    <w:altName w:val="Yu Gothic"/>
    <w:panose1 w:val="00000000000000000000"/>
    <w:charset w:val="80"/>
    <w:family w:val="auto"/>
    <w:pitch w:val="default"/>
    <w:sig w:usb0="00000000" w:usb1="00000000" w:usb2="00000012" w:usb3="00000000" w:csb0="0002000D" w:csb1="00000000"/>
  </w:font>
  <w:font w:name="Yu Gothic">
    <w:panose1 w:val="020B0400000000000000"/>
    <w:charset w:val="80"/>
    <w:family w:val="auto"/>
    <w:pitch w:val="default"/>
    <w:sig w:usb0="E00002FF" w:usb1="2AC7FDFF" w:usb2="00000016" w:usb3="00000000" w:csb0="2002009F" w:csb1="00000000"/>
  </w:font>
  <w:font w:name="_x000B__x000C_">
    <w:altName w:val="Courier New"/>
    <w:panose1 w:val="00000000000000000000"/>
    <w:charset w:val="00"/>
    <w:family w:val="roman"/>
    <w:pitch w:val="default"/>
    <w:sig w:usb0="00000000" w:usb1="00000000" w:usb2="00000000" w:usb3="00000000" w:csb0="00040001" w:csb1="00000000"/>
  </w:font>
  <w:font w:name="宋体;SimSun">
    <w:altName w:val="宋体"/>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embedRegular r:id="rId3" w:fontKey="{A93D2DBC-7A3F-4B8E-A684-D21A0DA930C4}"/>
  </w:font>
  <w:font w:name="仿宋">
    <w:panose1 w:val="02010609060101010101"/>
    <w:charset w:val="86"/>
    <w:family w:val="auto"/>
    <w:pitch w:val="default"/>
    <w:sig w:usb0="800002BF" w:usb1="38CF7CFA" w:usb2="00000016" w:usb3="00000000" w:csb0="00040001" w:csb1="00000000"/>
    <w:embedRegular r:id="rId4" w:fontKey="{5A73D48F-525C-4F4D-988E-3140E5E21EB1}"/>
  </w:font>
  <w:font w:name="宋体-18030">
    <w:altName w:val="宋体"/>
    <w:panose1 w:val="00000000000000000000"/>
    <w:charset w:val="86"/>
    <w:family w:val="modern"/>
    <w:pitch w:val="default"/>
    <w:sig w:usb0="00000000" w:usb1="00000000" w:usb2="00000010" w:usb3="00000000" w:csb0="00040000" w:csb1="00000000"/>
    <w:embedRegular r:id="rId5" w:fontKey="{82FBFBD0-9C16-44D3-B625-A90279D5DABE}"/>
  </w:font>
  <w:font w:name="ˎ̥">
    <w:altName w:val="Times New Roman"/>
    <w:panose1 w:val="00000000000000000000"/>
    <w:charset w:val="00"/>
    <w:family w:val="roman"/>
    <w:pitch w:val="default"/>
    <w:sig w:usb0="00000000" w:usb1="00000000" w:usb2="00000000" w:usb3="00000000" w:csb0="00040001" w:csb1="00000000"/>
    <w:embedRegular r:id="rId6" w:fontKey="{00349856-F3EF-45E1-BAB1-B237BEE0E9AB}"/>
  </w:font>
  <w:font w:name="方正小标宋_GBK">
    <w:panose1 w:val="02000000000000000000"/>
    <w:charset w:val="86"/>
    <w:family w:val="auto"/>
    <w:pitch w:val="default"/>
    <w:sig w:usb0="A00002BF" w:usb1="38CF7CFA" w:usb2="00082016" w:usb3="00000000" w:csb0="00040001" w:csb1="00000000"/>
    <w:embedRegular r:id="rId7" w:fontKey="{CA4285ED-6F31-4A69-A982-7B8E712AF269}"/>
  </w:font>
  <w:font w:name="楷体_GB2312">
    <w:panose1 w:val="02010609030101010101"/>
    <w:charset w:val="86"/>
    <w:family w:val="modern"/>
    <w:pitch w:val="default"/>
    <w:sig w:usb0="00000001" w:usb1="080E0000" w:usb2="00000000" w:usb3="00000000" w:csb0="00040000" w:csb1="00000000"/>
    <w:embedRegular r:id="rId8" w:fontKey="{B87A0A28-02B9-4984-BFFA-2530999B5AB0}"/>
  </w:font>
  <w:font w:name="楷体">
    <w:panose1 w:val="02010609060101010101"/>
    <w:charset w:val="86"/>
    <w:family w:val="modern"/>
    <w:pitch w:val="default"/>
    <w:sig w:usb0="800002BF" w:usb1="38CF7CFA" w:usb2="00000016" w:usb3="00000000" w:csb0="00040001" w:csb1="00000000"/>
    <w:embedRegular r:id="rId9" w:fontKey="{A59DD9B5-FB50-4B07-84DD-86C894D838A0}"/>
  </w:font>
  <w:font w:name="Tahoma">
    <w:panose1 w:val="020B0604030504040204"/>
    <w:charset w:val="00"/>
    <w:family w:val="swiss"/>
    <w:pitch w:val="default"/>
    <w:sig w:usb0="E1002EFF" w:usb1="C000605B" w:usb2="00000029" w:usb3="00000000" w:csb0="200101FF" w:csb1="20280000"/>
    <w:embedRegular r:id="rId10" w:fontKey="{13945C78-8219-4F90-A4D9-06E64407EE72}"/>
  </w:font>
  <w:font w:name="WPSEMBED1">
    <w:panose1 w:val="02000000000000000000"/>
    <w:charset w:val="86"/>
    <w:family w:val="auto"/>
    <w:pitch w:val="default"/>
    <w:sig w:usb0="A00002BF" w:usb1="38CF7CFA" w:usb2="00082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1A1A6">
    <w:pPr>
      <w:pStyle w:val="15"/>
      <w:tabs>
        <w:tab w:val="center" w:pos="4320"/>
        <w:tab w:val="right" w:pos="8640"/>
        <w:tab w:val="clear" w:pos="4153"/>
        <w:tab w:val="clear" w:pos="8306"/>
      </w:tabs>
      <w:ind w:right="360"/>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0878570D">
                          <w:pPr>
                            <w:pStyle w:val="15"/>
                            <w:tabs>
                              <w:tab w:val="center" w:pos="4320"/>
                              <w:tab w:val="right" w:pos="8640"/>
                              <w:tab w:val="clear" w:pos="4153"/>
                              <w:tab w:val="clear" w:pos="8306"/>
                            </w:tabs>
                          </w:pPr>
                          <w:r>
                            <w:fldChar w:fldCharType="begin"/>
                          </w:r>
                          <w:r>
                            <w:instrText xml:space="preserve"> PAGE  \* MERGEFORMAT </w:instrText>
                          </w:r>
                          <w:r>
                            <w:fldChar w:fldCharType="separate"/>
                          </w:r>
                          <w:r>
                            <w:t>１</w:t>
                          </w:r>
                          <w:r>
                            <w:fldChar w:fldCharType="end"/>
                          </w:r>
                        </w:p>
                      </w:txbxContent>
                    </wps:txbx>
                    <wps:bodyPr vert="horz" wrap="none" lIns="0" tIns="0" rIns="0" bIns="0" anchor="t" anchorCtr="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l1uVLQAAAABQEAAA8AAAAAAAAAAQAgAAAA&#10;IgAAAGRycy9kb3ducmV2LnhtbFBLAQIUABQAAAAIAIdO4kALHlyJ2gEAALkDAAAOAAAAAAAAAAEA&#10;IAAAAB8BAABkcnMvZTJvRG9jLnhtbFBLBQYAAAAABgAGAFkBAABrBQAAAAA=&#10;">
              <v:fill on="f" focussize="0,0"/>
              <v:stroke on="f"/>
              <v:imagedata o:title=""/>
              <o:lock v:ext="edit" aspectratio="f"/>
              <v:textbox inset="0mm,0mm,0mm,0mm" style="mso-fit-shape-to-text:t;">
                <w:txbxContent>
                  <w:p w14:paraId="0878570D">
                    <w:pPr>
                      <w:pStyle w:val="15"/>
                      <w:tabs>
                        <w:tab w:val="center" w:pos="4320"/>
                        <w:tab w:val="right" w:pos="8640"/>
                        <w:tab w:val="clear" w:pos="4153"/>
                        <w:tab w:val="clear" w:pos="8306"/>
                      </w:tabs>
                    </w:pPr>
                    <w:r>
                      <w:fldChar w:fldCharType="begin"/>
                    </w:r>
                    <w:r>
                      <w:instrText xml:space="preserve"> PAGE  \* MERGEFORMAT </w:instrText>
                    </w:r>
                    <w:r>
                      <w:fldChar w:fldCharType="separate"/>
                    </w:r>
                    <w:r>
                      <w:t>１</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47B09">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F8B8AB">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3BvgT3gEAAL8DAAAOAAAAAAAA&#10;AAEAIAAAAB4BAABkcnMvZTJvRG9jLnhtbFBLBQYAAAAABgAGAFkBAABuBQAAAAA=&#10;">
              <v:fill on="f" focussize="0,0"/>
              <v:stroke on="f"/>
              <v:imagedata o:title=""/>
              <o:lock v:ext="edit" aspectratio="f"/>
              <v:textbox inset="0mm,0mm,0mm,0mm" style="mso-fit-shape-to-text:t;">
                <w:txbxContent>
                  <w:p w14:paraId="13F8B8AB">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9F87">
    <w:pPr>
      <w:pStyle w:val="15"/>
      <w:tabs>
        <w:tab w:val="clear" w:pos="4153"/>
        <w:tab w:val="clear" w:pos="8306"/>
      </w:tabs>
      <w:ind w:right="360"/>
      <w:jc w:val="both"/>
      <w:rPr>
        <w:rFonts w:hint="eastAsia" w:eastAsia="宋体"/>
        <w:lang w:eastAsia="zh-CN"/>
      </w:rPr>
    </w:pPr>
    <w:r>
      <w:rPr>
        <w:sz w:val="13"/>
      </w:rP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1AD1A6A">
                          <w:pPr>
                            <w:pStyle w:val="15"/>
                            <w:tabs>
                              <w:tab w:val="center" w:pos="4320"/>
                              <w:tab w:val="right" w:pos="8640"/>
                              <w:tab w:val="clear" w:pos="4153"/>
                              <w:tab w:val="clear" w:pos="8306"/>
                            </w:tabs>
                          </w:pPr>
                          <w:r>
                            <w:fldChar w:fldCharType="begin"/>
                          </w:r>
                          <w:r>
                            <w:instrText xml:space="preserve"> PAGE  \* MERGEFORMAT </w:instrText>
                          </w:r>
                          <w:r>
                            <w:fldChar w:fldCharType="separate"/>
                          </w:r>
                          <w:r>
                            <w:t>41</w:t>
                          </w:r>
                          <w:r>
                            <w:fldChar w:fldCharType="end"/>
                          </w:r>
                        </w:p>
                      </w:txbxContent>
                    </wps:txbx>
                    <wps:bodyPr wrap="none" lIns="0" tIns="0" rIns="0" bIns="0">
                      <a:spAutoFit/>
                    </wps:bodyPr>
                  </wps:wsp>
                </a:graphicData>
              </a:graphic>
            </wp:anchor>
          </w:drawing>
        </mc:Choice>
        <mc:Fallback>
          <w:pict>
            <v:rect id="文本框 10" o:spid="_x0000_s1026" o:spt="1"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Ll1uVLQAAAABQEAAA8AAAAAAAAAAQAgAAAAIgAAAGRycy9kb3ducmV2LnhtbFBLAQIUABQAAAAI&#10;AIdO4kB7xSs+vAEAAHwDAAAOAAAAAAAAAAEAIAAAAB8BAABkcnMvZTJvRG9jLnhtbFBLBQYAAAAA&#10;BgAGAFkBAABNBQAAAAA=&#10;">
              <v:fill on="f" focussize="0,0"/>
              <v:stroke on="f"/>
              <v:imagedata o:title=""/>
              <o:lock v:ext="edit" aspectratio="f"/>
              <v:textbox inset="0mm,0mm,0mm,0mm" style="mso-fit-shape-to-text:t;">
                <w:txbxContent>
                  <w:p w14:paraId="41AD1A6A">
                    <w:pPr>
                      <w:pStyle w:val="15"/>
                      <w:tabs>
                        <w:tab w:val="center" w:pos="4320"/>
                        <w:tab w:val="right" w:pos="8640"/>
                        <w:tab w:val="clear" w:pos="4153"/>
                        <w:tab w:val="clear" w:pos="8306"/>
                      </w:tabs>
                    </w:pPr>
                    <w:r>
                      <w:fldChar w:fldCharType="begin"/>
                    </w:r>
                    <w:r>
                      <w:instrText xml:space="preserve"> PAGE  \* MERGEFORMAT </w:instrText>
                    </w:r>
                    <w:r>
                      <w:fldChar w:fldCharType="separate"/>
                    </w:r>
                    <w:r>
                      <w:t>41</w:t>
                    </w:r>
                    <w:r>
                      <w:fldChar w:fldCharType="end"/>
                    </w:r>
                  </w:p>
                </w:txbxContent>
              </v:textbox>
            </v:rect>
          </w:pict>
        </mc:Fallback>
      </mc:AlternateContent>
    </w:r>
    <w:r>
      <w:rPr>
        <w:rFonts w:hint="eastAsia"/>
        <w:sz w:val="13"/>
        <w:szCs w:val="13"/>
      </w:rPr>
      <w:t xml:space="preserve"> </w:t>
    </w:r>
    <w:r>
      <w:rPr>
        <w:rFonts w:hint="eastAsia"/>
      </w:rPr>
      <w:t xml:space="preserve"> </w:t>
    </w:r>
    <w:r>
      <w:rPr>
        <w:rFonts w:hint="eastAsia"/>
        <w:sz w:val="15"/>
        <w:szCs w:val="16"/>
      </w:rPr>
      <w:t xml:space="preserve"> </w:t>
    </w:r>
    <w:r>
      <w:rPr>
        <w:rFonts w:hint="eastAsia"/>
        <w:szCs w:val="18"/>
      </w:rPr>
      <w:t xml:space="preserve"> </w:t>
    </w:r>
    <w:r>
      <w:rPr>
        <w:rFonts w:hint="eastAsia"/>
        <w:sz w:val="13"/>
        <w:szCs w:val="13"/>
      </w:rPr>
      <w:t xml:space="preserve"> </w:t>
    </w:r>
    <w:r>
      <w:rPr>
        <w:rFonts w:hint="eastAsia"/>
        <w:color w:val="800000"/>
        <w:sz w:val="16"/>
        <w:szCs w:val="16"/>
      </w:rPr>
      <w:t>Add：</w:t>
    </w:r>
    <w:r>
      <w:rPr>
        <w:rFonts w:hint="eastAsia" w:hAnsi="宋体"/>
        <w:sz w:val="21"/>
        <w:szCs w:val="24"/>
        <w:lang w:eastAsia="zh-CN"/>
      </w:rPr>
      <w:t>喀什市库木代尔瓦扎街道大十字社区解放南路50号米兰大厦9层901号</w:t>
    </w:r>
  </w:p>
  <w:p w14:paraId="7A058F10">
    <w:pPr>
      <w:pStyle w:val="15"/>
      <w:tabs>
        <w:tab w:val="center" w:pos="4320"/>
        <w:tab w:val="right" w:pos="8640"/>
        <w:tab w:val="clear" w:pos="4153"/>
        <w:tab w:val="clear" w:pos="8306"/>
      </w:tabs>
      <w:ind w:right="360"/>
      <w:rPr>
        <w:sz w:val="15"/>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346DD">
    <w:pPr>
      <w:pStyle w:val="15"/>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891906">
                          <w:pPr>
                            <w:pStyle w:val="15"/>
                          </w:pPr>
                          <w:r>
                            <w:fldChar w:fldCharType="begin"/>
                          </w:r>
                          <w:r>
                            <w:instrText xml:space="preserve"> PAGE  \* MERGEFORMAT </w:instrText>
                          </w:r>
                          <w:r>
                            <w:fldChar w:fldCharType="separate"/>
                          </w:r>
                          <w:r>
                            <w:t>59</w:t>
                          </w:r>
                          <w:r>
                            <w:fldChar w:fldCharType="end"/>
                          </w:r>
                        </w:p>
                      </w:txbxContent>
                    </wps:txbx>
                    <wps:bodyPr vert="horz" wrap="none" lIns="0" tIns="0" rIns="0" bIns="0" anchor="t" anchorCtr="0" upright="0">
                      <a:spAutoFit/>
                    </wps:bodyPr>
                  </wps:wsp>
                </a:graphicData>
              </a:graphic>
            </wp:anchor>
          </w:drawing>
        </mc:Choice>
        <mc:Fallback>
          <w:pict>
            <v:shape id="文本框 3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QwMKJ98BAAC/AwAADgAAAAAA&#10;AAABACAAAAAeAQAAZHJzL2Uyb0RvYy54bWxQSwUGAAAAAAYABgBZAQAAbwUAAAAA&#10;">
              <v:fill on="f" focussize="0,0"/>
              <v:stroke on="f"/>
              <v:imagedata o:title=""/>
              <o:lock v:ext="edit" aspectratio="f"/>
              <v:textbox inset="0mm,0mm,0mm,0mm" style="mso-fit-shape-to-text:t;">
                <w:txbxContent>
                  <w:p w14:paraId="2A891906">
                    <w:pPr>
                      <w:pStyle w:val="15"/>
                    </w:pPr>
                    <w:r>
                      <w:fldChar w:fldCharType="begin"/>
                    </w:r>
                    <w:r>
                      <w:instrText xml:space="preserve"> PAGE  \* MERGEFORMAT </w:instrText>
                    </w:r>
                    <w:r>
                      <w:fldChar w:fldCharType="separate"/>
                    </w:r>
                    <w:r>
                      <w:t>59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6AB51">
    <w:pPr>
      <w:pStyle w:val="16"/>
    </w:pPr>
    <w:r>
      <w:tab/>
    </w:r>
    <w:r>
      <w:rPr>
        <w:rFonts w:hint="eastAsia"/>
      </w:rPr>
      <w:t xml:space="preserve">                           </w:t>
    </w:r>
  </w:p>
  <w:p w14:paraId="0991830F">
    <w:pPr>
      <w:pStyle w:val="16"/>
      <w:ind w:left="7730" w:hanging="7730" w:hangingChars="3500"/>
      <w:jc w:val="both"/>
      <w:rPr>
        <w:sz w:val="20"/>
      </w:rPr>
    </w:pPr>
    <w:r>
      <w:rPr>
        <w:rFonts w:hint="eastAsia"/>
        <w:b/>
        <w:bCs/>
        <w:sz w:val="22"/>
        <w:szCs w:val="24"/>
        <w:lang w:eastAsia="zh-CN"/>
      </w:rPr>
      <w:t>中佳信建设管理集团有限公司</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51628D59">
    <w:pPr>
      <w:adjustRightInd w:val="0"/>
      <w:ind w:firstLine="420" w:firstLineChars="200"/>
      <w:jc w:val="right"/>
    </w:pPr>
    <w:r>
      <w:rPr>
        <w:rFonts w:hint="eastAsia"/>
      </w:rPr>
      <w:t xml:space="preserve">   </w:t>
    </w:r>
    <w:r>
      <w:rPr>
        <w:rFonts w:hint="eastAsia"/>
        <w:sz w:val="24"/>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EA1EA">
    <w:pPr>
      <w:pStyle w:val="16"/>
      <w:pBdr>
        <w:bottom w:val="none" w:color="auto" w:sz="0" w:space="0"/>
      </w:pBdr>
      <w:tabs>
        <w:tab w:val="clear" w:pos="4153"/>
        <w:tab w:val="clear" w:pos="8306"/>
      </w:tabs>
      <w:jc w:val="both"/>
      <w:rPr>
        <w:rFonts w:hint="eastAsia" w:eastAsia="宋体"/>
        <w:u w:val="non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BA511">
    <w:pPr>
      <w:pStyle w:val="16"/>
      <w:jc w:val="both"/>
      <w:rPr>
        <w:rFonts w:ascii="宋体" w:hAnsi="宋体"/>
        <w:sz w:val="20"/>
      </w:rPr>
    </w:pPr>
  </w:p>
  <w:p w14:paraId="5DEFBDBB">
    <w:pPr>
      <w:pStyle w:val="16"/>
      <w:ind w:left="7730" w:hanging="7730" w:hangingChars="3500"/>
      <w:jc w:val="both"/>
      <w:rPr>
        <w:sz w:val="20"/>
      </w:rPr>
    </w:pPr>
    <w:r>
      <w:rPr>
        <w:rFonts w:hint="eastAsia"/>
        <w:b/>
        <w:bCs/>
        <w:sz w:val="22"/>
        <w:szCs w:val="24"/>
        <w:lang w:eastAsia="zh-CN"/>
      </w:rPr>
      <w:t>中佳信建设管理集团有限公司</w:t>
    </w:r>
    <w:r>
      <w:rPr>
        <w:rFonts w:hint="eastAsia"/>
        <w:b/>
        <w:bCs/>
        <w:sz w:val="22"/>
        <w:szCs w:val="24"/>
      </w:rPr>
      <w:t xml:space="preserve">  </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025BA74C">
    <w:pPr>
      <w:pStyle w:val="16"/>
      <w:jc w:val="right"/>
      <w:rPr>
        <w:rFonts w:ascii="宋体" w:hAnsi="宋体"/>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7B581">
    <w:pPr>
      <w:pStyle w:val="16"/>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8FEE9"/>
    <w:multiLevelType w:val="singleLevel"/>
    <w:tmpl w:val="A918FEE9"/>
    <w:lvl w:ilvl="0" w:tentative="0">
      <w:start w:val="2"/>
      <w:numFmt w:val="chineseCounting"/>
      <w:suff w:val="space"/>
      <w:lvlText w:val="第%1部分"/>
      <w:lvlJc w:val="left"/>
      <w:rPr>
        <w:rFonts w:hint="eastAsia"/>
      </w:rPr>
    </w:lvl>
  </w:abstractNum>
  <w:abstractNum w:abstractNumId="1">
    <w:nsid w:val="EF1972B9"/>
    <w:multiLevelType w:val="singleLevel"/>
    <w:tmpl w:val="EF1972B9"/>
    <w:lvl w:ilvl="0" w:tentative="0">
      <w:start w:val="8"/>
      <w:numFmt w:val="decimal"/>
      <w:suff w:val="nothing"/>
      <w:lvlText w:val="（%1）"/>
      <w:lvlJc w:val="left"/>
    </w:lvl>
  </w:abstractNum>
  <w:abstractNum w:abstractNumId="2">
    <w:nsid w:val="00000000"/>
    <w:multiLevelType w:val="singleLevel"/>
    <w:tmpl w:val="00000000"/>
    <w:lvl w:ilvl="0" w:tentative="0">
      <w:start w:val="1"/>
      <w:numFmt w:val="decimal"/>
      <w:suff w:val="nothing"/>
      <w:lvlText w:val="（%1）"/>
      <w:lvlJc w:val="left"/>
      <w:rPr>
        <w:rFonts w:hint="default"/>
        <w:sz w:val="18"/>
        <w:szCs w:val="18"/>
      </w:rPr>
    </w:lvl>
  </w:abstractNum>
  <w:abstractNum w:abstractNumId="3">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4">
    <w:nsid w:val="13B3CC1B"/>
    <w:multiLevelType w:val="singleLevel"/>
    <w:tmpl w:val="13B3CC1B"/>
    <w:lvl w:ilvl="0" w:tentative="0">
      <w:start w:val="2"/>
      <w:numFmt w:val="decimal"/>
      <w:lvlText w:val="%1."/>
      <w:lvlJc w:val="left"/>
      <w:pPr>
        <w:tabs>
          <w:tab w:val="left" w:pos="312"/>
        </w:tabs>
      </w:p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6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4232F53"/>
    <w:multiLevelType w:val="singleLevel"/>
    <w:tmpl w:val="74232F53"/>
    <w:lvl w:ilvl="0" w:tentative="0">
      <w:start w:val="1"/>
      <w:numFmt w:val="decimal"/>
      <w:suff w:val="nothing"/>
      <w:lvlText w:val="%1、"/>
      <w:lvlJc w:val="left"/>
    </w:lvl>
  </w:abstractNum>
  <w:abstractNum w:abstractNumId="9">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5"/>
  </w:num>
  <w:num w:numId="2">
    <w:abstractNumId w:val="6"/>
  </w:num>
  <w:num w:numId="3">
    <w:abstractNumId w:val="8"/>
  </w:num>
  <w:num w:numId="4">
    <w:abstractNumId w:val="2"/>
  </w:num>
  <w:num w:numId="5">
    <w:abstractNumId w:val="7"/>
  </w:num>
  <w:num w:numId="6">
    <w:abstractNumId w:val="3"/>
  </w:num>
  <w:num w:numId="7">
    <w:abstractNumId w:val="9"/>
  </w:num>
  <w:num w:numId="8">
    <w:abstractNumId w:val="1"/>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6"/>
  <w:drawingGridVerticalSpacing w:val="157"/>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yODA5YWZmMzQwYzUwZDk5NzU4MjBmMGQ1ZjI2N2IifQ=="/>
  </w:docVars>
  <w:rsids>
    <w:rsidRoot w:val="00AE79E0"/>
    <w:rsid w:val="000008FD"/>
    <w:rsid w:val="00003231"/>
    <w:rsid w:val="00003B78"/>
    <w:rsid w:val="00003F23"/>
    <w:rsid w:val="00005025"/>
    <w:rsid w:val="0000620B"/>
    <w:rsid w:val="0000681E"/>
    <w:rsid w:val="0000682D"/>
    <w:rsid w:val="00011FD2"/>
    <w:rsid w:val="000126C8"/>
    <w:rsid w:val="00012CFA"/>
    <w:rsid w:val="00013187"/>
    <w:rsid w:val="000137F2"/>
    <w:rsid w:val="00014B17"/>
    <w:rsid w:val="000165AB"/>
    <w:rsid w:val="000201C1"/>
    <w:rsid w:val="00021187"/>
    <w:rsid w:val="00021198"/>
    <w:rsid w:val="00021864"/>
    <w:rsid w:val="00023055"/>
    <w:rsid w:val="00023185"/>
    <w:rsid w:val="000242CE"/>
    <w:rsid w:val="00024AD6"/>
    <w:rsid w:val="00026A08"/>
    <w:rsid w:val="000279EA"/>
    <w:rsid w:val="000305D5"/>
    <w:rsid w:val="000319B0"/>
    <w:rsid w:val="00034387"/>
    <w:rsid w:val="00034B72"/>
    <w:rsid w:val="00034BA3"/>
    <w:rsid w:val="00034CDA"/>
    <w:rsid w:val="00034F63"/>
    <w:rsid w:val="0003627F"/>
    <w:rsid w:val="0003679A"/>
    <w:rsid w:val="00040E67"/>
    <w:rsid w:val="00041F06"/>
    <w:rsid w:val="000423B1"/>
    <w:rsid w:val="0004299A"/>
    <w:rsid w:val="000429F1"/>
    <w:rsid w:val="000437CC"/>
    <w:rsid w:val="00043E1C"/>
    <w:rsid w:val="00046FC5"/>
    <w:rsid w:val="00047373"/>
    <w:rsid w:val="000476D9"/>
    <w:rsid w:val="0005173F"/>
    <w:rsid w:val="00051864"/>
    <w:rsid w:val="00051ECE"/>
    <w:rsid w:val="000520FE"/>
    <w:rsid w:val="00053450"/>
    <w:rsid w:val="000538D1"/>
    <w:rsid w:val="00054A43"/>
    <w:rsid w:val="00055123"/>
    <w:rsid w:val="00055AB6"/>
    <w:rsid w:val="00055F34"/>
    <w:rsid w:val="00056350"/>
    <w:rsid w:val="00056A13"/>
    <w:rsid w:val="000576A3"/>
    <w:rsid w:val="00063B93"/>
    <w:rsid w:val="00064417"/>
    <w:rsid w:val="000649EF"/>
    <w:rsid w:val="00065388"/>
    <w:rsid w:val="00065665"/>
    <w:rsid w:val="00067D7A"/>
    <w:rsid w:val="00070288"/>
    <w:rsid w:val="00070340"/>
    <w:rsid w:val="000708C5"/>
    <w:rsid w:val="000712BD"/>
    <w:rsid w:val="000719DB"/>
    <w:rsid w:val="00072AC0"/>
    <w:rsid w:val="000738C2"/>
    <w:rsid w:val="000742BD"/>
    <w:rsid w:val="0007479D"/>
    <w:rsid w:val="000749E3"/>
    <w:rsid w:val="000750AD"/>
    <w:rsid w:val="00075123"/>
    <w:rsid w:val="00075390"/>
    <w:rsid w:val="0007565B"/>
    <w:rsid w:val="00075BB9"/>
    <w:rsid w:val="00076436"/>
    <w:rsid w:val="00076558"/>
    <w:rsid w:val="00077C43"/>
    <w:rsid w:val="00077D8B"/>
    <w:rsid w:val="0008094E"/>
    <w:rsid w:val="00080A6F"/>
    <w:rsid w:val="000816F2"/>
    <w:rsid w:val="00082869"/>
    <w:rsid w:val="00083463"/>
    <w:rsid w:val="00083CDC"/>
    <w:rsid w:val="00084CC1"/>
    <w:rsid w:val="000852D7"/>
    <w:rsid w:val="00085489"/>
    <w:rsid w:val="000863D1"/>
    <w:rsid w:val="00086A7A"/>
    <w:rsid w:val="00086B28"/>
    <w:rsid w:val="000874E4"/>
    <w:rsid w:val="0008796E"/>
    <w:rsid w:val="00087E9D"/>
    <w:rsid w:val="000901E9"/>
    <w:rsid w:val="00090BD9"/>
    <w:rsid w:val="00090F00"/>
    <w:rsid w:val="00091C9B"/>
    <w:rsid w:val="00091DC7"/>
    <w:rsid w:val="000926F6"/>
    <w:rsid w:val="000942A8"/>
    <w:rsid w:val="00094641"/>
    <w:rsid w:val="00094AC9"/>
    <w:rsid w:val="00095245"/>
    <w:rsid w:val="000955A6"/>
    <w:rsid w:val="00095B6E"/>
    <w:rsid w:val="0009686F"/>
    <w:rsid w:val="000A1761"/>
    <w:rsid w:val="000A184E"/>
    <w:rsid w:val="000A1B3C"/>
    <w:rsid w:val="000A2970"/>
    <w:rsid w:val="000A35E1"/>
    <w:rsid w:val="000A3813"/>
    <w:rsid w:val="000A4619"/>
    <w:rsid w:val="000A48D7"/>
    <w:rsid w:val="000A5705"/>
    <w:rsid w:val="000A6219"/>
    <w:rsid w:val="000A6DD1"/>
    <w:rsid w:val="000A7BFA"/>
    <w:rsid w:val="000A7E34"/>
    <w:rsid w:val="000B0CDF"/>
    <w:rsid w:val="000B19BA"/>
    <w:rsid w:val="000B21F3"/>
    <w:rsid w:val="000B5B49"/>
    <w:rsid w:val="000B5CD6"/>
    <w:rsid w:val="000B5D8E"/>
    <w:rsid w:val="000B71A8"/>
    <w:rsid w:val="000B7353"/>
    <w:rsid w:val="000B7627"/>
    <w:rsid w:val="000B7FDE"/>
    <w:rsid w:val="000C062A"/>
    <w:rsid w:val="000C0D0A"/>
    <w:rsid w:val="000C0D63"/>
    <w:rsid w:val="000C1047"/>
    <w:rsid w:val="000C2C5E"/>
    <w:rsid w:val="000C4AF2"/>
    <w:rsid w:val="000C58C5"/>
    <w:rsid w:val="000C627A"/>
    <w:rsid w:val="000C6774"/>
    <w:rsid w:val="000C68DD"/>
    <w:rsid w:val="000C742F"/>
    <w:rsid w:val="000C7D1B"/>
    <w:rsid w:val="000D07C7"/>
    <w:rsid w:val="000D16D6"/>
    <w:rsid w:val="000D1955"/>
    <w:rsid w:val="000D1963"/>
    <w:rsid w:val="000D260B"/>
    <w:rsid w:val="000D296C"/>
    <w:rsid w:val="000D2BE7"/>
    <w:rsid w:val="000D3BE4"/>
    <w:rsid w:val="000D3FDF"/>
    <w:rsid w:val="000D3FE5"/>
    <w:rsid w:val="000D5BFA"/>
    <w:rsid w:val="000D77C3"/>
    <w:rsid w:val="000E0018"/>
    <w:rsid w:val="000E169F"/>
    <w:rsid w:val="000E18AA"/>
    <w:rsid w:val="000E1F61"/>
    <w:rsid w:val="000E30EA"/>
    <w:rsid w:val="000E3822"/>
    <w:rsid w:val="000E416E"/>
    <w:rsid w:val="000E4260"/>
    <w:rsid w:val="000E4C55"/>
    <w:rsid w:val="000E57CE"/>
    <w:rsid w:val="000E5BD2"/>
    <w:rsid w:val="000E6242"/>
    <w:rsid w:val="000E689E"/>
    <w:rsid w:val="000E6A46"/>
    <w:rsid w:val="000E6ED7"/>
    <w:rsid w:val="000F0113"/>
    <w:rsid w:val="000F1DED"/>
    <w:rsid w:val="000F2698"/>
    <w:rsid w:val="000F3E84"/>
    <w:rsid w:val="000F3FFF"/>
    <w:rsid w:val="000F4B95"/>
    <w:rsid w:val="000F6140"/>
    <w:rsid w:val="000F6A98"/>
    <w:rsid w:val="000F6AB9"/>
    <w:rsid w:val="000F6B00"/>
    <w:rsid w:val="000F6D6B"/>
    <w:rsid w:val="000F6DA7"/>
    <w:rsid w:val="000F7DEB"/>
    <w:rsid w:val="001008C8"/>
    <w:rsid w:val="00103AEE"/>
    <w:rsid w:val="00104E2B"/>
    <w:rsid w:val="00104E64"/>
    <w:rsid w:val="0010538C"/>
    <w:rsid w:val="001057AF"/>
    <w:rsid w:val="00110A45"/>
    <w:rsid w:val="00111249"/>
    <w:rsid w:val="001123E7"/>
    <w:rsid w:val="001135FE"/>
    <w:rsid w:val="00113871"/>
    <w:rsid w:val="0011439C"/>
    <w:rsid w:val="00114702"/>
    <w:rsid w:val="00116424"/>
    <w:rsid w:val="001167DB"/>
    <w:rsid w:val="00116D76"/>
    <w:rsid w:val="00117062"/>
    <w:rsid w:val="001170CE"/>
    <w:rsid w:val="001178E2"/>
    <w:rsid w:val="00117DEA"/>
    <w:rsid w:val="00117FAC"/>
    <w:rsid w:val="0012043E"/>
    <w:rsid w:val="001209D4"/>
    <w:rsid w:val="001209D7"/>
    <w:rsid w:val="00120A18"/>
    <w:rsid w:val="00120C83"/>
    <w:rsid w:val="00121289"/>
    <w:rsid w:val="001233FB"/>
    <w:rsid w:val="0012425E"/>
    <w:rsid w:val="0012511F"/>
    <w:rsid w:val="00125392"/>
    <w:rsid w:val="001255D4"/>
    <w:rsid w:val="00125861"/>
    <w:rsid w:val="001263BA"/>
    <w:rsid w:val="00126A4E"/>
    <w:rsid w:val="00126AD8"/>
    <w:rsid w:val="00126DF1"/>
    <w:rsid w:val="001276ED"/>
    <w:rsid w:val="00127742"/>
    <w:rsid w:val="00130067"/>
    <w:rsid w:val="00130C17"/>
    <w:rsid w:val="0013112F"/>
    <w:rsid w:val="0013118B"/>
    <w:rsid w:val="001311ED"/>
    <w:rsid w:val="0013431D"/>
    <w:rsid w:val="00134648"/>
    <w:rsid w:val="001348DF"/>
    <w:rsid w:val="00134FD5"/>
    <w:rsid w:val="0013509E"/>
    <w:rsid w:val="00135535"/>
    <w:rsid w:val="00135AED"/>
    <w:rsid w:val="00135BC4"/>
    <w:rsid w:val="00135F38"/>
    <w:rsid w:val="001369C3"/>
    <w:rsid w:val="00137B6B"/>
    <w:rsid w:val="00137D64"/>
    <w:rsid w:val="00137E4C"/>
    <w:rsid w:val="00141038"/>
    <w:rsid w:val="0014151F"/>
    <w:rsid w:val="00141941"/>
    <w:rsid w:val="00142184"/>
    <w:rsid w:val="0014311D"/>
    <w:rsid w:val="00144467"/>
    <w:rsid w:val="001449E6"/>
    <w:rsid w:val="0014579A"/>
    <w:rsid w:val="00145A0C"/>
    <w:rsid w:val="00145E17"/>
    <w:rsid w:val="00147477"/>
    <w:rsid w:val="0015038C"/>
    <w:rsid w:val="001508B1"/>
    <w:rsid w:val="00152331"/>
    <w:rsid w:val="00152403"/>
    <w:rsid w:val="00152CE0"/>
    <w:rsid w:val="00155001"/>
    <w:rsid w:val="001553F5"/>
    <w:rsid w:val="001554EC"/>
    <w:rsid w:val="00155CDB"/>
    <w:rsid w:val="00156646"/>
    <w:rsid w:val="001568CF"/>
    <w:rsid w:val="00157E12"/>
    <w:rsid w:val="00160800"/>
    <w:rsid w:val="00160863"/>
    <w:rsid w:val="0016087F"/>
    <w:rsid w:val="00160A88"/>
    <w:rsid w:val="001613E7"/>
    <w:rsid w:val="0016174A"/>
    <w:rsid w:val="001620F9"/>
    <w:rsid w:val="00165DAF"/>
    <w:rsid w:val="00167DD2"/>
    <w:rsid w:val="0017046D"/>
    <w:rsid w:val="0017080E"/>
    <w:rsid w:val="00171430"/>
    <w:rsid w:val="001714A4"/>
    <w:rsid w:val="00171FC2"/>
    <w:rsid w:val="001729B3"/>
    <w:rsid w:val="00172D11"/>
    <w:rsid w:val="00172FE9"/>
    <w:rsid w:val="001736ED"/>
    <w:rsid w:val="00173D1D"/>
    <w:rsid w:val="00174925"/>
    <w:rsid w:val="00174E84"/>
    <w:rsid w:val="00175BB3"/>
    <w:rsid w:val="00176570"/>
    <w:rsid w:val="00176A44"/>
    <w:rsid w:val="00176CDE"/>
    <w:rsid w:val="00177851"/>
    <w:rsid w:val="00180275"/>
    <w:rsid w:val="0018175A"/>
    <w:rsid w:val="00182153"/>
    <w:rsid w:val="00183525"/>
    <w:rsid w:val="00183724"/>
    <w:rsid w:val="00184539"/>
    <w:rsid w:val="00184EF2"/>
    <w:rsid w:val="0018523C"/>
    <w:rsid w:val="00186A8D"/>
    <w:rsid w:val="0019046D"/>
    <w:rsid w:val="00191194"/>
    <w:rsid w:val="00192441"/>
    <w:rsid w:val="001924AF"/>
    <w:rsid w:val="00192969"/>
    <w:rsid w:val="00192AB0"/>
    <w:rsid w:val="00193398"/>
    <w:rsid w:val="001935E2"/>
    <w:rsid w:val="00193A65"/>
    <w:rsid w:val="00194057"/>
    <w:rsid w:val="0019444D"/>
    <w:rsid w:val="001966AA"/>
    <w:rsid w:val="00196974"/>
    <w:rsid w:val="00196D5E"/>
    <w:rsid w:val="00196F4B"/>
    <w:rsid w:val="001972EB"/>
    <w:rsid w:val="001A0B29"/>
    <w:rsid w:val="001A12FE"/>
    <w:rsid w:val="001A406A"/>
    <w:rsid w:val="001A62A1"/>
    <w:rsid w:val="001A6A2E"/>
    <w:rsid w:val="001A74C3"/>
    <w:rsid w:val="001B0B9D"/>
    <w:rsid w:val="001B1C75"/>
    <w:rsid w:val="001B2BBF"/>
    <w:rsid w:val="001B522A"/>
    <w:rsid w:val="001B560A"/>
    <w:rsid w:val="001B5738"/>
    <w:rsid w:val="001B6E93"/>
    <w:rsid w:val="001B70B5"/>
    <w:rsid w:val="001B7B84"/>
    <w:rsid w:val="001B7F39"/>
    <w:rsid w:val="001C05AB"/>
    <w:rsid w:val="001C1F35"/>
    <w:rsid w:val="001C2A8A"/>
    <w:rsid w:val="001C3B70"/>
    <w:rsid w:val="001C5539"/>
    <w:rsid w:val="001C59BE"/>
    <w:rsid w:val="001C5DC4"/>
    <w:rsid w:val="001C5E26"/>
    <w:rsid w:val="001C6220"/>
    <w:rsid w:val="001C6B18"/>
    <w:rsid w:val="001C758E"/>
    <w:rsid w:val="001D0A93"/>
    <w:rsid w:val="001D2F5F"/>
    <w:rsid w:val="001D446C"/>
    <w:rsid w:val="001D5688"/>
    <w:rsid w:val="001D58FF"/>
    <w:rsid w:val="001D629D"/>
    <w:rsid w:val="001D63FD"/>
    <w:rsid w:val="001D6F3F"/>
    <w:rsid w:val="001D6F45"/>
    <w:rsid w:val="001D7E45"/>
    <w:rsid w:val="001E04F1"/>
    <w:rsid w:val="001E20D3"/>
    <w:rsid w:val="001E2E22"/>
    <w:rsid w:val="001E2FC4"/>
    <w:rsid w:val="001E36B7"/>
    <w:rsid w:val="001E47CD"/>
    <w:rsid w:val="001E5159"/>
    <w:rsid w:val="001E5832"/>
    <w:rsid w:val="001E591A"/>
    <w:rsid w:val="001E68D0"/>
    <w:rsid w:val="001F07C5"/>
    <w:rsid w:val="001F1324"/>
    <w:rsid w:val="001F134E"/>
    <w:rsid w:val="001F14AE"/>
    <w:rsid w:val="001F1946"/>
    <w:rsid w:val="001F26BA"/>
    <w:rsid w:val="001F3378"/>
    <w:rsid w:val="001F4661"/>
    <w:rsid w:val="001F4719"/>
    <w:rsid w:val="001F66D5"/>
    <w:rsid w:val="001F6A1F"/>
    <w:rsid w:val="001F7137"/>
    <w:rsid w:val="001F770C"/>
    <w:rsid w:val="00200094"/>
    <w:rsid w:val="00200808"/>
    <w:rsid w:val="00200C69"/>
    <w:rsid w:val="00201148"/>
    <w:rsid w:val="00202825"/>
    <w:rsid w:val="00202D5B"/>
    <w:rsid w:val="00202F2A"/>
    <w:rsid w:val="002036F3"/>
    <w:rsid w:val="00203F5C"/>
    <w:rsid w:val="00204191"/>
    <w:rsid w:val="0020421A"/>
    <w:rsid w:val="002047D3"/>
    <w:rsid w:val="0020497C"/>
    <w:rsid w:val="00205798"/>
    <w:rsid w:val="00205A83"/>
    <w:rsid w:val="00205DEE"/>
    <w:rsid w:val="00207016"/>
    <w:rsid w:val="0021092F"/>
    <w:rsid w:val="00210BCE"/>
    <w:rsid w:val="002111F8"/>
    <w:rsid w:val="002112B7"/>
    <w:rsid w:val="0021169E"/>
    <w:rsid w:val="00211789"/>
    <w:rsid w:val="00211B64"/>
    <w:rsid w:val="00211C86"/>
    <w:rsid w:val="00211FEE"/>
    <w:rsid w:val="002122F0"/>
    <w:rsid w:val="00212CA5"/>
    <w:rsid w:val="00212EB3"/>
    <w:rsid w:val="00213256"/>
    <w:rsid w:val="0021421B"/>
    <w:rsid w:val="0021435E"/>
    <w:rsid w:val="00217577"/>
    <w:rsid w:val="00217846"/>
    <w:rsid w:val="002203C0"/>
    <w:rsid w:val="002209E8"/>
    <w:rsid w:val="002215D0"/>
    <w:rsid w:val="0022309F"/>
    <w:rsid w:val="00224266"/>
    <w:rsid w:val="002248D5"/>
    <w:rsid w:val="00224BDB"/>
    <w:rsid w:val="00225A4D"/>
    <w:rsid w:val="00225E3E"/>
    <w:rsid w:val="00225E4A"/>
    <w:rsid w:val="00227FEE"/>
    <w:rsid w:val="00230CC1"/>
    <w:rsid w:val="00230D14"/>
    <w:rsid w:val="002314E9"/>
    <w:rsid w:val="00231CB1"/>
    <w:rsid w:val="00232C8A"/>
    <w:rsid w:val="0023334B"/>
    <w:rsid w:val="00234A89"/>
    <w:rsid w:val="00234E10"/>
    <w:rsid w:val="00235478"/>
    <w:rsid w:val="002358C7"/>
    <w:rsid w:val="002362AF"/>
    <w:rsid w:val="002362CC"/>
    <w:rsid w:val="00237506"/>
    <w:rsid w:val="002378D0"/>
    <w:rsid w:val="00237B57"/>
    <w:rsid w:val="00243A1C"/>
    <w:rsid w:val="00243B5E"/>
    <w:rsid w:val="00243C20"/>
    <w:rsid w:val="00243D7D"/>
    <w:rsid w:val="00243ECE"/>
    <w:rsid w:val="00245ACA"/>
    <w:rsid w:val="00246F54"/>
    <w:rsid w:val="002523C6"/>
    <w:rsid w:val="0025249A"/>
    <w:rsid w:val="0025326E"/>
    <w:rsid w:val="002541D3"/>
    <w:rsid w:val="00254D18"/>
    <w:rsid w:val="00255705"/>
    <w:rsid w:val="00255C2F"/>
    <w:rsid w:val="00255D4D"/>
    <w:rsid w:val="00257088"/>
    <w:rsid w:val="002574B1"/>
    <w:rsid w:val="0025775C"/>
    <w:rsid w:val="0025785F"/>
    <w:rsid w:val="0026096A"/>
    <w:rsid w:val="00260B60"/>
    <w:rsid w:val="0026120E"/>
    <w:rsid w:val="00261315"/>
    <w:rsid w:val="0026223A"/>
    <w:rsid w:val="002632DC"/>
    <w:rsid w:val="00263F02"/>
    <w:rsid w:val="002648FB"/>
    <w:rsid w:val="00264E69"/>
    <w:rsid w:val="00266892"/>
    <w:rsid w:val="00266CC0"/>
    <w:rsid w:val="002672ED"/>
    <w:rsid w:val="0027024E"/>
    <w:rsid w:val="00272390"/>
    <w:rsid w:val="0027543F"/>
    <w:rsid w:val="00275F7E"/>
    <w:rsid w:val="002760E4"/>
    <w:rsid w:val="002768B5"/>
    <w:rsid w:val="00277378"/>
    <w:rsid w:val="0028110D"/>
    <w:rsid w:val="00281371"/>
    <w:rsid w:val="002813D2"/>
    <w:rsid w:val="002819B4"/>
    <w:rsid w:val="0028291E"/>
    <w:rsid w:val="00282FBB"/>
    <w:rsid w:val="00283B88"/>
    <w:rsid w:val="00285CC4"/>
    <w:rsid w:val="00286851"/>
    <w:rsid w:val="00290235"/>
    <w:rsid w:val="00290EB7"/>
    <w:rsid w:val="00291B90"/>
    <w:rsid w:val="00291EBD"/>
    <w:rsid w:val="00293933"/>
    <w:rsid w:val="00295F38"/>
    <w:rsid w:val="00296FAA"/>
    <w:rsid w:val="002970FB"/>
    <w:rsid w:val="00297E16"/>
    <w:rsid w:val="002A07DB"/>
    <w:rsid w:val="002A1959"/>
    <w:rsid w:val="002A3638"/>
    <w:rsid w:val="002A484A"/>
    <w:rsid w:val="002A49E9"/>
    <w:rsid w:val="002A4C87"/>
    <w:rsid w:val="002A4E7F"/>
    <w:rsid w:val="002A51FE"/>
    <w:rsid w:val="002A79FB"/>
    <w:rsid w:val="002A7C46"/>
    <w:rsid w:val="002A7D6F"/>
    <w:rsid w:val="002B08C1"/>
    <w:rsid w:val="002B0A6F"/>
    <w:rsid w:val="002B12D0"/>
    <w:rsid w:val="002B17E9"/>
    <w:rsid w:val="002B1A43"/>
    <w:rsid w:val="002B1ABC"/>
    <w:rsid w:val="002B220A"/>
    <w:rsid w:val="002B28DF"/>
    <w:rsid w:val="002B3EF5"/>
    <w:rsid w:val="002B4721"/>
    <w:rsid w:val="002B635D"/>
    <w:rsid w:val="002B6423"/>
    <w:rsid w:val="002B6D27"/>
    <w:rsid w:val="002B6EAE"/>
    <w:rsid w:val="002B7C85"/>
    <w:rsid w:val="002C1472"/>
    <w:rsid w:val="002C1DFD"/>
    <w:rsid w:val="002C316D"/>
    <w:rsid w:val="002C324F"/>
    <w:rsid w:val="002C32A4"/>
    <w:rsid w:val="002C34A7"/>
    <w:rsid w:val="002C404C"/>
    <w:rsid w:val="002C44F8"/>
    <w:rsid w:val="002C48D8"/>
    <w:rsid w:val="002C50D1"/>
    <w:rsid w:val="002C53E5"/>
    <w:rsid w:val="002C5959"/>
    <w:rsid w:val="002C66EA"/>
    <w:rsid w:val="002C6EE6"/>
    <w:rsid w:val="002C76A3"/>
    <w:rsid w:val="002D16A5"/>
    <w:rsid w:val="002D1856"/>
    <w:rsid w:val="002D4063"/>
    <w:rsid w:val="002D6C02"/>
    <w:rsid w:val="002D6F6A"/>
    <w:rsid w:val="002D702A"/>
    <w:rsid w:val="002D73D4"/>
    <w:rsid w:val="002D73FE"/>
    <w:rsid w:val="002E00B8"/>
    <w:rsid w:val="002E023A"/>
    <w:rsid w:val="002E05E3"/>
    <w:rsid w:val="002E0CF1"/>
    <w:rsid w:val="002E131F"/>
    <w:rsid w:val="002E3A5F"/>
    <w:rsid w:val="002E3A69"/>
    <w:rsid w:val="002E3A88"/>
    <w:rsid w:val="002E3B8A"/>
    <w:rsid w:val="002E5DDC"/>
    <w:rsid w:val="002E6CBA"/>
    <w:rsid w:val="002E70C0"/>
    <w:rsid w:val="002E779E"/>
    <w:rsid w:val="002F0126"/>
    <w:rsid w:val="002F1C05"/>
    <w:rsid w:val="002F3E1E"/>
    <w:rsid w:val="002F5154"/>
    <w:rsid w:val="002F5668"/>
    <w:rsid w:val="002F6350"/>
    <w:rsid w:val="002F726F"/>
    <w:rsid w:val="002F7307"/>
    <w:rsid w:val="002F775E"/>
    <w:rsid w:val="003002FC"/>
    <w:rsid w:val="00301764"/>
    <w:rsid w:val="0030256A"/>
    <w:rsid w:val="003049E1"/>
    <w:rsid w:val="00304EE7"/>
    <w:rsid w:val="003064DC"/>
    <w:rsid w:val="0030763F"/>
    <w:rsid w:val="0030791A"/>
    <w:rsid w:val="00311D1C"/>
    <w:rsid w:val="00311FE2"/>
    <w:rsid w:val="00312912"/>
    <w:rsid w:val="00312B46"/>
    <w:rsid w:val="003135CA"/>
    <w:rsid w:val="00314E48"/>
    <w:rsid w:val="00315218"/>
    <w:rsid w:val="003169FF"/>
    <w:rsid w:val="0031704D"/>
    <w:rsid w:val="00317374"/>
    <w:rsid w:val="0031782B"/>
    <w:rsid w:val="00317903"/>
    <w:rsid w:val="00317929"/>
    <w:rsid w:val="00320797"/>
    <w:rsid w:val="00321351"/>
    <w:rsid w:val="003215D0"/>
    <w:rsid w:val="003219FF"/>
    <w:rsid w:val="00321B0F"/>
    <w:rsid w:val="00323327"/>
    <w:rsid w:val="003233D3"/>
    <w:rsid w:val="0032368B"/>
    <w:rsid w:val="00323B3C"/>
    <w:rsid w:val="00323B9B"/>
    <w:rsid w:val="00323EE0"/>
    <w:rsid w:val="003250B5"/>
    <w:rsid w:val="00325C3D"/>
    <w:rsid w:val="00327B00"/>
    <w:rsid w:val="00330EEC"/>
    <w:rsid w:val="00331614"/>
    <w:rsid w:val="003316A2"/>
    <w:rsid w:val="003316AA"/>
    <w:rsid w:val="00331951"/>
    <w:rsid w:val="00333612"/>
    <w:rsid w:val="00333F5A"/>
    <w:rsid w:val="00334464"/>
    <w:rsid w:val="00335143"/>
    <w:rsid w:val="0033520E"/>
    <w:rsid w:val="003355DB"/>
    <w:rsid w:val="003360C0"/>
    <w:rsid w:val="00337E3A"/>
    <w:rsid w:val="00341701"/>
    <w:rsid w:val="00341E1B"/>
    <w:rsid w:val="00342063"/>
    <w:rsid w:val="00343AFA"/>
    <w:rsid w:val="00345340"/>
    <w:rsid w:val="00345DC6"/>
    <w:rsid w:val="00347D7F"/>
    <w:rsid w:val="0035000C"/>
    <w:rsid w:val="0035054D"/>
    <w:rsid w:val="00350672"/>
    <w:rsid w:val="003520CF"/>
    <w:rsid w:val="00352130"/>
    <w:rsid w:val="00352629"/>
    <w:rsid w:val="00352961"/>
    <w:rsid w:val="00352F5E"/>
    <w:rsid w:val="003535C3"/>
    <w:rsid w:val="00355078"/>
    <w:rsid w:val="003554BE"/>
    <w:rsid w:val="00355BD8"/>
    <w:rsid w:val="0035755D"/>
    <w:rsid w:val="00357634"/>
    <w:rsid w:val="003607F7"/>
    <w:rsid w:val="0036156D"/>
    <w:rsid w:val="00361C08"/>
    <w:rsid w:val="00362C15"/>
    <w:rsid w:val="003635A5"/>
    <w:rsid w:val="003639F7"/>
    <w:rsid w:val="00363A88"/>
    <w:rsid w:val="00364D6D"/>
    <w:rsid w:val="003660EB"/>
    <w:rsid w:val="0036682B"/>
    <w:rsid w:val="00366A3F"/>
    <w:rsid w:val="00366D2F"/>
    <w:rsid w:val="00367050"/>
    <w:rsid w:val="0036779C"/>
    <w:rsid w:val="00370079"/>
    <w:rsid w:val="00370746"/>
    <w:rsid w:val="003714B5"/>
    <w:rsid w:val="003727AA"/>
    <w:rsid w:val="003730CA"/>
    <w:rsid w:val="003733A8"/>
    <w:rsid w:val="00373B52"/>
    <w:rsid w:val="00374236"/>
    <w:rsid w:val="00374A30"/>
    <w:rsid w:val="0037500F"/>
    <w:rsid w:val="00375EBC"/>
    <w:rsid w:val="00376B56"/>
    <w:rsid w:val="00377293"/>
    <w:rsid w:val="003773A5"/>
    <w:rsid w:val="003773CE"/>
    <w:rsid w:val="003773E1"/>
    <w:rsid w:val="0037755A"/>
    <w:rsid w:val="0037765D"/>
    <w:rsid w:val="0037791B"/>
    <w:rsid w:val="00380988"/>
    <w:rsid w:val="003810A2"/>
    <w:rsid w:val="00381168"/>
    <w:rsid w:val="003827D4"/>
    <w:rsid w:val="00382C45"/>
    <w:rsid w:val="00383BED"/>
    <w:rsid w:val="00385827"/>
    <w:rsid w:val="00385E4B"/>
    <w:rsid w:val="0038654B"/>
    <w:rsid w:val="00386A77"/>
    <w:rsid w:val="00386B6F"/>
    <w:rsid w:val="00387676"/>
    <w:rsid w:val="00387770"/>
    <w:rsid w:val="00390418"/>
    <w:rsid w:val="003906A3"/>
    <w:rsid w:val="00390901"/>
    <w:rsid w:val="00390A55"/>
    <w:rsid w:val="00390D6E"/>
    <w:rsid w:val="00391153"/>
    <w:rsid w:val="0039119C"/>
    <w:rsid w:val="00392149"/>
    <w:rsid w:val="00392690"/>
    <w:rsid w:val="00392DE4"/>
    <w:rsid w:val="0039363C"/>
    <w:rsid w:val="00393D4C"/>
    <w:rsid w:val="00394FFF"/>
    <w:rsid w:val="00396C19"/>
    <w:rsid w:val="003A1A8E"/>
    <w:rsid w:val="003A1C83"/>
    <w:rsid w:val="003A1CE5"/>
    <w:rsid w:val="003A1FAF"/>
    <w:rsid w:val="003A24EE"/>
    <w:rsid w:val="003A4F37"/>
    <w:rsid w:val="003A6060"/>
    <w:rsid w:val="003A797D"/>
    <w:rsid w:val="003A7E53"/>
    <w:rsid w:val="003B03F9"/>
    <w:rsid w:val="003B0499"/>
    <w:rsid w:val="003B14CC"/>
    <w:rsid w:val="003B16BA"/>
    <w:rsid w:val="003B25CE"/>
    <w:rsid w:val="003B436D"/>
    <w:rsid w:val="003B4CAB"/>
    <w:rsid w:val="003B6267"/>
    <w:rsid w:val="003B76FC"/>
    <w:rsid w:val="003C01E5"/>
    <w:rsid w:val="003C1D2A"/>
    <w:rsid w:val="003C1E0B"/>
    <w:rsid w:val="003C2AF5"/>
    <w:rsid w:val="003C36AD"/>
    <w:rsid w:val="003C4FF3"/>
    <w:rsid w:val="003C5BF9"/>
    <w:rsid w:val="003C6429"/>
    <w:rsid w:val="003C6DB2"/>
    <w:rsid w:val="003C7068"/>
    <w:rsid w:val="003C7A1D"/>
    <w:rsid w:val="003D1587"/>
    <w:rsid w:val="003D1C4D"/>
    <w:rsid w:val="003D21B2"/>
    <w:rsid w:val="003D302B"/>
    <w:rsid w:val="003D32A3"/>
    <w:rsid w:val="003D38BA"/>
    <w:rsid w:val="003D44D8"/>
    <w:rsid w:val="003D4675"/>
    <w:rsid w:val="003D6965"/>
    <w:rsid w:val="003E04A9"/>
    <w:rsid w:val="003E0849"/>
    <w:rsid w:val="003E1E30"/>
    <w:rsid w:val="003E2182"/>
    <w:rsid w:val="003E333B"/>
    <w:rsid w:val="003E37E5"/>
    <w:rsid w:val="003E3BF0"/>
    <w:rsid w:val="003E4056"/>
    <w:rsid w:val="003E44EB"/>
    <w:rsid w:val="003E4507"/>
    <w:rsid w:val="003E54FB"/>
    <w:rsid w:val="003E5587"/>
    <w:rsid w:val="003E571E"/>
    <w:rsid w:val="003E5FB3"/>
    <w:rsid w:val="003E6E74"/>
    <w:rsid w:val="003E6F20"/>
    <w:rsid w:val="003E7AEF"/>
    <w:rsid w:val="003F101A"/>
    <w:rsid w:val="003F15CD"/>
    <w:rsid w:val="003F2112"/>
    <w:rsid w:val="003F3F4E"/>
    <w:rsid w:val="003F4963"/>
    <w:rsid w:val="003F51D0"/>
    <w:rsid w:val="003F5810"/>
    <w:rsid w:val="003F5F57"/>
    <w:rsid w:val="003F6082"/>
    <w:rsid w:val="003F60E2"/>
    <w:rsid w:val="003F6180"/>
    <w:rsid w:val="003F6452"/>
    <w:rsid w:val="003F659B"/>
    <w:rsid w:val="003F7825"/>
    <w:rsid w:val="003F7D6D"/>
    <w:rsid w:val="0040044F"/>
    <w:rsid w:val="00400942"/>
    <w:rsid w:val="00400AAA"/>
    <w:rsid w:val="0040108E"/>
    <w:rsid w:val="004019B0"/>
    <w:rsid w:val="00402C0A"/>
    <w:rsid w:val="004039CF"/>
    <w:rsid w:val="00403F19"/>
    <w:rsid w:val="00404DF2"/>
    <w:rsid w:val="00404F09"/>
    <w:rsid w:val="0040537E"/>
    <w:rsid w:val="00405A3C"/>
    <w:rsid w:val="00407458"/>
    <w:rsid w:val="00407A64"/>
    <w:rsid w:val="004100F4"/>
    <w:rsid w:val="00410282"/>
    <w:rsid w:val="0041072B"/>
    <w:rsid w:val="00411E24"/>
    <w:rsid w:val="004126E0"/>
    <w:rsid w:val="00415A8A"/>
    <w:rsid w:val="00415CBE"/>
    <w:rsid w:val="00415D23"/>
    <w:rsid w:val="004161D1"/>
    <w:rsid w:val="00416645"/>
    <w:rsid w:val="00416864"/>
    <w:rsid w:val="00416D19"/>
    <w:rsid w:val="0041780A"/>
    <w:rsid w:val="00417A6E"/>
    <w:rsid w:val="00417BC7"/>
    <w:rsid w:val="00417E88"/>
    <w:rsid w:val="00420C05"/>
    <w:rsid w:val="00420E6D"/>
    <w:rsid w:val="004211C4"/>
    <w:rsid w:val="00421C2B"/>
    <w:rsid w:val="004223C5"/>
    <w:rsid w:val="00422EDA"/>
    <w:rsid w:val="0042307D"/>
    <w:rsid w:val="004237BE"/>
    <w:rsid w:val="00423B8C"/>
    <w:rsid w:val="00423FF8"/>
    <w:rsid w:val="00426294"/>
    <w:rsid w:val="00426B59"/>
    <w:rsid w:val="0042715C"/>
    <w:rsid w:val="00427EEC"/>
    <w:rsid w:val="004310A8"/>
    <w:rsid w:val="00431381"/>
    <w:rsid w:val="004313CD"/>
    <w:rsid w:val="00431502"/>
    <w:rsid w:val="0043170A"/>
    <w:rsid w:val="004321AD"/>
    <w:rsid w:val="00432D5F"/>
    <w:rsid w:val="00432EA8"/>
    <w:rsid w:val="004338B0"/>
    <w:rsid w:val="00434745"/>
    <w:rsid w:val="0043632B"/>
    <w:rsid w:val="00441BE1"/>
    <w:rsid w:val="00441FA2"/>
    <w:rsid w:val="004424AF"/>
    <w:rsid w:val="004425B4"/>
    <w:rsid w:val="00442945"/>
    <w:rsid w:val="00442AA4"/>
    <w:rsid w:val="00443251"/>
    <w:rsid w:val="00443541"/>
    <w:rsid w:val="0044358F"/>
    <w:rsid w:val="0044399C"/>
    <w:rsid w:val="00444061"/>
    <w:rsid w:val="004441B5"/>
    <w:rsid w:val="0044427D"/>
    <w:rsid w:val="004451E6"/>
    <w:rsid w:val="004460F3"/>
    <w:rsid w:val="0044663D"/>
    <w:rsid w:val="0044683C"/>
    <w:rsid w:val="0045012A"/>
    <w:rsid w:val="004511E3"/>
    <w:rsid w:val="00453782"/>
    <w:rsid w:val="00453849"/>
    <w:rsid w:val="004542CB"/>
    <w:rsid w:val="0045480C"/>
    <w:rsid w:val="00454D19"/>
    <w:rsid w:val="00455612"/>
    <w:rsid w:val="00460038"/>
    <w:rsid w:val="0046010D"/>
    <w:rsid w:val="0046069B"/>
    <w:rsid w:val="004607F9"/>
    <w:rsid w:val="00460B47"/>
    <w:rsid w:val="00460F46"/>
    <w:rsid w:val="00461338"/>
    <w:rsid w:val="00461382"/>
    <w:rsid w:val="00462552"/>
    <w:rsid w:val="004630FD"/>
    <w:rsid w:val="0046401C"/>
    <w:rsid w:val="00464999"/>
    <w:rsid w:val="004658CB"/>
    <w:rsid w:val="00465A0C"/>
    <w:rsid w:val="004667AD"/>
    <w:rsid w:val="004668B1"/>
    <w:rsid w:val="004670CE"/>
    <w:rsid w:val="00471C43"/>
    <w:rsid w:val="00472037"/>
    <w:rsid w:val="00473549"/>
    <w:rsid w:val="0047382F"/>
    <w:rsid w:val="00473AFE"/>
    <w:rsid w:val="00474D40"/>
    <w:rsid w:val="00474DB3"/>
    <w:rsid w:val="0047507D"/>
    <w:rsid w:val="00476EE9"/>
    <w:rsid w:val="004776DB"/>
    <w:rsid w:val="00477F37"/>
    <w:rsid w:val="00481283"/>
    <w:rsid w:val="00481B35"/>
    <w:rsid w:val="0048235F"/>
    <w:rsid w:val="00482CF4"/>
    <w:rsid w:val="00483728"/>
    <w:rsid w:val="004845DF"/>
    <w:rsid w:val="004849C7"/>
    <w:rsid w:val="004851F9"/>
    <w:rsid w:val="0049006E"/>
    <w:rsid w:val="0049015B"/>
    <w:rsid w:val="004918CC"/>
    <w:rsid w:val="00492569"/>
    <w:rsid w:val="00492EA5"/>
    <w:rsid w:val="00493251"/>
    <w:rsid w:val="004946A1"/>
    <w:rsid w:val="00494B71"/>
    <w:rsid w:val="004962AD"/>
    <w:rsid w:val="004974CC"/>
    <w:rsid w:val="004A381A"/>
    <w:rsid w:val="004A44AE"/>
    <w:rsid w:val="004A4C5E"/>
    <w:rsid w:val="004A5D0F"/>
    <w:rsid w:val="004A6E1F"/>
    <w:rsid w:val="004A7AB9"/>
    <w:rsid w:val="004A7B48"/>
    <w:rsid w:val="004B1083"/>
    <w:rsid w:val="004B2FCE"/>
    <w:rsid w:val="004B3258"/>
    <w:rsid w:val="004B339D"/>
    <w:rsid w:val="004B411D"/>
    <w:rsid w:val="004B4880"/>
    <w:rsid w:val="004B522D"/>
    <w:rsid w:val="004B580C"/>
    <w:rsid w:val="004B6147"/>
    <w:rsid w:val="004B6214"/>
    <w:rsid w:val="004B6278"/>
    <w:rsid w:val="004B7182"/>
    <w:rsid w:val="004B74DD"/>
    <w:rsid w:val="004B7850"/>
    <w:rsid w:val="004C0519"/>
    <w:rsid w:val="004C084D"/>
    <w:rsid w:val="004C0F35"/>
    <w:rsid w:val="004C193F"/>
    <w:rsid w:val="004C1E29"/>
    <w:rsid w:val="004C2023"/>
    <w:rsid w:val="004C2C02"/>
    <w:rsid w:val="004C36C7"/>
    <w:rsid w:val="004C4656"/>
    <w:rsid w:val="004C49F4"/>
    <w:rsid w:val="004C5351"/>
    <w:rsid w:val="004C5697"/>
    <w:rsid w:val="004C5836"/>
    <w:rsid w:val="004C6035"/>
    <w:rsid w:val="004C6194"/>
    <w:rsid w:val="004C6E98"/>
    <w:rsid w:val="004D067C"/>
    <w:rsid w:val="004D072B"/>
    <w:rsid w:val="004D0C9D"/>
    <w:rsid w:val="004D1634"/>
    <w:rsid w:val="004D1A3A"/>
    <w:rsid w:val="004D3FCF"/>
    <w:rsid w:val="004D5837"/>
    <w:rsid w:val="004D5C9E"/>
    <w:rsid w:val="004D7796"/>
    <w:rsid w:val="004E1166"/>
    <w:rsid w:val="004E33E6"/>
    <w:rsid w:val="004E355E"/>
    <w:rsid w:val="004E3A33"/>
    <w:rsid w:val="004E3FCB"/>
    <w:rsid w:val="004E4947"/>
    <w:rsid w:val="004E5558"/>
    <w:rsid w:val="004E628E"/>
    <w:rsid w:val="004F0179"/>
    <w:rsid w:val="004F07B4"/>
    <w:rsid w:val="004F0E55"/>
    <w:rsid w:val="004F1A17"/>
    <w:rsid w:val="004F2179"/>
    <w:rsid w:val="004F2F65"/>
    <w:rsid w:val="004F4107"/>
    <w:rsid w:val="004F4817"/>
    <w:rsid w:val="004F4CE8"/>
    <w:rsid w:val="004F5E5D"/>
    <w:rsid w:val="005005CA"/>
    <w:rsid w:val="00503F0C"/>
    <w:rsid w:val="005049C2"/>
    <w:rsid w:val="00505000"/>
    <w:rsid w:val="00505F35"/>
    <w:rsid w:val="00506243"/>
    <w:rsid w:val="0051007B"/>
    <w:rsid w:val="005109B4"/>
    <w:rsid w:val="00510FF3"/>
    <w:rsid w:val="0051101A"/>
    <w:rsid w:val="005110F6"/>
    <w:rsid w:val="005123B0"/>
    <w:rsid w:val="00512C46"/>
    <w:rsid w:val="005133F8"/>
    <w:rsid w:val="00516E05"/>
    <w:rsid w:val="0051736C"/>
    <w:rsid w:val="0051783C"/>
    <w:rsid w:val="00520213"/>
    <w:rsid w:val="00521398"/>
    <w:rsid w:val="005216F4"/>
    <w:rsid w:val="00521CF7"/>
    <w:rsid w:val="005230ED"/>
    <w:rsid w:val="005238A4"/>
    <w:rsid w:val="00523F17"/>
    <w:rsid w:val="005241CD"/>
    <w:rsid w:val="00524DC0"/>
    <w:rsid w:val="00525CF8"/>
    <w:rsid w:val="00527504"/>
    <w:rsid w:val="0052792F"/>
    <w:rsid w:val="00527D7D"/>
    <w:rsid w:val="00530019"/>
    <w:rsid w:val="00530C83"/>
    <w:rsid w:val="0053165F"/>
    <w:rsid w:val="005324E4"/>
    <w:rsid w:val="0053342C"/>
    <w:rsid w:val="00533A96"/>
    <w:rsid w:val="005355C1"/>
    <w:rsid w:val="005360E0"/>
    <w:rsid w:val="0053718C"/>
    <w:rsid w:val="00537E7F"/>
    <w:rsid w:val="0054056B"/>
    <w:rsid w:val="00541337"/>
    <w:rsid w:val="00541E82"/>
    <w:rsid w:val="00542409"/>
    <w:rsid w:val="0054258E"/>
    <w:rsid w:val="00543761"/>
    <w:rsid w:val="0054384F"/>
    <w:rsid w:val="005438A9"/>
    <w:rsid w:val="00543A5B"/>
    <w:rsid w:val="00544669"/>
    <w:rsid w:val="0054546A"/>
    <w:rsid w:val="00546F61"/>
    <w:rsid w:val="00547251"/>
    <w:rsid w:val="00550481"/>
    <w:rsid w:val="00550683"/>
    <w:rsid w:val="00551490"/>
    <w:rsid w:val="00551BCD"/>
    <w:rsid w:val="00551CEA"/>
    <w:rsid w:val="00552194"/>
    <w:rsid w:val="00552507"/>
    <w:rsid w:val="0055255E"/>
    <w:rsid w:val="00555A2D"/>
    <w:rsid w:val="0055608D"/>
    <w:rsid w:val="00556248"/>
    <w:rsid w:val="005567A5"/>
    <w:rsid w:val="005600B6"/>
    <w:rsid w:val="0056070C"/>
    <w:rsid w:val="0056129C"/>
    <w:rsid w:val="00561DE3"/>
    <w:rsid w:val="00562825"/>
    <w:rsid w:val="00562CB9"/>
    <w:rsid w:val="00563274"/>
    <w:rsid w:val="00563609"/>
    <w:rsid w:val="00563C9B"/>
    <w:rsid w:val="005651DF"/>
    <w:rsid w:val="0056536A"/>
    <w:rsid w:val="005669E9"/>
    <w:rsid w:val="00567C7B"/>
    <w:rsid w:val="005713D9"/>
    <w:rsid w:val="00573793"/>
    <w:rsid w:val="00573BFA"/>
    <w:rsid w:val="0057417D"/>
    <w:rsid w:val="00576042"/>
    <w:rsid w:val="00576110"/>
    <w:rsid w:val="00576136"/>
    <w:rsid w:val="00577870"/>
    <w:rsid w:val="0058030A"/>
    <w:rsid w:val="0058170B"/>
    <w:rsid w:val="00581D96"/>
    <w:rsid w:val="00584303"/>
    <w:rsid w:val="00584D60"/>
    <w:rsid w:val="0058516E"/>
    <w:rsid w:val="005851F3"/>
    <w:rsid w:val="00586659"/>
    <w:rsid w:val="00586D56"/>
    <w:rsid w:val="00587298"/>
    <w:rsid w:val="005904F0"/>
    <w:rsid w:val="00590CD1"/>
    <w:rsid w:val="00592D2A"/>
    <w:rsid w:val="0059415A"/>
    <w:rsid w:val="00594EC0"/>
    <w:rsid w:val="00595493"/>
    <w:rsid w:val="005A1204"/>
    <w:rsid w:val="005A2ABF"/>
    <w:rsid w:val="005A5F79"/>
    <w:rsid w:val="005A5F8B"/>
    <w:rsid w:val="005A72E5"/>
    <w:rsid w:val="005A7A1D"/>
    <w:rsid w:val="005A7AEA"/>
    <w:rsid w:val="005B06D3"/>
    <w:rsid w:val="005B0BE5"/>
    <w:rsid w:val="005B1CAE"/>
    <w:rsid w:val="005B214C"/>
    <w:rsid w:val="005B2527"/>
    <w:rsid w:val="005B2632"/>
    <w:rsid w:val="005B33BF"/>
    <w:rsid w:val="005B3815"/>
    <w:rsid w:val="005B4E15"/>
    <w:rsid w:val="005B5A7C"/>
    <w:rsid w:val="005B7348"/>
    <w:rsid w:val="005B79A8"/>
    <w:rsid w:val="005C0C02"/>
    <w:rsid w:val="005C0E14"/>
    <w:rsid w:val="005C14DC"/>
    <w:rsid w:val="005C21FF"/>
    <w:rsid w:val="005C3BA3"/>
    <w:rsid w:val="005C4719"/>
    <w:rsid w:val="005C486A"/>
    <w:rsid w:val="005C528A"/>
    <w:rsid w:val="005C53AD"/>
    <w:rsid w:val="005C5B8B"/>
    <w:rsid w:val="005C5C66"/>
    <w:rsid w:val="005C62AB"/>
    <w:rsid w:val="005C7C3E"/>
    <w:rsid w:val="005C7C54"/>
    <w:rsid w:val="005D0271"/>
    <w:rsid w:val="005D03FC"/>
    <w:rsid w:val="005D1EE1"/>
    <w:rsid w:val="005D2E94"/>
    <w:rsid w:val="005D32B9"/>
    <w:rsid w:val="005D3FF4"/>
    <w:rsid w:val="005D4094"/>
    <w:rsid w:val="005D4866"/>
    <w:rsid w:val="005D50B8"/>
    <w:rsid w:val="005E0B12"/>
    <w:rsid w:val="005E2911"/>
    <w:rsid w:val="005E3267"/>
    <w:rsid w:val="005E37AB"/>
    <w:rsid w:val="005E3CB5"/>
    <w:rsid w:val="005E645C"/>
    <w:rsid w:val="005E7A4E"/>
    <w:rsid w:val="005F0D9A"/>
    <w:rsid w:val="005F265C"/>
    <w:rsid w:val="005F328D"/>
    <w:rsid w:val="005F34DC"/>
    <w:rsid w:val="005F3DE4"/>
    <w:rsid w:val="005F3E1C"/>
    <w:rsid w:val="005F3F5F"/>
    <w:rsid w:val="005F472D"/>
    <w:rsid w:val="005F4F61"/>
    <w:rsid w:val="005F78D5"/>
    <w:rsid w:val="0060096E"/>
    <w:rsid w:val="00600A38"/>
    <w:rsid w:val="00600F75"/>
    <w:rsid w:val="006020B2"/>
    <w:rsid w:val="006026B5"/>
    <w:rsid w:val="00602AF5"/>
    <w:rsid w:val="00603A0D"/>
    <w:rsid w:val="00604420"/>
    <w:rsid w:val="00604D8B"/>
    <w:rsid w:val="0060572C"/>
    <w:rsid w:val="00605E01"/>
    <w:rsid w:val="00605FB4"/>
    <w:rsid w:val="00610392"/>
    <w:rsid w:val="006107B7"/>
    <w:rsid w:val="006130F4"/>
    <w:rsid w:val="00614329"/>
    <w:rsid w:val="006147E7"/>
    <w:rsid w:val="006148C0"/>
    <w:rsid w:val="0061506A"/>
    <w:rsid w:val="006156B1"/>
    <w:rsid w:val="00615D13"/>
    <w:rsid w:val="00615F86"/>
    <w:rsid w:val="00616603"/>
    <w:rsid w:val="00620A41"/>
    <w:rsid w:val="00621166"/>
    <w:rsid w:val="0062163B"/>
    <w:rsid w:val="00621C81"/>
    <w:rsid w:val="0062339E"/>
    <w:rsid w:val="00623D09"/>
    <w:rsid w:val="00623DFC"/>
    <w:rsid w:val="0062440C"/>
    <w:rsid w:val="00624524"/>
    <w:rsid w:val="0062472F"/>
    <w:rsid w:val="00625550"/>
    <w:rsid w:val="00626629"/>
    <w:rsid w:val="00627474"/>
    <w:rsid w:val="00627610"/>
    <w:rsid w:val="00630DA0"/>
    <w:rsid w:val="00632B09"/>
    <w:rsid w:val="00633555"/>
    <w:rsid w:val="00633D90"/>
    <w:rsid w:val="00633EC2"/>
    <w:rsid w:val="006347A2"/>
    <w:rsid w:val="00634E5B"/>
    <w:rsid w:val="00635711"/>
    <w:rsid w:val="00635DBA"/>
    <w:rsid w:val="00635EA4"/>
    <w:rsid w:val="00637445"/>
    <w:rsid w:val="00641F14"/>
    <w:rsid w:val="00642501"/>
    <w:rsid w:val="0064308A"/>
    <w:rsid w:val="00643FD1"/>
    <w:rsid w:val="00644099"/>
    <w:rsid w:val="00644E89"/>
    <w:rsid w:val="00645F55"/>
    <w:rsid w:val="00646A25"/>
    <w:rsid w:val="006476B7"/>
    <w:rsid w:val="006510E8"/>
    <w:rsid w:val="006516DC"/>
    <w:rsid w:val="00651C53"/>
    <w:rsid w:val="0065308D"/>
    <w:rsid w:val="00654004"/>
    <w:rsid w:val="0065443A"/>
    <w:rsid w:val="006600B9"/>
    <w:rsid w:val="0066164D"/>
    <w:rsid w:val="00661C1D"/>
    <w:rsid w:val="00661D5F"/>
    <w:rsid w:val="00662E06"/>
    <w:rsid w:val="00662FB6"/>
    <w:rsid w:val="00663CF3"/>
    <w:rsid w:val="00664193"/>
    <w:rsid w:val="006647FA"/>
    <w:rsid w:val="00664E12"/>
    <w:rsid w:val="0066518D"/>
    <w:rsid w:val="006653DB"/>
    <w:rsid w:val="00666349"/>
    <w:rsid w:val="006665F2"/>
    <w:rsid w:val="00666FE8"/>
    <w:rsid w:val="006671DE"/>
    <w:rsid w:val="006704EB"/>
    <w:rsid w:val="0067089D"/>
    <w:rsid w:val="00671C63"/>
    <w:rsid w:val="006723D5"/>
    <w:rsid w:val="006726D4"/>
    <w:rsid w:val="0067287C"/>
    <w:rsid w:val="00672D10"/>
    <w:rsid w:val="006733E5"/>
    <w:rsid w:val="006736C1"/>
    <w:rsid w:val="00674496"/>
    <w:rsid w:val="00674497"/>
    <w:rsid w:val="006744CD"/>
    <w:rsid w:val="0067499E"/>
    <w:rsid w:val="006756EF"/>
    <w:rsid w:val="00676BD2"/>
    <w:rsid w:val="00677784"/>
    <w:rsid w:val="0068018B"/>
    <w:rsid w:val="00680B45"/>
    <w:rsid w:val="006810F1"/>
    <w:rsid w:val="00681A38"/>
    <w:rsid w:val="00681D83"/>
    <w:rsid w:val="00682F92"/>
    <w:rsid w:val="006847D7"/>
    <w:rsid w:val="006856B6"/>
    <w:rsid w:val="0068609C"/>
    <w:rsid w:val="00686B0B"/>
    <w:rsid w:val="0068706D"/>
    <w:rsid w:val="006874D8"/>
    <w:rsid w:val="00687F19"/>
    <w:rsid w:val="00690638"/>
    <w:rsid w:val="00691076"/>
    <w:rsid w:val="00691098"/>
    <w:rsid w:val="00691980"/>
    <w:rsid w:val="00693E86"/>
    <w:rsid w:val="00694648"/>
    <w:rsid w:val="0069481D"/>
    <w:rsid w:val="00694B5F"/>
    <w:rsid w:val="00694C91"/>
    <w:rsid w:val="00695104"/>
    <w:rsid w:val="00696109"/>
    <w:rsid w:val="00696144"/>
    <w:rsid w:val="00696684"/>
    <w:rsid w:val="00696B27"/>
    <w:rsid w:val="006A10C7"/>
    <w:rsid w:val="006A10D8"/>
    <w:rsid w:val="006A10EF"/>
    <w:rsid w:val="006A1B03"/>
    <w:rsid w:val="006A2518"/>
    <w:rsid w:val="006A39AF"/>
    <w:rsid w:val="006A40CB"/>
    <w:rsid w:val="006A46F3"/>
    <w:rsid w:val="006A5308"/>
    <w:rsid w:val="006A577F"/>
    <w:rsid w:val="006A6B2B"/>
    <w:rsid w:val="006A753C"/>
    <w:rsid w:val="006B0351"/>
    <w:rsid w:val="006B0578"/>
    <w:rsid w:val="006B2A74"/>
    <w:rsid w:val="006B2C55"/>
    <w:rsid w:val="006B32A5"/>
    <w:rsid w:val="006B5339"/>
    <w:rsid w:val="006B5367"/>
    <w:rsid w:val="006B54DA"/>
    <w:rsid w:val="006B5D9B"/>
    <w:rsid w:val="006B5EF9"/>
    <w:rsid w:val="006B66C8"/>
    <w:rsid w:val="006B705F"/>
    <w:rsid w:val="006B7579"/>
    <w:rsid w:val="006B7FDD"/>
    <w:rsid w:val="006C012F"/>
    <w:rsid w:val="006C05A8"/>
    <w:rsid w:val="006C0731"/>
    <w:rsid w:val="006C1DF0"/>
    <w:rsid w:val="006C5277"/>
    <w:rsid w:val="006C61AA"/>
    <w:rsid w:val="006C6996"/>
    <w:rsid w:val="006D2000"/>
    <w:rsid w:val="006D3D6F"/>
    <w:rsid w:val="006D5E67"/>
    <w:rsid w:val="006D6704"/>
    <w:rsid w:val="006D693D"/>
    <w:rsid w:val="006E06DF"/>
    <w:rsid w:val="006E08DB"/>
    <w:rsid w:val="006E13F6"/>
    <w:rsid w:val="006E17C0"/>
    <w:rsid w:val="006E188C"/>
    <w:rsid w:val="006E190E"/>
    <w:rsid w:val="006E19E5"/>
    <w:rsid w:val="006E1FBF"/>
    <w:rsid w:val="006E37EA"/>
    <w:rsid w:val="006E3D4E"/>
    <w:rsid w:val="006E49ED"/>
    <w:rsid w:val="006E5612"/>
    <w:rsid w:val="006E56B3"/>
    <w:rsid w:val="006E6620"/>
    <w:rsid w:val="006E7385"/>
    <w:rsid w:val="006E7B1E"/>
    <w:rsid w:val="006F0A3E"/>
    <w:rsid w:val="006F1BBF"/>
    <w:rsid w:val="006F20E6"/>
    <w:rsid w:val="006F258F"/>
    <w:rsid w:val="006F2DED"/>
    <w:rsid w:val="006F3ACD"/>
    <w:rsid w:val="006F3E63"/>
    <w:rsid w:val="006F46C4"/>
    <w:rsid w:val="006F62AF"/>
    <w:rsid w:val="006F7536"/>
    <w:rsid w:val="0070173D"/>
    <w:rsid w:val="0070339D"/>
    <w:rsid w:val="007033FB"/>
    <w:rsid w:val="007040AD"/>
    <w:rsid w:val="00705C81"/>
    <w:rsid w:val="00705D76"/>
    <w:rsid w:val="0070660A"/>
    <w:rsid w:val="007068A4"/>
    <w:rsid w:val="00707CF0"/>
    <w:rsid w:val="00707F3F"/>
    <w:rsid w:val="0071119D"/>
    <w:rsid w:val="00711531"/>
    <w:rsid w:val="00712C7E"/>
    <w:rsid w:val="00712D53"/>
    <w:rsid w:val="007132EF"/>
    <w:rsid w:val="007136B0"/>
    <w:rsid w:val="00714D93"/>
    <w:rsid w:val="00716395"/>
    <w:rsid w:val="00716C51"/>
    <w:rsid w:val="00716CC4"/>
    <w:rsid w:val="00716E17"/>
    <w:rsid w:val="007176FE"/>
    <w:rsid w:val="0071790B"/>
    <w:rsid w:val="00717D6B"/>
    <w:rsid w:val="00721CC5"/>
    <w:rsid w:val="00721D24"/>
    <w:rsid w:val="00722543"/>
    <w:rsid w:val="007230A0"/>
    <w:rsid w:val="00723224"/>
    <w:rsid w:val="0072329B"/>
    <w:rsid w:val="00723C85"/>
    <w:rsid w:val="00725FB7"/>
    <w:rsid w:val="00726199"/>
    <w:rsid w:val="007272AF"/>
    <w:rsid w:val="007272F7"/>
    <w:rsid w:val="00730B1B"/>
    <w:rsid w:val="007312DA"/>
    <w:rsid w:val="0073162E"/>
    <w:rsid w:val="00731D13"/>
    <w:rsid w:val="00732771"/>
    <w:rsid w:val="007349FD"/>
    <w:rsid w:val="00734A42"/>
    <w:rsid w:val="00737C5E"/>
    <w:rsid w:val="00737D64"/>
    <w:rsid w:val="00740DCB"/>
    <w:rsid w:val="007424E4"/>
    <w:rsid w:val="00742777"/>
    <w:rsid w:val="00742D47"/>
    <w:rsid w:val="00743AB1"/>
    <w:rsid w:val="00743E21"/>
    <w:rsid w:val="0074550E"/>
    <w:rsid w:val="00745A35"/>
    <w:rsid w:val="00745A48"/>
    <w:rsid w:val="00745B06"/>
    <w:rsid w:val="00745C40"/>
    <w:rsid w:val="007471FA"/>
    <w:rsid w:val="00747369"/>
    <w:rsid w:val="007473D8"/>
    <w:rsid w:val="00747C72"/>
    <w:rsid w:val="007500CF"/>
    <w:rsid w:val="00750148"/>
    <w:rsid w:val="00750850"/>
    <w:rsid w:val="00750D66"/>
    <w:rsid w:val="00751160"/>
    <w:rsid w:val="00752854"/>
    <w:rsid w:val="007535AE"/>
    <w:rsid w:val="00754C61"/>
    <w:rsid w:val="00754F7F"/>
    <w:rsid w:val="00755347"/>
    <w:rsid w:val="00755C51"/>
    <w:rsid w:val="00755C99"/>
    <w:rsid w:val="00756853"/>
    <w:rsid w:val="007568B6"/>
    <w:rsid w:val="007571A1"/>
    <w:rsid w:val="00757DCD"/>
    <w:rsid w:val="00760288"/>
    <w:rsid w:val="00760490"/>
    <w:rsid w:val="00760A2B"/>
    <w:rsid w:val="007618D8"/>
    <w:rsid w:val="0076208F"/>
    <w:rsid w:val="007625DB"/>
    <w:rsid w:val="00762EF7"/>
    <w:rsid w:val="00763199"/>
    <w:rsid w:val="0076430C"/>
    <w:rsid w:val="00764A1D"/>
    <w:rsid w:val="00764DD4"/>
    <w:rsid w:val="00764F2B"/>
    <w:rsid w:val="00765C55"/>
    <w:rsid w:val="007666F9"/>
    <w:rsid w:val="007709DA"/>
    <w:rsid w:val="00770ABF"/>
    <w:rsid w:val="00770BAD"/>
    <w:rsid w:val="007719B5"/>
    <w:rsid w:val="00771D46"/>
    <w:rsid w:val="00772869"/>
    <w:rsid w:val="00772C02"/>
    <w:rsid w:val="00772F8D"/>
    <w:rsid w:val="00773132"/>
    <w:rsid w:val="00773831"/>
    <w:rsid w:val="00773B01"/>
    <w:rsid w:val="00774875"/>
    <w:rsid w:val="00774E2D"/>
    <w:rsid w:val="00774F6E"/>
    <w:rsid w:val="007802A7"/>
    <w:rsid w:val="00780F12"/>
    <w:rsid w:val="007813CF"/>
    <w:rsid w:val="0078213C"/>
    <w:rsid w:val="0078237E"/>
    <w:rsid w:val="00782936"/>
    <w:rsid w:val="0078381E"/>
    <w:rsid w:val="007844C8"/>
    <w:rsid w:val="0078470F"/>
    <w:rsid w:val="007855F1"/>
    <w:rsid w:val="00785690"/>
    <w:rsid w:val="007903F8"/>
    <w:rsid w:val="00790432"/>
    <w:rsid w:val="007904B9"/>
    <w:rsid w:val="007907E1"/>
    <w:rsid w:val="00790808"/>
    <w:rsid w:val="00790FA5"/>
    <w:rsid w:val="00791822"/>
    <w:rsid w:val="007930D5"/>
    <w:rsid w:val="007936DC"/>
    <w:rsid w:val="007936EA"/>
    <w:rsid w:val="007971A4"/>
    <w:rsid w:val="007974FA"/>
    <w:rsid w:val="00797555"/>
    <w:rsid w:val="00797F1D"/>
    <w:rsid w:val="007A0AC9"/>
    <w:rsid w:val="007A1FAF"/>
    <w:rsid w:val="007A2F88"/>
    <w:rsid w:val="007A3752"/>
    <w:rsid w:val="007A38B9"/>
    <w:rsid w:val="007A427A"/>
    <w:rsid w:val="007A45AA"/>
    <w:rsid w:val="007A4B5E"/>
    <w:rsid w:val="007A59E3"/>
    <w:rsid w:val="007A5F57"/>
    <w:rsid w:val="007A6174"/>
    <w:rsid w:val="007A6A9E"/>
    <w:rsid w:val="007A7059"/>
    <w:rsid w:val="007B13EC"/>
    <w:rsid w:val="007B233C"/>
    <w:rsid w:val="007B2825"/>
    <w:rsid w:val="007B31B9"/>
    <w:rsid w:val="007B462B"/>
    <w:rsid w:val="007B57F4"/>
    <w:rsid w:val="007B78B0"/>
    <w:rsid w:val="007B7E15"/>
    <w:rsid w:val="007C0309"/>
    <w:rsid w:val="007C03E0"/>
    <w:rsid w:val="007C0935"/>
    <w:rsid w:val="007C1BF5"/>
    <w:rsid w:val="007C1F01"/>
    <w:rsid w:val="007C27E1"/>
    <w:rsid w:val="007C31F9"/>
    <w:rsid w:val="007C3DE6"/>
    <w:rsid w:val="007C4012"/>
    <w:rsid w:val="007C460F"/>
    <w:rsid w:val="007C49DF"/>
    <w:rsid w:val="007C4CB0"/>
    <w:rsid w:val="007C57AA"/>
    <w:rsid w:val="007D2649"/>
    <w:rsid w:val="007D269D"/>
    <w:rsid w:val="007D3189"/>
    <w:rsid w:val="007D4838"/>
    <w:rsid w:val="007D51D1"/>
    <w:rsid w:val="007D548E"/>
    <w:rsid w:val="007D6896"/>
    <w:rsid w:val="007D7E77"/>
    <w:rsid w:val="007E022F"/>
    <w:rsid w:val="007E0419"/>
    <w:rsid w:val="007E0A1D"/>
    <w:rsid w:val="007E19D9"/>
    <w:rsid w:val="007E3F20"/>
    <w:rsid w:val="007E4803"/>
    <w:rsid w:val="007E4E45"/>
    <w:rsid w:val="007E61C8"/>
    <w:rsid w:val="007E62E8"/>
    <w:rsid w:val="007E6894"/>
    <w:rsid w:val="007E7E6F"/>
    <w:rsid w:val="007F0E76"/>
    <w:rsid w:val="007F1A84"/>
    <w:rsid w:val="007F411B"/>
    <w:rsid w:val="007F4373"/>
    <w:rsid w:val="007F5CC6"/>
    <w:rsid w:val="007F5DA7"/>
    <w:rsid w:val="007F6DD8"/>
    <w:rsid w:val="007F7A3F"/>
    <w:rsid w:val="00800E1B"/>
    <w:rsid w:val="008011CA"/>
    <w:rsid w:val="00802115"/>
    <w:rsid w:val="0080297F"/>
    <w:rsid w:val="00802AEB"/>
    <w:rsid w:val="00804AA7"/>
    <w:rsid w:val="008050D4"/>
    <w:rsid w:val="00805C97"/>
    <w:rsid w:val="00807409"/>
    <w:rsid w:val="00810D7D"/>
    <w:rsid w:val="0081224C"/>
    <w:rsid w:val="008122F0"/>
    <w:rsid w:val="0081255C"/>
    <w:rsid w:val="008130BC"/>
    <w:rsid w:val="008139AE"/>
    <w:rsid w:val="00814482"/>
    <w:rsid w:val="00814613"/>
    <w:rsid w:val="00815814"/>
    <w:rsid w:val="0081713C"/>
    <w:rsid w:val="00817A3E"/>
    <w:rsid w:val="00817E38"/>
    <w:rsid w:val="008203A0"/>
    <w:rsid w:val="0082098C"/>
    <w:rsid w:val="00821049"/>
    <w:rsid w:val="008221ED"/>
    <w:rsid w:val="0082324A"/>
    <w:rsid w:val="00823410"/>
    <w:rsid w:val="00823934"/>
    <w:rsid w:val="00823C0E"/>
    <w:rsid w:val="00824069"/>
    <w:rsid w:val="00825C04"/>
    <w:rsid w:val="00825FD1"/>
    <w:rsid w:val="0082732D"/>
    <w:rsid w:val="00827D38"/>
    <w:rsid w:val="00830D77"/>
    <w:rsid w:val="00833F56"/>
    <w:rsid w:val="00834226"/>
    <w:rsid w:val="00835041"/>
    <w:rsid w:val="00835338"/>
    <w:rsid w:val="00837C25"/>
    <w:rsid w:val="00837CF8"/>
    <w:rsid w:val="0084055A"/>
    <w:rsid w:val="008409F6"/>
    <w:rsid w:val="00841666"/>
    <w:rsid w:val="0084180C"/>
    <w:rsid w:val="00842054"/>
    <w:rsid w:val="00842DBE"/>
    <w:rsid w:val="00843E13"/>
    <w:rsid w:val="00844277"/>
    <w:rsid w:val="00844DE2"/>
    <w:rsid w:val="00844E9F"/>
    <w:rsid w:val="008477BC"/>
    <w:rsid w:val="008477D1"/>
    <w:rsid w:val="008500B8"/>
    <w:rsid w:val="00853B3C"/>
    <w:rsid w:val="00853BF2"/>
    <w:rsid w:val="008579B9"/>
    <w:rsid w:val="00857D81"/>
    <w:rsid w:val="00860125"/>
    <w:rsid w:val="00860281"/>
    <w:rsid w:val="00864DFD"/>
    <w:rsid w:val="00864EE5"/>
    <w:rsid w:val="0086594A"/>
    <w:rsid w:val="008659FF"/>
    <w:rsid w:val="00870BED"/>
    <w:rsid w:val="00871639"/>
    <w:rsid w:val="008722A9"/>
    <w:rsid w:val="00872B76"/>
    <w:rsid w:val="00874032"/>
    <w:rsid w:val="008742D4"/>
    <w:rsid w:val="00875160"/>
    <w:rsid w:val="00877D18"/>
    <w:rsid w:val="0088034E"/>
    <w:rsid w:val="0088059E"/>
    <w:rsid w:val="00880A20"/>
    <w:rsid w:val="00881014"/>
    <w:rsid w:val="00881613"/>
    <w:rsid w:val="008819D7"/>
    <w:rsid w:val="00882328"/>
    <w:rsid w:val="00882CE4"/>
    <w:rsid w:val="008842B3"/>
    <w:rsid w:val="00884581"/>
    <w:rsid w:val="008848A4"/>
    <w:rsid w:val="00885487"/>
    <w:rsid w:val="0088623C"/>
    <w:rsid w:val="00887001"/>
    <w:rsid w:val="008875EC"/>
    <w:rsid w:val="008876A1"/>
    <w:rsid w:val="00887A30"/>
    <w:rsid w:val="0089204A"/>
    <w:rsid w:val="008925C1"/>
    <w:rsid w:val="00892823"/>
    <w:rsid w:val="00892E73"/>
    <w:rsid w:val="00893590"/>
    <w:rsid w:val="00893596"/>
    <w:rsid w:val="00893C65"/>
    <w:rsid w:val="008946D9"/>
    <w:rsid w:val="00894794"/>
    <w:rsid w:val="0089578A"/>
    <w:rsid w:val="00895FEA"/>
    <w:rsid w:val="00896309"/>
    <w:rsid w:val="00896CB1"/>
    <w:rsid w:val="00896D30"/>
    <w:rsid w:val="008973DD"/>
    <w:rsid w:val="008977E0"/>
    <w:rsid w:val="00897C4E"/>
    <w:rsid w:val="008A084B"/>
    <w:rsid w:val="008A0BEC"/>
    <w:rsid w:val="008A1976"/>
    <w:rsid w:val="008A3A8C"/>
    <w:rsid w:val="008A44AB"/>
    <w:rsid w:val="008A5646"/>
    <w:rsid w:val="008A60BD"/>
    <w:rsid w:val="008A646C"/>
    <w:rsid w:val="008A6591"/>
    <w:rsid w:val="008A68A6"/>
    <w:rsid w:val="008A6CCF"/>
    <w:rsid w:val="008A7BCB"/>
    <w:rsid w:val="008B0347"/>
    <w:rsid w:val="008B20D8"/>
    <w:rsid w:val="008B2C6E"/>
    <w:rsid w:val="008B37D1"/>
    <w:rsid w:val="008B4609"/>
    <w:rsid w:val="008B4713"/>
    <w:rsid w:val="008B4CFE"/>
    <w:rsid w:val="008B6593"/>
    <w:rsid w:val="008B7D9A"/>
    <w:rsid w:val="008C0275"/>
    <w:rsid w:val="008C06ED"/>
    <w:rsid w:val="008C1255"/>
    <w:rsid w:val="008C2893"/>
    <w:rsid w:val="008C2B3A"/>
    <w:rsid w:val="008C2DDF"/>
    <w:rsid w:val="008C382F"/>
    <w:rsid w:val="008C4945"/>
    <w:rsid w:val="008C594C"/>
    <w:rsid w:val="008C59D3"/>
    <w:rsid w:val="008C6AC6"/>
    <w:rsid w:val="008C6DBE"/>
    <w:rsid w:val="008D049E"/>
    <w:rsid w:val="008D08B1"/>
    <w:rsid w:val="008D1ADD"/>
    <w:rsid w:val="008D33DB"/>
    <w:rsid w:val="008D3CBB"/>
    <w:rsid w:val="008D489B"/>
    <w:rsid w:val="008D5020"/>
    <w:rsid w:val="008D6086"/>
    <w:rsid w:val="008D6221"/>
    <w:rsid w:val="008D6FA8"/>
    <w:rsid w:val="008E0008"/>
    <w:rsid w:val="008E111A"/>
    <w:rsid w:val="008E1189"/>
    <w:rsid w:val="008E1259"/>
    <w:rsid w:val="008E265B"/>
    <w:rsid w:val="008E31C0"/>
    <w:rsid w:val="008E3C48"/>
    <w:rsid w:val="008E3C68"/>
    <w:rsid w:val="008E4E76"/>
    <w:rsid w:val="008E5C69"/>
    <w:rsid w:val="008E65EC"/>
    <w:rsid w:val="008E6792"/>
    <w:rsid w:val="008E7021"/>
    <w:rsid w:val="008E7ED9"/>
    <w:rsid w:val="008F0C15"/>
    <w:rsid w:val="008F1365"/>
    <w:rsid w:val="008F1512"/>
    <w:rsid w:val="008F1903"/>
    <w:rsid w:val="008F28AA"/>
    <w:rsid w:val="008F385E"/>
    <w:rsid w:val="008F5A54"/>
    <w:rsid w:val="008F5C39"/>
    <w:rsid w:val="008F5D8C"/>
    <w:rsid w:val="008F63D2"/>
    <w:rsid w:val="008F6C65"/>
    <w:rsid w:val="00900279"/>
    <w:rsid w:val="009009D3"/>
    <w:rsid w:val="0090149D"/>
    <w:rsid w:val="00901BC8"/>
    <w:rsid w:val="009027B1"/>
    <w:rsid w:val="00902A61"/>
    <w:rsid w:val="00902D57"/>
    <w:rsid w:val="00903801"/>
    <w:rsid w:val="009041D4"/>
    <w:rsid w:val="00905320"/>
    <w:rsid w:val="00905904"/>
    <w:rsid w:val="00906B8F"/>
    <w:rsid w:val="00907CB6"/>
    <w:rsid w:val="009100A1"/>
    <w:rsid w:val="009102B6"/>
    <w:rsid w:val="009102F3"/>
    <w:rsid w:val="009106B7"/>
    <w:rsid w:val="00910D50"/>
    <w:rsid w:val="0091102A"/>
    <w:rsid w:val="009113B6"/>
    <w:rsid w:val="009119E7"/>
    <w:rsid w:val="009131EA"/>
    <w:rsid w:val="00913747"/>
    <w:rsid w:val="00913E62"/>
    <w:rsid w:val="00914157"/>
    <w:rsid w:val="00914B70"/>
    <w:rsid w:val="00914D00"/>
    <w:rsid w:val="00916340"/>
    <w:rsid w:val="00917B17"/>
    <w:rsid w:val="00920CBB"/>
    <w:rsid w:val="009215B3"/>
    <w:rsid w:val="0092176E"/>
    <w:rsid w:val="00921771"/>
    <w:rsid w:val="00921855"/>
    <w:rsid w:val="00923804"/>
    <w:rsid w:val="009239A8"/>
    <w:rsid w:val="00924006"/>
    <w:rsid w:val="009250CC"/>
    <w:rsid w:val="009250E4"/>
    <w:rsid w:val="00925B70"/>
    <w:rsid w:val="00925D5A"/>
    <w:rsid w:val="009263DA"/>
    <w:rsid w:val="009269D9"/>
    <w:rsid w:val="00927530"/>
    <w:rsid w:val="0093028F"/>
    <w:rsid w:val="009311BF"/>
    <w:rsid w:val="00931895"/>
    <w:rsid w:val="009339B3"/>
    <w:rsid w:val="00934DF3"/>
    <w:rsid w:val="00934ED4"/>
    <w:rsid w:val="009359C1"/>
    <w:rsid w:val="00936246"/>
    <w:rsid w:val="00936BB8"/>
    <w:rsid w:val="00937A5C"/>
    <w:rsid w:val="009407CC"/>
    <w:rsid w:val="0094119C"/>
    <w:rsid w:val="00941460"/>
    <w:rsid w:val="009416A8"/>
    <w:rsid w:val="009422E8"/>
    <w:rsid w:val="00943EB7"/>
    <w:rsid w:val="00944BB1"/>
    <w:rsid w:val="00947807"/>
    <w:rsid w:val="00947CF9"/>
    <w:rsid w:val="00950240"/>
    <w:rsid w:val="00951727"/>
    <w:rsid w:val="00951F8F"/>
    <w:rsid w:val="00954165"/>
    <w:rsid w:val="00955535"/>
    <w:rsid w:val="00955EEC"/>
    <w:rsid w:val="00956106"/>
    <w:rsid w:val="009568E6"/>
    <w:rsid w:val="0095690D"/>
    <w:rsid w:val="00960C65"/>
    <w:rsid w:val="00960CD9"/>
    <w:rsid w:val="00960E15"/>
    <w:rsid w:val="009615D9"/>
    <w:rsid w:val="00961831"/>
    <w:rsid w:val="0096221C"/>
    <w:rsid w:val="00962495"/>
    <w:rsid w:val="009647EF"/>
    <w:rsid w:val="009670ED"/>
    <w:rsid w:val="00967352"/>
    <w:rsid w:val="00967700"/>
    <w:rsid w:val="0096771D"/>
    <w:rsid w:val="00967DB9"/>
    <w:rsid w:val="00970120"/>
    <w:rsid w:val="00970E0E"/>
    <w:rsid w:val="00971384"/>
    <w:rsid w:val="00971916"/>
    <w:rsid w:val="00971EAA"/>
    <w:rsid w:val="00972013"/>
    <w:rsid w:val="00973749"/>
    <w:rsid w:val="00974546"/>
    <w:rsid w:val="0097537A"/>
    <w:rsid w:val="00975419"/>
    <w:rsid w:val="00975464"/>
    <w:rsid w:val="00975672"/>
    <w:rsid w:val="0097685F"/>
    <w:rsid w:val="0098056A"/>
    <w:rsid w:val="009806FE"/>
    <w:rsid w:val="009816D9"/>
    <w:rsid w:val="009818C1"/>
    <w:rsid w:val="00981A95"/>
    <w:rsid w:val="00981D12"/>
    <w:rsid w:val="00983221"/>
    <w:rsid w:val="0098329F"/>
    <w:rsid w:val="00984000"/>
    <w:rsid w:val="009843FC"/>
    <w:rsid w:val="00985ECF"/>
    <w:rsid w:val="00986A3E"/>
    <w:rsid w:val="009870C7"/>
    <w:rsid w:val="009902FB"/>
    <w:rsid w:val="0099063B"/>
    <w:rsid w:val="0099116A"/>
    <w:rsid w:val="00991417"/>
    <w:rsid w:val="00991503"/>
    <w:rsid w:val="00992311"/>
    <w:rsid w:val="0099271E"/>
    <w:rsid w:val="00992C09"/>
    <w:rsid w:val="00993279"/>
    <w:rsid w:val="00993604"/>
    <w:rsid w:val="00994FDE"/>
    <w:rsid w:val="00995928"/>
    <w:rsid w:val="00995F70"/>
    <w:rsid w:val="009964C4"/>
    <w:rsid w:val="009968A9"/>
    <w:rsid w:val="00997029"/>
    <w:rsid w:val="009973BB"/>
    <w:rsid w:val="009979EA"/>
    <w:rsid w:val="009A01DD"/>
    <w:rsid w:val="009A0E02"/>
    <w:rsid w:val="009A28C4"/>
    <w:rsid w:val="009A36FE"/>
    <w:rsid w:val="009A4126"/>
    <w:rsid w:val="009A48AF"/>
    <w:rsid w:val="009A6664"/>
    <w:rsid w:val="009A786A"/>
    <w:rsid w:val="009B15F0"/>
    <w:rsid w:val="009B1E7B"/>
    <w:rsid w:val="009B20FF"/>
    <w:rsid w:val="009B2A02"/>
    <w:rsid w:val="009B2A70"/>
    <w:rsid w:val="009B572B"/>
    <w:rsid w:val="009B5D14"/>
    <w:rsid w:val="009B6080"/>
    <w:rsid w:val="009B695D"/>
    <w:rsid w:val="009B71DA"/>
    <w:rsid w:val="009B756F"/>
    <w:rsid w:val="009C0D73"/>
    <w:rsid w:val="009C11A8"/>
    <w:rsid w:val="009C3E8F"/>
    <w:rsid w:val="009C44D2"/>
    <w:rsid w:val="009C4DA6"/>
    <w:rsid w:val="009C514B"/>
    <w:rsid w:val="009C52C5"/>
    <w:rsid w:val="009C7253"/>
    <w:rsid w:val="009C796C"/>
    <w:rsid w:val="009C7D7A"/>
    <w:rsid w:val="009C7D96"/>
    <w:rsid w:val="009D176A"/>
    <w:rsid w:val="009D256C"/>
    <w:rsid w:val="009D39E9"/>
    <w:rsid w:val="009D3A7E"/>
    <w:rsid w:val="009D406F"/>
    <w:rsid w:val="009D46A1"/>
    <w:rsid w:val="009D4A03"/>
    <w:rsid w:val="009D506D"/>
    <w:rsid w:val="009D5FBF"/>
    <w:rsid w:val="009E1C4C"/>
    <w:rsid w:val="009E2240"/>
    <w:rsid w:val="009E29A8"/>
    <w:rsid w:val="009E3E09"/>
    <w:rsid w:val="009E4001"/>
    <w:rsid w:val="009E48CC"/>
    <w:rsid w:val="009E5347"/>
    <w:rsid w:val="009E5B01"/>
    <w:rsid w:val="009F0055"/>
    <w:rsid w:val="009F113B"/>
    <w:rsid w:val="009F2064"/>
    <w:rsid w:val="009F2164"/>
    <w:rsid w:val="009F2CF8"/>
    <w:rsid w:val="009F33CE"/>
    <w:rsid w:val="009F3D24"/>
    <w:rsid w:val="009F3E85"/>
    <w:rsid w:val="009F4552"/>
    <w:rsid w:val="009F5866"/>
    <w:rsid w:val="009F587C"/>
    <w:rsid w:val="009F628B"/>
    <w:rsid w:val="009F6D38"/>
    <w:rsid w:val="009F70D5"/>
    <w:rsid w:val="00A01176"/>
    <w:rsid w:val="00A02C34"/>
    <w:rsid w:val="00A03F0D"/>
    <w:rsid w:val="00A0458E"/>
    <w:rsid w:val="00A04F33"/>
    <w:rsid w:val="00A0612A"/>
    <w:rsid w:val="00A070EA"/>
    <w:rsid w:val="00A0748F"/>
    <w:rsid w:val="00A0753F"/>
    <w:rsid w:val="00A07754"/>
    <w:rsid w:val="00A10C44"/>
    <w:rsid w:val="00A10F8C"/>
    <w:rsid w:val="00A117A1"/>
    <w:rsid w:val="00A11FFF"/>
    <w:rsid w:val="00A12A65"/>
    <w:rsid w:val="00A12B90"/>
    <w:rsid w:val="00A12DA2"/>
    <w:rsid w:val="00A13A72"/>
    <w:rsid w:val="00A15A35"/>
    <w:rsid w:val="00A16338"/>
    <w:rsid w:val="00A168AC"/>
    <w:rsid w:val="00A20282"/>
    <w:rsid w:val="00A202C8"/>
    <w:rsid w:val="00A202D9"/>
    <w:rsid w:val="00A208DF"/>
    <w:rsid w:val="00A2121E"/>
    <w:rsid w:val="00A21AA1"/>
    <w:rsid w:val="00A21C4D"/>
    <w:rsid w:val="00A21C7D"/>
    <w:rsid w:val="00A2203D"/>
    <w:rsid w:val="00A223FD"/>
    <w:rsid w:val="00A22490"/>
    <w:rsid w:val="00A22EC8"/>
    <w:rsid w:val="00A2338A"/>
    <w:rsid w:val="00A24C2E"/>
    <w:rsid w:val="00A25559"/>
    <w:rsid w:val="00A25C50"/>
    <w:rsid w:val="00A2784A"/>
    <w:rsid w:val="00A27CB5"/>
    <w:rsid w:val="00A3003E"/>
    <w:rsid w:val="00A3093E"/>
    <w:rsid w:val="00A3095C"/>
    <w:rsid w:val="00A30CD0"/>
    <w:rsid w:val="00A312FE"/>
    <w:rsid w:val="00A3196C"/>
    <w:rsid w:val="00A31CD2"/>
    <w:rsid w:val="00A31CD8"/>
    <w:rsid w:val="00A328EB"/>
    <w:rsid w:val="00A32B6C"/>
    <w:rsid w:val="00A33D86"/>
    <w:rsid w:val="00A34848"/>
    <w:rsid w:val="00A34E38"/>
    <w:rsid w:val="00A35020"/>
    <w:rsid w:val="00A35F68"/>
    <w:rsid w:val="00A3734F"/>
    <w:rsid w:val="00A374B9"/>
    <w:rsid w:val="00A37FDE"/>
    <w:rsid w:val="00A40184"/>
    <w:rsid w:val="00A4065C"/>
    <w:rsid w:val="00A4174E"/>
    <w:rsid w:val="00A41B9C"/>
    <w:rsid w:val="00A42695"/>
    <w:rsid w:val="00A42D81"/>
    <w:rsid w:val="00A443A9"/>
    <w:rsid w:val="00A444D0"/>
    <w:rsid w:val="00A44AC4"/>
    <w:rsid w:val="00A450FD"/>
    <w:rsid w:val="00A45114"/>
    <w:rsid w:val="00A45AC9"/>
    <w:rsid w:val="00A4620E"/>
    <w:rsid w:val="00A467FD"/>
    <w:rsid w:val="00A46894"/>
    <w:rsid w:val="00A501B7"/>
    <w:rsid w:val="00A50BD4"/>
    <w:rsid w:val="00A516DD"/>
    <w:rsid w:val="00A51E34"/>
    <w:rsid w:val="00A52588"/>
    <w:rsid w:val="00A567D2"/>
    <w:rsid w:val="00A572A2"/>
    <w:rsid w:val="00A6010A"/>
    <w:rsid w:val="00A605F8"/>
    <w:rsid w:val="00A60EE0"/>
    <w:rsid w:val="00A61456"/>
    <w:rsid w:val="00A6193F"/>
    <w:rsid w:val="00A629C1"/>
    <w:rsid w:val="00A62A44"/>
    <w:rsid w:val="00A62B99"/>
    <w:rsid w:val="00A632EB"/>
    <w:rsid w:val="00A632FE"/>
    <w:rsid w:val="00A63AD6"/>
    <w:rsid w:val="00A64448"/>
    <w:rsid w:val="00A64BD8"/>
    <w:rsid w:val="00A64FBA"/>
    <w:rsid w:val="00A64FCD"/>
    <w:rsid w:val="00A659F2"/>
    <w:rsid w:val="00A65BEE"/>
    <w:rsid w:val="00A67496"/>
    <w:rsid w:val="00A67AF8"/>
    <w:rsid w:val="00A705DC"/>
    <w:rsid w:val="00A70F7E"/>
    <w:rsid w:val="00A71179"/>
    <w:rsid w:val="00A715E1"/>
    <w:rsid w:val="00A71CD7"/>
    <w:rsid w:val="00A72559"/>
    <w:rsid w:val="00A72866"/>
    <w:rsid w:val="00A75B6D"/>
    <w:rsid w:val="00A75FDF"/>
    <w:rsid w:val="00A76242"/>
    <w:rsid w:val="00A76347"/>
    <w:rsid w:val="00A7657F"/>
    <w:rsid w:val="00A76874"/>
    <w:rsid w:val="00A77171"/>
    <w:rsid w:val="00A7793E"/>
    <w:rsid w:val="00A77B5C"/>
    <w:rsid w:val="00A807C2"/>
    <w:rsid w:val="00A81149"/>
    <w:rsid w:val="00A81926"/>
    <w:rsid w:val="00A81E2D"/>
    <w:rsid w:val="00A82819"/>
    <w:rsid w:val="00A8392C"/>
    <w:rsid w:val="00A84379"/>
    <w:rsid w:val="00A845F6"/>
    <w:rsid w:val="00A84C32"/>
    <w:rsid w:val="00A858B6"/>
    <w:rsid w:val="00A858E9"/>
    <w:rsid w:val="00A86180"/>
    <w:rsid w:val="00A86990"/>
    <w:rsid w:val="00A86C04"/>
    <w:rsid w:val="00A9048C"/>
    <w:rsid w:val="00A91899"/>
    <w:rsid w:val="00A91B2B"/>
    <w:rsid w:val="00A931B2"/>
    <w:rsid w:val="00A93736"/>
    <w:rsid w:val="00A93CA9"/>
    <w:rsid w:val="00A94933"/>
    <w:rsid w:val="00A94E4F"/>
    <w:rsid w:val="00A952A6"/>
    <w:rsid w:val="00A957A7"/>
    <w:rsid w:val="00A95C8D"/>
    <w:rsid w:val="00A96147"/>
    <w:rsid w:val="00A96E07"/>
    <w:rsid w:val="00A96E12"/>
    <w:rsid w:val="00A972C5"/>
    <w:rsid w:val="00AA0587"/>
    <w:rsid w:val="00AA0801"/>
    <w:rsid w:val="00AA0DE8"/>
    <w:rsid w:val="00AA273D"/>
    <w:rsid w:val="00AA2CC1"/>
    <w:rsid w:val="00AA2EFA"/>
    <w:rsid w:val="00AA3951"/>
    <w:rsid w:val="00AA3ADB"/>
    <w:rsid w:val="00AA441B"/>
    <w:rsid w:val="00AB1091"/>
    <w:rsid w:val="00AB1E5B"/>
    <w:rsid w:val="00AB227C"/>
    <w:rsid w:val="00AB2B6F"/>
    <w:rsid w:val="00AB3477"/>
    <w:rsid w:val="00AB357C"/>
    <w:rsid w:val="00AB44E6"/>
    <w:rsid w:val="00AB4A2B"/>
    <w:rsid w:val="00AB572F"/>
    <w:rsid w:val="00AB60CD"/>
    <w:rsid w:val="00AB6F2C"/>
    <w:rsid w:val="00AB7B80"/>
    <w:rsid w:val="00AC048B"/>
    <w:rsid w:val="00AC1C9C"/>
    <w:rsid w:val="00AC267E"/>
    <w:rsid w:val="00AC3246"/>
    <w:rsid w:val="00AC36A0"/>
    <w:rsid w:val="00AC399B"/>
    <w:rsid w:val="00AC47E1"/>
    <w:rsid w:val="00AC4AC9"/>
    <w:rsid w:val="00AC4EE1"/>
    <w:rsid w:val="00AC50A4"/>
    <w:rsid w:val="00AC6335"/>
    <w:rsid w:val="00AC6A0C"/>
    <w:rsid w:val="00AC7020"/>
    <w:rsid w:val="00AD0CC2"/>
    <w:rsid w:val="00AD12F6"/>
    <w:rsid w:val="00AD15B0"/>
    <w:rsid w:val="00AD1CBD"/>
    <w:rsid w:val="00AD1D1A"/>
    <w:rsid w:val="00AD1E38"/>
    <w:rsid w:val="00AD221E"/>
    <w:rsid w:val="00AD2DB6"/>
    <w:rsid w:val="00AD307C"/>
    <w:rsid w:val="00AD30C8"/>
    <w:rsid w:val="00AD34D4"/>
    <w:rsid w:val="00AD3D94"/>
    <w:rsid w:val="00AD41CC"/>
    <w:rsid w:val="00AD4205"/>
    <w:rsid w:val="00AD46EE"/>
    <w:rsid w:val="00AD50CD"/>
    <w:rsid w:val="00AD5273"/>
    <w:rsid w:val="00AD6858"/>
    <w:rsid w:val="00AD74D5"/>
    <w:rsid w:val="00AD763C"/>
    <w:rsid w:val="00AE0D5E"/>
    <w:rsid w:val="00AE22CE"/>
    <w:rsid w:val="00AE2C01"/>
    <w:rsid w:val="00AE3804"/>
    <w:rsid w:val="00AE3CBE"/>
    <w:rsid w:val="00AE5C9B"/>
    <w:rsid w:val="00AE6772"/>
    <w:rsid w:val="00AE79E0"/>
    <w:rsid w:val="00AE7D55"/>
    <w:rsid w:val="00AF0194"/>
    <w:rsid w:val="00AF0580"/>
    <w:rsid w:val="00AF06CF"/>
    <w:rsid w:val="00AF1827"/>
    <w:rsid w:val="00AF2006"/>
    <w:rsid w:val="00AF208F"/>
    <w:rsid w:val="00AF26A1"/>
    <w:rsid w:val="00AF3DAD"/>
    <w:rsid w:val="00AF5BD3"/>
    <w:rsid w:val="00AF5E95"/>
    <w:rsid w:val="00AF7329"/>
    <w:rsid w:val="00B0068A"/>
    <w:rsid w:val="00B00F74"/>
    <w:rsid w:val="00B02336"/>
    <w:rsid w:val="00B02486"/>
    <w:rsid w:val="00B04C8D"/>
    <w:rsid w:val="00B04D5F"/>
    <w:rsid w:val="00B05154"/>
    <w:rsid w:val="00B0534F"/>
    <w:rsid w:val="00B05DCC"/>
    <w:rsid w:val="00B12215"/>
    <w:rsid w:val="00B12BE1"/>
    <w:rsid w:val="00B13674"/>
    <w:rsid w:val="00B13953"/>
    <w:rsid w:val="00B16A4F"/>
    <w:rsid w:val="00B16DEE"/>
    <w:rsid w:val="00B17192"/>
    <w:rsid w:val="00B208E7"/>
    <w:rsid w:val="00B2316F"/>
    <w:rsid w:val="00B232AF"/>
    <w:rsid w:val="00B23F83"/>
    <w:rsid w:val="00B2454B"/>
    <w:rsid w:val="00B24814"/>
    <w:rsid w:val="00B2524B"/>
    <w:rsid w:val="00B2573C"/>
    <w:rsid w:val="00B25DE3"/>
    <w:rsid w:val="00B2626F"/>
    <w:rsid w:val="00B26F34"/>
    <w:rsid w:val="00B27682"/>
    <w:rsid w:val="00B319D1"/>
    <w:rsid w:val="00B330C3"/>
    <w:rsid w:val="00B336C1"/>
    <w:rsid w:val="00B34A54"/>
    <w:rsid w:val="00B34D79"/>
    <w:rsid w:val="00B36C44"/>
    <w:rsid w:val="00B379A1"/>
    <w:rsid w:val="00B37C87"/>
    <w:rsid w:val="00B4003E"/>
    <w:rsid w:val="00B400EF"/>
    <w:rsid w:val="00B41572"/>
    <w:rsid w:val="00B42D59"/>
    <w:rsid w:val="00B4334D"/>
    <w:rsid w:val="00B45C0B"/>
    <w:rsid w:val="00B45C89"/>
    <w:rsid w:val="00B47177"/>
    <w:rsid w:val="00B47A2D"/>
    <w:rsid w:val="00B5021E"/>
    <w:rsid w:val="00B502E8"/>
    <w:rsid w:val="00B5056D"/>
    <w:rsid w:val="00B506FF"/>
    <w:rsid w:val="00B50FF6"/>
    <w:rsid w:val="00B52414"/>
    <w:rsid w:val="00B5343C"/>
    <w:rsid w:val="00B535F4"/>
    <w:rsid w:val="00B53A6F"/>
    <w:rsid w:val="00B53CAD"/>
    <w:rsid w:val="00B54769"/>
    <w:rsid w:val="00B5599A"/>
    <w:rsid w:val="00B55ECC"/>
    <w:rsid w:val="00B56D38"/>
    <w:rsid w:val="00B57380"/>
    <w:rsid w:val="00B60944"/>
    <w:rsid w:val="00B61A33"/>
    <w:rsid w:val="00B61DBE"/>
    <w:rsid w:val="00B61E45"/>
    <w:rsid w:val="00B620C9"/>
    <w:rsid w:val="00B62560"/>
    <w:rsid w:val="00B634CE"/>
    <w:rsid w:val="00B635D6"/>
    <w:rsid w:val="00B639F0"/>
    <w:rsid w:val="00B6438D"/>
    <w:rsid w:val="00B6469B"/>
    <w:rsid w:val="00B6518D"/>
    <w:rsid w:val="00B652EA"/>
    <w:rsid w:val="00B65545"/>
    <w:rsid w:val="00B65886"/>
    <w:rsid w:val="00B6594F"/>
    <w:rsid w:val="00B67247"/>
    <w:rsid w:val="00B67F68"/>
    <w:rsid w:val="00B70670"/>
    <w:rsid w:val="00B71259"/>
    <w:rsid w:val="00B719E8"/>
    <w:rsid w:val="00B71C06"/>
    <w:rsid w:val="00B71FE4"/>
    <w:rsid w:val="00B723D1"/>
    <w:rsid w:val="00B72466"/>
    <w:rsid w:val="00B72A0C"/>
    <w:rsid w:val="00B74320"/>
    <w:rsid w:val="00B743FE"/>
    <w:rsid w:val="00B753CD"/>
    <w:rsid w:val="00B75D60"/>
    <w:rsid w:val="00B7710E"/>
    <w:rsid w:val="00B801AA"/>
    <w:rsid w:val="00B803B2"/>
    <w:rsid w:val="00B80855"/>
    <w:rsid w:val="00B827BF"/>
    <w:rsid w:val="00B82D67"/>
    <w:rsid w:val="00B82EB1"/>
    <w:rsid w:val="00B83506"/>
    <w:rsid w:val="00B83C43"/>
    <w:rsid w:val="00B85F5D"/>
    <w:rsid w:val="00B86290"/>
    <w:rsid w:val="00B86722"/>
    <w:rsid w:val="00B86BF9"/>
    <w:rsid w:val="00B87949"/>
    <w:rsid w:val="00B87968"/>
    <w:rsid w:val="00B87D47"/>
    <w:rsid w:val="00B907DE"/>
    <w:rsid w:val="00B90B20"/>
    <w:rsid w:val="00B91A97"/>
    <w:rsid w:val="00B92058"/>
    <w:rsid w:val="00B93275"/>
    <w:rsid w:val="00B93847"/>
    <w:rsid w:val="00B940D6"/>
    <w:rsid w:val="00B94110"/>
    <w:rsid w:val="00B95DB5"/>
    <w:rsid w:val="00B95EA9"/>
    <w:rsid w:val="00B96128"/>
    <w:rsid w:val="00BA086D"/>
    <w:rsid w:val="00BA27B9"/>
    <w:rsid w:val="00BA29A3"/>
    <w:rsid w:val="00BA2B5A"/>
    <w:rsid w:val="00BA396A"/>
    <w:rsid w:val="00BA3B4D"/>
    <w:rsid w:val="00BA440E"/>
    <w:rsid w:val="00BA46D5"/>
    <w:rsid w:val="00BA4761"/>
    <w:rsid w:val="00BA5988"/>
    <w:rsid w:val="00BA5EA9"/>
    <w:rsid w:val="00BA6677"/>
    <w:rsid w:val="00BA6CF0"/>
    <w:rsid w:val="00BA7B5F"/>
    <w:rsid w:val="00BA7D53"/>
    <w:rsid w:val="00BB07CA"/>
    <w:rsid w:val="00BB13B0"/>
    <w:rsid w:val="00BB2243"/>
    <w:rsid w:val="00BB2472"/>
    <w:rsid w:val="00BB26BD"/>
    <w:rsid w:val="00BB3071"/>
    <w:rsid w:val="00BB4DA8"/>
    <w:rsid w:val="00BB5C9B"/>
    <w:rsid w:val="00BB654C"/>
    <w:rsid w:val="00BB7259"/>
    <w:rsid w:val="00BB78E4"/>
    <w:rsid w:val="00BB7D10"/>
    <w:rsid w:val="00BC08F9"/>
    <w:rsid w:val="00BC2FB5"/>
    <w:rsid w:val="00BC7E1A"/>
    <w:rsid w:val="00BD0CCA"/>
    <w:rsid w:val="00BD0E1B"/>
    <w:rsid w:val="00BD14DA"/>
    <w:rsid w:val="00BD1520"/>
    <w:rsid w:val="00BD16A2"/>
    <w:rsid w:val="00BD17B8"/>
    <w:rsid w:val="00BD4A82"/>
    <w:rsid w:val="00BD4AF5"/>
    <w:rsid w:val="00BD581A"/>
    <w:rsid w:val="00BD6B29"/>
    <w:rsid w:val="00BE021F"/>
    <w:rsid w:val="00BE0B77"/>
    <w:rsid w:val="00BE1113"/>
    <w:rsid w:val="00BE2894"/>
    <w:rsid w:val="00BE28BA"/>
    <w:rsid w:val="00BE418D"/>
    <w:rsid w:val="00BE43EF"/>
    <w:rsid w:val="00BE4D39"/>
    <w:rsid w:val="00BE6C75"/>
    <w:rsid w:val="00BE6CE2"/>
    <w:rsid w:val="00BE6E37"/>
    <w:rsid w:val="00BE6F01"/>
    <w:rsid w:val="00BF0CD5"/>
    <w:rsid w:val="00BF2BAC"/>
    <w:rsid w:val="00BF35F2"/>
    <w:rsid w:val="00BF3885"/>
    <w:rsid w:val="00BF4700"/>
    <w:rsid w:val="00BF5832"/>
    <w:rsid w:val="00BF60FB"/>
    <w:rsid w:val="00BF61DA"/>
    <w:rsid w:val="00BF7616"/>
    <w:rsid w:val="00C012D5"/>
    <w:rsid w:val="00C03ECB"/>
    <w:rsid w:val="00C0410F"/>
    <w:rsid w:val="00C04D71"/>
    <w:rsid w:val="00C055D0"/>
    <w:rsid w:val="00C05A43"/>
    <w:rsid w:val="00C05BD9"/>
    <w:rsid w:val="00C06C13"/>
    <w:rsid w:val="00C074CA"/>
    <w:rsid w:val="00C11480"/>
    <w:rsid w:val="00C1189D"/>
    <w:rsid w:val="00C120BB"/>
    <w:rsid w:val="00C12496"/>
    <w:rsid w:val="00C124FE"/>
    <w:rsid w:val="00C12A5C"/>
    <w:rsid w:val="00C1366B"/>
    <w:rsid w:val="00C136D9"/>
    <w:rsid w:val="00C149D9"/>
    <w:rsid w:val="00C16774"/>
    <w:rsid w:val="00C20685"/>
    <w:rsid w:val="00C2267C"/>
    <w:rsid w:val="00C2287D"/>
    <w:rsid w:val="00C22FE8"/>
    <w:rsid w:val="00C23066"/>
    <w:rsid w:val="00C235C9"/>
    <w:rsid w:val="00C23A65"/>
    <w:rsid w:val="00C23C09"/>
    <w:rsid w:val="00C24E48"/>
    <w:rsid w:val="00C255CB"/>
    <w:rsid w:val="00C261D6"/>
    <w:rsid w:val="00C27ACA"/>
    <w:rsid w:val="00C308AD"/>
    <w:rsid w:val="00C30E75"/>
    <w:rsid w:val="00C31167"/>
    <w:rsid w:val="00C31EAC"/>
    <w:rsid w:val="00C348FC"/>
    <w:rsid w:val="00C34A09"/>
    <w:rsid w:val="00C35560"/>
    <w:rsid w:val="00C36D02"/>
    <w:rsid w:val="00C40878"/>
    <w:rsid w:val="00C408BB"/>
    <w:rsid w:val="00C40B12"/>
    <w:rsid w:val="00C40BF0"/>
    <w:rsid w:val="00C41E74"/>
    <w:rsid w:val="00C41EEE"/>
    <w:rsid w:val="00C42716"/>
    <w:rsid w:val="00C428C5"/>
    <w:rsid w:val="00C4294E"/>
    <w:rsid w:val="00C448B7"/>
    <w:rsid w:val="00C45DB4"/>
    <w:rsid w:val="00C45F58"/>
    <w:rsid w:val="00C469A0"/>
    <w:rsid w:val="00C46E5A"/>
    <w:rsid w:val="00C47624"/>
    <w:rsid w:val="00C47AC3"/>
    <w:rsid w:val="00C5028A"/>
    <w:rsid w:val="00C504A0"/>
    <w:rsid w:val="00C5082A"/>
    <w:rsid w:val="00C50869"/>
    <w:rsid w:val="00C51262"/>
    <w:rsid w:val="00C52038"/>
    <w:rsid w:val="00C525D6"/>
    <w:rsid w:val="00C53851"/>
    <w:rsid w:val="00C55002"/>
    <w:rsid w:val="00C55728"/>
    <w:rsid w:val="00C55B56"/>
    <w:rsid w:val="00C56EFF"/>
    <w:rsid w:val="00C6012A"/>
    <w:rsid w:val="00C612F0"/>
    <w:rsid w:val="00C61852"/>
    <w:rsid w:val="00C61AEE"/>
    <w:rsid w:val="00C625B0"/>
    <w:rsid w:val="00C631A9"/>
    <w:rsid w:val="00C633B9"/>
    <w:rsid w:val="00C63952"/>
    <w:rsid w:val="00C63D99"/>
    <w:rsid w:val="00C6488D"/>
    <w:rsid w:val="00C65AE3"/>
    <w:rsid w:val="00C66EE0"/>
    <w:rsid w:val="00C672F4"/>
    <w:rsid w:val="00C700B2"/>
    <w:rsid w:val="00C704CE"/>
    <w:rsid w:val="00C70CCA"/>
    <w:rsid w:val="00C72F5C"/>
    <w:rsid w:val="00C7318D"/>
    <w:rsid w:val="00C731B6"/>
    <w:rsid w:val="00C74632"/>
    <w:rsid w:val="00C74FB7"/>
    <w:rsid w:val="00C7504C"/>
    <w:rsid w:val="00C75318"/>
    <w:rsid w:val="00C7575F"/>
    <w:rsid w:val="00C75938"/>
    <w:rsid w:val="00C759C1"/>
    <w:rsid w:val="00C76BB7"/>
    <w:rsid w:val="00C76D91"/>
    <w:rsid w:val="00C80471"/>
    <w:rsid w:val="00C809B8"/>
    <w:rsid w:val="00C810F3"/>
    <w:rsid w:val="00C82E85"/>
    <w:rsid w:val="00C83C54"/>
    <w:rsid w:val="00C83E16"/>
    <w:rsid w:val="00C84924"/>
    <w:rsid w:val="00C84E8A"/>
    <w:rsid w:val="00C8793D"/>
    <w:rsid w:val="00C87B1E"/>
    <w:rsid w:val="00C90018"/>
    <w:rsid w:val="00C90BFA"/>
    <w:rsid w:val="00C92600"/>
    <w:rsid w:val="00C93782"/>
    <w:rsid w:val="00C93E4A"/>
    <w:rsid w:val="00C94BBA"/>
    <w:rsid w:val="00C94EA9"/>
    <w:rsid w:val="00C95513"/>
    <w:rsid w:val="00C95C89"/>
    <w:rsid w:val="00C96C17"/>
    <w:rsid w:val="00CA0FEE"/>
    <w:rsid w:val="00CA1540"/>
    <w:rsid w:val="00CA1659"/>
    <w:rsid w:val="00CA2763"/>
    <w:rsid w:val="00CA3355"/>
    <w:rsid w:val="00CA3699"/>
    <w:rsid w:val="00CA3BB0"/>
    <w:rsid w:val="00CA3D6A"/>
    <w:rsid w:val="00CA4DA6"/>
    <w:rsid w:val="00CA6301"/>
    <w:rsid w:val="00CA7A4C"/>
    <w:rsid w:val="00CB1B6F"/>
    <w:rsid w:val="00CB1E84"/>
    <w:rsid w:val="00CB1EB4"/>
    <w:rsid w:val="00CB289A"/>
    <w:rsid w:val="00CB328A"/>
    <w:rsid w:val="00CB37BA"/>
    <w:rsid w:val="00CB4157"/>
    <w:rsid w:val="00CB4437"/>
    <w:rsid w:val="00CB4A4F"/>
    <w:rsid w:val="00CB5402"/>
    <w:rsid w:val="00CB5AB1"/>
    <w:rsid w:val="00CB5C99"/>
    <w:rsid w:val="00CB637D"/>
    <w:rsid w:val="00CB7BB1"/>
    <w:rsid w:val="00CB7F68"/>
    <w:rsid w:val="00CC3265"/>
    <w:rsid w:val="00CC3EB7"/>
    <w:rsid w:val="00CC4C2A"/>
    <w:rsid w:val="00CC55FF"/>
    <w:rsid w:val="00CC69A1"/>
    <w:rsid w:val="00CC6EFE"/>
    <w:rsid w:val="00CC7BAB"/>
    <w:rsid w:val="00CD0675"/>
    <w:rsid w:val="00CD0684"/>
    <w:rsid w:val="00CD148C"/>
    <w:rsid w:val="00CD185E"/>
    <w:rsid w:val="00CD1D2C"/>
    <w:rsid w:val="00CD21B9"/>
    <w:rsid w:val="00CD2FC8"/>
    <w:rsid w:val="00CD3933"/>
    <w:rsid w:val="00CD3D29"/>
    <w:rsid w:val="00CD3D4F"/>
    <w:rsid w:val="00CD3E25"/>
    <w:rsid w:val="00CD3FB0"/>
    <w:rsid w:val="00CD4F6D"/>
    <w:rsid w:val="00CD5121"/>
    <w:rsid w:val="00CD5A03"/>
    <w:rsid w:val="00CD67D6"/>
    <w:rsid w:val="00CD6B69"/>
    <w:rsid w:val="00CD7CAF"/>
    <w:rsid w:val="00CE11E9"/>
    <w:rsid w:val="00CE11FE"/>
    <w:rsid w:val="00CE17F2"/>
    <w:rsid w:val="00CE24B4"/>
    <w:rsid w:val="00CE258D"/>
    <w:rsid w:val="00CE279C"/>
    <w:rsid w:val="00CE30D5"/>
    <w:rsid w:val="00CE470E"/>
    <w:rsid w:val="00CE58BA"/>
    <w:rsid w:val="00CE7CA4"/>
    <w:rsid w:val="00CE7E87"/>
    <w:rsid w:val="00CF0E20"/>
    <w:rsid w:val="00CF1B95"/>
    <w:rsid w:val="00CF210B"/>
    <w:rsid w:val="00CF2CDE"/>
    <w:rsid w:val="00CF2F34"/>
    <w:rsid w:val="00CF302C"/>
    <w:rsid w:val="00CF3462"/>
    <w:rsid w:val="00CF4433"/>
    <w:rsid w:val="00CF55CB"/>
    <w:rsid w:val="00CF572B"/>
    <w:rsid w:val="00CF5C36"/>
    <w:rsid w:val="00CF6C37"/>
    <w:rsid w:val="00CF6F8E"/>
    <w:rsid w:val="00CF711F"/>
    <w:rsid w:val="00CF7C7A"/>
    <w:rsid w:val="00CF7E51"/>
    <w:rsid w:val="00CF7F16"/>
    <w:rsid w:val="00D001EF"/>
    <w:rsid w:val="00D01418"/>
    <w:rsid w:val="00D01613"/>
    <w:rsid w:val="00D0287F"/>
    <w:rsid w:val="00D02E1A"/>
    <w:rsid w:val="00D02E6B"/>
    <w:rsid w:val="00D0475A"/>
    <w:rsid w:val="00D05A65"/>
    <w:rsid w:val="00D05CE8"/>
    <w:rsid w:val="00D079E0"/>
    <w:rsid w:val="00D1002A"/>
    <w:rsid w:val="00D10107"/>
    <w:rsid w:val="00D10AE1"/>
    <w:rsid w:val="00D1291A"/>
    <w:rsid w:val="00D133F8"/>
    <w:rsid w:val="00D136C0"/>
    <w:rsid w:val="00D13798"/>
    <w:rsid w:val="00D14704"/>
    <w:rsid w:val="00D149CA"/>
    <w:rsid w:val="00D14B54"/>
    <w:rsid w:val="00D15181"/>
    <w:rsid w:val="00D153B0"/>
    <w:rsid w:val="00D16DF7"/>
    <w:rsid w:val="00D16F70"/>
    <w:rsid w:val="00D1768D"/>
    <w:rsid w:val="00D17B8B"/>
    <w:rsid w:val="00D17DCF"/>
    <w:rsid w:val="00D20B4D"/>
    <w:rsid w:val="00D20F6E"/>
    <w:rsid w:val="00D21313"/>
    <w:rsid w:val="00D213C7"/>
    <w:rsid w:val="00D222CF"/>
    <w:rsid w:val="00D242C6"/>
    <w:rsid w:val="00D255C8"/>
    <w:rsid w:val="00D2600A"/>
    <w:rsid w:val="00D26BF4"/>
    <w:rsid w:val="00D3001E"/>
    <w:rsid w:val="00D31C9B"/>
    <w:rsid w:val="00D32354"/>
    <w:rsid w:val="00D328D6"/>
    <w:rsid w:val="00D32C4F"/>
    <w:rsid w:val="00D34183"/>
    <w:rsid w:val="00D3432B"/>
    <w:rsid w:val="00D353D9"/>
    <w:rsid w:val="00D3573E"/>
    <w:rsid w:val="00D36292"/>
    <w:rsid w:val="00D36BE7"/>
    <w:rsid w:val="00D400FF"/>
    <w:rsid w:val="00D402A3"/>
    <w:rsid w:val="00D405CB"/>
    <w:rsid w:val="00D414D6"/>
    <w:rsid w:val="00D429C3"/>
    <w:rsid w:val="00D438DE"/>
    <w:rsid w:val="00D441B4"/>
    <w:rsid w:val="00D4616E"/>
    <w:rsid w:val="00D463AA"/>
    <w:rsid w:val="00D50142"/>
    <w:rsid w:val="00D50CF9"/>
    <w:rsid w:val="00D51288"/>
    <w:rsid w:val="00D51578"/>
    <w:rsid w:val="00D52C26"/>
    <w:rsid w:val="00D52CB4"/>
    <w:rsid w:val="00D53932"/>
    <w:rsid w:val="00D53F62"/>
    <w:rsid w:val="00D555F9"/>
    <w:rsid w:val="00D556F1"/>
    <w:rsid w:val="00D5619D"/>
    <w:rsid w:val="00D56ADB"/>
    <w:rsid w:val="00D56C5D"/>
    <w:rsid w:val="00D56F77"/>
    <w:rsid w:val="00D6008F"/>
    <w:rsid w:val="00D60DB7"/>
    <w:rsid w:val="00D613AE"/>
    <w:rsid w:val="00D61943"/>
    <w:rsid w:val="00D62BD7"/>
    <w:rsid w:val="00D63369"/>
    <w:rsid w:val="00D63413"/>
    <w:rsid w:val="00D64361"/>
    <w:rsid w:val="00D64870"/>
    <w:rsid w:val="00D64AAF"/>
    <w:rsid w:val="00D64C8B"/>
    <w:rsid w:val="00D659E4"/>
    <w:rsid w:val="00D661E3"/>
    <w:rsid w:val="00D66282"/>
    <w:rsid w:val="00D6681A"/>
    <w:rsid w:val="00D66BEA"/>
    <w:rsid w:val="00D6722E"/>
    <w:rsid w:val="00D6731B"/>
    <w:rsid w:val="00D70410"/>
    <w:rsid w:val="00D71682"/>
    <w:rsid w:val="00D72721"/>
    <w:rsid w:val="00D74EA2"/>
    <w:rsid w:val="00D75089"/>
    <w:rsid w:val="00D75A42"/>
    <w:rsid w:val="00D81951"/>
    <w:rsid w:val="00D819E4"/>
    <w:rsid w:val="00D829CD"/>
    <w:rsid w:val="00D8305D"/>
    <w:rsid w:val="00D83759"/>
    <w:rsid w:val="00D84259"/>
    <w:rsid w:val="00D842AF"/>
    <w:rsid w:val="00D844AF"/>
    <w:rsid w:val="00D849CC"/>
    <w:rsid w:val="00D85D34"/>
    <w:rsid w:val="00D86AB3"/>
    <w:rsid w:val="00D86D1E"/>
    <w:rsid w:val="00D87115"/>
    <w:rsid w:val="00D87B1F"/>
    <w:rsid w:val="00D9013D"/>
    <w:rsid w:val="00D90539"/>
    <w:rsid w:val="00D90B62"/>
    <w:rsid w:val="00D912FA"/>
    <w:rsid w:val="00D91D17"/>
    <w:rsid w:val="00D91D38"/>
    <w:rsid w:val="00D927DD"/>
    <w:rsid w:val="00D92C17"/>
    <w:rsid w:val="00D934D8"/>
    <w:rsid w:val="00D9467E"/>
    <w:rsid w:val="00D95823"/>
    <w:rsid w:val="00D958FA"/>
    <w:rsid w:val="00D974CF"/>
    <w:rsid w:val="00D97904"/>
    <w:rsid w:val="00D97E0B"/>
    <w:rsid w:val="00DA02A1"/>
    <w:rsid w:val="00DA0F36"/>
    <w:rsid w:val="00DA21E6"/>
    <w:rsid w:val="00DA2DBF"/>
    <w:rsid w:val="00DA2F8B"/>
    <w:rsid w:val="00DA2FDB"/>
    <w:rsid w:val="00DA3FC0"/>
    <w:rsid w:val="00DA475F"/>
    <w:rsid w:val="00DA50C3"/>
    <w:rsid w:val="00DA5358"/>
    <w:rsid w:val="00DA5E0D"/>
    <w:rsid w:val="00DA618B"/>
    <w:rsid w:val="00DA6A3B"/>
    <w:rsid w:val="00DA6C8E"/>
    <w:rsid w:val="00DA6E25"/>
    <w:rsid w:val="00DA7549"/>
    <w:rsid w:val="00DA7628"/>
    <w:rsid w:val="00DA78ED"/>
    <w:rsid w:val="00DA79B2"/>
    <w:rsid w:val="00DA7AEB"/>
    <w:rsid w:val="00DA7BB8"/>
    <w:rsid w:val="00DB0546"/>
    <w:rsid w:val="00DB0570"/>
    <w:rsid w:val="00DB0B57"/>
    <w:rsid w:val="00DB1A0B"/>
    <w:rsid w:val="00DB1A8A"/>
    <w:rsid w:val="00DB22EC"/>
    <w:rsid w:val="00DB2842"/>
    <w:rsid w:val="00DB5120"/>
    <w:rsid w:val="00DB5AE9"/>
    <w:rsid w:val="00DB63E0"/>
    <w:rsid w:val="00DB67B2"/>
    <w:rsid w:val="00DB6970"/>
    <w:rsid w:val="00DB6E92"/>
    <w:rsid w:val="00DB7515"/>
    <w:rsid w:val="00DC0B7E"/>
    <w:rsid w:val="00DC19CB"/>
    <w:rsid w:val="00DC1C58"/>
    <w:rsid w:val="00DC2451"/>
    <w:rsid w:val="00DC2610"/>
    <w:rsid w:val="00DC2A70"/>
    <w:rsid w:val="00DC2BB3"/>
    <w:rsid w:val="00DC4673"/>
    <w:rsid w:val="00DC4CE9"/>
    <w:rsid w:val="00DC5812"/>
    <w:rsid w:val="00DC5C08"/>
    <w:rsid w:val="00DC634F"/>
    <w:rsid w:val="00DC749B"/>
    <w:rsid w:val="00DC7FE1"/>
    <w:rsid w:val="00DD0974"/>
    <w:rsid w:val="00DD1BE8"/>
    <w:rsid w:val="00DD2808"/>
    <w:rsid w:val="00DD472F"/>
    <w:rsid w:val="00DD4954"/>
    <w:rsid w:val="00DD4C91"/>
    <w:rsid w:val="00DD5F88"/>
    <w:rsid w:val="00DD6AF7"/>
    <w:rsid w:val="00DD7F04"/>
    <w:rsid w:val="00DE03AC"/>
    <w:rsid w:val="00DE0744"/>
    <w:rsid w:val="00DE0912"/>
    <w:rsid w:val="00DE0CE7"/>
    <w:rsid w:val="00DE11AA"/>
    <w:rsid w:val="00DE250C"/>
    <w:rsid w:val="00DE2D9B"/>
    <w:rsid w:val="00DE35DC"/>
    <w:rsid w:val="00DE4C68"/>
    <w:rsid w:val="00DE5439"/>
    <w:rsid w:val="00DE547D"/>
    <w:rsid w:val="00DE69D6"/>
    <w:rsid w:val="00DE6D58"/>
    <w:rsid w:val="00DE7091"/>
    <w:rsid w:val="00DE7C48"/>
    <w:rsid w:val="00DE7F94"/>
    <w:rsid w:val="00DF05BF"/>
    <w:rsid w:val="00DF0BFC"/>
    <w:rsid w:val="00DF1933"/>
    <w:rsid w:val="00DF2054"/>
    <w:rsid w:val="00DF2B2F"/>
    <w:rsid w:val="00DF3269"/>
    <w:rsid w:val="00DF383A"/>
    <w:rsid w:val="00DF3C46"/>
    <w:rsid w:val="00DF7B68"/>
    <w:rsid w:val="00E006FE"/>
    <w:rsid w:val="00E00923"/>
    <w:rsid w:val="00E00A9F"/>
    <w:rsid w:val="00E02DFF"/>
    <w:rsid w:val="00E03F70"/>
    <w:rsid w:val="00E042CE"/>
    <w:rsid w:val="00E055A6"/>
    <w:rsid w:val="00E10940"/>
    <w:rsid w:val="00E112B0"/>
    <w:rsid w:val="00E11603"/>
    <w:rsid w:val="00E12696"/>
    <w:rsid w:val="00E12FC8"/>
    <w:rsid w:val="00E13276"/>
    <w:rsid w:val="00E133DB"/>
    <w:rsid w:val="00E140D6"/>
    <w:rsid w:val="00E14B8C"/>
    <w:rsid w:val="00E163FB"/>
    <w:rsid w:val="00E1664D"/>
    <w:rsid w:val="00E16941"/>
    <w:rsid w:val="00E16BC3"/>
    <w:rsid w:val="00E20B42"/>
    <w:rsid w:val="00E22006"/>
    <w:rsid w:val="00E2221B"/>
    <w:rsid w:val="00E22A59"/>
    <w:rsid w:val="00E236A0"/>
    <w:rsid w:val="00E26279"/>
    <w:rsid w:val="00E27B8C"/>
    <w:rsid w:val="00E3247D"/>
    <w:rsid w:val="00E329E8"/>
    <w:rsid w:val="00E32C2F"/>
    <w:rsid w:val="00E32E78"/>
    <w:rsid w:val="00E33305"/>
    <w:rsid w:val="00E3376D"/>
    <w:rsid w:val="00E33A5A"/>
    <w:rsid w:val="00E342A5"/>
    <w:rsid w:val="00E346CB"/>
    <w:rsid w:val="00E35217"/>
    <w:rsid w:val="00E373F6"/>
    <w:rsid w:val="00E37DFC"/>
    <w:rsid w:val="00E37E76"/>
    <w:rsid w:val="00E410E7"/>
    <w:rsid w:val="00E417AC"/>
    <w:rsid w:val="00E41B52"/>
    <w:rsid w:val="00E433B4"/>
    <w:rsid w:val="00E44618"/>
    <w:rsid w:val="00E4489E"/>
    <w:rsid w:val="00E453E2"/>
    <w:rsid w:val="00E46769"/>
    <w:rsid w:val="00E4694A"/>
    <w:rsid w:val="00E5115E"/>
    <w:rsid w:val="00E512E4"/>
    <w:rsid w:val="00E51AA6"/>
    <w:rsid w:val="00E53016"/>
    <w:rsid w:val="00E530BF"/>
    <w:rsid w:val="00E53911"/>
    <w:rsid w:val="00E53AD9"/>
    <w:rsid w:val="00E53EDA"/>
    <w:rsid w:val="00E546B0"/>
    <w:rsid w:val="00E54C1A"/>
    <w:rsid w:val="00E54E1B"/>
    <w:rsid w:val="00E56A0C"/>
    <w:rsid w:val="00E57FD7"/>
    <w:rsid w:val="00E605CA"/>
    <w:rsid w:val="00E60D97"/>
    <w:rsid w:val="00E62D0A"/>
    <w:rsid w:val="00E63ADC"/>
    <w:rsid w:val="00E64A01"/>
    <w:rsid w:val="00E64D67"/>
    <w:rsid w:val="00E6520C"/>
    <w:rsid w:val="00E65C38"/>
    <w:rsid w:val="00E66CE3"/>
    <w:rsid w:val="00E67725"/>
    <w:rsid w:val="00E67BE5"/>
    <w:rsid w:val="00E70134"/>
    <w:rsid w:val="00E701D5"/>
    <w:rsid w:val="00E71065"/>
    <w:rsid w:val="00E7150A"/>
    <w:rsid w:val="00E716B6"/>
    <w:rsid w:val="00E7190B"/>
    <w:rsid w:val="00E7341C"/>
    <w:rsid w:val="00E7398E"/>
    <w:rsid w:val="00E73B80"/>
    <w:rsid w:val="00E73D2F"/>
    <w:rsid w:val="00E74078"/>
    <w:rsid w:val="00E74536"/>
    <w:rsid w:val="00E74992"/>
    <w:rsid w:val="00E74C71"/>
    <w:rsid w:val="00E74E3A"/>
    <w:rsid w:val="00E7605E"/>
    <w:rsid w:val="00E76DE1"/>
    <w:rsid w:val="00E77574"/>
    <w:rsid w:val="00E77AC8"/>
    <w:rsid w:val="00E8081E"/>
    <w:rsid w:val="00E80E44"/>
    <w:rsid w:val="00E81909"/>
    <w:rsid w:val="00E84074"/>
    <w:rsid w:val="00E84877"/>
    <w:rsid w:val="00E84A88"/>
    <w:rsid w:val="00E85453"/>
    <w:rsid w:val="00E863F8"/>
    <w:rsid w:val="00E86CC2"/>
    <w:rsid w:val="00E86E07"/>
    <w:rsid w:val="00E86E5E"/>
    <w:rsid w:val="00E876B6"/>
    <w:rsid w:val="00E9005B"/>
    <w:rsid w:val="00E90F76"/>
    <w:rsid w:val="00E91F98"/>
    <w:rsid w:val="00E924F6"/>
    <w:rsid w:val="00E92561"/>
    <w:rsid w:val="00E9292D"/>
    <w:rsid w:val="00E9395D"/>
    <w:rsid w:val="00E943F3"/>
    <w:rsid w:val="00E961FD"/>
    <w:rsid w:val="00E96E96"/>
    <w:rsid w:val="00E97FDF"/>
    <w:rsid w:val="00EA0702"/>
    <w:rsid w:val="00EA1CC0"/>
    <w:rsid w:val="00EA42C7"/>
    <w:rsid w:val="00EA4449"/>
    <w:rsid w:val="00EA4579"/>
    <w:rsid w:val="00EA5675"/>
    <w:rsid w:val="00EA66D1"/>
    <w:rsid w:val="00EA7677"/>
    <w:rsid w:val="00EB2D3E"/>
    <w:rsid w:val="00EB2F2E"/>
    <w:rsid w:val="00EB3E30"/>
    <w:rsid w:val="00EB4A95"/>
    <w:rsid w:val="00EB533C"/>
    <w:rsid w:val="00EB641D"/>
    <w:rsid w:val="00EB6EC1"/>
    <w:rsid w:val="00EB6FB3"/>
    <w:rsid w:val="00EB7189"/>
    <w:rsid w:val="00EB789B"/>
    <w:rsid w:val="00EC02CD"/>
    <w:rsid w:val="00EC0ABA"/>
    <w:rsid w:val="00EC1FC3"/>
    <w:rsid w:val="00EC2D5A"/>
    <w:rsid w:val="00EC30CB"/>
    <w:rsid w:val="00EC375B"/>
    <w:rsid w:val="00EC40C3"/>
    <w:rsid w:val="00EC4F2E"/>
    <w:rsid w:val="00EC6E5C"/>
    <w:rsid w:val="00EC6F9C"/>
    <w:rsid w:val="00EC7131"/>
    <w:rsid w:val="00EC720E"/>
    <w:rsid w:val="00EC7C65"/>
    <w:rsid w:val="00EC7F98"/>
    <w:rsid w:val="00ED2248"/>
    <w:rsid w:val="00ED2A3A"/>
    <w:rsid w:val="00ED3A1F"/>
    <w:rsid w:val="00ED3EFC"/>
    <w:rsid w:val="00ED4054"/>
    <w:rsid w:val="00ED4956"/>
    <w:rsid w:val="00ED5AB8"/>
    <w:rsid w:val="00ED7B42"/>
    <w:rsid w:val="00EE124D"/>
    <w:rsid w:val="00EE332D"/>
    <w:rsid w:val="00EE3592"/>
    <w:rsid w:val="00EE36F9"/>
    <w:rsid w:val="00EE4177"/>
    <w:rsid w:val="00EE648B"/>
    <w:rsid w:val="00EE68FD"/>
    <w:rsid w:val="00EE7C38"/>
    <w:rsid w:val="00EF0BB8"/>
    <w:rsid w:val="00EF0E62"/>
    <w:rsid w:val="00EF0EBF"/>
    <w:rsid w:val="00EF1922"/>
    <w:rsid w:val="00EF1FC9"/>
    <w:rsid w:val="00EF262F"/>
    <w:rsid w:val="00EF2817"/>
    <w:rsid w:val="00EF2A7B"/>
    <w:rsid w:val="00EF3BA9"/>
    <w:rsid w:val="00EF4457"/>
    <w:rsid w:val="00EF4D8E"/>
    <w:rsid w:val="00EF52FD"/>
    <w:rsid w:val="00EF5B50"/>
    <w:rsid w:val="00EF63E9"/>
    <w:rsid w:val="00EF6CBB"/>
    <w:rsid w:val="00EF7015"/>
    <w:rsid w:val="00EF7271"/>
    <w:rsid w:val="00EF7A2C"/>
    <w:rsid w:val="00F001FE"/>
    <w:rsid w:val="00F00500"/>
    <w:rsid w:val="00F00A68"/>
    <w:rsid w:val="00F00A84"/>
    <w:rsid w:val="00F01554"/>
    <w:rsid w:val="00F02A29"/>
    <w:rsid w:val="00F033D9"/>
    <w:rsid w:val="00F03723"/>
    <w:rsid w:val="00F037C6"/>
    <w:rsid w:val="00F03E68"/>
    <w:rsid w:val="00F04239"/>
    <w:rsid w:val="00F04FEA"/>
    <w:rsid w:val="00F05A1D"/>
    <w:rsid w:val="00F0698C"/>
    <w:rsid w:val="00F06CDD"/>
    <w:rsid w:val="00F070AC"/>
    <w:rsid w:val="00F07BFF"/>
    <w:rsid w:val="00F105E7"/>
    <w:rsid w:val="00F11B1D"/>
    <w:rsid w:val="00F1226A"/>
    <w:rsid w:val="00F1258C"/>
    <w:rsid w:val="00F131AB"/>
    <w:rsid w:val="00F151AC"/>
    <w:rsid w:val="00F15514"/>
    <w:rsid w:val="00F1568B"/>
    <w:rsid w:val="00F16B36"/>
    <w:rsid w:val="00F17B6E"/>
    <w:rsid w:val="00F2036F"/>
    <w:rsid w:val="00F21178"/>
    <w:rsid w:val="00F22270"/>
    <w:rsid w:val="00F22CA5"/>
    <w:rsid w:val="00F2307A"/>
    <w:rsid w:val="00F23E3B"/>
    <w:rsid w:val="00F240B0"/>
    <w:rsid w:val="00F261CC"/>
    <w:rsid w:val="00F30086"/>
    <w:rsid w:val="00F30959"/>
    <w:rsid w:val="00F312A0"/>
    <w:rsid w:val="00F3159C"/>
    <w:rsid w:val="00F31E22"/>
    <w:rsid w:val="00F31E26"/>
    <w:rsid w:val="00F31FC6"/>
    <w:rsid w:val="00F31FF4"/>
    <w:rsid w:val="00F32175"/>
    <w:rsid w:val="00F3233D"/>
    <w:rsid w:val="00F325B2"/>
    <w:rsid w:val="00F33C79"/>
    <w:rsid w:val="00F354F4"/>
    <w:rsid w:val="00F35940"/>
    <w:rsid w:val="00F36936"/>
    <w:rsid w:val="00F36A38"/>
    <w:rsid w:val="00F3735B"/>
    <w:rsid w:val="00F37467"/>
    <w:rsid w:val="00F37779"/>
    <w:rsid w:val="00F37B12"/>
    <w:rsid w:val="00F37B74"/>
    <w:rsid w:val="00F40DF4"/>
    <w:rsid w:val="00F4130C"/>
    <w:rsid w:val="00F41788"/>
    <w:rsid w:val="00F41D7B"/>
    <w:rsid w:val="00F42085"/>
    <w:rsid w:val="00F43602"/>
    <w:rsid w:val="00F43736"/>
    <w:rsid w:val="00F45082"/>
    <w:rsid w:val="00F45675"/>
    <w:rsid w:val="00F45B5A"/>
    <w:rsid w:val="00F46670"/>
    <w:rsid w:val="00F4686A"/>
    <w:rsid w:val="00F46DD5"/>
    <w:rsid w:val="00F5006D"/>
    <w:rsid w:val="00F508E4"/>
    <w:rsid w:val="00F51128"/>
    <w:rsid w:val="00F5277E"/>
    <w:rsid w:val="00F55257"/>
    <w:rsid w:val="00F553A9"/>
    <w:rsid w:val="00F558D1"/>
    <w:rsid w:val="00F55ADC"/>
    <w:rsid w:val="00F56628"/>
    <w:rsid w:val="00F5666C"/>
    <w:rsid w:val="00F566BA"/>
    <w:rsid w:val="00F56CC8"/>
    <w:rsid w:val="00F57B80"/>
    <w:rsid w:val="00F60472"/>
    <w:rsid w:val="00F604D1"/>
    <w:rsid w:val="00F61447"/>
    <w:rsid w:val="00F61698"/>
    <w:rsid w:val="00F61AF2"/>
    <w:rsid w:val="00F6209B"/>
    <w:rsid w:val="00F6252F"/>
    <w:rsid w:val="00F6253A"/>
    <w:rsid w:val="00F628FE"/>
    <w:rsid w:val="00F63A74"/>
    <w:rsid w:val="00F64798"/>
    <w:rsid w:val="00F64A4B"/>
    <w:rsid w:val="00F64B74"/>
    <w:rsid w:val="00F653F9"/>
    <w:rsid w:val="00F66F40"/>
    <w:rsid w:val="00F66FFC"/>
    <w:rsid w:val="00F6732E"/>
    <w:rsid w:val="00F67835"/>
    <w:rsid w:val="00F70005"/>
    <w:rsid w:val="00F704A5"/>
    <w:rsid w:val="00F72D0E"/>
    <w:rsid w:val="00F73507"/>
    <w:rsid w:val="00F75724"/>
    <w:rsid w:val="00F75DAA"/>
    <w:rsid w:val="00F76380"/>
    <w:rsid w:val="00F76509"/>
    <w:rsid w:val="00F7681B"/>
    <w:rsid w:val="00F76EDB"/>
    <w:rsid w:val="00F7717A"/>
    <w:rsid w:val="00F77419"/>
    <w:rsid w:val="00F80AB8"/>
    <w:rsid w:val="00F812D5"/>
    <w:rsid w:val="00F836BB"/>
    <w:rsid w:val="00F851C1"/>
    <w:rsid w:val="00F85C26"/>
    <w:rsid w:val="00F86142"/>
    <w:rsid w:val="00F8753B"/>
    <w:rsid w:val="00F92A28"/>
    <w:rsid w:val="00F92C0D"/>
    <w:rsid w:val="00F92C86"/>
    <w:rsid w:val="00F92F34"/>
    <w:rsid w:val="00F9336D"/>
    <w:rsid w:val="00F9400D"/>
    <w:rsid w:val="00F948A4"/>
    <w:rsid w:val="00F963DD"/>
    <w:rsid w:val="00F972CD"/>
    <w:rsid w:val="00F97950"/>
    <w:rsid w:val="00F97EA2"/>
    <w:rsid w:val="00FA155D"/>
    <w:rsid w:val="00FA2094"/>
    <w:rsid w:val="00FA2EB8"/>
    <w:rsid w:val="00FA365D"/>
    <w:rsid w:val="00FA36E8"/>
    <w:rsid w:val="00FA37CC"/>
    <w:rsid w:val="00FA7A2E"/>
    <w:rsid w:val="00FB1492"/>
    <w:rsid w:val="00FB1BF3"/>
    <w:rsid w:val="00FB1C90"/>
    <w:rsid w:val="00FB1EA1"/>
    <w:rsid w:val="00FB2E6A"/>
    <w:rsid w:val="00FB3ADF"/>
    <w:rsid w:val="00FB4720"/>
    <w:rsid w:val="00FB49F4"/>
    <w:rsid w:val="00FB4B82"/>
    <w:rsid w:val="00FB4F70"/>
    <w:rsid w:val="00FB67B4"/>
    <w:rsid w:val="00FB71F1"/>
    <w:rsid w:val="00FB731B"/>
    <w:rsid w:val="00FB7FB0"/>
    <w:rsid w:val="00FC052F"/>
    <w:rsid w:val="00FC2C14"/>
    <w:rsid w:val="00FC30FA"/>
    <w:rsid w:val="00FC38F4"/>
    <w:rsid w:val="00FC3C14"/>
    <w:rsid w:val="00FC45B8"/>
    <w:rsid w:val="00FC5154"/>
    <w:rsid w:val="00FC6FC5"/>
    <w:rsid w:val="00FC747E"/>
    <w:rsid w:val="00FC74B8"/>
    <w:rsid w:val="00FD134E"/>
    <w:rsid w:val="00FD173C"/>
    <w:rsid w:val="00FD1750"/>
    <w:rsid w:val="00FD1DD8"/>
    <w:rsid w:val="00FD34D9"/>
    <w:rsid w:val="00FD3564"/>
    <w:rsid w:val="00FD480F"/>
    <w:rsid w:val="00FD487A"/>
    <w:rsid w:val="00FD751A"/>
    <w:rsid w:val="00FE0B38"/>
    <w:rsid w:val="00FE1206"/>
    <w:rsid w:val="00FE1797"/>
    <w:rsid w:val="00FE190E"/>
    <w:rsid w:val="00FE1D88"/>
    <w:rsid w:val="00FE2703"/>
    <w:rsid w:val="00FE60E1"/>
    <w:rsid w:val="00FE67CB"/>
    <w:rsid w:val="00FE7E4B"/>
    <w:rsid w:val="00FF0585"/>
    <w:rsid w:val="00FF151A"/>
    <w:rsid w:val="00FF191B"/>
    <w:rsid w:val="00FF2228"/>
    <w:rsid w:val="00FF2493"/>
    <w:rsid w:val="00FF25EF"/>
    <w:rsid w:val="00FF2A4E"/>
    <w:rsid w:val="00FF3172"/>
    <w:rsid w:val="00FF366A"/>
    <w:rsid w:val="00FF41B1"/>
    <w:rsid w:val="00FF452F"/>
    <w:rsid w:val="00FF4CA8"/>
    <w:rsid w:val="00FF4E67"/>
    <w:rsid w:val="00FF4F99"/>
    <w:rsid w:val="00FF695D"/>
    <w:rsid w:val="00FF70A0"/>
    <w:rsid w:val="00FF7322"/>
    <w:rsid w:val="00FF77A2"/>
    <w:rsid w:val="00FF792F"/>
    <w:rsid w:val="00FF7B66"/>
    <w:rsid w:val="00FF7F07"/>
    <w:rsid w:val="01066A48"/>
    <w:rsid w:val="01137C69"/>
    <w:rsid w:val="012A4E2C"/>
    <w:rsid w:val="012D2BAB"/>
    <w:rsid w:val="0136732D"/>
    <w:rsid w:val="01431A4A"/>
    <w:rsid w:val="014F04E5"/>
    <w:rsid w:val="017B7436"/>
    <w:rsid w:val="01920401"/>
    <w:rsid w:val="0195644C"/>
    <w:rsid w:val="019E4202"/>
    <w:rsid w:val="01A00C4B"/>
    <w:rsid w:val="01B009AB"/>
    <w:rsid w:val="01B16E65"/>
    <w:rsid w:val="01B87B26"/>
    <w:rsid w:val="01C54B55"/>
    <w:rsid w:val="01E139F2"/>
    <w:rsid w:val="01E44FDB"/>
    <w:rsid w:val="01EA1125"/>
    <w:rsid w:val="02040ADD"/>
    <w:rsid w:val="021358C1"/>
    <w:rsid w:val="02184C85"/>
    <w:rsid w:val="02223D56"/>
    <w:rsid w:val="022A49B8"/>
    <w:rsid w:val="02313F99"/>
    <w:rsid w:val="02505505"/>
    <w:rsid w:val="0255198A"/>
    <w:rsid w:val="026844A3"/>
    <w:rsid w:val="027423B3"/>
    <w:rsid w:val="027D0F8C"/>
    <w:rsid w:val="027D2D3A"/>
    <w:rsid w:val="028E7BDF"/>
    <w:rsid w:val="029A1B3E"/>
    <w:rsid w:val="029C58B6"/>
    <w:rsid w:val="02B96468"/>
    <w:rsid w:val="02CF7A3A"/>
    <w:rsid w:val="02D34744"/>
    <w:rsid w:val="02E1392C"/>
    <w:rsid w:val="02E37041"/>
    <w:rsid w:val="02E42606"/>
    <w:rsid w:val="02EA4873"/>
    <w:rsid w:val="0308778C"/>
    <w:rsid w:val="030C43B8"/>
    <w:rsid w:val="031E451D"/>
    <w:rsid w:val="03237D85"/>
    <w:rsid w:val="03261624"/>
    <w:rsid w:val="032C6CF5"/>
    <w:rsid w:val="033E696D"/>
    <w:rsid w:val="03483348"/>
    <w:rsid w:val="03634626"/>
    <w:rsid w:val="03675EC4"/>
    <w:rsid w:val="036B7036"/>
    <w:rsid w:val="03800D34"/>
    <w:rsid w:val="03802AE2"/>
    <w:rsid w:val="038325D2"/>
    <w:rsid w:val="038B0F07"/>
    <w:rsid w:val="038C592B"/>
    <w:rsid w:val="03A013D6"/>
    <w:rsid w:val="03B7227C"/>
    <w:rsid w:val="03B94246"/>
    <w:rsid w:val="03BB3BD6"/>
    <w:rsid w:val="03D1333D"/>
    <w:rsid w:val="03DB41BC"/>
    <w:rsid w:val="03DD7F34"/>
    <w:rsid w:val="03E2379C"/>
    <w:rsid w:val="03E87E1E"/>
    <w:rsid w:val="03EA45C6"/>
    <w:rsid w:val="03EA6FAA"/>
    <w:rsid w:val="03EE2A56"/>
    <w:rsid w:val="03F11C32"/>
    <w:rsid w:val="03FD4132"/>
    <w:rsid w:val="04016320"/>
    <w:rsid w:val="040A4AA1"/>
    <w:rsid w:val="040F3E66"/>
    <w:rsid w:val="04137DFA"/>
    <w:rsid w:val="041C2AF6"/>
    <w:rsid w:val="0450687B"/>
    <w:rsid w:val="046A5772"/>
    <w:rsid w:val="047F5ECF"/>
    <w:rsid w:val="048760F2"/>
    <w:rsid w:val="048B7990"/>
    <w:rsid w:val="04910D1F"/>
    <w:rsid w:val="049251C3"/>
    <w:rsid w:val="049E59B4"/>
    <w:rsid w:val="049F766D"/>
    <w:rsid w:val="04A113A4"/>
    <w:rsid w:val="04B05277"/>
    <w:rsid w:val="04B62533"/>
    <w:rsid w:val="04BA2023"/>
    <w:rsid w:val="04F7690C"/>
    <w:rsid w:val="04FA4B16"/>
    <w:rsid w:val="050D4295"/>
    <w:rsid w:val="051D361B"/>
    <w:rsid w:val="05263B5D"/>
    <w:rsid w:val="053578FC"/>
    <w:rsid w:val="05371AF0"/>
    <w:rsid w:val="053A4F12"/>
    <w:rsid w:val="054116CB"/>
    <w:rsid w:val="0548574A"/>
    <w:rsid w:val="05485881"/>
    <w:rsid w:val="055038BC"/>
    <w:rsid w:val="05544350"/>
    <w:rsid w:val="055D1B12"/>
    <w:rsid w:val="05616943"/>
    <w:rsid w:val="05816FE5"/>
    <w:rsid w:val="058F34B0"/>
    <w:rsid w:val="059619FA"/>
    <w:rsid w:val="059D3E1F"/>
    <w:rsid w:val="05AA02EA"/>
    <w:rsid w:val="05D37841"/>
    <w:rsid w:val="05D435B9"/>
    <w:rsid w:val="05E732EC"/>
    <w:rsid w:val="05EC0902"/>
    <w:rsid w:val="05EC3EB4"/>
    <w:rsid w:val="05FB28F4"/>
    <w:rsid w:val="05FE23E4"/>
    <w:rsid w:val="06020126"/>
    <w:rsid w:val="064F03AA"/>
    <w:rsid w:val="067526A6"/>
    <w:rsid w:val="06787432"/>
    <w:rsid w:val="06952D48"/>
    <w:rsid w:val="069845E6"/>
    <w:rsid w:val="069A035E"/>
    <w:rsid w:val="06A20FC1"/>
    <w:rsid w:val="06A5600E"/>
    <w:rsid w:val="06A72A7B"/>
    <w:rsid w:val="06AE5BB8"/>
    <w:rsid w:val="06AE7966"/>
    <w:rsid w:val="06C427AE"/>
    <w:rsid w:val="06E31D05"/>
    <w:rsid w:val="07043A2A"/>
    <w:rsid w:val="07047ECE"/>
    <w:rsid w:val="071023CF"/>
    <w:rsid w:val="071C6FC5"/>
    <w:rsid w:val="072B545A"/>
    <w:rsid w:val="07302A71"/>
    <w:rsid w:val="074309F6"/>
    <w:rsid w:val="074C0952"/>
    <w:rsid w:val="074E6108"/>
    <w:rsid w:val="0754189F"/>
    <w:rsid w:val="075C1AB8"/>
    <w:rsid w:val="07634BF4"/>
    <w:rsid w:val="07830DF3"/>
    <w:rsid w:val="0797489E"/>
    <w:rsid w:val="07A07BF6"/>
    <w:rsid w:val="07B000B2"/>
    <w:rsid w:val="07D16002"/>
    <w:rsid w:val="07E76B46"/>
    <w:rsid w:val="07EF451C"/>
    <w:rsid w:val="07F24004"/>
    <w:rsid w:val="081163FE"/>
    <w:rsid w:val="082A3964"/>
    <w:rsid w:val="0830547E"/>
    <w:rsid w:val="08305869"/>
    <w:rsid w:val="08404F36"/>
    <w:rsid w:val="08485B98"/>
    <w:rsid w:val="084F5179"/>
    <w:rsid w:val="0854278F"/>
    <w:rsid w:val="08566507"/>
    <w:rsid w:val="0858227F"/>
    <w:rsid w:val="08624EAC"/>
    <w:rsid w:val="087921F6"/>
    <w:rsid w:val="087B43C8"/>
    <w:rsid w:val="087D3A94"/>
    <w:rsid w:val="087F5A5E"/>
    <w:rsid w:val="08892439"/>
    <w:rsid w:val="08AA23AF"/>
    <w:rsid w:val="08B54394"/>
    <w:rsid w:val="08E421C5"/>
    <w:rsid w:val="08F4718E"/>
    <w:rsid w:val="09012917"/>
    <w:rsid w:val="090D306A"/>
    <w:rsid w:val="0911242E"/>
    <w:rsid w:val="092A537F"/>
    <w:rsid w:val="093A7BD7"/>
    <w:rsid w:val="095A5EFC"/>
    <w:rsid w:val="0977292C"/>
    <w:rsid w:val="098350DA"/>
    <w:rsid w:val="0992356F"/>
    <w:rsid w:val="099A2423"/>
    <w:rsid w:val="099F60D4"/>
    <w:rsid w:val="09A339CE"/>
    <w:rsid w:val="09B90AFC"/>
    <w:rsid w:val="09D21BBD"/>
    <w:rsid w:val="09D52C60"/>
    <w:rsid w:val="09D65B51"/>
    <w:rsid w:val="09DE0562"/>
    <w:rsid w:val="09E47544"/>
    <w:rsid w:val="09E65669"/>
    <w:rsid w:val="09F2400E"/>
    <w:rsid w:val="0A1D17C1"/>
    <w:rsid w:val="0A397E8E"/>
    <w:rsid w:val="0A425D09"/>
    <w:rsid w:val="0A4E393A"/>
    <w:rsid w:val="0A615213"/>
    <w:rsid w:val="0A634F0B"/>
    <w:rsid w:val="0A717628"/>
    <w:rsid w:val="0A761D42"/>
    <w:rsid w:val="0A83110A"/>
    <w:rsid w:val="0A894080"/>
    <w:rsid w:val="0A9F4195"/>
    <w:rsid w:val="0AAE43D8"/>
    <w:rsid w:val="0AAF0151"/>
    <w:rsid w:val="0AB53556"/>
    <w:rsid w:val="0ACB590F"/>
    <w:rsid w:val="0AD031A2"/>
    <w:rsid w:val="0AD361DF"/>
    <w:rsid w:val="0AD55E09"/>
    <w:rsid w:val="0AE1644F"/>
    <w:rsid w:val="0AED6133"/>
    <w:rsid w:val="0AF3628F"/>
    <w:rsid w:val="0AF67B2D"/>
    <w:rsid w:val="0B0A4727"/>
    <w:rsid w:val="0B0C55A3"/>
    <w:rsid w:val="0B224870"/>
    <w:rsid w:val="0B310B66"/>
    <w:rsid w:val="0B4765DB"/>
    <w:rsid w:val="0B4C599F"/>
    <w:rsid w:val="0B50723E"/>
    <w:rsid w:val="0B63734C"/>
    <w:rsid w:val="0B64718D"/>
    <w:rsid w:val="0B754EF6"/>
    <w:rsid w:val="0B892750"/>
    <w:rsid w:val="0B8B64C8"/>
    <w:rsid w:val="0B8F3002"/>
    <w:rsid w:val="0B93537C"/>
    <w:rsid w:val="0BA23811"/>
    <w:rsid w:val="0BA8707A"/>
    <w:rsid w:val="0BB0345C"/>
    <w:rsid w:val="0BC02C02"/>
    <w:rsid w:val="0BC1013B"/>
    <w:rsid w:val="0BCB0FBA"/>
    <w:rsid w:val="0BCE4606"/>
    <w:rsid w:val="0BCE49C9"/>
    <w:rsid w:val="0BD53BE7"/>
    <w:rsid w:val="0BEB6F66"/>
    <w:rsid w:val="0BF508D2"/>
    <w:rsid w:val="0BFE6C9A"/>
    <w:rsid w:val="0C063DA0"/>
    <w:rsid w:val="0C103091"/>
    <w:rsid w:val="0C201306"/>
    <w:rsid w:val="0C405504"/>
    <w:rsid w:val="0C5745FC"/>
    <w:rsid w:val="0C5B0590"/>
    <w:rsid w:val="0C5D178E"/>
    <w:rsid w:val="0C601702"/>
    <w:rsid w:val="0C60563C"/>
    <w:rsid w:val="0C7A2F15"/>
    <w:rsid w:val="0C924DEE"/>
    <w:rsid w:val="0C9B41E0"/>
    <w:rsid w:val="0CA02447"/>
    <w:rsid w:val="0CB16402"/>
    <w:rsid w:val="0CCD3B33"/>
    <w:rsid w:val="0CCE5B94"/>
    <w:rsid w:val="0CF20097"/>
    <w:rsid w:val="0D0350A9"/>
    <w:rsid w:val="0D077DD0"/>
    <w:rsid w:val="0D081DA1"/>
    <w:rsid w:val="0D116EA1"/>
    <w:rsid w:val="0D132C19"/>
    <w:rsid w:val="0D1878EB"/>
    <w:rsid w:val="0D1F511A"/>
    <w:rsid w:val="0D200E92"/>
    <w:rsid w:val="0D3B47C9"/>
    <w:rsid w:val="0D3F1B32"/>
    <w:rsid w:val="0D4A5F0F"/>
    <w:rsid w:val="0D531267"/>
    <w:rsid w:val="0D6C2329"/>
    <w:rsid w:val="0D815DD4"/>
    <w:rsid w:val="0D873BD3"/>
    <w:rsid w:val="0D8A1C34"/>
    <w:rsid w:val="0D8D29CB"/>
    <w:rsid w:val="0D9B7F82"/>
    <w:rsid w:val="0DA90E87"/>
    <w:rsid w:val="0DC009E4"/>
    <w:rsid w:val="0DE6032D"/>
    <w:rsid w:val="0DE87C01"/>
    <w:rsid w:val="0DED6FC6"/>
    <w:rsid w:val="0DF72D4B"/>
    <w:rsid w:val="0E06277D"/>
    <w:rsid w:val="0E121122"/>
    <w:rsid w:val="0E15651D"/>
    <w:rsid w:val="0E197DBB"/>
    <w:rsid w:val="0E1B7FD7"/>
    <w:rsid w:val="0E1F739B"/>
    <w:rsid w:val="0E230C39"/>
    <w:rsid w:val="0E3C619F"/>
    <w:rsid w:val="0E547045"/>
    <w:rsid w:val="0E5E478C"/>
    <w:rsid w:val="0E6514CE"/>
    <w:rsid w:val="0E6F20D1"/>
    <w:rsid w:val="0E72396F"/>
    <w:rsid w:val="0E8813E4"/>
    <w:rsid w:val="0E8A6F0A"/>
    <w:rsid w:val="0EA578A0"/>
    <w:rsid w:val="0EB23443"/>
    <w:rsid w:val="0ED96F99"/>
    <w:rsid w:val="0EED1247"/>
    <w:rsid w:val="0F0008B2"/>
    <w:rsid w:val="0F096081"/>
    <w:rsid w:val="0F113854"/>
    <w:rsid w:val="0F1B7B63"/>
    <w:rsid w:val="0F242EBB"/>
    <w:rsid w:val="0F2C78B5"/>
    <w:rsid w:val="0F3F1AA3"/>
    <w:rsid w:val="0F423341"/>
    <w:rsid w:val="0F5372FC"/>
    <w:rsid w:val="0F543075"/>
    <w:rsid w:val="0F5F3EF3"/>
    <w:rsid w:val="0F7A2ADB"/>
    <w:rsid w:val="0F7C2CF7"/>
    <w:rsid w:val="0F8001C0"/>
    <w:rsid w:val="0F841BAC"/>
    <w:rsid w:val="0F87344A"/>
    <w:rsid w:val="0F8971C2"/>
    <w:rsid w:val="0FA45DAA"/>
    <w:rsid w:val="0FB2671F"/>
    <w:rsid w:val="0FBC30F4"/>
    <w:rsid w:val="0FBF4B97"/>
    <w:rsid w:val="0FC05E29"/>
    <w:rsid w:val="0FCE5F07"/>
    <w:rsid w:val="0FD22917"/>
    <w:rsid w:val="0FD50659"/>
    <w:rsid w:val="0FDE750E"/>
    <w:rsid w:val="0FDF5034"/>
    <w:rsid w:val="0FE20680"/>
    <w:rsid w:val="0FE268D2"/>
    <w:rsid w:val="10022AD1"/>
    <w:rsid w:val="10066A65"/>
    <w:rsid w:val="10130368"/>
    <w:rsid w:val="1021389E"/>
    <w:rsid w:val="103425BC"/>
    <w:rsid w:val="10396B03"/>
    <w:rsid w:val="10523A58"/>
    <w:rsid w:val="10593DE8"/>
    <w:rsid w:val="1061783B"/>
    <w:rsid w:val="10757746"/>
    <w:rsid w:val="109A0F5B"/>
    <w:rsid w:val="10AA0A62"/>
    <w:rsid w:val="10B62239"/>
    <w:rsid w:val="10BF71E9"/>
    <w:rsid w:val="10DC18BD"/>
    <w:rsid w:val="10E86D63"/>
    <w:rsid w:val="10F845FF"/>
    <w:rsid w:val="1102547E"/>
    <w:rsid w:val="11097180"/>
    <w:rsid w:val="11105DEF"/>
    <w:rsid w:val="11131439"/>
    <w:rsid w:val="11164A85"/>
    <w:rsid w:val="11186A50"/>
    <w:rsid w:val="112453F4"/>
    <w:rsid w:val="112B7416"/>
    <w:rsid w:val="1132247A"/>
    <w:rsid w:val="113B44EC"/>
    <w:rsid w:val="11477335"/>
    <w:rsid w:val="115B06EA"/>
    <w:rsid w:val="11643A43"/>
    <w:rsid w:val="11673533"/>
    <w:rsid w:val="116752E1"/>
    <w:rsid w:val="117619EB"/>
    <w:rsid w:val="11A7392F"/>
    <w:rsid w:val="11C720B8"/>
    <w:rsid w:val="11D34725"/>
    <w:rsid w:val="11F272A1"/>
    <w:rsid w:val="1204469C"/>
    <w:rsid w:val="12045226"/>
    <w:rsid w:val="120945EA"/>
    <w:rsid w:val="120A60E3"/>
    <w:rsid w:val="120D40DA"/>
    <w:rsid w:val="121E04E8"/>
    <w:rsid w:val="12200177"/>
    <w:rsid w:val="12324A00"/>
    <w:rsid w:val="123F499D"/>
    <w:rsid w:val="124047DA"/>
    <w:rsid w:val="1246139A"/>
    <w:rsid w:val="1259655B"/>
    <w:rsid w:val="125E7665"/>
    <w:rsid w:val="126E04C4"/>
    <w:rsid w:val="127203E1"/>
    <w:rsid w:val="12802AFE"/>
    <w:rsid w:val="128123D2"/>
    <w:rsid w:val="12851EC3"/>
    <w:rsid w:val="129B16E6"/>
    <w:rsid w:val="12A04F4F"/>
    <w:rsid w:val="12B24C82"/>
    <w:rsid w:val="12B53287"/>
    <w:rsid w:val="12C32BC6"/>
    <w:rsid w:val="12C64289"/>
    <w:rsid w:val="12C9220F"/>
    <w:rsid w:val="12D20E80"/>
    <w:rsid w:val="12E7492B"/>
    <w:rsid w:val="131C20FB"/>
    <w:rsid w:val="131F1FCB"/>
    <w:rsid w:val="13203999"/>
    <w:rsid w:val="132A783D"/>
    <w:rsid w:val="1333697C"/>
    <w:rsid w:val="13347445"/>
    <w:rsid w:val="133E6515"/>
    <w:rsid w:val="13426006"/>
    <w:rsid w:val="13517FF7"/>
    <w:rsid w:val="13596EAB"/>
    <w:rsid w:val="135B2C24"/>
    <w:rsid w:val="135E2714"/>
    <w:rsid w:val="135F18E9"/>
    <w:rsid w:val="136A67D5"/>
    <w:rsid w:val="13822403"/>
    <w:rsid w:val="1383770C"/>
    <w:rsid w:val="1393060F"/>
    <w:rsid w:val="13A0408D"/>
    <w:rsid w:val="13A46379"/>
    <w:rsid w:val="13AC16D1"/>
    <w:rsid w:val="13C32F03"/>
    <w:rsid w:val="13D604FC"/>
    <w:rsid w:val="13E470BD"/>
    <w:rsid w:val="13E507E0"/>
    <w:rsid w:val="13E744B7"/>
    <w:rsid w:val="13EE5846"/>
    <w:rsid w:val="1405689D"/>
    <w:rsid w:val="14065285"/>
    <w:rsid w:val="140C5C95"/>
    <w:rsid w:val="14302302"/>
    <w:rsid w:val="14331870"/>
    <w:rsid w:val="14423DE3"/>
    <w:rsid w:val="144933C4"/>
    <w:rsid w:val="145204CA"/>
    <w:rsid w:val="14593607"/>
    <w:rsid w:val="14983A03"/>
    <w:rsid w:val="149F2FE4"/>
    <w:rsid w:val="14A64372"/>
    <w:rsid w:val="14AD3953"/>
    <w:rsid w:val="14AD4DB8"/>
    <w:rsid w:val="14B4083D"/>
    <w:rsid w:val="14C34F24"/>
    <w:rsid w:val="14D40EDF"/>
    <w:rsid w:val="14FE5F5C"/>
    <w:rsid w:val="150017B7"/>
    <w:rsid w:val="150771D6"/>
    <w:rsid w:val="151707C6"/>
    <w:rsid w:val="151B300B"/>
    <w:rsid w:val="15331F8D"/>
    <w:rsid w:val="15363948"/>
    <w:rsid w:val="15393438"/>
    <w:rsid w:val="15400323"/>
    <w:rsid w:val="154C271C"/>
    <w:rsid w:val="15520056"/>
    <w:rsid w:val="157C1D72"/>
    <w:rsid w:val="15E5324C"/>
    <w:rsid w:val="15EC220C"/>
    <w:rsid w:val="160936A7"/>
    <w:rsid w:val="16377978"/>
    <w:rsid w:val="16465E0D"/>
    <w:rsid w:val="16557DFE"/>
    <w:rsid w:val="165A3666"/>
    <w:rsid w:val="16663DB9"/>
    <w:rsid w:val="166E0EC0"/>
    <w:rsid w:val="16734728"/>
    <w:rsid w:val="16802341"/>
    <w:rsid w:val="16AB3EC2"/>
    <w:rsid w:val="16BC3FE0"/>
    <w:rsid w:val="16CB50C6"/>
    <w:rsid w:val="16DB76B1"/>
    <w:rsid w:val="16DC27AA"/>
    <w:rsid w:val="170A0BE8"/>
    <w:rsid w:val="17171557"/>
    <w:rsid w:val="17237EFC"/>
    <w:rsid w:val="172A4DE7"/>
    <w:rsid w:val="1740319E"/>
    <w:rsid w:val="174A36DB"/>
    <w:rsid w:val="174D4F79"/>
    <w:rsid w:val="177B7D38"/>
    <w:rsid w:val="177D1D83"/>
    <w:rsid w:val="17824C23"/>
    <w:rsid w:val="17984446"/>
    <w:rsid w:val="17AC00A5"/>
    <w:rsid w:val="17AE3C6A"/>
    <w:rsid w:val="17BE19D3"/>
    <w:rsid w:val="17EA04AD"/>
    <w:rsid w:val="17EC44CB"/>
    <w:rsid w:val="17F83137"/>
    <w:rsid w:val="17FD24FB"/>
    <w:rsid w:val="17FE0021"/>
    <w:rsid w:val="18151AED"/>
    <w:rsid w:val="183121A5"/>
    <w:rsid w:val="18414ADE"/>
    <w:rsid w:val="18495740"/>
    <w:rsid w:val="184E2D57"/>
    <w:rsid w:val="186576DB"/>
    <w:rsid w:val="18700F1F"/>
    <w:rsid w:val="1870581D"/>
    <w:rsid w:val="187A3B4C"/>
    <w:rsid w:val="187F1162"/>
    <w:rsid w:val="18956BD8"/>
    <w:rsid w:val="18AA1B56"/>
    <w:rsid w:val="18AA78C0"/>
    <w:rsid w:val="18AB63FB"/>
    <w:rsid w:val="18AE7A18"/>
    <w:rsid w:val="18C33745"/>
    <w:rsid w:val="18C354F3"/>
    <w:rsid w:val="18D94D16"/>
    <w:rsid w:val="18E62796"/>
    <w:rsid w:val="18FE121D"/>
    <w:rsid w:val="18FE652B"/>
    <w:rsid w:val="19063631"/>
    <w:rsid w:val="190937CA"/>
    <w:rsid w:val="191E6BCD"/>
    <w:rsid w:val="19255005"/>
    <w:rsid w:val="19257B11"/>
    <w:rsid w:val="19406B43"/>
    <w:rsid w:val="19491AD7"/>
    <w:rsid w:val="1949369C"/>
    <w:rsid w:val="194948C2"/>
    <w:rsid w:val="196B16E7"/>
    <w:rsid w:val="196D36B1"/>
    <w:rsid w:val="197C1B46"/>
    <w:rsid w:val="198A4263"/>
    <w:rsid w:val="198D5B01"/>
    <w:rsid w:val="198F7ACB"/>
    <w:rsid w:val="19940024"/>
    <w:rsid w:val="19962C07"/>
    <w:rsid w:val="19A35324"/>
    <w:rsid w:val="19A8476A"/>
    <w:rsid w:val="19B906A4"/>
    <w:rsid w:val="19BB4CF5"/>
    <w:rsid w:val="19C239FC"/>
    <w:rsid w:val="19C66C22"/>
    <w:rsid w:val="19CB78B7"/>
    <w:rsid w:val="19D35C0A"/>
    <w:rsid w:val="19F94F44"/>
    <w:rsid w:val="1A074AAB"/>
    <w:rsid w:val="1A134258"/>
    <w:rsid w:val="1A295829"/>
    <w:rsid w:val="1A2F6BB8"/>
    <w:rsid w:val="1A3B730B"/>
    <w:rsid w:val="1A514D80"/>
    <w:rsid w:val="1A5F2FF9"/>
    <w:rsid w:val="1A670100"/>
    <w:rsid w:val="1A6E148E"/>
    <w:rsid w:val="1A864A2A"/>
    <w:rsid w:val="1A98475D"/>
    <w:rsid w:val="1A9F789A"/>
    <w:rsid w:val="1AB64BE3"/>
    <w:rsid w:val="1AB974A2"/>
    <w:rsid w:val="1ADC3C25"/>
    <w:rsid w:val="1AE8631D"/>
    <w:rsid w:val="1AEE25CF"/>
    <w:rsid w:val="1AF51BB0"/>
    <w:rsid w:val="1AFC6A9A"/>
    <w:rsid w:val="1B1A7868"/>
    <w:rsid w:val="1B2B55D1"/>
    <w:rsid w:val="1B334486"/>
    <w:rsid w:val="1B391A9C"/>
    <w:rsid w:val="1B424CF1"/>
    <w:rsid w:val="1B4641B9"/>
    <w:rsid w:val="1B5119CB"/>
    <w:rsid w:val="1B520DB0"/>
    <w:rsid w:val="1B5E59A7"/>
    <w:rsid w:val="1B6A434C"/>
    <w:rsid w:val="1B721452"/>
    <w:rsid w:val="1B75428B"/>
    <w:rsid w:val="1B8D1DE8"/>
    <w:rsid w:val="1BA64C58"/>
    <w:rsid w:val="1BAC6712"/>
    <w:rsid w:val="1BB90E2F"/>
    <w:rsid w:val="1BD179B9"/>
    <w:rsid w:val="1BDB2B53"/>
    <w:rsid w:val="1BE87748"/>
    <w:rsid w:val="1BFB31F6"/>
    <w:rsid w:val="1C014B53"/>
    <w:rsid w:val="1C36422E"/>
    <w:rsid w:val="1C3B7159"/>
    <w:rsid w:val="1C450915"/>
    <w:rsid w:val="1C4A7CD9"/>
    <w:rsid w:val="1C5B3C94"/>
    <w:rsid w:val="1C60574F"/>
    <w:rsid w:val="1C7B60E4"/>
    <w:rsid w:val="1C8C41A9"/>
    <w:rsid w:val="1C982E58"/>
    <w:rsid w:val="1C9A3DB9"/>
    <w:rsid w:val="1C9D42AD"/>
    <w:rsid w:val="1CB338B2"/>
    <w:rsid w:val="1CBA6C0D"/>
    <w:rsid w:val="1CBB4733"/>
    <w:rsid w:val="1CC45CDD"/>
    <w:rsid w:val="1CD80D2E"/>
    <w:rsid w:val="1CD852E5"/>
    <w:rsid w:val="1CDF0421"/>
    <w:rsid w:val="1CDF6490"/>
    <w:rsid w:val="1CF10155"/>
    <w:rsid w:val="1CF852BE"/>
    <w:rsid w:val="1CFF6D16"/>
    <w:rsid w:val="1D04432C"/>
    <w:rsid w:val="1D050E11"/>
    <w:rsid w:val="1D1E53EE"/>
    <w:rsid w:val="1D214EDE"/>
    <w:rsid w:val="1D24345D"/>
    <w:rsid w:val="1D2A5E93"/>
    <w:rsid w:val="1D2F3EC2"/>
    <w:rsid w:val="1D4F4876"/>
    <w:rsid w:val="1D554CD2"/>
    <w:rsid w:val="1D644556"/>
    <w:rsid w:val="1D7E7C3A"/>
    <w:rsid w:val="1D90796E"/>
    <w:rsid w:val="1D953DFF"/>
    <w:rsid w:val="1DA04055"/>
    <w:rsid w:val="1DA82F09"/>
    <w:rsid w:val="1DB775F0"/>
    <w:rsid w:val="1DC51D0D"/>
    <w:rsid w:val="1DC615E1"/>
    <w:rsid w:val="1DC87107"/>
    <w:rsid w:val="1DC96A0D"/>
    <w:rsid w:val="1DE25432"/>
    <w:rsid w:val="1DEC729A"/>
    <w:rsid w:val="1DFB128B"/>
    <w:rsid w:val="1DFE291F"/>
    <w:rsid w:val="1DFF1124"/>
    <w:rsid w:val="1E041327"/>
    <w:rsid w:val="1E25455A"/>
    <w:rsid w:val="1E385966"/>
    <w:rsid w:val="1E4D2522"/>
    <w:rsid w:val="1E4F5A7B"/>
    <w:rsid w:val="1E5170FD"/>
    <w:rsid w:val="1E9C6904"/>
    <w:rsid w:val="1EAF2075"/>
    <w:rsid w:val="1EB44E01"/>
    <w:rsid w:val="1EB4768C"/>
    <w:rsid w:val="1EDB10BC"/>
    <w:rsid w:val="1EDC730E"/>
    <w:rsid w:val="1EE14925"/>
    <w:rsid w:val="1EF503D0"/>
    <w:rsid w:val="1EFA1543"/>
    <w:rsid w:val="1F1D7927"/>
    <w:rsid w:val="1F52137F"/>
    <w:rsid w:val="1F5C044F"/>
    <w:rsid w:val="1F645556"/>
    <w:rsid w:val="1F6D440A"/>
    <w:rsid w:val="1F6D45BD"/>
    <w:rsid w:val="1F7304BB"/>
    <w:rsid w:val="1FA73631"/>
    <w:rsid w:val="1FA83492"/>
    <w:rsid w:val="1FAD2A59"/>
    <w:rsid w:val="1FAD44AE"/>
    <w:rsid w:val="1FB41730"/>
    <w:rsid w:val="1FB97011"/>
    <w:rsid w:val="1FBC0EEE"/>
    <w:rsid w:val="1FCA53B9"/>
    <w:rsid w:val="1FDF2E60"/>
    <w:rsid w:val="1FF029B3"/>
    <w:rsid w:val="1FF6623B"/>
    <w:rsid w:val="20045082"/>
    <w:rsid w:val="20114E96"/>
    <w:rsid w:val="201448F3"/>
    <w:rsid w:val="20234AC9"/>
    <w:rsid w:val="205630F0"/>
    <w:rsid w:val="205F5715"/>
    <w:rsid w:val="206B2007"/>
    <w:rsid w:val="206F5F60"/>
    <w:rsid w:val="207417C9"/>
    <w:rsid w:val="20783067"/>
    <w:rsid w:val="20847C5E"/>
    <w:rsid w:val="20895274"/>
    <w:rsid w:val="209E05F3"/>
    <w:rsid w:val="20A756FA"/>
    <w:rsid w:val="20AC4ABE"/>
    <w:rsid w:val="20BD7D18"/>
    <w:rsid w:val="20C20C31"/>
    <w:rsid w:val="20C242E2"/>
    <w:rsid w:val="20C84D12"/>
    <w:rsid w:val="20D02EA3"/>
    <w:rsid w:val="20EA4996"/>
    <w:rsid w:val="20F52909"/>
    <w:rsid w:val="21085141"/>
    <w:rsid w:val="211A411E"/>
    <w:rsid w:val="2120725A"/>
    <w:rsid w:val="21274A8D"/>
    <w:rsid w:val="212C128C"/>
    <w:rsid w:val="213F3B84"/>
    <w:rsid w:val="21543824"/>
    <w:rsid w:val="21555156"/>
    <w:rsid w:val="21575CA8"/>
    <w:rsid w:val="215A451A"/>
    <w:rsid w:val="21821CC3"/>
    <w:rsid w:val="2186530F"/>
    <w:rsid w:val="219A4A72"/>
    <w:rsid w:val="219E6AFD"/>
    <w:rsid w:val="21A67760"/>
    <w:rsid w:val="21C43CC6"/>
    <w:rsid w:val="21C67E02"/>
    <w:rsid w:val="21DD6EFA"/>
    <w:rsid w:val="21E604A4"/>
    <w:rsid w:val="2201708C"/>
    <w:rsid w:val="2237485C"/>
    <w:rsid w:val="224F429B"/>
    <w:rsid w:val="22513B6F"/>
    <w:rsid w:val="22573925"/>
    <w:rsid w:val="2268710B"/>
    <w:rsid w:val="226B2757"/>
    <w:rsid w:val="227F3C44"/>
    <w:rsid w:val="229B7FEF"/>
    <w:rsid w:val="229E48DB"/>
    <w:rsid w:val="229F39AE"/>
    <w:rsid w:val="22A04AF7"/>
    <w:rsid w:val="22A85759"/>
    <w:rsid w:val="22BE6D2B"/>
    <w:rsid w:val="22BF14F8"/>
    <w:rsid w:val="22C00CF5"/>
    <w:rsid w:val="22CC1448"/>
    <w:rsid w:val="22CE3412"/>
    <w:rsid w:val="22CF0F38"/>
    <w:rsid w:val="22D14F53"/>
    <w:rsid w:val="22D30D3A"/>
    <w:rsid w:val="22DE4F1F"/>
    <w:rsid w:val="22E06CA1"/>
    <w:rsid w:val="22E70030"/>
    <w:rsid w:val="22FA4207"/>
    <w:rsid w:val="230627E3"/>
    <w:rsid w:val="23072480"/>
    <w:rsid w:val="231057D9"/>
    <w:rsid w:val="23250B58"/>
    <w:rsid w:val="232C0139"/>
    <w:rsid w:val="234E4553"/>
    <w:rsid w:val="235C0A1E"/>
    <w:rsid w:val="236C49D9"/>
    <w:rsid w:val="23767606"/>
    <w:rsid w:val="237D6BE6"/>
    <w:rsid w:val="237F2B54"/>
    <w:rsid w:val="23847F75"/>
    <w:rsid w:val="238C0BD7"/>
    <w:rsid w:val="23971A56"/>
    <w:rsid w:val="23A83C63"/>
    <w:rsid w:val="23AE4FF1"/>
    <w:rsid w:val="23B26890"/>
    <w:rsid w:val="23B75C54"/>
    <w:rsid w:val="23C14D25"/>
    <w:rsid w:val="23C44815"/>
    <w:rsid w:val="23CB5BA3"/>
    <w:rsid w:val="23D363D8"/>
    <w:rsid w:val="23E54BF3"/>
    <w:rsid w:val="23E80503"/>
    <w:rsid w:val="23F544C6"/>
    <w:rsid w:val="23F724F4"/>
    <w:rsid w:val="240A49D7"/>
    <w:rsid w:val="240E27FB"/>
    <w:rsid w:val="241035B6"/>
    <w:rsid w:val="241E3F25"/>
    <w:rsid w:val="24266AE5"/>
    <w:rsid w:val="24311F11"/>
    <w:rsid w:val="245142FB"/>
    <w:rsid w:val="24547947"/>
    <w:rsid w:val="24681644"/>
    <w:rsid w:val="2471674B"/>
    <w:rsid w:val="247B450B"/>
    <w:rsid w:val="248A5117"/>
    <w:rsid w:val="248C70D9"/>
    <w:rsid w:val="249271CF"/>
    <w:rsid w:val="24A26904"/>
    <w:rsid w:val="24B623B0"/>
    <w:rsid w:val="24BE1264"/>
    <w:rsid w:val="24C22B02"/>
    <w:rsid w:val="24CF3471"/>
    <w:rsid w:val="24DD7F37"/>
    <w:rsid w:val="24DE1906"/>
    <w:rsid w:val="24E8008F"/>
    <w:rsid w:val="24E862E1"/>
    <w:rsid w:val="24F61663"/>
    <w:rsid w:val="25011339"/>
    <w:rsid w:val="25140E84"/>
    <w:rsid w:val="251F03B7"/>
    <w:rsid w:val="2529314D"/>
    <w:rsid w:val="252E644C"/>
    <w:rsid w:val="25333CEC"/>
    <w:rsid w:val="253B4663"/>
    <w:rsid w:val="257858B7"/>
    <w:rsid w:val="25867FD4"/>
    <w:rsid w:val="258B55EA"/>
    <w:rsid w:val="259869A0"/>
    <w:rsid w:val="259A582D"/>
    <w:rsid w:val="259F2553"/>
    <w:rsid w:val="25A246E2"/>
    <w:rsid w:val="25B20DC9"/>
    <w:rsid w:val="25D86C7F"/>
    <w:rsid w:val="25DD396C"/>
    <w:rsid w:val="25E42F4C"/>
    <w:rsid w:val="25F0369F"/>
    <w:rsid w:val="25F03E2B"/>
    <w:rsid w:val="25FC2FF1"/>
    <w:rsid w:val="260F621B"/>
    <w:rsid w:val="26163EB5"/>
    <w:rsid w:val="262477ED"/>
    <w:rsid w:val="262B0B7B"/>
    <w:rsid w:val="262D48F3"/>
    <w:rsid w:val="262E41C8"/>
    <w:rsid w:val="264B42F1"/>
    <w:rsid w:val="267246A6"/>
    <w:rsid w:val="26A17794"/>
    <w:rsid w:val="26BE0A2A"/>
    <w:rsid w:val="26C568DA"/>
    <w:rsid w:val="26CB1A16"/>
    <w:rsid w:val="26D657B7"/>
    <w:rsid w:val="26E001C1"/>
    <w:rsid w:val="26E2748C"/>
    <w:rsid w:val="26EA4592"/>
    <w:rsid w:val="271C77E5"/>
    <w:rsid w:val="2729330D"/>
    <w:rsid w:val="27314FF2"/>
    <w:rsid w:val="273A72C8"/>
    <w:rsid w:val="273C55E4"/>
    <w:rsid w:val="273D46C2"/>
    <w:rsid w:val="27402404"/>
    <w:rsid w:val="274506BE"/>
    <w:rsid w:val="275315CB"/>
    <w:rsid w:val="27604855"/>
    <w:rsid w:val="27677CB1"/>
    <w:rsid w:val="276B6060"/>
    <w:rsid w:val="276E51C4"/>
    <w:rsid w:val="276F1C0A"/>
    <w:rsid w:val="2770255E"/>
    <w:rsid w:val="278247CB"/>
    <w:rsid w:val="27834FE2"/>
    <w:rsid w:val="27846795"/>
    <w:rsid w:val="27873B8F"/>
    <w:rsid w:val="27914A0E"/>
    <w:rsid w:val="279369D8"/>
    <w:rsid w:val="279544FE"/>
    <w:rsid w:val="27AE736E"/>
    <w:rsid w:val="27B2145C"/>
    <w:rsid w:val="27C272BD"/>
    <w:rsid w:val="27D56FF1"/>
    <w:rsid w:val="27DD5EA5"/>
    <w:rsid w:val="27E403E2"/>
    <w:rsid w:val="27E62FAC"/>
    <w:rsid w:val="27FA7131"/>
    <w:rsid w:val="281B6AB2"/>
    <w:rsid w:val="284035F2"/>
    <w:rsid w:val="28407351"/>
    <w:rsid w:val="284A7CE5"/>
    <w:rsid w:val="28575C58"/>
    <w:rsid w:val="285C326E"/>
    <w:rsid w:val="28602A0B"/>
    <w:rsid w:val="28616AD6"/>
    <w:rsid w:val="287700A8"/>
    <w:rsid w:val="288822B5"/>
    <w:rsid w:val="28893937"/>
    <w:rsid w:val="288E20FA"/>
    <w:rsid w:val="28902F18"/>
    <w:rsid w:val="28962D82"/>
    <w:rsid w:val="28BB1234"/>
    <w:rsid w:val="28C130D1"/>
    <w:rsid w:val="28C22024"/>
    <w:rsid w:val="28D86E19"/>
    <w:rsid w:val="28DE6421"/>
    <w:rsid w:val="28ED036A"/>
    <w:rsid w:val="28FB2A87"/>
    <w:rsid w:val="290129D3"/>
    <w:rsid w:val="2905171F"/>
    <w:rsid w:val="290C6A42"/>
    <w:rsid w:val="2916166F"/>
    <w:rsid w:val="292A4047"/>
    <w:rsid w:val="292C0E92"/>
    <w:rsid w:val="29373393"/>
    <w:rsid w:val="29474AE4"/>
    <w:rsid w:val="294F2DD3"/>
    <w:rsid w:val="295201CD"/>
    <w:rsid w:val="29567CBD"/>
    <w:rsid w:val="29622B06"/>
    <w:rsid w:val="296879F1"/>
    <w:rsid w:val="297468CD"/>
    <w:rsid w:val="299A188C"/>
    <w:rsid w:val="29A021D8"/>
    <w:rsid w:val="29BA46F0"/>
    <w:rsid w:val="2A1262DA"/>
    <w:rsid w:val="2A1B2201"/>
    <w:rsid w:val="2A1B601D"/>
    <w:rsid w:val="2A1D2EF1"/>
    <w:rsid w:val="2A263B34"/>
    <w:rsid w:val="2A3F0864"/>
    <w:rsid w:val="2A482E16"/>
    <w:rsid w:val="2A5C57A7"/>
    <w:rsid w:val="2A5C7555"/>
    <w:rsid w:val="2A663F30"/>
    <w:rsid w:val="2A6B1546"/>
    <w:rsid w:val="2A77438F"/>
    <w:rsid w:val="2A7A5C2D"/>
    <w:rsid w:val="2A7F3244"/>
    <w:rsid w:val="2A88659C"/>
    <w:rsid w:val="2A8C3625"/>
    <w:rsid w:val="2A9071FF"/>
    <w:rsid w:val="2A9C2D33"/>
    <w:rsid w:val="2A9E191C"/>
    <w:rsid w:val="2AA333D6"/>
    <w:rsid w:val="2AA607D0"/>
    <w:rsid w:val="2AB729DE"/>
    <w:rsid w:val="2AC11AAE"/>
    <w:rsid w:val="2AC8240E"/>
    <w:rsid w:val="2AC82E3D"/>
    <w:rsid w:val="2AE91610"/>
    <w:rsid w:val="2AEF3E05"/>
    <w:rsid w:val="2AF54D52"/>
    <w:rsid w:val="2AF91248"/>
    <w:rsid w:val="2B1B11BE"/>
    <w:rsid w:val="2B2160A9"/>
    <w:rsid w:val="2B2471D4"/>
    <w:rsid w:val="2B2B6F28"/>
    <w:rsid w:val="2B41674B"/>
    <w:rsid w:val="2B4E7BAF"/>
    <w:rsid w:val="2B591CE7"/>
    <w:rsid w:val="2B5B780D"/>
    <w:rsid w:val="2B6247D6"/>
    <w:rsid w:val="2B85488A"/>
    <w:rsid w:val="2B8B61F2"/>
    <w:rsid w:val="2B920D55"/>
    <w:rsid w:val="2BA21234"/>
    <w:rsid w:val="2BAE7D76"/>
    <w:rsid w:val="2BCD7395"/>
    <w:rsid w:val="2BEA3B3E"/>
    <w:rsid w:val="2BEC4909"/>
    <w:rsid w:val="2BF437BD"/>
    <w:rsid w:val="2BFA7026"/>
    <w:rsid w:val="2C161986"/>
    <w:rsid w:val="2C223EC6"/>
    <w:rsid w:val="2C2916B9"/>
    <w:rsid w:val="2C29790B"/>
    <w:rsid w:val="2C3818FC"/>
    <w:rsid w:val="2C385DA0"/>
    <w:rsid w:val="2C4958B7"/>
    <w:rsid w:val="2C5275BD"/>
    <w:rsid w:val="2C532BDA"/>
    <w:rsid w:val="2C550700"/>
    <w:rsid w:val="2C66290D"/>
    <w:rsid w:val="2C6E17C2"/>
    <w:rsid w:val="2C7E7C57"/>
    <w:rsid w:val="2C854844"/>
    <w:rsid w:val="2C8B2374"/>
    <w:rsid w:val="2C8E776E"/>
    <w:rsid w:val="2C950AFD"/>
    <w:rsid w:val="2CA945A8"/>
    <w:rsid w:val="2CAB6572"/>
    <w:rsid w:val="2CAE27F5"/>
    <w:rsid w:val="2CB01DDA"/>
    <w:rsid w:val="2CC3566A"/>
    <w:rsid w:val="2CC6515A"/>
    <w:rsid w:val="2CE61358"/>
    <w:rsid w:val="2CE81574"/>
    <w:rsid w:val="2CF25F4F"/>
    <w:rsid w:val="2CF27CFD"/>
    <w:rsid w:val="2CF35343"/>
    <w:rsid w:val="2CFE750E"/>
    <w:rsid w:val="2D05394C"/>
    <w:rsid w:val="2D0F7889"/>
    <w:rsid w:val="2D200D0E"/>
    <w:rsid w:val="2D2500D2"/>
    <w:rsid w:val="2D33651E"/>
    <w:rsid w:val="2D3E1194"/>
    <w:rsid w:val="2D426ED6"/>
    <w:rsid w:val="2D510EC7"/>
    <w:rsid w:val="2D5269EE"/>
    <w:rsid w:val="2D7B23E8"/>
    <w:rsid w:val="2D7B41F9"/>
    <w:rsid w:val="2D8C0151"/>
    <w:rsid w:val="2D917516"/>
    <w:rsid w:val="2D963B63"/>
    <w:rsid w:val="2DA01E4F"/>
    <w:rsid w:val="2DA02BB4"/>
    <w:rsid w:val="2DA215CF"/>
    <w:rsid w:val="2DA566E7"/>
    <w:rsid w:val="2DA76D39"/>
    <w:rsid w:val="2DB568FC"/>
    <w:rsid w:val="2DC72E07"/>
    <w:rsid w:val="2DD4162A"/>
    <w:rsid w:val="2DD54A8E"/>
    <w:rsid w:val="2DEF1375"/>
    <w:rsid w:val="2E020414"/>
    <w:rsid w:val="2E0423DE"/>
    <w:rsid w:val="2E075A2A"/>
    <w:rsid w:val="2E11396D"/>
    <w:rsid w:val="2E3B56D4"/>
    <w:rsid w:val="2E3F6F72"/>
    <w:rsid w:val="2E4166E3"/>
    <w:rsid w:val="2E4427DA"/>
    <w:rsid w:val="2E494294"/>
    <w:rsid w:val="2E4C1B74"/>
    <w:rsid w:val="2E5549E7"/>
    <w:rsid w:val="2E666BF4"/>
    <w:rsid w:val="2E6E3CFB"/>
    <w:rsid w:val="2E8928E3"/>
    <w:rsid w:val="2EB01C1E"/>
    <w:rsid w:val="2EB23BE8"/>
    <w:rsid w:val="2EC4391B"/>
    <w:rsid w:val="2ED718A0"/>
    <w:rsid w:val="2EDC2A13"/>
    <w:rsid w:val="2EE31FF3"/>
    <w:rsid w:val="2EE46E89"/>
    <w:rsid w:val="2EE95C88"/>
    <w:rsid w:val="2EEA1DE1"/>
    <w:rsid w:val="2EF67C47"/>
    <w:rsid w:val="2EF835C5"/>
    <w:rsid w:val="2F0B779C"/>
    <w:rsid w:val="2F0D0E1E"/>
    <w:rsid w:val="2F0D7070"/>
    <w:rsid w:val="2F155F25"/>
    <w:rsid w:val="2F234AE5"/>
    <w:rsid w:val="2F34284F"/>
    <w:rsid w:val="2F3B5F63"/>
    <w:rsid w:val="2F3C2100"/>
    <w:rsid w:val="2F435983"/>
    <w:rsid w:val="2F4B7B98"/>
    <w:rsid w:val="2F4D1B62"/>
    <w:rsid w:val="2F560A17"/>
    <w:rsid w:val="2F615543"/>
    <w:rsid w:val="2F68074A"/>
    <w:rsid w:val="2F6D5505"/>
    <w:rsid w:val="2F750D73"/>
    <w:rsid w:val="2F950E14"/>
    <w:rsid w:val="2F9652B7"/>
    <w:rsid w:val="2FA21EAE"/>
    <w:rsid w:val="2FB4573E"/>
    <w:rsid w:val="2FBB2F70"/>
    <w:rsid w:val="2FBB4D1E"/>
    <w:rsid w:val="2FBB6ACC"/>
    <w:rsid w:val="2FBD0A96"/>
    <w:rsid w:val="2FC35981"/>
    <w:rsid w:val="2FDA40EA"/>
    <w:rsid w:val="2FE53B49"/>
    <w:rsid w:val="3005002F"/>
    <w:rsid w:val="300B4C37"/>
    <w:rsid w:val="300D4E4E"/>
    <w:rsid w:val="30191A45"/>
    <w:rsid w:val="302C79CA"/>
    <w:rsid w:val="30406FD1"/>
    <w:rsid w:val="306453B6"/>
    <w:rsid w:val="307325D9"/>
    <w:rsid w:val="307B44AD"/>
    <w:rsid w:val="3095556F"/>
    <w:rsid w:val="309A2917"/>
    <w:rsid w:val="309C68FD"/>
    <w:rsid w:val="30AA08EF"/>
    <w:rsid w:val="30AE4883"/>
    <w:rsid w:val="30C51EF2"/>
    <w:rsid w:val="30CB2D3F"/>
    <w:rsid w:val="30E060E4"/>
    <w:rsid w:val="30E107B4"/>
    <w:rsid w:val="30E82555"/>
    <w:rsid w:val="30EE4C7F"/>
    <w:rsid w:val="30F06C49"/>
    <w:rsid w:val="31064879"/>
    <w:rsid w:val="31097D0B"/>
    <w:rsid w:val="310B5831"/>
    <w:rsid w:val="311116F3"/>
    <w:rsid w:val="31224929"/>
    <w:rsid w:val="312406A1"/>
    <w:rsid w:val="312A1CE8"/>
    <w:rsid w:val="312B7C81"/>
    <w:rsid w:val="31376626"/>
    <w:rsid w:val="31383E17"/>
    <w:rsid w:val="313E79B5"/>
    <w:rsid w:val="314237F1"/>
    <w:rsid w:val="31466869"/>
    <w:rsid w:val="3153318E"/>
    <w:rsid w:val="315A498F"/>
    <w:rsid w:val="315E3BB3"/>
    <w:rsid w:val="3175714F"/>
    <w:rsid w:val="317C4A55"/>
    <w:rsid w:val="318E140C"/>
    <w:rsid w:val="31A62D61"/>
    <w:rsid w:val="31AA608E"/>
    <w:rsid w:val="31C003CA"/>
    <w:rsid w:val="31C446F4"/>
    <w:rsid w:val="31C61758"/>
    <w:rsid w:val="31D70028"/>
    <w:rsid w:val="31D9148B"/>
    <w:rsid w:val="31E14C72"/>
    <w:rsid w:val="31E173B7"/>
    <w:rsid w:val="31E63BA8"/>
    <w:rsid w:val="31E87920"/>
    <w:rsid w:val="31EA5447"/>
    <w:rsid w:val="31F2015C"/>
    <w:rsid w:val="31FE5396"/>
    <w:rsid w:val="3204159C"/>
    <w:rsid w:val="3210344F"/>
    <w:rsid w:val="321D581C"/>
    <w:rsid w:val="321F1705"/>
    <w:rsid w:val="32230959"/>
    <w:rsid w:val="3236068C"/>
    <w:rsid w:val="326E6078"/>
    <w:rsid w:val="32737ACF"/>
    <w:rsid w:val="32792E2E"/>
    <w:rsid w:val="3279456F"/>
    <w:rsid w:val="327A2C6E"/>
    <w:rsid w:val="327F0285"/>
    <w:rsid w:val="32935ADE"/>
    <w:rsid w:val="32B06690"/>
    <w:rsid w:val="32C8586D"/>
    <w:rsid w:val="32D3412D"/>
    <w:rsid w:val="32DD50BF"/>
    <w:rsid w:val="32E225C2"/>
    <w:rsid w:val="32EC3440"/>
    <w:rsid w:val="32FA0BC4"/>
    <w:rsid w:val="32FC18D5"/>
    <w:rsid w:val="32FF6D60"/>
    <w:rsid w:val="3301513E"/>
    <w:rsid w:val="330C7FFC"/>
    <w:rsid w:val="331309CD"/>
    <w:rsid w:val="33171D0F"/>
    <w:rsid w:val="331D35FA"/>
    <w:rsid w:val="33323549"/>
    <w:rsid w:val="334D0383"/>
    <w:rsid w:val="33572FB0"/>
    <w:rsid w:val="33723946"/>
    <w:rsid w:val="337E22EA"/>
    <w:rsid w:val="338F34FE"/>
    <w:rsid w:val="33AE68E8"/>
    <w:rsid w:val="33C323F3"/>
    <w:rsid w:val="33C512DF"/>
    <w:rsid w:val="33CC574C"/>
    <w:rsid w:val="33D755DC"/>
    <w:rsid w:val="33EC60E1"/>
    <w:rsid w:val="34030A42"/>
    <w:rsid w:val="34034EE6"/>
    <w:rsid w:val="340622E0"/>
    <w:rsid w:val="341744ED"/>
    <w:rsid w:val="341C1B03"/>
    <w:rsid w:val="344078BE"/>
    <w:rsid w:val="345918E6"/>
    <w:rsid w:val="345F6B83"/>
    <w:rsid w:val="34622CC4"/>
    <w:rsid w:val="347C06A8"/>
    <w:rsid w:val="34967B08"/>
    <w:rsid w:val="349873DC"/>
    <w:rsid w:val="34AC732B"/>
    <w:rsid w:val="34D523DE"/>
    <w:rsid w:val="34D67F04"/>
    <w:rsid w:val="34DB703E"/>
    <w:rsid w:val="34FD1935"/>
    <w:rsid w:val="35095C8A"/>
    <w:rsid w:val="3529097C"/>
    <w:rsid w:val="352C5D76"/>
    <w:rsid w:val="354151FC"/>
    <w:rsid w:val="354D6F3B"/>
    <w:rsid w:val="355D1BDD"/>
    <w:rsid w:val="35633E8E"/>
    <w:rsid w:val="356674DA"/>
    <w:rsid w:val="3575771D"/>
    <w:rsid w:val="359368C9"/>
    <w:rsid w:val="359C114E"/>
    <w:rsid w:val="35A63D7A"/>
    <w:rsid w:val="35AD335B"/>
    <w:rsid w:val="35C12962"/>
    <w:rsid w:val="35CE6E2D"/>
    <w:rsid w:val="35DF103A"/>
    <w:rsid w:val="35E825E5"/>
    <w:rsid w:val="35F40F8A"/>
    <w:rsid w:val="35F83418"/>
    <w:rsid w:val="35FC1BEC"/>
    <w:rsid w:val="35FF1075"/>
    <w:rsid w:val="36126D79"/>
    <w:rsid w:val="36221325"/>
    <w:rsid w:val="36312BA6"/>
    <w:rsid w:val="3640490D"/>
    <w:rsid w:val="36413AA3"/>
    <w:rsid w:val="364A3A97"/>
    <w:rsid w:val="36554D38"/>
    <w:rsid w:val="367C4ADB"/>
    <w:rsid w:val="367C6D9B"/>
    <w:rsid w:val="367E2601"/>
    <w:rsid w:val="367E6AA5"/>
    <w:rsid w:val="3681660E"/>
    <w:rsid w:val="368742F5"/>
    <w:rsid w:val="36981915"/>
    <w:rsid w:val="369938DF"/>
    <w:rsid w:val="36AB0D07"/>
    <w:rsid w:val="36D05553"/>
    <w:rsid w:val="36D267CF"/>
    <w:rsid w:val="36D30B9F"/>
    <w:rsid w:val="36E032BC"/>
    <w:rsid w:val="37054AD1"/>
    <w:rsid w:val="370E7E29"/>
    <w:rsid w:val="371562DB"/>
    <w:rsid w:val="37186B5B"/>
    <w:rsid w:val="371E3A29"/>
    <w:rsid w:val="372B2789"/>
    <w:rsid w:val="37427DCD"/>
    <w:rsid w:val="37432253"/>
    <w:rsid w:val="37647A49"/>
    <w:rsid w:val="377063EE"/>
    <w:rsid w:val="378E2D18"/>
    <w:rsid w:val="37A34A15"/>
    <w:rsid w:val="37A442EA"/>
    <w:rsid w:val="37B26BC7"/>
    <w:rsid w:val="37BA3B0D"/>
    <w:rsid w:val="37D843A8"/>
    <w:rsid w:val="37DF7667"/>
    <w:rsid w:val="37ED4E25"/>
    <w:rsid w:val="37EF1A09"/>
    <w:rsid w:val="37F012DD"/>
    <w:rsid w:val="38115D8D"/>
    <w:rsid w:val="38116DCE"/>
    <w:rsid w:val="3815489B"/>
    <w:rsid w:val="381B0A50"/>
    <w:rsid w:val="38404012"/>
    <w:rsid w:val="384C6E5B"/>
    <w:rsid w:val="385555E4"/>
    <w:rsid w:val="38637D01"/>
    <w:rsid w:val="38657F1D"/>
    <w:rsid w:val="386E24EE"/>
    <w:rsid w:val="38743CBC"/>
    <w:rsid w:val="387C0DC3"/>
    <w:rsid w:val="38806B05"/>
    <w:rsid w:val="38A465A6"/>
    <w:rsid w:val="38B32C64"/>
    <w:rsid w:val="38BC679B"/>
    <w:rsid w:val="38C05153"/>
    <w:rsid w:val="38CF183A"/>
    <w:rsid w:val="38DB01DF"/>
    <w:rsid w:val="38DE55D9"/>
    <w:rsid w:val="38E452E6"/>
    <w:rsid w:val="38EB2EF7"/>
    <w:rsid w:val="38F02646"/>
    <w:rsid w:val="38F307B6"/>
    <w:rsid w:val="38F55823"/>
    <w:rsid w:val="39186D3D"/>
    <w:rsid w:val="391934C8"/>
    <w:rsid w:val="3925145A"/>
    <w:rsid w:val="3927078A"/>
    <w:rsid w:val="39273424"/>
    <w:rsid w:val="392E1474"/>
    <w:rsid w:val="393A3157"/>
    <w:rsid w:val="393F076E"/>
    <w:rsid w:val="39455658"/>
    <w:rsid w:val="3950329E"/>
    <w:rsid w:val="396948F7"/>
    <w:rsid w:val="396B1563"/>
    <w:rsid w:val="39736669"/>
    <w:rsid w:val="3975678B"/>
    <w:rsid w:val="39875C71"/>
    <w:rsid w:val="399436D2"/>
    <w:rsid w:val="39B50A30"/>
    <w:rsid w:val="39BA53ED"/>
    <w:rsid w:val="39BC3B6C"/>
    <w:rsid w:val="39BF365D"/>
    <w:rsid w:val="39C0030D"/>
    <w:rsid w:val="39E3734B"/>
    <w:rsid w:val="39E97DA8"/>
    <w:rsid w:val="39FA6443"/>
    <w:rsid w:val="3A015A23"/>
    <w:rsid w:val="3A044DC2"/>
    <w:rsid w:val="3A201269"/>
    <w:rsid w:val="3A282FB0"/>
    <w:rsid w:val="3A2E433E"/>
    <w:rsid w:val="3A410516"/>
    <w:rsid w:val="3A43428E"/>
    <w:rsid w:val="3A5226F0"/>
    <w:rsid w:val="3A707DE1"/>
    <w:rsid w:val="3A8A5A19"/>
    <w:rsid w:val="3A8F74D3"/>
    <w:rsid w:val="3A963EA0"/>
    <w:rsid w:val="3AA60379"/>
    <w:rsid w:val="3AB331C1"/>
    <w:rsid w:val="3AB765DF"/>
    <w:rsid w:val="3AC0768C"/>
    <w:rsid w:val="3AD45851"/>
    <w:rsid w:val="3AF47336"/>
    <w:rsid w:val="3B0A0908"/>
    <w:rsid w:val="3B4007CD"/>
    <w:rsid w:val="3B4227E2"/>
    <w:rsid w:val="3B4E1274"/>
    <w:rsid w:val="3B4E4C98"/>
    <w:rsid w:val="3B5129DA"/>
    <w:rsid w:val="3B644CB8"/>
    <w:rsid w:val="3B691AD2"/>
    <w:rsid w:val="3B732948"/>
    <w:rsid w:val="3B850C93"/>
    <w:rsid w:val="3B8B1A48"/>
    <w:rsid w:val="3BA20BFD"/>
    <w:rsid w:val="3BA23236"/>
    <w:rsid w:val="3BA64AD4"/>
    <w:rsid w:val="3BAD757D"/>
    <w:rsid w:val="3BB41B2C"/>
    <w:rsid w:val="3BC27434"/>
    <w:rsid w:val="3BC733C4"/>
    <w:rsid w:val="3BC85AEF"/>
    <w:rsid w:val="3BC96A15"/>
    <w:rsid w:val="3BD66A3C"/>
    <w:rsid w:val="3BDA652C"/>
    <w:rsid w:val="3BF34638"/>
    <w:rsid w:val="3BFC725D"/>
    <w:rsid w:val="3C0D06AF"/>
    <w:rsid w:val="3C1063F2"/>
    <w:rsid w:val="3C153A08"/>
    <w:rsid w:val="3C6B7ACC"/>
    <w:rsid w:val="3C805325"/>
    <w:rsid w:val="3C834E15"/>
    <w:rsid w:val="3C940A2E"/>
    <w:rsid w:val="3C9B3F0D"/>
    <w:rsid w:val="3C9C5ED7"/>
    <w:rsid w:val="3C9C7C85"/>
    <w:rsid w:val="3CA371C7"/>
    <w:rsid w:val="3CA64660"/>
    <w:rsid w:val="3CB5559F"/>
    <w:rsid w:val="3CB709DF"/>
    <w:rsid w:val="3CBE19AA"/>
    <w:rsid w:val="3D0875CB"/>
    <w:rsid w:val="3D0C6BB9"/>
    <w:rsid w:val="3D0F48FB"/>
    <w:rsid w:val="3D1630B0"/>
    <w:rsid w:val="3D197528"/>
    <w:rsid w:val="3D314871"/>
    <w:rsid w:val="3D397687"/>
    <w:rsid w:val="3D3E2EF3"/>
    <w:rsid w:val="3D6407A3"/>
    <w:rsid w:val="3D6870B6"/>
    <w:rsid w:val="3D6A7724"/>
    <w:rsid w:val="3D6E33D0"/>
    <w:rsid w:val="3D734E8A"/>
    <w:rsid w:val="3D74650C"/>
    <w:rsid w:val="3D891FB8"/>
    <w:rsid w:val="3DAB11DC"/>
    <w:rsid w:val="3DAC3EF8"/>
    <w:rsid w:val="3DB37034"/>
    <w:rsid w:val="3DCB25D0"/>
    <w:rsid w:val="3DCB6A74"/>
    <w:rsid w:val="3DCC459A"/>
    <w:rsid w:val="3DCE20C0"/>
    <w:rsid w:val="3DD13F45"/>
    <w:rsid w:val="3DD82F3F"/>
    <w:rsid w:val="3DEC2546"/>
    <w:rsid w:val="3DF321A8"/>
    <w:rsid w:val="3E0D5946"/>
    <w:rsid w:val="3E1321C9"/>
    <w:rsid w:val="3E1C10CF"/>
    <w:rsid w:val="3E263CAA"/>
    <w:rsid w:val="3E344619"/>
    <w:rsid w:val="3E421533"/>
    <w:rsid w:val="3E442382"/>
    <w:rsid w:val="3E497999"/>
    <w:rsid w:val="3E4E44C1"/>
    <w:rsid w:val="3E612161"/>
    <w:rsid w:val="3E682515"/>
    <w:rsid w:val="3E742C68"/>
    <w:rsid w:val="3E7525D6"/>
    <w:rsid w:val="3E7F160D"/>
    <w:rsid w:val="3E824BC6"/>
    <w:rsid w:val="3E834C59"/>
    <w:rsid w:val="3E8D5E6B"/>
    <w:rsid w:val="3E975D9B"/>
    <w:rsid w:val="3EA02BF9"/>
    <w:rsid w:val="3EA64DEB"/>
    <w:rsid w:val="3EAF3CA0"/>
    <w:rsid w:val="3EC60FE9"/>
    <w:rsid w:val="3ED855D4"/>
    <w:rsid w:val="3EE55913"/>
    <w:rsid w:val="3EFB2C7C"/>
    <w:rsid w:val="3F141D55"/>
    <w:rsid w:val="3F163D1F"/>
    <w:rsid w:val="3F3348D1"/>
    <w:rsid w:val="3F3B19D7"/>
    <w:rsid w:val="3F626F64"/>
    <w:rsid w:val="3F6A04CB"/>
    <w:rsid w:val="3F796D91"/>
    <w:rsid w:val="3F870779"/>
    <w:rsid w:val="3F9470DC"/>
    <w:rsid w:val="3F9B4224"/>
    <w:rsid w:val="3FA01B56"/>
    <w:rsid w:val="3FA30497"/>
    <w:rsid w:val="3FBA61CD"/>
    <w:rsid w:val="3FC96FE3"/>
    <w:rsid w:val="3FD247CD"/>
    <w:rsid w:val="3FDE7355"/>
    <w:rsid w:val="3FE91433"/>
    <w:rsid w:val="3FEA5288"/>
    <w:rsid w:val="3FFA719D"/>
    <w:rsid w:val="400F1DB6"/>
    <w:rsid w:val="40183AC7"/>
    <w:rsid w:val="40297A82"/>
    <w:rsid w:val="402E6E46"/>
    <w:rsid w:val="403221B3"/>
    <w:rsid w:val="403F2E01"/>
    <w:rsid w:val="405368AD"/>
    <w:rsid w:val="40880C4C"/>
    <w:rsid w:val="40972C3D"/>
    <w:rsid w:val="409A007F"/>
    <w:rsid w:val="40B21825"/>
    <w:rsid w:val="40B437EF"/>
    <w:rsid w:val="40C31C84"/>
    <w:rsid w:val="40DC15A1"/>
    <w:rsid w:val="40E81C84"/>
    <w:rsid w:val="40E91E71"/>
    <w:rsid w:val="40F94293"/>
    <w:rsid w:val="40F956A6"/>
    <w:rsid w:val="41016309"/>
    <w:rsid w:val="410B7187"/>
    <w:rsid w:val="41134EC3"/>
    <w:rsid w:val="41214BFD"/>
    <w:rsid w:val="413B7A6D"/>
    <w:rsid w:val="413D1A37"/>
    <w:rsid w:val="415716CF"/>
    <w:rsid w:val="415D3E87"/>
    <w:rsid w:val="417E7959"/>
    <w:rsid w:val="41850CE8"/>
    <w:rsid w:val="418C02C8"/>
    <w:rsid w:val="41984D85"/>
    <w:rsid w:val="41984EBF"/>
    <w:rsid w:val="41A47E1B"/>
    <w:rsid w:val="41A90E7A"/>
    <w:rsid w:val="41B33AA7"/>
    <w:rsid w:val="41D028AB"/>
    <w:rsid w:val="41DD6D76"/>
    <w:rsid w:val="41E040DE"/>
    <w:rsid w:val="41FD11C6"/>
    <w:rsid w:val="420F2CA7"/>
    <w:rsid w:val="42181B5C"/>
    <w:rsid w:val="42186000"/>
    <w:rsid w:val="421B45EE"/>
    <w:rsid w:val="42276243"/>
    <w:rsid w:val="4230334A"/>
    <w:rsid w:val="42310E70"/>
    <w:rsid w:val="423543EF"/>
    <w:rsid w:val="42380450"/>
    <w:rsid w:val="4249440B"/>
    <w:rsid w:val="424A740C"/>
    <w:rsid w:val="42594EB6"/>
    <w:rsid w:val="42621693"/>
    <w:rsid w:val="42644DA1"/>
    <w:rsid w:val="42666D6B"/>
    <w:rsid w:val="427D0EBF"/>
    <w:rsid w:val="42813BA5"/>
    <w:rsid w:val="4295453E"/>
    <w:rsid w:val="42AA6865"/>
    <w:rsid w:val="42BC352D"/>
    <w:rsid w:val="42D02437"/>
    <w:rsid w:val="42D068DB"/>
    <w:rsid w:val="42D750EA"/>
    <w:rsid w:val="42E61C5A"/>
    <w:rsid w:val="42ED2FE9"/>
    <w:rsid w:val="43087E22"/>
    <w:rsid w:val="430B16C1"/>
    <w:rsid w:val="430D5439"/>
    <w:rsid w:val="43176673"/>
    <w:rsid w:val="431C742A"/>
    <w:rsid w:val="432B7EEF"/>
    <w:rsid w:val="433A4FFB"/>
    <w:rsid w:val="434A46EC"/>
    <w:rsid w:val="435968D0"/>
    <w:rsid w:val="43784FA8"/>
    <w:rsid w:val="43792ACE"/>
    <w:rsid w:val="4386267B"/>
    <w:rsid w:val="43AD4526"/>
    <w:rsid w:val="43B835F7"/>
    <w:rsid w:val="43C301D8"/>
    <w:rsid w:val="43CB2F74"/>
    <w:rsid w:val="43D46D69"/>
    <w:rsid w:val="43D66CFC"/>
    <w:rsid w:val="43EA577A"/>
    <w:rsid w:val="43F403A7"/>
    <w:rsid w:val="440A3726"/>
    <w:rsid w:val="44185E43"/>
    <w:rsid w:val="441D16AC"/>
    <w:rsid w:val="442567B2"/>
    <w:rsid w:val="44623405"/>
    <w:rsid w:val="44676030"/>
    <w:rsid w:val="448636F5"/>
    <w:rsid w:val="44953938"/>
    <w:rsid w:val="4496170B"/>
    <w:rsid w:val="44971B57"/>
    <w:rsid w:val="44A27E03"/>
    <w:rsid w:val="44AF45FF"/>
    <w:rsid w:val="44B87626"/>
    <w:rsid w:val="44B93D3A"/>
    <w:rsid w:val="44BD69EB"/>
    <w:rsid w:val="44C4421D"/>
    <w:rsid w:val="44CE0BF8"/>
    <w:rsid w:val="44DE52DF"/>
    <w:rsid w:val="44DF2E05"/>
    <w:rsid w:val="44E1092B"/>
    <w:rsid w:val="44F00B6E"/>
    <w:rsid w:val="44FA2566"/>
    <w:rsid w:val="44FD328B"/>
    <w:rsid w:val="450D29CF"/>
    <w:rsid w:val="450F3328"/>
    <w:rsid w:val="45252F0E"/>
    <w:rsid w:val="452C2150"/>
    <w:rsid w:val="452D1715"/>
    <w:rsid w:val="453252CE"/>
    <w:rsid w:val="453A4CCF"/>
    <w:rsid w:val="455117A9"/>
    <w:rsid w:val="455B692F"/>
    <w:rsid w:val="4565155C"/>
    <w:rsid w:val="45763405"/>
    <w:rsid w:val="4577303D"/>
    <w:rsid w:val="457F1EF2"/>
    <w:rsid w:val="45912351"/>
    <w:rsid w:val="45B778DE"/>
    <w:rsid w:val="45D049C6"/>
    <w:rsid w:val="45E561F9"/>
    <w:rsid w:val="45E85D49"/>
    <w:rsid w:val="45EC11EA"/>
    <w:rsid w:val="45FD79E7"/>
    <w:rsid w:val="46002DD3"/>
    <w:rsid w:val="4607616F"/>
    <w:rsid w:val="46184820"/>
    <w:rsid w:val="461D3BC8"/>
    <w:rsid w:val="46256F3D"/>
    <w:rsid w:val="46274A64"/>
    <w:rsid w:val="46293689"/>
    <w:rsid w:val="462A4554"/>
    <w:rsid w:val="462E7BA0"/>
    <w:rsid w:val="46326F64"/>
    <w:rsid w:val="46405B25"/>
    <w:rsid w:val="46467FBF"/>
    <w:rsid w:val="464A0752"/>
    <w:rsid w:val="465A35BD"/>
    <w:rsid w:val="465F0134"/>
    <w:rsid w:val="4662784A"/>
    <w:rsid w:val="466B2BA2"/>
    <w:rsid w:val="466C2476"/>
    <w:rsid w:val="466E61EE"/>
    <w:rsid w:val="46715CDF"/>
    <w:rsid w:val="46893028"/>
    <w:rsid w:val="468C0D6B"/>
    <w:rsid w:val="46A2734A"/>
    <w:rsid w:val="46A95479"/>
    <w:rsid w:val="46AA3A6D"/>
    <w:rsid w:val="46B5206F"/>
    <w:rsid w:val="46C6427C"/>
    <w:rsid w:val="46D7463F"/>
    <w:rsid w:val="46DF70EC"/>
    <w:rsid w:val="46E97F6B"/>
    <w:rsid w:val="47027D89"/>
    <w:rsid w:val="470703F1"/>
    <w:rsid w:val="47086643"/>
    <w:rsid w:val="4710374A"/>
    <w:rsid w:val="47113641"/>
    <w:rsid w:val="47176886"/>
    <w:rsid w:val="471D34DB"/>
    <w:rsid w:val="47240FA3"/>
    <w:rsid w:val="472D42FC"/>
    <w:rsid w:val="47356D0C"/>
    <w:rsid w:val="47416FC1"/>
    <w:rsid w:val="47637D1D"/>
    <w:rsid w:val="4783216D"/>
    <w:rsid w:val="47842674"/>
    <w:rsid w:val="47866A9A"/>
    <w:rsid w:val="479354B5"/>
    <w:rsid w:val="4795427E"/>
    <w:rsid w:val="47A17BED"/>
    <w:rsid w:val="47AC1DC2"/>
    <w:rsid w:val="47B9126E"/>
    <w:rsid w:val="47B9793D"/>
    <w:rsid w:val="47D7285B"/>
    <w:rsid w:val="47FE7A46"/>
    <w:rsid w:val="4812529F"/>
    <w:rsid w:val="48315726"/>
    <w:rsid w:val="484336AB"/>
    <w:rsid w:val="4845019B"/>
    <w:rsid w:val="48602228"/>
    <w:rsid w:val="4866371A"/>
    <w:rsid w:val="486E5A5D"/>
    <w:rsid w:val="48703202"/>
    <w:rsid w:val="487244D5"/>
    <w:rsid w:val="48760CC2"/>
    <w:rsid w:val="48783354"/>
    <w:rsid w:val="488B752C"/>
    <w:rsid w:val="489D2DBB"/>
    <w:rsid w:val="489D7337"/>
    <w:rsid w:val="48AE0B5A"/>
    <w:rsid w:val="48CE652C"/>
    <w:rsid w:val="48CF3929"/>
    <w:rsid w:val="48F14EB5"/>
    <w:rsid w:val="48FD385A"/>
    <w:rsid w:val="490E35C9"/>
    <w:rsid w:val="492275A4"/>
    <w:rsid w:val="492F779B"/>
    <w:rsid w:val="493354CD"/>
    <w:rsid w:val="493A4AAE"/>
    <w:rsid w:val="495A0CAC"/>
    <w:rsid w:val="495C4A24"/>
    <w:rsid w:val="495D27A7"/>
    <w:rsid w:val="49610F4C"/>
    <w:rsid w:val="4970227E"/>
    <w:rsid w:val="49995C78"/>
    <w:rsid w:val="499A72FA"/>
    <w:rsid w:val="49C9699B"/>
    <w:rsid w:val="49CD147E"/>
    <w:rsid w:val="49D24CE6"/>
    <w:rsid w:val="49D56585"/>
    <w:rsid w:val="49DB003F"/>
    <w:rsid w:val="49EF618E"/>
    <w:rsid w:val="4A070E34"/>
    <w:rsid w:val="4A2030A5"/>
    <w:rsid w:val="4A266DE0"/>
    <w:rsid w:val="4A274AD9"/>
    <w:rsid w:val="4A36728E"/>
    <w:rsid w:val="4A3855BE"/>
    <w:rsid w:val="4A3E05CE"/>
    <w:rsid w:val="4A4554B8"/>
    <w:rsid w:val="4A4E6A63"/>
    <w:rsid w:val="4A6632DA"/>
    <w:rsid w:val="4A791A90"/>
    <w:rsid w:val="4A9621B8"/>
    <w:rsid w:val="4A9D3546"/>
    <w:rsid w:val="4AA76A01"/>
    <w:rsid w:val="4AA91EEB"/>
    <w:rsid w:val="4AAF6DD6"/>
    <w:rsid w:val="4AC11C68"/>
    <w:rsid w:val="4AF419CB"/>
    <w:rsid w:val="4AF60B8B"/>
    <w:rsid w:val="4AFF5FAF"/>
    <w:rsid w:val="4B036369"/>
    <w:rsid w:val="4B1355B6"/>
    <w:rsid w:val="4B1872E8"/>
    <w:rsid w:val="4B1A06F3"/>
    <w:rsid w:val="4B1B26BD"/>
    <w:rsid w:val="4B3D2B5E"/>
    <w:rsid w:val="4B4340EE"/>
    <w:rsid w:val="4B506EDA"/>
    <w:rsid w:val="4B5D2CD5"/>
    <w:rsid w:val="4B6422B6"/>
    <w:rsid w:val="4B707D3B"/>
    <w:rsid w:val="4B78366B"/>
    <w:rsid w:val="4B7A0F54"/>
    <w:rsid w:val="4BA32DDE"/>
    <w:rsid w:val="4BA40904"/>
    <w:rsid w:val="4BD42F98"/>
    <w:rsid w:val="4BDC1E4C"/>
    <w:rsid w:val="4BEA4551"/>
    <w:rsid w:val="4BF16EEB"/>
    <w:rsid w:val="4C166B53"/>
    <w:rsid w:val="4C211F55"/>
    <w:rsid w:val="4C235CCD"/>
    <w:rsid w:val="4C297600"/>
    <w:rsid w:val="4C2A705C"/>
    <w:rsid w:val="4C327361"/>
    <w:rsid w:val="4C444B48"/>
    <w:rsid w:val="4C4B0D80"/>
    <w:rsid w:val="4C5479B0"/>
    <w:rsid w:val="4C5C4D3B"/>
    <w:rsid w:val="4C891FD4"/>
    <w:rsid w:val="4C983FC5"/>
    <w:rsid w:val="4CB16E35"/>
    <w:rsid w:val="4CBA35FB"/>
    <w:rsid w:val="4CBC6274"/>
    <w:rsid w:val="4CCF19B1"/>
    <w:rsid w:val="4CD11285"/>
    <w:rsid w:val="4CD46FC7"/>
    <w:rsid w:val="4CF66F3E"/>
    <w:rsid w:val="4D0E714B"/>
    <w:rsid w:val="4D141FE0"/>
    <w:rsid w:val="4D1675E0"/>
    <w:rsid w:val="4D3006A2"/>
    <w:rsid w:val="4D453A21"/>
    <w:rsid w:val="4D4759EB"/>
    <w:rsid w:val="4D4C4DB0"/>
    <w:rsid w:val="4D5325E2"/>
    <w:rsid w:val="4D56496F"/>
    <w:rsid w:val="4D616AAD"/>
    <w:rsid w:val="4D8C1650"/>
    <w:rsid w:val="4D901140"/>
    <w:rsid w:val="4D924EB8"/>
    <w:rsid w:val="4D987FF5"/>
    <w:rsid w:val="4DAC05E6"/>
    <w:rsid w:val="4DAD1CF2"/>
    <w:rsid w:val="4DB12E65"/>
    <w:rsid w:val="4DCF57F4"/>
    <w:rsid w:val="4DEB0608"/>
    <w:rsid w:val="4DF01BDF"/>
    <w:rsid w:val="4DFA0CB0"/>
    <w:rsid w:val="4E0524B6"/>
    <w:rsid w:val="4E084FD4"/>
    <w:rsid w:val="4E4F4B57"/>
    <w:rsid w:val="4E5C54C6"/>
    <w:rsid w:val="4E5F5F0E"/>
    <w:rsid w:val="4E677615"/>
    <w:rsid w:val="4E6E1404"/>
    <w:rsid w:val="4E704ACE"/>
    <w:rsid w:val="4E82265C"/>
    <w:rsid w:val="4E8378D9"/>
    <w:rsid w:val="4E8567CB"/>
    <w:rsid w:val="4E9F2FAC"/>
    <w:rsid w:val="4EA56E6D"/>
    <w:rsid w:val="4ECC5952"/>
    <w:rsid w:val="4ED00322"/>
    <w:rsid w:val="4ED96A7E"/>
    <w:rsid w:val="4F2A1121"/>
    <w:rsid w:val="4F302BDB"/>
    <w:rsid w:val="4F31425D"/>
    <w:rsid w:val="4F416B96"/>
    <w:rsid w:val="4F563CC4"/>
    <w:rsid w:val="4F6C1A77"/>
    <w:rsid w:val="4F6C34E7"/>
    <w:rsid w:val="4F730D1A"/>
    <w:rsid w:val="4F7C5783"/>
    <w:rsid w:val="4F8B6063"/>
    <w:rsid w:val="4F9367C8"/>
    <w:rsid w:val="4FA62E9D"/>
    <w:rsid w:val="4FA9473B"/>
    <w:rsid w:val="4FB22195"/>
    <w:rsid w:val="4FBB0B69"/>
    <w:rsid w:val="4FEB7E11"/>
    <w:rsid w:val="4FF07FD8"/>
    <w:rsid w:val="4FF9121F"/>
    <w:rsid w:val="4FFA4F97"/>
    <w:rsid w:val="4FFE6835"/>
    <w:rsid w:val="50007074"/>
    <w:rsid w:val="500372D1"/>
    <w:rsid w:val="501222E0"/>
    <w:rsid w:val="5014538B"/>
    <w:rsid w:val="5019541D"/>
    <w:rsid w:val="50235868"/>
    <w:rsid w:val="50447FC0"/>
    <w:rsid w:val="504601DC"/>
    <w:rsid w:val="50463D38"/>
    <w:rsid w:val="504F52E3"/>
    <w:rsid w:val="505066D1"/>
    <w:rsid w:val="50533F76"/>
    <w:rsid w:val="50591CBD"/>
    <w:rsid w:val="50722D7F"/>
    <w:rsid w:val="50795EBC"/>
    <w:rsid w:val="507B7E86"/>
    <w:rsid w:val="5081279E"/>
    <w:rsid w:val="50884351"/>
    <w:rsid w:val="50947433"/>
    <w:rsid w:val="50955F2A"/>
    <w:rsid w:val="509B5062"/>
    <w:rsid w:val="509C604E"/>
    <w:rsid w:val="50A32F39"/>
    <w:rsid w:val="50B909AE"/>
    <w:rsid w:val="50BB2978"/>
    <w:rsid w:val="50C25AB5"/>
    <w:rsid w:val="50CF3C4B"/>
    <w:rsid w:val="50DA4AAB"/>
    <w:rsid w:val="50E028B4"/>
    <w:rsid w:val="50E81293"/>
    <w:rsid w:val="50EA0B67"/>
    <w:rsid w:val="50EE4AFC"/>
    <w:rsid w:val="50F11F70"/>
    <w:rsid w:val="50F1639A"/>
    <w:rsid w:val="51022355"/>
    <w:rsid w:val="510D2AA8"/>
    <w:rsid w:val="51142088"/>
    <w:rsid w:val="51200363"/>
    <w:rsid w:val="51205BE3"/>
    <w:rsid w:val="51247002"/>
    <w:rsid w:val="51254295"/>
    <w:rsid w:val="512C2F2E"/>
    <w:rsid w:val="51340035"/>
    <w:rsid w:val="51373A8A"/>
    <w:rsid w:val="513D33E2"/>
    <w:rsid w:val="5152141B"/>
    <w:rsid w:val="51646B6C"/>
    <w:rsid w:val="5167665C"/>
    <w:rsid w:val="516954BD"/>
    <w:rsid w:val="518014CC"/>
    <w:rsid w:val="51842C5D"/>
    <w:rsid w:val="51960CEF"/>
    <w:rsid w:val="519F5DF6"/>
    <w:rsid w:val="51A0391C"/>
    <w:rsid w:val="51A11B6E"/>
    <w:rsid w:val="51A4340C"/>
    <w:rsid w:val="51A90A23"/>
    <w:rsid w:val="51AE1E90"/>
    <w:rsid w:val="51B11960"/>
    <w:rsid w:val="51B178D7"/>
    <w:rsid w:val="51BD002A"/>
    <w:rsid w:val="51C32274"/>
    <w:rsid w:val="51CB0999"/>
    <w:rsid w:val="51CB6BEB"/>
    <w:rsid w:val="51DF61F2"/>
    <w:rsid w:val="51E23F34"/>
    <w:rsid w:val="51E43809"/>
    <w:rsid w:val="51E517A3"/>
    <w:rsid w:val="51FF4AE6"/>
    <w:rsid w:val="5209326F"/>
    <w:rsid w:val="520B596A"/>
    <w:rsid w:val="522B58DB"/>
    <w:rsid w:val="523026A3"/>
    <w:rsid w:val="52410C5B"/>
    <w:rsid w:val="527E0DBE"/>
    <w:rsid w:val="527F70E7"/>
    <w:rsid w:val="528A2602"/>
    <w:rsid w:val="528C0A30"/>
    <w:rsid w:val="52A631B4"/>
    <w:rsid w:val="52A871D4"/>
    <w:rsid w:val="52DF4F33"/>
    <w:rsid w:val="52EA12F3"/>
    <w:rsid w:val="52F757BE"/>
    <w:rsid w:val="5302488E"/>
    <w:rsid w:val="530A3743"/>
    <w:rsid w:val="53134881"/>
    <w:rsid w:val="53354EA8"/>
    <w:rsid w:val="53590972"/>
    <w:rsid w:val="535A100A"/>
    <w:rsid w:val="53790573"/>
    <w:rsid w:val="53794425"/>
    <w:rsid w:val="53795A8A"/>
    <w:rsid w:val="53853710"/>
    <w:rsid w:val="53990623"/>
    <w:rsid w:val="539D6365"/>
    <w:rsid w:val="53AC1EF9"/>
    <w:rsid w:val="53DC50DF"/>
    <w:rsid w:val="53DE35D5"/>
    <w:rsid w:val="54056FB1"/>
    <w:rsid w:val="540720F7"/>
    <w:rsid w:val="54114E5C"/>
    <w:rsid w:val="541E510D"/>
    <w:rsid w:val="5420159E"/>
    <w:rsid w:val="54210D44"/>
    <w:rsid w:val="543640C4"/>
    <w:rsid w:val="543E122D"/>
    <w:rsid w:val="54444A33"/>
    <w:rsid w:val="545F361A"/>
    <w:rsid w:val="546C356A"/>
    <w:rsid w:val="546E6143"/>
    <w:rsid w:val="547277F2"/>
    <w:rsid w:val="5473746C"/>
    <w:rsid w:val="54752E3E"/>
    <w:rsid w:val="547F5A6B"/>
    <w:rsid w:val="54866DF9"/>
    <w:rsid w:val="548B6DEE"/>
    <w:rsid w:val="54905ECA"/>
    <w:rsid w:val="549A0AF6"/>
    <w:rsid w:val="54BC6697"/>
    <w:rsid w:val="54C142D5"/>
    <w:rsid w:val="54C44B46"/>
    <w:rsid w:val="54C5019F"/>
    <w:rsid w:val="54D062C6"/>
    <w:rsid w:val="54DA0EF3"/>
    <w:rsid w:val="54E3249D"/>
    <w:rsid w:val="54ED35AA"/>
    <w:rsid w:val="54F412A4"/>
    <w:rsid w:val="550B72FE"/>
    <w:rsid w:val="550C37A2"/>
    <w:rsid w:val="551D40DC"/>
    <w:rsid w:val="55202DAA"/>
    <w:rsid w:val="55230AEC"/>
    <w:rsid w:val="552A1E7A"/>
    <w:rsid w:val="552C5BF2"/>
    <w:rsid w:val="553920BD"/>
    <w:rsid w:val="55482300"/>
    <w:rsid w:val="557C1FAA"/>
    <w:rsid w:val="55A04CAF"/>
    <w:rsid w:val="55A91966"/>
    <w:rsid w:val="55B95D27"/>
    <w:rsid w:val="55C217A6"/>
    <w:rsid w:val="55D1679A"/>
    <w:rsid w:val="55D3606E"/>
    <w:rsid w:val="55FA7A9F"/>
    <w:rsid w:val="56170651"/>
    <w:rsid w:val="562B3314"/>
    <w:rsid w:val="56464EB9"/>
    <w:rsid w:val="564927D4"/>
    <w:rsid w:val="564F25FE"/>
    <w:rsid w:val="56584D0B"/>
    <w:rsid w:val="56586573"/>
    <w:rsid w:val="565A665B"/>
    <w:rsid w:val="565D6A79"/>
    <w:rsid w:val="56604AC0"/>
    <w:rsid w:val="566118CC"/>
    <w:rsid w:val="568B608B"/>
    <w:rsid w:val="569F4299"/>
    <w:rsid w:val="56A60ACB"/>
    <w:rsid w:val="56A9296F"/>
    <w:rsid w:val="56AB0D99"/>
    <w:rsid w:val="56CE1E48"/>
    <w:rsid w:val="56CE6835"/>
    <w:rsid w:val="56E12A0D"/>
    <w:rsid w:val="56F75D8C"/>
    <w:rsid w:val="57081D47"/>
    <w:rsid w:val="570B10AD"/>
    <w:rsid w:val="57234DD3"/>
    <w:rsid w:val="57323268"/>
    <w:rsid w:val="573B211D"/>
    <w:rsid w:val="574A2360"/>
    <w:rsid w:val="5752573D"/>
    <w:rsid w:val="575628A5"/>
    <w:rsid w:val="575C2093"/>
    <w:rsid w:val="57776ECD"/>
    <w:rsid w:val="577E656A"/>
    <w:rsid w:val="579B5FEE"/>
    <w:rsid w:val="57A001D2"/>
    <w:rsid w:val="57A328B9"/>
    <w:rsid w:val="57A90E07"/>
    <w:rsid w:val="57AA1051"/>
    <w:rsid w:val="57B65C47"/>
    <w:rsid w:val="57BE58D5"/>
    <w:rsid w:val="57C55E8A"/>
    <w:rsid w:val="57C70491"/>
    <w:rsid w:val="57CC7219"/>
    <w:rsid w:val="57CD4D3F"/>
    <w:rsid w:val="57D27E9C"/>
    <w:rsid w:val="57D8796C"/>
    <w:rsid w:val="57DD4F82"/>
    <w:rsid w:val="57F454C5"/>
    <w:rsid w:val="57F56770"/>
    <w:rsid w:val="57FA3401"/>
    <w:rsid w:val="580018F0"/>
    <w:rsid w:val="580E7831"/>
    <w:rsid w:val="58134E48"/>
    <w:rsid w:val="58242DA9"/>
    <w:rsid w:val="582A3F3F"/>
    <w:rsid w:val="584E6149"/>
    <w:rsid w:val="58515970"/>
    <w:rsid w:val="585F5141"/>
    <w:rsid w:val="58704048"/>
    <w:rsid w:val="587D598D"/>
    <w:rsid w:val="58820AE2"/>
    <w:rsid w:val="58937D37"/>
    <w:rsid w:val="58953BEB"/>
    <w:rsid w:val="58B02697"/>
    <w:rsid w:val="58BC090E"/>
    <w:rsid w:val="58BC103B"/>
    <w:rsid w:val="58C47EF0"/>
    <w:rsid w:val="58D97E3F"/>
    <w:rsid w:val="58F22CAF"/>
    <w:rsid w:val="58FA6008"/>
    <w:rsid w:val="58FB7AAC"/>
    <w:rsid w:val="59050C3E"/>
    <w:rsid w:val="59142C25"/>
    <w:rsid w:val="59154646"/>
    <w:rsid w:val="592D3CE7"/>
    <w:rsid w:val="592E6609"/>
    <w:rsid w:val="593B2E10"/>
    <w:rsid w:val="593C217C"/>
    <w:rsid w:val="593D72D5"/>
    <w:rsid w:val="594A5437"/>
    <w:rsid w:val="595079D6"/>
    <w:rsid w:val="59554FEC"/>
    <w:rsid w:val="59617E35"/>
    <w:rsid w:val="5975743C"/>
    <w:rsid w:val="59857C5A"/>
    <w:rsid w:val="59975605"/>
    <w:rsid w:val="5999137D"/>
    <w:rsid w:val="59BD32BD"/>
    <w:rsid w:val="59D06384"/>
    <w:rsid w:val="59D423B5"/>
    <w:rsid w:val="59D46859"/>
    <w:rsid w:val="59E17ECD"/>
    <w:rsid w:val="59F42A57"/>
    <w:rsid w:val="5A025174"/>
    <w:rsid w:val="5A0802B0"/>
    <w:rsid w:val="5A0C7DA1"/>
    <w:rsid w:val="5A1804F3"/>
    <w:rsid w:val="5A1D5B0A"/>
    <w:rsid w:val="5A2C21F1"/>
    <w:rsid w:val="5A3317D1"/>
    <w:rsid w:val="5A421A14"/>
    <w:rsid w:val="5A517EA9"/>
    <w:rsid w:val="5A5456A6"/>
    <w:rsid w:val="5A5A63B7"/>
    <w:rsid w:val="5A665C25"/>
    <w:rsid w:val="5A6E2809"/>
    <w:rsid w:val="5A7616BE"/>
    <w:rsid w:val="5A785436"/>
    <w:rsid w:val="5A9164F8"/>
    <w:rsid w:val="5A9B2ED2"/>
    <w:rsid w:val="5A9F6E67"/>
    <w:rsid w:val="5AA71877"/>
    <w:rsid w:val="5AAB580B"/>
    <w:rsid w:val="5ACC7530"/>
    <w:rsid w:val="5AD20FEA"/>
    <w:rsid w:val="5AD308BE"/>
    <w:rsid w:val="5AD3266C"/>
    <w:rsid w:val="5ADC35E7"/>
    <w:rsid w:val="5AFA6DB3"/>
    <w:rsid w:val="5B1043AE"/>
    <w:rsid w:val="5B157129"/>
    <w:rsid w:val="5B2335F4"/>
    <w:rsid w:val="5B24111A"/>
    <w:rsid w:val="5B265E95"/>
    <w:rsid w:val="5B2B19EA"/>
    <w:rsid w:val="5B314FB8"/>
    <w:rsid w:val="5B37709F"/>
    <w:rsid w:val="5B5136E8"/>
    <w:rsid w:val="5B57329D"/>
    <w:rsid w:val="5B6065F6"/>
    <w:rsid w:val="5B8D7CF4"/>
    <w:rsid w:val="5B920779"/>
    <w:rsid w:val="5B94486F"/>
    <w:rsid w:val="5B955B74"/>
    <w:rsid w:val="5B9938B6"/>
    <w:rsid w:val="5B9C33A6"/>
    <w:rsid w:val="5BCA2268"/>
    <w:rsid w:val="5BCD4831"/>
    <w:rsid w:val="5BE56AFB"/>
    <w:rsid w:val="5C125416"/>
    <w:rsid w:val="5C2C0286"/>
    <w:rsid w:val="5C36729C"/>
    <w:rsid w:val="5C3B496D"/>
    <w:rsid w:val="5C520E7C"/>
    <w:rsid w:val="5C5611D3"/>
    <w:rsid w:val="5C5B4901"/>
    <w:rsid w:val="5C685A52"/>
    <w:rsid w:val="5C6A7000"/>
    <w:rsid w:val="5C7834CB"/>
    <w:rsid w:val="5C794EB2"/>
    <w:rsid w:val="5C82434A"/>
    <w:rsid w:val="5C8400C2"/>
    <w:rsid w:val="5C86208C"/>
    <w:rsid w:val="5C910A31"/>
    <w:rsid w:val="5CAB38A1"/>
    <w:rsid w:val="5CC055C4"/>
    <w:rsid w:val="5CC07DD9"/>
    <w:rsid w:val="5CC26E3C"/>
    <w:rsid w:val="5CD22C59"/>
    <w:rsid w:val="5CD57B38"/>
    <w:rsid w:val="5CE768A3"/>
    <w:rsid w:val="5CEE7C31"/>
    <w:rsid w:val="5CF27722"/>
    <w:rsid w:val="5CFB5EAA"/>
    <w:rsid w:val="5D2017FC"/>
    <w:rsid w:val="5D245401"/>
    <w:rsid w:val="5D290C69"/>
    <w:rsid w:val="5D333896"/>
    <w:rsid w:val="5D3E2967"/>
    <w:rsid w:val="5D467388"/>
    <w:rsid w:val="5D4D6706"/>
    <w:rsid w:val="5D504448"/>
    <w:rsid w:val="5D550327"/>
    <w:rsid w:val="5D5F468B"/>
    <w:rsid w:val="5D746389"/>
    <w:rsid w:val="5D7B1E4D"/>
    <w:rsid w:val="5D8E30FA"/>
    <w:rsid w:val="5DC23869"/>
    <w:rsid w:val="5DD07337"/>
    <w:rsid w:val="5DD14554"/>
    <w:rsid w:val="5DEA1998"/>
    <w:rsid w:val="5DF63241"/>
    <w:rsid w:val="5E162F9C"/>
    <w:rsid w:val="5E347A08"/>
    <w:rsid w:val="5E391380"/>
    <w:rsid w:val="5E4E6BDA"/>
    <w:rsid w:val="5E5B4E53"/>
    <w:rsid w:val="5E6C3504"/>
    <w:rsid w:val="5E6D4E5F"/>
    <w:rsid w:val="5E8819C0"/>
    <w:rsid w:val="5E8868DA"/>
    <w:rsid w:val="5E8B1BDC"/>
    <w:rsid w:val="5EB32EE1"/>
    <w:rsid w:val="5EB35C1F"/>
    <w:rsid w:val="5EC21376"/>
    <w:rsid w:val="5EC4310E"/>
    <w:rsid w:val="5ED35331"/>
    <w:rsid w:val="5ED66053"/>
    <w:rsid w:val="5EEC1F4F"/>
    <w:rsid w:val="5EFA2F5D"/>
    <w:rsid w:val="5F086674"/>
    <w:rsid w:val="5F107B83"/>
    <w:rsid w:val="5F1405A9"/>
    <w:rsid w:val="5F1977ED"/>
    <w:rsid w:val="5F261904"/>
    <w:rsid w:val="5F2B2A77"/>
    <w:rsid w:val="5F5D2E4C"/>
    <w:rsid w:val="5F697A43"/>
    <w:rsid w:val="5F797C86"/>
    <w:rsid w:val="5F7F2DC3"/>
    <w:rsid w:val="5F8968E7"/>
    <w:rsid w:val="5FA36AB1"/>
    <w:rsid w:val="5FB2002B"/>
    <w:rsid w:val="5FCD3B2E"/>
    <w:rsid w:val="5FDF5222"/>
    <w:rsid w:val="5FEF619A"/>
    <w:rsid w:val="5FF7504F"/>
    <w:rsid w:val="5FFC6185"/>
    <w:rsid w:val="5FFE7904"/>
    <w:rsid w:val="6005151A"/>
    <w:rsid w:val="6005776C"/>
    <w:rsid w:val="600B26C3"/>
    <w:rsid w:val="60160E14"/>
    <w:rsid w:val="60191BB5"/>
    <w:rsid w:val="602045A6"/>
    <w:rsid w:val="6025396A"/>
    <w:rsid w:val="602D6CC3"/>
    <w:rsid w:val="6045400C"/>
    <w:rsid w:val="6051475F"/>
    <w:rsid w:val="6051650D"/>
    <w:rsid w:val="60561D75"/>
    <w:rsid w:val="605E7EF4"/>
    <w:rsid w:val="606049A2"/>
    <w:rsid w:val="60636240"/>
    <w:rsid w:val="607022D5"/>
    <w:rsid w:val="60736014"/>
    <w:rsid w:val="60744888"/>
    <w:rsid w:val="60765F74"/>
    <w:rsid w:val="607B17DC"/>
    <w:rsid w:val="60874625"/>
    <w:rsid w:val="609E54CA"/>
    <w:rsid w:val="60A07495"/>
    <w:rsid w:val="60A24ECB"/>
    <w:rsid w:val="60A32E58"/>
    <w:rsid w:val="60EE27F2"/>
    <w:rsid w:val="60F17CF0"/>
    <w:rsid w:val="60F4333C"/>
    <w:rsid w:val="61152866"/>
    <w:rsid w:val="611539DF"/>
    <w:rsid w:val="61161505"/>
    <w:rsid w:val="61273712"/>
    <w:rsid w:val="613A51F3"/>
    <w:rsid w:val="614147D4"/>
    <w:rsid w:val="61447E20"/>
    <w:rsid w:val="615C0C4D"/>
    <w:rsid w:val="616C7377"/>
    <w:rsid w:val="6172193C"/>
    <w:rsid w:val="61750921"/>
    <w:rsid w:val="617A1A94"/>
    <w:rsid w:val="617F52FC"/>
    <w:rsid w:val="618172C6"/>
    <w:rsid w:val="618943CD"/>
    <w:rsid w:val="6189617B"/>
    <w:rsid w:val="61AD00BB"/>
    <w:rsid w:val="61B2747F"/>
    <w:rsid w:val="61D218D0"/>
    <w:rsid w:val="61F45CEA"/>
    <w:rsid w:val="62031A89"/>
    <w:rsid w:val="620F48D2"/>
    <w:rsid w:val="6222226E"/>
    <w:rsid w:val="62257C51"/>
    <w:rsid w:val="62261C1B"/>
    <w:rsid w:val="62352A8D"/>
    <w:rsid w:val="623F023C"/>
    <w:rsid w:val="625311A9"/>
    <w:rsid w:val="627E3805"/>
    <w:rsid w:val="628F156F"/>
    <w:rsid w:val="62996CEF"/>
    <w:rsid w:val="62E23D94"/>
    <w:rsid w:val="62E73159"/>
    <w:rsid w:val="62F615EE"/>
    <w:rsid w:val="63152BED"/>
    <w:rsid w:val="63154001"/>
    <w:rsid w:val="631A52DC"/>
    <w:rsid w:val="633D721D"/>
    <w:rsid w:val="63475D27"/>
    <w:rsid w:val="63612F0B"/>
    <w:rsid w:val="6362606B"/>
    <w:rsid w:val="636E73D6"/>
    <w:rsid w:val="63895928"/>
    <w:rsid w:val="639A466F"/>
    <w:rsid w:val="63A4104A"/>
    <w:rsid w:val="63A454EE"/>
    <w:rsid w:val="63AC7825"/>
    <w:rsid w:val="63BC782D"/>
    <w:rsid w:val="63C27722"/>
    <w:rsid w:val="63C642EB"/>
    <w:rsid w:val="63C82F8A"/>
    <w:rsid w:val="63D23E09"/>
    <w:rsid w:val="63F35B2D"/>
    <w:rsid w:val="640B10C9"/>
    <w:rsid w:val="64104931"/>
    <w:rsid w:val="64137F7D"/>
    <w:rsid w:val="642666ED"/>
    <w:rsid w:val="644A1BF1"/>
    <w:rsid w:val="64550596"/>
    <w:rsid w:val="6459506F"/>
    <w:rsid w:val="646271B0"/>
    <w:rsid w:val="64837769"/>
    <w:rsid w:val="64AA2690"/>
    <w:rsid w:val="64B33C3A"/>
    <w:rsid w:val="64B41760"/>
    <w:rsid w:val="64B654D9"/>
    <w:rsid w:val="64BD1D66"/>
    <w:rsid w:val="64C73242"/>
    <w:rsid w:val="64CC2A37"/>
    <w:rsid w:val="64D4595F"/>
    <w:rsid w:val="64E341A7"/>
    <w:rsid w:val="64EC3D37"/>
    <w:rsid w:val="64EF584E"/>
    <w:rsid w:val="64F61D79"/>
    <w:rsid w:val="650C334B"/>
    <w:rsid w:val="65327A32"/>
    <w:rsid w:val="65554CF2"/>
    <w:rsid w:val="65580870"/>
    <w:rsid w:val="65652A5B"/>
    <w:rsid w:val="657038D9"/>
    <w:rsid w:val="65744A4C"/>
    <w:rsid w:val="65862161"/>
    <w:rsid w:val="658630FD"/>
    <w:rsid w:val="65913850"/>
    <w:rsid w:val="65943D2E"/>
    <w:rsid w:val="65960E66"/>
    <w:rsid w:val="659C4FA5"/>
    <w:rsid w:val="65AB2B63"/>
    <w:rsid w:val="65D025CA"/>
    <w:rsid w:val="65D8641E"/>
    <w:rsid w:val="65FC4987"/>
    <w:rsid w:val="65FF6A0B"/>
    <w:rsid w:val="660202AA"/>
    <w:rsid w:val="660758C0"/>
    <w:rsid w:val="661105F0"/>
    <w:rsid w:val="6612135A"/>
    <w:rsid w:val="661324B7"/>
    <w:rsid w:val="661701F9"/>
    <w:rsid w:val="66364FB0"/>
    <w:rsid w:val="66391F1D"/>
    <w:rsid w:val="66521231"/>
    <w:rsid w:val="665E7BD6"/>
    <w:rsid w:val="66630D48"/>
    <w:rsid w:val="66770C98"/>
    <w:rsid w:val="66833198"/>
    <w:rsid w:val="66882EA5"/>
    <w:rsid w:val="669C06FE"/>
    <w:rsid w:val="66BC66AA"/>
    <w:rsid w:val="67024A05"/>
    <w:rsid w:val="671975FD"/>
    <w:rsid w:val="67236729"/>
    <w:rsid w:val="6727621A"/>
    <w:rsid w:val="672901E4"/>
    <w:rsid w:val="672F3320"/>
    <w:rsid w:val="672F50CE"/>
    <w:rsid w:val="673D3C8F"/>
    <w:rsid w:val="674D4335"/>
    <w:rsid w:val="676034DA"/>
    <w:rsid w:val="67656D42"/>
    <w:rsid w:val="679118E5"/>
    <w:rsid w:val="67945253"/>
    <w:rsid w:val="67987117"/>
    <w:rsid w:val="679A69EC"/>
    <w:rsid w:val="679F04A6"/>
    <w:rsid w:val="67AE3AF1"/>
    <w:rsid w:val="67D363A2"/>
    <w:rsid w:val="67D77C40"/>
    <w:rsid w:val="67E10ABE"/>
    <w:rsid w:val="67E85616"/>
    <w:rsid w:val="67FC12C5"/>
    <w:rsid w:val="67FE4440"/>
    <w:rsid w:val="68077DF9"/>
    <w:rsid w:val="680E2F36"/>
    <w:rsid w:val="68120612"/>
    <w:rsid w:val="682E35D8"/>
    <w:rsid w:val="685E3EBD"/>
    <w:rsid w:val="68617509"/>
    <w:rsid w:val="68686AEA"/>
    <w:rsid w:val="686F629E"/>
    <w:rsid w:val="687234C5"/>
    <w:rsid w:val="687A05CB"/>
    <w:rsid w:val="687C4343"/>
    <w:rsid w:val="687E455F"/>
    <w:rsid w:val="688558EE"/>
    <w:rsid w:val="688A35DC"/>
    <w:rsid w:val="68971725"/>
    <w:rsid w:val="68B0223F"/>
    <w:rsid w:val="68B43ADD"/>
    <w:rsid w:val="68B95597"/>
    <w:rsid w:val="68B97345"/>
    <w:rsid w:val="68C301C4"/>
    <w:rsid w:val="68C77CB4"/>
    <w:rsid w:val="68E929F2"/>
    <w:rsid w:val="68F41093"/>
    <w:rsid w:val="68F95994"/>
    <w:rsid w:val="69140A20"/>
    <w:rsid w:val="69313380"/>
    <w:rsid w:val="694806C9"/>
    <w:rsid w:val="6948690F"/>
    <w:rsid w:val="694F6689"/>
    <w:rsid w:val="69523578"/>
    <w:rsid w:val="6957182B"/>
    <w:rsid w:val="695B6916"/>
    <w:rsid w:val="695E2B47"/>
    <w:rsid w:val="69721525"/>
    <w:rsid w:val="69787200"/>
    <w:rsid w:val="697D69CC"/>
    <w:rsid w:val="698114D3"/>
    <w:rsid w:val="699B2EEF"/>
    <w:rsid w:val="699E6EDB"/>
    <w:rsid w:val="69B913D2"/>
    <w:rsid w:val="69E35095"/>
    <w:rsid w:val="69F50851"/>
    <w:rsid w:val="69FA7C16"/>
    <w:rsid w:val="6A0665BA"/>
    <w:rsid w:val="6A0C5CC5"/>
    <w:rsid w:val="6A30572B"/>
    <w:rsid w:val="6A52792F"/>
    <w:rsid w:val="6A580B27"/>
    <w:rsid w:val="6A657521"/>
    <w:rsid w:val="6A674B7F"/>
    <w:rsid w:val="6A707ED8"/>
    <w:rsid w:val="6A7A48B2"/>
    <w:rsid w:val="6A7C687C"/>
    <w:rsid w:val="6A890F99"/>
    <w:rsid w:val="6A8B6AC0"/>
    <w:rsid w:val="6A9242F2"/>
    <w:rsid w:val="6A9C5931"/>
    <w:rsid w:val="6AB9187F"/>
    <w:rsid w:val="6AD95A7D"/>
    <w:rsid w:val="6ADA17F5"/>
    <w:rsid w:val="6AF97ECD"/>
    <w:rsid w:val="6AFC79BD"/>
    <w:rsid w:val="6B0F149F"/>
    <w:rsid w:val="6B1765A5"/>
    <w:rsid w:val="6B2036AC"/>
    <w:rsid w:val="6B293D9A"/>
    <w:rsid w:val="6B3C600C"/>
    <w:rsid w:val="6B421874"/>
    <w:rsid w:val="6B4231FD"/>
    <w:rsid w:val="6B497465"/>
    <w:rsid w:val="6B594E10"/>
    <w:rsid w:val="6B8A6D77"/>
    <w:rsid w:val="6B9B0F84"/>
    <w:rsid w:val="6BA23452"/>
    <w:rsid w:val="6BA240C1"/>
    <w:rsid w:val="6BA97047"/>
    <w:rsid w:val="6BAA7419"/>
    <w:rsid w:val="6BAC4F3F"/>
    <w:rsid w:val="6BB8082F"/>
    <w:rsid w:val="6BBB5183"/>
    <w:rsid w:val="6BC3064C"/>
    <w:rsid w:val="6BC71D79"/>
    <w:rsid w:val="6BCE3108"/>
    <w:rsid w:val="6BD20370"/>
    <w:rsid w:val="6BD9385B"/>
    <w:rsid w:val="6BDC2A11"/>
    <w:rsid w:val="6BDD159D"/>
    <w:rsid w:val="6BDD7D8E"/>
    <w:rsid w:val="6BE91CF0"/>
    <w:rsid w:val="6BF07522"/>
    <w:rsid w:val="6BF32B6E"/>
    <w:rsid w:val="6BF743D9"/>
    <w:rsid w:val="6C0826E5"/>
    <w:rsid w:val="6C111246"/>
    <w:rsid w:val="6C180827"/>
    <w:rsid w:val="6C296590"/>
    <w:rsid w:val="6C323B8B"/>
    <w:rsid w:val="6C4179F9"/>
    <w:rsid w:val="6C417D7E"/>
    <w:rsid w:val="6C8B154D"/>
    <w:rsid w:val="6C983716"/>
    <w:rsid w:val="6CA65E33"/>
    <w:rsid w:val="6CAC69D3"/>
    <w:rsid w:val="6CBC7404"/>
    <w:rsid w:val="6CC000C5"/>
    <w:rsid w:val="6CC4450B"/>
    <w:rsid w:val="6CC61058"/>
    <w:rsid w:val="6CCA7D73"/>
    <w:rsid w:val="6CCF1803"/>
    <w:rsid w:val="6CE34991"/>
    <w:rsid w:val="6CE369A4"/>
    <w:rsid w:val="6CE626D3"/>
    <w:rsid w:val="6D020114"/>
    <w:rsid w:val="6D29065A"/>
    <w:rsid w:val="6D30394E"/>
    <w:rsid w:val="6D3451EC"/>
    <w:rsid w:val="6D365409"/>
    <w:rsid w:val="6D390A55"/>
    <w:rsid w:val="6D4D2752"/>
    <w:rsid w:val="6D4D62AE"/>
    <w:rsid w:val="6D6261FE"/>
    <w:rsid w:val="6D6316DD"/>
    <w:rsid w:val="6D8A12B0"/>
    <w:rsid w:val="6D924ED4"/>
    <w:rsid w:val="6DAE50EF"/>
    <w:rsid w:val="6DB30807"/>
    <w:rsid w:val="6DC347C2"/>
    <w:rsid w:val="6DF130DE"/>
    <w:rsid w:val="6DFF1C9E"/>
    <w:rsid w:val="6DFF3A4C"/>
    <w:rsid w:val="6E112BCB"/>
    <w:rsid w:val="6E1B63AC"/>
    <w:rsid w:val="6E22598D"/>
    <w:rsid w:val="6E2C2368"/>
    <w:rsid w:val="6E2F3C06"/>
    <w:rsid w:val="6E3360AE"/>
    <w:rsid w:val="6E5813AF"/>
    <w:rsid w:val="6E587601"/>
    <w:rsid w:val="6E6733A0"/>
    <w:rsid w:val="6EAB5982"/>
    <w:rsid w:val="6EB1286D"/>
    <w:rsid w:val="6ED30A35"/>
    <w:rsid w:val="6EE43F23"/>
    <w:rsid w:val="6EF235B1"/>
    <w:rsid w:val="6F0A08FB"/>
    <w:rsid w:val="6F15104E"/>
    <w:rsid w:val="6F285225"/>
    <w:rsid w:val="6F3D6CAA"/>
    <w:rsid w:val="6F451933"/>
    <w:rsid w:val="6F55769C"/>
    <w:rsid w:val="6F6B5112"/>
    <w:rsid w:val="6F751AEC"/>
    <w:rsid w:val="6F7E2977"/>
    <w:rsid w:val="6F944336"/>
    <w:rsid w:val="6F944668"/>
    <w:rsid w:val="6F984159"/>
    <w:rsid w:val="6F9E54E7"/>
    <w:rsid w:val="6FA04DBB"/>
    <w:rsid w:val="6FAD4F96"/>
    <w:rsid w:val="6FC767EC"/>
    <w:rsid w:val="6FCC795E"/>
    <w:rsid w:val="6FF45107"/>
    <w:rsid w:val="6FF5292A"/>
    <w:rsid w:val="6FF944CB"/>
    <w:rsid w:val="700F2163"/>
    <w:rsid w:val="701875CA"/>
    <w:rsid w:val="702E23C7"/>
    <w:rsid w:val="703D260A"/>
    <w:rsid w:val="70602531"/>
    <w:rsid w:val="7060454A"/>
    <w:rsid w:val="70666005"/>
    <w:rsid w:val="70772C18"/>
    <w:rsid w:val="708B5A6B"/>
    <w:rsid w:val="708E44BF"/>
    <w:rsid w:val="70932B72"/>
    <w:rsid w:val="70B12FF8"/>
    <w:rsid w:val="70C8281B"/>
    <w:rsid w:val="70EE7DA8"/>
    <w:rsid w:val="70F7345E"/>
    <w:rsid w:val="7104645B"/>
    <w:rsid w:val="71153587"/>
    <w:rsid w:val="71196678"/>
    <w:rsid w:val="7128150C"/>
    <w:rsid w:val="712B6906"/>
    <w:rsid w:val="71324139"/>
    <w:rsid w:val="71353C29"/>
    <w:rsid w:val="713D5933"/>
    <w:rsid w:val="71435F40"/>
    <w:rsid w:val="71551BD5"/>
    <w:rsid w:val="71570879"/>
    <w:rsid w:val="715C11B6"/>
    <w:rsid w:val="715E4F2E"/>
    <w:rsid w:val="71663DE2"/>
    <w:rsid w:val="716A0369"/>
    <w:rsid w:val="716A585F"/>
    <w:rsid w:val="718A7AD1"/>
    <w:rsid w:val="71954F93"/>
    <w:rsid w:val="71A010A2"/>
    <w:rsid w:val="71B66B18"/>
    <w:rsid w:val="71CC00E9"/>
    <w:rsid w:val="71D13952"/>
    <w:rsid w:val="71DC5E53"/>
    <w:rsid w:val="71EA4A14"/>
    <w:rsid w:val="71EA67C2"/>
    <w:rsid w:val="71EC5676"/>
    <w:rsid w:val="71F1040D"/>
    <w:rsid w:val="71F25676"/>
    <w:rsid w:val="71F94C57"/>
    <w:rsid w:val="72077ACC"/>
    <w:rsid w:val="720D24B0"/>
    <w:rsid w:val="720F7FD6"/>
    <w:rsid w:val="72100207"/>
    <w:rsid w:val="72181053"/>
    <w:rsid w:val="72281098"/>
    <w:rsid w:val="722E33D9"/>
    <w:rsid w:val="7238752D"/>
    <w:rsid w:val="723E2669"/>
    <w:rsid w:val="723E5DD6"/>
    <w:rsid w:val="723F6B0D"/>
    <w:rsid w:val="724A54FF"/>
    <w:rsid w:val="724E69A2"/>
    <w:rsid w:val="727E6F0A"/>
    <w:rsid w:val="729B1591"/>
    <w:rsid w:val="72A44B2F"/>
    <w:rsid w:val="72A9667D"/>
    <w:rsid w:val="72BB5F8B"/>
    <w:rsid w:val="72BB6655"/>
    <w:rsid w:val="72D03C09"/>
    <w:rsid w:val="72D1172F"/>
    <w:rsid w:val="72DA4A88"/>
    <w:rsid w:val="72DF5BFA"/>
    <w:rsid w:val="72ED47BB"/>
    <w:rsid w:val="72FA1A10"/>
    <w:rsid w:val="73263829"/>
    <w:rsid w:val="7329331A"/>
    <w:rsid w:val="732A5C9D"/>
    <w:rsid w:val="733D0B73"/>
    <w:rsid w:val="734F0FD2"/>
    <w:rsid w:val="735A6AC0"/>
    <w:rsid w:val="73644352"/>
    <w:rsid w:val="73662167"/>
    <w:rsid w:val="737F2B52"/>
    <w:rsid w:val="73952CB3"/>
    <w:rsid w:val="73A0088E"/>
    <w:rsid w:val="73AF1A71"/>
    <w:rsid w:val="73BB3031"/>
    <w:rsid w:val="73C66DBA"/>
    <w:rsid w:val="73E3255B"/>
    <w:rsid w:val="73EF00BF"/>
    <w:rsid w:val="73F2195D"/>
    <w:rsid w:val="74033B6B"/>
    <w:rsid w:val="741C69DA"/>
    <w:rsid w:val="742835D1"/>
    <w:rsid w:val="743401C8"/>
    <w:rsid w:val="74387CB8"/>
    <w:rsid w:val="74535F81"/>
    <w:rsid w:val="745F3497"/>
    <w:rsid w:val="746A1E3C"/>
    <w:rsid w:val="746C7962"/>
    <w:rsid w:val="74784559"/>
    <w:rsid w:val="7487479C"/>
    <w:rsid w:val="748C0004"/>
    <w:rsid w:val="74B4133C"/>
    <w:rsid w:val="74C23A26"/>
    <w:rsid w:val="74D3353D"/>
    <w:rsid w:val="74D80B53"/>
    <w:rsid w:val="74DF0134"/>
    <w:rsid w:val="74EA0887"/>
    <w:rsid w:val="74EE481B"/>
    <w:rsid w:val="74EE65C9"/>
    <w:rsid w:val="74F6547D"/>
    <w:rsid w:val="74FA4F6E"/>
    <w:rsid w:val="74FF4332"/>
    <w:rsid w:val="7508187E"/>
    <w:rsid w:val="75181898"/>
    <w:rsid w:val="751D2A2D"/>
    <w:rsid w:val="752079FA"/>
    <w:rsid w:val="753F2B8A"/>
    <w:rsid w:val="75410DEE"/>
    <w:rsid w:val="75824BD9"/>
    <w:rsid w:val="758B206A"/>
    <w:rsid w:val="75976C60"/>
    <w:rsid w:val="759E7FEF"/>
    <w:rsid w:val="75B0347F"/>
    <w:rsid w:val="75B710B1"/>
    <w:rsid w:val="75BF7803"/>
    <w:rsid w:val="75C537CD"/>
    <w:rsid w:val="75D752AF"/>
    <w:rsid w:val="75E672A0"/>
    <w:rsid w:val="75ED4C66"/>
    <w:rsid w:val="75F537A2"/>
    <w:rsid w:val="75FC4D15"/>
    <w:rsid w:val="761A4816"/>
    <w:rsid w:val="761E2EDE"/>
    <w:rsid w:val="7621198A"/>
    <w:rsid w:val="76342701"/>
    <w:rsid w:val="76500BBD"/>
    <w:rsid w:val="76543C35"/>
    <w:rsid w:val="76781338"/>
    <w:rsid w:val="767A1CA1"/>
    <w:rsid w:val="767B3E8C"/>
    <w:rsid w:val="76962A74"/>
    <w:rsid w:val="769D02A6"/>
    <w:rsid w:val="769D3F76"/>
    <w:rsid w:val="76A2766B"/>
    <w:rsid w:val="76AA29C3"/>
    <w:rsid w:val="76BE2916"/>
    <w:rsid w:val="76C70D30"/>
    <w:rsid w:val="76DF08BF"/>
    <w:rsid w:val="76EF6628"/>
    <w:rsid w:val="770143E1"/>
    <w:rsid w:val="7707379D"/>
    <w:rsid w:val="770F1F64"/>
    <w:rsid w:val="77147E3D"/>
    <w:rsid w:val="77183DD1"/>
    <w:rsid w:val="77316C41"/>
    <w:rsid w:val="77416E84"/>
    <w:rsid w:val="774769D9"/>
    <w:rsid w:val="775A7F45"/>
    <w:rsid w:val="775B7604"/>
    <w:rsid w:val="775D2F52"/>
    <w:rsid w:val="77670AF1"/>
    <w:rsid w:val="77732DB5"/>
    <w:rsid w:val="777D3C34"/>
    <w:rsid w:val="7789082B"/>
    <w:rsid w:val="77921091"/>
    <w:rsid w:val="77B37656"/>
    <w:rsid w:val="77B70EF4"/>
    <w:rsid w:val="77B95F7C"/>
    <w:rsid w:val="77C60C9B"/>
    <w:rsid w:val="77C90C27"/>
    <w:rsid w:val="77D9530E"/>
    <w:rsid w:val="77F064C5"/>
    <w:rsid w:val="780D6D66"/>
    <w:rsid w:val="78112CFA"/>
    <w:rsid w:val="78173437"/>
    <w:rsid w:val="78267E28"/>
    <w:rsid w:val="782916D1"/>
    <w:rsid w:val="78343564"/>
    <w:rsid w:val="783C3AEF"/>
    <w:rsid w:val="784D3606"/>
    <w:rsid w:val="784E5FE9"/>
    <w:rsid w:val="78533199"/>
    <w:rsid w:val="786077DD"/>
    <w:rsid w:val="78801C2E"/>
    <w:rsid w:val="788C0D41"/>
    <w:rsid w:val="78961451"/>
    <w:rsid w:val="78994A9D"/>
    <w:rsid w:val="78AC2A23"/>
    <w:rsid w:val="78C957C6"/>
    <w:rsid w:val="78D26A7E"/>
    <w:rsid w:val="78DB3308"/>
    <w:rsid w:val="78DE6954"/>
    <w:rsid w:val="78E21FA1"/>
    <w:rsid w:val="78E35D19"/>
    <w:rsid w:val="7904460D"/>
    <w:rsid w:val="79115F2B"/>
    <w:rsid w:val="79142376"/>
    <w:rsid w:val="795A247F"/>
    <w:rsid w:val="79684BF5"/>
    <w:rsid w:val="79712781"/>
    <w:rsid w:val="79795960"/>
    <w:rsid w:val="797A667D"/>
    <w:rsid w:val="79940026"/>
    <w:rsid w:val="79A13787"/>
    <w:rsid w:val="79A74F98"/>
    <w:rsid w:val="79AC0800"/>
    <w:rsid w:val="79C8563A"/>
    <w:rsid w:val="79CB0C87"/>
    <w:rsid w:val="79E5505B"/>
    <w:rsid w:val="79E63D12"/>
    <w:rsid w:val="79FA77BE"/>
    <w:rsid w:val="7A162C99"/>
    <w:rsid w:val="7A1D1ABC"/>
    <w:rsid w:val="7A3031E0"/>
    <w:rsid w:val="7A431165"/>
    <w:rsid w:val="7A545120"/>
    <w:rsid w:val="7A5C3FD5"/>
    <w:rsid w:val="7A637111"/>
    <w:rsid w:val="7A6510DB"/>
    <w:rsid w:val="7A792DD8"/>
    <w:rsid w:val="7A805F15"/>
    <w:rsid w:val="7A831561"/>
    <w:rsid w:val="7A9726FE"/>
    <w:rsid w:val="7A992B33"/>
    <w:rsid w:val="7AA716F4"/>
    <w:rsid w:val="7AC2652D"/>
    <w:rsid w:val="7AD63D87"/>
    <w:rsid w:val="7AE91D0C"/>
    <w:rsid w:val="7B02692A"/>
    <w:rsid w:val="7B05466C"/>
    <w:rsid w:val="7B095FB3"/>
    <w:rsid w:val="7B0F3007"/>
    <w:rsid w:val="7B0F54EB"/>
    <w:rsid w:val="7B164183"/>
    <w:rsid w:val="7B1B79EC"/>
    <w:rsid w:val="7B310FBD"/>
    <w:rsid w:val="7B406A51"/>
    <w:rsid w:val="7B4E2C65"/>
    <w:rsid w:val="7B58479C"/>
    <w:rsid w:val="7B8C2698"/>
    <w:rsid w:val="7BA648BB"/>
    <w:rsid w:val="7BAF10A7"/>
    <w:rsid w:val="7BB045D8"/>
    <w:rsid w:val="7BB51BEE"/>
    <w:rsid w:val="7BBB4D2B"/>
    <w:rsid w:val="7BC40B73"/>
    <w:rsid w:val="7BD303AD"/>
    <w:rsid w:val="7C0434A9"/>
    <w:rsid w:val="7C156B31"/>
    <w:rsid w:val="7C184A57"/>
    <w:rsid w:val="7C1B61BF"/>
    <w:rsid w:val="7C1E59E5"/>
    <w:rsid w:val="7C28078E"/>
    <w:rsid w:val="7C417926"/>
    <w:rsid w:val="7C6559F4"/>
    <w:rsid w:val="7C675C0A"/>
    <w:rsid w:val="7C6929D9"/>
    <w:rsid w:val="7C6B587F"/>
    <w:rsid w:val="7C7C3179"/>
    <w:rsid w:val="7C8523B4"/>
    <w:rsid w:val="7C914409"/>
    <w:rsid w:val="7C9B7036"/>
    <w:rsid w:val="7CB77BE8"/>
    <w:rsid w:val="7CBC51FE"/>
    <w:rsid w:val="7CF02627"/>
    <w:rsid w:val="7CFD5618"/>
    <w:rsid w:val="7D276B1C"/>
    <w:rsid w:val="7D344DD3"/>
    <w:rsid w:val="7D366D5F"/>
    <w:rsid w:val="7D3905FD"/>
    <w:rsid w:val="7D627B54"/>
    <w:rsid w:val="7D690930"/>
    <w:rsid w:val="7D7609EC"/>
    <w:rsid w:val="7D983576"/>
    <w:rsid w:val="7DC4436B"/>
    <w:rsid w:val="7DD87E16"/>
    <w:rsid w:val="7DE844FD"/>
    <w:rsid w:val="7DEE3196"/>
    <w:rsid w:val="7DF804B8"/>
    <w:rsid w:val="7DFD162B"/>
    <w:rsid w:val="7DFE2E43"/>
    <w:rsid w:val="7E024E93"/>
    <w:rsid w:val="7E1A21DD"/>
    <w:rsid w:val="7E23216E"/>
    <w:rsid w:val="7E265025"/>
    <w:rsid w:val="7E3A63DB"/>
    <w:rsid w:val="7E3B4DBB"/>
    <w:rsid w:val="7E4454AB"/>
    <w:rsid w:val="7E484F9C"/>
    <w:rsid w:val="7E5576B9"/>
    <w:rsid w:val="7E590F57"/>
    <w:rsid w:val="7E5A710E"/>
    <w:rsid w:val="7E70004F"/>
    <w:rsid w:val="7E7046C7"/>
    <w:rsid w:val="7E7F64E4"/>
    <w:rsid w:val="7E8E57B1"/>
    <w:rsid w:val="7EA1645A"/>
    <w:rsid w:val="7EAC1347"/>
    <w:rsid w:val="7EAD12A3"/>
    <w:rsid w:val="7EC62364"/>
    <w:rsid w:val="7ECD724F"/>
    <w:rsid w:val="7ED71E7C"/>
    <w:rsid w:val="7EED45E6"/>
    <w:rsid w:val="7EFB200E"/>
    <w:rsid w:val="7F010848"/>
    <w:rsid w:val="7F030EC3"/>
    <w:rsid w:val="7F0D5859"/>
    <w:rsid w:val="7F0D7F93"/>
    <w:rsid w:val="7F1429AC"/>
    <w:rsid w:val="7F1F405F"/>
    <w:rsid w:val="7F285D5E"/>
    <w:rsid w:val="7F2F3506"/>
    <w:rsid w:val="7F512BFF"/>
    <w:rsid w:val="7F5A4F9A"/>
    <w:rsid w:val="7F675C96"/>
    <w:rsid w:val="7F735436"/>
    <w:rsid w:val="7F7818B1"/>
    <w:rsid w:val="7F9A0E5D"/>
    <w:rsid w:val="7FA22F78"/>
    <w:rsid w:val="7FA27CF2"/>
    <w:rsid w:val="7FAC155A"/>
    <w:rsid w:val="7FB14DC3"/>
    <w:rsid w:val="7FB201B2"/>
    <w:rsid w:val="7FB3011B"/>
    <w:rsid w:val="7FBA3291"/>
    <w:rsid w:val="7FBB19BD"/>
    <w:rsid w:val="7FC02E5E"/>
    <w:rsid w:val="7FC65CAF"/>
    <w:rsid w:val="7FCE7723"/>
    <w:rsid w:val="7FD15B99"/>
    <w:rsid w:val="7FD42D0C"/>
    <w:rsid w:val="7FDF723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adjustRightInd w:val="0"/>
      <w:spacing w:line="360" w:lineRule="atLeast"/>
      <w:ind w:firstLine="482"/>
      <w:textAlignment w:val="baseline"/>
    </w:pPr>
    <w:rPr>
      <w:kern w:val="0"/>
      <w:sz w:val="24"/>
      <w:szCs w:val="20"/>
    </w:rPr>
  </w:style>
  <w:style w:type="paragraph" w:styleId="7">
    <w:name w:val="toa heading"/>
    <w:basedOn w:val="1"/>
    <w:next w:val="1"/>
    <w:qFormat/>
    <w:uiPriority w:val="0"/>
    <w:pPr>
      <w:autoSpaceDE w:val="0"/>
      <w:autoSpaceDN w:val="0"/>
      <w:adjustRightInd w:val="0"/>
      <w:snapToGrid w:val="0"/>
      <w:spacing w:before="120" w:beforeLines="0" w:line="360" w:lineRule="auto"/>
    </w:pPr>
    <w:rPr>
      <w:rFonts w:ascii="Arial" w:hAnsi="Arial"/>
      <w:snapToGrid w:val="0"/>
      <w:color w:val="000000"/>
      <w:kern w:val="0"/>
      <w:szCs w:val="20"/>
    </w:rPr>
  </w:style>
  <w:style w:type="paragraph" w:styleId="8">
    <w:name w:val="annotation text"/>
    <w:basedOn w:val="1"/>
    <w:qFormat/>
    <w:uiPriority w:val="0"/>
    <w:pPr>
      <w:jc w:val="left"/>
    </w:pPr>
  </w:style>
  <w:style w:type="paragraph" w:styleId="9">
    <w:name w:val="Body Text"/>
    <w:basedOn w:val="1"/>
    <w:next w:val="1"/>
    <w:link w:val="36"/>
    <w:qFormat/>
    <w:uiPriority w:val="0"/>
    <w:pPr>
      <w:spacing w:after="120"/>
    </w:pPr>
  </w:style>
  <w:style w:type="paragraph" w:styleId="10">
    <w:name w:val="Body Text Indent"/>
    <w:basedOn w:val="1"/>
    <w:qFormat/>
    <w:uiPriority w:val="0"/>
    <w:pPr>
      <w:spacing w:after="120"/>
      <w:ind w:left="200" w:leftChars="200"/>
    </w:pPr>
  </w:style>
  <w:style w:type="paragraph" w:styleId="11">
    <w:name w:val="toc 3"/>
    <w:basedOn w:val="1"/>
    <w:next w:val="1"/>
    <w:qFormat/>
    <w:uiPriority w:val="39"/>
    <w:pPr>
      <w:tabs>
        <w:tab w:val="right" w:leader="dot" w:pos="9288"/>
      </w:tabs>
      <w:ind w:left="400" w:leftChars="400"/>
    </w:pPr>
    <w:rPr>
      <w:rFonts w:ascii="宋体"/>
    </w:rPr>
  </w:style>
  <w:style w:type="paragraph" w:styleId="12">
    <w:name w:val="Plain Text"/>
    <w:basedOn w:val="1"/>
    <w:next w:val="13"/>
    <w:link w:val="37"/>
    <w:qFormat/>
    <w:uiPriority w:val="0"/>
    <w:rPr>
      <w:rFonts w:ascii="宋体"/>
      <w:color w:val="000000"/>
      <w:szCs w:val="20"/>
      <w:u w:val="none" w:color="000000"/>
    </w:rPr>
  </w:style>
  <w:style w:type="paragraph" w:styleId="13">
    <w:name w:val="index 7"/>
    <w:basedOn w:val="1"/>
    <w:next w:val="1"/>
    <w:qFormat/>
    <w:uiPriority w:val="0"/>
    <w:pPr>
      <w:autoSpaceDE/>
      <w:autoSpaceDN/>
      <w:adjustRightInd/>
      <w:ind w:left="1200" w:leftChars="1200"/>
    </w:pPr>
    <w:rPr>
      <w:color w:val="auto"/>
      <w:kern w:val="2"/>
      <w:szCs w:val="24"/>
    </w:rPr>
  </w:style>
  <w:style w:type="paragraph" w:styleId="14">
    <w:name w:val="Date"/>
    <w:basedOn w:val="1"/>
    <w:next w:val="1"/>
    <w:link w:val="38"/>
    <w:qFormat/>
    <w:uiPriority w:val="0"/>
    <w:rPr>
      <w:rFonts w:ascii="Arial" w:hAnsi="Arial" w:eastAsia="仿宋_GB2312"/>
      <w:color w:val="000000"/>
      <w:sz w:val="32"/>
      <w:szCs w:val="20"/>
      <w:u w:val="none" w:color="000000"/>
    </w:rPr>
  </w:style>
  <w:style w:type="paragraph" w:styleId="15">
    <w:name w:val="footer"/>
    <w:basedOn w:val="1"/>
    <w:link w:val="39"/>
    <w:qFormat/>
    <w:uiPriority w:val="0"/>
    <w:pPr>
      <w:tabs>
        <w:tab w:val="center" w:pos="4153"/>
        <w:tab w:val="right" w:pos="8306"/>
      </w:tabs>
      <w:snapToGrid w:val="0"/>
      <w:jc w:val="left"/>
    </w:pPr>
    <w:rPr>
      <w:sz w:val="18"/>
      <w:szCs w:val="18"/>
    </w:rPr>
  </w:style>
  <w:style w:type="paragraph" w:styleId="16">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style>
  <w:style w:type="paragraph" w:styleId="18">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19">
    <w:name w:val="footnote text"/>
    <w:basedOn w:val="1"/>
    <w:qFormat/>
    <w:uiPriority w:val="0"/>
    <w:pPr>
      <w:widowControl w:val="0"/>
      <w:adjustRightInd w:val="0"/>
      <w:spacing w:line="315" w:lineRule="atLeast"/>
      <w:jc w:val="both"/>
      <w:textAlignment w:val="baseline"/>
    </w:pPr>
    <w:rPr>
      <w:rFonts w:ascii="宋体" w:hAnsi="宋体"/>
      <w:sz w:val="18"/>
      <w:szCs w:val="18"/>
    </w:rPr>
  </w:style>
  <w:style w:type="paragraph" w:styleId="20">
    <w:name w:val="toc 2"/>
    <w:basedOn w:val="1"/>
    <w:next w:val="1"/>
    <w:qFormat/>
    <w:uiPriority w:val="39"/>
    <w:pPr>
      <w:ind w:left="200" w:leftChars="200"/>
    </w:pPr>
  </w:style>
  <w:style w:type="paragraph" w:styleId="21">
    <w:name w:val="Body Text 2"/>
    <w:basedOn w:val="1"/>
    <w:qFormat/>
    <w:uiPriority w:val="0"/>
    <w:pPr>
      <w:tabs>
        <w:tab w:val="left" w:pos="0"/>
      </w:tabs>
      <w:spacing w:line="400" w:lineRule="atLeast"/>
    </w:pPr>
    <w:rPr>
      <w:rFonts w:ascii="Arial" w:hAnsi="Arial"/>
      <w:color w:val="000000"/>
    </w:rPr>
  </w:style>
  <w:style w:type="paragraph" w:styleId="2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3">
    <w:name w:val="Body Text First Indent"/>
    <w:basedOn w:val="9"/>
    <w:next w:val="1"/>
    <w:unhideWhenUsed/>
    <w:qFormat/>
    <w:uiPriority w:val="0"/>
    <w:pPr>
      <w:adjustRightInd/>
      <w:spacing w:after="120" w:line="240" w:lineRule="auto"/>
      <w:ind w:firstLine="420" w:firstLineChars="100"/>
      <w:jc w:val="both"/>
    </w:pPr>
    <w:rPr>
      <w:rFonts w:ascii="Times New Roman"/>
      <w:kern w:val="2"/>
      <w:sz w:val="21"/>
      <w:szCs w:val="24"/>
    </w:rPr>
  </w:style>
  <w:style w:type="paragraph" w:styleId="24">
    <w:name w:val="Body Text First Indent 2"/>
    <w:basedOn w:val="10"/>
    <w:unhideWhenUsed/>
    <w:qFormat/>
    <w:uiPriority w:val="99"/>
    <w:pPr>
      <w:spacing w:after="120" w:line="240" w:lineRule="auto"/>
      <w:ind w:left="420" w:leftChars="200" w:firstLine="420"/>
    </w:pPr>
    <w:rPr>
      <w:rFonts w:cs="宋体"/>
      <w:sz w:val="21"/>
      <w:szCs w:val="21"/>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page number"/>
    <w:basedOn w:val="27"/>
    <w:qFormat/>
    <w:uiPriority w:val="0"/>
  </w:style>
  <w:style w:type="character" w:styleId="30">
    <w:name w:val="FollowedHyperlink"/>
    <w:qFormat/>
    <w:uiPriority w:val="0"/>
    <w:rPr>
      <w:color w:val="333333"/>
      <w:u w:val="none"/>
    </w:rPr>
  </w:style>
  <w:style w:type="character" w:styleId="31">
    <w:name w:val="Hyperlink"/>
    <w:basedOn w:val="27"/>
    <w:qFormat/>
    <w:uiPriority w:val="99"/>
    <w:rPr>
      <w:color w:val="0000FF"/>
      <w:u w:val="single"/>
    </w:rPr>
  </w:style>
  <w:style w:type="character" w:styleId="32">
    <w:name w:val="HTML Sample"/>
    <w:basedOn w:val="27"/>
    <w:qFormat/>
    <w:uiPriority w:val="0"/>
    <w:rPr>
      <w:rFonts w:ascii="Courier New" w:hAnsi="Courier New"/>
    </w:rPr>
  </w:style>
  <w:style w:type="paragraph" w:customStyle="1" w:styleId="33">
    <w:name w:val="BodyText1I2"/>
    <w:basedOn w:val="34"/>
    <w:qFormat/>
    <w:uiPriority w:val="0"/>
    <w:pPr>
      <w:spacing w:after="120" w:line="240" w:lineRule="auto"/>
      <w:ind w:left="420" w:leftChars="200" w:firstLine="420" w:firstLineChars="200"/>
      <w:jc w:val="both"/>
    </w:pPr>
    <w:rPr>
      <w:rFonts w:ascii="Times New Roman" w:hAnsi="Times New Roman" w:eastAsia="宋体" w:cs="Times New Roman"/>
      <w:kern w:val="2"/>
      <w:sz w:val="21"/>
    </w:rPr>
  </w:style>
  <w:style w:type="paragraph" w:customStyle="1" w:styleId="34">
    <w:name w:val="BodyTextIndent"/>
    <w:basedOn w:val="1"/>
    <w:next w:val="35"/>
    <w:qFormat/>
    <w:uiPriority w:val="0"/>
    <w:pPr>
      <w:spacing w:line="360" w:lineRule="auto"/>
      <w:ind w:firstLine="480"/>
      <w:jc w:val="left"/>
      <w:textAlignment w:val="baseline"/>
    </w:pPr>
    <w:rPr>
      <w:rFonts w:ascii="宋体" w:hAnsi="宋体" w:eastAsia="宋体" w:cs="Times New Roman"/>
      <w:kern w:val="0"/>
      <w:sz w:val="24"/>
    </w:rPr>
  </w:style>
  <w:style w:type="paragraph" w:customStyle="1" w:styleId="35">
    <w:name w:val="EnvelopeReturn"/>
    <w:basedOn w:val="1"/>
    <w:qFormat/>
    <w:uiPriority w:val="0"/>
    <w:pPr>
      <w:snapToGrid w:val="0"/>
      <w:textAlignment w:val="baseline"/>
    </w:pPr>
    <w:rPr>
      <w:rFonts w:ascii="Arial" w:hAnsi="Arial" w:eastAsia="宋体" w:cs="Times New Roman"/>
    </w:rPr>
  </w:style>
  <w:style w:type="character" w:customStyle="1" w:styleId="36">
    <w:name w:val="正文文本 Char"/>
    <w:link w:val="9"/>
    <w:semiHidden/>
    <w:qFormat/>
    <w:locked/>
    <w:uiPriority w:val="0"/>
    <w:rPr>
      <w:rFonts w:eastAsia="宋体"/>
      <w:kern w:val="2"/>
      <w:sz w:val="21"/>
      <w:szCs w:val="24"/>
      <w:lang w:val="en-US" w:eastAsia="zh-CN" w:bidi="ar-SA"/>
    </w:rPr>
  </w:style>
  <w:style w:type="character" w:customStyle="1" w:styleId="37">
    <w:name w:val="纯文本 Char"/>
    <w:link w:val="12"/>
    <w:qFormat/>
    <w:uiPriority w:val="0"/>
    <w:rPr>
      <w:rFonts w:ascii="宋体"/>
      <w:color w:val="000000"/>
      <w:kern w:val="2"/>
      <w:sz w:val="21"/>
      <w:u w:val="none" w:color="000000"/>
    </w:rPr>
  </w:style>
  <w:style w:type="character" w:customStyle="1" w:styleId="38">
    <w:name w:val="日期 Char"/>
    <w:link w:val="14"/>
    <w:qFormat/>
    <w:uiPriority w:val="0"/>
    <w:rPr>
      <w:rFonts w:ascii="Arial" w:hAnsi="Arial" w:eastAsia="仿宋_GB2312"/>
      <w:color w:val="000000"/>
      <w:kern w:val="2"/>
      <w:sz w:val="32"/>
      <w:u w:val="none" w:color="000000"/>
      <w:lang w:val="en-US" w:eastAsia="zh-CN" w:bidi="ar-SA"/>
    </w:rPr>
  </w:style>
  <w:style w:type="character" w:customStyle="1" w:styleId="39">
    <w:name w:val="页脚 Char"/>
    <w:link w:val="15"/>
    <w:qFormat/>
    <w:locked/>
    <w:uiPriority w:val="0"/>
    <w:rPr>
      <w:rFonts w:eastAsia="宋体"/>
      <w:kern w:val="2"/>
      <w:sz w:val="18"/>
      <w:szCs w:val="18"/>
      <w:lang w:val="en-US" w:eastAsia="zh-CN" w:bidi="ar-SA"/>
    </w:rPr>
  </w:style>
  <w:style w:type="character" w:customStyle="1" w:styleId="40">
    <w:name w:val="页眉 Char"/>
    <w:link w:val="16"/>
    <w:qFormat/>
    <w:locked/>
    <w:uiPriority w:val="0"/>
    <w:rPr>
      <w:rFonts w:eastAsia="宋体"/>
      <w:kern w:val="2"/>
      <w:sz w:val="18"/>
      <w:szCs w:val="18"/>
      <w:lang w:val="en-US" w:eastAsia="zh-CN" w:bidi="ar-SA"/>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样式 首行缩进:  2 字符"/>
    <w:basedOn w:val="1"/>
    <w:qFormat/>
    <w:uiPriority w:val="0"/>
    <w:pPr>
      <w:spacing w:line="400" w:lineRule="exact"/>
      <w:ind w:firstLine="200" w:firstLineChars="200"/>
    </w:pPr>
    <w:rPr>
      <w:sz w:val="24"/>
    </w:rPr>
  </w:style>
  <w:style w:type="character" w:customStyle="1" w:styleId="43">
    <w:name w:val="NormalCharacter"/>
    <w:qFormat/>
    <w:uiPriority w:val="0"/>
    <w:rPr>
      <w:kern w:val="2"/>
      <w:sz w:val="21"/>
      <w:szCs w:val="24"/>
      <w:lang w:val="en-US" w:eastAsia="zh-CN" w:bidi="ar-SA"/>
    </w:rPr>
  </w:style>
  <w:style w:type="paragraph" w:customStyle="1" w:styleId="44">
    <w:name w:val="4正文"/>
    <w:basedOn w:val="1"/>
    <w:qFormat/>
    <w:uiPriority w:val="0"/>
    <w:pPr>
      <w:widowControl w:val="0"/>
      <w:autoSpaceDE/>
      <w:autoSpaceDN/>
      <w:spacing w:before="0" w:after="0" w:line="460" w:lineRule="exact"/>
      <w:ind w:left="0" w:firstLine="3584"/>
      <w:jc w:val="both"/>
    </w:pPr>
  </w:style>
  <w:style w:type="paragraph" w:customStyle="1" w:styleId="45">
    <w:name w:val="样式 样式 左侧:  2 字符 + 左侧:  0.85 厘米 首行缩进:  2 字符1"/>
    <w:basedOn w:val="1"/>
    <w:qFormat/>
    <w:uiPriority w:val="0"/>
    <w:pPr>
      <w:ind w:left="482" w:firstLine="200" w:firstLineChars="200"/>
    </w:pPr>
    <w:rPr>
      <w:rFonts w:cs="宋体"/>
      <w:szCs w:val="20"/>
    </w:rPr>
  </w:style>
  <w:style w:type="paragraph" w:customStyle="1" w:styleId="46">
    <w:name w:val="目录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47">
    <w:name w:val="[Normal]"/>
    <w:qFormat/>
    <w:uiPriority w:val="0"/>
    <w:rPr>
      <w:rFonts w:ascii="宋体" w:hAnsi="宋体" w:eastAsia="宋体" w:cs="Times New Roman"/>
      <w:sz w:val="24"/>
      <w:szCs w:val="22"/>
      <w:lang w:val="zh-CN" w:eastAsia="zh-CN" w:bidi="ar-SA"/>
    </w:rPr>
  </w:style>
  <w:style w:type="paragraph" w:customStyle="1" w:styleId="48">
    <w:name w:val="_Style 2"/>
    <w:basedOn w:val="1"/>
    <w:qFormat/>
    <w:uiPriority w:val="0"/>
    <w:pPr>
      <w:ind w:firstLine="200" w:firstLineChars="200"/>
    </w:pPr>
    <w:rPr>
      <w:rFonts w:ascii="Calibri" w:hAnsi="Calibri"/>
      <w:sz w:val="28"/>
      <w:szCs w:val="22"/>
    </w:rPr>
  </w:style>
  <w:style w:type="character" w:customStyle="1" w:styleId="49">
    <w:name w:val="Body Text Char"/>
    <w:qFormat/>
    <w:locked/>
    <w:uiPriority w:val="0"/>
    <w:rPr>
      <w:rFonts w:ascii="宋体" w:hAnsi="Arial"/>
      <w:sz w:val="28"/>
    </w:rPr>
  </w:style>
  <w:style w:type="paragraph" w:customStyle="1" w:styleId="50">
    <w:name w:val="p0"/>
    <w:basedOn w:val="1"/>
    <w:qFormat/>
    <w:uiPriority w:val="0"/>
    <w:pPr>
      <w:widowControl/>
      <w:jc w:val="left"/>
    </w:pPr>
    <w:rPr>
      <w:rFonts w:ascii="宋体" w:hAnsi="宋体" w:cs="宋体"/>
      <w:kern w:val="0"/>
      <w:sz w:val="18"/>
      <w:szCs w:val="18"/>
    </w:rPr>
  </w:style>
  <w:style w:type="paragraph" w:customStyle="1" w:styleId="51">
    <w:name w:val="Body 1"/>
    <w:qFormat/>
    <w:uiPriority w:val="0"/>
    <w:pPr>
      <w:outlineLvl w:val="0"/>
    </w:pPr>
    <w:rPr>
      <w:rFonts w:ascii="Helvetica" w:hAnsi="Helvetica" w:eastAsia="ヒラギノ角ゴ Pro W3" w:cs="Times New Roman"/>
      <w:color w:val="000000"/>
      <w:sz w:val="22"/>
      <w:lang w:val="en-US" w:eastAsia="zh-CN" w:bidi="ar-SA"/>
    </w:rPr>
  </w:style>
  <w:style w:type="paragraph" w:customStyle="1" w:styleId="52">
    <w:name w:val="WPS Plain"/>
    <w:qFormat/>
    <w:uiPriority w:val="0"/>
    <w:rPr>
      <w:rFonts w:ascii="Times New Roman" w:hAnsi="Times New Roman" w:eastAsia="宋体" w:cs="Times New Roman"/>
      <w:lang w:val="en-US" w:eastAsia="zh-CN" w:bidi="ar-SA"/>
    </w:rPr>
  </w:style>
  <w:style w:type="paragraph" w:styleId="53">
    <w:name w:val="List Paragraph"/>
    <w:basedOn w:val="1"/>
    <w:qFormat/>
    <w:uiPriority w:val="0"/>
    <w:pPr>
      <w:spacing w:line="360" w:lineRule="auto"/>
      <w:ind w:firstLine="420" w:firstLineChars="200"/>
    </w:pPr>
    <w:rPr>
      <w:rFonts w:ascii="宋体" w:hAnsi="宋体" w:cs="宋体"/>
      <w:sz w:val="24"/>
    </w:rPr>
  </w:style>
  <w:style w:type="paragraph" w:customStyle="1" w:styleId="54">
    <w:name w:val="Char"/>
    <w:basedOn w:val="1"/>
    <w:next w:val="1"/>
    <w:qFormat/>
    <w:uiPriority w:val="0"/>
    <w:pPr>
      <w:widowControl/>
      <w:spacing w:line="360" w:lineRule="auto"/>
      <w:jc w:val="left"/>
    </w:pPr>
    <w:rPr>
      <w:kern w:val="0"/>
      <w:szCs w:val="20"/>
      <w:lang w:eastAsia="en-US"/>
    </w:rPr>
  </w:style>
  <w:style w:type="paragraph" w:customStyle="1" w:styleId="55">
    <w:name w:val="正文1"/>
    <w:qFormat/>
    <w:uiPriority w:val="0"/>
    <w:rPr>
      <w:rFonts w:ascii="Calibri" w:hAnsi="Calibri" w:eastAsia="Times New Roman" w:cs="Times New Roman"/>
      <w:sz w:val="24"/>
      <w:szCs w:val="24"/>
      <w:lang w:val="en-US" w:eastAsia="zh-CN" w:bidi="ar-SA"/>
    </w:rPr>
  </w:style>
  <w:style w:type="paragraph" w:customStyle="1" w:styleId="56">
    <w:name w:val="样式 左侧:  0 厘米 悬挂缩进: 2.5 字符"/>
    <w:basedOn w:val="1"/>
    <w:qFormat/>
    <w:uiPriority w:val="0"/>
    <w:pPr>
      <w:ind w:left="525" w:hanging="525" w:hangingChars="250"/>
    </w:pPr>
    <w:rPr>
      <w:szCs w:val="20"/>
    </w:rPr>
  </w:style>
  <w:style w:type="paragraph" w:customStyle="1" w:styleId="57">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58">
    <w:name w:val="图例"/>
    <w:basedOn w:val="1"/>
    <w:qFormat/>
    <w:uiPriority w:val="0"/>
    <w:pPr>
      <w:spacing w:before="120" w:beforeLines="0" w:after="120" w:afterLines="0" w:line="360" w:lineRule="auto"/>
      <w:jc w:val="center"/>
    </w:pPr>
    <w:rPr>
      <w:rFonts w:eastAsia="仿宋_GB2312"/>
      <w:b/>
      <w:sz w:val="24"/>
    </w:rPr>
  </w:style>
  <w:style w:type="paragraph" w:customStyle="1" w:styleId="59">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paragraph" w:customStyle="1" w:styleId="60">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61">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62">
    <w:name w:val="列出段落1"/>
    <w:basedOn w:val="1"/>
    <w:qFormat/>
    <w:uiPriority w:val="0"/>
    <w:pPr>
      <w:ind w:firstLine="420" w:firstLineChars="200"/>
    </w:pPr>
    <w:rPr>
      <w:rFonts w:ascii="Calibri" w:hAnsi="Calibri"/>
      <w:szCs w:val="22"/>
    </w:rPr>
  </w:style>
  <w:style w:type="paragraph" w:customStyle="1" w:styleId="63">
    <w:name w:val="Table Paragraph"/>
    <w:basedOn w:val="1"/>
    <w:qFormat/>
    <w:uiPriority w:val="1"/>
  </w:style>
  <w:style w:type="character" w:customStyle="1" w:styleId="64">
    <w:name w:val="font21"/>
    <w:basedOn w:val="27"/>
    <w:qFormat/>
    <w:uiPriority w:val="0"/>
    <w:rPr>
      <w:rFonts w:hint="eastAsia" w:ascii="宋体" w:hAnsi="宋体" w:eastAsia="宋体" w:cs="宋体"/>
      <w:color w:val="000000"/>
      <w:sz w:val="20"/>
      <w:szCs w:val="20"/>
      <w:u w:val="none"/>
    </w:rPr>
  </w:style>
  <w:style w:type="character" w:customStyle="1" w:styleId="65">
    <w:name w:val="font31"/>
    <w:basedOn w:val="27"/>
    <w:qFormat/>
    <w:uiPriority w:val="0"/>
    <w:rPr>
      <w:rFonts w:hint="eastAsia" w:ascii="宋体" w:hAnsi="宋体" w:eastAsia="宋体" w:cs="宋体"/>
      <w:color w:val="FF0000"/>
      <w:sz w:val="20"/>
      <w:szCs w:val="20"/>
      <w:u w:val="none"/>
    </w:rPr>
  </w:style>
  <w:style w:type="character" w:customStyle="1" w:styleId="66">
    <w:name w:val="font01"/>
    <w:basedOn w:val="27"/>
    <w:qFormat/>
    <w:uiPriority w:val="0"/>
    <w:rPr>
      <w:rFonts w:ascii="宋体" w:hAnsi="宋体" w:eastAsia="宋体" w:cs="宋体"/>
      <w:color w:val="000000"/>
      <w:sz w:val="20"/>
      <w:szCs w:val="20"/>
      <w:u w:val="none"/>
    </w:rPr>
  </w:style>
  <w:style w:type="paragraph" w:customStyle="1" w:styleId="67">
    <w:name w:val="标题 5（有编号）（绿盟科技）"/>
    <w:basedOn w:val="1"/>
    <w:next w:val="68"/>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68">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9">
    <w:name w:val="BodyText"/>
    <w:basedOn w:val="1"/>
    <w:next w:val="1"/>
    <w:qFormat/>
    <w:uiPriority w:val="0"/>
    <w:pPr>
      <w:spacing w:after="120"/>
      <w:jc w:val="both"/>
      <w:textAlignment w:val="baseline"/>
    </w:pPr>
  </w:style>
  <w:style w:type="paragraph" w:customStyle="1" w:styleId="70">
    <w:name w:val="Normal_1"/>
    <w:qFormat/>
    <w:uiPriority w:val="0"/>
    <w:rPr>
      <w:rFonts w:ascii="Times New Roman" w:hAnsi="Times New Roman" w:eastAsia="Times New Roman" w:cs="Times New Roman"/>
      <w:sz w:val="24"/>
      <w:szCs w:val="24"/>
      <w:lang w:val="en-US" w:eastAsia="zh-CN" w:bidi="ar-SA"/>
    </w:rPr>
  </w:style>
  <w:style w:type="paragraph" w:customStyle="1" w:styleId="71">
    <w:name w:val="WPSOffice手动目录 1"/>
    <w:qFormat/>
    <w:uiPriority w:val="0"/>
    <w:pPr>
      <w:ind w:leftChars="0"/>
    </w:pPr>
    <w:rPr>
      <w:rFonts w:ascii="Times New Roman" w:hAnsi="Times New Roman" w:eastAsia="宋体" w:cs="Times New Roman"/>
      <w:sz w:val="20"/>
      <w:szCs w:val="20"/>
    </w:rPr>
  </w:style>
  <w:style w:type="character" w:customStyle="1" w:styleId="72">
    <w:name w:val="bookmark-item"/>
    <w:basedOn w:val="27"/>
    <w:qFormat/>
    <w:uiPriority w:val="0"/>
  </w:style>
  <w:style w:type="paragraph" w:customStyle="1" w:styleId="73">
    <w:name w:val="Table Text"/>
    <w:basedOn w:val="1"/>
    <w:semiHidden/>
    <w:qFormat/>
    <w:uiPriority w:val="0"/>
    <w:rPr>
      <w:rFonts w:ascii="宋体" w:hAnsi="宋体" w:eastAsia="宋体" w:cs="宋体"/>
      <w:sz w:val="24"/>
      <w:szCs w:val="24"/>
      <w:lang w:val="en-US" w:eastAsia="en-US" w:bidi="ar-SA"/>
    </w:rPr>
  </w:style>
  <w:style w:type="table" w:customStyle="1" w:styleId="74">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75">
    <w:name w:val="LO-Normal"/>
    <w:qFormat/>
    <w:uiPriority w:val="0"/>
    <w:pPr>
      <w:suppressAutoHyphens/>
    </w:pPr>
    <w:rPr>
      <w:rFonts w:ascii="Times New Roman" w:hAnsi="Times New Roman" w:eastAsia="宋体" w:cs="Times New Roman"/>
      <w:sz w:val="24"/>
      <w:szCs w:val="24"/>
      <w:lang w:val="en-US" w:eastAsia="zh-CN" w:bidi="ar-SA"/>
    </w:rPr>
  </w:style>
  <w:style w:type="paragraph" w:customStyle="1" w:styleId="76">
    <w:name w:val="正文文本缩进_0_0"/>
    <w:basedOn w:val="77"/>
    <w:qFormat/>
    <w:uiPriority w:val="0"/>
    <w:pPr>
      <w:spacing w:line="500" w:lineRule="exact"/>
      <w:ind w:left="1588" w:firstLine="433"/>
    </w:pPr>
    <w:rPr>
      <w:rFonts w:ascii="Calibri" w:hAnsi="Calibri" w:cs="Calibri"/>
      <w:sz w:val="24"/>
      <w:szCs w:val="24"/>
    </w:rPr>
  </w:style>
  <w:style w:type="paragraph" w:customStyle="1" w:styleId="77">
    <w:name w:val="正文_3_0"/>
    <w:qFormat/>
    <w:uiPriority w:val="0"/>
    <w:pPr>
      <w:widowControl w:val="0"/>
      <w:suppressAutoHyphens/>
      <w:jc w:val="both"/>
    </w:pPr>
    <w:rPr>
      <w:rFonts w:ascii="Times New Roman" w:hAnsi="Times New Roman" w:eastAsia="宋体;SimSun" w:cs="Times New Roman"/>
      <w:kern w:val="2"/>
      <w:sz w:val="21"/>
      <w:szCs w:val="21"/>
      <w:lang w:val="en-US" w:eastAsia="zh-CN" w:bidi="ar-SA"/>
    </w:rPr>
  </w:style>
  <w:style w:type="paragraph" w:customStyle="1" w:styleId="78">
    <w:name w:val="正"/>
    <w:basedOn w:val="79"/>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79">
    <w:name w:val="正文_1"/>
    <w:next w:val="78"/>
    <w:qFormat/>
    <w:uiPriority w:val="0"/>
    <w:pPr>
      <w:widowControl w:val="0"/>
      <w:suppressAutoHyphens/>
      <w:jc w:val="both"/>
    </w:pPr>
    <w:rPr>
      <w:rFonts w:ascii="Calibri" w:hAnsi="Calibri" w:eastAsia="宋体;SimSun" w:cs="Calibri"/>
      <w:kern w:val="2"/>
      <w:sz w:val="21"/>
      <w:szCs w:val="21"/>
      <w:lang w:val="en-US" w:eastAsia="zh-CN" w:bidi="ar-SA"/>
    </w:rPr>
  </w:style>
  <w:style w:type="paragraph" w:customStyle="1" w:styleId="80">
    <w:name w:val="目录 81"/>
    <w:basedOn w:val="1"/>
    <w:next w:val="1"/>
    <w:qFormat/>
    <w:uiPriority w:val="0"/>
    <w:pPr>
      <w:ind w:left="1470"/>
      <w:jc w:val="left"/>
    </w:pPr>
    <w:rPr>
      <w:szCs w:val="21"/>
    </w:rPr>
  </w:style>
  <w:style w:type="paragraph" w:customStyle="1" w:styleId="81">
    <w:name w:val="Default Tex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MSCD龙帝国技术社区 Htpp://Bbs.Mscode.Cc</Company>
  <Pages>75</Pages>
  <Words>16970</Words>
  <Characters>18471</Characters>
  <Lines>310</Lines>
  <Paragraphs>87</Paragraphs>
  <TotalTime>78</TotalTime>
  <ScaleCrop>false</ScaleCrop>
  <LinksUpToDate>false</LinksUpToDate>
  <CharactersWithSpaces>18785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2014-07-12T00:56:00Z</dcterms:created>
  <dc:creator>陈倩倩</dc:creator>
  <cp:lastModifiedBy>喂 康康啊</cp:lastModifiedBy>
  <cp:lastPrinted>2026-01-23T10:17:00Z</cp:lastPrinted>
  <dcterms:modified xsi:type="dcterms:W3CDTF">2026-10-21T12:18:56Z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866D7B3B0CF14ABEB596CBD2B8B3FB16_13</vt:lpwstr>
  </property>
  <property fmtid="{D5CDD505-2E9C-101B-9397-08002B2CF9AE}" pid="4" name="KSOTemplateDocerSaveRecord">
    <vt:lpwstr>eyJoZGlkIjoiM2MzYjNiODY1ZTU5MWEwOGRiNGQ4YzZlZWQxZjUyMDIiLCJ1c2VySWQiOiI2OTMzODcwNjQifQ==</vt:lpwstr>
  </property>
</Properties>
</file>