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9F7F1">
      <w:pPr>
        <w:pStyle w:val="31"/>
        <w:spacing w:line="7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44"/>
          <w:szCs w:val="44"/>
          <w:highlight w:val="none"/>
          <w:lang w:val="en-US" w:eastAsia="zh-CN"/>
        </w:rPr>
        <w:t>阿图什市松他克镇中心学校新建改扩建项目（设备采购）</w:t>
      </w:r>
    </w:p>
    <w:p w14:paraId="66187153">
      <w:pPr>
        <w:pStyle w:val="31"/>
        <w:spacing w:line="760" w:lineRule="exact"/>
        <w:jc w:val="center"/>
        <w:rPr>
          <w:rFonts w:hint="default" w:ascii="宋体" w:hAnsi="宋体" w:eastAsia="宋体" w:cs="宋体"/>
          <w:color w:val="auto"/>
          <w:highlight w:val="none"/>
          <w:lang w:val="en-US" w:eastAsia="zh-CN"/>
        </w:rPr>
      </w:pPr>
      <w:r>
        <w:rPr>
          <w:rFonts w:hint="eastAsia" w:ascii="宋体" w:hAnsi="宋体" w:eastAsia="宋体" w:cs="宋体"/>
          <w:b/>
          <w:bCs/>
          <w:color w:val="auto"/>
          <w:sz w:val="36"/>
          <w:szCs w:val="36"/>
          <w:highlight w:val="none"/>
        </w:rPr>
        <w:t>项目编号：</w:t>
      </w:r>
      <w:r>
        <w:rPr>
          <w:rFonts w:hint="eastAsia" w:hAnsi="宋体" w:cs="宋体"/>
          <w:b/>
          <w:bCs/>
          <w:color w:val="auto"/>
          <w:sz w:val="36"/>
          <w:szCs w:val="36"/>
          <w:highlight w:val="none"/>
          <w:lang w:val="en-US" w:eastAsia="zh-CN"/>
        </w:rPr>
        <w:t>ATSJXZX-CG-2026126</w:t>
      </w:r>
    </w:p>
    <w:p w14:paraId="4C8E6EF2">
      <w:pPr>
        <w:pStyle w:val="31"/>
        <w:rPr>
          <w:rFonts w:hint="eastAsia" w:ascii="宋体" w:hAnsi="宋体" w:eastAsia="宋体" w:cs="宋体"/>
          <w:color w:val="auto"/>
          <w:highlight w:val="none"/>
        </w:rPr>
      </w:pPr>
    </w:p>
    <w:p w14:paraId="2E9536B1">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color w:val="auto"/>
          <w:sz w:val="96"/>
          <w:szCs w:val="96"/>
          <w:highlight w:val="none"/>
          <w:lang w:eastAsia="zh-CN"/>
        </w:rPr>
        <w:t>谈</w:t>
      </w:r>
    </w:p>
    <w:p w14:paraId="0BE008BC">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bCs/>
          <w:color w:val="auto"/>
          <w:sz w:val="96"/>
          <w:szCs w:val="96"/>
          <w:highlight w:val="none"/>
          <w:lang w:eastAsia="zh-CN"/>
        </w:rPr>
        <w:t>判</w:t>
      </w:r>
    </w:p>
    <w:p w14:paraId="093E4726">
      <w:pPr>
        <w:pStyle w:val="31"/>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文</w:t>
      </w:r>
    </w:p>
    <w:p w14:paraId="5470F8C6">
      <w:pPr>
        <w:pStyle w:val="31"/>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件</w:t>
      </w:r>
    </w:p>
    <w:p w14:paraId="5A299BB5">
      <w:pPr>
        <w:pStyle w:val="31"/>
        <w:jc w:val="center"/>
        <w:rPr>
          <w:rFonts w:hint="default" w:ascii="宋体" w:hAnsi="宋体" w:eastAsia="宋体" w:cs="宋体"/>
          <w:b/>
          <w:bCs/>
          <w:color w:val="auto"/>
          <w:sz w:val="60"/>
          <w:szCs w:val="60"/>
          <w:highlight w:val="none"/>
          <w:lang w:val="en-US" w:eastAsia="zh-CN"/>
        </w:rPr>
      </w:pPr>
      <w:r>
        <w:rPr>
          <w:rFonts w:hint="eastAsia" w:hAnsi="宋体" w:cs="宋体"/>
          <w:b/>
          <w:bCs/>
          <w:color w:val="auto"/>
          <w:sz w:val="60"/>
          <w:szCs w:val="60"/>
          <w:highlight w:val="none"/>
          <w:lang w:eastAsia="zh-CN"/>
        </w:rPr>
        <w:t>（</w:t>
      </w:r>
      <w:r>
        <w:rPr>
          <w:rFonts w:hint="eastAsia" w:hAnsi="宋体" w:cs="宋体"/>
          <w:b/>
          <w:bCs/>
          <w:color w:val="auto"/>
          <w:sz w:val="60"/>
          <w:szCs w:val="60"/>
          <w:highlight w:val="none"/>
          <w:lang w:val="en-US" w:eastAsia="zh-CN"/>
        </w:rPr>
        <w:t>二次澄清文件）</w:t>
      </w:r>
    </w:p>
    <w:p w14:paraId="54DB03D6">
      <w:pPr>
        <w:pStyle w:val="31"/>
        <w:rPr>
          <w:rFonts w:hint="eastAsia" w:ascii="宋体" w:hAnsi="宋体" w:eastAsia="宋体" w:cs="宋体"/>
          <w:color w:val="auto"/>
          <w:highlight w:val="none"/>
        </w:rPr>
      </w:pPr>
    </w:p>
    <w:p w14:paraId="43DCDCCC">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采购单位：阿图什市教育局</w:t>
      </w:r>
    </w:p>
    <w:p w14:paraId="21375DCB">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联</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系</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lang w:val="en-US" w:eastAsia="zh-CN"/>
        </w:rPr>
        <w:t>沙先生</w:t>
      </w:r>
    </w:p>
    <w:p w14:paraId="5ACEBBB8">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联系电话：18199726032</w:t>
      </w:r>
    </w:p>
    <w:p w14:paraId="14179FCE">
      <w:pPr>
        <w:spacing w:line="700" w:lineRule="exac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新疆融联通达工程项目管理有限公司</w:t>
      </w:r>
    </w:p>
    <w:p w14:paraId="5C5F1769">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联 系 人：</w:t>
      </w:r>
      <w:r>
        <w:rPr>
          <w:rFonts w:hint="eastAsia" w:ascii="宋体" w:hAnsi="宋体" w:eastAsia="宋体" w:cs="宋体"/>
          <w:b/>
          <w:bCs/>
          <w:color w:val="auto"/>
          <w:sz w:val="32"/>
          <w:szCs w:val="32"/>
          <w:highlight w:val="none"/>
          <w:lang w:val="en-US" w:eastAsia="zh-CN"/>
        </w:rPr>
        <w:t>张先生</w:t>
      </w:r>
    </w:p>
    <w:p w14:paraId="6EAF0340">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 xml:space="preserve">联系电话: </w:t>
      </w:r>
      <w:r>
        <w:rPr>
          <w:rFonts w:hint="eastAsia" w:ascii="宋体" w:hAnsi="宋体" w:eastAsia="宋体" w:cs="宋体"/>
          <w:b/>
          <w:bCs/>
          <w:color w:val="auto"/>
          <w:sz w:val="32"/>
          <w:szCs w:val="32"/>
          <w:highlight w:val="none"/>
          <w:lang w:val="en-US" w:eastAsia="zh-CN"/>
        </w:rPr>
        <w:t>13909955772</w:t>
      </w:r>
    </w:p>
    <w:p w14:paraId="0AD0C5E8">
      <w:pPr>
        <w:pStyle w:val="32"/>
        <w:spacing w:before="0" w:line="360" w:lineRule="auto"/>
        <w:jc w:val="center"/>
        <w:rPr>
          <w:rFonts w:hint="eastAsia" w:ascii="仿宋" w:hAnsi="仿宋" w:eastAsia="仿宋" w:cs="仿宋"/>
          <w:color w:val="auto"/>
          <w:sz w:val="44"/>
          <w:szCs w:val="44"/>
          <w:highlight w:val="none"/>
          <w:lang w:val="zh-CN"/>
        </w:rPr>
      </w:pPr>
    </w:p>
    <w:p w14:paraId="32257103">
      <w:pPr>
        <w:pStyle w:val="32"/>
        <w:spacing w:before="0" w:line="360" w:lineRule="auto"/>
        <w:jc w:val="center"/>
        <w:rPr>
          <w:rFonts w:ascii="仿宋" w:hAnsi="仿宋" w:eastAsia="仿宋" w:cs="仿宋"/>
          <w:color w:val="auto"/>
          <w:sz w:val="44"/>
          <w:szCs w:val="44"/>
          <w:highlight w:val="none"/>
          <w:lang w:val="zh-CN"/>
        </w:rPr>
      </w:pPr>
      <w:r>
        <w:rPr>
          <w:rFonts w:hint="eastAsia" w:ascii="仿宋" w:hAnsi="仿宋" w:eastAsia="仿宋" w:cs="仿宋"/>
          <w:color w:val="auto"/>
          <w:sz w:val="44"/>
          <w:szCs w:val="44"/>
          <w:highlight w:val="none"/>
          <w:lang w:val="zh-CN"/>
        </w:rPr>
        <w:t>目    录</w:t>
      </w:r>
    </w:p>
    <w:p w14:paraId="3EA9D809">
      <w:pPr>
        <w:rPr>
          <w:rFonts w:ascii="仿宋" w:hAnsi="仿宋" w:eastAsia="仿宋" w:cs="仿宋"/>
          <w:color w:val="auto"/>
          <w:sz w:val="30"/>
          <w:szCs w:val="30"/>
          <w:highlight w:val="none"/>
          <w:lang w:val="zh-CN"/>
        </w:rPr>
      </w:pPr>
    </w:p>
    <w:p w14:paraId="4C0C649E">
      <w:pPr>
        <w:spacing w:line="360" w:lineRule="auto"/>
        <w:rPr>
          <w:rFonts w:ascii="仿宋" w:hAnsi="仿宋" w:eastAsia="仿宋" w:cs="仿宋"/>
          <w:color w:val="auto"/>
          <w:sz w:val="30"/>
          <w:szCs w:val="30"/>
          <w:highlight w:val="none"/>
        </w:rPr>
      </w:pPr>
    </w:p>
    <w:p w14:paraId="6D4E9F3F">
      <w:pPr>
        <w:widowControl/>
        <w:rPr>
          <w:rFonts w:ascii="仿宋" w:hAnsi="仿宋" w:eastAsia="仿宋" w:cs="仿宋"/>
          <w:color w:val="auto"/>
          <w:sz w:val="30"/>
          <w:szCs w:val="30"/>
          <w:highlight w:val="none"/>
        </w:rPr>
      </w:pPr>
    </w:p>
    <w:p w14:paraId="357EE61D">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第一部分      竞争性</w:t>
      </w:r>
      <w:r>
        <w:rPr>
          <w:rFonts w:hint="eastAsia" w:ascii="仿宋" w:hAnsi="仿宋" w:eastAsia="仿宋" w:cs="仿宋"/>
          <w:b/>
          <w:color w:val="auto"/>
          <w:sz w:val="30"/>
          <w:szCs w:val="30"/>
          <w:highlight w:val="none"/>
          <w:lang w:eastAsia="zh-CN"/>
        </w:rPr>
        <w:t>谈判</w:t>
      </w:r>
      <w:r>
        <w:rPr>
          <w:rFonts w:hint="eastAsia" w:ascii="仿宋" w:hAnsi="仿宋" w:eastAsia="仿宋" w:cs="仿宋"/>
          <w:b/>
          <w:color w:val="auto"/>
          <w:sz w:val="30"/>
          <w:szCs w:val="30"/>
          <w:highlight w:val="none"/>
        </w:rPr>
        <w:t>公告</w:t>
      </w:r>
    </w:p>
    <w:p w14:paraId="70F7BE6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第二部分      供应商须知</w:t>
      </w:r>
    </w:p>
    <w:p w14:paraId="1F1EDC5A">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第三部分      </w:t>
      </w:r>
      <w:r>
        <w:rPr>
          <w:rFonts w:hint="eastAsia" w:ascii="仿宋" w:hAnsi="仿宋" w:eastAsia="仿宋" w:cs="仿宋"/>
          <w:b/>
          <w:color w:val="auto"/>
          <w:sz w:val="30"/>
          <w:szCs w:val="30"/>
          <w:highlight w:val="none"/>
          <w:lang w:eastAsia="zh-CN"/>
        </w:rPr>
        <w:t>技术要</w:t>
      </w:r>
      <w:r>
        <w:rPr>
          <w:rFonts w:hint="eastAsia" w:ascii="仿宋" w:hAnsi="仿宋" w:eastAsia="仿宋" w:cs="仿宋"/>
          <w:b/>
          <w:color w:val="auto"/>
          <w:sz w:val="30"/>
          <w:szCs w:val="30"/>
          <w:highlight w:val="none"/>
        </w:rPr>
        <w:t>求</w:t>
      </w:r>
    </w:p>
    <w:p w14:paraId="2A26323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第四部分      合同文本（参考）</w:t>
      </w:r>
    </w:p>
    <w:p w14:paraId="77CE0A73">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第五部分      响应文件格式</w:t>
      </w:r>
    </w:p>
    <w:p w14:paraId="2F870B2D">
      <w:pPr>
        <w:pStyle w:val="7"/>
        <w:numPr>
          <w:ilvl w:val="0"/>
          <w:numId w:val="0"/>
        </w:numPr>
        <w:tabs>
          <w:tab w:val="clear" w:pos="780"/>
        </w:tabs>
        <w:rPr>
          <w:rFonts w:ascii="仿宋" w:hAnsi="仿宋" w:eastAsia="仿宋" w:cs="仿宋"/>
          <w:color w:val="auto"/>
          <w:highlight w:val="none"/>
        </w:rPr>
      </w:pPr>
    </w:p>
    <w:p w14:paraId="228A3CA8">
      <w:pPr>
        <w:rPr>
          <w:rFonts w:ascii="仿宋" w:hAnsi="仿宋" w:eastAsia="仿宋" w:cs="仿宋"/>
          <w:color w:val="auto"/>
          <w:highlight w:val="none"/>
        </w:rPr>
      </w:pPr>
    </w:p>
    <w:p w14:paraId="226C8D0A">
      <w:pPr>
        <w:pStyle w:val="4"/>
        <w:rPr>
          <w:rFonts w:ascii="仿宋" w:hAnsi="仿宋" w:eastAsia="仿宋" w:cs="仿宋"/>
          <w:color w:val="auto"/>
          <w:highlight w:val="none"/>
          <w:lang w:eastAsia="zh-CN"/>
        </w:rPr>
      </w:pPr>
    </w:p>
    <w:p w14:paraId="0413E098">
      <w:pPr>
        <w:rPr>
          <w:rFonts w:ascii="仿宋" w:hAnsi="仿宋" w:eastAsia="仿宋" w:cs="仿宋"/>
          <w:color w:val="auto"/>
          <w:highlight w:val="none"/>
        </w:rPr>
      </w:pPr>
    </w:p>
    <w:p w14:paraId="78A95C1D">
      <w:pPr>
        <w:rPr>
          <w:rFonts w:ascii="仿宋" w:hAnsi="仿宋" w:eastAsia="仿宋" w:cs="仿宋"/>
          <w:color w:val="auto"/>
          <w:highlight w:val="none"/>
        </w:rPr>
      </w:pPr>
    </w:p>
    <w:p w14:paraId="6733200B">
      <w:pPr>
        <w:pStyle w:val="4"/>
        <w:rPr>
          <w:rFonts w:ascii="仿宋" w:hAnsi="仿宋" w:eastAsia="仿宋" w:cs="仿宋"/>
          <w:color w:val="auto"/>
          <w:highlight w:val="none"/>
        </w:rPr>
      </w:pPr>
    </w:p>
    <w:p w14:paraId="7BD393DC">
      <w:pPr>
        <w:rPr>
          <w:rFonts w:ascii="仿宋" w:hAnsi="仿宋" w:eastAsia="仿宋" w:cs="仿宋"/>
          <w:color w:val="auto"/>
          <w:highlight w:val="none"/>
        </w:rPr>
      </w:pPr>
    </w:p>
    <w:p w14:paraId="7BDE26FC">
      <w:pPr>
        <w:pStyle w:val="4"/>
        <w:rPr>
          <w:rFonts w:ascii="仿宋" w:hAnsi="仿宋" w:eastAsia="仿宋" w:cs="仿宋"/>
          <w:color w:val="auto"/>
          <w:highlight w:val="none"/>
        </w:rPr>
      </w:pPr>
    </w:p>
    <w:p w14:paraId="1F0A8037">
      <w:pPr>
        <w:rPr>
          <w:rFonts w:ascii="仿宋" w:hAnsi="仿宋" w:eastAsia="仿宋" w:cs="仿宋"/>
          <w:color w:val="auto"/>
          <w:highlight w:val="none"/>
        </w:rPr>
      </w:pPr>
    </w:p>
    <w:p w14:paraId="2570DF32">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p>
    <w:p w14:paraId="4D911F7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751B4007">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sectPr>
          <w:footerReference r:id="rId3" w:type="default"/>
          <w:pgSz w:w="11905" w:h="16838"/>
          <w:pgMar w:top="1417" w:right="1417" w:bottom="1134" w:left="1417" w:header="850" w:footer="992" w:gutter="0"/>
          <w:pgNumType w:fmt="decimal" w:start="1"/>
          <w:cols w:space="0" w:num="1"/>
          <w:rtlGutter w:val="0"/>
          <w:docGrid w:type="linesAndChars" w:linePitch="332" w:charSpace="1057"/>
        </w:sectPr>
      </w:pPr>
    </w:p>
    <w:p w14:paraId="4E8B0454">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第一部分</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lang w:eastAsia="zh-CN"/>
        </w:rPr>
        <w:t>竞争性谈判公告</w:t>
      </w:r>
      <w:bookmarkStart w:id="0" w:name="_Toc28359001"/>
      <w:bookmarkStart w:id="1" w:name="_Toc35393789"/>
    </w:p>
    <w:bookmarkEnd w:id="0"/>
    <w:bookmarkEnd w:id="1"/>
    <w:p w14:paraId="119438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新宋体" w:hAnsi="新宋体" w:eastAsia="新宋体" w:cs="新宋体"/>
          <w:b/>
          <w:bCs/>
          <w:color w:val="auto"/>
          <w:kern w:val="0"/>
          <w:sz w:val="36"/>
          <w:szCs w:val="36"/>
          <w:highlight w:val="none"/>
          <w:u w:val="none"/>
          <w:lang w:val="en-US" w:eastAsia="zh-CN" w:bidi="ar"/>
        </w:rPr>
      </w:pPr>
      <w:r>
        <w:rPr>
          <w:rFonts w:hint="eastAsia" w:ascii="新宋体" w:hAnsi="新宋体" w:eastAsia="新宋体" w:cs="新宋体"/>
          <w:b/>
          <w:bCs/>
          <w:color w:val="auto"/>
          <w:kern w:val="0"/>
          <w:sz w:val="36"/>
          <w:szCs w:val="36"/>
          <w:highlight w:val="none"/>
          <w:u w:val="none"/>
          <w:lang w:val="en-US" w:eastAsia="zh-CN" w:bidi="ar"/>
        </w:rPr>
        <w:t>阿图什市松他克镇中心学校新建改扩建项目（设备采购）</w:t>
      </w:r>
    </w:p>
    <w:p w14:paraId="09E777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default" w:ascii="Times New Roman" w:hAnsi="Times New Roman" w:cs="Times New Roman"/>
          <w:i w:val="0"/>
          <w:iCs w:val="0"/>
          <w:caps w:val="0"/>
          <w:color w:val="auto"/>
          <w:spacing w:val="0"/>
          <w:sz w:val="28"/>
          <w:szCs w:val="28"/>
          <w:highlight w:val="none"/>
        </w:rPr>
      </w:pPr>
      <w:r>
        <w:rPr>
          <w:rFonts w:hint="eastAsia" w:ascii="新宋体" w:hAnsi="新宋体" w:eastAsia="新宋体" w:cs="新宋体"/>
          <w:b/>
          <w:bCs/>
          <w:color w:val="auto"/>
          <w:kern w:val="0"/>
          <w:sz w:val="36"/>
          <w:szCs w:val="36"/>
          <w:highlight w:val="none"/>
          <w:u w:val="none"/>
          <w:lang w:val="en-US" w:eastAsia="zh-CN" w:bidi="ar"/>
        </w:rPr>
        <w:t>竞争性谈判公告</w:t>
      </w:r>
    </w:p>
    <w:tbl>
      <w:tblPr>
        <w:tblStyle w:val="48"/>
        <w:tblW w:w="853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534"/>
      </w:tblGrid>
      <w:tr w14:paraId="2BFADA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31" w:hRule="atLeast"/>
        </w:trPr>
        <w:tc>
          <w:tcPr>
            <w:tcW w:w="8534" w:type="dxa"/>
            <w:vAlign w:val="top"/>
          </w:tcPr>
          <w:p w14:paraId="4D821129">
            <w:pPr>
              <w:pStyle w:val="47"/>
              <w:spacing w:before="58" w:line="188" w:lineRule="auto"/>
              <w:ind w:left="125"/>
              <w:rPr>
                <w:color w:val="auto"/>
              </w:rPr>
            </w:pPr>
            <w:r>
              <w:rPr>
                <w:b/>
                <w:bCs/>
                <w:color w:val="auto"/>
                <w:spacing w:val="-4"/>
              </w:rPr>
              <w:t>项目概况</w:t>
            </w:r>
          </w:p>
          <w:p w14:paraId="1E55CDDE">
            <w:pPr>
              <w:pStyle w:val="47"/>
              <w:spacing w:before="31" w:line="196" w:lineRule="auto"/>
              <w:ind w:left="127" w:right="109" w:firstLine="485"/>
              <w:jc w:val="both"/>
              <w:rPr>
                <w:color w:val="auto"/>
              </w:rPr>
            </w:pPr>
            <w:r>
              <w:rPr>
                <w:rFonts w:hint="eastAsia"/>
                <w:color w:val="auto"/>
                <w:spacing w:val="3"/>
                <w:lang w:val="en-US" w:eastAsia="zh-CN"/>
              </w:rPr>
              <w:t>阿图什市松他克镇中心学校新建改扩建项目（设备采购）</w:t>
            </w:r>
            <w:r>
              <w:rPr>
                <w:color w:val="auto"/>
                <w:spacing w:val="3"/>
              </w:rPr>
              <w:t>的</w:t>
            </w:r>
            <w:r>
              <w:rPr>
                <w:color w:val="auto"/>
                <w:spacing w:val="-9"/>
              </w:rPr>
              <w:t>潜在投标人应在政采云平台获取招标文件，并于202</w:t>
            </w:r>
            <w:r>
              <w:rPr>
                <w:rFonts w:hint="eastAsia"/>
                <w:color w:val="auto"/>
                <w:spacing w:val="-9"/>
                <w:lang w:val="en-US" w:eastAsia="zh-CN"/>
              </w:rPr>
              <w:t>6</w:t>
            </w:r>
            <w:r>
              <w:rPr>
                <w:color w:val="auto"/>
                <w:spacing w:val="-9"/>
              </w:rPr>
              <w:t>年</w:t>
            </w:r>
            <w:r>
              <w:rPr>
                <w:rFonts w:hint="eastAsia"/>
                <w:color w:val="auto"/>
                <w:spacing w:val="-9"/>
                <w:lang w:val="en-US" w:eastAsia="zh-CN"/>
              </w:rPr>
              <w:t>10</w:t>
            </w:r>
            <w:r>
              <w:rPr>
                <w:color w:val="auto"/>
                <w:spacing w:val="-10"/>
              </w:rPr>
              <w:t>月</w:t>
            </w:r>
            <w:r>
              <w:rPr>
                <w:rFonts w:hint="eastAsia"/>
                <w:color w:val="auto"/>
                <w:spacing w:val="-10"/>
                <w:lang w:val="en-US" w:eastAsia="zh-CN"/>
              </w:rPr>
              <w:t>26</w:t>
            </w:r>
            <w:r>
              <w:rPr>
                <w:color w:val="auto"/>
                <w:spacing w:val="-10"/>
              </w:rPr>
              <w:t>日1</w:t>
            </w:r>
            <w:r>
              <w:rPr>
                <w:rFonts w:hint="eastAsia"/>
                <w:color w:val="auto"/>
                <w:spacing w:val="-10"/>
                <w:lang w:val="en-US" w:eastAsia="zh-CN"/>
              </w:rPr>
              <w:t>0</w:t>
            </w:r>
            <w:r>
              <w:rPr>
                <w:color w:val="auto"/>
                <w:spacing w:val="-10"/>
              </w:rPr>
              <w:t>点</w:t>
            </w:r>
            <w:r>
              <w:rPr>
                <w:rFonts w:hint="eastAsia"/>
                <w:color w:val="auto"/>
                <w:spacing w:val="-10"/>
                <w:lang w:val="en-US" w:eastAsia="zh-CN"/>
              </w:rPr>
              <w:t>15</w:t>
            </w:r>
            <w:r>
              <w:rPr>
                <w:color w:val="auto"/>
                <w:spacing w:val="-4"/>
              </w:rPr>
              <w:t>分（北京时间）前上传</w:t>
            </w:r>
            <w:r>
              <w:rPr>
                <w:rFonts w:hint="eastAsia"/>
                <w:color w:val="auto"/>
                <w:spacing w:val="-4"/>
                <w:lang w:val="en-US" w:eastAsia="zh-CN"/>
              </w:rPr>
              <w:t>响应</w:t>
            </w:r>
            <w:r>
              <w:rPr>
                <w:color w:val="auto"/>
                <w:spacing w:val="-4"/>
              </w:rPr>
              <w:t>文件。</w:t>
            </w:r>
          </w:p>
        </w:tc>
      </w:tr>
    </w:tbl>
    <w:p w14:paraId="59C8029A">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right="0"/>
        <w:jc w:val="both"/>
        <w:textAlignment w:val="auto"/>
        <w:rPr>
          <w:rFonts w:hint="eastAsia" w:ascii="新宋体" w:hAnsi="新宋体" w:eastAsia="新宋体" w:cs="新宋体"/>
          <w:b/>
          <w:bCs/>
          <w:i w:val="0"/>
          <w:caps w:val="0"/>
          <w:color w:val="auto"/>
          <w:spacing w:val="0"/>
          <w:sz w:val="21"/>
          <w:szCs w:val="21"/>
          <w:highlight w:val="none"/>
        </w:rPr>
      </w:pPr>
    </w:p>
    <w:p w14:paraId="52050BD6">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30" w:firstLineChars="200"/>
        <w:jc w:val="both"/>
        <w:textAlignment w:val="auto"/>
        <w:rPr>
          <w:rFonts w:hint="eastAsia" w:ascii="新宋体" w:hAnsi="新宋体" w:eastAsia="新宋体" w:cs="新宋体"/>
          <w:b/>
          <w:bCs/>
          <w:i w:val="0"/>
          <w:caps w:val="0"/>
          <w:color w:val="auto"/>
          <w:spacing w:val="0"/>
          <w:sz w:val="21"/>
          <w:szCs w:val="21"/>
          <w:highlight w:val="none"/>
        </w:rPr>
      </w:pPr>
      <w:r>
        <w:rPr>
          <w:rFonts w:hint="eastAsia" w:ascii="新宋体" w:hAnsi="新宋体" w:eastAsia="新宋体" w:cs="新宋体"/>
          <w:b/>
          <w:bCs/>
          <w:i w:val="0"/>
          <w:caps w:val="0"/>
          <w:color w:val="auto"/>
          <w:spacing w:val="0"/>
          <w:sz w:val="21"/>
          <w:szCs w:val="21"/>
          <w:highlight w:val="none"/>
        </w:rPr>
        <w:t>一、项目基本情况</w:t>
      </w:r>
    </w:p>
    <w:p w14:paraId="0F15D62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项目编号：ATSJXZX-CG-2026126</w:t>
      </w:r>
    </w:p>
    <w:p w14:paraId="67CBC23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项目名称：阿图什市松他克镇中心学校新建改扩建项目（设备采购）</w:t>
      </w:r>
    </w:p>
    <w:p w14:paraId="325D62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采购方式：竞争性谈判</w:t>
      </w:r>
    </w:p>
    <w:p w14:paraId="030DAE6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3B3707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498862C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采购需求：</w:t>
      </w:r>
    </w:p>
    <w:p w14:paraId="05272AC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标项名称:阿图什市松他克镇中心学校新建改扩建项目（设备采购）</w:t>
      </w:r>
    </w:p>
    <w:p w14:paraId="10E2F24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数量: 1  </w:t>
      </w:r>
    </w:p>
    <w:p w14:paraId="062EA3E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10E6E53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单位：批</w:t>
      </w:r>
    </w:p>
    <w:p w14:paraId="0AC3CA1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简要规格描述或项目基本概况介绍、用途：食堂设备、监控设备、生活设备、等其他设备（数量及参数详见附表）</w:t>
      </w:r>
    </w:p>
    <w:p w14:paraId="14172B8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备注：详见竞争性谈判文件</w:t>
      </w:r>
    </w:p>
    <w:p w14:paraId="3CF303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合同履行期限：标项1，20天</w:t>
      </w:r>
    </w:p>
    <w:p w14:paraId="21963E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本项目（否）接受联合体投标</w:t>
      </w:r>
    </w:p>
    <w:p w14:paraId="6F0C6253">
      <w:pPr>
        <w:pStyle w:val="21"/>
        <w:keepNext w:val="0"/>
        <w:keepLines w:val="0"/>
        <w:pageBreakBefore w:val="0"/>
        <w:widowControl/>
        <w:suppressLineNumbers w:val="0"/>
        <w:kinsoku/>
        <w:wordWrap/>
        <w:overflowPunct/>
        <w:topLinePunct w:val="0"/>
        <w:autoSpaceDE w:val="0"/>
        <w:autoSpaceDN/>
        <w:bidi w:val="0"/>
        <w:adjustRightInd/>
        <w:snapToGrid/>
        <w:spacing w:before="255" w:beforeAutospacing="0" w:after="255" w:afterAutospacing="0" w:line="380" w:lineRule="exact"/>
        <w:ind w:left="0" w:right="0" w:firstLine="430" w:firstLineChars="200"/>
        <w:jc w:val="both"/>
        <w:textAlignment w:val="auto"/>
        <w:rPr>
          <w:rFonts w:hint="eastAsia" w:ascii="新宋体" w:hAnsi="新宋体" w:eastAsia="新宋体" w:cs="新宋体"/>
          <w:b/>
          <w:bCs w:val="0"/>
          <w:color w:val="auto"/>
          <w:sz w:val="21"/>
          <w:szCs w:val="21"/>
          <w:highlight w:val="none"/>
        </w:rPr>
      </w:pPr>
      <w:r>
        <w:rPr>
          <w:rFonts w:hint="eastAsia" w:ascii="新宋体" w:hAnsi="新宋体" w:eastAsia="新宋体" w:cs="新宋体"/>
          <w:b/>
          <w:bCs w:val="0"/>
          <w:i w:val="0"/>
          <w:caps w:val="0"/>
          <w:color w:val="auto"/>
          <w:spacing w:val="0"/>
          <w:sz w:val="21"/>
          <w:szCs w:val="21"/>
          <w:highlight w:val="none"/>
        </w:rPr>
        <w:t>二、申请人的资格要求：</w:t>
      </w:r>
    </w:p>
    <w:p w14:paraId="0446A76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1.满足《中华人民共和国政府采购法》第二十二条规定；</w:t>
      </w:r>
    </w:p>
    <w:p w14:paraId="2AC09E3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2.落实政府采购政策需满足的资格要求：标项1：供应商为中小企业。</w:t>
      </w:r>
    </w:p>
    <w:p w14:paraId="25303C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 xml:space="preserve">3.本项目的特定资格要求：标项1： </w:t>
      </w:r>
    </w:p>
    <w:p w14:paraId="1DC8E7C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（1）具备三证合一营业执照；</w:t>
      </w:r>
      <w:r>
        <w:rPr>
          <w:rFonts w:hint="eastAsia" w:ascii="新宋体" w:hAnsi="新宋体" w:eastAsia="新宋体" w:cs="新宋体"/>
          <w:i w:val="0"/>
          <w:caps w:val="0"/>
          <w:color w:val="auto"/>
          <w:spacing w:val="0"/>
          <w:kern w:val="0"/>
          <w:sz w:val="21"/>
          <w:szCs w:val="21"/>
          <w:highlight w:val="none"/>
          <w:lang w:val="en-US" w:eastAsia="zh-CN"/>
        </w:rPr>
        <w:tab/>
      </w:r>
    </w:p>
    <w:p w14:paraId="087F2E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（2）法定代表人投标需提供法定代表人资格证明书，委托代理人投标需提供法定代表人授权委托书；</w:t>
      </w:r>
    </w:p>
    <w:p w14:paraId="1EE2D7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（3）投标企业须提供投标人（被授权在职人员）近6个月内任意一个月有效的社保证明；</w:t>
      </w:r>
    </w:p>
    <w:p w14:paraId="741892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（4）未被“信用中国”（www.creditchina.gov.cn）、中国政府采购网（www.ccgp.gov.cn）列入失信被执行人、重大税收违法案件当事人名单、政府采购严重违法失信行为记录名单；</w:t>
      </w:r>
    </w:p>
    <w:p w14:paraId="1E58A67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三、获取采购文件</w:t>
      </w:r>
    </w:p>
    <w:p w14:paraId="3E26DD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时间：2026年10月13日至2026年10月19日，每天上午10:00至14:00，下午16:00至20：00（北京时间，法定节假日除外）</w:t>
      </w:r>
    </w:p>
    <w:p w14:paraId="1A7694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3FAC69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方式：供应商登录政采云平台https://www.zcygov.cn/在线申请获取竞争性谈判文件（进入“项目采购”应用，在获取竞争性谈判文件菜单中选择项目，申请获取竞争性谈判文件）。</w:t>
      </w:r>
    </w:p>
    <w:p w14:paraId="63B810B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售价（元）：0</w:t>
      </w:r>
    </w:p>
    <w:p w14:paraId="44272D5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四、响应文件提交</w:t>
      </w:r>
    </w:p>
    <w:p w14:paraId="462213CB">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截止时间：2026年10月26日 10:15（北京时间）</w:t>
      </w:r>
    </w:p>
    <w:p w14:paraId="1023D41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地点：请登录政采云投标客户端投标</w:t>
      </w:r>
    </w:p>
    <w:p w14:paraId="5A5A01B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五、响应文件开启</w:t>
      </w:r>
    </w:p>
    <w:p w14:paraId="0F99BB3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开启时间：2026年10月26日 10:15（北京时间）</w:t>
      </w:r>
    </w:p>
    <w:p w14:paraId="7F53B3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地点：投标人登录政采云平台https://www.zcygov.cn/，进入“项目采购-开标评标-右边选择对应项目点击“进入项目”进入开标大厅</w:t>
      </w:r>
    </w:p>
    <w:p w14:paraId="0FCF7DD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六、公告期限</w:t>
      </w:r>
    </w:p>
    <w:p w14:paraId="752A7B7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自本公告发布之日起3个工作日</w:t>
      </w:r>
    </w:p>
    <w:p w14:paraId="2E678303">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七、其他补充事宜</w:t>
      </w:r>
    </w:p>
    <w:p w14:paraId="5F59063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1、本项目实行网上投标，采用电子投标文件。</w:t>
      </w:r>
    </w:p>
    <w:p w14:paraId="5671E3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1ABC97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31A3B9A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4、其他事项：/</w:t>
      </w:r>
    </w:p>
    <w:p w14:paraId="1A8B5A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ascii="仿宋" w:hAnsi="仿宋" w:eastAsia="仿宋" w:cs="仿宋"/>
          <w:i w:val="0"/>
          <w:iCs w:val="0"/>
          <w:caps w:val="0"/>
          <w:color w:val="auto"/>
          <w:spacing w:val="0"/>
          <w:kern w:val="0"/>
          <w:sz w:val="21"/>
          <w:szCs w:val="21"/>
          <w:highlight w:val="none"/>
          <w:lang w:val="en-US" w:eastAsia="zh-CN" w:bidi="ar"/>
        </w:rPr>
      </w:pPr>
      <w:r>
        <w:rPr>
          <w:rFonts w:ascii="仿宋" w:hAnsi="仿宋" w:eastAsia="仿宋" w:cs="仿宋"/>
          <w:i w:val="0"/>
          <w:iCs w:val="0"/>
          <w:caps w:val="0"/>
          <w:color w:val="auto"/>
          <w:spacing w:val="0"/>
          <w:kern w:val="0"/>
          <w:sz w:val="21"/>
          <w:szCs w:val="21"/>
          <w:highlight w:val="none"/>
          <w:lang w:val="en-US" w:eastAsia="zh-CN" w:bidi="ar"/>
        </w:rPr>
        <w:t>特别提示：</w:t>
      </w:r>
      <w:r>
        <w:rPr>
          <w:rFonts w:hint="eastAsia" w:ascii="仿宋" w:hAnsi="仿宋" w:eastAsia="仿宋" w:cs="仿宋"/>
          <w:i w:val="0"/>
          <w:iCs w:val="0"/>
          <w:caps w:val="0"/>
          <w:color w:val="auto"/>
          <w:spacing w:val="0"/>
          <w:kern w:val="0"/>
          <w:sz w:val="21"/>
          <w:szCs w:val="21"/>
          <w:highlight w:val="none"/>
          <w:lang w:val="en-US" w:eastAsia="zh-CN" w:bidi="ar"/>
        </w:rPr>
        <w:br w:type="textWrapping"/>
      </w:r>
      <w:r>
        <w:rPr>
          <w:rFonts w:hint="eastAsia" w:ascii="仿宋" w:hAnsi="仿宋" w:eastAsia="仿宋" w:cs="仿宋"/>
          <w:i w:val="0"/>
          <w:iCs w:val="0"/>
          <w:caps w:val="0"/>
          <w:color w:val="auto"/>
          <w:spacing w:val="0"/>
          <w:kern w:val="0"/>
          <w:sz w:val="21"/>
          <w:szCs w:val="21"/>
          <w:highlight w:val="none"/>
          <w:lang w:val="en-US" w:eastAsia="zh-CN" w:bidi="ar"/>
        </w:rPr>
        <w:t>1、采购限额标准以上，200万元以下的货物和服务采购项目、400万元以下的工程采购项目，适宜由中小企业提供的，采购人应当专门面向中小企业采购。</w:t>
      </w:r>
    </w:p>
    <w:p w14:paraId="0FC329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2、超过200万元的货物和服务采购项目，预留该部分采购项目预算总额的30%以上专门面向中小企业采购，其中预留给小微企业的比例不低于60%。</w:t>
      </w:r>
    </w:p>
    <w:p w14:paraId="18B7DC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3、超过400万元的工程采购项目中适宜由中小企业提供的，预留该部分采购项目预算总额的40%以上专门面向中小企业采购，其中预留给小微企业的比例不低于60%。</w:t>
      </w:r>
    </w:p>
    <w:p w14:paraId="630553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4EE8E2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04B4FE8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 xml:space="preserve">八、对本次采购提出询问，请按以下方式联系 </w:t>
      </w:r>
      <w:r>
        <w:rPr>
          <w:rFonts w:hint="eastAsia" w:ascii="新宋体" w:hAnsi="新宋体" w:eastAsia="新宋体" w:cs="新宋体"/>
          <w:color w:val="auto"/>
          <w:kern w:val="0"/>
          <w:sz w:val="21"/>
          <w:szCs w:val="21"/>
          <w:highlight w:val="none"/>
          <w:u w:val="none"/>
          <w:lang w:val="en-US" w:eastAsia="zh-CN" w:bidi="ar"/>
        </w:rPr>
        <w:t xml:space="preserve">        </w:t>
      </w:r>
    </w:p>
    <w:p w14:paraId="6868A4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1.采购人信息</w:t>
      </w:r>
    </w:p>
    <w:p w14:paraId="091C3E0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称：阿图什市教育局         </w:t>
      </w:r>
    </w:p>
    <w:p w14:paraId="27027CED">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址：阿图什市 </w:t>
      </w:r>
    </w:p>
    <w:p w14:paraId="025F55E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联系方式：18199726032 </w:t>
      </w:r>
    </w:p>
    <w:p w14:paraId="1B71D06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2.采购代理机构信息</w:t>
      </w:r>
    </w:p>
    <w:p w14:paraId="0FE071CC">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称：新疆融联通达工程项目管理有限公司    </w:t>
      </w:r>
    </w:p>
    <w:p w14:paraId="541156A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址：新疆阿图什市友谊北路23号         </w:t>
      </w:r>
    </w:p>
    <w:p w14:paraId="67DD59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联系方式：13909955772 </w:t>
      </w:r>
    </w:p>
    <w:p w14:paraId="7A39561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3.项目联系方式</w:t>
      </w:r>
    </w:p>
    <w:p w14:paraId="7307ED4A">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项目联系人：张先生</w:t>
      </w:r>
    </w:p>
    <w:p w14:paraId="3D2E530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电 话：13909955772</w:t>
      </w:r>
    </w:p>
    <w:p w14:paraId="3CAF6E0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p>
    <w:p w14:paraId="341A9E2A">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688E979E">
      <w:pPr>
        <w:pStyle w:val="7"/>
        <w:rPr>
          <w:rFonts w:hint="eastAsia"/>
        </w:rPr>
      </w:pPr>
    </w:p>
    <w:p w14:paraId="5BF2542F">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highlight w:val="none"/>
        </w:rPr>
      </w:pPr>
      <w:r>
        <w:rPr>
          <w:rFonts w:hint="eastAsia" w:ascii="仿宋" w:hAnsi="仿宋" w:eastAsia="仿宋" w:cs="仿宋"/>
          <w:b/>
          <w:bCs/>
          <w:color w:val="auto"/>
          <w:sz w:val="36"/>
          <w:szCs w:val="36"/>
          <w:highlight w:val="none"/>
        </w:rPr>
        <w:t>第二部分供应商须知</w:t>
      </w:r>
    </w:p>
    <w:p w14:paraId="12E0E218">
      <w:pPr>
        <w:pStyle w:val="34"/>
        <w:spacing w:after="0"/>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须知前附表</w:t>
      </w:r>
    </w:p>
    <w:tbl>
      <w:tblPr>
        <w:tblStyle w:val="23"/>
        <w:tblW w:w="9888" w:type="dxa"/>
        <w:jc w:val="center"/>
        <w:tblLayout w:type="fixed"/>
        <w:tblCellMar>
          <w:top w:w="0" w:type="dxa"/>
          <w:left w:w="108" w:type="dxa"/>
          <w:bottom w:w="0" w:type="dxa"/>
          <w:right w:w="108" w:type="dxa"/>
        </w:tblCellMar>
      </w:tblPr>
      <w:tblGrid>
        <w:gridCol w:w="784"/>
        <w:gridCol w:w="1818"/>
        <w:gridCol w:w="7286"/>
      </w:tblGrid>
      <w:tr w14:paraId="68968CB6">
        <w:trPr>
          <w:trHeight w:val="54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C13FE78">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 号</w:t>
            </w:r>
          </w:p>
        </w:tc>
        <w:tc>
          <w:tcPr>
            <w:tcW w:w="1818" w:type="dxa"/>
            <w:tcBorders>
              <w:top w:val="single" w:color="auto" w:sz="4" w:space="0"/>
              <w:left w:val="single" w:color="auto" w:sz="4" w:space="0"/>
              <w:bottom w:val="single" w:color="auto" w:sz="4" w:space="0"/>
              <w:right w:val="single" w:color="auto" w:sz="4" w:space="0"/>
            </w:tcBorders>
            <w:vAlign w:val="center"/>
          </w:tcPr>
          <w:p w14:paraId="6F344702">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  称</w:t>
            </w:r>
          </w:p>
        </w:tc>
        <w:tc>
          <w:tcPr>
            <w:tcW w:w="7286" w:type="dxa"/>
            <w:tcBorders>
              <w:top w:val="single" w:color="auto" w:sz="4" w:space="0"/>
              <w:left w:val="single" w:color="auto" w:sz="4" w:space="0"/>
              <w:bottom w:val="single" w:color="auto" w:sz="4" w:space="0"/>
              <w:right w:val="single" w:color="auto" w:sz="4" w:space="0"/>
            </w:tcBorders>
            <w:vAlign w:val="center"/>
          </w:tcPr>
          <w:p w14:paraId="2FE8B9AC">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  列  内  容</w:t>
            </w:r>
          </w:p>
        </w:tc>
      </w:tr>
      <w:tr w14:paraId="3237DB8D">
        <w:tblPrEx>
          <w:tblCellMar>
            <w:top w:w="0" w:type="dxa"/>
            <w:left w:w="108" w:type="dxa"/>
            <w:bottom w:w="0" w:type="dxa"/>
            <w:right w:w="108" w:type="dxa"/>
          </w:tblCellMar>
        </w:tblPrEx>
        <w:trPr>
          <w:trHeight w:val="190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28FACE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w:t>
            </w:r>
          </w:p>
        </w:tc>
        <w:tc>
          <w:tcPr>
            <w:tcW w:w="1818" w:type="dxa"/>
            <w:tcBorders>
              <w:top w:val="single" w:color="auto" w:sz="4" w:space="0"/>
              <w:left w:val="single" w:color="auto" w:sz="4" w:space="0"/>
              <w:bottom w:val="single" w:color="auto" w:sz="4" w:space="0"/>
              <w:right w:val="single" w:color="auto" w:sz="4" w:space="0"/>
            </w:tcBorders>
            <w:vAlign w:val="center"/>
          </w:tcPr>
          <w:p w14:paraId="2390D0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p>
          <w:p w14:paraId="3E4B5FFC">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p>
          <w:p w14:paraId="4A18681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p>
          <w:p w14:paraId="3BFDA5A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p>
        </w:tc>
        <w:tc>
          <w:tcPr>
            <w:tcW w:w="7286" w:type="dxa"/>
            <w:tcBorders>
              <w:top w:val="single" w:color="auto" w:sz="4" w:space="0"/>
              <w:left w:val="single" w:color="auto" w:sz="4" w:space="0"/>
              <w:bottom w:val="single" w:color="auto" w:sz="4" w:space="0"/>
              <w:right w:val="single" w:color="auto" w:sz="4" w:space="0"/>
            </w:tcBorders>
            <w:vAlign w:val="center"/>
          </w:tcPr>
          <w:p w14:paraId="63F143E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r>
              <w:rPr>
                <w:rFonts w:hint="eastAsia" w:hAnsi="宋体" w:eastAsia="宋体" w:cs="宋体"/>
                <w:color w:val="auto"/>
                <w:sz w:val="21"/>
                <w:szCs w:val="21"/>
                <w:highlight w:val="none"/>
                <w:u w:val="none" w:color="000000"/>
                <w:lang w:val="en-US" w:eastAsia="zh-CN" w:bidi="en-US"/>
              </w:rPr>
              <w:t>阿图什市松他克镇中心学校新建改扩建项目（设备采购）</w:t>
            </w:r>
          </w:p>
          <w:p w14:paraId="0856D37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r>
              <w:rPr>
                <w:rFonts w:hint="eastAsia" w:hAnsi="宋体" w:eastAsia="宋体" w:cs="宋体"/>
                <w:color w:val="auto"/>
                <w:sz w:val="21"/>
                <w:szCs w:val="21"/>
                <w:highlight w:val="none"/>
                <w:u w:val="none" w:color="000000"/>
                <w:lang w:val="en-US" w:eastAsia="zh-CN" w:bidi="en-US"/>
              </w:rPr>
              <w:t>ATSJXZX-CG-2026126</w:t>
            </w:r>
            <w:r>
              <w:rPr>
                <w:rFonts w:hint="eastAsia" w:ascii="宋体" w:hAnsi="宋体" w:eastAsia="宋体" w:cs="宋体"/>
                <w:color w:val="auto"/>
                <w:sz w:val="21"/>
                <w:szCs w:val="21"/>
                <w:highlight w:val="none"/>
                <w:u w:val="none" w:color="000000"/>
                <w:lang w:val="en-US" w:eastAsia="zh-CN" w:bidi="en-US"/>
              </w:rPr>
              <w:t xml:space="preserve"> </w:t>
            </w:r>
          </w:p>
          <w:p w14:paraId="47F1F11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r>
              <w:rPr>
                <w:rFonts w:hint="eastAsia" w:hAnsi="宋体" w:eastAsia="宋体" w:cs="宋体"/>
                <w:color w:val="auto"/>
                <w:sz w:val="21"/>
                <w:szCs w:val="21"/>
                <w:highlight w:val="none"/>
                <w:u w:val="none" w:color="000000"/>
                <w:lang w:val="en-US" w:eastAsia="zh-CN" w:bidi="en-US"/>
              </w:rPr>
              <w:t>食堂设备、监控设备、生活设备、等其他设备（数量及参数详见附表）</w:t>
            </w:r>
          </w:p>
          <w:p w14:paraId="377E410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r>
              <w:rPr>
                <w:rFonts w:hint="eastAsia" w:hAnsi="宋体" w:eastAsia="宋体" w:cs="宋体"/>
                <w:color w:val="auto"/>
                <w:sz w:val="21"/>
                <w:szCs w:val="21"/>
                <w:highlight w:val="none"/>
                <w:u w:val="none" w:color="000000"/>
                <w:lang w:val="en-US" w:eastAsia="zh-CN" w:bidi="en-US"/>
              </w:rPr>
              <w:t>20天</w:t>
            </w:r>
            <w:r>
              <w:rPr>
                <w:rFonts w:hint="eastAsia" w:ascii="宋体" w:hAnsi="宋体" w:eastAsia="宋体" w:cs="宋体"/>
                <w:color w:val="auto"/>
                <w:sz w:val="21"/>
                <w:szCs w:val="21"/>
                <w:highlight w:val="none"/>
                <w:u w:val="none" w:color="000000"/>
                <w:lang w:val="en-US" w:eastAsia="zh-CN" w:bidi="en-US"/>
              </w:rPr>
              <w:t xml:space="preserve"> </w:t>
            </w:r>
          </w:p>
        </w:tc>
      </w:tr>
      <w:tr w14:paraId="5C934260">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A243E5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w:t>
            </w:r>
          </w:p>
        </w:tc>
        <w:tc>
          <w:tcPr>
            <w:tcW w:w="1818" w:type="dxa"/>
            <w:tcBorders>
              <w:top w:val="single" w:color="auto" w:sz="4" w:space="0"/>
              <w:left w:val="single" w:color="auto" w:sz="4" w:space="0"/>
              <w:bottom w:val="single" w:color="auto" w:sz="4" w:space="0"/>
              <w:right w:val="single" w:color="auto" w:sz="4" w:space="0"/>
            </w:tcBorders>
            <w:vAlign w:val="center"/>
          </w:tcPr>
          <w:p w14:paraId="20F9413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采购人信息</w:t>
            </w:r>
          </w:p>
        </w:tc>
        <w:tc>
          <w:tcPr>
            <w:tcW w:w="7286" w:type="dxa"/>
            <w:tcBorders>
              <w:top w:val="single" w:color="auto" w:sz="4" w:space="0"/>
              <w:left w:val="single" w:color="auto" w:sz="4" w:space="0"/>
              <w:bottom w:val="single" w:color="auto" w:sz="4" w:space="0"/>
              <w:right w:val="single" w:color="auto" w:sz="4" w:space="0"/>
            </w:tcBorders>
            <w:vAlign w:val="center"/>
          </w:tcPr>
          <w:p w14:paraId="689615B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阿图什市教育局</w:t>
            </w:r>
          </w:p>
          <w:p w14:paraId="679DF2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沙先生</w:t>
            </w:r>
            <w:r>
              <w:rPr>
                <w:rFonts w:hint="eastAsia" w:ascii="宋体" w:hAnsi="宋体" w:eastAsia="宋体" w:cs="宋体"/>
                <w:color w:val="auto"/>
                <w:sz w:val="21"/>
                <w:szCs w:val="21"/>
                <w:highlight w:val="none"/>
                <w:u w:val="none" w:color="000000"/>
                <w:lang w:val="en-US" w:eastAsia="zh-CN" w:bidi="en-US"/>
              </w:rPr>
              <w:t xml:space="preserve">     </w:t>
            </w:r>
          </w:p>
          <w:p w14:paraId="53CF707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电  话：</w:t>
            </w:r>
            <w:r>
              <w:rPr>
                <w:rFonts w:hint="eastAsia" w:hAnsi="宋体" w:eastAsia="宋体" w:cs="宋体"/>
                <w:color w:val="auto"/>
                <w:sz w:val="21"/>
                <w:szCs w:val="21"/>
                <w:highlight w:val="none"/>
                <w:u w:val="none" w:color="000000"/>
                <w:lang w:val="en-US" w:eastAsia="zh-CN" w:bidi="en-US"/>
              </w:rPr>
              <w:t>18199726032</w:t>
            </w:r>
          </w:p>
        </w:tc>
      </w:tr>
      <w:tr w14:paraId="0AC5DFF8">
        <w:tblPrEx>
          <w:tblCellMar>
            <w:top w:w="0" w:type="dxa"/>
            <w:left w:w="108" w:type="dxa"/>
            <w:bottom w:w="0" w:type="dxa"/>
            <w:right w:w="108" w:type="dxa"/>
          </w:tblCellMar>
        </w:tblPrEx>
        <w:trPr>
          <w:trHeight w:val="87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915C3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w:t>
            </w:r>
          </w:p>
        </w:tc>
        <w:tc>
          <w:tcPr>
            <w:tcW w:w="1818" w:type="dxa"/>
            <w:tcBorders>
              <w:top w:val="single" w:color="auto" w:sz="4" w:space="0"/>
              <w:left w:val="single" w:color="auto" w:sz="4" w:space="0"/>
              <w:bottom w:val="single" w:color="auto" w:sz="4" w:space="0"/>
              <w:right w:val="single" w:color="auto" w:sz="4" w:space="0"/>
            </w:tcBorders>
            <w:vAlign w:val="center"/>
          </w:tcPr>
          <w:p w14:paraId="4EC3A634">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采购代理机构</w:t>
            </w:r>
          </w:p>
        </w:tc>
        <w:tc>
          <w:tcPr>
            <w:tcW w:w="7286" w:type="dxa"/>
            <w:tcBorders>
              <w:top w:val="single" w:color="auto" w:sz="4" w:space="0"/>
              <w:left w:val="single" w:color="auto" w:sz="4" w:space="0"/>
              <w:bottom w:val="single" w:color="auto" w:sz="4" w:space="0"/>
              <w:right w:val="single" w:color="auto" w:sz="4" w:space="0"/>
            </w:tcBorders>
            <w:vAlign w:val="center"/>
          </w:tcPr>
          <w:p w14:paraId="32A9DD1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新疆融联通达工程项目管理有限公司</w:t>
            </w:r>
          </w:p>
          <w:p w14:paraId="3F9AA4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  址：</w:t>
            </w:r>
            <w:r>
              <w:rPr>
                <w:rFonts w:hint="eastAsia" w:hAnsi="宋体" w:eastAsia="宋体" w:cs="宋体"/>
                <w:color w:val="auto"/>
                <w:sz w:val="21"/>
                <w:szCs w:val="21"/>
                <w:highlight w:val="none"/>
                <w:u w:val="none" w:color="000000"/>
                <w:lang w:val="en-US" w:eastAsia="zh-CN" w:bidi="en-US"/>
              </w:rPr>
              <w:t>新疆阿图什市友谊北路23号</w:t>
            </w:r>
            <w:r>
              <w:rPr>
                <w:rFonts w:hint="eastAsia" w:ascii="宋体" w:hAnsi="宋体" w:eastAsia="宋体" w:cs="宋体"/>
                <w:color w:val="auto"/>
                <w:sz w:val="21"/>
                <w:szCs w:val="21"/>
                <w:highlight w:val="none"/>
                <w:u w:val="none" w:color="000000"/>
                <w:lang w:val="en-US" w:eastAsia="zh-CN" w:bidi="en-US"/>
              </w:rPr>
              <w:t xml:space="preserve"> </w:t>
            </w:r>
          </w:p>
          <w:p w14:paraId="6883E03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 xml:space="preserve">  联系电话：</w:t>
            </w:r>
            <w:r>
              <w:rPr>
                <w:rFonts w:hint="eastAsia" w:hAnsi="宋体" w:eastAsia="宋体" w:cs="宋体"/>
                <w:color w:val="auto"/>
                <w:sz w:val="21"/>
                <w:szCs w:val="21"/>
                <w:highlight w:val="none"/>
                <w:u w:val="none" w:color="000000"/>
                <w:lang w:val="en-US" w:eastAsia="zh-CN" w:bidi="en-US"/>
              </w:rPr>
              <w:t>13909955772</w:t>
            </w:r>
          </w:p>
        </w:tc>
      </w:tr>
      <w:tr w14:paraId="50A7622B">
        <w:tblPrEx>
          <w:tblCellMar>
            <w:top w:w="0" w:type="dxa"/>
            <w:left w:w="108" w:type="dxa"/>
            <w:bottom w:w="0" w:type="dxa"/>
            <w:right w:w="108" w:type="dxa"/>
          </w:tblCellMar>
        </w:tblPrEx>
        <w:trPr>
          <w:trHeight w:val="14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BB08118">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4</w:t>
            </w:r>
          </w:p>
        </w:tc>
        <w:tc>
          <w:tcPr>
            <w:tcW w:w="1818" w:type="dxa"/>
            <w:tcBorders>
              <w:top w:val="single" w:color="auto" w:sz="4" w:space="0"/>
              <w:left w:val="single" w:color="auto" w:sz="4" w:space="0"/>
              <w:bottom w:val="single" w:color="auto" w:sz="4" w:space="0"/>
              <w:right w:val="single" w:color="auto" w:sz="4" w:space="0"/>
            </w:tcBorders>
            <w:vAlign w:val="center"/>
          </w:tcPr>
          <w:p w14:paraId="66D6B12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最终交货地点</w:t>
            </w:r>
          </w:p>
        </w:tc>
        <w:tc>
          <w:tcPr>
            <w:tcW w:w="7286" w:type="dxa"/>
            <w:tcBorders>
              <w:top w:val="single" w:color="auto" w:sz="4" w:space="0"/>
              <w:left w:val="single" w:color="auto" w:sz="4" w:space="0"/>
              <w:bottom w:val="single" w:color="auto" w:sz="4" w:space="0"/>
              <w:right w:val="single" w:color="auto" w:sz="4" w:space="0"/>
            </w:tcBorders>
            <w:vAlign w:val="center"/>
          </w:tcPr>
          <w:p w14:paraId="49D5F24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采购单位指定地点</w:t>
            </w:r>
          </w:p>
        </w:tc>
      </w:tr>
      <w:tr w14:paraId="3A1FB1B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FA8F4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5</w:t>
            </w:r>
          </w:p>
        </w:tc>
        <w:tc>
          <w:tcPr>
            <w:tcW w:w="1818" w:type="dxa"/>
            <w:tcBorders>
              <w:top w:val="single" w:color="auto" w:sz="4" w:space="0"/>
              <w:left w:val="single" w:color="auto" w:sz="4" w:space="0"/>
              <w:bottom w:val="single" w:color="auto" w:sz="4" w:space="0"/>
              <w:right w:val="single" w:color="auto" w:sz="4" w:space="0"/>
            </w:tcBorders>
            <w:vAlign w:val="center"/>
          </w:tcPr>
          <w:p w14:paraId="504A6248">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资格要求</w:t>
            </w:r>
          </w:p>
        </w:tc>
        <w:tc>
          <w:tcPr>
            <w:tcW w:w="7286" w:type="dxa"/>
            <w:tcBorders>
              <w:top w:val="single" w:color="auto" w:sz="4" w:space="0"/>
              <w:left w:val="single" w:color="auto" w:sz="4" w:space="0"/>
              <w:bottom w:val="single" w:color="auto" w:sz="4" w:space="0"/>
              <w:right w:val="single" w:color="auto" w:sz="4" w:space="0"/>
            </w:tcBorders>
            <w:vAlign w:val="center"/>
          </w:tcPr>
          <w:p w14:paraId="7B0B0AF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1.满足《中华人民共和国政府采购法》第二十二条规定；</w:t>
            </w:r>
          </w:p>
          <w:p w14:paraId="2BDEE9B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2.落实政府采购政策需满足的资格要求：供应商为中小企业。 </w:t>
            </w:r>
          </w:p>
          <w:p w14:paraId="27E75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3.本项目的特定资格要求：</w:t>
            </w:r>
          </w:p>
          <w:p w14:paraId="7D889AE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w:t>
            </w:r>
            <w:r>
              <w:rPr>
                <w:rFonts w:hint="eastAsia" w:hAnsi="宋体" w:eastAsia="宋体" w:cs="宋体"/>
                <w:color w:val="auto"/>
                <w:sz w:val="21"/>
                <w:szCs w:val="21"/>
                <w:highlight w:val="none"/>
                <w:u w:val="none" w:color="000000"/>
                <w:lang w:val="en-US" w:eastAsia="zh-CN" w:bidi="en-US"/>
              </w:rPr>
              <w:t>具备三证合一营业执照</w:t>
            </w:r>
            <w:r>
              <w:rPr>
                <w:rFonts w:hint="eastAsia" w:ascii="宋体" w:hAnsi="宋体" w:eastAsia="宋体" w:cs="宋体"/>
                <w:color w:val="auto"/>
                <w:sz w:val="21"/>
                <w:szCs w:val="21"/>
                <w:highlight w:val="none"/>
                <w:u w:val="none" w:color="000000"/>
                <w:lang w:val="en-US" w:eastAsia="zh-CN" w:bidi="en-US"/>
              </w:rPr>
              <w:t>；</w:t>
            </w:r>
            <w:r>
              <w:rPr>
                <w:rFonts w:hint="eastAsia" w:ascii="宋体" w:hAnsi="宋体" w:eastAsia="宋体" w:cs="宋体"/>
                <w:color w:val="auto"/>
                <w:sz w:val="21"/>
                <w:szCs w:val="21"/>
                <w:highlight w:val="none"/>
                <w:u w:val="none" w:color="000000"/>
                <w:lang w:val="en-US" w:eastAsia="zh-CN" w:bidi="en-US"/>
              </w:rPr>
              <w:tab/>
            </w:r>
          </w:p>
          <w:p w14:paraId="621B6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（2）法定代表人投标需提供法定代表人资格证明书，委托代理人投标需提供法定代表人授权委托书；</w:t>
            </w:r>
          </w:p>
          <w:p w14:paraId="1E0713B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（3）投标企业须提供投标人（被授权在职人员）近6个月内任意一个月有效的社保证明；</w:t>
            </w:r>
          </w:p>
          <w:p w14:paraId="78A62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（4）未被“信用中国”（www.creditchina.gov.cn）、中国政府采购网（www.ccgp.gov.cn）列入失信被执行人、重大税收违法案件当事人名单、政府采购严重违法失信行为记录名单；</w:t>
            </w:r>
          </w:p>
          <w:p w14:paraId="53BD4B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5</w:t>
            </w:r>
            <w:r>
              <w:rPr>
                <w:rFonts w:hint="eastAsia" w:ascii="宋体" w:hAnsi="宋体" w:eastAsia="宋体" w:cs="宋体"/>
                <w:color w:val="auto"/>
                <w:sz w:val="21"/>
                <w:szCs w:val="21"/>
                <w:highlight w:val="none"/>
                <w:u w:val="none" w:color="000000"/>
                <w:lang w:val="en-US" w:eastAsia="zh-CN" w:bidi="en-US"/>
              </w:rPr>
              <w:t>）供应商须提供中小企业声明函；</w:t>
            </w:r>
          </w:p>
          <w:p w14:paraId="6DBBE4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）投标保证金缴纳凭证或保函等票据。</w:t>
            </w:r>
          </w:p>
          <w:p w14:paraId="4BF552E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4.本项目不接受联合体投标。</w:t>
            </w:r>
          </w:p>
        </w:tc>
      </w:tr>
      <w:tr w14:paraId="0EE7B473">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793E48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6</w:t>
            </w:r>
          </w:p>
        </w:tc>
        <w:tc>
          <w:tcPr>
            <w:tcW w:w="1818" w:type="dxa"/>
            <w:tcBorders>
              <w:top w:val="single" w:color="auto" w:sz="4" w:space="0"/>
              <w:left w:val="single" w:color="auto" w:sz="4" w:space="0"/>
              <w:bottom w:val="single" w:color="auto" w:sz="4" w:space="0"/>
              <w:right w:val="single" w:color="auto" w:sz="4" w:space="0"/>
            </w:tcBorders>
            <w:vAlign w:val="center"/>
          </w:tcPr>
          <w:p w14:paraId="0C4704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资金来源</w:t>
            </w:r>
          </w:p>
        </w:tc>
        <w:tc>
          <w:tcPr>
            <w:tcW w:w="7286" w:type="dxa"/>
            <w:tcBorders>
              <w:top w:val="single" w:color="auto" w:sz="4" w:space="0"/>
              <w:left w:val="single" w:color="auto" w:sz="4" w:space="0"/>
              <w:bottom w:val="single" w:color="auto" w:sz="4" w:space="0"/>
              <w:right w:val="single" w:color="auto" w:sz="4" w:space="0"/>
            </w:tcBorders>
            <w:vAlign w:val="center"/>
          </w:tcPr>
          <w:p w14:paraId="2A46CE4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中国华电集团有限公司援助资金。</w:t>
            </w:r>
          </w:p>
        </w:tc>
      </w:tr>
      <w:tr w14:paraId="47C65105">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36A54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7</w:t>
            </w:r>
          </w:p>
        </w:tc>
        <w:tc>
          <w:tcPr>
            <w:tcW w:w="1818" w:type="dxa"/>
            <w:tcBorders>
              <w:top w:val="single" w:color="auto" w:sz="4" w:space="0"/>
              <w:left w:val="single" w:color="auto" w:sz="4" w:space="0"/>
              <w:bottom w:val="single" w:color="auto" w:sz="4" w:space="0"/>
              <w:right w:val="single" w:color="auto" w:sz="4" w:space="0"/>
            </w:tcBorders>
            <w:vAlign w:val="center"/>
          </w:tcPr>
          <w:p w14:paraId="45C86ADB">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招标方式</w:t>
            </w:r>
          </w:p>
        </w:tc>
        <w:tc>
          <w:tcPr>
            <w:tcW w:w="7286" w:type="dxa"/>
            <w:tcBorders>
              <w:top w:val="single" w:color="auto" w:sz="4" w:space="0"/>
              <w:left w:val="single" w:color="auto" w:sz="4" w:space="0"/>
              <w:bottom w:val="single" w:color="auto" w:sz="4" w:space="0"/>
              <w:right w:val="single" w:color="auto" w:sz="4" w:space="0"/>
            </w:tcBorders>
            <w:vAlign w:val="center"/>
          </w:tcPr>
          <w:p w14:paraId="1460BD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竞争性谈判(本项目采用网上电子招投标)  </w:t>
            </w:r>
          </w:p>
        </w:tc>
      </w:tr>
      <w:tr w14:paraId="36EF8D9A">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1E9A4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8</w:t>
            </w:r>
          </w:p>
        </w:tc>
        <w:tc>
          <w:tcPr>
            <w:tcW w:w="1818" w:type="dxa"/>
            <w:tcBorders>
              <w:top w:val="single" w:color="auto" w:sz="4" w:space="0"/>
              <w:left w:val="single" w:color="auto" w:sz="4" w:space="0"/>
              <w:bottom w:val="single" w:color="auto" w:sz="4" w:space="0"/>
              <w:right w:val="single" w:color="auto" w:sz="4" w:space="0"/>
            </w:tcBorders>
            <w:vAlign w:val="center"/>
          </w:tcPr>
          <w:p w14:paraId="57A22D6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供应商信用查询</w:t>
            </w:r>
          </w:p>
        </w:tc>
        <w:tc>
          <w:tcPr>
            <w:tcW w:w="7286" w:type="dxa"/>
            <w:tcBorders>
              <w:top w:val="single" w:color="auto" w:sz="4" w:space="0"/>
              <w:left w:val="single" w:color="auto" w:sz="4" w:space="0"/>
              <w:bottom w:val="single" w:color="auto" w:sz="4" w:space="0"/>
              <w:right w:val="single" w:color="auto" w:sz="4" w:space="0"/>
            </w:tcBorders>
            <w:vAlign w:val="center"/>
          </w:tcPr>
          <w:p w14:paraId="419803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1、查询渠道：信用中国（网址：http://www.creditchina.gov.cn）、中国政府采购网(网址：http://www.ccgp.gov.cn）。</w:t>
            </w:r>
          </w:p>
          <w:p w14:paraId="1A2659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2、截止时点：开标后评标前。</w:t>
            </w:r>
          </w:p>
          <w:p w14:paraId="1FED702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3、信用信息查询记录和证据留存的具体方式：由采购组织机构在规定查询时间内打印信用信息查询记录并归入项目档案。</w:t>
            </w:r>
          </w:p>
          <w:p w14:paraId="2E7C618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93E80BD">
        <w:tblPrEx>
          <w:tblCellMar>
            <w:top w:w="0" w:type="dxa"/>
            <w:left w:w="108" w:type="dxa"/>
            <w:bottom w:w="0" w:type="dxa"/>
            <w:right w:w="108" w:type="dxa"/>
          </w:tblCellMar>
        </w:tblPrEx>
        <w:trPr>
          <w:trHeight w:val="69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972E89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9</w:t>
            </w:r>
          </w:p>
        </w:tc>
        <w:tc>
          <w:tcPr>
            <w:tcW w:w="1818" w:type="dxa"/>
            <w:tcBorders>
              <w:top w:val="single" w:color="auto" w:sz="4" w:space="0"/>
              <w:left w:val="single" w:color="auto" w:sz="4" w:space="0"/>
              <w:bottom w:val="single" w:color="auto" w:sz="4" w:space="0"/>
              <w:right w:val="single" w:color="auto" w:sz="4" w:space="0"/>
            </w:tcBorders>
            <w:vAlign w:val="center"/>
          </w:tcPr>
          <w:p w14:paraId="7DA813F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是否接受联合体投标</w:t>
            </w:r>
          </w:p>
        </w:tc>
        <w:tc>
          <w:tcPr>
            <w:tcW w:w="7286" w:type="dxa"/>
            <w:tcBorders>
              <w:top w:val="single" w:color="auto" w:sz="4" w:space="0"/>
              <w:left w:val="single" w:color="auto" w:sz="4" w:space="0"/>
              <w:bottom w:val="single" w:color="auto" w:sz="4" w:space="0"/>
              <w:right w:val="single" w:color="auto" w:sz="4" w:space="0"/>
            </w:tcBorders>
            <w:vAlign w:val="center"/>
          </w:tcPr>
          <w:p w14:paraId="7F9A207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☑不接受</w:t>
            </w:r>
          </w:p>
          <w:p w14:paraId="2CC346C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□接  受</w:t>
            </w:r>
          </w:p>
        </w:tc>
      </w:tr>
      <w:tr w14:paraId="4C54D0DF">
        <w:tblPrEx>
          <w:tblCellMar>
            <w:top w:w="0" w:type="dxa"/>
            <w:left w:w="108" w:type="dxa"/>
            <w:bottom w:w="0" w:type="dxa"/>
            <w:right w:w="108" w:type="dxa"/>
          </w:tblCellMar>
        </w:tblPrEx>
        <w:trPr>
          <w:trHeight w:val="66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0426226">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10</w:t>
            </w:r>
          </w:p>
        </w:tc>
        <w:tc>
          <w:tcPr>
            <w:tcW w:w="1818" w:type="dxa"/>
            <w:tcBorders>
              <w:top w:val="single" w:color="auto" w:sz="4" w:space="0"/>
              <w:left w:val="single" w:color="auto" w:sz="4" w:space="0"/>
              <w:bottom w:val="single" w:color="auto" w:sz="4" w:space="0"/>
              <w:right w:val="single" w:color="auto" w:sz="4" w:space="0"/>
            </w:tcBorders>
            <w:vAlign w:val="center"/>
          </w:tcPr>
          <w:p w14:paraId="7425C836">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踏勘现场</w:t>
            </w:r>
          </w:p>
        </w:tc>
        <w:tc>
          <w:tcPr>
            <w:tcW w:w="7286" w:type="dxa"/>
            <w:tcBorders>
              <w:top w:val="single" w:color="auto" w:sz="4" w:space="0"/>
              <w:left w:val="single" w:color="auto" w:sz="4" w:space="0"/>
              <w:bottom w:val="single" w:color="auto" w:sz="4" w:space="0"/>
              <w:right w:val="single" w:color="auto" w:sz="4" w:space="0"/>
            </w:tcBorders>
            <w:vAlign w:val="center"/>
          </w:tcPr>
          <w:p w14:paraId="686C8E0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不组织,投标人自行组织踏勘现场。</w:t>
            </w:r>
          </w:p>
        </w:tc>
      </w:tr>
      <w:tr w14:paraId="3820D13E">
        <w:tblPrEx>
          <w:tblCellMar>
            <w:top w:w="0" w:type="dxa"/>
            <w:left w:w="108" w:type="dxa"/>
            <w:bottom w:w="0" w:type="dxa"/>
            <w:right w:w="108" w:type="dxa"/>
          </w:tblCellMar>
        </w:tblPrEx>
        <w:trPr>
          <w:trHeight w:val="79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2251DF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11</w:t>
            </w:r>
          </w:p>
        </w:tc>
        <w:tc>
          <w:tcPr>
            <w:tcW w:w="1818" w:type="dxa"/>
            <w:tcBorders>
              <w:top w:val="single" w:color="auto" w:sz="4" w:space="0"/>
              <w:left w:val="single" w:color="auto" w:sz="4" w:space="0"/>
              <w:bottom w:val="single" w:color="auto" w:sz="4" w:space="0"/>
              <w:right w:val="single" w:color="auto" w:sz="4" w:space="0"/>
            </w:tcBorders>
            <w:vAlign w:val="center"/>
          </w:tcPr>
          <w:p w14:paraId="7E93793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投标截止时间 （开标时间）</w:t>
            </w:r>
          </w:p>
        </w:tc>
        <w:tc>
          <w:tcPr>
            <w:tcW w:w="7286" w:type="dxa"/>
            <w:tcBorders>
              <w:top w:val="single" w:color="auto" w:sz="4" w:space="0"/>
              <w:left w:val="single" w:color="auto" w:sz="4" w:space="0"/>
              <w:bottom w:val="single" w:color="auto" w:sz="4" w:space="0"/>
              <w:right w:val="single" w:color="auto" w:sz="4" w:space="0"/>
            </w:tcBorders>
            <w:vAlign w:val="center"/>
          </w:tcPr>
          <w:p w14:paraId="2FF22B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tc>
      </w:tr>
      <w:tr w14:paraId="13F802F9">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8AC2B09">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12</w:t>
            </w:r>
          </w:p>
        </w:tc>
        <w:tc>
          <w:tcPr>
            <w:tcW w:w="1818" w:type="dxa"/>
            <w:tcBorders>
              <w:top w:val="single" w:color="auto" w:sz="4" w:space="0"/>
              <w:left w:val="single" w:color="auto" w:sz="4" w:space="0"/>
              <w:bottom w:val="single" w:color="auto" w:sz="4" w:space="0"/>
              <w:right w:val="single" w:color="auto" w:sz="4" w:space="0"/>
            </w:tcBorders>
            <w:vAlign w:val="center"/>
          </w:tcPr>
          <w:p w14:paraId="6CAD7F1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w:t>
            </w:r>
          </w:p>
        </w:tc>
        <w:tc>
          <w:tcPr>
            <w:tcW w:w="7286" w:type="dxa"/>
            <w:tcBorders>
              <w:top w:val="single" w:color="auto" w:sz="4" w:space="0"/>
              <w:left w:val="single" w:color="auto" w:sz="4" w:space="0"/>
              <w:bottom w:val="single" w:color="auto" w:sz="4" w:space="0"/>
              <w:right w:val="single" w:color="auto" w:sz="4" w:space="0"/>
            </w:tcBorders>
            <w:vAlign w:val="center"/>
          </w:tcPr>
          <w:p w14:paraId="1BC6B01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投标有效期为 60 日历天（从投标截止之日算起）。在此期限内，凡符合本谈判文件要求的响应文件均保持有效。</w:t>
            </w:r>
          </w:p>
        </w:tc>
      </w:tr>
      <w:tr w14:paraId="1CD53FB7">
        <w:tblPrEx>
          <w:tblCellMar>
            <w:top w:w="0" w:type="dxa"/>
            <w:left w:w="108" w:type="dxa"/>
            <w:bottom w:w="0" w:type="dxa"/>
            <w:right w:w="108" w:type="dxa"/>
          </w:tblCellMar>
        </w:tblPrEx>
        <w:trPr>
          <w:trHeight w:val="63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99B07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13</w:t>
            </w:r>
          </w:p>
        </w:tc>
        <w:tc>
          <w:tcPr>
            <w:tcW w:w="1818" w:type="dxa"/>
            <w:tcBorders>
              <w:top w:val="single" w:color="auto" w:sz="4" w:space="0"/>
              <w:left w:val="single" w:color="auto" w:sz="4" w:space="0"/>
              <w:bottom w:val="single" w:color="auto" w:sz="4" w:space="0"/>
              <w:right w:val="single" w:color="auto" w:sz="4" w:space="0"/>
            </w:tcBorders>
            <w:vAlign w:val="center"/>
          </w:tcPr>
          <w:p w14:paraId="2C676035">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投标保证金</w:t>
            </w:r>
          </w:p>
        </w:tc>
        <w:tc>
          <w:tcPr>
            <w:tcW w:w="7286" w:type="dxa"/>
            <w:tcBorders>
              <w:top w:val="single" w:color="auto" w:sz="4" w:space="0"/>
              <w:left w:val="single" w:color="auto" w:sz="4" w:space="0"/>
              <w:bottom w:val="single" w:color="auto" w:sz="4" w:space="0"/>
              <w:right w:val="single" w:color="auto" w:sz="4" w:space="0"/>
            </w:tcBorders>
            <w:vAlign w:val="center"/>
          </w:tcPr>
          <w:p w14:paraId="3113CD24">
            <w:pPr>
              <w:widowControl/>
              <w:spacing w:line="24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标保证金：</w:t>
            </w:r>
          </w:p>
          <w:p w14:paraId="62219A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一、投标保证金交纳要求：</w:t>
            </w:r>
          </w:p>
          <w:p w14:paraId="5B2D5974">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投标保证金应当在投标截止时间前以支票、汇票、本票、网上银行支付或者金融机构、担保机构出具的保函等非现金形式缴纳。</w:t>
            </w:r>
          </w:p>
          <w:p w14:paraId="5073B947">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投标保证金金额：30000.00元  大写：叁万元整</w:t>
            </w:r>
          </w:p>
          <w:p w14:paraId="098BD598">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具体缴纳方式如下：</w:t>
            </w:r>
          </w:p>
          <w:p w14:paraId="71C06C7D">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方式一：电子保证金</w:t>
            </w:r>
          </w:p>
          <w:p w14:paraId="5EEC49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078CA5A6">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方式二：保函</w:t>
            </w:r>
          </w:p>
          <w:p w14:paraId="13956629">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0F4641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kern w:val="0"/>
                <w:sz w:val="24"/>
                <w:szCs w:val="24"/>
                <w:highlight w:val="none"/>
                <w:lang w:val="en-US" w:eastAsia="zh-CN"/>
              </w:rPr>
              <w:t xml:space="preserve">保证金退还须知：开标后，未中标企业在法定工作时间内自动退还保证金，中标企业在签订合同后自动退还保证金。 </w:t>
            </w:r>
          </w:p>
        </w:tc>
      </w:tr>
      <w:tr w14:paraId="2C1F3352">
        <w:tblPrEx>
          <w:tblCellMar>
            <w:top w:w="0" w:type="dxa"/>
            <w:left w:w="108" w:type="dxa"/>
            <w:bottom w:w="0" w:type="dxa"/>
            <w:right w:w="108" w:type="dxa"/>
          </w:tblCellMar>
        </w:tblPrEx>
        <w:trPr>
          <w:trHeight w:val="90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F69D2C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14</w:t>
            </w:r>
          </w:p>
        </w:tc>
        <w:tc>
          <w:tcPr>
            <w:tcW w:w="1818" w:type="dxa"/>
            <w:tcBorders>
              <w:top w:val="single" w:color="auto" w:sz="4" w:space="0"/>
              <w:left w:val="single" w:color="auto" w:sz="4" w:space="0"/>
              <w:bottom w:val="single" w:color="auto" w:sz="4" w:space="0"/>
              <w:right w:val="single" w:color="auto" w:sz="4" w:space="0"/>
            </w:tcBorders>
            <w:vAlign w:val="center"/>
          </w:tcPr>
          <w:p w14:paraId="32E0A44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是否允许递交备选  投标方案</w:t>
            </w:r>
          </w:p>
        </w:tc>
        <w:tc>
          <w:tcPr>
            <w:tcW w:w="7286" w:type="dxa"/>
            <w:tcBorders>
              <w:top w:val="single" w:color="auto" w:sz="4" w:space="0"/>
              <w:left w:val="single" w:color="auto" w:sz="4" w:space="0"/>
              <w:bottom w:val="single" w:color="auto" w:sz="4" w:space="0"/>
              <w:right w:val="single" w:color="auto" w:sz="4" w:space="0"/>
            </w:tcBorders>
            <w:vAlign w:val="center"/>
          </w:tcPr>
          <w:p w14:paraId="14DE397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☑不允许</w:t>
            </w:r>
          </w:p>
          <w:p w14:paraId="2E2194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□允  许</w:t>
            </w:r>
          </w:p>
        </w:tc>
      </w:tr>
      <w:tr w14:paraId="646418B7">
        <w:tblPrEx>
          <w:tblCellMar>
            <w:top w:w="0" w:type="dxa"/>
            <w:left w:w="108" w:type="dxa"/>
            <w:bottom w:w="0" w:type="dxa"/>
            <w:right w:w="108" w:type="dxa"/>
          </w:tblCellMar>
        </w:tblPrEx>
        <w:trPr>
          <w:trHeight w:val="288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0EAD7F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15</w:t>
            </w:r>
          </w:p>
        </w:tc>
        <w:tc>
          <w:tcPr>
            <w:tcW w:w="1818" w:type="dxa"/>
            <w:tcBorders>
              <w:top w:val="single" w:color="auto" w:sz="4" w:space="0"/>
              <w:left w:val="single" w:color="auto" w:sz="4" w:space="0"/>
              <w:bottom w:val="single" w:color="auto" w:sz="4" w:space="0"/>
              <w:right w:val="single" w:color="auto" w:sz="4" w:space="0"/>
            </w:tcBorders>
            <w:vAlign w:val="center"/>
          </w:tcPr>
          <w:p w14:paraId="6B0142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谈判文件领取</w:t>
            </w:r>
          </w:p>
        </w:tc>
        <w:tc>
          <w:tcPr>
            <w:tcW w:w="7286" w:type="dxa"/>
            <w:tcBorders>
              <w:top w:val="single" w:color="auto" w:sz="4" w:space="0"/>
              <w:left w:val="single" w:color="auto" w:sz="4" w:space="0"/>
              <w:bottom w:val="single" w:color="auto" w:sz="4" w:space="0"/>
              <w:right w:val="single" w:color="auto" w:sz="4" w:space="0"/>
            </w:tcBorders>
            <w:vAlign w:val="center"/>
          </w:tcPr>
          <w:p w14:paraId="5D7C03D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13</w:t>
            </w:r>
            <w:r>
              <w:rPr>
                <w:rFonts w:hint="eastAsia" w:ascii="宋体" w:hAnsi="宋体" w:eastAsia="宋体" w:cs="宋体"/>
                <w:color w:val="auto"/>
                <w:sz w:val="21"/>
                <w:szCs w:val="21"/>
                <w:highlight w:val="none"/>
                <w:u w:val="none" w:color="000000"/>
                <w:lang w:val="en-US" w:eastAsia="zh-CN" w:bidi="en-US"/>
              </w:rPr>
              <w:t>日至202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19</w:t>
            </w:r>
            <w:r>
              <w:rPr>
                <w:rFonts w:hint="eastAsia" w:ascii="宋体" w:hAnsi="宋体" w:eastAsia="宋体" w:cs="宋体"/>
                <w:color w:val="auto"/>
                <w:sz w:val="21"/>
                <w:szCs w:val="21"/>
                <w:highlight w:val="none"/>
                <w:u w:val="none" w:color="000000"/>
                <w:lang w:val="en-US" w:eastAsia="zh-CN" w:bidi="en-US"/>
              </w:rPr>
              <w:t>日，每天上午10:00至14:00，下午16:00至20：00（北京时间，法定节假日除外）</w:t>
            </w:r>
          </w:p>
          <w:p w14:paraId="0C3C1AB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2D69477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方式：供应商登录政采云平台https://www.zcygov.cn/在线申请获取竞争性谈判文件（进入“项目采购”应用，在获取竞争性谈判文件菜单中选择项目，申请获取竞争性谈判文件）。</w:t>
            </w:r>
          </w:p>
        </w:tc>
      </w:tr>
      <w:tr w14:paraId="0B0A3820">
        <w:tblPrEx>
          <w:tblCellMar>
            <w:top w:w="0" w:type="dxa"/>
            <w:left w:w="108" w:type="dxa"/>
            <w:bottom w:w="0" w:type="dxa"/>
            <w:right w:w="108" w:type="dxa"/>
          </w:tblCellMar>
        </w:tblPrEx>
        <w:trPr>
          <w:trHeight w:val="38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BB0A1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16</w:t>
            </w:r>
          </w:p>
        </w:tc>
        <w:tc>
          <w:tcPr>
            <w:tcW w:w="1818" w:type="dxa"/>
            <w:tcBorders>
              <w:top w:val="single" w:color="auto" w:sz="4" w:space="0"/>
              <w:left w:val="single" w:color="auto" w:sz="4" w:space="0"/>
              <w:bottom w:val="single" w:color="auto" w:sz="4" w:space="0"/>
              <w:right w:val="single" w:color="auto" w:sz="4" w:space="0"/>
            </w:tcBorders>
            <w:vAlign w:val="center"/>
          </w:tcPr>
          <w:p w14:paraId="03F346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响应文件形式</w:t>
            </w:r>
          </w:p>
        </w:tc>
        <w:tc>
          <w:tcPr>
            <w:tcW w:w="7286" w:type="dxa"/>
            <w:tcBorders>
              <w:top w:val="single" w:color="auto" w:sz="4" w:space="0"/>
              <w:left w:val="single" w:color="auto" w:sz="4" w:space="0"/>
              <w:bottom w:val="single" w:color="auto" w:sz="4" w:space="0"/>
              <w:right w:val="single" w:color="auto" w:sz="4" w:space="0"/>
            </w:tcBorders>
            <w:vAlign w:val="center"/>
          </w:tcPr>
          <w:p w14:paraId="3C0C046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电子响应文件包括“电子加密响应文件”和“备份响应文件”，在响应文件编制完成后同时生成。</w:t>
            </w:r>
          </w:p>
          <w:p w14:paraId="288485D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1、“电子加密响应文件”是指通过“政采云电子交易客户端”完成响应文件编制后生成并加密的数据电文形式的响应文件。</w:t>
            </w:r>
          </w:p>
          <w:p w14:paraId="5ECB4BC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2、“备份响应文件”是指与“电子加密响应文件”同时生成的数据电文形式的电子文件（备份标书，用于供应商标书解密异常时应急使用），其他方式编制的备份响应文件视为无效备份响应文件。</w:t>
            </w:r>
          </w:p>
        </w:tc>
      </w:tr>
      <w:tr w14:paraId="0D62BE6C">
        <w:tblPrEx>
          <w:tblCellMar>
            <w:top w:w="0" w:type="dxa"/>
            <w:left w:w="108" w:type="dxa"/>
            <w:bottom w:w="0" w:type="dxa"/>
            <w:right w:w="108" w:type="dxa"/>
          </w:tblCellMar>
        </w:tblPrEx>
        <w:trPr>
          <w:trHeight w:val="99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C07B70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17</w:t>
            </w:r>
          </w:p>
        </w:tc>
        <w:tc>
          <w:tcPr>
            <w:tcW w:w="1818" w:type="dxa"/>
            <w:tcBorders>
              <w:top w:val="single" w:color="auto" w:sz="4" w:space="0"/>
              <w:left w:val="single" w:color="auto" w:sz="4" w:space="0"/>
              <w:bottom w:val="single" w:color="auto" w:sz="4" w:space="0"/>
              <w:right w:val="single" w:color="auto" w:sz="4" w:space="0"/>
            </w:tcBorders>
            <w:vAlign w:val="center"/>
          </w:tcPr>
          <w:p w14:paraId="41DE929A">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响应文件份数及要求</w:t>
            </w:r>
          </w:p>
        </w:tc>
        <w:tc>
          <w:tcPr>
            <w:tcW w:w="7286" w:type="dxa"/>
            <w:tcBorders>
              <w:top w:val="single" w:color="auto" w:sz="4" w:space="0"/>
              <w:left w:val="single" w:color="auto" w:sz="4" w:space="0"/>
              <w:bottom w:val="single" w:color="auto" w:sz="4" w:space="0"/>
              <w:right w:val="single" w:color="auto" w:sz="4" w:space="0"/>
            </w:tcBorders>
            <w:vAlign w:val="center"/>
          </w:tcPr>
          <w:p w14:paraId="27C000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1、一份电子加密标书（“.jmbs”格式），一份备份标书文件（“.bfbs”格式）。</w:t>
            </w:r>
          </w:p>
          <w:p w14:paraId="5008DBB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2、每份电子响应文件应包括资格证明文件和商务及技术文件两部分。</w:t>
            </w:r>
          </w:p>
        </w:tc>
      </w:tr>
      <w:tr w14:paraId="1EACE6CE">
        <w:tblPrEx>
          <w:tblCellMar>
            <w:top w:w="0" w:type="dxa"/>
            <w:left w:w="108" w:type="dxa"/>
            <w:bottom w:w="0" w:type="dxa"/>
            <w:right w:w="108" w:type="dxa"/>
          </w:tblCellMar>
        </w:tblPrEx>
        <w:trPr>
          <w:trHeight w:val="731"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2045B84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18</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00D4014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响应文件的上传和递交</w:t>
            </w:r>
          </w:p>
        </w:tc>
        <w:tc>
          <w:tcPr>
            <w:tcW w:w="7286" w:type="dxa"/>
            <w:tcBorders>
              <w:top w:val="single" w:color="auto" w:sz="4" w:space="0"/>
              <w:left w:val="single" w:color="auto" w:sz="4" w:space="0"/>
              <w:bottom w:val="single" w:color="auto" w:sz="4" w:space="0"/>
              <w:right w:val="single" w:color="auto" w:sz="4" w:space="0"/>
            </w:tcBorders>
            <w:vAlign w:val="center"/>
          </w:tcPr>
          <w:p w14:paraId="74BF87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1.电子加密响应文件：响应文件制作完成并生成加密标书，在投标截止时间前，供应商需将加密的响应文件上传至政采云平台，在开标时间开始后，待采购组织机构发出解密通知后30分钟内解密响应文件。</w:t>
            </w:r>
          </w:p>
          <w:p w14:paraId="4E05A15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a.供应商未能在投标截止时间前成功上传电子加密响应文件的投标无效。</w:t>
            </w:r>
          </w:p>
          <w:p w14:paraId="2B989BE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b.供应商成功上传电子加密响应文件后，可自行打印响应文件接收回执。</w:t>
            </w:r>
          </w:p>
        </w:tc>
      </w:tr>
      <w:tr w14:paraId="410A3A3B">
        <w:tblPrEx>
          <w:tblCellMar>
            <w:top w:w="0" w:type="dxa"/>
            <w:left w:w="108" w:type="dxa"/>
            <w:bottom w:w="0" w:type="dxa"/>
            <w:right w:w="108" w:type="dxa"/>
          </w:tblCellMar>
        </w:tblPrEx>
        <w:trPr>
          <w:trHeight w:val="731"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1FAEF29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1E040B2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177CF61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），“备份响应文件”由供应商自愿提供，谈判文件不作强制性要求；如不提供或未按要求提供的，当电子响应文件无法解密时，将导致无备份响应文件而失去投标资格。</w:t>
            </w:r>
          </w:p>
          <w:p w14:paraId="48D91FE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5CD53B2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A99EAC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828941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19</w:t>
            </w:r>
          </w:p>
        </w:tc>
        <w:tc>
          <w:tcPr>
            <w:tcW w:w="1818" w:type="dxa"/>
            <w:tcBorders>
              <w:top w:val="single" w:color="auto" w:sz="4" w:space="0"/>
              <w:left w:val="single" w:color="auto" w:sz="4" w:space="0"/>
              <w:bottom w:val="single" w:color="auto" w:sz="4" w:space="0"/>
              <w:right w:val="single" w:color="auto" w:sz="4" w:space="0"/>
            </w:tcBorders>
            <w:vAlign w:val="center"/>
          </w:tcPr>
          <w:p w14:paraId="0DE8E6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评标委员会的组建</w:t>
            </w:r>
          </w:p>
        </w:tc>
        <w:tc>
          <w:tcPr>
            <w:tcW w:w="7286" w:type="dxa"/>
            <w:tcBorders>
              <w:top w:val="single" w:color="auto" w:sz="4" w:space="0"/>
              <w:left w:val="single" w:color="auto" w:sz="4" w:space="0"/>
              <w:bottom w:val="single" w:color="auto" w:sz="4" w:space="0"/>
              <w:right w:val="single" w:color="auto" w:sz="4" w:space="0"/>
            </w:tcBorders>
            <w:vAlign w:val="center"/>
          </w:tcPr>
          <w:p w14:paraId="0F2662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评标委员会由招标人依法组建，由采购人代表1人，评审专家2人，共3人组成。</w:t>
            </w:r>
          </w:p>
          <w:p w14:paraId="7226C06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评审专家确定方式：评审专家由招标人在开标前从政采云专家库中随机抽取。</w:t>
            </w:r>
          </w:p>
        </w:tc>
      </w:tr>
      <w:tr w14:paraId="30374154">
        <w:tblPrEx>
          <w:tblCellMar>
            <w:top w:w="0" w:type="dxa"/>
            <w:left w:w="108" w:type="dxa"/>
            <w:bottom w:w="0" w:type="dxa"/>
            <w:right w:w="108" w:type="dxa"/>
          </w:tblCellMar>
        </w:tblPrEx>
        <w:trPr>
          <w:trHeight w:val="75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30E913B">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20</w:t>
            </w:r>
          </w:p>
        </w:tc>
        <w:tc>
          <w:tcPr>
            <w:tcW w:w="1818" w:type="dxa"/>
            <w:tcBorders>
              <w:top w:val="single" w:color="auto" w:sz="4" w:space="0"/>
              <w:left w:val="single" w:color="auto" w:sz="4" w:space="0"/>
              <w:bottom w:val="single" w:color="auto" w:sz="4" w:space="0"/>
              <w:right w:val="single" w:color="auto" w:sz="4" w:space="0"/>
            </w:tcBorders>
            <w:vAlign w:val="center"/>
          </w:tcPr>
          <w:p w14:paraId="5688A74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是否授权评标委员会确定中标</w:t>
            </w:r>
            <w:r>
              <w:rPr>
                <w:rFonts w:hint="eastAsia" w:hAnsi="宋体" w:eastAsia="宋体" w:cs="宋体"/>
                <w:color w:val="auto"/>
                <w:sz w:val="21"/>
                <w:szCs w:val="21"/>
                <w:highlight w:val="none"/>
                <w:u w:val="none" w:color="000000"/>
                <w:lang w:val="en-US" w:eastAsia="zh-CN" w:bidi="en-US"/>
              </w:rPr>
              <w:t>（成交）</w:t>
            </w:r>
            <w:r>
              <w:rPr>
                <w:rFonts w:hint="eastAsia" w:ascii="宋体" w:hAnsi="宋体" w:eastAsia="宋体" w:cs="宋体"/>
                <w:color w:val="auto"/>
                <w:sz w:val="21"/>
                <w:szCs w:val="21"/>
                <w:highlight w:val="none"/>
                <w:u w:val="none" w:color="000000"/>
                <w:lang w:val="en-US" w:eastAsia="zh-CN" w:bidi="en-US"/>
              </w:rPr>
              <w:t>候选人</w:t>
            </w:r>
          </w:p>
        </w:tc>
        <w:tc>
          <w:tcPr>
            <w:tcW w:w="7286" w:type="dxa"/>
            <w:tcBorders>
              <w:top w:val="single" w:color="auto" w:sz="4" w:space="0"/>
              <w:left w:val="single" w:color="auto" w:sz="4" w:space="0"/>
              <w:bottom w:val="single" w:color="auto" w:sz="4" w:space="0"/>
              <w:right w:val="single" w:color="auto" w:sz="4" w:space="0"/>
            </w:tcBorders>
            <w:vAlign w:val="center"/>
          </w:tcPr>
          <w:p w14:paraId="600ABD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是。</w:t>
            </w:r>
          </w:p>
        </w:tc>
      </w:tr>
      <w:tr w14:paraId="3609087D">
        <w:tblPrEx>
          <w:tblCellMar>
            <w:top w:w="0" w:type="dxa"/>
            <w:left w:w="108" w:type="dxa"/>
            <w:bottom w:w="0" w:type="dxa"/>
            <w:right w:w="108" w:type="dxa"/>
          </w:tblCellMar>
        </w:tblPrEx>
        <w:trPr>
          <w:trHeight w:val="75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A70012B">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21</w:t>
            </w:r>
          </w:p>
        </w:tc>
        <w:tc>
          <w:tcPr>
            <w:tcW w:w="1818" w:type="dxa"/>
            <w:tcBorders>
              <w:top w:val="single" w:color="auto" w:sz="4" w:space="0"/>
              <w:left w:val="single" w:color="auto" w:sz="4" w:space="0"/>
              <w:bottom w:val="single" w:color="auto" w:sz="4" w:space="0"/>
              <w:right w:val="single" w:color="auto" w:sz="4" w:space="0"/>
            </w:tcBorders>
            <w:vAlign w:val="center"/>
          </w:tcPr>
          <w:p w14:paraId="22D1ACD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递交响应文件地点</w:t>
            </w:r>
          </w:p>
        </w:tc>
        <w:tc>
          <w:tcPr>
            <w:tcW w:w="7286" w:type="dxa"/>
            <w:tcBorders>
              <w:top w:val="single" w:color="auto" w:sz="4" w:space="0"/>
              <w:left w:val="single" w:color="auto" w:sz="4" w:space="0"/>
              <w:bottom w:val="single" w:color="auto" w:sz="4" w:space="0"/>
              <w:right w:val="single" w:color="auto" w:sz="4" w:space="0"/>
            </w:tcBorders>
            <w:vAlign w:val="center"/>
          </w:tcPr>
          <w:p w14:paraId="7C440CC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242ACBD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投标地点：请登录政采云投标客户端投标</w:t>
            </w:r>
          </w:p>
        </w:tc>
      </w:tr>
      <w:tr w14:paraId="089D24FA">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D5896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22</w:t>
            </w:r>
          </w:p>
        </w:tc>
        <w:tc>
          <w:tcPr>
            <w:tcW w:w="1818" w:type="dxa"/>
            <w:tcBorders>
              <w:top w:val="single" w:color="auto" w:sz="4" w:space="0"/>
              <w:left w:val="single" w:color="auto" w:sz="4" w:space="0"/>
              <w:bottom w:val="single" w:color="auto" w:sz="4" w:space="0"/>
              <w:right w:val="single" w:color="auto" w:sz="4" w:space="0"/>
            </w:tcBorders>
            <w:vAlign w:val="center"/>
          </w:tcPr>
          <w:p w14:paraId="0021717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开标时间和地点</w:t>
            </w:r>
          </w:p>
        </w:tc>
        <w:tc>
          <w:tcPr>
            <w:tcW w:w="7286" w:type="dxa"/>
            <w:tcBorders>
              <w:top w:val="single" w:color="auto" w:sz="4" w:space="0"/>
              <w:left w:val="single" w:color="auto" w:sz="4" w:space="0"/>
              <w:bottom w:val="single" w:color="auto" w:sz="4" w:space="0"/>
              <w:right w:val="single" w:color="auto" w:sz="4" w:space="0"/>
            </w:tcBorders>
            <w:vAlign w:val="center"/>
          </w:tcPr>
          <w:p w14:paraId="5D7854E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26</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0E10469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开标地点：投标人登录政采云平台https://www.zcygov.cn/，进入“项目采购-开标评标-右边选择对应项目点击“进入项目”进入开标大厅。         </w:t>
            </w:r>
          </w:p>
        </w:tc>
      </w:tr>
      <w:tr w14:paraId="25F6F305">
        <w:tblPrEx>
          <w:tblCellMar>
            <w:top w:w="0" w:type="dxa"/>
            <w:left w:w="108" w:type="dxa"/>
            <w:bottom w:w="0" w:type="dxa"/>
            <w:right w:w="108" w:type="dxa"/>
          </w:tblCellMar>
        </w:tblPrEx>
        <w:trPr>
          <w:trHeight w:val="710"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30266A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23</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7633409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重要说明</w:t>
            </w:r>
          </w:p>
        </w:tc>
        <w:tc>
          <w:tcPr>
            <w:tcW w:w="7286" w:type="dxa"/>
            <w:tcBorders>
              <w:top w:val="single" w:color="auto" w:sz="4" w:space="0"/>
              <w:left w:val="single" w:color="auto" w:sz="4" w:space="0"/>
              <w:bottom w:val="single" w:color="auto" w:sz="4" w:space="0"/>
              <w:right w:val="single" w:color="auto" w:sz="4" w:space="0"/>
            </w:tcBorders>
            <w:vAlign w:val="center"/>
          </w:tcPr>
          <w:p w14:paraId="3141B04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1.本项目采用全流程不见面电子开评标，投标供应商需要使用CA加密设备，供应商可通过新疆数字证书认证中心官网（https://www.xjca.com.cn/）或下载“新疆政务通”APP自行进行申领。</w:t>
            </w:r>
          </w:p>
          <w:p w14:paraId="4D4A972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2.本项目实行网上投标，采用加密电子响应文件(供应商须使用CA加密设备通过政采云电子投标客户端制作响应文件)。若供应商参与投标，自行承担投标一切费用。</w:t>
            </w:r>
          </w:p>
          <w:p w14:paraId="260181A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E5D1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70A7C9D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5.供应商在开标时须使用制作加密电子响应文件所使用的CA锁及电脑，电脑须提前配置好浏览器（建议使用谷歌浏览器），以便开标时解锁。</w:t>
            </w:r>
          </w:p>
          <w:p w14:paraId="2455D7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4F5EB1F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7.为了保证开评标顺利进行，政采云线上开标功能完全实现，供应商开标所使用的电脑设备须具有视频及语音功能。</w:t>
            </w:r>
          </w:p>
        </w:tc>
      </w:tr>
      <w:tr w14:paraId="206589B1">
        <w:tblPrEx>
          <w:tblCellMar>
            <w:top w:w="0" w:type="dxa"/>
            <w:left w:w="108" w:type="dxa"/>
            <w:bottom w:w="0" w:type="dxa"/>
            <w:right w:w="108" w:type="dxa"/>
          </w:tblCellMar>
        </w:tblPrEx>
        <w:trPr>
          <w:trHeight w:val="710"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478065EB">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7F6D3871">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7693302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1、电子招投标情况说明：</w:t>
            </w:r>
          </w:p>
          <w:p w14:paraId="49BA7D8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（1）电子招投标：本项目以数据电文形式，依托“政府采购云平台（www.zcygov.cn）”进行招投标活动。</w:t>
            </w:r>
          </w:p>
          <w:p w14:paraId="38BCB07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F2A86A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（3）谈判文件的获取：使用账号登录或者短信验证码或者使用CA登录政采云平台；进入“项目采购”应用，在获取谈判文件 菜单中选择项目，获取谈判文件 。</w:t>
            </w:r>
          </w:p>
          <w:p w14:paraId="7B5235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（4）响应文件的制作：在“政采云电子交易客户端”中完成“填写基本信息”、“导入响应文件”、“标书关联”、“标书检查”、“电子签名”、“生成电子标书”等操作。</w:t>
            </w:r>
          </w:p>
          <w:p w14:paraId="1277E11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（5）响应文件的传输递交：供应商在投标截止时间前将加密的响应文件上传至政府采购云平台，还可以在投标截止时间前以电子邮件方式提供备份响应文件1份（接收人邮箱：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），备份响应文件可以打包压缩并加密，压缩包命名为“XX单位备份响应文件”，加密密码由供应商自行保管（“备份响应文件”由供应商自愿提供，谈判文件 不作强制性要求；如不提供或未按要求提供的，当电子响应文件无法解密时，将导致无备份响应文件而失去投标资格）。</w:t>
            </w:r>
          </w:p>
          <w:p w14:paraId="07C19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1327F0C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（7）具体操作指南：详见政采云平台“服务中心-帮助文档-项目采购-操作流程-电子招投标-政府采购项目电子交易管理操作指南-供应商”。</w:t>
            </w:r>
          </w:p>
          <w:p w14:paraId="785AEF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（8）供应商在进行上述操作时，如遇技术问题可登录政采云（https://</w:t>
            </w:r>
            <w:r>
              <w:rPr>
                <w:rFonts w:hint="eastAsia" w:ascii="宋体" w:hAnsi="宋体" w:eastAsia="宋体" w:cs="宋体"/>
                <w:color w:val="auto"/>
                <w:sz w:val="21"/>
                <w:szCs w:val="21"/>
                <w:highlight w:val="none"/>
                <w:u w:val="none" w:color="000000"/>
                <w:lang w:val="en-US" w:eastAsia="zh-CN" w:bidi="en-US"/>
              </w:rPr>
              <w:fldChar w:fldCharType="begin"/>
            </w:r>
            <w:r>
              <w:rPr>
                <w:rFonts w:hint="eastAsia" w:ascii="宋体" w:hAnsi="宋体" w:eastAsia="宋体" w:cs="宋体"/>
                <w:color w:val="auto"/>
                <w:sz w:val="21"/>
                <w:szCs w:val="21"/>
                <w:highlight w:val="none"/>
                <w:u w:val="none" w:color="000000"/>
                <w:lang w:val="en-US" w:eastAsia="zh-CN" w:bidi="en-US"/>
              </w:rPr>
              <w:instrText xml:space="preserve"> HYPERLINK "http://www.zcygov.cn/" \h </w:instrText>
            </w:r>
            <w:r>
              <w:rPr>
                <w:rFonts w:hint="eastAsia" w:ascii="宋体" w:hAnsi="宋体" w:eastAsia="宋体" w:cs="宋体"/>
                <w:color w:val="auto"/>
                <w:sz w:val="21"/>
                <w:szCs w:val="21"/>
                <w:highlight w:val="none"/>
                <w:u w:val="none" w:color="000000"/>
                <w:lang w:val="en-US" w:eastAsia="zh-CN" w:bidi="en-US"/>
              </w:rPr>
              <w:fldChar w:fldCharType="separate"/>
            </w:r>
            <w:r>
              <w:rPr>
                <w:rFonts w:hint="eastAsia" w:ascii="宋体" w:hAnsi="宋体" w:eastAsia="宋体" w:cs="宋体"/>
                <w:color w:val="auto"/>
                <w:sz w:val="21"/>
                <w:szCs w:val="21"/>
                <w:highlight w:val="none"/>
                <w:u w:val="none" w:color="000000"/>
                <w:lang w:val="en-US" w:eastAsia="zh-CN" w:bidi="en-US"/>
              </w:rPr>
              <w:t>www.zcygov.cn/</w:t>
            </w:r>
            <w:r>
              <w:rPr>
                <w:rFonts w:hint="eastAsia" w:ascii="宋体" w:hAnsi="宋体" w:eastAsia="宋体" w:cs="宋体"/>
                <w:color w:val="auto"/>
                <w:sz w:val="21"/>
                <w:szCs w:val="21"/>
                <w:highlight w:val="none"/>
                <w:u w:val="none" w:color="000000"/>
                <w:lang w:val="en-US" w:eastAsia="zh-CN" w:bidi="en-US"/>
              </w:rPr>
              <w:fldChar w:fldCharType="end"/>
            </w:r>
            <w:r>
              <w:rPr>
                <w:rFonts w:hint="eastAsia" w:ascii="宋体" w:hAnsi="宋体" w:eastAsia="宋体" w:cs="宋体"/>
                <w:color w:val="auto"/>
                <w:sz w:val="21"/>
                <w:szCs w:val="21"/>
                <w:highlight w:val="none"/>
                <w:u w:val="none" w:color="000000"/>
                <w:lang w:val="en-US" w:eastAsia="zh-CN" w:bidi="en-US"/>
              </w:rPr>
              <w:t>），点击右侧咨询小采，获取采小蜜智能服务管家帮助，或拨打政采云服务热线 95763 获取热线服务帮助。</w:t>
            </w:r>
          </w:p>
          <w:p w14:paraId="5426CCF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温馨提醒：供应商应提前上传，以便在上传时遇到技术问题，有充足的时间请教平台的技术人员。</w:t>
            </w:r>
          </w:p>
          <w:p w14:paraId="3789F81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4A8B0E9">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727D91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24</w:t>
            </w:r>
          </w:p>
        </w:tc>
        <w:tc>
          <w:tcPr>
            <w:tcW w:w="1818" w:type="dxa"/>
            <w:tcBorders>
              <w:top w:val="single" w:color="auto" w:sz="4" w:space="0"/>
              <w:left w:val="single" w:color="auto" w:sz="4" w:space="0"/>
              <w:bottom w:val="single" w:color="auto" w:sz="4" w:space="0"/>
              <w:right w:val="single" w:color="auto" w:sz="4" w:space="0"/>
            </w:tcBorders>
            <w:vAlign w:val="center"/>
          </w:tcPr>
          <w:p w14:paraId="0DC8BB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成交候选人公示媒介</w:t>
            </w:r>
          </w:p>
        </w:tc>
        <w:tc>
          <w:tcPr>
            <w:tcW w:w="7286" w:type="dxa"/>
            <w:tcBorders>
              <w:top w:val="single" w:color="auto" w:sz="4" w:space="0"/>
              <w:left w:val="single" w:color="auto" w:sz="4" w:space="0"/>
              <w:bottom w:val="single" w:color="auto" w:sz="4" w:space="0"/>
              <w:right w:val="single" w:color="auto" w:sz="4" w:space="0"/>
            </w:tcBorders>
            <w:vAlign w:val="center"/>
          </w:tcPr>
          <w:p w14:paraId="781238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新疆政府采购网、克州公共资源交易网，公示期为一个工作日。</w:t>
            </w:r>
          </w:p>
        </w:tc>
      </w:tr>
      <w:tr w14:paraId="7706C205">
        <w:tblPrEx>
          <w:tblCellMar>
            <w:top w:w="0" w:type="dxa"/>
            <w:left w:w="108" w:type="dxa"/>
            <w:bottom w:w="0" w:type="dxa"/>
            <w:right w:w="108" w:type="dxa"/>
          </w:tblCellMar>
        </w:tblPrEx>
        <w:trPr>
          <w:trHeight w:val="4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51FE7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25</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7312E91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招标代理服务费</w:t>
            </w:r>
          </w:p>
        </w:tc>
      </w:tr>
      <w:tr w14:paraId="711759A9">
        <w:tblPrEx>
          <w:tblCellMar>
            <w:top w:w="0" w:type="dxa"/>
            <w:left w:w="108" w:type="dxa"/>
            <w:bottom w:w="0" w:type="dxa"/>
            <w:right w:w="108" w:type="dxa"/>
          </w:tblCellMar>
        </w:tblPrEx>
        <w:trPr>
          <w:trHeight w:val="65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0DDA42">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2953A0F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招标代理费根据《中华人民共和国招标投标法》、《中华人民共和国招标投标法实施条</w:t>
            </w:r>
            <w:r>
              <w:rPr>
                <w:rFonts w:hint="default" w:ascii="宋体" w:hAnsi="宋体" w:eastAsia="宋体" w:cs="宋体"/>
                <w:color w:val="auto"/>
                <w:sz w:val="21"/>
                <w:szCs w:val="21"/>
                <w:highlight w:val="none"/>
                <w:u w:val="none" w:color="000000"/>
                <w:lang w:val="en-US" w:eastAsia="zh-CN" w:bidi="en-US"/>
              </w:rPr>
              <w:t>例》</w:t>
            </w:r>
            <w:r>
              <w:rPr>
                <w:rFonts w:hint="eastAsia" w:ascii="宋体" w:hAnsi="宋体" w:eastAsia="宋体" w:cs="宋体"/>
                <w:color w:val="auto"/>
                <w:sz w:val="21"/>
                <w:szCs w:val="21"/>
                <w:highlight w:val="none"/>
                <w:u w:val="none" w:color="000000"/>
                <w:lang w:val="en-US" w:eastAsia="zh-CN" w:bidi="en-US"/>
              </w:rPr>
              <w:t>、</w:t>
            </w:r>
            <w:r>
              <w:rPr>
                <w:rFonts w:hint="default" w:ascii="宋体" w:hAnsi="宋体" w:eastAsia="宋体" w:cs="宋体"/>
                <w:color w:val="auto"/>
                <w:sz w:val="21"/>
                <w:szCs w:val="21"/>
                <w:highlight w:val="none"/>
                <w:u w:val="none" w:color="000000"/>
                <w:lang w:val="en-US" w:eastAsia="zh-CN" w:bidi="en-US"/>
              </w:rPr>
              <w:t>《国家发展改革委关于进一步放开建设项目专业服务价格的通知》（发改价格【2015】299号）文件等规定收费基准价格计取。</w:t>
            </w:r>
          </w:p>
        </w:tc>
      </w:tr>
      <w:tr w14:paraId="27FF4B7D">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5F4FD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26</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1F1F8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评标办法：本项目采用最低评标价法</w:t>
            </w:r>
          </w:p>
        </w:tc>
      </w:tr>
      <w:tr w14:paraId="1BE08BAA">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9195EC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27</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0FC6CE2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不管投标结果如何，投标人均应承担自己投标所需一切费用。</w:t>
            </w:r>
          </w:p>
        </w:tc>
      </w:tr>
      <w:tr w14:paraId="77691689">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B30656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28</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482C8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right="0"/>
              <w:jc w:val="both"/>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宋体" w:hAnsi="宋体" w:eastAsia="宋体" w:cs="宋体"/>
                <w:color w:val="auto"/>
                <w:sz w:val="21"/>
                <w:szCs w:val="21"/>
                <w:highlight w:val="none"/>
                <w:u w:val="none" w:color="000000"/>
                <w:lang w:val="en-US" w:eastAsia="zh-CN" w:bidi="en-US"/>
              </w:rPr>
              <w:t>本次招标预算价：</w:t>
            </w:r>
            <w:r>
              <w:rPr>
                <w:rFonts w:hint="eastAsia" w:hAnsi="宋体" w:eastAsia="宋体" w:cs="宋体"/>
                <w:color w:val="auto"/>
                <w:sz w:val="21"/>
                <w:szCs w:val="21"/>
                <w:highlight w:val="none"/>
                <w:u w:val="none" w:color="000000"/>
                <w:lang w:val="en-US" w:eastAsia="zh-CN" w:bidi="en-US"/>
              </w:rPr>
              <w:t>1700000.00</w:t>
            </w:r>
            <w:r>
              <w:rPr>
                <w:rFonts w:hint="eastAsia" w:ascii="宋体" w:hAnsi="宋体" w:eastAsia="宋体" w:cs="宋体"/>
                <w:color w:val="auto"/>
                <w:sz w:val="21"/>
                <w:szCs w:val="21"/>
                <w:highlight w:val="none"/>
                <w:u w:val="none" w:color="000000"/>
                <w:lang w:val="en-US" w:eastAsia="zh-CN" w:bidi="en-US"/>
              </w:rPr>
              <w:t>元，</w:t>
            </w: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50D20D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投标总报价超过招标</w:t>
            </w:r>
            <w:r>
              <w:rPr>
                <w:rFonts w:hint="eastAsia" w:hAnsi="宋体" w:eastAsia="宋体" w:cs="宋体"/>
                <w:color w:val="auto"/>
                <w:sz w:val="21"/>
                <w:szCs w:val="21"/>
                <w:highlight w:val="none"/>
                <w:u w:val="none" w:color="000000"/>
                <w:lang w:val="en-US" w:eastAsia="zh-CN" w:bidi="en-US"/>
              </w:rPr>
              <w:t>最高限</w:t>
            </w:r>
            <w:r>
              <w:rPr>
                <w:rFonts w:hint="eastAsia" w:ascii="宋体" w:hAnsi="宋体" w:eastAsia="宋体" w:cs="宋体"/>
                <w:color w:val="auto"/>
                <w:sz w:val="21"/>
                <w:szCs w:val="21"/>
                <w:highlight w:val="none"/>
                <w:u w:val="none" w:color="000000"/>
                <w:lang w:val="en-US" w:eastAsia="zh-CN" w:bidi="en-US"/>
              </w:rPr>
              <w:t>价的按废标处理。</w:t>
            </w:r>
          </w:p>
        </w:tc>
      </w:tr>
      <w:tr w14:paraId="75EFB6EE">
        <w:tblPrEx>
          <w:tblCellMar>
            <w:top w:w="0" w:type="dxa"/>
            <w:left w:w="108" w:type="dxa"/>
            <w:bottom w:w="0" w:type="dxa"/>
            <w:right w:w="108" w:type="dxa"/>
          </w:tblCellMar>
        </w:tblPrEx>
        <w:trPr>
          <w:trHeight w:val="4352"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146F884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29</w:t>
            </w:r>
          </w:p>
        </w:tc>
        <w:tc>
          <w:tcPr>
            <w:tcW w:w="1818" w:type="dxa"/>
            <w:tcBorders>
              <w:top w:val="single" w:color="auto" w:sz="4" w:space="0"/>
              <w:left w:val="single" w:color="auto" w:sz="4" w:space="0"/>
              <w:bottom w:val="single" w:color="auto" w:sz="4" w:space="0"/>
              <w:right w:val="single" w:color="auto" w:sz="4" w:space="0"/>
            </w:tcBorders>
            <w:vAlign w:val="center"/>
          </w:tcPr>
          <w:p w14:paraId="443762B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w:t>
            </w:r>
          </w:p>
        </w:tc>
        <w:tc>
          <w:tcPr>
            <w:tcW w:w="7286" w:type="dxa"/>
            <w:tcBorders>
              <w:top w:val="single" w:color="auto" w:sz="4" w:space="0"/>
              <w:left w:val="single" w:color="auto" w:sz="4" w:space="0"/>
              <w:bottom w:val="single" w:color="auto" w:sz="4" w:space="0"/>
              <w:right w:val="single" w:color="auto" w:sz="4" w:space="0"/>
            </w:tcBorders>
            <w:vAlign w:val="center"/>
          </w:tcPr>
          <w:p w14:paraId="6DFCB35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根据财政部、工业和信息化部关于印发《政府采购促进中小企业发展管理办法》的通知（财库[2020]46号）和关于进一步加大政府采购支持中小企业力度的通知-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货物）》。</w:t>
            </w:r>
          </w:p>
          <w:p w14:paraId="625383F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2B3F9A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6AB41840">
        <w:tblPrEx>
          <w:tblCellMar>
            <w:top w:w="0" w:type="dxa"/>
            <w:left w:w="108" w:type="dxa"/>
            <w:bottom w:w="0" w:type="dxa"/>
            <w:right w:w="108" w:type="dxa"/>
          </w:tblCellMar>
        </w:tblPrEx>
        <w:trPr>
          <w:trHeight w:val="312"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6EEC9F3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tcBorders>
              <w:top w:val="single" w:color="auto" w:sz="4" w:space="0"/>
              <w:left w:val="single" w:color="auto" w:sz="4" w:space="0"/>
              <w:bottom w:val="single" w:color="auto" w:sz="4" w:space="0"/>
              <w:right w:val="single" w:color="auto" w:sz="4" w:space="0"/>
            </w:tcBorders>
            <w:vAlign w:val="center"/>
          </w:tcPr>
          <w:p w14:paraId="4E9173E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中小微企业政策文件说明</w:t>
            </w:r>
          </w:p>
        </w:tc>
        <w:tc>
          <w:tcPr>
            <w:tcW w:w="7286" w:type="dxa"/>
            <w:tcBorders>
              <w:top w:val="single" w:color="auto" w:sz="4" w:space="0"/>
              <w:left w:val="single" w:color="auto" w:sz="4" w:space="0"/>
              <w:bottom w:val="single" w:color="auto" w:sz="4" w:space="0"/>
              <w:right w:val="single" w:color="auto" w:sz="4" w:space="0"/>
            </w:tcBorders>
            <w:vAlign w:val="center"/>
          </w:tcPr>
          <w:p w14:paraId="6FC80A9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1.本项目为专门面向中小企业项目，资金为全部预留。</w:t>
            </w:r>
          </w:p>
          <w:p w14:paraId="1A05B33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2.本采购项目中小企业划分标准所属行业为：</w:t>
            </w:r>
            <w:r>
              <w:rPr>
                <w:rFonts w:hint="eastAsia" w:ascii="宋体" w:hAnsi="宋体" w:eastAsia="宋体" w:cs="宋体"/>
                <w:b/>
                <w:bCs/>
                <w:color w:val="auto"/>
                <w:sz w:val="21"/>
                <w:szCs w:val="21"/>
                <w:highlight w:val="none"/>
                <w:u w:val="single" w:color="auto"/>
                <w:lang w:val="en-US" w:eastAsia="zh-CN" w:bidi="en-US"/>
              </w:rPr>
              <w:t>工业</w:t>
            </w:r>
            <w:r>
              <w:rPr>
                <w:rFonts w:hint="eastAsia" w:ascii="宋体" w:hAnsi="宋体" w:eastAsia="宋体" w:cs="宋体"/>
                <w:color w:val="auto"/>
                <w:sz w:val="21"/>
                <w:szCs w:val="21"/>
                <w:highlight w:val="none"/>
                <w:u w:val="single" w:color="auto"/>
                <w:lang w:val="en-US" w:eastAsia="zh-CN" w:bidi="en-US"/>
              </w:rPr>
              <w:t>。</w:t>
            </w:r>
          </w:p>
          <w:p w14:paraId="5390935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3.着重提醒：投标供应商在提供《中小企业声明函》时，必须将招标文件采购标的物全部列入《中小企业声明函》，否则按废标处理。</w:t>
            </w:r>
          </w:p>
        </w:tc>
      </w:tr>
      <w:tr w14:paraId="39F2A843">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6AAC823">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30</w:t>
            </w:r>
          </w:p>
        </w:tc>
        <w:tc>
          <w:tcPr>
            <w:tcW w:w="1818" w:type="dxa"/>
            <w:tcBorders>
              <w:top w:val="single" w:color="auto" w:sz="4" w:space="0"/>
              <w:left w:val="single" w:color="auto" w:sz="4" w:space="0"/>
              <w:bottom w:val="single" w:color="auto" w:sz="4" w:space="0"/>
              <w:right w:val="single" w:color="auto" w:sz="4" w:space="0"/>
            </w:tcBorders>
            <w:vAlign w:val="center"/>
          </w:tcPr>
          <w:p w14:paraId="13B4625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各行业划型标准为：</w:t>
            </w:r>
          </w:p>
        </w:tc>
        <w:tc>
          <w:tcPr>
            <w:tcW w:w="7286" w:type="dxa"/>
            <w:tcBorders>
              <w:top w:val="single" w:color="auto" w:sz="4" w:space="0"/>
              <w:left w:val="single" w:color="auto" w:sz="4" w:space="0"/>
              <w:bottom w:val="single" w:color="auto" w:sz="4" w:space="0"/>
              <w:right w:val="single" w:color="auto" w:sz="4" w:space="0"/>
            </w:tcBorders>
            <w:vAlign w:val="center"/>
          </w:tcPr>
          <w:p w14:paraId="297CDF1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DC10C8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5BE1F5F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C2B9E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7607C9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84D71E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319268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E9E61A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7ACF08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197E30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2620A1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B2D871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3D1347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078648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F2A05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1CB155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20F84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2658AB3E">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五、企业类型的划分以统计部门的统计数据为依据。</w:t>
            </w:r>
          </w:p>
          <w:p w14:paraId="64F9D92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六、本规定适用于在中华人民共和国境内依法设立的各类所有制和各种组织形式的企业。个体工商户和本规定以外的行业，参照本规定进行划型。</w:t>
            </w:r>
          </w:p>
          <w:p w14:paraId="2F993CF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5A095CAC">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八、本规定由工业和信息化部、国家统计局会同有关部门根据《国民经济行业分类》修订情况和企业发展变化情况适时修订。</w:t>
            </w:r>
          </w:p>
          <w:p w14:paraId="746B5684">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九、本规定由工业和信息化部、国家统计局会同有关部门负责解释。</w:t>
            </w:r>
          </w:p>
          <w:p w14:paraId="3935343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十、本规定自发布之日起执行，原国家经贸委、原国家计委、财政部和国家统计局2003年颁布的《中小企业标准暂行规定》同时废止。</w:t>
            </w:r>
          </w:p>
        </w:tc>
      </w:tr>
      <w:tr w14:paraId="03D52FCB">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958DB3">
            <w:pPr>
              <w:snapToGrid w:val="0"/>
              <w:spacing w:line="290" w:lineRule="exact"/>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宋体" w:hAnsi="宋体" w:cs="宋体"/>
                <w:color w:val="auto"/>
                <w:kern w:val="2"/>
                <w:sz w:val="21"/>
                <w:szCs w:val="21"/>
                <w:highlight w:val="none"/>
                <w:lang w:val="en-US" w:eastAsia="zh-CN" w:bidi="ar-SA"/>
              </w:rPr>
              <w:t>31</w:t>
            </w:r>
          </w:p>
        </w:tc>
        <w:tc>
          <w:tcPr>
            <w:tcW w:w="1818" w:type="dxa"/>
            <w:tcBorders>
              <w:top w:val="single" w:color="auto" w:sz="4" w:space="0"/>
              <w:left w:val="single" w:color="auto" w:sz="4" w:space="0"/>
              <w:bottom w:val="single" w:color="auto" w:sz="4" w:space="0"/>
              <w:right w:val="single" w:color="auto" w:sz="4" w:space="0"/>
            </w:tcBorders>
            <w:vAlign w:val="center"/>
          </w:tcPr>
          <w:p w14:paraId="630E345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 w:val="21"/>
                <w:szCs w:val="21"/>
                <w:highlight w:val="none"/>
                <w:u w:val="none" w:color="000000"/>
                <w:lang w:val="en-US" w:eastAsia="zh-CN" w:bidi="en-US"/>
              </w:rPr>
              <w:t>低于成本价不正当竞争预防措施</w:t>
            </w:r>
          </w:p>
        </w:tc>
        <w:tc>
          <w:tcPr>
            <w:tcW w:w="7286" w:type="dxa"/>
            <w:tcBorders>
              <w:top w:val="single" w:color="auto" w:sz="4" w:space="0"/>
              <w:left w:val="single" w:color="auto" w:sz="4" w:space="0"/>
              <w:bottom w:val="single" w:color="auto" w:sz="4" w:space="0"/>
              <w:right w:val="single" w:color="auto" w:sz="4" w:space="0"/>
            </w:tcBorders>
            <w:vAlign w:val="center"/>
          </w:tcPr>
          <w:p w14:paraId="65DC880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根据财库〔2026〕2号《关于推动解决政府采购异常低价问题的通知》</w:t>
            </w:r>
          </w:p>
          <w:p w14:paraId="569569D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为强化政府采购异常低价审查，在此次政府采购评审中出现下列情形之一的，评审委员会应当启动异常低价投标（响应）审查程序：</w:t>
            </w:r>
          </w:p>
          <w:p w14:paraId="49D39EE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1.投标（响应）报价低于全部通过符合性审查供应商投标（响应）报价平均值50%的，即投标（响应）报价&lt;全部通过符合性审查供应商投标（响应）报价平均值×50%；</w:t>
            </w:r>
          </w:p>
          <w:p w14:paraId="4A31598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2.投标（响应）报价低于通过符合性审查的次低报价供应商投标（响应）报价50%的，即投标（响应）报价&lt;通过符合性审查的次低报价供应商投标（响应）报价×50%；</w:t>
            </w:r>
          </w:p>
          <w:p w14:paraId="27CE657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3.投标（响应）报价低于采购项目最高限价45%的，即投标（响应）报价&lt;采购项目最高限价×45%；</w:t>
            </w:r>
          </w:p>
          <w:p w14:paraId="0D8A18AA">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4.评审委员会基于专业判断，认为供应商报价过低，有可能影响产品质量或者不能诚信履约的其他情形。</w:t>
            </w:r>
          </w:p>
          <w:p w14:paraId="590F8C2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在评审过程中，评审小组应当要求其在开标现场合理的时间内提供书面说明，并提交相关证明材料，投标人不能证明其报价合理性的，评审小组应当将其作为无效处理。</w:t>
            </w:r>
          </w:p>
          <w:p w14:paraId="316DECA0">
            <w:pPr>
              <w:pStyle w:val="29"/>
              <w:ind w:left="0" w:leftChars="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3547215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8FE7133">
            <w:pPr>
              <w:keepNext w:val="0"/>
              <w:keepLines w:val="0"/>
              <w:pageBreakBefore w:val="0"/>
              <w:kinsoku/>
              <w:overflowPunct/>
              <w:topLinePunct w:val="0"/>
              <w:autoSpaceDN/>
              <w:bidi w:val="0"/>
              <w:adjustRightInd/>
              <w:spacing w:line="420" w:lineRule="exact"/>
              <w:jc w:val="center"/>
              <w:textAlignment w:val="auto"/>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仿宋" w:hAnsi="仿宋" w:eastAsia="仿宋" w:cs="仿宋"/>
                <w:szCs w:val="21"/>
                <w:lang w:val="en-US" w:eastAsia="zh-CN"/>
              </w:rPr>
              <w:t>32</w:t>
            </w:r>
          </w:p>
        </w:tc>
        <w:tc>
          <w:tcPr>
            <w:tcW w:w="1818" w:type="dxa"/>
            <w:tcBorders>
              <w:top w:val="single" w:color="auto" w:sz="4" w:space="0"/>
              <w:left w:val="single" w:color="auto" w:sz="4" w:space="0"/>
              <w:bottom w:val="single" w:color="auto" w:sz="4" w:space="0"/>
              <w:right w:val="single" w:color="auto" w:sz="4" w:space="0"/>
            </w:tcBorders>
            <w:vAlign w:val="center"/>
          </w:tcPr>
          <w:p w14:paraId="7F3DEA27">
            <w:pPr>
              <w:keepNext w:val="0"/>
              <w:keepLines w:val="0"/>
              <w:pageBreakBefore w:val="0"/>
              <w:kinsoku/>
              <w:overflowPunct/>
              <w:topLinePunct w:val="0"/>
              <w:autoSpaceDN/>
              <w:bidi w:val="0"/>
              <w:adjustRightInd/>
              <w:snapToGrid w:val="0"/>
              <w:spacing w:line="420" w:lineRule="exact"/>
              <w:jc w:val="center"/>
              <w:textAlignment w:val="auto"/>
              <w:rPr>
                <w:rFonts w:hint="eastAsia" w:ascii="宋体" w:hAnsi="宋体" w:eastAsia="宋体" w:cs="宋体"/>
                <w:color w:val="auto"/>
                <w:sz w:val="21"/>
                <w:szCs w:val="21"/>
                <w:highlight w:val="none"/>
                <w:u w:val="none" w:color="000000"/>
                <w:lang w:val="en-US" w:eastAsia="zh-CN" w:bidi="en-US"/>
              </w:rPr>
            </w:pPr>
            <w:r>
              <w:rPr>
                <w:rFonts w:hint="eastAsia" w:ascii="仿宋" w:hAnsi="仿宋" w:eastAsia="仿宋" w:cs="仿宋"/>
                <w:szCs w:val="21"/>
                <w:lang w:val="en-US" w:eastAsia="zh-CN"/>
              </w:rPr>
              <w:t>国产政策文件</w:t>
            </w:r>
          </w:p>
        </w:tc>
        <w:tc>
          <w:tcPr>
            <w:tcW w:w="7286" w:type="dxa"/>
            <w:tcBorders>
              <w:top w:val="single" w:color="auto" w:sz="4" w:space="0"/>
              <w:left w:val="single" w:color="auto" w:sz="4" w:space="0"/>
              <w:bottom w:val="single" w:color="auto" w:sz="4" w:space="0"/>
              <w:right w:val="single" w:color="auto" w:sz="4" w:space="0"/>
            </w:tcBorders>
            <w:vAlign w:val="top"/>
          </w:tcPr>
          <w:p w14:paraId="26B0296E">
            <w:pPr>
              <w:keepNext w:val="0"/>
              <w:keepLines w:val="0"/>
              <w:pageBreakBefore w:val="0"/>
              <w:kinsoku/>
              <w:overflowPunct/>
              <w:topLinePunct w:val="0"/>
              <w:autoSpaceDN/>
              <w:bidi w:val="0"/>
              <w:adjustRightInd/>
              <w:snapToGrid w:val="0"/>
              <w:spacing w:line="420" w:lineRule="exact"/>
              <w:textAlignment w:val="auto"/>
              <w:rPr>
                <w:rFonts w:hint="eastAsia" w:ascii="仿宋" w:hAnsi="仿宋" w:eastAsia="仿宋" w:cs="仿宋"/>
                <w:color w:val="auto"/>
                <w:kern w:val="0"/>
                <w:szCs w:val="21"/>
                <w:highlight w:val="none"/>
                <w:u w:val="none"/>
                <w:lang w:val="en-US" w:eastAsia="zh-CN"/>
              </w:rPr>
            </w:pPr>
            <w:r>
              <w:rPr>
                <w:rFonts w:hint="eastAsia" w:ascii="仿宋" w:hAnsi="仿宋" w:eastAsia="仿宋" w:cs="仿宋"/>
                <w:color w:val="auto"/>
                <w:kern w:val="0"/>
                <w:szCs w:val="21"/>
                <w:highlight w:val="none"/>
                <w:u w:val="none"/>
                <w:lang w:val="en-US" w:eastAsia="zh-CN"/>
              </w:rPr>
              <w:t>1.政府采购中实施本国产品标准及相关政策：1）根据国务院办公厅国办发〔2025〕34号《国务院办公厅关于在政府采购中实施本国产品标准及相关政策的通知》相关要求，按招标文件格式提供《关于符合本国产品标准的声明函》；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A33E3A">
            <w:pPr>
              <w:keepNext w:val="0"/>
              <w:keepLines w:val="0"/>
              <w:pageBreakBefore w:val="0"/>
              <w:kinsoku/>
              <w:overflowPunct/>
              <w:topLinePunct w:val="0"/>
              <w:autoSpaceDN/>
              <w:bidi w:val="0"/>
              <w:adjustRightInd/>
              <w:snapToGrid w:val="0"/>
              <w:spacing w:line="420" w:lineRule="exact"/>
              <w:textAlignment w:val="auto"/>
              <w:rPr>
                <w:rFonts w:hint="eastAsia" w:ascii="宋体" w:hAnsi="宋体" w:eastAsia="宋体" w:cs="宋体"/>
                <w:color w:val="auto"/>
                <w:sz w:val="21"/>
                <w:szCs w:val="21"/>
                <w:highlight w:val="none"/>
                <w:u w:val="none" w:color="000000"/>
                <w:lang w:val="zh-CN" w:eastAsia="zh-CN" w:bidi="en-US"/>
              </w:rPr>
            </w:pPr>
            <w:r>
              <w:rPr>
                <w:rFonts w:hint="eastAsia" w:ascii="仿宋" w:hAnsi="仿宋" w:eastAsia="仿宋" w:cs="仿宋"/>
                <w:color w:val="auto"/>
                <w:kern w:val="0"/>
                <w:szCs w:val="21"/>
                <w:highlight w:val="none"/>
                <w:u w:val="none"/>
                <w:lang w:val="en-US" w:eastAsia="zh-CN"/>
              </w:rPr>
              <w:t>着重提醒：投标供应商必须将招标文件采购标的物全部列入《关于符合本国产品标准的声明函》，否则不享受对本国产品的政府采购支持政策。</w:t>
            </w:r>
          </w:p>
        </w:tc>
      </w:tr>
      <w:tr w14:paraId="4D3E6DC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78CB4BC">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33</w:t>
            </w:r>
          </w:p>
        </w:tc>
        <w:tc>
          <w:tcPr>
            <w:tcW w:w="1818" w:type="dxa"/>
            <w:tcBorders>
              <w:top w:val="single" w:color="auto" w:sz="4" w:space="0"/>
              <w:left w:val="single" w:color="auto" w:sz="4" w:space="0"/>
              <w:bottom w:val="single" w:color="auto" w:sz="4" w:space="0"/>
              <w:right w:val="single" w:color="auto" w:sz="4" w:space="0"/>
            </w:tcBorders>
            <w:vAlign w:val="center"/>
          </w:tcPr>
          <w:p w14:paraId="595E5F0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履约保证金</w:t>
            </w:r>
          </w:p>
        </w:tc>
        <w:tc>
          <w:tcPr>
            <w:tcW w:w="7286" w:type="dxa"/>
            <w:tcBorders>
              <w:top w:val="single" w:color="auto" w:sz="4" w:space="0"/>
              <w:left w:val="single" w:color="auto" w:sz="4" w:space="0"/>
              <w:bottom w:val="single" w:color="auto" w:sz="4" w:space="0"/>
              <w:right w:val="single" w:color="auto" w:sz="4" w:space="0"/>
            </w:tcBorders>
            <w:vAlign w:val="center"/>
          </w:tcPr>
          <w:p w14:paraId="0A48533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成交人应在领取《成交通知书》后的5个工作日内，办理履约保证金（供应商应当以支票、汇票、本票或者金融机构、担保机构出具的保函等非现金形式提交，若以电汇、银行转账方式提交的，必须转到采购人的指定账户）履约保证金为合同总价的2%。</w:t>
            </w:r>
          </w:p>
        </w:tc>
      </w:tr>
      <w:tr w14:paraId="7B3A38EC">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23CB7E5">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备注</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718CCA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1、着重提醒各投标人注意，并认真查看采购文件中的每一个条款及要求，因误读采购文件而造成的后果，招标人概不负责。</w:t>
            </w:r>
          </w:p>
          <w:p w14:paraId="2D72CC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除法律、法规和规章规定外，采购文件中用“拒绝”、“不接受”、“无效”、“不得”等文字规定，对其中任何一条的偏离，在评审时将其视为无效文件。未用上述文字规定或符号标注的条款为非实质性要求条款(即一般条款)。</w:t>
            </w:r>
          </w:p>
          <w:p w14:paraId="5687631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670A08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4CB2A03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5、投标人使用相同IP地址的，一经发现，相关部门将进一步核实，查实后按串通投标处理。</w:t>
            </w:r>
          </w:p>
          <w:p w14:paraId="78D20C4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请供应商正确填写报价。</w:t>
            </w:r>
          </w:p>
          <w:p w14:paraId="66D7652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7、其他：</w:t>
            </w:r>
          </w:p>
          <w:p w14:paraId="78BBA7C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（1）投标企业严格遵守国家的法律法规及招标纪律，无违法违纪及商业贿赂行为。</w:t>
            </w:r>
          </w:p>
          <w:p w14:paraId="06D9D0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（2）不管投标结果如何，供应商均应自行承担投标所需一切费用。</w:t>
            </w:r>
          </w:p>
          <w:p w14:paraId="3641F66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3</w:t>
            </w:r>
            <w:r>
              <w:rPr>
                <w:rFonts w:hint="eastAsia" w:ascii="宋体" w:hAnsi="宋体" w:eastAsia="宋体" w:cs="宋体"/>
                <w:color w:val="auto"/>
                <w:sz w:val="21"/>
                <w:szCs w:val="21"/>
                <w:highlight w:val="none"/>
                <w:u w:val="none" w:color="000000"/>
                <w:lang w:val="en-US" w:eastAsia="zh-CN" w:bidi="en-US"/>
              </w:rPr>
              <w:t>）采购文件中如出现前后不一致情况，均以前附表内容为准。</w:t>
            </w:r>
          </w:p>
          <w:p w14:paraId="33448C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w:t>
            </w:r>
            <w:r>
              <w:rPr>
                <w:rFonts w:hint="eastAsia" w:hAnsi="宋体" w:eastAsia="宋体" w:cs="宋体"/>
                <w:color w:val="auto"/>
                <w:sz w:val="21"/>
                <w:szCs w:val="21"/>
                <w:highlight w:val="none"/>
                <w:u w:val="none" w:color="000000"/>
                <w:lang w:val="en-US" w:eastAsia="zh-CN" w:bidi="en-US"/>
              </w:rPr>
              <w:t>付款方式：合同签订后，供应方向采购方提供中标价2%的履约保证金，采购方向供应方支付合同价50％预付款，验收合格后，采购方向供应方支付合同货款的50%。</w:t>
            </w:r>
            <w:r>
              <w:rPr>
                <w:rFonts w:hint="eastAsia" w:ascii="宋体" w:hAnsi="宋体" w:eastAsia="宋体" w:cs="宋体"/>
                <w:color w:val="auto"/>
                <w:sz w:val="21"/>
                <w:szCs w:val="21"/>
                <w:highlight w:val="none"/>
                <w:u w:val="none" w:color="000000"/>
                <w:lang w:val="en-US" w:eastAsia="zh-CN" w:bidi="en-US"/>
              </w:rPr>
              <w:t>，</w:t>
            </w:r>
          </w:p>
          <w:p w14:paraId="7930BAD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hAnsi="宋体" w:eastAsia="宋体" w:cs="宋体"/>
                <w:color w:val="auto"/>
                <w:sz w:val="21"/>
                <w:szCs w:val="21"/>
                <w:highlight w:val="none"/>
                <w:u w:val="none" w:color="000000"/>
                <w:lang w:val="en-US" w:eastAsia="zh-CN" w:bidi="en-US"/>
              </w:rPr>
              <w:t>9、</w:t>
            </w:r>
            <w:r>
              <w:rPr>
                <w:rFonts w:hint="eastAsia" w:ascii="宋体" w:hAnsi="宋体" w:eastAsia="宋体" w:cs="宋体"/>
                <w:color w:val="auto"/>
                <w:sz w:val="21"/>
                <w:szCs w:val="21"/>
                <w:highlight w:val="none"/>
                <w:u w:val="none" w:color="000000"/>
                <w:lang w:val="en-US" w:eastAsia="zh-CN" w:bidi="en-US"/>
              </w:rPr>
              <w:t>如设备无法满</w:t>
            </w:r>
            <w:r>
              <w:rPr>
                <w:rFonts w:hint="eastAsia" w:hAnsi="宋体" w:eastAsia="宋体" w:cs="宋体"/>
                <w:color w:val="auto"/>
                <w:sz w:val="21"/>
                <w:szCs w:val="21"/>
                <w:highlight w:val="none"/>
                <w:u w:val="none" w:color="000000"/>
                <w:lang w:val="en-US" w:eastAsia="zh-CN" w:bidi="en-US"/>
              </w:rPr>
              <w:t>本招标文件内技术要求</w:t>
            </w:r>
            <w:r>
              <w:rPr>
                <w:rFonts w:hint="eastAsia" w:ascii="宋体" w:hAnsi="宋体" w:eastAsia="宋体" w:cs="宋体"/>
                <w:color w:val="auto"/>
                <w:sz w:val="21"/>
                <w:szCs w:val="21"/>
                <w:highlight w:val="none"/>
                <w:u w:val="none" w:color="000000"/>
                <w:lang w:val="en-US" w:eastAsia="zh-CN" w:bidi="en-US"/>
              </w:rPr>
              <w:t>要求，视为乙方违约，需退还已支付金额，同时乙方需拆除设备并进行还原。</w:t>
            </w:r>
          </w:p>
        </w:tc>
      </w:tr>
    </w:tbl>
    <w:p w14:paraId="5FD0ED0D">
      <w:pPr>
        <w:pStyle w:val="29"/>
        <w:ind w:left="0" w:leftChars="0" w:firstLine="0" w:firstLineChars="0"/>
        <w:rPr>
          <w:rFonts w:hint="eastAsia" w:ascii="新宋体" w:hAnsi="新宋体" w:eastAsia="新宋体" w:cs="新宋体"/>
          <w:i w:val="0"/>
          <w:caps w:val="0"/>
          <w:color w:val="auto"/>
          <w:spacing w:val="0"/>
          <w:kern w:val="0"/>
          <w:sz w:val="21"/>
          <w:szCs w:val="21"/>
          <w:highlight w:val="none"/>
          <w:lang w:val="en-US" w:eastAsia="zh-CN" w:bidi="en-US"/>
        </w:rPr>
      </w:pPr>
    </w:p>
    <w:p w14:paraId="53717E0F">
      <w:pPr>
        <w:rPr>
          <w:rFonts w:hint="eastAsia"/>
          <w:color w:val="auto"/>
          <w:highlight w:val="none"/>
        </w:rPr>
      </w:pPr>
    </w:p>
    <w:p w14:paraId="37D4C743">
      <w:pPr>
        <w:rPr>
          <w:rFonts w:hint="eastAsia"/>
          <w:color w:val="auto"/>
          <w:highlight w:val="none"/>
        </w:rPr>
      </w:pPr>
      <w:r>
        <w:rPr>
          <w:rFonts w:hint="eastAsia"/>
          <w:color w:val="auto"/>
          <w:highlight w:val="none"/>
        </w:rPr>
        <w:br w:type="page"/>
      </w:r>
    </w:p>
    <w:p w14:paraId="1274E44B">
      <w:pPr>
        <w:rPr>
          <w:rFonts w:hint="eastAsia"/>
          <w:color w:val="auto"/>
          <w:highlight w:val="none"/>
        </w:rPr>
      </w:pPr>
    </w:p>
    <w:p w14:paraId="5A66B8FA">
      <w:pPr>
        <w:pStyle w:val="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一、总则</w:t>
      </w:r>
    </w:p>
    <w:p w14:paraId="0D2C79C9">
      <w:pPr>
        <w:pStyle w:val="21"/>
        <w:snapToGrid w:val="0"/>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kern w:val="2"/>
          <w:sz w:val="24"/>
          <w:szCs w:val="24"/>
          <w:highlight w:val="none"/>
        </w:rPr>
        <w:t>（一）项目名称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阿图什市松他克镇中心学校新建改扩建项目（设备采购）</w:t>
      </w:r>
    </w:p>
    <w:p w14:paraId="4D66C67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（二）采购方式</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本项目采取</w:t>
      </w:r>
      <w:r>
        <w:rPr>
          <w:rFonts w:hint="eastAsia" w:ascii="仿宋" w:hAnsi="仿宋" w:eastAsia="仿宋" w:cs="仿宋"/>
          <w:color w:val="auto"/>
          <w:sz w:val="24"/>
          <w:szCs w:val="24"/>
          <w:highlight w:val="none"/>
          <w:u w:val="single"/>
          <w:lang w:eastAsia="zh-CN"/>
        </w:rPr>
        <w:t>竞争性谈判</w:t>
      </w:r>
      <w:r>
        <w:rPr>
          <w:rFonts w:hint="eastAsia" w:ascii="仿宋" w:hAnsi="仿宋" w:eastAsia="仿宋" w:cs="仿宋"/>
          <w:color w:val="auto"/>
          <w:sz w:val="24"/>
          <w:szCs w:val="24"/>
          <w:highlight w:val="none"/>
        </w:rPr>
        <w:t>方式采购。</w:t>
      </w:r>
    </w:p>
    <w:p w14:paraId="04E3A7EB">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（三）合格的供应商</w:t>
      </w:r>
    </w:p>
    <w:p w14:paraId="1E5B71E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详见供应商须知前附表</w:t>
      </w:r>
    </w:p>
    <w:p w14:paraId="2463B960">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（四）适用法律</w:t>
      </w:r>
    </w:p>
    <w:p w14:paraId="366911F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本次招标及由本次招标产生的合同受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中华人民共和国政府采购法》、《</w:t>
      </w:r>
      <w:r>
        <w:rPr>
          <w:rFonts w:hint="eastAsia" w:ascii="仿宋" w:hAnsi="仿宋" w:eastAsia="仿宋" w:cs="仿宋"/>
          <w:color w:val="auto"/>
          <w:sz w:val="24"/>
          <w:szCs w:val="24"/>
          <w:highlight w:val="none"/>
          <w:lang w:eastAsia="zh-CN"/>
        </w:rPr>
        <w:t>政府采购非招标采购方式管理办法【74号】</w:t>
      </w:r>
      <w:r>
        <w:rPr>
          <w:rFonts w:hint="eastAsia" w:ascii="仿宋" w:hAnsi="仿宋" w:eastAsia="仿宋" w:cs="仿宋"/>
          <w:color w:val="auto"/>
          <w:sz w:val="24"/>
          <w:szCs w:val="24"/>
          <w:highlight w:val="none"/>
        </w:rPr>
        <w:t>》等相关法律、法规制约和保护。</w:t>
      </w:r>
    </w:p>
    <w:p w14:paraId="674763A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（五）招标费用</w:t>
      </w:r>
    </w:p>
    <w:p w14:paraId="03646B56">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供应商应自行承担所有参加招标有关的费用。</w:t>
      </w:r>
    </w:p>
    <w:p w14:paraId="35A4985C">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（六）</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的约束力</w:t>
      </w:r>
    </w:p>
    <w:p w14:paraId="271408A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供应商一旦报名参加本项目投标，即被认为接受了本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中的所有条件和规定。</w:t>
      </w:r>
    </w:p>
    <w:p w14:paraId="35DD0F72">
      <w:pPr>
        <w:pStyle w:val="3"/>
        <w:rPr>
          <w:rFonts w:hint="eastAsia" w:ascii="仿宋" w:hAnsi="仿宋" w:eastAsia="仿宋" w:cs="仿宋"/>
          <w:color w:val="auto"/>
          <w:sz w:val="28"/>
          <w:szCs w:val="28"/>
          <w:highlight w:val="none"/>
        </w:rPr>
      </w:pPr>
      <w:bookmarkStart w:id="2" w:name="_Toc452657552"/>
      <w:bookmarkStart w:id="3" w:name="_Toc497129137"/>
      <w:r>
        <w:rPr>
          <w:rFonts w:hint="eastAsia" w:ascii="仿宋" w:hAnsi="仿宋" w:eastAsia="仿宋" w:cs="仿宋"/>
          <w:color w:val="auto"/>
          <w:sz w:val="28"/>
          <w:szCs w:val="28"/>
          <w:highlight w:val="none"/>
        </w:rPr>
        <w:t>二、</w:t>
      </w:r>
      <w:bookmarkEnd w:id="2"/>
      <w:bookmarkEnd w:id="3"/>
      <w:r>
        <w:rPr>
          <w:rFonts w:hint="eastAsia" w:ascii="仿宋" w:hAnsi="仿宋" w:eastAsia="仿宋" w:cs="仿宋"/>
          <w:color w:val="auto"/>
          <w:sz w:val="28"/>
          <w:szCs w:val="28"/>
          <w:highlight w:val="none"/>
          <w:lang w:eastAsia="zh-CN"/>
        </w:rPr>
        <w:t>谈判文件</w:t>
      </w:r>
    </w:p>
    <w:p w14:paraId="6B493478">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（七）</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构成</w:t>
      </w:r>
    </w:p>
    <w:p w14:paraId="37DA1FD2">
      <w:pPr>
        <w:snapToGrid w:val="0"/>
        <w:spacing w:line="360" w:lineRule="auto"/>
        <w:ind w:firstLine="49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竞争性谈判</w:t>
      </w:r>
      <w:r>
        <w:rPr>
          <w:rFonts w:hint="eastAsia" w:ascii="仿宋" w:hAnsi="仿宋" w:eastAsia="仿宋" w:cs="仿宋"/>
          <w:color w:val="auto"/>
          <w:sz w:val="24"/>
          <w:szCs w:val="24"/>
          <w:highlight w:val="none"/>
        </w:rPr>
        <w:t>公</w:t>
      </w:r>
      <w:r>
        <w:rPr>
          <w:rFonts w:hint="eastAsia" w:ascii="仿宋" w:hAnsi="仿宋" w:eastAsia="仿宋" w:cs="仿宋"/>
          <w:color w:val="auto"/>
          <w:sz w:val="24"/>
          <w:szCs w:val="24"/>
          <w:highlight w:val="none"/>
          <w:lang w:eastAsia="zh-CN"/>
        </w:rPr>
        <w:t>告</w:t>
      </w:r>
    </w:p>
    <w:p w14:paraId="2BD9D5A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2.供应商须知</w:t>
      </w:r>
    </w:p>
    <w:p w14:paraId="51980F83">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3.技术要求</w:t>
      </w:r>
    </w:p>
    <w:p w14:paraId="09CDC539">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4.合同文本（参考）</w:t>
      </w:r>
    </w:p>
    <w:p w14:paraId="1DA28F50">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5.响应文件格式</w:t>
      </w:r>
    </w:p>
    <w:p w14:paraId="201DDE7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供应商获取</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后，应仔细检查文件页数和附件数量，如发现有缺漏，请及时与采购代理机构联系补全。如果供应商不按上述要求操作而造成不良后果，采购代理机构不承担责任。</w:t>
      </w:r>
    </w:p>
    <w:p w14:paraId="25D4B682">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（八）</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的澄清</w:t>
      </w:r>
    </w:p>
    <w:p w14:paraId="1D038F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任何要求对</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澄清的供应商，均应在在响应文件接收截止时间5日之前，</w:t>
      </w:r>
      <w:r>
        <w:rPr>
          <w:rFonts w:hint="eastAsia" w:ascii="仿宋" w:hAnsi="仿宋" w:eastAsia="仿宋" w:cs="仿宋"/>
          <w:color w:val="auto"/>
          <w:sz w:val="24"/>
          <w:szCs w:val="24"/>
          <w:highlight w:val="none"/>
          <w:lang w:eastAsia="zh-CN"/>
        </w:rPr>
        <w:t>由澄清或质疑方的法定代表人或授权投标人（必须为法定代表人授权进行该项目投标的被授权人）以书面形式向采购人及招标代理公司递交澄清或质疑函(原件)，并登记备案。澄清或质疑函须有法定代表人亲笔签章。澄清函应说明需要澄清的内容，质疑函除应说明需要质疑的内容外，还应提供能够证明质疑内容的相关书面证据。澄清或质疑函应内容真实，证据充分，不得进行恶意质疑。由法定代表人递交澄清或质疑函时，提供法定代表人身份证复印件；由授权投标人递交澄清或质疑函时，还须提供法人投标授权函和质疑授权函（均为原件）及被授权投标人的身份证复印件。身份证复印件须正反面清晰、有效，并要求由该身份证持有人在复印件正反面非空白位置注明“该复印件用于</w:t>
      </w:r>
      <w:r>
        <w:rPr>
          <w:rFonts w:hint="eastAsia" w:ascii="仿宋" w:hAnsi="仿宋" w:eastAsia="仿宋" w:cs="仿宋"/>
          <w:color w:val="auto"/>
          <w:sz w:val="24"/>
          <w:szCs w:val="24"/>
          <w:highlight w:val="none"/>
          <w:u w:val="single"/>
          <w:lang w:eastAsia="zh-CN"/>
        </w:rPr>
        <w:t>阿图什市松他克镇中心学校新建改扩建项目（设备采购）</w:t>
      </w:r>
      <w:r>
        <w:rPr>
          <w:rFonts w:hint="eastAsia" w:ascii="仿宋" w:hAnsi="仿宋" w:eastAsia="仿宋" w:cs="仿宋"/>
          <w:color w:val="auto"/>
          <w:sz w:val="24"/>
          <w:szCs w:val="24"/>
          <w:highlight w:val="none"/>
          <w:lang w:eastAsia="zh-CN"/>
        </w:rPr>
        <w:t>澄清或质疑使用”字样，并由身份证持有人签章确认。上述资料均须加盖公章。</w:t>
      </w:r>
      <w:r>
        <w:rPr>
          <w:rFonts w:hint="eastAsia" w:ascii="仿宋" w:hAnsi="仿宋" w:eastAsia="仿宋" w:cs="仿宋"/>
          <w:color w:val="auto"/>
          <w:sz w:val="24"/>
          <w:szCs w:val="24"/>
          <w:highlight w:val="none"/>
        </w:rPr>
        <w:t>采购代理机构对规定时间内收到的澄清要求以书面形式予以答复，答复不包括问题的来源。</w:t>
      </w:r>
    </w:p>
    <w:p w14:paraId="0387416D">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的修改</w:t>
      </w:r>
    </w:p>
    <w:p w14:paraId="741F2C0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1、在响应文件接收截止5日前，采购代理机构可以更正文件以补充文件的形式对</w:t>
      </w:r>
      <w:r>
        <w:rPr>
          <w:rFonts w:hint="eastAsia" w:ascii="仿宋" w:hAnsi="仿宋" w:eastAsia="仿宋" w:cs="仿宋"/>
          <w:bCs/>
          <w:color w:val="auto"/>
          <w:sz w:val="24"/>
          <w:szCs w:val="24"/>
          <w:highlight w:val="none"/>
          <w:lang w:eastAsia="zh-CN"/>
        </w:rPr>
        <w:t>竞争性谈判</w:t>
      </w:r>
      <w:r>
        <w:rPr>
          <w:rFonts w:hint="eastAsia" w:ascii="仿宋" w:hAnsi="仿宋" w:eastAsia="仿宋" w:cs="仿宋"/>
          <w:color w:val="auto"/>
          <w:sz w:val="24"/>
          <w:szCs w:val="24"/>
          <w:highlight w:val="none"/>
        </w:rPr>
        <w:t>进行修改。</w:t>
      </w:r>
    </w:p>
    <w:p w14:paraId="78970F84">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2、为使供应商有充分的时间对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的修改部分进行分析、研究，采购代理机构有权推迟响应文件接收截止日期和招标时间，并将此变更在</w:t>
      </w:r>
      <w:r>
        <w:rPr>
          <w:rFonts w:hint="eastAsia" w:ascii="仿宋" w:hAnsi="仿宋" w:eastAsia="仿宋" w:cs="仿宋"/>
          <w:color w:val="auto"/>
          <w:sz w:val="24"/>
          <w:szCs w:val="24"/>
          <w:highlight w:val="none"/>
          <w:lang w:eastAsia="zh-CN"/>
        </w:rPr>
        <w:t>政采云平台</w:t>
      </w:r>
      <w:r>
        <w:rPr>
          <w:rFonts w:hint="eastAsia" w:ascii="仿宋" w:hAnsi="仿宋" w:eastAsia="仿宋" w:cs="仿宋"/>
          <w:color w:val="auto"/>
          <w:sz w:val="24"/>
          <w:szCs w:val="24"/>
          <w:highlight w:val="none"/>
        </w:rPr>
        <w:t>以变更通知的形式予以公布或以书面通知所有购买</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的供应商。</w:t>
      </w:r>
    </w:p>
    <w:p w14:paraId="6118507E">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、采购代理机构发出的所有补充、修改和变更文件均作为</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的组成部分，与</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具有同等法律效力。</w:t>
      </w:r>
    </w:p>
    <w:p w14:paraId="36DEEC72">
      <w:pPr>
        <w:pStyle w:val="3"/>
        <w:rPr>
          <w:rFonts w:hint="eastAsia" w:ascii="仿宋" w:hAnsi="仿宋" w:eastAsia="仿宋" w:cs="仿宋"/>
          <w:color w:val="auto"/>
          <w:sz w:val="28"/>
          <w:szCs w:val="28"/>
          <w:highlight w:val="none"/>
        </w:rPr>
      </w:pPr>
      <w:bookmarkStart w:id="4" w:name="_Toc452657553"/>
      <w:bookmarkStart w:id="5" w:name="_Toc497129138"/>
      <w:r>
        <w:rPr>
          <w:rFonts w:hint="eastAsia" w:ascii="仿宋" w:hAnsi="仿宋" w:eastAsia="仿宋" w:cs="仿宋"/>
          <w:color w:val="auto"/>
          <w:sz w:val="28"/>
          <w:szCs w:val="28"/>
          <w:highlight w:val="none"/>
        </w:rPr>
        <w:t>三、响应文件的编制</w:t>
      </w:r>
      <w:bookmarkEnd w:id="4"/>
      <w:bookmarkEnd w:id="5"/>
    </w:p>
    <w:p w14:paraId="6A38F8B4">
      <w:pPr>
        <w:snapToGrid w:val="0"/>
        <w:spacing w:line="360" w:lineRule="auto"/>
        <w:ind w:firstLine="245"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（十）响应文件的编制要求</w:t>
      </w:r>
    </w:p>
    <w:p w14:paraId="5B380E8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供应商应仔细阅读“</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”的所有内容，按“</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”的要求编制“响应文件”，并保证所提供的全部资料的真实性、完整性及有效性，以使其投标对“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”做出</w:t>
      </w:r>
      <w:r>
        <w:rPr>
          <w:rFonts w:hint="eastAsia" w:ascii="仿宋" w:hAnsi="仿宋" w:eastAsia="仿宋" w:cs="仿宋"/>
          <w:b/>
          <w:color w:val="auto"/>
          <w:sz w:val="24"/>
          <w:szCs w:val="24"/>
          <w:highlight w:val="none"/>
        </w:rPr>
        <w:t>实质性响应</w:t>
      </w:r>
      <w:r>
        <w:rPr>
          <w:rFonts w:hint="eastAsia" w:ascii="仿宋" w:hAnsi="仿宋" w:eastAsia="仿宋" w:cs="仿宋"/>
          <w:color w:val="auto"/>
          <w:sz w:val="24"/>
          <w:szCs w:val="24"/>
          <w:highlight w:val="none"/>
        </w:rPr>
        <w:t>。否则，可能被拒绝。</w:t>
      </w:r>
    </w:p>
    <w:p w14:paraId="655F3AA4">
      <w:pPr>
        <w:snapToGrid w:val="0"/>
        <w:spacing w:line="360" w:lineRule="auto"/>
        <w:ind w:firstLine="245" w:firstLineChars="1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（十一）响应文件构成</w:t>
      </w:r>
    </w:p>
    <w:p w14:paraId="1058F96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资格证明文件和商务及技术文件两部分</w:t>
      </w:r>
    </w:p>
    <w:p w14:paraId="6ACB03E1">
      <w:pPr>
        <w:snapToGrid w:val="0"/>
        <w:spacing w:line="360" w:lineRule="auto"/>
        <w:ind w:firstLine="490" w:firstLineChars="200"/>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lang w:eastAsia="zh-CN"/>
        </w:rPr>
        <w:t>资格证明文件（包括但不限于）</w:t>
      </w:r>
    </w:p>
    <w:p w14:paraId="42EB7589">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资格证明文件是证明投标人有资格参加投标和成交后有能力履行合同的文件，这些文件应能满足招标的要求，否则作无效投标处理。</w:t>
      </w:r>
    </w:p>
    <w:p w14:paraId="70C2DCCE">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0CF4001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7EFF3E">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7A96FFA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4</w:t>
      </w:r>
      <w:r>
        <w:rPr>
          <w:rFonts w:hint="eastAsia" w:ascii="仿宋" w:hAnsi="仿宋" w:eastAsia="仿宋" w:cs="仿宋"/>
          <w:b w:val="0"/>
          <w:bCs/>
          <w:color w:val="auto"/>
          <w:sz w:val="24"/>
          <w:szCs w:val="24"/>
          <w:highlight w:val="none"/>
          <w:lang w:eastAsia="zh-CN"/>
        </w:rPr>
        <w:t>、投标企业须提供投标人（被授权在职人员）近6个月内任意一个月有效的社保证明；（</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457B4F4D">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5</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4AB63E8F">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30049A0A">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7、供应商须提供中小企业声明函</w:t>
      </w:r>
    </w:p>
    <w:p w14:paraId="4071F28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 xml:space="preserve">投标人须知资料表要求的其他资格证明文件; </w:t>
      </w:r>
    </w:p>
    <w:p w14:paraId="7CF4EFA0">
      <w:pPr>
        <w:snapToGrid w:val="0"/>
        <w:spacing w:line="360" w:lineRule="auto"/>
        <w:ind w:firstLine="245" w:firstLineChars="100"/>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（2）商务及技术文件（包括但不限于）</w:t>
      </w:r>
    </w:p>
    <w:p w14:paraId="4CBE4383">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1、投标函</w:t>
      </w:r>
    </w:p>
    <w:p w14:paraId="42A3CCC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2、开标一览表</w:t>
      </w:r>
    </w:p>
    <w:p w14:paraId="164F7AD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3、货物说明一览表</w:t>
      </w:r>
    </w:p>
    <w:p w14:paraId="7BDB3DA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4、投标分项报价明细表</w:t>
      </w:r>
    </w:p>
    <w:p w14:paraId="31E49760">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5、技术规格偏离表</w:t>
      </w:r>
    </w:p>
    <w:p w14:paraId="281CD5E4">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6、商务条款偏离表</w:t>
      </w:r>
    </w:p>
    <w:p w14:paraId="1F9788DD">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7、投标人基本情况表</w:t>
      </w:r>
    </w:p>
    <w:p w14:paraId="1A3D9219">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8、中小企业声明函(货物)</w:t>
      </w:r>
    </w:p>
    <w:p w14:paraId="083C098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9、残疾人福利性单位声明函</w:t>
      </w:r>
    </w:p>
    <w:p w14:paraId="3FF91965">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10、关于符合本国产品标准的声明函</w:t>
      </w:r>
    </w:p>
    <w:p w14:paraId="1A592F46">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11、投标人认为有必要提供的其他证明材料</w:t>
      </w:r>
    </w:p>
    <w:p w14:paraId="3CFA622E">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注：</w:t>
      </w:r>
      <w:r>
        <w:rPr>
          <w:rFonts w:hint="eastAsia" w:ascii="仿宋" w:hAnsi="仿宋" w:eastAsia="仿宋" w:cs="仿宋"/>
          <w:b/>
          <w:bCs/>
          <w:color w:val="auto"/>
          <w:sz w:val="24"/>
          <w:szCs w:val="24"/>
          <w:highlight w:val="none"/>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highlight w:val="none"/>
          <w:lang w:val="en-US" w:eastAsia="zh-CN"/>
        </w:rPr>
        <w:t xml:space="preserve"> </w:t>
      </w:r>
    </w:p>
    <w:p w14:paraId="69EE448A">
      <w:pPr>
        <w:snapToGrid w:val="0"/>
        <w:spacing w:line="360" w:lineRule="auto"/>
        <w:ind w:firstLine="490"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u w:val="single"/>
          <w:lang w:val="en-US" w:eastAsia="zh-CN"/>
        </w:rPr>
        <w:t>2.以上材料须加盖单位公章。</w:t>
      </w:r>
      <w:r>
        <w:rPr>
          <w:rFonts w:hint="eastAsia" w:ascii="仿宋" w:hAnsi="仿宋" w:eastAsia="仿宋" w:cs="仿宋"/>
          <w:b/>
          <w:bCs/>
          <w:color w:val="auto"/>
          <w:sz w:val="24"/>
          <w:szCs w:val="24"/>
          <w:highlight w:val="none"/>
          <w:lang w:val="en-US" w:eastAsia="zh-CN"/>
        </w:rPr>
        <w:t xml:space="preserve"> </w:t>
      </w:r>
    </w:p>
    <w:p w14:paraId="7F31D604">
      <w:pPr>
        <w:snapToGrid w:val="0"/>
        <w:spacing w:line="360" w:lineRule="auto"/>
        <w:ind w:firstLine="490" w:firstLineChars="200"/>
        <w:rPr>
          <w:rFonts w:hint="eastAsia" w:ascii="仿宋" w:hAnsi="仿宋" w:eastAsia="仿宋" w:cs="仿宋"/>
          <w:b/>
          <w:bCs/>
          <w:color w:val="auto"/>
          <w:sz w:val="24"/>
          <w:szCs w:val="24"/>
          <w:highlight w:val="none"/>
          <w:u w:val="single"/>
        </w:rPr>
      </w:pPr>
      <w:r>
        <w:rPr>
          <w:rFonts w:hint="eastAsia" w:ascii="仿宋" w:hAnsi="仿宋" w:eastAsia="仿宋" w:cs="仿宋"/>
          <w:b/>
          <w:bCs/>
          <w:color w:val="auto"/>
          <w:sz w:val="24"/>
          <w:szCs w:val="24"/>
          <w:highlight w:val="none"/>
          <w:u w:val="single"/>
          <w:lang w:val="en-US" w:eastAsia="zh-CN"/>
        </w:rPr>
        <w:t>3.请各投标供应商根据项目实际需求，并结合企业自身情况以及相关评标办法进行编制。</w:t>
      </w:r>
    </w:p>
    <w:p w14:paraId="7AD3D5A5">
      <w:pPr>
        <w:snapToGrid w:val="0"/>
        <w:spacing w:line="360" w:lineRule="auto"/>
        <w:ind w:firstLine="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（十二）响应文件格式</w:t>
      </w:r>
    </w:p>
    <w:p w14:paraId="02F34CE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3A52F2D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（2）响应文件格式应按本谈判文件第五章格式要求编制，不得对谈判文件格式进行增删更改，否则按无效标处理。</w:t>
      </w:r>
    </w:p>
    <w:p w14:paraId="60EAB697">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（3）对谈判文件格式可更改的例外情况：谈判文件第五部分附件格式要求中明确规定表格中行数不够用时可按相同格式增加行数，其他一切内容和格式不得更改。 </w:t>
      </w:r>
    </w:p>
    <w:p w14:paraId="7916013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（4）响应文件为电子响应文件，电子响应文件按“政采云供应商项目采购-电子招投标操作指南”及本谈判文件要求制作、加密传输。</w:t>
      </w:r>
    </w:p>
    <w:p w14:paraId="75D94B11">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（5）响应文件未在投标截止时间前完成传输的，视为响应文件撤回；响应文件未按时解密也未提供备份响应文件的，亦视为响应文件撤回。</w:t>
      </w:r>
    </w:p>
    <w:p w14:paraId="379CB09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（十三）</w:t>
      </w:r>
      <w:r>
        <w:rPr>
          <w:rFonts w:hint="eastAsia" w:ascii="仿宋" w:hAnsi="仿宋" w:eastAsia="仿宋" w:cs="仿宋"/>
          <w:b/>
          <w:bCs/>
          <w:color w:val="auto"/>
          <w:sz w:val="24"/>
          <w:szCs w:val="24"/>
          <w:highlight w:val="none"/>
          <w:lang w:eastAsia="zh-CN"/>
        </w:rPr>
        <w:t>谈判</w:t>
      </w:r>
      <w:r>
        <w:rPr>
          <w:rFonts w:hint="eastAsia" w:ascii="仿宋" w:hAnsi="仿宋" w:eastAsia="仿宋" w:cs="仿宋"/>
          <w:b/>
          <w:bCs/>
          <w:color w:val="auto"/>
          <w:sz w:val="24"/>
          <w:szCs w:val="24"/>
          <w:highlight w:val="none"/>
        </w:rPr>
        <w:t>报价</w:t>
      </w:r>
    </w:p>
    <w:p w14:paraId="1BF63B1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报价为“招标范围”内的总报价。</w:t>
      </w:r>
    </w:p>
    <w:p w14:paraId="270B69A3">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2、凡要求供应商考虑在报价中的内容供应商在响应文件中没有考虑、没有计入的或未单独列出，采购人认为供应商已将此项费用涵盖在其它费用价格中。</w:t>
      </w:r>
    </w:p>
    <w:p w14:paraId="6B763FEA">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报价应包含项目实施过程中涉及到的一切费用。</w:t>
      </w:r>
    </w:p>
    <w:p w14:paraId="571FFCE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4、报价注意事项：</w:t>
      </w:r>
    </w:p>
    <w:p w14:paraId="7DD042B8">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供应商报价时应充分考虑所有可能影响到报价的报价因素，一旦招标结束最终成交，总价将固定，不予调整。如发生漏、缺、少项，都将被认为是成交人的报价让利行为，损失自负。</w:t>
      </w:r>
    </w:p>
    <w:p w14:paraId="10CED23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（十四）投标有效期</w:t>
      </w:r>
    </w:p>
    <w:p w14:paraId="3099F4C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1、投标有效期为</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规定的供应商提交响应文件截止之日起</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0</w:t>
      </w:r>
      <w:r>
        <w:rPr>
          <w:rFonts w:hint="eastAsia" w:ascii="仿宋" w:hAnsi="仿宋" w:eastAsia="仿宋" w:cs="仿宋"/>
          <w:color w:val="auto"/>
          <w:sz w:val="24"/>
          <w:szCs w:val="24"/>
          <w:highlight w:val="none"/>
        </w:rPr>
        <w:t>天。投标有效期不满足</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要求的将视为非响应性文件而予以拒绝。</w:t>
      </w:r>
    </w:p>
    <w:p w14:paraId="4F82503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特殊情况下，采购人于原投标有效期满之前，可向供应商提出延长投标有效期的要求，这种要求与答复均应采用书面形式（如信件、传真或电报等），供应商可以拒绝采购人的这一要求而放弃参与投标；同意延长的供应商不允许修改其响应文件。</w:t>
      </w:r>
    </w:p>
    <w:p w14:paraId="5A5ADCB7">
      <w:pPr>
        <w:snapToGrid w:val="0"/>
        <w:spacing w:line="360" w:lineRule="auto"/>
        <w:ind w:firstLine="239" w:firstLineChars="98"/>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）响应文件</w:t>
      </w:r>
      <w:r>
        <w:rPr>
          <w:rFonts w:hint="eastAsia" w:ascii="仿宋" w:hAnsi="仿宋" w:eastAsia="仿宋" w:cs="仿宋"/>
          <w:b/>
          <w:bCs/>
          <w:color w:val="auto"/>
          <w:sz w:val="24"/>
          <w:szCs w:val="24"/>
          <w:highlight w:val="none"/>
          <w:lang w:eastAsia="zh-CN"/>
        </w:rPr>
        <w:t>的</w:t>
      </w:r>
      <w:r>
        <w:rPr>
          <w:rFonts w:hint="eastAsia" w:ascii="仿宋" w:hAnsi="仿宋" w:eastAsia="仿宋" w:cs="仿宋"/>
          <w:b/>
          <w:bCs/>
          <w:color w:val="auto"/>
          <w:sz w:val="24"/>
          <w:szCs w:val="24"/>
          <w:highlight w:val="none"/>
        </w:rPr>
        <w:t>签署</w:t>
      </w:r>
    </w:p>
    <w:p w14:paraId="4D3644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并加盖公章。</w:t>
      </w:r>
    </w:p>
    <w:p w14:paraId="5C4FFC58">
      <w:pPr>
        <w:snapToGrid w:val="0"/>
        <w:spacing w:line="360" w:lineRule="auto"/>
        <w:ind w:firstLine="490" w:firstLineChars="200"/>
        <w:rPr>
          <w:rFonts w:hint="eastAsia" w:ascii="仿宋" w:hAnsi="仿宋" w:eastAsia="仿宋" w:cs="仿宋"/>
          <w:color w:val="auto"/>
          <w:sz w:val="24"/>
          <w:szCs w:val="24"/>
          <w:highlight w:val="none"/>
        </w:rPr>
      </w:pPr>
    </w:p>
    <w:p w14:paraId="339F0C31">
      <w:pPr>
        <w:pStyle w:val="3"/>
        <w:rPr>
          <w:rFonts w:hint="eastAsia" w:ascii="仿宋" w:hAnsi="仿宋" w:eastAsia="仿宋" w:cs="仿宋"/>
          <w:b/>
          <w:bCs/>
          <w:color w:val="auto"/>
          <w:sz w:val="24"/>
          <w:szCs w:val="24"/>
          <w:highlight w:val="none"/>
          <w:lang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四</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的制作、上传及递交要求</w:t>
      </w:r>
    </w:p>
    <w:p w14:paraId="6E65E030">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（十六）响应文件</w:t>
      </w:r>
      <w:r>
        <w:rPr>
          <w:rFonts w:hint="eastAsia" w:ascii="仿宋" w:hAnsi="仿宋" w:eastAsia="仿宋" w:cs="仿宋"/>
          <w:b/>
          <w:bCs/>
          <w:color w:val="auto"/>
          <w:sz w:val="24"/>
          <w:szCs w:val="24"/>
          <w:highlight w:val="none"/>
        </w:rPr>
        <w:t>的制作要求</w:t>
      </w:r>
    </w:p>
    <w:p w14:paraId="2B09D62D">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（1）供应商应按照</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组成内容及项目招标需求和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的将视情况处理（拒收等），由此产生的责任由供应商自行承担。</w:t>
      </w:r>
    </w:p>
    <w:p w14:paraId="30046A68">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部分：供应商应根据“政采云供应商项目采购-电子招投标操作指南”及本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规定的格式和顺序编制电子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并进行关联定位。本文件《</w:t>
      </w:r>
      <w:r>
        <w:rPr>
          <w:rFonts w:hint="eastAsia" w:ascii="仿宋" w:hAnsi="仿宋" w:eastAsia="仿宋" w:cs="仿宋"/>
          <w:color w:val="auto"/>
          <w:sz w:val="24"/>
          <w:szCs w:val="24"/>
          <w:highlight w:val="none"/>
          <w:lang w:eastAsia="zh-CN"/>
        </w:rPr>
        <w:t>第五部分</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highlight w:val="none"/>
          <w:lang w:eastAsia="zh-CN"/>
        </w:rPr>
        <w:t>第五部分响应文件</w:t>
      </w:r>
      <w:r>
        <w:rPr>
          <w:rFonts w:hint="eastAsia" w:ascii="仿宋" w:hAnsi="仿宋" w:eastAsia="仿宋" w:cs="仿宋"/>
          <w:color w:val="auto"/>
          <w:sz w:val="24"/>
          <w:szCs w:val="24"/>
          <w:highlight w:val="none"/>
        </w:rPr>
        <w:t>格式》未提供格式的，请供应商自行拟定格式，并加盖单位公章，否则视为未提供。</w:t>
      </w:r>
    </w:p>
    <w:p w14:paraId="30C6B312">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：通过“政采云”平台电子投标工具制作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所产生的备份文件。</w:t>
      </w:r>
    </w:p>
    <w:p w14:paraId="76218B4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（2）供应商应对所提供的全部资料的真实性、有效性承担法律责任，电子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中所须加盖公章部分均采用CA签章。</w:t>
      </w:r>
    </w:p>
    <w:p w14:paraId="67CE15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以及供应商与采购组织机构就有关投标事宜的所有来往函电，均应以中文汉语书写。除</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、盖章、专用名称等特殊情形外，以中文汉语以外的文字表述的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视同未提供。</w:t>
      </w:r>
    </w:p>
    <w:p w14:paraId="54C469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（4）投标计量单位，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已有明确规定的，使用</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规定的计量单位；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没有规定的，应采用中华人民共和国法定计量单位（货币单位：人民币元）。</w:t>
      </w:r>
    </w:p>
    <w:p w14:paraId="744C5B7C">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（5）若供应商不按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的要求提供资格审查材料，其风险由供应商自行承担。</w:t>
      </w:r>
    </w:p>
    <w:p w14:paraId="2870DF3D">
      <w:pPr>
        <w:pStyle w:val="5"/>
        <w:snapToGrid w:val="0"/>
        <w:spacing w:line="360" w:lineRule="auto"/>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rPr>
        <w:t>（6）与本次投标无关的内容请不要制作在内，确保</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有针对性、简洁明</w:t>
      </w:r>
      <w:r>
        <w:rPr>
          <w:rFonts w:hint="eastAsia" w:ascii="仿宋" w:hAnsi="仿宋" w:eastAsia="仿宋" w:cs="仿宋"/>
          <w:bCs/>
          <w:color w:val="auto"/>
          <w:sz w:val="24"/>
          <w:szCs w:val="24"/>
          <w:highlight w:val="none"/>
        </w:rPr>
        <w:t>了。</w:t>
      </w:r>
    </w:p>
    <w:p w14:paraId="6B93B48F">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（十七）响应文件</w:t>
      </w:r>
      <w:r>
        <w:rPr>
          <w:rFonts w:hint="eastAsia" w:ascii="仿宋" w:hAnsi="仿宋" w:eastAsia="仿宋" w:cs="仿宋"/>
          <w:b/>
          <w:bCs/>
          <w:color w:val="auto"/>
          <w:sz w:val="24"/>
          <w:szCs w:val="24"/>
          <w:highlight w:val="none"/>
        </w:rPr>
        <w:t>的上传</w:t>
      </w:r>
    </w:p>
    <w:p w14:paraId="7BF6DCF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（1）电子加密响应文件（“.jmbs”格式）：</w:t>
      </w:r>
    </w:p>
    <w:p w14:paraId="3E36267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 供应商应在投标截止时间前将电子加密响应文件成功上传递交至新疆政府采购云平台，否则投标无效；</w:t>
      </w:r>
    </w:p>
    <w:p w14:paraId="2186799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b.供应商成功上传电子加密响应文件后，可自行打印响应文件接收回执。</w:t>
      </w:r>
    </w:p>
    <w:p w14:paraId="6444C84C">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（2）备份响应文件（“.bfbs”格式）：</w:t>
      </w:r>
    </w:p>
    <w:p w14:paraId="045DE8D3">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highlight w:val="none"/>
        </w:rPr>
        <w:fldChar w:fldCharType="begin"/>
      </w:r>
      <w:r>
        <w:rPr>
          <w:color w:val="auto"/>
          <w:sz w:val="24"/>
          <w:szCs w:val="24"/>
          <w:highlight w:val="none"/>
        </w:rPr>
        <w:instrText xml:space="preserve"> HYPERLINK "mailto:1207446769@qq.com，接收人：陈加轲，电话：15157655122" </w:instrText>
      </w:r>
      <w:r>
        <w:rPr>
          <w:color w:val="auto"/>
          <w:sz w:val="24"/>
          <w:szCs w:val="24"/>
          <w:highlight w:val="none"/>
        </w:rPr>
        <w:fldChar w:fldCharType="separate"/>
      </w:r>
      <w:r>
        <w:rPr>
          <w:rFonts w:hint="eastAsia" w:ascii="仿宋" w:hAnsi="仿宋" w:eastAsia="仿宋" w:cs="仿宋"/>
          <w:color w:val="auto"/>
          <w:sz w:val="24"/>
          <w:szCs w:val="24"/>
          <w:highlight w:val="none"/>
          <w:lang w:val="en-US" w:eastAsia="zh-CN"/>
        </w:rPr>
        <w:t>1449947815</w:t>
      </w:r>
      <w:r>
        <w:rPr>
          <w:rFonts w:hint="eastAsia" w:ascii="仿宋" w:hAnsi="仿宋" w:eastAsia="仿宋" w:cs="仿宋"/>
          <w:color w:val="auto"/>
          <w:sz w:val="24"/>
          <w:szCs w:val="24"/>
          <w:highlight w:val="none"/>
        </w:rPr>
        <w:t>@qq.com，接收人：</w:t>
      </w:r>
      <w:r>
        <w:rPr>
          <w:rFonts w:hint="eastAsia" w:ascii="仿宋" w:hAnsi="仿宋" w:eastAsia="仿宋" w:cs="仿宋"/>
          <w:color w:val="auto"/>
          <w:sz w:val="24"/>
          <w:szCs w:val="24"/>
          <w:highlight w:val="none"/>
          <w:lang w:val="en-US" w:eastAsia="zh-CN"/>
        </w:rPr>
        <w:t>张先生</w:t>
      </w: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lang w:val="en-US" w:eastAsia="zh-CN"/>
        </w:rPr>
        <w:t>13909955772</w:t>
      </w:r>
      <w:r>
        <w:rPr>
          <w:rFonts w:hint="eastAsia" w:ascii="仿宋" w:hAnsi="仿宋" w:eastAsia="仿宋" w:cs="仿宋"/>
          <w:color w:val="auto"/>
          <w:sz w:val="24"/>
          <w:szCs w:val="24"/>
          <w:highlight w:val="none"/>
        </w:rPr>
        <w:t>）；</w:t>
      </w:r>
    </w:p>
    <w:p w14:paraId="42FDAB07">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7B4EC377">
      <w:pPr>
        <w:pStyle w:val="5"/>
        <w:snapToGrid w:val="0"/>
        <w:spacing w:line="360" w:lineRule="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（十八）响应文件</w:t>
      </w:r>
      <w:r>
        <w:rPr>
          <w:rFonts w:hint="eastAsia" w:ascii="仿宋" w:hAnsi="仿宋" w:eastAsia="仿宋" w:cs="仿宋"/>
          <w:b/>
          <w:bCs/>
          <w:color w:val="auto"/>
          <w:sz w:val="24"/>
          <w:szCs w:val="24"/>
          <w:highlight w:val="none"/>
        </w:rPr>
        <w:t>的递交要求</w:t>
      </w:r>
    </w:p>
    <w:p w14:paraId="07B9196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和政采云平台的要求编制并加密</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递交截止时间以前完成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的传输递交，截止时间后递交的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，将被拒收。</w:t>
      </w:r>
    </w:p>
    <w:p w14:paraId="309C2DB9">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必须在投标截止时间前送达指定的投标地点。备份电子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在截止时间后提交，采购组织机构将拒绝接收。</w:t>
      </w:r>
    </w:p>
    <w:p w14:paraId="09C1D26D">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（3）如有特殊情况，采购组织机构延长截止时间和开标时间，采购组织机构和供应商的权利和义务将受到新的截止时间和开标时间的约束。</w:t>
      </w:r>
    </w:p>
    <w:p w14:paraId="0BAD44FC">
      <w:pPr>
        <w:pStyle w:val="5"/>
        <w:snapToGrid w:val="0"/>
        <w:spacing w:line="360" w:lineRule="auto"/>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（十九）响应文件的补充、修改与撤回</w:t>
      </w:r>
    </w:p>
    <w:p w14:paraId="1F6904A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撤回。投标截止时间后传输递交的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，“政府采购云平台”将予以拒收。投标截止时间后，供应商不得修改（补充）或撤回其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p>
    <w:p w14:paraId="375E53FC">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五、无效标、废标条款</w:t>
      </w:r>
      <w:bookmarkStart w:id="6" w:name="_Toc497129141"/>
      <w:bookmarkStart w:id="7" w:name="_Toc452657556"/>
    </w:p>
    <w:p w14:paraId="4745F4DC">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（二十）无效标</w:t>
      </w:r>
    </w:p>
    <w:p w14:paraId="32030D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有下列情形之一的，响应文件按无效标处理：</w:t>
      </w:r>
    </w:p>
    <w:p w14:paraId="259CEA0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报名的投标人与参加投标的投标人发生实质性变更的且未提供有效证明的；</w:t>
      </w:r>
    </w:p>
    <w:p w14:paraId="2C7E4B0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投标人提交两份或两份以上内容不同的响应文件，未声明哪一份有效的；</w:t>
      </w:r>
    </w:p>
    <w:p w14:paraId="31F9F19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3、响应文件非投标人法定代表人签署的，未提供或提供无效的法定代表人授权书；</w:t>
      </w:r>
    </w:p>
    <w:p w14:paraId="424D055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4、响应文件内容未按谈判文件规定签章或盖章的；</w:t>
      </w:r>
    </w:p>
    <w:p w14:paraId="3DA764DB">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、响应文件组成漏项或未按规定的格式编制或响应文件正、副本份数不足或内容不全或内容字迹模糊辨认不清的等而导致评标活动无法正常进行；</w:t>
      </w:r>
    </w:p>
    <w:p w14:paraId="32B007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、投标人未按谈判文件变更通知更改响应文件的；</w:t>
      </w:r>
    </w:p>
    <w:p w14:paraId="4390773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、《开标一览表》和《投标分项报价表》内容不完整且不接受修正意见或字迹不能辨认的或未提供；</w:t>
      </w:r>
    </w:p>
    <w:p w14:paraId="0E90044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、投标报价超过谈判文件规定的预算金额或最高限价；</w:t>
      </w:r>
    </w:p>
    <w:p w14:paraId="58D2F42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因投标人原因编制错误造成经评标委员会修正后的报价达到或超过投标报价的0.5%；</w:t>
      </w:r>
    </w:p>
    <w:p w14:paraId="19C5B5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、投标人的报价明显低于其他通过符合性审查投标人的报价，有可能影响产品质量或者不能诚信履约的，且在规定时间内不能合理说明原因并提供证明材料的；</w:t>
      </w:r>
    </w:p>
    <w:p w14:paraId="70FB5A3D">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未实质性响应谈判文件中条款要求的响应文件；</w:t>
      </w:r>
    </w:p>
    <w:p w14:paraId="1CE753A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、不符合招标范围、技术规格、技术标准的要求无法满足采购人使用要求；</w:t>
      </w:r>
    </w:p>
    <w:p w14:paraId="16965EA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eastAsia="zh-CN"/>
        </w:rPr>
        <w:t>、响应文件附有采购人不能接受的条款；</w:t>
      </w:r>
    </w:p>
    <w:p w14:paraId="5537E69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、响应文件中提供了赠品或者与本项目采购无关的其他商品、服务；</w:t>
      </w:r>
    </w:p>
    <w:p w14:paraId="016D75F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lang w:eastAsia="zh-CN"/>
        </w:rPr>
        <w:t>、响应文件中承诺的投标有效期少于谈判文件中载明的投标有效期；</w:t>
      </w:r>
    </w:p>
    <w:p w14:paraId="381265A2">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lang w:eastAsia="zh-CN"/>
        </w:rPr>
        <w:t>、投标人串通投标，妨碍其他投标人的竞争行为，损害采购人或者其他投标人的合法权益；</w:t>
      </w:r>
    </w:p>
    <w:p w14:paraId="4405F0E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lang w:eastAsia="zh-CN"/>
        </w:rPr>
        <w:t>、违反国家及政府部门相关法律、法规、文件规定或经评标委员会认定的其他属于重大偏离；</w:t>
      </w:r>
    </w:p>
    <w:p w14:paraId="7CB717BB">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（二十一）废标</w:t>
      </w:r>
    </w:p>
    <w:p w14:paraId="085EB15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符合谈判文件规定废标情形的；</w:t>
      </w:r>
    </w:p>
    <w:p w14:paraId="37660057">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出现影响采购公正的违法、违规行为的；</w:t>
      </w:r>
    </w:p>
    <w:p w14:paraId="5FA5E134">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供应商的报价均超过了采购预算（或最高限价），采购人不能支付的;</w:t>
      </w:r>
    </w:p>
    <w:p w14:paraId="26F04F2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因重大变故，采购任务取消的。</w:t>
      </w:r>
    </w:p>
    <w:p w14:paraId="3E1857C4">
      <w:pPr>
        <w:spacing w:line="440" w:lineRule="exact"/>
        <w:ind w:firstLine="245" w:firstLineChars="100"/>
        <w:rPr>
          <w:rFonts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（二十二）突发情况处理</w:t>
      </w:r>
    </w:p>
    <w:p w14:paraId="025A625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采购过程中出现以下情形，导致电子交易平台无法正常运行，或者无法保证电子交易的公平、公正和安全时，采购组织机构可中止电子交易活动：</w:t>
      </w:r>
    </w:p>
    <w:p w14:paraId="2A2B221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（1）电子交易平台发生故障而无法登录访问的； </w:t>
      </w:r>
    </w:p>
    <w:p w14:paraId="0F8AD6CC">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（2）电子交易平台应用或数据库出现错误，不能进行正常操作的；</w:t>
      </w:r>
    </w:p>
    <w:p w14:paraId="2777EDB3">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（3）电子交易平台发现严重安全漏洞，有潜在泄密危险的；</w:t>
      </w:r>
    </w:p>
    <w:p w14:paraId="7FCFF5A6">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（4）病毒发作导致不能进行正常操作的； </w:t>
      </w:r>
    </w:p>
    <w:p w14:paraId="70CA77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（5）其他无法保证电子交易的公平、公正和安全的情况。</w:t>
      </w:r>
    </w:p>
    <w:p w14:paraId="0F776FA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08919D98">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采购代理机构或评审小组因不可抗力（不可抗力包括但不限于自然灾害、断电、传播疫病等）原因造成电子交易活动无法正常运行的，将采取以下措施：</w:t>
      </w:r>
    </w:p>
    <w:p w14:paraId="2B03EEB7">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（1）短时间内能消除不可抗力因素的，采购代理机构或评审小组在消除不可抗力因素后继续组织电子交易活动； </w:t>
      </w:r>
    </w:p>
    <w:p w14:paraId="5FA6DF7F">
      <w:pPr>
        <w:spacing w:line="440" w:lineRule="exact"/>
        <w:ind w:firstLine="245" w:firstLine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（2）长时间内无法消除不可抗力因素的，采购代理机构或评审小组将中止电子交易活动。中止电子交易活动的，采购人应当重新组织政府采购活动。</w:t>
      </w:r>
    </w:p>
    <w:p w14:paraId="4C895597">
      <w:pPr>
        <w:pStyle w:val="3"/>
        <w:jc w:val="center"/>
        <w:rPr>
          <w:rFonts w:hint="eastAsia" w:ascii="仿宋" w:hAnsi="仿宋" w:eastAsia="仿宋" w:cs="仿宋"/>
          <w:color w:val="auto"/>
          <w:sz w:val="28"/>
          <w:szCs w:val="28"/>
          <w:highlight w:val="none"/>
        </w:rPr>
      </w:pPr>
    </w:p>
    <w:p w14:paraId="0FA7D4F5">
      <w:pPr>
        <w:rPr>
          <w:rFonts w:hint="eastAsia" w:ascii="仿宋" w:hAnsi="仿宋" w:eastAsia="仿宋" w:cs="仿宋"/>
          <w:color w:val="auto"/>
          <w:sz w:val="28"/>
          <w:szCs w:val="28"/>
          <w:highlight w:val="none"/>
        </w:rPr>
      </w:pPr>
    </w:p>
    <w:p w14:paraId="05E9EE39">
      <w:pPr>
        <w:rPr>
          <w:rFonts w:hint="eastAsia" w:ascii="仿宋" w:hAnsi="仿宋" w:eastAsia="仿宋" w:cs="仿宋"/>
          <w:color w:val="auto"/>
          <w:sz w:val="28"/>
          <w:szCs w:val="28"/>
          <w:highlight w:val="none"/>
        </w:rPr>
      </w:pPr>
    </w:p>
    <w:p w14:paraId="4169597B">
      <w:pPr>
        <w:pStyle w:val="3"/>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六、开标</w:t>
      </w:r>
      <w:r>
        <w:rPr>
          <w:rFonts w:hint="eastAsia" w:ascii="仿宋" w:hAnsi="仿宋" w:eastAsia="仿宋" w:cs="仿宋"/>
          <w:color w:val="auto"/>
          <w:sz w:val="28"/>
          <w:szCs w:val="28"/>
          <w:highlight w:val="none"/>
          <w:lang w:eastAsia="zh-CN"/>
        </w:rPr>
        <w:t>、评标和定标</w:t>
      </w:r>
      <w:bookmarkEnd w:id="6"/>
      <w:bookmarkEnd w:id="7"/>
    </w:p>
    <w:p w14:paraId="4380C402">
      <w:pPr>
        <w:snapToGrid w:val="0"/>
        <w:spacing w:line="360" w:lineRule="auto"/>
        <w:ind w:firstLine="359" w:firstLineChars="147"/>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三</w:t>
      </w:r>
      <w:r>
        <w:rPr>
          <w:rFonts w:hint="eastAsia" w:ascii="仿宋" w:hAnsi="仿宋" w:eastAsia="仿宋" w:cs="仿宋"/>
          <w:b/>
          <w:bCs/>
          <w:color w:val="auto"/>
          <w:sz w:val="24"/>
          <w:szCs w:val="24"/>
          <w:highlight w:val="none"/>
        </w:rPr>
        <w:t>）开标程序</w:t>
      </w:r>
    </w:p>
    <w:p w14:paraId="15DE8E5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开标时间到后，主持人宣布开标会议开始。</w:t>
      </w:r>
    </w:p>
    <w:p w14:paraId="5D938C4F">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（2）响应文件</w:t>
      </w:r>
      <w:r>
        <w:rPr>
          <w:rFonts w:hint="eastAsia" w:ascii="仿宋" w:hAnsi="仿宋" w:eastAsia="仿宋" w:cs="仿宋"/>
          <w:color w:val="auto"/>
          <w:sz w:val="24"/>
          <w:szCs w:val="24"/>
          <w:highlight w:val="none"/>
        </w:rPr>
        <w:t>解密（</w:t>
      </w:r>
      <w:r>
        <w:rPr>
          <w:rFonts w:hint="eastAsia" w:ascii="仿宋" w:hAnsi="仿宋" w:eastAsia="仿宋" w:cs="仿宋"/>
          <w:b/>
          <w:color w:val="auto"/>
          <w:sz w:val="24"/>
          <w:szCs w:val="24"/>
          <w:highlight w:val="none"/>
        </w:rPr>
        <w:t>解密规定见《供应商须知前附表》</w:t>
      </w:r>
      <w:r>
        <w:rPr>
          <w:rFonts w:hint="eastAsia" w:ascii="仿宋" w:hAnsi="仿宋" w:eastAsia="仿宋" w:cs="仿宋"/>
          <w:color w:val="auto"/>
          <w:sz w:val="24"/>
          <w:szCs w:val="24"/>
          <w:highlight w:val="none"/>
        </w:rPr>
        <w:t>）。</w:t>
      </w:r>
    </w:p>
    <w:p w14:paraId="07313B7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（3）响应文件</w:t>
      </w:r>
      <w:r>
        <w:rPr>
          <w:rFonts w:hint="eastAsia" w:ascii="仿宋" w:hAnsi="仿宋" w:eastAsia="仿宋" w:cs="仿宋"/>
          <w:color w:val="auto"/>
          <w:sz w:val="24"/>
          <w:szCs w:val="24"/>
          <w:highlight w:val="none"/>
        </w:rPr>
        <w:t>解密异常情况处理（</w:t>
      </w:r>
      <w:r>
        <w:rPr>
          <w:rFonts w:hint="eastAsia" w:ascii="仿宋" w:hAnsi="仿宋" w:eastAsia="仿宋" w:cs="仿宋"/>
          <w:b/>
          <w:color w:val="auto"/>
          <w:sz w:val="24"/>
          <w:szCs w:val="24"/>
          <w:highlight w:val="none"/>
        </w:rPr>
        <w:t>处理办法见《供应商须知前附表》</w:t>
      </w:r>
      <w:r>
        <w:rPr>
          <w:rFonts w:hint="eastAsia" w:ascii="仿宋" w:hAnsi="仿宋" w:eastAsia="仿宋" w:cs="仿宋"/>
          <w:color w:val="auto"/>
          <w:sz w:val="24"/>
          <w:szCs w:val="24"/>
          <w:highlight w:val="none"/>
        </w:rPr>
        <w:t>）。</w:t>
      </w:r>
    </w:p>
    <w:p w14:paraId="32156DB4">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公布</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解密情况（</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成功解密的供应商名单等信息）。</w:t>
      </w:r>
    </w:p>
    <w:p w14:paraId="02AEECD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开启标书信息（资格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文件、商务技术文件）。标书信息开启后，首先由采购人或采购代理机构</w:t>
      </w:r>
      <w:r>
        <w:rPr>
          <w:rFonts w:hint="eastAsia" w:ascii="仿宋" w:hAnsi="仿宋" w:eastAsia="仿宋" w:cs="仿宋"/>
          <w:color w:val="auto"/>
          <w:sz w:val="24"/>
          <w:szCs w:val="24"/>
          <w:highlight w:val="none"/>
          <w:lang w:eastAsia="zh-CN"/>
        </w:rPr>
        <w:t>或评审小组</w:t>
      </w:r>
      <w:r>
        <w:rPr>
          <w:rFonts w:hint="eastAsia" w:ascii="仿宋" w:hAnsi="仿宋" w:eastAsia="仿宋" w:cs="仿宋"/>
          <w:color w:val="auto"/>
          <w:sz w:val="24"/>
          <w:szCs w:val="24"/>
          <w:highlight w:val="none"/>
        </w:rPr>
        <w:t>依法对投标供应商的资格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文件进行审查（具体见资格性检查）， 审查结束公布投标供应商的资格符合情况。资格审查未获通过的供应商，其商务技术文件及报价文件不再进入评审。</w:t>
      </w:r>
    </w:p>
    <w:p w14:paraId="1D35003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开启有效投标供应商的报价，公布开标一览表有关内容，</w:t>
      </w:r>
      <w:r>
        <w:rPr>
          <w:rFonts w:hint="eastAsia" w:ascii="仿宋" w:hAnsi="仿宋" w:eastAsia="仿宋" w:cs="仿宋"/>
          <w:color w:val="auto"/>
          <w:sz w:val="24"/>
          <w:szCs w:val="24"/>
          <w:highlight w:val="none"/>
          <w:lang w:bidi="zh-CN"/>
        </w:rPr>
        <w:t>并【开启签章时段】，供应商对开标记录进行在线签章确认（不予确认的应说明理由，否则视为无异议）</w:t>
      </w:r>
      <w:r>
        <w:rPr>
          <w:rFonts w:hint="eastAsia" w:ascii="仿宋" w:hAnsi="仿宋" w:eastAsia="仿宋" w:cs="仿宋"/>
          <w:color w:val="auto"/>
          <w:sz w:val="24"/>
          <w:szCs w:val="24"/>
          <w:highlight w:val="none"/>
        </w:rPr>
        <w:t>。开标结束后，由评标委员会对报价的合理性、准确性等进行审查核实。</w:t>
      </w:r>
    </w:p>
    <w:p w14:paraId="5E854735">
      <w:pPr>
        <w:snapToGrid w:val="0"/>
        <w:spacing w:line="360" w:lineRule="auto"/>
        <w:ind w:firstLine="490" w:firstLineChars="200"/>
        <w:rPr>
          <w:color w:val="auto"/>
          <w:sz w:val="24"/>
          <w:szCs w:val="24"/>
          <w:highlight w:val="none"/>
        </w:rPr>
      </w:pPr>
      <w:r>
        <w:rPr>
          <w:rFonts w:hint="eastAsia" w:ascii="仿宋" w:hAnsi="仿宋" w:eastAsia="仿宋" w:cs="仿宋"/>
          <w:color w:val="auto"/>
          <w:sz w:val="24"/>
          <w:szCs w:val="24"/>
          <w:highlight w:val="none"/>
          <w:lang w:eastAsia="zh-CN"/>
        </w:rPr>
        <w:t>（7）商务技术评审结束后，主持人公布商务技术评审无效投标供应商名单和商务技术评审有效投标供应商名单。商务技术评审无效的供应商，其报价不再进入评审。</w:t>
      </w:r>
    </w:p>
    <w:p w14:paraId="6381502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评审结束后，采购代理机构在系统上公布评审结果。</w:t>
      </w:r>
    </w:p>
    <w:p w14:paraId="5435B653">
      <w:pPr>
        <w:snapToGrid w:val="0"/>
        <w:spacing w:line="360" w:lineRule="auto"/>
        <w:ind w:left="48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特别情况说明：</w:t>
      </w:r>
    </w:p>
    <w:p w14:paraId="5BFFF8BE">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（1）本项目采用电子交易，如遇“</w:t>
      </w:r>
      <w:r>
        <w:rPr>
          <w:rFonts w:hint="eastAsia" w:ascii="仿宋" w:hAnsi="仿宋" w:eastAsia="仿宋" w:cs="仿宋"/>
          <w:b/>
          <w:color w:val="auto"/>
          <w:sz w:val="24"/>
          <w:szCs w:val="24"/>
          <w:highlight w:val="none"/>
          <w:lang w:eastAsia="zh-CN"/>
        </w:rPr>
        <w:t>新疆</w:t>
      </w:r>
      <w:r>
        <w:rPr>
          <w:rFonts w:hint="eastAsia" w:ascii="仿宋" w:hAnsi="仿宋" w:eastAsia="仿宋" w:cs="仿宋"/>
          <w:b/>
          <w:color w:val="auto"/>
          <w:sz w:val="24"/>
          <w:szCs w:val="24"/>
          <w:highlight w:val="none"/>
        </w:rPr>
        <w:t>政府采购云平台”电子化开标或评审程序调整的，按调整后程序执行。</w:t>
      </w:r>
    </w:p>
    <w:p w14:paraId="08402FB7">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（2）开标过程中需要相关当事人进行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或盖章确认的材料将通过“政府采购云平台”进行，若因“政府采购云平台”技术问题无法进行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或盖章确认的，采购组织机构将通过电子邮件等形式予以确认，</w:t>
      </w:r>
      <w:r>
        <w:rPr>
          <w:rFonts w:hint="eastAsia" w:ascii="仿宋" w:hAnsi="仿宋" w:eastAsia="仿宋" w:cs="仿宋"/>
          <w:b/>
          <w:color w:val="auto"/>
          <w:sz w:val="24"/>
          <w:szCs w:val="24"/>
          <w:highlight w:val="none"/>
          <w:u w:val="single"/>
        </w:rPr>
        <w:t>请供应商保证办理投标事宜人员电话畅通、网络在线，</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或盖章确认的时间为20分钟。如未及时</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或盖章确认的，视为无异议</w:t>
      </w:r>
      <w:r>
        <w:rPr>
          <w:rFonts w:hint="eastAsia" w:ascii="仿宋" w:hAnsi="仿宋" w:eastAsia="仿宋" w:cs="仿宋"/>
          <w:b/>
          <w:color w:val="auto"/>
          <w:sz w:val="24"/>
          <w:szCs w:val="24"/>
          <w:highlight w:val="none"/>
        </w:rPr>
        <w:t>。</w:t>
      </w:r>
    </w:p>
    <w:p w14:paraId="44A9E141">
      <w:pPr>
        <w:snapToGrid w:val="0"/>
        <w:spacing w:line="360" w:lineRule="auto"/>
        <w:ind w:firstLine="490"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3.</w:t>
      </w:r>
      <w:r>
        <w:rPr>
          <w:rFonts w:hint="eastAsia" w:ascii="仿宋" w:hAnsi="仿宋" w:eastAsia="仿宋" w:cs="仿宋"/>
          <w:b/>
          <w:color w:val="auto"/>
          <w:sz w:val="24"/>
          <w:szCs w:val="24"/>
          <w:highlight w:val="none"/>
        </w:rPr>
        <w:t>投标供应商资格审查：</w:t>
      </w:r>
    </w:p>
    <w:p w14:paraId="34CCA5A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开标（标书信息开启）后，采购人或采购代理机构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bCs/>
          <w:color w:val="auto"/>
          <w:sz w:val="24"/>
          <w:szCs w:val="24"/>
          <w:highlight w:val="none"/>
        </w:rPr>
        <w:t>首先依法对投标供应商的资格文件进行审查，审查各投标供应商的资格符合情况。</w:t>
      </w:r>
      <w:r>
        <w:rPr>
          <w:rFonts w:hint="eastAsia" w:ascii="仿宋" w:hAnsi="仿宋" w:eastAsia="仿宋" w:cs="仿宋"/>
          <w:color w:val="auto"/>
          <w:sz w:val="24"/>
          <w:szCs w:val="24"/>
          <w:highlight w:val="none"/>
        </w:rPr>
        <w:t>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资格并追究投标供应商的法律责任。</w:t>
      </w:r>
    </w:p>
    <w:p w14:paraId="301F5C2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（2）投标供应商提交的资格证明材料无法证明其符合</w:t>
      </w:r>
      <w:r>
        <w:rPr>
          <w:rFonts w:hint="eastAsia" w:ascii="仿宋" w:hAnsi="仿宋" w:eastAsia="仿宋" w:cs="仿宋"/>
          <w:bCs/>
          <w:color w:val="auto"/>
          <w:sz w:val="24"/>
          <w:szCs w:val="24"/>
          <w:highlight w:val="none"/>
          <w:lang w:eastAsia="zh-CN"/>
        </w:rPr>
        <w:t xml:space="preserve">谈判文件 </w:t>
      </w:r>
      <w:r>
        <w:rPr>
          <w:rFonts w:hint="eastAsia" w:ascii="仿宋" w:hAnsi="仿宋" w:eastAsia="仿宋" w:cs="仿宋"/>
          <w:bCs/>
          <w:color w:val="auto"/>
          <w:sz w:val="24"/>
          <w:szCs w:val="24"/>
          <w:highlight w:val="none"/>
        </w:rPr>
        <w:t>规定的“投标供应商资格要求”的，采购人或采购代理机构将对其作“资格审查不合格”处理（无效投标），并不再将其投标提交评标委员会进行后续评审。</w:t>
      </w:r>
    </w:p>
    <w:p w14:paraId="173261D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（3）供应商信用记录查询与使用：见《供应商须知前附表》。</w:t>
      </w:r>
    </w:p>
    <w:p w14:paraId="79E9A6FD">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b/>
          <w:color w:val="auto"/>
          <w:sz w:val="24"/>
          <w:szCs w:val="24"/>
          <w:highlight w:val="none"/>
        </w:rPr>
      </w:pPr>
      <w:bookmarkStart w:id="8" w:name="_Toc213839741"/>
      <w:r>
        <w:rPr>
          <w:rFonts w:hint="eastAsia" w:ascii="仿宋" w:hAnsi="仿宋" w:eastAsia="仿宋" w:cs="仿宋"/>
          <w:b/>
          <w:color w:val="auto"/>
          <w:sz w:val="24"/>
          <w:szCs w:val="24"/>
          <w:highlight w:val="none"/>
        </w:rPr>
        <w:t>（二十</w:t>
      </w:r>
      <w:r>
        <w:rPr>
          <w:rFonts w:hint="eastAsia" w:ascii="仿宋" w:hAnsi="仿宋" w:eastAsia="仿宋" w:cs="仿宋"/>
          <w:b/>
          <w:color w:val="auto"/>
          <w:sz w:val="24"/>
          <w:szCs w:val="24"/>
          <w:highlight w:val="none"/>
          <w:lang w:eastAsia="zh-CN"/>
        </w:rPr>
        <w:t>四</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报价方式</w:t>
      </w:r>
    </w:p>
    <w:p w14:paraId="149CA821">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1、供应商提交的响应性文件中的报价，该报价只允许有一个报价，任何有选择性的报价将不予接受。</w:t>
      </w:r>
    </w:p>
    <w:p w14:paraId="02ECD80B">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所有成员与供应商进行单独</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中，</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的任何一方不得透露与</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有关的其他供应商的技术资料、价格和其他信息。</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有实质性变动的，</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应以书面形式通知所有参加</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的供应商。</w:t>
      </w:r>
    </w:p>
    <w:p w14:paraId="068D421C">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结束后，供应商可根据</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情况，进行第二次报价</w:t>
      </w:r>
      <w:r>
        <w:rPr>
          <w:rFonts w:hint="eastAsia" w:ascii="仿宋" w:hAnsi="仿宋" w:eastAsia="仿宋" w:cs="仿宋"/>
          <w:color w:val="auto"/>
          <w:sz w:val="24"/>
          <w:szCs w:val="24"/>
          <w:highlight w:val="none"/>
          <w:lang w:eastAsia="zh-CN"/>
        </w:rPr>
        <w:t>，采购人也可以根据谈判情况开启多轮报价，</w:t>
      </w:r>
      <w:r>
        <w:rPr>
          <w:rFonts w:hint="eastAsia" w:ascii="仿宋" w:hAnsi="仿宋" w:eastAsia="仿宋" w:cs="仿宋"/>
          <w:color w:val="auto"/>
          <w:sz w:val="24"/>
          <w:szCs w:val="24"/>
          <w:highlight w:val="none"/>
        </w:rPr>
        <w:t>该报价为</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的最终报价。</w:t>
      </w:r>
    </w:p>
    <w:p w14:paraId="2069DF59">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4、第二次报价</w:t>
      </w:r>
      <w:r>
        <w:rPr>
          <w:rFonts w:hint="eastAsia" w:ascii="仿宋" w:hAnsi="仿宋" w:eastAsia="仿宋" w:cs="仿宋"/>
          <w:color w:val="auto"/>
          <w:sz w:val="24"/>
          <w:szCs w:val="24"/>
          <w:highlight w:val="none"/>
          <w:lang w:eastAsia="zh-CN"/>
        </w:rPr>
        <w:t>在政采云不见面开评标系统</w:t>
      </w:r>
      <w:r>
        <w:rPr>
          <w:rFonts w:hint="eastAsia" w:ascii="仿宋" w:hAnsi="仿宋" w:eastAsia="仿宋" w:cs="仿宋"/>
          <w:color w:val="auto"/>
          <w:sz w:val="24"/>
          <w:szCs w:val="24"/>
          <w:highlight w:val="none"/>
        </w:rPr>
        <w:t>填写提交。所有供应商的二次报价收集齐全后，二次报价不进行公开唱标</w:t>
      </w:r>
      <w:r>
        <w:rPr>
          <w:rFonts w:hint="eastAsia" w:ascii="仿宋" w:hAnsi="仿宋" w:eastAsia="仿宋" w:cs="仿宋"/>
          <w:color w:val="auto"/>
          <w:sz w:val="24"/>
          <w:szCs w:val="24"/>
          <w:highlight w:val="none"/>
          <w:lang w:eastAsia="zh-CN"/>
        </w:rPr>
        <w:t>，依次类推。</w:t>
      </w:r>
    </w:p>
    <w:p w14:paraId="4F945C80">
      <w:pPr>
        <w:keepNext w:val="0"/>
        <w:keepLines w:val="0"/>
        <w:pageBreakBefore w:val="0"/>
        <w:widowControl w:val="0"/>
        <w:kinsoku/>
        <w:wordWrap/>
        <w:overflowPunct/>
        <w:topLinePunct w:val="0"/>
        <w:bidi w:val="0"/>
        <w:snapToGrid w:val="0"/>
        <w:spacing w:line="324" w:lineRule="auto"/>
        <w:ind w:firstLine="359" w:firstLineChars="147"/>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8"/>
    </w:p>
    <w:p w14:paraId="0D31F183">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七、评标</w:t>
      </w:r>
      <w:r>
        <w:rPr>
          <w:rFonts w:hint="eastAsia" w:ascii="仿宋" w:hAnsi="仿宋" w:eastAsia="仿宋" w:cs="仿宋"/>
          <w:color w:val="auto"/>
          <w:sz w:val="28"/>
          <w:szCs w:val="28"/>
          <w:highlight w:val="none"/>
          <w:lang w:eastAsia="zh-CN"/>
        </w:rPr>
        <w:t>程序</w:t>
      </w:r>
    </w:p>
    <w:p w14:paraId="3FE56D49">
      <w:pPr>
        <w:snapToGrid w:val="0"/>
        <w:spacing w:line="360" w:lineRule="auto"/>
        <w:ind w:firstLine="479" w:firstLineChars="196"/>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）评标原则</w:t>
      </w:r>
    </w:p>
    <w:p w14:paraId="7C929B85">
      <w:pPr>
        <w:adjustRightInd w:val="0"/>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“公开、公平、公正、客观、择优”为评标的基本原则，</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小组将根据这一原则，公正、平等地对待各供应商。</w:t>
      </w:r>
    </w:p>
    <w:p w14:paraId="4DC7C6AF">
      <w:pPr>
        <w:adjustRightInd w:val="0"/>
        <w:snapToGrid w:val="0"/>
        <w:spacing w:line="360" w:lineRule="auto"/>
        <w:ind w:firstLine="359" w:firstLineChars="147"/>
        <w:rPr>
          <w:rFonts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六</w:t>
      </w:r>
      <w:r>
        <w:rPr>
          <w:rFonts w:hint="eastAsia" w:ascii="仿宋" w:hAnsi="仿宋" w:eastAsia="仿宋" w:cs="仿宋"/>
          <w:b/>
          <w:bCs/>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小组</w:t>
      </w:r>
    </w:p>
    <w:p w14:paraId="53F8B479">
      <w:pPr>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评标委员会成员由招标人的代表1名和随机抽取的有关方面的专家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名组成，成员共为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人，评标委员会的成员在评标过程中必须严格遵守政府采购的有关规定。专家从</w:t>
      </w:r>
      <w:r>
        <w:rPr>
          <w:rFonts w:hint="eastAsia" w:ascii="仿宋" w:hAnsi="仿宋" w:eastAsia="仿宋" w:cs="仿宋"/>
          <w:color w:val="auto"/>
          <w:sz w:val="24"/>
          <w:szCs w:val="24"/>
          <w:highlight w:val="none"/>
          <w:lang w:eastAsia="zh-CN"/>
        </w:rPr>
        <w:t>政采云</w:t>
      </w:r>
      <w:r>
        <w:rPr>
          <w:rFonts w:hint="eastAsia" w:ascii="仿宋" w:hAnsi="仿宋" w:eastAsia="仿宋" w:cs="仿宋"/>
          <w:color w:val="auto"/>
          <w:sz w:val="24"/>
          <w:szCs w:val="24"/>
          <w:highlight w:val="none"/>
        </w:rPr>
        <w:t>专家库中随机抽取产生，负责对响应文件进行审查、质询、评审、推选</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w:t>
      </w:r>
    </w:p>
    <w:p w14:paraId="7EB3EFAB">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1、评标事务由</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小组负责，并独立履行下列职责：</w:t>
      </w:r>
    </w:p>
    <w:p w14:paraId="2554DF36">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（a）审查响应文件是否符合本文件要求，并做出评价；</w:t>
      </w:r>
    </w:p>
    <w:p w14:paraId="48B2B09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（b）要求供应商对响应文件有关事项做出澄清或答复；</w:t>
      </w:r>
    </w:p>
    <w:p w14:paraId="57B2C39D">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（c）推荐</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候选人名单，或者直接确定</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w:t>
      </w:r>
    </w:p>
    <w:p w14:paraId="54EF62A8">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（d）向招标采购单位或者有关部门报告非法干预评标工作的行为。</w:t>
      </w:r>
    </w:p>
    <w:p w14:paraId="0A3169E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小组成员的义务</w:t>
      </w:r>
    </w:p>
    <w:p w14:paraId="257A7EF3">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（a）遵纪守法，客观、公正、廉洁地履行职责；</w:t>
      </w:r>
    </w:p>
    <w:p w14:paraId="2BB02461">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规定的评标方法和标准进行评标，对评审意见承担个人责任；</w:t>
      </w:r>
    </w:p>
    <w:p w14:paraId="24880979">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（c）对评标过程和结果，以及供应商的商业秘密保密；</w:t>
      </w:r>
    </w:p>
    <w:p w14:paraId="24ADFB25">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（d）参与评标报告的起草；</w:t>
      </w:r>
    </w:p>
    <w:p w14:paraId="125D4A6A">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（e）配合财政部门的投诉处理工作；</w:t>
      </w:r>
    </w:p>
    <w:p w14:paraId="4FEE9C9B">
      <w:pPr>
        <w:keepNext w:val="0"/>
        <w:keepLines w:val="0"/>
        <w:pageBreakBefore w:val="0"/>
        <w:kinsoku/>
        <w:wordWrap/>
        <w:overflowPunct/>
        <w:topLinePunct w:val="0"/>
        <w:autoSpaceDE/>
        <w:autoSpaceDN/>
        <w:bidi w:val="0"/>
        <w:snapToGrid w:val="0"/>
        <w:spacing w:line="305" w:lineRule="auto"/>
        <w:ind w:firstLine="359" w:firstLineChars="14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（f）配合招标采购单位答复供应商提出的质疑。</w:t>
      </w:r>
    </w:p>
    <w:p w14:paraId="13195E8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3.评标程序</w:t>
      </w:r>
    </w:p>
    <w:p w14:paraId="201C590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本次评标首先由评标委员会对投标人的响应文件进行初审，对未能通过初审的响应文件作无效标处理；</w:t>
      </w:r>
    </w:p>
    <w:p w14:paraId="40D529C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b/>
          <w:color w:val="auto"/>
          <w:sz w:val="24"/>
          <w:szCs w:val="24"/>
          <w:highlight w:val="none"/>
          <w:lang w:val="en-US" w:eastAsia="zh-CN"/>
        </w:rPr>
      </w:pPr>
      <w:r>
        <w:rPr>
          <w:rFonts w:hint="eastAsia" w:ascii="仿宋" w:hAnsi="仿宋" w:eastAsia="仿宋" w:cs="仿宋"/>
          <w:color w:val="auto"/>
          <w:sz w:val="24"/>
          <w:szCs w:val="24"/>
          <w:highlight w:val="none"/>
          <w:lang w:val="en-US" w:eastAsia="zh-CN" w:bidi="en-US"/>
        </w:rPr>
        <w:t>4.对通过初审的投标人的响应文件进行详细的比较和评价。如需要，进行必要的澄清工作；</w:t>
      </w:r>
    </w:p>
    <w:p w14:paraId="2DB609B7">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lang w:eastAsia="zh-CN"/>
        </w:rPr>
        <w:t>响应文件初审</w:t>
      </w:r>
    </w:p>
    <w:p w14:paraId="187EDF58">
      <w:pPr>
        <w:spacing w:line="400" w:lineRule="exact"/>
        <w:ind w:firstLine="359" w:firstLineChars="147"/>
        <w:rPr>
          <w:rFonts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6.资格性审查:</w:t>
      </w:r>
    </w:p>
    <w:p w14:paraId="378D398A">
      <w:pPr>
        <w:spacing w:line="400" w:lineRule="exact"/>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.1评审细则</w:t>
      </w: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5281"/>
        <w:gridCol w:w="1304"/>
        <w:gridCol w:w="1273"/>
      </w:tblGrid>
      <w:tr w14:paraId="353B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3D13ED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828" w:type="dxa"/>
            <w:gridSpan w:val="2"/>
            <w:vMerge w:val="restart"/>
            <w:vAlign w:val="center"/>
          </w:tcPr>
          <w:p w14:paraId="7332ED5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2577" w:type="dxa"/>
            <w:gridSpan w:val="2"/>
            <w:vAlign w:val="center"/>
          </w:tcPr>
          <w:p w14:paraId="2BB5AE8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63D7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6D1069E6">
            <w:pPr>
              <w:rPr>
                <w:rFonts w:ascii="仿宋" w:hAnsi="仿宋" w:eastAsia="仿宋" w:cs="仿宋"/>
                <w:color w:val="auto"/>
                <w:sz w:val="24"/>
                <w:szCs w:val="24"/>
                <w:highlight w:val="none"/>
              </w:rPr>
            </w:pPr>
          </w:p>
        </w:tc>
        <w:tc>
          <w:tcPr>
            <w:tcW w:w="5828" w:type="dxa"/>
            <w:gridSpan w:val="2"/>
            <w:vMerge w:val="continue"/>
          </w:tcPr>
          <w:p w14:paraId="36A8DCD5">
            <w:pPr>
              <w:rPr>
                <w:rFonts w:ascii="仿宋" w:hAnsi="仿宋" w:eastAsia="仿宋" w:cs="仿宋"/>
                <w:color w:val="auto"/>
                <w:sz w:val="24"/>
                <w:szCs w:val="24"/>
                <w:highlight w:val="none"/>
              </w:rPr>
            </w:pPr>
          </w:p>
        </w:tc>
        <w:tc>
          <w:tcPr>
            <w:tcW w:w="1304" w:type="dxa"/>
            <w:vAlign w:val="center"/>
          </w:tcPr>
          <w:p w14:paraId="090413AC">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1273" w:type="dxa"/>
            <w:vAlign w:val="center"/>
          </w:tcPr>
          <w:p w14:paraId="21E33C7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322D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353A6377">
            <w:pPr>
              <w:jc w:val="center"/>
              <w:rPr>
                <w:rFonts w:ascii="仿宋" w:hAnsi="仿宋" w:eastAsia="仿宋" w:cs="仿宋"/>
                <w:color w:val="auto"/>
                <w:sz w:val="24"/>
                <w:szCs w:val="24"/>
                <w:highlight w:val="none"/>
                <w:lang w:eastAsia="zh-CN"/>
              </w:rPr>
            </w:pPr>
          </w:p>
        </w:tc>
        <w:tc>
          <w:tcPr>
            <w:tcW w:w="547" w:type="dxa"/>
            <w:vAlign w:val="center"/>
          </w:tcPr>
          <w:p w14:paraId="0A65AFA6">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w:t>
            </w:r>
          </w:p>
        </w:tc>
        <w:tc>
          <w:tcPr>
            <w:tcW w:w="5281" w:type="dxa"/>
            <w:vAlign w:val="center"/>
          </w:tcPr>
          <w:p w14:paraId="7B8B974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具备三证合一营业执照；</w:t>
            </w:r>
            <w:r>
              <w:rPr>
                <w:rFonts w:hint="eastAsia" w:ascii="仿宋" w:hAnsi="仿宋" w:eastAsia="仿宋" w:cs="仿宋"/>
                <w:color w:val="auto"/>
                <w:highlight w:val="none"/>
                <w:lang w:val="en-US" w:eastAsia="zh-CN"/>
              </w:rPr>
              <w:tab/>
            </w:r>
          </w:p>
        </w:tc>
        <w:tc>
          <w:tcPr>
            <w:tcW w:w="1304" w:type="dxa"/>
            <w:vAlign w:val="top"/>
          </w:tcPr>
          <w:p w14:paraId="069E7408">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113E6672">
            <w:pPr>
              <w:widowControl/>
              <w:shd w:val="clear" w:color="auto" w:fill="auto"/>
              <w:jc w:val="left"/>
              <w:textAlignment w:val="center"/>
              <w:rPr>
                <w:rFonts w:hint="eastAsia" w:ascii="仿宋" w:hAnsi="仿宋" w:eastAsia="仿宋" w:cs="仿宋"/>
                <w:color w:val="auto"/>
                <w:highlight w:val="none"/>
                <w:lang w:eastAsia="zh-CN"/>
              </w:rPr>
            </w:pPr>
          </w:p>
        </w:tc>
      </w:tr>
      <w:tr w14:paraId="1EF7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4B171F5D">
            <w:pPr>
              <w:rPr>
                <w:rFonts w:ascii="仿宋" w:hAnsi="仿宋" w:eastAsia="仿宋" w:cs="仿宋"/>
                <w:color w:val="auto"/>
                <w:sz w:val="24"/>
                <w:szCs w:val="24"/>
                <w:highlight w:val="none"/>
                <w:lang w:eastAsia="zh-CN"/>
              </w:rPr>
            </w:pPr>
          </w:p>
        </w:tc>
        <w:tc>
          <w:tcPr>
            <w:tcW w:w="547" w:type="dxa"/>
            <w:vAlign w:val="center"/>
          </w:tcPr>
          <w:p w14:paraId="5CD292C5">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2</w:t>
            </w:r>
          </w:p>
        </w:tc>
        <w:tc>
          <w:tcPr>
            <w:tcW w:w="5281" w:type="dxa"/>
            <w:vAlign w:val="center"/>
          </w:tcPr>
          <w:p w14:paraId="1742A174">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法定代表人投标需提供法定代表人资格证明书，委托代理人投标需提供法定代表人授权委托书；</w:t>
            </w:r>
          </w:p>
        </w:tc>
        <w:tc>
          <w:tcPr>
            <w:tcW w:w="1304" w:type="dxa"/>
            <w:vAlign w:val="top"/>
          </w:tcPr>
          <w:p w14:paraId="6239302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4C5295C4">
            <w:pPr>
              <w:widowControl/>
              <w:shd w:val="clear" w:color="auto" w:fill="auto"/>
              <w:jc w:val="left"/>
              <w:textAlignment w:val="center"/>
              <w:rPr>
                <w:rFonts w:hint="eastAsia" w:ascii="仿宋" w:hAnsi="仿宋" w:eastAsia="仿宋" w:cs="仿宋"/>
                <w:color w:val="auto"/>
                <w:highlight w:val="none"/>
                <w:lang w:eastAsia="zh-CN"/>
              </w:rPr>
            </w:pPr>
          </w:p>
        </w:tc>
      </w:tr>
      <w:tr w14:paraId="6742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352E28BE">
            <w:pPr>
              <w:rPr>
                <w:rFonts w:ascii="仿宋" w:hAnsi="仿宋" w:eastAsia="仿宋" w:cs="仿宋"/>
                <w:color w:val="auto"/>
                <w:sz w:val="24"/>
                <w:szCs w:val="24"/>
                <w:highlight w:val="none"/>
                <w:lang w:eastAsia="zh-CN"/>
              </w:rPr>
            </w:pPr>
          </w:p>
        </w:tc>
        <w:tc>
          <w:tcPr>
            <w:tcW w:w="547" w:type="dxa"/>
            <w:vAlign w:val="center"/>
          </w:tcPr>
          <w:p w14:paraId="38CF4777">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3</w:t>
            </w:r>
          </w:p>
        </w:tc>
        <w:tc>
          <w:tcPr>
            <w:tcW w:w="5281" w:type="dxa"/>
            <w:vAlign w:val="center"/>
          </w:tcPr>
          <w:p w14:paraId="244F9498">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投标企业须提供投标人（被授权在职人员）近6个月内任意一个月有效的社保证明；</w:t>
            </w:r>
          </w:p>
        </w:tc>
        <w:tc>
          <w:tcPr>
            <w:tcW w:w="1304" w:type="dxa"/>
            <w:vAlign w:val="top"/>
          </w:tcPr>
          <w:p w14:paraId="7B3E22E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7D932829">
            <w:pPr>
              <w:widowControl/>
              <w:shd w:val="clear" w:color="auto" w:fill="auto"/>
              <w:jc w:val="left"/>
              <w:textAlignment w:val="center"/>
              <w:rPr>
                <w:rFonts w:hint="eastAsia" w:ascii="仿宋" w:hAnsi="仿宋" w:eastAsia="仿宋" w:cs="仿宋"/>
                <w:color w:val="auto"/>
                <w:highlight w:val="none"/>
                <w:lang w:eastAsia="zh-CN"/>
              </w:rPr>
            </w:pPr>
          </w:p>
        </w:tc>
      </w:tr>
      <w:tr w14:paraId="2180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6967A282">
            <w:pPr>
              <w:rPr>
                <w:rFonts w:ascii="仿宋" w:hAnsi="仿宋" w:eastAsia="仿宋" w:cs="仿宋"/>
                <w:color w:val="auto"/>
                <w:sz w:val="24"/>
                <w:szCs w:val="24"/>
                <w:highlight w:val="none"/>
                <w:lang w:eastAsia="zh-CN"/>
              </w:rPr>
            </w:pPr>
          </w:p>
        </w:tc>
        <w:tc>
          <w:tcPr>
            <w:tcW w:w="547" w:type="dxa"/>
            <w:vAlign w:val="center"/>
          </w:tcPr>
          <w:p w14:paraId="48036D63">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p>
        </w:tc>
        <w:tc>
          <w:tcPr>
            <w:tcW w:w="5281" w:type="dxa"/>
            <w:vAlign w:val="center"/>
          </w:tcPr>
          <w:p w14:paraId="602F634C">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未被“信用中国”（www.creditchina.gov.cn）、中国政府采购网（www.ccgp.gov.cn）列入失信被执行人、重大税收违法案件当事人名单、政府采购严重违法失信行为记录名单；</w:t>
            </w:r>
          </w:p>
        </w:tc>
        <w:tc>
          <w:tcPr>
            <w:tcW w:w="1304" w:type="dxa"/>
            <w:vAlign w:val="top"/>
          </w:tcPr>
          <w:p w14:paraId="3D2EB8F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5D28B22">
            <w:pPr>
              <w:widowControl/>
              <w:shd w:val="clear" w:color="auto" w:fill="auto"/>
              <w:jc w:val="left"/>
              <w:textAlignment w:val="center"/>
              <w:rPr>
                <w:rFonts w:hint="eastAsia" w:ascii="仿宋" w:hAnsi="仿宋" w:eastAsia="仿宋" w:cs="仿宋"/>
                <w:color w:val="auto"/>
                <w:highlight w:val="none"/>
                <w:lang w:eastAsia="zh-CN"/>
              </w:rPr>
            </w:pPr>
          </w:p>
        </w:tc>
      </w:tr>
      <w:tr w14:paraId="11ED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vMerge w:val="continue"/>
            <w:vAlign w:val="center"/>
          </w:tcPr>
          <w:p w14:paraId="54920370">
            <w:pPr>
              <w:rPr>
                <w:rFonts w:ascii="仿宋" w:hAnsi="仿宋" w:eastAsia="仿宋" w:cs="仿宋"/>
                <w:color w:val="auto"/>
                <w:sz w:val="24"/>
                <w:szCs w:val="24"/>
                <w:highlight w:val="none"/>
                <w:lang w:eastAsia="zh-CN"/>
              </w:rPr>
            </w:pPr>
          </w:p>
        </w:tc>
        <w:tc>
          <w:tcPr>
            <w:tcW w:w="547" w:type="dxa"/>
            <w:vAlign w:val="center"/>
          </w:tcPr>
          <w:p w14:paraId="2C9908DB">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w:t>
            </w:r>
          </w:p>
        </w:tc>
        <w:tc>
          <w:tcPr>
            <w:tcW w:w="5281" w:type="dxa"/>
            <w:vAlign w:val="center"/>
          </w:tcPr>
          <w:p w14:paraId="2D53D2AA">
            <w:pPr>
              <w:widowControl/>
              <w:shd w:val="clear" w:color="auto" w:fill="auto"/>
              <w:jc w:val="left"/>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投标保证金缴纳凭证或保函等票据</w:t>
            </w:r>
            <w:r>
              <w:rPr>
                <w:rFonts w:hint="eastAsia" w:ascii="仿宋" w:hAnsi="仿宋" w:eastAsia="仿宋" w:cs="仿宋"/>
                <w:color w:val="auto"/>
                <w:highlight w:val="none"/>
                <w:lang w:val="en-US" w:eastAsia="zh-CN"/>
              </w:rPr>
              <w:t>。</w:t>
            </w:r>
          </w:p>
        </w:tc>
        <w:tc>
          <w:tcPr>
            <w:tcW w:w="1304" w:type="dxa"/>
            <w:vAlign w:val="top"/>
          </w:tcPr>
          <w:p w14:paraId="4F50DBF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0A5D88F">
            <w:pPr>
              <w:widowControl/>
              <w:shd w:val="clear" w:color="auto" w:fill="auto"/>
              <w:jc w:val="left"/>
              <w:textAlignment w:val="center"/>
              <w:rPr>
                <w:rFonts w:hint="eastAsia" w:ascii="仿宋" w:hAnsi="仿宋" w:eastAsia="仿宋" w:cs="仿宋"/>
                <w:color w:val="auto"/>
                <w:highlight w:val="none"/>
                <w:lang w:eastAsia="zh-CN"/>
              </w:rPr>
            </w:pPr>
          </w:p>
        </w:tc>
      </w:tr>
      <w:tr w14:paraId="58C1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54543D85">
            <w:pPr>
              <w:rPr>
                <w:rFonts w:ascii="仿宋" w:hAnsi="仿宋" w:eastAsia="仿宋" w:cs="仿宋"/>
                <w:color w:val="auto"/>
                <w:sz w:val="24"/>
                <w:szCs w:val="24"/>
                <w:highlight w:val="none"/>
                <w:lang w:eastAsia="zh-CN"/>
              </w:rPr>
            </w:pPr>
          </w:p>
        </w:tc>
        <w:tc>
          <w:tcPr>
            <w:tcW w:w="547" w:type="dxa"/>
            <w:vAlign w:val="center"/>
          </w:tcPr>
          <w:p w14:paraId="515947BD">
            <w:pPr>
              <w:widowControl/>
              <w:shd w:val="clear" w:color="auto" w:fill="auto"/>
              <w:jc w:val="left"/>
              <w:textAlignment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5281" w:type="dxa"/>
            <w:vAlign w:val="center"/>
          </w:tcPr>
          <w:p w14:paraId="022DDB0E">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供应商应为中小企业</w:t>
            </w:r>
          </w:p>
        </w:tc>
        <w:tc>
          <w:tcPr>
            <w:tcW w:w="2577" w:type="dxa"/>
            <w:gridSpan w:val="2"/>
            <w:vAlign w:val="top"/>
          </w:tcPr>
          <w:p w14:paraId="1119359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请根据要求单独上传《中小企业声明函》。格式以采购文件要求为准。</w:t>
            </w:r>
          </w:p>
        </w:tc>
      </w:tr>
      <w:tr w14:paraId="4A80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5C6134A9">
            <w:pPr>
              <w:jc w:val="center"/>
              <w:rPr>
                <w:rFonts w:ascii="仿宋" w:hAnsi="仿宋" w:eastAsia="仿宋" w:cs="仿宋"/>
                <w:color w:val="auto"/>
                <w:sz w:val="24"/>
                <w:szCs w:val="24"/>
                <w:highlight w:val="none"/>
                <w:lang w:eastAsia="zh-CN"/>
              </w:rPr>
            </w:pPr>
          </w:p>
        </w:tc>
        <w:tc>
          <w:tcPr>
            <w:tcW w:w="8405" w:type="dxa"/>
            <w:gridSpan w:val="4"/>
          </w:tcPr>
          <w:p w14:paraId="623EBEB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结论：是否通过评审（须填写通过或不通过）</w:t>
            </w:r>
          </w:p>
          <w:p w14:paraId="69919D5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注：如有一项不合格，作废标处理。</w:t>
            </w:r>
          </w:p>
        </w:tc>
      </w:tr>
    </w:tbl>
    <w:p w14:paraId="357CE8C7">
      <w:pPr>
        <w:spacing w:line="400" w:lineRule="exact"/>
        <w:ind w:firstLine="590" w:firstLineChars="241"/>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6.2如评标专家在检验电子标书过程中，如果由于投标人自身原因导致评标专家无法查看并检验电子标书中以上相关资料的，否决其投标。即使投标单位将原件携带至现场的，同样按无效投标处理。</w:t>
      </w:r>
    </w:p>
    <w:p w14:paraId="1ECB1464">
      <w:pPr>
        <w:spacing w:before="156" w:beforeLines="50" w:line="440" w:lineRule="exact"/>
        <w:ind w:firstLine="359" w:firstLineChars="14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7</w:t>
      </w:r>
      <w:r>
        <w:rPr>
          <w:rFonts w:hint="eastAsia" w:ascii="仿宋" w:hAnsi="仿宋" w:eastAsia="仿宋" w:cs="仿宋"/>
          <w:b/>
          <w:color w:val="auto"/>
          <w:sz w:val="24"/>
          <w:szCs w:val="24"/>
          <w:highlight w:val="none"/>
        </w:rPr>
        <w:t>.符合性审查</w:t>
      </w:r>
    </w:p>
    <w:p w14:paraId="606AF9C2">
      <w:pPr>
        <w:spacing w:line="440" w:lineRule="exact"/>
        <w:ind w:firstLine="367" w:firstLineChars="15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．1评审细则</w:t>
      </w:r>
    </w:p>
    <w:tbl>
      <w:tblPr>
        <w:tblStyle w:val="23"/>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2F603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407F0016">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7C3B3CE2">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031A940F">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3F6A0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9D37CAB">
            <w:pPr>
              <w:spacing w:line="24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3AE82AA9">
            <w:pPr>
              <w:spacing w:line="240" w:lineRule="auto"/>
              <w:rPr>
                <w:rFonts w:ascii="仿宋" w:hAnsi="仿宋" w:eastAsia="仿宋" w:cs="仿宋"/>
                <w:color w:val="auto"/>
                <w:highlight w:val="none"/>
              </w:rPr>
            </w:pPr>
          </w:p>
        </w:tc>
        <w:tc>
          <w:tcPr>
            <w:tcW w:w="749" w:type="dxa"/>
            <w:vAlign w:val="center"/>
          </w:tcPr>
          <w:p w14:paraId="25F5D84C">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40F54ABA">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42E1F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5714CF3A">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3AAAC3E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3AA4D977">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6819E6C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37D12092">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5A2AA58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w:t>
            </w:r>
            <w:r>
              <w:rPr>
                <w:rFonts w:hint="eastAsia" w:ascii="仿宋" w:hAnsi="仿宋" w:eastAsia="仿宋" w:cs="仿宋"/>
                <w:color w:val="auto"/>
                <w:highlight w:val="none"/>
                <w:lang w:val="en-US" w:eastAsia="zh-CN"/>
              </w:rPr>
              <w:t>低</w:t>
            </w:r>
            <w:r>
              <w:rPr>
                <w:rFonts w:hint="eastAsia" w:ascii="仿宋" w:hAnsi="仿宋" w:eastAsia="仿宋" w:cs="仿宋"/>
                <w:color w:val="auto"/>
                <w:highlight w:val="none"/>
                <w:lang w:eastAsia="zh-CN"/>
              </w:rPr>
              <w:t>于设定的采购预算</w:t>
            </w:r>
            <w:r>
              <w:rPr>
                <w:rFonts w:hint="eastAsia" w:ascii="仿宋" w:hAnsi="仿宋" w:eastAsia="仿宋" w:cs="仿宋"/>
                <w:color w:val="auto"/>
                <w:highlight w:val="none"/>
                <w:lang w:val="en-US" w:eastAsia="zh-CN"/>
              </w:rPr>
              <w:t>价</w:t>
            </w:r>
            <w:r>
              <w:rPr>
                <w:rFonts w:hint="eastAsia" w:ascii="仿宋" w:hAnsi="仿宋" w:eastAsia="仿宋" w:cs="仿宋"/>
                <w:color w:val="auto"/>
                <w:highlight w:val="none"/>
                <w:lang w:eastAsia="zh-CN"/>
              </w:rPr>
              <w:t>；</w:t>
            </w:r>
          </w:p>
        </w:tc>
        <w:tc>
          <w:tcPr>
            <w:tcW w:w="749" w:type="dxa"/>
            <w:tcBorders>
              <w:left w:val="single" w:color="auto" w:sz="4" w:space="0"/>
              <w:right w:val="single" w:color="auto" w:sz="4" w:space="0"/>
            </w:tcBorders>
          </w:tcPr>
          <w:p w14:paraId="19A54B7D">
            <w:pPr>
              <w:spacing w:line="24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009CAC66">
            <w:pPr>
              <w:spacing w:line="240" w:lineRule="auto"/>
              <w:jc w:val="center"/>
              <w:rPr>
                <w:rFonts w:ascii="仿宋" w:hAnsi="仿宋" w:eastAsia="仿宋" w:cs="仿宋"/>
                <w:b/>
                <w:color w:val="auto"/>
                <w:szCs w:val="21"/>
                <w:highlight w:val="none"/>
                <w:lang w:eastAsia="zh-CN"/>
              </w:rPr>
            </w:pPr>
          </w:p>
        </w:tc>
      </w:tr>
      <w:tr w14:paraId="6D5D2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46A1AD2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46C16D4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661EF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i w:val="0"/>
                <w:iCs w:val="0"/>
                <w:caps w:val="0"/>
                <w:color w:val="000000"/>
                <w:spacing w:val="0"/>
                <w:sz w:val="22"/>
                <w:szCs w:val="22"/>
                <w:lang w:val="en-US" w:eastAsia="zh-CN"/>
              </w:rPr>
              <w:t>法定代表人投标需提供法定代表人资格证明书，委托代理人投标需提供法定代表人授权委托书</w:t>
            </w:r>
          </w:p>
        </w:tc>
        <w:tc>
          <w:tcPr>
            <w:tcW w:w="749" w:type="dxa"/>
            <w:tcBorders>
              <w:left w:val="single" w:color="auto" w:sz="4" w:space="0"/>
            </w:tcBorders>
          </w:tcPr>
          <w:p w14:paraId="77C966DE">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3B32B18E">
            <w:pPr>
              <w:spacing w:line="240" w:lineRule="auto"/>
              <w:rPr>
                <w:rFonts w:ascii="仿宋" w:hAnsi="仿宋" w:eastAsia="仿宋" w:cs="仿宋"/>
                <w:color w:val="auto"/>
                <w:szCs w:val="21"/>
                <w:highlight w:val="none"/>
                <w:lang w:eastAsia="zh-CN"/>
              </w:rPr>
            </w:pPr>
          </w:p>
        </w:tc>
      </w:tr>
      <w:tr w14:paraId="050AC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1752497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66A86A3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2090A68D">
            <w:pPr>
              <w:widowControl/>
              <w:spacing w:line="24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5D2F353A">
            <w:pPr>
              <w:spacing w:line="240" w:lineRule="auto"/>
              <w:rPr>
                <w:rFonts w:ascii="仿宋" w:hAnsi="仿宋" w:eastAsia="仿宋" w:cs="仿宋"/>
                <w:color w:val="auto"/>
                <w:szCs w:val="21"/>
                <w:highlight w:val="none"/>
              </w:rPr>
            </w:pPr>
          </w:p>
        </w:tc>
        <w:tc>
          <w:tcPr>
            <w:tcW w:w="617" w:type="dxa"/>
            <w:tcBorders>
              <w:right w:val="single" w:color="auto" w:sz="4" w:space="0"/>
            </w:tcBorders>
          </w:tcPr>
          <w:p w14:paraId="39CFC09D">
            <w:pPr>
              <w:spacing w:line="240" w:lineRule="auto"/>
              <w:rPr>
                <w:rFonts w:ascii="仿宋" w:hAnsi="仿宋" w:eastAsia="仿宋" w:cs="仿宋"/>
                <w:color w:val="auto"/>
                <w:szCs w:val="21"/>
                <w:highlight w:val="none"/>
              </w:rPr>
            </w:pPr>
          </w:p>
        </w:tc>
      </w:tr>
      <w:tr w14:paraId="7DD0B7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49648329">
            <w:pPr>
              <w:spacing w:line="240" w:lineRule="auto"/>
              <w:rPr>
                <w:rFonts w:ascii="仿宋" w:hAnsi="仿宋" w:eastAsia="仿宋" w:cs="仿宋"/>
                <w:color w:val="auto"/>
                <w:highlight w:val="none"/>
              </w:rPr>
            </w:pPr>
          </w:p>
        </w:tc>
        <w:tc>
          <w:tcPr>
            <w:tcW w:w="597" w:type="dxa"/>
            <w:tcBorders>
              <w:left w:val="single" w:color="auto" w:sz="4" w:space="0"/>
            </w:tcBorders>
            <w:vAlign w:val="center"/>
          </w:tcPr>
          <w:p w14:paraId="167B397A">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4EA616E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47FF4153">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1A5B68A3">
            <w:pPr>
              <w:spacing w:line="240" w:lineRule="auto"/>
              <w:rPr>
                <w:rFonts w:ascii="仿宋" w:hAnsi="仿宋" w:eastAsia="仿宋" w:cs="仿宋"/>
                <w:color w:val="auto"/>
                <w:szCs w:val="21"/>
                <w:highlight w:val="none"/>
                <w:lang w:eastAsia="zh-CN"/>
              </w:rPr>
            </w:pPr>
          </w:p>
        </w:tc>
      </w:tr>
      <w:tr w14:paraId="03BC7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443637D5">
            <w:pPr>
              <w:spacing w:line="24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3A13908C">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4B39EB06">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4C614A2E">
            <w:pPr>
              <w:spacing w:line="24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26A7610B">
            <w:pPr>
              <w:spacing w:line="240" w:lineRule="auto"/>
              <w:rPr>
                <w:rFonts w:ascii="仿宋" w:hAnsi="仿宋" w:eastAsia="仿宋" w:cs="仿宋"/>
                <w:color w:val="auto"/>
                <w:szCs w:val="21"/>
                <w:highlight w:val="none"/>
                <w:lang w:eastAsia="zh-CN"/>
              </w:rPr>
            </w:pPr>
          </w:p>
        </w:tc>
      </w:tr>
      <w:tr w14:paraId="594F6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5EF13FAB">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3FD4A38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2C3A6A0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2615462B">
            <w:pPr>
              <w:spacing w:line="24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6EF9E7BF">
            <w:pPr>
              <w:spacing w:line="240" w:lineRule="auto"/>
              <w:rPr>
                <w:rFonts w:ascii="仿宋" w:hAnsi="仿宋" w:eastAsia="仿宋" w:cs="仿宋"/>
                <w:color w:val="auto"/>
                <w:szCs w:val="21"/>
                <w:highlight w:val="none"/>
                <w:lang w:eastAsia="zh-CN"/>
              </w:rPr>
            </w:pPr>
          </w:p>
        </w:tc>
      </w:tr>
      <w:tr w14:paraId="51653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0076DA64">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43710A6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528DEAF7">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1F2E5ED">
            <w:pPr>
              <w:spacing w:line="24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6FA12350">
            <w:pPr>
              <w:spacing w:line="240" w:lineRule="auto"/>
              <w:rPr>
                <w:rFonts w:ascii="仿宋" w:hAnsi="仿宋" w:eastAsia="仿宋" w:cs="仿宋"/>
                <w:color w:val="auto"/>
                <w:szCs w:val="21"/>
                <w:highlight w:val="none"/>
                <w:lang w:eastAsia="zh-CN"/>
              </w:rPr>
            </w:pPr>
          </w:p>
        </w:tc>
      </w:tr>
      <w:tr w14:paraId="49437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11AEA74C">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1396B82B">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7EF93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投标有效期满足谈判文件要求。</w:t>
            </w:r>
          </w:p>
        </w:tc>
        <w:tc>
          <w:tcPr>
            <w:tcW w:w="749" w:type="dxa"/>
            <w:tcBorders>
              <w:left w:val="single" w:color="auto" w:sz="4" w:space="0"/>
            </w:tcBorders>
          </w:tcPr>
          <w:p w14:paraId="0725BC00">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936C0DC">
            <w:pPr>
              <w:spacing w:line="240" w:lineRule="auto"/>
              <w:rPr>
                <w:rFonts w:ascii="仿宋" w:hAnsi="仿宋" w:eastAsia="仿宋" w:cs="仿宋"/>
                <w:color w:val="auto"/>
                <w:szCs w:val="21"/>
                <w:highlight w:val="none"/>
                <w:lang w:eastAsia="zh-CN"/>
              </w:rPr>
            </w:pPr>
          </w:p>
        </w:tc>
      </w:tr>
      <w:tr w14:paraId="30B8E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767A3CE0">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710A80C">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6378" w:type="dxa"/>
            <w:tcBorders>
              <w:right w:val="single" w:color="auto" w:sz="4" w:space="0"/>
            </w:tcBorders>
            <w:vAlign w:val="center"/>
          </w:tcPr>
          <w:p w14:paraId="25FA26B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7404CD09">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D8CD042">
            <w:pPr>
              <w:spacing w:line="240" w:lineRule="auto"/>
              <w:rPr>
                <w:rFonts w:ascii="仿宋" w:hAnsi="仿宋" w:eastAsia="仿宋" w:cs="仿宋"/>
                <w:color w:val="auto"/>
                <w:szCs w:val="21"/>
                <w:highlight w:val="none"/>
                <w:lang w:eastAsia="zh-CN"/>
              </w:rPr>
            </w:pPr>
          </w:p>
        </w:tc>
      </w:tr>
      <w:tr w14:paraId="0B717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28E23913">
            <w:pPr>
              <w:spacing w:line="24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54A12AB8">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1CB793CC">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注：如有一项不合格，作废标处理。</w:t>
            </w:r>
          </w:p>
        </w:tc>
        <w:tc>
          <w:tcPr>
            <w:tcW w:w="1366" w:type="dxa"/>
            <w:gridSpan w:val="2"/>
            <w:tcBorders>
              <w:left w:val="single" w:color="auto" w:sz="4" w:space="0"/>
              <w:bottom w:val="single" w:color="auto" w:sz="4" w:space="0"/>
              <w:right w:val="single" w:color="auto" w:sz="4" w:space="0"/>
            </w:tcBorders>
          </w:tcPr>
          <w:p w14:paraId="3961CA68">
            <w:pPr>
              <w:spacing w:line="240" w:lineRule="auto"/>
              <w:rPr>
                <w:rFonts w:ascii="仿宋" w:hAnsi="仿宋" w:eastAsia="仿宋" w:cs="仿宋"/>
                <w:color w:val="auto"/>
                <w:szCs w:val="21"/>
                <w:highlight w:val="none"/>
                <w:lang w:eastAsia="zh-CN"/>
              </w:rPr>
            </w:pPr>
          </w:p>
        </w:tc>
      </w:tr>
    </w:tbl>
    <w:p w14:paraId="2F90F866">
      <w:pPr>
        <w:numPr>
          <w:ilvl w:val="0"/>
          <w:numId w:val="0"/>
        </w:numPr>
        <w:spacing w:line="400" w:lineRule="exact"/>
        <w:ind w:firstLine="490" w:firstLineChars="200"/>
        <w:rPr>
          <w:rFonts w:hint="eastAsia" w:ascii="仿宋" w:hAnsi="仿宋" w:eastAsia="仿宋" w:cs="仿宋"/>
          <w:color w:val="auto"/>
          <w:sz w:val="24"/>
          <w:szCs w:val="24"/>
          <w:highlight w:val="none"/>
          <w:lang w:val="en-US" w:eastAsia="zh-CN"/>
        </w:rPr>
      </w:pPr>
    </w:p>
    <w:p w14:paraId="311EF391">
      <w:pPr>
        <w:numPr>
          <w:ilvl w:val="0"/>
          <w:numId w:val="0"/>
        </w:num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评委会判定</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的响应性只根据</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本身的内容，而不寻求外部的证</w:t>
      </w:r>
    </w:p>
    <w:p w14:paraId="7B63F4C7">
      <w:pPr>
        <w:spacing w:line="40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据，但投标有不真实不正确的内容时除外。</w:t>
      </w:r>
    </w:p>
    <w:p w14:paraId="0AB9F8E4">
      <w:pPr>
        <w:spacing w:line="400" w:lineRule="exact"/>
        <w:ind w:left="490" w:left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实质上没有响应</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的要求，评委会将予以拒绝，投标人不得通过修正或撤销不符合要求的偏离或保留，而使其投标成为实质上响应的投标。</w:t>
      </w:r>
    </w:p>
    <w:p w14:paraId="41BCEB03">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投标人可在现场20分钟内对评标委员会的评审结论提出异议，评标委员会根据</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及有关规定对投标人的异议进行复议</w:t>
      </w:r>
    </w:p>
    <w:p w14:paraId="623EEEDF">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只有通过初审的投标人才能进入下一步评标程序。</w:t>
      </w:r>
    </w:p>
    <w:p w14:paraId="70707B49">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rPr>
        <w:t>温馨提示：</w:t>
      </w:r>
      <w:r>
        <w:rPr>
          <w:rFonts w:hint="eastAsia" w:ascii="仿宋" w:hAnsi="仿宋" w:eastAsia="仿宋" w:cs="仿宋"/>
          <w:b/>
          <w:color w:val="auto"/>
          <w:sz w:val="24"/>
          <w:szCs w:val="24"/>
          <w:highlight w:val="none"/>
          <w:lang w:eastAsia="zh-CN"/>
        </w:rPr>
        <w:t>响应文件</w:t>
      </w:r>
      <w:r>
        <w:rPr>
          <w:rFonts w:hint="eastAsia" w:ascii="仿宋" w:hAnsi="仿宋" w:eastAsia="仿宋" w:cs="仿宋"/>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1DEB4486">
      <w:pPr>
        <w:spacing w:beforeLines="50" w:line="400" w:lineRule="exact"/>
        <w:jc w:val="center"/>
        <w:outlineLvl w:val="1"/>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（二）响应文件</w:t>
      </w:r>
      <w:r>
        <w:rPr>
          <w:rFonts w:hint="eastAsia" w:ascii="仿宋" w:hAnsi="仿宋" w:eastAsia="仿宋" w:cs="仿宋"/>
          <w:b/>
          <w:color w:val="auto"/>
          <w:sz w:val="24"/>
          <w:szCs w:val="24"/>
          <w:highlight w:val="none"/>
        </w:rPr>
        <w:t>的澄清和补正</w:t>
      </w:r>
    </w:p>
    <w:p w14:paraId="5F1E60D9">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5、澄清、说明或补正的形式</w:t>
      </w:r>
    </w:p>
    <w:p w14:paraId="35388B2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769A496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753E37A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9FD9B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9．错误修正的原则</w:t>
      </w:r>
    </w:p>
    <w:p w14:paraId="3DF39B3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电子交易平台客户端里开标一览表录入的投标报价或优惠率与扫描上传的报价文件信息不一致的，以扫描上传的报价文件信息为准进行修正。</w:t>
      </w:r>
    </w:p>
    <w:p w14:paraId="17B24C0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响应文件报价出现前后不一致的，除谈判文件 另有规定外，按照下列规定修正：</w:t>
      </w:r>
    </w:p>
    <w:p w14:paraId="5680F4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10、投标函中表述的内容与报价表中不一致的，以报价表为准；报价表中的内容与报价明细表不一致的，以报价表为准；</w:t>
      </w:r>
    </w:p>
    <w:p w14:paraId="2D32E7F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11、响应文件中的大写金额和小写金额不一致的，以大写金额为准；</w:t>
      </w:r>
    </w:p>
    <w:p w14:paraId="5806AE8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12、单价金额小数点或者百分比有明显错位的，以开标一览表的总价为准，并修改单价；</w:t>
      </w:r>
    </w:p>
    <w:p w14:paraId="49A0DD5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13、总价金额与按单价汇总金额不一致的，以单价金额计算结果为准；</w:t>
      </w:r>
    </w:p>
    <w:p w14:paraId="77CC36E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14、若用文字表示的数值与用数字表示的数值不一致，以文字表示的数值为准；</w:t>
      </w:r>
    </w:p>
    <w:p w14:paraId="67FAED0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15、如有多报（指数量超出谈判文件 需求）、重报（指同一货物重复报价），其投标总价在评标过程中不予调整，如其成交，其合同价按其投标单价予以调整；</w:t>
      </w:r>
    </w:p>
    <w:p w14:paraId="777FCADF">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16、对不同文字文本响应文件的解释发生异议的，以中文文本为准；</w:t>
      </w:r>
    </w:p>
    <w:p w14:paraId="6340162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255C293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17、供应商需要注意的其它事项：</w:t>
      </w:r>
    </w:p>
    <w:p w14:paraId="51BBE57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02B2700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2、供应商应遵守有关法律、法规，不得采取不正当的竞争手段，否则，其后果由供应商自负。</w:t>
      </w:r>
    </w:p>
    <w:p w14:paraId="3796512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3、在谈判会直至宣布结果之前，供应商不得向谈判评审专家询问谈判情况，不得进行旨在影响成交结果的活动，否则，其竞争性谈判无效并追究相应责任。</w:t>
      </w:r>
    </w:p>
    <w:p w14:paraId="08A05CC7">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4、本谈判文件的未尽事项，按现行的有关法律、法规及规章执行</w:t>
      </w:r>
    </w:p>
    <w:p w14:paraId="1C34B82B">
      <w:pPr>
        <w:pStyle w:val="30"/>
        <w:rPr>
          <w:color w:val="auto"/>
          <w:sz w:val="24"/>
          <w:szCs w:val="24"/>
          <w:highlight w:val="none"/>
        </w:rPr>
      </w:pPr>
    </w:p>
    <w:p w14:paraId="62CF5EA2">
      <w:pPr>
        <w:pStyle w:val="3"/>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八、成交及合同签订</w:t>
      </w:r>
    </w:p>
    <w:p w14:paraId="20750EC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二十七</w:t>
      </w:r>
      <w:r>
        <w:rPr>
          <w:rFonts w:hint="eastAsia" w:ascii="仿宋" w:hAnsi="仿宋" w:eastAsia="仿宋" w:cs="仿宋"/>
          <w:b/>
          <w:bCs/>
          <w:color w:val="auto"/>
          <w:sz w:val="24"/>
          <w:szCs w:val="24"/>
          <w:highlight w:val="none"/>
        </w:rPr>
        <w:t>）成交候选供应商推荐原则</w:t>
      </w:r>
    </w:p>
    <w:p w14:paraId="565F2C55">
      <w:pPr>
        <w:numPr>
          <w:ilvl w:val="0"/>
          <w:numId w:val="2"/>
        </w:num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小组”将根据评标价由低到高排列次序（若评标价相同的，按最低最终报价由低到高顺序排列；若评标价相同，且最低最终报价也相同时，按技术指标优劣顺序排列；如果技术指标也相同，评标委员会应按照少数服从多数的原则进行投票表决，确定成交候选人。）并推荐成交候选供应商名单，可推荐前三名为成交候选供应商，排名第一者为成交供应商，排名第二、第三者为成交候选供应商；</w:t>
      </w:r>
    </w:p>
    <w:p w14:paraId="5740877B">
      <w:pPr>
        <w:numPr>
          <w:ilvl w:val="0"/>
          <w:numId w:val="0"/>
        </w:num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候选供应商确定为成交供应商，如第一成交候选供应商放弃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390EEB9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第二</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候选供应商因前款规定的同样原因不能签订合同的，可确定第三成交候选供应商为成交候应商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172873A4">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成交候选供应商中所投标商品为同一品牌、性能配置相同时，则以最终报价最低者成交。</w:t>
      </w:r>
    </w:p>
    <w:p w14:paraId="7A5CE97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谈判小组认为，某投标人的有效报价明显不合理或者低于成本，有可能影响商品质量和不能诚信履约的，应要求其在规定的期限内提供书面文件予以解释说明，并提交相关证明材料，否则，谈判小组可以取消该投标人的成交候选资格，按顺序由排在后面的成交候选供应商递补，以此类推。</w:t>
      </w:r>
    </w:p>
    <w:p w14:paraId="2584B77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二十八</w:t>
      </w:r>
      <w:r>
        <w:rPr>
          <w:rFonts w:hint="eastAsia" w:ascii="仿宋" w:hAnsi="仿宋" w:eastAsia="仿宋" w:cs="仿宋"/>
          <w:b/>
          <w:bCs/>
          <w:color w:val="auto"/>
          <w:sz w:val="24"/>
          <w:szCs w:val="24"/>
          <w:highlight w:val="none"/>
        </w:rPr>
        <w:t>）资格条件</w:t>
      </w:r>
    </w:p>
    <w:p w14:paraId="7A0AB3E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360387E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2F530C17">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3、如果成交候选供应商被确认为不具备执行合同的能力，采购人将考虑按同样的程序审查下一个成交候选供应商。</w:t>
      </w:r>
    </w:p>
    <w:p w14:paraId="1FD317E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二十九</w:t>
      </w:r>
      <w:r>
        <w:rPr>
          <w:rFonts w:hint="eastAsia" w:ascii="仿宋" w:hAnsi="仿宋" w:eastAsia="仿宋" w:cs="仿宋"/>
          <w:b/>
          <w:bCs/>
          <w:color w:val="auto"/>
          <w:sz w:val="24"/>
          <w:szCs w:val="24"/>
          <w:highlight w:val="none"/>
        </w:rPr>
        <w:t>）成交通知书</w:t>
      </w:r>
    </w:p>
    <w:p w14:paraId="381C50D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1、定标后，经采购人同意，采购代理机构应当向</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发出成交通知书。</w:t>
      </w:r>
    </w:p>
    <w:p w14:paraId="5310CBBC">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应及时到采购代理机构领取成交通知书，成交通知书是签订合同的依据和组成部分。</w:t>
      </w:r>
    </w:p>
    <w:p w14:paraId="1B7A2A0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（三十）签订合同</w:t>
      </w:r>
    </w:p>
    <w:p w14:paraId="0D1F8635">
      <w:pPr>
        <w:keepNext w:val="0"/>
        <w:keepLines w:val="0"/>
        <w:widowControl/>
        <w:suppressLineNumbers w:val="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在自成交通知书发出之日起</w:t>
      </w:r>
      <w:r>
        <w:rPr>
          <w:rFonts w:hint="eastAsia" w:ascii="仿宋" w:hAnsi="仿宋" w:eastAsia="仿宋" w:cs="仿宋"/>
          <w:color w:val="000000"/>
          <w:kern w:val="2"/>
          <w:sz w:val="24"/>
          <w:szCs w:val="24"/>
          <w:highlight w:val="none"/>
          <w:lang w:val="en-US" w:eastAsia="zh-CN" w:bidi="ar"/>
        </w:rPr>
        <w:t>30日内</w:t>
      </w:r>
      <w:r>
        <w:rPr>
          <w:rFonts w:hint="eastAsia" w:ascii="仿宋" w:hAnsi="仿宋" w:eastAsia="仿宋" w:cs="仿宋"/>
          <w:color w:val="auto"/>
          <w:sz w:val="24"/>
          <w:szCs w:val="24"/>
          <w:highlight w:val="none"/>
        </w:rPr>
        <w:t>，依据《中华人民共和国民法典》和有关法规及</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、响应文件与采购人签订合同。</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供应商的响应文件及服务承诺文件以及评标过程中有关澄清文件均作为合同附件，合同经采购人审核盖章后实施。</w:t>
      </w:r>
    </w:p>
    <w:p w14:paraId="14D31EF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未能按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要求与采购单位签订采购合同，逾期将视为自动放弃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标资格，采购人将顺延下一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，依次类推或依法重新进行采购。</w:t>
      </w:r>
    </w:p>
    <w:p w14:paraId="7C8F498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采购人若发现</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w:t>
      </w:r>
      <w:bookmarkStart w:id="9" w:name="_bookmark10"/>
      <w:bookmarkEnd w:id="9"/>
      <w:r>
        <w:rPr>
          <w:rFonts w:hint="eastAsia" w:ascii="仿宋" w:hAnsi="仿宋" w:eastAsia="仿宋" w:cs="仿宋"/>
          <w:color w:val="auto"/>
          <w:sz w:val="24"/>
          <w:szCs w:val="24"/>
          <w:highlight w:val="none"/>
        </w:rPr>
        <w:t>选供应商在竞标过程中提供虚假证明文件，故意隐瞒不良信誉和财务状况，以及存在可能对合同圆满履行造成风险的其他因素等，则按规定取消其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资格，监管部门依法进行处理。</w:t>
      </w:r>
    </w:p>
    <w:p w14:paraId="11A1340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候选供应商被确认为不具备执行合同的能力，采购人将考虑按同样的程序审查下一个</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候选供应商或依法重新招标。</w:t>
      </w:r>
    </w:p>
    <w:p w14:paraId="66C7D5EA">
      <w:pPr>
        <w:snapToGrid w:val="0"/>
        <w:spacing w:line="360" w:lineRule="auto"/>
        <w:ind w:firstLine="490"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（三十</w:t>
      </w:r>
      <w:r>
        <w:rPr>
          <w:rFonts w:hint="eastAsia" w:ascii="仿宋" w:hAnsi="仿宋" w:eastAsia="仿宋" w:cs="仿宋"/>
          <w:b/>
          <w:bCs/>
          <w:color w:val="auto"/>
          <w:sz w:val="24"/>
          <w:szCs w:val="24"/>
          <w:highlight w:val="none"/>
          <w:lang w:eastAsia="zh-CN"/>
        </w:rPr>
        <w:t>一</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服务费计算方法</w:t>
      </w:r>
    </w:p>
    <w:p w14:paraId="4E021813">
      <w:pPr>
        <w:keepNext w:val="0"/>
        <w:keepLines w:val="0"/>
        <w:pageBreakBefore w:val="0"/>
        <w:widowControl w:val="0"/>
        <w:kinsoku/>
        <w:wordWrap/>
        <w:overflowPunct/>
        <w:topLinePunct w:val="0"/>
        <w:autoSpaceDE/>
        <w:autoSpaceDN/>
        <w:bidi w:val="0"/>
        <w:spacing w:line="336" w:lineRule="auto"/>
        <w:ind w:firstLine="490" w:firstLineChars="200"/>
        <w:textAlignment w:val="auto"/>
        <w:rPr>
          <w:rFonts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由</w:t>
      </w:r>
      <w:r>
        <w:rPr>
          <w:rFonts w:hint="eastAsia" w:ascii="仿宋" w:hAnsi="仿宋" w:eastAsia="仿宋" w:cs="仿宋"/>
          <w:b w:val="0"/>
          <w:bCs w:val="0"/>
          <w:color w:val="auto"/>
          <w:sz w:val="24"/>
          <w:szCs w:val="24"/>
          <w:highlight w:val="none"/>
          <w:lang w:eastAsia="zh-CN"/>
        </w:rPr>
        <w:t>成交</w:t>
      </w:r>
      <w:r>
        <w:rPr>
          <w:rFonts w:hint="eastAsia" w:ascii="仿宋" w:hAnsi="仿宋" w:eastAsia="仿宋" w:cs="仿宋"/>
          <w:b w:val="0"/>
          <w:bCs w:val="0"/>
          <w:color w:val="auto"/>
          <w:sz w:val="24"/>
          <w:szCs w:val="24"/>
          <w:highlight w:val="none"/>
        </w:rPr>
        <w:t>供应商向招标代理机构支付，详见前附表。</w:t>
      </w:r>
    </w:p>
    <w:p w14:paraId="3AC27A41">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highlight w:val="none"/>
        </w:rPr>
      </w:pPr>
    </w:p>
    <w:p w14:paraId="71EE1F58">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九</w:t>
      </w:r>
      <w:r>
        <w:rPr>
          <w:rFonts w:hint="eastAsia" w:ascii="仿宋" w:hAnsi="仿宋" w:eastAsia="仿宋" w:cs="仿宋"/>
          <w:color w:val="auto"/>
          <w:sz w:val="28"/>
          <w:szCs w:val="28"/>
          <w:highlight w:val="none"/>
        </w:rPr>
        <w:t>、法律责任</w:t>
      </w:r>
    </w:p>
    <w:p w14:paraId="71954917">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采购活动，并予以公告，有违法所得的，并处没收违法所得，情节严重的，由行政管理机关吊销营业执照；构成犯罪的，依法追究刑事责任：</w:t>
      </w:r>
    </w:p>
    <w:p w14:paraId="0505B303">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1、提供虚假材料谋取</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的；</w:t>
      </w:r>
    </w:p>
    <w:p w14:paraId="34A0C42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2、采取不正当手段诋毁、排挤其他供应商的；</w:t>
      </w:r>
    </w:p>
    <w:p w14:paraId="2DC6659A">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3、与采购人、其他供应商或采购代理机构恶意串通的；</w:t>
      </w:r>
    </w:p>
    <w:p w14:paraId="7D7FBC6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4、向采购人、采购代理机构行贿或者提供其他不正当利益的；</w:t>
      </w:r>
    </w:p>
    <w:p w14:paraId="0141F4C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5、在招标过程中与招标采购单位进行协商谈判、不按照</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的响应文件订立合同，或者与采购人另行订立背离合同实质性内容的协议的；</w:t>
      </w:r>
    </w:p>
    <w:p w14:paraId="494451B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6、拒绝有关部门监督检查或者提供虚假情况的。供应商有前款情形之一的，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4DC7BA96">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有下列情形之一的，情节严重的，由财政部门将其列入不良行为记录名单，在一至三年内禁止参加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采购活动，并予以通报：</w:t>
      </w:r>
    </w:p>
    <w:p w14:paraId="4166ADB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后无正当理由不与采购人签订合同，或者与采购人另行订立背离合同实质性内容的协议的；</w:t>
      </w:r>
    </w:p>
    <w:p w14:paraId="10C30250">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项目转让给他人，或者在响应文件中未说明，且未经采购人同意，将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项目分包给他人的；</w:t>
      </w:r>
    </w:p>
    <w:p w14:paraId="6F99B0D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3、拒绝履行合同义务的。</w:t>
      </w:r>
    </w:p>
    <w:p w14:paraId="6C4ABE53">
      <w:pPr>
        <w:snapToGrid w:val="0"/>
        <w:spacing w:line="360" w:lineRule="auto"/>
        <w:ind w:firstLine="490" w:firstLineChars="200"/>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3C74A06D">
      <w:pPr>
        <w:snapToGrid w:val="0"/>
        <w:spacing w:line="360" w:lineRule="auto"/>
        <w:ind w:firstLine="490" w:firstLineChars="200"/>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按照以上条款规定，经同级或其上级财政部门认定</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无效的，可按</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候选顺序重新确定，或重新进行采购。</w:t>
      </w:r>
      <w:bookmarkStart w:id="10" w:name="_Toc497129227"/>
    </w:p>
    <w:p w14:paraId="073752D1">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十</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质疑与投诉</w:t>
      </w:r>
    </w:p>
    <w:p w14:paraId="56195AA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0F21757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0FFF5D85">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2056E781">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40C52F1E">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（三）对成交或者成交结果提出质疑的，为成交或者成交结果公告期限届满之日。</w:t>
      </w:r>
    </w:p>
    <w:p w14:paraId="32714004">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2225C2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772ED30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4742EF5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246E0D6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.5供应商有下列情形之一的，采购代理机构上报至克州财政局政府采购办，将其列入不良行为记录名单：</w:t>
      </w:r>
    </w:p>
    <w:p w14:paraId="78627EEF">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1B2A01E8">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665843B">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0B63F261">
      <w:pPr>
        <w:spacing w:line="360" w:lineRule="exact"/>
        <w:jc w:val="center"/>
        <w:rPr>
          <w:rFonts w:ascii="仿宋" w:hAnsi="仿宋" w:eastAsia="仿宋" w:cs="仿宋"/>
          <w:color w:val="auto"/>
          <w:sz w:val="30"/>
          <w:szCs w:val="30"/>
          <w:highlight w:val="none"/>
          <w:lang w:eastAsia="zh-CN"/>
        </w:rPr>
      </w:pPr>
    </w:p>
    <w:p w14:paraId="6A5714C0">
      <w:pPr>
        <w:pStyle w:val="30"/>
        <w:rPr>
          <w:rFonts w:ascii="仿宋" w:hAnsi="仿宋" w:eastAsia="仿宋" w:cs="仿宋"/>
          <w:color w:val="auto"/>
          <w:sz w:val="30"/>
          <w:szCs w:val="30"/>
          <w:highlight w:val="none"/>
          <w:lang w:eastAsia="zh-CN"/>
        </w:rPr>
      </w:pPr>
    </w:p>
    <w:p w14:paraId="4AF4F326">
      <w:pPr>
        <w:pStyle w:val="30"/>
        <w:rPr>
          <w:rFonts w:ascii="仿宋" w:hAnsi="仿宋" w:eastAsia="仿宋" w:cs="仿宋"/>
          <w:color w:val="auto"/>
          <w:sz w:val="30"/>
          <w:szCs w:val="30"/>
          <w:highlight w:val="none"/>
          <w:lang w:eastAsia="zh-CN"/>
        </w:rPr>
      </w:pPr>
    </w:p>
    <w:p w14:paraId="5423350D">
      <w:pPr>
        <w:pStyle w:val="30"/>
        <w:rPr>
          <w:rFonts w:ascii="仿宋" w:hAnsi="仿宋" w:eastAsia="仿宋" w:cs="仿宋"/>
          <w:color w:val="auto"/>
          <w:sz w:val="30"/>
          <w:szCs w:val="30"/>
          <w:highlight w:val="none"/>
          <w:lang w:eastAsia="zh-CN"/>
        </w:rPr>
      </w:pPr>
    </w:p>
    <w:p w14:paraId="053A7259">
      <w:pPr>
        <w:rPr>
          <w:rFonts w:hint="eastAsia" w:ascii="仿宋" w:hAnsi="仿宋" w:eastAsia="仿宋" w:cs="仿宋"/>
          <w:b/>
          <w:bCs/>
          <w:color w:val="auto"/>
          <w:highlight w:val="none"/>
          <w:lang w:eastAsia="zh-CN"/>
        </w:rPr>
      </w:pPr>
    </w:p>
    <w:p w14:paraId="2C025082">
      <w:pPr>
        <w:rPr>
          <w:rFonts w:hint="eastAsia" w:ascii="仿宋" w:hAnsi="仿宋" w:eastAsia="仿宋" w:cs="仿宋"/>
          <w:b/>
          <w:bCs/>
          <w:color w:val="auto"/>
          <w:highlight w:val="none"/>
          <w:lang w:eastAsia="zh-CN"/>
        </w:rPr>
      </w:pPr>
    </w:p>
    <w:p w14:paraId="053C034A">
      <w:pPr>
        <w:rPr>
          <w:rFonts w:hint="eastAsia" w:ascii="仿宋" w:hAnsi="仿宋" w:eastAsia="仿宋" w:cs="仿宋"/>
          <w:b/>
          <w:bCs/>
          <w:color w:val="auto"/>
          <w:highlight w:val="none"/>
          <w:lang w:eastAsia="zh-CN"/>
        </w:rPr>
      </w:pPr>
    </w:p>
    <w:p w14:paraId="0D0DDD90">
      <w:pPr>
        <w:rPr>
          <w:rFonts w:hint="eastAsia" w:ascii="仿宋" w:hAnsi="仿宋" w:eastAsia="仿宋" w:cs="仿宋"/>
          <w:b/>
          <w:bCs/>
          <w:color w:val="auto"/>
          <w:highlight w:val="none"/>
          <w:lang w:eastAsia="zh-CN"/>
        </w:rPr>
      </w:pPr>
    </w:p>
    <w:p w14:paraId="7258C59E">
      <w:pPr>
        <w:rPr>
          <w:rFonts w:hint="eastAsia" w:ascii="仿宋" w:hAnsi="仿宋" w:eastAsia="仿宋" w:cs="仿宋"/>
          <w:b/>
          <w:bCs/>
          <w:color w:val="auto"/>
          <w:highlight w:val="none"/>
          <w:lang w:eastAsia="zh-CN"/>
        </w:rPr>
      </w:pPr>
    </w:p>
    <w:p w14:paraId="6247A070">
      <w:pPr>
        <w:rPr>
          <w:rFonts w:hint="eastAsia" w:ascii="仿宋" w:hAnsi="仿宋" w:eastAsia="仿宋" w:cs="仿宋"/>
          <w:b/>
          <w:bCs/>
          <w:color w:val="auto"/>
          <w:highlight w:val="none"/>
          <w:lang w:eastAsia="zh-CN"/>
        </w:rPr>
      </w:pPr>
    </w:p>
    <w:p w14:paraId="412CE7D1">
      <w:pPr>
        <w:rPr>
          <w:rFonts w:hint="eastAsia" w:ascii="仿宋" w:hAnsi="仿宋" w:eastAsia="仿宋" w:cs="仿宋"/>
          <w:b/>
          <w:bCs/>
          <w:color w:val="auto"/>
          <w:highlight w:val="none"/>
          <w:lang w:eastAsia="zh-CN"/>
        </w:rPr>
      </w:pPr>
    </w:p>
    <w:p w14:paraId="6D3E44CD">
      <w:pPr>
        <w:rPr>
          <w:rFonts w:hint="eastAsia" w:ascii="仿宋" w:hAnsi="仿宋" w:eastAsia="仿宋" w:cs="仿宋"/>
          <w:b/>
          <w:bCs/>
          <w:color w:val="auto"/>
          <w:highlight w:val="none"/>
          <w:lang w:eastAsia="zh-CN"/>
        </w:rPr>
      </w:pPr>
    </w:p>
    <w:p w14:paraId="0C6CEEAA">
      <w:pPr>
        <w:rPr>
          <w:rFonts w:hint="eastAsia" w:ascii="仿宋" w:hAnsi="仿宋" w:eastAsia="仿宋" w:cs="仿宋"/>
          <w:b/>
          <w:bCs/>
          <w:color w:val="auto"/>
          <w:highlight w:val="none"/>
          <w:lang w:eastAsia="zh-CN"/>
        </w:rPr>
      </w:pPr>
    </w:p>
    <w:p w14:paraId="3D1D3C20">
      <w:pPr>
        <w:rPr>
          <w:rFonts w:hint="eastAsia" w:ascii="仿宋" w:hAnsi="仿宋" w:eastAsia="仿宋" w:cs="仿宋"/>
          <w:b/>
          <w:bCs/>
          <w:color w:val="auto"/>
          <w:highlight w:val="none"/>
          <w:lang w:eastAsia="zh-CN"/>
        </w:rPr>
      </w:pPr>
    </w:p>
    <w:p w14:paraId="140B59B9">
      <w:pPr>
        <w:pStyle w:val="18"/>
        <w:rPr>
          <w:rFonts w:hint="eastAsia" w:ascii="仿宋" w:hAnsi="仿宋" w:eastAsia="仿宋" w:cs="仿宋"/>
          <w:b/>
          <w:bCs/>
          <w:color w:val="auto"/>
          <w:highlight w:val="none"/>
          <w:lang w:eastAsia="zh-CN"/>
        </w:rPr>
      </w:pPr>
    </w:p>
    <w:p w14:paraId="19CD325A">
      <w:pPr>
        <w:rPr>
          <w:rFonts w:hint="eastAsia" w:ascii="仿宋" w:hAnsi="仿宋" w:eastAsia="仿宋" w:cs="仿宋"/>
          <w:b/>
          <w:bCs/>
          <w:color w:val="auto"/>
          <w:highlight w:val="none"/>
          <w:lang w:eastAsia="zh-CN"/>
        </w:rPr>
      </w:pPr>
    </w:p>
    <w:p w14:paraId="0A410306">
      <w:pPr>
        <w:pStyle w:val="18"/>
        <w:rPr>
          <w:rFonts w:hint="eastAsia" w:ascii="仿宋" w:hAnsi="仿宋" w:eastAsia="仿宋" w:cs="仿宋"/>
          <w:b/>
          <w:bCs/>
          <w:color w:val="auto"/>
          <w:highlight w:val="none"/>
          <w:lang w:eastAsia="zh-CN"/>
        </w:rPr>
      </w:pPr>
    </w:p>
    <w:p w14:paraId="6997DD68">
      <w:pPr>
        <w:rPr>
          <w:rFonts w:hint="eastAsia" w:ascii="仿宋" w:hAnsi="仿宋" w:eastAsia="仿宋" w:cs="仿宋"/>
          <w:b/>
          <w:bCs/>
          <w:color w:val="auto"/>
          <w:highlight w:val="none"/>
          <w:lang w:eastAsia="zh-CN"/>
        </w:rPr>
      </w:pPr>
    </w:p>
    <w:p w14:paraId="1C7B4831">
      <w:pPr>
        <w:pStyle w:val="18"/>
        <w:rPr>
          <w:rFonts w:hint="eastAsia" w:ascii="仿宋" w:hAnsi="仿宋" w:eastAsia="仿宋" w:cs="仿宋"/>
          <w:b/>
          <w:bCs/>
          <w:color w:val="auto"/>
          <w:highlight w:val="none"/>
          <w:lang w:eastAsia="zh-CN"/>
        </w:rPr>
      </w:pPr>
    </w:p>
    <w:p w14:paraId="0C3D4E0C">
      <w:pPr>
        <w:rPr>
          <w:rFonts w:hint="eastAsia" w:ascii="仿宋" w:hAnsi="仿宋" w:eastAsia="仿宋" w:cs="仿宋"/>
          <w:b/>
          <w:bCs/>
          <w:color w:val="auto"/>
          <w:highlight w:val="none"/>
          <w:lang w:eastAsia="zh-CN"/>
        </w:rPr>
      </w:pPr>
    </w:p>
    <w:p w14:paraId="0E0106D6">
      <w:pPr>
        <w:pStyle w:val="18"/>
        <w:rPr>
          <w:rFonts w:hint="eastAsia" w:ascii="仿宋" w:hAnsi="仿宋" w:eastAsia="仿宋" w:cs="仿宋"/>
          <w:b/>
          <w:bCs/>
          <w:color w:val="auto"/>
          <w:highlight w:val="none"/>
          <w:lang w:eastAsia="zh-CN"/>
        </w:rPr>
      </w:pPr>
    </w:p>
    <w:p w14:paraId="51754301">
      <w:pPr>
        <w:rPr>
          <w:rFonts w:hint="eastAsia" w:ascii="仿宋" w:hAnsi="仿宋" w:eastAsia="仿宋" w:cs="仿宋"/>
          <w:b/>
          <w:bCs/>
          <w:color w:val="auto"/>
          <w:highlight w:val="none"/>
          <w:lang w:eastAsia="zh-CN"/>
        </w:rPr>
      </w:pPr>
    </w:p>
    <w:p w14:paraId="50058F1B">
      <w:pPr>
        <w:pStyle w:val="18"/>
        <w:rPr>
          <w:rFonts w:hint="eastAsia" w:ascii="仿宋" w:hAnsi="仿宋" w:eastAsia="仿宋" w:cs="仿宋"/>
          <w:b/>
          <w:bCs/>
          <w:color w:val="auto"/>
          <w:highlight w:val="none"/>
          <w:lang w:eastAsia="zh-CN"/>
        </w:rPr>
      </w:pPr>
    </w:p>
    <w:p w14:paraId="5A8718BD">
      <w:pPr>
        <w:rPr>
          <w:rFonts w:hint="eastAsia" w:ascii="仿宋" w:hAnsi="仿宋" w:eastAsia="仿宋" w:cs="仿宋"/>
          <w:b/>
          <w:bCs/>
          <w:color w:val="auto"/>
          <w:highlight w:val="none"/>
          <w:lang w:eastAsia="zh-CN"/>
        </w:rPr>
      </w:pPr>
    </w:p>
    <w:p w14:paraId="44E530A6">
      <w:pPr>
        <w:pStyle w:val="18"/>
        <w:rPr>
          <w:rFonts w:hint="eastAsia" w:ascii="仿宋" w:hAnsi="仿宋" w:eastAsia="仿宋" w:cs="仿宋"/>
          <w:b/>
          <w:bCs/>
          <w:color w:val="auto"/>
          <w:highlight w:val="none"/>
          <w:lang w:eastAsia="zh-CN"/>
        </w:rPr>
      </w:pPr>
    </w:p>
    <w:p w14:paraId="19F1947D">
      <w:pPr>
        <w:rPr>
          <w:rFonts w:hint="eastAsia" w:ascii="仿宋" w:hAnsi="仿宋" w:eastAsia="仿宋" w:cs="仿宋"/>
          <w:b/>
          <w:bCs/>
          <w:color w:val="auto"/>
          <w:highlight w:val="none"/>
          <w:lang w:eastAsia="zh-CN"/>
        </w:rPr>
      </w:pPr>
    </w:p>
    <w:p w14:paraId="7FF10E5C">
      <w:pPr>
        <w:pStyle w:val="18"/>
        <w:rPr>
          <w:rFonts w:hint="eastAsia" w:ascii="仿宋" w:hAnsi="仿宋" w:eastAsia="仿宋" w:cs="仿宋"/>
          <w:b/>
          <w:bCs/>
          <w:color w:val="auto"/>
          <w:highlight w:val="none"/>
          <w:lang w:eastAsia="zh-CN"/>
        </w:rPr>
      </w:pPr>
    </w:p>
    <w:p w14:paraId="5E757FF9">
      <w:pPr>
        <w:rPr>
          <w:rFonts w:hint="eastAsia" w:ascii="仿宋" w:hAnsi="仿宋" w:eastAsia="仿宋" w:cs="仿宋"/>
          <w:b/>
          <w:bCs/>
          <w:color w:val="auto"/>
          <w:highlight w:val="none"/>
          <w:lang w:eastAsia="zh-CN"/>
        </w:rPr>
      </w:pPr>
    </w:p>
    <w:p w14:paraId="06223116">
      <w:pPr>
        <w:pStyle w:val="18"/>
        <w:rPr>
          <w:rFonts w:hint="eastAsia" w:ascii="仿宋" w:hAnsi="仿宋" w:eastAsia="仿宋" w:cs="仿宋"/>
          <w:b/>
          <w:bCs/>
          <w:color w:val="auto"/>
          <w:highlight w:val="none"/>
          <w:lang w:eastAsia="zh-CN"/>
        </w:rPr>
      </w:pPr>
    </w:p>
    <w:p w14:paraId="3ACF53D7">
      <w:pPr>
        <w:rPr>
          <w:rFonts w:hint="eastAsia" w:ascii="仿宋" w:hAnsi="仿宋" w:eastAsia="仿宋" w:cs="仿宋"/>
          <w:b/>
          <w:bCs/>
          <w:color w:val="auto"/>
          <w:highlight w:val="none"/>
          <w:lang w:eastAsia="zh-CN"/>
        </w:rPr>
      </w:pPr>
    </w:p>
    <w:p w14:paraId="7FC02053">
      <w:pPr>
        <w:pStyle w:val="18"/>
        <w:rPr>
          <w:rFonts w:hint="eastAsia" w:ascii="仿宋" w:hAnsi="仿宋" w:eastAsia="仿宋" w:cs="仿宋"/>
          <w:b/>
          <w:bCs/>
          <w:color w:val="auto"/>
          <w:highlight w:val="none"/>
          <w:lang w:eastAsia="zh-CN"/>
        </w:rPr>
      </w:pPr>
    </w:p>
    <w:p w14:paraId="766A1124">
      <w:pPr>
        <w:rPr>
          <w:rFonts w:hint="eastAsia" w:ascii="仿宋" w:hAnsi="仿宋" w:eastAsia="仿宋" w:cs="仿宋"/>
          <w:b/>
          <w:bCs/>
          <w:color w:val="auto"/>
          <w:highlight w:val="none"/>
          <w:lang w:eastAsia="zh-CN"/>
        </w:rPr>
      </w:pPr>
    </w:p>
    <w:p w14:paraId="35D0EDA6">
      <w:pPr>
        <w:rPr>
          <w:rFonts w:hint="eastAsia" w:ascii="仿宋" w:hAnsi="仿宋" w:eastAsia="仿宋" w:cs="仿宋"/>
          <w:b/>
          <w:bCs/>
          <w:color w:val="auto"/>
          <w:highlight w:val="none"/>
          <w:lang w:eastAsia="zh-CN"/>
        </w:rPr>
      </w:pPr>
    </w:p>
    <w:p w14:paraId="208AEAF0">
      <w:pPr>
        <w:rPr>
          <w:rFonts w:hint="eastAsia"/>
          <w:color w:val="auto"/>
          <w:highlight w:val="none"/>
          <w:lang w:eastAsia="zh-CN"/>
        </w:rPr>
      </w:pPr>
    </w:p>
    <w:p w14:paraId="7E8C7F11">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5336812C">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744B05CE">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254A3311">
      <w:pPr>
        <w:spacing w:line="400" w:lineRule="exact"/>
        <w:rPr>
          <w:rFonts w:ascii="仿宋" w:hAnsi="仿宋" w:eastAsia="仿宋" w:cs="仿宋"/>
          <w:color w:val="auto"/>
          <w:highlight w:val="none"/>
          <w:lang w:eastAsia="zh-CN"/>
        </w:rPr>
      </w:pPr>
    </w:p>
    <w:p w14:paraId="2737A274">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18F21FA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CB7FDE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141F58C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E43666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49F8CD86">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02045CE9">
      <w:pPr>
        <w:spacing w:line="400" w:lineRule="exact"/>
        <w:ind w:firstLine="490" w:firstLineChars="200"/>
        <w:rPr>
          <w:rFonts w:ascii="仿宋" w:hAnsi="仿宋" w:eastAsia="仿宋" w:cs="仿宋"/>
          <w:color w:val="auto"/>
          <w:highlight w:val="none"/>
          <w:lang w:eastAsia="zh-CN"/>
        </w:rPr>
      </w:pPr>
    </w:p>
    <w:p w14:paraId="2DA54FB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（采购文件/采购过程/中标（成交）结果）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69CA96A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24D600F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5D466E5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4319576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656331B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73A2B09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58F9CBC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334FDAA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00C8BF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0341692A">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18413FB1">
      <w:pPr>
        <w:spacing w:line="400" w:lineRule="exact"/>
        <w:jc w:val="center"/>
        <w:rPr>
          <w:rFonts w:ascii="仿宋" w:hAnsi="仿宋" w:eastAsia="仿宋" w:cs="仿宋"/>
          <w:color w:val="auto"/>
          <w:highlight w:val="none"/>
          <w:lang w:eastAsia="zh-CN"/>
        </w:rPr>
      </w:pPr>
    </w:p>
    <w:p w14:paraId="2BAD69CF">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3015B8D2">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7BFDB8BB">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E500988">
      <w:pPr>
        <w:spacing w:line="400" w:lineRule="exact"/>
        <w:rPr>
          <w:rFonts w:ascii="仿宋" w:hAnsi="仿宋" w:eastAsia="仿宋" w:cs="仿宋"/>
          <w:color w:val="auto"/>
          <w:highlight w:val="none"/>
          <w:lang w:eastAsia="zh-CN"/>
        </w:rPr>
      </w:pPr>
    </w:p>
    <w:p w14:paraId="21A5EB5B">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63638C2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11" w:name="_Toc17515"/>
    </w:p>
    <w:p w14:paraId="0672DA56">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11"/>
    </w:p>
    <w:p w14:paraId="6AD04479">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00D42A6F">
      <w:pPr>
        <w:numPr>
          <w:ilvl w:val="0"/>
          <w:numId w:val="3"/>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12" w:name="_Toc11499"/>
      <w:r>
        <w:rPr>
          <w:rFonts w:hint="eastAsia" w:ascii="仿宋" w:hAnsi="仿宋" w:eastAsia="仿宋" w:cs="仿宋"/>
          <w:b/>
          <w:bCs/>
          <w:color w:val="auto"/>
          <w:sz w:val="24"/>
          <w:szCs w:val="24"/>
          <w:highlight w:val="none"/>
        </w:rPr>
        <w:t>质疑前置及时间要求</w:t>
      </w:r>
      <w:bookmarkEnd w:id="12"/>
    </w:p>
    <w:p w14:paraId="7DF0BB1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4F789B2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第五十二条：供应商认为采购文件、采购过程和成交、成交结果使自己的权益受到损害的，可以在知道或者应知其权益受到损害之日起七个工作日内，以书面形式向采购人提出质疑。</w:t>
      </w:r>
    </w:p>
    <w:p w14:paraId="53923F7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A9880D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974046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82422A4">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13" w:name="_Toc13508"/>
      <w:r>
        <w:rPr>
          <w:rFonts w:hint="eastAsia" w:ascii="仿宋" w:hAnsi="仿宋" w:eastAsia="仿宋" w:cs="仿宋"/>
          <w:b/>
          <w:bCs/>
          <w:color w:val="auto"/>
          <w:sz w:val="21"/>
          <w:szCs w:val="21"/>
          <w:highlight w:val="none"/>
          <w:lang w:eastAsia="zh-CN"/>
        </w:rPr>
        <w:t>二、书面方式</w:t>
      </w:r>
      <w:bookmarkEnd w:id="13"/>
    </w:p>
    <w:p w14:paraId="6E9CBAA6">
      <w:pPr>
        <w:spacing w:line="400" w:lineRule="exact"/>
        <w:ind w:left="3780" w:hanging="387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3706015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7A667F8E">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EAD3635">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42C05180">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7E976951">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0C14809">
      <w:pPr>
        <w:numPr>
          <w:ilvl w:val="0"/>
          <w:numId w:val="4"/>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1A15E35E">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658F75D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2AC1EE5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0166C9A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1A5E0BE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741694CC">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4AA18EE4">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38FFA13B">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3565A6F5">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3FD886C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6EFCA0AA">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DF7EF1F">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14" w:name="_Toc5978"/>
      <w:r>
        <w:rPr>
          <w:rFonts w:hint="eastAsia" w:ascii="仿宋" w:hAnsi="仿宋" w:eastAsia="仿宋" w:cs="仿宋"/>
          <w:b/>
          <w:bCs/>
          <w:color w:val="auto"/>
          <w:highlight w:val="none"/>
          <w:lang w:eastAsia="zh-CN"/>
        </w:rPr>
        <w:t>三、虚假、恶意投诉法律责任</w:t>
      </w:r>
      <w:bookmarkEnd w:id="14"/>
    </w:p>
    <w:p w14:paraId="51DEC11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53324B8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268F258A">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5175A07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18AF9EE4">
      <w:pPr>
        <w:spacing w:line="400" w:lineRule="exact"/>
        <w:rPr>
          <w:rFonts w:ascii="仿宋" w:hAnsi="仿宋" w:eastAsia="仿宋" w:cs="仿宋"/>
          <w:color w:val="auto"/>
          <w:sz w:val="21"/>
          <w:szCs w:val="21"/>
          <w:highlight w:val="none"/>
          <w:lang w:eastAsia="zh-CN"/>
        </w:rPr>
      </w:pPr>
    </w:p>
    <w:p w14:paraId="69349897">
      <w:pPr>
        <w:spacing w:line="400" w:lineRule="exact"/>
        <w:rPr>
          <w:rFonts w:ascii="仿宋" w:hAnsi="仿宋" w:eastAsia="仿宋" w:cs="仿宋"/>
          <w:color w:val="auto"/>
          <w:sz w:val="21"/>
          <w:szCs w:val="21"/>
          <w:highlight w:val="none"/>
          <w:lang w:eastAsia="zh-CN"/>
        </w:rPr>
      </w:pPr>
    </w:p>
    <w:p w14:paraId="23F21A28">
      <w:pPr>
        <w:ind w:firstLine="735" w:firstLineChars="300"/>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阿图什市财政局</w:t>
      </w:r>
    </w:p>
    <w:p w14:paraId="67C3788A">
      <w:pPr>
        <w:jc w:val="right"/>
        <w:rPr>
          <w:rFonts w:ascii="仿宋" w:hAnsi="仿宋" w:eastAsia="仿宋" w:cs="仿宋"/>
          <w:color w:val="auto"/>
          <w:sz w:val="32"/>
          <w:szCs w:val="32"/>
          <w:highlight w:val="none"/>
          <w:lang w:eastAsia="zh-CN"/>
        </w:rPr>
      </w:pPr>
    </w:p>
    <w:p w14:paraId="2520DBC8">
      <w:pPr>
        <w:spacing w:line="540" w:lineRule="exact"/>
        <w:jc w:val="center"/>
        <w:rPr>
          <w:rFonts w:ascii="仿宋" w:hAnsi="仿宋" w:eastAsia="仿宋" w:cs="仿宋"/>
          <w:b/>
          <w:bCs/>
          <w:color w:val="auto"/>
          <w:sz w:val="44"/>
          <w:szCs w:val="44"/>
          <w:highlight w:val="none"/>
          <w:lang w:eastAsia="zh-CN"/>
        </w:rPr>
      </w:pPr>
    </w:p>
    <w:p w14:paraId="3C86EBF7">
      <w:pPr>
        <w:spacing w:line="540" w:lineRule="exact"/>
        <w:jc w:val="center"/>
        <w:rPr>
          <w:rFonts w:ascii="仿宋" w:hAnsi="仿宋" w:eastAsia="仿宋" w:cs="仿宋"/>
          <w:b/>
          <w:bCs/>
          <w:color w:val="auto"/>
          <w:sz w:val="44"/>
          <w:szCs w:val="44"/>
          <w:highlight w:val="none"/>
          <w:lang w:eastAsia="zh-CN"/>
        </w:rPr>
      </w:pPr>
    </w:p>
    <w:p w14:paraId="41BDB4BC">
      <w:pPr>
        <w:spacing w:line="540" w:lineRule="exact"/>
        <w:jc w:val="center"/>
        <w:rPr>
          <w:rFonts w:ascii="仿宋" w:hAnsi="仿宋" w:eastAsia="仿宋" w:cs="仿宋"/>
          <w:b/>
          <w:bCs/>
          <w:color w:val="auto"/>
          <w:sz w:val="44"/>
          <w:szCs w:val="44"/>
          <w:highlight w:val="none"/>
          <w:lang w:eastAsia="zh-CN"/>
        </w:rPr>
      </w:pPr>
    </w:p>
    <w:p w14:paraId="0C01503B">
      <w:pPr>
        <w:spacing w:line="540" w:lineRule="exact"/>
        <w:jc w:val="center"/>
        <w:rPr>
          <w:rFonts w:ascii="仿宋" w:hAnsi="仿宋" w:eastAsia="仿宋" w:cs="仿宋"/>
          <w:b/>
          <w:bCs/>
          <w:color w:val="auto"/>
          <w:sz w:val="44"/>
          <w:szCs w:val="44"/>
          <w:highlight w:val="none"/>
          <w:lang w:eastAsia="zh-CN"/>
        </w:rPr>
      </w:pPr>
    </w:p>
    <w:p w14:paraId="2CFAB9BF">
      <w:pPr>
        <w:spacing w:line="540" w:lineRule="exact"/>
        <w:jc w:val="center"/>
        <w:rPr>
          <w:rFonts w:ascii="仿宋" w:hAnsi="仿宋" w:eastAsia="仿宋" w:cs="仿宋"/>
          <w:b/>
          <w:bCs/>
          <w:color w:val="auto"/>
          <w:sz w:val="44"/>
          <w:szCs w:val="44"/>
          <w:highlight w:val="none"/>
          <w:lang w:eastAsia="zh-CN"/>
        </w:rPr>
      </w:pPr>
    </w:p>
    <w:p w14:paraId="3CDCCFDC">
      <w:pPr>
        <w:spacing w:line="540" w:lineRule="exact"/>
        <w:jc w:val="center"/>
        <w:rPr>
          <w:rFonts w:ascii="仿宋" w:hAnsi="仿宋" w:eastAsia="仿宋" w:cs="仿宋"/>
          <w:b/>
          <w:bCs/>
          <w:color w:val="auto"/>
          <w:sz w:val="44"/>
          <w:szCs w:val="44"/>
          <w:highlight w:val="none"/>
          <w:lang w:eastAsia="zh-CN"/>
        </w:rPr>
      </w:pPr>
    </w:p>
    <w:p w14:paraId="442D0B3B">
      <w:pPr>
        <w:spacing w:line="540" w:lineRule="exact"/>
        <w:jc w:val="center"/>
        <w:rPr>
          <w:rFonts w:ascii="仿宋" w:hAnsi="仿宋" w:eastAsia="仿宋" w:cs="仿宋"/>
          <w:b/>
          <w:bCs/>
          <w:color w:val="auto"/>
          <w:sz w:val="44"/>
          <w:szCs w:val="44"/>
          <w:highlight w:val="none"/>
          <w:lang w:eastAsia="zh-CN"/>
        </w:rPr>
      </w:pPr>
    </w:p>
    <w:p w14:paraId="0402D936">
      <w:pPr>
        <w:spacing w:line="540" w:lineRule="exact"/>
        <w:jc w:val="center"/>
        <w:outlineLvl w:val="0"/>
        <w:rPr>
          <w:rFonts w:hint="eastAsia" w:ascii="仿宋" w:hAnsi="仿宋" w:eastAsia="仿宋" w:cs="仿宋"/>
          <w:b/>
          <w:bCs/>
          <w:color w:val="auto"/>
          <w:sz w:val="32"/>
          <w:szCs w:val="32"/>
          <w:highlight w:val="none"/>
          <w:lang w:eastAsia="zh-CN"/>
        </w:rPr>
      </w:pPr>
      <w:bookmarkStart w:id="15" w:name="_Toc1697"/>
    </w:p>
    <w:p w14:paraId="1A0ED585">
      <w:pPr>
        <w:spacing w:line="540" w:lineRule="exact"/>
        <w:jc w:val="center"/>
        <w:outlineLvl w:val="0"/>
        <w:rPr>
          <w:rFonts w:hint="eastAsia" w:ascii="仿宋" w:hAnsi="仿宋" w:eastAsia="仿宋" w:cs="仿宋"/>
          <w:b/>
          <w:bCs/>
          <w:color w:val="auto"/>
          <w:sz w:val="32"/>
          <w:szCs w:val="32"/>
          <w:highlight w:val="none"/>
          <w:lang w:eastAsia="zh-CN"/>
        </w:rPr>
      </w:pPr>
    </w:p>
    <w:p w14:paraId="303D05F7">
      <w:pPr>
        <w:pStyle w:val="18"/>
        <w:rPr>
          <w:rFonts w:hint="eastAsia" w:ascii="仿宋" w:hAnsi="仿宋" w:eastAsia="仿宋" w:cs="仿宋"/>
          <w:b/>
          <w:bCs/>
          <w:color w:val="auto"/>
          <w:sz w:val="32"/>
          <w:szCs w:val="32"/>
          <w:highlight w:val="none"/>
          <w:lang w:eastAsia="zh-CN"/>
        </w:rPr>
      </w:pPr>
    </w:p>
    <w:p w14:paraId="4018E29A">
      <w:pPr>
        <w:rPr>
          <w:rFonts w:hint="eastAsia" w:ascii="仿宋" w:hAnsi="仿宋" w:eastAsia="仿宋" w:cs="仿宋"/>
          <w:b/>
          <w:bCs/>
          <w:color w:val="auto"/>
          <w:sz w:val="32"/>
          <w:szCs w:val="32"/>
          <w:highlight w:val="none"/>
          <w:lang w:eastAsia="zh-CN"/>
        </w:rPr>
      </w:pPr>
    </w:p>
    <w:p w14:paraId="1569AD1E">
      <w:pPr>
        <w:pStyle w:val="18"/>
        <w:rPr>
          <w:rFonts w:hint="eastAsia" w:ascii="仿宋" w:hAnsi="仿宋" w:eastAsia="仿宋" w:cs="仿宋"/>
          <w:b/>
          <w:bCs/>
          <w:color w:val="auto"/>
          <w:sz w:val="32"/>
          <w:szCs w:val="32"/>
          <w:highlight w:val="none"/>
          <w:lang w:eastAsia="zh-CN"/>
        </w:rPr>
      </w:pPr>
    </w:p>
    <w:p w14:paraId="70F14485">
      <w:pPr>
        <w:rPr>
          <w:rFonts w:hint="eastAsia"/>
          <w:color w:val="auto"/>
          <w:highlight w:val="none"/>
          <w:lang w:eastAsia="zh-CN"/>
        </w:rPr>
      </w:pPr>
    </w:p>
    <w:p w14:paraId="3736108A">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bookmarkEnd w:id="15"/>
    </w:p>
    <w:p w14:paraId="04B23344">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bookmarkStart w:id="16" w:name="_Toc9061"/>
      <w:r>
        <w:rPr>
          <w:rFonts w:hint="eastAsia" w:ascii="仿宋" w:hAnsi="仿宋" w:eastAsia="仿宋" w:cs="仿宋"/>
          <w:bCs/>
          <w:color w:val="auto"/>
          <w:highlight w:val="none"/>
          <w:lang w:eastAsia="zh-CN"/>
        </w:rPr>
        <w:t>一、质疑供应商基本信息</w:t>
      </w:r>
      <w:bookmarkEnd w:id="16"/>
    </w:p>
    <w:p w14:paraId="1834BB2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3CFE335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B98F44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21D5CD2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314FDED3">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983116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236747A">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7" w:name="_Toc15938"/>
      <w:r>
        <w:rPr>
          <w:rFonts w:hint="eastAsia" w:ascii="仿宋" w:hAnsi="仿宋" w:eastAsia="仿宋" w:cs="仿宋"/>
          <w:bCs/>
          <w:color w:val="auto"/>
          <w:highlight w:val="none"/>
          <w:lang w:eastAsia="zh-CN"/>
        </w:rPr>
        <w:t>二、质疑项目基本情况</w:t>
      </w:r>
      <w:bookmarkEnd w:id="17"/>
    </w:p>
    <w:p w14:paraId="52EE928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069E781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37BE7B1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33C8BCF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7F953D30">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8" w:name="_Toc18271"/>
      <w:r>
        <w:rPr>
          <w:rFonts w:hint="eastAsia" w:ascii="仿宋" w:hAnsi="仿宋" w:eastAsia="仿宋" w:cs="仿宋"/>
          <w:bCs/>
          <w:color w:val="auto"/>
          <w:highlight w:val="none"/>
          <w:lang w:eastAsia="zh-CN"/>
        </w:rPr>
        <w:t>三、质疑事项具体内容</w:t>
      </w:r>
      <w:bookmarkEnd w:id="18"/>
    </w:p>
    <w:p w14:paraId="17BDBFF8">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636CF69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7C60EF80">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357C832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4220F677">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05F162B">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9" w:name="_Toc22365"/>
      <w:r>
        <w:rPr>
          <w:rFonts w:hint="eastAsia" w:ascii="仿宋" w:hAnsi="仿宋" w:eastAsia="仿宋" w:cs="仿宋"/>
          <w:bCs/>
          <w:color w:val="auto"/>
          <w:highlight w:val="none"/>
          <w:lang w:eastAsia="zh-CN"/>
        </w:rPr>
        <w:t>四、与质疑事项相关的质疑请求</w:t>
      </w:r>
      <w:bookmarkEnd w:id="19"/>
    </w:p>
    <w:p w14:paraId="7734596D">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2BC73AFB">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44CC7D26">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18C1CA54">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p>
    <w:p w14:paraId="7037376C">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highlight w:val="none"/>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20" w:name="_Toc340225294"/>
      <w:bookmarkStart w:id="21" w:name="_Toc267320052"/>
    </w:p>
    <w:bookmarkEnd w:id="10"/>
    <w:bookmarkEnd w:id="20"/>
    <w:bookmarkEnd w:id="21"/>
    <w:tbl>
      <w:tblPr>
        <w:tblStyle w:val="2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3"/>
        <w:gridCol w:w="1320"/>
        <w:gridCol w:w="6427"/>
        <w:gridCol w:w="817"/>
        <w:gridCol w:w="818"/>
      </w:tblGrid>
      <w:tr w14:paraId="31C1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A4A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2F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38F4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设备技术参数</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9A1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7E4F">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r>
      <w:tr w14:paraId="3347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F8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214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八人餐桌</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DC91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1、</w:t>
            </w:r>
            <w:r>
              <w:rPr>
                <w:rFonts w:hint="eastAsia" w:ascii="宋体" w:hAnsi="宋体" w:eastAsia="宋体" w:cs="宋体"/>
                <w:i w:val="0"/>
                <w:iCs w:val="0"/>
                <w:color w:val="000000"/>
                <w:sz w:val="24"/>
                <w:szCs w:val="24"/>
                <w:highlight w:val="none"/>
                <w:u w:val="none"/>
              </w:rPr>
              <w:t>尺寸：桌面外形尺寸≥2000×600×760mm，座凳展开后支撑距离≥1400mm</w:t>
            </w:r>
          </w:p>
          <w:p w14:paraId="316D4C6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w:t>
            </w:r>
            <w:r>
              <w:rPr>
                <w:rFonts w:hint="eastAsia" w:ascii="宋体" w:hAnsi="宋体" w:eastAsia="宋体" w:cs="宋体"/>
                <w:i w:val="0"/>
                <w:iCs w:val="0"/>
                <w:color w:val="000000"/>
                <w:sz w:val="24"/>
                <w:szCs w:val="24"/>
                <w:highlight w:val="none"/>
                <w:u w:val="none"/>
              </w:rPr>
              <w:t>桌腿：支撑构件采用国标方/矩形钢管，钢管壁厚≥1.2mm，整体结构满足额定承重要求，删掉强制 50×50 截面；</w:t>
            </w:r>
          </w:p>
          <w:p w14:paraId="58E2CED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eastAsia="宋体" w:cs="宋体"/>
                <w:i w:val="0"/>
                <w:iCs w:val="0"/>
                <w:color w:val="000000"/>
                <w:sz w:val="24"/>
                <w:szCs w:val="24"/>
                <w:highlight w:val="none"/>
                <w:u w:val="none"/>
              </w:rPr>
              <w:t>桌面基材：高密度板，总厚度≥25mm，外包不锈钢面板厚度≥0.6mm；桌凳面板为不锈钢板面；</w:t>
            </w:r>
          </w:p>
          <w:p w14:paraId="7EBC564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w:t>
            </w:r>
            <w:r>
              <w:rPr>
                <w:rFonts w:hint="eastAsia" w:ascii="宋体" w:hAnsi="宋体" w:eastAsia="宋体" w:cs="宋体"/>
                <w:i w:val="0"/>
                <w:iCs w:val="0"/>
                <w:color w:val="000000"/>
                <w:sz w:val="24"/>
                <w:szCs w:val="24"/>
                <w:highlight w:val="none"/>
                <w:u w:val="none"/>
              </w:rPr>
              <w:t>桌凳下托框架：国标钢管，壁厚≥1.2mm，</w:t>
            </w:r>
          </w:p>
          <w:p w14:paraId="1EA0D5F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w:t>
            </w:r>
            <w:r>
              <w:rPr>
                <w:rFonts w:hint="eastAsia" w:ascii="宋体" w:hAnsi="宋体" w:eastAsia="宋体" w:cs="宋体"/>
                <w:i w:val="0"/>
                <w:iCs w:val="0"/>
                <w:color w:val="000000"/>
                <w:sz w:val="24"/>
                <w:szCs w:val="24"/>
                <w:highlight w:val="none"/>
                <w:u w:val="none"/>
              </w:rPr>
              <w:t>凳面托架：冷轧钢板厚度≥3mm，符合国标；</w:t>
            </w:r>
          </w:p>
          <w:p w14:paraId="05526DC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6、</w:t>
            </w:r>
            <w:r>
              <w:rPr>
                <w:rFonts w:hint="eastAsia" w:ascii="宋体" w:hAnsi="宋体" w:eastAsia="宋体" w:cs="宋体"/>
                <w:i w:val="0"/>
                <w:iCs w:val="0"/>
                <w:color w:val="000000"/>
                <w:sz w:val="24"/>
                <w:szCs w:val="24"/>
                <w:highlight w:val="none"/>
                <w:u w:val="none"/>
              </w:rPr>
              <w:t>折叠结构：两侧座位可折叠，折叠铰链、连接件采用防锈五金件，保证反复折叠稳定可靠</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EE15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A93C">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EC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65D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0F7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五头饮水机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58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1、</w:t>
            </w:r>
            <w:r>
              <w:rPr>
                <w:color w:val="000000"/>
                <w:sz w:val="24"/>
                <w:szCs w:val="24"/>
                <w:highlight w:val="none"/>
              </w:rPr>
              <w:t>功率：≥4.5KW；</w:t>
            </w:r>
          </w:p>
          <w:p w14:paraId="1CE4D0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2、</w:t>
            </w:r>
            <w:r>
              <w:rPr>
                <w:color w:val="000000"/>
                <w:sz w:val="24"/>
                <w:szCs w:val="24"/>
                <w:highlight w:val="none"/>
              </w:rPr>
              <w:t>电源：380V，50Hz；</w:t>
            </w:r>
          </w:p>
          <w:p w14:paraId="0CD726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3、</w:t>
            </w:r>
            <w:r>
              <w:rPr>
                <w:color w:val="000000"/>
                <w:sz w:val="24"/>
                <w:szCs w:val="24"/>
                <w:highlight w:val="none"/>
              </w:rPr>
              <w:t>出水方式：一开五温开水，开水出水配置童锁保护功能；</w:t>
            </w:r>
          </w:p>
          <w:p w14:paraId="788AA1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4、</w:t>
            </w:r>
            <w:r>
              <w:rPr>
                <w:color w:val="000000"/>
                <w:sz w:val="24"/>
                <w:szCs w:val="24"/>
                <w:highlight w:val="none"/>
              </w:rPr>
              <w:t>热胆容量：≥35L；</w:t>
            </w:r>
          </w:p>
          <w:p w14:paraId="4276C9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5、</w:t>
            </w:r>
            <w:r>
              <w:rPr>
                <w:color w:val="000000"/>
                <w:sz w:val="24"/>
                <w:szCs w:val="24"/>
                <w:highlight w:val="none"/>
              </w:rPr>
              <w:t>供水量：开水≥40L/H，温开水≥180L/H，满足 50 人以上连续用水需求；</w:t>
            </w:r>
          </w:p>
          <w:p w14:paraId="006B6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6、</w:t>
            </w:r>
            <w:r>
              <w:rPr>
                <w:color w:val="000000"/>
                <w:sz w:val="24"/>
                <w:szCs w:val="24"/>
                <w:highlight w:val="none"/>
              </w:rPr>
              <w:t>整机外形尺寸：长≤1250mm，宽≤470mm，高≤1350mm（满足现场安装空间要求，尺寸允许 ±2% 偏差）；</w:t>
            </w:r>
          </w:p>
          <w:p w14:paraId="027BDD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7、</w:t>
            </w:r>
            <w:r>
              <w:rPr>
                <w:color w:val="000000"/>
                <w:sz w:val="24"/>
                <w:szCs w:val="24"/>
                <w:highlight w:val="none"/>
              </w:rPr>
              <w:t>适用水压：0.01MPa～0.6MPa，适配市政自来水水源；</w:t>
            </w:r>
          </w:p>
          <w:p w14:paraId="60EFF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8、</w:t>
            </w:r>
            <w:r>
              <w:rPr>
                <w:color w:val="000000"/>
                <w:sz w:val="24"/>
                <w:szCs w:val="24"/>
                <w:highlight w:val="none"/>
              </w:rPr>
              <w:t>龙头为食品级材质，触摸式出水；</w:t>
            </w:r>
          </w:p>
          <w:p w14:paraId="799B7C88">
            <w:pPr>
              <w:keepNext w:val="0"/>
              <w:keepLines w:val="0"/>
              <w:widowControl/>
              <w:suppressLineNumbers w:val="0"/>
              <w:jc w:val="left"/>
              <w:textAlignment w:val="center"/>
              <w:rPr>
                <w:rFonts w:hint="eastAsia"/>
                <w:color w:val="000000"/>
                <w:sz w:val="24"/>
                <w:szCs w:val="24"/>
                <w:highlight w:val="none"/>
                <w:lang w:eastAsia="zh-CN"/>
              </w:rPr>
            </w:pPr>
            <w:r>
              <w:rPr>
                <w:rFonts w:hint="eastAsia"/>
                <w:color w:val="000000"/>
                <w:sz w:val="24"/>
                <w:szCs w:val="24"/>
                <w:highlight w:val="none"/>
                <w:lang w:val="en-US" w:eastAsia="zh-CN"/>
              </w:rPr>
              <w:t>9、</w:t>
            </w:r>
            <w:r>
              <w:rPr>
                <w:rFonts w:hint="eastAsia"/>
                <w:color w:val="000000"/>
                <w:sz w:val="24"/>
                <w:szCs w:val="24"/>
                <w:highlight w:val="none"/>
              </w:rPr>
              <w:t>发热管采用食品 316L 不锈钢材质</w:t>
            </w:r>
            <w:r>
              <w:rPr>
                <w:rFonts w:hint="eastAsia"/>
                <w:color w:val="000000"/>
                <w:sz w:val="24"/>
                <w:szCs w:val="24"/>
                <w:highlight w:val="none"/>
                <w:lang w:eastAsia="zh-CN"/>
              </w:rPr>
              <w:t>；</w:t>
            </w:r>
          </w:p>
          <w:p w14:paraId="2F1F8D4C">
            <w:pPr>
              <w:keepNext w:val="0"/>
              <w:keepLines w:val="0"/>
              <w:widowControl/>
              <w:suppressLineNumbers w:val="0"/>
              <w:jc w:val="left"/>
              <w:textAlignment w:val="center"/>
              <w:rPr>
                <w:rFonts w:hint="eastAsia"/>
                <w:color w:val="000000"/>
                <w:sz w:val="24"/>
                <w:szCs w:val="24"/>
                <w:highlight w:val="none"/>
              </w:rPr>
            </w:pPr>
            <w:r>
              <w:rPr>
                <w:rFonts w:hint="eastAsia"/>
                <w:color w:val="000000"/>
                <w:sz w:val="24"/>
                <w:szCs w:val="24"/>
                <w:highlight w:val="none"/>
                <w:lang w:val="en-US" w:eastAsia="zh-CN"/>
              </w:rPr>
              <w:t>10、</w:t>
            </w:r>
            <w:r>
              <w:rPr>
                <w:rFonts w:hint="eastAsia"/>
                <w:color w:val="000000"/>
                <w:sz w:val="24"/>
                <w:szCs w:val="24"/>
                <w:highlight w:val="none"/>
              </w:rPr>
              <w:t>配置五级过滤系统：净水流量≥2.0L/min，额定净水量≥4000L；提供整机涉及饮用水卫生安全产品卫生许可批件；</w:t>
            </w:r>
          </w:p>
          <w:p w14:paraId="53DAF27E">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ascii="宋体" w:hAnsi="宋体" w:eastAsia="宋体" w:cs="宋体"/>
                <w:sz w:val="24"/>
                <w:szCs w:val="24"/>
                <w:highlight w:val="none"/>
              </w:rPr>
              <w:t>箱体采用不锈钢板，板材厚度≥0.6mm；</w:t>
            </w:r>
          </w:p>
          <w:p w14:paraId="7819CBA9">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ascii="宋体" w:hAnsi="宋体" w:eastAsia="宋体" w:cs="宋体"/>
                <w:sz w:val="24"/>
                <w:szCs w:val="24"/>
                <w:highlight w:val="none"/>
              </w:rPr>
              <w:t>水槽采用 304 不锈钢材质，板材厚度≥1.0mm；</w:t>
            </w:r>
          </w:p>
          <w:p w14:paraId="7A0DC4D7">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ascii="宋体" w:hAnsi="宋体" w:eastAsia="宋体" w:cs="宋体"/>
                <w:sz w:val="24"/>
                <w:szCs w:val="24"/>
                <w:highlight w:val="none"/>
              </w:rPr>
              <w:t>排水管材具备防烫伤、防变形性能；</w:t>
            </w:r>
          </w:p>
          <w:p w14:paraId="1B452627">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ascii="宋体" w:hAnsi="宋体" w:eastAsia="宋体" w:cs="宋体"/>
                <w:sz w:val="24"/>
                <w:szCs w:val="24"/>
                <w:highlight w:val="none"/>
              </w:rPr>
              <w:t>配置智能显示屏，可实时显示加热状态、水位状态、即时水温、北京时间；支持设置自动开关机，可按每周工作日、每日时段设定设备启停；整机具备防干烧、漏电保护功能；</w:t>
            </w:r>
          </w:p>
          <w:p w14:paraId="24349D90">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15、</w:t>
            </w:r>
            <w:r>
              <w:rPr>
                <w:rFonts w:ascii="宋体" w:hAnsi="宋体" w:eastAsia="宋体" w:cs="宋体"/>
                <w:sz w:val="24"/>
                <w:szCs w:val="24"/>
                <w:highlight w:val="none"/>
              </w:rPr>
              <w:t>具备水不开不出水功能；温开水采用物理降温方式，不得采用冷热直接混合出水；</w:t>
            </w:r>
          </w:p>
          <w:p w14:paraId="1A0DE20D">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16、</w:t>
            </w:r>
            <w:r>
              <w:rPr>
                <w:rFonts w:ascii="宋体" w:hAnsi="宋体" w:eastAsia="宋体" w:cs="宋体"/>
                <w:sz w:val="24"/>
                <w:szCs w:val="24"/>
                <w:highlight w:val="none"/>
              </w:rPr>
              <w:t>电器控制线路采用≤12V 安全电压微电脑控制</w:t>
            </w:r>
          </w:p>
          <w:p w14:paraId="540F9CCE">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17、</w:t>
            </w:r>
            <w:r>
              <w:rPr>
                <w:rFonts w:ascii="宋体" w:hAnsi="宋体" w:eastAsia="宋体" w:cs="宋体"/>
                <w:sz w:val="24"/>
                <w:szCs w:val="24"/>
                <w:highlight w:val="none"/>
              </w:rPr>
              <w:t>整机具备六防设计：防漏电、防干烧、防火、防爆、防开盖、防蒸汽；本设备主要用于室内使用；</w:t>
            </w:r>
          </w:p>
          <w:p w14:paraId="1B94463C">
            <w:pPr>
              <w:keepNext w:val="0"/>
              <w:keepLines w:val="0"/>
              <w:widowControl/>
              <w:suppressLineNumbers w:val="0"/>
              <w:jc w:val="left"/>
              <w:textAlignment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w:t>
            </w:r>
            <w:r>
              <w:rPr>
                <w:rFonts w:ascii="宋体" w:hAnsi="宋体" w:eastAsia="宋体" w:cs="宋体"/>
                <w:sz w:val="24"/>
                <w:szCs w:val="24"/>
                <w:highlight w:val="none"/>
              </w:rPr>
              <w:t>采用高性能整体聚氨酯发泡保温结构，保温效果优异，热损失低，相比普通保温结构节电效果显著；</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F58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87D4F">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F4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D00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40DD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双层工作台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A2F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尺寸：≥1800mm*800mm*800mm，采用优质201#磨砂不锈钢板材制作，板材厚度≥1.0MM，支撑管采用管径</w:t>
            </w:r>
            <w:r>
              <w:rPr>
                <w:rFonts w:ascii="宋体" w:hAnsi="宋体" w:eastAsia="宋体" w:cs="宋体"/>
                <w:sz w:val="24"/>
                <w:szCs w:val="24"/>
                <w:highlight w:val="none"/>
              </w:rPr>
              <w:t>≥</w:t>
            </w:r>
            <w:r>
              <w:rPr>
                <w:rFonts w:hint="eastAsia" w:ascii="宋体" w:hAnsi="宋体" w:eastAsia="宋体" w:cs="宋体"/>
                <w:i w:val="0"/>
                <w:iCs w:val="0"/>
                <w:color w:val="000000"/>
                <w:kern w:val="0"/>
                <w:sz w:val="24"/>
                <w:szCs w:val="24"/>
                <w:highlight w:val="none"/>
                <w:u w:val="none"/>
                <w:lang w:val="en-US" w:eastAsia="zh-CN" w:bidi="ar"/>
              </w:rPr>
              <w:t>40mm不锈钢管配可活动脚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DA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A47B">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E4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54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9B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大单星盆台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AD30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尺寸：≥1000mm*750mm*800/100mm，采用优质201#磨砂不锈钢板材制作，板材厚度≥1.0MM，支撑管采用管径≥38mm不锈钢管配可调节子弹脚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5F4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3CF0">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80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AF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1F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绞切肉机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9F2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外形尺寸≥550mm×380mm×750mm；机身以及与肉类接触部件采用201不锈钢材质；输送带及压菜带采用食品接触级橡塑材料，具备切片、切丝、绞馅功能；生产能力：切肉片≥400Kg/h，切肉丝≥200Kg/h，绞肉≥100Kg/h。</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413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320B">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BEE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C2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8D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多功能切菜机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1FD18">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成品形状：可加工片、丝、丁；机器外形尺寸≥1160 (L)×530 (W)×1000 (H) mm；叶菜切割规格 1-60mm 可调，根茎类切割规格 1-7mm 可调；球茎类切丁最小可达 6mm 方丁，球茎类切丝最小可达 3mm 方丝；生产能力：叶菜≥600KG/H，根茎≥300KG/H；电源：220V 单相；功率≥1.3KW。  </w:t>
            </w:r>
          </w:p>
          <w:p w14:paraId="3FD348EF">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 </w:t>
            </w:r>
          </w:p>
          <w:p w14:paraId="2123F02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3、设备结构设计便于清洗，不易残留食材残渣、滋生霉变。</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8D0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308E">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DF2E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E0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ED3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毛刷去皮机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456E">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外形尺寸≥1180mm×660mm×1100mm；主体材质采用 201 不锈钢；采用数字控制，操作简单便捷。 </w:t>
            </w:r>
          </w:p>
          <w:p w14:paraId="39D1EA83">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配置安全防护装置，毛刷式结构，配套优质电机；毛刷采用食品级塑料材质。 </w:t>
            </w:r>
          </w:p>
          <w:p w14:paraId="7E0D4DBD">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 </w:t>
            </w:r>
          </w:p>
          <w:p w14:paraId="367CBC9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4、设备结构便于清洗，不易残留食材残渣、滋生霉变。</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A8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45942">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BED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A58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D901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五格保温售饭台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167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外形尺寸≥1800mm×700mm×800mm；面板采用 201 不锈钢板，厚度≥1.0mm；水池采用 201 不锈钢板，厚度≥0.8mm；层板采用 201 不锈钢板，厚度≥0.9mm；配套 5 套 1/1×150mm 标准份数盆；配置 2 根≥1.5KW、220V 加热管，总功率≥3.0kW，配备自动恒温控制系统；支撑脚管采用 201 不锈钢管，壁厚≥1.0mm，配置可调节子弹脚；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247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984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176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43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BB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杀菌灯</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294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尺寸：≥700mm*111mm*500mm，石英管状玻璃外壳，具有杀菌的作用。</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F5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F96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F7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8FE4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D09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单门留样柜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11E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尺寸：≥650mm*610mm*1850mm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1、整体采用不锈钢板制作，厚度≥0.6mm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2、温度范围：+2C/+8°C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3、功率：220V/≥135W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4、有效容积≥380L</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5、钢化玻璃门，灯： LED</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w:t>
            </w:r>
            <w:r>
              <w:rPr>
                <w:rFonts w:ascii="宋体" w:hAnsi="宋体" w:eastAsia="宋体" w:cs="宋体"/>
                <w:sz w:val="24"/>
                <w:szCs w:val="24"/>
                <w:highlight w:val="none"/>
              </w:rPr>
              <w:t>配置2层可调节层架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7、加重脚轮带刹车</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B0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ADE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F16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384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44C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四门高身雪柜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3A2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700mm×1950mm；内胆采用不锈钢板制作；蒸发器换热效率高，制冷性能稳定；配备数字温度显示器，柜门配置门锁；采用聚氨酯高压发泡保温层，保温性能优良；换热管路具备良好耐腐蚀、高效换热性能；配备性能稳定压缩机；双温控制，冷藏 0℃~+10℃，冷冻≤-18℃；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26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BD1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C6A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1B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D9F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1米单头大炒炉</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8A6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1300mm×1200mm；炉面板采用不锈钢板，厚度≥1.2mm，整体冲压成型；炉面板下方设置隔热层，内衬钢板具备足够强度，采用可靠连接工艺，保证炉面板稳固不变形；侧板、背板不锈钢板厚度≥1.0mm；炉架结构稳固，满足承重要求；炉面配置冷水装置及双摇摆水龙头；配置≥250W 低噪音鼓风机，风量可调；配备环保节能炉头，火力大小可调节；灶开关为全铜材质；水管、气管排布规整，满足使用安全要求；炉腿不锈钢管材壁厚≥1.5mm，配置全钢可调节子弹脚；焊接连接牢固可靠；配备自动电子打火装置与熄火保护安全装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C4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205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15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197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8F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冷藏平台雪柜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F97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外形尺寸≥1800mm×700mm×800mm；柜体采用环保绝缘材料，配备品牌压缩机，单温单控，使用环保冷媒；配置数字温度显示器；采用聚氨酯高压发泡保温层；冷凝器配备可拆式滤网；蒸发器换热性能良好、耐腐蚀，满足整机制冷需求；控温范围：-20℃～+5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5D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0CD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D60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F0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1B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双门燃气蒸饭柜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12B8">
            <w:pPr>
              <w:keepNext w:val="0"/>
              <w:keepLines w:val="0"/>
              <w:widowControl/>
              <w:numPr>
                <w:ilvl w:val="0"/>
                <w:numId w:val="8"/>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规格：24 盘；柜体外壳采用≥1.2mm 厚 201 磨砂不锈钢板，冲压成型；内胆采用≥1.2mm 厚 304 麻砂不锈钢板。</w:t>
            </w:r>
          </w:p>
          <w:p w14:paraId="7F73435C">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采用耐热聚氨酯整体发泡夹层设计，保温性能良好，散热损失小。 </w:t>
            </w:r>
          </w:p>
          <w:p w14:paraId="5B945302">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配置安全泄压装置，常压运行，保障使用安全；蒸胆结构强度可靠，满足常压蒸饭安全使用要求。 </w:t>
            </w:r>
          </w:p>
          <w:p w14:paraId="3DA32FC4">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 xml:space="preserve">水箱采用可拆卸式结构，便于维护清洗。 </w:t>
            </w:r>
          </w:p>
          <w:p w14:paraId="0F9DAA7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5BB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F14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16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AA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DB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高速压面机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59A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高速压面机：外形尺寸≥600mm×710mm×1180mm；设备外壳板材≥0.8mm 磨砂 201 不锈钢，整机机壳为不锈钢材质；配备 3 种规格不锈钢面刀；设置安全防护栏及紧急安全开关，保障操作人员安全；S 型连续辗压结构，提升面团延展性、面皮筋性，实现自动连续压面；电机性能稳定可靠，温升符合相关国标，可长时间连续工作。设备金属构件适配后厨潮湿环境，具备良好防锈耐腐蚀性能；</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988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EC3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4A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8A4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05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50KG和面机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6A5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50KG 和面机：外形尺寸≥580mm×980mm×1080mm；机身采用不锈钢材质，一机多用，可完成和面、搅拌鱼肉、肉末、菜馅作业；电机动力强劲、性能稳定可靠，温升符合相关国标，支持长时间连续作业；设备双向转动，和面效果好，面团柔软细腻富有弹性；配置精钢圆弧和面刀，具备翻、转、揉、搓、扯、拧复合揉面动作。</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0B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E88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68C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82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A5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A6A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尺寸：≥1200mm*800mm*800/100mm，采用优质201#磨砂不锈钢板材制作，板材厚度≥1.0MM，支撑管采用管径38mm不锈钢管配可调节子弹脚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C4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8FD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A53C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E785">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28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圆脚四层平板层架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B82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尺寸：≥1200mm*500mm*1550mm，采用201#磨砂不锈钢板材制作，板材厚度≥1.0MM，立柱≥1.0mm钢板定制，打孔可调节层板位置，全钢可调节子弹脚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AF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6F8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CDE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0C1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34F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米面架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3E6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尺寸：≥1200mm*500mm*300mm，采用201#磨砂不锈钢板材制作，板材厚度≥1.0MM，立柱≥1.0mm钢板定制，打孔可调节层板位置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96F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3C5F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68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F6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97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双门消毒柜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E64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双门消毒柜：外形尺寸≥1300mm×700mm×1980mm；整机采用不锈钢材质；电源 220V，额定功率≥4.4KW；有效容积≥720L；采用高温消毒方式，内胆为不锈钢材质；配置双层不锈钢门；网架框采用不锈钢圆钢焊接；消毒温度可调节。</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97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A6A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92B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48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F79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7D8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尺寸：≥1800mm*700mm*650mm，采用201#磨砂不锈钢板材制作，板材厚度≥1.0MM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62A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2ED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AC7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27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EF0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粘捕式灭蚊灯</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601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尺寸：≥400mm*170mm*310mm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1、灯外壳采用阻燃材料设计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2、电击诱捕灭蝇方式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3、功率：≥12w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4、覆盖面积：≥40m²</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28E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6CE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D24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30E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ED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洗衣机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F4E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尺寸：≥58*59*96cm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电压：≥220V;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洗涤容量：≥12kg;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≥二级能效；全自动顶开门</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16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6F2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542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CF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B0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8D2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kern w:val="0"/>
                <w:sz w:val="24"/>
                <w:szCs w:val="24"/>
                <w:highlight w:val="none"/>
                <w:u w:val="none"/>
                <w:lang w:val="en-US" w:eastAsia="zh-CN" w:bidi="ar"/>
              </w:rPr>
              <w:t>分体壁挂式1.5P冷暖，一级能效，</w:t>
            </w:r>
            <w:r>
              <w:rPr>
                <w:rFonts w:ascii="宋体" w:hAnsi="宋体" w:eastAsia="宋体" w:cs="宋体"/>
                <w:sz w:val="24"/>
                <w:szCs w:val="24"/>
                <w:highlight w:val="none"/>
              </w:rPr>
              <w:t>支持 APP 操控、按键控制、遥控器控制</w:t>
            </w:r>
            <w:r>
              <w:rPr>
                <w:rFonts w:hint="eastAsia" w:ascii="宋体" w:hAnsi="宋体" w:eastAsia="宋体" w:cs="宋体"/>
                <w:sz w:val="24"/>
                <w:szCs w:val="24"/>
                <w:highlight w:val="none"/>
                <w:lang w:eastAsia="zh-CN"/>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2FE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3ED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83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E3C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25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737A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高低床</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0A7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高低床：外形尺寸4500mm×900mm×1800mm；床头为圆弧形设计；床头立柱管材壁厚≥1.35mm，整体结构稳定、承重达标，不易变形；床屉主承托大杠管材壁厚≥1.3mm；床铺横向支撑不少于 5 根，支撑管材壁厚≥1.5mm；床边护栏管材壁厚≥1.2mm；爬梯立柱管材壁厚≥1.2mm，四层踏板设计，踏板尺寸≥500mm×225mm，踏板钢板厚度≥1.8mm；铺板≥14mm 厚 E1 级热压胶合多层板，环保指标符合国家标准；床体采用无螺丝插接式连接结构，拆装便捷，运输过程不易变形；双层鞋架采用方管焊接，鞋架外形尺寸≥800mm×450mm；床下柜外形尺寸≥500mm×550mm×440mm，柜体板材厚度≥0.7mm；所有钢构件经除锈、除油、磷化预处理，静电粉末喷涂，喷塑无死角，色泽均匀，涂层附着力强、耐冲击、防锈性能满足使用要求。每套配置：床下柜 4 个、双层鞋架 2 套、铺板 4 块。</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627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055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181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209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5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四门衣柜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A6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四门钢制储物柜：材质采用符合国家标准的优质冷轧钢板；板材厚度≥0.7mm；外形规格≥80cm×40cm×175cm；柜内每扇门配置 1 层水平隔板，隔板高度 30cm；钢件表面进行除油、除锈、磷化类前处理，静电粉末喷塑，套色处理，涂层防腐、硬度、耐冲击性能满足使用要求；每扇柜门配置外挂锁，柜门设置通风口，柜体带卡槽；柜体颜色米白色。</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A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06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419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26C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C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2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尺寸：≥80公分，1.5mm厚全不锈钢304不锈钢制作，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0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1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7AD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CCA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6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B8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E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EA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812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7B5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6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E23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尺寸：≥30公分，1.5mm厚全不锈钢304不锈钢制作，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B6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1D2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5F5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63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9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打炒勺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C6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6两木柄不锈钢加厚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2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AA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2EDF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4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7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长柄漏勺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04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1.2米长不锈钢，直径：35公分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7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2D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7459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3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A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菜墩(大)</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F0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PE塑料板材具有高强度，抗冲击，耐老化特点，直径≥45CM,厚≥10CM.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4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63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998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4BE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0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菜板</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F21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PE塑料板材具有高强度，抗冲击，耐老化特点，58*38*3CM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2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37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0E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659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加深菜筐(大)</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B2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尺寸：≥640*450*350mm，底部带轮子方便推拉移动，盖子两边密封卡扣防尘防潮防虫：采用优质pp材料，安全无毒无异味</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5E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73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636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313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D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加深菜筐(中)</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5F1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尺寸：≥580mm*430mm*330mm，底部带轮子方便推拉移动，盖子两边密封卡扣防尘防潮防虫：采用优质pp材料，安全无毒无异味</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D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84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171F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6F2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E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大锅铲</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CE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长1.2米，优质不锈钢≥3.0mm厚，≥20mm*120mm*5mm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FA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98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FE7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A3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5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大灶沥</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0D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不锈钢，不生锈，做工精细，无接口，口径≥35公分。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B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39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F9B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C0A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3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食品夹</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B3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不锈钢，不易松散，不易生锈，卫生耐用尺寸：≥25公分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7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D8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B1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817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7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磨刀石</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1D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一面粗一面细，尺寸：≥200mm*50mm*50mm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5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12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08D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0E17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6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勺子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32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不锈钢，一次成型，结实牢固，不易变形不锈钢加厚，质量≥72克</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0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FD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D76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D5B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52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筷子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32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一包10双，合金筷。</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A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A9D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5D84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0B7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B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不锈钢碗</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479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尺寸：碗口直径≥12cm，304不锈钢制作，一次成型，无焊接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2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62F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C08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539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31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八门更衣柜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39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尺寸：≥1800*900*420mm，≥1.0mm厚优质冷轧钢板、独立门带锁</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3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3F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F99B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947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26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感应水龙头</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22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感应水龙头：适用水压 0.1–0.6MPa；水管接口 G1/2（4分）；阀体为黄铜主体，结构稳固；供电方式为直流供电；外形尺寸 160mm×50mm×150mm（允许 ±5% 公差）；感应出水，使用灵敏；</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E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BC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72D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860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D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不锈钢加厚收餐车</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DF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三层，不锈钢+PP圆管弯角，2桶+3盆，带轮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7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2B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3B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7D79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58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不锈钢双孔垃圾柜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02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不锈钢双孔垃圾柜：外形规格 1200mm×700mm×800mm，挡水边高度 150mm；采用 201 磨砂不锈钢板材制作，板材厚度≥1.0mm；倒料口四角采用圆弧角工艺；柜体设置不锈钢加强筋，提升柜体刚度；支撑立柱采用不锈钢管材，管材壁厚≥1.5mm，整体承重稳定、不易变形；配置实心不锈钢可调子弹脚；便于清洁、耐腐蚀；</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25B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A1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F08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41D1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1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洗地机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C9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清洁效率≥1750㎡/h；清洁宽度 510mm，吸水扒宽度 755mm，刷盘直径 510mm；刷盘电机功率≥550W，吸水电机功率≥450W；采用 24V 直流供电。</w:t>
            </w:r>
          </w:p>
          <w:p w14:paraId="37A98C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水箱容量：清水箱≥40L，污水箱≥50L（可扩容至 70L）；机身外形尺寸≥1250mm×630mm×950mm；刷盘转速≥210rpm，吸水真空度≥140mbar。</w:t>
            </w:r>
          </w:p>
          <w:p w14:paraId="4105C5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蓄电池规格 24V，容量≥103Ah，放电性能稳定，满足长时间连续保洁作业。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1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9D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3F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EF6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6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3C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轮式70L,带盖工程塑料</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8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67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F62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BE0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14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平板车</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95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板车：外形尺寸≥1000mm×500mm×900mm；额定承重≥200kg；台面采用 304 不锈钢板制作；整车配备 4 个脚轮，转运灵活；焊接平整，边角钝化无锐边毛刺；</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C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D24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62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A87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A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w:t>
            </w:r>
          </w:p>
        </w:tc>
        <w:tc>
          <w:tcPr>
            <w:tcW w:w="3263" w:type="pct"/>
            <w:tcBorders>
              <w:top w:val="single" w:color="000000" w:sz="4" w:space="0"/>
              <w:left w:val="single" w:color="000000" w:sz="4" w:space="0"/>
              <w:right w:val="single" w:color="000000" w:sz="4" w:space="0"/>
            </w:tcBorders>
            <w:shd w:val="clear" w:color="auto" w:fill="auto"/>
            <w:vAlign w:val="center"/>
          </w:tcPr>
          <w:p w14:paraId="3F08997B">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4路16盘位网络硬盘录像机：支持 H.265、H.264 编码，支持 4K 高清网络视频预览、存储与回放；配置≥2 路 HDMI 输出接口，≥1 个网络接口，≥16 个 SATA 硬盘接口；支持 IPC 集中管理，包含 IPC 参数配置、信息导入 / 导出、语音对讲、设备升级等功能；支持全新 UI 操作界面，支持一键开启录像功能；设备配备面板按键（触摸式）；可接入智能网络摄像机，支持越界侦测、进入区域侦测、离开区域侦测、区域入侵、徘徊检测、人员聚焦、快速移动检测、非法停车检测、物品遗留、物品拿取、人脸侦测、车牌侦测、音频输入异常、声强突变、虚焦、场景变更等多种智能侦测事件接入与报警联动；支持最大 64 路同步回放及多路同步倒放；</w:t>
            </w:r>
          </w:p>
          <w:p w14:paraId="7EF4A97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E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D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6052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24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8E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400万高清监控摄像头</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2B5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 万高清枪式网络摄像机：枪式，彩色、日夜转换；有效像素≥400 万；支持 ICR 红外滤片切换，数字宽动态，3D 数字降噪；支持 H.265 Main Profile、H.264 Baseline Profile/Main Profile 编码；镜头规格可选 4mm、6mm、8mm、12mm、16mm；4mm 镜头水平视场角≥80°；最低照度：彩色模式≤0.01Lux（AGC 开启），红外模式 0Lux；最大图像分辨率≥2560×1440；红外夜视；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90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BA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DD9B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D2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3F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监控数据线</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9F7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监控数据线（室外电源数据综合一体线）：室外型超五类国标综合线缆，4 芯网线 + 2 芯电源线复合一体；网线导体截面积≥0.5mm²，电源导体截面积≥1.0mm²；网线传输指标满足超五类国家标准；外护套为室外 PE 护套，防水、防晒、耐老化，适合户外监控布线。</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263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3825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A3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r>
      <w:tr w14:paraId="700B9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E9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98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E71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r>
              <w:rPr>
                <w:rStyle w:val="49"/>
                <w:sz w:val="24"/>
                <w:szCs w:val="24"/>
                <w:lang w:val="en-US" w:eastAsia="zh-CN" w:bidi="ar"/>
              </w:rPr>
              <w:t>提供24个10/1000/自适应RJ45端口 支持绿色以太网，降低功耗，节约能源LED动态指示灯，显示端口的连接状态和设备运行状态支持端口自动翻转，使用更方便支持MAC地址自学习</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40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8D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29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263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A4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45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r>
              <w:rPr>
                <w:rStyle w:val="49"/>
                <w:sz w:val="24"/>
                <w:szCs w:val="24"/>
                <w:lang w:val="en-US" w:eastAsia="zh-CN" w:bidi="ar"/>
              </w:rPr>
              <w:t>12V监控专用室外电源</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709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67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9B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838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32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4E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690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54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9A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085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F5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电视机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85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55英寸超高清电视机：供电220V，50Hz</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E0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412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E52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403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266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施工及辅材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86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9"/>
                <w:sz w:val="24"/>
                <w:szCs w:val="24"/>
                <w:lang w:val="en-US" w:eastAsia="zh-CN" w:bidi="ar"/>
              </w:rPr>
              <w:t>施工中用到的小材料及安装费</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533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C64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r>
      <w:tr w14:paraId="13336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D8F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0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食堂一楼二楼文化布置（墙面、柱子）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BD2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局部彩色涂料、特种高清影印画布、10mm雪弗板UV覆水晶膜、8+3亚克力立体字、A3A4镜框可更换画面、售卖窗口折帘等（提供设计图、效果图灯学校认定为准）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4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88C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DFFA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C33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59</w:t>
            </w:r>
            <w:bookmarkStart w:id="45" w:name="_GoBack"/>
            <w:bookmarkEnd w:id="45"/>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F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宿舍楼1-4楼走廊文化布置</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6E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局部彩色涂料、特种高清影印画布、10mm雪弗板UV覆水晶膜、8+3亚克力立体字、A3A4镜框可更换画面、宿舍楼名称、宿管公示牌、寝室门牌、卫生间、洁具间、洗漱间等（提供设计图、效果图灯学校认定为准）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3B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28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bl>
    <w:p w14:paraId="407AC713">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3172F316">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71B77F52">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64A080B5">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pacing w:val="-1"/>
          <w:sz w:val="28"/>
          <w:szCs w:val="28"/>
          <w:highlight w:val="none"/>
        </w:rPr>
        <w:t>一、项目概况</w:t>
      </w:r>
    </w:p>
    <w:p w14:paraId="6EE535D0">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项目名称：</w:t>
      </w:r>
      <w:r>
        <w:rPr>
          <w:rFonts w:hint="eastAsia" w:ascii="宋体" w:hAnsi="宋体" w:eastAsia="宋体" w:cs="宋体"/>
          <w:b w:val="0"/>
          <w:bCs/>
          <w:color w:val="auto"/>
          <w:sz w:val="24"/>
          <w:szCs w:val="24"/>
          <w:highlight w:val="none"/>
          <w:lang w:val="en-US" w:eastAsia="zh-CN"/>
        </w:rPr>
        <w:t>阿图什市松他克镇中心学校新建改扩建项目（设备采购）</w:t>
      </w:r>
    </w:p>
    <w:p w14:paraId="10E9D31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项目地点：</w:t>
      </w:r>
      <w:r>
        <w:rPr>
          <w:rFonts w:hint="eastAsia" w:ascii="宋体" w:hAnsi="宋体" w:eastAsia="宋体" w:cs="宋体"/>
          <w:b w:val="0"/>
          <w:bCs/>
          <w:color w:val="auto"/>
          <w:sz w:val="24"/>
          <w:szCs w:val="24"/>
          <w:highlight w:val="none"/>
          <w:lang w:val="en-US" w:eastAsia="zh-CN"/>
        </w:rPr>
        <w:t>采购单位指定地点</w:t>
      </w:r>
    </w:p>
    <w:p w14:paraId="28C25D48">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项目内容：</w:t>
      </w:r>
      <w:r>
        <w:rPr>
          <w:rFonts w:hint="eastAsia" w:ascii="宋体" w:hAnsi="宋体" w:eastAsia="宋体" w:cs="宋体"/>
          <w:b w:val="0"/>
          <w:bCs/>
          <w:color w:val="auto"/>
          <w:sz w:val="24"/>
          <w:szCs w:val="24"/>
          <w:highlight w:val="none"/>
          <w:lang w:val="en-US" w:eastAsia="zh-CN"/>
        </w:rPr>
        <w:t>食堂设备、监控设备、生活设备、等其他设备（数量及参数详见附表）</w:t>
      </w:r>
    </w:p>
    <w:p w14:paraId="56B1E0F7">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供货期：</w:t>
      </w:r>
      <w:r>
        <w:rPr>
          <w:rFonts w:hint="eastAsia" w:ascii="新宋体" w:hAnsi="新宋体" w:eastAsia="新宋体" w:cs="新宋体"/>
          <w:i w:val="0"/>
          <w:caps w:val="0"/>
          <w:color w:val="auto"/>
          <w:spacing w:val="0"/>
          <w:kern w:val="0"/>
          <w:sz w:val="21"/>
          <w:szCs w:val="21"/>
          <w:highlight w:val="none"/>
          <w:lang w:val="en-US" w:eastAsia="zh-CN"/>
        </w:rPr>
        <w:t>20天</w:t>
      </w:r>
    </w:p>
    <w:p w14:paraId="7368CC23">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质保期：</w:t>
      </w:r>
      <w:r>
        <w:rPr>
          <w:rFonts w:hint="eastAsia" w:ascii="宋体" w:hAnsi="宋体" w:eastAsia="宋体" w:cs="宋体"/>
          <w:b w:val="0"/>
          <w:bCs/>
          <w:color w:val="auto"/>
          <w:sz w:val="24"/>
          <w:szCs w:val="24"/>
          <w:highlight w:val="none"/>
          <w:lang w:val="en-US" w:eastAsia="zh-CN"/>
        </w:rPr>
        <w:t>一年，一年内对甲方实验室空调进行免费维保，出现问题8小时内响应并赶到现场进行维修。</w:t>
      </w:r>
    </w:p>
    <w:p w14:paraId="18D8BF5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质量标准：</w:t>
      </w:r>
      <w:r>
        <w:rPr>
          <w:rFonts w:hint="eastAsia" w:ascii="宋体" w:hAnsi="宋体" w:eastAsia="宋体" w:cs="宋体"/>
          <w:bCs/>
          <w:color w:val="auto"/>
          <w:sz w:val="24"/>
          <w:szCs w:val="24"/>
          <w:highlight w:val="none"/>
          <w:lang w:val="en-US" w:eastAsia="zh-CN"/>
        </w:rPr>
        <w:t>合格。</w:t>
      </w:r>
    </w:p>
    <w:p w14:paraId="405E42F5">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仿宋" w:hAnsi="仿宋" w:eastAsia="仿宋" w:cs="仿宋"/>
          <w:b/>
          <w:color w:val="auto"/>
          <w:sz w:val="32"/>
          <w:szCs w:val="32"/>
          <w:highlight w:val="none"/>
          <w:lang w:val="en-US" w:eastAsia="zh-CN"/>
        </w:rPr>
      </w:pPr>
      <w:r>
        <w:rPr>
          <w:rFonts w:hint="eastAsia" w:ascii="宋体" w:hAnsi="宋体" w:eastAsia="宋体" w:cs="宋体"/>
          <w:b/>
          <w:bCs w:val="0"/>
          <w:color w:val="auto"/>
          <w:sz w:val="24"/>
          <w:szCs w:val="24"/>
          <w:highlight w:val="none"/>
          <w:lang w:val="en-US" w:eastAsia="zh-CN"/>
        </w:rPr>
        <w:t>付款方式：合同签订后，供应方向采购方提供中标价2%的履约保证金，采购方向供应方支付合同价50％预付款，验收合格后，采购方向供应方支付合同货款的50%。</w:t>
      </w:r>
    </w:p>
    <w:p w14:paraId="31BBACF1">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二、</w:t>
      </w:r>
      <w:bookmarkStart w:id="22" w:name="_Toc267320049"/>
      <w:bookmarkStart w:id="23" w:name="_Toc340225290"/>
      <w:r>
        <w:rPr>
          <w:rFonts w:hint="eastAsia" w:ascii="宋体" w:hAnsi="宋体" w:eastAsia="宋体" w:cs="宋体"/>
          <w:b/>
          <w:bCs/>
          <w:color w:val="auto"/>
          <w:spacing w:val="-1"/>
          <w:sz w:val="28"/>
          <w:szCs w:val="28"/>
          <w:highlight w:val="none"/>
          <w:lang w:val="en-US" w:eastAsia="zh-CN"/>
        </w:rPr>
        <w:t>项目报价、质保、售后服务等要求</w:t>
      </w:r>
    </w:p>
    <w:bookmarkEnd w:id="22"/>
    <w:bookmarkEnd w:id="23"/>
    <w:p w14:paraId="11AD1075">
      <w:pPr>
        <w:spacing w:line="360" w:lineRule="auto"/>
        <w:rPr>
          <w:rFonts w:hint="eastAsia" w:ascii="宋体" w:hAnsi="宋体" w:cs="宋体"/>
          <w:b/>
          <w:color w:val="auto"/>
          <w:szCs w:val="21"/>
          <w:highlight w:val="none"/>
        </w:rPr>
      </w:pPr>
      <w:bookmarkStart w:id="24" w:name="_Toc340225291"/>
      <w:bookmarkStart w:id="25" w:name="_Toc267320050"/>
      <w:r>
        <w:rPr>
          <w:rFonts w:hint="eastAsia" w:ascii="宋体" w:hAnsi="宋体" w:cs="宋体"/>
          <w:b/>
          <w:color w:val="auto"/>
          <w:szCs w:val="21"/>
          <w:highlight w:val="none"/>
        </w:rPr>
        <w:t>（</w:t>
      </w:r>
      <w:r>
        <w:rPr>
          <w:rFonts w:hint="eastAsia" w:ascii="宋体" w:hAnsi="宋体" w:eastAsia="宋体" w:cs="宋体"/>
          <w:b/>
          <w:color w:val="auto"/>
          <w:szCs w:val="21"/>
          <w:highlight w:val="none"/>
          <w:lang w:val="en-US" w:eastAsia="zh-CN"/>
        </w:rPr>
        <w:t>一</w:t>
      </w:r>
      <w:r>
        <w:rPr>
          <w:rFonts w:hint="eastAsia" w:ascii="宋体" w:hAnsi="宋体" w:cs="宋体"/>
          <w:b/>
          <w:color w:val="auto"/>
          <w:szCs w:val="21"/>
          <w:highlight w:val="none"/>
        </w:rPr>
        <w:t>）报价要求</w:t>
      </w:r>
      <w:bookmarkEnd w:id="24"/>
    </w:p>
    <w:p w14:paraId="5EC3837D">
      <w:pPr>
        <w:keepNext w:val="0"/>
        <w:keepLines w:val="0"/>
        <w:pageBreakBefore w:val="0"/>
        <w:widowControl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bCs w:val="0"/>
          <w:color w:val="auto"/>
          <w:sz w:val="28"/>
          <w:szCs w:val="28"/>
          <w:highlight w:val="none"/>
          <w:lang w:val="en-US" w:eastAsia="zh-CN"/>
        </w:rPr>
      </w:pPr>
      <w:r>
        <w:rPr>
          <w:rFonts w:hint="eastAsia" w:ascii="宋体" w:hAnsi="宋体" w:eastAsia="宋体" w:cs="宋体"/>
          <w:bCs/>
          <w:color w:val="auto"/>
          <w:kern w:val="2"/>
          <w:sz w:val="21"/>
          <w:szCs w:val="21"/>
          <w:highlight w:val="none"/>
          <w:lang w:val="en-US" w:eastAsia="zh-CN" w:bidi="ar-SA"/>
        </w:rPr>
        <w:t>本次报价为人民币报价，</w:t>
      </w:r>
      <w:bookmarkEnd w:id="25"/>
      <w:r>
        <w:rPr>
          <w:rFonts w:hint="eastAsia" w:ascii="宋体" w:hAnsi="宋体" w:eastAsia="宋体" w:cs="宋体"/>
          <w:bCs/>
          <w:color w:val="auto"/>
          <w:kern w:val="2"/>
          <w:sz w:val="21"/>
          <w:szCs w:val="21"/>
          <w:highlight w:val="none"/>
          <w:lang w:val="en-US" w:eastAsia="zh-CN" w:bidi="ar-SA"/>
        </w:rPr>
        <w:t>投标报价应包括：</w:t>
      </w:r>
      <w:r>
        <w:rPr>
          <w:rFonts w:hint="eastAsia" w:ascii="宋体" w:hAnsi="宋体" w:cs="宋体"/>
          <w:bCs/>
          <w:color w:val="auto"/>
          <w:kern w:val="2"/>
          <w:sz w:val="21"/>
          <w:szCs w:val="21"/>
          <w:highlight w:val="none"/>
          <w:lang w:val="en-US" w:eastAsia="zh-CN" w:bidi="ar-SA"/>
        </w:rPr>
        <w:t>服务</w:t>
      </w:r>
      <w:r>
        <w:rPr>
          <w:rFonts w:hint="eastAsia" w:ascii="宋体" w:hAnsi="宋体" w:eastAsia="宋体" w:cs="宋体"/>
          <w:bCs/>
          <w:color w:val="auto"/>
          <w:kern w:val="2"/>
          <w:sz w:val="21"/>
          <w:szCs w:val="21"/>
          <w:highlight w:val="none"/>
          <w:lang w:val="en-US" w:eastAsia="zh-CN" w:bidi="ar-SA"/>
        </w:rPr>
        <w:t>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成交供应商自身原因造成漏报、少报皆由其自行承担责任，采购人不再补偿。</w:t>
      </w:r>
    </w:p>
    <w:p w14:paraId="290806A6">
      <w:pPr>
        <w:keepNext w:val="0"/>
        <w:keepLines w:val="0"/>
        <w:pageBreakBefore w:val="0"/>
        <w:widowControl/>
        <w:kinsoku/>
        <w:wordWrap/>
        <w:overflowPunct/>
        <w:topLinePunct w:val="0"/>
        <w:autoSpaceDE/>
        <w:autoSpaceDN/>
        <w:bidi w:val="0"/>
        <w:adjustRightInd/>
        <w:snapToGrid/>
        <w:spacing w:line="460" w:lineRule="exact"/>
        <w:textAlignment w:val="auto"/>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二</w:t>
      </w:r>
      <w:r>
        <w:rPr>
          <w:rFonts w:hint="eastAsia" w:ascii="宋体" w:hAnsi="宋体" w:cs="宋体"/>
          <w:b/>
          <w:bCs/>
          <w:color w:val="auto"/>
          <w:kern w:val="0"/>
          <w:szCs w:val="21"/>
          <w:highlight w:val="none"/>
        </w:rPr>
        <w:t>）产品质量保证期</w:t>
      </w:r>
    </w:p>
    <w:p w14:paraId="25EA2A6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1、质保期限：一年，一年内对甲方实验室空调进行免费维保，出现问题8小时内响应并赶到现场进行维修。</w:t>
      </w:r>
    </w:p>
    <w:p w14:paraId="49F3BA2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2、供应方交付的货物的技术标准不低于国家标准。</w:t>
      </w:r>
    </w:p>
    <w:p w14:paraId="75E500C6">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3、供应方在交付货物的同时应提供国家规定的检验合格证明等文件。</w:t>
      </w:r>
    </w:p>
    <w:p w14:paraId="06C23A2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4、投标人应保证用品是全新、未使用过的合格正品,并完全符合国家规定的质量、规格和性能要求。</w:t>
      </w:r>
    </w:p>
    <w:p w14:paraId="0C54C76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三</w:t>
      </w:r>
      <w:r>
        <w:rPr>
          <w:rFonts w:hint="eastAsia" w:ascii="宋体" w:hAnsi="宋体" w:eastAsia="Times New Roman" w:cs="宋体"/>
          <w:b/>
          <w:color w:val="auto"/>
          <w:szCs w:val="21"/>
          <w:highlight w:val="none"/>
          <w:lang w:val="en-US" w:eastAsia="zh-CN"/>
        </w:rPr>
        <w:t>）售后服务内容</w:t>
      </w:r>
    </w:p>
    <w:p w14:paraId="39904282">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1.1产品质量：在合同期内，甲方正常使用乙方所供产品而出现质量问题时，乙方负责。产品使用：甲方在使用乙方所供产品中出现问题需乙方解决时，乙方应无偿解决（退换货），维护解决不了的，乙方无条件更换。</w:t>
      </w:r>
    </w:p>
    <w:p w14:paraId="280E9F6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1.2自验收合格之日起提供1年的免费保修服务。在保修期内，发生非人为故障，乙方上门（包配件）保修。在保修期内，同一产品一个月内连续2次出现同一故障并无法解决的，乙方无偿更换同一档次或更高档次的产品。</w:t>
      </w:r>
    </w:p>
    <w:p w14:paraId="1A2D502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1.3将实施定期走访用户，每月安排售后服务人员对产品进行技术维护及标定工作。并不定期进行电话回访和技术人员回访。根据系统特点及经验提出建议与业主协商，对部份关健设备进行定期上门维护保养。</w:t>
      </w:r>
    </w:p>
    <w:p w14:paraId="7649599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2、在质保期内或保修期后， 如系统及产品发生故障后，服务响应时间为8小时，系统一般故障在8小时内排除，在规定时间内不能解决问题的产品，乙方提供相同档次的产品给甲方代用，由此产生的费用均由乙方承担。如果需要更换配件的，要求更换的配件跟被更换的类型相一致或者是同类同档次的替代品。</w:t>
      </w:r>
    </w:p>
    <w:p w14:paraId="473EC1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四</w:t>
      </w:r>
      <w:r>
        <w:rPr>
          <w:rFonts w:hint="eastAsia" w:ascii="宋体" w:hAnsi="宋体" w:eastAsia="Times New Roman" w:cs="宋体"/>
          <w:b/>
          <w:color w:val="auto"/>
          <w:szCs w:val="21"/>
          <w:highlight w:val="none"/>
          <w:lang w:val="en-US" w:eastAsia="zh-CN"/>
        </w:rPr>
        <w:t>）验收</w:t>
      </w:r>
    </w:p>
    <w:p w14:paraId="66C3C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1、货物到达现场后，供应商应在使用单位人员在场情况下当面共同清点、检查，作出检查记录，双方签字确认。</w:t>
      </w:r>
    </w:p>
    <w:p w14:paraId="4B38734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2、货物验收时，供应商向采购人提供生产厂家出具的验收报告、合格证、厂家资格证件等相关文件。</w:t>
      </w:r>
    </w:p>
    <w:p w14:paraId="5E39CBD0">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3、供应商提供的货物未达到招标文件规定要求，且对采购人造成损失的，由供应商承担一切责任，并赔偿所造成的损失。解决并承担一切费用。</w:t>
      </w:r>
    </w:p>
    <w:p w14:paraId="1A2FF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4、甲方有权邀请与本项目采购内容中相关专业专家进行验收，并对设备测试。</w:t>
      </w:r>
    </w:p>
    <w:p w14:paraId="72AAAB0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五</w:t>
      </w:r>
      <w:r>
        <w:rPr>
          <w:rFonts w:hint="eastAsia" w:ascii="宋体" w:hAnsi="宋体" w:eastAsia="Times New Roman" w:cs="宋体"/>
          <w:b/>
          <w:color w:val="auto"/>
          <w:szCs w:val="21"/>
          <w:highlight w:val="none"/>
          <w:lang w:val="en-US" w:eastAsia="zh-CN"/>
        </w:rPr>
        <w:t>）知识产权</w:t>
      </w:r>
    </w:p>
    <w:p w14:paraId="0759BCA7">
      <w:pPr>
        <w:keepNext w:val="0"/>
        <w:keepLines w:val="0"/>
        <w:pageBreakBefore w:val="0"/>
        <w:kinsoku/>
        <w:wordWrap/>
        <w:overflowPunct/>
        <w:topLinePunct w:val="0"/>
        <w:autoSpaceDE/>
        <w:autoSpaceDN/>
        <w:bidi w:val="0"/>
        <w:adjustRightInd/>
        <w:snapToGrid/>
        <w:spacing w:line="460" w:lineRule="exac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宋体" w:hAnsi="宋体" w:cs="宋体"/>
          <w:bCs/>
          <w:color w:val="auto"/>
          <w:szCs w:val="21"/>
          <w:highlight w:val="none"/>
        </w:rPr>
        <w:t xml:space="preserve">    </w:t>
      </w:r>
      <w:r>
        <w:rPr>
          <w:rFonts w:hint="eastAsia" w:ascii="新宋体" w:hAnsi="新宋体" w:eastAsia="新宋体" w:cs="新宋体"/>
          <w:i w:val="0"/>
          <w:caps w:val="0"/>
          <w:color w:val="auto"/>
          <w:spacing w:val="0"/>
          <w:kern w:val="0"/>
          <w:sz w:val="21"/>
          <w:szCs w:val="21"/>
          <w:highlight w:val="none"/>
          <w:lang w:val="en-US" w:eastAsia="zh-CN"/>
        </w:rPr>
        <w:t>采购人在中华人民共和国境内使用投标人提供的货物及服务时免受第三方提出的侵犯其专利权或其它知识产权的起诉。如果第三方提出侵权指控，成交人应承担由此而引起的一切法律责任和费用。</w:t>
      </w:r>
    </w:p>
    <w:p w14:paraId="02CF6A30">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六</w:t>
      </w:r>
      <w:r>
        <w:rPr>
          <w:rFonts w:hint="eastAsia" w:ascii="宋体" w:hAnsi="宋体" w:cs="宋体"/>
          <w:b/>
          <w:color w:val="auto"/>
          <w:szCs w:val="21"/>
          <w:highlight w:val="none"/>
        </w:rPr>
        <w:t>）其他</w:t>
      </w:r>
    </w:p>
    <w:p w14:paraId="27E3DAD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1、投标人必须在投标文件中对以上条款和服务承诺明确列出，承诺内容必须达到本篇及招标文件其他条款的要求。</w:t>
      </w:r>
    </w:p>
    <w:p w14:paraId="466F9D4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2、成交人与采购人签订《协议》后，须与用户方签订《货物采购供应合同》（包括供货范围、需求数量、单价等），明确具体供货数量、供货时间、送达地点等内容。</w:t>
      </w:r>
    </w:p>
    <w:p w14:paraId="32485015">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3、其他未尽事宜由供需双方在采购合同中详细约定。</w:t>
      </w:r>
    </w:p>
    <w:p w14:paraId="057E3DD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4、若供应商不能按招标文件规定的交货期正常交货，采购方有权终止采购合同，并将相关情况上报给采购计划主管部门，取消其成交资格。</w:t>
      </w:r>
    </w:p>
    <w:p w14:paraId="7673881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5、其他未尽事宜由供需双方在采购合同中详细约定。</w:t>
      </w:r>
    </w:p>
    <w:p w14:paraId="18489D51">
      <w:pPr>
        <w:spacing w:line="480" w:lineRule="exact"/>
        <w:jc w:val="center"/>
        <w:outlineLvl w:val="1"/>
        <w:rPr>
          <w:rFonts w:hint="eastAsia" w:ascii="仿宋" w:hAnsi="仿宋" w:eastAsia="仿宋" w:cs="仿宋"/>
          <w:b/>
          <w:color w:val="auto"/>
          <w:sz w:val="32"/>
          <w:szCs w:val="32"/>
          <w:highlight w:val="none"/>
          <w:lang w:val="en-US" w:eastAsia="zh-CN"/>
        </w:rPr>
      </w:pPr>
    </w:p>
    <w:p w14:paraId="58E74E4B">
      <w:pPr>
        <w:spacing w:line="480" w:lineRule="exact"/>
        <w:jc w:val="center"/>
        <w:outlineLvl w:val="1"/>
        <w:rPr>
          <w:rFonts w:hint="eastAsia" w:ascii="仿宋" w:hAnsi="仿宋" w:eastAsia="仿宋" w:cs="仿宋"/>
          <w:b/>
          <w:color w:val="auto"/>
          <w:sz w:val="32"/>
          <w:szCs w:val="32"/>
          <w:highlight w:val="none"/>
          <w:lang w:val="en-US" w:eastAsia="zh-CN"/>
        </w:rPr>
      </w:pPr>
    </w:p>
    <w:p w14:paraId="4D2C93D1">
      <w:pPr>
        <w:spacing w:line="480" w:lineRule="exact"/>
        <w:jc w:val="center"/>
        <w:outlineLvl w:val="1"/>
        <w:rPr>
          <w:rFonts w:hint="eastAsia" w:ascii="仿宋" w:hAnsi="仿宋" w:eastAsia="仿宋" w:cs="仿宋"/>
          <w:b/>
          <w:color w:val="auto"/>
          <w:sz w:val="32"/>
          <w:szCs w:val="32"/>
          <w:highlight w:val="none"/>
          <w:lang w:val="en-US" w:eastAsia="zh-CN"/>
        </w:rPr>
      </w:pPr>
    </w:p>
    <w:p w14:paraId="0168B08B">
      <w:pPr>
        <w:spacing w:line="480" w:lineRule="exact"/>
        <w:jc w:val="center"/>
        <w:outlineLvl w:val="1"/>
        <w:rPr>
          <w:rFonts w:hint="eastAsia" w:ascii="仿宋" w:hAnsi="仿宋" w:eastAsia="仿宋" w:cs="仿宋"/>
          <w:b/>
          <w:color w:val="auto"/>
          <w:sz w:val="32"/>
          <w:szCs w:val="32"/>
          <w:highlight w:val="none"/>
          <w:lang w:val="en-US" w:eastAsia="zh-CN"/>
        </w:rPr>
      </w:pPr>
    </w:p>
    <w:p w14:paraId="5D3A594E">
      <w:pPr>
        <w:spacing w:line="480" w:lineRule="exact"/>
        <w:jc w:val="center"/>
        <w:outlineLvl w:val="1"/>
        <w:rPr>
          <w:rFonts w:hint="eastAsia" w:ascii="仿宋" w:hAnsi="仿宋" w:eastAsia="仿宋" w:cs="仿宋"/>
          <w:b/>
          <w:color w:val="auto"/>
          <w:sz w:val="32"/>
          <w:szCs w:val="32"/>
          <w:highlight w:val="none"/>
          <w:lang w:val="en-US" w:eastAsia="zh-CN"/>
        </w:rPr>
      </w:pPr>
    </w:p>
    <w:p w14:paraId="157580C0">
      <w:pP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14:paraId="49C5EEF9">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highlight w:val="none"/>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26" w:name="_Toc20669"/>
    </w:p>
    <w:p w14:paraId="17DB3B40">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26"/>
    </w:p>
    <w:p w14:paraId="4B75C2B9">
      <w:pPr>
        <w:keepNext w:val="0"/>
        <w:keepLines w:val="0"/>
        <w:pageBreakBefore w:val="0"/>
        <w:widowControl/>
        <w:numPr>
          <w:ilvl w:val="0"/>
          <w:numId w:val="9"/>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27" w:name="_Toc469495741"/>
      <w:r>
        <w:rPr>
          <w:rFonts w:hint="eastAsia" w:ascii="仿宋" w:hAnsi="仿宋" w:eastAsia="仿宋" w:cs="仿宋"/>
          <w:b/>
          <w:color w:val="auto"/>
          <w:sz w:val="30"/>
          <w:szCs w:val="30"/>
          <w:highlight w:val="none"/>
        </w:rPr>
        <w:t>合同协议书</w:t>
      </w:r>
      <w:bookmarkEnd w:id="27"/>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6BBDD761">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5230F228">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28" w:name="_Toc469495742"/>
      <w:bookmarkStart w:id="29" w:name="_Toc246996996"/>
      <w:bookmarkStart w:id="30" w:name="_Toc179632628"/>
      <w:bookmarkStart w:id="31" w:name="_Toc144974578"/>
      <w:bookmarkStart w:id="32" w:name="_Toc152045610"/>
      <w:bookmarkStart w:id="33" w:name="_Toc246996253"/>
      <w:bookmarkStart w:id="34" w:name="_Toc152042388"/>
      <w:bookmarkStart w:id="35" w:name="_Toc296602498"/>
      <w:bookmarkStart w:id="36" w:name="_Toc247085768"/>
      <w:r>
        <w:rPr>
          <w:rFonts w:hint="eastAsia" w:ascii="仿宋" w:hAnsi="仿宋" w:eastAsia="仿宋" w:cs="仿宋"/>
          <w:color w:val="auto"/>
          <w:highlight w:val="none"/>
        </w:rPr>
        <w:t>买    方：                                   卖    方：</w:t>
      </w:r>
    </w:p>
    <w:p w14:paraId="04EF30D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0EB35A1D">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3369B66A">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为成交人。按照《</w:t>
      </w:r>
      <w:r>
        <w:rPr>
          <w:rFonts w:hint="eastAsia" w:ascii="仿宋" w:hAnsi="仿宋" w:eastAsia="仿宋" w:cs="仿宋"/>
          <w:color w:val="auto"/>
          <w:sz w:val="24"/>
          <w:szCs w:val="24"/>
          <w:highlight w:val="none"/>
          <w:lang w:val="en-US" w:eastAsia="zh-CN"/>
        </w:rPr>
        <w:t>中华人民共和国经济民法典</w:t>
      </w:r>
      <w:r>
        <w:rPr>
          <w:rFonts w:hint="eastAsia" w:ascii="仿宋" w:hAnsi="仿宋" w:eastAsia="仿宋" w:cs="仿宋"/>
          <w:color w:val="auto"/>
          <w:highlight w:val="none"/>
          <w:lang w:eastAsia="zh-CN"/>
        </w:rPr>
        <w:t>》的规定，买卖双方同意按照下述的条款和条件，签署本合同。</w:t>
      </w:r>
    </w:p>
    <w:p w14:paraId="126EF7F2">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272F43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A61FE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4AB0F88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62FE36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468704E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1D360425">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4D708A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00F18D49">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C87B22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01D6EC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5B531B0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516701B0">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0477FCC6">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3DBBD5C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29A1101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5376F0A8">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6154991E">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5CC42EE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2495750D">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5F7E6957">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33835418">
      <w:pPr>
        <w:pStyle w:val="10"/>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6F88319A">
      <w:pPr>
        <w:pStyle w:val="10"/>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50658765">
      <w:pPr>
        <w:pStyle w:val="10"/>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28"/>
      <w:bookmarkEnd w:id="29"/>
      <w:bookmarkEnd w:id="30"/>
      <w:bookmarkEnd w:id="31"/>
      <w:bookmarkEnd w:id="32"/>
      <w:bookmarkEnd w:id="33"/>
      <w:bookmarkEnd w:id="34"/>
      <w:bookmarkEnd w:id="35"/>
      <w:bookmarkEnd w:id="36"/>
    </w:p>
    <w:p w14:paraId="03105AC7">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526A7CD9">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063C31A4">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22D21620">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369A4E7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5683A4E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6F5FB1A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58FAEBB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73A03A5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5DDD1E6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15F184C6">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DA0AA4B">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25971856">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4CA67C01">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5733B40E">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5CBC6C55">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7FB8B087">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1CDD432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578C4D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6CB93F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5E9B5BF5">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(3)除合同主要条款规定外，合同条款成交的物的质量保证期均自标的物通过最终验收之日起计算，且质量保证期按不低于国家标准和卖方承诺的高于国家标准的质保期（卖方有特殊要求的除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760ACFF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57E355F4">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9F2159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0B979FA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28EC31B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5E8D3D2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0FC2CFD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44F8E60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37C21B9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05AC5E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3FCE9D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65EFB6CD">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8DB314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3BCD704E">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09E944C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8DB8EB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26201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22F7163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5DCE523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021F412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77B2CB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3C50993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405531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195146EF">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6B53D60D">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D73130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5AD4966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EE1F9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3755456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0EB69C1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0338742F">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630425E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5EDD8DC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215845CF">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21BB2E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08F5765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05D8D9DB">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33C121D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11EAAF0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10C806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255CAD7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55201E5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81ED923">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17D6F15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05192EB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553931D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0B69A50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1E67B12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103E298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4DCB2EB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631AD93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27729D2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165841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4F8476C9">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21C9952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1E6763B6">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272D0A7C">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13F9CEFC">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BE151F9">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C5B069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021B09C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5F7BE3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4E7D47F">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09593B0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782C554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758E292F">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6B361F4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35A3974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385140F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654284F0">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0BAAB7B8">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本合同在双方签字盖章并在招标人收到成交人提交的履约保证金后，经招标采购管理部门备案后生效。</w:t>
      </w:r>
    </w:p>
    <w:p w14:paraId="289436E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0974EA5B">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0FA71E6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12A9F2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126FDA80">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1D10506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610C039D">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6909304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1128ECC1">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53642C54">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650B0096">
      <w:pPr>
        <w:shd w:val="clear" w:color="auto" w:fill="auto"/>
        <w:spacing w:line="360" w:lineRule="auto"/>
        <w:jc w:val="left"/>
        <w:rPr>
          <w:rFonts w:hint="eastAsia" w:ascii="仿宋" w:hAnsi="仿宋" w:eastAsia="仿宋" w:cs="仿宋"/>
          <w:b w:val="0"/>
          <w:bCs w:val="0"/>
          <w:color w:val="auto"/>
          <w:sz w:val="24"/>
          <w:szCs w:val="24"/>
          <w:highlight w:val="none"/>
        </w:rPr>
      </w:pPr>
    </w:p>
    <w:p w14:paraId="195424A6">
      <w:pPr>
        <w:shd w:val="clear" w:color="auto" w:fill="auto"/>
        <w:spacing w:line="360" w:lineRule="auto"/>
        <w:jc w:val="left"/>
        <w:rPr>
          <w:rFonts w:hint="eastAsia" w:ascii="仿宋" w:hAnsi="仿宋" w:eastAsia="仿宋" w:cs="仿宋"/>
          <w:b w:val="0"/>
          <w:bCs w:val="0"/>
          <w:color w:val="auto"/>
          <w:sz w:val="24"/>
          <w:szCs w:val="24"/>
          <w:highlight w:val="none"/>
        </w:rPr>
      </w:pPr>
    </w:p>
    <w:p w14:paraId="26F71C03">
      <w:pPr>
        <w:shd w:val="clear" w:color="auto" w:fill="auto"/>
        <w:spacing w:line="360" w:lineRule="auto"/>
        <w:jc w:val="left"/>
        <w:rPr>
          <w:rFonts w:hint="eastAsia" w:ascii="仿宋" w:hAnsi="仿宋" w:eastAsia="仿宋" w:cs="仿宋"/>
          <w:b w:val="0"/>
          <w:bCs w:val="0"/>
          <w:color w:val="auto"/>
          <w:sz w:val="24"/>
          <w:szCs w:val="24"/>
          <w:highlight w:val="none"/>
        </w:rPr>
      </w:pPr>
    </w:p>
    <w:p w14:paraId="372ABD9F">
      <w:pPr>
        <w:shd w:val="clear" w:color="auto" w:fill="auto"/>
        <w:spacing w:line="360" w:lineRule="auto"/>
        <w:jc w:val="both"/>
        <w:rPr>
          <w:rFonts w:hint="eastAsia" w:ascii="仿宋" w:hAnsi="仿宋" w:eastAsia="仿宋" w:cs="仿宋"/>
          <w:b/>
          <w:bCs/>
          <w:color w:val="auto"/>
          <w:sz w:val="36"/>
          <w:szCs w:val="36"/>
          <w:highlight w:val="none"/>
        </w:rPr>
      </w:pPr>
    </w:p>
    <w:p w14:paraId="14A9C1B6">
      <w:pPr>
        <w:shd w:val="clear" w:color="auto" w:fill="auto"/>
        <w:spacing w:line="360" w:lineRule="auto"/>
        <w:jc w:val="center"/>
        <w:rPr>
          <w:rFonts w:hint="eastAsia" w:ascii="仿宋" w:hAnsi="仿宋" w:eastAsia="仿宋" w:cs="仿宋"/>
          <w:b/>
          <w:bCs/>
          <w:color w:val="auto"/>
          <w:sz w:val="36"/>
          <w:szCs w:val="36"/>
          <w:highlight w:val="none"/>
        </w:rPr>
      </w:pPr>
    </w:p>
    <w:p w14:paraId="225A93FD">
      <w:pPr>
        <w:shd w:val="clear" w:color="auto" w:fill="auto"/>
        <w:spacing w:line="360" w:lineRule="auto"/>
        <w:jc w:val="center"/>
        <w:rPr>
          <w:rFonts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eastAsia="zh-CN"/>
        </w:rPr>
        <w:t>五</w:t>
      </w:r>
      <w:r>
        <w:rPr>
          <w:rFonts w:hint="eastAsia" w:ascii="仿宋" w:hAnsi="仿宋" w:eastAsia="仿宋" w:cs="仿宋"/>
          <w:b/>
          <w:bCs/>
          <w:color w:val="auto"/>
          <w:sz w:val="36"/>
          <w:szCs w:val="36"/>
          <w:highlight w:val="none"/>
        </w:rPr>
        <w:t>部分</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lang w:eastAsia="zh-CN"/>
        </w:rPr>
        <w:t>响应文件</w:t>
      </w:r>
      <w:r>
        <w:rPr>
          <w:rFonts w:hint="eastAsia" w:ascii="仿宋" w:hAnsi="仿宋" w:eastAsia="仿宋" w:cs="仿宋"/>
          <w:b/>
          <w:bCs/>
          <w:color w:val="auto"/>
          <w:sz w:val="36"/>
          <w:szCs w:val="36"/>
          <w:highlight w:val="none"/>
        </w:rPr>
        <w:t>格式</w:t>
      </w:r>
    </w:p>
    <w:p w14:paraId="6C4E334D">
      <w:pPr>
        <w:adjustRightInd w:val="0"/>
        <w:snapToGrid w:val="0"/>
        <w:spacing w:line="360" w:lineRule="auto"/>
        <w:ind w:left="602" w:right="70" w:hanging="602"/>
        <w:jc w:val="right"/>
        <w:rPr>
          <w:rFonts w:ascii="仿宋" w:hAnsi="仿宋" w:eastAsia="仿宋" w:cs="仿宋"/>
          <w:b/>
          <w:bCs/>
          <w:color w:val="auto"/>
          <w:sz w:val="28"/>
          <w:szCs w:val="28"/>
          <w:highlight w:val="none"/>
          <w:bdr w:val="single" w:color="auto" w:sz="4" w:space="0"/>
        </w:rPr>
      </w:pPr>
      <w:bookmarkStart w:id="37" w:name="bookmark196"/>
    </w:p>
    <w:p w14:paraId="0514A2DD">
      <w:pPr>
        <w:adjustRightInd w:val="0"/>
        <w:snapToGrid w:val="0"/>
        <w:spacing w:line="360" w:lineRule="auto"/>
        <w:jc w:val="center"/>
        <w:rPr>
          <w:rFonts w:ascii="仿宋" w:hAnsi="仿宋" w:eastAsia="仿宋" w:cs="仿宋"/>
          <w:b/>
          <w:caps/>
          <w:color w:val="auto"/>
          <w:highlight w:val="none"/>
        </w:rPr>
      </w:pPr>
    </w:p>
    <w:p w14:paraId="4A4D5F91">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caps/>
          <w:color w:val="auto"/>
          <w:sz w:val="32"/>
          <w:szCs w:val="32"/>
          <w:highlight w:val="none"/>
        </w:rPr>
        <w:t>（项目名称）</w:t>
      </w:r>
    </w:p>
    <w:p w14:paraId="2AC2C5DA">
      <w:pPr>
        <w:adjustRightInd w:val="0"/>
        <w:snapToGrid w:val="0"/>
        <w:spacing w:line="360" w:lineRule="auto"/>
        <w:jc w:val="both"/>
        <w:rPr>
          <w:rFonts w:ascii="仿宋" w:hAnsi="仿宋" w:eastAsia="仿宋" w:cs="仿宋"/>
          <w:bCs/>
          <w:color w:val="auto"/>
          <w:sz w:val="32"/>
          <w:szCs w:val="32"/>
          <w:highlight w:val="none"/>
        </w:rPr>
      </w:pPr>
    </w:p>
    <w:p w14:paraId="46443E6B">
      <w:pPr>
        <w:adjustRightInd w:val="0"/>
        <w:snapToGrid w:val="0"/>
        <w:spacing w:line="360" w:lineRule="auto"/>
        <w:jc w:val="center"/>
        <w:rPr>
          <w:rFonts w:ascii="仿宋" w:hAnsi="仿宋" w:eastAsia="仿宋" w:cs="仿宋"/>
          <w:bCs/>
          <w:color w:val="auto"/>
          <w:sz w:val="32"/>
          <w:szCs w:val="32"/>
          <w:highlight w:val="none"/>
        </w:rPr>
      </w:pPr>
    </w:p>
    <w:p w14:paraId="274082A5">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bCs/>
          <w:color w:val="auto"/>
          <w:sz w:val="44"/>
          <w:szCs w:val="44"/>
          <w:highlight w:val="none"/>
        </w:rPr>
        <w:t>响应文件</w:t>
      </w:r>
    </w:p>
    <w:p w14:paraId="59D3E8A6">
      <w:pPr>
        <w:adjustRightInd w:val="0"/>
        <w:snapToGrid w:val="0"/>
        <w:spacing w:line="360" w:lineRule="auto"/>
        <w:jc w:val="center"/>
        <w:rPr>
          <w:rFonts w:ascii="仿宋" w:hAnsi="仿宋" w:eastAsia="仿宋" w:cs="仿宋"/>
          <w:bCs/>
          <w:color w:val="auto"/>
          <w:sz w:val="32"/>
          <w:szCs w:val="32"/>
          <w:highlight w:val="none"/>
        </w:rPr>
      </w:pPr>
    </w:p>
    <w:p w14:paraId="1F551A13">
      <w:pPr>
        <w:adjustRightInd w:val="0"/>
        <w:snapToGrid w:val="0"/>
        <w:spacing w:line="360" w:lineRule="auto"/>
        <w:jc w:val="both"/>
        <w:rPr>
          <w:rFonts w:ascii="仿宋" w:hAnsi="仿宋" w:eastAsia="仿宋" w:cs="仿宋"/>
          <w:bCs/>
          <w:color w:val="auto"/>
          <w:sz w:val="32"/>
          <w:szCs w:val="32"/>
          <w:highlight w:val="none"/>
        </w:rPr>
      </w:pPr>
    </w:p>
    <w:p w14:paraId="7575001F">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kern w:val="0"/>
          <w:sz w:val="28"/>
          <w:szCs w:val="28"/>
          <w:highlight w:val="none"/>
          <w:fitText w:val="2810" w:id="202655923"/>
        </w:rPr>
        <w:t>供应商名称（公章）：</w:t>
      </w:r>
    </w:p>
    <w:p w14:paraId="1009E455">
      <w:pPr>
        <w:adjustRightInd w:val="0"/>
        <w:snapToGrid w:val="0"/>
        <w:spacing w:line="360" w:lineRule="auto"/>
        <w:ind w:right="-156" w:rightChars="-64"/>
        <w:rPr>
          <w:rFonts w:ascii="仿宋" w:hAnsi="仿宋" w:eastAsia="仿宋" w:cs="仿宋"/>
          <w:b/>
          <w:caps/>
          <w:color w:val="auto"/>
          <w:sz w:val="28"/>
          <w:szCs w:val="28"/>
          <w:highlight w:val="none"/>
        </w:rPr>
      </w:pPr>
    </w:p>
    <w:p w14:paraId="552482D8">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w w:val="59"/>
          <w:kern w:val="0"/>
          <w:sz w:val="28"/>
          <w:szCs w:val="28"/>
          <w:highlight w:val="none"/>
          <w:fitText w:val="2810" w:id="1"/>
        </w:rPr>
        <w:t>法定代表人</w:t>
      </w:r>
      <w:r>
        <w:rPr>
          <w:rFonts w:hint="eastAsia" w:ascii="仿宋" w:hAnsi="仿宋" w:eastAsia="仿宋" w:cs="仿宋"/>
          <w:b/>
          <w:caps/>
          <w:color w:val="auto"/>
          <w:spacing w:val="0"/>
          <w:w w:val="59"/>
          <w:kern w:val="0"/>
          <w:sz w:val="28"/>
          <w:szCs w:val="28"/>
          <w:highlight w:val="none"/>
          <w:fitText w:val="2810" w:id="1"/>
          <w:lang w:val="en-US" w:eastAsia="zh-CN"/>
        </w:rPr>
        <w:t>或委托人</w:t>
      </w:r>
      <w:r>
        <w:rPr>
          <w:rFonts w:hint="eastAsia" w:ascii="仿宋" w:hAnsi="仿宋" w:eastAsia="仿宋" w:cs="仿宋"/>
          <w:b/>
          <w:caps/>
          <w:color w:val="auto"/>
          <w:spacing w:val="0"/>
          <w:w w:val="59"/>
          <w:kern w:val="0"/>
          <w:sz w:val="28"/>
          <w:szCs w:val="28"/>
          <w:highlight w:val="none"/>
          <w:fitText w:val="2810" w:id="1"/>
        </w:rPr>
        <w:t>（</w:t>
      </w:r>
      <w:r>
        <w:rPr>
          <w:rFonts w:hint="eastAsia" w:ascii="仿宋" w:hAnsi="仿宋" w:eastAsia="仿宋" w:cs="仿宋"/>
          <w:b/>
          <w:caps/>
          <w:color w:val="auto"/>
          <w:spacing w:val="0"/>
          <w:w w:val="59"/>
          <w:kern w:val="0"/>
          <w:sz w:val="28"/>
          <w:szCs w:val="28"/>
          <w:highlight w:val="none"/>
          <w:fitText w:val="2810" w:id="1"/>
          <w:lang w:eastAsia="zh-CN"/>
        </w:rPr>
        <w:t>签章</w:t>
      </w:r>
      <w:r>
        <w:rPr>
          <w:rFonts w:hint="eastAsia" w:ascii="仿宋" w:hAnsi="仿宋" w:eastAsia="仿宋" w:cs="仿宋"/>
          <w:b/>
          <w:caps/>
          <w:color w:val="auto"/>
          <w:spacing w:val="0"/>
          <w:w w:val="59"/>
          <w:kern w:val="0"/>
          <w:sz w:val="28"/>
          <w:szCs w:val="28"/>
          <w:highlight w:val="none"/>
          <w:fitText w:val="2810" w:id="1"/>
        </w:rPr>
        <w:t>或盖章）</w:t>
      </w:r>
      <w:r>
        <w:rPr>
          <w:rFonts w:hint="eastAsia" w:ascii="仿宋" w:hAnsi="仿宋" w:eastAsia="仿宋" w:cs="仿宋"/>
          <w:b/>
          <w:caps/>
          <w:color w:val="auto"/>
          <w:spacing w:val="-6"/>
          <w:w w:val="59"/>
          <w:kern w:val="0"/>
          <w:sz w:val="28"/>
          <w:szCs w:val="28"/>
          <w:highlight w:val="none"/>
          <w:fitText w:val="2810" w:id="1"/>
        </w:rPr>
        <w:t>：</w:t>
      </w:r>
    </w:p>
    <w:p w14:paraId="2DCF7F84">
      <w:pPr>
        <w:adjustRightInd w:val="0"/>
        <w:snapToGrid w:val="0"/>
        <w:spacing w:line="360" w:lineRule="auto"/>
        <w:ind w:right="-156" w:rightChars="-64"/>
        <w:rPr>
          <w:rFonts w:ascii="仿宋" w:hAnsi="仿宋" w:eastAsia="仿宋" w:cs="仿宋"/>
          <w:b/>
          <w:caps/>
          <w:color w:val="auto"/>
          <w:sz w:val="28"/>
          <w:szCs w:val="28"/>
          <w:highlight w:val="none"/>
        </w:rPr>
      </w:pPr>
    </w:p>
    <w:p w14:paraId="63AB4EE6">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13"/>
          <w:kern w:val="0"/>
          <w:sz w:val="28"/>
          <w:szCs w:val="28"/>
          <w:highlight w:val="none"/>
          <w:fitText w:val="2810" w:id="2"/>
        </w:rPr>
        <w:t>供应商地址</w:t>
      </w:r>
      <w:r>
        <w:rPr>
          <w:rFonts w:hint="eastAsia" w:ascii="仿宋" w:hAnsi="仿宋" w:eastAsia="仿宋" w:cs="仿宋"/>
          <w:b/>
          <w:caps/>
          <w:color w:val="auto"/>
          <w:spacing w:val="0"/>
          <w:kern w:val="0"/>
          <w:sz w:val="28"/>
          <w:szCs w:val="28"/>
          <w:highlight w:val="none"/>
          <w:fitText w:val="2810" w:id="2"/>
        </w:rPr>
        <w:t>：</w:t>
      </w:r>
    </w:p>
    <w:p w14:paraId="6A5CA7A6">
      <w:pPr>
        <w:adjustRightInd w:val="0"/>
        <w:snapToGrid w:val="0"/>
        <w:spacing w:line="360" w:lineRule="auto"/>
        <w:ind w:right="-156" w:rightChars="-64"/>
        <w:rPr>
          <w:rFonts w:ascii="仿宋" w:hAnsi="仿宋" w:eastAsia="仿宋" w:cs="仿宋"/>
          <w:b/>
          <w:caps/>
          <w:color w:val="auto"/>
          <w:sz w:val="28"/>
          <w:szCs w:val="28"/>
          <w:highlight w:val="none"/>
        </w:rPr>
      </w:pPr>
    </w:p>
    <w:p w14:paraId="23DA6F4E">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281"/>
          <w:kern w:val="0"/>
          <w:sz w:val="28"/>
          <w:szCs w:val="28"/>
          <w:highlight w:val="none"/>
          <w:fitText w:val="2810" w:id="3"/>
        </w:rPr>
        <w:t>联系人</w:t>
      </w:r>
      <w:r>
        <w:rPr>
          <w:rFonts w:hint="eastAsia" w:ascii="仿宋" w:hAnsi="仿宋" w:eastAsia="仿宋" w:cs="仿宋"/>
          <w:b/>
          <w:caps/>
          <w:color w:val="auto"/>
          <w:spacing w:val="2"/>
          <w:kern w:val="0"/>
          <w:sz w:val="28"/>
          <w:szCs w:val="28"/>
          <w:highlight w:val="none"/>
          <w:fitText w:val="2810" w:id="3"/>
        </w:rPr>
        <w:t>：</w:t>
      </w:r>
    </w:p>
    <w:p w14:paraId="08428998">
      <w:pPr>
        <w:adjustRightInd w:val="0"/>
        <w:snapToGrid w:val="0"/>
        <w:spacing w:line="360" w:lineRule="auto"/>
        <w:ind w:right="-156" w:rightChars="-64"/>
        <w:rPr>
          <w:rFonts w:ascii="仿宋" w:hAnsi="仿宋" w:eastAsia="仿宋" w:cs="仿宋"/>
          <w:b/>
          <w:caps/>
          <w:color w:val="auto"/>
          <w:sz w:val="28"/>
          <w:szCs w:val="28"/>
          <w:highlight w:val="none"/>
        </w:rPr>
      </w:pPr>
    </w:p>
    <w:p w14:paraId="0DD294CA">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76"/>
          <w:kern w:val="0"/>
          <w:sz w:val="28"/>
          <w:szCs w:val="28"/>
          <w:highlight w:val="none"/>
          <w:fitText w:val="2810" w:id="4"/>
        </w:rPr>
        <w:t>联系电话</w:t>
      </w:r>
      <w:r>
        <w:rPr>
          <w:rFonts w:hint="eastAsia" w:ascii="仿宋" w:hAnsi="仿宋" w:eastAsia="仿宋" w:cs="仿宋"/>
          <w:b/>
          <w:caps/>
          <w:color w:val="auto"/>
          <w:spacing w:val="1"/>
          <w:kern w:val="0"/>
          <w:sz w:val="28"/>
          <w:szCs w:val="28"/>
          <w:highlight w:val="none"/>
          <w:fitText w:val="2810" w:id="4"/>
        </w:rPr>
        <w:t>：</w:t>
      </w:r>
    </w:p>
    <w:p w14:paraId="526B8C70">
      <w:pPr>
        <w:adjustRightInd w:val="0"/>
        <w:snapToGrid w:val="0"/>
        <w:spacing w:line="360" w:lineRule="auto"/>
        <w:jc w:val="center"/>
        <w:rPr>
          <w:rFonts w:ascii="仿宋" w:hAnsi="仿宋" w:eastAsia="仿宋" w:cs="仿宋"/>
          <w:b/>
          <w:caps/>
          <w:color w:val="auto"/>
          <w:sz w:val="28"/>
          <w:szCs w:val="28"/>
          <w:highlight w:val="none"/>
        </w:rPr>
      </w:pPr>
    </w:p>
    <w:p w14:paraId="50232119">
      <w:pPr>
        <w:adjustRightInd w:val="0"/>
        <w:snapToGrid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_年__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_月__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_日</w:t>
      </w:r>
    </w:p>
    <w:p w14:paraId="728E0EB8">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p>
    <w:p w14:paraId="487CD392">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资格证明文件</w:t>
      </w:r>
    </w:p>
    <w:bookmarkEnd w:id="37"/>
    <w:p w14:paraId="72BFC672">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17D04FB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CABA9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p>
    <w:p w14:paraId="7F882E3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4、</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715CB63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5、投标企业须提供投标人（被授权在职人员）近6个月内任意一个月有效的社保证明；</w:t>
      </w:r>
    </w:p>
    <w:p w14:paraId="27686D43">
      <w:pPr>
        <w:snapToGrid w:val="0"/>
        <w:spacing w:line="360" w:lineRule="auto"/>
        <w:ind w:firstLine="49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66D3A487">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7、中小企业声明函</w:t>
      </w:r>
    </w:p>
    <w:p w14:paraId="31183E51">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投标人须知资料表要求的其他资格证明文件。</w:t>
      </w:r>
      <w:r>
        <w:rPr>
          <w:rFonts w:hint="eastAsia" w:ascii="仿宋" w:hAnsi="仿宋" w:eastAsia="仿宋" w:cs="仿宋"/>
          <w:b/>
          <w:color w:val="auto"/>
          <w:highlight w:val="none"/>
          <w:lang w:eastAsia="zh-CN"/>
        </w:rPr>
        <w:t xml:space="preserve"> </w:t>
      </w:r>
    </w:p>
    <w:p w14:paraId="4D2BA2FE">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highlight w:val="none"/>
        </w:rPr>
      </w:pPr>
    </w:p>
    <w:p w14:paraId="061DC40A">
      <w:pPr>
        <w:pStyle w:val="8"/>
        <w:numPr>
          <w:ilvl w:val="0"/>
          <w:numId w:val="0"/>
        </w:numPr>
        <w:tabs>
          <w:tab w:val="clear" w:pos="780"/>
        </w:tabs>
        <w:ind w:leftChars="100"/>
        <w:rPr>
          <w:rFonts w:hint="eastAsia"/>
          <w:color w:val="auto"/>
          <w:highlight w:val="none"/>
        </w:rPr>
      </w:pPr>
    </w:p>
    <w:p w14:paraId="442A8F8C">
      <w:pPr>
        <w:rPr>
          <w:rFonts w:hint="eastAsia"/>
          <w:color w:val="auto"/>
          <w:highlight w:val="none"/>
        </w:rPr>
      </w:pPr>
    </w:p>
    <w:p w14:paraId="4DE63E3A">
      <w:pPr>
        <w:pStyle w:val="17"/>
        <w:rPr>
          <w:rFonts w:hint="eastAsia"/>
          <w:color w:val="auto"/>
          <w:highlight w:val="none"/>
        </w:rPr>
      </w:pPr>
    </w:p>
    <w:p w14:paraId="17D57126">
      <w:pPr>
        <w:rPr>
          <w:rFonts w:hint="eastAsia" w:ascii="仿宋" w:hAnsi="仿宋" w:eastAsia="仿宋" w:cs="仿宋"/>
          <w:b/>
          <w:bCs/>
          <w:color w:val="auto"/>
          <w:sz w:val="36"/>
          <w:szCs w:val="36"/>
          <w:highlight w:val="none"/>
        </w:rPr>
      </w:pPr>
    </w:p>
    <w:p w14:paraId="3F60D281">
      <w:pPr>
        <w:pStyle w:val="17"/>
        <w:rPr>
          <w:rFonts w:hint="eastAsia"/>
          <w:color w:val="auto"/>
          <w:highlight w:val="none"/>
        </w:rPr>
      </w:pPr>
    </w:p>
    <w:p w14:paraId="5674F64F">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12D32E44">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41D4DBD6">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2DADB">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69C7C7F">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3C8A1">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026790F3">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80787E5">
      <w:pPr>
        <w:pStyle w:val="13"/>
        <w:rPr>
          <w:rFonts w:hint="eastAsia"/>
          <w:color w:val="auto"/>
          <w:highlight w:val="none"/>
          <w:lang w:val="en-US" w:eastAsia="zh-CN"/>
        </w:rPr>
      </w:pPr>
    </w:p>
    <w:p w14:paraId="5366DD7F">
      <w:pPr>
        <w:rPr>
          <w:rFonts w:hint="eastAsia"/>
          <w:color w:val="auto"/>
          <w:highlight w:val="none"/>
          <w:lang w:val="en-US" w:eastAsia="zh-CN"/>
        </w:rPr>
      </w:pPr>
    </w:p>
    <w:p w14:paraId="262BA8D0">
      <w:pPr>
        <w:rPr>
          <w:rFonts w:hint="eastAsia"/>
          <w:color w:val="auto"/>
          <w:highlight w:val="none"/>
          <w:lang w:val="en-US" w:eastAsia="zh-CN"/>
        </w:rPr>
      </w:pPr>
    </w:p>
    <w:p w14:paraId="3C54FA98">
      <w:pPr>
        <w:rPr>
          <w:rFonts w:hint="eastAsia"/>
          <w:color w:val="auto"/>
          <w:highlight w:val="none"/>
          <w:lang w:val="en-US" w:eastAsia="zh-CN"/>
        </w:rPr>
      </w:pPr>
    </w:p>
    <w:p w14:paraId="51935F10">
      <w:pPr>
        <w:rPr>
          <w:rFonts w:hint="eastAsia"/>
          <w:color w:val="auto"/>
          <w:highlight w:val="none"/>
          <w:lang w:val="en-US" w:eastAsia="zh-CN"/>
        </w:rPr>
      </w:pPr>
    </w:p>
    <w:p w14:paraId="1B0034E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B80550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1、 具备三证合一营业执照；</w:t>
      </w:r>
    </w:p>
    <w:p w14:paraId="06BB48E5">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3611BEE2">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39DC26">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108C139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56D10A6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D4738E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415F61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0FA3D4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7AB390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2B58DC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328E18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A27164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E00D3A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ECF94B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611302A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AF54DA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9E609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2BCE36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F696D0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5A253B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392362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5EE4ECB">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01B83C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1DF265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C9D37A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F83E98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E2E9D5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C551FDA">
      <w:pPr>
        <w:pStyle w:val="13"/>
        <w:rPr>
          <w:rFonts w:hint="eastAsia"/>
          <w:color w:val="auto"/>
          <w:highlight w:val="none"/>
          <w:lang w:val="en-US" w:eastAsia="zh-CN"/>
        </w:rPr>
      </w:pPr>
    </w:p>
    <w:p w14:paraId="07ADA9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2、</w:t>
      </w:r>
      <w:r>
        <w:rPr>
          <w:rFonts w:hint="eastAsia" w:ascii="仿宋" w:hAnsi="仿宋" w:eastAsia="仿宋" w:cs="仿宋"/>
          <w:b/>
          <w:bCs/>
          <w:color w:val="auto"/>
          <w:sz w:val="36"/>
          <w:szCs w:val="36"/>
          <w:highlight w:val="none"/>
        </w:rPr>
        <w:t>法定代表人身份证明</w:t>
      </w:r>
    </w:p>
    <w:p w14:paraId="79BBCE89">
      <w:pPr>
        <w:pStyle w:val="4"/>
        <w:rPr>
          <w:rFonts w:hint="eastAsia"/>
          <w:color w:val="auto"/>
          <w:highlight w:val="none"/>
        </w:rPr>
      </w:pPr>
    </w:p>
    <w:p w14:paraId="0E0D589C">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投标单位名称：</w:t>
      </w:r>
      <w:r>
        <w:rPr>
          <w:rFonts w:hint="eastAsia" w:ascii="仿宋" w:hAnsi="仿宋" w:eastAsia="仿宋" w:cs="仿宋"/>
          <w:color w:val="auto"/>
          <w:kern w:val="0"/>
          <w:sz w:val="24"/>
          <w:highlight w:val="none"/>
          <w:u w:val="single"/>
        </w:rPr>
        <w:t xml:space="preserve">                       </w:t>
      </w:r>
    </w:p>
    <w:p w14:paraId="3B74BDE2">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单位性质：</w:t>
      </w:r>
      <w:r>
        <w:rPr>
          <w:rFonts w:hint="eastAsia" w:ascii="仿宋" w:hAnsi="仿宋" w:eastAsia="仿宋" w:cs="仿宋"/>
          <w:color w:val="auto"/>
          <w:kern w:val="0"/>
          <w:sz w:val="24"/>
          <w:highlight w:val="none"/>
          <w:u w:val="single"/>
        </w:rPr>
        <w:t xml:space="preserve">                           </w:t>
      </w:r>
    </w:p>
    <w:p w14:paraId="3FAAB9C6">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u w:val="single"/>
        </w:rPr>
        <w:t xml:space="preserve">                               </w:t>
      </w:r>
    </w:p>
    <w:p w14:paraId="2BB92AA8">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成立时间：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1814F684">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经营期限：</w:t>
      </w:r>
      <w:r>
        <w:rPr>
          <w:rFonts w:hint="eastAsia" w:ascii="仿宋" w:hAnsi="仿宋" w:eastAsia="仿宋" w:cs="仿宋"/>
          <w:color w:val="auto"/>
          <w:kern w:val="0"/>
          <w:sz w:val="24"/>
          <w:highlight w:val="none"/>
          <w:u w:val="single"/>
        </w:rPr>
        <w:t xml:space="preserve">             </w:t>
      </w:r>
    </w:p>
    <w:p w14:paraId="774D3887">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性别：</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年龄：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职务：</w:t>
      </w:r>
      <w:r>
        <w:rPr>
          <w:rFonts w:hint="eastAsia" w:ascii="仿宋" w:hAnsi="仿宋" w:eastAsia="仿宋" w:cs="仿宋"/>
          <w:color w:val="auto"/>
          <w:kern w:val="0"/>
          <w:sz w:val="24"/>
          <w:highlight w:val="none"/>
          <w:u w:val="single"/>
        </w:rPr>
        <w:t xml:space="preserve">           </w:t>
      </w:r>
    </w:p>
    <w:p w14:paraId="4ED33B33">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身份证号码：</w:t>
      </w:r>
      <w:r>
        <w:rPr>
          <w:rFonts w:hint="eastAsia" w:ascii="仿宋" w:hAnsi="仿宋" w:eastAsia="仿宋" w:cs="仿宋"/>
          <w:color w:val="auto"/>
          <w:kern w:val="0"/>
          <w:sz w:val="24"/>
          <w:highlight w:val="none"/>
          <w:u w:val="single"/>
        </w:rPr>
        <w:t xml:space="preserve">                                  </w:t>
      </w:r>
    </w:p>
    <w:p w14:paraId="32E6FD0D">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系</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（投标单位名称）的法定代表人。</w:t>
      </w:r>
    </w:p>
    <w:p w14:paraId="4A9E3E29">
      <w:pPr>
        <w:spacing w:line="420" w:lineRule="exact"/>
        <w:ind w:firstLine="980" w:firstLineChars="4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特此证明。</w:t>
      </w:r>
    </w:p>
    <w:p w14:paraId="7F9A46EC">
      <w:pPr>
        <w:pStyle w:val="7"/>
        <w:numPr>
          <w:ilvl w:val="0"/>
          <w:numId w:val="0"/>
        </w:numPr>
        <w:kinsoku w:val="0"/>
        <w:overflowPunct w:val="0"/>
        <w:ind w:leftChars="0" w:right="0" w:rightChars="0"/>
        <w:rPr>
          <w:rFonts w:hint="eastAsia" w:ascii="仿宋" w:hAnsi="仿宋" w:eastAsia="仿宋" w:cs="仿宋"/>
          <w:color w:val="auto"/>
          <w:sz w:val="20"/>
          <w:szCs w:val="20"/>
          <w:highlight w:val="none"/>
        </w:rPr>
      </w:pPr>
    </w:p>
    <w:p w14:paraId="7CA98FF6">
      <w:pPr>
        <w:pStyle w:val="7"/>
        <w:numPr>
          <w:ilvl w:val="0"/>
          <w:numId w:val="0"/>
        </w:numPr>
        <w:kinsoku w:val="0"/>
        <w:overflowPunct w:val="0"/>
        <w:spacing w:before="7"/>
        <w:ind w:leftChars="0" w:right="0" w:rightChars="0"/>
        <w:rPr>
          <w:rFonts w:hint="eastAsia" w:ascii="仿宋" w:hAnsi="仿宋" w:eastAsia="仿宋" w:cs="仿宋"/>
          <w:color w:val="auto"/>
          <w:sz w:val="25"/>
          <w:szCs w:val="25"/>
          <w:highlight w:val="none"/>
        </w:rPr>
      </w:pPr>
    </w:p>
    <w:p w14:paraId="498F9C3B">
      <w:pPr>
        <w:pStyle w:val="7"/>
        <w:numPr>
          <w:ilvl w:val="0"/>
          <w:numId w:val="0"/>
        </w:numPr>
        <w:kinsoku w:val="0"/>
        <w:overflowPunct w:val="0"/>
        <w:spacing w:line="200" w:lineRule="atLeast"/>
        <w:ind w:right="0" w:rightChars="0"/>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mc:AlternateContent>
          <mc:Choice Requires="wpg">
            <w:drawing>
              <wp:inline distT="0" distB="0" distL="0" distR="0">
                <wp:extent cx="5196205" cy="1461770"/>
                <wp:effectExtent l="0" t="3175" r="24130" b="1905"/>
                <wp:docPr id="1027" name="组合 34"/>
                <wp:cNvGraphicFramePr/>
                <a:graphic xmlns:a="http://schemas.openxmlformats.org/drawingml/2006/main">
                  <a:graphicData uri="http://schemas.microsoft.com/office/word/2010/wordprocessingGroup">
                    <wpg:wgp>
                      <wpg:cNvGrpSpPr/>
                      <wpg:grpSpPr>
                        <a:xfrm rot="0">
                          <a:off x="0" y="0"/>
                          <a:ext cx="5196205" cy="1461770"/>
                          <a:chOff x="4" y="4"/>
                          <a:chExt cx="8183"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838" y="19"/>
                            <a:ext cx="7349" cy="2258"/>
                          </a:xfrm>
                          <a:prstGeom prst="rect">
                            <a:avLst/>
                          </a:prstGeom>
                          <a:ln w="25400" cap="flat" cmpd="sng">
                            <a:solidFill>
                              <a:srgbClr val="000000"/>
                            </a:solidFill>
                            <a:prstDash val="solid"/>
                            <a:round/>
                          </a:ln>
                        </wps:spPr>
                        <wps:txbx>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9.15pt;" coordorigin="4,4" coordsize="8183,2302" o:gfxdata="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838;top:19;height:2258;width:7349;"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4DAD48A5">
      <w:pPr>
        <w:wordWrap w:val="0"/>
        <w:spacing w:line="420" w:lineRule="exact"/>
        <w:ind w:firstLine="490" w:firstLineChars="200"/>
        <w:jc w:val="right"/>
        <w:rPr>
          <w:rFonts w:hint="eastAsia" w:ascii="仿宋" w:hAnsi="仿宋" w:eastAsia="仿宋" w:cs="仿宋"/>
          <w:color w:val="auto"/>
          <w:kern w:val="0"/>
          <w:sz w:val="24"/>
          <w:highlight w:val="none"/>
        </w:rPr>
      </w:pPr>
    </w:p>
    <w:p w14:paraId="22D07BEF">
      <w:pPr>
        <w:spacing w:line="420" w:lineRule="exact"/>
        <w:ind w:firstLine="490" w:firstLineChars="200"/>
        <w:jc w:val="right"/>
        <w:rPr>
          <w:rFonts w:hint="eastAsia" w:ascii="仿宋" w:hAnsi="仿宋" w:eastAsia="仿宋" w:cs="仿宋"/>
          <w:color w:val="auto"/>
          <w:kern w:val="0"/>
          <w:sz w:val="24"/>
          <w:highlight w:val="none"/>
        </w:rPr>
      </w:pPr>
    </w:p>
    <w:p w14:paraId="7DD3BC16">
      <w:pPr>
        <w:pStyle w:val="17"/>
        <w:rPr>
          <w:rFonts w:hint="eastAsia" w:ascii="仿宋" w:hAnsi="仿宋" w:eastAsia="仿宋" w:cs="仿宋"/>
          <w:color w:val="auto"/>
          <w:kern w:val="0"/>
          <w:sz w:val="24"/>
          <w:highlight w:val="none"/>
        </w:rPr>
      </w:pPr>
    </w:p>
    <w:p w14:paraId="0899658C">
      <w:pPr>
        <w:pStyle w:val="17"/>
        <w:rPr>
          <w:rFonts w:hint="eastAsia" w:ascii="仿宋" w:hAnsi="仿宋" w:eastAsia="仿宋" w:cs="仿宋"/>
          <w:color w:val="auto"/>
          <w:kern w:val="0"/>
          <w:sz w:val="24"/>
          <w:highlight w:val="none"/>
        </w:rPr>
      </w:pPr>
    </w:p>
    <w:p w14:paraId="54EB6FAD">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（公章）</w:t>
      </w:r>
    </w:p>
    <w:p w14:paraId="3C3C5160">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投标人法定代表人（</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w:t>
      </w:r>
    </w:p>
    <w:p w14:paraId="4938D2F1">
      <w:pPr>
        <w:wordWrap w:val="0"/>
        <w:spacing w:line="420" w:lineRule="exact"/>
        <w:ind w:right="480"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日 </w:t>
      </w:r>
    </w:p>
    <w:p w14:paraId="34635AF0">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6"/>
          <w:szCs w:val="36"/>
          <w:highlight w:val="none"/>
          <w:lang w:val="en-US" w:eastAsia="zh-CN"/>
        </w:rPr>
        <w:t>3</w:t>
      </w:r>
      <w:r>
        <w:rPr>
          <w:rFonts w:hint="eastAsia" w:ascii="仿宋" w:hAnsi="仿宋" w:eastAsia="仿宋" w:cs="仿宋"/>
          <w:b/>
          <w:bCs/>
          <w:color w:val="auto"/>
          <w:sz w:val="36"/>
          <w:szCs w:val="36"/>
          <w:highlight w:val="none"/>
        </w:rPr>
        <w:t>、授权委托书</w:t>
      </w:r>
    </w:p>
    <w:p w14:paraId="6BF1F1B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DE079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本授权书声明：注册于（投标人地址）的（投标人名称）法定代表人（负责人）姓名、职务或职称）代表本公司授权（姓名）为本单位的合法代理人，参与贵方组织的（项目名称及项目编号） 的投标、谈判、签约等具体工作，并签署全部有关文件、协议及合同。</w:t>
      </w:r>
    </w:p>
    <w:p w14:paraId="4A29B64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452B181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544195</wp:posOffset>
                </wp:positionH>
                <wp:positionV relativeFrom="paragraph">
                  <wp:posOffset>90805</wp:posOffset>
                </wp:positionV>
                <wp:extent cx="4652010" cy="1448435"/>
                <wp:effectExtent l="12700" t="12700" r="21590" b="24765"/>
                <wp:wrapNone/>
                <wp:docPr id="39" name="矩形 39"/>
                <wp:cNvGraphicFramePr/>
                <a:graphic xmlns:a="http://schemas.openxmlformats.org/drawingml/2006/main">
                  <a:graphicData uri="http://schemas.microsoft.com/office/word/2010/wordprocessingShape">
                    <wps:wsp>
                      <wps:cNvSpPr/>
                      <wps:spPr>
                        <a:xfrm>
                          <a:off x="0" y="0"/>
                          <a:ext cx="4652010" cy="1448435"/>
                        </a:xfrm>
                        <a:prstGeom prst="rect">
                          <a:avLst/>
                        </a:prstGeom>
                        <a:ln w="25400" cap="flat" cmpd="sng">
                          <a:solidFill>
                            <a:srgbClr val="000000"/>
                          </a:solidFill>
                          <a:prstDash val="solid"/>
                          <a:round/>
                        </a:ln>
                      </wps:spPr>
                      <wps:txbx>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2.85pt;margin-top:7.15pt;height:114.05pt;width:366.3pt;z-index:251663360;mso-width-relative:page;mso-height-relative:page;" filled="f" stroked="t" coordsize="21600,21600" o:gfxdata="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QDKNR1gAA&#10;AAkBAAAPAAAAAAAAAAEAIAAAACIAAABkcnMvZG93bnJldi54bWxQSwECFAAUAAAACACHTuJAJ1cs&#10;yucBAADJAwAADgAAAAAAAAABACAAAAAlAQAAZHJzL2Uyb0RvYy54bWxQSwUGAAAAAAYABgBZAQAA&#10;fgUAAAAA&#10;">
                <v:fill on="f" focussize="0,0"/>
                <v:stroke weight="2pt" color="#000000" joinstyle="round"/>
                <v:imagedata o:title=""/>
                <o:lock v:ext="edit" aspectratio="f"/>
                <v:textbox inset="0mm,0mm,0mm,0mm">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D07F431">
      <w:pPr>
        <w:pStyle w:val="7"/>
        <w:kinsoku w:val="0"/>
        <w:overflowPunct w:val="0"/>
        <w:adjustRightInd w:val="0"/>
        <w:snapToGrid w:val="0"/>
        <w:spacing w:before="12"/>
        <w:rPr>
          <w:rFonts w:hint="eastAsia" w:ascii="仿宋" w:hAnsi="仿宋" w:eastAsia="仿宋" w:cs="仿宋"/>
          <w:color w:val="auto"/>
          <w:sz w:val="4"/>
          <w:szCs w:val="4"/>
          <w:highlight w:val="none"/>
        </w:rPr>
      </w:pPr>
    </w:p>
    <w:p w14:paraId="007E685C">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highlight w:val="none"/>
        </w:rPr>
      </w:pPr>
    </w:p>
    <w:p w14:paraId="59A8F53E">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highlight w:val="none"/>
        </w:rPr>
      </w:pPr>
    </w:p>
    <w:p w14:paraId="549CC510">
      <w:pPr>
        <w:rPr>
          <w:rFonts w:hint="eastAsia" w:ascii="仿宋" w:hAnsi="仿宋" w:eastAsia="仿宋" w:cs="仿宋"/>
          <w:color w:val="auto"/>
          <w:sz w:val="18"/>
          <w:szCs w:val="20"/>
          <w:highlight w:val="none"/>
        </w:rPr>
      </w:pPr>
    </w:p>
    <w:p w14:paraId="6D58F432">
      <w:pPr>
        <w:rPr>
          <w:rFonts w:hint="eastAsia" w:ascii="仿宋" w:hAnsi="仿宋" w:eastAsia="仿宋" w:cs="仿宋"/>
          <w:color w:val="auto"/>
          <w:sz w:val="18"/>
          <w:szCs w:val="20"/>
          <w:highlight w:val="none"/>
        </w:rPr>
      </w:pPr>
    </w:p>
    <w:p w14:paraId="75BB2E6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7015A8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521970</wp:posOffset>
                </wp:positionH>
                <wp:positionV relativeFrom="paragraph">
                  <wp:posOffset>286385</wp:posOffset>
                </wp:positionV>
                <wp:extent cx="4666615" cy="1433830"/>
                <wp:effectExtent l="12700" t="12700" r="26035" b="20320"/>
                <wp:wrapNone/>
                <wp:docPr id="41" name="矩形 41"/>
                <wp:cNvGraphicFramePr/>
                <a:graphic xmlns:a="http://schemas.openxmlformats.org/drawingml/2006/main">
                  <a:graphicData uri="http://schemas.microsoft.com/office/word/2010/wordprocessingShape">
                    <wps:wsp>
                      <wps:cNvSpPr/>
                      <wps:spPr>
                        <a:xfrm>
                          <a:off x="0" y="0"/>
                          <a:ext cx="4666615" cy="1433830"/>
                        </a:xfrm>
                        <a:prstGeom prst="rect">
                          <a:avLst/>
                        </a:prstGeom>
                        <a:ln w="25400" cap="flat" cmpd="sng">
                          <a:solidFill>
                            <a:srgbClr val="000000"/>
                          </a:solidFill>
                          <a:prstDash val="solid"/>
                          <a:round/>
                        </a:ln>
                      </wps:spPr>
                      <wps:txbx>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1.1pt;margin-top:22.55pt;height:112.9pt;width:367.45pt;z-index:251664384;mso-width-relative:page;mso-height-relative:page;" filled="f" stroked="t" coordsize="21600,21600" o:gfxdata="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PvHJTVAAAA&#10;CQEAAA8AAAAAAAAAAQAgAAAAIgAAAGRycy9kb3ducmV2LnhtbFBLAQIUABQAAAAIAIdO4kDAgdIE&#10;5wEAAMkDAAAOAAAAAAAAAAEAIAAAACQBAABkcnMvZTJvRG9jLnhtbFBLBQYAAAAABgAGAFkBAAB9&#10;BQAAAAA=&#10;">
                <v:fill on="f" focussize="0,0"/>
                <v:stroke weight="2pt" color="#000000" joinstyle="round"/>
                <v:imagedata o:title=""/>
                <o:lock v:ext="edit" aspectratio="f"/>
                <v:textbox inset="0mm,0mm,0mm,0mm">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5073CC5">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39F2254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441B84B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0548A48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2888DF1F">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1313B6C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6F864B14">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51345F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被授权代表（</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投标人法定代表人（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p>
    <w:p w14:paraId="7C24AA5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p>
    <w:p w14:paraId="76B0B6C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p>
    <w:p w14:paraId="2FCD9028">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（盖章）</w:t>
      </w:r>
    </w:p>
    <w:p w14:paraId="4C2E962B">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highlight w:val="none"/>
        </w:rPr>
      </w:pPr>
    </w:p>
    <w:p w14:paraId="724EBE32">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highlight w:val="none"/>
        </w:rPr>
      </w:pPr>
      <w:r>
        <w:rPr>
          <w:rFonts w:hint="eastAsia" w:ascii="仿宋" w:hAnsi="仿宋" w:eastAsia="仿宋" w:cs="仿宋"/>
          <w:color w:val="auto"/>
          <w:sz w:val="24"/>
          <w:highlight w:val="none"/>
        </w:rPr>
        <w:t xml:space="preserve"> 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日 </w:t>
      </w:r>
      <w:r>
        <w:rPr>
          <w:rFonts w:hint="eastAsia" w:ascii="仿宋" w:hAnsi="仿宋" w:eastAsia="仿宋" w:cs="仿宋"/>
          <w:color w:val="auto"/>
          <w:sz w:val="20"/>
          <w:highlight w:val="none"/>
        </w:rPr>
        <w:t xml:space="preserve">               </w:t>
      </w:r>
    </w:p>
    <w:p w14:paraId="3790AA15">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highlight w:val="none"/>
        </w:rPr>
      </w:pPr>
    </w:p>
    <w:p w14:paraId="59286E5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zh-CN" w:bidi="en-US"/>
        </w:rPr>
      </w:pPr>
    </w:p>
    <w:p w14:paraId="0D23F676">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en-US" w:bidi="en-US"/>
        </w:rPr>
      </w:pPr>
      <w:r>
        <w:rPr>
          <w:rFonts w:hint="eastAsia" w:ascii="仿宋" w:hAnsi="仿宋" w:eastAsia="仿宋" w:cs="仿宋"/>
          <w:b/>
          <w:bCs/>
          <w:color w:val="auto"/>
          <w:spacing w:val="0"/>
          <w:w w:val="100"/>
          <w:position w:val="0"/>
          <w:sz w:val="36"/>
          <w:szCs w:val="36"/>
          <w:highlight w:val="none"/>
          <w:shd w:val="clear" w:color="auto" w:fill="auto"/>
          <w:lang w:val="en-US" w:eastAsia="zh-CN" w:bidi="en-US"/>
        </w:rPr>
        <w:t>4、投标保证金缴纳凭证或保函等票据</w:t>
      </w:r>
    </w:p>
    <w:p w14:paraId="02112B32">
      <w:pPr>
        <w:shd w:val="clear" w:color="auto" w:fill="auto"/>
        <w:ind w:firstLine="490" w:firstLineChars="200"/>
        <w:rPr>
          <w:rFonts w:hint="eastAsia" w:ascii="仿宋" w:hAnsi="仿宋" w:eastAsia="仿宋" w:cs="仿宋"/>
          <w:color w:val="auto"/>
          <w:sz w:val="24"/>
          <w:highlight w:val="none"/>
        </w:rPr>
      </w:pPr>
    </w:p>
    <w:p w14:paraId="7FBC5050">
      <w:pPr>
        <w:pStyle w:val="5"/>
        <w:shd w:val="clear" w:color="auto" w:fill="auto"/>
        <w:rPr>
          <w:rFonts w:hint="eastAsia" w:ascii="仿宋" w:hAnsi="仿宋" w:eastAsia="仿宋" w:cs="仿宋"/>
          <w:color w:val="auto"/>
          <w:highlight w:val="none"/>
        </w:rPr>
      </w:pPr>
    </w:p>
    <w:p w14:paraId="0870F36D">
      <w:pPr>
        <w:pStyle w:val="5"/>
        <w:shd w:val="clear" w:color="auto" w:fill="auto"/>
        <w:rPr>
          <w:rFonts w:hint="eastAsia" w:ascii="仿宋" w:hAnsi="仿宋" w:eastAsia="仿宋" w:cs="仿宋"/>
          <w:color w:val="auto"/>
          <w:highlight w:val="none"/>
        </w:rPr>
      </w:pPr>
    </w:p>
    <w:p w14:paraId="1781F427">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266C4746">
      <w:pPr>
        <w:shd w:val="clear" w:color="auto" w:fill="auto"/>
        <w:rPr>
          <w:rFonts w:hint="eastAsia" w:ascii="仿宋" w:hAnsi="仿宋" w:eastAsia="仿宋" w:cs="仿宋"/>
          <w:color w:val="auto"/>
          <w:sz w:val="28"/>
          <w:szCs w:val="28"/>
          <w:highlight w:val="none"/>
        </w:rPr>
      </w:pPr>
    </w:p>
    <w:tbl>
      <w:tblPr>
        <w:tblStyle w:val="23"/>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52C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1E620E6">
            <w:pPr>
              <w:shd w:val="clear" w:color="auto" w:fill="auto"/>
              <w:rPr>
                <w:rFonts w:hint="eastAsia" w:ascii="仿宋" w:hAnsi="仿宋" w:eastAsia="仿宋" w:cs="仿宋"/>
                <w:b/>
                <w:bCs/>
                <w:color w:val="auto"/>
                <w:sz w:val="30"/>
                <w:szCs w:val="30"/>
                <w:highlight w:val="none"/>
              </w:rPr>
            </w:pPr>
          </w:p>
          <w:p w14:paraId="64731446">
            <w:pPr>
              <w:shd w:val="clear" w:color="auto" w:fill="auto"/>
              <w:jc w:val="center"/>
              <w:rPr>
                <w:rFonts w:hint="eastAsia" w:ascii="仿宋" w:hAnsi="仿宋" w:eastAsia="仿宋" w:cs="仿宋"/>
                <w:b/>
                <w:bCs/>
                <w:color w:val="auto"/>
                <w:sz w:val="30"/>
                <w:szCs w:val="30"/>
                <w:highlight w:val="none"/>
                <w:lang w:eastAsia="zh-CN"/>
              </w:rPr>
            </w:pPr>
          </w:p>
          <w:p w14:paraId="2C799505">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val="en-US" w:eastAsia="zh-CN"/>
              </w:rPr>
              <w:t>投标保证金缴纳凭证</w:t>
            </w:r>
          </w:p>
        </w:tc>
      </w:tr>
    </w:tbl>
    <w:p w14:paraId="1240AD54">
      <w:pPr>
        <w:pStyle w:val="5"/>
        <w:shd w:val="clear" w:color="auto" w:fill="auto"/>
        <w:rPr>
          <w:rFonts w:hint="eastAsia" w:ascii="仿宋" w:hAnsi="仿宋" w:eastAsia="仿宋" w:cs="仿宋"/>
          <w:color w:val="auto"/>
          <w:highlight w:val="none"/>
        </w:rPr>
      </w:pPr>
    </w:p>
    <w:p w14:paraId="1EFEA144">
      <w:pPr>
        <w:pStyle w:val="5"/>
        <w:shd w:val="clear" w:color="auto" w:fill="auto"/>
        <w:rPr>
          <w:rFonts w:hint="eastAsia" w:ascii="仿宋" w:hAnsi="仿宋" w:eastAsia="仿宋" w:cs="仿宋"/>
          <w:color w:val="auto"/>
          <w:highlight w:val="none"/>
        </w:rPr>
      </w:pPr>
    </w:p>
    <w:p w14:paraId="4BF9BA6F">
      <w:pPr>
        <w:pStyle w:val="5"/>
        <w:shd w:val="clear" w:color="auto" w:fill="auto"/>
        <w:rPr>
          <w:rFonts w:hint="eastAsia" w:ascii="仿宋" w:hAnsi="仿宋" w:eastAsia="仿宋" w:cs="仿宋"/>
          <w:color w:val="auto"/>
          <w:highlight w:val="none"/>
        </w:rPr>
      </w:pPr>
    </w:p>
    <w:p w14:paraId="264D9A42">
      <w:pPr>
        <w:pStyle w:val="5"/>
        <w:shd w:val="clear" w:color="auto" w:fill="auto"/>
        <w:rPr>
          <w:rFonts w:hint="eastAsia" w:ascii="仿宋" w:hAnsi="仿宋" w:eastAsia="仿宋" w:cs="仿宋"/>
          <w:color w:val="auto"/>
          <w:highlight w:val="none"/>
        </w:rPr>
      </w:pPr>
    </w:p>
    <w:p w14:paraId="7D79DEC9">
      <w:pPr>
        <w:pStyle w:val="5"/>
        <w:shd w:val="clear" w:color="auto" w:fill="auto"/>
        <w:rPr>
          <w:rFonts w:hint="eastAsia" w:ascii="仿宋" w:hAnsi="仿宋" w:eastAsia="仿宋" w:cs="仿宋"/>
          <w:color w:val="auto"/>
          <w:highlight w:val="none"/>
        </w:rPr>
      </w:pPr>
    </w:p>
    <w:p w14:paraId="07DC02E8">
      <w:pPr>
        <w:pStyle w:val="5"/>
        <w:shd w:val="clear" w:color="auto" w:fill="auto"/>
        <w:rPr>
          <w:rFonts w:hint="eastAsia" w:ascii="仿宋" w:hAnsi="仿宋" w:eastAsia="仿宋" w:cs="仿宋"/>
          <w:color w:val="auto"/>
          <w:highlight w:val="none"/>
        </w:rPr>
      </w:pPr>
    </w:p>
    <w:p w14:paraId="28EAE437">
      <w:pPr>
        <w:rPr>
          <w:rFonts w:hint="eastAsia" w:ascii="仿宋" w:hAnsi="仿宋" w:eastAsia="仿宋" w:cs="仿宋"/>
          <w:color w:val="auto"/>
          <w:highlight w:val="none"/>
        </w:rPr>
      </w:pPr>
    </w:p>
    <w:p w14:paraId="50E6E435">
      <w:pPr>
        <w:pStyle w:val="4"/>
        <w:rPr>
          <w:rFonts w:hint="eastAsia" w:ascii="仿宋" w:hAnsi="仿宋" w:eastAsia="仿宋" w:cs="仿宋"/>
          <w:color w:val="auto"/>
          <w:highlight w:val="none"/>
        </w:rPr>
      </w:pPr>
    </w:p>
    <w:p w14:paraId="4F3D2B79">
      <w:pPr>
        <w:rPr>
          <w:rFonts w:hint="eastAsia" w:ascii="仿宋" w:hAnsi="仿宋" w:eastAsia="仿宋" w:cs="仿宋"/>
          <w:color w:val="auto"/>
          <w:highlight w:val="none"/>
        </w:rPr>
      </w:pPr>
    </w:p>
    <w:p w14:paraId="79FF3FD5">
      <w:pPr>
        <w:rPr>
          <w:rFonts w:hint="eastAsia" w:ascii="仿宋" w:hAnsi="仿宋" w:eastAsia="仿宋" w:cs="仿宋"/>
          <w:color w:val="auto"/>
          <w:highlight w:val="none"/>
        </w:rPr>
      </w:pPr>
    </w:p>
    <w:p w14:paraId="07CDEA51">
      <w:pPr>
        <w:rPr>
          <w:rFonts w:hint="eastAsia" w:ascii="仿宋" w:hAnsi="仿宋" w:eastAsia="仿宋" w:cs="仿宋"/>
          <w:color w:val="auto"/>
          <w:highlight w:val="none"/>
        </w:rPr>
      </w:pPr>
    </w:p>
    <w:p w14:paraId="3369D742">
      <w:pPr>
        <w:shd w:val="clear" w:color="auto" w:fill="auto"/>
        <w:jc w:val="center"/>
        <w:rPr>
          <w:rFonts w:hint="eastAsia" w:ascii="仿宋" w:hAnsi="仿宋" w:eastAsia="仿宋" w:cs="仿宋"/>
          <w:color w:val="auto"/>
          <w:sz w:val="28"/>
          <w:szCs w:val="28"/>
          <w:highlight w:val="none"/>
        </w:rPr>
      </w:pPr>
    </w:p>
    <w:p w14:paraId="39031B86">
      <w:pPr>
        <w:shd w:val="clear" w:color="auto" w:fill="auto"/>
        <w:jc w:val="center"/>
        <w:rPr>
          <w:rFonts w:hint="eastAsia" w:ascii="仿宋" w:hAnsi="仿宋" w:eastAsia="仿宋" w:cs="仿宋"/>
          <w:color w:val="auto"/>
          <w:sz w:val="28"/>
          <w:szCs w:val="28"/>
          <w:highlight w:val="none"/>
        </w:rPr>
      </w:pPr>
    </w:p>
    <w:p w14:paraId="57D33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1181C3A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2CB01D1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5C1C36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46EA2D1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36FF12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286B4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4789339">
      <w:pPr>
        <w:ind w:left="4777" w:leftChars="200" w:hanging="4287" w:hangingChars="1750"/>
        <w:rPr>
          <w:rFonts w:hint="eastAsia" w:ascii="宋体" w:hAnsi="宋体" w:eastAsia="宋体" w:cs="宋体"/>
          <w:color w:val="auto"/>
          <w:highlight w:val="none"/>
        </w:rPr>
      </w:pPr>
    </w:p>
    <w:p w14:paraId="30711E74">
      <w:pPr>
        <w:shd w:val="clear" w:color="auto" w:fill="auto"/>
        <w:jc w:val="center"/>
        <w:rPr>
          <w:rFonts w:hint="eastAsia" w:ascii="仿宋" w:hAnsi="仿宋" w:eastAsia="仿宋" w:cs="仿宋"/>
          <w:b/>
          <w:bCs/>
          <w:color w:val="auto"/>
          <w:sz w:val="28"/>
          <w:szCs w:val="28"/>
          <w:highlight w:val="none"/>
        </w:rPr>
      </w:pPr>
      <w:bookmarkStart w:id="38" w:name="bookmark233"/>
      <w:bookmarkStart w:id="39" w:name="bookmark225"/>
      <w:bookmarkStart w:id="40" w:name="bookmark234"/>
      <w:bookmarkStart w:id="41" w:name="bookmark236"/>
      <w:bookmarkStart w:id="42" w:name="bookmark235"/>
      <w:bookmarkStart w:id="43" w:name="bookmark226"/>
      <w:bookmarkStart w:id="44" w:name="bookmark228"/>
    </w:p>
    <w:p w14:paraId="6A813A46">
      <w:pPr>
        <w:shd w:val="clear" w:color="auto" w:fill="auto"/>
        <w:jc w:val="center"/>
        <w:rPr>
          <w:rFonts w:hint="eastAsia" w:ascii="仿宋" w:hAnsi="仿宋" w:eastAsia="仿宋" w:cs="仿宋"/>
          <w:b/>
          <w:bCs/>
          <w:color w:val="auto"/>
          <w:sz w:val="28"/>
          <w:szCs w:val="28"/>
          <w:highlight w:val="none"/>
        </w:rPr>
      </w:pPr>
    </w:p>
    <w:p w14:paraId="23F83ED0">
      <w:pPr>
        <w:shd w:val="clear" w:color="auto" w:fill="auto"/>
        <w:jc w:val="center"/>
        <w:rPr>
          <w:rFonts w:hint="eastAsia" w:ascii="仿宋" w:hAnsi="仿宋" w:eastAsia="仿宋" w:cs="仿宋"/>
          <w:b/>
          <w:bCs/>
          <w:color w:val="auto"/>
          <w:sz w:val="28"/>
          <w:szCs w:val="28"/>
          <w:highlight w:val="none"/>
        </w:rPr>
      </w:pPr>
    </w:p>
    <w:p w14:paraId="04CE1C30">
      <w:pPr>
        <w:shd w:val="clear" w:color="auto" w:fill="auto"/>
        <w:jc w:val="center"/>
        <w:rPr>
          <w:rFonts w:hint="eastAsia" w:ascii="仿宋" w:hAnsi="仿宋" w:eastAsia="仿宋" w:cs="仿宋"/>
          <w:b/>
          <w:bCs/>
          <w:color w:val="auto"/>
          <w:sz w:val="28"/>
          <w:szCs w:val="28"/>
          <w:highlight w:val="none"/>
        </w:rPr>
      </w:pPr>
    </w:p>
    <w:p w14:paraId="753671E3">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3CDE31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178A0B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4238C6B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鉴于               （以下简称“投标人”）拟参加编号为                 的                                       </w:t>
      </w:r>
    </w:p>
    <w:p w14:paraId="7715E70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3FCB47A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130537E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（一）在投标人出现下列情形之一时，我方承担保证责任：</w:t>
      </w:r>
    </w:p>
    <w:p w14:paraId="23D3C9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1．成交后投标人无正当理由不与采购人或者采购代理机构签订《政府采购合同》；</w:t>
      </w:r>
    </w:p>
    <w:p w14:paraId="3233A34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2．谈判文件规定的投标人应当缴纳保证金的其他情形。</w:t>
      </w:r>
    </w:p>
    <w:p w14:paraId="504E2B7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4B7556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2906861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6CD5A13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7730A39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41A36A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675352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个工作日内进行审查，符合应承担保证责任情形的，我方应按照你方的要求代投标人向你方支付投标保证金。</w:t>
      </w:r>
    </w:p>
    <w:p w14:paraId="0A1E4CF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571364F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67C2895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7F0F642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7ED3FCC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4A10254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1．依照法律规定或你方与投标人的另行约定，全部或者部分免除投标人投标保证金义务时，我方亦免除相应的保证责任。</w:t>
      </w:r>
    </w:p>
    <w:p w14:paraId="14C6667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2．因你方原因致使投标人发生本保函第一条第（一）款约定情形的，我方不承担保证责任。</w:t>
      </w:r>
    </w:p>
    <w:p w14:paraId="5999530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3．因不可抗力造成投标人发生本保函第一条约定情形的，我方不承担保证责任。</w:t>
      </w:r>
    </w:p>
    <w:p w14:paraId="1D15E39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3549D6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4D6A5E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02B8543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307426D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1ED38E8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14C424B8">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1130670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7965EC6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17" w:right="1134" w:bottom="1134" w:left="1134"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FA6CF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5、投标企业须提供投标人（被授权在职人员）近6个月内任意一个月有效的社保证明；</w:t>
      </w:r>
    </w:p>
    <w:p w14:paraId="5CB7A8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p>
    <w:p w14:paraId="42F00C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说明：复印件上应加盖本单位章</w:t>
      </w:r>
    </w:p>
    <w:p w14:paraId="6A1C453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3155C94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5730AC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27145D1">
      <w:pPr>
        <w:rPr>
          <w:rFonts w:hint="eastAsia"/>
          <w:color w:val="auto"/>
          <w:highlight w:val="none"/>
          <w:lang w:val="en-US" w:eastAsia="zh-CN"/>
        </w:rPr>
      </w:pPr>
    </w:p>
    <w:p w14:paraId="55FB66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21CEE95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6、未被“信用中国”（www.creditchina.gov.cn）、中国政府采购网（www.ccgp.gov.cn）列入失信被执行人、重大税收违法案件当事人名单、政府采购严重违法失信行为记录名单；</w:t>
      </w:r>
    </w:p>
    <w:p w14:paraId="0D6ED70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E7FCF9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890EC7B">
      <w:pPr>
        <w:rPr>
          <w:rFonts w:hint="eastAsia" w:ascii="仿宋" w:hAnsi="仿宋" w:eastAsia="仿宋" w:cs="仿宋"/>
          <w:b/>
          <w:bCs/>
          <w:color w:val="auto"/>
          <w:sz w:val="32"/>
          <w:szCs w:val="32"/>
          <w:highlight w:val="none"/>
          <w:lang w:val="en-US" w:eastAsia="zh-CN"/>
        </w:rPr>
      </w:pPr>
    </w:p>
    <w:p w14:paraId="26579FCC">
      <w:pPr>
        <w:pStyle w:val="18"/>
        <w:rPr>
          <w:rFonts w:hint="eastAsia"/>
          <w:color w:val="auto"/>
          <w:highlight w:val="none"/>
          <w:lang w:val="en-US" w:eastAsia="zh-CN"/>
        </w:rPr>
      </w:pPr>
    </w:p>
    <w:p w14:paraId="074C239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0A8584E3">
      <w:pPr>
        <w:pStyle w:val="18"/>
        <w:numPr>
          <w:ilvl w:val="0"/>
          <w:numId w:val="0"/>
        </w:numPr>
        <w:ind w:leftChars="0"/>
        <w:rPr>
          <w:rFonts w:hint="eastAsia"/>
          <w:color w:val="auto"/>
          <w:highlight w:val="none"/>
          <w:lang w:val="en-US" w:eastAsia="zh-CN"/>
        </w:rPr>
      </w:pPr>
    </w:p>
    <w:p w14:paraId="3E643CE4">
      <w:pPr>
        <w:rPr>
          <w:rFonts w:hint="eastAsia"/>
          <w:color w:val="auto"/>
          <w:highlight w:val="none"/>
          <w:lang w:val="en-US" w:eastAsia="zh-CN"/>
        </w:rPr>
      </w:pPr>
    </w:p>
    <w:p w14:paraId="1BCCA4E2">
      <w:pPr>
        <w:pStyle w:val="18"/>
        <w:rPr>
          <w:rFonts w:hint="eastAsia"/>
          <w:color w:val="auto"/>
          <w:highlight w:val="none"/>
          <w:lang w:val="en-US" w:eastAsia="zh-CN"/>
        </w:rPr>
      </w:pPr>
    </w:p>
    <w:p w14:paraId="1143AAE4">
      <w:pPr>
        <w:snapToGrid w:val="0"/>
        <w:spacing w:line="360" w:lineRule="auto"/>
        <w:rPr>
          <w:rFonts w:hint="eastAsia" w:ascii="仿宋" w:hAnsi="仿宋" w:eastAsia="仿宋" w:cs="仿宋"/>
          <w:b/>
          <w:color w:val="auto"/>
          <w:highlight w:val="none"/>
          <w:lang w:val="en-US" w:eastAsia="zh-CN"/>
        </w:rPr>
      </w:pPr>
    </w:p>
    <w:p w14:paraId="2304179C">
      <w:pPr>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br w:type="page"/>
      </w:r>
    </w:p>
    <w:p w14:paraId="45A89E91">
      <w:pPr>
        <w:shd w:val="clear" w:color="auto" w:fill="auto"/>
        <w:spacing w:line="360" w:lineRule="auto"/>
        <w:jc w:val="center"/>
        <w:rPr>
          <w:rFonts w:hint="eastAsia" w:ascii="仿宋" w:hAnsi="仿宋" w:eastAsia="仿宋" w:cs="仿宋"/>
          <w:b/>
          <w:bCs w:val="0"/>
          <w:color w:val="auto"/>
          <w:kern w:val="0"/>
          <w:sz w:val="28"/>
          <w:szCs w:val="28"/>
          <w:highlight w:val="none"/>
        </w:rPr>
      </w:pPr>
      <w:r>
        <w:rPr>
          <w:rFonts w:hint="eastAsia" w:ascii="仿宋" w:hAnsi="仿宋" w:eastAsia="仿宋" w:cs="仿宋"/>
          <w:b/>
          <w:bCs/>
          <w:color w:val="auto"/>
          <w:sz w:val="28"/>
          <w:szCs w:val="28"/>
          <w:highlight w:val="none"/>
          <w:lang w:val="en-US" w:eastAsia="zh-CN"/>
        </w:rPr>
        <w:t>7、中小企业声明函</w:t>
      </w:r>
    </w:p>
    <w:p w14:paraId="222A31F8">
      <w:pPr>
        <w:spacing w:line="360" w:lineRule="auto"/>
        <w:jc w:val="center"/>
        <w:rPr>
          <w:rFonts w:hint="eastAsia" w:ascii="仿宋" w:hAnsi="仿宋" w:eastAsia="仿宋" w:cs="仿宋"/>
          <w:b/>
          <w:color w:val="auto"/>
          <w:sz w:val="36"/>
          <w:szCs w:val="36"/>
          <w:highlight w:val="none"/>
          <w:lang w:eastAsia="zh-CN"/>
        </w:rPr>
      </w:pPr>
    </w:p>
    <w:p w14:paraId="010FDC55">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556DBF01">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7D5A6A4">
      <w:pPr>
        <w:numPr>
          <w:ilvl w:val="0"/>
          <w:numId w:val="10"/>
        </w:num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E1102BD">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D4BE0A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387A08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24B652C3">
      <w:pPr>
        <w:spacing w:line="360" w:lineRule="auto"/>
        <w:ind w:firstLine="486" w:firstLineChars="200"/>
        <w:rPr>
          <w:rFonts w:ascii="仿宋" w:hAnsi="仿宋" w:eastAsia="仿宋" w:cs="仿宋"/>
          <w:color w:val="auto"/>
          <w:highlight w:val="none"/>
          <w:lang w:eastAsia="zh-CN"/>
        </w:rPr>
      </w:pPr>
    </w:p>
    <w:p w14:paraId="3C5E17B4">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F1B6D5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40941A1D">
      <w:pPr>
        <w:spacing w:line="360" w:lineRule="auto"/>
        <w:ind w:firstLine="486" w:firstLineChars="200"/>
        <w:rPr>
          <w:rFonts w:ascii="仿宋" w:hAnsi="仿宋" w:eastAsia="仿宋" w:cs="仿宋"/>
          <w:color w:val="auto"/>
          <w:highlight w:val="none"/>
          <w:lang w:eastAsia="zh-CN"/>
        </w:rPr>
      </w:pPr>
    </w:p>
    <w:p w14:paraId="721686E2">
      <w:pPr>
        <w:spacing w:line="360" w:lineRule="auto"/>
        <w:ind w:firstLine="4617"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464EA572">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AFA3DBA">
      <w:pPr>
        <w:snapToGrid w:val="0"/>
        <w:spacing w:line="360" w:lineRule="auto"/>
        <w:rPr>
          <w:rFonts w:hint="eastAsia" w:ascii="仿宋" w:hAnsi="仿宋" w:eastAsia="仿宋" w:cs="仿宋"/>
          <w:b/>
          <w:color w:val="auto"/>
          <w:highlight w:val="none"/>
          <w:lang w:val="en-US" w:eastAsia="zh-CN"/>
        </w:rPr>
      </w:pPr>
    </w:p>
    <w:p w14:paraId="77714D8A">
      <w:pPr>
        <w:snapToGrid w:val="0"/>
        <w:spacing w:line="360" w:lineRule="auto"/>
        <w:rPr>
          <w:rFonts w:hint="eastAsia" w:ascii="仿宋" w:hAnsi="仿宋" w:eastAsia="仿宋" w:cs="仿宋"/>
          <w:b/>
          <w:color w:val="auto"/>
          <w:highlight w:val="none"/>
          <w:lang w:val="en-US" w:eastAsia="zh-CN"/>
        </w:rPr>
      </w:pPr>
    </w:p>
    <w:p w14:paraId="38DDB502">
      <w:pPr>
        <w:snapToGrid w:val="0"/>
        <w:spacing w:line="360" w:lineRule="auto"/>
        <w:jc w:val="center"/>
        <w:rPr>
          <w:rFonts w:hint="eastAsia" w:ascii="仿宋" w:hAnsi="仿宋" w:eastAsia="仿宋" w:cs="仿宋"/>
          <w:b/>
          <w:color w:val="auto"/>
          <w:sz w:val="28"/>
          <w:szCs w:val="28"/>
          <w:highlight w:val="none"/>
          <w:lang w:val="en-US" w:eastAsia="zh-CN"/>
        </w:rPr>
      </w:pPr>
    </w:p>
    <w:p w14:paraId="37994489">
      <w:pPr>
        <w:pStyle w:val="4"/>
        <w:rPr>
          <w:rFonts w:hint="default"/>
          <w:color w:val="auto"/>
          <w:highlight w:val="none"/>
          <w:lang w:val="en-US" w:eastAsia="zh-CN"/>
        </w:rPr>
      </w:pPr>
      <w:r>
        <w:rPr>
          <w:rFonts w:hint="eastAsia"/>
          <w:color w:val="auto"/>
          <w:highlight w:val="none"/>
          <w:lang w:val="en-US" w:eastAsia="zh-CN"/>
        </w:rPr>
        <w:t>8、投标人须知资料表要求的其他资格证明文件。</w:t>
      </w:r>
    </w:p>
    <w:p w14:paraId="1C249BF0">
      <w:pPr>
        <w:rPr>
          <w:rFonts w:hint="eastAsia"/>
          <w:color w:val="auto"/>
          <w:highlight w:val="none"/>
          <w:lang w:val="en-US" w:eastAsia="zh-CN"/>
        </w:rPr>
      </w:pPr>
    </w:p>
    <w:p w14:paraId="1E41364E">
      <w:pPr>
        <w:rPr>
          <w:rFonts w:hint="eastAsia"/>
          <w:color w:val="auto"/>
          <w:highlight w:val="none"/>
          <w:lang w:val="en-US" w:eastAsia="zh-CN"/>
        </w:rPr>
      </w:pPr>
    </w:p>
    <w:p w14:paraId="48BFEA04">
      <w:pPr>
        <w:rPr>
          <w:rFonts w:hint="eastAsia"/>
          <w:color w:val="auto"/>
          <w:highlight w:val="none"/>
          <w:lang w:val="en-US" w:eastAsia="zh-CN"/>
        </w:rPr>
      </w:pPr>
    </w:p>
    <w:p w14:paraId="0F0DA9ED">
      <w:pPr>
        <w:rPr>
          <w:rFonts w:hint="eastAsia"/>
          <w:color w:val="auto"/>
          <w:highlight w:val="none"/>
          <w:lang w:val="en-US" w:eastAsia="zh-CN"/>
        </w:rPr>
      </w:pPr>
      <w:r>
        <w:rPr>
          <w:rFonts w:hint="eastAsia"/>
          <w:color w:val="auto"/>
          <w:highlight w:val="none"/>
          <w:lang w:val="en-US" w:eastAsia="zh-CN"/>
        </w:rPr>
        <w:br w:type="page"/>
      </w:r>
    </w:p>
    <w:p w14:paraId="460B386D">
      <w:pPr>
        <w:rPr>
          <w:rFonts w:hint="eastAsia"/>
          <w:color w:val="auto"/>
          <w:highlight w:val="none"/>
          <w:lang w:val="en-US" w:eastAsia="zh-CN"/>
        </w:rPr>
      </w:pPr>
    </w:p>
    <w:p w14:paraId="64E973AF">
      <w:pPr>
        <w:rPr>
          <w:rFonts w:hint="eastAsia"/>
          <w:color w:val="auto"/>
          <w:highlight w:val="none"/>
          <w:lang w:val="en-US" w:eastAsia="zh-CN"/>
        </w:rPr>
      </w:pPr>
    </w:p>
    <w:p w14:paraId="003A5593">
      <w:pPr>
        <w:snapToGrid w:val="0"/>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商务及技术文件</w:t>
      </w:r>
    </w:p>
    <w:p w14:paraId="401DEBF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1、投标函</w:t>
      </w:r>
    </w:p>
    <w:p w14:paraId="623E29F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2、开标一览表</w:t>
      </w:r>
    </w:p>
    <w:p w14:paraId="177E962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3、货物说明一览表</w:t>
      </w:r>
    </w:p>
    <w:p w14:paraId="6757586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4、投标分项报价明细表</w:t>
      </w:r>
    </w:p>
    <w:p w14:paraId="404CB24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5、技术规格偏离表</w:t>
      </w:r>
    </w:p>
    <w:p w14:paraId="1B4DBDB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6、商务条款偏离表</w:t>
      </w:r>
    </w:p>
    <w:p w14:paraId="43B5CD77">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7、投标人基本情况表</w:t>
      </w:r>
    </w:p>
    <w:p w14:paraId="102BA0B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8、</w:t>
      </w:r>
      <w:r>
        <w:rPr>
          <w:rFonts w:hint="eastAsia" w:ascii="仿宋" w:hAnsi="仿宋" w:eastAsia="仿宋" w:cs="仿宋"/>
          <w:b/>
          <w:color w:val="auto"/>
          <w:sz w:val="24"/>
          <w:szCs w:val="24"/>
          <w:highlight w:val="none"/>
          <w:lang w:val="en-US" w:eastAsia="zh-CN" w:bidi="en-US"/>
        </w:rPr>
        <w:t>投标人认为有必要提供的其他证明材料</w:t>
      </w:r>
    </w:p>
    <w:p w14:paraId="71EF7876">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9、附件</w:t>
      </w:r>
    </w:p>
    <w:p w14:paraId="472C266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中小企业声明函(货物)</w:t>
      </w:r>
    </w:p>
    <w:p w14:paraId="7D8AF75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残疾人福利性单位声明函</w:t>
      </w:r>
    </w:p>
    <w:p w14:paraId="671E1A3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关于符合本国产品标准的声明函</w:t>
      </w:r>
    </w:p>
    <w:p w14:paraId="1A87139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highlight w:val="none"/>
          <w:lang w:val="en-US" w:eastAsia="zh-CN" w:bidi="en-US"/>
        </w:rPr>
      </w:pPr>
    </w:p>
    <w:p w14:paraId="7DA3576D">
      <w:pPr>
        <w:pStyle w:val="30"/>
        <w:rPr>
          <w:color w:val="auto"/>
          <w:highlight w:val="none"/>
        </w:rPr>
      </w:pPr>
    </w:p>
    <w:p w14:paraId="3FE4E454">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0AE3DC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296BEE7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558ADBDE">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8573E5A">
      <w:pPr>
        <w:pStyle w:val="7"/>
        <w:numPr>
          <w:ilvl w:val="0"/>
          <w:numId w:val="0"/>
        </w:numPr>
        <w:kinsoku w:val="0"/>
        <w:overflowPunct w:val="0"/>
        <w:spacing w:before="130" w:line="355" w:lineRule="auto"/>
        <w:ind w:right="7" w:rightChars="0"/>
        <w:jc w:val="both"/>
        <w:rPr>
          <w:rFonts w:hint="eastAsia" w:ascii="仿宋" w:hAnsi="仿宋" w:eastAsia="仿宋" w:cs="仿宋"/>
          <w:b/>
          <w:bCs/>
          <w:color w:val="auto"/>
          <w:sz w:val="36"/>
          <w:szCs w:val="36"/>
          <w:highlight w:val="none"/>
          <w:lang w:val="en-US" w:eastAsia="zh-CN"/>
        </w:rPr>
      </w:pPr>
    </w:p>
    <w:p w14:paraId="28A2710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1</w:t>
      </w:r>
      <w:r>
        <w:rPr>
          <w:rFonts w:hint="eastAsia" w:ascii="仿宋" w:hAnsi="仿宋" w:eastAsia="仿宋" w:cs="仿宋"/>
          <w:b/>
          <w:bCs/>
          <w:color w:val="auto"/>
          <w:sz w:val="36"/>
          <w:szCs w:val="36"/>
          <w:highlight w:val="none"/>
        </w:rPr>
        <w:t>、投标函</w:t>
      </w:r>
    </w:p>
    <w:p w14:paraId="1821A4B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致：</w:t>
      </w:r>
      <w:r>
        <w:rPr>
          <w:rFonts w:hint="eastAsia" w:ascii="仿宋" w:hAnsi="仿宋" w:eastAsia="仿宋" w:cs="仿宋"/>
          <w:color w:val="auto"/>
          <w:kern w:val="0"/>
          <w:sz w:val="24"/>
          <w:highlight w:val="none"/>
          <w:u w:val="single"/>
        </w:rPr>
        <w:t xml:space="preserve">                     </w:t>
      </w:r>
    </w:p>
    <w:p w14:paraId="11C7560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为响应你方组织的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项目的招标[项目编号为：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]，我方愿参与投标。</w:t>
      </w:r>
    </w:p>
    <w:p w14:paraId="368F866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我方确认收到贵方提供的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none"/>
          <w:lang w:eastAsia="zh-CN"/>
        </w:rPr>
        <w:t>谈判文件</w:t>
      </w:r>
      <w:r>
        <w:rPr>
          <w:rFonts w:hint="eastAsia" w:ascii="仿宋" w:hAnsi="仿宋" w:eastAsia="仿宋" w:cs="仿宋"/>
          <w:color w:val="auto"/>
          <w:kern w:val="0"/>
          <w:sz w:val="24"/>
          <w:highlight w:val="none"/>
        </w:rPr>
        <w:t>的全部内容。</w:t>
      </w:r>
    </w:p>
    <w:p w14:paraId="113A99F6">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我方在参与投标前已详细研究了</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的所有内容，包括澄清、修改文件（如果有）和所有已提供的参考资料以及有关附件，我方完全明白并认为此</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没有倾向性，也不存在排斥潜在报价投标人的内容，我方同意</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的相关条款，放弃对</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提出误解和质疑的一切权力。</w:t>
      </w:r>
    </w:p>
    <w:p w14:paraId="3E35AB0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(投标人名称)      </w:t>
      </w:r>
      <w:r>
        <w:rPr>
          <w:rFonts w:hint="eastAsia" w:ascii="仿宋" w:hAnsi="仿宋" w:eastAsia="仿宋" w:cs="仿宋"/>
          <w:color w:val="auto"/>
          <w:kern w:val="0"/>
          <w:sz w:val="24"/>
          <w:highlight w:val="none"/>
        </w:rPr>
        <w:t>作为投标人正式授权</w:t>
      </w:r>
      <w:r>
        <w:rPr>
          <w:rFonts w:hint="eastAsia" w:ascii="仿宋" w:hAnsi="仿宋" w:eastAsia="仿宋" w:cs="仿宋"/>
          <w:color w:val="auto"/>
          <w:kern w:val="0"/>
          <w:sz w:val="24"/>
          <w:highlight w:val="none"/>
          <w:u w:val="single"/>
        </w:rPr>
        <w:t xml:space="preserve">  (授权代表全名, 职务)  </w:t>
      </w:r>
      <w:r>
        <w:rPr>
          <w:rFonts w:hint="eastAsia" w:ascii="仿宋" w:hAnsi="仿宋" w:eastAsia="仿宋" w:cs="仿宋"/>
          <w:color w:val="auto"/>
          <w:kern w:val="0"/>
          <w:sz w:val="24"/>
          <w:highlight w:val="none"/>
        </w:rPr>
        <w:t>代表我方全权处理有关本报价的一切事宜。</w:t>
      </w:r>
    </w:p>
    <w:p w14:paraId="44BAFFA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我方已完全明白</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的所有条款要求，并申明如下：</w:t>
      </w:r>
    </w:p>
    <w:p w14:paraId="135CC8D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提供的全部货物与相关服务的投标总价详见《报价一览表》。</w:t>
      </w:r>
    </w:p>
    <w:p w14:paraId="10AE8DE0">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（二）本</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的有效期为投标截止时间起</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rPr>
        <w:t>天。如</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，有效期将延至合同终止日为止。在此提交的资格证明文件均至投标截止日有效，如有在投标有效期内失效的，我方承诺在</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后补齐一切手续，保证所有资格证明文件能在签订采购合同时直至采购合同终止日有效。</w:t>
      </w:r>
    </w:p>
    <w:p w14:paraId="154319E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（三）我方同意按照贵方可能提出的要求而提供与投标有关的任何其它数据、信息或资料。</w:t>
      </w:r>
    </w:p>
    <w:p w14:paraId="6DF8B57B">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四</w:t>
      </w:r>
      <w:r>
        <w:rPr>
          <w:rFonts w:hint="eastAsia" w:ascii="仿宋" w:hAnsi="仿宋" w:eastAsia="仿宋" w:cs="仿宋"/>
          <w:color w:val="auto"/>
          <w:kern w:val="0"/>
          <w:sz w:val="24"/>
          <w:highlight w:val="none"/>
        </w:rPr>
        <w:t>）我方如果</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，将保证履行</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及其澄清、修改文件（如果有）中的全部责任和义务，按质、按量、按期完成《招标内容》及《合同书》中的全部任务。</w:t>
      </w:r>
    </w:p>
    <w:p w14:paraId="0C5E2484">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五</w:t>
      </w:r>
      <w:r>
        <w:rPr>
          <w:rFonts w:hint="eastAsia" w:ascii="仿宋" w:hAnsi="仿宋" w:eastAsia="仿宋" w:cs="仿宋"/>
          <w:color w:val="auto"/>
          <w:kern w:val="0"/>
          <w:sz w:val="24"/>
          <w:highlight w:val="none"/>
        </w:rPr>
        <w:t>）如我方被授予合同，我方承诺支付就本次招标应支付或将支付的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服务费（详见按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要求格式填写的《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服务费支付承诺书》）。</w:t>
      </w:r>
    </w:p>
    <w:p w14:paraId="0934A84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六</w:t>
      </w:r>
      <w:r>
        <w:rPr>
          <w:rFonts w:hint="eastAsia" w:ascii="仿宋" w:hAnsi="仿宋" w:eastAsia="仿宋" w:cs="仿宋"/>
          <w:color w:val="auto"/>
          <w:kern w:val="0"/>
          <w:sz w:val="24"/>
          <w:highlight w:val="none"/>
        </w:rPr>
        <w:t>）我方作为在法律、财务和运作上独立于采购人、招标代理机构的投标人，在此保证所提交的所有文件和全部说明是真实的和正确的。</w:t>
      </w:r>
    </w:p>
    <w:p w14:paraId="1F057AA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七</w:t>
      </w:r>
      <w:r>
        <w:rPr>
          <w:rFonts w:hint="eastAsia" w:ascii="仿宋" w:hAnsi="仿宋" w:eastAsia="仿宋" w:cs="仿宋"/>
          <w:color w:val="auto"/>
          <w:kern w:val="0"/>
          <w:sz w:val="24"/>
          <w:highlight w:val="none"/>
        </w:rPr>
        <w:t>）我方投标报价已包含应向知识产权所有权人支付的所有相关税费，并保证采购人在中国使用我方提供的货物时，如有第三方提出侵犯其知识产权主张的，责任由我方承担。</w:t>
      </w:r>
    </w:p>
    <w:p w14:paraId="2B90340F">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八</w:t>
      </w:r>
      <w:r>
        <w:rPr>
          <w:rFonts w:hint="eastAsia" w:ascii="仿宋" w:hAnsi="仿宋" w:eastAsia="仿宋" w:cs="仿宋"/>
          <w:color w:val="auto"/>
          <w:kern w:val="0"/>
          <w:sz w:val="24"/>
          <w:highlight w:val="none"/>
        </w:rPr>
        <w:t>）我方与其他投标人不存在单位负责人为同一人或者存在直接控股、管理关系。</w:t>
      </w:r>
    </w:p>
    <w:p w14:paraId="3C99987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九</w:t>
      </w:r>
      <w:r>
        <w:rPr>
          <w:rFonts w:hint="eastAsia" w:ascii="仿宋" w:hAnsi="仿宋" w:eastAsia="仿宋" w:cs="仿宋"/>
          <w:color w:val="auto"/>
          <w:kern w:val="0"/>
          <w:sz w:val="24"/>
          <w:highlight w:val="none"/>
        </w:rPr>
        <w:t>）我方承诺未为本项目提供整体设计、规范编制或者项目管理、监理、检测等服务。</w:t>
      </w:r>
    </w:p>
    <w:p w14:paraId="1A333B15">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（十）我方具备《政府采购法》第二十二条规定的条件，承诺如下：</w:t>
      </w:r>
    </w:p>
    <w:p w14:paraId="1756B5D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（1）我方已依法缴纳了各项税费及社会保险费用，如有需要，可随时向采购人提供近三个月内的相关缴费证明，以便核查。</w:t>
      </w:r>
    </w:p>
    <w:p w14:paraId="5201CDD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（2）我方已依法建立健全的财务会计制度，如有需要，可随时向采购人提供相关的证明材料，以便核查。</w:t>
      </w:r>
    </w:p>
    <w:p w14:paraId="4874F1E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（3）我方参加本项目政府采购活动前3年内在经营活动中没有重大违法记录。</w:t>
      </w:r>
    </w:p>
    <w:p w14:paraId="05E8FD7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（4）我方具备履行合同所必需的设备和专业技术能力。</w:t>
      </w:r>
    </w:p>
    <w:p w14:paraId="27EAF15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（5）我方符合法律、行政法规规定的其他条件。</w:t>
      </w:r>
    </w:p>
    <w:p w14:paraId="33C503B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以上内容如有虚假或与事实不符的，评审委员会可将我方做无效投标处理，我方愿意承担相应的法律责任。</w:t>
      </w:r>
    </w:p>
    <w:p w14:paraId="1E633F4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（十三）我方对在本函及</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中所作的所有承诺承担法律责任。</w:t>
      </w:r>
    </w:p>
    <w:p w14:paraId="74BAD2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（十四）所有与本招标有关的函件请发往下列地址：</w:t>
      </w:r>
    </w:p>
    <w:p w14:paraId="3C0C9EF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.邮政编码：</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6204D9A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电    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11AE6040">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    真：</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2D3353DC">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代表姓名：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.职    务：</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AA26CF5">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（公章） </w:t>
      </w:r>
    </w:p>
    <w:p w14:paraId="336BED7F">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法定代表人或委托人：</w:t>
      </w:r>
      <w:r>
        <w:rPr>
          <w:rFonts w:hint="eastAsia" w:ascii="仿宋" w:hAnsi="仿宋" w:eastAsia="仿宋" w:cs="仿宋"/>
          <w:color w:val="auto"/>
          <w:kern w:val="0"/>
          <w:sz w:val="24"/>
          <w:highlight w:val="non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 xml:space="preserve">）  </w:t>
      </w:r>
    </w:p>
    <w:p w14:paraId="6428BCE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70154096">
      <w:pPr>
        <w:pStyle w:val="30"/>
        <w:rPr>
          <w:rFonts w:hint="eastAsia" w:ascii="仿宋" w:hAnsi="仿宋" w:eastAsia="仿宋" w:cs="仿宋"/>
          <w:color w:val="auto"/>
          <w:sz w:val="24"/>
          <w:highlight w:val="none"/>
        </w:rPr>
      </w:pPr>
      <w:r>
        <w:rPr>
          <w:rFonts w:hint="eastAsia" w:ascii="仿宋" w:hAnsi="仿宋" w:eastAsia="仿宋" w:cs="仿宋"/>
          <w:color w:val="auto"/>
          <w:highlight w:val="none"/>
        </w:rPr>
        <w:br w:type="page"/>
      </w:r>
    </w:p>
    <w:p w14:paraId="5D575355">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A0BFA32">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r>
        <w:rPr>
          <w:rFonts w:hint="eastAsia" w:ascii="仿宋" w:hAnsi="仿宋" w:eastAsia="仿宋" w:cs="仿宋"/>
          <w:color w:val="auto"/>
          <w:szCs w:val="21"/>
          <w:highlight w:val="none"/>
          <w:u w:val="single"/>
        </w:rPr>
        <w:t xml:space="preserve">                         </w:t>
      </w:r>
    </w:p>
    <w:p w14:paraId="1623AFF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color w:val="auto"/>
          <w:szCs w:val="21"/>
          <w:highlight w:val="none"/>
          <w:u w:val="single"/>
        </w:rPr>
        <w:t xml:space="preserve">                         </w:t>
      </w:r>
    </w:p>
    <w:p w14:paraId="7115A361">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3"/>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0235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6006C88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3A669ED6">
            <w:pPr>
              <w:shd w:val="clear" w:color="auto" w:fill="auto"/>
              <w:rPr>
                <w:rFonts w:hint="eastAsia" w:ascii="仿宋" w:hAnsi="仿宋" w:eastAsia="仿宋" w:cs="仿宋"/>
                <w:color w:val="auto"/>
                <w:szCs w:val="21"/>
                <w:highlight w:val="none"/>
              </w:rPr>
            </w:pPr>
          </w:p>
        </w:tc>
      </w:tr>
      <w:tr w14:paraId="2FEA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32A9627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质保期</w:t>
            </w:r>
          </w:p>
        </w:tc>
        <w:tc>
          <w:tcPr>
            <w:tcW w:w="6185" w:type="dxa"/>
            <w:vAlign w:val="center"/>
          </w:tcPr>
          <w:p w14:paraId="3FE25195">
            <w:pPr>
              <w:shd w:val="clear" w:color="auto" w:fill="auto"/>
              <w:jc w:val="center"/>
              <w:rPr>
                <w:rFonts w:hint="eastAsia" w:ascii="仿宋" w:hAnsi="仿宋" w:eastAsia="仿宋" w:cs="仿宋"/>
                <w:color w:val="auto"/>
                <w:szCs w:val="21"/>
                <w:highlight w:val="none"/>
              </w:rPr>
            </w:pPr>
          </w:p>
        </w:tc>
      </w:tr>
      <w:tr w14:paraId="5435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41F574F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285F4AB6">
            <w:pPr>
              <w:shd w:val="clear" w:color="auto" w:fill="auto"/>
              <w:jc w:val="center"/>
              <w:rPr>
                <w:rFonts w:hint="eastAsia" w:ascii="仿宋" w:hAnsi="仿宋" w:eastAsia="仿宋" w:cs="仿宋"/>
                <w:color w:val="auto"/>
                <w:szCs w:val="21"/>
                <w:highlight w:val="none"/>
                <w:lang w:val="en-US" w:eastAsia="zh-CN"/>
              </w:rPr>
            </w:pPr>
          </w:p>
        </w:tc>
      </w:tr>
      <w:tr w14:paraId="417A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CA614E2">
            <w:pPr>
              <w:shd w:val="clear" w:color="auto" w:fill="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供货期</w:t>
            </w:r>
          </w:p>
        </w:tc>
        <w:tc>
          <w:tcPr>
            <w:tcW w:w="6185" w:type="dxa"/>
            <w:vAlign w:val="center"/>
          </w:tcPr>
          <w:p w14:paraId="7C79A9AC">
            <w:pPr>
              <w:shd w:val="clear" w:color="auto" w:fill="auto"/>
              <w:jc w:val="center"/>
              <w:rPr>
                <w:rFonts w:hint="eastAsia" w:ascii="仿宋" w:hAnsi="仿宋" w:eastAsia="仿宋" w:cs="仿宋"/>
                <w:color w:val="auto"/>
                <w:szCs w:val="21"/>
                <w:highlight w:val="none"/>
                <w:lang w:val="en-US" w:eastAsia="zh-CN"/>
              </w:rPr>
            </w:pPr>
          </w:p>
        </w:tc>
      </w:tr>
      <w:tr w14:paraId="7E70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3F6CA8FE">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eastAsia="zh-CN"/>
              </w:rPr>
              <w:t>价格</w:t>
            </w:r>
          </w:p>
          <w:p w14:paraId="7974C54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B0A911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5F7A0DD6">
            <w:pPr>
              <w:shd w:val="clear" w:color="auto" w:fill="auto"/>
              <w:ind w:firstLine="1944" w:firstLineChars="800"/>
              <w:jc w:val="both"/>
              <w:rPr>
                <w:rFonts w:hint="default" w:ascii="仿宋" w:hAnsi="仿宋" w:eastAsia="仿宋" w:cs="仿宋"/>
                <w:color w:val="auto"/>
                <w:szCs w:val="21"/>
                <w:highlight w:val="none"/>
                <w:lang w:val="en-US" w:eastAsia="zh-CN"/>
              </w:rPr>
            </w:pPr>
          </w:p>
        </w:tc>
      </w:tr>
      <w:tr w14:paraId="07FB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94ED6EF">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2FF12CF2">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7A54F82C">
            <w:pPr>
              <w:shd w:val="clear" w:color="auto" w:fill="auto"/>
              <w:ind w:firstLine="1944" w:firstLineChars="800"/>
              <w:jc w:val="both"/>
              <w:rPr>
                <w:rFonts w:hint="eastAsia" w:ascii="仿宋" w:hAnsi="仿宋" w:eastAsia="仿宋" w:cs="仿宋"/>
                <w:color w:val="auto"/>
                <w:szCs w:val="21"/>
                <w:highlight w:val="none"/>
              </w:rPr>
            </w:pPr>
          </w:p>
        </w:tc>
      </w:tr>
    </w:tbl>
    <w:p w14:paraId="5184F1C8">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2A6B94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6E969F0">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.投标总价为招标范围所列全部招标项目的报价总和，并应与投标报价明细表及分项价格表保持一致。</w:t>
      </w:r>
    </w:p>
    <w:p w14:paraId="5D299807">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309217AE">
      <w:pPr>
        <w:pStyle w:val="18"/>
        <w:rPr>
          <w:rFonts w:hint="eastAsia" w:ascii="仿宋" w:hAnsi="仿宋" w:eastAsia="仿宋" w:cs="仿宋"/>
          <w:color w:val="auto"/>
          <w:szCs w:val="21"/>
          <w:highlight w:val="none"/>
        </w:rPr>
      </w:pPr>
    </w:p>
    <w:p w14:paraId="4DE1FE80">
      <w:pPr>
        <w:rPr>
          <w:rFonts w:hint="eastAsia"/>
          <w:color w:val="auto"/>
          <w:highlight w:val="none"/>
        </w:rPr>
      </w:pPr>
    </w:p>
    <w:p w14:paraId="2FC6358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6915C67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0AA964E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AE65F41">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45DAE3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3653EDE">
      <w:pPr>
        <w:pStyle w:val="33"/>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4B73D96D">
      <w:pPr>
        <w:pStyle w:val="11"/>
        <w:spacing w:line="240" w:lineRule="atLeast"/>
        <w:ind w:left="1164" w:leftChars="257" w:hanging="540"/>
        <w:rPr>
          <w:rFonts w:ascii="仿宋" w:hAnsi="仿宋" w:eastAsia="仿宋" w:cs="仿宋"/>
          <w:color w:val="auto"/>
          <w:highlight w:val="none"/>
          <w:lang w:eastAsia="zh-CN"/>
        </w:rPr>
      </w:pPr>
    </w:p>
    <w:p w14:paraId="21534A63">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09EA00B9">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p>
    <w:tbl>
      <w:tblPr>
        <w:tblStyle w:val="23"/>
        <w:tblW w:w="7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040"/>
        <w:gridCol w:w="1040"/>
        <w:gridCol w:w="1101"/>
      </w:tblGrid>
      <w:tr w14:paraId="200F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6722D5CD">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4FF27F5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BADE1E0">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18A049F1">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品牌</w:t>
            </w:r>
          </w:p>
        </w:tc>
        <w:tc>
          <w:tcPr>
            <w:tcW w:w="1040" w:type="dxa"/>
            <w:vAlign w:val="center"/>
          </w:tcPr>
          <w:p w14:paraId="2F66F222">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型号</w:t>
            </w:r>
          </w:p>
        </w:tc>
        <w:tc>
          <w:tcPr>
            <w:tcW w:w="1040" w:type="dxa"/>
            <w:vAlign w:val="center"/>
          </w:tcPr>
          <w:p w14:paraId="0A6FE03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101" w:type="dxa"/>
            <w:vAlign w:val="center"/>
          </w:tcPr>
          <w:p w14:paraId="47EA4FAF">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CF4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69A66E51">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0C2B167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BDB247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ED3B3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148AE9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50BB4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84C2C3C">
            <w:pPr>
              <w:pStyle w:val="11"/>
              <w:spacing w:line="240" w:lineRule="atLeast"/>
              <w:ind w:left="1164" w:leftChars="257" w:hanging="540"/>
              <w:rPr>
                <w:rFonts w:ascii="仿宋" w:hAnsi="仿宋" w:eastAsia="仿宋" w:cs="仿宋"/>
                <w:color w:val="auto"/>
                <w:highlight w:val="none"/>
                <w:lang w:eastAsia="zh-CN"/>
              </w:rPr>
            </w:pPr>
          </w:p>
        </w:tc>
      </w:tr>
      <w:tr w14:paraId="39DD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0AAED21D">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1031546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E56038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ACDDC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5610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40A5F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85A3A0">
            <w:pPr>
              <w:pStyle w:val="11"/>
              <w:spacing w:line="240" w:lineRule="atLeast"/>
              <w:ind w:left="1164" w:leftChars="257" w:hanging="540"/>
              <w:rPr>
                <w:rFonts w:ascii="仿宋" w:hAnsi="仿宋" w:eastAsia="仿宋" w:cs="仿宋"/>
                <w:color w:val="auto"/>
                <w:highlight w:val="none"/>
                <w:lang w:eastAsia="zh-CN"/>
              </w:rPr>
            </w:pPr>
          </w:p>
        </w:tc>
      </w:tr>
      <w:tr w14:paraId="4DEA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5F3B413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672FAC16">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1DCA04D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35CB0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9F5E20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7964407">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52D720F7">
            <w:pPr>
              <w:pStyle w:val="11"/>
              <w:spacing w:line="240" w:lineRule="atLeast"/>
              <w:ind w:left="1164" w:leftChars="257" w:hanging="540"/>
              <w:rPr>
                <w:rFonts w:ascii="仿宋" w:hAnsi="仿宋" w:eastAsia="仿宋" w:cs="仿宋"/>
                <w:color w:val="auto"/>
                <w:highlight w:val="none"/>
                <w:lang w:eastAsia="zh-CN"/>
              </w:rPr>
            </w:pPr>
          </w:p>
        </w:tc>
      </w:tr>
      <w:tr w14:paraId="169A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50A7111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88FC7A4">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32E78FF5">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C3723A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4FE7E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D3EF9A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819D587">
            <w:pPr>
              <w:pStyle w:val="11"/>
              <w:spacing w:line="240" w:lineRule="atLeast"/>
              <w:ind w:left="1164" w:leftChars="257" w:hanging="540"/>
              <w:rPr>
                <w:rFonts w:ascii="仿宋" w:hAnsi="仿宋" w:eastAsia="仿宋" w:cs="仿宋"/>
                <w:color w:val="auto"/>
                <w:highlight w:val="none"/>
                <w:lang w:eastAsia="zh-CN"/>
              </w:rPr>
            </w:pPr>
          </w:p>
        </w:tc>
      </w:tr>
      <w:tr w14:paraId="2F81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6F01DE6E">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1F4739A">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268A0D52">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77424E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31A7449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36D2C12">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C65652D">
            <w:pPr>
              <w:pStyle w:val="11"/>
              <w:spacing w:line="240" w:lineRule="atLeast"/>
              <w:ind w:left="1164" w:leftChars="257" w:hanging="540"/>
              <w:rPr>
                <w:rFonts w:ascii="仿宋" w:hAnsi="仿宋" w:eastAsia="仿宋" w:cs="仿宋"/>
                <w:color w:val="auto"/>
                <w:highlight w:val="none"/>
                <w:lang w:eastAsia="zh-CN"/>
              </w:rPr>
            </w:pPr>
          </w:p>
        </w:tc>
      </w:tr>
      <w:tr w14:paraId="0658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2C0A71E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2F1CCE5">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5905482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D916A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1DD0454">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5FD04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7821720">
            <w:pPr>
              <w:pStyle w:val="11"/>
              <w:spacing w:line="240" w:lineRule="atLeast"/>
              <w:ind w:left="1164" w:leftChars="257" w:hanging="540"/>
              <w:rPr>
                <w:rFonts w:ascii="仿宋" w:hAnsi="仿宋" w:eastAsia="仿宋" w:cs="仿宋"/>
                <w:color w:val="auto"/>
                <w:highlight w:val="none"/>
                <w:lang w:eastAsia="zh-CN"/>
              </w:rPr>
            </w:pPr>
          </w:p>
        </w:tc>
      </w:tr>
      <w:tr w14:paraId="684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39FFF79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D78C991">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46282F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FB58EC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C52C2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E4E35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F987AD">
            <w:pPr>
              <w:pStyle w:val="11"/>
              <w:spacing w:line="240" w:lineRule="atLeast"/>
              <w:ind w:left="1164" w:leftChars="257" w:hanging="540"/>
              <w:rPr>
                <w:rFonts w:ascii="仿宋" w:hAnsi="仿宋" w:eastAsia="仿宋" w:cs="仿宋"/>
                <w:color w:val="auto"/>
                <w:highlight w:val="none"/>
                <w:lang w:eastAsia="zh-CN"/>
              </w:rPr>
            </w:pPr>
          </w:p>
        </w:tc>
      </w:tr>
      <w:tr w14:paraId="75C0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B189E88">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B7F39DD">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378F99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C0DD88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858FB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BE131C0">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50B543E">
            <w:pPr>
              <w:pStyle w:val="11"/>
              <w:spacing w:line="240" w:lineRule="atLeast"/>
              <w:ind w:left="1164" w:leftChars="257" w:hanging="540"/>
              <w:rPr>
                <w:rFonts w:ascii="仿宋" w:hAnsi="仿宋" w:eastAsia="仿宋" w:cs="仿宋"/>
                <w:color w:val="auto"/>
                <w:highlight w:val="none"/>
                <w:lang w:eastAsia="zh-CN"/>
              </w:rPr>
            </w:pPr>
          </w:p>
        </w:tc>
      </w:tr>
    </w:tbl>
    <w:p w14:paraId="6891F72F">
      <w:pPr>
        <w:pStyle w:val="11"/>
        <w:spacing w:line="240" w:lineRule="atLeast"/>
        <w:ind w:left="1164" w:leftChars="257" w:hanging="540"/>
        <w:rPr>
          <w:rFonts w:ascii="仿宋" w:hAnsi="仿宋" w:eastAsia="仿宋" w:cs="仿宋"/>
          <w:color w:val="auto"/>
          <w:highlight w:val="none"/>
        </w:rPr>
      </w:pPr>
    </w:p>
    <w:p w14:paraId="2690E877">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2309AC13">
      <w:pPr>
        <w:pStyle w:val="11"/>
        <w:tabs>
          <w:tab w:val="left" w:pos="5370"/>
        </w:tabs>
        <w:spacing w:line="240" w:lineRule="atLeast"/>
        <w:ind w:left="1164" w:leftChars="257" w:hanging="540"/>
        <w:rPr>
          <w:rFonts w:ascii="仿宋" w:hAnsi="仿宋" w:eastAsia="仿宋" w:cs="仿宋"/>
          <w:color w:val="auto"/>
          <w:highlight w:val="none"/>
          <w:lang w:eastAsia="zh-CN"/>
        </w:rPr>
      </w:pPr>
    </w:p>
    <w:p w14:paraId="4183A3D4">
      <w:pPr>
        <w:pStyle w:val="11"/>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142B9FFD">
      <w:pPr>
        <w:pStyle w:val="11"/>
        <w:spacing w:line="240" w:lineRule="atLeast"/>
        <w:ind w:left="1164" w:leftChars="257" w:hanging="540"/>
        <w:rPr>
          <w:rFonts w:ascii="仿宋" w:hAnsi="仿宋" w:eastAsia="仿宋" w:cs="仿宋"/>
          <w:color w:val="auto"/>
          <w:highlight w:val="none"/>
          <w:lang w:eastAsia="zh-CN"/>
        </w:rPr>
      </w:pPr>
    </w:p>
    <w:p w14:paraId="24ECC974">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015132E">
      <w:pPr>
        <w:pStyle w:val="11"/>
        <w:spacing w:line="240" w:lineRule="atLeast"/>
        <w:ind w:left="1164" w:leftChars="257" w:hanging="540"/>
        <w:jc w:val="center"/>
        <w:rPr>
          <w:rFonts w:hAnsi="宋体" w:eastAsia="宋体" w:cs="宋体"/>
          <w:color w:val="auto"/>
          <w:highlight w:val="none"/>
          <w:lang w:eastAsia="zh-CN"/>
        </w:rPr>
      </w:pPr>
    </w:p>
    <w:p w14:paraId="064D59CD">
      <w:pPr>
        <w:pStyle w:val="11"/>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pgNumType w:fmt="decimal"/>
          <w:cols w:space="720" w:num="1"/>
          <w:docGrid w:type="linesAndChars" w:linePitch="325" w:charSpace="635"/>
        </w:sectPr>
      </w:pPr>
    </w:p>
    <w:p w14:paraId="3B64CFFB">
      <w:pPr>
        <w:pStyle w:val="33"/>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、投标分项报价明细表</w:t>
      </w:r>
    </w:p>
    <w:p w14:paraId="7D1B8E78">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518DAB14">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p>
    <w:p w14:paraId="67E1F13A">
      <w:pPr>
        <w:pStyle w:val="11"/>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3"/>
        <w:tblW w:w="79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185"/>
        <w:gridCol w:w="1438"/>
        <w:gridCol w:w="716"/>
        <w:gridCol w:w="716"/>
        <w:gridCol w:w="709"/>
        <w:gridCol w:w="886"/>
        <w:gridCol w:w="820"/>
        <w:gridCol w:w="820"/>
      </w:tblGrid>
      <w:tr w14:paraId="1F794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EFB1441">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185" w:type="dxa"/>
            <w:tcBorders>
              <w:top w:val="single" w:color="auto" w:sz="4" w:space="0"/>
              <w:left w:val="single" w:color="auto" w:sz="4" w:space="0"/>
              <w:bottom w:val="single" w:color="auto" w:sz="4" w:space="0"/>
              <w:right w:val="single" w:color="auto" w:sz="4" w:space="0"/>
            </w:tcBorders>
            <w:vAlign w:val="center"/>
          </w:tcPr>
          <w:p w14:paraId="3D16E736">
            <w:pPr>
              <w:spacing w:line="500" w:lineRule="exact"/>
              <w:jc w:val="center"/>
              <w:rPr>
                <w:rFonts w:ascii="仿宋" w:hAnsi="仿宋" w:eastAsia="仿宋" w:cs="仿宋"/>
                <w:color w:val="auto"/>
                <w:szCs w:val="21"/>
                <w:highlight w:val="none"/>
              </w:rPr>
            </w:pPr>
            <w:r>
              <w:rPr>
                <w:rFonts w:hint="eastAsia" w:ascii="仿宋" w:hAnsi="仿宋" w:eastAsia="仿宋" w:cs="仿宋"/>
                <w:color w:val="auto"/>
                <w:kern w:val="2"/>
                <w:szCs w:val="20"/>
                <w:highlight w:val="none"/>
                <w:u w:color="000000"/>
                <w:lang w:eastAsia="zh-CN" w:bidi="ar-SA"/>
              </w:rPr>
              <w:t>货物</w:t>
            </w:r>
            <w:r>
              <w:rPr>
                <w:rFonts w:hint="eastAsia" w:ascii="仿宋" w:hAnsi="仿宋" w:eastAsia="仿宋" w:cs="仿宋"/>
                <w:color w:val="auto"/>
                <w:szCs w:val="21"/>
                <w:highlight w:val="none"/>
              </w:rPr>
              <w:t>名称</w:t>
            </w:r>
          </w:p>
        </w:tc>
        <w:tc>
          <w:tcPr>
            <w:tcW w:w="1438" w:type="dxa"/>
            <w:tcBorders>
              <w:top w:val="single" w:color="auto" w:sz="4" w:space="0"/>
              <w:left w:val="single" w:color="auto" w:sz="4" w:space="0"/>
              <w:bottom w:val="single" w:color="auto" w:sz="4" w:space="0"/>
              <w:right w:val="single" w:color="auto" w:sz="4" w:space="0"/>
            </w:tcBorders>
            <w:vAlign w:val="center"/>
          </w:tcPr>
          <w:p w14:paraId="6E3154A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规格</w:t>
            </w:r>
          </w:p>
        </w:tc>
        <w:tc>
          <w:tcPr>
            <w:tcW w:w="716" w:type="dxa"/>
            <w:tcBorders>
              <w:top w:val="single" w:color="auto" w:sz="4" w:space="0"/>
              <w:left w:val="single" w:color="auto" w:sz="4" w:space="0"/>
              <w:bottom w:val="single" w:color="auto" w:sz="4" w:space="0"/>
              <w:right w:val="single" w:color="auto" w:sz="4" w:space="0"/>
            </w:tcBorders>
            <w:vAlign w:val="center"/>
          </w:tcPr>
          <w:p w14:paraId="40905D23">
            <w:pPr>
              <w:spacing w:line="5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品牌</w:t>
            </w:r>
          </w:p>
        </w:tc>
        <w:tc>
          <w:tcPr>
            <w:tcW w:w="716" w:type="dxa"/>
            <w:tcBorders>
              <w:top w:val="single" w:color="auto" w:sz="4" w:space="0"/>
              <w:left w:val="single" w:color="auto" w:sz="4" w:space="0"/>
              <w:bottom w:val="single" w:color="auto" w:sz="4" w:space="0"/>
              <w:right w:val="single" w:color="auto" w:sz="4" w:space="0"/>
            </w:tcBorders>
            <w:vAlign w:val="center"/>
          </w:tcPr>
          <w:p w14:paraId="03FC52D2">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369DEC">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886" w:type="dxa"/>
            <w:tcBorders>
              <w:top w:val="single" w:color="auto" w:sz="4" w:space="0"/>
              <w:left w:val="single" w:color="auto" w:sz="4" w:space="0"/>
              <w:bottom w:val="single" w:color="auto" w:sz="4" w:space="0"/>
              <w:right w:val="single" w:color="auto" w:sz="4" w:space="0"/>
            </w:tcBorders>
            <w:vAlign w:val="center"/>
          </w:tcPr>
          <w:p w14:paraId="0211567D">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单价（元）</w:t>
            </w:r>
          </w:p>
        </w:tc>
        <w:tc>
          <w:tcPr>
            <w:tcW w:w="820" w:type="dxa"/>
            <w:tcBorders>
              <w:top w:val="single" w:color="auto" w:sz="4" w:space="0"/>
              <w:left w:val="single" w:color="auto" w:sz="4" w:space="0"/>
              <w:bottom w:val="single" w:color="auto" w:sz="4" w:space="0"/>
              <w:right w:val="single" w:color="auto" w:sz="4" w:space="0"/>
            </w:tcBorders>
            <w:vAlign w:val="center"/>
          </w:tcPr>
          <w:p w14:paraId="1CA9FF6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总价（元）</w:t>
            </w:r>
          </w:p>
        </w:tc>
        <w:tc>
          <w:tcPr>
            <w:tcW w:w="820" w:type="dxa"/>
            <w:tcBorders>
              <w:top w:val="single" w:color="auto" w:sz="4" w:space="0"/>
              <w:left w:val="single" w:color="auto" w:sz="4" w:space="0"/>
              <w:bottom w:val="single" w:color="auto" w:sz="4" w:space="0"/>
              <w:right w:val="single" w:color="auto" w:sz="4" w:space="0"/>
            </w:tcBorders>
            <w:vAlign w:val="center"/>
          </w:tcPr>
          <w:p w14:paraId="6C046C3D">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614C3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67FD36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471E75DB">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28041F5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53CA0FE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E5049F5">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2C769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8DDB14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0E7451D9">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C14A183">
            <w:pPr>
              <w:spacing w:line="500" w:lineRule="exact"/>
              <w:jc w:val="center"/>
              <w:rPr>
                <w:rFonts w:ascii="仿宋" w:hAnsi="仿宋" w:eastAsia="仿宋" w:cs="仿宋"/>
                <w:color w:val="auto"/>
                <w:szCs w:val="21"/>
                <w:highlight w:val="none"/>
              </w:rPr>
            </w:pPr>
          </w:p>
        </w:tc>
      </w:tr>
      <w:tr w14:paraId="0FB0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64DCBC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5B8926B7">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0E1A88E">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48BD7C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8A2BB58">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39BF29">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49FDDF8">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058F42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2B77A68">
            <w:pPr>
              <w:spacing w:line="500" w:lineRule="exact"/>
              <w:jc w:val="center"/>
              <w:rPr>
                <w:rFonts w:ascii="仿宋" w:hAnsi="仿宋" w:eastAsia="仿宋" w:cs="仿宋"/>
                <w:color w:val="auto"/>
                <w:szCs w:val="21"/>
                <w:highlight w:val="none"/>
              </w:rPr>
            </w:pPr>
          </w:p>
        </w:tc>
      </w:tr>
      <w:tr w14:paraId="1BECB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8DD2B4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7F975332">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BEA5B5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50D89B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19C184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311A544">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A341AB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1FAA3780">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ECCFB46">
            <w:pPr>
              <w:spacing w:line="500" w:lineRule="exact"/>
              <w:jc w:val="center"/>
              <w:rPr>
                <w:rFonts w:ascii="仿宋" w:hAnsi="仿宋" w:eastAsia="仿宋" w:cs="仿宋"/>
                <w:color w:val="auto"/>
                <w:szCs w:val="21"/>
                <w:highlight w:val="none"/>
              </w:rPr>
            </w:pPr>
          </w:p>
        </w:tc>
      </w:tr>
      <w:tr w14:paraId="4A90E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A9B35E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25C11478">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406C9B8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4066A30">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09EBE0D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730456E">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23091EBD">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6EAD2A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3ACAC8B4">
            <w:pPr>
              <w:spacing w:line="500" w:lineRule="exact"/>
              <w:jc w:val="center"/>
              <w:rPr>
                <w:rFonts w:ascii="仿宋" w:hAnsi="仿宋" w:eastAsia="仿宋" w:cs="仿宋"/>
                <w:color w:val="auto"/>
                <w:szCs w:val="21"/>
                <w:highlight w:val="none"/>
              </w:rPr>
            </w:pPr>
          </w:p>
        </w:tc>
      </w:tr>
      <w:tr w14:paraId="58B4B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207709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6B8FE593">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DDC953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45B9F39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2C586A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2F65C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546CCF2A">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634D159F">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239AF77">
            <w:pPr>
              <w:spacing w:line="500" w:lineRule="exact"/>
              <w:jc w:val="center"/>
              <w:rPr>
                <w:rFonts w:ascii="仿宋" w:hAnsi="仿宋" w:eastAsia="仿宋" w:cs="仿宋"/>
                <w:color w:val="auto"/>
                <w:szCs w:val="21"/>
                <w:highlight w:val="none"/>
              </w:rPr>
            </w:pPr>
          </w:p>
        </w:tc>
      </w:tr>
    </w:tbl>
    <w:p w14:paraId="55770A6C">
      <w:pPr>
        <w:pStyle w:val="37"/>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4417DA04">
      <w:pPr>
        <w:pStyle w:val="37"/>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2.投标单价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66A67CB7">
      <w:pPr>
        <w:pStyle w:val="37"/>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3589E6F0">
      <w:pPr>
        <w:pStyle w:val="37"/>
        <w:tabs>
          <w:tab w:val="left" w:pos="493"/>
        </w:tabs>
        <w:spacing w:line="317" w:lineRule="exact"/>
        <w:ind w:left="176"/>
        <w:rPr>
          <w:rFonts w:ascii="仿宋" w:hAnsi="仿宋" w:eastAsia="仿宋" w:cs="仿宋"/>
          <w:color w:val="auto"/>
          <w:sz w:val="20"/>
          <w:szCs w:val="20"/>
          <w:highlight w:val="none"/>
        </w:rPr>
      </w:pPr>
    </w:p>
    <w:p w14:paraId="4373ECEE">
      <w:pPr>
        <w:pStyle w:val="37"/>
        <w:tabs>
          <w:tab w:val="left" w:pos="493"/>
        </w:tabs>
        <w:spacing w:line="317" w:lineRule="exact"/>
        <w:ind w:left="176"/>
        <w:rPr>
          <w:rFonts w:ascii="仿宋" w:hAnsi="仿宋" w:eastAsia="仿宋" w:cs="仿宋"/>
          <w:color w:val="auto"/>
          <w:sz w:val="20"/>
          <w:szCs w:val="20"/>
          <w:highlight w:val="none"/>
        </w:rPr>
      </w:pPr>
    </w:p>
    <w:p w14:paraId="37E85DB1">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237FF39D">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2B1F8059">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5A6F8A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1B4097FC">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87926E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AD49AA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578087F">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FC5F7C4">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320ED20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4E207F2C">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5、技术条款偏离表</w:t>
      </w:r>
    </w:p>
    <w:tbl>
      <w:tblPr>
        <w:tblStyle w:val="23"/>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0C593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7A98A25F">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序号</w:t>
            </w:r>
          </w:p>
        </w:tc>
        <w:tc>
          <w:tcPr>
            <w:tcW w:w="1357" w:type="dxa"/>
            <w:vAlign w:val="center"/>
          </w:tcPr>
          <w:p w14:paraId="10BE4984">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货物名称</w:t>
            </w:r>
          </w:p>
        </w:tc>
        <w:tc>
          <w:tcPr>
            <w:tcW w:w="1326" w:type="dxa"/>
            <w:vAlign w:val="center"/>
          </w:tcPr>
          <w:p w14:paraId="080F58F9">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谈判文件</w:t>
            </w:r>
            <w:r>
              <w:rPr>
                <w:rFonts w:hint="eastAsia" w:ascii="仿宋" w:hAnsi="仿宋" w:eastAsia="仿宋" w:cs="仿宋"/>
                <w:bCs/>
                <w:color w:val="auto"/>
                <w:sz w:val="24"/>
                <w:szCs w:val="24"/>
                <w:highlight w:val="none"/>
              </w:rPr>
              <w:t>要求规格</w:t>
            </w:r>
          </w:p>
        </w:tc>
        <w:tc>
          <w:tcPr>
            <w:tcW w:w="1326" w:type="dxa"/>
            <w:vAlign w:val="center"/>
          </w:tcPr>
          <w:p w14:paraId="72C34866">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投标规格</w:t>
            </w:r>
          </w:p>
        </w:tc>
        <w:tc>
          <w:tcPr>
            <w:tcW w:w="1327" w:type="dxa"/>
            <w:vAlign w:val="center"/>
          </w:tcPr>
          <w:p w14:paraId="73BB4E2C">
            <w:pPr>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偏离</w:t>
            </w:r>
          </w:p>
        </w:tc>
        <w:tc>
          <w:tcPr>
            <w:tcW w:w="1327" w:type="dxa"/>
            <w:vAlign w:val="center"/>
          </w:tcPr>
          <w:p w14:paraId="608EFAA0">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说明</w:t>
            </w:r>
          </w:p>
        </w:tc>
      </w:tr>
      <w:tr w14:paraId="6868D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44D9505">
            <w:pPr>
              <w:jc w:val="center"/>
              <w:rPr>
                <w:rFonts w:hint="eastAsia" w:ascii="仿宋" w:hAnsi="仿宋" w:eastAsia="仿宋" w:cs="仿宋"/>
                <w:b/>
                <w:bCs/>
                <w:color w:val="auto"/>
                <w:sz w:val="24"/>
                <w:szCs w:val="24"/>
                <w:highlight w:val="none"/>
              </w:rPr>
            </w:pPr>
          </w:p>
        </w:tc>
        <w:tc>
          <w:tcPr>
            <w:tcW w:w="1357" w:type="dxa"/>
          </w:tcPr>
          <w:p w14:paraId="01531839">
            <w:pPr>
              <w:jc w:val="center"/>
              <w:rPr>
                <w:rFonts w:hint="eastAsia" w:ascii="仿宋" w:hAnsi="仿宋" w:eastAsia="仿宋" w:cs="仿宋"/>
                <w:b/>
                <w:bCs/>
                <w:color w:val="auto"/>
                <w:sz w:val="24"/>
                <w:szCs w:val="24"/>
                <w:highlight w:val="none"/>
              </w:rPr>
            </w:pPr>
          </w:p>
        </w:tc>
        <w:tc>
          <w:tcPr>
            <w:tcW w:w="1326" w:type="dxa"/>
          </w:tcPr>
          <w:p w14:paraId="7CE75912">
            <w:pPr>
              <w:jc w:val="center"/>
              <w:rPr>
                <w:rFonts w:hint="eastAsia" w:ascii="仿宋" w:hAnsi="仿宋" w:eastAsia="仿宋" w:cs="仿宋"/>
                <w:b/>
                <w:bCs/>
                <w:color w:val="auto"/>
                <w:sz w:val="24"/>
                <w:szCs w:val="24"/>
                <w:highlight w:val="none"/>
              </w:rPr>
            </w:pPr>
          </w:p>
        </w:tc>
        <w:tc>
          <w:tcPr>
            <w:tcW w:w="1326" w:type="dxa"/>
          </w:tcPr>
          <w:p w14:paraId="461E53FF">
            <w:pPr>
              <w:jc w:val="center"/>
              <w:rPr>
                <w:rFonts w:hint="eastAsia" w:ascii="仿宋" w:hAnsi="仿宋" w:eastAsia="仿宋" w:cs="仿宋"/>
                <w:b/>
                <w:bCs/>
                <w:color w:val="auto"/>
                <w:sz w:val="24"/>
                <w:szCs w:val="24"/>
                <w:highlight w:val="none"/>
              </w:rPr>
            </w:pPr>
          </w:p>
        </w:tc>
        <w:tc>
          <w:tcPr>
            <w:tcW w:w="1327" w:type="dxa"/>
          </w:tcPr>
          <w:p w14:paraId="627F71BB">
            <w:pPr>
              <w:jc w:val="center"/>
              <w:rPr>
                <w:rFonts w:hint="default" w:ascii="仿宋" w:hAnsi="仿宋" w:eastAsia="仿宋" w:cs="仿宋"/>
                <w:b/>
                <w:bCs/>
                <w:color w:val="auto"/>
                <w:sz w:val="24"/>
                <w:szCs w:val="24"/>
                <w:highlight w:val="none"/>
                <w:lang w:val="en-US"/>
              </w:rPr>
            </w:pPr>
            <w:r>
              <w:rPr>
                <w:rFonts w:hint="default" w:ascii="仿宋" w:hAnsi="仿宋" w:eastAsia="仿宋" w:cs="仿宋"/>
                <w:bCs/>
                <w:color w:val="auto"/>
                <w:sz w:val="24"/>
                <w:szCs w:val="24"/>
                <w:highlight w:val="none"/>
                <w:lang w:val="en-US" w:eastAsia="zh-CN"/>
              </w:rPr>
              <w:t>如有正偏离需提供证明材料，证明材料附后(并注明页码)</w:t>
            </w:r>
          </w:p>
        </w:tc>
        <w:tc>
          <w:tcPr>
            <w:tcW w:w="1327" w:type="dxa"/>
          </w:tcPr>
          <w:p w14:paraId="636FE516">
            <w:pPr>
              <w:jc w:val="center"/>
              <w:rPr>
                <w:rFonts w:hint="eastAsia" w:ascii="仿宋" w:hAnsi="仿宋" w:eastAsia="仿宋" w:cs="仿宋"/>
                <w:b/>
                <w:bCs/>
                <w:color w:val="auto"/>
                <w:sz w:val="24"/>
                <w:szCs w:val="24"/>
                <w:highlight w:val="none"/>
              </w:rPr>
            </w:pPr>
          </w:p>
        </w:tc>
      </w:tr>
      <w:tr w14:paraId="47FC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E2C7FB6">
            <w:pPr>
              <w:jc w:val="center"/>
              <w:rPr>
                <w:rFonts w:hint="eastAsia" w:ascii="仿宋" w:hAnsi="仿宋" w:eastAsia="仿宋" w:cs="仿宋"/>
                <w:b/>
                <w:bCs/>
                <w:color w:val="auto"/>
                <w:sz w:val="24"/>
                <w:szCs w:val="24"/>
                <w:highlight w:val="none"/>
              </w:rPr>
            </w:pPr>
          </w:p>
        </w:tc>
        <w:tc>
          <w:tcPr>
            <w:tcW w:w="1357" w:type="dxa"/>
          </w:tcPr>
          <w:p w14:paraId="478B709A">
            <w:pPr>
              <w:jc w:val="center"/>
              <w:rPr>
                <w:rFonts w:hint="eastAsia" w:ascii="仿宋" w:hAnsi="仿宋" w:eastAsia="仿宋" w:cs="仿宋"/>
                <w:b/>
                <w:bCs/>
                <w:color w:val="auto"/>
                <w:sz w:val="24"/>
                <w:szCs w:val="24"/>
                <w:highlight w:val="none"/>
              </w:rPr>
            </w:pPr>
          </w:p>
        </w:tc>
        <w:tc>
          <w:tcPr>
            <w:tcW w:w="1326" w:type="dxa"/>
          </w:tcPr>
          <w:p w14:paraId="1046AD17">
            <w:pPr>
              <w:jc w:val="center"/>
              <w:rPr>
                <w:rFonts w:hint="eastAsia" w:ascii="仿宋" w:hAnsi="仿宋" w:eastAsia="仿宋" w:cs="仿宋"/>
                <w:b/>
                <w:bCs/>
                <w:color w:val="auto"/>
                <w:sz w:val="24"/>
                <w:szCs w:val="24"/>
                <w:highlight w:val="none"/>
              </w:rPr>
            </w:pPr>
          </w:p>
        </w:tc>
        <w:tc>
          <w:tcPr>
            <w:tcW w:w="1326" w:type="dxa"/>
          </w:tcPr>
          <w:p w14:paraId="3C8B6315">
            <w:pPr>
              <w:jc w:val="center"/>
              <w:rPr>
                <w:rFonts w:hint="eastAsia" w:ascii="仿宋" w:hAnsi="仿宋" w:eastAsia="仿宋" w:cs="仿宋"/>
                <w:b/>
                <w:bCs/>
                <w:color w:val="auto"/>
                <w:sz w:val="24"/>
                <w:szCs w:val="24"/>
                <w:highlight w:val="none"/>
              </w:rPr>
            </w:pPr>
          </w:p>
        </w:tc>
        <w:tc>
          <w:tcPr>
            <w:tcW w:w="1327" w:type="dxa"/>
          </w:tcPr>
          <w:p w14:paraId="718CB096">
            <w:pPr>
              <w:jc w:val="center"/>
              <w:rPr>
                <w:rFonts w:hint="eastAsia" w:ascii="仿宋" w:hAnsi="仿宋" w:eastAsia="仿宋" w:cs="仿宋"/>
                <w:b/>
                <w:bCs/>
                <w:color w:val="auto"/>
                <w:sz w:val="24"/>
                <w:szCs w:val="24"/>
                <w:highlight w:val="none"/>
              </w:rPr>
            </w:pPr>
          </w:p>
        </w:tc>
        <w:tc>
          <w:tcPr>
            <w:tcW w:w="1327" w:type="dxa"/>
          </w:tcPr>
          <w:p w14:paraId="7DCC0D32">
            <w:pPr>
              <w:jc w:val="center"/>
              <w:rPr>
                <w:rFonts w:hint="eastAsia" w:ascii="仿宋" w:hAnsi="仿宋" w:eastAsia="仿宋" w:cs="仿宋"/>
                <w:b/>
                <w:bCs/>
                <w:color w:val="auto"/>
                <w:sz w:val="24"/>
                <w:szCs w:val="24"/>
                <w:highlight w:val="none"/>
              </w:rPr>
            </w:pPr>
          </w:p>
        </w:tc>
      </w:tr>
      <w:tr w14:paraId="08D62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A9A6B82">
            <w:pPr>
              <w:jc w:val="center"/>
              <w:rPr>
                <w:rFonts w:hint="eastAsia" w:ascii="仿宋" w:hAnsi="仿宋" w:eastAsia="仿宋" w:cs="仿宋"/>
                <w:b/>
                <w:bCs/>
                <w:color w:val="auto"/>
                <w:sz w:val="24"/>
                <w:szCs w:val="24"/>
                <w:highlight w:val="none"/>
              </w:rPr>
            </w:pPr>
          </w:p>
        </w:tc>
        <w:tc>
          <w:tcPr>
            <w:tcW w:w="1357" w:type="dxa"/>
          </w:tcPr>
          <w:p w14:paraId="23A6E9F5">
            <w:pPr>
              <w:jc w:val="center"/>
              <w:rPr>
                <w:rFonts w:hint="eastAsia" w:ascii="仿宋" w:hAnsi="仿宋" w:eastAsia="仿宋" w:cs="仿宋"/>
                <w:b/>
                <w:bCs/>
                <w:color w:val="auto"/>
                <w:sz w:val="24"/>
                <w:szCs w:val="24"/>
                <w:highlight w:val="none"/>
              </w:rPr>
            </w:pPr>
          </w:p>
        </w:tc>
        <w:tc>
          <w:tcPr>
            <w:tcW w:w="1326" w:type="dxa"/>
          </w:tcPr>
          <w:p w14:paraId="3F2B116B">
            <w:pPr>
              <w:jc w:val="center"/>
              <w:rPr>
                <w:rFonts w:hint="eastAsia" w:ascii="仿宋" w:hAnsi="仿宋" w:eastAsia="仿宋" w:cs="仿宋"/>
                <w:b/>
                <w:bCs/>
                <w:color w:val="auto"/>
                <w:sz w:val="24"/>
                <w:szCs w:val="24"/>
                <w:highlight w:val="none"/>
              </w:rPr>
            </w:pPr>
          </w:p>
        </w:tc>
        <w:tc>
          <w:tcPr>
            <w:tcW w:w="1326" w:type="dxa"/>
          </w:tcPr>
          <w:p w14:paraId="7D1AA5E6">
            <w:pPr>
              <w:jc w:val="center"/>
              <w:rPr>
                <w:rFonts w:hint="eastAsia" w:ascii="仿宋" w:hAnsi="仿宋" w:eastAsia="仿宋" w:cs="仿宋"/>
                <w:b/>
                <w:bCs/>
                <w:color w:val="auto"/>
                <w:sz w:val="24"/>
                <w:szCs w:val="24"/>
                <w:highlight w:val="none"/>
              </w:rPr>
            </w:pPr>
          </w:p>
        </w:tc>
        <w:tc>
          <w:tcPr>
            <w:tcW w:w="1327" w:type="dxa"/>
          </w:tcPr>
          <w:p w14:paraId="78B14454">
            <w:pPr>
              <w:jc w:val="center"/>
              <w:rPr>
                <w:rFonts w:hint="eastAsia" w:ascii="仿宋" w:hAnsi="仿宋" w:eastAsia="仿宋" w:cs="仿宋"/>
                <w:b/>
                <w:bCs/>
                <w:color w:val="auto"/>
                <w:sz w:val="24"/>
                <w:szCs w:val="24"/>
                <w:highlight w:val="none"/>
              </w:rPr>
            </w:pPr>
          </w:p>
        </w:tc>
        <w:tc>
          <w:tcPr>
            <w:tcW w:w="1327" w:type="dxa"/>
          </w:tcPr>
          <w:p w14:paraId="661EEFCD">
            <w:pPr>
              <w:jc w:val="center"/>
              <w:rPr>
                <w:rFonts w:hint="eastAsia" w:ascii="仿宋" w:hAnsi="仿宋" w:eastAsia="仿宋" w:cs="仿宋"/>
                <w:b/>
                <w:bCs/>
                <w:color w:val="auto"/>
                <w:sz w:val="24"/>
                <w:szCs w:val="24"/>
                <w:highlight w:val="none"/>
              </w:rPr>
            </w:pPr>
          </w:p>
        </w:tc>
      </w:tr>
      <w:tr w14:paraId="36F1F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B1133D1">
            <w:pPr>
              <w:jc w:val="center"/>
              <w:rPr>
                <w:rFonts w:hint="eastAsia" w:ascii="仿宋" w:hAnsi="仿宋" w:eastAsia="仿宋" w:cs="仿宋"/>
                <w:b/>
                <w:bCs/>
                <w:color w:val="auto"/>
                <w:sz w:val="24"/>
                <w:szCs w:val="24"/>
                <w:highlight w:val="none"/>
              </w:rPr>
            </w:pPr>
          </w:p>
        </w:tc>
        <w:tc>
          <w:tcPr>
            <w:tcW w:w="1357" w:type="dxa"/>
          </w:tcPr>
          <w:p w14:paraId="79314E6E">
            <w:pPr>
              <w:jc w:val="center"/>
              <w:rPr>
                <w:rFonts w:hint="eastAsia" w:ascii="仿宋" w:hAnsi="仿宋" w:eastAsia="仿宋" w:cs="仿宋"/>
                <w:b/>
                <w:bCs/>
                <w:color w:val="auto"/>
                <w:sz w:val="24"/>
                <w:szCs w:val="24"/>
                <w:highlight w:val="none"/>
              </w:rPr>
            </w:pPr>
          </w:p>
        </w:tc>
        <w:tc>
          <w:tcPr>
            <w:tcW w:w="1326" w:type="dxa"/>
          </w:tcPr>
          <w:p w14:paraId="3658CF31">
            <w:pPr>
              <w:jc w:val="center"/>
              <w:rPr>
                <w:rFonts w:hint="eastAsia" w:ascii="仿宋" w:hAnsi="仿宋" w:eastAsia="仿宋" w:cs="仿宋"/>
                <w:b/>
                <w:bCs/>
                <w:color w:val="auto"/>
                <w:sz w:val="24"/>
                <w:szCs w:val="24"/>
                <w:highlight w:val="none"/>
              </w:rPr>
            </w:pPr>
          </w:p>
        </w:tc>
        <w:tc>
          <w:tcPr>
            <w:tcW w:w="1326" w:type="dxa"/>
          </w:tcPr>
          <w:p w14:paraId="6869EB2E">
            <w:pPr>
              <w:jc w:val="center"/>
              <w:rPr>
                <w:rFonts w:hint="eastAsia" w:ascii="仿宋" w:hAnsi="仿宋" w:eastAsia="仿宋" w:cs="仿宋"/>
                <w:b/>
                <w:bCs/>
                <w:color w:val="auto"/>
                <w:sz w:val="24"/>
                <w:szCs w:val="24"/>
                <w:highlight w:val="none"/>
              </w:rPr>
            </w:pPr>
          </w:p>
        </w:tc>
        <w:tc>
          <w:tcPr>
            <w:tcW w:w="1327" w:type="dxa"/>
          </w:tcPr>
          <w:p w14:paraId="05B10BA2">
            <w:pPr>
              <w:jc w:val="center"/>
              <w:rPr>
                <w:rFonts w:hint="eastAsia" w:ascii="仿宋" w:hAnsi="仿宋" w:eastAsia="仿宋" w:cs="仿宋"/>
                <w:b/>
                <w:bCs/>
                <w:color w:val="auto"/>
                <w:sz w:val="24"/>
                <w:szCs w:val="24"/>
                <w:highlight w:val="none"/>
              </w:rPr>
            </w:pPr>
          </w:p>
        </w:tc>
        <w:tc>
          <w:tcPr>
            <w:tcW w:w="1327" w:type="dxa"/>
          </w:tcPr>
          <w:p w14:paraId="6677458E">
            <w:pPr>
              <w:jc w:val="center"/>
              <w:rPr>
                <w:rFonts w:hint="eastAsia" w:ascii="仿宋" w:hAnsi="仿宋" w:eastAsia="仿宋" w:cs="仿宋"/>
                <w:b/>
                <w:bCs/>
                <w:color w:val="auto"/>
                <w:sz w:val="24"/>
                <w:szCs w:val="24"/>
                <w:highlight w:val="none"/>
              </w:rPr>
            </w:pPr>
          </w:p>
        </w:tc>
      </w:tr>
      <w:tr w14:paraId="0A023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05F39C9D">
            <w:pPr>
              <w:jc w:val="center"/>
              <w:rPr>
                <w:rFonts w:hint="eastAsia" w:ascii="仿宋" w:hAnsi="仿宋" w:eastAsia="仿宋" w:cs="仿宋"/>
                <w:b/>
                <w:bCs/>
                <w:color w:val="auto"/>
                <w:sz w:val="24"/>
                <w:szCs w:val="24"/>
                <w:highlight w:val="none"/>
              </w:rPr>
            </w:pPr>
          </w:p>
        </w:tc>
        <w:tc>
          <w:tcPr>
            <w:tcW w:w="1357" w:type="dxa"/>
          </w:tcPr>
          <w:p w14:paraId="09C508CE">
            <w:pPr>
              <w:jc w:val="center"/>
              <w:rPr>
                <w:rFonts w:hint="eastAsia" w:ascii="仿宋" w:hAnsi="仿宋" w:eastAsia="仿宋" w:cs="仿宋"/>
                <w:b/>
                <w:bCs/>
                <w:color w:val="auto"/>
                <w:sz w:val="24"/>
                <w:szCs w:val="24"/>
                <w:highlight w:val="none"/>
              </w:rPr>
            </w:pPr>
          </w:p>
        </w:tc>
        <w:tc>
          <w:tcPr>
            <w:tcW w:w="1326" w:type="dxa"/>
          </w:tcPr>
          <w:p w14:paraId="658F05B7">
            <w:pPr>
              <w:jc w:val="center"/>
              <w:rPr>
                <w:rFonts w:hint="eastAsia" w:ascii="仿宋" w:hAnsi="仿宋" w:eastAsia="仿宋" w:cs="仿宋"/>
                <w:b/>
                <w:bCs/>
                <w:color w:val="auto"/>
                <w:sz w:val="24"/>
                <w:szCs w:val="24"/>
                <w:highlight w:val="none"/>
              </w:rPr>
            </w:pPr>
          </w:p>
        </w:tc>
        <w:tc>
          <w:tcPr>
            <w:tcW w:w="1326" w:type="dxa"/>
          </w:tcPr>
          <w:p w14:paraId="3ABD9E18">
            <w:pPr>
              <w:jc w:val="center"/>
              <w:rPr>
                <w:rFonts w:hint="eastAsia" w:ascii="仿宋" w:hAnsi="仿宋" w:eastAsia="仿宋" w:cs="仿宋"/>
                <w:b/>
                <w:bCs/>
                <w:color w:val="auto"/>
                <w:sz w:val="24"/>
                <w:szCs w:val="24"/>
                <w:highlight w:val="none"/>
              </w:rPr>
            </w:pPr>
          </w:p>
        </w:tc>
        <w:tc>
          <w:tcPr>
            <w:tcW w:w="1327" w:type="dxa"/>
          </w:tcPr>
          <w:p w14:paraId="5FE930BC">
            <w:pPr>
              <w:jc w:val="center"/>
              <w:rPr>
                <w:rFonts w:hint="eastAsia" w:ascii="仿宋" w:hAnsi="仿宋" w:eastAsia="仿宋" w:cs="仿宋"/>
                <w:b/>
                <w:bCs/>
                <w:color w:val="auto"/>
                <w:sz w:val="24"/>
                <w:szCs w:val="24"/>
                <w:highlight w:val="none"/>
              </w:rPr>
            </w:pPr>
          </w:p>
        </w:tc>
        <w:tc>
          <w:tcPr>
            <w:tcW w:w="1327" w:type="dxa"/>
          </w:tcPr>
          <w:p w14:paraId="4F92659A">
            <w:pPr>
              <w:jc w:val="center"/>
              <w:rPr>
                <w:rFonts w:hint="eastAsia" w:ascii="仿宋" w:hAnsi="仿宋" w:eastAsia="仿宋" w:cs="仿宋"/>
                <w:b/>
                <w:bCs/>
                <w:color w:val="auto"/>
                <w:sz w:val="24"/>
                <w:szCs w:val="24"/>
                <w:highlight w:val="none"/>
              </w:rPr>
            </w:pPr>
          </w:p>
        </w:tc>
      </w:tr>
    </w:tbl>
    <w:p w14:paraId="127DE1FE">
      <w:pPr>
        <w:spacing w:line="360" w:lineRule="auto"/>
        <w:ind w:firstLine="475" w:firstLineChars="198"/>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备注：投标人应根据其提供的货物，对照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第</w:t>
      </w: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rPr>
        <w:t>章“技术标准和要求”中的要求，有差异的，则在此表中列明实际响应的内容提要并加以说明，以便查对。本表包括所有的技术响应及差异。无差异说明表示完全响应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未列明项视为完全响应，正偏离需附检测报告。</w:t>
      </w:r>
    </w:p>
    <w:p w14:paraId="116FFC69">
      <w:pPr>
        <w:pStyle w:val="11"/>
        <w:tabs>
          <w:tab w:val="left" w:pos="5580"/>
        </w:tabs>
        <w:spacing w:line="360" w:lineRule="auto"/>
        <w:ind w:firstLine="3120" w:firstLineChars="1300"/>
        <w:rPr>
          <w:rFonts w:hint="eastAsia" w:ascii="仿宋" w:hAnsi="仿宋" w:eastAsia="仿宋" w:cs="仿宋"/>
          <w:color w:val="auto"/>
          <w:sz w:val="24"/>
          <w:highlight w:val="none"/>
        </w:rPr>
      </w:pPr>
    </w:p>
    <w:p w14:paraId="745AE4B2">
      <w:pPr>
        <w:pStyle w:val="11"/>
        <w:tabs>
          <w:tab w:val="left" w:pos="5580"/>
        </w:tabs>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投标人（盖章）：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87CB432">
      <w:pPr>
        <w:pStyle w:val="11"/>
        <w:tabs>
          <w:tab w:val="left" w:pos="5580"/>
        </w:tabs>
        <w:spacing w:line="360" w:lineRule="auto"/>
        <w:ind w:firstLine="3120" w:firstLineChars="1300"/>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sz w:val="24"/>
          <w:highlight w:val="none"/>
          <w:lang w:eastAsia="zh-CN"/>
        </w:rPr>
        <w:t>法定代表人或</w:t>
      </w:r>
      <w:r>
        <w:rPr>
          <w:rFonts w:hint="eastAsia" w:ascii="仿宋" w:hAnsi="仿宋" w:eastAsia="仿宋" w:cs="仿宋"/>
          <w:color w:val="auto"/>
          <w:kern w:val="0"/>
          <w:sz w:val="24"/>
          <w:szCs w:val="24"/>
          <w:highlight w:val="none"/>
        </w:rPr>
        <w:t>委托代理人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lang w:val="en-US" w:eastAsia="zh-CN"/>
        </w:rPr>
        <w:t xml:space="preserve">                   </w:t>
      </w:r>
    </w:p>
    <w:p w14:paraId="312F8780">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18AFB3ED">
      <w:pPr>
        <w:pStyle w:val="4"/>
        <w:rPr>
          <w:rFonts w:hint="eastAsia" w:ascii="仿宋" w:hAnsi="仿宋" w:eastAsia="仿宋" w:cs="仿宋"/>
          <w:b/>
          <w:bCs/>
          <w:color w:val="auto"/>
          <w:sz w:val="36"/>
          <w:szCs w:val="36"/>
          <w:highlight w:val="none"/>
        </w:rPr>
      </w:pPr>
    </w:p>
    <w:p w14:paraId="3DD42BAD">
      <w:pPr>
        <w:rPr>
          <w:rFonts w:hint="eastAsia" w:ascii="仿宋" w:hAnsi="仿宋" w:eastAsia="仿宋" w:cs="仿宋"/>
          <w:color w:val="auto"/>
          <w:highlight w:val="none"/>
        </w:rPr>
      </w:pPr>
    </w:p>
    <w:p w14:paraId="2BA6ADAC">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9B3E18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D6FD06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17D59A07">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5DBBE428">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30183149">
      <w:pPr>
        <w:pStyle w:val="34"/>
        <w:keepNext w:val="0"/>
        <w:keepLines w:val="0"/>
        <w:widowControl w:val="0"/>
        <w:shd w:val="clear" w:color="auto" w:fill="auto"/>
        <w:bidi w:val="0"/>
        <w:spacing w:before="0" w:after="0" w:line="240" w:lineRule="auto"/>
        <w:ind w:left="0" w:leftChars="0" w:right="0" w:firstLine="0" w:firstLineChars="0"/>
        <w:jc w:val="both"/>
        <w:rPr>
          <w:rFonts w:hint="eastAsia" w:ascii="仿宋" w:hAnsi="仿宋" w:eastAsia="仿宋" w:cs="仿宋"/>
          <w:color w:val="auto"/>
          <w:spacing w:val="0"/>
          <w:w w:val="100"/>
          <w:position w:val="0"/>
          <w:sz w:val="36"/>
          <w:szCs w:val="36"/>
          <w:highlight w:val="none"/>
          <w:lang w:eastAsia="zh-CN"/>
        </w:rPr>
      </w:pPr>
    </w:p>
    <w:p w14:paraId="217AED7E">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0CB787BF">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eastAsia="zh-CN"/>
        </w:rPr>
      </w:pPr>
      <w:r>
        <w:rPr>
          <w:rFonts w:hint="eastAsia" w:ascii="仿宋" w:hAnsi="仿宋" w:eastAsia="仿宋" w:cs="仿宋"/>
          <w:b/>
          <w:bCs/>
          <w:color w:val="auto"/>
          <w:spacing w:val="0"/>
          <w:w w:val="100"/>
          <w:position w:val="0"/>
          <w:sz w:val="36"/>
          <w:szCs w:val="36"/>
          <w:highlight w:val="none"/>
          <w:lang w:val="en-US" w:eastAsia="zh-CN"/>
        </w:rPr>
        <w:t>6</w:t>
      </w:r>
      <w:r>
        <w:rPr>
          <w:rFonts w:hint="eastAsia" w:ascii="仿宋" w:hAnsi="仿宋" w:eastAsia="仿宋" w:cs="仿宋"/>
          <w:b/>
          <w:bCs/>
          <w:color w:val="auto"/>
          <w:spacing w:val="0"/>
          <w:w w:val="100"/>
          <w:position w:val="0"/>
          <w:sz w:val="36"/>
          <w:szCs w:val="36"/>
          <w:highlight w:val="none"/>
        </w:rPr>
        <w:t>、</w:t>
      </w:r>
      <w:r>
        <w:rPr>
          <w:rFonts w:hint="eastAsia" w:ascii="仿宋" w:hAnsi="仿宋" w:eastAsia="仿宋" w:cs="仿宋"/>
          <w:b/>
          <w:bCs/>
          <w:color w:val="auto"/>
          <w:spacing w:val="0"/>
          <w:w w:val="100"/>
          <w:position w:val="0"/>
          <w:sz w:val="36"/>
          <w:szCs w:val="36"/>
          <w:highlight w:val="none"/>
          <w:lang w:eastAsia="zh-CN"/>
        </w:rPr>
        <w:t>商务条款偏离表</w:t>
      </w:r>
    </w:p>
    <w:tbl>
      <w:tblPr>
        <w:tblStyle w:val="23"/>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66"/>
        <w:gridCol w:w="2090"/>
        <w:gridCol w:w="2628"/>
        <w:gridCol w:w="2628"/>
      </w:tblGrid>
      <w:tr w14:paraId="5681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B0364A1">
            <w:pP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序号</w:t>
            </w:r>
          </w:p>
        </w:tc>
        <w:tc>
          <w:tcPr>
            <w:tcW w:w="1866" w:type="dxa"/>
          </w:tcPr>
          <w:p w14:paraId="0DD8A3FB">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谈判文件的商务条款</w:t>
            </w:r>
          </w:p>
        </w:tc>
        <w:tc>
          <w:tcPr>
            <w:tcW w:w="2090" w:type="dxa"/>
          </w:tcPr>
          <w:p w14:paraId="61E82DDC">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响应文件的商务条款</w:t>
            </w:r>
          </w:p>
        </w:tc>
        <w:tc>
          <w:tcPr>
            <w:tcW w:w="2628" w:type="dxa"/>
            <w:vAlign w:val="center"/>
          </w:tcPr>
          <w:p w14:paraId="55623850">
            <w:pPr>
              <w:jc w:val="center"/>
              <w:rPr>
                <w:rFonts w:hint="eastAsia" w:ascii="仿宋" w:hAnsi="仿宋" w:eastAsia="仿宋" w:cs="仿宋"/>
                <w:color w:val="auto"/>
                <w:sz w:val="24"/>
                <w:highlight w:val="none"/>
                <w:lang w:val="en-US" w:eastAsia="zh-CN"/>
              </w:rPr>
            </w:pPr>
            <w:r>
              <w:rPr>
                <w:rFonts w:hint="eastAsia" w:ascii="仿宋" w:hAnsi="仿宋" w:eastAsia="仿宋" w:cs="仿宋"/>
                <w:bCs/>
                <w:color w:val="auto"/>
                <w:sz w:val="24"/>
                <w:szCs w:val="24"/>
                <w:highlight w:val="none"/>
              </w:rPr>
              <w:t>偏离</w:t>
            </w:r>
          </w:p>
        </w:tc>
        <w:tc>
          <w:tcPr>
            <w:tcW w:w="2628" w:type="dxa"/>
          </w:tcPr>
          <w:p w14:paraId="12FABB7F">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说明</w:t>
            </w:r>
          </w:p>
        </w:tc>
      </w:tr>
      <w:tr w14:paraId="5CF1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3C2C3C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w:t>
            </w:r>
          </w:p>
        </w:tc>
        <w:tc>
          <w:tcPr>
            <w:tcW w:w="1866" w:type="dxa"/>
            <w:vAlign w:val="center"/>
          </w:tcPr>
          <w:p w14:paraId="5D40C667">
            <w:pPr>
              <w:rPr>
                <w:rFonts w:hint="eastAsia" w:ascii="仿宋" w:hAnsi="仿宋" w:eastAsia="仿宋" w:cs="仿宋"/>
                <w:color w:val="auto"/>
                <w:spacing w:val="-1"/>
                <w:kern w:val="0"/>
                <w:sz w:val="24"/>
                <w:highlight w:val="none"/>
              </w:rPr>
            </w:pPr>
          </w:p>
        </w:tc>
        <w:tc>
          <w:tcPr>
            <w:tcW w:w="2090" w:type="dxa"/>
            <w:vAlign w:val="center"/>
          </w:tcPr>
          <w:p w14:paraId="5E6A36B8">
            <w:pPr>
              <w:rPr>
                <w:rFonts w:hint="eastAsia" w:ascii="仿宋" w:hAnsi="仿宋" w:eastAsia="仿宋" w:cs="仿宋"/>
                <w:color w:val="auto"/>
                <w:spacing w:val="-1"/>
                <w:kern w:val="0"/>
                <w:sz w:val="24"/>
                <w:highlight w:val="none"/>
              </w:rPr>
            </w:pPr>
          </w:p>
        </w:tc>
        <w:tc>
          <w:tcPr>
            <w:tcW w:w="2628" w:type="dxa"/>
            <w:vAlign w:val="top"/>
          </w:tcPr>
          <w:p w14:paraId="5B206A3F">
            <w:pPr>
              <w:jc w:val="center"/>
              <w:rPr>
                <w:rFonts w:hint="eastAsia" w:ascii="仿宋" w:hAnsi="仿宋" w:eastAsia="仿宋" w:cs="仿宋"/>
                <w:color w:val="auto"/>
                <w:spacing w:val="-1"/>
                <w:kern w:val="0"/>
                <w:sz w:val="24"/>
                <w:highlight w:val="none"/>
              </w:rPr>
            </w:pPr>
            <w:r>
              <w:rPr>
                <w:rFonts w:hint="eastAsia" w:ascii="仿宋" w:hAnsi="仿宋" w:eastAsia="仿宋" w:cs="仿宋"/>
                <w:bCs/>
                <w:color w:val="auto"/>
                <w:sz w:val="24"/>
                <w:szCs w:val="24"/>
                <w:highlight w:val="none"/>
                <w:lang w:val="en-US" w:eastAsia="zh-CN"/>
              </w:rPr>
              <w:t>如有正偏离需提供证明材料，证明材料附后(并注明页码)</w:t>
            </w:r>
          </w:p>
        </w:tc>
        <w:tc>
          <w:tcPr>
            <w:tcW w:w="2628" w:type="dxa"/>
            <w:vAlign w:val="center"/>
          </w:tcPr>
          <w:p w14:paraId="5A4A6321">
            <w:pPr>
              <w:rPr>
                <w:rFonts w:hint="eastAsia" w:ascii="仿宋" w:hAnsi="仿宋" w:eastAsia="仿宋" w:cs="仿宋"/>
                <w:color w:val="auto"/>
                <w:spacing w:val="-1"/>
                <w:kern w:val="0"/>
                <w:sz w:val="24"/>
                <w:highlight w:val="none"/>
              </w:rPr>
            </w:pPr>
          </w:p>
        </w:tc>
      </w:tr>
      <w:tr w14:paraId="3FE4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B64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2</w:t>
            </w:r>
          </w:p>
        </w:tc>
        <w:tc>
          <w:tcPr>
            <w:tcW w:w="1866" w:type="dxa"/>
            <w:vAlign w:val="center"/>
          </w:tcPr>
          <w:p w14:paraId="2F446327">
            <w:pPr>
              <w:rPr>
                <w:rFonts w:hint="eastAsia" w:ascii="仿宋" w:hAnsi="仿宋" w:eastAsia="仿宋" w:cs="仿宋"/>
                <w:color w:val="auto"/>
                <w:spacing w:val="-1"/>
                <w:kern w:val="0"/>
                <w:sz w:val="24"/>
                <w:highlight w:val="none"/>
              </w:rPr>
            </w:pPr>
          </w:p>
        </w:tc>
        <w:tc>
          <w:tcPr>
            <w:tcW w:w="2090" w:type="dxa"/>
            <w:vAlign w:val="center"/>
          </w:tcPr>
          <w:p w14:paraId="75E2472D">
            <w:pPr>
              <w:rPr>
                <w:rFonts w:hint="eastAsia" w:ascii="仿宋" w:hAnsi="仿宋" w:eastAsia="仿宋" w:cs="仿宋"/>
                <w:color w:val="auto"/>
                <w:spacing w:val="-1"/>
                <w:kern w:val="0"/>
                <w:sz w:val="24"/>
                <w:highlight w:val="none"/>
              </w:rPr>
            </w:pPr>
          </w:p>
        </w:tc>
        <w:tc>
          <w:tcPr>
            <w:tcW w:w="2628" w:type="dxa"/>
            <w:vAlign w:val="center"/>
          </w:tcPr>
          <w:p w14:paraId="5A6507D7">
            <w:pPr>
              <w:rPr>
                <w:rFonts w:hint="eastAsia" w:ascii="仿宋" w:hAnsi="仿宋" w:eastAsia="仿宋" w:cs="仿宋"/>
                <w:color w:val="auto"/>
                <w:spacing w:val="-1"/>
                <w:kern w:val="0"/>
                <w:sz w:val="24"/>
                <w:highlight w:val="none"/>
              </w:rPr>
            </w:pPr>
          </w:p>
        </w:tc>
        <w:tc>
          <w:tcPr>
            <w:tcW w:w="2628" w:type="dxa"/>
            <w:vAlign w:val="center"/>
          </w:tcPr>
          <w:p w14:paraId="665899B9">
            <w:pPr>
              <w:rPr>
                <w:rFonts w:hint="eastAsia" w:ascii="仿宋" w:hAnsi="仿宋" w:eastAsia="仿宋" w:cs="仿宋"/>
                <w:color w:val="auto"/>
                <w:spacing w:val="-1"/>
                <w:kern w:val="0"/>
                <w:sz w:val="24"/>
                <w:highlight w:val="none"/>
              </w:rPr>
            </w:pPr>
          </w:p>
        </w:tc>
      </w:tr>
      <w:tr w14:paraId="2B5B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729305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3</w:t>
            </w:r>
          </w:p>
        </w:tc>
        <w:tc>
          <w:tcPr>
            <w:tcW w:w="1866" w:type="dxa"/>
            <w:vAlign w:val="center"/>
          </w:tcPr>
          <w:p w14:paraId="32AAD80A">
            <w:pPr>
              <w:rPr>
                <w:rFonts w:hint="eastAsia" w:ascii="仿宋" w:hAnsi="仿宋" w:eastAsia="仿宋" w:cs="仿宋"/>
                <w:color w:val="auto"/>
                <w:spacing w:val="-1"/>
                <w:kern w:val="0"/>
                <w:sz w:val="24"/>
                <w:highlight w:val="none"/>
              </w:rPr>
            </w:pPr>
          </w:p>
        </w:tc>
        <w:tc>
          <w:tcPr>
            <w:tcW w:w="2090" w:type="dxa"/>
            <w:vAlign w:val="center"/>
          </w:tcPr>
          <w:p w14:paraId="6663E25B">
            <w:pPr>
              <w:rPr>
                <w:rFonts w:hint="eastAsia" w:ascii="仿宋" w:hAnsi="仿宋" w:eastAsia="仿宋" w:cs="仿宋"/>
                <w:color w:val="auto"/>
                <w:spacing w:val="-1"/>
                <w:kern w:val="0"/>
                <w:sz w:val="24"/>
                <w:highlight w:val="none"/>
              </w:rPr>
            </w:pPr>
          </w:p>
        </w:tc>
        <w:tc>
          <w:tcPr>
            <w:tcW w:w="2628" w:type="dxa"/>
            <w:vAlign w:val="center"/>
          </w:tcPr>
          <w:p w14:paraId="08142599">
            <w:pPr>
              <w:rPr>
                <w:rFonts w:hint="eastAsia" w:ascii="仿宋" w:hAnsi="仿宋" w:eastAsia="仿宋" w:cs="仿宋"/>
                <w:color w:val="auto"/>
                <w:spacing w:val="-1"/>
                <w:kern w:val="0"/>
                <w:sz w:val="24"/>
                <w:highlight w:val="none"/>
              </w:rPr>
            </w:pPr>
          </w:p>
        </w:tc>
        <w:tc>
          <w:tcPr>
            <w:tcW w:w="2628" w:type="dxa"/>
            <w:vAlign w:val="center"/>
          </w:tcPr>
          <w:p w14:paraId="39182E89">
            <w:pPr>
              <w:rPr>
                <w:rFonts w:hint="eastAsia" w:ascii="仿宋" w:hAnsi="仿宋" w:eastAsia="仿宋" w:cs="仿宋"/>
                <w:color w:val="auto"/>
                <w:spacing w:val="-1"/>
                <w:kern w:val="0"/>
                <w:sz w:val="24"/>
                <w:highlight w:val="none"/>
              </w:rPr>
            </w:pPr>
          </w:p>
        </w:tc>
      </w:tr>
      <w:tr w14:paraId="4FF7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2643A0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4</w:t>
            </w:r>
          </w:p>
        </w:tc>
        <w:tc>
          <w:tcPr>
            <w:tcW w:w="1866" w:type="dxa"/>
            <w:vAlign w:val="center"/>
          </w:tcPr>
          <w:p w14:paraId="537DA87A">
            <w:pPr>
              <w:rPr>
                <w:rFonts w:hint="eastAsia" w:ascii="仿宋" w:hAnsi="仿宋" w:eastAsia="仿宋" w:cs="仿宋"/>
                <w:color w:val="auto"/>
                <w:spacing w:val="-1"/>
                <w:kern w:val="0"/>
                <w:sz w:val="24"/>
                <w:highlight w:val="none"/>
              </w:rPr>
            </w:pPr>
          </w:p>
        </w:tc>
        <w:tc>
          <w:tcPr>
            <w:tcW w:w="2090" w:type="dxa"/>
            <w:vAlign w:val="center"/>
          </w:tcPr>
          <w:p w14:paraId="4DDB295D">
            <w:pPr>
              <w:rPr>
                <w:rFonts w:hint="eastAsia" w:ascii="仿宋" w:hAnsi="仿宋" w:eastAsia="仿宋" w:cs="仿宋"/>
                <w:color w:val="auto"/>
                <w:spacing w:val="-1"/>
                <w:kern w:val="0"/>
                <w:sz w:val="24"/>
                <w:highlight w:val="none"/>
              </w:rPr>
            </w:pPr>
          </w:p>
        </w:tc>
        <w:tc>
          <w:tcPr>
            <w:tcW w:w="2628" w:type="dxa"/>
            <w:vAlign w:val="center"/>
          </w:tcPr>
          <w:p w14:paraId="581947CC">
            <w:pPr>
              <w:rPr>
                <w:rFonts w:hint="eastAsia" w:ascii="仿宋" w:hAnsi="仿宋" w:eastAsia="仿宋" w:cs="仿宋"/>
                <w:color w:val="auto"/>
                <w:spacing w:val="-1"/>
                <w:kern w:val="0"/>
                <w:sz w:val="24"/>
                <w:highlight w:val="none"/>
              </w:rPr>
            </w:pPr>
          </w:p>
        </w:tc>
        <w:tc>
          <w:tcPr>
            <w:tcW w:w="2628" w:type="dxa"/>
            <w:vAlign w:val="center"/>
          </w:tcPr>
          <w:p w14:paraId="7BEF6EE1">
            <w:pPr>
              <w:rPr>
                <w:rFonts w:hint="eastAsia" w:ascii="仿宋" w:hAnsi="仿宋" w:eastAsia="仿宋" w:cs="仿宋"/>
                <w:color w:val="auto"/>
                <w:spacing w:val="-1"/>
                <w:kern w:val="0"/>
                <w:sz w:val="24"/>
                <w:highlight w:val="none"/>
              </w:rPr>
            </w:pPr>
          </w:p>
        </w:tc>
      </w:tr>
      <w:tr w14:paraId="0A58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DB27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5</w:t>
            </w:r>
          </w:p>
        </w:tc>
        <w:tc>
          <w:tcPr>
            <w:tcW w:w="1866" w:type="dxa"/>
            <w:vAlign w:val="center"/>
          </w:tcPr>
          <w:p w14:paraId="7B0C9AB7">
            <w:pPr>
              <w:rPr>
                <w:rFonts w:hint="eastAsia" w:ascii="仿宋" w:hAnsi="仿宋" w:eastAsia="仿宋" w:cs="仿宋"/>
                <w:color w:val="auto"/>
                <w:spacing w:val="-1"/>
                <w:kern w:val="0"/>
                <w:sz w:val="24"/>
                <w:highlight w:val="none"/>
              </w:rPr>
            </w:pPr>
          </w:p>
        </w:tc>
        <w:tc>
          <w:tcPr>
            <w:tcW w:w="2090" w:type="dxa"/>
            <w:vAlign w:val="center"/>
          </w:tcPr>
          <w:p w14:paraId="1629DF26">
            <w:pPr>
              <w:rPr>
                <w:rFonts w:hint="eastAsia" w:ascii="仿宋" w:hAnsi="仿宋" w:eastAsia="仿宋" w:cs="仿宋"/>
                <w:color w:val="auto"/>
                <w:spacing w:val="-1"/>
                <w:kern w:val="0"/>
                <w:sz w:val="24"/>
                <w:highlight w:val="none"/>
              </w:rPr>
            </w:pPr>
          </w:p>
        </w:tc>
        <w:tc>
          <w:tcPr>
            <w:tcW w:w="2628" w:type="dxa"/>
            <w:vAlign w:val="center"/>
          </w:tcPr>
          <w:p w14:paraId="6B0C3437">
            <w:pPr>
              <w:rPr>
                <w:rFonts w:hint="eastAsia" w:ascii="仿宋" w:hAnsi="仿宋" w:eastAsia="仿宋" w:cs="仿宋"/>
                <w:color w:val="auto"/>
                <w:spacing w:val="-1"/>
                <w:kern w:val="0"/>
                <w:sz w:val="24"/>
                <w:highlight w:val="none"/>
              </w:rPr>
            </w:pPr>
          </w:p>
        </w:tc>
        <w:tc>
          <w:tcPr>
            <w:tcW w:w="2628" w:type="dxa"/>
            <w:vAlign w:val="center"/>
          </w:tcPr>
          <w:p w14:paraId="79DC4CE3">
            <w:pPr>
              <w:rPr>
                <w:rFonts w:hint="eastAsia" w:ascii="仿宋" w:hAnsi="仿宋" w:eastAsia="仿宋" w:cs="仿宋"/>
                <w:color w:val="auto"/>
                <w:spacing w:val="-1"/>
                <w:kern w:val="0"/>
                <w:sz w:val="24"/>
                <w:highlight w:val="none"/>
              </w:rPr>
            </w:pPr>
          </w:p>
        </w:tc>
      </w:tr>
      <w:tr w14:paraId="4B97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141EF62">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6</w:t>
            </w:r>
          </w:p>
        </w:tc>
        <w:tc>
          <w:tcPr>
            <w:tcW w:w="1866" w:type="dxa"/>
            <w:vAlign w:val="center"/>
          </w:tcPr>
          <w:p w14:paraId="4003BBF0">
            <w:pPr>
              <w:rPr>
                <w:rFonts w:hint="eastAsia" w:ascii="仿宋" w:hAnsi="仿宋" w:eastAsia="仿宋" w:cs="仿宋"/>
                <w:color w:val="auto"/>
                <w:spacing w:val="-1"/>
                <w:kern w:val="0"/>
                <w:sz w:val="24"/>
                <w:highlight w:val="none"/>
              </w:rPr>
            </w:pPr>
          </w:p>
        </w:tc>
        <w:tc>
          <w:tcPr>
            <w:tcW w:w="2090" w:type="dxa"/>
            <w:vAlign w:val="center"/>
          </w:tcPr>
          <w:p w14:paraId="0F480A3F">
            <w:pPr>
              <w:rPr>
                <w:rFonts w:hint="eastAsia" w:ascii="仿宋" w:hAnsi="仿宋" w:eastAsia="仿宋" w:cs="仿宋"/>
                <w:color w:val="auto"/>
                <w:spacing w:val="-1"/>
                <w:kern w:val="0"/>
                <w:sz w:val="24"/>
                <w:highlight w:val="none"/>
              </w:rPr>
            </w:pPr>
          </w:p>
        </w:tc>
        <w:tc>
          <w:tcPr>
            <w:tcW w:w="2628" w:type="dxa"/>
            <w:vAlign w:val="center"/>
          </w:tcPr>
          <w:p w14:paraId="76EB55F4">
            <w:pPr>
              <w:rPr>
                <w:rFonts w:hint="eastAsia" w:ascii="仿宋" w:hAnsi="仿宋" w:eastAsia="仿宋" w:cs="仿宋"/>
                <w:color w:val="auto"/>
                <w:spacing w:val="-1"/>
                <w:kern w:val="0"/>
                <w:sz w:val="24"/>
                <w:highlight w:val="none"/>
              </w:rPr>
            </w:pPr>
          </w:p>
        </w:tc>
        <w:tc>
          <w:tcPr>
            <w:tcW w:w="2628" w:type="dxa"/>
            <w:vAlign w:val="center"/>
          </w:tcPr>
          <w:p w14:paraId="0CBCA2D2">
            <w:pPr>
              <w:rPr>
                <w:rFonts w:hint="eastAsia" w:ascii="仿宋" w:hAnsi="仿宋" w:eastAsia="仿宋" w:cs="仿宋"/>
                <w:color w:val="auto"/>
                <w:spacing w:val="-1"/>
                <w:kern w:val="0"/>
                <w:sz w:val="24"/>
                <w:highlight w:val="none"/>
              </w:rPr>
            </w:pPr>
          </w:p>
        </w:tc>
      </w:tr>
      <w:tr w14:paraId="6FD8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C3A9E3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7</w:t>
            </w:r>
          </w:p>
        </w:tc>
        <w:tc>
          <w:tcPr>
            <w:tcW w:w="1866" w:type="dxa"/>
            <w:vAlign w:val="center"/>
          </w:tcPr>
          <w:p w14:paraId="490B498C">
            <w:pPr>
              <w:rPr>
                <w:rFonts w:hint="eastAsia" w:ascii="仿宋" w:hAnsi="仿宋" w:eastAsia="仿宋" w:cs="仿宋"/>
                <w:color w:val="auto"/>
                <w:spacing w:val="-1"/>
                <w:kern w:val="0"/>
                <w:sz w:val="24"/>
                <w:highlight w:val="none"/>
              </w:rPr>
            </w:pPr>
          </w:p>
        </w:tc>
        <w:tc>
          <w:tcPr>
            <w:tcW w:w="2090" w:type="dxa"/>
            <w:vAlign w:val="center"/>
          </w:tcPr>
          <w:p w14:paraId="0D017E51">
            <w:pPr>
              <w:rPr>
                <w:rFonts w:hint="eastAsia" w:ascii="仿宋" w:hAnsi="仿宋" w:eastAsia="仿宋" w:cs="仿宋"/>
                <w:color w:val="auto"/>
                <w:spacing w:val="-1"/>
                <w:kern w:val="0"/>
                <w:sz w:val="24"/>
                <w:highlight w:val="none"/>
              </w:rPr>
            </w:pPr>
          </w:p>
        </w:tc>
        <w:tc>
          <w:tcPr>
            <w:tcW w:w="2628" w:type="dxa"/>
            <w:vAlign w:val="center"/>
          </w:tcPr>
          <w:p w14:paraId="6F109DE2">
            <w:pPr>
              <w:rPr>
                <w:rFonts w:hint="eastAsia" w:ascii="仿宋" w:hAnsi="仿宋" w:eastAsia="仿宋" w:cs="仿宋"/>
                <w:color w:val="auto"/>
                <w:spacing w:val="-1"/>
                <w:kern w:val="0"/>
                <w:sz w:val="24"/>
                <w:highlight w:val="none"/>
              </w:rPr>
            </w:pPr>
          </w:p>
        </w:tc>
        <w:tc>
          <w:tcPr>
            <w:tcW w:w="2628" w:type="dxa"/>
            <w:vAlign w:val="center"/>
          </w:tcPr>
          <w:p w14:paraId="2F1CAAFA">
            <w:pPr>
              <w:rPr>
                <w:rFonts w:hint="eastAsia" w:ascii="仿宋" w:hAnsi="仿宋" w:eastAsia="仿宋" w:cs="仿宋"/>
                <w:color w:val="auto"/>
                <w:spacing w:val="-1"/>
                <w:kern w:val="0"/>
                <w:sz w:val="24"/>
                <w:highlight w:val="none"/>
              </w:rPr>
            </w:pPr>
          </w:p>
        </w:tc>
      </w:tr>
      <w:tr w14:paraId="69F1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691A74">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8</w:t>
            </w:r>
          </w:p>
        </w:tc>
        <w:tc>
          <w:tcPr>
            <w:tcW w:w="1866" w:type="dxa"/>
            <w:vAlign w:val="center"/>
          </w:tcPr>
          <w:p w14:paraId="047BCDE8">
            <w:pPr>
              <w:rPr>
                <w:rFonts w:hint="eastAsia" w:ascii="仿宋" w:hAnsi="仿宋" w:eastAsia="仿宋" w:cs="仿宋"/>
                <w:color w:val="auto"/>
                <w:spacing w:val="-1"/>
                <w:kern w:val="0"/>
                <w:sz w:val="24"/>
                <w:highlight w:val="none"/>
              </w:rPr>
            </w:pPr>
          </w:p>
        </w:tc>
        <w:tc>
          <w:tcPr>
            <w:tcW w:w="2090" w:type="dxa"/>
            <w:vAlign w:val="center"/>
          </w:tcPr>
          <w:p w14:paraId="3FB2D320">
            <w:pPr>
              <w:rPr>
                <w:rFonts w:hint="eastAsia" w:ascii="仿宋" w:hAnsi="仿宋" w:eastAsia="仿宋" w:cs="仿宋"/>
                <w:color w:val="auto"/>
                <w:spacing w:val="-1"/>
                <w:kern w:val="0"/>
                <w:sz w:val="24"/>
                <w:highlight w:val="none"/>
              </w:rPr>
            </w:pPr>
          </w:p>
        </w:tc>
        <w:tc>
          <w:tcPr>
            <w:tcW w:w="2628" w:type="dxa"/>
            <w:vAlign w:val="center"/>
          </w:tcPr>
          <w:p w14:paraId="2F74885E">
            <w:pPr>
              <w:rPr>
                <w:rFonts w:hint="eastAsia" w:ascii="仿宋" w:hAnsi="仿宋" w:eastAsia="仿宋" w:cs="仿宋"/>
                <w:color w:val="auto"/>
                <w:spacing w:val="-1"/>
                <w:kern w:val="0"/>
                <w:sz w:val="24"/>
                <w:highlight w:val="none"/>
              </w:rPr>
            </w:pPr>
          </w:p>
        </w:tc>
        <w:tc>
          <w:tcPr>
            <w:tcW w:w="2628" w:type="dxa"/>
            <w:vAlign w:val="center"/>
          </w:tcPr>
          <w:p w14:paraId="48370546">
            <w:pPr>
              <w:rPr>
                <w:rFonts w:hint="eastAsia" w:ascii="仿宋" w:hAnsi="仿宋" w:eastAsia="仿宋" w:cs="仿宋"/>
                <w:color w:val="auto"/>
                <w:spacing w:val="-1"/>
                <w:kern w:val="0"/>
                <w:sz w:val="24"/>
                <w:highlight w:val="none"/>
              </w:rPr>
            </w:pPr>
          </w:p>
        </w:tc>
      </w:tr>
      <w:tr w14:paraId="049B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5D77255">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9</w:t>
            </w:r>
          </w:p>
        </w:tc>
        <w:tc>
          <w:tcPr>
            <w:tcW w:w="1866" w:type="dxa"/>
            <w:vAlign w:val="center"/>
          </w:tcPr>
          <w:p w14:paraId="4E7CB27B">
            <w:pPr>
              <w:rPr>
                <w:rFonts w:hint="eastAsia" w:ascii="仿宋" w:hAnsi="仿宋" w:eastAsia="仿宋" w:cs="仿宋"/>
                <w:color w:val="auto"/>
                <w:spacing w:val="-1"/>
                <w:kern w:val="0"/>
                <w:sz w:val="24"/>
                <w:highlight w:val="none"/>
              </w:rPr>
            </w:pPr>
          </w:p>
        </w:tc>
        <w:tc>
          <w:tcPr>
            <w:tcW w:w="2090" w:type="dxa"/>
            <w:vAlign w:val="center"/>
          </w:tcPr>
          <w:p w14:paraId="1D0684EE">
            <w:pPr>
              <w:rPr>
                <w:rFonts w:hint="eastAsia" w:ascii="仿宋" w:hAnsi="仿宋" w:eastAsia="仿宋" w:cs="仿宋"/>
                <w:color w:val="auto"/>
                <w:spacing w:val="-1"/>
                <w:kern w:val="0"/>
                <w:sz w:val="24"/>
                <w:highlight w:val="none"/>
              </w:rPr>
            </w:pPr>
          </w:p>
        </w:tc>
        <w:tc>
          <w:tcPr>
            <w:tcW w:w="2628" w:type="dxa"/>
            <w:vAlign w:val="center"/>
          </w:tcPr>
          <w:p w14:paraId="1D1C18B2">
            <w:pPr>
              <w:rPr>
                <w:rFonts w:hint="eastAsia" w:ascii="仿宋" w:hAnsi="仿宋" w:eastAsia="仿宋" w:cs="仿宋"/>
                <w:color w:val="auto"/>
                <w:spacing w:val="-1"/>
                <w:kern w:val="0"/>
                <w:sz w:val="24"/>
                <w:highlight w:val="none"/>
              </w:rPr>
            </w:pPr>
          </w:p>
        </w:tc>
        <w:tc>
          <w:tcPr>
            <w:tcW w:w="2628" w:type="dxa"/>
            <w:vAlign w:val="center"/>
          </w:tcPr>
          <w:p w14:paraId="523D59F9">
            <w:pPr>
              <w:rPr>
                <w:rFonts w:hint="eastAsia" w:ascii="仿宋" w:hAnsi="仿宋" w:eastAsia="仿宋" w:cs="仿宋"/>
                <w:color w:val="auto"/>
                <w:spacing w:val="-1"/>
                <w:kern w:val="0"/>
                <w:sz w:val="24"/>
                <w:highlight w:val="none"/>
              </w:rPr>
            </w:pPr>
          </w:p>
        </w:tc>
      </w:tr>
      <w:tr w14:paraId="1004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C990220">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10</w:t>
            </w:r>
          </w:p>
        </w:tc>
        <w:tc>
          <w:tcPr>
            <w:tcW w:w="1866" w:type="dxa"/>
            <w:vAlign w:val="center"/>
          </w:tcPr>
          <w:p w14:paraId="1604563B">
            <w:pPr>
              <w:rPr>
                <w:rFonts w:hint="eastAsia" w:ascii="仿宋" w:hAnsi="仿宋" w:eastAsia="仿宋" w:cs="仿宋"/>
                <w:color w:val="auto"/>
                <w:spacing w:val="-1"/>
                <w:kern w:val="0"/>
                <w:sz w:val="24"/>
                <w:highlight w:val="none"/>
              </w:rPr>
            </w:pPr>
          </w:p>
        </w:tc>
        <w:tc>
          <w:tcPr>
            <w:tcW w:w="2090" w:type="dxa"/>
            <w:vAlign w:val="center"/>
          </w:tcPr>
          <w:p w14:paraId="1AB241BF">
            <w:pPr>
              <w:rPr>
                <w:rFonts w:hint="eastAsia" w:ascii="仿宋" w:hAnsi="仿宋" w:eastAsia="仿宋" w:cs="仿宋"/>
                <w:color w:val="auto"/>
                <w:spacing w:val="-1"/>
                <w:kern w:val="0"/>
                <w:sz w:val="24"/>
                <w:highlight w:val="none"/>
              </w:rPr>
            </w:pPr>
          </w:p>
        </w:tc>
        <w:tc>
          <w:tcPr>
            <w:tcW w:w="2628" w:type="dxa"/>
            <w:vAlign w:val="center"/>
          </w:tcPr>
          <w:p w14:paraId="05137517">
            <w:pPr>
              <w:rPr>
                <w:rFonts w:hint="eastAsia" w:ascii="仿宋" w:hAnsi="仿宋" w:eastAsia="仿宋" w:cs="仿宋"/>
                <w:color w:val="auto"/>
                <w:spacing w:val="-1"/>
                <w:kern w:val="0"/>
                <w:sz w:val="24"/>
                <w:highlight w:val="none"/>
              </w:rPr>
            </w:pPr>
          </w:p>
        </w:tc>
        <w:tc>
          <w:tcPr>
            <w:tcW w:w="2628" w:type="dxa"/>
            <w:vAlign w:val="center"/>
          </w:tcPr>
          <w:p w14:paraId="4EBCC077">
            <w:pPr>
              <w:rPr>
                <w:rFonts w:hint="eastAsia" w:ascii="仿宋" w:hAnsi="仿宋" w:eastAsia="仿宋" w:cs="仿宋"/>
                <w:color w:val="auto"/>
                <w:spacing w:val="-1"/>
                <w:kern w:val="0"/>
                <w:sz w:val="24"/>
                <w:highlight w:val="none"/>
              </w:rPr>
            </w:pPr>
          </w:p>
        </w:tc>
      </w:tr>
      <w:tr w14:paraId="38A6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B291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11</w:t>
            </w:r>
          </w:p>
        </w:tc>
        <w:tc>
          <w:tcPr>
            <w:tcW w:w="1866" w:type="dxa"/>
            <w:vAlign w:val="center"/>
          </w:tcPr>
          <w:p w14:paraId="4B41A5EB">
            <w:pPr>
              <w:rPr>
                <w:rFonts w:hint="eastAsia" w:ascii="仿宋" w:hAnsi="仿宋" w:eastAsia="仿宋" w:cs="仿宋"/>
                <w:color w:val="auto"/>
                <w:spacing w:val="-1"/>
                <w:kern w:val="0"/>
                <w:sz w:val="24"/>
                <w:highlight w:val="none"/>
              </w:rPr>
            </w:pPr>
          </w:p>
        </w:tc>
        <w:tc>
          <w:tcPr>
            <w:tcW w:w="2090" w:type="dxa"/>
            <w:vAlign w:val="center"/>
          </w:tcPr>
          <w:p w14:paraId="02B8F72F">
            <w:pPr>
              <w:rPr>
                <w:rFonts w:hint="eastAsia" w:ascii="仿宋" w:hAnsi="仿宋" w:eastAsia="仿宋" w:cs="仿宋"/>
                <w:color w:val="auto"/>
                <w:spacing w:val="-1"/>
                <w:kern w:val="0"/>
                <w:sz w:val="24"/>
                <w:highlight w:val="none"/>
              </w:rPr>
            </w:pPr>
          </w:p>
        </w:tc>
        <w:tc>
          <w:tcPr>
            <w:tcW w:w="2628" w:type="dxa"/>
            <w:vAlign w:val="center"/>
          </w:tcPr>
          <w:p w14:paraId="7C3576E6">
            <w:pPr>
              <w:rPr>
                <w:rFonts w:hint="eastAsia" w:ascii="仿宋" w:hAnsi="仿宋" w:eastAsia="仿宋" w:cs="仿宋"/>
                <w:color w:val="auto"/>
                <w:spacing w:val="-1"/>
                <w:kern w:val="0"/>
                <w:sz w:val="24"/>
                <w:highlight w:val="none"/>
              </w:rPr>
            </w:pPr>
          </w:p>
        </w:tc>
        <w:tc>
          <w:tcPr>
            <w:tcW w:w="2628" w:type="dxa"/>
            <w:vAlign w:val="center"/>
          </w:tcPr>
          <w:p w14:paraId="07F30F9D">
            <w:pPr>
              <w:rPr>
                <w:rFonts w:hint="eastAsia" w:ascii="仿宋" w:hAnsi="仿宋" w:eastAsia="仿宋" w:cs="仿宋"/>
                <w:color w:val="auto"/>
                <w:spacing w:val="-1"/>
                <w:kern w:val="0"/>
                <w:sz w:val="24"/>
                <w:highlight w:val="none"/>
              </w:rPr>
            </w:pPr>
          </w:p>
        </w:tc>
      </w:tr>
      <w:tr w14:paraId="6098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97F2E96">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12</w:t>
            </w:r>
          </w:p>
        </w:tc>
        <w:tc>
          <w:tcPr>
            <w:tcW w:w="1866" w:type="dxa"/>
            <w:vAlign w:val="center"/>
          </w:tcPr>
          <w:p w14:paraId="15EE8F15">
            <w:pPr>
              <w:rPr>
                <w:rFonts w:hint="eastAsia" w:ascii="仿宋" w:hAnsi="仿宋" w:eastAsia="仿宋" w:cs="仿宋"/>
                <w:color w:val="auto"/>
                <w:spacing w:val="-1"/>
                <w:kern w:val="0"/>
                <w:sz w:val="24"/>
                <w:highlight w:val="none"/>
              </w:rPr>
            </w:pPr>
          </w:p>
        </w:tc>
        <w:tc>
          <w:tcPr>
            <w:tcW w:w="2090" w:type="dxa"/>
            <w:vAlign w:val="center"/>
          </w:tcPr>
          <w:p w14:paraId="5B931289">
            <w:pPr>
              <w:rPr>
                <w:rFonts w:hint="eastAsia" w:ascii="仿宋" w:hAnsi="仿宋" w:eastAsia="仿宋" w:cs="仿宋"/>
                <w:color w:val="auto"/>
                <w:spacing w:val="-1"/>
                <w:kern w:val="0"/>
                <w:sz w:val="24"/>
                <w:highlight w:val="none"/>
              </w:rPr>
            </w:pPr>
          </w:p>
        </w:tc>
        <w:tc>
          <w:tcPr>
            <w:tcW w:w="2628" w:type="dxa"/>
            <w:vAlign w:val="center"/>
          </w:tcPr>
          <w:p w14:paraId="588B4A88">
            <w:pPr>
              <w:rPr>
                <w:rFonts w:hint="eastAsia" w:ascii="仿宋" w:hAnsi="仿宋" w:eastAsia="仿宋" w:cs="仿宋"/>
                <w:color w:val="auto"/>
                <w:spacing w:val="-1"/>
                <w:kern w:val="0"/>
                <w:sz w:val="24"/>
                <w:highlight w:val="none"/>
              </w:rPr>
            </w:pPr>
          </w:p>
        </w:tc>
        <w:tc>
          <w:tcPr>
            <w:tcW w:w="2628" w:type="dxa"/>
            <w:vAlign w:val="center"/>
          </w:tcPr>
          <w:p w14:paraId="51894B88">
            <w:pPr>
              <w:rPr>
                <w:rFonts w:hint="eastAsia" w:ascii="仿宋" w:hAnsi="仿宋" w:eastAsia="仿宋" w:cs="仿宋"/>
                <w:color w:val="auto"/>
                <w:spacing w:val="-1"/>
                <w:kern w:val="0"/>
                <w:sz w:val="24"/>
                <w:highlight w:val="none"/>
              </w:rPr>
            </w:pPr>
          </w:p>
        </w:tc>
      </w:tr>
      <w:tr w14:paraId="490D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C87F2E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13</w:t>
            </w:r>
          </w:p>
        </w:tc>
        <w:tc>
          <w:tcPr>
            <w:tcW w:w="1866" w:type="dxa"/>
            <w:vAlign w:val="center"/>
          </w:tcPr>
          <w:p w14:paraId="4DD0F6F8">
            <w:pPr>
              <w:rPr>
                <w:rFonts w:hint="eastAsia" w:ascii="仿宋" w:hAnsi="仿宋" w:eastAsia="仿宋" w:cs="仿宋"/>
                <w:color w:val="auto"/>
                <w:spacing w:val="-1"/>
                <w:kern w:val="0"/>
                <w:sz w:val="24"/>
                <w:highlight w:val="none"/>
              </w:rPr>
            </w:pPr>
          </w:p>
        </w:tc>
        <w:tc>
          <w:tcPr>
            <w:tcW w:w="2090" w:type="dxa"/>
            <w:vAlign w:val="center"/>
          </w:tcPr>
          <w:p w14:paraId="2F29A8F9">
            <w:pPr>
              <w:rPr>
                <w:rFonts w:hint="eastAsia" w:ascii="仿宋" w:hAnsi="仿宋" w:eastAsia="仿宋" w:cs="仿宋"/>
                <w:color w:val="auto"/>
                <w:spacing w:val="-1"/>
                <w:kern w:val="0"/>
                <w:sz w:val="24"/>
                <w:highlight w:val="none"/>
              </w:rPr>
            </w:pPr>
          </w:p>
        </w:tc>
        <w:tc>
          <w:tcPr>
            <w:tcW w:w="2628" w:type="dxa"/>
            <w:vAlign w:val="center"/>
          </w:tcPr>
          <w:p w14:paraId="057AAD3D">
            <w:pPr>
              <w:rPr>
                <w:rFonts w:hint="eastAsia" w:ascii="仿宋" w:hAnsi="仿宋" w:eastAsia="仿宋" w:cs="仿宋"/>
                <w:color w:val="auto"/>
                <w:spacing w:val="-1"/>
                <w:kern w:val="0"/>
                <w:sz w:val="24"/>
                <w:highlight w:val="none"/>
              </w:rPr>
            </w:pPr>
          </w:p>
        </w:tc>
        <w:tc>
          <w:tcPr>
            <w:tcW w:w="2628" w:type="dxa"/>
            <w:vAlign w:val="center"/>
          </w:tcPr>
          <w:p w14:paraId="5F724CAD">
            <w:pPr>
              <w:rPr>
                <w:rFonts w:hint="eastAsia" w:ascii="仿宋" w:hAnsi="仿宋" w:eastAsia="仿宋" w:cs="仿宋"/>
                <w:color w:val="auto"/>
                <w:spacing w:val="-1"/>
                <w:kern w:val="0"/>
                <w:sz w:val="24"/>
                <w:highlight w:val="none"/>
              </w:rPr>
            </w:pPr>
          </w:p>
        </w:tc>
      </w:tr>
      <w:tr w14:paraId="3DC5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34CD938">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14</w:t>
            </w:r>
          </w:p>
        </w:tc>
        <w:tc>
          <w:tcPr>
            <w:tcW w:w="1866" w:type="dxa"/>
            <w:vAlign w:val="center"/>
          </w:tcPr>
          <w:p w14:paraId="0B2409A6">
            <w:pPr>
              <w:rPr>
                <w:rFonts w:hint="eastAsia" w:ascii="仿宋" w:hAnsi="仿宋" w:eastAsia="仿宋" w:cs="仿宋"/>
                <w:color w:val="auto"/>
                <w:spacing w:val="-1"/>
                <w:kern w:val="0"/>
                <w:sz w:val="24"/>
                <w:highlight w:val="none"/>
              </w:rPr>
            </w:pPr>
          </w:p>
        </w:tc>
        <w:tc>
          <w:tcPr>
            <w:tcW w:w="2090" w:type="dxa"/>
            <w:vAlign w:val="center"/>
          </w:tcPr>
          <w:p w14:paraId="425524C0">
            <w:pPr>
              <w:rPr>
                <w:rFonts w:hint="eastAsia" w:ascii="仿宋" w:hAnsi="仿宋" w:eastAsia="仿宋" w:cs="仿宋"/>
                <w:color w:val="auto"/>
                <w:spacing w:val="-1"/>
                <w:kern w:val="0"/>
                <w:sz w:val="24"/>
                <w:highlight w:val="none"/>
              </w:rPr>
            </w:pPr>
          </w:p>
        </w:tc>
        <w:tc>
          <w:tcPr>
            <w:tcW w:w="2628" w:type="dxa"/>
            <w:vAlign w:val="center"/>
          </w:tcPr>
          <w:p w14:paraId="1406567D">
            <w:pPr>
              <w:rPr>
                <w:rFonts w:hint="eastAsia" w:ascii="仿宋" w:hAnsi="仿宋" w:eastAsia="仿宋" w:cs="仿宋"/>
                <w:color w:val="auto"/>
                <w:spacing w:val="-1"/>
                <w:kern w:val="0"/>
                <w:sz w:val="24"/>
                <w:highlight w:val="none"/>
              </w:rPr>
            </w:pPr>
          </w:p>
        </w:tc>
        <w:tc>
          <w:tcPr>
            <w:tcW w:w="2628" w:type="dxa"/>
            <w:vAlign w:val="center"/>
          </w:tcPr>
          <w:p w14:paraId="6D2D233F">
            <w:pPr>
              <w:rPr>
                <w:rFonts w:hint="eastAsia" w:ascii="仿宋" w:hAnsi="仿宋" w:eastAsia="仿宋" w:cs="仿宋"/>
                <w:color w:val="auto"/>
                <w:spacing w:val="-1"/>
                <w:kern w:val="0"/>
                <w:sz w:val="24"/>
                <w:highlight w:val="none"/>
              </w:rPr>
            </w:pPr>
          </w:p>
        </w:tc>
      </w:tr>
      <w:tr w14:paraId="6A14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C0A72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15</w:t>
            </w:r>
          </w:p>
        </w:tc>
        <w:tc>
          <w:tcPr>
            <w:tcW w:w="1866" w:type="dxa"/>
            <w:vAlign w:val="center"/>
          </w:tcPr>
          <w:p w14:paraId="2284EADA">
            <w:pPr>
              <w:rPr>
                <w:rFonts w:hint="eastAsia" w:ascii="仿宋" w:hAnsi="仿宋" w:eastAsia="仿宋" w:cs="仿宋"/>
                <w:color w:val="auto"/>
                <w:spacing w:val="-1"/>
                <w:kern w:val="0"/>
                <w:sz w:val="24"/>
                <w:highlight w:val="none"/>
              </w:rPr>
            </w:pPr>
          </w:p>
        </w:tc>
        <w:tc>
          <w:tcPr>
            <w:tcW w:w="2090" w:type="dxa"/>
            <w:vAlign w:val="center"/>
          </w:tcPr>
          <w:p w14:paraId="15BB7F7A">
            <w:pPr>
              <w:rPr>
                <w:rFonts w:hint="eastAsia" w:ascii="仿宋" w:hAnsi="仿宋" w:eastAsia="仿宋" w:cs="仿宋"/>
                <w:color w:val="auto"/>
                <w:spacing w:val="-1"/>
                <w:kern w:val="0"/>
                <w:sz w:val="24"/>
                <w:highlight w:val="none"/>
              </w:rPr>
            </w:pPr>
          </w:p>
        </w:tc>
        <w:tc>
          <w:tcPr>
            <w:tcW w:w="2628" w:type="dxa"/>
            <w:vAlign w:val="center"/>
          </w:tcPr>
          <w:p w14:paraId="6441B8E7">
            <w:pPr>
              <w:rPr>
                <w:rFonts w:hint="eastAsia" w:ascii="仿宋" w:hAnsi="仿宋" w:eastAsia="仿宋" w:cs="仿宋"/>
                <w:color w:val="auto"/>
                <w:spacing w:val="-1"/>
                <w:kern w:val="0"/>
                <w:sz w:val="24"/>
                <w:highlight w:val="none"/>
              </w:rPr>
            </w:pPr>
          </w:p>
        </w:tc>
        <w:tc>
          <w:tcPr>
            <w:tcW w:w="2628" w:type="dxa"/>
            <w:vAlign w:val="center"/>
          </w:tcPr>
          <w:p w14:paraId="78DB667A">
            <w:pPr>
              <w:rPr>
                <w:rFonts w:hint="eastAsia" w:ascii="仿宋" w:hAnsi="仿宋" w:eastAsia="仿宋" w:cs="仿宋"/>
                <w:color w:val="auto"/>
                <w:spacing w:val="-1"/>
                <w:kern w:val="0"/>
                <w:sz w:val="24"/>
                <w:highlight w:val="none"/>
              </w:rPr>
            </w:pPr>
          </w:p>
        </w:tc>
      </w:tr>
    </w:tbl>
    <w:p w14:paraId="0B87E81F">
      <w:pPr>
        <w:rPr>
          <w:rFonts w:hint="eastAsia" w:ascii="仿宋" w:hAnsi="仿宋" w:eastAsia="仿宋" w:cs="仿宋"/>
          <w:color w:val="auto"/>
          <w:spacing w:val="-1"/>
          <w:kern w:val="0"/>
          <w:sz w:val="24"/>
          <w:highlight w:val="none"/>
        </w:rPr>
      </w:pPr>
    </w:p>
    <w:p w14:paraId="590B084C">
      <w:pPr>
        <w:ind w:firstLine="476" w:firstLineChars="200"/>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注：凡</w:t>
      </w:r>
      <w:r>
        <w:rPr>
          <w:rFonts w:hint="eastAsia" w:ascii="仿宋" w:hAnsi="仿宋" w:eastAsia="仿宋" w:cs="仿宋"/>
          <w:color w:val="auto"/>
          <w:spacing w:val="-1"/>
          <w:kern w:val="0"/>
          <w:sz w:val="24"/>
          <w:highlight w:val="none"/>
          <w:lang w:eastAsia="zh-CN"/>
        </w:rPr>
        <w:t>响应</w:t>
      </w:r>
      <w:r>
        <w:rPr>
          <w:rFonts w:hint="eastAsia" w:ascii="仿宋" w:hAnsi="仿宋" w:eastAsia="仿宋" w:cs="仿宋"/>
          <w:color w:val="auto"/>
          <w:spacing w:val="-1"/>
          <w:kern w:val="0"/>
          <w:sz w:val="24"/>
          <w:highlight w:val="none"/>
        </w:rPr>
        <w:t>文件中商务条款（包括供货期、付款</w:t>
      </w:r>
      <w:r>
        <w:rPr>
          <w:rFonts w:hint="eastAsia" w:ascii="仿宋" w:hAnsi="仿宋" w:eastAsia="仿宋" w:cs="仿宋"/>
          <w:color w:val="auto"/>
          <w:spacing w:val="-1"/>
          <w:kern w:val="0"/>
          <w:sz w:val="24"/>
          <w:highlight w:val="none"/>
          <w:lang w:eastAsia="zh-CN"/>
        </w:rPr>
        <w:t>方式</w:t>
      </w:r>
      <w:r>
        <w:rPr>
          <w:rFonts w:hint="eastAsia" w:ascii="仿宋" w:hAnsi="仿宋" w:eastAsia="仿宋" w:cs="仿宋"/>
          <w:color w:val="auto"/>
          <w:spacing w:val="-1"/>
          <w:kern w:val="0"/>
          <w:sz w:val="24"/>
          <w:highlight w:val="none"/>
        </w:rPr>
        <w:t>、</w:t>
      </w:r>
      <w:r>
        <w:rPr>
          <w:rFonts w:hint="eastAsia" w:ascii="仿宋" w:hAnsi="仿宋" w:eastAsia="仿宋" w:cs="仿宋"/>
          <w:color w:val="auto"/>
          <w:spacing w:val="-1"/>
          <w:kern w:val="0"/>
          <w:sz w:val="24"/>
          <w:highlight w:val="none"/>
          <w:lang w:eastAsia="zh-CN"/>
        </w:rPr>
        <w:t>投标保证金、</w:t>
      </w:r>
      <w:r>
        <w:rPr>
          <w:rFonts w:hint="eastAsia" w:ascii="仿宋" w:hAnsi="仿宋" w:eastAsia="仿宋" w:cs="仿宋"/>
          <w:color w:val="auto"/>
          <w:spacing w:val="-1"/>
          <w:kern w:val="0"/>
          <w:sz w:val="24"/>
          <w:highlight w:val="none"/>
        </w:rPr>
        <w:t>合同条款以及其它所有商务内容）与</w:t>
      </w:r>
      <w:r>
        <w:rPr>
          <w:rFonts w:hint="eastAsia" w:ascii="仿宋" w:hAnsi="仿宋" w:eastAsia="仿宋" w:cs="仿宋"/>
          <w:color w:val="auto"/>
          <w:spacing w:val="-1"/>
          <w:kern w:val="0"/>
          <w:sz w:val="24"/>
          <w:highlight w:val="none"/>
          <w:lang w:eastAsia="zh-CN"/>
        </w:rPr>
        <w:t>谈判文件</w:t>
      </w:r>
      <w:r>
        <w:rPr>
          <w:rFonts w:hint="eastAsia" w:ascii="仿宋" w:hAnsi="仿宋" w:eastAsia="仿宋" w:cs="仿宋"/>
          <w:color w:val="auto"/>
          <w:spacing w:val="-1"/>
          <w:kern w:val="0"/>
          <w:sz w:val="24"/>
          <w:highlight w:val="none"/>
        </w:rPr>
        <w:t>存在正偏差的，均应在此表中列出（不允许存在负偏离），未在此表中列出的视同完全满足谈判文件要求。</w:t>
      </w:r>
    </w:p>
    <w:p w14:paraId="3DB6EDB6">
      <w:pPr>
        <w:rPr>
          <w:rFonts w:hint="eastAsia" w:ascii="仿宋" w:hAnsi="仿宋" w:eastAsia="仿宋" w:cs="仿宋"/>
          <w:color w:val="auto"/>
          <w:spacing w:val="-1"/>
          <w:kern w:val="0"/>
          <w:sz w:val="24"/>
          <w:highlight w:val="none"/>
        </w:rPr>
      </w:pPr>
    </w:p>
    <w:p w14:paraId="6522C91E">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5B02845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34A6A21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p>
    <w:p w14:paraId="3C6E97ED">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（盖章）</w:t>
      </w:r>
      <w:r>
        <w:rPr>
          <w:rFonts w:hint="eastAsia" w:ascii="仿宋" w:hAnsi="仿宋" w:eastAsia="仿宋" w:cs="仿宋"/>
          <w:color w:val="auto"/>
          <w:sz w:val="24"/>
          <w:szCs w:val="24"/>
          <w:highlight w:val="none"/>
        </w:rPr>
        <w:t xml:space="preserve"> </w:t>
      </w:r>
    </w:p>
    <w:p w14:paraId="09DA0F6C">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highlight w:val="none"/>
        </w:rPr>
      </w:pPr>
      <w:r>
        <w:rPr>
          <w:rFonts w:hint="eastAsia" w:ascii="仿宋" w:hAnsi="仿宋" w:eastAsia="仿宋" w:cs="仿宋"/>
          <w:color w:val="auto"/>
          <w:sz w:val="24"/>
          <w:szCs w:val="24"/>
          <w:highlight w:val="none"/>
        </w:rPr>
        <w:t>法定代表人或被授权人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w:t>
      </w:r>
      <w:r>
        <w:rPr>
          <w:rFonts w:hint="eastAsia" w:ascii="仿宋" w:hAnsi="仿宋" w:eastAsia="仿宋" w:cs="仿宋"/>
          <w:color w:val="auto"/>
          <w:w w:val="95"/>
          <w:sz w:val="24"/>
          <w:szCs w:val="24"/>
          <w:highlight w:val="none"/>
          <w:lang w:eastAsia="zh-CN"/>
        </w:rPr>
        <w:t>签字或盖章</w:t>
      </w:r>
      <w:r>
        <w:rPr>
          <w:rFonts w:hint="eastAsia" w:ascii="仿宋" w:hAnsi="仿宋" w:eastAsia="仿宋" w:cs="仿宋"/>
          <w:color w:val="auto"/>
          <w:w w:val="95"/>
          <w:sz w:val="24"/>
          <w:szCs w:val="24"/>
          <w:highlight w:val="none"/>
        </w:rPr>
        <w:t>）</w:t>
      </w:r>
    </w:p>
    <w:p w14:paraId="00DC22F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highlight w:val="none"/>
        </w:rPr>
      </w:pPr>
    </w:p>
    <w:p w14:paraId="77F7042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日</w:t>
      </w:r>
    </w:p>
    <w:p w14:paraId="71EDB0A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p>
    <w:p w14:paraId="177F614C">
      <w:pPr>
        <w:pStyle w:val="35"/>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highlight w:val="none"/>
        </w:rPr>
      </w:pPr>
    </w:p>
    <w:p w14:paraId="1E028F23">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4BABD251">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7、投标人基本情况表</w:t>
      </w:r>
    </w:p>
    <w:p w14:paraId="09408A75">
      <w:pPr>
        <w:pStyle w:val="7"/>
        <w:numPr>
          <w:ilvl w:val="0"/>
          <w:numId w:val="0"/>
        </w:numPr>
        <w:kinsoku w:val="0"/>
        <w:overflowPunct w:val="0"/>
        <w:spacing w:before="5"/>
        <w:ind w:leftChars="0" w:right="0" w:rightChars="0"/>
        <w:rPr>
          <w:rFonts w:hint="eastAsia" w:ascii="仿宋" w:hAnsi="仿宋" w:eastAsia="仿宋" w:cs="仿宋"/>
          <w:b/>
          <w:bCs/>
          <w:color w:val="auto"/>
          <w:sz w:val="6"/>
          <w:szCs w:val="6"/>
          <w:highlight w:val="none"/>
        </w:rPr>
      </w:pPr>
    </w:p>
    <w:tbl>
      <w:tblPr>
        <w:tblStyle w:val="23"/>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3E38185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4B5C1AF">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325E1274">
            <w:pPr>
              <w:rPr>
                <w:rFonts w:hint="eastAsia" w:ascii="仿宋" w:hAnsi="仿宋" w:eastAsia="仿宋" w:cs="仿宋"/>
                <w:color w:val="auto"/>
                <w:highlight w:val="none"/>
              </w:rPr>
            </w:pPr>
          </w:p>
        </w:tc>
      </w:tr>
      <w:tr w14:paraId="2A77B5E2">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1952299">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180814CE">
            <w:pPr>
              <w:rPr>
                <w:rFonts w:hint="eastAsia" w:ascii="仿宋" w:hAnsi="仿宋" w:eastAsia="仿宋" w:cs="仿宋"/>
                <w:color w:val="auto"/>
                <w:highlight w:val="none"/>
              </w:rPr>
            </w:pPr>
          </w:p>
        </w:tc>
      </w:tr>
      <w:tr w14:paraId="023C77C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31DA84E">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7E8098A4">
            <w:pPr>
              <w:rPr>
                <w:rFonts w:hint="eastAsia" w:ascii="仿宋" w:hAnsi="仿宋" w:eastAsia="仿宋" w:cs="仿宋"/>
                <w:color w:val="auto"/>
                <w:highlight w:val="none"/>
              </w:rPr>
            </w:pPr>
          </w:p>
        </w:tc>
      </w:tr>
      <w:tr w14:paraId="601A6559">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FD8DB5A">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1CBB6ED6">
            <w:pPr>
              <w:rPr>
                <w:rFonts w:hint="eastAsia" w:ascii="仿宋" w:hAnsi="仿宋" w:eastAsia="仿宋" w:cs="仿宋"/>
                <w:color w:val="auto"/>
                <w:highlight w:val="none"/>
              </w:rPr>
            </w:pPr>
          </w:p>
        </w:tc>
        <w:tc>
          <w:tcPr>
            <w:tcW w:w="2294" w:type="dxa"/>
            <w:gridSpan w:val="4"/>
            <w:tcBorders>
              <w:top w:val="single" w:color="000000" w:sz="4" w:space="0"/>
              <w:left w:val="single" w:color="000000" w:sz="4" w:space="0"/>
              <w:bottom w:val="single" w:color="000000" w:sz="4" w:space="0"/>
              <w:right w:val="single" w:color="000000" w:sz="4" w:space="0"/>
            </w:tcBorders>
          </w:tcPr>
          <w:p w14:paraId="0EFCBD5C">
            <w:pPr>
              <w:pStyle w:val="38"/>
              <w:kinsoku w:val="0"/>
              <w:overflowPunct w:val="0"/>
              <w:spacing w:before="145"/>
              <w:ind w:left="181"/>
              <w:rPr>
                <w:rFonts w:hint="eastAsia" w:ascii="仿宋" w:hAnsi="仿宋" w:eastAsia="仿宋" w:cs="仿宋"/>
                <w:color w:val="auto"/>
                <w:highlight w:val="none"/>
              </w:rPr>
            </w:pPr>
            <w:r>
              <w:rPr>
                <w:rFonts w:hint="eastAsia" w:ascii="仿宋" w:hAnsi="仿宋" w:eastAsia="仿宋" w:cs="仿宋"/>
                <w:color w:val="auto"/>
                <w:highlight w:val="none"/>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1FB850ED">
            <w:pPr>
              <w:rPr>
                <w:rFonts w:hint="eastAsia" w:ascii="仿宋" w:hAnsi="仿宋" w:eastAsia="仿宋" w:cs="仿宋"/>
                <w:color w:val="auto"/>
                <w:highlight w:val="none"/>
              </w:rPr>
            </w:pPr>
          </w:p>
        </w:tc>
      </w:tr>
      <w:tr w14:paraId="24FEA6F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CCEB929">
            <w:pPr>
              <w:pStyle w:val="38"/>
              <w:kinsoku w:val="0"/>
              <w:overflowPunct w:val="0"/>
              <w:spacing w:before="146"/>
              <w:ind w:left="137"/>
              <w:rPr>
                <w:rFonts w:hint="eastAsia" w:ascii="仿宋" w:hAnsi="仿宋" w:eastAsia="仿宋" w:cs="仿宋"/>
                <w:color w:val="auto"/>
                <w:highlight w:val="none"/>
              </w:rPr>
            </w:pPr>
            <w:r>
              <w:rPr>
                <w:rFonts w:hint="eastAsia" w:ascii="仿宋" w:hAnsi="仿宋" w:eastAsia="仿宋" w:cs="仿宋"/>
                <w:color w:val="auto"/>
                <w:highlight w:val="none"/>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5826C4DA">
            <w:pPr>
              <w:rPr>
                <w:rFonts w:hint="eastAsia" w:ascii="仿宋" w:hAnsi="仿宋" w:eastAsia="仿宋" w:cs="仿宋"/>
                <w:color w:val="auto"/>
                <w:highlight w:val="none"/>
              </w:rPr>
            </w:pPr>
          </w:p>
        </w:tc>
      </w:tr>
      <w:tr w14:paraId="237BD272">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29B75">
            <w:pPr>
              <w:pStyle w:val="38"/>
              <w:kinsoku w:val="0"/>
              <w:overflowPunct w:val="0"/>
              <w:spacing w:before="141" w:line="312" w:lineRule="exact"/>
              <w:ind w:left="257" w:right="133" w:hanging="120"/>
              <w:rPr>
                <w:rFonts w:hint="eastAsia" w:ascii="仿宋" w:hAnsi="仿宋" w:eastAsia="仿宋" w:cs="仿宋"/>
                <w:color w:val="auto"/>
                <w:highlight w:val="none"/>
              </w:rPr>
            </w:pPr>
            <w:r>
              <w:rPr>
                <w:rFonts w:hint="eastAsia" w:ascii="仿宋" w:hAnsi="仿宋" w:eastAsia="仿宋" w:cs="仿宋"/>
                <w:color w:val="auto"/>
                <w:highlight w:val="none"/>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74EF9FF7">
            <w:pPr>
              <w:rPr>
                <w:rFonts w:hint="eastAsia" w:ascii="仿宋" w:hAnsi="仿宋" w:eastAsia="仿宋" w:cs="仿宋"/>
                <w:color w:val="auto"/>
                <w:highlight w:val="none"/>
              </w:rPr>
            </w:pPr>
          </w:p>
        </w:tc>
        <w:tc>
          <w:tcPr>
            <w:tcW w:w="1342" w:type="dxa"/>
            <w:gridSpan w:val="2"/>
            <w:tcBorders>
              <w:top w:val="single" w:color="000000" w:sz="4" w:space="0"/>
              <w:left w:val="single" w:color="000000" w:sz="4" w:space="0"/>
              <w:bottom w:val="single" w:color="000000" w:sz="4" w:space="0"/>
              <w:right w:val="single" w:color="000000" w:sz="4" w:space="0"/>
            </w:tcBorders>
          </w:tcPr>
          <w:p w14:paraId="62291B2F">
            <w:pPr>
              <w:pStyle w:val="38"/>
              <w:kinsoku w:val="0"/>
              <w:overflowPunct w:val="0"/>
              <w:spacing w:before="4"/>
              <w:rPr>
                <w:rFonts w:hint="eastAsia" w:ascii="仿宋" w:hAnsi="仿宋" w:eastAsia="仿宋" w:cs="仿宋"/>
                <w:b/>
                <w:bCs/>
                <w:color w:val="auto"/>
                <w:sz w:val="20"/>
                <w:szCs w:val="20"/>
                <w:highlight w:val="none"/>
              </w:rPr>
            </w:pPr>
          </w:p>
          <w:p w14:paraId="464F448C">
            <w:pPr>
              <w:pStyle w:val="38"/>
              <w:kinsoku w:val="0"/>
              <w:overflowPunct w:val="0"/>
              <w:ind w:left="366"/>
              <w:rPr>
                <w:rFonts w:hint="eastAsia" w:ascii="仿宋" w:hAnsi="仿宋" w:eastAsia="仿宋" w:cs="仿宋"/>
                <w:color w:val="auto"/>
                <w:highlight w:val="none"/>
              </w:rPr>
            </w:pPr>
            <w:r>
              <w:rPr>
                <w:rFonts w:hint="eastAsia" w:ascii="仿宋" w:hAnsi="仿宋" w:eastAsia="仿宋" w:cs="仿宋"/>
                <w:color w:val="auto"/>
                <w:highlight w:val="none"/>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4F0C096">
            <w:pPr>
              <w:rPr>
                <w:rFonts w:hint="eastAsia" w:ascii="仿宋" w:hAnsi="仿宋" w:eastAsia="仿宋" w:cs="仿宋"/>
                <w:color w:val="auto"/>
                <w:highlight w:val="none"/>
              </w:rPr>
            </w:pPr>
          </w:p>
        </w:tc>
        <w:tc>
          <w:tcPr>
            <w:tcW w:w="1377" w:type="dxa"/>
            <w:gridSpan w:val="3"/>
            <w:tcBorders>
              <w:top w:val="single" w:color="000000" w:sz="4" w:space="0"/>
              <w:left w:val="single" w:color="000000" w:sz="4" w:space="0"/>
              <w:bottom w:val="single" w:color="000000" w:sz="4" w:space="0"/>
              <w:right w:val="single" w:color="000000" w:sz="4" w:space="0"/>
            </w:tcBorders>
          </w:tcPr>
          <w:p w14:paraId="74297208">
            <w:pPr>
              <w:pStyle w:val="38"/>
              <w:kinsoku w:val="0"/>
              <w:overflowPunct w:val="0"/>
              <w:spacing w:before="4"/>
              <w:rPr>
                <w:rFonts w:hint="eastAsia" w:ascii="仿宋" w:hAnsi="仿宋" w:eastAsia="仿宋" w:cs="仿宋"/>
                <w:b/>
                <w:bCs/>
                <w:color w:val="auto"/>
                <w:sz w:val="20"/>
                <w:szCs w:val="20"/>
                <w:highlight w:val="none"/>
              </w:rPr>
            </w:pPr>
          </w:p>
          <w:p w14:paraId="14D34B0A">
            <w:pPr>
              <w:pStyle w:val="38"/>
              <w:kinsoku w:val="0"/>
              <w:overflowPunct w:val="0"/>
              <w:ind w:left="383"/>
              <w:rPr>
                <w:rFonts w:hint="eastAsia" w:ascii="仿宋" w:hAnsi="仿宋" w:eastAsia="仿宋" w:cs="仿宋"/>
                <w:color w:val="auto"/>
                <w:highlight w:val="none"/>
              </w:rPr>
            </w:pPr>
            <w:r>
              <w:rPr>
                <w:rFonts w:hint="eastAsia" w:ascii="仿宋" w:hAnsi="仿宋" w:eastAsia="仿宋" w:cs="仿宋"/>
                <w:color w:val="auto"/>
                <w:highlight w:val="none"/>
              </w:rPr>
              <w:t>传 真</w:t>
            </w:r>
          </w:p>
        </w:tc>
        <w:tc>
          <w:tcPr>
            <w:tcW w:w="1965" w:type="dxa"/>
            <w:tcBorders>
              <w:top w:val="single" w:color="000000" w:sz="4" w:space="0"/>
              <w:left w:val="single" w:color="000000" w:sz="4" w:space="0"/>
              <w:bottom w:val="single" w:color="000000" w:sz="4" w:space="0"/>
              <w:right w:val="single" w:color="000000" w:sz="4" w:space="0"/>
            </w:tcBorders>
          </w:tcPr>
          <w:p w14:paraId="2B64240C">
            <w:pPr>
              <w:rPr>
                <w:rFonts w:hint="eastAsia" w:ascii="仿宋" w:hAnsi="仿宋" w:eastAsia="仿宋" w:cs="仿宋"/>
                <w:color w:val="auto"/>
                <w:highlight w:val="none"/>
              </w:rPr>
            </w:pPr>
          </w:p>
        </w:tc>
      </w:tr>
      <w:tr w14:paraId="58F0D12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118E5CF3">
            <w:pPr>
              <w:pStyle w:val="38"/>
              <w:kinsoku w:val="0"/>
              <w:overflowPunct w:val="0"/>
              <w:rPr>
                <w:rFonts w:hint="eastAsia" w:ascii="仿宋" w:hAnsi="仿宋" w:eastAsia="仿宋" w:cs="仿宋"/>
                <w:b/>
                <w:bCs/>
                <w:color w:val="auto"/>
                <w:highlight w:val="none"/>
              </w:rPr>
            </w:pPr>
          </w:p>
          <w:p w14:paraId="4F61EBCC">
            <w:pPr>
              <w:pStyle w:val="38"/>
              <w:kinsoku w:val="0"/>
              <w:overflowPunct w:val="0"/>
              <w:rPr>
                <w:rFonts w:hint="eastAsia" w:ascii="仿宋" w:hAnsi="仿宋" w:eastAsia="仿宋" w:cs="仿宋"/>
                <w:b/>
                <w:bCs/>
                <w:color w:val="auto"/>
                <w:highlight w:val="none"/>
              </w:rPr>
            </w:pPr>
          </w:p>
          <w:p w14:paraId="07EA56E7">
            <w:pPr>
              <w:pStyle w:val="38"/>
              <w:kinsoku w:val="0"/>
              <w:overflowPunct w:val="0"/>
              <w:rPr>
                <w:rFonts w:hint="eastAsia" w:ascii="仿宋" w:hAnsi="仿宋" w:eastAsia="仿宋" w:cs="仿宋"/>
                <w:b/>
                <w:bCs/>
                <w:color w:val="auto"/>
                <w:highlight w:val="none"/>
              </w:rPr>
            </w:pPr>
          </w:p>
          <w:p w14:paraId="041F68CE">
            <w:pPr>
              <w:pStyle w:val="38"/>
              <w:kinsoku w:val="0"/>
              <w:overflowPunct w:val="0"/>
              <w:spacing w:line="475"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3C8157D2">
            <w:pPr>
              <w:pStyle w:val="38"/>
              <w:kinsoku w:val="0"/>
              <w:overflowPunct w:val="0"/>
              <w:spacing w:before="144"/>
              <w:ind w:left="236"/>
              <w:rPr>
                <w:rFonts w:hint="eastAsia" w:ascii="仿宋" w:hAnsi="仿宋" w:eastAsia="仿宋" w:cs="仿宋"/>
                <w:color w:val="auto"/>
                <w:highlight w:val="none"/>
              </w:rPr>
            </w:pPr>
            <w:r>
              <w:rPr>
                <w:rFonts w:hint="eastAsia" w:ascii="仿宋" w:hAnsi="仿宋" w:eastAsia="仿宋" w:cs="仿宋"/>
                <w:color w:val="auto"/>
                <w:highlight w:val="none"/>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54134B75">
            <w:pPr>
              <w:rPr>
                <w:rFonts w:hint="eastAsia" w:ascii="仿宋" w:hAnsi="仿宋" w:eastAsia="仿宋" w:cs="仿宋"/>
                <w:color w:val="auto"/>
                <w:highlight w:val="none"/>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D92C058">
            <w:pPr>
              <w:pStyle w:val="38"/>
              <w:kinsoku w:val="0"/>
              <w:overflowPunct w:val="0"/>
              <w:spacing w:before="144"/>
              <w:ind w:left="118"/>
              <w:rPr>
                <w:rFonts w:hint="eastAsia" w:ascii="仿宋" w:hAnsi="仿宋" w:eastAsia="仿宋" w:cs="仿宋"/>
                <w:color w:val="auto"/>
                <w:highlight w:val="none"/>
              </w:rPr>
            </w:pPr>
            <w:r>
              <w:rPr>
                <w:rFonts w:hint="eastAsia" w:ascii="仿宋" w:hAnsi="仿宋" w:eastAsia="仿宋" w:cs="仿宋"/>
                <w:color w:val="auto"/>
                <w:highlight w:val="none"/>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586B3FEA">
            <w:pPr>
              <w:rPr>
                <w:rFonts w:hint="eastAsia" w:ascii="仿宋" w:hAnsi="仿宋" w:eastAsia="仿宋" w:cs="仿宋"/>
                <w:color w:val="auto"/>
                <w:highlight w:val="none"/>
              </w:rPr>
            </w:pPr>
          </w:p>
        </w:tc>
      </w:tr>
      <w:tr w14:paraId="623BB899">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8259A3D">
            <w:pPr>
              <w:rPr>
                <w:rFonts w:hint="eastAsia" w:ascii="仿宋" w:hAnsi="仿宋" w:eastAsia="仿宋" w:cs="仿宋"/>
                <w:color w:val="auto"/>
                <w:highlight w:val="none"/>
              </w:rPr>
            </w:pPr>
          </w:p>
        </w:tc>
        <w:tc>
          <w:tcPr>
            <w:tcW w:w="7472" w:type="dxa"/>
            <w:gridSpan w:val="9"/>
            <w:tcBorders>
              <w:top w:val="single" w:color="000000" w:sz="4" w:space="0"/>
              <w:left w:val="single" w:color="000000" w:sz="4" w:space="0"/>
              <w:bottom w:val="single" w:color="000000" w:sz="4" w:space="0"/>
              <w:right w:val="single" w:color="000000" w:sz="4" w:space="0"/>
            </w:tcBorders>
          </w:tcPr>
          <w:p w14:paraId="4364F535">
            <w:pPr>
              <w:pStyle w:val="38"/>
              <w:kinsoku w:val="0"/>
              <w:overflowPunct w:val="0"/>
              <w:spacing w:before="145"/>
              <w:jc w:val="center"/>
              <w:rPr>
                <w:rFonts w:hint="eastAsia" w:ascii="仿宋" w:hAnsi="仿宋" w:eastAsia="仿宋" w:cs="仿宋"/>
                <w:color w:val="auto"/>
                <w:highlight w:val="none"/>
              </w:rPr>
            </w:pPr>
            <w:r>
              <w:rPr>
                <w:rFonts w:hint="eastAsia" w:ascii="仿宋" w:hAnsi="仿宋" w:eastAsia="仿宋" w:cs="仿宋"/>
                <w:color w:val="auto"/>
                <w:highlight w:val="none"/>
              </w:rPr>
              <w:t>单位行政和技术负责人</w:t>
            </w:r>
          </w:p>
        </w:tc>
      </w:tr>
      <w:tr w14:paraId="1D0FB37C">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390B72F5">
            <w:pPr>
              <w:pStyle w:val="38"/>
              <w:kinsoku w:val="0"/>
              <w:overflowPunct w:val="0"/>
              <w:spacing w:before="145"/>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428D138B">
            <w:pPr>
              <w:pStyle w:val="38"/>
              <w:kinsoku w:val="0"/>
              <w:overflowPunct w:val="0"/>
              <w:spacing w:before="145"/>
              <w:ind w:left="416"/>
              <w:rPr>
                <w:rFonts w:hint="eastAsia" w:ascii="仿宋" w:hAnsi="仿宋" w:eastAsia="仿宋" w:cs="仿宋"/>
                <w:color w:val="auto"/>
                <w:highlight w:val="none"/>
              </w:rPr>
            </w:pPr>
            <w:r>
              <w:rPr>
                <w:rFonts w:hint="eastAsia" w:ascii="仿宋" w:hAnsi="仿宋" w:eastAsia="仿宋" w:cs="仿宋"/>
                <w:color w:val="auto"/>
                <w:highlight w:val="none"/>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290E58C6">
            <w:pPr>
              <w:pStyle w:val="38"/>
              <w:kinsoku w:val="0"/>
              <w:overflowPunct w:val="0"/>
              <w:spacing w:before="145"/>
              <w:ind w:left="452"/>
              <w:rPr>
                <w:rFonts w:hint="eastAsia" w:ascii="仿宋" w:hAnsi="仿宋" w:eastAsia="仿宋" w:cs="仿宋"/>
                <w:color w:val="auto"/>
                <w:highlight w:val="none"/>
              </w:rPr>
            </w:pPr>
            <w:r>
              <w:rPr>
                <w:rFonts w:hint="eastAsia" w:ascii="仿宋" w:hAnsi="仿宋" w:eastAsia="仿宋" w:cs="仿宋"/>
                <w:color w:val="auto"/>
                <w:highlight w:val="none"/>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683FCB67">
            <w:pPr>
              <w:pStyle w:val="38"/>
              <w:kinsoku w:val="0"/>
              <w:overflowPunct w:val="0"/>
              <w:spacing w:before="145"/>
              <w:ind w:left="450"/>
              <w:rPr>
                <w:rFonts w:hint="eastAsia" w:ascii="仿宋" w:hAnsi="仿宋" w:eastAsia="仿宋" w:cs="仿宋"/>
                <w:color w:val="auto"/>
                <w:highlight w:val="none"/>
              </w:rPr>
            </w:pPr>
            <w:r>
              <w:rPr>
                <w:rFonts w:hint="eastAsia" w:ascii="仿宋" w:hAnsi="仿宋" w:eastAsia="仿宋" w:cs="仿宋"/>
                <w:color w:val="auto"/>
                <w:highlight w:val="none"/>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2F5397C1">
            <w:pPr>
              <w:pStyle w:val="38"/>
              <w:tabs>
                <w:tab w:val="left" w:pos="479"/>
              </w:tabs>
              <w:kinsoku w:val="0"/>
              <w:overflowPunct w:val="0"/>
              <w:spacing w:before="145"/>
              <w:ind w:right="1"/>
              <w:jc w:val="center"/>
              <w:rPr>
                <w:rFonts w:hint="eastAsia" w:ascii="仿宋" w:hAnsi="仿宋" w:eastAsia="仿宋" w:cs="仿宋"/>
                <w:color w:val="auto"/>
                <w:highlight w:val="none"/>
              </w:rPr>
            </w:pPr>
            <w:r>
              <w:rPr>
                <w:rFonts w:hint="eastAsia" w:ascii="仿宋" w:hAnsi="仿宋" w:eastAsia="仿宋" w:cs="仿宋"/>
                <w:color w:val="auto"/>
                <w:highlight w:val="none"/>
              </w:rPr>
              <w:t>专</w:t>
            </w:r>
            <w:r>
              <w:rPr>
                <w:rFonts w:hint="eastAsia" w:ascii="仿宋" w:hAnsi="仿宋" w:eastAsia="仿宋" w:cs="仿宋"/>
                <w:color w:val="auto"/>
                <w:highlight w:val="none"/>
              </w:rPr>
              <w:tab/>
            </w:r>
            <w:r>
              <w:rPr>
                <w:rFonts w:hint="eastAsia" w:ascii="仿宋" w:hAnsi="仿宋" w:eastAsia="仿宋" w:cs="仿宋"/>
                <w:color w:val="auto"/>
                <w:highlight w:val="none"/>
              </w:rPr>
              <w:t>业</w:t>
            </w:r>
          </w:p>
        </w:tc>
      </w:tr>
      <w:tr w14:paraId="28793B03">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6DBE3B">
            <w:pPr>
              <w:pStyle w:val="38"/>
              <w:tabs>
                <w:tab w:val="left" w:pos="479"/>
              </w:tabs>
              <w:kinsoku w:val="0"/>
              <w:overflowPunct w:val="0"/>
              <w:spacing w:before="145"/>
              <w:ind w:right="1"/>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E191B7B">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6E7FC2B">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40CD1CC9">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29F57564">
            <w:pPr>
              <w:rPr>
                <w:rFonts w:hint="eastAsia" w:ascii="仿宋" w:hAnsi="仿宋" w:eastAsia="仿宋" w:cs="仿宋"/>
                <w:color w:val="auto"/>
                <w:highlight w:val="none"/>
              </w:rPr>
            </w:pPr>
          </w:p>
        </w:tc>
      </w:tr>
      <w:tr w14:paraId="21C4610D">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34AFEA8">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10EF21C">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AFDD87C">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D16BC0C">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11F50AE9">
            <w:pPr>
              <w:rPr>
                <w:rFonts w:hint="eastAsia" w:ascii="仿宋" w:hAnsi="仿宋" w:eastAsia="仿宋" w:cs="仿宋"/>
                <w:color w:val="auto"/>
                <w:highlight w:val="none"/>
              </w:rPr>
            </w:pPr>
          </w:p>
        </w:tc>
      </w:tr>
      <w:tr w14:paraId="7936978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345582">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25817D71">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ECC9975">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6F743C53">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7DDDA87B">
            <w:pPr>
              <w:rPr>
                <w:rFonts w:hint="eastAsia" w:ascii="仿宋" w:hAnsi="仿宋" w:eastAsia="仿宋" w:cs="仿宋"/>
                <w:color w:val="auto"/>
                <w:highlight w:val="none"/>
              </w:rPr>
            </w:pPr>
          </w:p>
        </w:tc>
      </w:tr>
      <w:tr w14:paraId="79229180">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9DA14E3">
            <w:pPr>
              <w:pStyle w:val="38"/>
              <w:kinsoku w:val="0"/>
              <w:overflowPunct w:val="0"/>
              <w:spacing w:before="1"/>
              <w:rPr>
                <w:rFonts w:hint="eastAsia" w:ascii="仿宋" w:hAnsi="仿宋" w:eastAsia="仿宋" w:cs="仿宋"/>
                <w:b/>
                <w:bCs/>
                <w:color w:val="auto"/>
                <w:sz w:val="23"/>
                <w:szCs w:val="23"/>
                <w:highlight w:val="none"/>
              </w:rPr>
            </w:pPr>
          </w:p>
          <w:p w14:paraId="4762A75F">
            <w:pPr>
              <w:pStyle w:val="38"/>
              <w:kinsoku w:val="0"/>
              <w:overflowPunct w:val="0"/>
              <w:spacing w:line="237"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1F23631A">
            <w:pPr>
              <w:rPr>
                <w:rFonts w:hint="eastAsia" w:ascii="仿宋" w:hAnsi="仿宋" w:eastAsia="仿宋" w:cs="仿宋"/>
                <w:color w:val="auto"/>
                <w:highlight w:val="none"/>
              </w:rPr>
            </w:pPr>
          </w:p>
        </w:tc>
      </w:tr>
    </w:tbl>
    <w:p w14:paraId="6C7A2607">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66890C9">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56F7757A">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C974FA0">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4DE8BF66">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9E3766B">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33543254">
      <w:pPr>
        <w:spacing w:line="360" w:lineRule="auto"/>
        <w:jc w:val="both"/>
        <w:rPr>
          <w:rFonts w:hint="eastAsia" w:ascii="仿宋" w:hAnsi="仿宋" w:eastAsia="仿宋" w:cs="仿宋"/>
          <w:b/>
          <w:bCs w:val="0"/>
          <w:color w:val="auto"/>
          <w:kern w:val="0"/>
          <w:sz w:val="36"/>
          <w:szCs w:val="36"/>
          <w:highlight w:val="none"/>
          <w:lang w:val="en-US" w:eastAsia="zh-CN"/>
        </w:rPr>
      </w:pPr>
    </w:p>
    <w:p w14:paraId="5C84AE47">
      <w:pPr>
        <w:spacing w:line="360" w:lineRule="auto"/>
        <w:jc w:val="center"/>
        <w:rPr>
          <w:rFonts w:hint="eastAsia" w:ascii="仿宋" w:hAnsi="仿宋" w:eastAsia="仿宋" w:cs="仿宋"/>
          <w:b/>
          <w:bCs w:val="0"/>
          <w:color w:val="auto"/>
          <w:kern w:val="0"/>
          <w:sz w:val="36"/>
          <w:szCs w:val="36"/>
          <w:highlight w:val="none"/>
          <w:lang w:val="en-US" w:eastAsia="zh-CN"/>
        </w:rPr>
      </w:pPr>
      <w:r>
        <w:rPr>
          <w:rFonts w:hint="eastAsia" w:ascii="仿宋" w:hAnsi="仿宋" w:eastAsia="仿宋" w:cs="仿宋"/>
          <w:b/>
          <w:bCs w:val="0"/>
          <w:color w:val="auto"/>
          <w:kern w:val="0"/>
          <w:sz w:val="36"/>
          <w:szCs w:val="36"/>
          <w:highlight w:val="none"/>
          <w:lang w:val="en-US" w:eastAsia="zh-CN"/>
        </w:rPr>
        <w:t>8</w:t>
      </w:r>
      <w:r>
        <w:rPr>
          <w:rFonts w:hint="eastAsia" w:ascii="仿宋" w:hAnsi="仿宋" w:eastAsia="仿宋" w:cs="仿宋"/>
          <w:b/>
          <w:bCs w:val="0"/>
          <w:color w:val="auto"/>
          <w:kern w:val="0"/>
          <w:sz w:val="36"/>
          <w:szCs w:val="36"/>
          <w:highlight w:val="none"/>
        </w:rPr>
        <w:t>、</w:t>
      </w:r>
      <w:r>
        <w:rPr>
          <w:rFonts w:hint="eastAsia" w:ascii="仿宋" w:hAnsi="仿宋" w:eastAsia="仿宋" w:cs="仿宋"/>
          <w:b/>
          <w:bCs w:val="0"/>
          <w:color w:val="auto"/>
          <w:kern w:val="0"/>
          <w:sz w:val="36"/>
          <w:szCs w:val="36"/>
          <w:highlight w:val="none"/>
          <w:lang w:val="en-US" w:eastAsia="zh-CN"/>
        </w:rPr>
        <w:t>投标人认为有必要提供的其他证明材料</w:t>
      </w:r>
    </w:p>
    <w:p w14:paraId="278A7CF2">
      <w:pPr>
        <w:spacing w:line="360" w:lineRule="auto"/>
        <w:jc w:val="center"/>
        <w:rPr>
          <w:rFonts w:hint="eastAsia" w:ascii="仿宋" w:hAnsi="仿宋" w:eastAsia="仿宋" w:cs="仿宋"/>
          <w:b/>
          <w:color w:val="auto"/>
          <w:sz w:val="36"/>
          <w:szCs w:val="36"/>
          <w:highlight w:val="none"/>
          <w:lang w:eastAsia="zh-CN"/>
        </w:rPr>
      </w:pPr>
    </w:p>
    <w:p w14:paraId="3F2F8826">
      <w:pPr>
        <w:spacing w:line="360" w:lineRule="auto"/>
        <w:jc w:val="center"/>
        <w:rPr>
          <w:rFonts w:hint="eastAsia" w:ascii="仿宋" w:hAnsi="仿宋" w:eastAsia="仿宋" w:cs="仿宋"/>
          <w:b/>
          <w:color w:val="auto"/>
          <w:sz w:val="36"/>
          <w:szCs w:val="36"/>
          <w:highlight w:val="none"/>
          <w:lang w:eastAsia="zh-CN"/>
        </w:rPr>
      </w:pPr>
    </w:p>
    <w:p w14:paraId="1744359C">
      <w:pPr>
        <w:spacing w:line="360" w:lineRule="auto"/>
        <w:jc w:val="center"/>
        <w:rPr>
          <w:rFonts w:hint="eastAsia" w:ascii="仿宋" w:hAnsi="仿宋" w:eastAsia="仿宋" w:cs="仿宋"/>
          <w:b/>
          <w:color w:val="auto"/>
          <w:sz w:val="36"/>
          <w:szCs w:val="36"/>
          <w:highlight w:val="none"/>
          <w:lang w:eastAsia="zh-CN"/>
        </w:rPr>
      </w:pPr>
    </w:p>
    <w:p w14:paraId="1B3F786F">
      <w:pPr>
        <w:spacing w:line="360" w:lineRule="auto"/>
        <w:jc w:val="center"/>
        <w:rPr>
          <w:rFonts w:hint="eastAsia" w:ascii="仿宋" w:hAnsi="仿宋" w:eastAsia="仿宋" w:cs="仿宋"/>
          <w:b/>
          <w:color w:val="auto"/>
          <w:sz w:val="36"/>
          <w:szCs w:val="36"/>
          <w:highlight w:val="none"/>
          <w:lang w:eastAsia="zh-CN"/>
        </w:rPr>
      </w:pPr>
    </w:p>
    <w:p w14:paraId="4524042F">
      <w:pPr>
        <w:spacing w:line="360" w:lineRule="auto"/>
        <w:jc w:val="center"/>
        <w:rPr>
          <w:rFonts w:hint="eastAsia" w:ascii="仿宋" w:hAnsi="仿宋" w:eastAsia="仿宋" w:cs="仿宋"/>
          <w:b/>
          <w:color w:val="auto"/>
          <w:sz w:val="36"/>
          <w:szCs w:val="36"/>
          <w:highlight w:val="none"/>
          <w:lang w:eastAsia="zh-CN"/>
        </w:rPr>
      </w:pPr>
    </w:p>
    <w:p w14:paraId="100B3053">
      <w:pPr>
        <w:spacing w:line="360" w:lineRule="auto"/>
        <w:jc w:val="center"/>
        <w:rPr>
          <w:rFonts w:hint="eastAsia" w:ascii="仿宋" w:hAnsi="仿宋" w:eastAsia="仿宋" w:cs="仿宋"/>
          <w:b/>
          <w:color w:val="auto"/>
          <w:sz w:val="36"/>
          <w:szCs w:val="36"/>
          <w:highlight w:val="none"/>
          <w:lang w:eastAsia="zh-CN"/>
        </w:rPr>
      </w:pPr>
    </w:p>
    <w:p w14:paraId="5F5102CD">
      <w:pPr>
        <w:spacing w:line="360" w:lineRule="auto"/>
        <w:jc w:val="center"/>
        <w:rPr>
          <w:rFonts w:hint="eastAsia" w:ascii="仿宋" w:hAnsi="仿宋" w:eastAsia="仿宋" w:cs="仿宋"/>
          <w:b/>
          <w:color w:val="auto"/>
          <w:sz w:val="36"/>
          <w:szCs w:val="36"/>
          <w:highlight w:val="none"/>
          <w:lang w:eastAsia="zh-CN"/>
        </w:rPr>
      </w:pPr>
    </w:p>
    <w:p w14:paraId="3ABE84AF">
      <w:pPr>
        <w:spacing w:line="360" w:lineRule="auto"/>
        <w:jc w:val="center"/>
        <w:rPr>
          <w:rFonts w:hint="eastAsia" w:ascii="仿宋" w:hAnsi="仿宋" w:eastAsia="仿宋" w:cs="仿宋"/>
          <w:b/>
          <w:color w:val="auto"/>
          <w:sz w:val="36"/>
          <w:szCs w:val="36"/>
          <w:highlight w:val="none"/>
          <w:lang w:eastAsia="zh-CN"/>
        </w:rPr>
      </w:pPr>
    </w:p>
    <w:p w14:paraId="58C55E93">
      <w:pPr>
        <w:spacing w:line="360" w:lineRule="auto"/>
        <w:jc w:val="center"/>
        <w:rPr>
          <w:rFonts w:hint="eastAsia" w:ascii="仿宋" w:hAnsi="仿宋" w:eastAsia="仿宋" w:cs="仿宋"/>
          <w:b/>
          <w:color w:val="auto"/>
          <w:sz w:val="36"/>
          <w:szCs w:val="36"/>
          <w:highlight w:val="none"/>
          <w:lang w:eastAsia="zh-CN"/>
        </w:rPr>
      </w:pPr>
    </w:p>
    <w:p w14:paraId="76C0A5AF">
      <w:pPr>
        <w:spacing w:line="360" w:lineRule="auto"/>
        <w:jc w:val="center"/>
        <w:rPr>
          <w:rFonts w:hint="eastAsia" w:ascii="仿宋" w:hAnsi="仿宋" w:eastAsia="仿宋" w:cs="仿宋"/>
          <w:b/>
          <w:color w:val="auto"/>
          <w:sz w:val="36"/>
          <w:szCs w:val="36"/>
          <w:highlight w:val="none"/>
          <w:lang w:eastAsia="zh-CN"/>
        </w:rPr>
      </w:pPr>
    </w:p>
    <w:p w14:paraId="08E1715D">
      <w:pPr>
        <w:spacing w:line="360" w:lineRule="auto"/>
        <w:jc w:val="center"/>
        <w:rPr>
          <w:rFonts w:hint="eastAsia" w:ascii="仿宋" w:hAnsi="仿宋" w:eastAsia="仿宋" w:cs="仿宋"/>
          <w:b/>
          <w:color w:val="auto"/>
          <w:sz w:val="36"/>
          <w:szCs w:val="36"/>
          <w:highlight w:val="none"/>
          <w:lang w:eastAsia="zh-CN"/>
        </w:rPr>
      </w:pPr>
    </w:p>
    <w:p w14:paraId="6B68001B">
      <w:pPr>
        <w:spacing w:line="360" w:lineRule="auto"/>
        <w:jc w:val="center"/>
        <w:rPr>
          <w:rFonts w:hint="eastAsia" w:ascii="仿宋" w:hAnsi="仿宋" w:eastAsia="仿宋" w:cs="仿宋"/>
          <w:b/>
          <w:color w:val="auto"/>
          <w:sz w:val="36"/>
          <w:szCs w:val="36"/>
          <w:highlight w:val="none"/>
          <w:lang w:eastAsia="zh-CN"/>
        </w:rPr>
      </w:pPr>
    </w:p>
    <w:p w14:paraId="14195597">
      <w:pPr>
        <w:spacing w:line="360" w:lineRule="auto"/>
        <w:jc w:val="center"/>
        <w:rPr>
          <w:rFonts w:hint="eastAsia" w:ascii="仿宋" w:hAnsi="仿宋" w:eastAsia="仿宋" w:cs="仿宋"/>
          <w:b/>
          <w:color w:val="auto"/>
          <w:sz w:val="36"/>
          <w:szCs w:val="36"/>
          <w:highlight w:val="none"/>
          <w:lang w:eastAsia="zh-CN"/>
        </w:rPr>
      </w:pPr>
    </w:p>
    <w:p w14:paraId="6966CDEF">
      <w:pPr>
        <w:spacing w:line="360" w:lineRule="auto"/>
        <w:jc w:val="center"/>
        <w:rPr>
          <w:rFonts w:hint="eastAsia" w:ascii="仿宋" w:hAnsi="仿宋" w:eastAsia="仿宋" w:cs="仿宋"/>
          <w:b/>
          <w:color w:val="auto"/>
          <w:sz w:val="36"/>
          <w:szCs w:val="36"/>
          <w:highlight w:val="none"/>
          <w:lang w:eastAsia="zh-CN"/>
        </w:rPr>
      </w:pPr>
    </w:p>
    <w:p w14:paraId="63414405">
      <w:pPr>
        <w:spacing w:line="360" w:lineRule="auto"/>
        <w:jc w:val="center"/>
        <w:rPr>
          <w:rFonts w:hint="eastAsia" w:ascii="仿宋" w:hAnsi="仿宋" w:eastAsia="仿宋" w:cs="仿宋"/>
          <w:b/>
          <w:color w:val="auto"/>
          <w:sz w:val="36"/>
          <w:szCs w:val="36"/>
          <w:highlight w:val="none"/>
          <w:lang w:eastAsia="zh-CN"/>
        </w:rPr>
      </w:pPr>
    </w:p>
    <w:p w14:paraId="4F25302B">
      <w:pPr>
        <w:spacing w:line="360" w:lineRule="auto"/>
        <w:jc w:val="center"/>
        <w:rPr>
          <w:rFonts w:hint="eastAsia" w:ascii="仿宋" w:hAnsi="仿宋" w:eastAsia="仿宋" w:cs="仿宋"/>
          <w:b/>
          <w:color w:val="auto"/>
          <w:sz w:val="36"/>
          <w:szCs w:val="36"/>
          <w:highlight w:val="none"/>
          <w:lang w:eastAsia="zh-CN"/>
        </w:rPr>
      </w:pPr>
    </w:p>
    <w:p w14:paraId="56CBF2C2">
      <w:pPr>
        <w:spacing w:line="360" w:lineRule="auto"/>
        <w:jc w:val="center"/>
        <w:rPr>
          <w:rFonts w:hint="eastAsia" w:ascii="仿宋" w:hAnsi="仿宋" w:eastAsia="仿宋" w:cs="仿宋"/>
          <w:b/>
          <w:color w:val="auto"/>
          <w:sz w:val="36"/>
          <w:szCs w:val="36"/>
          <w:highlight w:val="none"/>
          <w:lang w:eastAsia="zh-CN"/>
        </w:rPr>
      </w:pPr>
    </w:p>
    <w:p w14:paraId="47D7FEF2">
      <w:pPr>
        <w:spacing w:line="360" w:lineRule="auto"/>
        <w:jc w:val="center"/>
        <w:rPr>
          <w:rFonts w:hint="eastAsia" w:ascii="仿宋" w:hAnsi="仿宋" w:eastAsia="仿宋" w:cs="仿宋"/>
          <w:b/>
          <w:color w:val="auto"/>
          <w:sz w:val="36"/>
          <w:szCs w:val="36"/>
          <w:highlight w:val="none"/>
          <w:lang w:eastAsia="zh-CN"/>
        </w:rPr>
      </w:pPr>
    </w:p>
    <w:p w14:paraId="017D1F8C">
      <w:pPr>
        <w:spacing w:line="360" w:lineRule="auto"/>
        <w:jc w:val="center"/>
        <w:rPr>
          <w:rFonts w:hint="eastAsia" w:ascii="仿宋" w:hAnsi="仿宋" w:eastAsia="仿宋" w:cs="仿宋"/>
          <w:b/>
          <w:color w:val="auto"/>
          <w:sz w:val="36"/>
          <w:szCs w:val="36"/>
          <w:highlight w:val="none"/>
          <w:lang w:eastAsia="zh-CN"/>
        </w:rPr>
      </w:pPr>
    </w:p>
    <w:p w14:paraId="27E6D600">
      <w:pPr>
        <w:spacing w:line="360" w:lineRule="auto"/>
        <w:jc w:val="center"/>
        <w:rPr>
          <w:rFonts w:hint="eastAsia" w:ascii="仿宋" w:hAnsi="仿宋" w:eastAsia="仿宋" w:cs="仿宋"/>
          <w:b/>
          <w:color w:val="auto"/>
          <w:sz w:val="36"/>
          <w:szCs w:val="36"/>
          <w:highlight w:val="none"/>
          <w:lang w:eastAsia="zh-CN"/>
        </w:rPr>
      </w:pPr>
    </w:p>
    <w:p w14:paraId="1B073BDD">
      <w:pPr>
        <w:spacing w:line="360" w:lineRule="auto"/>
        <w:jc w:val="center"/>
        <w:rPr>
          <w:rFonts w:hint="default" w:ascii="仿宋" w:hAnsi="仿宋" w:eastAsia="仿宋" w:cs="仿宋"/>
          <w:b/>
          <w:color w:val="auto"/>
          <w:sz w:val="36"/>
          <w:szCs w:val="36"/>
          <w:highlight w:val="none"/>
          <w:lang w:val="en-US" w:eastAsia="zh-CN"/>
        </w:rPr>
      </w:pPr>
      <w:r>
        <w:rPr>
          <w:rFonts w:hint="eastAsia" w:ascii="仿宋" w:hAnsi="仿宋" w:eastAsia="仿宋" w:cs="仿宋"/>
          <w:b/>
          <w:color w:val="auto"/>
          <w:sz w:val="36"/>
          <w:szCs w:val="36"/>
          <w:highlight w:val="none"/>
          <w:lang w:val="en-US" w:eastAsia="zh-CN"/>
        </w:rPr>
        <w:t>9、附件</w:t>
      </w:r>
    </w:p>
    <w:p w14:paraId="4A7FF93E">
      <w:pPr>
        <w:spacing w:line="360" w:lineRule="auto"/>
        <w:jc w:val="center"/>
        <w:rPr>
          <w:rFonts w:hint="eastAsia" w:ascii="仿宋" w:hAnsi="仿宋" w:eastAsia="仿宋" w:cs="仿宋"/>
          <w:b/>
          <w:color w:val="auto"/>
          <w:sz w:val="36"/>
          <w:szCs w:val="36"/>
          <w:highlight w:val="none"/>
          <w:lang w:eastAsia="zh-CN"/>
        </w:rPr>
      </w:pPr>
    </w:p>
    <w:p w14:paraId="41F1872E">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7C5DD4E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7417752">
      <w:pPr>
        <w:numPr>
          <w:ilvl w:val="0"/>
          <w:numId w:val="10"/>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0BD0E7A6">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4FA934A">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210E5189">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16AC264C">
      <w:pPr>
        <w:spacing w:line="360" w:lineRule="auto"/>
        <w:ind w:firstLine="480" w:firstLineChars="200"/>
        <w:rPr>
          <w:rFonts w:ascii="仿宋" w:hAnsi="仿宋" w:eastAsia="仿宋" w:cs="仿宋"/>
          <w:color w:val="auto"/>
          <w:highlight w:val="none"/>
          <w:lang w:eastAsia="zh-CN"/>
        </w:rPr>
      </w:pPr>
    </w:p>
    <w:p w14:paraId="4160B9BB">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7772B05">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379CAFAD">
      <w:pPr>
        <w:spacing w:line="360" w:lineRule="auto"/>
        <w:ind w:firstLine="480" w:firstLineChars="200"/>
        <w:rPr>
          <w:rFonts w:ascii="仿宋" w:hAnsi="仿宋" w:eastAsia="仿宋" w:cs="仿宋"/>
          <w:color w:val="auto"/>
          <w:highlight w:val="none"/>
          <w:lang w:eastAsia="zh-CN"/>
        </w:rPr>
      </w:pPr>
    </w:p>
    <w:p w14:paraId="63607C36">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01AB96D4">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400CDD3">
      <w:pPr>
        <w:spacing w:line="360" w:lineRule="auto"/>
        <w:ind w:firstLine="480" w:firstLineChars="200"/>
        <w:rPr>
          <w:rFonts w:ascii="仿宋" w:hAnsi="仿宋" w:eastAsia="仿宋" w:cs="仿宋"/>
          <w:color w:val="auto"/>
          <w:highlight w:val="none"/>
          <w:lang w:eastAsia="zh-CN"/>
        </w:rPr>
      </w:pPr>
    </w:p>
    <w:p w14:paraId="5EAA845A">
      <w:pPr>
        <w:pStyle w:val="17"/>
        <w:rPr>
          <w:rFonts w:hint="eastAsia" w:ascii="仿宋" w:hAnsi="仿宋" w:eastAsia="仿宋" w:cs="仿宋"/>
          <w:color w:val="auto"/>
          <w:highlight w:val="none"/>
        </w:rPr>
      </w:pPr>
    </w:p>
    <w:p w14:paraId="094FE1AE">
      <w:pPr>
        <w:pStyle w:val="17"/>
        <w:rPr>
          <w:rFonts w:hint="eastAsia" w:ascii="仿宋" w:hAnsi="仿宋" w:eastAsia="仿宋" w:cs="仿宋"/>
          <w:color w:val="auto"/>
          <w:highlight w:val="none"/>
        </w:rPr>
      </w:pPr>
    </w:p>
    <w:p w14:paraId="362BBDEE">
      <w:pPr>
        <w:pStyle w:val="17"/>
        <w:rPr>
          <w:rFonts w:hint="eastAsia" w:ascii="仿宋" w:hAnsi="仿宋" w:eastAsia="仿宋" w:cs="仿宋"/>
          <w:color w:val="auto"/>
          <w:highlight w:val="none"/>
        </w:rPr>
      </w:pPr>
    </w:p>
    <w:p w14:paraId="7FFE708A">
      <w:pPr>
        <w:pStyle w:val="7"/>
        <w:numPr>
          <w:ilvl w:val="0"/>
          <w:numId w:val="0"/>
        </w:numPr>
        <w:ind w:left="360" w:leftChars="0"/>
        <w:rPr>
          <w:rFonts w:hint="eastAsia"/>
          <w:color w:val="auto"/>
          <w:highlight w:val="none"/>
        </w:rPr>
      </w:pPr>
    </w:p>
    <w:p w14:paraId="691BD47B">
      <w:pPr>
        <w:pStyle w:val="17"/>
        <w:rPr>
          <w:rFonts w:hint="eastAsia" w:ascii="仿宋" w:hAnsi="仿宋" w:eastAsia="仿宋" w:cs="仿宋"/>
          <w:color w:val="auto"/>
          <w:highlight w:val="none"/>
        </w:rPr>
      </w:pPr>
    </w:p>
    <w:p w14:paraId="14AC308F">
      <w:pPr>
        <w:pStyle w:val="17"/>
        <w:rPr>
          <w:rFonts w:hint="eastAsia" w:ascii="仿宋" w:hAnsi="仿宋" w:eastAsia="仿宋" w:cs="仿宋"/>
          <w:color w:val="auto"/>
          <w:highlight w:val="none"/>
        </w:rPr>
      </w:pPr>
    </w:p>
    <w:p w14:paraId="574A575A">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1F7D4D0F">
      <w:pPr>
        <w:tabs>
          <w:tab w:val="left" w:pos="3600"/>
        </w:tabs>
        <w:adjustRightInd w:val="0"/>
        <w:snapToGrid w:val="0"/>
        <w:spacing w:line="440" w:lineRule="exact"/>
        <w:jc w:val="both"/>
        <w:rPr>
          <w:rFonts w:hint="eastAsia" w:ascii="仿宋" w:hAnsi="仿宋" w:eastAsia="仿宋" w:cs="仿宋"/>
          <w:color w:val="auto"/>
          <w:spacing w:val="0"/>
          <w:w w:val="100"/>
          <w:position w:val="0"/>
          <w:sz w:val="36"/>
          <w:szCs w:val="36"/>
          <w:highlight w:val="none"/>
          <w:lang w:val="en-US" w:eastAsia="zh-CN"/>
        </w:rPr>
      </w:pPr>
    </w:p>
    <w:p w14:paraId="5B001DEE">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32FC84A5">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highlight w:val="none"/>
        </w:rPr>
      </w:pPr>
      <w:r>
        <w:rPr>
          <w:rFonts w:hint="eastAsia" w:ascii="仿宋" w:hAnsi="仿宋" w:eastAsia="仿宋" w:cs="仿宋"/>
          <w:b/>
          <w:bCs/>
          <w:color w:val="auto"/>
          <w:spacing w:val="6"/>
          <w:kern w:val="0"/>
          <w:sz w:val="36"/>
          <w:szCs w:val="36"/>
          <w:highlight w:val="none"/>
        </w:rPr>
        <w:t>残疾人福利性单位声明函</w:t>
      </w:r>
    </w:p>
    <w:p w14:paraId="63C4D05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p>
    <w:p w14:paraId="0F0CAA8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CCD781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本单位对上述声明的真实性负责。如有虚假，将依法承担相应责任。</w:t>
      </w:r>
    </w:p>
    <w:p w14:paraId="0D49692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w:t>
      </w:r>
    </w:p>
    <w:p w14:paraId="48413D00">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单位名称（盖章）：</w:t>
      </w:r>
    </w:p>
    <w:p w14:paraId="243171F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日  期：</w:t>
      </w:r>
    </w:p>
    <w:p w14:paraId="355BC422">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59F690D6">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233A21CF">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7F3922E4">
      <w:pPr>
        <w:rPr>
          <w:rFonts w:hint="eastAsia" w:ascii="仿宋" w:hAnsi="仿宋" w:eastAsia="仿宋" w:cs="仿宋"/>
          <w:b/>
          <w:bCs/>
          <w:color w:val="auto"/>
          <w:sz w:val="24"/>
          <w:highlight w:val="none"/>
          <w:lang w:val="en-US" w:eastAsia="zh-CN"/>
        </w:rPr>
      </w:pPr>
    </w:p>
    <w:p w14:paraId="6B79EC05">
      <w:pPr>
        <w:pStyle w:val="30"/>
        <w:rPr>
          <w:rFonts w:hint="eastAsia" w:ascii="仿宋" w:hAnsi="仿宋" w:eastAsia="仿宋" w:cs="仿宋"/>
          <w:b/>
          <w:bCs/>
          <w:color w:val="auto"/>
          <w:sz w:val="24"/>
          <w:highlight w:val="none"/>
          <w:lang w:val="en-US" w:eastAsia="zh-CN"/>
        </w:rPr>
      </w:pPr>
    </w:p>
    <w:p w14:paraId="6D6064C9">
      <w:pPr>
        <w:pStyle w:val="33"/>
        <w:keepNext/>
        <w:keepLines/>
        <w:spacing w:before="0" w:after="660"/>
        <w:ind w:firstLine="42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备注：不是残疾人福利性单位，无需提供声明函</w:t>
      </w:r>
    </w:p>
    <w:p w14:paraId="0434C7D5">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3E1BE27">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6E0CF7C">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B36B41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214FF196">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5A161BC8">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6F4A6F78">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DC7A196">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0E52501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E43907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30F92D7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44D199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19E1A60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4D3BEF11">
      <w:pPr>
        <w:pStyle w:val="22"/>
        <w:ind w:left="0" w:leftChars="0" w:firstLine="0" w:firstLineChars="0"/>
        <w:rPr>
          <w:rFonts w:hint="eastAsia"/>
          <w:color w:val="auto"/>
          <w:highlight w:val="none"/>
          <w:lang w:val="en-US" w:eastAsia="zh-CN"/>
        </w:rPr>
      </w:pPr>
    </w:p>
    <w:p w14:paraId="34C2928A">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关于符合本国产品标准的声明函</w:t>
      </w:r>
    </w:p>
    <w:p w14:paraId="4270973D">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6E7FF6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0CCDB81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22206D89">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7B7BC5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7D4F80E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77ED37D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25DC82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157A28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w:t>
      </w:r>
    </w:p>
    <w:p w14:paraId="5F8AF4B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w:t>
      </w:r>
    </w:p>
    <w:p w14:paraId="19139EA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5A4A8C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2DE7E1A">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2E3E9C3F">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07BBCF0E">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7AB8268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53565CA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1EA49A49">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bookmarkEnd w:id="38"/>
    <w:bookmarkEnd w:id="39"/>
    <w:bookmarkEnd w:id="40"/>
    <w:bookmarkEnd w:id="41"/>
    <w:bookmarkEnd w:id="42"/>
    <w:bookmarkEnd w:id="43"/>
    <w:bookmarkEnd w:id="44"/>
    <w:p w14:paraId="023C46D9">
      <w:pPr>
        <w:pStyle w:val="22"/>
        <w:rPr>
          <w:rFonts w:hint="eastAsia"/>
          <w:color w:val="auto"/>
          <w:highlight w:val="none"/>
          <w:lang w:val="en-US" w:eastAsia="zh-CN"/>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9E531">
    <w:pPr>
      <w:pStyle w:val="14"/>
      <w:ind w:right="360"/>
      <w:jc w:val="both"/>
    </w:pPr>
    <w:r>
      <w:rPr>
        <w:rFonts w:hint="eastAsia"/>
        <w:sz w:val="13"/>
        <w:szCs w:val="13"/>
      </w:rPr>
      <w:t xml:space="preserve"> </w:t>
    </w:r>
    <w:r>
      <w:rPr>
        <w:rFonts w:hint="eastAsia"/>
      </w:rPr>
      <w:t xml:space="preserve">  </w:t>
    </w:r>
  </w:p>
  <w:p w14:paraId="55679F1B">
    <w:pPr>
      <w:pStyle w:val="14"/>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87F50">
    <w:pPr>
      <w:pStyle w:val="14"/>
      <w:ind w:right="360"/>
      <w:jc w:val="both"/>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9AF5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979AF59">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3"/>
        <w:szCs w:val="13"/>
      </w:rPr>
      <w:t xml:space="preserve"> </w:t>
    </w:r>
    <w:r>
      <w:rPr>
        <w:rFonts w:hint="eastAsia"/>
      </w:rPr>
      <w:t xml:space="preserve">  </w:t>
    </w:r>
  </w:p>
  <w:p w14:paraId="7316E85C">
    <w:pPr>
      <w:pStyle w:val="14"/>
      <w:tabs>
        <w:tab w:val="clear" w:pos="4153"/>
        <w:tab w:val="clear" w:pos="8306"/>
      </w:tabs>
      <w:ind w:right="360"/>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8B558">
    <w:pPr>
      <w:pStyle w:val="14"/>
      <w:ind w:right="360"/>
      <w:jc w:val="both"/>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C536D">
                          <w:pPr>
                            <w:pStyle w:val="14"/>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4FC536D">
                    <w:pPr>
                      <w:pStyle w:val="14"/>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25F496D3">
    <w:pPr>
      <w:pStyle w:val="14"/>
      <w:autoSpaceDE w:val="0"/>
      <w:autoSpaceDN w:val="0"/>
      <w:adjustRightInd w:val="0"/>
      <w:ind w:left="7200" w:hanging="7200" w:hangingChars="4000"/>
      <w:jc w:val="both"/>
    </w:pPr>
  </w:p>
  <w:p w14:paraId="3B62D5BD">
    <w:pPr>
      <w:pStyle w:val="1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0DD0">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82DEE">
                          <w:pPr>
                            <w:pStyle w:val="14"/>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882DEE">
                    <w:pPr>
                      <w:pStyle w:val="14"/>
                    </w:pPr>
                    <w:r>
                      <w:fldChar w:fldCharType="begin"/>
                    </w:r>
                    <w:r>
                      <w:instrText xml:space="preserve"> PAGE  \* MERGEFORMAT </w:instrText>
                    </w:r>
                    <w:r>
                      <w:fldChar w:fldCharType="separate"/>
                    </w:r>
                    <w:r>
                      <w:t>67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1317E8"/>
    <w:multiLevelType w:val="singleLevel"/>
    <w:tmpl w:val="C91317E8"/>
    <w:lvl w:ilvl="0" w:tentative="0">
      <w:start w:val="1"/>
      <w:numFmt w:val="decimal"/>
      <w:suff w:val="nothing"/>
      <w:lvlText w:val="%1、"/>
      <w:lvlJc w:val="left"/>
    </w:lvl>
  </w:abstractNum>
  <w:abstractNum w:abstractNumId="1">
    <w:nsid w:val="CF0DAD01"/>
    <w:multiLevelType w:val="singleLevel"/>
    <w:tmpl w:val="CF0DAD01"/>
    <w:lvl w:ilvl="0" w:tentative="0">
      <w:start w:val="1"/>
      <w:numFmt w:val="decimal"/>
      <w:suff w:val="space"/>
      <w:lvlText w:val="%1."/>
      <w:lvlJc w:val="left"/>
    </w:lvl>
  </w:abstractNum>
  <w:abstractNum w:abstractNumId="2">
    <w:nsid w:val="D00A1284"/>
    <w:multiLevelType w:val="singleLevel"/>
    <w:tmpl w:val="D00A1284"/>
    <w:lvl w:ilvl="0" w:tentative="0">
      <w:start w:val="1"/>
      <w:numFmt w:val="decimal"/>
      <w:suff w:val="nothing"/>
      <w:lvlText w:val="%1、"/>
      <w:lvlJc w:val="left"/>
    </w:lvl>
  </w:abstractNum>
  <w:abstractNum w:abstractNumId="3">
    <w:nsid w:val="F3F04F40"/>
    <w:multiLevelType w:val="singleLevel"/>
    <w:tmpl w:val="F3F04F40"/>
    <w:lvl w:ilvl="0" w:tentative="0">
      <w:start w:val="1"/>
      <w:numFmt w:val="decimal"/>
      <w:suff w:val="nothing"/>
      <w:lvlText w:val="%1、"/>
      <w:lvlJc w:val="left"/>
    </w:lvl>
  </w:abstractNum>
  <w:abstractNum w:abstractNumId="4">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78DB85BA"/>
    <w:multiLevelType w:val="singleLevel"/>
    <w:tmpl w:val="78DB85BA"/>
    <w:lvl w:ilvl="0" w:tentative="0">
      <w:start w:val="1"/>
      <w:numFmt w:val="decimal"/>
      <w:suff w:val="nothing"/>
      <w:lvlText w:val="%1、"/>
      <w:lvlJc w:val="left"/>
    </w:lvl>
  </w:abstractNum>
  <w:num w:numId="1">
    <w:abstractNumId w:val="4"/>
  </w:num>
  <w:num w:numId="2">
    <w:abstractNumId w:val="9"/>
  </w:num>
  <w:num w:numId="3">
    <w:abstractNumId w:val="7"/>
  </w:num>
  <w:num w:numId="4">
    <w:abstractNumId w:val="6"/>
  </w:num>
  <w:num w:numId="5">
    <w:abstractNumId w:val="8"/>
  </w:num>
  <w:num w:numId="6">
    <w:abstractNumId w:val="2"/>
  </w:num>
  <w:num w:numId="7">
    <w:abstractNumId w:val="0"/>
  </w:num>
  <w:num w:numId="8">
    <w:abstractNumId w:val="3"/>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NzExZTU4MWZmNGJjZjc1OWY5MTkyODA3NzI4ZWUifQ=="/>
  </w:docVars>
  <w:rsids>
    <w:rsidRoot w:val="00000000"/>
    <w:rsid w:val="002419AD"/>
    <w:rsid w:val="00D40EB3"/>
    <w:rsid w:val="01177D91"/>
    <w:rsid w:val="01CA3E5B"/>
    <w:rsid w:val="01CA670C"/>
    <w:rsid w:val="01E11105"/>
    <w:rsid w:val="029E31A0"/>
    <w:rsid w:val="02A76009"/>
    <w:rsid w:val="031F3DF1"/>
    <w:rsid w:val="037B2175"/>
    <w:rsid w:val="03AF01E2"/>
    <w:rsid w:val="03C965AB"/>
    <w:rsid w:val="04161698"/>
    <w:rsid w:val="044840D2"/>
    <w:rsid w:val="04912ACD"/>
    <w:rsid w:val="04A723C3"/>
    <w:rsid w:val="04D330E5"/>
    <w:rsid w:val="04EF0EBA"/>
    <w:rsid w:val="04F27F91"/>
    <w:rsid w:val="056106F1"/>
    <w:rsid w:val="05AC4062"/>
    <w:rsid w:val="05FB49D3"/>
    <w:rsid w:val="060C2D53"/>
    <w:rsid w:val="064032D2"/>
    <w:rsid w:val="06527415"/>
    <w:rsid w:val="068B1EC9"/>
    <w:rsid w:val="06E15B1B"/>
    <w:rsid w:val="0744651C"/>
    <w:rsid w:val="07707311"/>
    <w:rsid w:val="0797489E"/>
    <w:rsid w:val="07AE44D2"/>
    <w:rsid w:val="07E91557"/>
    <w:rsid w:val="07F9630D"/>
    <w:rsid w:val="080A0B4A"/>
    <w:rsid w:val="080A722E"/>
    <w:rsid w:val="082223BA"/>
    <w:rsid w:val="08BA6A96"/>
    <w:rsid w:val="08D00067"/>
    <w:rsid w:val="09512ED0"/>
    <w:rsid w:val="09804A38"/>
    <w:rsid w:val="09897861"/>
    <w:rsid w:val="09AC0935"/>
    <w:rsid w:val="09AC2863"/>
    <w:rsid w:val="0A0846B1"/>
    <w:rsid w:val="0A326B00"/>
    <w:rsid w:val="0A774CD6"/>
    <w:rsid w:val="0AD100C7"/>
    <w:rsid w:val="0AE778EA"/>
    <w:rsid w:val="0B17629A"/>
    <w:rsid w:val="0B316DB7"/>
    <w:rsid w:val="0B3F623F"/>
    <w:rsid w:val="0C665935"/>
    <w:rsid w:val="0C711B61"/>
    <w:rsid w:val="0C7358DA"/>
    <w:rsid w:val="0C7A57C2"/>
    <w:rsid w:val="0CAF4A89"/>
    <w:rsid w:val="0CC9374C"/>
    <w:rsid w:val="0CF112EE"/>
    <w:rsid w:val="0CF923C9"/>
    <w:rsid w:val="0D0B5B12"/>
    <w:rsid w:val="0D4D6394"/>
    <w:rsid w:val="0D954907"/>
    <w:rsid w:val="0DD4147C"/>
    <w:rsid w:val="0E9B3F9E"/>
    <w:rsid w:val="0F0A7BF9"/>
    <w:rsid w:val="0F2049D9"/>
    <w:rsid w:val="0F6A360D"/>
    <w:rsid w:val="0F781459"/>
    <w:rsid w:val="0FCD185E"/>
    <w:rsid w:val="0FD15502"/>
    <w:rsid w:val="0FE94879"/>
    <w:rsid w:val="11222081"/>
    <w:rsid w:val="11605284"/>
    <w:rsid w:val="128679E9"/>
    <w:rsid w:val="131E4EDF"/>
    <w:rsid w:val="13344DBE"/>
    <w:rsid w:val="134E49AB"/>
    <w:rsid w:val="13663179"/>
    <w:rsid w:val="13D27439"/>
    <w:rsid w:val="143F2238"/>
    <w:rsid w:val="148914C4"/>
    <w:rsid w:val="14F111B2"/>
    <w:rsid w:val="15296DA0"/>
    <w:rsid w:val="16661C9F"/>
    <w:rsid w:val="16D21DE8"/>
    <w:rsid w:val="17523426"/>
    <w:rsid w:val="180314D0"/>
    <w:rsid w:val="18341AE3"/>
    <w:rsid w:val="183D5277"/>
    <w:rsid w:val="184B55C8"/>
    <w:rsid w:val="187D363C"/>
    <w:rsid w:val="1891512D"/>
    <w:rsid w:val="18E331A1"/>
    <w:rsid w:val="192026BA"/>
    <w:rsid w:val="1984223E"/>
    <w:rsid w:val="19B74BE3"/>
    <w:rsid w:val="19CE171F"/>
    <w:rsid w:val="19FE7E90"/>
    <w:rsid w:val="1A2C70C8"/>
    <w:rsid w:val="1A3A5AFF"/>
    <w:rsid w:val="1A6F007A"/>
    <w:rsid w:val="1AAE1C88"/>
    <w:rsid w:val="1AFB4833"/>
    <w:rsid w:val="1B457B59"/>
    <w:rsid w:val="1BC5023D"/>
    <w:rsid w:val="1C5D7A0C"/>
    <w:rsid w:val="1C7D3CBE"/>
    <w:rsid w:val="1CBD494F"/>
    <w:rsid w:val="1D2828BF"/>
    <w:rsid w:val="1D945258"/>
    <w:rsid w:val="1D9E43A6"/>
    <w:rsid w:val="1DAF24EA"/>
    <w:rsid w:val="1E165F1B"/>
    <w:rsid w:val="1E185388"/>
    <w:rsid w:val="1EF81C6E"/>
    <w:rsid w:val="1EFA7AF3"/>
    <w:rsid w:val="1F046865"/>
    <w:rsid w:val="1F3366D2"/>
    <w:rsid w:val="1F4C0EF6"/>
    <w:rsid w:val="1F953AC5"/>
    <w:rsid w:val="1FC529DB"/>
    <w:rsid w:val="20452C91"/>
    <w:rsid w:val="21242DBE"/>
    <w:rsid w:val="213F4B2E"/>
    <w:rsid w:val="21487F61"/>
    <w:rsid w:val="21D3134C"/>
    <w:rsid w:val="21ED35E0"/>
    <w:rsid w:val="21F605EF"/>
    <w:rsid w:val="2220631A"/>
    <w:rsid w:val="22857CBD"/>
    <w:rsid w:val="22CB6EB3"/>
    <w:rsid w:val="22D67E6E"/>
    <w:rsid w:val="233139A1"/>
    <w:rsid w:val="23794DB2"/>
    <w:rsid w:val="237B263B"/>
    <w:rsid w:val="23C91E2B"/>
    <w:rsid w:val="23E04E9D"/>
    <w:rsid w:val="23FA0466"/>
    <w:rsid w:val="241E1450"/>
    <w:rsid w:val="248069F2"/>
    <w:rsid w:val="24BE74B6"/>
    <w:rsid w:val="252945C0"/>
    <w:rsid w:val="268F3882"/>
    <w:rsid w:val="26A51461"/>
    <w:rsid w:val="27D84E00"/>
    <w:rsid w:val="27E66976"/>
    <w:rsid w:val="281C407C"/>
    <w:rsid w:val="281D2D4A"/>
    <w:rsid w:val="28645A9F"/>
    <w:rsid w:val="289B1FDE"/>
    <w:rsid w:val="28F81E13"/>
    <w:rsid w:val="29311D6D"/>
    <w:rsid w:val="294F692F"/>
    <w:rsid w:val="29BF147D"/>
    <w:rsid w:val="29FB0865"/>
    <w:rsid w:val="2A2D53A4"/>
    <w:rsid w:val="2B0146C3"/>
    <w:rsid w:val="2B6B53EC"/>
    <w:rsid w:val="2B713F38"/>
    <w:rsid w:val="2B9042A4"/>
    <w:rsid w:val="2B980A61"/>
    <w:rsid w:val="2BF660B0"/>
    <w:rsid w:val="2BFF450D"/>
    <w:rsid w:val="2C0B0713"/>
    <w:rsid w:val="2CEB20AE"/>
    <w:rsid w:val="2D74672B"/>
    <w:rsid w:val="2DAF2092"/>
    <w:rsid w:val="2DEE438F"/>
    <w:rsid w:val="2E843394"/>
    <w:rsid w:val="2E880B80"/>
    <w:rsid w:val="2EEB0D05"/>
    <w:rsid w:val="2FB86A4B"/>
    <w:rsid w:val="2FBE65BC"/>
    <w:rsid w:val="2FC91F61"/>
    <w:rsid w:val="300D68E0"/>
    <w:rsid w:val="303D5733"/>
    <w:rsid w:val="30505489"/>
    <w:rsid w:val="30653CC1"/>
    <w:rsid w:val="30791D02"/>
    <w:rsid w:val="307E5AB0"/>
    <w:rsid w:val="31286B60"/>
    <w:rsid w:val="31351FE3"/>
    <w:rsid w:val="315B7E7B"/>
    <w:rsid w:val="31BD2FCF"/>
    <w:rsid w:val="31C32C4E"/>
    <w:rsid w:val="32827E81"/>
    <w:rsid w:val="329950BE"/>
    <w:rsid w:val="32E66C2F"/>
    <w:rsid w:val="33122963"/>
    <w:rsid w:val="333713EB"/>
    <w:rsid w:val="33741738"/>
    <w:rsid w:val="338F44F8"/>
    <w:rsid w:val="3392223A"/>
    <w:rsid w:val="33A749A4"/>
    <w:rsid w:val="33F61609"/>
    <w:rsid w:val="342C646D"/>
    <w:rsid w:val="3564289E"/>
    <w:rsid w:val="357339A5"/>
    <w:rsid w:val="35BD0A9B"/>
    <w:rsid w:val="36687282"/>
    <w:rsid w:val="37702EFF"/>
    <w:rsid w:val="37CF373B"/>
    <w:rsid w:val="389D60C5"/>
    <w:rsid w:val="390F052A"/>
    <w:rsid w:val="39606B90"/>
    <w:rsid w:val="39A26C04"/>
    <w:rsid w:val="3A0A0D7C"/>
    <w:rsid w:val="3A443B62"/>
    <w:rsid w:val="3AC85F81"/>
    <w:rsid w:val="3B0F042A"/>
    <w:rsid w:val="3B1F0857"/>
    <w:rsid w:val="3B3977BC"/>
    <w:rsid w:val="3BA810F2"/>
    <w:rsid w:val="3BE611A9"/>
    <w:rsid w:val="3BEF74D1"/>
    <w:rsid w:val="3C1063F2"/>
    <w:rsid w:val="3C9B3F0D"/>
    <w:rsid w:val="3CFE25C7"/>
    <w:rsid w:val="3D2008B6"/>
    <w:rsid w:val="3DD22D57"/>
    <w:rsid w:val="3DF61538"/>
    <w:rsid w:val="3E2D0EBA"/>
    <w:rsid w:val="3E422C21"/>
    <w:rsid w:val="3E7D4E84"/>
    <w:rsid w:val="3E895FE7"/>
    <w:rsid w:val="3ECC33F5"/>
    <w:rsid w:val="3F2D72BA"/>
    <w:rsid w:val="3F5A3E02"/>
    <w:rsid w:val="3F72123F"/>
    <w:rsid w:val="3F827606"/>
    <w:rsid w:val="3FD059AC"/>
    <w:rsid w:val="3FDD483D"/>
    <w:rsid w:val="404937CC"/>
    <w:rsid w:val="409F16F7"/>
    <w:rsid w:val="40B167EF"/>
    <w:rsid w:val="40D448F7"/>
    <w:rsid w:val="411F4CE1"/>
    <w:rsid w:val="418326DD"/>
    <w:rsid w:val="41DC205F"/>
    <w:rsid w:val="41E66F38"/>
    <w:rsid w:val="42610D54"/>
    <w:rsid w:val="426C517F"/>
    <w:rsid w:val="42CD6DEA"/>
    <w:rsid w:val="42EC15FD"/>
    <w:rsid w:val="431F7A6A"/>
    <w:rsid w:val="43A85162"/>
    <w:rsid w:val="43FC45D9"/>
    <w:rsid w:val="44672CA2"/>
    <w:rsid w:val="44747111"/>
    <w:rsid w:val="44EF1F91"/>
    <w:rsid w:val="45407508"/>
    <w:rsid w:val="45915C44"/>
    <w:rsid w:val="460D0585"/>
    <w:rsid w:val="46250CEB"/>
    <w:rsid w:val="462C4319"/>
    <w:rsid w:val="469F284C"/>
    <w:rsid w:val="46A379E2"/>
    <w:rsid w:val="46E86E16"/>
    <w:rsid w:val="4710374A"/>
    <w:rsid w:val="47520C21"/>
    <w:rsid w:val="476F5AB7"/>
    <w:rsid w:val="47C50B6E"/>
    <w:rsid w:val="47EE6C37"/>
    <w:rsid w:val="48DD6D65"/>
    <w:rsid w:val="48ED02D3"/>
    <w:rsid w:val="49284D01"/>
    <w:rsid w:val="4960095D"/>
    <w:rsid w:val="49695393"/>
    <w:rsid w:val="49C5094E"/>
    <w:rsid w:val="49E8275C"/>
    <w:rsid w:val="4A183041"/>
    <w:rsid w:val="4A325785"/>
    <w:rsid w:val="4AA95520"/>
    <w:rsid w:val="4BA81FB5"/>
    <w:rsid w:val="4BE111CF"/>
    <w:rsid w:val="4C023DEB"/>
    <w:rsid w:val="4C443FEE"/>
    <w:rsid w:val="4C4A6E65"/>
    <w:rsid w:val="4CF90ACE"/>
    <w:rsid w:val="4D676A72"/>
    <w:rsid w:val="4D752558"/>
    <w:rsid w:val="4EA36C51"/>
    <w:rsid w:val="4EC56BC8"/>
    <w:rsid w:val="4F51352D"/>
    <w:rsid w:val="4F647EBE"/>
    <w:rsid w:val="4FAF382B"/>
    <w:rsid w:val="4FDE3E71"/>
    <w:rsid w:val="4FDF1F0B"/>
    <w:rsid w:val="501201FE"/>
    <w:rsid w:val="50C92EEB"/>
    <w:rsid w:val="5124051D"/>
    <w:rsid w:val="51470009"/>
    <w:rsid w:val="51AF4F86"/>
    <w:rsid w:val="51E61378"/>
    <w:rsid w:val="51FB272C"/>
    <w:rsid w:val="5200372D"/>
    <w:rsid w:val="528A4C80"/>
    <w:rsid w:val="52AD19DB"/>
    <w:rsid w:val="52BA3ED8"/>
    <w:rsid w:val="53057EDB"/>
    <w:rsid w:val="533F04A9"/>
    <w:rsid w:val="535E549C"/>
    <w:rsid w:val="53670B95"/>
    <w:rsid w:val="5418797C"/>
    <w:rsid w:val="54271FE7"/>
    <w:rsid w:val="546C5887"/>
    <w:rsid w:val="5470465A"/>
    <w:rsid w:val="54B90CF5"/>
    <w:rsid w:val="54CB3595"/>
    <w:rsid w:val="550245FF"/>
    <w:rsid w:val="55865260"/>
    <w:rsid w:val="5593651A"/>
    <w:rsid w:val="55AB0460"/>
    <w:rsid w:val="55B347D2"/>
    <w:rsid w:val="5616537B"/>
    <w:rsid w:val="56341DFA"/>
    <w:rsid w:val="5663290D"/>
    <w:rsid w:val="56AD6EAA"/>
    <w:rsid w:val="56E1672E"/>
    <w:rsid w:val="570441D3"/>
    <w:rsid w:val="580E6C36"/>
    <w:rsid w:val="581333C5"/>
    <w:rsid w:val="58312464"/>
    <w:rsid w:val="58736811"/>
    <w:rsid w:val="58F85895"/>
    <w:rsid w:val="59164AA0"/>
    <w:rsid w:val="5980650D"/>
    <w:rsid w:val="599F0E1F"/>
    <w:rsid w:val="5A8B7D9A"/>
    <w:rsid w:val="5AC153D5"/>
    <w:rsid w:val="5B5F3901"/>
    <w:rsid w:val="5BF94059"/>
    <w:rsid w:val="5C0C796C"/>
    <w:rsid w:val="5C780CE4"/>
    <w:rsid w:val="5CD462E6"/>
    <w:rsid w:val="5CE0036A"/>
    <w:rsid w:val="5D145459"/>
    <w:rsid w:val="5D3A4C25"/>
    <w:rsid w:val="5DBB165A"/>
    <w:rsid w:val="5DC54075"/>
    <w:rsid w:val="5DE0720E"/>
    <w:rsid w:val="5E0B1BB0"/>
    <w:rsid w:val="5E467C1D"/>
    <w:rsid w:val="5EB870AD"/>
    <w:rsid w:val="5ECB55B6"/>
    <w:rsid w:val="5ED37344"/>
    <w:rsid w:val="5EE81A35"/>
    <w:rsid w:val="5F6412E9"/>
    <w:rsid w:val="5F9D09F0"/>
    <w:rsid w:val="5FC304F1"/>
    <w:rsid w:val="6065020A"/>
    <w:rsid w:val="60F50CAC"/>
    <w:rsid w:val="617375B1"/>
    <w:rsid w:val="61B7506F"/>
    <w:rsid w:val="627770C5"/>
    <w:rsid w:val="62797F9D"/>
    <w:rsid w:val="627D19E2"/>
    <w:rsid w:val="632F0508"/>
    <w:rsid w:val="6372077B"/>
    <w:rsid w:val="63A36368"/>
    <w:rsid w:val="63BF5EF6"/>
    <w:rsid w:val="63CC550E"/>
    <w:rsid w:val="63E61CD7"/>
    <w:rsid w:val="63E62A2C"/>
    <w:rsid w:val="642777BB"/>
    <w:rsid w:val="6448097C"/>
    <w:rsid w:val="65221B38"/>
    <w:rsid w:val="65A03EDF"/>
    <w:rsid w:val="65D5650D"/>
    <w:rsid w:val="65D57D7A"/>
    <w:rsid w:val="65F906AC"/>
    <w:rsid w:val="662B2963"/>
    <w:rsid w:val="662B7800"/>
    <w:rsid w:val="667677C4"/>
    <w:rsid w:val="669F1A3F"/>
    <w:rsid w:val="66C01DCB"/>
    <w:rsid w:val="66C578C8"/>
    <w:rsid w:val="67197E7A"/>
    <w:rsid w:val="6738057B"/>
    <w:rsid w:val="67791813"/>
    <w:rsid w:val="67C642D0"/>
    <w:rsid w:val="67D77961"/>
    <w:rsid w:val="686E04C4"/>
    <w:rsid w:val="6898557E"/>
    <w:rsid w:val="68D03D0D"/>
    <w:rsid w:val="6A674B7F"/>
    <w:rsid w:val="6B14065E"/>
    <w:rsid w:val="6B260BC5"/>
    <w:rsid w:val="6B5010ED"/>
    <w:rsid w:val="6B517D09"/>
    <w:rsid w:val="6BA312EE"/>
    <w:rsid w:val="6BAD0860"/>
    <w:rsid w:val="6BB41182"/>
    <w:rsid w:val="6C21385B"/>
    <w:rsid w:val="6C5D623A"/>
    <w:rsid w:val="6C786B34"/>
    <w:rsid w:val="6C9860AF"/>
    <w:rsid w:val="6D2532C1"/>
    <w:rsid w:val="6D390A55"/>
    <w:rsid w:val="6D7101EF"/>
    <w:rsid w:val="6DA463F1"/>
    <w:rsid w:val="6DBB142A"/>
    <w:rsid w:val="6DC90575"/>
    <w:rsid w:val="6E2B0D75"/>
    <w:rsid w:val="6E77698D"/>
    <w:rsid w:val="6E9C6986"/>
    <w:rsid w:val="7024730F"/>
    <w:rsid w:val="702C6118"/>
    <w:rsid w:val="70492241"/>
    <w:rsid w:val="709E041A"/>
    <w:rsid w:val="70D50190"/>
    <w:rsid w:val="70D56237"/>
    <w:rsid w:val="70E64A50"/>
    <w:rsid w:val="71312C91"/>
    <w:rsid w:val="71640AAD"/>
    <w:rsid w:val="719C1CF7"/>
    <w:rsid w:val="71C34D91"/>
    <w:rsid w:val="71DE3BF6"/>
    <w:rsid w:val="723932A5"/>
    <w:rsid w:val="72420954"/>
    <w:rsid w:val="72532D9D"/>
    <w:rsid w:val="7280258D"/>
    <w:rsid w:val="72EE408F"/>
    <w:rsid w:val="72F661DA"/>
    <w:rsid w:val="73012015"/>
    <w:rsid w:val="733F057D"/>
    <w:rsid w:val="73D55FAF"/>
    <w:rsid w:val="74115595"/>
    <w:rsid w:val="74DD7046"/>
    <w:rsid w:val="7530098F"/>
    <w:rsid w:val="755C374C"/>
    <w:rsid w:val="75A621F2"/>
    <w:rsid w:val="75D532E5"/>
    <w:rsid w:val="75F63DAF"/>
    <w:rsid w:val="760E532F"/>
    <w:rsid w:val="76C9109B"/>
    <w:rsid w:val="76F63E01"/>
    <w:rsid w:val="774E361F"/>
    <w:rsid w:val="776112D4"/>
    <w:rsid w:val="785E4C0A"/>
    <w:rsid w:val="78D2019F"/>
    <w:rsid w:val="7939286F"/>
    <w:rsid w:val="793D67A8"/>
    <w:rsid w:val="798A66B0"/>
    <w:rsid w:val="79E461EC"/>
    <w:rsid w:val="7A0643B5"/>
    <w:rsid w:val="7A141194"/>
    <w:rsid w:val="7A275E35"/>
    <w:rsid w:val="7A2D3456"/>
    <w:rsid w:val="7A5A3B08"/>
    <w:rsid w:val="7AF1599C"/>
    <w:rsid w:val="7B7E5375"/>
    <w:rsid w:val="7BE90D15"/>
    <w:rsid w:val="7BFE2876"/>
    <w:rsid w:val="7C001F2C"/>
    <w:rsid w:val="7C4411C4"/>
    <w:rsid w:val="7C4A0065"/>
    <w:rsid w:val="7C743857"/>
    <w:rsid w:val="7CEF1130"/>
    <w:rsid w:val="7D0A7D18"/>
    <w:rsid w:val="7D284642"/>
    <w:rsid w:val="7D587A27"/>
    <w:rsid w:val="7D960C66"/>
    <w:rsid w:val="7D9817C8"/>
    <w:rsid w:val="7DB30522"/>
    <w:rsid w:val="7DED1B13"/>
    <w:rsid w:val="7E264832"/>
    <w:rsid w:val="7E3B77B7"/>
    <w:rsid w:val="7E5B6E67"/>
    <w:rsid w:val="7E6E724A"/>
    <w:rsid w:val="7E704A33"/>
    <w:rsid w:val="7E967AAD"/>
    <w:rsid w:val="7EA01209"/>
    <w:rsid w:val="7F111831"/>
    <w:rsid w:val="7F9E0BEB"/>
    <w:rsid w:val="7FD3231E"/>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5">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9"/>
    <w:qFormat/>
    <w:uiPriority w:val="99"/>
    <w:pPr>
      <w:tabs>
        <w:tab w:val="left" w:pos="567"/>
      </w:tabs>
      <w:ind w:firstLine="420" w:firstLineChars="100"/>
    </w:pPr>
  </w:style>
  <w:style w:type="paragraph" w:styleId="9">
    <w:name w:val="toc 6"/>
    <w:basedOn w:val="1"/>
    <w:next w:val="1"/>
    <w:qFormat/>
    <w:uiPriority w:val="0"/>
    <w:pPr>
      <w:ind w:left="2100" w:leftChars="1000"/>
    </w:pPr>
  </w:style>
  <w:style w:type="paragraph" w:styleId="10">
    <w:name w:val="Body Text Indent"/>
    <w:basedOn w:val="1"/>
    <w:qFormat/>
    <w:uiPriority w:val="0"/>
    <w:pPr>
      <w:spacing w:after="120"/>
      <w:ind w:left="200" w:leftChars="200"/>
    </w:pPr>
  </w:style>
  <w:style w:type="paragraph" w:styleId="11">
    <w:name w:val="Plain Text"/>
    <w:basedOn w:val="1"/>
    <w:next w:val="12"/>
    <w:qFormat/>
    <w:uiPriority w:val="0"/>
    <w:rPr>
      <w:rFonts w:ascii="宋体"/>
      <w:color w:val="000000"/>
      <w:szCs w:val="20"/>
      <w:u w:val="none" w:color="000000"/>
    </w:rPr>
  </w:style>
  <w:style w:type="paragraph" w:styleId="12">
    <w:name w:val="index 7"/>
    <w:basedOn w:val="1"/>
    <w:next w:val="1"/>
    <w:qFormat/>
    <w:uiPriority w:val="0"/>
    <w:pPr>
      <w:autoSpaceDE/>
      <w:autoSpaceDN/>
      <w:adjustRightInd/>
      <w:ind w:left="1200" w:leftChars="1200"/>
    </w:pPr>
    <w:rPr>
      <w:color w:val="auto"/>
      <w:kern w:val="2"/>
      <w:szCs w:val="24"/>
    </w:rPr>
  </w:style>
  <w:style w:type="paragraph" w:styleId="13">
    <w:name w:val="Date"/>
    <w:basedOn w:val="1"/>
    <w:next w:val="1"/>
    <w:qFormat/>
    <w:uiPriority w:val="0"/>
    <w:rPr>
      <w:rFonts w:ascii="Arial" w:hAnsi="Arial" w:eastAsia="仿宋_GB2312"/>
      <w:color w:val="000000"/>
      <w:sz w:val="32"/>
      <w:szCs w:val="20"/>
      <w:u w:val="none" w:color="000000"/>
    </w:rPr>
  </w:style>
  <w:style w:type="paragraph" w:styleId="14">
    <w:name w:val="footer"/>
    <w:basedOn w:val="1"/>
    <w:qFormat/>
    <w:uiPriority w:val="0"/>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39"/>
  </w:style>
  <w:style w:type="paragraph" w:styleId="17">
    <w:name w:val="footnote text"/>
    <w:basedOn w:val="1"/>
    <w:next w:val="7"/>
    <w:qFormat/>
    <w:uiPriority w:val="99"/>
    <w:pPr>
      <w:snapToGrid w:val="0"/>
    </w:pPr>
    <w:rPr>
      <w:sz w:val="18"/>
      <w:szCs w:val="18"/>
    </w:rPr>
  </w:style>
  <w:style w:type="paragraph" w:styleId="18">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19">
    <w:name w:val="Body Text 2"/>
    <w:basedOn w:val="1"/>
    <w:qFormat/>
    <w:uiPriority w:val="0"/>
    <w:pPr>
      <w:tabs>
        <w:tab w:val="left" w:pos="0"/>
      </w:tabs>
      <w:spacing w:line="400" w:lineRule="atLeast"/>
    </w:pPr>
    <w:rPr>
      <w:rFonts w:ascii="Arial" w:hAnsi="Arial"/>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pPr>
    <w:rPr>
      <w:rFonts w:ascii="宋体" w:hAnsi="宋体" w:eastAsia="宋体" w:cs="宋体"/>
    </w:rPr>
  </w:style>
  <w:style w:type="paragraph" w:styleId="22">
    <w:name w:val="Body Text First Indent 2"/>
    <w:basedOn w:val="10"/>
    <w:qFormat/>
    <w:uiPriority w:val="0"/>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footnote reference"/>
    <w:basedOn w:val="25"/>
    <w:qFormat/>
    <w:uiPriority w:val="99"/>
    <w:rPr>
      <w:vertAlign w:val="superscript"/>
    </w:rPr>
  </w:style>
  <w:style w:type="character" w:styleId="28">
    <w:name w:val="HTML Sample"/>
    <w:basedOn w:val="25"/>
    <w:qFormat/>
    <w:uiPriority w:val="0"/>
    <w:rPr>
      <w:rFonts w:ascii="Courier New" w:hAnsi="Courier New"/>
    </w:rPr>
  </w:style>
  <w:style w:type="paragraph" w:customStyle="1" w:styleId="29">
    <w:name w:val="样式 样式 左侧:  2 字符 + 左侧:  0.85 厘米 首行缩进:  2 字符1"/>
    <w:basedOn w:val="1"/>
    <w:qFormat/>
    <w:uiPriority w:val="0"/>
    <w:pPr>
      <w:ind w:left="482" w:firstLine="200" w:firstLineChars="200"/>
    </w:pPr>
    <w:rPr>
      <w:rFonts w:cs="宋体"/>
      <w:szCs w:val="20"/>
    </w:rPr>
  </w:style>
  <w:style w:type="paragraph" w:customStyle="1" w:styleId="30">
    <w:name w:val="正文格式"/>
    <w:basedOn w:val="1"/>
    <w:qFormat/>
    <w:uiPriority w:val="99"/>
    <w:pPr>
      <w:widowControl/>
      <w:adjustRightInd w:val="0"/>
      <w:snapToGrid w:val="0"/>
      <w:spacing w:line="400" w:lineRule="atLeast"/>
      <w:ind w:firstLine="482"/>
      <w:textAlignment w:val="baseline"/>
    </w:p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3">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4">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35">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6">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7">
    <w:name w:val="Table caption|1"/>
    <w:basedOn w:val="1"/>
    <w:qFormat/>
    <w:uiPriority w:val="0"/>
    <w:rPr>
      <w:rFonts w:ascii="宋体" w:hAnsi="宋体" w:eastAsia="宋体" w:cs="宋体"/>
      <w:sz w:val="22"/>
      <w:szCs w:val="22"/>
      <w:lang w:val="zh-TW" w:eastAsia="zh-TW" w:bidi="zh-TW"/>
    </w:rPr>
  </w:style>
  <w:style w:type="paragraph" w:customStyle="1" w:styleId="38">
    <w:name w:val="Table Paragraph"/>
    <w:basedOn w:val="1"/>
    <w:qFormat/>
    <w:uiPriority w:val="1"/>
    <w:pPr>
      <w:autoSpaceDE w:val="0"/>
      <w:autoSpaceDN w:val="0"/>
      <w:adjustRightInd w:val="0"/>
    </w:pPr>
    <w:rPr>
      <w:rFonts w:eastAsia="宋体"/>
    </w:rPr>
  </w:style>
  <w:style w:type="paragraph" w:customStyle="1" w:styleId="39">
    <w:name w:val="BodyText"/>
    <w:basedOn w:val="1"/>
    <w:next w:val="1"/>
    <w:qFormat/>
    <w:uiPriority w:val="0"/>
    <w:pPr>
      <w:tabs>
        <w:tab w:val="left" w:pos="780"/>
      </w:tabs>
    </w:pPr>
    <w:rPr>
      <w:rFonts w:ascii="黑体" w:eastAsia="黑体"/>
      <w:sz w:val="22"/>
    </w:rPr>
  </w:style>
  <w:style w:type="character" w:customStyle="1" w:styleId="40">
    <w:name w:val="font01"/>
    <w:basedOn w:val="25"/>
    <w:qFormat/>
    <w:uiPriority w:val="0"/>
    <w:rPr>
      <w:rFonts w:hint="eastAsia" w:ascii="宋体" w:hAnsi="宋体" w:eastAsia="宋体" w:cs="宋体"/>
      <w:color w:val="000000"/>
      <w:sz w:val="22"/>
      <w:szCs w:val="22"/>
      <w:u w:val="none"/>
    </w:rPr>
  </w:style>
  <w:style w:type="character" w:customStyle="1" w:styleId="41">
    <w:name w:val="font11"/>
    <w:basedOn w:val="25"/>
    <w:qFormat/>
    <w:uiPriority w:val="0"/>
    <w:rPr>
      <w:rFonts w:ascii="Arial" w:hAnsi="Arial" w:cs="Arial"/>
      <w:color w:val="000000"/>
      <w:sz w:val="22"/>
      <w:szCs w:val="22"/>
      <w:u w:val="none"/>
    </w:rPr>
  </w:style>
  <w:style w:type="character" w:customStyle="1" w:styleId="42">
    <w:name w:val="font31"/>
    <w:basedOn w:val="25"/>
    <w:qFormat/>
    <w:uiPriority w:val="0"/>
    <w:rPr>
      <w:rFonts w:hint="eastAsia" w:ascii="宋体" w:hAnsi="宋体" w:eastAsia="宋体" w:cs="宋体"/>
      <w:color w:val="000000"/>
      <w:sz w:val="22"/>
      <w:szCs w:val="22"/>
      <w:u w:val="none"/>
    </w:rPr>
  </w:style>
  <w:style w:type="character" w:customStyle="1" w:styleId="43">
    <w:name w:val="font61"/>
    <w:basedOn w:val="25"/>
    <w:qFormat/>
    <w:uiPriority w:val="0"/>
    <w:rPr>
      <w:rFonts w:ascii="宋体" w:hAnsi="宋体" w:eastAsia="宋体" w:cs="宋体"/>
      <w:color w:val="000000"/>
      <w:sz w:val="22"/>
      <w:szCs w:val="22"/>
      <w:u w:val="none"/>
    </w:rPr>
  </w:style>
  <w:style w:type="paragraph" w:customStyle="1" w:styleId="44">
    <w:name w:val="BodyText1I2"/>
    <w:basedOn w:val="45"/>
    <w:qFormat/>
    <w:uiPriority w:val="0"/>
    <w:pPr>
      <w:spacing w:after="0" w:afterLines="0" w:line="500" w:lineRule="exact"/>
      <w:ind w:left="0" w:leftChars="0" w:firstLine="420" w:firstLineChars="200"/>
      <w:jc w:val="both"/>
    </w:pPr>
    <w:rPr>
      <w:kern w:val="2"/>
      <w:sz w:val="21"/>
      <w:szCs w:val="24"/>
      <w:lang w:bidi="ar-SA"/>
    </w:rPr>
  </w:style>
  <w:style w:type="paragraph" w:customStyle="1" w:styleId="45">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 w:type="paragraph" w:customStyle="1" w:styleId="46">
    <w:name w:val="No Spacing"/>
    <w:basedOn w:val="1"/>
    <w:qFormat/>
    <w:uiPriority w:val="1"/>
    <w:pPr>
      <w:jc w:val="center"/>
    </w:pPr>
    <w:rPr>
      <w:rFonts w:eastAsia="黑体"/>
      <w:sz w:val="30"/>
    </w:rPr>
  </w:style>
  <w:style w:type="paragraph" w:customStyle="1" w:styleId="47">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48">
    <w:name w:val="Table Normal"/>
    <w:semiHidden/>
    <w:unhideWhenUsed/>
    <w:qFormat/>
    <w:uiPriority w:val="0"/>
    <w:tblPr>
      <w:tblCellMar>
        <w:top w:w="0" w:type="dxa"/>
        <w:left w:w="0" w:type="dxa"/>
        <w:bottom w:w="0" w:type="dxa"/>
        <w:right w:w="0" w:type="dxa"/>
      </w:tblCellMar>
    </w:tblPr>
  </w:style>
  <w:style w:type="character" w:customStyle="1" w:styleId="49">
    <w:name w:val="font51"/>
    <w:basedOn w:val="25"/>
    <w:qFormat/>
    <w:uiPriority w:val="0"/>
    <w:rPr>
      <w:rFonts w:hint="eastAsia" w:ascii="宋体" w:hAnsi="宋体" w:eastAsia="宋体" w:cs="宋体"/>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75</Pages>
  <Words>17229</Words>
  <Characters>18586</Characters>
  <Paragraphs>2228</Paragraphs>
  <TotalTime>1</TotalTime>
  <ScaleCrop>false</ScaleCrop>
  <LinksUpToDate>false</LinksUpToDate>
  <CharactersWithSpaces>18772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张鑫</cp:lastModifiedBy>
  <cp:lastPrinted>2025-06-12T02:46:00Z</cp:lastPrinted>
  <dcterms:modified xsi:type="dcterms:W3CDTF">2026-10-21T10:59:21Z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BF0BD76062D244AFA978D48BE1AD55D4</vt:lpwstr>
  </property>
  <property fmtid="{D5CDD505-2E9C-101B-9397-08002B2CF9AE}" pid="4" name="KSOTemplateDocerSaveRecord">
    <vt:lpwstr>eyJoZGlkIjoiZjJjZDBiYzdhZTdiYThlNDE5M2U4YjQyZjllMTcyMjciLCJ1c2VySWQiOiI0NTM5Mzc3OTAifQ==</vt:lpwstr>
  </property>
</Properties>
</file>